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仿宋_GB2312"/>
          <w:b/>
          <w:color w:val="000000" w:themeColor="text1"/>
          <w:sz w:val="24"/>
          <w:highlight w:val="none"/>
          <w14:textFill>
            <w14:solidFill>
              <w14:schemeClr w14:val="tx1"/>
            </w14:solidFill>
          </w14:textFill>
        </w:rPr>
      </w:pPr>
      <w:bookmarkStart w:id="569" w:name="_GoBack"/>
    </w:p>
    <w:p>
      <w:pPr>
        <w:spacing w:line="360" w:lineRule="auto"/>
        <w:jc w:val="center"/>
        <w:rPr>
          <w:rFonts w:ascii="仿宋" w:hAnsi="仿宋" w:eastAsia="仿宋" w:cs="仿宋_GB2312"/>
          <w:b/>
          <w:color w:val="000000" w:themeColor="text1"/>
          <w:sz w:val="24"/>
          <w:highlight w:val="none"/>
          <w14:textFill>
            <w14:solidFill>
              <w14:schemeClr w14:val="tx1"/>
            </w14:solidFill>
          </w14:textFill>
        </w:rPr>
      </w:pPr>
    </w:p>
    <w:p>
      <w:pPr>
        <w:adjustRightInd/>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p>
    <w:p>
      <w:pPr>
        <w:adjustRightInd/>
        <w:spacing w:line="360" w:lineRule="auto"/>
        <w:jc w:val="center"/>
        <w:rPr>
          <w:rFonts w:ascii="仿宋_GB2312" w:hAnsi="仿宋" w:eastAsia="仿宋_GB2312" w:cs="仿宋_GB2312"/>
          <w:b/>
          <w:color w:val="000000" w:themeColor="text1"/>
          <w:sz w:val="48"/>
          <w:szCs w:val="48"/>
          <w:highlight w:val="none"/>
          <w14:textFill>
            <w14:solidFill>
              <w14:schemeClr w14:val="tx1"/>
            </w14:solidFill>
          </w14:textFill>
        </w:rPr>
      </w:pPr>
    </w:p>
    <w:p>
      <w:pPr>
        <w:adjustRightInd/>
        <w:spacing w:line="360" w:lineRule="auto"/>
        <w:jc w:val="center"/>
        <w:rPr>
          <w:rFonts w:ascii="仿宋" w:hAnsi="仿宋" w:eastAsia="仿宋" w:cs="仿宋_GB2312"/>
          <w:color w:val="000000" w:themeColor="text1"/>
          <w:sz w:val="48"/>
          <w:szCs w:val="48"/>
          <w:highlight w:val="none"/>
          <w14:textFill>
            <w14:solidFill>
              <w14:schemeClr w14:val="tx1"/>
            </w14:solidFill>
          </w14:textFill>
        </w:rPr>
      </w:pPr>
      <w:r>
        <w:rPr>
          <w:rFonts w:hint="eastAsia" w:ascii="仿宋" w:hAnsi="仿宋" w:eastAsia="仿宋" w:cs="仿宋_GB2312"/>
          <w:color w:val="000000" w:themeColor="text1"/>
          <w:sz w:val="48"/>
          <w:szCs w:val="48"/>
          <w:highlight w:val="none"/>
          <w14:textFill>
            <w14:solidFill>
              <w14:schemeClr w14:val="tx1"/>
            </w14:solidFill>
          </w14:textFill>
        </w:rPr>
        <w:t>杭州市城市档案中心</w:t>
      </w:r>
    </w:p>
    <w:p>
      <w:pPr>
        <w:adjustRightInd/>
        <w:spacing w:line="360" w:lineRule="auto"/>
        <w:jc w:val="center"/>
        <w:rPr>
          <w:rFonts w:ascii="仿宋" w:hAnsi="仿宋" w:eastAsia="仿宋" w:cs="仿宋_GB2312"/>
          <w:color w:val="000000" w:themeColor="text1"/>
          <w:sz w:val="48"/>
          <w:szCs w:val="48"/>
          <w:highlight w:val="none"/>
          <w14:textFill>
            <w14:solidFill>
              <w14:schemeClr w14:val="tx1"/>
            </w14:solidFill>
          </w14:textFill>
        </w:rPr>
      </w:pPr>
      <w:r>
        <w:rPr>
          <w:rFonts w:hint="eastAsia" w:ascii="仿宋" w:hAnsi="仿宋" w:eastAsia="仿宋" w:cs="仿宋_GB2312"/>
          <w:color w:val="000000" w:themeColor="text1"/>
          <w:sz w:val="48"/>
          <w:szCs w:val="48"/>
          <w:highlight w:val="none"/>
          <w14:textFill>
            <w14:solidFill>
              <w14:schemeClr w14:val="tx1"/>
            </w14:solidFill>
          </w14:textFill>
        </w:rPr>
        <w:t>智慧库房智慧化综合管理平台及配套设施、智能密集架、防磁库采购项目</w:t>
      </w:r>
    </w:p>
    <w:p>
      <w:pPr>
        <w:adjustRightInd/>
        <w:spacing w:line="360" w:lineRule="auto"/>
        <w:jc w:val="center"/>
        <w:rPr>
          <w:rFonts w:ascii="仿宋" w:hAnsi="仿宋" w:eastAsia="仿宋" w:cs="仿宋_GB2312"/>
          <w:color w:val="000000" w:themeColor="text1"/>
          <w:sz w:val="48"/>
          <w:szCs w:val="48"/>
          <w:highlight w:val="none"/>
          <w14:textFill>
            <w14:solidFill>
              <w14:schemeClr w14:val="tx1"/>
            </w14:solidFill>
          </w14:textFill>
        </w:rPr>
      </w:pPr>
      <w:r>
        <w:rPr>
          <w:rFonts w:hint="eastAsia" w:ascii="仿宋" w:hAnsi="仿宋" w:eastAsia="仿宋" w:cs="仿宋_GB2312"/>
          <w:color w:val="000000" w:themeColor="text1"/>
          <w:sz w:val="48"/>
          <w:szCs w:val="48"/>
          <w:highlight w:val="none"/>
          <w14:textFill>
            <w14:solidFill>
              <w14:schemeClr w14:val="tx1"/>
            </w14:solidFill>
          </w14:textFill>
        </w:rPr>
        <w:t>招标文件</w:t>
      </w:r>
    </w:p>
    <w:p>
      <w:pPr>
        <w:adjustRightInd/>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r>
        <w:rPr>
          <w:rFonts w:ascii="仿宋" w:hAnsi="仿宋" w:eastAsia="仿宋" w:cs="仿宋_GB2312"/>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仿宋" w:hAnsi="仿宋" w:eastAsia="仿宋" w:cs="仿宋_GB2312"/>
          <w:color w:val="000000" w:themeColor="text1"/>
          <w:sz w:val="30"/>
          <w:szCs w:val="30"/>
          <w:highlight w:val="none"/>
          <w14:textFill>
            <w14:solidFill>
              <w14:schemeClr w14:val="tx1"/>
            </w14:solidFill>
          </w14:textFill>
        </w:rPr>
      </w:pPr>
      <w:r>
        <w:rPr>
          <w:rFonts w:hint="eastAsia" w:ascii="仿宋" w:hAnsi="仿宋" w:eastAsia="仿宋" w:cs="仿宋_GB2312"/>
          <w:color w:val="000000" w:themeColor="text1"/>
          <w:sz w:val="30"/>
          <w:szCs w:val="30"/>
          <w:highlight w:val="none"/>
          <w14:textFill>
            <w14:solidFill>
              <w14:schemeClr w14:val="tx1"/>
            </w14:solidFill>
          </w14:textFill>
        </w:rPr>
        <w:t>编号</w:t>
      </w:r>
      <w:r>
        <w:rPr>
          <w:rFonts w:ascii="仿宋" w:hAnsi="仿宋" w:eastAsia="仿宋" w:cs="仿宋_GB2312"/>
          <w:color w:val="000000" w:themeColor="text1"/>
          <w:sz w:val="30"/>
          <w:szCs w:val="30"/>
          <w:highlight w:val="none"/>
          <w14:textFill>
            <w14:solidFill>
              <w14:schemeClr w14:val="tx1"/>
            </w14:solidFill>
          </w14:textFill>
        </w:rPr>
        <w:t>:</w:t>
      </w:r>
      <w:r>
        <w:rPr>
          <w:rFonts w:hint="eastAsia" w:ascii="仿宋" w:hAnsi="仿宋" w:eastAsia="仿宋" w:cs="仿宋_GB2312"/>
          <w:color w:val="000000" w:themeColor="text1"/>
          <w:sz w:val="30"/>
          <w:szCs w:val="30"/>
          <w:highlight w:val="none"/>
          <w14:textFill>
            <w14:solidFill>
              <w14:schemeClr w14:val="tx1"/>
            </w14:solidFill>
          </w14:textFill>
        </w:rPr>
        <w:t>HZZFCG-2021-187</w:t>
      </w:r>
    </w:p>
    <w:p>
      <w:pPr>
        <w:adjustRightInd/>
        <w:spacing w:line="360" w:lineRule="auto"/>
        <w:rPr>
          <w:rFonts w:ascii="仿宋" w:hAnsi="仿宋" w:eastAsia="仿宋" w:cs="仿宋_GB2312"/>
          <w:color w:val="000000" w:themeColor="text1"/>
          <w:sz w:val="28"/>
          <w:szCs w:val="20"/>
          <w:highlight w:val="none"/>
          <w14:textFill>
            <w14:solidFill>
              <w14:schemeClr w14:val="tx1"/>
            </w14:solidFill>
          </w14:textFill>
        </w:rPr>
      </w:pPr>
    </w:p>
    <w:p>
      <w:pPr>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r>
        <w:rPr>
          <w:rFonts w:ascii="仿宋" w:hAnsi="仿宋" w:eastAsia="仿宋" w:cs="仿宋_GB2312"/>
          <w:b/>
          <w:color w:val="000000" w:themeColor="text1"/>
          <w:sz w:val="44"/>
          <w:szCs w:val="44"/>
          <w:highlight w:val="none"/>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_GB2312"/>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color w:val="000000" w:themeColor="text1"/>
          <w:sz w:val="24"/>
          <w:highlight w:val="none"/>
          <w14:textFill>
            <w14:solidFill>
              <w14:schemeClr w14:val="tx1"/>
            </w14:solidFill>
          </w14:textFill>
        </w:rPr>
      </w:pP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杭州市档案馆</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杭州市公共资源交易中心</w:t>
      </w:r>
    </w:p>
    <w:p>
      <w:pPr>
        <w:snapToGrid w:val="0"/>
        <w:spacing w:line="360" w:lineRule="auto"/>
        <w:jc w:val="center"/>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二</w:t>
      </w:r>
      <w:r>
        <w:rPr>
          <w:rFonts w:hint="eastAsia" w:ascii="宋体" w:hAnsi="宋体" w:cs="宋体"/>
          <w:bCs/>
          <w:color w:val="000000" w:themeColor="text1"/>
          <w:sz w:val="32"/>
          <w:szCs w:val="32"/>
          <w:highlight w:val="none"/>
          <w14:textFill>
            <w14:solidFill>
              <w14:schemeClr w14:val="tx1"/>
            </w14:solidFill>
          </w14:textFill>
        </w:rPr>
        <w:t>〇</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二</w:t>
      </w:r>
      <w:r>
        <w:rPr>
          <w:rFonts w:hint="eastAsia" w:ascii="宋体" w:hAnsi="宋体" w:cs="宋体"/>
          <w:bCs/>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年十一月二十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w:t>
      </w:r>
    </w:p>
    <w:p>
      <w:pPr>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br w:type="page"/>
      </w:r>
      <w:bookmarkStart w:id="0" w:name="_Hlt67893495"/>
      <w:bookmarkEnd w:id="0"/>
      <w:r>
        <w:rPr>
          <w:rFonts w:hint="eastAsia" w:ascii="仿宋" w:hAnsi="仿宋" w:eastAsia="仿宋" w:cs="仿宋_GB2312"/>
          <w:b/>
          <w:color w:val="000000" w:themeColor="text1"/>
          <w:sz w:val="48"/>
          <w:szCs w:val="48"/>
          <w:highlight w:val="none"/>
          <w14:textFill>
            <w14:solidFill>
              <w14:schemeClr w14:val="tx1"/>
            </w14:solidFill>
          </w14:textFill>
        </w:rPr>
        <w:t>目</w:t>
      </w:r>
      <w:r>
        <w:rPr>
          <w:rFonts w:ascii="仿宋" w:hAnsi="仿宋" w:eastAsia="仿宋" w:cs="仿宋_GB2312"/>
          <w:b/>
          <w:color w:val="000000" w:themeColor="text1"/>
          <w:sz w:val="48"/>
          <w:szCs w:val="48"/>
          <w:highlight w:val="none"/>
          <w14:textFill>
            <w14:solidFill>
              <w14:schemeClr w14:val="tx1"/>
            </w14:solidFill>
          </w14:textFill>
        </w:rPr>
        <w:t xml:space="preserve">  </w:t>
      </w:r>
      <w:r>
        <w:rPr>
          <w:rFonts w:hint="eastAsia" w:ascii="仿宋" w:hAnsi="仿宋" w:eastAsia="仿宋" w:cs="仿宋_GB2312"/>
          <w:b/>
          <w:color w:val="000000" w:themeColor="text1"/>
          <w:sz w:val="48"/>
          <w:szCs w:val="48"/>
          <w:highlight w:val="none"/>
          <w14:textFill>
            <w14:solidFill>
              <w14:schemeClr w14:val="tx1"/>
            </w14:solidFill>
          </w14:textFill>
        </w:rPr>
        <w:t>录</w:t>
      </w: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第一部分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招标公告</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第二部分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投标人须知</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第三部分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采购需求</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第四部分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评标办法</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第五部分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拟签订的合同文本</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第六部分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应提交的有关格式范例</w:t>
      </w: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rPr>
          <w:rFonts w:ascii="仿宋" w:hAnsi="仿宋" w:eastAsia="仿宋" w:cs="仿宋_GB2312"/>
          <w:color w:val="000000" w:themeColor="text1"/>
          <w:sz w:val="24"/>
          <w:highlight w:val="none"/>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6"/>
          <w:szCs w:val="20"/>
          <w:highlight w:val="none"/>
          <w14:textFill>
            <w14:solidFill>
              <w14:schemeClr w14:val="tx1"/>
            </w14:solidFill>
          </w14:textFill>
        </w:rPr>
      </w:pPr>
      <w:bookmarkStart w:id="3" w:name="第一部分"/>
      <w:r>
        <w:rPr>
          <w:rFonts w:ascii="仿宋" w:hAnsi="仿宋" w:eastAsia="仿宋" w:cs="仿宋_GB2312"/>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highlight w:val="none"/>
          <w14:textFill>
            <w14:solidFill>
              <w14:schemeClr w14:val="tx1"/>
            </w14:solidFill>
          </w14:textFill>
        </w:rPr>
        <w:t>第一部分</w:t>
      </w:r>
      <w:r>
        <w:rPr>
          <w:rFonts w:ascii="仿宋" w:hAnsi="仿宋" w:eastAsia="仿宋" w:cs="仿宋_GB2312"/>
          <w:b/>
          <w:color w:val="000000" w:themeColor="text1"/>
          <w:sz w:val="36"/>
          <w:szCs w:val="20"/>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20"/>
          <w:highlight w:val="none"/>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杭州市城市档案中心智慧库房智慧化综合管理平台及配套设施、智能密集架、防磁库采购项目</w:t>
      </w:r>
      <w:r>
        <w:rPr>
          <w:rFonts w:hint="eastAsia" w:ascii="仿宋_GB2312" w:hAnsi="仿宋" w:eastAsia="仿宋_GB2312"/>
          <w:color w:val="000000" w:themeColor="text1"/>
          <w:sz w:val="24"/>
          <w:highlight w:val="none"/>
          <w14:textFill>
            <w14:solidFill>
              <w14:schemeClr w14:val="tx1"/>
            </w14:solidFill>
          </w14:textFill>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snapToGrid/>
          <w:color w:val="000000" w:themeColor="text1"/>
          <w:kern w:val="2"/>
          <w:sz w:val="24"/>
          <w:szCs w:val="24"/>
          <w:highlight w:val="none"/>
          <w14:textFill>
            <w14:solidFill>
              <w14:schemeClr w14:val="tx1"/>
            </w14:solidFill>
          </w14:textFill>
        </w:rPr>
        <w:t>https://www.zcygov.cn/）获取（下载）招标文件，并于2021年</w:t>
      </w:r>
      <w:r>
        <w:rPr>
          <w:rStyle w:val="76"/>
          <w:rFonts w:ascii="仿宋_GB2312" w:hAnsi="仿宋" w:eastAsia="仿宋_GB2312" w:cs="Times New Roman"/>
          <w:snapToGrid/>
          <w:color w:val="000000" w:themeColor="text1"/>
          <w:kern w:val="2"/>
          <w:sz w:val="24"/>
          <w:szCs w:val="24"/>
          <w:highlight w:val="none"/>
          <w14:textFill>
            <w14:solidFill>
              <w14:schemeClr w14:val="tx1"/>
            </w14:solidFill>
          </w14:textFill>
        </w:rPr>
        <w:fldChar w:fldCharType="end"/>
      </w:r>
      <w:r>
        <w:rPr>
          <w:rFonts w:hint="eastAsia" w:ascii="仿宋_GB2312" w:hAnsi="仿宋" w:eastAsia="仿宋_GB2312"/>
          <w:color w:val="000000" w:themeColor="text1"/>
          <w:sz w:val="24"/>
          <w:highlight w:val="none"/>
          <w:u w:val="single"/>
          <w14:textFill>
            <w14:solidFill>
              <w14:schemeClr w14:val="tx1"/>
            </w14:solidFill>
          </w14:textFill>
        </w:rPr>
        <w:t>12月17日10点00分00秒</w:t>
      </w:r>
      <w:r>
        <w:rPr>
          <w:rFonts w:hint="eastAsia" w:ascii="仿宋_GB2312" w:hAnsi="仿宋" w:eastAsia="仿宋_GB2312"/>
          <w:bCs/>
          <w:color w:val="000000" w:themeColor="text1"/>
          <w:sz w:val="24"/>
          <w:highlight w:val="none"/>
          <w14:textFill>
            <w14:solidFill>
              <w14:schemeClr w14:val="tx1"/>
            </w14:solidFill>
          </w14:textFill>
        </w:rPr>
        <w:t>（北京时间）前</w:t>
      </w:r>
      <w:r>
        <w:rPr>
          <w:rFonts w:hint="eastAsia" w:ascii="仿宋_GB2312" w:hAnsi="仿宋" w:eastAsia="仿宋_GB2312"/>
          <w:color w:val="000000" w:themeColor="text1"/>
          <w:sz w:val="24"/>
          <w:highlight w:val="none"/>
          <w14:textFill>
            <w14:solidFill>
              <w14:schemeClr w14:val="tx1"/>
            </w14:solidFill>
          </w14:textFill>
        </w:rPr>
        <w:t>递交（上传）投标文件。</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一、项目基本情况</w:t>
      </w:r>
      <w:r>
        <w:rPr>
          <w:rFonts w:ascii="仿宋_GB2312" w:hAnsi="仿宋" w:eastAsia="仿宋_GB2312"/>
          <w:b/>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b/>
          <w:color w:val="000000" w:themeColor="text1"/>
          <w:sz w:val="24"/>
          <w:highlight w:val="none"/>
          <w14:textFill>
            <w14:solidFill>
              <w14:schemeClr w14:val="tx1"/>
            </w14:solidFill>
          </w14:textFill>
        </w:rPr>
        <w:t>项目编号：</w:t>
      </w:r>
      <w:r>
        <w:rPr>
          <w:rFonts w:hint="eastAsia" w:ascii="仿宋_GB2312" w:hAnsi="仿宋" w:eastAsia="仿宋_GB2312"/>
          <w:color w:val="000000" w:themeColor="text1"/>
          <w:sz w:val="24"/>
          <w:highlight w:val="none"/>
          <w14:textFill>
            <w14:solidFill>
              <w14:schemeClr w14:val="tx1"/>
            </w14:solidFill>
          </w14:textFill>
        </w:rPr>
        <w:t>HZZFCG-2021-187</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b/>
          <w:color w:val="000000" w:themeColor="text1"/>
          <w:sz w:val="24"/>
          <w:highlight w:val="none"/>
          <w14:textFill>
            <w14:solidFill>
              <w14:schemeClr w14:val="tx1"/>
            </w14:solidFill>
          </w14:textFill>
        </w:rPr>
        <w:t xml:space="preserve"> 项目名称：</w:t>
      </w:r>
      <w:r>
        <w:rPr>
          <w:rFonts w:hint="eastAsia" w:ascii="仿宋_GB2312" w:hAnsi="仿宋" w:eastAsia="仿宋_GB2312" w:cs="仿宋_GB2312"/>
          <w:color w:val="000000" w:themeColor="text1"/>
          <w:sz w:val="24"/>
          <w:highlight w:val="none"/>
          <w14:textFill>
            <w14:solidFill>
              <w14:schemeClr w14:val="tx1"/>
            </w14:solidFill>
          </w14:textFill>
        </w:rPr>
        <w:t>杭州市城市档案中心智慧库房智慧化综合管理平台及配套设施、智能密集架、防磁库采购项目</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预算金额（元）：</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12397500</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最高限价（元）：</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12397500</w:t>
      </w:r>
    </w:p>
    <w:p>
      <w:pPr>
        <w:pStyle w:val="5"/>
        <w:spacing w:line="360" w:lineRule="auto"/>
        <w:ind w:firstLine="480"/>
        <w:rPr>
          <w:rFonts w:ascii="仿宋_GB2312" w:hAnsi="仿宋" w:eastAsia="仿宋_GB2312"/>
          <w:bCs/>
          <w:snapToGrid/>
          <w:color w:val="000000" w:themeColor="text1"/>
          <w:kern w:val="2"/>
          <w:sz w:val="24"/>
          <w:szCs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采购需求：</w:t>
      </w:r>
      <w:r>
        <w:rPr>
          <w:rFonts w:hint="eastAsia" w:ascii="仿宋_GB2312" w:hAnsi="仿宋" w:eastAsia="仿宋_GB2312"/>
          <w:bCs/>
          <w:snapToGrid/>
          <w:color w:val="000000" w:themeColor="text1"/>
          <w:kern w:val="2"/>
          <w:sz w:val="24"/>
          <w:szCs w:val="24"/>
          <w:highlight w:val="none"/>
          <w14:textFill>
            <w14:solidFill>
              <w14:schemeClr w14:val="tx1"/>
            </w14:solidFill>
          </w14:textFill>
        </w:rPr>
        <w:t>杭州市城市档案中心智慧库房智慧化综合管理平台及配套设施、智能密集架、防磁库采购项目主要内容：</w:t>
      </w:r>
      <w:r>
        <w:rPr>
          <w:rFonts w:hint="eastAsia" w:ascii="仿宋" w:hAnsi="仿宋" w:eastAsia="仿宋" w:cs="仿宋"/>
          <w:color w:val="000000" w:themeColor="text1"/>
          <w:sz w:val="24"/>
          <w:szCs w:val="24"/>
          <w:highlight w:val="none"/>
          <w:lang w:bidi="ar"/>
          <w14:textFill>
            <w14:solidFill>
              <w14:schemeClr w14:val="tx1"/>
            </w14:solidFill>
          </w14:textFill>
        </w:rPr>
        <w:t>智慧化综合管理平台1套，档案库房导引显示系统（含触摸显示屏3台等）、档案库房环境安全智能控制系统（含</w:t>
      </w:r>
      <w:r>
        <w:rPr>
          <w:rFonts w:hint="eastAsia" w:ascii="仿宋" w:hAnsi="仿宋" w:eastAsia="仿宋" w:cs="仿宋"/>
          <w:color w:val="000000" w:themeColor="text1"/>
          <w:kern w:val="2"/>
          <w:sz w:val="24"/>
          <w:szCs w:val="24"/>
          <w:highlight w:val="none"/>
          <w:lang w:bidi="ar"/>
          <w14:textFill>
            <w14:solidFill>
              <w14:schemeClr w14:val="tx1"/>
            </w14:solidFill>
          </w14:textFill>
        </w:rPr>
        <w:t>中心处理器</w:t>
      </w:r>
      <w:r>
        <w:rPr>
          <w:rFonts w:hint="eastAsia" w:ascii="仿宋" w:hAnsi="仿宋" w:eastAsia="仿宋" w:cs="仿宋"/>
          <w:color w:val="000000" w:themeColor="text1"/>
          <w:sz w:val="24"/>
          <w:szCs w:val="24"/>
          <w:highlight w:val="none"/>
          <w:lang w:bidi="ar"/>
          <w14:textFill>
            <w14:solidFill>
              <w14:schemeClr w14:val="tx1"/>
            </w14:solidFill>
          </w14:textFill>
        </w:rPr>
        <w:t>15台等）、智能消毒净化系统（含消毒净化一体机1台等）、档案安全实时监测系统（含安全报警控制器25台等）、馆库业务信息交互系统（含馆库业务信息交互系统3套等）、智慧电子标签管理系统（含档案标签400000张等）、能源安全管理系统（含能源数据管理中心 20台等）、智能灯光指引系统（含</w:t>
      </w:r>
      <w:r>
        <w:rPr>
          <w:rFonts w:hint="eastAsia" w:ascii="仿宋" w:hAnsi="仿宋" w:eastAsia="仿宋" w:cs="仿宋"/>
          <w:color w:val="000000" w:themeColor="text1"/>
          <w:kern w:val="2"/>
          <w:sz w:val="24"/>
          <w:szCs w:val="24"/>
          <w:highlight w:val="none"/>
          <w:lang w:bidi="ar"/>
          <w14:textFill>
            <w14:solidFill>
              <w14:schemeClr w14:val="tx1"/>
            </w14:solidFill>
          </w14:textFill>
        </w:rPr>
        <w:t>智能灯光管理中心</w:t>
      </w:r>
      <w:r>
        <w:rPr>
          <w:rFonts w:hint="eastAsia" w:ascii="仿宋" w:hAnsi="仿宋" w:eastAsia="仿宋" w:cs="仿宋"/>
          <w:color w:val="000000" w:themeColor="text1"/>
          <w:sz w:val="24"/>
          <w:szCs w:val="24"/>
          <w:highlight w:val="none"/>
          <w:lang w:bidi="ar"/>
          <w14:textFill>
            <w14:solidFill>
              <w14:schemeClr w14:val="tx1"/>
            </w14:solidFill>
          </w14:textFill>
        </w:rPr>
        <w:t>16台等）、智能密集架存储系统（含813.4立方米智能密集架）、防磁库建设（含库壳体建设1项等）、风淋系统1套，并提供不少于</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5</w:t>
      </w:r>
      <w:r>
        <w:rPr>
          <w:rFonts w:hint="eastAsia" w:ascii="仿宋" w:hAnsi="仿宋" w:eastAsia="仿宋" w:cs="仿宋"/>
          <w:color w:val="000000" w:themeColor="text1"/>
          <w:sz w:val="24"/>
          <w:szCs w:val="24"/>
          <w:highlight w:val="none"/>
          <w:lang w:bidi="ar"/>
          <w14:textFill>
            <w14:solidFill>
              <w14:schemeClr w14:val="tx1"/>
            </w14:solidFill>
          </w14:textFill>
        </w:rPr>
        <w:t>年全天候7×</w:t>
      </w:r>
      <w:r>
        <w:rPr>
          <w:rFonts w:hint="eastAsia" w:ascii="仿宋_GB2312" w:hAnsi="仿宋" w:eastAsia="仿宋_GB2312" w:cs="仿宋"/>
          <w:bCs/>
          <w:color w:val="000000" w:themeColor="text1"/>
          <w:kern w:val="2"/>
          <w:sz w:val="24"/>
          <w:szCs w:val="24"/>
          <w:highlight w:val="none"/>
          <w:lang w:bidi="ar"/>
          <w14:textFill>
            <w14:solidFill>
              <w14:schemeClr w14:val="tx1"/>
            </w14:solidFill>
          </w14:textFill>
        </w:rPr>
        <w:t>24小时的故障维护服务和技术业务咨询服务</w:t>
      </w:r>
      <w:r>
        <w:rPr>
          <w:rFonts w:hint="eastAsia" w:ascii="仿宋" w:hAnsi="仿宋" w:eastAsia="仿宋" w:cs="仿宋"/>
          <w:color w:val="000000" w:themeColor="text1"/>
          <w:sz w:val="24"/>
          <w:szCs w:val="24"/>
          <w:highlight w:val="none"/>
          <w:lang w:bidi="ar"/>
          <w14:textFill>
            <w14:solidFill>
              <w14:schemeClr w14:val="tx1"/>
            </w14:solidFill>
          </w14:textFill>
        </w:rPr>
        <w:t>。</w:t>
      </w:r>
      <w:r>
        <w:rPr>
          <w:rFonts w:hint="eastAsia" w:ascii="仿宋_GB2312" w:hAnsi="仿宋" w:eastAsia="仿宋_GB2312"/>
          <w:bCs/>
          <w:snapToGrid/>
          <w:color w:val="000000" w:themeColor="text1"/>
          <w:kern w:val="2"/>
          <w:sz w:val="24"/>
          <w:szCs w:val="24"/>
          <w:highlight w:val="none"/>
          <w14:textFill>
            <w14:solidFill>
              <w14:schemeClr w14:val="tx1"/>
            </w14:solidFill>
          </w14:textFill>
        </w:rPr>
        <w:t>具体以招标文件第三部分采购需求为准。</w:t>
      </w:r>
    </w:p>
    <w:p>
      <w:pPr>
        <w:pStyle w:val="128"/>
        <w:ind w:firstLine="482"/>
        <w:outlineLvl w:val="2"/>
        <w:rPr>
          <w:rFonts w:ascii="仿宋_GB2312" w:hAnsi="仿宋" w:eastAsia="仿宋_GB2312"/>
          <w:bCs/>
          <w:color w:val="000000" w:themeColor="text1"/>
          <w:highlight w:val="none"/>
          <w14:textFill>
            <w14:solidFill>
              <w14:schemeClr w14:val="tx1"/>
            </w14:solidFill>
          </w14:textFill>
        </w:rPr>
      </w:pPr>
      <w:r>
        <w:rPr>
          <w:rFonts w:hint="eastAsia" w:ascii="仿宋_GB2312" w:hAnsi="仿宋" w:eastAsia="仿宋_GB2312"/>
          <w:b/>
          <w:color w:val="000000" w:themeColor="text1"/>
          <w:highlight w:val="none"/>
          <w14:textFill>
            <w14:solidFill>
              <w14:schemeClr w14:val="tx1"/>
            </w14:solidFill>
          </w14:textFill>
        </w:rPr>
        <w:t>合同履约期限：</w:t>
      </w:r>
      <w:r>
        <w:rPr>
          <w:rFonts w:hint="eastAsia" w:ascii="仿宋_GB2312" w:hAnsi="仿宋" w:eastAsia="仿宋_GB2312"/>
          <w:bCs/>
          <w:color w:val="000000" w:themeColor="text1"/>
          <w:highlight w:val="none"/>
          <w14:textFill>
            <w14:solidFill>
              <w14:schemeClr w14:val="tx1"/>
            </w14:solidFill>
          </w14:textFill>
        </w:rPr>
        <w:t>本项目工期（包括进货、到货、安装、调试等）为180个日历日，具体进度以采购人通知为准</w:t>
      </w:r>
      <w:r>
        <w:rPr>
          <w:rFonts w:ascii="仿宋" w:hAnsi="仿宋" w:eastAsia="仿宋"/>
          <w:bCs/>
          <w:color w:val="000000" w:themeColor="text1"/>
          <w:highlight w:val="none"/>
          <w14:textFill>
            <w14:solidFill>
              <w14:schemeClr w14:val="tx1"/>
            </w14:solidFill>
          </w14:textFill>
        </w:rPr>
        <w:t>。</w:t>
      </w:r>
    </w:p>
    <w:p>
      <w:pPr>
        <w:pStyle w:val="5"/>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二、申请人的资格要求：</w:t>
      </w:r>
    </w:p>
    <w:p>
      <w:pPr>
        <w:spacing w:line="360" w:lineRule="auto"/>
        <w:ind w:firstLine="480"/>
        <w:rPr>
          <w:rFonts w:ascii="仿宋" w:hAnsi="仿宋" w:eastAsia="仿宋" w:cs="仿宋_GB2312"/>
          <w:snapToGrid w:val="0"/>
          <w:color w:val="000000" w:themeColor="text1"/>
          <w:kern w:val="28"/>
          <w:sz w:val="24"/>
          <w:szCs w:val="20"/>
          <w:highlight w:val="none"/>
          <w14:textFill>
            <w14:solidFill>
              <w14:schemeClr w14:val="tx1"/>
            </w14:solidFill>
          </w14:textFill>
        </w:rPr>
      </w:pPr>
      <w:r>
        <w:rPr>
          <w:rFonts w:ascii="仿宋" w:hAnsi="仿宋" w:eastAsia="仿宋" w:cs="仿宋_GB2312"/>
          <w:snapToGrid w:val="0"/>
          <w:color w:val="000000" w:themeColor="text1"/>
          <w:kern w:val="28"/>
          <w:sz w:val="24"/>
          <w:szCs w:val="20"/>
          <w:highlight w:val="none"/>
          <w14:textFill>
            <w14:solidFill>
              <w14:schemeClr w14:val="tx1"/>
            </w14:solidFill>
          </w14:textFill>
        </w:rPr>
        <w:t>1.</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000000" w:themeColor="text1"/>
          <w:kern w:val="28"/>
          <w:sz w:val="24"/>
          <w:szCs w:val="20"/>
          <w:highlight w:val="none"/>
          <w14:textFill>
            <w14:solidFill>
              <w14:schemeClr w14:val="tx1"/>
            </w14:solidFill>
          </w14:textFill>
        </w:rPr>
      </w:pPr>
      <w:r>
        <w:rPr>
          <w:rFonts w:ascii="仿宋" w:hAnsi="仿宋" w:eastAsia="仿宋" w:cs="仿宋_GB2312"/>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无；</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4"/>
              <w:highlight w:val="none"/>
              <w14:textFill>
                <w14:solidFill>
                  <w14:schemeClr w14:val="tx1"/>
                </w14:solidFill>
              </w14:textFill>
            </w:rPr>
            <w:t>☐</w:t>
          </w:r>
        </w:sdtContent>
      </w:sdt>
      <w:r>
        <w:rPr>
          <w:rFonts w:hint="eastAsia" w:ascii="仿宋_GB2312" w:hAnsi="仿宋" w:eastAsia="仿宋_GB2312" w:cs="Arial"/>
          <w:color w:val="000000" w:themeColor="text1"/>
          <w:kern w:val="0"/>
          <w:sz w:val="24"/>
          <w:highlight w:val="none"/>
          <w14:textFill>
            <w14:solidFill>
              <w14:schemeClr w14:val="tx1"/>
            </w14:solidFill>
          </w14:textFill>
        </w:rPr>
        <w:t>专</w:t>
      </w:r>
      <w:r>
        <w:rPr>
          <w:rFonts w:hint="eastAsia" w:ascii="仿宋_GB2312" w:hAnsi="仿宋" w:eastAsia="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ascii="仿宋_GB2312" w:hAnsi="仿宋" w:eastAsia="仿宋_GB2312"/>
          <w:color w:val="000000" w:themeColor="text1"/>
          <w:sz w:val="24"/>
          <w:highlight w:val="none"/>
          <w:u w:val="singl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服务全部由符合政策要求的小微企业承接，提供中小企业声明函；</w:t>
      </w:r>
    </w:p>
    <w:p>
      <w:pPr>
        <w:rPr>
          <w:color w:val="000000" w:themeColor="text1"/>
          <w:highlight w:val="none"/>
          <w14:textFill>
            <w14:solidFill>
              <w14:schemeClr w14:val="tx1"/>
            </w14:solidFill>
          </w14:textFill>
        </w:rPr>
      </w:pP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微企业合同金额应当达到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000000" w:themeColor="text1"/>
          <w:sz w:val="24"/>
          <w:highlight w:val="none"/>
          <w14:textFill>
            <w14:solidFill>
              <w14:schemeClr w14:val="tx1"/>
            </w14:solidFill>
          </w14:textFill>
        </w:rPr>
        <w:t>；</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hint="eastAsia" w:ascii="仿宋" w:hAnsi="仿宋" w:eastAsia="仿宋"/>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仿宋_GB2312" w:hAnsi="仿宋" w:eastAsia="仿宋_GB2312"/>
          <w:color w:val="000000" w:themeColor="text1"/>
          <w:sz w:val="24"/>
          <w:highlight w:val="none"/>
          <w14:textFill>
            <w14:solidFill>
              <w14:schemeClr w14:val="tx1"/>
            </w14:solidFill>
          </w14:textFill>
        </w:rPr>
        <w:t>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，小微企业合同金额应当达到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olor w:val="000000" w:themeColor="text1"/>
          <w:sz w:val="24"/>
          <w:highlight w:val="none"/>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3.本项目的特定资格要求：无</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w:t>
      </w:r>
      <w:r>
        <w:rPr>
          <w:rFonts w:hint="eastAsia" w:ascii="仿宋_GB2312" w:hAnsi="仿宋" w:eastAsia="仿宋_GB2312"/>
          <w:color w:val="000000" w:themeColor="text1"/>
          <w:sz w:val="24"/>
          <w:highlight w:val="none"/>
          <w14:textFill>
            <w14:solidFill>
              <w14:schemeClr w14:val="tx1"/>
            </w14:solidFill>
          </w14:textFill>
        </w:rPr>
        <w:t>单位负责人为同一人或者存在直接控股、管理关系的不同供应商，不得参加同一合同项下的政府采购活动。</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三、获取招标文件</w:t>
      </w:r>
      <w:r>
        <w:rPr>
          <w:rFonts w:ascii="仿宋_GB2312" w:hAnsi="仿宋" w:eastAsia="仿宋_GB2312"/>
          <w:b/>
          <w:color w:val="000000" w:themeColor="text1"/>
          <w:sz w:val="24"/>
          <w:highlight w:val="none"/>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14:textFill>
            <w14:solidFill>
              <w14:schemeClr w14:val="tx1"/>
            </w14:solidFill>
          </w14:textFill>
        </w:rPr>
        <w:t>/至</w:t>
      </w:r>
      <w:r>
        <w:rPr>
          <w:rFonts w:hint="eastAsia" w:ascii="仿宋_GB2312" w:hAnsi="仿宋" w:eastAsia="仿宋_GB2312"/>
          <w:color w:val="000000" w:themeColor="text1"/>
          <w:sz w:val="24"/>
          <w:highlight w:val="none"/>
          <w:u w:val="single"/>
          <w14:textFill>
            <w14:solidFill>
              <w14:schemeClr w14:val="tx1"/>
            </w14:solidFill>
          </w14:textFill>
        </w:rPr>
        <w:t>2021</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14:textFill>
            <w14:solidFill>
              <w14:schemeClr w14:val="tx1"/>
            </w14:solidFill>
          </w14:textFill>
        </w:rPr>
        <w:t>12月17日</w:t>
      </w:r>
      <w:r>
        <w:rPr>
          <w:rFonts w:hint="eastAsia" w:ascii="仿宋_GB2312" w:hAnsi="仿宋" w:eastAsia="仿宋_GB2312"/>
          <w:color w:val="000000" w:themeColor="text1"/>
          <w:sz w:val="24"/>
          <w:highlight w:val="none"/>
          <w14:textFill>
            <w14:solidFill>
              <w14:schemeClr w14:val="tx1"/>
            </w14:solidFill>
          </w14:textFill>
        </w:rPr>
        <w:t>，每天上午</w:t>
      </w:r>
      <w:r>
        <w:rPr>
          <w:rFonts w:ascii="仿宋_GB2312" w:hAnsi="仿宋" w:eastAsia="仿宋_GB2312"/>
          <w:color w:val="000000" w:themeColor="text1"/>
          <w:sz w:val="24"/>
          <w:highlight w:val="none"/>
          <w14:textFill>
            <w14:solidFill>
              <w14:schemeClr w14:val="tx1"/>
            </w14:solidFill>
          </w14:textFill>
        </w:rPr>
        <w:t xml:space="preserve">00:00至12:00 </w:t>
      </w:r>
      <w:r>
        <w:rPr>
          <w:rFonts w:hint="eastAsia" w:ascii="仿宋_GB2312" w:hAnsi="仿宋" w:eastAsia="仿宋_GB2312"/>
          <w:color w:val="000000" w:themeColor="text1"/>
          <w:sz w:val="24"/>
          <w:highlight w:val="none"/>
          <w14:textFill>
            <w14:solidFill>
              <w14:schemeClr w14:val="tx1"/>
            </w14:solidFill>
          </w14:textFill>
        </w:rPr>
        <w:t>，下午</w:t>
      </w:r>
      <w:r>
        <w:rPr>
          <w:rFonts w:ascii="仿宋_GB2312" w:hAnsi="仿宋" w:eastAsia="仿宋_GB2312"/>
          <w:color w:val="000000" w:themeColor="text1"/>
          <w:sz w:val="24"/>
          <w:highlight w:val="none"/>
          <w14:textFill>
            <w14:solidFill>
              <w14:schemeClr w14:val="tx1"/>
            </w14:solidFill>
          </w14:textFill>
        </w:rPr>
        <w:t>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售价（元）：</w:t>
      </w:r>
      <w:r>
        <w:rPr>
          <w:rFonts w:ascii="仿宋_GB2312" w:hAnsi="仿宋" w:eastAsia="仿宋_GB2312"/>
          <w:color w:val="000000" w:themeColor="text1"/>
          <w:sz w:val="24"/>
          <w:highlight w:val="none"/>
          <w14:textFill>
            <w14:solidFill>
              <w14:schemeClr w14:val="tx1"/>
            </w14:solidFill>
          </w14:textFill>
        </w:rPr>
        <w:t xml:space="preserve">0 </w:t>
      </w:r>
      <w:r>
        <w:rPr>
          <w:rFonts w:ascii="仿宋_GB2312" w:hAnsi="仿宋" w:eastAsia="仿宋_GB2312"/>
          <w:color w:val="000000" w:themeColor="text1"/>
          <w:sz w:val="24"/>
          <w:highlight w:val="none"/>
          <w14:textFill>
            <w14:solidFill>
              <w14:schemeClr w14:val="tx1"/>
            </w14:solidFill>
          </w14:textFill>
        </w:rPr>
        <w:tab/>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提交投标文件截止时间：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2021</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14:textFill>
            <w14:solidFill>
              <w14:schemeClr w14:val="tx1"/>
            </w14:solidFill>
          </w14:textFill>
        </w:rPr>
        <w:t>12月17日10</w:t>
      </w:r>
      <w:r>
        <w:rPr>
          <w:rFonts w:hint="eastAsia" w:ascii="仿宋_GB2312" w:hAnsi="仿宋" w:eastAsia="仿宋_GB2312"/>
          <w:bCs/>
          <w:color w:val="000000" w:themeColor="text1"/>
          <w:sz w:val="24"/>
          <w:highlight w:val="none"/>
          <w:u w:val="single"/>
          <w14:textFill>
            <w14:solidFill>
              <w14:schemeClr w14:val="tx1"/>
            </w14:solidFill>
          </w14:textFill>
        </w:rPr>
        <w:t>点00分00秒</w:t>
      </w:r>
      <w:r>
        <w:rPr>
          <w:rFonts w:hint="eastAsia" w:ascii="仿宋_GB2312" w:hAnsi="仿宋" w:eastAsia="仿宋_GB2312"/>
          <w:color w:val="000000" w:themeColor="text1"/>
          <w:sz w:val="24"/>
          <w:highlight w:val="none"/>
          <w14:textFill>
            <w14:solidFill>
              <w14:schemeClr w14:val="tx1"/>
            </w14:solidFill>
          </w14:textFill>
        </w:rPr>
        <w:t>（北京时间）</w:t>
      </w:r>
    </w:p>
    <w:p>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开标时间：</w:t>
      </w:r>
      <w:r>
        <w:rPr>
          <w:rFonts w:hint="eastAsia" w:ascii="仿宋_GB2312" w:hAnsi="仿宋" w:eastAsia="仿宋_GB2312"/>
          <w:color w:val="000000" w:themeColor="text1"/>
          <w:sz w:val="24"/>
          <w:highlight w:val="none"/>
          <w:u w:val="single"/>
          <w14:textFill>
            <w14:solidFill>
              <w14:schemeClr w14:val="tx1"/>
            </w14:solidFill>
          </w14:textFill>
        </w:rPr>
        <w:t>2021</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14:textFill>
            <w14:solidFill>
              <w14:schemeClr w14:val="tx1"/>
            </w14:solidFill>
          </w14:textFill>
        </w:rPr>
        <w:t>12月17日10</w:t>
      </w:r>
      <w:r>
        <w:rPr>
          <w:rFonts w:hint="eastAsia" w:ascii="仿宋_GB2312" w:hAnsi="仿宋" w:eastAsia="仿宋_GB2312"/>
          <w:bCs/>
          <w:color w:val="000000" w:themeColor="text1"/>
          <w:sz w:val="24"/>
          <w:highlight w:val="none"/>
          <w:u w:val="single"/>
          <w14:textFill>
            <w14:solidFill>
              <w14:schemeClr w14:val="tx1"/>
            </w14:solidFill>
          </w14:textFill>
        </w:rPr>
        <w:t>点00分00秒</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开标地点（网址）：</w:t>
      </w:r>
      <w:r>
        <w:rPr>
          <w:rFonts w:hint="eastAsia" w:ascii="仿宋_GB2312" w:hAnsi="仿宋" w:eastAsia="仿宋_GB2312"/>
          <w:color w:val="000000" w:themeColor="text1"/>
          <w:sz w:val="24"/>
          <w:highlight w:val="none"/>
          <w14:textFill>
            <w14:solidFill>
              <w14:schemeClr w14:val="tx1"/>
            </w14:solidFill>
          </w14:textFill>
        </w:rPr>
        <w:t>杭州市公共资源交易中心第四开标室</w:t>
      </w:r>
      <w:r>
        <w:rPr>
          <w:rFonts w:ascii="仿宋_GB2312" w:hAnsi="仿宋" w:eastAsia="仿宋_GB2312"/>
          <w:color w:val="000000" w:themeColor="text1"/>
          <w:sz w:val="24"/>
          <w:highlight w:val="none"/>
          <w14:textFill>
            <w14:solidFill>
              <w14:schemeClr w14:val="tx1"/>
            </w14:solidFill>
          </w14:textFill>
        </w:rPr>
        <w:t>[杭州市之江路925号（临江金座2号楼）三楼],政</w:t>
      </w:r>
      <w:r>
        <w:rPr>
          <w:rFonts w:hint="eastAsia" w:ascii="仿宋_GB2312" w:hAnsi="仿宋" w:eastAsia="仿宋_GB2312"/>
          <w:color w:val="000000" w:themeColor="text1"/>
          <w:sz w:val="24"/>
          <w:highlight w:val="none"/>
          <w14:textFill>
            <w14:solidFill>
              <w14:schemeClr w14:val="tx1"/>
            </w14:solidFill>
          </w14:textFill>
        </w:rPr>
        <w:t>采云平台（</w:t>
      </w:r>
      <w:r>
        <w:rPr>
          <w:rFonts w:ascii="仿宋_GB2312" w:hAnsi="仿宋" w:eastAsia="仿宋_GB2312"/>
          <w:color w:val="000000" w:themeColor="text1"/>
          <w:sz w:val="24"/>
          <w:highlight w:val="none"/>
          <w14:textFill>
            <w14:solidFill>
              <w14:schemeClr w14:val="tx1"/>
            </w14:solidFill>
          </w14:textFill>
        </w:rPr>
        <w:t>https://www.zcygov.cn/）</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五、公告期限</w:t>
      </w:r>
      <w:r>
        <w:rPr>
          <w:rFonts w:ascii="仿宋_GB2312" w:hAnsi="仿宋" w:eastAsia="仿宋_GB2312"/>
          <w:b/>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自本公告发布之日起</w:t>
      </w:r>
      <w:r>
        <w:rPr>
          <w:rFonts w:ascii="仿宋_GB2312" w:hAnsi="仿宋" w:eastAsia="仿宋_GB2312"/>
          <w:color w:val="000000" w:themeColor="text1"/>
          <w:sz w:val="24"/>
          <w:highlight w:val="none"/>
          <w14:textFill>
            <w14:solidFill>
              <w14:schemeClr w14:val="tx1"/>
            </w14:solidFill>
          </w14:textFill>
        </w:rPr>
        <w:t>5个工作日。</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六、其他补充事宜</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highlight w:val="none"/>
          <w14:textFill>
            <w14:solidFill>
              <w14:schemeClr w14:val="tx1"/>
            </w14:solidFill>
          </w14:textFill>
        </w:rPr>
        <w:t>电子招投标的说明：</w:t>
      </w:r>
      <w:r>
        <w:rPr>
          <w:rFonts w:ascii="仿宋_GB2312" w:hAnsi="仿宋" w:eastAsia="仿宋_GB2312" w:cs="仿宋_GB2312"/>
          <w:color w:val="000000" w:themeColor="text1"/>
          <w:sz w:val="24"/>
          <w:highlight w:val="none"/>
          <w14:textFill>
            <w14:solidFill>
              <w14:schemeClr w14:val="tx1"/>
            </w14:solidFill>
          </w14:textFill>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w:t>
      </w:r>
      <w:r>
        <w:rPr>
          <w:rFonts w:ascii="仿宋_GB2312" w:hAnsi="仿宋" w:eastAsia="仿宋_GB2312" w:cs="仿宋_GB2312"/>
          <w:color w:val="000000" w:themeColor="text1"/>
          <w:sz w:val="24"/>
          <w:highlight w:val="none"/>
          <w14:textFill>
            <w14:solidFill>
              <w14:schemeClr w14:val="tx1"/>
            </w14:solidFill>
          </w14:textFill>
        </w:rPr>
        <w:t>----前往“浙江政府采购网-下载专区-电子交易客户端”进行下载并安装。3）招标文件的获取：使用账号登录或者使用CA登录政</w:t>
      </w:r>
      <w:r>
        <w:rPr>
          <w:rFonts w:hint="eastAsia" w:ascii="仿宋_GB2312" w:hAnsi="仿宋" w:eastAsia="仿宋_GB2312" w:cs="仿宋_GB2312"/>
          <w:color w:val="000000" w:themeColor="text1"/>
          <w:sz w:val="24"/>
          <w:highlight w:val="none"/>
          <w14:textFill>
            <w14:solidFill>
              <w14:schemeClr w14:val="tx1"/>
            </w14:solidFill>
          </w14:textFill>
        </w:rPr>
        <w:t>采云平台；进入“项目采购”应用，在获取采购文件菜单中选择项目，获取招标文件。</w:t>
      </w:r>
      <w:r>
        <w:rPr>
          <w:rFonts w:ascii="仿宋_GB2312" w:hAnsi="仿宋" w:eastAsia="仿宋_GB2312" w:cs="仿宋_GB2312"/>
          <w:color w:val="000000" w:themeColor="text1"/>
          <w:sz w:val="24"/>
          <w:highlight w:val="none"/>
          <w14:textFill>
            <w14:solidFill>
              <w14:schemeClr w14:val="tx1"/>
            </w14:solidFill>
          </w14:textFill>
        </w:rPr>
        <w:t>4）投标文件的制作：在“政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采云电子交易客户端”中完成“填写基本信息”、“导入投标文件”、“标书关联”、“标书检查”、“电子签名”、“生成电子标书”等操作。</w:t>
      </w:r>
      <w:r>
        <w:rPr>
          <w:rFonts w:ascii="仿宋_GB2312" w:hAnsi="仿宋" w:eastAsia="仿宋_GB2312"/>
          <w:color w:val="000000" w:themeColor="text1"/>
          <w:sz w:val="24"/>
          <w:highlight w:val="none"/>
          <w14:textFill>
            <w14:solidFill>
              <w14:schemeClr w14:val="tx1"/>
            </w14:solidFill>
          </w14:textFill>
        </w:rPr>
        <w:t>5）采购人、采购机构将依托政</w:t>
      </w:r>
      <w:r>
        <w:rPr>
          <w:rFonts w:hint="eastAsia" w:ascii="仿宋_GB2312" w:hAnsi="仿宋" w:eastAsia="仿宋_GB2312"/>
          <w:color w:val="000000" w:themeColor="text1"/>
          <w:sz w:val="24"/>
          <w:highlight w:val="none"/>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highlight w:val="none"/>
          <w14:textFill>
            <w14:solidFill>
              <w14:schemeClr w14:val="tx1"/>
            </w14:solidFill>
          </w14:textFill>
        </w:rPr>
        <w:t xml:space="preserve"> 6）对未按上述方式获取招标文件的供应商对该文件提出的质疑，采购人或采购代理机构将</w:t>
      </w:r>
      <w:r>
        <w:rPr>
          <w:rFonts w:hint="eastAsia" w:ascii="仿宋_GB2312" w:hAnsi="仿宋" w:eastAsia="仿宋_GB2312"/>
          <w:color w:val="000000" w:themeColor="text1"/>
          <w:sz w:val="24"/>
          <w:highlight w:val="none"/>
          <w14:textFill>
            <w14:solidFill>
              <w14:schemeClr w14:val="tx1"/>
            </w14:solidFill>
          </w14:textFill>
        </w:rPr>
        <w:t>不予处理；</w:t>
      </w:r>
      <w:r>
        <w:rPr>
          <w:rFonts w:ascii="仿宋_GB2312" w:hAnsi="仿宋" w:eastAsia="仿宋_GB2312"/>
          <w:color w:val="000000" w:themeColor="text1"/>
          <w:sz w:val="24"/>
          <w:highlight w:val="none"/>
          <w14:textFill>
            <w14:solidFill>
              <w14:schemeClr w14:val="tx1"/>
            </w14:solidFill>
          </w14:textFill>
        </w:rPr>
        <w:t>7）不提供招标文件纸质版。</w:t>
      </w:r>
      <w:r>
        <w:rPr>
          <w:rFonts w:ascii="仿宋_GB2312" w:hAnsi="仿宋" w:eastAsia="仿宋_GB2312" w:cs="仿宋_GB2312"/>
          <w:color w:val="000000" w:themeColor="text1"/>
          <w:sz w:val="24"/>
          <w:highlight w:val="none"/>
          <w14:textFill>
            <w14:solidFill>
              <w14:schemeClr w14:val="tx1"/>
            </w14:solidFill>
          </w14:textFill>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_GB2312" w:hAnsi="仿宋" w:eastAsia="仿宋_GB2312"/>
          <w:color w:val="000000" w:themeColor="text1"/>
          <w:sz w:val="24"/>
          <w:highlight w:val="none"/>
          <w14:textFill>
            <w14:solidFill>
              <w14:schemeClr w14:val="tx1"/>
            </w14:solidFill>
          </w14:textFill>
        </w:rPr>
        <w:t>9）</w:t>
      </w:r>
      <w:r>
        <w:rPr>
          <w:rFonts w:hint="eastAsia" w:ascii="仿宋_GB2312" w:hAnsi="仿宋" w:eastAsia="仿宋_GB2312" w:cs="仿宋_GB2312"/>
          <w:color w:val="000000" w:themeColor="text1"/>
          <w:sz w:val="24"/>
          <w:highlight w:val="none"/>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仿宋_GB2312" w:hAnsi="仿宋" w:eastAsia="仿宋_GB2312" w:cs="仿宋_GB2312"/>
          <w:color w:val="000000" w:themeColor="text1"/>
          <w:sz w:val="24"/>
          <w:highlight w:val="none"/>
          <w14:textFill>
            <w14:solidFill>
              <w14:schemeClr w14:val="tx1"/>
            </w14:solidFill>
          </w14:textFill>
        </w:rPr>
        <w:t>10）具体操作指南：详见政</w:t>
      </w:r>
      <w:r>
        <w:rPr>
          <w:rFonts w:hint="eastAsia" w:ascii="仿宋_GB2312" w:hAnsi="仿宋" w:eastAsia="仿宋_GB2312" w:cs="仿宋_GB2312"/>
          <w:color w:val="000000" w:themeColor="text1"/>
          <w:sz w:val="24"/>
          <w:highlight w:val="none"/>
          <w14:textFill>
            <w14:solidFill>
              <w14:schemeClr w14:val="tx1"/>
            </w14:solidFill>
          </w14:textFill>
        </w:rPr>
        <w:t>采云平台“服务中心</w:t>
      </w:r>
      <w:r>
        <w:rPr>
          <w:rFonts w:ascii="仿宋_GB2312" w:hAnsi="仿宋" w:eastAsia="仿宋_GB2312"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1.采购人信息</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名    称：</w:t>
      </w:r>
      <w:r>
        <w:rPr>
          <w:rFonts w:hint="eastAsia" w:ascii="仿宋_GB2312" w:hAnsi="仿宋" w:eastAsia="仿宋_GB2312"/>
          <w:color w:val="000000" w:themeColor="text1"/>
          <w:sz w:val="24"/>
          <w:highlight w:val="none"/>
          <w14:textFill>
            <w14:solidFill>
              <w14:schemeClr w14:val="tx1"/>
            </w14:solidFill>
          </w14:textFill>
        </w:rPr>
        <w:t>杭州市档案馆</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地    址：</w:t>
      </w:r>
      <w:r>
        <w:rPr>
          <w:rFonts w:hint="eastAsia" w:ascii="仿宋_GB2312" w:hAnsi="仿宋" w:eastAsia="仿宋_GB2312"/>
          <w:color w:val="000000" w:themeColor="text1"/>
          <w:sz w:val="24"/>
          <w:highlight w:val="none"/>
          <w14:textFill>
            <w14:solidFill>
              <w14:schemeClr w14:val="tx1"/>
            </w14:solidFill>
          </w14:textFill>
        </w:rPr>
        <w:t>杭州市拱墅区香积寺路3号</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传</w:t>
      </w:r>
      <w:r>
        <w:rPr>
          <w:rFonts w:ascii="仿宋_GB2312" w:hAnsi="仿宋" w:eastAsia="仿宋_GB2312"/>
          <w:color w:val="000000" w:themeColor="text1"/>
          <w:sz w:val="24"/>
          <w:highlight w:val="none"/>
          <w14:textFill>
            <w14:solidFill>
              <w14:schemeClr w14:val="tx1"/>
            </w14:solidFill>
          </w14:textFill>
        </w:rPr>
        <w:t xml:space="preserve">    真： </w:t>
      </w:r>
      <w:r>
        <w:rPr>
          <w:rFonts w:ascii="仿宋" w:hAnsi="仿宋" w:eastAsia="仿宋"/>
          <w:color w:val="000000" w:themeColor="text1"/>
          <w:sz w:val="24"/>
          <w:highlight w:val="none"/>
          <w14:textFill>
            <w14:solidFill>
              <w14:schemeClr w14:val="tx1"/>
            </w14:solidFill>
          </w14:textFill>
        </w:rPr>
        <w:t>/</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项目联系人（询问）：</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魏先生</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项目联系方式（询问）： 0571-8</w:t>
      </w:r>
      <w:r>
        <w:rPr>
          <w:rFonts w:hint="eastAsia" w:ascii="仿宋_GB2312" w:hAnsi="仿宋" w:eastAsia="仿宋_GB2312"/>
          <w:color w:val="000000" w:themeColor="text1"/>
          <w:sz w:val="24"/>
          <w:highlight w:val="none"/>
          <w14:textFill>
            <w14:solidFill>
              <w14:schemeClr w14:val="tx1"/>
            </w14:solidFill>
          </w14:textFill>
        </w:rPr>
        <w:t>5380610</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质疑联系人：</w:t>
      </w:r>
      <w:r>
        <w:rPr>
          <w:rFonts w:hint="eastAsia" w:ascii="仿宋" w:hAnsi="仿宋" w:eastAsia="仿宋"/>
          <w:color w:val="000000" w:themeColor="text1"/>
          <w:sz w:val="24"/>
          <w:highlight w:val="none"/>
          <w14:textFill>
            <w14:solidFill>
              <w14:schemeClr w14:val="tx1"/>
            </w14:solidFill>
          </w14:textFill>
        </w:rPr>
        <w:t>章文立</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质疑联系方式： 0571-8</w:t>
      </w:r>
      <w:r>
        <w:rPr>
          <w:rFonts w:hint="eastAsia" w:ascii="仿宋_GB2312" w:hAnsi="仿宋" w:eastAsia="仿宋_GB2312"/>
          <w:color w:val="000000" w:themeColor="text1"/>
          <w:sz w:val="24"/>
          <w:highlight w:val="none"/>
          <w14:textFill>
            <w14:solidFill>
              <w14:schemeClr w14:val="tx1"/>
            </w14:solidFill>
          </w14:textFill>
        </w:rPr>
        <w:t>5380604</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2.采购代理机构信息            </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名</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称：杭州市公共资源交易中心</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hint="eastAsia" w:ascii="仿宋" w:hAnsi="仿宋" w:eastAsia="仿宋"/>
          <w:color w:val="000000" w:themeColor="text1"/>
          <w:sz w:val="24"/>
          <w:highlight w:val="none"/>
          <w14:textFill>
            <w14:solidFill>
              <w14:schemeClr w14:val="tx1"/>
            </w14:solidFill>
          </w14:textFill>
        </w:rPr>
        <w:t>杭州市之江路</w:t>
      </w:r>
      <w:r>
        <w:rPr>
          <w:rFonts w:ascii="仿宋" w:hAnsi="仿宋" w:eastAsia="仿宋"/>
          <w:color w:val="000000" w:themeColor="text1"/>
          <w:sz w:val="24"/>
          <w:highlight w:val="none"/>
          <w14:textFill>
            <w14:solidFill>
              <w14:schemeClr w14:val="tx1"/>
            </w14:solidFill>
          </w14:textFill>
        </w:rPr>
        <w:t>925号（临江金座2号楼)</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传    真：/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项目联系人（询问）：</w:t>
      </w:r>
      <w:r>
        <w:rPr>
          <w:rFonts w:hint="eastAsia" w:ascii="仿宋" w:hAnsi="仿宋" w:eastAsia="仿宋"/>
          <w:color w:val="000000" w:themeColor="text1"/>
          <w:sz w:val="24"/>
          <w:highlight w:val="none"/>
          <w14:textFill>
            <w14:solidFill>
              <w14:schemeClr w14:val="tx1"/>
            </w14:solidFill>
          </w14:textFill>
        </w:rPr>
        <w:t>张曙平</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项目联系方式（询问）：0571-85085067</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质疑联系人：</w:t>
      </w:r>
      <w:r>
        <w:rPr>
          <w:rFonts w:hint="eastAsia" w:ascii="仿宋" w:hAnsi="仿宋" w:eastAsia="仿宋"/>
          <w:color w:val="000000" w:themeColor="text1"/>
          <w:sz w:val="24"/>
          <w:highlight w:val="none"/>
          <w14:textFill>
            <w14:solidFill>
              <w14:schemeClr w14:val="tx1"/>
            </w14:solidFill>
          </w14:textFill>
        </w:rPr>
        <w:t>滕菲</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质疑联系方式：</w:t>
      </w:r>
      <w:r>
        <w:rPr>
          <w:rFonts w:ascii="仿宋" w:hAnsi="仿宋" w:eastAsia="仿宋"/>
          <w:color w:val="000000" w:themeColor="text1"/>
          <w:sz w:val="24"/>
          <w:highlight w:val="none"/>
          <w14:textFill>
            <w14:solidFill>
              <w14:schemeClr w14:val="tx1"/>
            </w14:solidFill>
          </w14:textFill>
        </w:rPr>
        <w:t>0571-85085388</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3.同级政府采购监督管理部门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名    称：杭州市财政局政府采购监管处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地    址：杭州市中河中路152号617办公室 </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传    真：/</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联系人 ：吕先生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监督投诉电话：0571-87715261           </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若对项目采购电子交易系统操作有疑问，可登录政采云（</w:t>
      </w:r>
      <w:r>
        <w:rPr>
          <w:rFonts w:ascii="仿宋_GB2312" w:hAnsi="仿宋" w:eastAsia="仿宋_GB2312"/>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highlight w:val="none"/>
          <w14:textFill>
            <w14:solidFill>
              <w14:schemeClr w14:val="tx1"/>
            </w14:solidFill>
          </w14:textFill>
        </w:rPr>
        <w:t>采云服务热线</w:t>
      </w:r>
      <w:r>
        <w:rPr>
          <w:rFonts w:ascii="仿宋_GB2312" w:hAnsi="仿宋" w:eastAsia="仿宋_GB2312"/>
          <w:color w:val="000000" w:themeColor="text1"/>
          <w:sz w:val="24"/>
          <w:highlight w:val="none"/>
          <w14:textFill>
            <w14:solidFill>
              <w14:schemeClr w14:val="tx1"/>
            </w14:solidFill>
          </w14:textFill>
        </w:rPr>
        <w:t>400-881-7190获取热线服务帮助。</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CA问题联系电话（人工）：</w:t>
      </w:r>
      <w:r>
        <w:rPr>
          <w:rFonts w:hint="eastAsia" w:ascii="仿宋_GB2312" w:hAnsi="仿宋" w:eastAsia="仿宋_GB2312"/>
          <w:color w:val="000000" w:themeColor="text1"/>
          <w:sz w:val="24"/>
          <w:highlight w:val="none"/>
          <w14:textFill>
            <w14:solidFill>
              <w14:schemeClr w14:val="tx1"/>
            </w14:solidFill>
          </w14:textFill>
        </w:rPr>
        <w:t>汇信</w:t>
      </w:r>
      <w:r>
        <w:rPr>
          <w:rFonts w:ascii="仿宋_GB2312" w:hAnsi="仿宋" w:eastAsia="仿宋_GB2312"/>
          <w:color w:val="000000" w:themeColor="text1"/>
          <w:sz w:val="24"/>
          <w:highlight w:val="none"/>
          <w14:textFill>
            <w14:solidFill>
              <w14:schemeClr w14:val="tx1"/>
            </w14:solidFill>
          </w14:textFill>
        </w:rPr>
        <w:t>CA 400-888-4636；天谷CA 400-087-8198。</w:t>
      </w:r>
    </w:p>
    <w:p>
      <w:pPr>
        <w:pStyle w:val="32"/>
        <w:spacing w:line="360" w:lineRule="auto"/>
        <w:ind w:firstLine="480" w:firstLineChars="200"/>
        <w:rPr>
          <w:rFonts w:ascii="仿宋" w:hAnsi="仿宋" w:eastAsia="仿宋" w:cs="仿宋_GB2312"/>
          <w:b/>
          <w:color w:val="000000" w:themeColor="text1"/>
          <w:sz w:val="36"/>
          <w:szCs w:val="20"/>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xml:space="preserve">                      </w:t>
      </w:r>
      <w:r>
        <w:rPr>
          <w:rFonts w:hint="eastAsia" w:ascii="仿宋" w:hAnsi="仿宋" w:eastAsia="仿宋" w:cs="仿宋_GB2312"/>
          <w:b/>
          <w:color w:val="000000" w:themeColor="text1"/>
          <w:sz w:val="36"/>
          <w:szCs w:val="20"/>
          <w:highlight w:val="none"/>
          <w14:textFill>
            <w14:solidFill>
              <w14:schemeClr w14:val="tx1"/>
            </w14:solidFill>
          </w14:textFill>
        </w:rPr>
        <w:t>第二部分</w:t>
      </w:r>
      <w:bookmarkEnd w:id="8"/>
      <w:r>
        <w:rPr>
          <w:rFonts w:ascii="仿宋" w:hAnsi="仿宋" w:eastAsia="仿宋" w:cs="仿宋_GB2312"/>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_GB2312" w:hAnsi="仿宋" w:eastAsia="仿宋_GB2312" w:cs="仿宋_GB2312"/>
                <w:color w:val="000000" w:themeColor="text1"/>
                <w:sz w:val="24"/>
                <w:highlight w:val="none"/>
                <w14:textFill>
                  <w14:solidFill>
                    <w14:schemeClr w14:val="tx1"/>
                  </w14:solidFill>
                </w14:textFill>
              </w:rPr>
              <w:t>开标一览表（报价表）</w:t>
            </w:r>
            <w:r>
              <w:rPr>
                <w:rFonts w:hint="eastAsia" w:ascii="仿宋_GB2312" w:hAnsi="仿宋" w:eastAsia="仿宋_GB2312"/>
                <w:color w:val="000000" w:themeColor="text1"/>
                <w:sz w:val="24"/>
                <w:highlight w:val="none"/>
                <w14:textFill>
                  <w14:solidFill>
                    <w14:schemeClr w14:val="tx1"/>
                  </w14:solidFill>
                </w14:textFill>
              </w:rPr>
              <w:t>是报价的唯一载体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仿宋_GB2312" w:hAnsi="仿宋" w:eastAsia="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投标报价超过招标文件中规定的预算金额或者最高限价的</w:t>
            </w:r>
            <w:r>
              <w:rPr>
                <w:rFonts w:ascii="仿宋_GB2312" w:hAnsi="仿宋" w:eastAsia="仿宋_GB2312"/>
                <w:b/>
                <w:color w:val="000000" w:themeColor="text1"/>
                <w:kern w:val="0"/>
                <w:sz w:val="24"/>
                <w:highlight w:val="none"/>
                <w:lang w:val="zh-CN"/>
                <w14:textFill>
                  <w14:solidFill>
                    <w14:schemeClr w14:val="tx1"/>
                  </w14:solidFill>
                </w14:textFill>
              </w:rPr>
              <w:t>;</w:t>
            </w:r>
          </w:p>
          <w:p>
            <w:pPr>
              <w:spacing w:line="360" w:lineRule="auto"/>
              <w:ind w:firstLine="241" w:firstLineChars="1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000000" w:themeColor="text1"/>
                <w:sz w:val="24"/>
                <w:highlight w:val="none"/>
                <w14:textFill>
                  <w14:solidFill>
                    <w14:schemeClr w14:val="tx1"/>
                  </w14:solidFill>
                </w14:textFill>
              </w:rPr>
              <w:t>;</w:t>
            </w:r>
          </w:p>
          <w:p>
            <w:pPr>
              <w:spacing w:line="360" w:lineRule="auto"/>
              <w:ind w:firstLine="241" w:firstLineChars="1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投标人对根据修正原则修正后的报价不确认的</w:t>
            </w:r>
            <w:r>
              <w:rPr>
                <w:rFonts w:hint="eastAsia" w:ascii="仿宋_GB2312" w:hAnsi="仿宋" w:eastAsia="仿宋_GB2312"/>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1）资格证明文件：见招标文件第二部分11.1。</w:t>
            </w:r>
          </w:p>
          <w:p>
            <w:pPr>
              <w:spacing w:line="360" w:lineRule="auto"/>
              <w:rPr>
                <w:rFonts w:ascii="Arial" w:hAnsi="Arial" w:eastAsia="黑体" w:cs="Arial"/>
                <w:snapToGrid w:val="0"/>
                <w:color w:val="000000" w:themeColor="text1"/>
                <w:kern w:val="0"/>
                <w:highlight w:val="none"/>
                <w14:textFill>
                  <w14:solidFill>
                    <w14:schemeClr w14:val="tx1"/>
                  </w14:solidFill>
                </w14:textFill>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olor w:val="000000" w:themeColor="text1"/>
                <w:sz w:val="24"/>
                <w:szCs w:val="20"/>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1）</w:t>
            </w:r>
            <w:r>
              <w:rPr>
                <w:rFonts w:hint="eastAsia" w:ascii="仿宋" w:hAnsi="仿宋" w:eastAsia="仿宋"/>
                <w:snapToGrid w:val="0"/>
                <w:color w:val="000000" w:themeColor="text1"/>
                <w:kern w:val="28"/>
                <w:sz w:val="24"/>
                <w:highlight w:val="none"/>
                <w14:textFill>
                  <w14:solidFill>
                    <w14:schemeClr w14:val="tx1"/>
                  </w14:solidFill>
                </w14:textFill>
              </w:rPr>
              <w:t>样品：</w:t>
            </w:r>
            <w:r>
              <w:rPr>
                <w:rFonts w:hint="eastAsia" w:ascii="仿宋_GB2312" w:hAnsi="仿宋" w:eastAsia="仿宋_GB2312"/>
                <w:color w:val="000000" w:themeColor="text1"/>
                <w:sz w:val="24"/>
                <w:highlight w:val="none"/>
                <w:u w:val="single"/>
                <w14:textFill>
                  <w14:solidFill>
                    <w14:schemeClr w14:val="tx1"/>
                  </w14:solidFill>
                </w14:textFill>
              </w:rPr>
              <w:t>智能密集架</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2）</w:t>
            </w:r>
            <w:r>
              <w:rPr>
                <w:rFonts w:hint="eastAsia" w:ascii="仿宋" w:hAnsi="仿宋" w:eastAsia="仿宋"/>
                <w:snapToGrid w:val="0"/>
                <w:color w:val="000000" w:themeColor="text1"/>
                <w:kern w:val="28"/>
                <w:sz w:val="24"/>
                <w:highlight w:val="none"/>
                <w14:textFill>
                  <w14:solidFill>
                    <w14:schemeClr w14:val="tx1"/>
                  </w14:solidFill>
                </w14:textFill>
              </w:rPr>
              <w:t>样品制作的标准和要求：</w:t>
            </w:r>
            <w:r>
              <w:rPr>
                <w:rFonts w:hint="eastAsia" w:ascii="仿宋_GB2312" w:hAnsi="仿宋" w:eastAsia="仿宋_GB2312"/>
                <w:color w:val="000000" w:themeColor="text1"/>
                <w:sz w:val="24"/>
                <w:highlight w:val="none"/>
                <w:u w:val="single"/>
                <w14:textFill>
                  <w14:solidFill>
                    <w14:schemeClr w14:val="tx1"/>
                  </w14:solidFill>
                </w14:textFill>
              </w:rPr>
              <w:t>详见采购需求</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3）样品的评审方法以及评审标准</w:t>
            </w:r>
            <w:r>
              <w:rPr>
                <w:rFonts w:hint="eastAsia" w:ascii="仿宋" w:hAnsi="仿宋" w:eastAsia="仿宋"/>
                <w:snapToGrid w:val="0"/>
                <w:color w:val="000000" w:themeColor="text1"/>
                <w:kern w:val="28"/>
                <w:sz w:val="24"/>
                <w:highlight w:val="none"/>
                <w14:textFill>
                  <w14:solidFill>
                    <w14:schemeClr w14:val="tx1"/>
                  </w14:solidFill>
                </w14:textFill>
              </w:rPr>
              <w:t>：详见</w:t>
            </w:r>
            <w:r>
              <w:rPr>
                <w:rFonts w:hint="eastAsia" w:ascii="仿宋_GB2312" w:hAnsi="仿宋" w:eastAsia="仿宋_GB2312"/>
                <w:color w:val="000000" w:themeColor="text1"/>
                <w:sz w:val="24"/>
                <w:highlight w:val="none"/>
                <w:u w:val="single"/>
                <w14:textFill>
                  <w14:solidFill>
                    <w14:schemeClr w14:val="tx1"/>
                  </w14:solidFill>
                </w14:textFill>
              </w:rPr>
              <w:t>评标办法</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具备检测能力并通过国家计量认证（CMA资质）的第三方检测机构</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至少包含样品评分标准要求体现的内容</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2021</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12</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17</w:t>
            </w:r>
            <w:r>
              <w:rPr>
                <w:rFonts w:hint="eastAsia" w:ascii="仿宋_GB2312" w:hAnsi="仿宋" w:eastAsia="仿宋_GB2312"/>
                <w:color w:val="000000" w:themeColor="text1"/>
                <w:sz w:val="24"/>
                <w:highlight w:val="none"/>
                <w:u w:val="single"/>
                <w14:textFill>
                  <w14:solidFill>
                    <w14:schemeClr w14:val="tx1"/>
                  </w14:solidFill>
                </w14:textFill>
              </w:rPr>
              <w:t>日10</w:t>
            </w:r>
            <w:r>
              <w:rPr>
                <w:rFonts w:hint="eastAsia" w:ascii="仿宋_GB2312" w:hAnsi="仿宋" w:eastAsia="仿宋_GB2312"/>
                <w:bCs/>
                <w:color w:val="000000" w:themeColor="text1"/>
                <w:sz w:val="24"/>
                <w:highlight w:val="none"/>
                <w:u w:val="single"/>
                <w14:textFill>
                  <w14:solidFill>
                    <w14:schemeClr w14:val="tx1"/>
                  </w14:solidFill>
                </w14:textFill>
              </w:rPr>
              <w:t>点00分00秒</w:t>
            </w:r>
            <w:r>
              <w:rPr>
                <w:rFonts w:hint="eastAsia" w:ascii="仿宋_GB2312" w:hAnsi="仿宋" w:eastAsia="仿宋_GB2312"/>
                <w:color w:val="000000" w:themeColor="text1"/>
                <w:kern w:val="0"/>
                <w:sz w:val="24"/>
                <w:highlight w:val="none"/>
                <w14:textFill>
                  <w14:solidFill>
                    <w14:schemeClr w14:val="tx1"/>
                  </w14:solidFill>
                </w14:textFill>
              </w:rPr>
              <w:t>；地点：杭州市城市档案中心（西湖区转塘街道之江诚品北侧龙元建设工地一楼主楼东展厅</w:t>
            </w:r>
            <w:r>
              <w:rPr>
                <w:rFonts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章文立，联系电话：13588197758</w:t>
            </w:r>
            <w:r>
              <w:rPr>
                <w:rFonts w:hint="eastAsia" w:ascii="仿宋_GB2312" w:hAnsi="仿宋" w:eastAsia="仿宋_GB2312"/>
                <w:color w:val="000000" w:themeColor="text1"/>
                <w:sz w:val="24"/>
                <w:highlight w:val="none"/>
                <w14:textFill>
                  <w14:solidFill>
                    <w14:schemeClr w14:val="tx1"/>
                  </w14:solidFill>
                </w14:textFill>
              </w:rPr>
              <w:t>。请投标人在</w:t>
            </w:r>
            <w:r>
              <w:rPr>
                <w:rFonts w:ascii="仿宋_GB2312" w:hAnsi="仿宋" w:eastAsia="仿宋_GB2312"/>
                <w:color w:val="000000" w:themeColor="text1"/>
                <w:sz w:val="24"/>
                <w:highlight w:val="none"/>
                <w14:textFill>
                  <w14:solidFill>
                    <w14:schemeClr w14:val="tx1"/>
                  </w14:solidFill>
                </w14:textFill>
              </w:rPr>
              <w:t>提供样品的</w:t>
            </w:r>
            <w:r>
              <w:rPr>
                <w:rFonts w:hint="eastAsia" w:ascii="仿宋_GB2312" w:hAnsi="仿宋" w:eastAsia="仿宋_GB2312"/>
                <w:color w:val="000000" w:themeColor="text1"/>
                <w:sz w:val="24"/>
                <w:highlight w:val="none"/>
                <w14:textFill>
                  <w14:solidFill>
                    <w14:schemeClr w14:val="tx1"/>
                  </w14:solidFill>
                </w14:textFill>
              </w:rPr>
              <w:t>截止时间前提供样品并安装完毕。超过截止时间的，采购人将不予接收；截止时间后，采购人将进行清场。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85934854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lang w:bidi="ar"/>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lang w:bidi="ar"/>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p>
          <w:p>
            <w:pPr>
              <w:snapToGrid w:val="0"/>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1）在评标时安排每个投标人</w:t>
            </w:r>
            <w:r>
              <w:rPr>
                <w:rFonts w:hint="eastAsia" w:ascii="仿宋_GB2312" w:hAnsi="仿宋" w:eastAsia="仿宋_GB2312"/>
                <w:color w:val="000000" w:themeColor="text1"/>
                <w:kern w:val="0"/>
                <w:sz w:val="24"/>
                <w:highlight w:val="none"/>
                <w14:textFill>
                  <w14:solidFill>
                    <w14:schemeClr w14:val="tx1"/>
                  </w14:solidFill>
                </w14:textFill>
              </w:rPr>
              <w:t>对智慧库房</w:t>
            </w:r>
            <w:r>
              <w:rPr>
                <w:rFonts w:hint="eastAsia" w:ascii="仿宋_GB2312" w:hAnsi="仿宋" w:eastAsia="仿宋_GB2312"/>
                <w:color w:val="000000" w:themeColor="text1"/>
                <w:sz w:val="24"/>
                <w:szCs w:val="24"/>
                <w:highlight w:val="none"/>
                <w:lang w:bidi="ar"/>
                <w14:textFill>
                  <w14:solidFill>
                    <w14:schemeClr w14:val="tx1"/>
                  </w14:solidFill>
                </w14:textFill>
              </w:rPr>
              <w:t>智慧化综合管理平台及相应的系统功能进行现场讲解演示</w:t>
            </w:r>
            <w:r>
              <w:rPr>
                <w:rFonts w:ascii="仿宋_GB2312" w:hAnsi="仿宋" w:eastAsia="仿宋_GB2312"/>
                <w:color w:val="000000" w:themeColor="text1"/>
                <w:kern w:val="0"/>
                <w:sz w:val="24"/>
                <w:highlight w:val="none"/>
                <w14:textFill>
                  <w14:solidFill>
                    <w14:schemeClr w14:val="tx1"/>
                  </w14:solidFill>
                </w14:textFill>
              </w:rPr>
              <w:t>。每个投标人时间不超过</w:t>
            </w:r>
            <w:r>
              <w:rPr>
                <w:rFonts w:hint="eastAsia" w:ascii="仿宋_GB2312" w:hAnsi="仿宋" w:eastAsia="仿宋_GB2312"/>
                <w:color w:val="000000" w:themeColor="text1"/>
                <w:kern w:val="0"/>
                <w:sz w:val="24"/>
                <w:highlight w:val="none"/>
                <w14:textFill>
                  <w14:solidFill>
                    <w14:schemeClr w14:val="tx1"/>
                  </w14:solidFill>
                </w14:textFill>
              </w:rPr>
              <w:t>15</w:t>
            </w:r>
            <w:r>
              <w:rPr>
                <w:rFonts w:ascii="仿宋_GB2312" w:hAnsi="仿宋" w:eastAsia="仿宋_GB2312"/>
                <w:color w:val="000000" w:themeColor="text1"/>
                <w:kern w:val="0"/>
                <w:sz w:val="24"/>
                <w:highlight w:val="none"/>
                <w14:textFill>
                  <w14:solidFill>
                    <w14:schemeClr w14:val="tx1"/>
                  </w14:solidFill>
                </w14:textFill>
              </w:rPr>
              <w:t>分钟，</w:t>
            </w:r>
            <w:r>
              <w:rPr>
                <w:rFonts w:hint="eastAsia" w:ascii="仿宋_GB2312" w:hAnsi="仿宋" w:eastAsia="仿宋_GB2312"/>
                <w:color w:val="000000" w:themeColor="text1"/>
                <w:sz w:val="24"/>
                <w:szCs w:val="24"/>
                <w:highlight w:val="none"/>
                <w:lang w:bidi="ar"/>
                <w14:textFill>
                  <w14:solidFill>
                    <w14:schemeClr w14:val="tx1"/>
                  </w14:solidFill>
                </w14:textFill>
              </w:rPr>
              <w:t>讲解演示</w:t>
            </w:r>
            <w:r>
              <w:rPr>
                <w:rFonts w:ascii="仿宋_GB2312" w:hAnsi="仿宋" w:eastAsia="仿宋_GB2312"/>
                <w:color w:val="000000" w:themeColor="text1"/>
                <w:kern w:val="0"/>
                <w:sz w:val="24"/>
                <w:highlight w:val="none"/>
                <w14:textFill>
                  <w14:solidFill>
                    <w14:schemeClr w14:val="tx1"/>
                  </w14:solidFill>
                </w14:textFill>
              </w:rPr>
              <w:t>次序以投标文件解密时间先后次序为准，讲解演示人员不超过</w:t>
            </w:r>
            <w:r>
              <w:rPr>
                <w:rFonts w:hint="eastAsia" w:ascii="仿宋_GB2312" w:hAnsi="仿宋" w:eastAsia="仿宋_GB2312"/>
                <w:color w:val="000000" w:themeColor="text1"/>
                <w:kern w:val="0"/>
                <w:sz w:val="24"/>
                <w:highlight w:val="none"/>
                <w14:textFill>
                  <w14:solidFill>
                    <w14:schemeClr w14:val="tx1"/>
                  </w14:solidFill>
                </w14:textFill>
              </w:rPr>
              <w:t>2</w:t>
            </w:r>
            <w:r>
              <w:rPr>
                <w:rFonts w:ascii="仿宋_GB2312" w:hAnsi="仿宋" w:eastAsia="仿宋_GB2312"/>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2）方案讲解演示</w:t>
            </w:r>
            <w:r>
              <w:rPr>
                <w:rFonts w:hint="eastAsia" w:ascii="仿宋_GB2312" w:hAnsi="仿宋" w:eastAsia="仿宋_GB2312"/>
                <w:color w:val="000000" w:themeColor="text1"/>
                <w:kern w:val="0"/>
                <w:sz w:val="24"/>
                <w:highlight w:val="none"/>
                <w14:textFill>
                  <w14:solidFill>
                    <w14:schemeClr w14:val="tx1"/>
                  </w14:solidFill>
                </w14:textFill>
              </w:rPr>
              <w:t>方式：</w:t>
            </w:r>
          </w:p>
          <w:p>
            <w:pPr>
              <w:snapToGrid w:val="0"/>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现场讲解演示。现场讲解地点为杭州市城市档案中心（西湖区转塘街道之江诚品北侧龙元建设工地样品现场</w:t>
            </w:r>
            <w:r>
              <w:rPr>
                <w:rFonts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，除电源外，讲解演示所需的所有软、硬件及笔记本电脑等由投标人自备。现场讲解演示人员进场时提供讲解人员名单（加盖公章）及身份证明，否则不得讲解演示。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highlight w:val="none"/>
                <w14:textFill>
                  <w14:solidFill>
                    <w14:schemeClr w14:val="tx1"/>
                  </w14:solidFill>
                </w14:textFill>
              </w:rPr>
              <w:t>本项目不允许采购进口产品。</w:t>
            </w:r>
          </w:p>
          <w:p>
            <w:pPr>
              <w:spacing w:line="360" w:lineRule="auto"/>
              <w:rPr>
                <w:color w:val="000000" w:themeColor="text1"/>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s="Arial"/>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8727868"/>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货物类，单一产品或</w:t>
            </w:r>
            <w:r>
              <w:rPr>
                <w:rFonts w:hint="eastAsia" w:ascii="仿宋_GB2312" w:hAnsi="仿宋" w:eastAsia="仿宋_GB2312"/>
                <w:color w:val="000000" w:themeColor="text1"/>
                <w:kern w:val="0"/>
                <w:sz w:val="24"/>
                <w:highlight w:val="none"/>
                <w14:textFill>
                  <w14:solidFill>
                    <w14:schemeClr w14:val="tx1"/>
                  </w14:solidFill>
                </w14:textFill>
              </w:rPr>
              <w:t>核心产品为：</w:t>
            </w:r>
            <w:r>
              <w:rPr>
                <w:rFonts w:hint="eastAsia" w:ascii="仿宋_GB2312" w:hAnsi="仿宋" w:eastAsia="仿宋_GB2312"/>
                <w:color w:val="000000" w:themeColor="text1"/>
                <w:kern w:val="0"/>
                <w:sz w:val="24"/>
                <w:highlight w:val="none"/>
                <w:u w:val="single"/>
                <w14:textFill>
                  <w14:solidFill>
                    <w14:schemeClr w14:val="tx1"/>
                  </w14:solidFill>
                </w14:textFill>
              </w:rPr>
              <w:t>智能密集架系统</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47488555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采购标的：</w:t>
            </w:r>
            <w:r>
              <w:rPr>
                <w:rFonts w:hint="eastAsia" w:ascii="仿宋_GB2312" w:hAnsi="仿宋" w:eastAsia="仿宋_GB2312" w:cs="Arial"/>
                <w:color w:val="000000" w:themeColor="text1"/>
                <w:kern w:val="0"/>
                <w:sz w:val="24"/>
                <w:highlight w:val="none"/>
                <w:u w:val="single"/>
                <w14:textFill>
                  <w14:solidFill>
                    <w14:schemeClr w14:val="tx1"/>
                  </w14:solidFill>
                </w14:textFill>
              </w:rPr>
              <w:t>中小企业声明函（附件5）</w:t>
            </w:r>
            <w:r>
              <w:rPr>
                <w:rFonts w:hint="eastAsia" w:ascii="仿宋_GB2312" w:hAnsi="仿宋" w:eastAsia="仿宋_GB2312" w:cs="Arial"/>
                <w:color w:val="000000" w:themeColor="text1"/>
                <w:kern w:val="0"/>
                <w:sz w:val="24"/>
                <w:highlight w:val="none"/>
                <w14:textFill>
                  <w14:solidFill>
                    <w14:schemeClr w14:val="tx1"/>
                  </w14:solidFill>
                </w14:textFill>
              </w:rPr>
              <w:t>，属于</w:t>
            </w:r>
            <w:r>
              <w:rPr>
                <w:rFonts w:hint="eastAsia" w:ascii="仿宋_GB2312" w:hAnsi="仿宋" w:eastAsia="仿宋_GB2312" w:cs="Arial"/>
                <w:color w:val="000000" w:themeColor="text1"/>
                <w:kern w:val="0"/>
                <w:sz w:val="24"/>
                <w:highlight w:val="none"/>
                <w:u w:val="single"/>
                <w14:textFill>
                  <w14:solidFill>
                    <w14:schemeClr w14:val="tx1"/>
                  </w14:solidFill>
                </w14:textFill>
              </w:rPr>
              <w:t>工业</w:t>
            </w:r>
            <w:r>
              <w:rPr>
                <w:rFonts w:hint="eastAsia" w:ascii="仿宋_GB2312" w:hAnsi="仿宋" w:eastAsia="仿宋_GB2312" w:cs="Arial"/>
                <w:color w:val="000000" w:themeColor="text1"/>
                <w:kern w:val="0"/>
                <w:sz w:val="24"/>
                <w:highlight w:val="none"/>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000000" w:themeColor="text1"/>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olor w:val="000000" w:themeColor="text1"/>
                <w:kern w:val="28"/>
                <w:sz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olor w:val="000000" w:themeColor="text1"/>
                <w:sz w:val="24"/>
                <w:highlight w:val="none"/>
                <w:u w:val="single"/>
                <w14:textFill>
                  <w14:solidFill>
                    <w14:schemeClr w14:val="tx1"/>
                  </w14:solidFill>
                </w14:textFill>
              </w:rPr>
              <w:t>杭州市之江路</w:t>
            </w:r>
            <w:r>
              <w:rPr>
                <w:rFonts w:ascii="仿宋_GB2312" w:hAnsi="仿宋" w:eastAsia="仿宋_GB2312"/>
                <w:color w:val="000000" w:themeColor="text1"/>
                <w:sz w:val="24"/>
                <w:highlight w:val="none"/>
                <w:u w:val="single"/>
                <w14:textFill>
                  <w14:solidFill>
                    <w14:schemeClr w14:val="tx1"/>
                  </w14:solidFill>
                </w14:textFill>
              </w:rPr>
              <w:t>925号临江金座2号楼1010室（杭州市公共资源交易中心政府采购处</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ascii="仿宋_GB2312" w:hAnsi="仿宋" w:eastAsia="仿宋_GB2312"/>
                <w:color w:val="000000" w:themeColor="text1"/>
                <w:sz w:val="24"/>
                <w:highlight w:val="none"/>
                <w:u w:val="single"/>
                <w14:textFill>
                  <w14:solidFill>
                    <w14:schemeClr w14:val="tx1"/>
                  </w14:solidFill>
                </w14:textFill>
              </w:rPr>
              <w:t xml:space="preserve">  0571-87008103</w:t>
            </w:r>
            <w:r>
              <w:rPr>
                <w:rFonts w:hint="eastAsia" w:ascii="仿宋_GB2312" w:hAnsi="仿宋" w:eastAsia="仿宋_GB2312" w:cs="仿宋_GB2312"/>
                <w:color w:val="000000" w:themeColor="text1"/>
                <w:sz w:val="24"/>
                <w:szCs w:val="24"/>
                <w:highlight w:val="none"/>
                <w14:textFill>
                  <w14:solidFill>
                    <w14:schemeClr w14:val="tx1"/>
                  </w14:solidFill>
                </w14:textFill>
              </w:rPr>
              <w:t>。</w:t>
            </w: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ascii="仿宋_GB2312" w:hAnsi="仿宋" w:eastAsia="仿宋_GB2312" w:cs="仿宋_GB2312"/>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仿宋_GB2312" w:hAnsi="仿宋" w:eastAsia="仿宋_GB2312" w:cs="仿宋_GB2312"/>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 xml:space="preserve">1. </w:t>
      </w:r>
      <w:r>
        <w:rPr>
          <w:rFonts w:hint="eastAsia" w:ascii="仿宋_GB2312" w:hAnsi="仿宋" w:eastAsia="仿宋_GB2312"/>
          <w:b/>
          <w:color w:val="000000" w:themeColor="text1"/>
          <w:sz w:val="24"/>
          <w:highlight w:val="none"/>
          <w14:textFill>
            <w14:solidFill>
              <w14:schemeClr w14:val="tx1"/>
            </w14:solidFill>
          </w14:textFill>
        </w:rPr>
        <w:t>适用范围</w:t>
      </w:r>
    </w:p>
    <w:p>
      <w:pPr>
        <w:snapToGrid w:val="0"/>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2.1 </w:t>
      </w:r>
      <w:r>
        <w:rPr>
          <w:rFonts w:hint="eastAsia" w:ascii="仿宋_GB2312" w:hAnsi="仿宋" w:eastAsia="仿宋_GB2312"/>
          <w:color w:val="000000" w:themeColor="text1"/>
          <w:sz w:val="24"/>
          <w:highlight w:val="none"/>
          <w14:textFill>
            <w14:solidFill>
              <w14:schemeClr w14:val="tx1"/>
            </w14:solidFill>
          </w14:textFill>
        </w:rPr>
        <w:t>“采购人”系指招标公告中载明的本项目的采购人。</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2.2 </w:t>
      </w:r>
      <w:r>
        <w:rPr>
          <w:rFonts w:hint="eastAsia" w:ascii="仿宋_GB2312" w:hAnsi="仿宋" w:eastAsia="仿宋_GB2312"/>
          <w:color w:val="000000" w:themeColor="text1"/>
          <w:sz w:val="24"/>
          <w:highlight w:val="none"/>
          <w14:textFill>
            <w14:solidFill>
              <w14:schemeClr w14:val="tx1"/>
            </w14:solidFill>
          </w14:textFill>
        </w:rPr>
        <w:t>“采购机构”系指招标公告中载明的本项目的采购机构。</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2.3 </w:t>
      </w:r>
      <w:r>
        <w:rPr>
          <w:rFonts w:hint="eastAsia" w:ascii="仿宋_GB2312" w:hAnsi="仿宋" w:eastAsia="仿宋_GB2312"/>
          <w:color w:val="000000" w:themeColor="text1"/>
          <w:sz w:val="24"/>
          <w:highlight w:val="none"/>
          <w14:textFill>
            <w14:solidFill>
              <w14:schemeClr w14:val="tx1"/>
            </w14:solidFill>
          </w14:textFill>
        </w:rPr>
        <w:t>“投标人”系指是指响应招标、参加投标竞争的法人、其他组织或者自然人。</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2.4 </w:t>
      </w:r>
      <w:r>
        <w:rPr>
          <w:rFonts w:hint="eastAsia" w:ascii="仿宋_GB2312" w:hAnsi="仿宋" w:eastAsia="仿宋_GB2312"/>
          <w:color w:val="000000" w:themeColor="text1"/>
          <w:sz w:val="24"/>
          <w:highlight w:val="none"/>
          <w14:textFill>
            <w14:solidFill>
              <w14:schemeClr w14:val="tx1"/>
            </w14:solidFill>
          </w14:textFill>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w:t>
      </w:r>
      <w:r>
        <w:rPr>
          <w:rFonts w:ascii="仿宋" w:hAnsi="仿宋" w:eastAsia="仿宋"/>
          <w:color w:val="000000" w:themeColor="text1"/>
          <w:sz w:val="24"/>
          <w:highlight w:val="none"/>
          <w14:textFill>
            <w14:solidFill>
              <w14:schemeClr w14:val="tx1"/>
            </w14:solidFill>
          </w14:textFill>
        </w:rPr>
        <w:t>4）</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spacing w:line="360" w:lineRule="auto"/>
        <w:ind w:firstLine="241" w:firstLineChars="1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3.</w:t>
      </w:r>
      <w:r>
        <w:rPr>
          <w:rFonts w:ascii="仿宋_GB2312" w:hAnsi="仿宋" w:eastAsia="仿宋_GB2312"/>
          <w:color w:val="000000" w:themeColor="text1"/>
          <w:highlight w:val="none"/>
          <w14:textFill>
            <w14:solidFill>
              <w14:schemeClr w14:val="tx1"/>
            </w14:solidFill>
          </w14:textFill>
        </w:rPr>
        <w:t xml:space="preserve"> </w:t>
      </w:r>
      <w:r>
        <w:rPr>
          <w:rFonts w:hint="eastAsia" w:ascii="仿宋_GB2312" w:hAnsi="仿宋" w:eastAsia="仿宋_GB2312"/>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3.1 </w:t>
      </w:r>
      <w:r>
        <w:rPr>
          <w:rFonts w:hint="eastAsia" w:ascii="仿宋_GB2312" w:hAnsi="仿宋" w:eastAsia="仿宋_GB2312"/>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3.4</w:t>
      </w:r>
      <w:r>
        <w:rPr>
          <w:rFonts w:hint="eastAsia" w:ascii="仿宋_GB2312" w:eastAsia="仿宋_GB2312"/>
          <w:bCs/>
          <w:color w:val="000000" w:themeColor="text1"/>
          <w:sz w:val="24"/>
          <w:highlight w:val="none"/>
          <w14:textFill>
            <w14:solidFill>
              <w14:schemeClr w14:val="tx1"/>
            </w14:solidFill>
          </w14:textFill>
        </w:rPr>
        <w:t>支持创新发展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3.4.1 采购人优先采购被认定</w:t>
      </w:r>
      <w:r>
        <w:rPr>
          <w:rFonts w:hint="eastAsia" w:ascii="仿宋_GB2312" w:hAnsi="仿宋" w:eastAsia="仿宋_GB2312"/>
          <w:color w:val="000000" w:themeColor="text1"/>
          <w:sz w:val="24"/>
          <w:highlight w:val="none"/>
          <w14:textFill>
            <w14:solidFill>
              <w14:schemeClr w14:val="tx1"/>
            </w14:solidFill>
          </w14:textFill>
        </w:rPr>
        <w:t>为首台套产品和“制造精品”的自主创新产品。</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3.4.2首台套产品</w:t>
      </w:r>
      <w:r>
        <w:rPr>
          <w:rFonts w:hint="eastAsia" w:ascii="仿宋_GB2312" w:hAnsi="仿宋" w:eastAsia="仿宋_GB2312"/>
          <w:color w:val="000000" w:themeColor="text1"/>
          <w:sz w:val="24"/>
          <w:highlight w:val="none"/>
          <w14:textFill>
            <w14:solidFill>
              <w14:schemeClr w14:val="tx1"/>
            </w14:solidFill>
          </w14:textFill>
        </w:rPr>
        <w:t>被纳入《首台套产品推广应用指导目录》之日起</w:t>
      </w:r>
      <w:r>
        <w:rPr>
          <w:rFonts w:ascii="仿宋_GB2312" w:hAnsi="仿宋" w:eastAsia="仿宋_GB2312"/>
          <w:color w:val="000000" w:themeColor="text1"/>
          <w:sz w:val="24"/>
          <w:highlight w:val="none"/>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highlight w:val="none"/>
          <w14:textFill>
            <w14:solidFill>
              <w14:schemeClr w14:val="tx1"/>
            </w14:solidFill>
          </w14:textFill>
        </w:rPr>
        <w:t>自认定之日起</w:t>
      </w:r>
      <w:r>
        <w:rPr>
          <w:rFonts w:ascii="仿宋_GB2312" w:hAnsi="仿宋" w:eastAsia="仿宋_GB2312"/>
          <w:color w:val="000000" w:themeColor="text1"/>
          <w:sz w:val="24"/>
          <w:highlight w:val="none"/>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highlight w:val="none"/>
          <w14:textFill>
            <w14:solidFill>
              <w14:schemeClr w14:val="tx1"/>
            </w14:solidFill>
          </w14:textFill>
        </w:rPr>
        <w:t>时业绩分值为满分。</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ascii="仿宋_GB2312" w:hAnsi="仿宋" w:eastAsia="仿宋_GB2312"/>
          <w:color w:val="000000" w:themeColor="text1"/>
          <w:sz w:val="24"/>
          <w:highlight w:val="none"/>
          <w14:textFill>
            <w14:solidFill>
              <w14:schemeClr w14:val="tx1"/>
            </w14:solidFill>
          </w14:textFill>
        </w:rPr>
        <w:cr/>
      </w:r>
      <w:r>
        <w:rPr>
          <w:rFonts w:ascii="仿宋_GB2312" w:hAnsi="仿宋" w:eastAsia="仿宋_GB2312"/>
          <w:b/>
          <w:color w:val="000000" w:themeColor="text1"/>
          <w:sz w:val="24"/>
          <w:highlight w:val="none"/>
          <w14:textFill>
            <w14:solidFill>
              <w14:schemeClr w14:val="tx1"/>
            </w14:solidFill>
          </w14:textFill>
        </w:rPr>
        <w:t xml:space="preserve">4. </w:t>
      </w:r>
      <w:r>
        <w:rPr>
          <w:rFonts w:hint="eastAsia" w:ascii="仿宋_GB2312" w:hAnsi="仿宋" w:eastAsia="仿宋_GB2312"/>
          <w:b/>
          <w:color w:val="000000" w:themeColor="text1"/>
          <w:sz w:val="24"/>
          <w:highlight w:val="none"/>
          <w14:textFill>
            <w14:solidFill>
              <w14:schemeClr w14:val="tx1"/>
            </w14:solidFill>
          </w14:textFill>
        </w:rPr>
        <w:t>询问、质疑、投诉</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highlight w:val="none"/>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4.2供应商质疑</w:t>
      </w:r>
    </w:p>
    <w:p>
      <w:pPr>
        <w:pStyle w:val="32"/>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snapToGrid/>
          <w:color w:val="000000" w:themeColor="text1"/>
          <w:kern w:val="2"/>
          <w:sz w:val="24"/>
          <w:highlight w:val="none"/>
          <w14:textFill>
            <w14:solidFill>
              <w14:schemeClr w14:val="tx1"/>
            </w14:solidFill>
          </w14:textFill>
        </w:rPr>
      </w:pPr>
      <w:r>
        <w:rPr>
          <w:rFonts w:ascii="仿宋_GB2312" w:hAnsi="仿宋" w:eastAsia="仿宋_GB2312"/>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4.2.2.3对采购结果提出质疑的，质疑期限自采购结果公告期限届满之日起计算。</w:t>
      </w:r>
    </w:p>
    <w:p>
      <w:pPr>
        <w:pStyle w:val="32"/>
        <w:snapToGrid w:val="0"/>
        <w:spacing w:line="360" w:lineRule="auto"/>
        <w:ind w:firstLine="480" w:firstLineChars="200"/>
        <w:contextualSpacing/>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w:t>
      </w:r>
      <w:r>
        <w:rPr>
          <w:rFonts w:hint="eastAsia" w:ascii="仿宋_GB2312" w:hAnsi="仿宋" w:eastAsia="仿宋_GB2312"/>
          <w:color w:val="000000" w:themeColor="text1"/>
          <w:sz w:val="24"/>
          <w:highlight w:val="none"/>
          <w14:textFill>
            <w14:solidFill>
              <w14:schemeClr w14:val="tx1"/>
            </w14:solidFill>
          </w14:textFill>
        </w:rPr>
        <w:t>供应商提出质疑应当提交质疑函和必要的证明材料。质疑函应当包括下列内容：</w:t>
      </w:r>
    </w:p>
    <w:p>
      <w:pPr>
        <w:pStyle w:val="886"/>
        <w:shd w:val="clear" w:color="auto" w:fill="FFFFFF"/>
        <w:snapToGrid w:val="0"/>
        <w:spacing w:after="240" w:afterAutospacing="0" w:line="360" w:lineRule="auto"/>
        <w:ind w:firstLine="400"/>
        <w:contextualSpacing/>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4.2.3.1</w:t>
      </w:r>
      <w:r>
        <w:rPr>
          <w:rFonts w:hint="eastAsia" w:ascii="仿宋_GB2312" w:hAnsi="仿宋" w:eastAsia="仿宋_GB2312" w:cs="Arial"/>
          <w:snapToGrid w:val="0"/>
          <w:color w:val="000000" w:themeColor="text1"/>
          <w:kern w:val="2"/>
          <w:highlight w:val="none"/>
          <w14:textFill>
            <w14:solidFill>
              <w14:schemeClr w14:val="tx1"/>
            </w14:solidFill>
          </w14:textFill>
        </w:rPr>
        <w:t>供应商的姓名或者名称、地址、邮编、联系人及联系电话；</w:t>
      </w:r>
    </w:p>
    <w:p>
      <w:pPr>
        <w:pStyle w:val="886"/>
        <w:shd w:val="clear" w:color="auto" w:fill="FFFFFF"/>
        <w:snapToGrid w:val="0"/>
        <w:spacing w:after="240" w:afterAutospacing="0" w:line="360" w:lineRule="auto"/>
        <w:ind w:firstLine="400"/>
        <w:contextualSpacing/>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4.2.3.2</w:t>
      </w:r>
      <w:r>
        <w:rPr>
          <w:rFonts w:hint="eastAsia" w:ascii="仿宋_GB2312" w:hAnsi="仿宋" w:eastAsia="仿宋_GB2312" w:cs="Arial"/>
          <w:snapToGrid w:val="0"/>
          <w:color w:val="000000" w:themeColor="text1"/>
          <w:kern w:val="2"/>
          <w:highlight w:val="none"/>
          <w14:textFill>
            <w14:solidFill>
              <w14:schemeClr w14:val="tx1"/>
            </w14:solidFill>
          </w14:textFill>
        </w:rPr>
        <w:t>质疑项目的名称、编号；</w:t>
      </w:r>
    </w:p>
    <w:p>
      <w:pPr>
        <w:pStyle w:val="886"/>
        <w:shd w:val="clear" w:color="auto" w:fill="FFFFFF"/>
        <w:snapToGrid w:val="0"/>
        <w:spacing w:after="240" w:afterAutospacing="0" w:line="360" w:lineRule="auto"/>
        <w:ind w:firstLine="400"/>
        <w:contextualSpacing/>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4.2.3.3</w:t>
      </w:r>
      <w:r>
        <w:rPr>
          <w:rFonts w:hint="eastAsia" w:ascii="仿宋_GB2312" w:hAnsi="仿宋" w:eastAsia="仿宋_GB2312" w:cs="Arial"/>
          <w:snapToGrid w:val="0"/>
          <w:color w:val="000000" w:themeColor="text1"/>
          <w:kern w:val="2"/>
          <w:highlight w:val="none"/>
          <w14:textFill>
            <w14:solidFill>
              <w14:schemeClr w14:val="tx1"/>
            </w14:solidFill>
          </w14:textFill>
        </w:rPr>
        <w:t>具体、明确的质疑事项和与质疑事项相关的请求；</w:t>
      </w:r>
    </w:p>
    <w:p>
      <w:pPr>
        <w:pStyle w:val="886"/>
        <w:shd w:val="clear" w:color="auto" w:fill="FFFFFF"/>
        <w:snapToGrid w:val="0"/>
        <w:spacing w:after="240" w:afterAutospacing="0" w:line="360" w:lineRule="auto"/>
        <w:ind w:firstLine="400"/>
        <w:contextualSpacing/>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4.2.3.4</w:t>
      </w:r>
      <w:r>
        <w:rPr>
          <w:rFonts w:hint="eastAsia" w:ascii="仿宋_GB2312" w:hAnsi="仿宋" w:eastAsia="仿宋_GB2312" w:cs="Arial"/>
          <w:snapToGrid w:val="0"/>
          <w:color w:val="000000" w:themeColor="text1"/>
          <w:kern w:val="2"/>
          <w:highlight w:val="none"/>
          <w14:textFill>
            <w14:solidFill>
              <w14:schemeClr w14:val="tx1"/>
            </w14:solidFill>
          </w14:textFill>
        </w:rPr>
        <w:t>事实依据；</w:t>
      </w:r>
    </w:p>
    <w:p>
      <w:pPr>
        <w:pStyle w:val="886"/>
        <w:shd w:val="clear" w:color="auto" w:fill="FFFFFF"/>
        <w:snapToGrid w:val="0"/>
        <w:spacing w:after="240" w:afterAutospacing="0" w:line="360" w:lineRule="auto"/>
        <w:ind w:firstLine="400"/>
        <w:contextualSpacing/>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4.2.3.5</w:t>
      </w:r>
      <w:r>
        <w:rPr>
          <w:rFonts w:hint="eastAsia" w:ascii="仿宋_GB2312" w:hAnsi="仿宋" w:eastAsia="仿宋_GB2312" w:cs="Arial"/>
          <w:snapToGrid w:val="0"/>
          <w:color w:val="000000" w:themeColor="text1"/>
          <w:kern w:val="2"/>
          <w:highlight w:val="none"/>
          <w14:textFill>
            <w14:solidFill>
              <w14:schemeClr w14:val="tx1"/>
            </w14:solidFill>
          </w14:textFill>
        </w:rPr>
        <w:t>必要的法律依据；</w:t>
      </w:r>
    </w:p>
    <w:p>
      <w:pPr>
        <w:pStyle w:val="886"/>
        <w:shd w:val="clear" w:color="auto" w:fill="FFFFFF"/>
        <w:snapToGrid w:val="0"/>
        <w:spacing w:after="240" w:afterAutospacing="0" w:line="360" w:lineRule="auto"/>
        <w:ind w:firstLine="876" w:firstLineChars="365"/>
        <w:contextualSpacing/>
        <w:rPr>
          <w:rFonts w:ascii="仿宋_GB2312" w:hAnsi="仿宋" w:eastAsia="仿宋_GB2312" w:cs="Arial"/>
          <w:snapToGrid w:val="0"/>
          <w:color w:val="000000" w:themeColor="text1"/>
          <w:kern w:val="2"/>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4.2.3.6</w:t>
      </w:r>
      <w:r>
        <w:rPr>
          <w:rFonts w:hint="eastAsia" w:ascii="仿宋_GB2312" w:hAnsi="仿宋" w:eastAsia="仿宋_GB2312" w:cs="Arial"/>
          <w:snapToGrid w:val="0"/>
          <w:color w:val="000000" w:themeColor="text1"/>
          <w:kern w:val="2"/>
          <w:highlight w:val="none"/>
          <w14:textFill>
            <w14:solidFill>
              <w14:schemeClr w14:val="tx1"/>
            </w14:solidFill>
          </w14:textFill>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质疑函范本及制作说明详见附件</w:t>
      </w:r>
      <w:r>
        <w:rPr>
          <w:rFonts w:ascii="仿宋_GB2312" w:hAnsi="仿宋" w:eastAsia="仿宋_GB2312"/>
          <w:color w:val="000000" w:themeColor="text1"/>
          <w:highlight w:val="none"/>
          <w14:textFill>
            <w14:solidFill>
              <w14:schemeClr w14:val="tx1"/>
            </w14:solidFill>
          </w14:textFill>
        </w:rPr>
        <w:t>2。</w:t>
      </w:r>
    </w:p>
    <w:p>
      <w:pPr>
        <w:pStyle w:val="88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.4</w:t>
      </w:r>
      <w:r>
        <w:rPr>
          <w:rFonts w:hint="eastAsia" w:ascii="仿宋_GB2312" w:hAnsi="仿宋" w:eastAsia="仿宋_GB2312"/>
          <w:color w:val="000000" w:themeColor="text1"/>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themeColor="text1"/>
          <w:highlight w:val="none"/>
          <w14:textFill>
            <w14:solidFill>
              <w14:schemeClr w14:val="tx1"/>
            </w14:solidFill>
          </w14:textFill>
        </w:rPr>
        <w:t>2021〕17号）,</w:t>
      </w:r>
      <w:r>
        <w:rPr>
          <w:rFonts w:hint="eastAsia" w:ascii="仿宋_GB2312" w:hAnsi="仿宋" w:eastAsia="仿宋_GB2312"/>
          <w:color w:val="000000" w:themeColor="text1"/>
          <w:highlight w:val="none"/>
          <w14:textFill>
            <w14:solidFill>
              <w14:schemeClr w14:val="tx1"/>
            </w14:solidFill>
          </w14:textFill>
        </w:rPr>
        <w:t>采购人或者采购机构在质疑回复后</w:t>
      </w:r>
      <w:r>
        <w:rPr>
          <w:rFonts w:ascii="仿宋_GB2312" w:hAnsi="仿宋" w:eastAsia="仿宋_GB2312"/>
          <w:color w:val="000000" w:themeColor="text1"/>
          <w:highlight w:val="none"/>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highlight w:val="none"/>
          <w14:textFill>
            <w14:solidFill>
              <w14:schemeClr w14:val="tx1"/>
            </w14:solidFill>
          </w14:textFill>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color w:val="000000" w:themeColor="text1"/>
          <w:highlight w:val="none"/>
          <w:lang w:val="zh-CN"/>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4.3.1质疑供应商对采购人、采购机构的答复不满意或者采购人、采购机构未在规定的时间内</w:t>
      </w:r>
      <w:r>
        <w:rPr>
          <w:rFonts w:hint="eastAsia" w:ascii="仿宋_GB2312" w:hAnsi="仿宋" w:eastAsia="仿宋_GB2312"/>
          <w:color w:val="000000" w:themeColor="text1"/>
          <w:highlight w:val="none"/>
          <w14:textFill>
            <w14:solidFill>
              <w14:schemeClr w14:val="tx1"/>
            </w14:solidFill>
          </w14:textFill>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4.3.</w:t>
      </w:r>
      <w:r>
        <w:rPr>
          <w:rFonts w:ascii="仿宋_GB2312" w:hAnsi="仿宋" w:eastAsia="仿宋_GB2312" w:cs="微软雅黑"/>
          <w:color w:val="000000" w:themeColor="text1"/>
          <w:highlight w:val="none"/>
          <w:lang w:val="zh-CN"/>
          <w14:textFill>
            <w14:solidFill>
              <w14:schemeClr w14:val="tx1"/>
            </w14:solidFill>
          </w14:textFill>
        </w:rPr>
        <w:t>2</w:t>
      </w:r>
      <w:r>
        <w:rPr>
          <w:rFonts w:hint="eastAsia" w:ascii="仿宋_GB2312" w:hAnsi="仿宋" w:eastAsia="仿宋_GB2312"/>
          <w:color w:val="000000" w:themeColor="text1"/>
          <w:highlight w:val="none"/>
          <w14:textFill>
            <w14:solidFill>
              <w14:schemeClr w14:val="tx1"/>
            </w14:solidFill>
          </w14:textFill>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4.3.3供应</w:t>
      </w:r>
      <w:r>
        <w:rPr>
          <w:rFonts w:hint="eastAsia" w:ascii="仿宋_GB2312" w:hAnsi="仿宋" w:eastAsia="仿宋_GB2312"/>
          <w:color w:val="000000" w:themeColor="text1"/>
          <w:highlight w:val="none"/>
          <w14:textFill>
            <w14:solidFill>
              <w14:schemeClr w14:val="tx1"/>
            </w14:solidFill>
          </w14:textFill>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4.3.5 </w:t>
      </w:r>
      <w:r>
        <w:rPr>
          <w:rFonts w:hint="eastAsia" w:ascii="仿宋_GB2312" w:hAnsi="仿宋" w:eastAsia="仿宋_GB2312"/>
          <w:color w:val="000000" w:themeColor="text1"/>
          <w:highlight w:val="none"/>
          <w14:textFill>
            <w14:solidFill>
              <w14:schemeClr w14:val="tx1"/>
            </w14:solidFill>
          </w14:textFill>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投诉书范本及制作说明详见附件</w:t>
      </w:r>
      <w:r>
        <w:rPr>
          <w:rFonts w:ascii="仿宋_GB2312" w:hAnsi="仿宋" w:eastAsia="仿宋_GB2312"/>
          <w:color w:val="000000" w:themeColor="text1"/>
          <w:highlight w:val="none"/>
          <w14:textFill>
            <w14:solidFill>
              <w14:schemeClr w14:val="tx1"/>
            </w14:solidFill>
          </w14:textFill>
        </w:rPr>
        <w:t>3。</w:t>
      </w:r>
    </w:p>
    <w:p>
      <w:pPr>
        <w:pStyle w:val="128"/>
        <w:snapToGrid w:val="0"/>
        <w:spacing w:before="0"/>
        <w:ind w:firstLine="360"/>
        <w:rPr>
          <w:rFonts w:ascii="仿宋_GB2312" w:hAnsi="仿宋" w:eastAsia="仿宋_GB2312" w:cs="仿宋_GB2312"/>
          <w:color w:val="000000" w:themeColor="text1"/>
          <w:sz w:val="18"/>
          <w:szCs w:val="18"/>
          <w:highlight w:val="none"/>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2"/>
          <w:szCs w:val="20"/>
          <w:highlight w:val="none"/>
          <w14:textFill>
            <w14:solidFill>
              <w14:schemeClr w14:val="tx1"/>
            </w14:solidFill>
          </w14:textFill>
        </w:rPr>
      </w:pPr>
      <w:r>
        <w:rPr>
          <w:rFonts w:ascii="仿宋_GB2312" w:hAnsi="仿宋" w:eastAsia="仿宋_GB2312" w:cs="仿宋_GB2312"/>
          <w:b/>
          <w:color w:val="000000" w:themeColor="text1"/>
          <w:sz w:val="32"/>
          <w:szCs w:val="20"/>
          <w:highlight w:val="none"/>
          <w14:textFill>
            <w14:solidFill>
              <w14:schemeClr w14:val="tx1"/>
            </w14:solidFill>
          </w14:textFill>
        </w:rPr>
        <w:t xml:space="preserve">      二、招标文件的构成、澄清、修改</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5．招标文件的构成</w:t>
      </w:r>
    </w:p>
    <w:p>
      <w:pPr>
        <w:pStyle w:val="32"/>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6. </w:t>
      </w:r>
      <w:r>
        <w:rPr>
          <w:rFonts w:hint="eastAsia" w:ascii="仿宋_GB2312" w:hAnsi="仿宋" w:eastAsia="仿宋_GB2312" w:cs="仿宋_GB2312"/>
          <w:b/>
          <w:color w:val="000000" w:themeColor="text1"/>
          <w:sz w:val="24"/>
          <w:szCs w:val="24"/>
          <w:highlight w:val="none"/>
          <w14:textFill>
            <w14:solidFill>
              <w14:schemeClr w14:val="tx1"/>
            </w14:solidFill>
          </w14:textFill>
        </w:rPr>
        <w:t>招标文件的澄清、修改</w:t>
      </w:r>
    </w:p>
    <w:p>
      <w:pPr>
        <w:pStyle w:val="128"/>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000000" w:themeColor="text1"/>
          <w:sz w:val="18"/>
          <w:szCs w:val="18"/>
          <w:highlight w:val="none"/>
          <w:lang w:val="en-US"/>
          <w14:textFill>
            <w14:solidFill>
              <w14:schemeClr w14:val="tx1"/>
            </w14:solidFill>
          </w14:textFill>
        </w:rPr>
      </w:pPr>
      <w:r>
        <w:rPr>
          <w:rFonts w:ascii="仿宋_GB2312" w:hAnsi="仿宋" w:eastAsia="仿宋_GB2312" w:cs="仿宋_GB2312"/>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仿宋_GB2312" w:hAnsi="仿宋" w:eastAsia="仿宋_GB2312" w:cs="仿宋_GB2312"/>
          <w:b/>
          <w:color w:val="000000" w:themeColor="text1"/>
          <w:sz w:val="30"/>
          <w:szCs w:val="20"/>
          <w:highlight w:val="none"/>
          <w14:textFill>
            <w14:solidFill>
              <w14:schemeClr w14:val="tx1"/>
            </w14:solidFill>
          </w14:textFill>
        </w:rPr>
      </w:pPr>
      <w:r>
        <w:rPr>
          <w:rFonts w:hint="eastAsia" w:ascii="仿宋_GB2312" w:hAnsi="仿宋" w:eastAsia="仿宋_GB2312" w:cs="仿宋_GB2312"/>
          <w:b/>
          <w:color w:val="000000" w:themeColor="text1"/>
          <w:sz w:val="30"/>
          <w:szCs w:val="20"/>
          <w:highlight w:val="none"/>
          <w14:textFill>
            <w14:solidFill>
              <w14:schemeClr w14:val="tx1"/>
            </w14:solidFill>
          </w14:textFill>
        </w:rPr>
        <w:t>三、投标</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7. </w:t>
      </w:r>
      <w:r>
        <w:rPr>
          <w:rFonts w:hint="eastAsia" w:ascii="仿宋_GB2312" w:hAnsi="仿宋" w:eastAsia="仿宋_GB2312" w:cs="仿宋_GB2312"/>
          <w:b/>
          <w:color w:val="000000" w:themeColor="text1"/>
          <w:sz w:val="24"/>
          <w:szCs w:val="24"/>
          <w:highlight w:val="none"/>
          <w14:textFill>
            <w14:solidFill>
              <w14:schemeClr w14:val="tx1"/>
            </w14:solidFill>
          </w14:textFill>
        </w:rPr>
        <w:t>招标文件的获取</w:t>
      </w:r>
    </w:p>
    <w:p>
      <w:pPr>
        <w:spacing w:line="360" w:lineRule="auto"/>
        <w:ind w:firstLine="480" w:firstLineChars="200"/>
        <w:rPr>
          <w:rFonts w:ascii="仿宋_GB2312" w:hAnsi="仿宋" w:eastAsia="仿宋_GB2312" w:cs="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cs="仿宋_GB2312"/>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8.开标前答疑会或现场考察</w:t>
      </w:r>
    </w:p>
    <w:p>
      <w:pPr>
        <w:pStyle w:val="32"/>
        <w:spacing w:line="360" w:lineRule="auto"/>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b/>
          <w:color w:val="000000" w:themeColor="text1"/>
          <w:kern w:val="28"/>
          <w:sz w:val="24"/>
          <w:szCs w:val="24"/>
          <w:highlight w:val="none"/>
          <w14:textFill>
            <w14:solidFill>
              <w14:schemeClr w14:val="tx1"/>
            </w14:solidFill>
          </w14:textFill>
        </w:rPr>
        <w:t>9.投标保证金</w:t>
      </w:r>
    </w:p>
    <w:p>
      <w:pPr>
        <w:pStyle w:val="5"/>
        <w:spacing w:line="360" w:lineRule="auto"/>
        <w:ind w:firstLine="470" w:firstLineChars="196"/>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10. </w:t>
      </w:r>
      <w:r>
        <w:rPr>
          <w:rFonts w:hint="eastAsia" w:ascii="仿宋_GB2312" w:hAnsi="仿宋" w:eastAsia="仿宋_GB2312" w:cs="仿宋_GB2312"/>
          <w:b/>
          <w:color w:val="000000" w:themeColor="text1"/>
          <w:sz w:val="24"/>
          <w:szCs w:val="24"/>
          <w:highlight w:val="none"/>
          <w14:textFill>
            <w14:solidFill>
              <w14:schemeClr w14:val="tx1"/>
            </w14:solidFill>
          </w14:textFill>
        </w:rPr>
        <w:t>投标文件的语言</w:t>
      </w:r>
    </w:p>
    <w:p>
      <w:pPr>
        <w:autoSpaceDE w:val="0"/>
        <w:autoSpaceDN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投标文件及投标人与采购有关的来往通知、函件和文件均应使用中文。</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11. </w:t>
      </w:r>
      <w:r>
        <w:rPr>
          <w:rFonts w:hint="eastAsia" w:ascii="仿宋_GB2312" w:hAnsi="仿宋" w:eastAsia="仿宋_GB2312" w:cs="仿宋_GB2312"/>
          <w:b/>
          <w:color w:val="000000" w:themeColor="text1"/>
          <w:sz w:val="24"/>
          <w:szCs w:val="24"/>
          <w:highlight w:val="none"/>
          <w14:textFill>
            <w14:solidFill>
              <w14:schemeClr w14:val="tx1"/>
            </w14:solidFill>
          </w14:textFill>
        </w:rPr>
        <w:t>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pStyle w:val="128"/>
        <w:snapToGrid w:val="0"/>
        <w:spacing w:before="0"/>
        <w:ind w:firstLine="0" w:firstLineChars="0"/>
        <w:outlineLvl w:val="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12</w:t>
      </w:r>
      <w:r>
        <w:rPr>
          <w:rFonts w:ascii="仿宋_GB2312" w:hAnsi="仿宋" w:eastAsia="仿宋_GB2312" w:cs="仿宋_GB2312"/>
          <w:b/>
          <w:color w:val="000000" w:themeColor="text1"/>
          <w:kern w:val="0"/>
          <w:szCs w:val="24"/>
          <w:highlight w:val="none"/>
          <w:lang w:val="zh-CN"/>
          <w14:textFill>
            <w14:solidFill>
              <w14:schemeClr w14:val="tx1"/>
            </w14:solidFill>
          </w14:textFill>
        </w:rPr>
        <w:t xml:space="preserve">. </w:t>
      </w:r>
      <w:r>
        <w:rPr>
          <w:rFonts w:hint="eastAsia" w:ascii="仿宋_GB2312" w:hAnsi="仿宋" w:eastAsia="仿宋_GB2312" w:cs="仿宋_GB2312"/>
          <w:b/>
          <w:color w:val="000000" w:themeColor="text1"/>
          <w:szCs w:val="24"/>
          <w:highlight w:val="none"/>
          <w14:textFill>
            <w14:solidFill>
              <w14:schemeClr w14:val="tx1"/>
            </w14:solidFill>
          </w14:textFill>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13.投标文件的签署、盖章</w:t>
      </w:r>
    </w:p>
    <w:p>
      <w:pPr>
        <w:pStyle w:val="128"/>
        <w:snapToGrid w:val="0"/>
        <w:spacing w:before="0"/>
        <w:ind w:firstLine="480"/>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13.1投标文件按照招标文件第六部分格式要</w:t>
      </w:r>
      <w:r>
        <w:rPr>
          <w:rFonts w:hint="eastAsia" w:ascii="仿宋_GB2312" w:hAnsi="仿宋" w:eastAsia="仿宋_GB2312" w:cs="仿宋_GB2312"/>
          <w:color w:val="000000" w:themeColor="text1"/>
          <w:highlight w:val="none"/>
          <w14:textFill>
            <w14:solidFill>
              <w14:schemeClr w14:val="tx1"/>
            </w14:solidFill>
          </w14:textFill>
        </w:rPr>
        <w:t>求进行签署、盖章。</w:t>
      </w:r>
      <w:r>
        <w:rPr>
          <w:rFonts w:hint="eastAsia" w:ascii="仿宋_GB2312" w:hAnsi="仿宋" w:eastAsia="仿宋_GB2312"/>
          <w:b/>
          <w:color w:val="000000" w:themeColor="text1"/>
          <w:highlight w:val="none"/>
          <w14:textFill>
            <w14:solidFill>
              <w14:schemeClr w14:val="tx1"/>
            </w14:solidFill>
          </w14:textFill>
        </w:rPr>
        <w:t>▲</w:t>
      </w:r>
      <w:r>
        <w:rPr>
          <w:rFonts w:hint="eastAsia" w:ascii="仿宋_GB2312" w:hAnsi="仿宋" w:eastAsia="仿宋_GB2312" w:cs="仿宋_GB2312"/>
          <w:b/>
          <w:color w:val="000000" w:themeColor="text1"/>
          <w:highlight w:val="none"/>
          <w14:textFill>
            <w14:solidFill>
              <w14:schemeClr w14:val="tx1"/>
            </w14:solidFill>
          </w14:textFill>
        </w:rPr>
        <w:t>投标人的投标文件未按照招标文件要求签署、盖章的，其投标无效</w:t>
      </w:r>
      <w:r>
        <w:rPr>
          <w:rFonts w:hint="eastAsia" w:ascii="仿宋_GB2312" w:hAnsi="仿宋" w:eastAsia="仿宋_GB2312" w:cs="仿宋_GB2312"/>
          <w:color w:val="000000" w:themeColor="text1"/>
          <w:szCs w:val="24"/>
          <w:highlight w:val="none"/>
          <w14:textFill>
            <w14:solidFill>
              <w14:schemeClr w14:val="tx1"/>
            </w14:solidFill>
          </w14:textFill>
        </w:rPr>
        <w:t>。</w:t>
      </w:r>
    </w:p>
    <w:p>
      <w:pPr>
        <w:pStyle w:val="128"/>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13.3招标文件对投标文件签署、盖章的要求适用于电子签名。</w:t>
      </w:r>
    </w:p>
    <w:p>
      <w:pPr>
        <w:pStyle w:val="128"/>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 xml:space="preserve">14. </w:t>
      </w:r>
      <w:r>
        <w:rPr>
          <w:rFonts w:hint="eastAsia" w:ascii="仿宋_GB2312" w:hAnsi="仿宋" w:eastAsia="仿宋_GB2312" w:cs="仿宋_GB2312"/>
          <w:b/>
          <w:color w:val="000000" w:themeColor="text1"/>
          <w:szCs w:val="24"/>
          <w:highlight w:val="none"/>
          <w14:textFill>
            <w14:solidFill>
              <w14:schemeClr w14:val="tx1"/>
            </w14:solidFill>
          </w14:textFill>
        </w:rPr>
        <w:t>投标文件的提交、补充、修改、撤回</w:t>
      </w:r>
    </w:p>
    <w:p>
      <w:pPr>
        <w:pStyle w:val="128"/>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15.备份投标文件</w:t>
      </w:r>
    </w:p>
    <w:p>
      <w:pPr>
        <w:pStyle w:val="32"/>
        <w:spacing w:line="360" w:lineRule="auto"/>
        <w:ind w:firstLine="360" w:firstLineChars="15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2"/>
        <w:spacing w:line="360" w:lineRule="auto"/>
        <w:ind w:firstLine="360" w:firstLineChars="15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2"/>
        <w:spacing w:line="360" w:lineRule="auto"/>
        <w:ind w:firstLine="360" w:firstLineChars="15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360" w:firstLineChars="15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361" w:firstLineChars="15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16.投标文件的无效处理</w:t>
      </w:r>
    </w:p>
    <w:p>
      <w:pPr>
        <w:pStyle w:val="24"/>
        <w:spacing w:line="360" w:lineRule="auto"/>
        <w:ind w:firstLine="360" w:firstLineChars="15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有招标文件第四部分</w:t>
      </w:r>
      <w:r>
        <w:rPr>
          <w:rFonts w:hint="eastAsia" w:ascii="仿宋_GB2312" w:hAnsi="仿宋" w:eastAsia="仿宋_GB2312"/>
          <w:color w:val="000000" w:themeColor="text1"/>
          <w:highlight w:val="none"/>
          <w14:textFill>
            <w14:solidFill>
              <w14:schemeClr w14:val="tx1"/>
            </w14:solidFill>
          </w14:textFill>
        </w:rPr>
        <w:t>第</w:t>
      </w:r>
      <w:r>
        <w:rPr>
          <w:rFonts w:ascii="仿宋_GB2312" w:hAnsi="仿宋" w:eastAsia="仿宋_GB2312"/>
          <w:color w:val="000000" w:themeColor="text1"/>
          <w:highlight w:val="none"/>
          <w14:textFill>
            <w14:solidFill>
              <w14:schemeClr w14:val="tx1"/>
            </w14:solidFill>
          </w14:textFill>
        </w:rPr>
        <w:t>13项规定</w:t>
      </w:r>
      <w:r>
        <w:rPr>
          <w:rFonts w:hint="eastAsia" w:ascii="仿宋_GB2312" w:hAnsi="仿宋" w:eastAsia="仿宋_GB2312" w:cs="仿宋_GB2312"/>
          <w:color w:val="000000" w:themeColor="text1"/>
          <w:highlight w:val="none"/>
          <w14:textFill>
            <w14:solidFill>
              <w14:schemeClr w14:val="tx1"/>
            </w14:solidFill>
          </w14:textFill>
        </w:rPr>
        <w:t>的情形之一的，投标无效：</w:t>
      </w:r>
    </w:p>
    <w:p>
      <w:pPr>
        <w:pStyle w:val="128"/>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17.投标有效期</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szCs w:val="20"/>
          <w:highlight w:val="none"/>
          <w14:textFill>
            <w14:solidFill>
              <w14:schemeClr w14:val="tx1"/>
            </w14:solidFill>
          </w14:textFill>
        </w:rPr>
        <w:t>17.1投标有效期为从提交投标文件的截止之日起90天。▲</w:t>
      </w:r>
      <w:r>
        <w:rPr>
          <w:rFonts w:hint="eastAsia" w:ascii="仿宋_GB2312" w:hAnsi="仿宋" w:eastAsia="仿宋_GB2312" w:cs="仿宋_GB2312"/>
          <w:b/>
          <w:color w:val="000000" w:themeColor="text1"/>
          <w:sz w:val="24"/>
          <w:szCs w:val="20"/>
          <w:highlight w:val="none"/>
          <w14:textFill>
            <w14:solidFill>
              <w14:schemeClr w14:val="tx1"/>
            </w14:solidFill>
          </w14:textFill>
        </w:rPr>
        <w:t>投标人的投标文件中承</w:t>
      </w:r>
      <w:r>
        <w:rPr>
          <w:rFonts w:hint="eastAsia" w:ascii="仿宋_GB2312" w:hAnsi="仿宋" w:eastAsia="仿宋_GB2312" w:cs="仿宋_GB2312"/>
          <w:b/>
          <w:color w:val="000000" w:themeColor="text1"/>
          <w:sz w:val="24"/>
          <w:highlight w:val="none"/>
          <w14:textFill>
            <w14:solidFill>
              <w14:schemeClr w14:val="tx1"/>
            </w14:solidFill>
          </w14:textFill>
        </w:rPr>
        <w:t>诺的投标有效期少于招标文件中载明的投标有效期的，投标无效。</w:t>
      </w:r>
    </w:p>
    <w:p>
      <w:pPr>
        <w:pStyle w:val="128"/>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17.2投标文件合格投递后，自投标截止日期起，在投标有效期内有效。</w:t>
      </w:r>
    </w:p>
    <w:p>
      <w:pPr>
        <w:pStyle w:val="128"/>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000000" w:themeColor="text1"/>
          <w:sz w:val="32"/>
          <w:highlight w:val="none"/>
          <w14:textFill>
            <w14:solidFill>
              <w14:schemeClr w14:val="tx1"/>
            </w14:solidFill>
          </w14:textFill>
        </w:rPr>
      </w:pPr>
    </w:p>
    <w:p>
      <w:pPr>
        <w:pStyle w:val="128"/>
        <w:spacing w:before="0"/>
        <w:ind w:firstLine="1928" w:firstLineChars="600"/>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四、开标、资格审查与信用信息查询</w:t>
      </w:r>
    </w:p>
    <w:p>
      <w:pPr>
        <w:pStyle w:val="554"/>
        <w:spacing w:before="0" w:line="360" w:lineRule="auto"/>
        <w:ind w:left="0" w:firstLine="241" w:firstLineChars="100"/>
        <w:contextualSpacing/>
        <w:rPr>
          <w:rFonts w:ascii="仿宋_GB2312" w:eastAsia="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18.开标</w:t>
      </w:r>
      <w:r>
        <w:rPr>
          <w:rFonts w:ascii="仿宋_GB2312" w:eastAsia="仿宋_GB2312"/>
          <w:color w:val="000000" w:themeColor="text1"/>
          <w:sz w:val="24"/>
          <w:highlight w:val="none"/>
          <w14:textFill>
            <w14:solidFill>
              <w14:schemeClr w14:val="tx1"/>
            </w14:solidFill>
          </w14:textFill>
        </w:rPr>
        <w:t xml:space="preserve"> </w:t>
      </w:r>
    </w:p>
    <w:p>
      <w:pPr>
        <w:pStyle w:val="554"/>
        <w:spacing w:before="0" w:line="360" w:lineRule="auto"/>
        <w:ind w:left="0" w:firstLine="480" w:firstLineChars="200"/>
        <w:contextualSpacing/>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w:t>
      </w:r>
      <w:r>
        <w:rPr>
          <w:rFonts w:ascii="仿宋_GB2312" w:hAnsi="仿宋" w:eastAsia="仿宋_GB2312" w:cs="仿宋_GB2312"/>
          <w:color w:val="000000" w:themeColor="text1"/>
          <w:sz w:val="24"/>
          <w:highlight w:val="none"/>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w:t>
      </w:r>
      <w:r>
        <w:rPr>
          <w:rFonts w:ascii="仿宋_GB2312" w:hAnsi="仿宋" w:eastAsia="仿宋_GB2312" w:cs="仿宋_GB2312"/>
          <w:color w:val="000000" w:themeColor="text1"/>
          <w:sz w:val="24"/>
          <w:highlight w:val="none"/>
          <w14:textFill>
            <w14:solidFill>
              <w14:schemeClr w14:val="tx1"/>
            </w14:solidFill>
          </w14:textFill>
        </w:rPr>
        <w:t>18.3</w:t>
      </w:r>
      <w:r>
        <w:rPr>
          <w:rFonts w:hint="eastAsia" w:ascii="仿宋_GB2312" w:hAnsi="仿宋" w:eastAsia="仿宋_GB2312" w:cs="仿宋_GB2312"/>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000000" w:themeColor="text1"/>
          <w:sz w:val="24"/>
          <w:szCs w:val="20"/>
          <w:highlight w:val="none"/>
          <w14:textFill>
            <w14:solidFill>
              <w14:schemeClr w14:val="tx1"/>
            </w14:solidFill>
          </w14:textFill>
        </w:rPr>
      </w:pPr>
      <w:r>
        <w:rPr>
          <w:rFonts w:hint="eastAsia" w:ascii="仿宋_GB2312" w:hAnsi="仿宋" w:eastAsia="仿宋_GB2312" w:cs="仿宋_GB2312"/>
          <w:b/>
          <w:color w:val="000000" w:themeColor="text1"/>
          <w:sz w:val="24"/>
          <w:szCs w:val="20"/>
          <w:highlight w:val="none"/>
          <w14:textFill>
            <w14:solidFill>
              <w14:schemeClr w14:val="tx1"/>
            </w14:solidFill>
          </w14:textFill>
        </w:rPr>
        <w:t>　</w:t>
      </w:r>
      <w:r>
        <w:rPr>
          <w:rFonts w:ascii="仿宋_GB2312" w:hAnsi="仿宋" w:eastAsia="仿宋_GB2312" w:cs="仿宋_GB2312"/>
          <w:b/>
          <w:color w:val="000000" w:themeColor="text1"/>
          <w:sz w:val="24"/>
          <w:szCs w:val="20"/>
          <w:highlight w:val="none"/>
          <w14:textFill>
            <w14:solidFill>
              <w14:schemeClr w14:val="tx1"/>
            </w14:solidFill>
          </w14:textFill>
        </w:rPr>
        <w:t>19、资格审查</w:t>
      </w:r>
    </w:p>
    <w:p>
      <w:pPr>
        <w:pStyle w:val="128"/>
        <w:spacing w:before="0"/>
        <w:ind w:firstLine="48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19.2</w:t>
      </w:r>
      <w:r>
        <w:rPr>
          <w:rFonts w:hint="eastAsia" w:ascii="仿宋_GB2312" w:hAnsi="仿宋" w:eastAsia="仿宋_GB2312" w:cs="仿宋_GB2312"/>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19.3投标人未按照招标文件要求提供与</w:t>
      </w:r>
      <w:r>
        <w:rPr>
          <w:rFonts w:hint="eastAsia" w:ascii="仿宋_GB2312" w:hAnsi="仿宋" w:eastAsia="仿宋_GB2312" w:cs="仿宋_GB2312"/>
          <w:color w:val="000000" w:themeColor="text1"/>
          <w:highlight w:val="none"/>
          <w14:textFill>
            <w14:solidFill>
              <w14:schemeClr w14:val="tx1"/>
            </w14:solidFill>
          </w14:textFill>
        </w:rPr>
        <w:t>基本资格条件、特定资格条件相应的</w:t>
      </w:r>
      <w:r>
        <w:rPr>
          <w:rFonts w:hint="eastAsia" w:ascii="仿宋_GB2312" w:hAnsi="仿宋" w:eastAsia="仿宋_GB2312" w:cs="Arial"/>
          <w:color w:val="000000" w:themeColor="text1"/>
          <w:kern w:val="0"/>
          <w:szCs w:val="24"/>
          <w:highlight w:val="none"/>
          <w14:textFill>
            <w14:solidFill>
              <w14:schemeClr w14:val="tx1"/>
            </w14:solidFill>
          </w14:textFill>
        </w:rPr>
        <w:t>有效资格证明材料的，视为</w:t>
      </w:r>
      <w:r>
        <w:rPr>
          <w:rFonts w:hint="eastAsia" w:ascii="仿宋_GB2312" w:hAnsi="仿宋" w:eastAsia="仿宋_GB2312" w:cs="仿宋_GB2312"/>
          <w:color w:val="000000" w:themeColor="text1"/>
          <w:highlight w:val="none"/>
          <w14:textFill>
            <w14:solidFill>
              <w14:schemeClr w14:val="tx1"/>
            </w14:solidFill>
          </w14:textFill>
        </w:rPr>
        <w:t>投标人不具备招标文件中规定的资格要求，其投标无效。</w:t>
      </w:r>
    </w:p>
    <w:p>
      <w:pPr>
        <w:pStyle w:val="128"/>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w:t>
      </w:r>
      <w:r>
        <w:rPr>
          <w:rFonts w:ascii="仿宋_GB2312" w:hAnsi="仿宋" w:eastAsia="仿宋_GB2312" w:cs="仿宋_GB2312"/>
          <w:color w:val="000000" w:themeColor="text1"/>
          <w:highlight w:val="none"/>
          <w14:textFill>
            <w14:solidFill>
              <w14:schemeClr w14:val="tx1"/>
            </w14:solidFill>
          </w14:textFill>
        </w:rPr>
        <w:t>4对未通过资格审查的投标人，采购人或采购机构告知其未通过的原因。</w:t>
      </w:r>
    </w:p>
    <w:p>
      <w:pPr>
        <w:pStyle w:val="128"/>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w:t>
      </w:r>
      <w:r>
        <w:rPr>
          <w:rFonts w:ascii="仿宋_GB2312" w:hAnsi="仿宋" w:eastAsia="仿宋_GB2312" w:cs="仿宋_GB2312"/>
          <w:color w:val="000000" w:themeColor="text1"/>
          <w:highlight w:val="none"/>
          <w14:textFill>
            <w14:solidFill>
              <w14:schemeClr w14:val="tx1"/>
            </w14:solidFill>
          </w14:textFill>
        </w:rPr>
        <w:t>5合格投标人不足3家的，不再评标。</w:t>
      </w:r>
    </w:p>
    <w:p>
      <w:pPr>
        <w:pStyle w:val="128"/>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20、信用信息查询</w:t>
      </w:r>
    </w:p>
    <w:p>
      <w:pPr>
        <w:pStyle w:val="128"/>
        <w:spacing w:before="0"/>
        <w:ind w:firstLine="495" w:firstLineChars="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000000" w:themeColor="text1"/>
          <w:highlight w:val="none"/>
          <w14:textFill>
            <w14:solidFill>
              <w14:schemeClr w14:val="tx1"/>
            </w14:solidFill>
          </w14:textFill>
        </w:rPr>
        <w:t>。</w:t>
      </w:r>
    </w:p>
    <w:p>
      <w:pPr>
        <w:pStyle w:val="128"/>
        <w:spacing w:before="0"/>
        <w:ind w:firstLine="0" w:firstLineChars="0"/>
        <w:rPr>
          <w:rFonts w:ascii="仿宋_GB2312" w:hAnsi="仿宋" w:eastAsia="仿宋_GB2312" w:cs="Arial"/>
          <w:color w:val="000000" w:themeColor="text1"/>
          <w:kern w:val="0"/>
          <w:szCs w:val="24"/>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五、评标</w:t>
      </w: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bookmarkStart w:id="13" w:name="_Toc91899903"/>
      <w:r>
        <w:rPr>
          <w:rFonts w:ascii="仿宋_GB2312" w:hAnsi="仿宋" w:eastAsia="仿宋_GB2312" w:cs="仿宋_GB2312"/>
          <w:b/>
          <w:color w:val="000000" w:themeColor="text1"/>
          <w:sz w:val="24"/>
          <w:highlight w:val="none"/>
          <w14:textFill>
            <w14:solidFill>
              <w14:schemeClr w14:val="tx1"/>
            </w14:solidFill>
          </w14:textFill>
        </w:rPr>
        <w:t>21.</w:t>
      </w:r>
      <w:r>
        <w:rPr>
          <w:rFonts w:ascii="仿宋_GB2312" w:eastAsia="仿宋_GB2312"/>
          <w:color w:val="000000" w:themeColor="text1"/>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六、定</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标</w:t>
      </w:r>
    </w:p>
    <w:p>
      <w:pPr>
        <w:pStyle w:val="24"/>
        <w:spacing w:line="360" w:lineRule="auto"/>
        <w:ind w:left="479" w:hanging="479" w:hangingChars="199"/>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 xml:space="preserve">22. </w:t>
      </w:r>
      <w:r>
        <w:rPr>
          <w:rFonts w:hint="eastAsia" w:ascii="仿宋_GB2312" w:hAnsi="仿宋" w:eastAsia="仿宋_GB2312" w:cs="仿宋_GB2312"/>
          <w:b/>
          <w:color w:val="000000" w:themeColor="text1"/>
          <w:highlight w:val="none"/>
          <w14:textFill>
            <w14:solidFill>
              <w14:schemeClr w14:val="tx1"/>
            </w14:solidFill>
          </w14:textFill>
        </w:rPr>
        <w:t>确定中标供应商</w:t>
      </w:r>
    </w:p>
    <w:p>
      <w:pPr>
        <w:pStyle w:val="128"/>
        <w:snapToGrid w:val="0"/>
        <w:spacing w:before="0"/>
        <w:ind w:firstLine="480"/>
        <w:rPr>
          <w:rFonts w:ascii="仿宋_GB2312" w:hAnsi="仿宋" w:eastAsia="仿宋_GB2312" w:cs="仿宋_GB2312"/>
          <w:b/>
          <w:color w:val="000000" w:themeColor="text1"/>
          <w:szCs w:val="24"/>
          <w:highlight w:val="none"/>
          <w14:textFill>
            <w14:solidFill>
              <w14:schemeClr w14:val="tx1"/>
            </w14:solidFill>
          </w14:textFill>
        </w:rPr>
      </w:pPr>
      <w:r>
        <w:rPr>
          <w:rFonts w:hint="eastAsia" w:ascii="仿宋_GB2312" w:hAnsi="仿宋" w:eastAsia="仿宋_GB2312" w:cs="仿宋_GB2312"/>
          <w:color w:val="000000" w:themeColor="text1"/>
          <w:szCs w:val="24"/>
          <w:highlight w:val="none"/>
          <w14:textFill>
            <w14:solidFill>
              <w14:schemeClr w14:val="tx1"/>
            </w14:solidFill>
          </w14:textFill>
        </w:rPr>
        <w:t>采购人将自收到评审报告之日起</w:t>
      </w:r>
      <w:r>
        <w:rPr>
          <w:rFonts w:ascii="仿宋_GB2312" w:hAnsi="仿宋" w:eastAsia="仿宋_GB2312" w:cs="仿宋_GB2312"/>
          <w:color w:val="000000" w:themeColor="text1"/>
          <w:szCs w:val="24"/>
          <w:highlight w:val="none"/>
          <w14:textFill>
            <w14:solidFill>
              <w14:schemeClr w14:val="tx1"/>
            </w14:solidFill>
          </w14:textFill>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 xml:space="preserve">23. </w:t>
      </w:r>
      <w:r>
        <w:rPr>
          <w:rFonts w:hint="eastAsia" w:ascii="仿宋_GB2312" w:hAnsi="仿宋" w:eastAsia="仿宋_GB2312" w:cs="仿宋_GB2312"/>
          <w:b/>
          <w:color w:val="000000" w:themeColor="text1"/>
          <w:szCs w:val="24"/>
          <w:highlight w:val="none"/>
          <w14:textFill>
            <w14:solidFill>
              <w14:schemeClr w14:val="tx1"/>
            </w14:solidFill>
          </w14:textFill>
        </w:rPr>
        <w:t>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七、合同授予</w:t>
      </w:r>
    </w:p>
    <w:p>
      <w:pPr>
        <w:pStyle w:val="24"/>
        <w:spacing w:line="360" w:lineRule="auto"/>
        <w:ind w:left="479" w:hanging="479" w:hangingChars="199"/>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 xml:space="preserve">24. </w:t>
      </w:r>
      <w:r>
        <w:rPr>
          <w:rFonts w:hint="eastAsia" w:ascii="仿宋_GB2312" w:hAnsi="仿宋" w:eastAsia="仿宋_GB2312" w:cs="仿宋_GB2312"/>
          <w:color w:val="000000" w:themeColor="text1"/>
          <w:highlight w:val="none"/>
          <w14:textFill>
            <w14:solidFill>
              <w14:schemeClr w14:val="tx1"/>
            </w14:solidFill>
          </w14:textFill>
        </w:rPr>
        <w:t>合同主要条款详见第五部分拟签订的合同文本。</w:t>
      </w:r>
    </w:p>
    <w:p>
      <w:pPr>
        <w:pStyle w:val="24"/>
        <w:spacing w:line="360" w:lineRule="auto"/>
        <w:ind w:left="479" w:hanging="479" w:hangingChars="199"/>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 xml:space="preserve">25. </w:t>
      </w:r>
      <w:r>
        <w:rPr>
          <w:rFonts w:hint="eastAsia" w:ascii="仿宋_GB2312" w:hAnsi="仿宋" w:eastAsia="仿宋_GB2312" w:cs="仿宋_GB2312"/>
          <w:b/>
          <w:color w:val="000000" w:themeColor="text1"/>
          <w:highlight w:val="none"/>
          <w14:textFill>
            <w14:solidFill>
              <w14:schemeClr w14:val="tx1"/>
            </w14:solidFill>
          </w14:textFill>
        </w:rPr>
        <w:t>合同的签订</w:t>
      </w:r>
    </w:p>
    <w:p>
      <w:pPr>
        <w:widowControl/>
        <w:shd w:val="clear" w:color="auto" w:fill="FFFFFF"/>
        <w:spacing w:line="360" w:lineRule="auto"/>
        <w:ind w:firstLine="480"/>
        <w:jc w:val="left"/>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25.1</w:t>
      </w:r>
      <w:r>
        <w:rPr>
          <w:rFonts w:ascii="仿宋_GB2312" w:hAnsi="仿宋" w:eastAsia="仿宋_GB2312" w:cs="Arial"/>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采购人与中标人应当通过电子交易平台在中标通知书发出之日起三十日内，按照招标文件确定的事项签订政府采购合同，并在规定时间内依法发布合同公告。</w:t>
      </w:r>
    </w:p>
    <w:p>
      <w:pPr>
        <w:pStyle w:val="128"/>
        <w:snapToGrid w:val="0"/>
        <w:spacing w:before="0"/>
        <w:ind w:firstLine="480"/>
        <w:rPr>
          <w:rFonts w:ascii="仿宋_GB2312" w:hAnsi="仿宋" w:eastAsia="仿宋_GB2312"/>
          <w:color w:val="000000" w:themeColor="text1"/>
          <w:kern w:val="0"/>
          <w:highlight w:val="none"/>
          <w14:textFill>
            <w14:solidFill>
              <w14:schemeClr w14:val="tx1"/>
            </w14:solidFill>
          </w14:textFill>
        </w:rPr>
      </w:pPr>
      <w:r>
        <w:rPr>
          <w:rFonts w:ascii="仿宋_GB2312" w:hAnsi="仿宋" w:eastAsia="仿宋_GB2312" w:cs="仿宋_GB2312"/>
          <w:color w:val="000000" w:themeColor="text1"/>
          <w:kern w:val="0"/>
          <w:highlight w:val="none"/>
          <w:lang w:val="zh-CN"/>
          <w14:textFill>
            <w14:solidFill>
              <w14:schemeClr w14:val="tx1"/>
            </w14:solidFill>
          </w14:textFill>
        </w:rPr>
        <w:t>25.2</w:t>
      </w:r>
      <w:r>
        <w:rPr>
          <w:rFonts w:hint="eastAsia" w:ascii="仿宋_GB2312" w:hAnsi="仿宋" w:eastAsia="仿宋_GB2312"/>
          <w:color w:val="000000" w:themeColor="text1"/>
          <w:kern w:val="0"/>
          <w:highlight w:val="none"/>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25.4中标供应</w:t>
      </w:r>
      <w:r>
        <w:rPr>
          <w:rFonts w:hint="eastAsia" w:ascii="仿宋_GB2312" w:hAnsi="仿宋" w:eastAsia="仿宋_GB2312" w:cs="仿宋_GB2312"/>
          <w:color w:val="000000" w:themeColor="text1"/>
          <w:highlight w:val="none"/>
          <w14:textFill>
            <w14:solidFill>
              <w14:schemeClr w14:val="tx1"/>
            </w14:solidFill>
          </w14:textFill>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25.5采购合同由采购人与中标供应商根据</w:t>
      </w:r>
      <w:r>
        <w:rPr>
          <w:rFonts w:hint="eastAsia" w:ascii="仿宋_GB2312" w:hAnsi="仿宋" w:eastAsia="仿宋_GB2312" w:cs="仿宋_GB2312"/>
          <w:color w:val="000000" w:themeColor="text1"/>
          <w:highlight w:val="none"/>
          <w14:textFill>
            <w14:solidFill>
              <w14:schemeClr w14:val="tx1"/>
            </w14:solidFill>
          </w14:textFill>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 xml:space="preserve">26. </w:t>
      </w:r>
      <w:r>
        <w:rPr>
          <w:rFonts w:hint="eastAsia" w:ascii="仿宋_GB2312" w:hAnsi="仿宋" w:eastAsia="仿宋_GB2312" w:cs="仿宋_GB2312"/>
          <w:b/>
          <w:color w:val="000000" w:themeColor="text1"/>
          <w:highlight w:val="none"/>
          <w14:textFill>
            <w14:solidFill>
              <w14:schemeClr w14:val="tx1"/>
            </w14:solidFill>
          </w14:textFill>
        </w:rPr>
        <w:t>履约保证金</w:t>
      </w:r>
    </w:p>
    <w:p>
      <w:pPr>
        <w:tabs>
          <w:tab w:val="left" w:pos="0"/>
        </w:tabs>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highlight w:val="none"/>
          <w14:textFill>
            <w14:solidFill>
              <w14:schemeClr w14:val="tx1"/>
            </w14:solidFill>
          </w14:textFill>
        </w:rPr>
        <w:t>。履约保证金的数额不得超过政府采购合同金额的</w:t>
      </w:r>
      <w:r>
        <w:rPr>
          <w:rFonts w:ascii="仿宋_GB2312" w:hAnsi="仿宋" w:eastAsia="仿宋_GB2312"/>
          <w:color w:val="000000" w:themeColor="text1"/>
          <w:sz w:val="24"/>
          <w:highlight w:val="none"/>
          <w14:textFill>
            <w14:solidFill>
              <w14:schemeClr w14:val="tx1"/>
            </w14:solidFill>
          </w14:textFill>
        </w:rPr>
        <w:t>5%。</w:t>
      </w:r>
      <w:r>
        <w:rPr>
          <w:rFonts w:hint="eastAsia" w:ascii="仿宋_GB2312" w:hAnsi="仿宋" w:eastAsia="仿宋_GB2312"/>
          <w:color w:val="000000" w:themeColor="text1"/>
          <w:sz w:val="24"/>
          <w:highlight w:val="none"/>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highlight w:val="none"/>
          <w14:textFill>
            <w14:solidFill>
              <w14:schemeClr w14:val="tx1"/>
            </w14:solidFill>
          </w14:textFill>
        </w:rPr>
        <w:t>采购人不得拒收履约保函。</w:t>
      </w:r>
    </w:p>
    <w:p>
      <w:pPr>
        <w:tabs>
          <w:tab w:val="left" w:pos="0"/>
        </w:tabs>
        <w:spacing w:line="360" w:lineRule="auto"/>
        <w:ind w:firstLine="480"/>
        <w:rPr>
          <w:rFonts w:ascii="仿宋_GB2312" w:hAnsi="仿宋" w:eastAsia="仿宋_GB2312"/>
          <w:color w:val="000000" w:themeColor="text1"/>
          <w:sz w:val="24"/>
          <w:highlight w:val="none"/>
          <w14:textFill>
            <w14:solidFill>
              <w14:schemeClr w14:val="tx1"/>
            </w14:solidFill>
          </w14:textFill>
        </w:rPr>
      </w:pPr>
    </w:p>
    <w:p>
      <w:pPr>
        <w:snapToGrid w:val="0"/>
        <w:spacing w:line="360" w:lineRule="auto"/>
        <w:ind w:firstLine="3357" w:firstLineChars="1045"/>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八、电子交易活动的中止</w:t>
      </w:r>
    </w:p>
    <w:p>
      <w:pPr>
        <w:pStyle w:val="128"/>
        <w:snapToGrid w:val="0"/>
        <w:spacing w:before="0"/>
        <w:ind w:firstLine="0" w:firstLineChars="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ascii="仿宋_GB2312" w:hAnsi="仿宋" w:eastAsia="仿宋_GB2312" w:cs="仿宋_GB2312"/>
          <w:b/>
          <w:color w:val="000000" w:themeColor="text1"/>
          <w:szCs w:val="24"/>
          <w:highlight w:val="none"/>
          <w14:textFill>
            <w14:solidFill>
              <w14:schemeClr w14:val="tx1"/>
            </w14:solidFill>
          </w14:textFill>
        </w:rPr>
        <w:t xml:space="preserve">7. </w:t>
      </w:r>
      <w:r>
        <w:rPr>
          <w:rFonts w:hint="eastAsia" w:ascii="仿宋_GB2312" w:hAnsi="仿宋" w:eastAsia="仿宋_GB2312" w:cs="仿宋_GB2312"/>
          <w:b/>
          <w:color w:val="000000" w:themeColor="text1"/>
          <w:szCs w:val="24"/>
          <w:highlight w:val="none"/>
          <w14:textFill>
            <w14:solidFill>
              <w14:schemeClr w14:val="tx1"/>
            </w14:solidFill>
          </w14:textFill>
        </w:rPr>
        <w:t>电子交易活动的中止。</w:t>
      </w:r>
      <w:r>
        <w:rPr>
          <w:rFonts w:hint="eastAsia" w:ascii="仿宋_GB2312" w:hAnsi="仿宋" w:eastAsia="仿宋_GB2312" w:cs="仿宋_GB2312"/>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 xml:space="preserve">27.1电子交易平台发生故障而无法登录访问的； </w:t>
      </w:r>
    </w:p>
    <w:p>
      <w:pPr>
        <w:pStyle w:val="128"/>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27.2电子交易平台应用或数据库出现错误，不能进行正常操作的；</w:t>
      </w:r>
    </w:p>
    <w:p>
      <w:pPr>
        <w:pStyle w:val="128"/>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27.3电子交易平台发现严重安全漏洞，有潜在泄密危险的；</w:t>
      </w:r>
    </w:p>
    <w:p>
      <w:pPr>
        <w:pStyle w:val="128"/>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 xml:space="preserve">27.4病毒发作导致不能进行正常操作的； </w:t>
      </w:r>
    </w:p>
    <w:p>
      <w:pPr>
        <w:pStyle w:val="128"/>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27.5其他无法保证电子交易的公平、公正和安全的情况。</w:t>
      </w:r>
    </w:p>
    <w:p>
      <w:pPr>
        <w:pStyle w:val="128"/>
        <w:snapToGrid w:val="0"/>
        <w:spacing w:before="0"/>
        <w:ind w:firstLine="0" w:firstLineChars="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九、验收</w:t>
      </w:r>
    </w:p>
    <w:p>
      <w:pPr>
        <w:pStyle w:val="24"/>
        <w:spacing w:line="360" w:lineRule="auto"/>
        <w:ind w:firstLine="0" w:firstLineChars="0"/>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29.验收</w:t>
      </w:r>
    </w:p>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w:t>
      </w:r>
      <w:r>
        <w:rPr>
          <w:rFonts w:hint="eastAsia" w:ascii="仿宋_GB2312" w:hAnsi="仿宋" w:eastAsia="仿宋_GB2312" w:cs="Helvetica"/>
          <w:color w:val="000000" w:themeColor="text1"/>
          <w:kern w:val="0"/>
          <w:sz w:val="24"/>
          <w:highlight w:val="none"/>
          <w14:textFill>
            <w14:solidFill>
              <w14:schemeClr w14:val="tx1"/>
            </w14:solidFill>
          </w14:textFill>
        </w:rPr>
        <w:t>验收书的参考资料一并存档。</w:t>
      </w:r>
    </w:p>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themeColor="text1"/>
          <w:sz w:val="18"/>
          <w:szCs w:val="18"/>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68072998"/>
      <w:bookmarkEnd w:id="15"/>
      <w:bookmarkStart w:id="16" w:name="_Hlt74730295"/>
      <w:bookmarkEnd w:id="16"/>
      <w:bookmarkStart w:id="17" w:name="_Hlt74714665"/>
      <w:bookmarkEnd w:id="17"/>
      <w:bookmarkStart w:id="18" w:name="_Hlt74729768"/>
      <w:bookmarkEnd w:id="18"/>
      <w:bookmarkStart w:id="19" w:name="_Hlt75236011"/>
      <w:bookmarkEnd w:id="19"/>
      <w:bookmarkStart w:id="20" w:name="_Hlt68072990"/>
      <w:bookmarkEnd w:id="20"/>
      <w:bookmarkStart w:id="21" w:name="_Hlt68057669"/>
      <w:bookmarkEnd w:id="21"/>
      <w:bookmarkStart w:id="22" w:name="_Hlt75236290"/>
      <w:bookmarkEnd w:id="22"/>
      <w:bookmarkStart w:id="23" w:name="_Hlt68403820"/>
      <w:bookmarkEnd w:id="23"/>
      <w:bookmarkStart w:id="24" w:name="_Hlt75236101"/>
      <w:bookmarkEnd w:id="24"/>
      <w:bookmarkStart w:id="25" w:name="_Hlt68073093"/>
      <w:bookmarkEnd w:id="25"/>
    </w:p>
    <w:bookmarkEnd w:id="11"/>
    <w:bookmarkEnd w:id="12"/>
    <w:p>
      <w:pPr>
        <w:spacing w:line="360" w:lineRule="auto"/>
        <w:jc w:val="center"/>
        <w:outlineLvl w:val="0"/>
        <w:rPr>
          <w:rFonts w:ascii="仿宋" w:hAnsi="仿宋" w:eastAsia="仿宋" w:cs="仿宋_GB2312"/>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仿宋_GB2312"/>
          <w:b/>
          <w:color w:val="000000" w:themeColor="text1"/>
          <w:sz w:val="36"/>
          <w:szCs w:val="36"/>
          <w:highlight w:val="none"/>
          <w14:textFill>
            <w14:solidFill>
              <w14:schemeClr w14:val="tx1"/>
            </w14:solidFill>
          </w14:textFill>
        </w:rPr>
        <w:t>第三部分</w:t>
      </w:r>
      <w:r>
        <w:rPr>
          <w:rFonts w:ascii="仿宋" w:hAnsi="仿宋" w:eastAsia="仿宋" w:cs="仿宋_GB2312"/>
          <w:b/>
          <w:color w:val="000000" w:themeColor="text1"/>
          <w:sz w:val="36"/>
          <w:szCs w:val="36"/>
          <w:highlight w:val="none"/>
          <w14:textFill>
            <w14:solidFill>
              <w14:schemeClr w14:val="tx1"/>
            </w14:solidFill>
          </w14:textFill>
        </w:rPr>
        <w:t xml:space="preserve">   </w:t>
      </w:r>
      <w:r>
        <w:rPr>
          <w:rFonts w:hint="eastAsia" w:ascii="仿宋" w:hAnsi="仿宋" w:eastAsia="仿宋" w:cs="仿宋_GB2312"/>
          <w:b/>
          <w:color w:val="000000" w:themeColor="text1"/>
          <w:sz w:val="36"/>
          <w:szCs w:val="36"/>
          <w:highlight w:val="none"/>
          <w14:textFill>
            <w14:solidFill>
              <w14:schemeClr w14:val="tx1"/>
            </w14:solidFill>
          </w14:textFill>
        </w:rPr>
        <w:t>采购需求</w:t>
      </w:r>
    </w:p>
    <w:p>
      <w:pPr>
        <w:snapToGrid w:val="0"/>
        <w:spacing w:line="360" w:lineRule="auto"/>
        <w:jc w:val="left"/>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lang w:bidi="ar"/>
          <w14:textFill>
            <w14:solidFill>
              <w14:schemeClr w14:val="tx1"/>
            </w14:solidFill>
          </w14:textFill>
        </w:rPr>
        <w:t>属于实质性要求条款的，已用符号“▲”标明，否则属于非实质性要求。标“</w:t>
      </w:r>
      <w:r>
        <w:rPr>
          <w:rFonts w:hint="eastAsia" w:ascii="仿宋_GB2312" w:hAnsi="仿宋" w:eastAsia="仿宋_GB2312" w:cs="仿宋_GB2312"/>
          <w:b/>
          <w:color w:val="000000" w:themeColor="text1"/>
          <w:sz w:val="24"/>
          <w:szCs w:val="24"/>
          <w:highlight w:val="none"/>
          <w:lang w:bidi="ar"/>
          <w14:textFill>
            <w14:solidFill>
              <w14:schemeClr w14:val="tx1"/>
            </w14:solidFill>
          </w14:textFill>
        </w:rPr>
        <w:t>★”系产品采购项目中的核心产品。</w:t>
      </w:r>
    </w:p>
    <w:p>
      <w:pPr>
        <w:adjustRightInd/>
        <w:spacing w:line="360" w:lineRule="auto"/>
        <w:outlineLvl w:val="1"/>
        <w:rPr>
          <w:rFonts w:ascii="仿宋_GB2312" w:hAnsi="仿宋" w:eastAsia="仿宋_GB2312" w:cs="仿宋_GB2312"/>
          <w:b/>
          <w:color w:val="000000" w:themeColor="text1"/>
          <w:sz w:val="30"/>
          <w:szCs w:val="30"/>
          <w:highlight w:val="none"/>
          <w14:textFill>
            <w14:solidFill>
              <w14:schemeClr w14:val="tx1"/>
            </w14:solidFill>
          </w14:textFill>
        </w:rPr>
      </w:pPr>
      <w:r>
        <w:rPr>
          <w:rFonts w:hint="eastAsia" w:ascii="仿宋_GB2312" w:hAnsi="仿宋" w:eastAsia="仿宋_GB2312" w:cs="仿宋_GB2312"/>
          <w:b/>
          <w:color w:val="000000" w:themeColor="text1"/>
          <w:sz w:val="30"/>
          <w:szCs w:val="30"/>
          <w:highlight w:val="none"/>
          <w:lang w:bidi="ar"/>
          <w14:textFill>
            <w14:solidFill>
              <w14:schemeClr w14:val="tx1"/>
            </w14:solidFill>
          </w14:textFill>
        </w:rPr>
        <w:t>一、项目概况</w:t>
      </w:r>
    </w:p>
    <w:p>
      <w:pPr>
        <w:tabs>
          <w:tab w:val="left" w:pos="0"/>
        </w:tabs>
        <w:spacing w:line="360" w:lineRule="auto"/>
        <w:ind w:firstLine="48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本项目为</w:t>
      </w:r>
      <w:r>
        <w:rPr>
          <w:rFonts w:hint="eastAsia" w:ascii="仿宋_GB2312" w:hAnsi="仿宋" w:eastAsia="仿宋_GB2312" w:cs="仿宋_GB2312"/>
          <w:color w:val="000000" w:themeColor="text1"/>
          <w:sz w:val="24"/>
          <w:szCs w:val="24"/>
          <w:highlight w:val="none"/>
          <w:lang w:bidi="ar"/>
          <w14:textFill>
            <w14:solidFill>
              <w14:schemeClr w14:val="tx1"/>
            </w14:solidFill>
          </w14:textFill>
        </w:rPr>
        <w:t>杭州市城市档案中心智慧库房智慧化综合管理平台及配套设施、智能密集架、防磁库</w:t>
      </w: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项目，主要包括系统及设施设备的采购、安装、调试等。项目的实施可实现城市档案中心馆库的高度集中管理、智慧化统一管控，实现各环境参数的智能化管理、档案资料的智慧化管控，使档案馆库在安全、高效、节能环保等方面达到一个更高的水平。本项目包含4-6家单位的库房管理均在一个平台上管控，但又可独立管理，界面独立切换；预留其它相关系统接入的接口模块，同时满足市场上相关主流设备及系统的接入要求，能满足新形势下可能产生的新标准和新要求的二次开发需求。</w:t>
      </w:r>
    </w:p>
    <w:p>
      <w:pPr>
        <w:tabs>
          <w:tab w:val="left" w:pos="0"/>
        </w:tabs>
        <w:spacing w:line="360" w:lineRule="auto"/>
        <w:ind w:firstLine="48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本项目包含所有材料、设施设备、系统及制作安装、运输、保险、搬运、调试、开槽与修复、垃圾清运、二次深化设计、二次技术开发、技术支持、各类线管（含预留线管）、培训、维护等费用，以及其他规费、增值税等，均包含在投标总价内。</w:t>
      </w:r>
    </w:p>
    <w:p>
      <w:pPr>
        <w:adjustRightInd/>
        <w:spacing w:line="360" w:lineRule="auto"/>
        <w:outlineLvl w:val="1"/>
        <w:rPr>
          <w:rFonts w:ascii="仿宋_GB2312" w:hAnsi="仿宋" w:eastAsia="仿宋_GB2312" w:cs="仿宋_GB2312"/>
          <w:b/>
          <w:color w:val="000000" w:themeColor="text1"/>
          <w:sz w:val="30"/>
          <w:szCs w:val="30"/>
          <w:highlight w:val="none"/>
          <w14:textFill>
            <w14:solidFill>
              <w14:schemeClr w14:val="tx1"/>
            </w14:solidFill>
          </w14:textFill>
        </w:rPr>
      </w:pPr>
      <w:r>
        <w:rPr>
          <w:rFonts w:hint="eastAsia" w:ascii="仿宋_GB2312" w:hAnsi="仿宋" w:eastAsia="仿宋_GB2312" w:cs="仿宋_GB2312"/>
          <w:b/>
          <w:color w:val="000000" w:themeColor="text1"/>
          <w:sz w:val="30"/>
          <w:szCs w:val="30"/>
          <w:highlight w:val="none"/>
          <w:lang w:bidi="ar"/>
          <w14:textFill>
            <w14:solidFill>
              <w14:schemeClr w14:val="tx1"/>
            </w14:solidFill>
          </w14:textFill>
        </w:rPr>
        <w:t>二、项目执行标准</w:t>
      </w:r>
    </w:p>
    <w:p>
      <w:pPr>
        <w:spacing w:line="360" w:lineRule="auto"/>
        <w:ind w:firstLine="480" w:firstLineChars="20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 xml:space="preserve">◆《中华人民共和国档案法》 </w:t>
      </w:r>
    </w:p>
    <w:p>
      <w:pPr>
        <w:tabs>
          <w:tab w:val="left" w:pos="0"/>
        </w:tabs>
        <w:spacing w:line="360" w:lineRule="auto"/>
        <w:ind w:firstLine="436" w:firstLineChars="182"/>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◆《中华人民共和国档案法实施办法》</w:t>
      </w:r>
    </w:p>
    <w:p>
      <w:pPr>
        <w:tabs>
          <w:tab w:val="left" w:pos="0"/>
        </w:tabs>
        <w:spacing w:line="360" w:lineRule="auto"/>
        <w:ind w:firstLine="436" w:firstLineChars="182"/>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◆《关于加强和改进新形势下档案工作的意见》（中共中央办公厅国务院办公厅印发）</w:t>
      </w:r>
    </w:p>
    <w:p>
      <w:pPr>
        <w:tabs>
          <w:tab w:val="left" w:pos="0"/>
        </w:tabs>
        <w:spacing w:line="360" w:lineRule="auto"/>
        <w:ind w:firstLine="48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◆《档案馆建设标准》</w:t>
      </w:r>
    </w:p>
    <w:p>
      <w:pPr>
        <w:tabs>
          <w:tab w:val="left" w:pos="0"/>
        </w:tabs>
        <w:spacing w:line="360" w:lineRule="auto"/>
        <w:ind w:firstLine="48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◆《档案库房技术管理暂行条例》</w:t>
      </w:r>
    </w:p>
    <w:p>
      <w:pPr>
        <w:tabs>
          <w:tab w:val="left" w:pos="0"/>
        </w:tabs>
        <w:spacing w:line="360" w:lineRule="auto"/>
        <w:ind w:firstLine="48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◆《档案馆温湿度管理暂行规定》</w:t>
      </w:r>
    </w:p>
    <w:p>
      <w:pPr>
        <w:tabs>
          <w:tab w:val="left" w:pos="0"/>
        </w:tabs>
        <w:spacing w:line="360" w:lineRule="auto"/>
        <w:ind w:firstLine="48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◆《档案库房空气质量检测技术规范》</w:t>
      </w:r>
    </w:p>
    <w:p>
      <w:pPr>
        <w:tabs>
          <w:tab w:val="left" w:pos="0"/>
        </w:tabs>
        <w:spacing w:line="360" w:lineRule="auto"/>
        <w:ind w:firstLine="48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w:t>
      </w:r>
      <w:r>
        <w:rPr>
          <w:highlight w:val="none"/>
        </w:rPr>
        <w:fldChar w:fldCharType="begin"/>
      </w:r>
      <w:r>
        <w:rPr>
          <w:highlight w:val="none"/>
        </w:rPr>
        <w:instrText xml:space="preserve"> HYPERLINK "https://www.saac.gov.cn/daj/hybz/201806/b917fc8396444b6c88307b72f187759e/files/10d40c653a204d8c928751fddf14248b.pdf" \t "E:\保管处工作\城市档案中心建设\杭州档案中心平面和报价\招标征求意见\_blank" \o "DA/T 65-2017 档案密集架智能管理系统技术要求" </w:instrText>
      </w:r>
      <w:r>
        <w:rPr>
          <w:highlight w:val="none"/>
        </w:rPr>
        <w:fldChar w:fldCharType="separate"/>
      </w:r>
      <w:r>
        <w:rPr>
          <w:rStyle w:val="76"/>
          <w:rFonts w:hint="eastAsia" w:ascii="仿宋_GB2312" w:hAnsi="仿宋" w:eastAsia="仿宋_GB2312" w:cs="Helvetica"/>
          <w:color w:val="000000" w:themeColor="text1"/>
          <w:sz w:val="24"/>
          <w:szCs w:val="24"/>
          <w:highlight w:val="none"/>
          <w14:textFill>
            <w14:solidFill>
              <w14:schemeClr w14:val="tx1"/>
            </w14:solidFill>
          </w14:textFill>
        </w:rPr>
        <w:t>《档案密集架智能管理系统技术要求</w:t>
      </w:r>
      <w:r>
        <w:rPr>
          <w:rStyle w:val="76"/>
          <w:rFonts w:hint="eastAsia" w:ascii="仿宋_GB2312" w:hAnsi="仿宋" w:eastAsia="仿宋_GB2312" w:cs="Helvetica"/>
          <w:color w:val="000000" w:themeColor="text1"/>
          <w:sz w:val="24"/>
          <w:szCs w:val="24"/>
          <w:highlight w:val="none"/>
          <w14:textFill>
            <w14:solidFill>
              <w14:schemeClr w14:val="tx1"/>
            </w14:solidFill>
          </w14:textFill>
        </w:rPr>
        <w:fldChar w:fldCharType="end"/>
      </w: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》（DA/T 65）</w:t>
      </w:r>
    </w:p>
    <w:p>
      <w:pPr>
        <w:tabs>
          <w:tab w:val="left" w:pos="0"/>
        </w:tabs>
        <w:spacing w:line="360" w:lineRule="auto"/>
        <w:ind w:firstLine="48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◆《直列式档案密集架》（DA/T 7）</w:t>
      </w:r>
    </w:p>
    <w:p>
      <w:pPr>
        <w:pStyle w:val="57"/>
        <w:widowControl w:val="0"/>
        <w:spacing w:before="0" w:beforeAutospacing="0" w:after="0" w:afterAutospacing="0" w:line="360" w:lineRule="auto"/>
        <w:ind w:firstLine="480" w:firstLineChars="200"/>
        <w:jc w:val="both"/>
        <w:rPr>
          <w:rFonts w:ascii="仿宋_GB2312" w:hAnsi="仿宋" w:eastAsia="仿宋_GB2312" w:cs="Helvetica"/>
          <w:color w:val="000000" w:themeColor="text1"/>
          <w:szCs w:val="24"/>
          <w:highlight w:val="none"/>
          <w14:textFill>
            <w14:solidFill>
              <w14:schemeClr w14:val="tx1"/>
            </w14:solidFill>
          </w14:textFill>
        </w:rPr>
      </w:pPr>
      <w:r>
        <w:rPr>
          <w:rFonts w:hint="eastAsia" w:ascii="仿宋_GB2312" w:hAnsi="仿宋" w:eastAsia="仿宋_GB2312" w:cs="Helvetica"/>
          <w:color w:val="000000" w:themeColor="text1"/>
          <w:szCs w:val="24"/>
          <w:highlight w:val="none"/>
          <w:lang w:bidi="ar"/>
          <w14:textFill>
            <w14:solidFill>
              <w14:schemeClr w14:val="tx1"/>
            </w14:solidFill>
          </w14:textFill>
        </w:rPr>
        <w:t>◆《钢制书架 第4部分：电动密集书架》（GB/T 13667.4）</w:t>
      </w:r>
    </w:p>
    <w:p>
      <w:pPr>
        <w:tabs>
          <w:tab w:val="left" w:pos="0"/>
        </w:tabs>
        <w:snapToGrid w:val="0"/>
        <w:spacing w:line="360" w:lineRule="auto"/>
        <w:ind w:firstLine="48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◆《信息技术设备 安全第一部分：通用要求》（GB/4943.1）</w:t>
      </w:r>
    </w:p>
    <w:p>
      <w:pPr>
        <w:pStyle w:val="57"/>
        <w:widowControl w:val="0"/>
        <w:spacing w:before="0" w:beforeAutospacing="0" w:after="0" w:afterAutospacing="0" w:line="360" w:lineRule="auto"/>
        <w:ind w:firstLine="480" w:firstLineChars="200"/>
        <w:jc w:val="both"/>
        <w:rPr>
          <w:rFonts w:ascii="Arial" w:hAnsi="Arial" w:eastAsia="黑体" w:cs="Arial"/>
          <w:color w:val="000000" w:themeColor="text1"/>
          <w:highlight w:val="none"/>
          <w14:textFill>
            <w14:solidFill>
              <w14:schemeClr w14:val="tx1"/>
            </w14:solidFill>
          </w14:textFill>
        </w:rPr>
      </w:pPr>
      <w:r>
        <w:rPr>
          <w:rFonts w:hint="eastAsia" w:ascii="仿宋_GB2312" w:hAnsi="仿宋" w:eastAsia="仿宋_GB2312" w:cs="Helvetica"/>
          <w:color w:val="000000" w:themeColor="text1"/>
          <w:szCs w:val="24"/>
          <w:highlight w:val="none"/>
          <w:lang w:bidi="ar"/>
          <w14:textFill>
            <w14:solidFill>
              <w14:schemeClr w14:val="tx1"/>
            </w14:solidFill>
          </w14:textFill>
        </w:rPr>
        <w:t>◆《电磁屏蔽室工程技术规范》（GB/T 50719）</w:t>
      </w:r>
    </w:p>
    <w:p>
      <w:pPr>
        <w:tabs>
          <w:tab w:val="left" w:pos="0"/>
        </w:tabs>
        <w:snapToGrid w:val="0"/>
        <w:spacing w:line="360" w:lineRule="auto"/>
        <w:ind w:firstLine="480"/>
        <w:rPr>
          <w:rFonts w:ascii="仿宋_GB2312" w:hAnsi="仿宋" w:eastAsia="仿宋_GB2312" w:cs="Helvetica"/>
          <w:color w:val="000000" w:themeColor="text1"/>
          <w:kern w:val="0"/>
          <w:sz w:val="24"/>
          <w:szCs w:val="24"/>
          <w:highlight w:val="none"/>
          <w14:textFill>
            <w14:solidFill>
              <w14:schemeClr w14:val="tx1"/>
            </w14:solidFill>
          </w14:textFill>
        </w:rPr>
      </w:pPr>
      <w:r>
        <w:rPr>
          <w:rFonts w:hint="eastAsia" w:ascii="仿宋_GB2312" w:hAnsi="仿宋" w:eastAsia="仿宋_GB2312" w:cs="Helvetica"/>
          <w:color w:val="000000" w:themeColor="text1"/>
          <w:kern w:val="0"/>
          <w:sz w:val="24"/>
          <w:szCs w:val="24"/>
          <w:highlight w:val="none"/>
          <w:lang w:bidi="ar"/>
          <w14:textFill>
            <w14:solidFill>
              <w14:schemeClr w14:val="tx1"/>
            </w14:solidFill>
          </w14:textFill>
        </w:rPr>
        <w:t>◆《磁性载体档案管理与保护规范》（DA/T 15）</w:t>
      </w:r>
    </w:p>
    <w:p>
      <w:pPr>
        <w:pStyle w:val="57"/>
        <w:widowControl w:val="0"/>
        <w:spacing w:before="0" w:beforeAutospacing="0" w:after="0" w:afterAutospacing="0" w:line="360" w:lineRule="auto"/>
        <w:ind w:firstLine="480" w:firstLineChars="200"/>
        <w:jc w:val="both"/>
        <w:rPr>
          <w:rFonts w:ascii="Arial" w:hAnsi="Arial" w:eastAsia="黑体" w:cs="Arial"/>
          <w:color w:val="000000" w:themeColor="text1"/>
          <w:highlight w:val="none"/>
          <w14:textFill>
            <w14:solidFill>
              <w14:schemeClr w14:val="tx1"/>
            </w14:solidFill>
          </w14:textFill>
        </w:rPr>
      </w:pPr>
      <w:r>
        <w:rPr>
          <w:rFonts w:hint="eastAsia" w:ascii="仿宋_GB2312" w:hAnsi="仿宋" w:eastAsia="仿宋_GB2312" w:cs="Helvetica"/>
          <w:color w:val="000000" w:themeColor="text1"/>
          <w:szCs w:val="24"/>
          <w:highlight w:val="none"/>
          <w:lang w:bidi="ar"/>
          <w14:textFill>
            <w14:solidFill>
              <w14:schemeClr w14:val="tx1"/>
            </w14:solidFill>
          </w14:textFill>
        </w:rPr>
        <w:t>◆ISO/IECI15693 智能标签和读写器的空气接口及数据通信规范</w:t>
      </w:r>
    </w:p>
    <w:p>
      <w:pPr>
        <w:tabs>
          <w:tab w:val="left" w:pos="0"/>
        </w:tabs>
        <w:snapToGrid w:val="0"/>
        <w:spacing w:line="360" w:lineRule="auto"/>
        <w:ind w:firstLine="480"/>
        <w:rPr>
          <w:rFonts w:ascii="仿宋_GB2312" w:hAnsi="仿宋" w:eastAsia="仿宋_GB2312" w:cs="Helvetica"/>
          <w:b/>
          <w:color w:val="000000" w:themeColor="text1"/>
          <w:kern w:val="0"/>
          <w:sz w:val="24"/>
          <w:szCs w:val="24"/>
          <w:highlight w:val="none"/>
          <w14:textFill>
            <w14:solidFill>
              <w14:schemeClr w14:val="tx1"/>
            </w14:solidFill>
          </w14:textFill>
        </w:rPr>
      </w:pPr>
      <w:r>
        <w:rPr>
          <w:rFonts w:hint="eastAsia" w:ascii="仿宋_GB2312" w:hAnsi="仿宋" w:eastAsia="仿宋_GB2312" w:cs="Helvetica"/>
          <w:b/>
          <w:color w:val="000000" w:themeColor="text1"/>
          <w:kern w:val="0"/>
          <w:sz w:val="24"/>
          <w:szCs w:val="24"/>
          <w:highlight w:val="none"/>
          <w:lang w:bidi="ar"/>
          <w14:textFill>
            <w14:solidFill>
              <w14:schemeClr w14:val="tx1"/>
            </w14:solidFill>
          </w14:textFill>
        </w:rPr>
        <w:t>注：所涉及到的标准，有最新标准的，均按最新标准执行</w:t>
      </w:r>
    </w:p>
    <w:p>
      <w:pPr>
        <w:pStyle w:val="57"/>
        <w:widowControl w:val="0"/>
        <w:autoSpaceDE w:val="0"/>
        <w:autoSpaceDN w:val="0"/>
        <w:spacing w:before="0" w:beforeAutospacing="0" w:after="0" w:afterAutospacing="0" w:line="360" w:lineRule="auto"/>
        <w:jc w:val="both"/>
        <w:outlineLvl w:val="1"/>
        <w:rPr>
          <w:rFonts w:cs="宋体"/>
          <w:b/>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2"/>
          <w:sz w:val="32"/>
          <w:szCs w:val="20"/>
          <w:highlight w:val="none"/>
          <w:lang w:bidi="ar"/>
          <w14:textFill>
            <w14:solidFill>
              <w14:schemeClr w14:val="tx1"/>
            </w14:solidFill>
          </w14:textFill>
        </w:rPr>
        <w:t>三、杭州市城市档案中心智慧库房智慧化综合管理平台及配套设施、智能密集架、防磁库需求清单</w:t>
      </w:r>
    </w:p>
    <w:tbl>
      <w:tblPr>
        <w:tblStyle w:val="62"/>
        <w:tblW w:w="949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08"/>
        <w:gridCol w:w="632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序号</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设备名称</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技术参数、规格及要求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仿宋" w:eastAsia="仿宋_GB2312" w:cs="仿宋_GB2312"/>
                <w:color w:val="000000" w:themeColor="text1"/>
                <w:spacing w:val="-20"/>
                <w:sz w:val="24"/>
                <w:szCs w:val="24"/>
                <w:highlight w:val="none"/>
                <w14:textFill>
                  <w14:solidFill>
                    <w14:schemeClr w14:val="tx1"/>
                  </w14:solidFill>
                </w14:textFill>
              </w:rPr>
            </w:pPr>
            <w:r>
              <w:rPr>
                <w:rFonts w:hint="eastAsia" w:ascii="仿宋_GB2312" w:hAnsi="仿宋" w:eastAsia="仿宋_GB2312" w:cs="仿宋_GB2312"/>
                <w:color w:val="000000" w:themeColor="text1"/>
                <w:spacing w:val="-20"/>
                <w:sz w:val="24"/>
                <w:szCs w:val="24"/>
                <w:highlight w:val="none"/>
                <w:lang w:bidi="ar"/>
                <w14:textFill>
                  <w14:solidFill>
                    <w14:schemeClr w14:val="tx1"/>
                  </w14:solidFill>
                </w14:textFill>
              </w:rPr>
              <w:t>▲</w:t>
            </w:r>
            <w:r>
              <w:rPr>
                <w:rFonts w:hint="eastAsia" w:ascii="仿宋" w:hAnsi="仿宋" w:eastAsia="仿宋" w:cs="仿宋"/>
                <w:b/>
                <w:color w:val="000000" w:themeColor="text1"/>
                <w:spacing w:val="-20"/>
                <w:kern w:val="0"/>
                <w:sz w:val="24"/>
                <w:szCs w:val="24"/>
                <w:highlight w:val="none"/>
                <w:lang w:bidi="ar"/>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一、智慧化综合管理平台及管理用房建设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智慧化综合管理平台</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综合管理平台应实现模块化、一体化设计，可自行增减模块，系统需涵盖以下模块：档案库房导引显示系统模块、档案库房环境安全智能系统模块、智能消毒净化系统模块、档案安全实时监测系统模块、馆库业务信息交互系统（紧急呼叫系统）模块、智慧电子标签管理系统模块、能源安全管理系统模块、智能灯光指引系统模块、智能密集架存储系统模块、智慧数字视频监控系统及人脸识别门禁系统模块（对接）、档案业务工作模式系统（预留）等，同时应预留其它相关系统接入的接口模块，并满足市场上通用系统的接入要求；</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2.综合管理平台支持多单位共用，同时又可独立管理，具体详见项目技术要求；</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3.平台须与大楼温湿度系统、消毒净化系统无缝对接；</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4.平台须与大楼视屏、门禁系统无缝对接；</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5.平台须与各档案业务管理系统无缝对接；</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6.平台需支持国产化；</w:t>
            </w:r>
          </w:p>
          <w:p>
            <w:pPr>
              <w:pStyle w:val="2"/>
              <w:widowControl/>
              <w:ind w:left="0" w:firstLine="0"/>
              <w:rPr>
                <w:rFonts w:ascii="仿宋" w:eastAsia="仿宋" w:cs="仿宋"/>
                <w:color w:val="000000" w:themeColor="text1"/>
                <w:kern w:val="0"/>
                <w:sz w:val="24"/>
                <w:szCs w:val="24"/>
                <w:highlight w:val="none"/>
                <w:lang w:val="en-US"/>
                <w14:textFill>
                  <w14:solidFill>
                    <w14:schemeClr w14:val="tx1"/>
                  </w14:solidFill>
                </w14:textFill>
              </w:rPr>
            </w:pPr>
            <w:r>
              <w:rPr>
                <w:rFonts w:hint="eastAsia" w:ascii="仿宋" w:eastAsia="仿宋" w:cs="仿宋"/>
                <w:b w:val="0"/>
                <w:color w:val="000000" w:themeColor="text1"/>
                <w:kern w:val="0"/>
                <w:sz w:val="24"/>
                <w:szCs w:val="24"/>
                <w:highlight w:val="none"/>
                <w:lang w:val="en-US"/>
                <w14:textFill>
                  <w14:solidFill>
                    <w14:schemeClr w14:val="tx1"/>
                  </w14:solidFill>
                </w14:textFill>
              </w:rPr>
              <w:t>7.具体详见项目技术要求。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平台数据存储设备（国产化）</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19"/>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多用户，可以对数据进行查询、搜索、同步、报告和分析等操作；</w:t>
            </w:r>
          </w:p>
          <w:p>
            <w:pPr>
              <w:pStyle w:val="1019"/>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处理器主频2.6G，核数64,路数1；内存128G,速率2933MT/S,</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扩展最大支持2048GB；硬盘类型SATA HDD/SAS SSD，容量：4TB*3*960GB,最大支持16个盘位（14个3.5寸，2个2.5寸）；接口：4个USB3.0，串口1个、VGA2个；支持RAD0/1/5/6/10/50/60； 尺寸2U；电源功率900W*2。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lang w:bidi="ar"/>
                <w14:textFill>
                  <w14:solidFill>
                    <w14:schemeClr w14:val="tx1"/>
                  </w14:solidFill>
                </w14:textFill>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超窄边拼接屏</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_GB2312" w:hAnsi="仿宋" w:eastAsia="仿宋_GB2312" w:cs="仿宋_GB2312"/>
                <w:color w:val="000000" w:themeColor="text1"/>
                <w:spacing w:val="-20"/>
                <w:sz w:val="24"/>
                <w:szCs w:val="24"/>
                <w:highlight w:val="none"/>
                <w:lang w:bidi="ar"/>
                <w14:textFill>
                  <w14:solidFill>
                    <w14:schemeClr w14:val="tx1"/>
                  </w14:solidFill>
                </w14:textFill>
              </w:rPr>
              <w:t>▲政府强制采购的节能产品</w:t>
            </w:r>
            <w:r>
              <w:rPr>
                <w:rFonts w:hint="eastAsia" w:ascii="仿宋_GB2312" w:hAnsi="仿宋" w:eastAsia="仿宋_GB2312" w:cs="仿宋_GB2312"/>
                <w:color w:val="000000" w:themeColor="text1"/>
                <w:spacing w:val="-20"/>
                <w:sz w:val="24"/>
                <w:szCs w:val="24"/>
                <w:highlight w:val="none"/>
                <w:lang w:eastAsia="zh-CN" w:bidi="ar"/>
                <w14:textFill>
                  <w14:solidFill>
                    <w14:schemeClr w14:val="tx1"/>
                  </w14:solidFill>
                </w14:textFill>
              </w:rPr>
              <w:t>，</w:t>
            </w:r>
            <w:r>
              <w:rPr>
                <w:rFonts w:hint="eastAsia" w:ascii="仿宋_GB2312" w:hAnsi="仿宋" w:eastAsia="仿宋_GB2312" w:cs="仿宋_GB2312"/>
                <w:color w:val="000000" w:themeColor="text1"/>
                <w:spacing w:val="-20"/>
                <w:sz w:val="24"/>
                <w:szCs w:val="24"/>
                <w:highlight w:val="none"/>
                <w:lang w:val="en-US" w:eastAsia="zh-CN" w:bidi="ar"/>
                <w14:textFill>
                  <w14:solidFill>
                    <w14:schemeClr w14:val="tx1"/>
                  </w14:solidFill>
                </w14:textFill>
              </w:rPr>
              <w:t>提供</w:t>
            </w:r>
            <w:r>
              <w:rPr>
                <w:rFonts w:hint="eastAsia" w:ascii="仿宋" w:hAnsi="仿宋" w:eastAsia="仿宋" w:cs="仿宋"/>
                <w:color w:val="000000" w:themeColor="text1"/>
                <w:kern w:val="0"/>
                <w:sz w:val="24"/>
                <w:szCs w:val="24"/>
                <w:highlight w:val="none"/>
                <w:lang w:bidi="ar"/>
                <w14:textFill>
                  <w14:solidFill>
                    <w14:schemeClr w14:val="tx1"/>
                  </w14:solidFill>
                </w14:textFill>
              </w:rPr>
              <w:t>国家确定的认证机构出具的、处于有效期之内的节能产品认证证书。</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1.液晶屏尺吋：≧49吋；</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2.分辨率：≧1920x1080；</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3.视角：178°(水平)/ 178°(垂直)；</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4.响应时间：≦8ms(G to G)；</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5.对比度：≧4000:1；</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6.亮度：≧500cd/㎡；</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7.物理拼缝：≤3.5mm；</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8.输入接口:VGA×1，DVI×1，BNC×1，YPbPr×1，HDMI×1,USB×1；</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9.输出接口:VGA×1，DVI×1，BNC×2；</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1O.控制接口:RJ45 for RS-232（输入×1，输出×2）；</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11.功耗：≤134W；</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12.电源要求：AC 100-240 V；</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13.寿命：≥60000 小时。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LCD屏框架</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模块化框架。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HDMI线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HDMI线2.0版 ，长度10米。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操作台</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采用6连体钢木结构，钢制部分采用≧2.0mm厚铝合金主体框架，表面为高级耐磨板。配有键盘、主机架、电源、排风口等，尺寸≧5米，具体以实际为准。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矩阵</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1.HDMI16进16出，支持4K×2K，支持HDMI2.0，HDMI1.4，HDMI1.3；</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2.带宽：不小于10.2Gbps（-3Db）满载；</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3.切换速度：150ns。</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网线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1.超5类非屏蔽，材料为优质无氧铜；</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2.外皮：材料为优质PVC料，绝缘层为PE料。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辅材</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电线、排插、水晶头等。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工控机</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w:t>
            </w:r>
            <w:r>
              <w:rPr>
                <w:rFonts w:hint="eastAsia" w:ascii="仿宋_GB2312" w:hAnsi="仿宋" w:eastAsia="仿宋_GB2312" w:cs="仿宋_GB2312"/>
                <w:color w:val="000000" w:themeColor="text1"/>
                <w:spacing w:val="-20"/>
                <w:sz w:val="24"/>
                <w:szCs w:val="24"/>
                <w:highlight w:val="none"/>
                <w:lang w:bidi="ar"/>
                <w14:textFill>
                  <w14:solidFill>
                    <w14:schemeClr w14:val="tx1"/>
                  </w14:solidFill>
                </w14:textFill>
              </w:rPr>
              <w:t>政府强制采购的节能产品</w:t>
            </w:r>
            <w:r>
              <w:rPr>
                <w:rFonts w:hint="eastAsia" w:ascii="仿宋_GB2312" w:hAnsi="仿宋" w:eastAsia="仿宋_GB2312" w:cs="仿宋_GB2312"/>
                <w:color w:val="000000" w:themeColor="text1"/>
                <w:spacing w:val="-20"/>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提供国家确定的认证机构出具的、处于有效期之内的节能产品认证证书。</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1.CPU:酷睿I5；</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2.内存：≧8G；</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3.硬盘：≧1TB；</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4.光驱：DVDRW；</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5.显卡:2G独显；</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6.显示器：≧21.5寸宽屏显示器。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工业级电源</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1.输入电压范围：280/160VAC；</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2.过载保护，自动侦测自动恢复；</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3.输出 12V/10A: 5V/15A。</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四面墙装饰</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采用防火竹木纤维板（面板可选），工艺处理，木挂条防阻燃处理；含原墙面基础处理及踢脚线处理等辅材、配件等所有材料，含灯具处理。约90平方米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吊顶</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1.款式：铝合金U型条装吊顶;</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2.厚度≧0.6mm;</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3.表面工艺：抗油污滚涂板；</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4.约60平方米。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静电地板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为600*600mm；安装高度25CM（可调）；表面电阻：50K（Ω）；基座钢铁支架经过镀锌及先进的强化处理，增加抗弯强度。支架底板以螺丝加固于地面，支架顶部安装防震垫；采用C型横梁增加地板结构承载力。约60平方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单模光缆</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规格:24芯 GJPFJV-24B1.3；敷设方式:桥架内。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光纤配线架</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规格:1U 19″，固定式（配LC双工面板）。</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17</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光纤尾纤</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规格:LC单模。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18</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光纤跳线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规格:LC-LC单模。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19</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光纤收发器单模</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一光一电，sc、RJ45接口，三级防雷、电信级。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20</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综合控制柜</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结构坚固，采用≧1.5mm优质冷轧钢板，具体根据实际定制。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二、档案库房导引显示系统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显示屏</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_GB2312" w:hAnsi="仿宋" w:eastAsia="仿宋_GB2312" w:cs="仿宋_GB2312"/>
                <w:color w:val="000000" w:themeColor="text1"/>
                <w:spacing w:val="-20"/>
                <w:sz w:val="24"/>
                <w:szCs w:val="24"/>
                <w:highlight w:val="none"/>
                <w:lang w:bidi="ar"/>
                <w14:textFill>
                  <w14:solidFill>
                    <w14:schemeClr w14:val="tx1"/>
                  </w14:solidFill>
                </w14:textFill>
              </w:rPr>
              <w:t>▲政府强制采购的节能产品</w:t>
            </w:r>
            <w:r>
              <w:rPr>
                <w:rFonts w:hint="eastAsia" w:ascii="仿宋_GB2312" w:hAnsi="仿宋" w:eastAsia="仿宋_GB2312" w:cs="仿宋_GB2312"/>
                <w:color w:val="000000" w:themeColor="text1"/>
                <w:spacing w:val="-20"/>
                <w:sz w:val="24"/>
                <w:szCs w:val="24"/>
                <w:highlight w:val="none"/>
                <w:lang w:eastAsia="zh-CN" w:bidi="ar"/>
                <w14:textFill>
                  <w14:solidFill>
                    <w14:schemeClr w14:val="tx1"/>
                  </w14:solidFill>
                </w14:textFill>
              </w:rPr>
              <w:t>，</w:t>
            </w:r>
            <w:r>
              <w:rPr>
                <w:rFonts w:hint="eastAsia" w:ascii="仿宋_GB2312" w:hAnsi="仿宋" w:eastAsia="仿宋_GB2312" w:cs="仿宋_GB2312"/>
                <w:color w:val="000000" w:themeColor="text1"/>
                <w:spacing w:val="-20"/>
                <w:sz w:val="24"/>
                <w:szCs w:val="24"/>
                <w:highlight w:val="none"/>
                <w:lang w:val="en-US" w:eastAsia="zh-CN" w:bidi="ar"/>
                <w14:textFill>
                  <w14:solidFill>
                    <w14:schemeClr w14:val="tx1"/>
                  </w14:solidFill>
                </w14:textFill>
              </w:rPr>
              <w:t>提供</w:t>
            </w:r>
            <w:r>
              <w:rPr>
                <w:rFonts w:hint="eastAsia" w:ascii="仿宋" w:hAnsi="仿宋" w:eastAsia="仿宋" w:cs="仿宋"/>
                <w:color w:val="000000" w:themeColor="text1"/>
                <w:kern w:val="0"/>
                <w:sz w:val="24"/>
                <w:szCs w:val="24"/>
                <w:highlight w:val="none"/>
                <w:lang w:bidi="ar"/>
                <w14:textFill>
                  <w14:solidFill>
                    <w14:schemeClr w14:val="tx1"/>
                  </w14:solidFill>
                </w14:textFill>
              </w:rPr>
              <w:t>国家确定的认证机构出具的、处于有效期之内的节能产品认证证书。</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1.显示参数</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1.1.采用≧75寸高清16:9全视角</w:t>
            </w:r>
            <w:r>
              <w:rPr>
                <w:rFonts w:hint="eastAsia" w:ascii="仿宋" w:hAnsi="仿宋" w:eastAsia="仿宋" w:cs="仿宋"/>
                <w:color w:val="000000" w:themeColor="text1"/>
                <w:kern w:val="0"/>
                <w:sz w:val="24"/>
                <w:szCs w:val="24"/>
                <w:highlight w:val="none"/>
                <w:lang w:bidi="ar"/>
                <w14:textFill>
                  <w14:solidFill>
                    <w14:schemeClr w14:val="tx1"/>
                  </w14:solidFill>
                </w14:textFill>
              </w:rPr>
              <w:t>L</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C</w:t>
            </w:r>
            <w:r>
              <w:rPr>
                <w:rFonts w:hint="eastAsia" w:ascii="仿宋" w:hAnsi="仿宋" w:eastAsia="仿宋" w:cs="仿宋"/>
                <w:color w:val="000000" w:themeColor="text1"/>
                <w:kern w:val="0"/>
                <w:sz w:val="24"/>
                <w:szCs w:val="24"/>
                <w:highlight w:val="none"/>
                <w:lang w:bidi="ar"/>
                <w14:textFill>
                  <w14:solidFill>
                    <w14:schemeClr w14:val="tx1"/>
                  </w14:solidFill>
                </w14:textFill>
              </w:rPr>
              <w:t>D显示屏</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1.2.分辨率：≧1920*1080；</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1.3.显示屏面积：≧1652.8*930mm；</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1.4.背光类型：DLED；</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1.5.响应时间：≦16.7M（8-bit）；</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1.6.工作频率：60HZ；</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1.7可视角度：≧89/89/89/89(左/右/上/下)；</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1.8.亮度：350cd/㎡；</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2.触控参数</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2.1触控方式:红外触摸；</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2.2驱动方式：HID免驱；</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2.3触控点数：≧10点触摸；</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2.4触控介质：手指或触控笔；</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2.5触控精度：≦2mm；</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2.6触控次数：无限；</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2.7响应时间：&lt;8ms；</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2.8触控界面：≧3.5mm钢化玻璃</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3.工作环境</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3.1输入电压：AC110-220V；</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3.2使用环境：温度‐20℃~60℃/湿度10%RH~90%RH；</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3.3储存环境：温度‐10℃~55℃/湿度10%RH~90%RH；</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4.整机寿命：大于60000小时。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发送盒</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1.具备强大的视频信号接收和处理能力，支持HDMI、DVI、SDI、CVBS等数字接口，多路信号间无缝切换；提供灵活的屏幕控制和高品质的图像显示；</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2.其它满足规范要求。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系统</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用户可根据需要后台推送、需要显示的内容。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辅材</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各类管线。</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三、档案库房环境安全智能控制系统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中心处理器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color w:val="000000" w:themeColor="text1"/>
                <w:szCs w:val="24"/>
                <w:highlight w:val="none"/>
                <w:lang w:bidi="ar"/>
                <w14:textFill>
                  <w14:solidFill>
                    <w14:schemeClr w14:val="tx1"/>
                  </w14:solidFill>
                </w14:textFill>
              </w:rPr>
              <w:t>1.</w:t>
            </w:r>
            <w:r>
              <w:rPr>
                <w:rFonts w:hint="eastAsia" w:ascii="仿宋" w:hAnsi="仿宋" w:eastAsia="仿宋" w:cs="仿宋"/>
                <w:color w:val="000000" w:themeColor="text1"/>
                <w:sz w:val="24"/>
                <w:szCs w:val="24"/>
                <w:highlight w:val="none"/>
                <w:lang w:bidi="ar"/>
                <w14:textFill>
                  <w14:solidFill>
                    <w14:schemeClr w14:val="tx1"/>
                  </w14:solidFill>
                </w14:textFill>
              </w:rPr>
              <w:t>采用工业级处理芯片；</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2.LCD真彩≧10寸及以上显示屏；</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3.CAN总线通讯方式；</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4.对控制器实时监控，故障自我诊断，并上传上位机；</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5.通讯速率115200Bps ；</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6.存储容量：≧128KB；</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7.工作温度：-40°C ~ 85°C；</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8.数据自动存储，参数设置工业级触摸显示屏,CRC数据校验；</w:t>
            </w:r>
          </w:p>
          <w:p>
            <w:pPr>
              <w:widowControl/>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9.需与原温湿度、粉尘、二氧化碳、VOC等探测器及空调控制器无缝对接。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区域控制器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1.多回路无源控制节点，每个回路可单独强制开关和智慧控制；</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2.可设定多回路同时开关时间延时，防止电流冲击；</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3.预留备用节点接口；</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4.存储容量：≧128KB，区域编号自行设置，实时显示环境参数；</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5.预留备用节点接口；</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6.需要温湿度、粉尘、二氧化碳等探测器及设备状态无缝对接。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数据通讯控制器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1.采集信号通过协议转换器输入到终端主控机；</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2.通讯速率：115200Bps；</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3.传 输：距离≧2Km；</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4.工业级总线控制器及收发器。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工业级恒湿一体机</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1.除湿量：≧90L/D；</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2.加湿量：≧3Kg/h；</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3.噪声：高速低于60db；</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4.效率：单位功率除湿量大于65%；银离子滤网；</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5.显示：≧10寸工业级 16:9 显示屏；</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6.排水：自动连续排水；</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7.电源：220V/50Hz；</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8.设备功率：≦1650W；</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9.噪声采用标准：GB/T17248.3-2018。</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恒湿一体机控制器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1.输入电源：12VDC；</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2.功耗：平均电流小于100mA；</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3.容量：2Kx8；</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4.通讯方式：CAN总线协议；</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5.依据设置湿度参数范围自动开启或关闭除湿状态；</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6.设备运行状态回传至中心控制主机；</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7.金属外壳；</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8.符合防磁屏蔽要求。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空调控制器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1.依据设置温度上、下限参数值，采用红外远程控制等方式实现空调制冷、制热的智能切换；</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2.实时对空调状态检测，数据回传；</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3.对控制状态每30分钟重复一次，以确保空调状态；</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4.输入保护：信号输入口具有防反接与过压保护功能；</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5.金属外壳；</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6.符合防磁屏蔽要求。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温湿度探测器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1.湿度测量范围：0～100%RH ±2%R；</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 xml:space="preserve">2.温度测量范围：-40～ 128℃ ±0.3℃； </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3.功耗：≦80uW；</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4.可完全浸没；</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5.金属外壳；</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6.符合防磁屏蔽要求。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粉尘探测控制器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1.供电电压：DC12-24V；</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2.测量范围：PM2.5、PM10 (0 ～99ug/m3) UART_TTL输出；</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3.测量精度：土10%；</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4.工作环境：温度 -10℃～65℃；</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5.工作环境：湿度 0～80％RH；</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6.存储环境：－30～70℃；</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7金属外壳；</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8.符合防磁屏蔽要求。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二氧化碳控制器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1.供电电压：DC12-24V；</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2.深测气体及探测元件：二氧化碳，NDIR 非色散红外自扩散式；</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3.检测范围：0-5000ppm；</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4.检测精度：±50ppm；</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5.预热时间：≤3min；</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6.操作环境：0～50℃，0～95%RH，无冷凝；</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7.稳定性：使用周期小于2%；</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8.金属外壳；</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9.符合防磁屏蔽要求。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电源线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RVV4*0.75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通讯线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RVV3*0.75。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控制线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RVV4*0.5。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辅材</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配线架、水晶头、扎带、塑料管、金属软管等。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四、智能消毒净化系统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消毒净化一体机</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1.过滤大于0.3微米可吸入悬浮颗粒、螨虫、花粉等过敏源，有效率≧99.97%；</w:t>
            </w:r>
          </w:p>
          <w:p>
            <w:pP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2.强化活性碳：吸附分解甲醛、苯、氨、臭氧等有毒气体氧化分解冷触媒：可杀灭病菌，分解甲醛、氨、苯、乙硫醇、TVOC等有毒气体，有效率≧ 90%；</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3.纳米银离子：抑制尘螨，杀灭大肠杆菌、真菌等病菌，除菌率≧99%；</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4.臭氧分解触媒：针对性分解空气中的臭氧，同时分解有害化学气体；</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5.负(氧)离子：臭氧发生量≧20G；</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6.≧10寸工业级16:9显示屏；</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7.运转噪声小于50DB；</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w:t>
            </w:r>
            <w:r>
              <w:rPr>
                <w:rFonts w:hint="eastAsia" w:ascii="仿宋" w:hAnsi="仿宋" w:eastAsia="仿宋" w:cs="仿宋"/>
                <w:color w:val="000000" w:themeColor="text1"/>
                <w:sz w:val="24"/>
                <w:szCs w:val="24"/>
                <w:highlight w:val="none"/>
                <w:lang w:bidi="ar"/>
                <w14:textFill>
                  <w14:solidFill>
                    <w14:schemeClr w14:val="tx1"/>
                  </w14:solidFill>
                </w14:textFill>
              </w:rPr>
              <w:t>噪声采用标准</w:t>
            </w:r>
            <w:r>
              <w:rPr>
                <w:rFonts w:hint="eastAsia" w:ascii="仿宋" w:hAnsi="仿宋" w:eastAsia="仿宋" w:cs="仿宋"/>
                <w:color w:val="000000" w:themeColor="text1"/>
                <w:kern w:val="0"/>
                <w:sz w:val="24"/>
                <w:szCs w:val="24"/>
                <w:highlight w:val="none"/>
                <w:lang w:bidi="ar"/>
                <w14:textFill>
                  <w14:solidFill>
                    <w14:schemeClr w14:val="tx1"/>
                  </w14:solidFill>
                </w14:textFill>
              </w:rPr>
              <w:t>：GB/T17248.3-2018。</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消毒净化控制器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1.采用工业级处理芯片，CAN总线协议，依据参数检测净化消毒智能切换，空气质量级别、气味浓度实时显示，滤网更换提示；</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2.设备运行状态回传至中心控制主机；</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3.符合防磁屏蔽要求。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通讯线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1.配线形式:管内；</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2.规格:RVV4*0.75；</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3.材质:铜芯。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控制线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1.配线形式:管内；</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2.规格:RVV3*0.75；</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3.材质:铜芯。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辅材</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管材、配件、运输、安装调试等。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五、档案安全实时监测系统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安全报警控制器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1.工业级单片机，总线协议，多路报警信息输入接口，优先级传送；</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2.实时监测红外、水漫、烟雾、门禁等状态并传送至主机,视屏同时切换至报警画面；</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3.电路异常信息报警并传送至主机；</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4.实时对温度、湿度、PM2.5、二氧化碳数值超标状态记录并传送至主机；</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5.工作湿度:10% ~95%rh无凝结；</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6.存储容量：≧128KB；</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7.正常工作温度：-40°C ~ 85°C；</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8.传输方式：总线传输方式；</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9.CAN接口：2路；</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10.CAN波特率：5KBPS~1MBPS可编程。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三鉴入侵探测控制器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1.探测覆盖范围：直径10米；</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2.探测灵敏度：高、中、低三档可调，全方位探测，有效避免探测盲区；</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3.微波+红外+微处理。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漏水感应器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1.工作电源：12</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24V；</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2.工作功耗：静态功耗&lt;0.3W报警功耗0.5W；</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3.报警输出：继电器（负载30MA）常开/常闭；</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4.负载能力：VH为5V或12V(＋0.5V)固态继电器≦500mA；</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5.工作温度：1℃-50℃。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防水接线盒</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配套。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离子感烟控制器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1.工作范围：0℃～50℃ ，小于95RH%；</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2.报警复位：瞬间断电；声光LED指示。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通讯线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1.配线形式:管内；</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2.规格:RVV3*0.75；</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3.材质:铜芯。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控制线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1.配线形式:管内；</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2.规格:RVV4*0.75；</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3.材质:铜芯。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辅材</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管材、配件、运输、安装调试等。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六、馆库业务信息交互系统（紧急呼叫系统）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馆库业务信息交互系统</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1.信道，中英文语音提示；</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2.亚音频：51CTCSS/107DCS；</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3.宽窄带选择（25KHz/12.5KHz)；</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4.语音压扩/加密/尾音消除；</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5.耳语/9级静噪/VOX耳机支持，DTMF编码(PTT-ID)；</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6.四级电池电量语音提示；</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7.脱网/倒频/拍频偏移；</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8.省电/发射限时/自动关机；</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9.信道扫描/优先扫描；</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10.电池使用时间约10小时（5%发射，5%接收，90%待机)；</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11.每套至少带8个终端点位。</w:t>
            </w:r>
          </w:p>
          <w:p>
            <w:pPr>
              <w:widowControl/>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12.系统具有双向音频、视屏功能。</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 xml:space="preserve">七、智慧电子标签管理系统   </w:t>
            </w:r>
            <w:r>
              <w:rPr>
                <w:rFonts w:hint="eastAsia" w:ascii="仿宋_GB2312" w:hAnsi="仿宋" w:eastAsia="仿宋_GB2312" w:cs="仿宋_GB2312"/>
                <w:color w:val="000000" w:themeColor="text1"/>
                <w:spacing w:val="-20"/>
                <w:sz w:val="24"/>
                <w:szCs w:val="24"/>
                <w:highlight w:val="none"/>
                <w:lang w:bidi="ar"/>
                <w14:textFill>
                  <w14:solidFill>
                    <w14:schemeClr w14:val="tx1"/>
                  </w14:solidFill>
                </w14:textFill>
              </w:rPr>
              <w:t>▲“</w:t>
            </w:r>
            <w:r>
              <w:rPr>
                <w:rFonts w:hint="eastAsia" w:ascii="仿宋" w:hAnsi="仿宋" w:eastAsia="仿宋" w:cs="仿宋"/>
                <w:b/>
                <w:color w:val="000000" w:themeColor="text1"/>
                <w:kern w:val="0"/>
                <w:sz w:val="24"/>
                <w:szCs w:val="24"/>
                <w:highlight w:val="none"/>
                <w:lang w:bidi="ar"/>
                <w14:textFill>
                  <w14:solidFill>
                    <w14:schemeClr w14:val="tx1"/>
                  </w14:solidFill>
                </w14:textFill>
              </w:rPr>
              <w:t>智慧电子标签管理系统</w:t>
            </w:r>
            <w:r>
              <w:rPr>
                <w:rFonts w:hint="eastAsia" w:ascii="仿宋_GB2312" w:hAnsi="仿宋" w:eastAsia="仿宋_GB2312" w:cs="仿宋_GB2312"/>
                <w:color w:val="000000" w:themeColor="text1"/>
                <w:spacing w:val="-20"/>
                <w:sz w:val="24"/>
                <w:szCs w:val="24"/>
                <w:highlight w:val="none"/>
                <w:lang w:bidi="ar"/>
                <w14:textFill>
                  <w14:solidFill>
                    <w14:schemeClr w14:val="tx1"/>
                  </w14:solidFill>
                </w14:textFill>
              </w:rPr>
              <w:t>”</w:t>
            </w:r>
            <w:r>
              <w:rPr>
                <w:rFonts w:hint="eastAsia" w:ascii="仿宋_GB2312" w:hAnsi="仿宋" w:eastAsia="仿宋_GB2312" w:cs="仿宋_GB2312"/>
                <w:b/>
                <w:bCs/>
                <w:color w:val="000000" w:themeColor="text1"/>
                <w:spacing w:val="-20"/>
                <w:sz w:val="24"/>
                <w:szCs w:val="24"/>
                <w:highlight w:val="none"/>
                <w:lang w:bidi="ar"/>
                <w14:textFill>
                  <w14:solidFill>
                    <w14:schemeClr w14:val="tx1"/>
                  </w14:solidFill>
                </w14:textFill>
              </w:rPr>
              <w:t>项下所有</w:t>
            </w:r>
            <w:r>
              <w:rPr>
                <w:rFonts w:hint="eastAsia" w:ascii="仿宋" w:hAnsi="仿宋" w:eastAsia="仿宋" w:cs="仿宋"/>
                <w:b/>
                <w:bCs/>
                <w:color w:val="000000" w:themeColor="text1"/>
                <w:kern w:val="0"/>
                <w:sz w:val="24"/>
                <w:szCs w:val="24"/>
                <w:highlight w:val="none"/>
                <w:lang w:bidi="ar"/>
                <w14:textFill>
                  <w14:solidFill>
                    <w14:schemeClr w14:val="tx1"/>
                  </w14:solidFill>
                </w14:textFill>
              </w:rPr>
              <w:t>技</w:t>
            </w:r>
            <w:r>
              <w:rPr>
                <w:rFonts w:hint="eastAsia" w:ascii="仿宋" w:hAnsi="仿宋" w:eastAsia="仿宋" w:cs="仿宋"/>
                <w:b/>
                <w:color w:val="000000" w:themeColor="text1"/>
                <w:kern w:val="0"/>
                <w:sz w:val="24"/>
                <w:szCs w:val="24"/>
                <w:highlight w:val="none"/>
                <w:lang w:bidi="ar"/>
                <w14:textFill>
                  <w14:solidFill>
                    <w14:schemeClr w14:val="tx1"/>
                  </w14:solidFill>
                </w14:textFill>
              </w:rPr>
              <w:t>术参数、规格及要求均为实质性要求。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档案标签</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支持符合EPC CLASS1 G2、ISO18000-6C标准的电子标签；</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非接触式地读取和写入；</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防盗标识：采用AFI作为防盗的安全标志方法，且AFI标志位用户可以自由修改；</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防冲突性：能保证工作区间内多个标签的同时可靠识读；读取距离：读取距离≥120cm；</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使用寿命：正常情况下可使用≧10年以上，内存可擦写≧100,000次以上；</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标签能够有效抵抗档案中原有磁条干扰；</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标签具有较高的安全性，防止存储在其中的信息资料被泄露；</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用户可自定义数据格式和内容，具有良好的数据扩展性；</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具有不可改写的唯一序列号（UID）供识别和加密；</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标签为自带不干胶标签, 标签粘贴到位后不易撕毁、脱落，隐蔽性强,可安装于档案内页中；</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工作频率：860～960MHz；</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存储容量：≧512bits；</w:t>
            </w:r>
          </w:p>
          <w:p>
            <w:pPr>
              <w:widowControl/>
              <w:numPr>
                <w:ilvl w:val="0"/>
                <w:numId w:val="1"/>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环境温度：-10℃—70℃。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400000张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层架标签</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1.支持符合EPC CLASS1 G2、ISO18000-6C标准的电子标签；</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2.工作频率:860~960MHz；</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3.通讯速率:640 K bits/s；</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4.有效识读距离:0~10米；</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5.读取速度:≤ 0.05秒；</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6.有效使用寿命:≥10年；</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7.有效使用次数:≥10万次。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20000张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标签加工、档案数据注入、绑定</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档案下架、整理，软件内档案信息写入标签，同时将标签按要求黏贴到档案的相应位置。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数据对应、档案定位</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实体标签数据与软件内数据匹配对应、位置对应、上架等。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标签转换仪</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标签转换仪需和PC机连接，能快速识别带有RFID标签的档案盒，快速绑定标签信息，操作方便，防水、耐磨设计。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安全通道设备</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工作频率：860～960MHz；</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2.内置蜂鸣器和指示灯，≧6个外接SMA天线接口；</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3.支持RS232、RS485和TCPIP网络接口，充分支持符合EPC CLASS1 G2、ISO18000-6C标准；</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4.设备吸顶式安装；</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5.内置不少于6根天线，顶部4根，两边各1根。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智能盘点车</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支持符合EPC CLASS1 G2、ISO18000-6C标准的电子标签；</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2.工作频率860～960MHz；</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3.广谱跳频(FHSS)或定频发射方式工作；</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4.输出功率达至30dBm（可调）；</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5.存储空间:32G固态硬盘；</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6.屏幕尺寸:不小于21寸；</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7.支持RS232、RJ45（TCPIP）、WiFi（选配）等多种通讯接口。</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馆员工作站</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1.屏幕尺寸:不小于21寸；</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2.内建收发天线，读取距离&gt;500mm，写入距离&gt;300mm，主动工作模式下输出格式和参数可配置；</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3.支持ISO 18000-6C；</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4.工作频率为:860～960MHz；</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5.通讯接口:RS232、RJ45，USB；</w:t>
            </w:r>
          </w:p>
          <w:p>
            <w:pPr>
              <w:widowControl/>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6.输出功率: 30dBm。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档案盘点仪</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四核处理器，主频高达1.3GHz，5.0英寸IPS彩色显示屏，分辨率720×1280支持860-960MHz超高频RFID；</w:t>
            </w:r>
            <w:r>
              <w:rPr>
                <w:rFonts w:hint="eastAsia" w:ascii="仿宋" w:hAnsi="仿宋" w:eastAsia="仿宋" w:cs="仿宋"/>
                <w:color w:val="000000" w:themeColor="text1"/>
                <w:sz w:val="24"/>
                <w:szCs w:val="24"/>
                <w:highlight w:val="none"/>
                <w:lang w:bidi="ar"/>
                <w14:textFill>
                  <w14:solidFill>
                    <w14:schemeClr w14:val="tx1"/>
                  </w14:solidFill>
                </w14:textFill>
              </w:rPr>
              <w:t>ISO</w:t>
            </w:r>
            <w:r>
              <w:rPr>
                <w:rFonts w:hint="eastAsia" w:ascii="仿宋" w:hAnsi="仿宋" w:eastAsia="仿宋" w:cs="仿宋"/>
                <w:color w:val="000000" w:themeColor="text1"/>
                <w:kern w:val="0"/>
                <w:sz w:val="24"/>
                <w:szCs w:val="24"/>
                <w:highlight w:val="none"/>
                <w:lang w:bidi="ar"/>
                <w14:textFill>
                  <w14:solidFill>
                    <w14:schemeClr w14:val="tx1"/>
                  </w14:solidFill>
                </w14:textFill>
              </w:rPr>
              <w:t>18000-6C协议卡片和标签的读写；全功能连续工作≥12小时。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无线 AC</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接口:8xGE+2x10GE,为了方便快速部署要求 USB2.0 接口≥1 个；最大管理 AP 数≥128 个；支持三层转发支持 RIP/OSPF 协议；支持相邻AP 之问基于用户数和流量的负荷均衡；支持 AA 计费;支持非法终端检测,支持无线 IPS/IDS。</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POE 接入交换机 24端口</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1.24个 10/100/1000Base-T 以太网端口,4 个千兆 SFP 交流供电、支持 POE+，包转发率:42Mpps 到 96Mpps 之间,交换容量 256Gbs/2.56Tbps—336Gbs/3.36Tbps 之间；</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2.支持 16KMAC，支持 MAC 地址自动学习和老化，支持静态、动态、黑洞 MAC 表项，支持源 MAC 地址过滤、支持接口 MAC 地址学习个数限制，支持 4k 个 vAN、Guest vlan VoiceVLAN、GVRP 协议、MUXⅥLAN 功能、基于 MAC/ 协议/IP 子网/策略/端口的 VLAN、支持 1:1 和 VLAN Mapping 功能 rame 10K 术、支持 RRPP 环型拓扑和 RRP 多实例、支持Smartlink Smart ink 多实例,提供主备链路的毫秒级保护。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无线 AP</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1.室内型2x2双频2.4GHz，300Mbit/s+5GHz，867Mbit/s, 内置天线,不含AC/DC电源适配器)；</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2.兼容eeE802.11a/b/g/n/ac 标准，支持2×2mIMO,整机最高速率可达1.16Gbps，支持MM协议,支持空口和有线接口的优先级映射，支持有线链路的完整性检测、支持负载均衡FIT API 工作模式下支持用户漫游切换,业务不中断FAP工作模式下支持AC双链路备份，FAP 工作模式下支持AC双链路备份，采用最新一代802.11ac芯片技术更高的调制模式，更多的空间数据流,以及增强的MIMO技术以获得更高的数据吞吐量,性能更高,覆盖能力更强，支持调度,保证用户时间公平，支持基于用户的访问控制(ACL),可根据用户组策 略,基于用户实施访问控制支持单个用户的精细带宽管理、支持用户隔离策略。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网线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1.超5类非屏蔽，材料为优质无氧铜；</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2.外皮：材料为优质PVC料，绝缘层为PE料。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八、能源安全管理系统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能源数据管理中心</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1.采用工业级处理芯片，LCD真彩≧10吋真彩触摸显示屏；</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2.双路CAN接口，支持远程搜索设备、配置设备参数；对控制器实时监控，故障自我诊断并上传上位机；</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3.验位：None,奇校验,偶校验,Mark,Space；</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4.CAN波特率：5KBPS~1MBPS可编程;</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5.串口波特率9600bps~115200bps;</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6.串口转换数据流量：400帧/秒;</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7.正常工作温度 -40~85℃；</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8.存储容量：≧128KB；</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9.通讯方式：总线协议。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能源区域管理器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1.硬件支持总线通讯，实时监测电流、电压、电线温度、电源进行自动监测、智能化管理；异常信息同时传送至安全报警控制器；</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2.可设定多回路同时开关时间延时，防止电流冲击；</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3.正常工作温度 -40~85℃；</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4.预留备用节点接口；</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5.存储容量：≧64KB；</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6.通讯讯方式：CAN总线协议</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7.区域编号自行设置，实时显示参数。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能源数据采集器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1.通过判断电源负载等各种参数，过载自动切断电源，任意设定电源开启及关闭时间；</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2.存储容量：≧32KB；</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3.防雷保护；</w:t>
            </w:r>
          </w:p>
          <w:p>
            <w:pPr>
              <w:widowControl/>
              <w:rPr>
                <w:rFonts w:eastAsia="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4.通讯讯方式：CAN总线协议。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通讯线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1.配线形式:管内；</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2.规格:RVV3*0.75；</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3.材质:铜芯。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控制线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1.配线形式:管内；</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2.规格:RVV4*0.75；</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3.材质:铜芯。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辅材</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管材、配件、运输、安装调试等。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九、智能灯光指引系统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智能灯光管理中心</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1.采用工业级处理芯片，≧10吋真彩显示屏；</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2.对控制器实时监控，故障自我诊断，并上传上位机；</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3.CAN波特率：5KBPS~1MBPS可编程；</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4.串口波特率9600bps~115200bps；</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5.存储容量：≧128KB；</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6.通讯方式：总线协议；</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7.正常工作温度 -40~85℃。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灯光区域指引管理器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1.可设定多回路同时开关时间延时，防止电流冲击；</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2.正常工作温度 -40～85℃；</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3.预留备用节点接口；</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4.工业级芯片，存储容量：</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64KB，区域编号自行设置，实时显示环境参数。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被动红外控制器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探测覆盖范围：直径10米。探测灵敏度：高、中、低三档可调。全方位探测，有效避免探测盲区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指引采集终端</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1.采用工业级处理芯片、存储容量：≥32KB；</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2.依据客户下发指令规划工作路线及模式智能切换，客户也可根据需求个性化设定；</w:t>
            </w:r>
          </w:p>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3.实时对灯光状态检测，数据回传；</w:t>
            </w:r>
          </w:p>
          <w:p>
            <w:pPr>
              <w:widowControl/>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4.总线通讯方式，自动放弃错误信息。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通讯线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规格:RVV4X0.75mm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控制线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规格:RVV3X0.75mm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辅材</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各类管材、配件等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十、智能密集架存储系统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智能密集架系统</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900*570*2550mm智能密集架系统应集手动、电动、计算机集成管理、移动终端、网络远程控制五种控制方式于一体，控制方式各自独立，互不影响。由计算机集成管理系统、电子控制系统和机械传动控制系统组成，需达到自动化架体控制、人体保护。机械部分严格按照DA/T7、GB/T 13667.4，具体详见项目技术要求。约813.4立方米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十一、防磁库建设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（一）库体建设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库壳体建设</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电磁屏蔽室建设为6面体整体结构、自成整体，包括四周、底面、顶部及门等，室内顶部、底部及四周均采用内部装饰。屏蔽室内安装环境安全智能控制系统，系统设备应与综合管理平台无缝对接，形成一个整体，又相对独立；具体详见项目技术要求（房间地面面积约131平方米，高度约3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出风波导窗</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w:t>
            </w:r>
            <w:r>
              <w:rPr>
                <w:rFonts w:hint="eastAsia" w:ascii="宋体" w:hAnsi="宋体" w:cs="宋体"/>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300mm×300mm；</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安装方式：焊接式。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回风波导窗</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w:t>
            </w:r>
            <w:r>
              <w:rPr>
                <w:rFonts w:hint="eastAsia" w:ascii="宋体" w:hAnsi="宋体" w:cs="宋体"/>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300mm×300mm；</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安装方式：焊接式。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消防排烟波导</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规格：</w:t>
            </w:r>
            <w:r>
              <w:rPr>
                <w:rFonts w:hint="eastAsia" w:ascii="宋体" w:hAnsi="宋体" w:cs="宋体"/>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300mm×300mm；</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安装方式：焊接式。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信号屏蔽专用滤波器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交流三相三线1ADC45V/100V。</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消防信号滤波器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用于消防喷头的信号过滤。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视频信号器滤波器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用于视频信号线的连接。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视频电源滤波器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2A/12V。</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环境信号滤波器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用于环境信号线的连接。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温湿度电源滤波器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5A/12V。</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业务波导管</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16mm。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水波导管</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16mm。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预留波导</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16mm。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设备电源滤波器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100A/220V。</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方格栅灯</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1.采用</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LED</w:t>
            </w:r>
            <w:r>
              <w:rPr>
                <w:rFonts w:hint="eastAsia" w:ascii="仿宋" w:hAnsi="仿宋" w:eastAsia="仿宋" w:cs="仿宋"/>
                <w:color w:val="000000" w:themeColor="text1"/>
                <w:kern w:val="0"/>
                <w:sz w:val="24"/>
                <w:szCs w:val="24"/>
                <w:highlight w:val="none"/>
                <w:lang w:bidi="ar"/>
                <w14:textFill>
                  <w14:solidFill>
                    <w14:schemeClr w14:val="tx1"/>
                  </w14:solidFill>
                </w14:textFill>
              </w:rPr>
              <w:t>灯管，4组合栅栏灯具；</w:t>
            </w:r>
          </w:p>
          <w:p>
            <w:pPr>
              <w:widowControl/>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2.规格600×600。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配电箱、闸刀</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含MRB空开。</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17</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应急照明灯</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持续照明≥90分钟。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18</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开关</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国标。</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19</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双孔墙面插座</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1.规格:220V10A；</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2.安装方式:暗配。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20</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地板装饰（含踢脚线）</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1.规格为600*600；</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2.表面电阻：50K（Ω）；</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3.基座钢铁支架均经过镀锌及先进的强化处理，增加抗弯强度；</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4.支架底板以螺丝加固于地面，支架顶部安装防震垫；</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5.采用C型横梁增加地板结构承载力；</w:t>
            </w:r>
          </w:p>
          <w:p>
            <w:pPr>
              <w:pStyle w:val="57"/>
              <w:widowControl w:val="0"/>
              <w:spacing w:before="0" w:beforeAutospacing="0" w:after="0" w:afterAutospacing="0"/>
              <w:jc w:val="both"/>
              <w:rPr>
                <w:rFonts w:ascii="Arial" w:hAnsi="Arial" w:eastAsia="黑体" w:cs="Arial"/>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lang w:bidi="ar"/>
                <w14:textFill>
                  <w14:solidFill>
                    <w14:schemeClr w14:val="tx1"/>
                  </w14:solidFill>
                </w14:textFill>
              </w:rPr>
              <w:t>6.房间地面面积约131平方米。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四面装饰</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1.采用优质微孔吸音金属铝板；</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2.厚度≧2.0mm；</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3.面积约136.9平方米。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顶部装饰</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1.规格:600*600微孔吸音金属铝板；</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2.厚度≧2.0mm；</w:t>
            </w:r>
          </w:p>
          <w:p>
            <w:pPr>
              <w:pStyle w:val="57"/>
              <w:widowControl w:val="0"/>
              <w:tabs>
                <w:tab w:val="center" w:pos="3054"/>
              </w:tabs>
              <w:spacing w:before="0" w:beforeAutospacing="0" w:after="0" w:afterAutospacing="0"/>
              <w:jc w:val="both"/>
              <w:rPr>
                <w:rFonts w:ascii="Arial" w:hAnsi="Arial" w:eastAsia="黑体" w:cs="Arial"/>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lang w:bidi="ar"/>
                <w14:textFill>
                  <w14:solidFill>
                    <w14:schemeClr w14:val="tx1"/>
                  </w14:solidFill>
                </w14:textFill>
              </w:rPr>
              <w:t>3.面积约131平方米。</w:t>
            </w:r>
            <w:r>
              <w:rPr>
                <w:rFonts w:hint="eastAsia" w:ascii="仿宋" w:hAnsi="仿宋" w:eastAsia="仿宋" w:cs="仿宋"/>
                <w:color w:val="000000" w:themeColor="text1"/>
                <w:szCs w:val="24"/>
                <w:highlight w:val="none"/>
                <w:lang w:eastAsia="zh-CN" w:bidi="ar"/>
                <w14:textFill>
                  <w14:solidFill>
                    <w14:schemeClr w14:val="tx1"/>
                  </w14:solidFill>
                </w14:textFill>
              </w:rPr>
              <w:tab/>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地面承重处理</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地面静音地板下方承重处理(充分考虑储存设备架体及满载后的重量）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消防处理</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根据消防喷头位置，现场开孔处理。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库房消防窗处理</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消防窗处理。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电磁屏蔽室门</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防磁库门采用电动门的方式，内径为≧1900mm×850mm，具有防磁、防火功能，采用人脸识别门禁系统。具体详见项目技术要求。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（二）电子存储设备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电子档案存储设备</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1.规格：900*650*2550mm，每组下层为10个抽屉，抽屉采用</w:t>
            </w:r>
            <w:r>
              <w:rPr>
                <w:rFonts w:hint="eastAsia" w:ascii="宋体" w:hAnsi="宋体" w:cs="宋体"/>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1.2mm冷轧钢板，抽屉内有分割档，抽屉轨道采用重型阻尼式轨道，抽屉上部为对开门；</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2.技术要求;严格按照DA/T7、GB/T 13667.3及GB/T 6807对钢铁工件涂漆（喷塑）磷化处理技术条件等标准制造；</w:t>
            </w:r>
          </w:p>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3.具体详见项目技术要求。（约187.4立方米）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十二、风淋系统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widowControl w:val="0"/>
              <w:adjustRightInd/>
              <w:spacing w:before="0" w:beforeAutospacing="0" w:after="120" w:afterAutospacing="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lang w:bidi="ar"/>
                <w14:textFill>
                  <w14:solidFill>
                    <w14:schemeClr w14:val="tx1"/>
                  </w14:solidFill>
                </w14:textFill>
              </w:rPr>
              <w:t>风淋系统</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自动控制运行，双门电子互锁，并设有光电感应器，整体冷轧钢板制作，外表面静电喷塑处理，门、底板、喷嘴均采用不锈钢制造，具体尺寸根据现场定制；具体详见项目技术要求。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1套</w:t>
            </w:r>
          </w:p>
        </w:tc>
      </w:tr>
    </w:tbl>
    <w:p>
      <w:pPr>
        <w:spacing w:line="360" w:lineRule="auto"/>
        <w:ind w:firstLine="482" w:firstLineChars="200"/>
        <w:rPr>
          <w:rFonts w:ascii="仿宋_GB2312" w:hAnsi="仿宋" w:eastAsia="仿宋_GB2312" w:cs="仿宋_GB2312"/>
          <w:b/>
          <w:color w:val="000000" w:themeColor="text1"/>
          <w:sz w:val="32"/>
          <w:szCs w:val="20"/>
          <w:highlight w:val="none"/>
          <w14:textFill>
            <w14:solidFill>
              <w14:schemeClr w14:val="tx1"/>
            </w14:solidFill>
          </w14:textFill>
        </w:rPr>
      </w:pPr>
      <w:r>
        <w:rPr>
          <w:rFonts w:hint="eastAsia" w:ascii="仿宋_GB2312" w:hAnsi="仿宋" w:eastAsia="仿宋_GB2312" w:cs="仿宋"/>
          <w:b/>
          <w:color w:val="000000" w:themeColor="text1"/>
          <w:sz w:val="24"/>
          <w:szCs w:val="24"/>
          <w:highlight w:val="none"/>
          <w:lang w:bidi="ar"/>
          <w14:textFill>
            <w14:solidFill>
              <w14:schemeClr w14:val="tx1"/>
            </w14:solidFill>
          </w14:textFill>
        </w:rPr>
        <w:t>注：1、本项目为“交钥匙”工程，包含一切费用，中标后费用不作调整。</w:t>
      </w:r>
    </w:p>
    <w:p>
      <w:pPr>
        <w:spacing w:line="440" w:lineRule="exact"/>
        <w:outlineLvl w:val="1"/>
        <w:rPr>
          <w:rFonts w:ascii="仿宋_GB2312" w:hAnsi="仿宋" w:eastAsia="仿宋_GB2312" w:cs="仿宋_GB2312"/>
          <w:b/>
          <w:color w:val="000000" w:themeColor="text1"/>
          <w:sz w:val="32"/>
          <w:szCs w:val="20"/>
          <w:highlight w:val="none"/>
          <w14:textFill>
            <w14:solidFill>
              <w14:schemeClr w14:val="tx1"/>
            </w14:solidFill>
          </w14:textFill>
        </w:rPr>
      </w:pPr>
      <w:r>
        <w:rPr>
          <w:rFonts w:hint="eastAsia" w:ascii="仿宋_GB2312" w:hAnsi="仿宋" w:eastAsia="仿宋_GB2312" w:cs="仿宋_GB2312"/>
          <w:b/>
          <w:color w:val="000000" w:themeColor="text1"/>
          <w:sz w:val="32"/>
          <w:szCs w:val="20"/>
          <w:highlight w:val="none"/>
          <w:lang w:bidi="ar"/>
          <w14:textFill>
            <w14:solidFill>
              <w14:schemeClr w14:val="tx1"/>
            </w14:solidFill>
          </w14:textFill>
        </w:rPr>
        <w:t>四、项目技术要求</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该项目需按照国家档案局有关档案安全保护的管理技术要求设计完成，突出档案库房档案安全保护的防高温、防潮湿、防盗、防火、防霉菌、防光、防尘、防虫等要求，实现档案库房安全保护由被动人工管理向现代化、智能化、科学化、人性化管理的历史性跨越。</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智慧化综合管理平台以智慧一体化管控为基础，各应用子系统模块管理为核心，使档案馆各项管理真正做到高度集中便捷操作，实现系统、设备和综合业务管理的高效管控、集约化管理。</w:t>
      </w:r>
    </w:p>
    <w:p>
      <w:pPr>
        <w:spacing w:line="440" w:lineRule="exact"/>
        <w:ind w:firstLine="241" w:firstLineChars="100"/>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1、智慧库房智慧化综合管理平台及管理用房建设技术要求</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管理用房采用15块LCD拼接屏，主要包括：设备及系统安装调试、线缆铺设、吊顶、墙面装饰、地面静音地板等建设。</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智慧化综合管理平台需实现模块化、一体化设计，可自行增减模块。系统至少涵盖以下模块：档案库房环境安全智能控制系统模块、智能消毒净化系统模块、安全实时监测系统模块、能源安全管理系统模块、智能密集架存储系统模块、智慧数字视频监控系统及门禁系统模块（接入）、馆库业务信息交互系统（紧急呼叫系统）、智慧电子标签RFID管理系统模块、智能灯光指引系统模块、库房导引显示系统、档案业务工作模式系统（预留）等，其中档案库房温湿度探测器、二氧化碳探测器、粉尘探测器等各类传感器及空调控制已在原基建项目中完成（除防磁库），需对接到平台内；同时还应预留其它相关系统接入的接口模块，同时满足市场上通用系统的接入要求</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1.1、软件架构：系统主体综合采用C/S+B/S混合架构，采集端采用C/S架构，管理端可采用C/S或B/S架构部署。</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1.2、安全设计：</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（1）物理安全：交换机、服务器放置在专门区域，设置物理保护，专人专用，服务器设置加带口令的屏幕保护及键盘锁。</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（2）网络安全：网络物理隔离，系统提供完善的权限管理体系，可以按照操作需求创建不同的用户权限角色，角色赋给多个用户，达到安全管理的效果。</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（3）系统安全：密码采用MD5加密，提供系统软件及数据库备份恢复策略。数据传输采用SSL加密，硬件控制WebService接口需要用户名密码验证调用接口。</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1.3、可靠性：在数据处理方面准确、可靠，提供7*24小时的稳定连续运行。</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1.4、兼容性：能够支持目前通用的各类操作系统环境及主流关系型数据库等。</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1.5、可扩展性：</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（1）系统在增加新的功能模块时不需要重新开发，可通过简单的设置（通过应用系统的自定义功能来完成）运行和管理新的功能模块。</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（2）系统除自带模块外，还应预留其它相关系统接入的接口模块，同时满足市场上通用系统的接入要求。</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1.6、实时性：CAN总线通讯速率为不小于20kbps，距离不小于3300M,采用循环冗余校验CRC,保证数据传输的正确性与完整性。在错误严重的情况下具有自动关闭输出功能，以保障总线上其他节点的操作不受影响。</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1.7、系统授权：</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（1）服务端可支持无上限客户端，单次支持不少于50个客户端注册，并支持同时在线；操作的系统响应时间≤3秒。</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（2）开放密钥体系，根密钥可由用户自主设置，免费提供硬件USB登录密匙。</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1.8、硬件系统：系统采用多级CAN总线通讯协议，每个子系统提供不少于1024个独立总线节点，不少于32个CAN控制节点，不少于992个终端控制器节点。</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1.9、独立性:4-6家单位可独立管理运行，独立界面切换、报表存储、汇总等独立管理；除市档案馆外其它单位可通过客户端设定，查看本单位数据。</w:t>
      </w:r>
    </w:p>
    <w:p>
      <w:pPr>
        <w:spacing w:line="360" w:lineRule="auto"/>
        <w:ind w:firstLine="42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1.10、平台须与大楼温湿度系统、消毒净化系统无缝对接。</w:t>
      </w:r>
    </w:p>
    <w:p>
      <w:pPr>
        <w:spacing w:line="360" w:lineRule="auto"/>
        <w:ind w:firstLine="42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1.11、平台须与大楼视屏、门禁系统无缝对接。</w:t>
      </w:r>
    </w:p>
    <w:p>
      <w:pPr>
        <w:spacing w:line="360" w:lineRule="auto"/>
        <w:ind w:firstLine="42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1.12平台须与各档案业务管理系统无缝对接。</w:t>
      </w:r>
    </w:p>
    <w:p>
      <w:pPr>
        <w:spacing w:line="360" w:lineRule="auto"/>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1.13平台需支持国产化。</w:t>
      </w:r>
    </w:p>
    <w:p>
      <w:pPr>
        <w:spacing w:line="440" w:lineRule="exact"/>
        <w:outlineLvl w:val="2"/>
        <w:rPr>
          <w:rFonts w:ascii="仿宋" w:hAnsi="仿宋" w:eastAsia="仿宋" w:cs="仿宋"/>
          <w:b/>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 </w:t>
      </w:r>
      <w:r>
        <w:rPr>
          <w:rFonts w:hint="eastAsia" w:ascii="仿宋" w:hAnsi="仿宋" w:eastAsia="仿宋" w:cs="仿宋"/>
          <w:b/>
          <w:color w:val="000000" w:themeColor="text1"/>
          <w:sz w:val="24"/>
          <w:szCs w:val="24"/>
          <w:highlight w:val="none"/>
          <w:lang w:bidi="ar"/>
          <w14:textFill>
            <w14:solidFill>
              <w14:schemeClr w14:val="tx1"/>
            </w14:solidFill>
          </w14:textFill>
        </w:rPr>
        <w:t>2、档案库房导引显示系统技术要求</w:t>
      </w:r>
    </w:p>
    <w:p>
      <w:pPr>
        <w:spacing w:line="440" w:lineRule="exact"/>
        <w:outlineLvl w:val="2"/>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  2.1采用≧75寸高清红外触摸显示屏。</w:t>
      </w:r>
    </w:p>
    <w:p>
      <w:pPr>
        <w:spacing w:line="440" w:lineRule="exact"/>
        <w:outlineLvl w:val="2"/>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  2.2具备强大的视频信号接收和处理能力，支持HDMI、DVI、SDI、CVBS等数字接口，多路信号间无缝切换。</w:t>
      </w:r>
    </w:p>
    <w:p>
      <w:pPr>
        <w:spacing w:line="440" w:lineRule="exact"/>
        <w:ind w:firstLine="240" w:firstLineChars="100"/>
        <w:outlineLvl w:val="2"/>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2.3提供灵活的屏幕控制和高品质的图像显示。</w:t>
      </w:r>
    </w:p>
    <w:p>
      <w:pPr>
        <w:spacing w:after="120" w:afterLines="50" w:line="440" w:lineRule="exact"/>
        <w:ind w:firstLine="240" w:firstLineChars="100"/>
        <w:outlineLvl w:val="2"/>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2.4根据用户要求显示库房</w:t>
      </w:r>
      <w:r>
        <w:rPr>
          <w:rFonts w:hint="eastAsia" w:ascii="仿宋" w:hAnsi="仿宋" w:eastAsia="仿宋" w:cs="仿宋"/>
          <w:color w:val="000000" w:themeColor="text1"/>
          <w:sz w:val="24"/>
          <w:szCs w:val="24"/>
          <w:highlight w:val="none"/>
          <w:lang w:eastAsia="zh-CN" w:bidi="ar"/>
          <w14:textFill>
            <w14:solidFill>
              <w14:schemeClr w14:val="tx1"/>
            </w14:solidFill>
          </w14:textFill>
        </w:rPr>
        <w:t>布</w:t>
      </w:r>
      <w:r>
        <w:rPr>
          <w:rFonts w:hint="eastAsia" w:ascii="仿宋" w:hAnsi="仿宋" w:eastAsia="仿宋" w:cs="仿宋"/>
          <w:color w:val="000000" w:themeColor="text1"/>
          <w:sz w:val="24"/>
          <w:szCs w:val="24"/>
          <w:highlight w:val="none"/>
          <w:lang w:bidi="ar"/>
          <w14:textFill>
            <w14:solidFill>
              <w14:schemeClr w14:val="tx1"/>
            </w14:solidFill>
          </w14:textFill>
        </w:rPr>
        <w:t>局、排架、数量等图形及数据。</w:t>
      </w:r>
    </w:p>
    <w:p>
      <w:pPr>
        <w:spacing w:line="440" w:lineRule="exact"/>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3、档案库房环境安全智能控制系统技术要求</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系统要求运用具有环境感知能力的各类终端、基于泛在技术的计算模式、广域网络，依托wifi技术、RF无线传输技术、传感器技术、嵌入式智能、物联网、实时数据交换等多种技术，建立智能型计算机、通信技术、信息技术结合的集成平台,通过对库房环境的自动监测,获得实时的环境信息，及时提供给各库房管理者，并对信息进行储存、优化、分析，以帮助管理者采取准确的应对措施。</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通过对库房环境的温度、湿度，二氧化碳、粉尘采集数据采集分析和处理，控制各种受控设备自动工作；应具有自动检测、记录、存储、汇总、曲线分析、报表输出、打印库房环境各种参数等功能。</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3.1、自动控制功能：通过对库房原有各类传感器的对接、分析和处理，控制各种受控设备自动工作。</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3.2、信息管理功能：应具有自动检测、记录、存储、汇总、曲线分析、报表输出、打印库房环境各种参数等功能。</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3.3、显示功能：库房内能实时直观地显示各区域当前数据及运行情况，使工作人员方便准确地了解库房内的情况。</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3.4、设置功能：中心控制器可全天候运行，可根据各库房的情况进行独立的个性化设置，控制记录各种设备的运行方式，同时具有不低于6个月的数据存储功能。</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3.5、远程控制功能：可通过局域网、广域网对库房环境实时监测。</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3.6、通风功能：根据室内外温度、湿度及空气质量情况能自动启动开新风设备，使库房空气保持清新。</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3.7、个性化功能：采用总线式CAN通讯方式。对通讯数据进行编码，保证数据通讯实时性；采集终端节点错误自动退出总线并不影响其他节点通讯功能，报警信息优先发送。</w:t>
      </w:r>
    </w:p>
    <w:p>
      <w:pPr>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 xml:space="preserve">  3.8、兼容功能：需要大楼温湿度等系统无缝对接，实现分库、分区管理。</w:t>
      </w:r>
    </w:p>
    <w:p>
      <w:pPr>
        <w:spacing w:line="440" w:lineRule="exact"/>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4、智能消毒净化系统技术要求</w:t>
      </w:r>
    </w:p>
    <w:p>
      <w:pPr>
        <w:spacing w:line="440" w:lineRule="exact"/>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智能消毒净化系统在有效保护档案的同时也是对档案工作人员职业健康的一种保护，产品支持总线通讯，CRC校验，对库房有害气体、气味、粉尘数据分析和处理，自动切换各种受控设备自动工作；依据系统检测环境空气质量级别、灰尘、气味浓度等参数，自动开启关闭净化设备。采用医疗级HEPA：过滤微米级可吸入悬浮颗粒，强化活性碳：吸附分解甲醛、苯、氨、臭氧等有毒气体，纳米银离子：抑制尘螨，杀灭大肠杆菌、真菌等病菌。</w:t>
      </w:r>
    </w:p>
    <w:p>
      <w:pPr>
        <w:spacing w:line="440" w:lineRule="exact"/>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5、安全实时监测系统技术要求</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硬件需支持总线通讯；对通讯数据进行编码，保证数据通讯实时性；采集终端节点错误自动退出总线并不影响其他节点通讯功能，报警信息优先发送。用户可自定义报警级别和报警方式，报警方式包括短信、动画、颜色、声音等。</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温湿度超标、CO2、门禁、防盗、水漫等监测信息的及时反馈、及时报警功能,报警系统由前端控测器、报警控制器和管理电脑组成。报警控制器可以接入常规探测器、总线探测器，或通过无线接收机接入无线探测器，报警主机收集探测器的信息，并传递给管理端，同时连接推送报警点视屏画面给值班室管理人员。</w:t>
      </w:r>
    </w:p>
    <w:p>
      <w:pPr>
        <w:spacing w:line="440" w:lineRule="exact"/>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6、馆库业务信息交互系统（紧急呼叫系统）技术要求</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实现库房工作人员与前端工作人员实时视屏、语音对话；同时与值班室相联动，确保库房人员安全。</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6.1、信道，中英文语音提示。</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6.2、亚音频：51CTCSS/107DCS。</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6.3、宽窄带选择（25KHz/12.5KHz)。</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6.4、语音压扩/加密/尾音消除。</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6.5、耳语/9级静噪/VOX耳机支持 ，DTMF编码(PTT-ID)。 </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6.6、四级电池电量语音提示。</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6.7、脱网/倒频/拍频偏移。</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6.8、省电/发射限时/自动关机。</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6.9、信道扫描/优先扫描。</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6.10、电池使用时间约10小时（5%发射，5%接收，90%待机)。</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6.11、每套至少带8个终端点位。</w:t>
      </w:r>
    </w:p>
    <w:p>
      <w:pPr>
        <w:pStyle w:val="57"/>
        <w:widowControl w:val="0"/>
        <w:spacing w:before="0" w:beforeAutospacing="0" w:after="0" w:afterAutospacing="0"/>
        <w:ind w:firstLine="480" w:firstLineChars="200"/>
        <w:jc w:val="both"/>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lang w:bidi="ar"/>
          <w14:textFill>
            <w14:solidFill>
              <w14:schemeClr w14:val="tx1"/>
            </w14:solidFill>
          </w14:textFill>
        </w:rPr>
        <w:t>6.12、系统具有双向音频、视屏功能</w:t>
      </w:r>
      <w:r>
        <w:rPr>
          <w:rFonts w:hint="eastAsia" w:ascii="仿宋" w:hAnsi="仿宋" w:eastAsia="仿宋" w:cs="仿宋"/>
          <w:color w:val="000000" w:themeColor="text1"/>
          <w:kern w:val="2"/>
          <w:szCs w:val="24"/>
          <w:highlight w:val="none"/>
          <w:lang w:bidi="ar"/>
          <w14:textFill>
            <w14:solidFill>
              <w14:schemeClr w14:val="tx1"/>
            </w14:solidFill>
          </w14:textFill>
        </w:rPr>
        <w:t>。</w:t>
      </w:r>
    </w:p>
    <w:p>
      <w:pPr>
        <w:spacing w:line="440" w:lineRule="exact"/>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7、智慧电子标签管理系统技术要求</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采用RFID智能化系统，在档案入库时将档案数据写入RFID档案，实现系统对档案一对一的身份绑定，并对档案密集架贴上RFID层架标，按档案馆原有的分类进行管理，实现档案电子化分类管理；在档案流通环节，实现档案自助查询、借还、防盗、记录的无人化管理，对档案的痕路线进行实时跟踪、定位，档案留痕等。</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7.1、模块化设计：档案管理，数据导入，档案借查阅、芯片信息写入与注销，安全门禁控制等能。</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7.2、电子标签绑定:档案标签、架标的注册与注销；档案信息与电子标签绑定，位置信息批量更新等。</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7.3、档案信息：能查看档案的存放信息，支持档案的多种条件查询并保留上次查询记录。</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7.4、数据管理：批量高效导入数据，多种字段判断，避免重复导入；支持精确查询、模糊查询、批量查询。</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7.5、数据信息编辑字段管理：添加，修改，删除，借查阅等各种详细信息，支持字段自定义添加，删除修改功能。</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7.6、档案盘点：推车式盘点与便携式盘点，对档案的上架、顺架、查询与定位。</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7.7、档案借阅：能进行批量档案借阅并支持档案的多种条件筛选档案，可自定义界面显示档案条数。</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7.8、安全防盗监控：对借阅档案进行合法性检测，对于未办理借阅手续档案自动报警。</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7.9、无序存放有序管理功能：通过读取档案标签、架体标签，批量更新位置信息。</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7.10、档案轨迹监控：对档案路线及停留时间进行实时跟踪、定位、监控记录。</w:t>
      </w:r>
    </w:p>
    <w:p>
      <w:pPr>
        <w:spacing w:line="440" w:lineRule="exact"/>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8、能源安全管理系统技术要求</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系统需具有监测和计量库房电流、电压、功耗、电量、电缆温度、湿度等参数，VGUS组态全彩LCD显示屏，具有温湿度上限、电压上限、电流上限、时间段等参数设置，当检测数据超限发出报警信号并切断输出。</w:t>
      </w:r>
    </w:p>
    <w:p>
      <w:pPr>
        <w:spacing w:line="440" w:lineRule="exact"/>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2路CAN接口，查询采集器数据，进行分类汇总，本地存储并与上位机进行实时数据交换，数据每通道独立光电隔离，可支持32路以上采集终端：生成历史数据库、报表、曲线，授权人员实时查看、浏览权限内的数据信息；异常报警信息同步推送给值班室管理人员。</w:t>
      </w:r>
    </w:p>
    <w:p>
      <w:pPr>
        <w:spacing w:line="440" w:lineRule="exact"/>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9、智能灯光指引控制系统技术要求</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与档案位置信息形成一体的个性化设计，具有档案位置指引功能，灯光远程一体化管理、可视化管理；管理智能化、操作简单化，灵活适应未来照明布局和控制方式变更等要求。智能照明可以提升照明环境的品质，确保在库房工作的员工便捷性。根据综合档案馆的实际情况和国际上倡导的绿色照明为设计原则，做到最高效率地利用能源。可扩展、易维护，根据工作人员的指令，自动启动引导路线，可与智能密集架系统互通，也可脱离智能密集架系统，独立运行。同时需预留部分备用回路，以备后期增加控制区域，只需增加相应的控制模块。</w:t>
      </w:r>
    </w:p>
    <w:p>
      <w:pPr>
        <w:spacing w:line="440" w:lineRule="exact"/>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10、防磁库建设技术要求</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防磁库除满足《电磁屏蔽室工程技术规范》（GB/T 50719）、《磁性载体档案管理与保护规范》（DA/T 15）外，同时要求磁性载体档案应在温度15~27℃、相对湿度40~60%的环境中存放，在24小时最佳环境温度为18℃、相对湿度40%。库房应符合通风与清洁、防水、防火、灯具、防盗、视屏无死角安防措施等基本要求（电磁屏蔽库内的所有设施设备及系统，均需考虑信号屏蔽问题；同时需考虑电子档案的重量、地板承重等问题）；库区内的消防和空调系统已在基建中完成，需考虑消防喷头及空调风口改造的问题以及库房消防窗的处理问题。</w:t>
      </w:r>
      <w:bookmarkStart w:id="27" w:name="_Toc26939"/>
      <w:bookmarkStart w:id="28" w:name="_Toc15044"/>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10.1、壳体建设技术</w:t>
      </w:r>
      <w:bookmarkEnd w:id="27"/>
      <w:bookmarkEnd w:id="28"/>
    </w:p>
    <w:p>
      <w:pPr>
        <w:spacing w:line="440" w:lineRule="exact"/>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防磁库建设为整体结构、自成整体，包括四周、底面、顶面及门等，电磁屏蔽室内顶部、底部及四周采用内部装饰，整个屏蔽室形成一个整体。</w:t>
      </w:r>
      <w:bookmarkStart w:id="29" w:name="_Toc4714"/>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执行标准：BMB3-1999《处理涉密信息的电磁屏蔽室的技术要求和测试方法》C级, 测试方法：按《电磁屏蔽室屏蔽效能的测量方法》(GB/T 12190-2006标准。</w:t>
      </w:r>
    </w:p>
    <w:p>
      <w:pPr>
        <w:snapToGrid w:val="0"/>
        <w:spacing w:line="360" w:lineRule="auto"/>
        <w:ind w:firstLine="600" w:firstLineChars="2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磁    场     10KHz　　        ≥70dB  </w:t>
      </w:r>
    </w:p>
    <w:p>
      <w:pPr>
        <w:tabs>
          <w:tab w:val="left" w:pos="-840"/>
        </w:tabs>
        <w:spacing w:line="360" w:lineRule="auto"/>
        <w:ind w:left="-409" w:leftChars="-195" w:firstLine="468" w:firstLineChars="19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                  150KHz　         ≥95dB</w:t>
      </w:r>
    </w:p>
    <w:p>
      <w:pPr>
        <w:tabs>
          <w:tab w:val="left" w:pos="-840"/>
        </w:tabs>
        <w:spacing w:line="360" w:lineRule="auto"/>
        <w:ind w:firstLine="600" w:firstLineChars="2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电    场     200KHz~50MHz     ≥100dB</w:t>
      </w:r>
    </w:p>
    <w:p>
      <w:pPr>
        <w:tabs>
          <w:tab w:val="left" w:pos="-840"/>
        </w:tabs>
        <w:spacing w:line="360" w:lineRule="auto"/>
        <w:ind w:firstLine="600" w:firstLineChars="2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平 面 波     50MHz~1GHz       ≥100dB</w:t>
      </w:r>
    </w:p>
    <w:p>
      <w:pPr>
        <w:tabs>
          <w:tab w:val="left" w:pos="-840"/>
        </w:tabs>
        <w:spacing w:line="360" w:lineRule="auto"/>
        <w:ind w:firstLine="600" w:firstLineChars="2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微    波     1GHz-10GHz       ≥90dB</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（1）防磁壳体</w:t>
      </w:r>
      <w:bookmarkEnd w:id="29"/>
      <w:r>
        <w:rPr>
          <w:rFonts w:hint="eastAsia" w:ascii="仿宋" w:hAnsi="仿宋" w:eastAsia="仿宋" w:cs="仿宋"/>
          <w:color w:val="000000" w:themeColor="text1"/>
          <w:sz w:val="24"/>
          <w:szCs w:val="24"/>
          <w:highlight w:val="none"/>
          <w:lang w:bidi="ar"/>
          <w14:textFill>
            <w14:solidFill>
              <w14:schemeClr w14:val="tx1"/>
            </w14:solidFill>
          </w14:textFill>
        </w:rPr>
        <w:t>要求</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采用优质防磁合金板材主要材料，防磁库房外壳六面体主要由骨架、防磁合金板构成；采用质防磁合金板和龙骨，焊接成一个封闭的防磁腔体，焊接要求为专业的电阻焊接；所有的龙骨及材料全部采用优质防锈漆进行防腐处理。</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（2）防磁库房主要材料要求</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地龙骨：≧30*50mm矩形管。</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地面防磁合金板：厚度≧3mm 优质防磁合金板。</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室内地面装饰:抗静电活动地板（含踢脚线），支架可调。</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墙面龙骨：≧40*60mm矩形管。</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墙体板：厚度≧2mm 优质防磁合金板。</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室内墙面装修：采用微孔铝合金板（定制）。</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顶部主龙：≧100*80mm矩形管。</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顶面板：厚度≧2mm 优质防磁合金板。</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室内吊顶：采用微孔吸音板（定制）。</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30" w:name="_Toc22349"/>
      <w:r>
        <w:rPr>
          <w:rFonts w:hint="eastAsia" w:ascii="仿宋" w:hAnsi="仿宋" w:eastAsia="仿宋" w:cs="仿宋"/>
          <w:color w:val="000000" w:themeColor="text1"/>
          <w:sz w:val="24"/>
          <w:szCs w:val="24"/>
          <w:highlight w:val="none"/>
          <w:lang w:bidi="ar"/>
          <w14:textFill>
            <w14:solidFill>
              <w14:schemeClr w14:val="tx1"/>
            </w14:solidFill>
          </w14:textFill>
        </w:rPr>
        <w:t>（3）工艺控制</w:t>
      </w:r>
      <w:bookmarkEnd w:id="30"/>
      <w:r>
        <w:rPr>
          <w:rFonts w:hint="eastAsia" w:ascii="仿宋" w:hAnsi="仿宋" w:eastAsia="仿宋" w:cs="仿宋"/>
          <w:color w:val="000000" w:themeColor="text1"/>
          <w:sz w:val="24"/>
          <w:szCs w:val="24"/>
          <w:highlight w:val="none"/>
          <w:lang w:bidi="ar"/>
          <w14:textFill>
            <w14:solidFill>
              <w14:schemeClr w14:val="tx1"/>
            </w14:solidFill>
          </w14:textFill>
        </w:rPr>
        <w:t>要求</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1）组成模块均经过折弯成型，以保证焊接变形尽量控制在焊接边上；</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2）焊接工艺采用二氧化碳保护焊，从而确保焊缝平整光滑，壳体变形小；</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3）屏蔽壳体及框架稳定可靠，保证其电磁屏蔽性能长期稳定可靠；</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4）整体机械性能达到以下要求：</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a.钢板不平度：每个面的任何部位不平度≤5mm/2m</w:t>
      </w:r>
      <w:r>
        <w:rPr>
          <w:rFonts w:hint="eastAsia" w:ascii="宋体" w:hAnsi="宋体" w:cs="宋体"/>
          <w:color w:val="000000" w:themeColor="text1"/>
          <w:sz w:val="24"/>
          <w:szCs w:val="24"/>
          <w:highlight w:val="none"/>
          <w:lang w:bidi="ar"/>
          <w14:textFill>
            <w14:solidFill>
              <w14:schemeClr w14:val="tx1"/>
            </w14:solidFill>
          </w14:textFill>
        </w:rPr>
        <w:t>²</w:t>
      </w:r>
      <w:r>
        <w:rPr>
          <w:rFonts w:hint="eastAsia" w:ascii="仿宋" w:hAnsi="仿宋" w:eastAsia="仿宋" w:cs="仿宋"/>
          <w:color w:val="000000" w:themeColor="text1"/>
          <w:sz w:val="24"/>
          <w:szCs w:val="24"/>
          <w:highlight w:val="none"/>
          <w:lang w:bidi="ar"/>
          <w14:textFill>
            <w14:solidFill>
              <w14:schemeClr w14:val="tx1"/>
            </w14:solidFill>
          </w14:textFill>
        </w:rPr>
        <w:t>，侧面墙对角线≤8mm；</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b.钢墙垂直度误差≤8mm；</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c.屏蔽壳体抗震指标≥8级。</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31" w:name="_Toc20450"/>
      <w:bookmarkStart w:id="32" w:name="_Toc327446478"/>
      <w:bookmarkStart w:id="33" w:name="_Toc327446572"/>
      <w:r>
        <w:rPr>
          <w:rFonts w:hint="eastAsia" w:ascii="仿宋" w:hAnsi="仿宋" w:eastAsia="仿宋" w:cs="仿宋"/>
          <w:color w:val="000000" w:themeColor="text1"/>
          <w:sz w:val="24"/>
          <w:szCs w:val="24"/>
          <w:highlight w:val="none"/>
          <w:lang w:bidi="ar"/>
          <w14:textFill>
            <w14:solidFill>
              <w14:schemeClr w14:val="tx1"/>
            </w14:solidFill>
          </w14:textFill>
        </w:rPr>
        <w:t>（4）防磁</w:t>
      </w:r>
      <w:bookmarkEnd w:id="31"/>
      <w:bookmarkEnd w:id="32"/>
      <w:bookmarkEnd w:id="33"/>
      <w:r>
        <w:rPr>
          <w:rFonts w:hint="eastAsia" w:ascii="仿宋" w:hAnsi="仿宋" w:eastAsia="仿宋" w:cs="仿宋"/>
          <w:color w:val="000000" w:themeColor="text1"/>
          <w:sz w:val="24"/>
          <w:szCs w:val="24"/>
          <w:highlight w:val="none"/>
          <w:lang w:bidi="ar"/>
          <w14:textFill>
            <w14:solidFill>
              <w14:schemeClr w14:val="tx1"/>
            </w14:solidFill>
          </w14:textFill>
        </w:rPr>
        <w:t>门技术要求</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 防磁库门采用电动门的方式，内径为1900mm×850mm，具有防磁、防火功能，防火等级不低于乙级，采用人脸识别门禁系统。</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1）门的刀口采用以铁为基体的镀铜复合刀口，其固有的铁磁性及镀铜后较好的导电性，能兼顾整个频带的屏蔽性能指标。</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2）采用铍青铜弹簧片经真空热处理后有较好的弹性及耐磨性。刀口与簧片经3万次插拔试验，仍能满足使用要求。</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3）刀口及簧片接触部分都为同一种材料，电位差相近，在接触面上不会产生电腐蚀，能长时间保证屏蔽性能，提高了可靠性。 </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4）簧片为可拆卸式，如局部有损坏极易更换，无需专业人员维修。</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5）门的锁紧为双点斜楔锁紧结构，电动锁紧机构采用优质电机传动谐波减速器减速，具有运行平稳，噪声低的特点。</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6）采用单刀插入式电磁密封技术，复合刀口，可拆卸式铍青铜三排簧片，能有效地形成电磁密封腔，电磁密封可靠。</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7）在屏蔽室断电情况下，电动锁紧门可以在室内实施手动操作开门       </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34" w:name="_Toc21202"/>
      <w:bookmarkStart w:id="35" w:name="_Toc14209"/>
      <w:r>
        <w:rPr>
          <w:rFonts w:hint="eastAsia" w:ascii="仿宋" w:hAnsi="仿宋" w:eastAsia="仿宋" w:cs="仿宋"/>
          <w:color w:val="000000" w:themeColor="text1"/>
          <w:sz w:val="24"/>
          <w:szCs w:val="24"/>
          <w:highlight w:val="none"/>
          <w:lang w:bidi="ar"/>
          <w14:textFill>
            <w14:solidFill>
              <w14:schemeClr w14:val="tx1"/>
            </w14:solidFill>
          </w14:textFill>
        </w:rPr>
        <w:t>10.2、电子档案存储设备技术要求</w:t>
      </w:r>
      <w:bookmarkEnd w:id="34"/>
      <w:bookmarkEnd w:id="35"/>
    </w:p>
    <w:p>
      <w:pPr>
        <w:snapToGrid w:val="0"/>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根据电子档案的存放要求及本单位已有电子档案和应接收电子档案，在电磁屏蔽室内的电子档案存储设备技术要求同“智能密集架存储系统技术要求”下“机械部分技术参数要求”，抽屉采用≧1.2mm厚优质冷轧钢板精工而成，三节重型抽屉阻尼轨道，满载物品后，抽出三分之二，抽屉不会滑落，抽拉灵活。</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10.3、环境安全智能控制系统技术要求</w:t>
      </w:r>
    </w:p>
    <w:p>
      <w:pPr>
        <w:snapToGrid w:val="0"/>
        <w:spacing w:line="360"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通过对电磁屏蔽库房环境的温度、湿度、二氧化碳、粉尘采集数据采集分析和处理；控制各种受控设备自动工作；通过对门禁、红外、水漫、烟雾、电缆电压、电流安全监测信息的及时反馈，及时报警；报警系统由前端控测器、报警主机和管理电脑组成；报警主机可以接入常规探测器、总线探测器等，满足电子档案的保管环境要求，与智慧化综合管理平台无缝对接，既相对独立、满足档案馆电子库房的建设要求，又能实现档案馆的统一管控、集约化管理。</w:t>
      </w:r>
    </w:p>
    <w:p>
      <w:pPr>
        <w:snapToGrid w:val="0"/>
        <w:spacing w:line="360" w:lineRule="auto"/>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11、智能密集架存储系统技术要求</w:t>
      </w:r>
    </w:p>
    <w:p>
      <w:pPr>
        <w:pStyle w:val="57"/>
        <w:widowControl w:val="0"/>
        <w:autoSpaceDE w:val="0"/>
        <w:autoSpaceDN w:val="0"/>
        <w:snapToGrid w:val="0"/>
        <w:spacing w:before="0" w:beforeAutospacing="0" w:after="0" w:afterAutospacing="0" w:line="360" w:lineRule="auto"/>
        <w:ind w:firstLine="480" w:firstLineChars="200"/>
        <w:jc w:val="both"/>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2"/>
          <w:szCs w:val="24"/>
          <w:highlight w:val="none"/>
          <w:lang w:bidi="ar"/>
          <w14:textFill>
            <w14:solidFill>
              <w14:schemeClr w14:val="tx1"/>
            </w14:solidFill>
          </w14:textFill>
        </w:rPr>
        <w:t>智能密集架存储系统应集手动、电动、计算机集成管理、移动终端、网络远程控制五种控制方式于一体，控制方式各自独立，互不影响。由计算机集成管理系统、电子控制系统和机械传动控制系统组成，需达到自动化架体控制、人体保护。由轨道、底盘、传动机构、架体（包括立柱、挂板、搁板、支撑板、顶板、门板、侧护板等）、锁具和制动装置、电机、液晶屏、红外保护等部件组成。</w:t>
      </w:r>
    </w:p>
    <w:p>
      <w:pPr>
        <w:pStyle w:val="57"/>
        <w:widowControl w:val="0"/>
        <w:autoSpaceDE w:val="0"/>
        <w:autoSpaceDN w:val="0"/>
        <w:snapToGrid w:val="0"/>
        <w:spacing w:before="0" w:beforeAutospacing="0" w:after="0" w:afterAutospacing="0" w:line="360" w:lineRule="auto"/>
        <w:jc w:val="both"/>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2"/>
          <w:szCs w:val="24"/>
          <w:highlight w:val="none"/>
          <w:lang w:bidi="ar"/>
          <w14:textFill>
            <w14:solidFill>
              <w14:schemeClr w14:val="tx1"/>
            </w14:solidFill>
          </w14:textFill>
        </w:rPr>
        <w:t>11.1、机械部分技术参数要求</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（1）轨道：轨道板采用≥3.0mm厚304不锈钢钢板，轨道采用25*20mm,304实心不锈钢，轨道两顶端设有限位装置，防止底盘脱轨。</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底盘：采用≥3.0mm优质热轧钢板，底盘采用整体组装式，底盘各段连接采用Ml0螺栓紧固，滚轮横梁采用四折成型，确保在外力作用下无任何变形情况发生;底梁下部装有防倒支架以防架体倾倒,底梁两端封头横梁与纵梁牢固焊接，在直角处上、下两平面均焊上三角形加强板，有效保证底盘架体不扭曲、错位、变形，密集架在轨移动轻便、平滑、平整。</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（3）立柱：采用δ≥1.5mm优质冷轧钢板一次滚压成型，立柱正面≥50mm，两截面≥39.7mm，允许公差±0.5mm。正面压有燕尾槽，两侧面各压不少于二根圆弧筋和冲挂扣调节孔,立柱均匀冲孔，层数和间距可按需要调整。</w:t>
      </w:r>
      <w:r>
        <w:rPr>
          <w:rFonts w:hint="eastAsia" w:ascii="仿宋" w:hAnsi="仿宋" w:eastAsia="仿宋" w:cs="仿宋"/>
          <w:color w:val="000000" w:themeColor="text1"/>
          <w:kern w:val="0"/>
          <w:sz w:val="24"/>
          <w:szCs w:val="24"/>
          <w:highlight w:val="none"/>
          <w:lang w:bidi="ar"/>
          <w14:textFill>
            <w14:solidFill>
              <w14:schemeClr w14:val="tx1"/>
            </w14:solidFill>
          </w14:textFill>
        </w:rPr>
        <w:t>（以实物为准）</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（4）搁板：防惯性滑落设计，采用≥1.2mm优质冷轧钢板一次性滚压成型，</w:t>
      </w:r>
      <w:r>
        <w:rPr>
          <w:rFonts w:hint="eastAsia" w:ascii="仿宋" w:hAnsi="仿宋" w:eastAsia="仿宋" w:cs="仿宋"/>
          <w:bCs/>
          <w:color w:val="000000" w:themeColor="text1"/>
          <w:sz w:val="24"/>
          <w:szCs w:val="24"/>
          <w:highlight w:val="none"/>
          <w:lang w:bidi="ar"/>
          <w14:textFill>
            <w14:solidFill>
              <w14:schemeClr w14:val="tx1"/>
            </w14:solidFill>
          </w14:textFill>
        </w:rPr>
        <w:t>采用整体板材，</w:t>
      </w:r>
      <w:r>
        <w:rPr>
          <w:rFonts w:hint="eastAsia" w:ascii="仿宋" w:hAnsi="仿宋" w:eastAsia="仿宋" w:cs="仿宋"/>
          <w:color w:val="000000" w:themeColor="text1"/>
          <w:sz w:val="24"/>
          <w:szCs w:val="24"/>
          <w:highlight w:val="none"/>
          <w:lang w:bidi="ar"/>
          <w14:textFill>
            <w14:solidFill>
              <w14:schemeClr w14:val="tx1"/>
            </w14:solidFill>
          </w14:textFill>
        </w:rPr>
        <w:t>托板正面压不少于二根圆筋，两侧面各压一根通体标签槽。托板成型厚≧27.5mm，允许尺寸公差±0.5mm，两侧面通体标签槽宽≧17.0mm，槽深2mm，允许公差±0.5mm，表面采用酸洗磷化后进行喷塑处理。</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（5）挂板（压筋）：采用≥1.2mm优质冷轧钢板，挂板采用双挂扣式结构，一次性成型，托板与挂板连接应有限位功能。</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（6）侧面板：采用≥1.2mm优质冷轧钢板，侧板为三节式，具体款式由中标单位根据客户要求制作。</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（7）顶板：采用≥1.0mm优质冷轧钢板，具有防水功能，表面光滑平整，造型美观，具有现代设计感。</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（8）门板及门框：采用≥1.2mm优质冷轧钢板，门板扣手为ABS优质塑胶注塑件。</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（9）锁具：采用三级管理豪华锁，自动卡位装配。</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（10）传动机构：由轴承座、实心传动轴、连接套管、滚轮、链轮、摩托车链条等组成。</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1）传动主轴采用≧Ф25mm，45#实心轴，传动主轴轴套管采用45#钢无缝钢管制成，传动轴承采用优质轴承钢。</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2）行走轮副轴采用≥Φ20mm实心传动轴，副传动轴套管采用45#钢无缝钢管，传动套组件采用精工链轮传动。</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3）链轮：采用 45#钢，经锻压精密加工成型，回火去除应力，加工车、滚齿、插键槽、去毛齿、齿部经高频淬火HRC60-62。</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4）链条：采用φ8.5mm，节距 12.7mm摩托车滚子链条。</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5）紧固件为 45#、Q235-A 钢标准化零件。</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6）滚轮为 HT200 铸铁，经加工成型。</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（11）密封条：采用优质≥25mm磁性吸条，每列接触面均有缓冲及密封装置。</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（12）挡棒：采用≥1.0mm优质冷轧钢板。</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（13）防倾倒装置：采用≥3.0mm优质热轧钢板。</w:t>
      </w:r>
    </w:p>
    <w:p>
      <w:pPr>
        <w:pStyle w:val="57"/>
        <w:widowControl w:val="0"/>
        <w:spacing w:before="0" w:beforeAutospacing="0" w:after="0" w:afterAutospacing="0" w:line="360" w:lineRule="auto"/>
        <w:ind w:firstLine="240" w:firstLineChars="100"/>
        <w:jc w:val="both"/>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2"/>
          <w:szCs w:val="24"/>
          <w:highlight w:val="none"/>
          <w:lang w:bidi="ar"/>
          <w14:textFill>
            <w14:solidFill>
              <w14:schemeClr w14:val="tx1"/>
            </w14:solidFill>
          </w14:textFill>
        </w:rPr>
        <w:t>（14）标牌框：均采用磁铁、可移动式标牌框，具体尺寸根据实际定制。</w:t>
      </w:r>
    </w:p>
    <w:p>
      <w:pPr>
        <w:pStyle w:val="57"/>
        <w:widowControl w:val="0"/>
        <w:autoSpaceDE w:val="0"/>
        <w:autoSpaceDN w:val="0"/>
        <w:snapToGrid w:val="0"/>
        <w:spacing w:before="0" w:beforeAutospacing="0" w:after="0" w:afterAutospacing="0" w:line="360" w:lineRule="auto"/>
        <w:ind w:firstLine="240" w:firstLineChars="100"/>
        <w:jc w:val="both"/>
        <w:rPr>
          <w:rFonts w:ascii="仿宋" w:hAnsi="仿宋" w:eastAsia="仿宋" w:cs="仿宋"/>
          <w:color w:val="000000" w:themeColor="text1"/>
          <w:kern w:val="28"/>
          <w:szCs w:val="24"/>
          <w:highlight w:val="none"/>
          <w14:textFill>
            <w14:solidFill>
              <w14:schemeClr w14:val="tx1"/>
            </w14:solidFill>
          </w14:textFill>
        </w:rPr>
      </w:pPr>
      <w:r>
        <w:rPr>
          <w:rFonts w:hint="eastAsia" w:ascii="仿宋" w:hAnsi="仿宋" w:eastAsia="仿宋" w:cs="仿宋"/>
          <w:color w:val="000000" w:themeColor="text1"/>
          <w:kern w:val="28"/>
          <w:szCs w:val="24"/>
          <w:highlight w:val="none"/>
          <w:lang w:bidi="ar"/>
          <w14:textFill>
            <w14:solidFill>
              <w14:schemeClr w14:val="tx1"/>
            </w14:solidFill>
          </w14:textFill>
        </w:rPr>
        <w:t>（15）喷涂工艺要求</w:t>
      </w:r>
    </w:p>
    <w:p>
      <w:pPr>
        <w:pStyle w:val="1017"/>
        <w:widowControl/>
        <w:spacing w:line="360" w:lineRule="auto"/>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kern w:val="28"/>
          <w:sz w:val="24"/>
          <w:szCs w:val="24"/>
          <w:highlight w:val="none"/>
          <w:lang w:eastAsia="zh-TW" w:bidi="ar"/>
          <w14:textFill>
            <w14:solidFill>
              <w14:schemeClr w14:val="tx1"/>
            </w14:solidFill>
          </w14:textFill>
        </w:rPr>
        <w:t>架体采用喷涂工艺，涂层应光滑均匀</w:t>
      </w:r>
      <w:r>
        <w:rPr>
          <w:rFonts w:ascii="仿宋" w:hAnsi="仿宋" w:eastAsia="仿宋" w:cs="仿宋"/>
          <w:color w:val="000000" w:themeColor="text1"/>
          <w:kern w:val="28"/>
          <w:szCs w:val="24"/>
          <w:highlight w:val="none"/>
          <w:lang w:eastAsia="zh-TW"/>
          <w14:textFill>
            <w14:solidFill>
              <w14:schemeClr w14:val="tx1"/>
            </w14:solidFill>
          </w14:textFill>
        </w:rPr>
        <w:t>、</w:t>
      </w:r>
      <w:r>
        <w:rPr>
          <w:rFonts w:ascii="仿宋" w:hAnsi="仿宋" w:eastAsia="仿宋" w:cs="仿宋"/>
          <w:color w:val="000000" w:themeColor="text1"/>
          <w:kern w:val="28"/>
          <w:sz w:val="24"/>
          <w:szCs w:val="24"/>
          <w:highlight w:val="none"/>
          <w:lang w:eastAsia="zh-TW" w:bidi="ar"/>
          <w14:textFill>
            <w14:solidFill>
              <w14:schemeClr w14:val="tx1"/>
            </w14:solidFill>
          </w14:textFill>
        </w:rPr>
        <w:t>色泽一致，无漏喷、锈蚀</w:t>
      </w:r>
      <w:r>
        <w:rPr>
          <w:rFonts w:ascii="仿宋" w:hAnsi="仿宋" w:eastAsia="仿宋" w:cs="仿宋"/>
          <w:color w:val="000000" w:themeColor="text1"/>
          <w:kern w:val="28"/>
          <w:szCs w:val="24"/>
          <w:highlight w:val="none"/>
          <w:lang w:eastAsia="zh-TW"/>
          <w14:textFill>
            <w14:solidFill>
              <w14:schemeClr w14:val="tx1"/>
            </w14:solidFill>
          </w14:textFill>
        </w:rPr>
        <w:t>、</w:t>
      </w:r>
      <w:r>
        <w:rPr>
          <w:rFonts w:ascii="仿宋" w:hAnsi="仿宋" w:eastAsia="仿宋" w:cs="仿宋"/>
          <w:color w:val="000000" w:themeColor="text1"/>
          <w:kern w:val="28"/>
          <w:sz w:val="24"/>
          <w:szCs w:val="24"/>
          <w:highlight w:val="none"/>
          <w:lang w:eastAsia="zh-TW" w:bidi="ar"/>
          <w14:textFill>
            <w14:solidFill>
              <w14:schemeClr w14:val="tx1"/>
            </w14:solidFill>
          </w14:textFill>
        </w:rPr>
        <w:t>流挂、疙瘩、皱皮、飞漆等缺陷；硬度不低于</w:t>
      </w:r>
      <w:r>
        <w:rPr>
          <w:rFonts w:ascii="仿宋" w:hAnsi="仿宋" w:eastAsia="仿宋" w:cs="仿宋"/>
          <w:color w:val="000000" w:themeColor="text1"/>
          <w:kern w:val="28"/>
          <w:szCs w:val="24"/>
          <w:highlight w:val="none"/>
          <w14:textFill>
            <w14:solidFill>
              <w14:schemeClr w14:val="tx1"/>
            </w14:solidFill>
          </w14:textFill>
        </w:rPr>
        <w:t>3</w:t>
      </w:r>
      <w:r>
        <w:rPr>
          <w:rFonts w:ascii="仿宋" w:hAnsi="仿宋" w:eastAsia="仿宋" w:cs="仿宋"/>
          <w:color w:val="000000" w:themeColor="text1"/>
          <w:kern w:val="28"/>
          <w:sz w:val="24"/>
          <w:szCs w:val="24"/>
          <w:highlight w:val="none"/>
          <w:lang w:bidi="ar"/>
          <w14:textFill>
            <w14:solidFill>
              <w14:schemeClr w14:val="tx1"/>
            </w14:solidFill>
          </w14:textFill>
        </w:rPr>
        <w:t>H</w:t>
      </w:r>
      <w:r>
        <w:rPr>
          <w:rFonts w:ascii="仿宋" w:hAnsi="仿宋" w:eastAsia="仿宋" w:cs="仿宋"/>
          <w:color w:val="000000" w:themeColor="text1"/>
          <w:kern w:val="28"/>
          <w:sz w:val="24"/>
          <w:szCs w:val="24"/>
          <w:highlight w:val="none"/>
          <w:lang w:eastAsia="zh-TW" w:bidi="ar"/>
          <w14:textFill>
            <w14:solidFill>
              <w14:schemeClr w14:val="tx1"/>
            </w14:solidFill>
          </w14:textFill>
        </w:rPr>
        <w:t>；附着力不低于</w:t>
      </w:r>
      <w:r>
        <w:rPr>
          <w:rFonts w:ascii="仿宋" w:hAnsi="仿宋" w:eastAsia="仿宋" w:cs="仿宋"/>
          <w:color w:val="000000" w:themeColor="text1"/>
          <w:kern w:val="28"/>
          <w:sz w:val="24"/>
          <w:szCs w:val="24"/>
          <w:highlight w:val="none"/>
          <w:lang w:bidi="ar"/>
          <w14:textFill>
            <w14:solidFill>
              <w14:schemeClr w14:val="tx1"/>
            </w14:solidFill>
          </w14:textFill>
        </w:rPr>
        <w:t>2</w:t>
      </w:r>
      <w:r>
        <w:rPr>
          <w:rFonts w:ascii="仿宋" w:hAnsi="仿宋" w:eastAsia="仿宋" w:cs="仿宋"/>
          <w:color w:val="000000" w:themeColor="text1"/>
          <w:kern w:val="28"/>
          <w:sz w:val="24"/>
          <w:szCs w:val="24"/>
          <w:highlight w:val="none"/>
          <w:lang w:eastAsia="zh-TW" w:bidi="ar"/>
          <w14:textFill>
            <w14:solidFill>
              <w14:schemeClr w14:val="tx1"/>
            </w14:solidFill>
          </w14:textFill>
        </w:rPr>
        <w:t>级；冲击强（高）度</w:t>
      </w:r>
      <w:r>
        <w:rPr>
          <w:rFonts w:ascii="仿宋" w:hAnsi="仿宋" w:eastAsia="仿宋" w:cs="仿宋"/>
          <w:color w:val="000000" w:themeColor="text1"/>
          <w:kern w:val="28"/>
          <w:sz w:val="24"/>
          <w:szCs w:val="24"/>
          <w:highlight w:val="none"/>
          <w:lang w:bidi="ar"/>
          <w14:textFill>
            <w14:solidFill>
              <w14:schemeClr w14:val="tx1"/>
            </w14:solidFill>
          </w14:textFill>
        </w:rPr>
        <w:t>400mm</w:t>
      </w:r>
      <w:r>
        <w:rPr>
          <w:rFonts w:ascii="仿宋" w:hAnsi="仿宋" w:eastAsia="仿宋" w:cs="仿宋"/>
          <w:color w:val="000000" w:themeColor="text1"/>
          <w:kern w:val="28"/>
          <w:sz w:val="24"/>
          <w:szCs w:val="24"/>
          <w:highlight w:val="none"/>
          <w:lang w:eastAsia="zh-TW" w:bidi="ar"/>
          <w14:textFill>
            <w14:solidFill>
              <w14:schemeClr w14:val="tx1"/>
            </w14:solidFill>
          </w14:textFill>
        </w:rPr>
        <w:t>，无剥落、无裂纹、无皱纹；耐腐蚀</w:t>
      </w:r>
      <w:r>
        <w:rPr>
          <w:rFonts w:ascii="仿宋" w:hAnsi="仿宋" w:eastAsia="仿宋" w:cs="仿宋"/>
          <w:color w:val="000000" w:themeColor="text1"/>
          <w:kern w:val="28"/>
          <w:szCs w:val="24"/>
          <w:highlight w:val="none"/>
          <w14:textFill>
            <w14:solidFill>
              <w14:schemeClr w14:val="tx1"/>
            </w14:solidFill>
          </w14:textFill>
        </w:rPr>
        <w:t>480</w:t>
      </w:r>
      <w:r>
        <w:rPr>
          <w:rFonts w:ascii="仿宋" w:hAnsi="仿宋" w:eastAsia="仿宋" w:cs="仿宋"/>
          <w:color w:val="000000" w:themeColor="text1"/>
          <w:kern w:val="28"/>
          <w:sz w:val="24"/>
          <w:szCs w:val="24"/>
          <w:highlight w:val="none"/>
          <w:lang w:bidi="ar"/>
          <w14:textFill>
            <w14:solidFill>
              <w14:schemeClr w14:val="tx1"/>
            </w14:solidFill>
          </w14:textFill>
        </w:rPr>
        <w:t>h</w:t>
      </w:r>
      <w:r>
        <w:rPr>
          <w:rFonts w:ascii="仿宋" w:hAnsi="仿宋" w:eastAsia="仿宋" w:cs="仿宋"/>
          <w:color w:val="000000" w:themeColor="text1"/>
          <w:kern w:val="28"/>
          <w:sz w:val="24"/>
          <w:szCs w:val="24"/>
          <w:highlight w:val="none"/>
          <w:lang w:eastAsia="zh-TW" w:bidi="ar"/>
          <w14:textFill>
            <w14:solidFill>
              <w14:schemeClr w14:val="tx1"/>
            </w14:solidFill>
          </w14:textFill>
        </w:rPr>
        <w:t>后，划道两侧</w:t>
      </w:r>
      <w:r>
        <w:rPr>
          <w:rFonts w:ascii="仿宋" w:hAnsi="仿宋" w:eastAsia="仿宋" w:cs="仿宋"/>
          <w:color w:val="000000" w:themeColor="text1"/>
          <w:kern w:val="28"/>
          <w:sz w:val="24"/>
          <w:szCs w:val="24"/>
          <w:highlight w:val="none"/>
          <w:lang w:bidi="ar"/>
          <w14:textFill>
            <w14:solidFill>
              <w14:schemeClr w14:val="tx1"/>
            </w14:solidFill>
          </w14:textFill>
        </w:rPr>
        <w:t>3mm</w:t>
      </w:r>
      <w:r>
        <w:rPr>
          <w:rFonts w:ascii="仿宋" w:hAnsi="仿宋" w:eastAsia="仿宋" w:cs="仿宋"/>
          <w:color w:val="000000" w:themeColor="text1"/>
          <w:kern w:val="28"/>
          <w:sz w:val="24"/>
          <w:szCs w:val="24"/>
          <w:highlight w:val="none"/>
          <w:lang w:eastAsia="zh-TW" w:bidi="ar"/>
          <w14:textFill>
            <w14:solidFill>
              <w14:schemeClr w14:val="tx1"/>
            </w14:solidFill>
          </w14:textFill>
        </w:rPr>
        <w:t>以外，应无锈蚀、剥落、起皱、变色、失光等现象</w:t>
      </w:r>
      <w:r>
        <w:rPr>
          <w:rFonts w:ascii="仿宋" w:hAnsi="仿宋" w:eastAsia="仿宋" w:cs="仿宋"/>
          <w:color w:val="000000" w:themeColor="text1"/>
          <w:kern w:val="28"/>
          <w:szCs w:val="24"/>
          <w:highlight w:val="none"/>
          <w:lang w:eastAsia="zh-TW"/>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耐腐蚀等级中性盐雾试验（NSS）≧480h不低于9级，乙酸盐雾试验≧480h不低于9级；铅、镉、汞、铬、锑、钡、砷、硒含量均符合要求</w:t>
      </w:r>
      <w:r>
        <w:rPr>
          <w:rFonts w:ascii="仿宋" w:hAnsi="仿宋" w:eastAsia="仿宋" w:cs="仿宋"/>
          <w:color w:val="000000" w:themeColor="text1"/>
          <w:szCs w:val="24"/>
          <w:highlight w:val="none"/>
          <w:lang w:eastAsia="zh-TW"/>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喷涂抗菌性能要求至少包括：大肠杆菌、金黄色葡萄球菌、白色念珠球菌等，防霉性能要求至少包括：黑曲霉、土曲霉、蝇状青霉等。</w:t>
      </w:r>
    </w:p>
    <w:p>
      <w:pPr>
        <w:pStyle w:val="57"/>
        <w:widowControl w:val="0"/>
        <w:autoSpaceDE w:val="0"/>
        <w:autoSpaceDN w:val="0"/>
        <w:snapToGrid w:val="0"/>
        <w:spacing w:before="0" w:beforeAutospacing="0" w:after="0" w:afterAutospacing="0" w:line="360" w:lineRule="auto"/>
        <w:ind w:firstLine="240" w:firstLineChars="100"/>
        <w:jc w:val="both"/>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28"/>
          <w:szCs w:val="24"/>
          <w:highlight w:val="none"/>
          <w:lang w:bidi="ar"/>
          <w14:textFill>
            <w14:solidFill>
              <w14:schemeClr w14:val="tx1"/>
            </w14:solidFill>
          </w14:textFill>
        </w:rPr>
        <w:t>（16）</w:t>
      </w:r>
      <w:r>
        <w:rPr>
          <w:rFonts w:hint="eastAsia" w:ascii="仿宋" w:hAnsi="仿宋" w:eastAsia="仿宋" w:cs="仿宋"/>
          <w:bCs/>
          <w:color w:val="000000" w:themeColor="text1"/>
          <w:kern w:val="2"/>
          <w:szCs w:val="24"/>
          <w:highlight w:val="none"/>
          <w:lang w:bidi="ar"/>
          <w14:textFill>
            <w14:solidFill>
              <w14:schemeClr w14:val="tx1"/>
            </w14:solidFill>
          </w14:textFill>
        </w:rPr>
        <w:t>架体性能要求</w:t>
      </w:r>
    </w:p>
    <w:p>
      <w:pPr>
        <w:pStyle w:val="1017"/>
        <w:widowControl/>
        <w:snapToGrid w:val="0"/>
        <w:spacing w:line="360" w:lineRule="auto"/>
        <w:ind w:firstLine="638" w:firstLineChars="266"/>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1）全静载荷：每层搁板上加均布静荷试验后，各结构部件和架体不应有明显变形，架体不应产生倾斜现象。</w:t>
      </w:r>
    </w:p>
    <w:p>
      <w:pPr>
        <w:pStyle w:val="1017"/>
        <w:widowControl/>
        <w:snapToGrid w:val="0"/>
        <w:spacing w:line="360" w:lineRule="auto"/>
        <w:ind w:firstLine="638" w:firstLineChars="266"/>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2）载重运行：在全静载荷的情况下进行运行试验，架体应运行自如，不得有阻滞现象；手柄摇力应不大于11.8N。</w:t>
      </w:r>
    </w:p>
    <w:p>
      <w:pPr>
        <w:snapToGrid w:val="0"/>
        <w:spacing w:line="360" w:lineRule="auto"/>
        <w:ind w:firstLine="720" w:firstLineChars="300"/>
        <w:rPr>
          <w:rFonts w:ascii="Arial" w:hAnsi="Arial" w:eastAsia="黑体" w:cs="Arial"/>
          <w:snapToGrid w:val="0"/>
          <w:color w:val="000000" w:themeColor="text1"/>
          <w:kern w:val="0"/>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3）密集架空载运行时，声压级噪音不得超过65db。</w:t>
      </w:r>
    </w:p>
    <w:p>
      <w:pPr>
        <w:snapToGrid w:val="0"/>
        <w:spacing w:line="360" w:lineRule="auto"/>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（17）制造标准及工艺 </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每标准节组装后，架体外形尺寸的极限偏差为±2mm，立柱与轨道的垂直度偏差不大于2mm，侧面板和中腰带的对缝处的间隙偏差不大于2mm，门缝间隙偏差不大于2mm；轨道安装平行度偏差不大于1mm/m，全长不大于2mm，轨道对接处高低差不大于0.3mm。</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2）搁板上均匀载重不低于80KG，放置24h最大挠度小于4mm，卸载后2h搁板不得有裂缝，残余变形量不大于0.3mm。</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3）所有焊接件均焊接牢固，外表光滑平整。</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产品的全部钣金件均经过严格的除油、去锈、脱脂、表调、陶化、水洗等十三道工序前处理，采用优质环保型高静电自动喷粉，表面涂层高温固化而成，提高其防锈蚀性能。架体外观设计要求精美，线条流畅，与装修风格协调一致；库房设备布置整洁美观；架体操作轻便灵活，运行平稳，具有良好的防盗、防光、防高温、防火、防潮、防尘、防鼠等功能。</w:t>
      </w:r>
    </w:p>
    <w:p>
      <w:pPr>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5）所有标准件及紧固件均经氧化或镀锌处理。</w:t>
      </w:r>
    </w:p>
    <w:p>
      <w:pPr>
        <w:spacing w:line="44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11.2、智能密集架存储系统软件功能技术需求</w:t>
      </w:r>
    </w:p>
    <w:p>
      <w:pPr>
        <w:spacing w:line="440" w:lineRule="exact"/>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（1）智能集电脑、电动、智能为一体，又可相互独立操作，具有软性切换功能，支持无缝升级，缓起缓降无碰撞运行功能。</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(2)固定列具有数据库管理功能并支持架体操作，界面为≥15寸及以上全彩液晶触摸屏，移动列配备≥10.1寸及以上全彩触摸式液晶屏；每列均装有列号显示数码管（圆形、长方形可选）。</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(3)控制功能：通过软件数据库查询所需文件，智能打开文件所在文件存放位置。</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（4）电动控制功能：通过移动列控制面板，实现密集架左移、右移、停止、合架等操作；通过固定列触摸屏控制各架体移动、停止、通风、合架、系统操作设置等各种操作。</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（5）自动通风功能：当库房进行温度、湿度、环境参数调控是，架体会自动开启通风功能。</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（6）查询功能：固定列具有档案查询功能，可通过档案的名称、档号等查询本区域档案、并可操作打开等。</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（7）显示功能：管理人员调取档案时，在系统中检索、选择档案，档案所在架体自动打开，同时固定列、移动列屏幕上显示该档案位置。</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(8)安全保护功能：在架体的进出口及架体内安装多道安全检测装置，当人员进出架体通道时，自动使架体处于禁止移动状态。</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(9)过载保护：自动判断电机在过流时是处于完全堵转状态还是在运行状态或电机短路状态</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(10)数据接口：支持数据之间的交互传达，实现和第三方软件间的数据无缝对接。</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(11)数据安全：需对数据安全进行了全方位考虑。数据权限进行灵活划分，可以通过权限设置，避免操作岗位职责范围外的数据。</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(12)字段管理：支持自定义修改储存字段名称，实现添加、删除、修改字段名称的功能。</w:t>
      </w:r>
    </w:p>
    <w:p>
      <w:pPr>
        <w:spacing w:line="44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(13)数据编辑检索：能够添加，修改，删除，编辑数据信息；支持精确查询，模糊查询。</w:t>
      </w:r>
    </w:p>
    <w:p>
      <w:pPr>
        <w:spacing w:line="440" w:lineRule="exact"/>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（14）联动功能：可与智能灯光、环境安全、消毒净化、业务管理系统等相关系统互通，形成一个整体。</w:t>
      </w:r>
    </w:p>
    <w:p>
      <w:pPr>
        <w:spacing w:line="440" w:lineRule="exact"/>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11.3、智能控制部分技术要求</w:t>
      </w:r>
    </w:p>
    <w:tbl>
      <w:tblPr>
        <w:tblStyle w:val="62"/>
        <w:tblW w:w="820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58"/>
        <w:gridCol w:w="1542"/>
        <w:gridCol w:w="4773"/>
        <w:gridCol w:w="9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序号</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产品名称</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技术参数</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驱动电机</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直流24V、≥90W、配套齿轮箱、变速比1:36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1台/列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电磁离合器</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DLY24V/5A牙嵌式离合器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1套/列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固定列触摸显示屏</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≥15吋真彩触摸显示液晶屏（工业屏），分辨率不低于1024*768。</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1块/区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活动列触摸显示屏</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≥10.1吋真彩触摸显示液晶屏（工业屏），分辨率不低于1024*600。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1块/列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固定列控制板</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工业级处理芯片、总线控制、CRC数据校验。</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1块/区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活动列控制板</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液晶屏、数码显示接口、电机过流、过压、堵转保护、灯光等。</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1块/列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红外对射器</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距离不小于10米。</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1对/列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安全保护装置</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电压：5～30V，检测距离：不小于10M，反应时间≤2.5MS。</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1套/列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行程开关</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检测距离：≥10毫米（mm）</w:t>
            </w:r>
          </w:p>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检测物体：强磁</w:t>
            </w:r>
          </w:p>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工作电压：AC/DC5-250VAC以内</w:t>
            </w:r>
          </w:p>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输出方式：交流二线常开</w:t>
            </w:r>
          </w:p>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输出电流：200毫安（mA)</w:t>
            </w:r>
          </w:p>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外壳材料：金属/铜</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2只/列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架体防挤压装置</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寿命≥100万次。</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2个/列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3"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指引光源</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1.功率12W，4000K，LED高亮。</w:t>
            </w:r>
          </w:p>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2.无视网膜蓝光危害。</w:t>
            </w:r>
          </w:p>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3.具有防触电保护。</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2只/列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语音控制器</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支持GB2312、GBK、BIG5和UNICODE内码格式的文本；支持多种控制命令，包括：合成、停止、暂停合成、继续合成、改变波特率等。</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1只/区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总线通讯板</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通讯速率：115200Bps.CRC校验。</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1只/库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通讯线、电源线</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RVS2*0.75、RVV4*1.5。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2根/列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开关电源</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电压24V、功率150W。</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1套/列</w:t>
            </w:r>
          </w:p>
        </w:tc>
      </w:tr>
    </w:tbl>
    <w:p>
      <w:pPr>
        <w:spacing w:line="440" w:lineRule="exact"/>
        <w:ind w:firstLine="241" w:firstLineChars="100"/>
        <w:outlineLvl w:val="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12、档案业务工作模式系统技术要求（预留）</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12.1、硬件支持网络，无线传输等模式,实现对监管单位档案库房环境状态的实时监测；系统具有实时硬件信息网页浏览能力，手机APP等方式查询当前数据、历史数据、数据报表、数据曲线等功能。</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12.2、基于高性能微控制器，支持以太网MAC10/100，双CAN总线接口；GSM/GPRS模块，为客户提供可靠性的网络连接方式；采用微功率无线通信模块，使系统布线更加方便；工业级真彩显示屏，实时显示系统工作信息，一览无余。</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12.3、实时感知、实时采集、实时预警信息第一时间上传、告知；将各个监测区域采集的数据信息存储，为相关应用及业务评估提供可靠的量化依据。</w:t>
      </w:r>
    </w:p>
    <w:p>
      <w:pPr>
        <w:spacing w:line="360" w:lineRule="auto"/>
        <w:ind w:firstLine="241" w:firstLineChars="100"/>
        <w:outlineLvl w:val="2"/>
        <w:rPr>
          <w:rFonts w:ascii="仿宋" w:hAnsi="仿宋" w:eastAsia="仿宋" w:cs="仿宋"/>
          <w:b/>
          <w:color w:val="000000" w:themeColor="text1"/>
          <w:sz w:val="24"/>
          <w:szCs w:val="24"/>
          <w:highlight w:val="none"/>
          <w14:textFill>
            <w14:solidFill>
              <w14:schemeClr w14:val="tx1"/>
            </w14:solidFill>
          </w14:textFill>
        </w:rPr>
      </w:pPr>
      <w:bookmarkStart w:id="36" w:name="_Toc78187581"/>
      <w:bookmarkStart w:id="37" w:name="_Toc24706"/>
      <w:r>
        <w:rPr>
          <w:rFonts w:hint="eastAsia" w:ascii="仿宋" w:hAnsi="仿宋" w:eastAsia="仿宋" w:cs="仿宋"/>
          <w:b/>
          <w:color w:val="000000" w:themeColor="text1"/>
          <w:sz w:val="24"/>
          <w:szCs w:val="24"/>
          <w:highlight w:val="none"/>
          <w:lang w:bidi="ar"/>
          <w14:textFill>
            <w14:solidFill>
              <w14:schemeClr w14:val="tx1"/>
            </w14:solidFill>
          </w14:textFill>
        </w:rPr>
        <w:t>13、风淋</w:t>
      </w:r>
      <w:bookmarkEnd w:id="36"/>
      <w:r>
        <w:rPr>
          <w:rFonts w:hint="eastAsia" w:ascii="仿宋" w:hAnsi="仿宋" w:eastAsia="仿宋" w:cs="仿宋"/>
          <w:b/>
          <w:color w:val="000000" w:themeColor="text1"/>
          <w:sz w:val="24"/>
          <w:szCs w:val="24"/>
          <w:highlight w:val="none"/>
          <w:lang w:bidi="ar"/>
          <w14:textFill>
            <w14:solidFill>
              <w14:schemeClr w14:val="tx1"/>
            </w14:solidFill>
          </w14:textFill>
        </w:rPr>
        <w:t>设备</w:t>
      </w:r>
      <w:bookmarkEnd w:id="37"/>
    </w:p>
    <w:p>
      <w:pPr>
        <w:widowControl/>
        <w:spacing w:line="360" w:lineRule="auto"/>
        <w:ind w:right="325" w:rightChars="155"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自动控制运行，双门电子互锁，并设有光电感应器， 整体冷轧钢板制作，外表面静电喷塑处理，门、底板、喷嘴均采用不锈钢制造，具体尺寸根据现场定制： </w:t>
      </w:r>
    </w:p>
    <w:p>
      <w:pPr>
        <w:widowControl/>
        <w:spacing w:line="360" w:lineRule="auto"/>
        <w:ind w:right="325" w:rightChars="155"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风淋门：全部采用304不锈钢材质，板材厚度不小于 1.2mm，上部为钢化玻璃视窗，下部为不锈钢平面处理，无凹凸棱角，减少死角；三道 3mm 厚度不锈钢铰链，保障门应结实耐用，门与门框结合平整、牢固，密封性能良好，门开启灵活。</w:t>
      </w:r>
    </w:p>
    <w:p>
      <w:pPr>
        <w:widowControl/>
        <w:spacing w:line="360" w:lineRule="auto"/>
        <w:ind w:right="325" w:rightChars="155"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过滤系统：应至少达到二级过滤标准，配备初、高效预过滤器，可清洗可更换，初效过滤器 45%（5um）效率，风淋室主板材应直接整体冲孔而成，透风量高；高效过滤器不小于 99.99%(0.3um)过滤效率，过滤器安装平整、牢固,过滤器与框架以及框架与壁板之间无漏缝，高效过滤器与框架之间采用 EVA 密封条密封。</w:t>
      </w:r>
    </w:p>
    <w:p>
      <w:pPr>
        <w:widowControl/>
        <w:spacing w:line="360" w:lineRule="auto"/>
        <w:ind w:right="325" w:rightChars="155"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采用专用净化离心低噪音风机，应满足如下指标：风量≥2500h/m</w:t>
      </w:r>
      <w:r>
        <w:rPr>
          <w:rFonts w:hint="eastAsia" w:ascii="宋体" w:hAnsi="宋体" w:cs="宋体"/>
          <w:color w:val="000000" w:themeColor="text1"/>
          <w:sz w:val="24"/>
          <w:szCs w:val="24"/>
          <w:highlight w:val="none"/>
          <w:lang w:bidi="ar"/>
          <w14:textFill>
            <w14:solidFill>
              <w14:schemeClr w14:val="tx1"/>
            </w14:solidFill>
          </w14:textFill>
        </w:rPr>
        <w:t>³</w:t>
      </w:r>
      <w:r>
        <w:rPr>
          <w:rFonts w:hint="eastAsia" w:ascii="仿宋" w:hAnsi="仿宋" w:eastAsia="仿宋" w:cs="仿宋"/>
          <w:color w:val="000000" w:themeColor="text1"/>
          <w:sz w:val="24"/>
          <w:szCs w:val="24"/>
          <w:highlight w:val="none"/>
          <w:lang w:bidi="ar"/>
          <w14:textFill>
            <w14:solidFill>
              <w14:schemeClr w14:val="tx1"/>
            </w14:solidFill>
          </w14:textFill>
        </w:rPr>
        <w:t>、风压≥1200pa、转速≥2800r/min、噪音≦65db；控制系统：风淋室应具备自动控制运行系统，双门电子互锁，配置光电感应器自动吹淋，控制面板上吹淋时间可调（0-99s），风淋工作中双门自动闭锁，双门无法打开，强制吹淋，吹淋结束后门自动解除互锁。</w:t>
      </w:r>
    </w:p>
    <w:p>
      <w:pPr>
        <w:widowControl/>
        <w:spacing w:line="360" w:lineRule="auto"/>
        <w:ind w:right="325" w:rightChars="155"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喷嘴要求采用全304不锈钢材质，镜面抛光，风嘴直径 38mm(±0. 1)mm；，左右两侧分布，吹风角度、方向可旋转。</w:t>
      </w:r>
    </w:p>
    <w:p>
      <w:pPr>
        <w:widowControl/>
        <w:spacing w:line="360" w:lineRule="auto"/>
        <w:ind w:right="325" w:rightChars="155"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互锁控制系统应采用先进集成电路控制器，智能语音控制系统(吹淋时由自动语音系统提示，有次序的完成整个吹淋除尘过程)，触摸式微动按钮，配备光电感应器，自动感应吹淋系统，人货进入风淋区前后门自动互锁，强制吹淋，吹淋作业完毕打开后门出去（若只是开门，人货未进入风淋区，风机不会启动）；另要求控制系统可设置长工件通过时，前后门自动开启，人货自动感应风淋，人货离开时前后门关闭。控制面板上微动开关可调 0～99s，LED 显示屏显示风淋时间及风机照明启动状态。</w:t>
      </w:r>
    </w:p>
    <w:p>
      <w:pPr>
        <w:spacing w:line="440" w:lineRule="exact"/>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风淋室除尘过滤系统应采用上送风，下回风除尘的自净式循环，高效过滤器过滤效率≥99.99%（≥0.3um 尘埃粒子；钠焰法测试），回风除尘自净循环采用 G4 初效预置过滤器（可拆卸自行清洗）；风淋方式为左右双侧风淋，采用多角度可调节镜面不锈钢，出风口径 38mm，出风口风速≥20m/s。</w:t>
      </w:r>
    </w:p>
    <w:p>
      <w:pPr>
        <w:spacing w:line="440" w:lineRule="exact"/>
        <w:outlineLvl w:val="1"/>
        <w:rPr>
          <w:rFonts w:ascii="仿宋_GB2312" w:hAnsi="仿宋" w:eastAsia="仿宋_GB2312" w:cs="仿宋_GB2312"/>
          <w:b/>
          <w:color w:val="000000" w:themeColor="text1"/>
          <w:sz w:val="32"/>
          <w:szCs w:val="20"/>
          <w:highlight w:val="none"/>
          <w14:textFill>
            <w14:solidFill>
              <w14:schemeClr w14:val="tx1"/>
            </w14:solidFill>
          </w14:textFill>
        </w:rPr>
      </w:pPr>
      <w:r>
        <w:rPr>
          <w:rFonts w:hint="eastAsia" w:ascii="仿宋_GB2312" w:hAnsi="仿宋" w:eastAsia="仿宋_GB2312" w:cs="仿宋_GB2312"/>
          <w:b/>
          <w:color w:val="000000" w:themeColor="text1"/>
          <w:sz w:val="32"/>
          <w:szCs w:val="20"/>
          <w:highlight w:val="none"/>
          <w:lang w:bidi="ar"/>
          <w14:textFill>
            <w14:solidFill>
              <w14:schemeClr w14:val="tx1"/>
            </w14:solidFill>
          </w14:textFill>
        </w:rPr>
        <w:t>五、项目其它要求</w:t>
      </w:r>
    </w:p>
    <w:p>
      <w:pPr>
        <w:spacing w:line="360" w:lineRule="auto"/>
        <w:ind w:firstLine="480" w:firstLineChars="200"/>
        <w:rPr>
          <w:rFonts w:ascii="仿宋_GB2312" w:hAnsi="仿宋" w:eastAsia="仿宋_GB2312" w:cs="仿宋"/>
          <w:bCs/>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lang w:bidi="ar"/>
          <w14:textFill>
            <w14:solidFill>
              <w14:schemeClr w14:val="tx1"/>
            </w14:solidFill>
          </w14:textFill>
        </w:rPr>
        <w:t>▲</w:t>
      </w:r>
      <w:r>
        <w:rPr>
          <w:rFonts w:hint="eastAsia" w:ascii="仿宋_GB2312" w:hAnsi="仿宋" w:eastAsia="仿宋_GB2312" w:cs="仿宋"/>
          <w:bCs/>
          <w:color w:val="000000" w:themeColor="text1"/>
          <w:sz w:val="24"/>
          <w:szCs w:val="24"/>
          <w:highlight w:val="none"/>
          <w:lang w:bidi="ar"/>
          <w14:textFill>
            <w14:solidFill>
              <w14:schemeClr w14:val="tx1"/>
            </w14:solidFill>
          </w14:textFill>
        </w:rPr>
        <w:t>1、</w:t>
      </w:r>
      <w:r>
        <w:rPr>
          <w:rFonts w:hint="eastAsia" w:ascii="仿宋_GB2312" w:hAnsi="仿宋" w:eastAsia="仿宋_GB2312" w:cs="仿宋"/>
          <w:b/>
          <w:bCs/>
          <w:color w:val="000000" w:themeColor="text1"/>
          <w:sz w:val="24"/>
          <w:szCs w:val="24"/>
          <w:highlight w:val="none"/>
          <w:lang w:bidi="ar"/>
          <w14:textFill>
            <w14:solidFill>
              <w14:schemeClr w14:val="tx1"/>
            </w14:solidFill>
          </w14:textFill>
        </w:rPr>
        <w:t>本项目工期时间（包括进货、到货、安装、调试等</w:t>
      </w:r>
      <w:r>
        <w:rPr>
          <w:rFonts w:hint="eastAsia" w:ascii="仿宋_GB2312" w:hAnsi="仿宋" w:eastAsia="仿宋_GB2312" w:cs="仿宋"/>
          <w:b/>
          <w:color w:val="000000" w:themeColor="text1"/>
          <w:sz w:val="24"/>
          <w:szCs w:val="24"/>
          <w:highlight w:val="none"/>
          <w:lang w:bidi="ar"/>
          <w14:textFill>
            <w14:solidFill>
              <w14:schemeClr w14:val="tx1"/>
            </w14:solidFill>
          </w14:textFill>
        </w:rPr>
        <w:t>）为180个日历日，具体进度以</w:t>
      </w:r>
      <w:r>
        <w:rPr>
          <w:rFonts w:hint="eastAsia" w:ascii="仿宋_GB2312" w:hAnsi="仿宋" w:eastAsia="仿宋_GB2312" w:cs="仿宋"/>
          <w:b/>
          <w:color w:val="000000" w:themeColor="text1"/>
          <w:sz w:val="24"/>
          <w:szCs w:val="24"/>
          <w:highlight w:val="none"/>
          <w:lang w:eastAsia="zh-CN" w:bidi="ar"/>
          <w14:textFill>
            <w14:solidFill>
              <w14:schemeClr w14:val="tx1"/>
            </w14:solidFill>
          </w14:textFill>
        </w:rPr>
        <w:t>采购人</w:t>
      </w:r>
      <w:r>
        <w:rPr>
          <w:rFonts w:hint="eastAsia" w:ascii="仿宋_GB2312" w:hAnsi="仿宋" w:eastAsia="仿宋_GB2312" w:cs="仿宋"/>
          <w:b/>
          <w:color w:val="000000" w:themeColor="text1"/>
          <w:sz w:val="24"/>
          <w:szCs w:val="24"/>
          <w:highlight w:val="none"/>
          <w:lang w:bidi="ar"/>
          <w14:textFill>
            <w14:solidFill>
              <w14:schemeClr w14:val="tx1"/>
            </w14:solidFill>
          </w14:textFill>
        </w:rPr>
        <w:t>通知为准。</w:t>
      </w:r>
    </w:p>
    <w:p>
      <w:pPr>
        <w:spacing w:line="360" w:lineRule="auto"/>
        <w:ind w:firstLine="480" w:firstLineChars="200"/>
        <w:rPr>
          <w:rFonts w:ascii="仿宋_GB2312" w:hAnsi="仿宋" w:eastAsia="仿宋_GB2312" w:cs="仿宋"/>
          <w:bCs/>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lang w:bidi="ar"/>
          <w14:textFill>
            <w14:solidFill>
              <w14:schemeClr w14:val="tx1"/>
            </w14:solidFill>
          </w14:textFill>
        </w:rPr>
        <w:t>▲</w:t>
      </w:r>
      <w:r>
        <w:rPr>
          <w:rFonts w:hint="eastAsia" w:ascii="仿宋_GB2312" w:hAnsi="仿宋" w:eastAsia="仿宋_GB2312" w:cs="仿宋"/>
          <w:bCs/>
          <w:color w:val="000000" w:themeColor="text1"/>
          <w:sz w:val="24"/>
          <w:szCs w:val="24"/>
          <w:highlight w:val="none"/>
          <w:lang w:bidi="ar"/>
          <w14:textFill>
            <w14:solidFill>
              <w14:schemeClr w14:val="tx1"/>
            </w14:solidFill>
          </w14:textFill>
        </w:rPr>
        <w:t>2、项目整体质保期不少于五年；承诺的质保期内提供全天候7×24小时的故障维护服务和技术业务咨询服务，并有专业的技术人员负责及时解决出现的任何故障（在质保期内的工作应包括对所有设备常规检查、维护、修理、更换等，所有费用包含在投标报价中）。在质保期前5年要求中标单位有1名智慧化综合管理平台工程师提供驻场服务。</w:t>
      </w:r>
    </w:p>
    <w:p>
      <w:pPr>
        <w:spacing w:line="360" w:lineRule="auto"/>
        <w:ind w:firstLine="480" w:firstLineChars="200"/>
        <w:rPr>
          <w:rFonts w:ascii="仿宋_GB2312" w:hAnsi="仿宋" w:eastAsia="仿宋_GB2312" w:cs="仿宋"/>
          <w:bCs/>
          <w:color w:val="000000" w:themeColor="text1"/>
          <w:sz w:val="24"/>
          <w:szCs w:val="24"/>
          <w:highlight w:val="none"/>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3、故障修复响应：</w:t>
      </w:r>
    </w:p>
    <w:p>
      <w:pPr>
        <w:spacing w:line="360" w:lineRule="auto"/>
        <w:ind w:firstLine="480" w:firstLineChars="200"/>
        <w:rPr>
          <w:rFonts w:ascii="仿宋_GB2312" w:hAnsi="仿宋" w:eastAsia="仿宋_GB2312" w:cs="仿宋"/>
          <w:bCs/>
          <w:color w:val="000000" w:themeColor="text1"/>
          <w:sz w:val="24"/>
          <w:szCs w:val="24"/>
          <w:highlight w:val="none"/>
          <w:lang w:bidi="ar"/>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中标人须在全天的任何时段的30分钟内响应，专业维护人员必须8小时内到达现场，24小时内排除设备故障（遇到自然灾害等不可抗拒事故除外），以上由此产生的费用由中标人承担。如中标人不能按以上要求提供故障修复服务，招标人有权聘请第三方进行修复，中标人必须无条件配合并支付相关费用。提供详细完整的“三包”措施及售后服务措施和方案（包括服务措施、产品质量保证、回访、技术培训等）。</w:t>
      </w:r>
    </w:p>
    <w:p>
      <w:pPr>
        <w:spacing w:line="360" w:lineRule="auto"/>
        <w:ind w:firstLine="480" w:firstLineChars="200"/>
        <w:rPr>
          <w:rFonts w:ascii="仿宋_GB2312" w:hAnsi="仿宋" w:eastAsia="仿宋_GB2312" w:cs="仿宋"/>
          <w:bCs/>
          <w:color w:val="000000" w:themeColor="text1"/>
          <w:sz w:val="24"/>
          <w:szCs w:val="24"/>
          <w:highlight w:val="none"/>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4、投标人有完善的应急预案，以及重大活动的保障方案。</w:t>
      </w:r>
      <w:r>
        <w:rPr>
          <w:rFonts w:hint="eastAsia" w:ascii="仿宋_GB2312" w:hAnsi="仿宋" w:eastAsia="仿宋_GB2312" w:cs="仿宋"/>
          <w:bCs/>
          <w:color w:val="000000" w:themeColor="text1"/>
          <w:sz w:val="24"/>
          <w:szCs w:val="24"/>
          <w:highlight w:val="none"/>
          <w:lang w:eastAsia="zh-CN" w:bidi="ar"/>
          <w14:textFill>
            <w14:solidFill>
              <w14:schemeClr w14:val="tx1"/>
            </w14:solidFill>
          </w14:textFill>
        </w:rPr>
        <w:t>采购人</w:t>
      </w:r>
      <w:r>
        <w:rPr>
          <w:rFonts w:hint="eastAsia" w:ascii="仿宋_GB2312" w:hAnsi="仿宋" w:eastAsia="仿宋_GB2312" w:cs="仿宋"/>
          <w:bCs/>
          <w:color w:val="000000" w:themeColor="text1"/>
          <w:sz w:val="24"/>
          <w:szCs w:val="24"/>
          <w:highlight w:val="none"/>
          <w:lang w:bidi="ar"/>
          <w14:textFill>
            <w14:solidFill>
              <w14:schemeClr w14:val="tx1"/>
            </w14:solidFill>
          </w14:textFill>
        </w:rPr>
        <w:t>有重大活动时，需配备1-2名技术人员做好现场保障工作。</w:t>
      </w:r>
    </w:p>
    <w:p>
      <w:pPr>
        <w:spacing w:line="360" w:lineRule="auto"/>
        <w:ind w:firstLine="480" w:firstLineChars="200"/>
        <w:rPr>
          <w:rFonts w:ascii="仿宋_GB2312" w:hAnsi="仿宋" w:eastAsia="仿宋_GB2312" w:cs="仿宋"/>
          <w:bCs/>
          <w:color w:val="000000" w:themeColor="text1"/>
          <w:sz w:val="24"/>
          <w:szCs w:val="24"/>
          <w:highlight w:val="none"/>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5、运维服务期的管理要求：投标人应根据运维服务要求，建立完善的运维服务管理体系，保障承诺的运维服务内容的实施。</w:t>
      </w:r>
    </w:p>
    <w:p>
      <w:pPr>
        <w:spacing w:line="360" w:lineRule="auto"/>
        <w:ind w:firstLine="480" w:firstLineChars="200"/>
        <w:rPr>
          <w:rFonts w:ascii="仿宋_GB2312" w:hAnsi="仿宋" w:eastAsia="仿宋_GB2312" w:cs="仿宋"/>
          <w:bCs/>
          <w:color w:val="000000" w:themeColor="text1"/>
          <w:sz w:val="24"/>
          <w:szCs w:val="24"/>
          <w:highlight w:val="none"/>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6、系统免费二次开发</w:t>
      </w:r>
    </w:p>
    <w:p>
      <w:pPr>
        <w:spacing w:line="360" w:lineRule="auto"/>
        <w:ind w:firstLine="480" w:firstLineChars="200"/>
        <w:rPr>
          <w:rFonts w:ascii="仿宋_GB2312" w:hAnsi="仿宋" w:eastAsia="仿宋_GB2312" w:cs="仿宋"/>
          <w:bCs/>
          <w:color w:val="000000" w:themeColor="text1"/>
          <w:sz w:val="24"/>
          <w:szCs w:val="24"/>
          <w:highlight w:val="none"/>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系统提供免费二次开发，提供二次开发接口或工具。</w:t>
      </w:r>
    </w:p>
    <w:p>
      <w:pPr>
        <w:spacing w:line="360" w:lineRule="auto"/>
        <w:ind w:firstLine="480" w:firstLineChars="200"/>
        <w:rPr>
          <w:rFonts w:ascii="仿宋_GB2312" w:hAnsi="仿宋" w:eastAsia="仿宋_GB2312" w:cs="仿宋"/>
          <w:bCs/>
          <w:color w:val="000000" w:themeColor="text1"/>
          <w:sz w:val="24"/>
          <w:szCs w:val="24"/>
          <w:highlight w:val="none"/>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系统涉及的第三方软件或控件、组件若涉及版权纠纷，一切由投标人全权负责。</w:t>
      </w:r>
    </w:p>
    <w:p>
      <w:pPr>
        <w:spacing w:line="360" w:lineRule="auto"/>
        <w:ind w:firstLine="480" w:firstLineChars="200"/>
        <w:rPr>
          <w:rFonts w:ascii="仿宋_GB2312" w:hAnsi="仿宋" w:eastAsia="仿宋_GB2312" w:cs="仿宋"/>
          <w:bCs/>
          <w:color w:val="000000" w:themeColor="text1"/>
          <w:sz w:val="24"/>
          <w:szCs w:val="24"/>
          <w:highlight w:val="none"/>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7、培训：投标方应免费提供相应的培训计划，详细说明培训的方式、地点、人数、时间等实质性内容。</w:t>
      </w:r>
    </w:p>
    <w:p>
      <w:pPr>
        <w:spacing w:line="360" w:lineRule="auto"/>
        <w:ind w:firstLine="480" w:firstLineChars="200"/>
        <w:rPr>
          <w:rFonts w:ascii="仿宋_GB2312" w:hAnsi="仿宋" w:eastAsia="仿宋_GB2312" w:cs="仿宋"/>
          <w:bCs/>
          <w:color w:val="000000" w:themeColor="text1"/>
          <w:sz w:val="24"/>
          <w:szCs w:val="24"/>
          <w:highlight w:val="none"/>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8、投标人提供现场费安装、调试、测试系统，并承诺项目负责人在项目实施期间不得随意更换，如需更换须通过招标人的同意，项目负责人需具有一定的档案专业知识。在项目最终验收完成前须驻场工作。项目负责人具有二年及以上项目管理经验并曾负责类似智慧化综合管理平台或智能密集架或防磁库项目；项目组成员需获得计算机技术与软件专业技术资格。</w:t>
      </w:r>
    </w:p>
    <w:p>
      <w:pPr>
        <w:snapToGrid w:val="0"/>
        <w:spacing w:line="400" w:lineRule="exact"/>
        <w:ind w:firstLine="480" w:firstLineChars="200"/>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9、中标供应商的投标报价是履行合同的最终价格，投标报价应包括完成该采购需求下合同所涉及的全部费用；原材料价格浮动等原因概不补差。如遇部分清单设备增减，则按</w:t>
      </w:r>
      <w:r>
        <w:rPr>
          <w:rFonts w:hint="eastAsia" w:ascii="仿宋_GB2312" w:hAnsi="仿宋" w:eastAsia="仿宋_GB2312" w:cs="仿宋_GB2312"/>
          <w:color w:val="000000" w:themeColor="text1"/>
          <w:sz w:val="24"/>
          <w:szCs w:val="24"/>
          <w:highlight w:val="none"/>
          <w14:textFill>
            <w14:solidFill>
              <w14:schemeClr w14:val="tx1"/>
            </w14:solidFill>
          </w14:textFill>
        </w:rPr>
        <w:t>部分设备单价表</w:t>
      </w:r>
      <w:r>
        <w:rPr>
          <w:rFonts w:hint="eastAsia" w:ascii="仿宋_GB2312" w:hAnsi="仿宋" w:eastAsia="仿宋_GB2312" w:cs="仿宋"/>
          <w:color w:val="000000" w:themeColor="text1"/>
          <w:sz w:val="24"/>
          <w:highlight w:val="none"/>
          <w:lang w:bidi="ar"/>
          <w14:textFill>
            <w14:solidFill>
              <w14:schemeClr w14:val="tx1"/>
            </w14:solidFill>
          </w14:textFill>
        </w:rPr>
        <w:t>按实结算。</w:t>
      </w:r>
    </w:p>
    <w:p>
      <w:pPr>
        <w:spacing w:line="440" w:lineRule="exact"/>
        <w:ind w:firstLine="480" w:firstLineChars="200"/>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10、产品安装前或验收时，采购人有权对投标清单内产品进行权威机构的检测。</w:t>
      </w:r>
    </w:p>
    <w:p>
      <w:pPr>
        <w:snapToGrid w:val="0"/>
        <w:spacing w:line="400" w:lineRule="exact"/>
        <w:ind w:firstLine="480" w:firstLineChars="200"/>
        <w:rPr>
          <w:rFonts w:ascii="仿宋_GB2312" w:hAnsi="仿宋" w:eastAsia="仿宋_GB2312" w:cs="仿宋"/>
          <w:color w:val="000000" w:themeColor="text1"/>
          <w:sz w:val="24"/>
          <w:highlight w:val="none"/>
          <w:lang w:bidi="ar"/>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11、项目验收要求：在交货后，按照招标文件及招标方要求的方法和验收标准，对项目进行验收。项目最终验收，由用户确定具体时间组织专家进行项目最终验收。</w:t>
      </w:r>
    </w:p>
    <w:p>
      <w:pPr>
        <w:spacing w:line="440" w:lineRule="exact"/>
        <w:outlineLvl w:val="1"/>
        <w:rPr>
          <w:rFonts w:ascii="仿宋_GB2312" w:hAnsi="仿宋" w:eastAsia="仿宋_GB2312" w:cs="仿宋"/>
          <w:color w:val="000000" w:themeColor="text1"/>
          <w:sz w:val="24"/>
          <w:highlight w:val="none"/>
          <w:lang w:bidi="ar"/>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 xml:space="preserve">    12 、样品要求：900×570×2550mm（6层），二组为一列，共二列，一列为固定列（带门），一列为移动列（不带门），能实际操作（见下图）。具体制作要求符合采购需求“四、项目技术要求”中“11、智能密集架存储系统技术要求”。</w:t>
      </w:r>
      <w:r>
        <w:rPr>
          <w:rFonts w:hint="eastAsia" w:ascii="仿宋_GB2312" w:hAnsi="宋体" w:eastAsia="仿宋_GB2312"/>
          <w:color w:val="000000" w:themeColor="text1"/>
          <w:sz w:val="24"/>
          <w:szCs w:val="24"/>
          <w:highlight w:val="none"/>
          <w:lang w:bidi="ar"/>
          <w14:textFill>
            <w14:solidFill>
              <w14:schemeClr w14:val="tx1"/>
            </w14:solidFill>
          </w14:textFill>
        </w:rPr>
        <w:t>提供</w:t>
      </w:r>
      <w:r>
        <w:rPr>
          <w:rFonts w:hint="eastAsia" w:ascii="仿宋" w:hAnsi="仿宋" w:eastAsia="仿宋" w:cs="仿宋_GB2312"/>
          <w:color w:val="000000" w:themeColor="text1"/>
          <w:sz w:val="24"/>
          <w:szCs w:val="24"/>
          <w:highlight w:val="none"/>
          <w:lang w:bidi="ar"/>
          <w14:textFill>
            <w14:solidFill>
              <w14:schemeClr w14:val="tx1"/>
            </w14:solidFill>
          </w14:textFill>
        </w:rPr>
        <w:t>投标截止时间前1年内</w:t>
      </w:r>
      <w:r>
        <w:rPr>
          <w:rFonts w:hint="eastAsia" w:ascii="仿宋_GB2312" w:hAnsi="宋体" w:eastAsia="仿宋_GB2312"/>
          <w:color w:val="000000" w:themeColor="text1"/>
          <w:sz w:val="24"/>
          <w:szCs w:val="24"/>
          <w:highlight w:val="none"/>
          <w:lang w:bidi="ar"/>
          <w14:textFill>
            <w14:solidFill>
              <w14:schemeClr w14:val="tx1"/>
            </w14:solidFill>
          </w14:textFill>
        </w:rPr>
        <w:t>具有CMA标志的产品质量监督检验机构出具的针对样品使用的底盘、立柱、搁板、挂板、</w:t>
      </w:r>
      <w:r>
        <w:rPr>
          <w:rFonts w:hint="eastAsia" w:ascii="仿宋_GB2312" w:hAnsi="宋体" w:eastAsia="仿宋_GB2312"/>
          <w:color w:val="000000" w:themeColor="text1"/>
          <w:sz w:val="24"/>
          <w:szCs w:val="24"/>
          <w:highlight w:val="none"/>
          <w:lang w:eastAsia="zh-CN" w:bidi="ar"/>
          <w14:textFill>
            <w14:solidFill>
              <w14:schemeClr w14:val="tx1"/>
            </w14:solidFill>
          </w14:textFill>
        </w:rPr>
        <w:t>侧</w:t>
      </w:r>
      <w:r>
        <w:rPr>
          <w:rFonts w:hint="eastAsia" w:ascii="仿宋_GB2312" w:hAnsi="宋体" w:eastAsia="仿宋_GB2312"/>
          <w:color w:val="000000" w:themeColor="text1"/>
          <w:sz w:val="24"/>
          <w:szCs w:val="24"/>
          <w:highlight w:val="none"/>
          <w:lang w:bidi="ar"/>
          <w14:textFill>
            <w14:solidFill>
              <w14:schemeClr w14:val="tx1"/>
            </w14:solidFill>
          </w14:textFill>
        </w:rPr>
        <w:t>面板等5类部件的检测报告（报告内容至少包含钢板厚度，且符合采购需求）。</w:t>
      </w:r>
    </w:p>
    <w:p>
      <w:pPr>
        <w:pStyle w:val="2"/>
        <w:rPr>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-2540</wp:posOffset>
            </wp:positionH>
            <wp:positionV relativeFrom="paragraph">
              <wp:posOffset>3175</wp:posOffset>
            </wp:positionV>
            <wp:extent cx="4305935" cy="3638550"/>
            <wp:effectExtent l="0" t="0" r="0" b="0"/>
            <wp:wrapTopAndBottom/>
            <wp:docPr id="1" name="图片 1" descr="Yp(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p(1)_1"/>
                    <pic:cNvPicPr>
                      <a:picLocks noChangeAspect="1"/>
                    </pic:cNvPicPr>
                  </pic:nvPicPr>
                  <pic:blipFill>
                    <a:blip r:embed="rId26" cstate="print">
                      <a:extLst>
                        <a:ext uri="{28A0092B-C50C-407E-A947-70E740481C1C}">
                          <a14:useLocalDpi xmlns:a14="http://schemas.microsoft.com/office/drawing/2010/main" val="0"/>
                        </a:ext>
                      </a:extLst>
                    </a:blip>
                    <a:srcRect t="14804" r="1353" b="26288"/>
                    <a:stretch>
                      <a:fillRect/>
                    </a:stretch>
                  </pic:blipFill>
                  <pic:spPr>
                    <a:xfrm>
                      <a:off x="0" y="0"/>
                      <a:ext cx="4305935" cy="3638550"/>
                    </a:xfrm>
                    <a:prstGeom prst="rect">
                      <a:avLst/>
                    </a:prstGeom>
                  </pic:spPr>
                </pic:pic>
              </a:graphicData>
            </a:graphic>
          </wp:anchor>
        </w:drawing>
      </w:r>
    </w:p>
    <w:p>
      <w:pPr>
        <w:snapToGrid w:val="0"/>
        <w:spacing w:line="400" w:lineRule="exact"/>
        <w:ind w:firstLine="240" w:firstLineChars="100"/>
        <w:rPr>
          <w:rFonts w:ascii="仿宋_GB2312" w:hAnsi="仿宋" w:eastAsia="仿宋_GB2312" w:cs="仿宋"/>
          <w:color w:val="000000" w:themeColor="text1"/>
          <w:sz w:val="24"/>
          <w:highlight w:val="none"/>
          <w14:textFill>
            <w14:solidFill>
              <w14:schemeClr w14:val="tx1"/>
            </w14:solidFill>
          </w14:textFill>
        </w:rPr>
      </w:pPr>
    </w:p>
    <w:p>
      <w:pPr>
        <w:spacing w:line="440" w:lineRule="exact"/>
        <w:ind w:firstLine="480" w:firstLineChars="200"/>
        <w:rPr>
          <w:rFonts w:ascii="仿宋_GB2312" w:hAnsi="仿宋" w:eastAsia="仿宋_GB2312" w:cs="仿宋"/>
          <w:color w:val="000000" w:themeColor="text1"/>
          <w:sz w:val="24"/>
          <w:highlight w:val="none"/>
          <w:lang w:bidi="ar"/>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13、投标人对智慧化综合管理平台及相应的系统功能进行现场演示。</w:t>
      </w:r>
    </w:p>
    <w:p>
      <w:pPr>
        <w:spacing w:line="440" w:lineRule="exact"/>
        <w:ind w:firstLine="480" w:firstLineChars="200"/>
        <w:rPr>
          <w:rFonts w:ascii="仿宋_GB2312" w:hAnsi="仿宋" w:eastAsia="仿宋_GB2312" w:cs="仿宋"/>
          <w:color w:val="000000" w:themeColor="text1"/>
          <w:sz w:val="24"/>
          <w:highlight w:val="none"/>
          <w:lang w:bidi="ar"/>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14、提供投标人有效期内的质量管理体系认证证书、环境管理体系认证证书、职业健康安全管理体系认证证书、信息安全管理体系认证证书、信息技术服务管理体系认证证书。</w:t>
      </w:r>
    </w:p>
    <w:p>
      <w:pPr>
        <w:spacing w:line="440" w:lineRule="exact"/>
        <w:ind w:firstLine="480" w:firstLineChars="200"/>
        <w:rPr>
          <w:rFonts w:ascii="仿宋_GB2312" w:hAnsi="仿宋" w:eastAsia="仿宋_GB2312" w:cs="仿宋"/>
          <w:color w:val="000000" w:themeColor="text1"/>
          <w:sz w:val="24"/>
          <w:highlight w:val="none"/>
          <w:lang w:bidi="ar"/>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15、提供投标人投标截止时间前三年内（以合同签订时间为准）的同类案例。</w:t>
      </w:r>
    </w:p>
    <w:p>
      <w:pPr>
        <w:spacing w:line="440" w:lineRule="exact"/>
        <w:ind w:firstLine="480" w:firstLineChars="200"/>
        <w:rPr>
          <w:rFonts w:ascii="仿宋_GB2312" w:hAnsi="仿宋" w:eastAsia="仿宋_GB2312" w:cs="仿宋"/>
          <w:color w:val="000000" w:themeColor="text1"/>
          <w:sz w:val="24"/>
          <w:highlight w:val="none"/>
          <w:lang w:bidi="ar"/>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16、投标人为本项目内智慧化综合管理平台的研发主体，且提供由国家版权局颁发的智慧化综合管理平台或模块系统相关的“计算机软件著作权登记证书”。</w:t>
      </w:r>
    </w:p>
    <w:p>
      <w:pPr>
        <w:spacing w:line="440" w:lineRule="exact"/>
        <w:ind w:firstLine="480" w:firstLineChars="200"/>
        <w:rPr>
          <w:rFonts w:ascii="仿宋_GB2312" w:hAnsi="仿宋" w:eastAsia="仿宋_GB2312" w:cs="仿宋"/>
          <w:color w:val="000000" w:themeColor="text1"/>
          <w:sz w:val="24"/>
          <w:highlight w:val="none"/>
          <w:lang w:bidi="ar"/>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17、投标人提供具有CMA标志的产品质量监督检验机构出具的智慧库房智慧化综合管理平台软件测试报告。</w:t>
      </w:r>
    </w:p>
    <w:p>
      <w:pPr>
        <w:spacing w:line="440" w:lineRule="exact"/>
        <w:ind w:firstLine="480" w:firstLineChars="200"/>
        <w:rPr>
          <w:rFonts w:ascii="仿宋_GB2312" w:hAnsi="仿宋" w:eastAsia="仿宋_GB2312" w:cs="仿宋"/>
          <w:color w:val="000000" w:themeColor="text1"/>
          <w:sz w:val="24"/>
          <w:highlight w:val="none"/>
          <w:lang w:bidi="ar"/>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18、提供投标人或者生产厂家投标截止时间前</w:t>
      </w:r>
      <w:r>
        <w:rPr>
          <w:rFonts w:ascii="仿宋_GB2312" w:hAnsi="仿宋" w:eastAsia="仿宋_GB2312" w:cs="仿宋"/>
          <w:color w:val="000000" w:themeColor="text1"/>
          <w:sz w:val="24"/>
          <w:highlight w:val="none"/>
          <w:lang w:bidi="ar"/>
          <w14:textFill>
            <w14:solidFill>
              <w14:schemeClr w14:val="tx1"/>
            </w14:solidFill>
          </w14:textFill>
        </w:rPr>
        <w:t>1</w:t>
      </w:r>
      <w:r>
        <w:rPr>
          <w:rFonts w:hint="eastAsia" w:ascii="仿宋_GB2312" w:hAnsi="仿宋" w:eastAsia="仿宋_GB2312" w:cs="仿宋"/>
          <w:color w:val="000000" w:themeColor="text1"/>
          <w:sz w:val="24"/>
          <w:highlight w:val="none"/>
          <w:lang w:bidi="ar"/>
          <w14:textFill>
            <w14:solidFill>
              <w14:schemeClr w14:val="tx1"/>
            </w14:solidFill>
          </w14:textFill>
        </w:rPr>
        <w:t>年内具有</w:t>
      </w:r>
      <w:r>
        <w:rPr>
          <w:rFonts w:ascii="仿宋_GB2312" w:hAnsi="仿宋" w:eastAsia="仿宋_GB2312" w:cs="仿宋"/>
          <w:color w:val="000000" w:themeColor="text1"/>
          <w:sz w:val="24"/>
          <w:highlight w:val="none"/>
          <w:lang w:bidi="ar"/>
          <w14:textFill>
            <w14:solidFill>
              <w14:schemeClr w14:val="tx1"/>
            </w14:solidFill>
          </w14:textFill>
        </w:rPr>
        <w:t>CMA</w:t>
      </w:r>
      <w:r>
        <w:rPr>
          <w:rFonts w:hint="eastAsia" w:ascii="仿宋_GB2312" w:hAnsi="仿宋" w:eastAsia="仿宋_GB2312" w:cs="仿宋"/>
          <w:color w:val="000000" w:themeColor="text1"/>
          <w:sz w:val="24"/>
          <w:highlight w:val="none"/>
          <w:lang w:bidi="ar"/>
          <w14:textFill>
            <w14:solidFill>
              <w14:schemeClr w14:val="tx1"/>
            </w14:solidFill>
          </w14:textFill>
        </w:rPr>
        <w:t>标志的产品质量监督检验机构出具的智能密集架合格检测报告（报告内容包括：载重性能、稳定性、结构强度、安全性能、功能要求、表面涂层理化性能）。</w:t>
      </w:r>
    </w:p>
    <w:p>
      <w:pPr>
        <w:spacing w:line="440" w:lineRule="exact"/>
        <w:ind w:firstLine="480" w:firstLineChars="200"/>
        <w:rPr>
          <w:rFonts w:ascii="仿宋_GB2312" w:hAnsi="仿宋" w:eastAsia="仿宋_GB2312" w:cs="仿宋"/>
          <w:color w:val="000000" w:themeColor="text1"/>
          <w:sz w:val="24"/>
          <w:highlight w:val="none"/>
          <w:lang w:bidi="ar"/>
          <w14:textFill>
            <w14:solidFill>
              <w14:schemeClr w14:val="tx1"/>
            </w14:solidFill>
          </w14:textFill>
        </w:rPr>
      </w:pPr>
      <w:r>
        <w:rPr>
          <w:rFonts w:hint="eastAsia" w:ascii="仿宋_GB2312" w:hAnsi="仿宋" w:eastAsia="仿宋_GB2312" w:cs="仿宋"/>
          <w:color w:val="000000" w:themeColor="text1"/>
          <w:sz w:val="24"/>
          <w:highlight w:val="none"/>
          <w:lang w:bidi="ar"/>
          <w14:textFill>
            <w14:solidFill>
              <w14:schemeClr w14:val="tx1"/>
            </w14:solidFill>
          </w14:textFill>
        </w:rPr>
        <w:t>19、提供投标人或者生产厂家投标截止时间前</w:t>
      </w:r>
      <w:r>
        <w:rPr>
          <w:rFonts w:ascii="仿宋_GB2312" w:hAnsi="仿宋" w:eastAsia="仿宋_GB2312" w:cs="仿宋"/>
          <w:color w:val="000000" w:themeColor="text1"/>
          <w:sz w:val="24"/>
          <w:highlight w:val="none"/>
          <w:lang w:bidi="ar"/>
          <w14:textFill>
            <w14:solidFill>
              <w14:schemeClr w14:val="tx1"/>
            </w14:solidFill>
          </w14:textFill>
        </w:rPr>
        <w:t>1</w:t>
      </w:r>
      <w:r>
        <w:rPr>
          <w:rFonts w:hint="eastAsia" w:ascii="仿宋_GB2312" w:hAnsi="仿宋" w:eastAsia="仿宋_GB2312" w:cs="仿宋"/>
          <w:color w:val="000000" w:themeColor="text1"/>
          <w:sz w:val="24"/>
          <w:highlight w:val="none"/>
          <w:lang w:bidi="ar"/>
          <w14:textFill>
            <w14:solidFill>
              <w14:schemeClr w14:val="tx1"/>
            </w14:solidFill>
          </w14:textFill>
        </w:rPr>
        <w:t>年内具有</w:t>
      </w:r>
      <w:r>
        <w:rPr>
          <w:rFonts w:ascii="仿宋_GB2312" w:hAnsi="仿宋" w:eastAsia="仿宋_GB2312" w:cs="仿宋"/>
          <w:color w:val="000000" w:themeColor="text1"/>
          <w:sz w:val="24"/>
          <w:highlight w:val="none"/>
          <w:lang w:bidi="ar"/>
          <w14:textFill>
            <w14:solidFill>
              <w14:schemeClr w14:val="tx1"/>
            </w14:solidFill>
          </w14:textFill>
        </w:rPr>
        <w:t>CMA</w:t>
      </w:r>
      <w:r>
        <w:rPr>
          <w:rFonts w:hint="eastAsia" w:ascii="仿宋_GB2312" w:hAnsi="仿宋" w:eastAsia="仿宋_GB2312" w:cs="仿宋"/>
          <w:color w:val="000000" w:themeColor="text1"/>
          <w:sz w:val="24"/>
          <w:highlight w:val="none"/>
          <w:lang w:bidi="ar"/>
          <w14:textFill>
            <w14:solidFill>
              <w14:schemeClr w14:val="tx1"/>
            </w14:solidFill>
          </w14:textFill>
        </w:rPr>
        <w:t>标志的产品质量监督检验机构出具的中心处理器类、区域控制器类、安全报警控制器类、能源数据管理中心类、信号滤波器类的抽样检测报告（报告内容至少包含：射频电磁场辐射抗扰度、浪涌（冲击）抗扰度）。</w:t>
      </w:r>
    </w:p>
    <w:p>
      <w:pPr>
        <w:pStyle w:val="2"/>
        <w:rPr>
          <w:color w:val="000000" w:themeColor="text1"/>
          <w:highlight w:val="none"/>
          <w:lang w:val="en-US"/>
          <w14:textFill>
            <w14:solidFill>
              <w14:schemeClr w14:val="tx1"/>
            </w14:solidFill>
          </w14:textFill>
        </w:rPr>
      </w:pPr>
    </w:p>
    <w:p>
      <w:pPr>
        <w:rPr>
          <w:rFonts w:ascii="仿宋" w:hAnsi="仿宋" w:eastAsia="仿宋" w:cs="仿宋_GB2312"/>
          <w:b/>
          <w:color w:val="000000" w:themeColor="text1"/>
          <w:sz w:val="36"/>
          <w:szCs w:val="36"/>
          <w:highlight w:val="none"/>
          <w14:textFill>
            <w14:solidFill>
              <w14:schemeClr w14:val="tx1"/>
            </w14:solidFill>
          </w14:textFill>
        </w:rPr>
      </w:pPr>
    </w:p>
    <w:p>
      <w:pPr>
        <w:pStyle w:val="2"/>
        <w:rPr>
          <w:rFonts w:ascii="仿宋" w:eastAsia="仿宋" w:cs="仿宋_GB2312"/>
          <w:color w:val="000000" w:themeColor="text1"/>
          <w:sz w:val="36"/>
          <w:szCs w:val="36"/>
          <w:highlight w:val="none"/>
          <w14:textFill>
            <w14:solidFill>
              <w14:schemeClr w14:val="tx1"/>
            </w14:solidFill>
          </w14:textFill>
        </w:rPr>
      </w:pPr>
    </w:p>
    <w:p>
      <w:pPr>
        <w:rPr>
          <w:rFonts w:ascii="仿宋" w:hAnsi="仿宋" w:eastAsia="仿宋" w:cs="仿宋_GB2312"/>
          <w:b/>
          <w:color w:val="000000" w:themeColor="text1"/>
          <w:sz w:val="36"/>
          <w:szCs w:val="36"/>
          <w:highlight w:val="none"/>
          <w14:textFill>
            <w14:solidFill>
              <w14:schemeClr w14:val="tx1"/>
            </w14:solidFill>
          </w14:textFill>
        </w:rPr>
      </w:pPr>
    </w:p>
    <w:p>
      <w:pPr>
        <w:pStyle w:val="2"/>
        <w:rPr>
          <w:rFonts w:ascii="仿宋" w:eastAsia="仿宋" w:cs="仿宋_GB2312"/>
          <w:color w:val="000000" w:themeColor="text1"/>
          <w:sz w:val="36"/>
          <w:szCs w:val="36"/>
          <w:highlight w:val="none"/>
          <w14:textFill>
            <w14:solidFill>
              <w14:schemeClr w14:val="tx1"/>
            </w14:solidFill>
          </w14:textFill>
        </w:rPr>
      </w:pPr>
    </w:p>
    <w:p>
      <w:pPr>
        <w:rPr>
          <w:rFonts w:ascii="仿宋" w:hAnsi="仿宋" w:eastAsia="仿宋" w:cs="仿宋_GB2312"/>
          <w:b/>
          <w:color w:val="000000" w:themeColor="text1"/>
          <w:sz w:val="36"/>
          <w:szCs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hint="eastAsia" w:ascii="仿宋" w:hAnsi="仿宋" w:eastAsia="仿宋" w:cs="仿宋_GB2312"/>
          <w:b/>
          <w:color w:val="000000" w:themeColor="text1"/>
          <w:sz w:val="36"/>
          <w:szCs w:val="36"/>
          <w:highlight w:val="none"/>
          <w14:textFill>
            <w14:solidFill>
              <w14:schemeClr w14:val="tx1"/>
            </w14:solidFill>
          </w14:textFill>
        </w:rPr>
        <w:t>第四部分</w:t>
      </w:r>
      <w:r>
        <w:rPr>
          <w:rFonts w:ascii="仿宋" w:hAnsi="仿宋" w:eastAsia="仿宋" w:cs="仿宋_GB2312"/>
          <w:b/>
          <w:color w:val="000000" w:themeColor="text1"/>
          <w:sz w:val="36"/>
          <w:szCs w:val="36"/>
          <w:highlight w:val="none"/>
          <w14:textFill>
            <w14:solidFill>
              <w14:schemeClr w14:val="tx1"/>
            </w14:solidFill>
          </w14:textFill>
        </w:rPr>
        <w:t xml:space="preserve">   </w:t>
      </w:r>
      <w:bookmarkStart w:id="38" w:name="_Toc184312085"/>
      <w:bookmarkEnd w:id="38"/>
      <w:bookmarkStart w:id="39" w:name="_Toc184314454"/>
      <w:bookmarkEnd w:id="39"/>
      <w:bookmarkStart w:id="40" w:name="_Toc184310288"/>
      <w:bookmarkEnd w:id="40"/>
      <w:bookmarkStart w:id="41" w:name="_Toc184308049"/>
      <w:bookmarkEnd w:id="41"/>
      <w:bookmarkStart w:id="42" w:name="_Toc184314449"/>
      <w:bookmarkEnd w:id="42"/>
      <w:bookmarkStart w:id="43" w:name="_Toc184310314"/>
      <w:bookmarkEnd w:id="43"/>
      <w:bookmarkStart w:id="44" w:name="_Toc184313254"/>
      <w:bookmarkEnd w:id="44"/>
      <w:bookmarkStart w:id="45" w:name="_Toc184308039"/>
      <w:bookmarkEnd w:id="45"/>
      <w:bookmarkStart w:id="46" w:name="_Toc184314478"/>
      <w:bookmarkEnd w:id="46"/>
      <w:bookmarkStart w:id="47" w:name="_Toc184312116"/>
      <w:bookmarkEnd w:id="47"/>
      <w:bookmarkStart w:id="48" w:name="_Toc184310296"/>
      <w:bookmarkEnd w:id="48"/>
      <w:bookmarkStart w:id="49" w:name="_Toc184313280"/>
      <w:bookmarkEnd w:id="49"/>
      <w:bookmarkStart w:id="50" w:name="_Toc184314413"/>
      <w:bookmarkEnd w:id="50"/>
      <w:bookmarkStart w:id="51" w:name="_Toc184313292"/>
      <w:bookmarkEnd w:id="51"/>
      <w:bookmarkStart w:id="52" w:name="_Toc184313253"/>
      <w:bookmarkEnd w:id="52"/>
      <w:bookmarkStart w:id="53" w:name="_Toc184310305"/>
      <w:bookmarkEnd w:id="53"/>
      <w:bookmarkStart w:id="54" w:name="_Toc184313281"/>
      <w:bookmarkEnd w:id="54"/>
      <w:bookmarkStart w:id="55" w:name="_Toc184312088"/>
      <w:bookmarkEnd w:id="55"/>
      <w:bookmarkStart w:id="56" w:name="_Toc184310293"/>
      <w:bookmarkEnd w:id="56"/>
      <w:bookmarkStart w:id="57" w:name="_Toc184313256"/>
      <w:bookmarkEnd w:id="57"/>
      <w:bookmarkStart w:id="58" w:name="_Toc184310299"/>
      <w:bookmarkEnd w:id="58"/>
      <w:bookmarkStart w:id="59" w:name="_Toc184312103"/>
      <w:bookmarkEnd w:id="59"/>
      <w:bookmarkStart w:id="60" w:name="_Toc184314446"/>
      <w:bookmarkEnd w:id="60"/>
      <w:bookmarkStart w:id="61" w:name="_Toc184310301"/>
      <w:bookmarkEnd w:id="61"/>
      <w:bookmarkStart w:id="62" w:name="_Toc184310315"/>
      <w:bookmarkEnd w:id="62"/>
      <w:bookmarkStart w:id="63" w:name="_Toc184312083"/>
      <w:bookmarkEnd w:id="63"/>
      <w:bookmarkStart w:id="64" w:name="_Toc184310319"/>
      <w:bookmarkEnd w:id="64"/>
      <w:bookmarkStart w:id="65" w:name="_Toc184312068"/>
      <w:bookmarkEnd w:id="65"/>
      <w:bookmarkStart w:id="66" w:name="_Toc184310291"/>
      <w:bookmarkEnd w:id="66"/>
      <w:bookmarkStart w:id="67" w:name="_Toc184310297"/>
      <w:bookmarkEnd w:id="67"/>
      <w:bookmarkStart w:id="68" w:name="_Toc184314426"/>
      <w:bookmarkEnd w:id="68"/>
      <w:bookmarkStart w:id="69" w:name="_Toc184312086"/>
      <w:bookmarkEnd w:id="69"/>
      <w:bookmarkStart w:id="70" w:name="_Toc184314439"/>
      <w:bookmarkEnd w:id="70"/>
      <w:bookmarkStart w:id="71" w:name="_Toc184312105"/>
      <w:bookmarkEnd w:id="71"/>
      <w:bookmarkStart w:id="72" w:name="_Toc184310322"/>
      <w:bookmarkEnd w:id="72"/>
      <w:bookmarkStart w:id="73" w:name="_Toc184310302"/>
      <w:bookmarkEnd w:id="73"/>
      <w:bookmarkStart w:id="74" w:name="_Toc184308052"/>
      <w:bookmarkEnd w:id="74"/>
      <w:bookmarkStart w:id="75" w:name="_Toc184313277"/>
      <w:bookmarkEnd w:id="75"/>
      <w:bookmarkStart w:id="76" w:name="_Toc184308057"/>
      <w:bookmarkEnd w:id="76"/>
      <w:bookmarkStart w:id="77" w:name="_Toc184313259"/>
      <w:bookmarkEnd w:id="77"/>
      <w:bookmarkStart w:id="78" w:name="_Toc184314475"/>
      <w:bookmarkEnd w:id="78"/>
      <w:bookmarkStart w:id="79" w:name="_Toc184313262"/>
      <w:bookmarkEnd w:id="79"/>
      <w:bookmarkStart w:id="80" w:name="_Toc184312087"/>
      <w:bookmarkEnd w:id="80"/>
      <w:bookmarkStart w:id="81" w:name="_Toc184310298"/>
      <w:bookmarkEnd w:id="81"/>
      <w:bookmarkStart w:id="82" w:name="_Toc184313283"/>
      <w:bookmarkEnd w:id="82"/>
      <w:bookmarkStart w:id="83" w:name="_Toc184314450"/>
      <w:bookmarkEnd w:id="83"/>
      <w:bookmarkStart w:id="84" w:name="_Toc184314429"/>
      <w:bookmarkEnd w:id="84"/>
      <w:bookmarkStart w:id="85" w:name="_Toc184313267"/>
      <w:bookmarkEnd w:id="85"/>
      <w:bookmarkStart w:id="86" w:name="_Toc184310300"/>
      <w:bookmarkEnd w:id="86"/>
      <w:bookmarkStart w:id="87" w:name="_Toc184312135"/>
      <w:bookmarkEnd w:id="87"/>
      <w:bookmarkStart w:id="88" w:name="_Toc184313263"/>
      <w:bookmarkEnd w:id="88"/>
      <w:bookmarkStart w:id="89" w:name="_Toc184314442"/>
      <w:bookmarkEnd w:id="89"/>
      <w:bookmarkStart w:id="90" w:name="_Toc184308066"/>
      <w:bookmarkEnd w:id="90"/>
      <w:bookmarkStart w:id="91" w:name="_Toc184310308"/>
      <w:bookmarkEnd w:id="91"/>
      <w:bookmarkStart w:id="92" w:name="_Toc184314430"/>
      <w:bookmarkEnd w:id="92"/>
      <w:bookmarkStart w:id="93" w:name="_Toc184313287"/>
      <w:bookmarkEnd w:id="93"/>
      <w:bookmarkStart w:id="94" w:name="_Toc184312117"/>
      <w:bookmarkEnd w:id="94"/>
      <w:bookmarkStart w:id="95" w:name="_Toc184310341"/>
      <w:bookmarkEnd w:id="95"/>
      <w:bookmarkStart w:id="96" w:name="_Toc184313266"/>
      <w:bookmarkEnd w:id="96"/>
      <w:bookmarkStart w:id="97" w:name="_Toc184308069"/>
      <w:bookmarkEnd w:id="97"/>
      <w:bookmarkStart w:id="98" w:name="_Toc184308064"/>
      <w:bookmarkEnd w:id="98"/>
      <w:bookmarkStart w:id="99" w:name="_Toc184310310"/>
      <w:bookmarkEnd w:id="99"/>
      <w:bookmarkStart w:id="100" w:name="_Toc184313268"/>
      <w:bookmarkEnd w:id="100"/>
      <w:bookmarkStart w:id="101" w:name="_Toc184314459"/>
      <w:bookmarkEnd w:id="101"/>
      <w:bookmarkStart w:id="102" w:name="_Toc184312097"/>
      <w:bookmarkEnd w:id="102"/>
      <w:bookmarkStart w:id="103" w:name="_Toc184310282"/>
      <w:bookmarkEnd w:id="103"/>
      <w:bookmarkStart w:id="104" w:name="_Toc184310328"/>
      <w:bookmarkEnd w:id="104"/>
      <w:bookmarkStart w:id="105" w:name="_Toc184313251"/>
      <w:bookmarkEnd w:id="105"/>
      <w:bookmarkStart w:id="106" w:name="_Toc184313240"/>
      <w:bookmarkEnd w:id="106"/>
      <w:bookmarkStart w:id="107" w:name="_Toc184314458"/>
      <w:bookmarkEnd w:id="107"/>
      <w:bookmarkStart w:id="108" w:name="_Toc184312115"/>
      <w:bookmarkEnd w:id="108"/>
      <w:bookmarkStart w:id="109" w:name="_Toc184313271"/>
      <w:bookmarkEnd w:id="109"/>
      <w:bookmarkStart w:id="110" w:name="_Toc184312126"/>
      <w:bookmarkEnd w:id="110"/>
      <w:bookmarkStart w:id="111" w:name="_Toc184313275"/>
      <w:bookmarkEnd w:id="111"/>
      <w:bookmarkStart w:id="112" w:name="_Toc184308056"/>
      <w:bookmarkEnd w:id="112"/>
      <w:bookmarkStart w:id="113" w:name="_Toc184313269"/>
      <w:bookmarkEnd w:id="113"/>
      <w:bookmarkStart w:id="114" w:name="_Toc184312081"/>
      <w:bookmarkEnd w:id="114"/>
      <w:bookmarkStart w:id="115" w:name="_Toc184313293"/>
      <w:bookmarkEnd w:id="115"/>
      <w:bookmarkStart w:id="116" w:name="_Toc184313270"/>
      <w:bookmarkEnd w:id="116"/>
      <w:bookmarkStart w:id="117" w:name="_Toc184314482"/>
      <w:bookmarkEnd w:id="117"/>
      <w:bookmarkStart w:id="118" w:name="_Toc184308079"/>
      <w:bookmarkEnd w:id="118"/>
      <w:bookmarkStart w:id="119" w:name="_Toc184314440"/>
      <w:bookmarkEnd w:id="119"/>
      <w:bookmarkStart w:id="120" w:name="_Toc184308054"/>
      <w:bookmarkEnd w:id="120"/>
      <w:bookmarkStart w:id="121" w:name="_Toc184312070"/>
      <w:bookmarkEnd w:id="121"/>
      <w:bookmarkStart w:id="122" w:name="_Toc184312067"/>
      <w:bookmarkEnd w:id="122"/>
      <w:bookmarkStart w:id="123" w:name="_Toc184308101"/>
      <w:bookmarkEnd w:id="123"/>
      <w:bookmarkStart w:id="124" w:name="_Toc184314443"/>
      <w:bookmarkEnd w:id="124"/>
      <w:bookmarkStart w:id="125" w:name="_Toc184310292"/>
      <w:bookmarkEnd w:id="125"/>
      <w:bookmarkStart w:id="126" w:name="_Toc184308047"/>
      <w:bookmarkEnd w:id="126"/>
      <w:bookmarkStart w:id="127" w:name="_Toc184314479"/>
      <w:bookmarkEnd w:id="127"/>
      <w:bookmarkStart w:id="128" w:name="_Toc184312136"/>
      <w:bookmarkEnd w:id="128"/>
      <w:bookmarkStart w:id="129" w:name="_Toc184313308"/>
      <w:bookmarkEnd w:id="129"/>
      <w:bookmarkStart w:id="130" w:name="_Toc184308082"/>
      <w:bookmarkEnd w:id="130"/>
      <w:bookmarkStart w:id="131" w:name="_Toc184314451"/>
      <w:bookmarkEnd w:id="131"/>
      <w:bookmarkStart w:id="132" w:name="_Toc184310283"/>
      <w:bookmarkEnd w:id="132"/>
      <w:bookmarkStart w:id="133" w:name="_Toc184310303"/>
      <w:bookmarkEnd w:id="133"/>
      <w:bookmarkStart w:id="134" w:name="_Toc184312112"/>
      <w:bookmarkEnd w:id="134"/>
      <w:bookmarkStart w:id="135" w:name="_Toc184308061"/>
      <w:bookmarkEnd w:id="135"/>
      <w:bookmarkStart w:id="136" w:name="_Toc184308081"/>
      <w:bookmarkEnd w:id="136"/>
      <w:bookmarkStart w:id="137" w:name="_Toc184308053"/>
      <w:bookmarkEnd w:id="137"/>
      <w:bookmarkStart w:id="138" w:name="_Toc184313306"/>
      <w:bookmarkEnd w:id="138"/>
      <w:bookmarkStart w:id="139" w:name="_Toc184313247"/>
      <w:bookmarkEnd w:id="139"/>
      <w:bookmarkStart w:id="140" w:name="_Toc184312096"/>
      <w:bookmarkEnd w:id="140"/>
      <w:bookmarkStart w:id="141" w:name="_Toc184310289"/>
      <w:bookmarkEnd w:id="141"/>
      <w:bookmarkStart w:id="142" w:name="_Toc184312100"/>
      <w:bookmarkEnd w:id="142"/>
      <w:bookmarkStart w:id="143" w:name="_Toc184313264"/>
      <w:bookmarkEnd w:id="143"/>
      <w:bookmarkStart w:id="144" w:name="_Toc184313307"/>
      <w:bookmarkEnd w:id="144"/>
      <w:bookmarkStart w:id="145" w:name="_Toc184314428"/>
      <w:bookmarkEnd w:id="145"/>
      <w:bookmarkStart w:id="146" w:name="_Toc184310336"/>
      <w:bookmarkEnd w:id="146"/>
      <w:bookmarkStart w:id="147" w:name="_Toc184308048"/>
      <w:bookmarkEnd w:id="147"/>
      <w:bookmarkStart w:id="148" w:name="_Toc184312101"/>
      <w:bookmarkEnd w:id="148"/>
      <w:bookmarkStart w:id="149" w:name="_Toc184314473"/>
      <w:bookmarkEnd w:id="149"/>
      <w:bookmarkStart w:id="150" w:name="_Toc184308040"/>
      <w:bookmarkEnd w:id="150"/>
      <w:bookmarkStart w:id="151" w:name="_Toc184310281"/>
      <w:bookmarkEnd w:id="151"/>
      <w:bookmarkStart w:id="152" w:name="_Toc184308074"/>
      <w:bookmarkEnd w:id="152"/>
      <w:bookmarkStart w:id="153" w:name="_Toc184310343"/>
      <w:bookmarkEnd w:id="153"/>
      <w:bookmarkStart w:id="154" w:name="_Toc184308071"/>
      <w:bookmarkEnd w:id="154"/>
      <w:bookmarkStart w:id="155" w:name="_Toc184313273"/>
      <w:bookmarkEnd w:id="155"/>
      <w:bookmarkStart w:id="156" w:name="_Toc184312102"/>
      <w:bookmarkEnd w:id="156"/>
      <w:bookmarkStart w:id="157" w:name="_Toc184312084"/>
      <w:bookmarkEnd w:id="157"/>
      <w:bookmarkStart w:id="158" w:name="_Toc184310285"/>
      <w:bookmarkEnd w:id="158"/>
      <w:bookmarkStart w:id="159" w:name="_Toc184308084"/>
      <w:bookmarkEnd w:id="159"/>
      <w:bookmarkStart w:id="160" w:name="_Toc184308070"/>
      <w:bookmarkEnd w:id="160"/>
      <w:bookmarkStart w:id="161" w:name="_Toc184313238"/>
      <w:bookmarkEnd w:id="161"/>
      <w:bookmarkStart w:id="162" w:name="_Toc184312078"/>
      <w:bookmarkEnd w:id="162"/>
      <w:bookmarkStart w:id="163" w:name="_Toc184310306"/>
      <w:bookmarkEnd w:id="163"/>
      <w:bookmarkStart w:id="164" w:name="_Toc184312094"/>
      <w:bookmarkEnd w:id="164"/>
      <w:bookmarkStart w:id="165" w:name="_Toc184308083"/>
      <w:bookmarkEnd w:id="165"/>
      <w:bookmarkStart w:id="166" w:name="_Toc184314445"/>
      <w:bookmarkEnd w:id="166"/>
      <w:bookmarkStart w:id="167" w:name="_Toc184314410"/>
      <w:bookmarkEnd w:id="167"/>
      <w:bookmarkStart w:id="168" w:name="_Toc184308058"/>
      <w:bookmarkEnd w:id="168"/>
      <w:bookmarkStart w:id="169" w:name="_Toc184310317"/>
      <w:bookmarkEnd w:id="169"/>
      <w:bookmarkStart w:id="170" w:name="_Toc184312108"/>
      <w:bookmarkEnd w:id="170"/>
      <w:bookmarkStart w:id="171" w:name="_Toc184313279"/>
      <w:bookmarkEnd w:id="171"/>
      <w:bookmarkStart w:id="172" w:name="_Toc184312113"/>
      <w:bookmarkEnd w:id="172"/>
      <w:bookmarkStart w:id="173" w:name="_Toc184314455"/>
      <w:bookmarkEnd w:id="173"/>
      <w:bookmarkStart w:id="174" w:name="_Toc184314431"/>
      <w:bookmarkEnd w:id="174"/>
      <w:bookmarkStart w:id="175" w:name="_Toc184312069"/>
      <w:bookmarkEnd w:id="175"/>
      <w:bookmarkStart w:id="176" w:name="_Toc184313258"/>
      <w:bookmarkEnd w:id="176"/>
      <w:bookmarkStart w:id="177" w:name="_Toc184308078"/>
      <w:bookmarkEnd w:id="177"/>
      <w:bookmarkStart w:id="178" w:name="_Toc184313272"/>
      <w:bookmarkEnd w:id="178"/>
      <w:bookmarkStart w:id="179" w:name="_Toc184314465"/>
      <w:bookmarkEnd w:id="179"/>
      <w:bookmarkStart w:id="180" w:name="_Toc184312099"/>
      <w:bookmarkEnd w:id="180"/>
      <w:bookmarkStart w:id="181" w:name="_Toc184312138"/>
      <w:bookmarkEnd w:id="181"/>
      <w:bookmarkStart w:id="182" w:name="_Toc184310337"/>
      <w:bookmarkEnd w:id="182"/>
      <w:bookmarkStart w:id="183" w:name="_Toc184308055"/>
      <w:bookmarkEnd w:id="183"/>
      <w:bookmarkStart w:id="184" w:name="_Toc184313310"/>
      <w:bookmarkEnd w:id="184"/>
      <w:bookmarkStart w:id="185" w:name="_Toc184314438"/>
      <w:bookmarkEnd w:id="185"/>
      <w:bookmarkStart w:id="186" w:name="_Toc184314453"/>
      <w:bookmarkEnd w:id="186"/>
      <w:bookmarkStart w:id="187" w:name="_Toc184308067"/>
      <w:bookmarkEnd w:id="187"/>
      <w:bookmarkStart w:id="188" w:name="_Toc184314423"/>
      <w:bookmarkEnd w:id="188"/>
      <w:bookmarkStart w:id="189" w:name="_Toc184312079"/>
      <w:bookmarkEnd w:id="189"/>
      <w:bookmarkStart w:id="190" w:name="_Toc184313250"/>
      <w:bookmarkEnd w:id="190"/>
      <w:bookmarkStart w:id="191" w:name="_Toc184308072"/>
      <w:bookmarkEnd w:id="191"/>
      <w:bookmarkStart w:id="192" w:name="_Toc184312104"/>
      <w:bookmarkEnd w:id="192"/>
      <w:bookmarkStart w:id="193" w:name="_Toc184313295"/>
      <w:bookmarkEnd w:id="193"/>
      <w:bookmarkStart w:id="194" w:name="_Toc184310307"/>
      <w:bookmarkEnd w:id="194"/>
      <w:bookmarkStart w:id="195" w:name="_Toc184312098"/>
      <w:bookmarkEnd w:id="195"/>
      <w:bookmarkStart w:id="196" w:name="_Toc184314432"/>
      <w:bookmarkEnd w:id="196"/>
      <w:bookmarkStart w:id="197" w:name="_Toc184312095"/>
      <w:bookmarkEnd w:id="197"/>
      <w:bookmarkStart w:id="198" w:name="_Toc184313291"/>
      <w:bookmarkEnd w:id="198"/>
      <w:bookmarkStart w:id="199" w:name="_Toc184314444"/>
      <w:bookmarkEnd w:id="199"/>
      <w:bookmarkStart w:id="200" w:name="_Toc184314420"/>
      <w:bookmarkEnd w:id="200"/>
      <w:bookmarkStart w:id="201" w:name="_Toc184310309"/>
      <w:bookmarkEnd w:id="201"/>
      <w:bookmarkStart w:id="202" w:name="_Toc184310275"/>
      <w:bookmarkEnd w:id="202"/>
      <w:bookmarkStart w:id="203" w:name="_Toc184312131"/>
      <w:bookmarkEnd w:id="203"/>
      <w:bookmarkStart w:id="204" w:name="_Toc184313257"/>
      <w:bookmarkEnd w:id="204"/>
      <w:bookmarkStart w:id="205" w:name="_Toc184313239"/>
      <w:bookmarkEnd w:id="205"/>
      <w:bookmarkStart w:id="206" w:name="_Toc184313255"/>
      <w:bookmarkEnd w:id="206"/>
      <w:bookmarkStart w:id="207" w:name="_Toc184310284"/>
      <w:bookmarkEnd w:id="207"/>
      <w:bookmarkStart w:id="208" w:name="_Toc184310311"/>
      <w:bookmarkEnd w:id="208"/>
      <w:bookmarkStart w:id="209" w:name="_Toc184314447"/>
      <w:bookmarkEnd w:id="209"/>
      <w:bookmarkStart w:id="210" w:name="_Toc184314434"/>
      <w:bookmarkEnd w:id="210"/>
      <w:bookmarkStart w:id="211" w:name="_Toc184314419"/>
      <w:bookmarkEnd w:id="211"/>
      <w:bookmarkStart w:id="212" w:name="_Toc184312106"/>
      <w:bookmarkEnd w:id="212"/>
      <w:bookmarkStart w:id="213" w:name="_Toc184308100"/>
      <w:bookmarkEnd w:id="213"/>
      <w:bookmarkStart w:id="214" w:name="_Toc184314436"/>
      <w:bookmarkEnd w:id="214"/>
      <w:bookmarkStart w:id="215" w:name="_Toc184312093"/>
      <w:bookmarkEnd w:id="215"/>
      <w:bookmarkStart w:id="216" w:name="_Toc184308065"/>
      <w:bookmarkEnd w:id="216"/>
      <w:bookmarkStart w:id="217" w:name="_Toc184312124"/>
      <w:bookmarkEnd w:id="217"/>
      <w:bookmarkStart w:id="218" w:name="_Toc184314421"/>
      <w:bookmarkEnd w:id="218"/>
      <w:bookmarkStart w:id="219" w:name="_Toc184314441"/>
      <w:bookmarkEnd w:id="219"/>
      <w:bookmarkStart w:id="220" w:name="_Toc184310313"/>
      <w:bookmarkEnd w:id="220"/>
      <w:bookmarkStart w:id="221" w:name="_Toc184314460"/>
      <w:bookmarkEnd w:id="221"/>
      <w:bookmarkStart w:id="222" w:name="_Toc184310286"/>
      <w:bookmarkEnd w:id="222"/>
      <w:bookmarkStart w:id="223" w:name="_Toc184312114"/>
      <w:bookmarkEnd w:id="223"/>
      <w:bookmarkStart w:id="224" w:name="_Toc184313249"/>
      <w:bookmarkEnd w:id="224"/>
      <w:bookmarkStart w:id="225" w:name="_Toc184312139"/>
      <w:bookmarkEnd w:id="225"/>
      <w:bookmarkStart w:id="226" w:name="_Toc184314456"/>
      <w:bookmarkEnd w:id="226"/>
      <w:bookmarkStart w:id="227" w:name="_Toc184308092"/>
      <w:bookmarkEnd w:id="227"/>
      <w:bookmarkStart w:id="228" w:name="_Toc184314422"/>
      <w:bookmarkEnd w:id="228"/>
      <w:bookmarkStart w:id="229" w:name="_Toc184308063"/>
      <w:bookmarkEnd w:id="229"/>
      <w:bookmarkStart w:id="230" w:name="_Toc184308102"/>
      <w:bookmarkEnd w:id="230"/>
      <w:bookmarkStart w:id="231" w:name="_Toc184312071"/>
      <w:bookmarkEnd w:id="231"/>
      <w:bookmarkStart w:id="232" w:name="_Toc184308108"/>
      <w:bookmarkEnd w:id="232"/>
      <w:bookmarkStart w:id="233" w:name="_Toc184310327"/>
      <w:bookmarkEnd w:id="233"/>
      <w:bookmarkStart w:id="234" w:name="_Toc184313242"/>
      <w:bookmarkEnd w:id="234"/>
      <w:bookmarkStart w:id="235" w:name="_Toc184310323"/>
      <w:bookmarkEnd w:id="235"/>
      <w:bookmarkStart w:id="236" w:name="_Toc184308086"/>
      <w:bookmarkEnd w:id="236"/>
      <w:bookmarkStart w:id="237" w:name="_Toc184308107"/>
      <w:bookmarkEnd w:id="237"/>
      <w:bookmarkStart w:id="238" w:name="_Toc184313289"/>
      <w:bookmarkEnd w:id="238"/>
      <w:bookmarkStart w:id="239" w:name="_Toc184310324"/>
      <w:bookmarkEnd w:id="239"/>
      <w:bookmarkStart w:id="240" w:name="_Toc184308087"/>
      <w:bookmarkEnd w:id="240"/>
      <w:bookmarkStart w:id="241" w:name="_Toc184312080"/>
      <w:bookmarkEnd w:id="241"/>
      <w:bookmarkStart w:id="242" w:name="_Toc184312119"/>
      <w:bookmarkEnd w:id="242"/>
      <w:bookmarkStart w:id="243" w:name="_Toc184308051"/>
      <w:bookmarkEnd w:id="243"/>
      <w:bookmarkStart w:id="244" w:name="_Toc184310273"/>
      <w:bookmarkEnd w:id="244"/>
      <w:bookmarkStart w:id="245" w:name="_Toc184314481"/>
      <w:bookmarkEnd w:id="245"/>
      <w:bookmarkStart w:id="246" w:name="_Toc184308089"/>
      <w:bookmarkEnd w:id="246"/>
      <w:bookmarkStart w:id="247" w:name="_Toc184312137"/>
      <w:bookmarkEnd w:id="247"/>
      <w:bookmarkStart w:id="248" w:name="_Toc184313303"/>
      <w:bookmarkEnd w:id="248"/>
      <w:bookmarkStart w:id="249" w:name="_Toc184310333"/>
      <w:bookmarkEnd w:id="249"/>
      <w:bookmarkStart w:id="250" w:name="_Toc184308088"/>
      <w:bookmarkEnd w:id="250"/>
      <w:bookmarkStart w:id="251" w:name="_Toc184314462"/>
      <w:bookmarkEnd w:id="251"/>
      <w:bookmarkStart w:id="252" w:name="_Toc184312121"/>
      <w:bookmarkEnd w:id="252"/>
      <w:bookmarkStart w:id="253" w:name="_Toc184313298"/>
      <w:bookmarkEnd w:id="253"/>
      <w:bookmarkStart w:id="254" w:name="_Toc184308095"/>
      <w:bookmarkEnd w:id="254"/>
      <w:bookmarkStart w:id="255" w:name="_Toc184313302"/>
      <w:bookmarkEnd w:id="255"/>
      <w:bookmarkStart w:id="256" w:name="_Toc184313252"/>
      <w:bookmarkEnd w:id="256"/>
      <w:bookmarkStart w:id="257" w:name="_Toc184310325"/>
      <w:bookmarkEnd w:id="257"/>
      <w:bookmarkStart w:id="258" w:name="_Toc184312118"/>
      <w:bookmarkEnd w:id="258"/>
      <w:bookmarkStart w:id="259" w:name="_Toc184313288"/>
      <w:bookmarkEnd w:id="259"/>
      <w:bookmarkStart w:id="260" w:name="_Toc184312120"/>
      <w:bookmarkEnd w:id="260"/>
      <w:bookmarkStart w:id="261" w:name="_Toc184314480"/>
      <w:bookmarkEnd w:id="261"/>
      <w:bookmarkStart w:id="262" w:name="_Toc184314461"/>
      <w:bookmarkEnd w:id="262"/>
      <w:bookmarkStart w:id="263" w:name="_Toc184313274"/>
      <w:bookmarkEnd w:id="263"/>
      <w:bookmarkStart w:id="264" w:name="_Toc184314464"/>
      <w:bookmarkEnd w:id="264"/>
      <w:bookmarkStart w:id="265" w:name="_Toc184310321"/>
      <w:bookmarkEnd w:id="265"/>
      <w:bookmarkStart w:id="266" w:name="_Toc184313301"/>
      <w:bookmarkEnd w:id="266"/>
      <w:bookmarkStart w:id="267" w:name="_Toc184314463"/>
      <w:bookmarkEnd w:id="267"/>
      <w:bookmarkStart w:id="268" w:name="_Toc184308077"/>
      <w:bookmarkEnd w:id="268"/>
      <w:bookmarkStart w:id="269" w:name="_Toc184312123"/>
      <w:bookmarkEnd w:id="269"/>
      <w:bookmarkStart w:id="270" w:name="_Toc184312132"/>
      <w:bookmarkEnd w:id="270"/>
      <w:bookmarkStart w:id="271" w:name="_Toc184313294"/>
      <w:bookmarkEnd w:id="271"/>
      <w:bookmarkStart w:id="272" w:name="_Toc184308090"/>
      <w:bookmarkEnd w:id="272"/>
      <w:bookmarkStart w:id="273" w:name="_Toc184308093"/>
      <w:bookmarkEnd w:id="273"/>
      <w:bookmarkStart w:id="274" w:name="_Toc184314466"/>
      <w:bookmarkEnd w:id="274"/>
      <w:bookmarkStart w:id="275" w:name="_Toc184313248"/>
      <w:bookmarkEnd w:id="275"/>
      <w:bookmarkStart w:id="276" w:name="_Toc184308085"/>
      <w:bookmarkEnd w:id="276"/>
      <w:bookmarkStart w:id="277" w:name="_Toc184308094"/>
      <w:bookmarkEnd w:id="277"/>
      <w:bookmarkStart w:id="278" w:name="_Toc184312134"/>
      <w:bookmarkEnd w:id="278"/>
      <w:bookmarkStart w:id="279" w:name="_Toc184310329"/>
      <w:bookmarkEnd w:id="279"/>
      <w:bookmarkStart w:id="280" w:name="_Toc184310338"/>
      <w:bookmarkEnd w:id="280"/>
      <w:bookmarkStart w:id="281" w:name="_Toc184312127"/>
      <w:bookmarkEnd w:id="281"/>
      <w:bookmarkStart w:id="282" w:name="_Toc184312109"/>
      <w:bookmarkEnd w:id="282"/>
      <w:bookmarkStart w:id="283" w:name="_Toc184312125"/>
      <w:bookmarkEnd w:id="283"/>
      <w:bookmarkStart w:id="284" w:name="_Toc184310326"/>
      <w:bookmarkEnd w:id="284"/>
      <w:bookmarkStart w:id="285" w:name="_Toc184313304"/>
      <w:bookmarkEnd w:id="285"/>
      <w:bookmarkStart w:id="286" w:name="_Toc184312107"/>
      <w:bookmarkEnd w:id="286"/>
      <w:bookmarkStart w:id="287" w:name="_Toc184308091"/>
      <w:bookmarkEnd w:id="287"/>
      <w:bookmarkStart w:id="288" w:name="_Toc184308068"/>
      <w:bookmarkEnd w:id="288"/>
      <w:bookmarkStart w:id="289" w:name="_Toc184312122"/>
      <w:bookmarkEnd w:id="289"/>
      <w:bookmarkStart w:id="290" w:name="_Toc184308096"/>
      <w:bookmarkEnd w:id="290"/>
      <w:bookmarkStart w:id="291" w:name="_Toc184314476"/>
      <w:bookmarkEnd w:id="291"/>
      <w:bookmarkStart w:id="292" w:name="_Toc184308099"/>
      <w:bookmarkEnd w:id="292"/>
      <w:bookmarkStart w:id="293" w:name="_Toc184308097"/>
      <w:bookmarkEnd w:id="293"/>
      <w:bookmarkStart w:id="294" w:name="_Toc184312128"/>
      <w:bookmarkEnd w:id="294"/>
      <w:bookmarkStart w:id="295" w:name="_Toc184314470"/>
      <w:bookmarkEnd w:id="295"/>
      <w:bookmarkStart w:id="296" w:name="_Toc184308037"/>
      <w:bookmarkEnd w:id="296"/>
      <w:bookmarkStart w:id="297" w:name="_Toc184313305"/>
      <w:bookmarkEnd w:id="297"/>
      <w:bookmarkStart w:id="298" w:name="_Toc184313299"/>
      <w:bookmarkEnd w:id="298"/>
      <w:bookmarkStart w:id="299" w:name="_Toc184314452"/>
      <w:bookmarkEnd w:id="299"/>
      <w:bookmarkStart w:id="300" w:name="_Toc184313297"/>
      <w:bookmarkEnd w:id="300"/>
      <w:bookmarkStart w:id="301" w:name="_Toc184308050"/>
      <w:bookmarkEnd w:id="301"/>
      <w:bookmarkStart w:id="302" w:name="_Toc184312111"/>
      <w:bookmarkEnd w:id="302"/>
      <w:bookmarkStart w:id="303" w:name="_Toc184314457"/>
      <w:bookmarkEnd w:id="303"/>
      <w:bookmarkStart w:id="304" w:name="_Toc184314467"/>
      <w:bookmarkEnd w:id="304"/>
      <w:bookmarkStart w:id="305" w:name="_Toc184312133"/>
      <w:bookmarkEnd w:id="305"/>
      <w:bookmarkStart w:id="306" w:name="_Toc184308105"/>
      <w:bookmarkEnd w:id="306"/>
      <w:bookmarkStart w:id="307" w:name="_Toc184310330"/>
      <w:bookmarkEnd w:id="307"/>
      <w:bookmarkStart w:id="308" w:name="_Toc184310331"/>
      <w:bookmarkEnd w:id="308"/>
      <w:bookmarkStart w:id="309" w:name="_Toc184313278"/>
      <w:bookmarkEnd w:id="309"/>
      <w:bookmarkStart w:id="310" w:name="_Toc184313300"/>
      <w:bookmarkEnd w:id="310"/>
      <w:bookmarkStart w:id="311" w:name="_Toc184308098"/>
      <w:bookmarkEnd w:id="311"/>
      <w:bookmarkStart w:id="312" w:name="_Toc184312130"/>
      <w:bookmarkEnd w:id="312"/>
      <w:bookmarkStart w:id="313" w:name="_Toc184312129"/>
      <w:bookmarkEnd w:id="313"/>
      <w:bookmarkStart w:id="314" w:name="_Toc184314424"/>
      <w:bookmarkEnd w:id="314"/>
      <w:bookmarkStart w:id="315" w:name="_Toc184313265"/>
      <w:bookmarkEnd w:id="315"/>
      <w:bookmarkStart w:id="316" w:name="_Toc184313309"/>
      <w:bookmarkEnd w:id="316"/>
      <w:bookmarkStart w:id="317" w:name="_Toc184308046"/>
      <w:bookmarkEnd w:id="317"/>
      <w:bookmarkStart w:id="318" w:name="_Toc184308076"/>
      <w:bookmarkEnd w:id="318"/>
      <w:bookmarkStart w:id="319" w:name="_Toc184310334"/>
      <w:bookmarkEnd w:id="319"/>
      <w:bookmarkStart w:id="320" w:name="_Toc184314469"/>
      <w:bookmarkEnd w:id="320"/>
      <w:bookmarkStart w:id="321" w:name="_Toc184312082"/>
      <w:bookmarkEnd w:id="321"/>
      <w:bookmarkStart w:id="322" w:name="_Toc184313285"/>
      <w:bookmarkEnd w:id="322"/>
      <w:bookmarkStart w:id="323" w:name="_Toc184310340"/>
      <w:bookmarkEnd w:id="323"/>
      <w:bookmarkStart w:id="324" w:name="_Toc184313286"/>
      <w:bookmarkEnd w:id="324"/>
      <w:bookmarkStart w:id="325" w:name="_Toc184313290"/>
      <w:bookmarkEnd w:id="325"/>
      <w:bookmarkStart w:id="326" w:name="_Toc184313296"/>
      <w:bookmarkEnd w:id="326"/>
      <w:bookmarkStart w:id="327" w:name="_Toc184310295"/>
      <w:bookmarkEnd w:id="327"/>
      <w:bookmarkStart w:id="328" w:name="_Toc184312089"/>
      <w:bookmarkEnd w:id="328"/>
      <w:bookmarkStart w:id="329" w:name="_Toc184312091"/>
      <w:bookmarkEnd w:id="329"/>
      <w:bookmarkStart w:id="330" w:name="_Toc184314468"/>
      <w:bookmarkEnd w:id="330"/>
      <w:bookmarkStart w:id="331" w:name="_Toc184314477"/>
      <w:bookmarkEnd w:id="331"/>
      <w:bookmarkStart w:id="332" w:name="_Toc184310332"/>
      <w:bookmarkEnd w:id="332"/>
      <w:bookmarkStart w:id="333" w:name="_Toc184313241"/>
      <w:bookmarkEnd w:id="333"/>
      <w:bookmarkStart w:id="334" w:name="_Toc184314437"/>
      <w:bookmarkEnd w:id="334"/>
      <w:bookmarkStart w:id="335" w:name="_Toc184313276"/>
      <w:bookmarkEnd w:id="335"/>
      <w:bookmarkStart w:id="336" w:name="_Toc184310339"/>
      <w:bookmarkEnd w:id="336"/>
      <w:bookmarkStart w:id="337" w:name="_Toc184312110"/>
      <w:bookmarkEnd w:id="337"/>
      <w:bookmarkStart w:id="338" w:name="_Toc184314471"/>
      <w:bookmarkEnd w:id="338"/>
      <w:bookmarkStart w:id="339" w:name="_Toc184308103"/>
      <w:bookmarkEnd w:id="339"/>
      <w:bookmarkStart w:id="340" w:name="_Toc184314412"/>
      <w:bookmarkEnd w:id="340"/>
      <w:bookmarkStart w:id="341" w:name="_Toc184308045"/>
      <w:bookmarkEnd w:id="341"/>
      <w:bookmarkStart w:id="342" w:name="_Toc184313284"/>
      <w:bookmarkEnd w:id="342"/>
      <w:bookmarkStart w:id="343" w:name="_Toc184310335"/>
      <w:bookmarkEnd w:id="343"/>
      <w:bookmarkStart w:id="344" w:name="_Toc184308106"/>
      <w:bookmarkEnd w:id="344"/>
      <w:bookmarkStart w:id="345" w:name="_Toc184313243"/>
      <w:bookmarkEnd w:id="345"/>
      <w:bookmarkStart w:id="346" w:name="_Toc184310318"/>
      <w:bookmarkEnd w:id="346"/>
      <w:bookmarkStart w:id="347" w:name="_Toc184314435"/>
      <w:bookmarkEnd w:id="347"/>
      <w:bookmarkStart w:id="348" w:name="_Toc184313246"/>
      <w:bookmarkEnd w:id="348"/>
      <w:bookmarkStart w:id="349" w:name="_Toc184308073"/>
      <w:bookmarkEnd w:id="349"/>
      <w:bookmarkStart w:id="350" w:name="_Toc184313245"/>
      <w:bookmarkEnd w:id="350"/>
      <w:bookmarkStart w:id="351" w:name="_Toc184308075"/>
      <w:bookmarkEnd w:id="351"/>
      <w:bookmarkStart w:id="352" w:name="_Toc184310344"/>
      <w:bookmarkEnd w:id="352"/>
      <w:bookmarkStart w:id="353" w:name="_Toc184308062"/>
      <w:bookmarkEnd w:id="353"/>
      <w:bookmarkStart w:id="354" w:name="_Toc184312092"/>
      <w:bookmarkEnd w:id="354"/>
      <w:bookmarkStart w:id="355" w:name="_Toc184314427"/>
      <w:bookmarkEnd w:id="355"/>
      <w:bookmarkStart w:id="356" w:name="_Toc184314414"/>
      <w:bookmarkEnd w:id="356"/>
      <w:bookmarkStart w:id="357" w:name="_Toc184314448"/>
      <w:bookmarkEnd w:id="357"/>
      <w:bookmarkStart w:id="358" w:name="_Toc184312076"/>
      <w:bookmarkEnd w:id="358"/>
      <w:bookmarkStart w:id="359" w:name="_Toc184310320"/>
      <w:bookmarkEnd w:id="359"/>
      <w:bookmarkStart w:id="360" w:name="_Toc184308080"/>
      <w:bookmarkEnd w:id="360"/>
      <w:bookmarkStart w:id="361" w:name="_Toc184313261"/>
      <w:bookmarkEnd w:id="361"/>
      <w:bookmarkStart w:id="362" w:name="_Toc184310272"/>
      <w:bookmarkEnd w:id="362"/>
      <w:bookmarkStart w:id="363" w:name="_Toc184310277"/>
      <w:bookmarkEnd w:id="363"/>
      <w:bookmarkStart w:id="364" w:name="_Toc184310294"/>
      <w:bookmarkEnd w:id="364"/>
      <w:bookmarkStart w:id="365" w:name="_Toc184310287"/>
      <w:bookmarkEnd w:id="365"/>
      <w:bookmarkStart w:id="366" w:name="_Toc184314472"/>
      <w:bookmarkEnd w:id="366"/>
      <w:bookmarkStart w:id="367" w:name="_Toc184313282"/>
      <w:bookmarkEnd w:id="367"/>
      <w:bookmarkStart w:id="368" w:name="_Toc184314415"/>
      <w:bookmarkEnd w:id="368"/>
      <w:bookmarkStart w:id="369" w:name="_Toc184314425"/>
      <w:bookmarkEnd w:id="369"/>
      <w:bookmarkStart w:id="370" w:name="_Toc184312090"/>
      <w:bookmarkEnd w:id="370"/>
      <w:bookmarkStart w:id="371" w:name="_Toc184308036"/>
      <w:bookmarkEnd w:id="371"/>
      <w:bookmarkStart w:id="372" w:name="_Toc184310304"/>
      <w:bookmarkEnd w:id="372"/>
      <w:bookmarkStart w:id="373" w:name="_Toc184308038"/>
      <w:bookmarkEnd w:id="373"/>
      <w:bookmarkStart w:id="374" w:name="_Toc184314433"/>
      <w:bookmarkEnd w:id="374"/>
      <w:bookmarkStart w:id="375" w:name="_Toc184314417"/>
      <w:bookmarkEnd w:id="375"/>
      <w:bookmarkStart w:id="376" w:name="_Toc184310279"/>
      <w:bookmarkEnd w:id="376"/>
      <w:bookmarkStart w:id="377" w:name="_Toc184310290"/>
      <w:bookmarkEnd w:id="377"/>
      <w:bookmarkStart w:id="378" w:name="_Toc184308104"/>
      <w:bookmarkEnd w:id="378"/>
      <w:bookmarkStart w:id="379" w:name="_Toc184308043"/>
      <w:bookmarkEnd w:id="379"/>
      <w:bookmarkStart w:id="380" w:name="_Toc184314418"/>
      <w:bookmarkEnd w:id="380"/>
      <w:bookmarkStart w:id="381" w:name="_Toc184310316"/>
      <w:bookmarkEnd w:id="381"/>
      <w:bookmarkStart w:id="382" w:name="_Toc184310278"/>
      <w:bookmarkEnd w:id="382"/>
      <w:bookmarkStart w:id="383" w:name="_Toc184314474"/>
      <w:bookmarkEnd w:id="383"/>
      <w:bookmarkStart w:id="384" w:name="_Toc184308042"/>
      <w:bookmarkEnd w:id="384"/>
      <w:bookmarkStart w:id="385" w:name="_Toc184312074"/>
      <w:bookmarkEnd w:id="385"/>
      <w:bookmarkStart w:id="386" w:name="_Toc184310342"/>
      <w:bookmarkEnd w:id="386"/>
      <w:bookmarkStart w:id="387" w:name="_Toc184312073"/>
      <w:bookmarkEnd w:id="387"/>
      <w:bookmarkStart w:id="388" w:name="_Toc184312077"/>
      <w:bookmarkEnd w:id="388"/>
      <w:bookmarkStart w:id="389" w:name="_Toc184314411"/>
      <w:bookmarkEnd w:id="389"/>
      <w:bookmarkStart w:id="390" w:name="_Toc184308041"/>
      <w:bookmarkEnd w:id="390"/>
      <w:bookmarkStart w:id="391" w:name="_Toc184312072"/>
      <w:bookmarkEnd w:id="391"/>
      <w:bookmarkStart w:id="392" w:name="_Toc184312075"/>
      <w:bookmarkEnd w:id="392"/>
      <w:bookmarkStart w:id="393" w:name="_Toc184310276"/>
      <w:bookmarkEnd w:id="393"/>
      <w:bookmarkStart w:id="394" w:name="_Toc184308059"/>
      <w:bookmarkEnd w:id="394"/>
      <w:bookmarkStart w:id="395" w:name="_Toc184313260"/>
      <w:bookmarkEnd w:id="395"/>
      <w:bookmarkStart w:id="396" w:name="_Toc184314416"/>
      <w:bookmarkEnd w:id="396"/>
      <w:bookmarkStart w:id="397" w:name="_Toc184308060"/>
      <w:bookmarkEnd w:id="397"/>
      <w:bookmarkStart w:id="398" w:name="_Toc184313244"/>
      <w:bookmarkEnd w:id="398"/>
      <w:bookmarkStart w:id="399" w:name="_Toc184310312"/>
      <w:bookmarkEnd w:id="399"/>
      <w:bookmarkStart w:id="400" w:name="_Toc184308044"/>
      <w:bookmarkEnd w:id="400"/>
      <w:bookmarkStart w:id="401" w:name="_Toc184310274"/>
      <w:bookmarkEnd w:id="401"/>
      <w:bookmarkStart w:id="402" w:name="_Toc184310280"/>
      <w:bookmarkEnd w:id="402"/>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898" w:tblpY="469"/>
        <w:tblW w:w="8919"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425"/>
        <w:gridCol w:w="833"/>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919" w:type="dxa"/>
            <w:gridSpan w:val="4"/>
            <w:vAlign w:val="center"/>
          </w:tcPr>
          <w:p>
            <w:pPr>
              <w:autoSpaceDE w:val="0"/>
              <w:autoSpaceDN w:val="0"/>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本项目采用综合评分法</w:t>
            </w:r>
            <w:r>
              <w:rPr>
                <w:rFonts w:hint="eastAsia" w:ascii="仿宋" w:hAnsi="仿宋" w:eastAsia="仿宋"/>
                <w:color w:val="000000" w:themeColor="text1"/>
                <w:sz w:val="24"/>
                <w:highlight w:val="none"/>
                <w14:textFill>
                  <w14:solidFill>
                    <w14:schemeClr w14:val="tx1"/>
                  </w14:solidFill>
                </w14:textFill>
              </w:rPr>
              <w:t>，评标委员会将对各投标人的投标报价、</w:t>
            </w:r>
            <w:r>
              <w:rPr>
                <w:rFonts w:hint="eastAsia" w:ascii="仿宋" w:hAnsi="仿宋" w:eastAsia="仿宋"/>
                <w:bCs/>
                <w:color w:val="000000" w:themeColor="text1"/>
                <w:sz w:val="24"/>
                <w:highlight w:val="none"/>
                <w14:textFill>
                  <w14:solidFill>
                    <w14:schemeClr w14:val="tx1"/>
                  </w14:solidFill>
                </w14:textFill>
              </w:rPr>
              <w:t>技术和服务方案</w:t>
            </w:r>
            <w:r>
              <w:rPr>
                <w:rFonts w:hint="eastAsia" w:ascii="仿宋" w:hAnsi="仿宋" w:eastAsia="仿宋" w:cs="宋体"/>
                <w:color w:val="000000" w:themeColor="text1"/>
                <w:sz w:val="24"/>
                <w:highlight w:val="none"/>
                <w14:textFill>
                  <w14:solidFill>
                    <w14:schemeClr w14:val="tx1"/>
                  </w14:solidFill>
                </w14:textFill>
              </w:rPr>
              <w:t>、资信与商务</w:t>
            </w:r>
            <w:r>
              <w:rPr>
                <w:rFonts w:hint="eastAsia" w:ascii="仿宋" w:hAnsi="仿宋" w:eastAsia="仿宋"/>
                <w:color w:val="000000" w:themeColor="text1"/>
                <w:sz w:val="24"/>
                <w:highlight w:val="none"/>
                <w14:textFill>
                  <w14:solidFill>
                    <w14:schemeClr w14:val="tx1"/>
                  </w14:solidFill>
                </w14:textFill>
              </w:rPr>
              <w:t>等方面进行综合评审，评标委员会各成员应当独立对每个有效投标人进行评价、打分。经统计，得出各投标人的最终评审分</w:t>
            </w:r>
            <w:r>
              <w:rPr>
                <w:rFonts w:ascii="仿宋" w:hAnsi="仿宋" w:eastAsia="仿宋"/>
                <w:color w:val="000000" w:themeColor="text1"/>
                <w:sz w:val="24"/>
                <w:highlight w:val="none"/>
                <w14:textFill>
                  <w14:solidFill>
                    <w14:schemeClr w14:val="tx1"/>
                  </w14:solidFill>
                </w14:textFill>
              </w:rPr>
              <w:t>,按最终评审分由高到低顺序排列。得分相同的，按投标报价由低到高顺序排列，</w:t>
            </w:r>
            <w:r>
              <w:rPr>
                <w:rFonts w:ascii="仿宋" w:hAnsi="仿宋" w:eastAsia="仿宋" w:cs="仿宋_GB2312"/>
                <w:color w:val="000000" w:themeColor="text1"/>
                <w:sz w:val="24"/>
                <w:highlight w:val="none"/>
                <w14:textFill>
                  <w14:solidFill>
                    <w14:schemeClr w14:val="tx1"/>
                  </w14:solidFill>
                </w14:textFill>
              </w:rPr>
              <w:t>得分且投标报价相同的并列</w:t>
            </w:r>
            <w:r>
              <w:rPr>
                <w:rFonts w:hint="eastAsia" w:ascii="仿宋" w:hAnsi="仿宋" w:eastAsia="仿宋"/>
                <w:color w:val="000000" w:themeColor="text1"/>
                <w:sz w:val="24"/>
                <w:highlight w:val="none"/>
                <w14:textFill>
                  <w14:solidFill>
                    <w14:schemeClr w14:val="tx1"/>
                  </w14:solidFill>
                </w14:textFill>
              </w:rPr>
              <w:t>，并形成评标意见。</w:t>
            </w:r>
            <w:r>
              <w:rPr>
                <w:rFonts w:ascii="仿宋" w:hAnsi="仿宋" w:eastAsia="仿宋"/>
                <w:color w:val="000000" w:themeColor="text1"/>
                <w:sz w:val="24"/>
                <w:highlight w:val="none"/>
                <w14:textFill>
                  <w14:solidFill>
                    <w14:schemeClr w14:val="tx1"/>
                  </w14:solidFill>
                </w14:textFill>
              </w:rPr>
              <w:t xml:space="preserve"> </w:t>
            </w:r>
          </w:p>
          <w:p>
            <w:pPr>
              <w:spacing w:line="360" w:lineRule="auto"/>
              <w:ind w:left="105" w:leftChars="50" w:firstLine="427" w:firstLineChars="178"/>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各投标人的综合得分为：投标价格得分</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技术和服务方案部分</w:t>
            </w:r>
            <w:r>
              <w:rPr>
                <w:rFonts w:hint="eastAsia" w:ascii="仿宋" w:hAnsi="仿宋" w:eastAsia="仿宋"/>
                <w:color w:val="000000" w:themeColor="text1"/>
                <w:sz w:val="24"/>
                <w:highlight w:val="none"/>
                <w14:textFill>
                  <w14:solidFill>
                    <w14:schemeClr w14:val="tx1"/>
                  </w14:solidFill>
                </w14:textFill>
              </w:rPr>
              <w:t>得分</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资信与商务部分</w:t>
            </w:r>
            <w:r>
              <w:rPr>
                <w:rFonts w:hint="eastAsia" w:ascii="仿宋" w:hAnsi="仿宋" w:eastAsia="仿宋"/>
                <w:color w:val="000000" w:themeColor="text1"/>
                <w:sz w:val="24"/>
                <w:highlight w:val="none"/>
                <w14:textFill>
                  <w14:solidFill>
                    <w14:schemeClr w14:val="tx1"/>
                  </w14:solidFill>
                </w14:textFill>
              </w:rPr>
              <w:t>得分之和，满分为</w:t>
            </w:r>
            <w:r>
              <w:rPr>
                <w:rFonts w:ascii="仿宋" w:hAnsi="仿宋" w:eastAsia="仿宋"/>
                <w:color w:val="000000" w:themeColor="text1"/>
                <w:sz w:val="24"/>
                <w:highlight w:val="none"/>
                <w:u w:val="single"/>
                <w14:textFill>
                  <w14:solidFill>
                    <w14:schemeClr w14:val="tx1"/>
                  </w14:solidFill>
                </w14:textFill>
              </w:rPr>
              <w:t>100</w:t>
            </w:r>
            <w:r>
              <w:rPr>
                <w:rFonts w:hint="eastAsia" w:ascii="仿宋" w:hAnsi="仿宋" w:eastAsia="仿宋"/>
                <w:color w:val="000000" w:themeColor="text1"/>
                <w:sz w:val="24"/>
                <w:highlight w:val="none"/>
                <w14:textFill>
                  <w14:solidFill>
                    <w14:schemeClr w14:val="tx1"/>
                  </w14:solidFill>
                </w14:textFill>
              </w:rPr>
              <w:t>分，其中：投标价格</w:t>
            </w:r>
            <w:r>
              <w:rPr>
                <w:rFonts w:ascii="仿宋" w:hAnsi="仿宋" w:eastAsia="仿宋"/>
                <w:color w:val="000000" w:themeColor="text1"/>
                <w:sz w:val="24"/>
                <w:highlight w:val="none"/>
                <w:u w:val="single"/>
                <w14:textFill>
                  <w14:solidFill>
                    <w14:schemeClr w14:val="tx1"/>
                  </w14:solidFill>
                </w14:textFill>
              </w:rPr>
              <w:t>30</w:t>
            </w:r>
            <w:r>
              <w:rPr>
                <w:rFonts w:hint="eastAsia" w:ascii="仿宋" w:hAnsi="仿宋" w:eastAsia="仿宋"/>
                <w:color w:val="000000" w:themeColor="text1"/>
                <w:sz w:val="24"/>
                <w:highlight w:val="none"/>
                <w14:textFill>
                  <w14:solidFill>
                    <w14:schemeClr w14:val="tx1"/>
                  </w14:solidFill>
                </w14:textFill>
              </w:rPr>
              <w:t>分，</w:t>
            </w:r>
            <w:r>
              <w:rPr>
                <w:rFonts w:hint="eastAsia" w:ascii="仿宋" w:hAnsi="仿宋" w:eastAsia="仿宋"/>
                <w:bCs/>
                <w:color w:val="000000" w:themeColor="text1"/>
                <w:sz w:val="24"/>
                <w:highlight w:val="none"/>
                <w14:textFill>
                  <w14:solidFill>
                    <w14:schemeClr w14:val="tx1"/>
                  </w14:solidFill>
                </w14:textFill>
              </w:rPr>
              <w:t>技术和服务方案部分</w:t>
            </w:r>
            <w:r>
              <w:rPr>
                <w:rFonts w:hint="eastAsia" w:ascii="仿宋" w:hAnsi="仿宋" w:eastAsia="仿宋"/>
                <w:color w:val="000000" w:themeColor="text1"/>
                <w:sz w:val="24"/>
                <w:highlight w:val="none"/>
                <w:u w:val="single"/>
                <w14:textFill>
                  <w14:solidFill>
                    <w14:schemeClr w14:val="tx1"/>
                  </w14:solidFill>
                </w14:textFill>
              </w:rPr>
              <w:t>61</w:t>
            </w:r>
            <w:r>
              <w:rPr>
                <w:rFonts w:hint="eastAsia" w:ascii="仿宋" w:hAnsi="仿宋" w:eastAsia="仿宋"/>
                <w:color w:val="000000" w:themeColor="text1"/>
                <w:sz w:val="24"/>
                <w:highlight w:val="none"/>
                <w14:textFill>
                  <w14:solidFill>
                    <w14:schemeClr w14:val="tx1"/>
                  </w14:solidFill>
                </w14:textFill>
              </w:rPr>
              <w:t>分，</w:t>
            </w:r>
            <w:r>
              <w:rPr>
                <w:rFonts w:hint="eastAsia" w:ascii="仿宋" w:hAnsi="仿宋" w:eastAsia="仿宋" w:cs="宋体"/>
                <w:color w:val="000000" w:themeColor="text1"/>
                <w:sz w:val="24"/>
                <w:highlight w:val="none"/>
                <w14:textFill>
                  <w14:solidFill>
                    <w14:schemeClr w14:val="tx1"/>
                  </w14:solidFill>
                </w14:textFill>
              </w:rPr>
              <w:t>资信与商务部分</w:t>
            </w:r>
            <w:r>
              <w:rPr>
                <w:rFonts w:hint="eastAsia" w:ascii="仿宋" w:hAnsi="仿宋" w:eastAsia="仿宋"/>
                <w:color w:val="000000" w:themeColor="text1"/>
                <w:sz w:val="24"/>
                <w:highlight w:val="none"/>
                <w:u w:val="single"/>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分。</w:t>
            </w:r>
          </w:p>
          <w:p>
            <w:pPr>
              <w:spacing w:line="360" w:lineRule="auto"/>
              <w:outlineLvl w:val="0"/>
              <w:rPr>
                <w:rFonts w:hint="eastAsia"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b/>
                <w:color w:val="000000" w:themeColor="text1"/>
                <w:sz w:val="24"/>
                <w:highlight w:val="none"/>
                <w14:textFill>
                  <w14:solidFill>
                    <w14:schemeClr w14:val="tx1"/>
                  </w14:solidFill>
                </w14:textFill>
              </w:rPr>
              <w:t>各投标人的技术和服务方案、资信与商务部分得分为：评标委员会各成员评分的算术平均值。各投标人的投标价格得分按投标价格评分</w:t>
            </w:r>
            <w:r>
              <w:rPr>
                <w:rFonts w:hint="eastAsia" w:ascii="仿宋" w:hAnsi="仿宋" w:eastAsia="仿宋" w:cs="宋体"/>
                <w:b/>
                <w:color w:val="000000" w:themeColor="text1"/>
                <w:sz w:val="24"/>
                <w:highlight w:val="none"/>
                <w14:textFill>
                  <w14:solidFill>
                    <w14:schemeClr w14:val="tx1"/>
                  </w14:solidFill>
                </w14:textFill>
              </w:rPr>
              <w:t>公式由采购机构计算，</w:t>
            </w:r>
            <w:r>
              <w:rPr>
                <w:rFonts w:hint="eastAsia" w:ascii="仿宋" w:hAnsi="仿宋" w:eastAsia="仿宋"/>
                <w:b/>
                <w:color w:val="000000" w:themeColor="text1"/>
                <w:sz w:val="24"/>
                <w:highlight w:val="none"/>
                <w14:textFill>
                  <w14:solidFill>
                    <w14:schemeClr w14:val="tx1"/>
                  </w14:solidFill>
                </w14:textFill>
              </w:rPr>
              <w:t>评标委员会审核。</w:t>
            </w:r>
            <w:r>
              <w:rPr>
                <w:rFonts w:hint="eastAsia" w:ascii="仿宋" w:hAnsi="仿宋" w:eastAsia="仿宋"/>
                <w:color w:val="000000" w:themeColor="text1"/>
                <w:sz w:val="24"/>
                <w:highlight w:val="none"/>
                <w14:textFill>
                  <w14:solidFill>
                    <w14:schemeClr w14:val="tx1"/>
                  </w14:solidFill>
                </w14:textFill>
              </w:rPr>
              <w:t>根据上述评标原则，分值安排如下：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6" w:type="dxa"/>
            <w:vAlign w:val="center"/>
          </w:tcPr>
          <w:p>
            <w:pPr>
              <w:spacing w:line="360" w:lineRule="auto"/>
              <w:jc w:val="center"/>
              <w:outlineLvl w:val="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序号</w:t>
            </w:r>
          </w:p>
        </w:tc>
        <w:tc>
          <w:tcPr>
            <w:tcW w:w="5425" w:type="dxa"/>
            <w:vAlign w:val="center"/>
          </w:tcPr>
          <w:p>
            <w:pPr>
              <w:spacing w:line="360" w:lineRule="auto"/>
              <w:ind w:firstLine="1560" w:firstLineChars="650"/>
              <w:outlineLvl w:val="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评标标准</w:t>
            </w:r>
          </w:p>
        </w:tc>
        <w:tc>
          <w:tcPr>
            <w:tcW w:w="833" w:type="dxa"/>
            <w:vAlign w:val="center"/>
          </w:tcPr>
          <w:p>
            <w:pPr>
              <w:spacing w:line="360" w:lineRule="auto"/>
              <w:outlineLvl w:val="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权重</w:t>
            </w:r>
          </w:p>
        </w:tc>
        <w:tc>
          <w:tcPr>
            <w:tcW w:w="1825" w:type="dxa"/>
          </w:tcPr>
          <w:p>
            <w:pPr>
              <w:spacing w:line="360" w:lineRule="auto"/>
              <w:outlineLvl w:val="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投标文件中评标标准相应的商务技术资料目录</w:t>
            </w:r>
            <w:r>
              <w:rPr>
                <w:rFonts w:ascii="宋体" w:hAnsi="宋体" w:cs="宋体"/>
                <w:color w:val="000000" w:themeColor="text1"/>
                <w:sz w:val="24"/>
                <w:highlight w:val="none"/>
                <w:shd w:val="clear" w:color="auto" w:fill="FFFFFF"/>
                <w14:textFill>
                  <w14:solidFill>
                    <w14:schemeClr w14:val="tx1"/>
                  </w14:solidFill>
                </w14:textFill>
              </w:rPr>
              <w:t> </w:t>
            </w:r>
            <w:r>
              <w:rPr>
                <w:rFonts w:ascii="仿宋" w:hAnsi="仿宋" w:eastAsia="仿宋" w:cs="Arial"/>
                <w:color w:val="000000" w:themeColor="text1"/>
                <w:sz w:val="24"/>
                <w:highlight w:val="none"/>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36" w:type="dxa"/>
            <w:vAlign w:val="center"/>
          </w:tcPr>
          <w:p>
            <w:pPr>
              <w:spacing w:line="360" w:lineRule="auto"/>
              <w:ind w:firstLine="360" w:firstLineChars="150"/>
              <w:jc w:val="left"/>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w:t>
            </w:r>
          </w:p>
        </w:tc>
        <w:tc>
          <w:tcPr>
            <w:tcW w:w="5425" w:type="dxa"/>
            <w:vAlign w:val="center"/>
          </w:tcPr>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提供投标人有效期内的质量管理体系认证证书、环境管理体系认证证书、职业健康安全管理体系认证证书,全部提供得1分，缺一不得分。</w:t>
            </w:r>
          </w:p>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（需提供证书复印件及在“全国认证认可信息公共服务平台”网站查询证书认证网页结果“截图”，否则不得分）</w:t>
            </w:r>
          </w:p>
        </w:tc>
        <w:tc>
          <w:tcPr>
            <w:tcW w:w="833" w:type="dxa"/>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w:t>
            </w:r>
          </w:p>
        </w:tc>
        <w:tc>
          <w:tcPr>
            <w:tcW w:w="1825" w:type="dxa"/>
            <w:vAlign w:val="center"/>
          </w:tcPr>
          <w:p>
            <w:pPr>
              <w:spacing w:line="360" w:lineRule="auto"/>
              <w:jc w:val="center"/>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（一）质量管理体系认证证书、环境管理体系认证证书、职业健康安全管理体系认证证书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36" w:type="dxa"/>
            <w:vAlign w:val="center"/>
          </w:tcPr>
          <w:p>
            <w:pPr>
              <w:spacing w:line="360" w:lineRule="auto"/>
              <w:ind w:firstLine="360" w:firstLineChars="150"/>
              <w:jc w:val="left"/>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w:t>
            </w:r>
          </w:p>
        </w:tc>
        <w:tc>
          <w:tcPr>
            <w:tcW w:w="5425" w:type="dxa"/>
            <w:vAlign w:val="center"/>
          </w:tcPr>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提供投标人有效期内的信息安全管理体系认证证书、信息技术服务管理体系认证证书，每提供1份得1.5分，最多得3分。</w:t>
            </w:r>
          </w:p>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（需提供证书复印件及在“全国认证认可信息公共服务平台”网站查询证书认证网页结果“截图”，否则不得分）</w:t>
            </w:r>
          </w:p>
        </w:tc>
        <w:tc>
          <w:tcPr>
            <w:tcW w:w="833" w:type="dxa"/>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tabs>
                <w:tab w:val="center" w:pos="256"/>
              </w:tabs>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ab/>
            </w:r>
          </w:p>
          <w:p>
            <w:pPr>
              <w:tabs>
                <w:tab w:val="center" w:pos="256"/>
              </w:tabs>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w:t>
            </w:r>
          </w:p>
        </w:tc>
        <w:tc>
          <w:tcPr>
            <w:tcW w:w="1825" w:type="dxa"/>
          </w:tcPr>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（二）信息安全管理体系认证证书、信息技术服务管理体系认证证书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836" w:type="dxa"/>
            <w:vAlign w:val="center"/>
          </w:tcPr>
          <w:p>
            <w:pPr>
              <w:spacing w:line="360" w:lineRule="auto"/>
              <w:ind w:firstLine="360" w:firstLineChars="150"/>
              <w:jc w:val="left"/>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3</w:t>
            </w:r>
          </w:p>
        </w:tc>
        <w:tc>
          <w:tcPr>
            <w:tcW w:w="5425" w:type="dxa"/>
            <w:vAlign w:val="center"/>
          </w:tcPr>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提供投标人投标截止时间前三年内（以合同签订时间为准）的同类案例，每提供1个智慧库房智慧化综合管理平台案例得0.5分，最多得2分；每提供1个智能密集架案例得0.5分，最多得2分；每提供1个防磁库案例得0.5分，最多得1分。同一合同包含以上多项内容的，可分别得分。本项最高5分。（需提供完整的合同协议书和验收单位盖章的验收报告复印件，否则不得分）</w:t>
            </w:r>
          </w:p>
        </w:tc>
        <w:tc>
          <w:tcPr>
            <w:tcW w:w="833" w:type="dxa"/>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w:t>
            </w:r>
          </w:p>
        </w:tc>
        <w:tc>
          <w:tcPr>
            <w:tcW w:w="1825" w:type="dxa"/>
          </w:tcPr>
          <w:p>
            <w:pPr>
              <w:spacing w:line="360" w:lineRule="auto"/>
              <w:outlineLvl w:val="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（三）类似项目案例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836" w:type="dxa"/>
            <w:vAlign w:val="center"/>
          </w:tcPr>
          <w:p>
            <w:pPr>
              <w:spacing w:line="360" w:lineRule="auto"/>
              <w:ind w:firstLine="360" w:firstLineChars="150"/>
              <w:jc w:val="left"/>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4</w:t>
            </w:r>
          </w:p>
        </w:tc>
        <w:tc>
          <w:tcPr>
            <w:tcW w:w="5425" w:type="dxa"/>
            <w:vAlign w:val="center"/>
          </w:tcPr>
          <w:p>
            <w:pPr>
              <w:pStyle w:val="57"/>
              <w:widowControl w:val="0"/>
              <w:autoSpaceDE w:val="0"/>
              <w:autoSpaceDN w:val="0"/>
              <w:spacing w:before="0" w:beforeAutospacing="0" w:after="0" w:afterAutospacing="0" w:line="360" w:lineRule="auto"/>
              <w:jc w:val="both"/>
              <w:outlineLvl w:val="1"/>
              <w:rPr>
                <w:rFonts w:hint="eastAsia" w:ascii="仿宋_GB2312" w:eastAsia="仿宋_GB2312"/>
                <w:color w:val="000000" w:themeColor="text1"/>
                <w:kern w:val="2"/>
                <w:szCs w:val="24"/>
                <w:highlight w:val="none"/>
                <w:lang w:bidi="ar"/>
                <w14:textFill>
                  <w14:solidFill>
                    <w14:schemeClr w14:val="tx1"/>
                  </w14:solidFill>
                </w14:textFill>
              </w:rPr>
            </w:pPr>
            <w:r>
              <w:rPr>
                <w:rFonts w:hint="eastAsia" w:ascii="仿宋_GB2312" w:eastAsia="仿宋_GB2312"/>
                <w:color w:val="000000" w:themeColor="text1"/>
                <w:kern w:val="2"/>
                <w:szCs w:val="24"/>
                <w:highlight w:val="none"/>
                <w:lang w:val="en-US" w:eastAsia="zh-CN" w:bidi="ar"/>
                <w14:textFill>
                  <w14:solidFill>
                    <w14:schemeClr w14:val="tx1"/>
                  </w14:solidFill>
                </w14:textFill>
              </w:rPr>
              <w:t>1.</w:t>
            </w:r>
            <w:r>
              <w:rPr>
                <w:rFonts w:hint="eastAsia" w:ascii="仿宋_GB2312" w:eastAsia="仿宋_GB2312"/>
                <w:color w:val="000000" w:themeColor="text1"/>
                <w:kern w:val="2"/>
                <w:szCs w:val="24"/>
                <w:highlight w:val="none"/>
                <w:lang w:bidi="ar"/>
                <w14:textFill>
                  <w14:solidFill>
                    <w14:schemeClr w14:val="tx1"/>
                  </w14:solidFill>
                </w14:textFill>
              </w:rPr>
              <w:t>投标方案对采购需求中“杭州市城市档案中心智慧库房智慧化综合管理平台及配套设施、智能密集架、防磁库需求清单”内“技术参数、规格及要求”的偏离情况，</w:t>
            </w:r>
            <w:r>
              <w:rPr>
                <w:rFonts w:hint="eastAsia" w:ascii="仿宋_GB2312" w:eastAsia="仿宋_GB2312"/>
                <w:color w:val="000000" w:themeColor="text1"/>
                <w:kern w:val="2"/>
                <w:szCs w:val="24"/>
                <w:highlight w:val="none"/>
                <w:lang w:val="en-US" w:eastAsia="zh-CN" w:bidi="ar"/>
                <w14:textFill>
                  <w14:solidFill>
                    <w14:schemeClr w14:val="tx1"/>
                  </w14:solidFill>
                </w14:textFill>
              </w:rPr>
              <w:t>无偏离的得10分；</w:t>
            </w:r>
            <w:r>
              <w:rPr>
                <w:rFonts w:hint="eastAsia" w:ascii="仿宋_GB2312" w:eastAsia="仿宋_GB2312"/>
                <w:color w:val="000000" w:themeColor="text1"/>
                <w:kern w:val="2"/>
                <w:szCs w:val="24"/>
                <w:highlight w:val="none"/>
                <w:lang w:bidi="ar"/>
                <w14:textFill>
                  <w14:solidFill>
                    <w14:schemeClr w14:val="tx1"/>
                  </w14:solidFill>
                </w14:textFill>
              </w:rPr>
              <w:t>除实质性要求外，每一“设备名称”项下有负偏离的扣1分，</w:t>
            </w:r>
            <w:r>
              <w:rPr>
                <w:rFonts w:hint="eastAsia" w:ascii="仿宋_GB2312" w:eastAsia="仿宋_GB2312"/>
                <w:color w:val="000000" w:themeColor="text1"/>
                <w:kern w:val="2"/>
                <w:szCs w:val="24"/>
                <w:highlight w:val="none"/>
                <w:lang w:val="en-US" w:eastAsia="zh-CN" w:bidi="ar"/>
                <w14:textFill>
                  <w14:solidFill>
                    <w14:schemeClr w14:val="tx1"/>
                  </w14:solidFill>
                </w14:textFill>
              </w:rPr>
              <w:t>最多扣10分</w:t>
            </w:r>
            <w:r>
              <w:rPr>
                <w:rFonts w:hint="eastAsia" w:ascii="仿宋_GB2312" w:eastAsia="仿宋_GB2312"/>
                <w:color w:val="000000" w:themeColor="text1"/>
                <w:kern w:val="2"/>
                <w:szCs w:val="24"/>
                <w:highlight w:val="none"/>
                <w:lang w:bidi="ar"/>
                <w14:textFill>
                  <w14:solidFill>
                    <w14:schemeClr w14:val="tx1"/>
                  </w14:solidFill>
                </w14:textFill>
              </w:rPr>
              <w:t>。</w:t>
            </w:r>
          </w:p>
          <w:p>
            <w:pPr>
              <w:pStyle w:val="57"/>
              <w:widowControl w:val="0"/>
              <w:autoSpaceDE w:val="0"/>
              <w:autoSpaceDN w:val="0"/>
              <w:spacing w:before="0" w:beforeAutospacing="0" w:after="0" w:afterAutospacing="0" w:line="360" w:lineRule="auto"/>
              <w:jc w:val="both"/>
              <w:outlineLvl w:val="1"/>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
                <w:color w:val="000000" w:themeColor="text1"/>
                <w:kern w:val="2"/>
                <w:szCs w:val="24"/>
                <w:highlight w:val="none"/>
                <w:lang w:val="en-US" w:eastAsia="zh-CN" w:bidi="ar"/>
                <w14:textFill>
                  <w14:solidFill>
                    <w14:schemeClr w14:val="tx1"/>
                  </w14:solidFill>
                </w14:textFill>
              </w:rPr>
              <w:t>2.</w:t>
            </w:r>
            <w:r>
              <w:rPr>
                <w:rFonts w:hint="eastAsia" w:ascii="仿宋" w:hAnsi="仿宋" w:eastAsia="仿宋" w:cs="仿宋_GB2312"/>
                <w:color w:val="000000" w:themeColor="text1"/>
                <w:sz w:val="24"/>
                <w:highlight w:val="none"/>
                <w:lang w:val="en-US" w:eastAsia="zh-CN"/>
                <w14:textFill>
                  <w14:solidFill>
                    <w14:schemeClr w14:val="tx1"/>
                  </w14:solidFill>
                </w14:textFill>
              </w:rPr>
              <w:t>除注明“▲提供国家确定的认证机构出具的、处于有效期之内的节能产品认证证书”的政府强制采购的节能产品外，其它</w:t>
            </w:r>
            <w:r>
              <w:rPr>
                <w:rFonts w:hint="eastAsia" w:ascii="仿宋" w:hAnsi="仿宋" w:eastAsia="仿宋" w:cs="仿宋"/>
                <w:color w:val="000000" w:themeColor="text1"/>
                <w:kern w:val="2"/>
                <w:szCs w:val="24"/>
                <w:highlight w:val="none"/>
                <w:lang w:val="en-US" w:eastAsia="zh-CN" w:bidi="ar"/>
                <w14:textFill>
                  <w14:solidFill>
                    <w14:schemeClr w14:val="tx1"/>
                  </w14:solidFill>
                </w14:textFill>
              </w:rPr>
              <w:t>产品获</w:t>
            </w:r>
            <w:r>
              <w:rPr>
                <w:rFonts w:hint="eastAsia" w:ascii="仿宋" w:hAnsi="仿宋" w:eastAsia="仿宋" w:cs="仿宋"/>
                <w:color w:val="000000" w:themeColor="text1"/>
                <w:kern w:val="2"/>
                <w:szCs w:val="24"/>
                <w:highlight w:val="none"/>
                <w:lang w:bidi="ar"/>
                <w14:textFill>
                  <w14:solidFill>
                    <w14:schemeClr w14:val="tx1"/>
                  </w14:solidFill>
                </w14:textFill>
              </w:rPr>
              <w:t>国家确定的认证机构出具的、处于有效期之内的节能产品</w:t>
            </w:r>
            <w:r>
              <w:rPr>
                <w:rFonts w:hint="eastAsia" w:ascii="仿宋" w:hAnsi="仿宋" w:eastAsia="仿宋" w:cs="仿宋"/>
                <w:color w:val="000000" w:themeColor="text1"/>
                <w:kern w:val="2"/>
                <w:szCs w:val="24"/>
                <w:highlight w:val="none"/>
                <w:lang w:eastAsia="zh-CN" w:bidi="ar"/>
                <w14:textFill>
                  <w14:solidFill>
                    <w14:schemeClr w14:val="tx1"/>
                  </w14:solidFill>
                </w14:textFill>
              </w:rPr>
              <w:t>、</w:t>
            </w:r>
            <w:r>
              <w:rPr>
                <w:rFonts w:hint="eastAsia" w:ascii="仿宋" w:hAnsi="仿宋" w:eastAsia="仿宋" w:cs="仿宋"/>
                <w:color w:val="000000" w:themeColor="text1"/>
                <w:kern w:val="2"/>
                <w:szCs w:val="24"/>
                <w:highlight w:val="none"/>
                <w:lang w:val="en-US" w:eastAsia="zh-CN" w:bidi="ar"/>
                <w14:textFill>
                  <w14:solidFill>
                    <w14:schemeClr w14:val="tx1"/>
                  </w14:solidFill>
                </w14:textFill>
              </w:rPr>
              <w:t>环境标志产品认证证书情况，每1项产品获得认证得且最多得1分，两项以上产品获得认证得2分</w:t>
            </w:r>
            <w:r>
              <w:rPr>
                <w:rFonts w:hint="eastAsia" w:ascii="仿宋" w:hAnsi="仿宋" w:eastAsia="仿宋" w:cs="仿宋"/>
                <w:color w:val="000000" w:themeColor="text1"/>
                <w:kern w:val="2"/>
                <w:szCs w:val="24"/>
                <w:highlight w:val="none"/>
                <w:lang w:bidi="ar"/>
                <w14:textFill>
                  <w14:solidFill>
                    <w14:schemeClr w14:val="tx1"/>
                  </w14:solidFill>
                </w14:textFill>
              </w:rPr>
              <w:t>。</w:t>
            </w:r>
          </w:p>
        </w:tc>
        <w:tc>
          <w:tcPr>
            <w:tcW w:w="833" w:type="dxa"/>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w:t>
            </w:r>
            <w:r>
              <w:rPr>
                <w:rFonts w:hint="eastAsia" w:ascii="仿宋" w:hAnsi="仿宋" w:eastAsia="仿宋" w:cs="仿宋_GB2312"/>
                <w:color w:val="000000" w:themeColor="text1"/>
                <w:sz w:val="24"/>
                <w:highlight w:val="none"/>
                <w14:textFill>
                  <w14:solidFill>
                    <w14:schemeClr w14:val="tx1"/>
                  </w14:solidFill>
                </w14:textFill>
              </w:rPr>
              <w:t>2</w:t>
            </w:r>
          </w:p>
        </w:tc>
        <w:tc>
          <w:tcPr>
            <w:tcW w:w="1825" w:type="dxa"/>
          </w:tcPr>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outlineLvl w:val="0"/>
              <w:rPr>
                <w:rFonts w:hint="eastAsia" w:ascii="仿宋" w:hAnsi="仿宋" w:eastAsia="仿宋" w:cs="仿宋_GB2312"/>
                <w:color w:val="000000" w:themeColor="text1"/>
                <w:sz w:val="24"/>
                <w:highlight w:val="none"/>
                <w14:textFill>
                  <w14:solidFill>
                    <w14:schemeClr w14:val="tx1"/>
                  </w14:solidFill>
                </w14:textFill>
              </w:rPr>
            </w:pPr>
          </w:p>
          <w:p>
            <w:pPr>
              <w:spacing w:line="360" w:lineRule="auto"/>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（四）商务技术偏离表</w:t>
            </w:r>
            <w:r>
              <w:rPr>
                <w:rFonts w:hint="eastAsia" w:ascii="仿宋" w:hAnsi="仿宋" w:eastAsia="仿宋" w:cs="仿宋_GB2312"/>
                <w:color w:val="000000" w:themeColor="text1"/>
                <w:sz w:val="24"/>
                <w:highlight w:val="none"/>
                <w:lang w:val="en-US" w:eastAsia="zh-CN"/>
                <w14:textFill>
                  <w14:solidFill>
                    <w14:schemeClr w14:val="tx1"/>
                  </w14:solidFill>
                </w14:textFill>
              </w:rPr>
              <w:t>及节能产品、环境标志产品认证证书</w:t>
            </w:r>
            <w:r>
              <w:rPr>
                <w:rFonts w:hint="eastAsia" w:ascii="仿宋" w:hAnsi="仿宋" w:eastAsia="仿宋" w:cs="仿宋_GB2312"/>
                <w:color w:val="000000" w:themeColor="text1"/>
                <w:sz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836" w:type="dxa"/>
            <w:vAlign w:val="center"/>
          </w:tcPr>
          <w:p>
            <w:pPr>
              <w:spacing w:line="360" w:lineRule="auto"/>
              <w:ind w:firstLine="360" w:firstLineChars="150"/>
              <w:jc w:val="left"/>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5</w:t>
            </w:r>
          </w:p>
        </w:tc>
        <w:tc>
          <w:tcPr>
            <w:tcW w:w="5425" w:type="dxa"/>
            <w:vAlign w:val="center"/>
          </w:tcPr>
          <w:p>
            <w:pPr>
              <w:pStyle w:val="57"/>
              <w:widowControl w:val="0"/>
              <w:autoSpaceDE w:val="0"/>
              <w:autoSpaceDN w:val="0"/>
              <w:spacing w:before="0" w:beforeAutospacing="0" w:after="0" w:afterAutospacing="0" w:line="360" w:lineRule="auto"/>
              <w:jc w:val="both"/>
              <w:outlineLvl w:val="1"/>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
                <w:color w:val="000000" w:themeColor="text1"/>
                <w:kern w:val="2"/>
                <w:szCs w:val="24"/>
                <w:highlight w:val="none"/>
                <w:lang w:bidi="ar"/>
                <w14:textFill>
                  <w14:solidFill>
                    <w14:schemeClr w14:val="tx1"/>
                  </w14:solidFill>
                </w14:textFill>
              </w:rPr>
              <w:t>投标人为本项目内智慧化综合管理平台的研发主体，且提供由国家版权局颁发的智慧化综合管理平台或模块系统相关的“计算机软件著作权登记证书”（著作权人含投标人），每提供1份得0.5分，最多得4分。（需提供证书复印件）。</w:t>
            </w:r>
          </w:p>
        </w:tc>
        <w:tc>
          <w:tcPr>
            <w:tcW w:w="833" w:type="dxa"/>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4</w:t>
            </w:r>
          </w:p>
        </w:tc>
        <w:tc>
          <w:tcPr>
            <w:tcW w:w="1825" w:type="dxa"/>
          </w:tcPr>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（五）</w:t>
            </w:r>
            <w:r>
              <w:rPr>
                <w:rFonts w:hint="eastAsia" w:ascii="仿宋" w:hAnsi="仿宋" w:eastAsia="仿宋" w:cs="仿宋"/>
                <w:color w:val="000000" w:themeColor="text1"/>
                <w:sz w:val="24"/>
                <w:szCs w:val="24"/>
                <w:highlight w:val="none"/>
                <w:lang w:bidi="ar"/>
                <w14:textFill>
                  <w14:solidFill>
                    <w14:schemeClr w14:val="tx1"/>
                  </w14:solidFill>
                </w14:textFill>
              </w:rPr>
              <w:t>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836" w:type="dxa"/>
            <w:vAlign w:val="center"/>
          </w:tcPr>
          <w:p>
            <w:pPr>
              <w:spacing w:line="360" w:lineRule="auto"/>
              <w:ind w:firstLine="360" w:firstLineChars="150"/>
              <w:jc w:val="left"/>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6</w:t>
            </w:r>
          </w:p>
        </w:tc>
        <w:tc>
          <w:tcPr>
            <w:tcW w:w="5425" w:type="dxa"/>
            <w:vAlign w:val="center"/>
          </w:tcPr>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szCs w:val="24"/>
                <w:highlight w:val="none"/>
                <w:lang w:bidi="ar"/>
                <w14:textFill>
                  <w14:solidFill>
                    <w14:schemeClr w14:val="tx1"/>
                  </w14:solidFill>
                </w14:textFill>
              </w:rPr>
              <w:t>投标人提供具有CMA标志的产品质量监督检验机构出具的智慧库房智慧化综合管理平台软件测试报告的，得2分。</w:t>
            </w:r>
          </w:p>
        </w:tc>
        <w:tc>
          <w:tcPr>
            <w:tcW w:w="833" w:type="dxa"/>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w:t>
            </w:r>
          </w:p>
        </w:tc>
        <w:tc>
          <w:tcPr>
            <w:tcW w:w="1825" w:type="dxa"/>
          </w:tcPr>
          <w:p>
            <w:pPr>
              <w:spacing w:line="360" w:lineRule="auto"/>
              <w:outlineLvl w:val="0"/>
              <w:rPr>
                <w:rFonts w:ascii="仿宋_GB2312" w:hAnsi="宋体" w:eastAsia="仿宋_GB2312"/>
                <w:color w:val="000000" w:themeColor="text1"/>
                <w:sz w:val="24"/>
                <w:szCs w:val="24"/>
                <w:highlight w:val="none"/>
                <w14:textFill>
                  <w14:solidFill>
                    <w14:schemeClr w14:val="tx1"/>
                  </w14:solidFill>
                </w14:textFill>
              </w:rPr>
            </w:pPr>
          </w:p>
          <w:p>
            <w:pPr>
              <w:spacing w:line="360" w:lineRule="auto"/>
              <w:outlineLvl w:val="0"/>
              <w:rPr>
                <w:rFonts w:ascii="仿宋_GB2312" w:hAnsi="宋体" w:eastAsia="仿宋_GB2312"/>
                <w:color w:val="000000" w:themeColor="text1"/>
                <w:sz w:val="24"/>
                <w:szCs w:val="24"/>
                <w:highlight w:val="none"/>
                <w14:textFill>
                  <w14:solidFill>
                    <w14:schemeClr w14:val="tx1"/>
                  </w14:solidFill>
                </w14:textFill>
              </w:rPr>
            </w:pPr>
          </w:p>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szCs w:val="24"/>
                <w:highlight w:val="none"/>
                <w:lang w:bidi="ar"/>
                <w14:textFill>
                  <w14:solidFill>
                    <w14:schemeClr w14:val="tx1"/>
                  </w14:solidFill>
                </w14:textFill>
              </w:rPr>
              <w:t>（六）软件测试报告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836" w:type="dxa"/>
            <w:vAlign w:val="center"/>
          </w:tcPr>
          <w:p>
            <w:pPr>
              <w:spacing w:line="360" w:lineRule="auto"/>
              <w:jc w:val="right"/>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7</w:t>
            </w:r>
          </w:p>
        </w:tc>
        <w:tc>
          <w:tcPr>
            <w:tcW w:w="5425" w:type="dxa"/>
            <w:vAlign w:val="center"/>
          </w:tcPr>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szCs w:val="24"/>
                <w:highlight w:val="none"/>
                <w:lang w:bidi="ar"/>
                <w14:textFill>
                  <w14:solidFill>
                    <w14:schemeClr w14:val="tx1"/>
                  </w14:solidFill>
                </w14:textFill>
              </w:rPr>
              <w:t>提供投标人或者生产厂家</w:t>
            </w:r>
            <w:r>
              <w:rPr>
                <w:rFonts w:hint="eastAsia" w:ascii="仿宋" w:hAnsi="仿宋" w:eastAsia="仿宋" w:cs="仿宋_GB2312"/>
                <w:color w:val="000000" w:themeColor="text1"/>
                <w:sz w:val="24"/>
                <w:highlight w:val="none"/>
                <w14:textFill>
                  <w14:solidFill>
                    <w14:schemeClr w14:val="tx1"/>
                  </w14:solidFill>
                </w14:textFill>
              </w:rPr>
              <w:t>投标截止时间前1年内</w:t>
            </w:r>
            <w:r>
              <w:rPr>
                <w:rFonts w:hint="eastAsia" w:ascii="仿宋_GB2312" w:hAnsi="宋体" w:eastAsia="仿宋_GB2312"/>
                <w:color w:val="000000" w:themeColor="text1"/>
                <w:sz w:val="24"/>
                <w:szCs w:val="24"/>
                <w:highlight w:val="none"/>
                <w:lang w:bidi="ar"/>
                <w14:textFill>
                  <w14:solidFill>
                    <w14:schemeClr w14:val="tx1"/>
                  </w14:solidFill>
                </w14:textFill>
              </w:rPr>
              <w:t>具有CMA标志的产品质量监督检验机构出具的智能密集架合格检测报告（报告内容包括：载重性能、稳定性、结构强度、安全性能、功能要求、表面涂层理化性能）的，每含一项内容得0.5分，最高得3分。</w:t>
            </w:r>
          </w:p>
        </w:tc>
        <w:tc>
          <w:tcPr>
            <w:tcW w:w="833" w:type="dxa"/>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w:t>
            </w:r>
          </w:p>
        </w:tc>
        <w:tc>
          <w:tcPr>
            <w:tcW w:w="1825" w:type="dxa"/>
          </w:tcPr>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（七）</w:t>
            </w:r>
            <w:r>
              <w:rPr>
                <w:rFonts w:hint="eastAsia" w:ascii="仿宋_GB2312" w:hAnsi="宋体" w:eastAsia="仿宋_GB2312"/>
                <w:color w:val="000000" w:themeColor="text1"/>
                <w:sz w:val="24"/>
                <w:szCs w:val="24"/>
                <w:highlight w:val="none"/>
                <w:lang w:bidi="ar"/>
                <w14:textFill>
                  <w14:solidFill>
                    <w14:schemeClr w14:val="tx1"/>
                  </w14:solidFill>
                </w14:textFill>
              </w:rPr>
              <w:t>智能密集架合格检测报告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836" w:type="dxa"/>
            <w:vAlign w:val="center"/>
          </w:tcPr>
          <w:p>
            <w:pPr>
              <w:spacing w:line="360" w:lineRule="auto"/>
              <w:jc w:val="right"/>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8</w:t>
            </w:r>
          </w:p>
        </w:tc>
        <w:tc>
          <w:tcPr>
            <w:tcW w:w="5425" w:type="dxa"/>
            <w:vAlign w:val="center"/>
          </w:tcPr>
          <w:p>
            <w:pPr>
              <w:spacing w:line="360" w:lineRule="auto"/>
              <w:jc w:val="left"/>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szCs w:val="24"/>
                <w:highlight w:val="none"/>
                <w:lang w:bidi="ar"/>
                <w14:textFill>
                  <w14:solidFill>
                    <w14:schemeClr w14:val="tx1"/>
                  </w14:solidFill>
                </w14:textFill>
              </w:rPr>
              <w:t>提供投标人或者生产厂家</w:t>
            </w:r>
            <w:r>
              <w:rPr>
                <w:rFonts w:hint="eastAsia" w:ascii="仿宋" w:hAnsi="仿宋" w:eastAsia="仿宋" w:cs="仿宋_GB2312"/>
                <w:color w:val="000000" w:themeColor="text1"/>
                <w:sz w:val="24"/>
                <w:highlight w:val="none"/>
                <w14:textFill>
                  <w14:solidFill>
                    <w14:schemeClr w14:val="tx1"/>
                  </w14:solidFill>
                </w14:textFill>
              </w:rPr>
              <w:t>投标截止时间前1年内</w:t>
            </w:r>
            <w:r>
              <w:rPr>
                <w:rFonts w:hint="eastAsia" w:ascii="仿宋_GB2312" w:hAnsi="宋体" w:eastAsia="仿宋_GB2312"/>
                <w:color w:val="000000" w:themeColor="text1"/>
                <w:sz w:val="24"/>
                <w:szCs w:val="24"/>
                <w:highlight w:val="none"/>
                <w:lang w:bidi="ar"/>
                <w14:textFill>
                  <w14:solidFill>
                    <w14:schemeClr w14:val="tx1"/>
                  </w14:solidFill>
                </w14:textFill>
              </w:rPr>
              <w:t>具有CMA标志的产品质量监督检验机构出具的中心处理器类、区域控制器类、</w:t>
            </w:r>
            <w:r>
              <w:rPr>
                <w:rFonts w:hint="eastAsia" w:ascii="仿宋" w:hAnsi="仿宋" w:eastAsia="仿宋" w:cs="仿宋"/>
                <w:color w:val="000000" w:themeColor="text1"/>
                <w:sz w:val="24"/>
                <w:szCs w:val="24"/>
                <w:highlight w:val="none"/>
                <w:lang w:bidi="ar"/>
                <w14:textFill>
                  <w14:solidFill>
                    <w14:schemeClr w14:val="tx1"/>
                  </w14:solidFill>
                </w14:textFill>
              </w:rPr>
              <w:t>安全报警控制器</w:t>
            </w:r>
            <w:r>
              <w:rPr>
                <w:rFonts w:hint="eastAsia" w:ascii="仿宋_GB2312" w:hAnsi="宋体" w:eastAsia="仿宋_GB2312"/>
                <w:color w:val="000000" w:themeColor="text1"/>
                <w:sz w:val="24"/>
                <w:szCs w:val="24"/>
                <w:highlight w:val="none"/>
                <w:lang w:bidi="ar"/>
                <w14:textFill>
                  <w14:solidFill>
                    <w14:schemeClr w14:val="tx1"/>
                  </w14:solidFill>
                </w14:textFill>
              </w:rPr>
              <w:t>类、</w:t>
            </w:r>
            <w:r>
              <w:rPr>
                <w:rFonts w:hint="eastAsia" w:ascii="仿宋" w:hAnsi="仿宋" w:eastAsia="仿宋" w:cs="仿宋"/>
                <w:color w:val="000000" w:themeColor="text1"/>
                <w:sz w:val="24"/>
                <w:szCs w:val="24"/>
                <w:highlight w:val="none"/>
                <w:lang w:bidi="ar"/>
                <w14:textFill>
                  <w14:solidFill>
                    <w14:schemeClr w14:val="tx1"/>
                  </w14:solidFill>
                </w14:textFill>
              </w:rPr>
              <w:t>能源数据管理中心</w:t>
            </w:r>
            <w:r>
              <w:rPr>
                <w:rFonts w:hint="eastAsia" w:ascii="仿宋_GB2312" w:hAnsi="宋体" w:eastAsia="仿宋_GB2312"/>
                <w:color w:val="000000" w:themeColor="text1"/>
                <w:sz w:val="24"/>
                <w:szCs w:val="24"/>
                <w:highlight w:val="none"/>
                <w:lang w:bidi="ar"/>
                <w14:textFill>
                  <w14:solidFill>
                    <w14:schemeClr w14:val="tx1"/>
                  </w14:solidFill>
                </w14:textFill>
              </w:rPr>
              <w:t>类、信号滤波器类的抽样检测报告（报告内容至少包含：射频电磁场辐射抗扰度、浪涌（冲击）抗扰度），本项最高得3分，每缺少1类报告扣1分，扣完为止</w:t>
            </w:r>
            <w:r>
              <w:rPr>
                <w:rFonts w:ascii="仿宋" w:hAnsi="仿宋" w:eastAsia="仿宋"/>
                <w:color w:val="000000" w:themeColor="text1"/>
                <w:sz w:val="24"/>
                <w:highlight w:val="none"/>
                <w14:textFill>
                  <w14:solidFill>
                    <w14:schemeClr w14:val="tx1"/>
                  </w14:solidFill>
                </w14:textFill>
              </w:rPr>
              <w:t>。</w:t>
            </w:r>
          </w:p>
        </w:tc>
        <w:tc>
          <w:tcPr>
            <w:tcW w:w="833" w:type="dxa"/>
            <w:vAlign w:val="center"/>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w:t>
            </w:r>
          </w:p>
        </w:tc>
        <w:tc>
          <w:tcPr>
            <w:tcW w:w="1825" w:type="dxa"/>
            <w:vAlign w:val="center"/>
          </w:tcPr>
          <w:p>
            <w:pPr>
              <w:spacing w:line="360" w:lineRule="auto"/>
              <w:jc w:val="center"/>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（八）中心处理器类、区域控制器类、安全报警控制器类、能源数据管理中心类、信号滤波器类的抽样检测报告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836" w:type="dxa"/>
            <w:vAlign w:val="center"/>
          </w:tcPr>
          <w:p>
            <w:pPr>
              <w:tabs>
                <w:tab w:val="left" w:pos="495"/>
              </w:tabs>
              <w:jc w:val="right"/>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9</w:t>
            </w:r>
          </w:p>
        </w:tc>
        <w:tc>
          <w:tcPr>
            <w:tcW w:w="5425" w:type="dxa"/>
            <w:vAlign w:val="center"/>
          </w:tcPr>
          <w:p>
            <w:pPr>
              <w:spacing w:line="360" w:lineRule="auto"/>
              <w:jc w:val="left"/>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项目负责人具有二年及以上项目管理经验并曾负责类似智慧化综合管理平台或智能密集架或防磁库项目的（需提供相关证明材料），符合得2分，不符合不得分；</w:t>
            </w:r>
          </w:p>
          <w:p>
            <w:pPr>
              <w:spacing w:line="360" w:lineRule="auto"/>
              <w:jc w:val="left"/>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项目组成员获得计算机技术与软件专业技术资格的，每符合1人</w:t>
            </w:r>
            <w:r>
              <w:rPr>
                <w:rFonts w:hint="eastAsia" w:ascii="仿宋" w:hAnsi="仿宋" w:eastAsia="仿宋" w:cs="仿宋"/>
                <w:color w:val="000000" w:themeColor="text1"/>
                <w:sz w:val="24"/>
                <w:szCs w:val="24"/>
                <w:highlight w:val="none"/>
                <w:lang w:eastAsia="zh-CN" w:bidi="ar"/>
                <w14:textFill>
                  <w14:solidFill>
                    <w14:schemeClr w14:val="tx1"/>
                  </w14:solidFill>
                </w14:textFill>
              </w:rPr>
              <w:t>得</w:t>
            </w:r>
            <w:r>
              <w:rPr>
                <w:rFonts w:hint="eastAsia" w:ascii="仿宋" w:hAnsi="仿宋" w:eastAsia="仿宋" w:cs="仿宋"/>
                <w:color w:val="000000" w:themeColor="text1"/>
                <w:sz w:val="24"/>
                <w:szCs w:val="24"/>
                <w:highlight w:val="none"/>
                <w:lang w:bidi="ar"/>
                <w14:textFill>
                  <w14:solidFill>
                    <w14:schemeClr w14:val="tx1"/>
                  </w14:solidFill>
                </w14:textFill>
              </w:rPr>
              <w:t>0.5分（同一人最多得0.5分，需提供相关证明材料），最多得2分。</w:t>
            </w:r>
          </w:p>
          <w:p>
            <w:pPr>
              <w:spacing w:line="360" w:lineRule="auto"/>
              <w:ind w:firstLine="480"/>
              <w:jc w:val="left"/>
              <w:outlineLvl w:val="0"/>
              <w:rPr>
                <w:rFonts w:ascii="仿宋" w:hAnsi="仿宋" w:eastAsia="仿宋" w:cs="仿宋_GB2312"/>
                <w:color w:val="000000" w:themeColor="text1"/>
                <w:sz w:val="24"/>
                <w:highlight w:val="none"/>
                <w14:textFill>
                  <w14:solidFill>
                    <w14:schemeClr w14:val="tx1"/>
                  </w14:solidFill>
                </w14:textFill>
              </w:rPr>
            </w:pPr>
          </w:p>
        </w:tc>
        <w:tc>
          <w:tcPr>
            <w:tcW w:w="833" w:type="dxa"/>
            <w:vAlign w:val="center"/>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4</w:t>
            </w:r>
          </w:p>
        </w:tc>
        <w:tc>
          <w:tcPr>
            <w:tcW w:w="1825" w:type="dxa"/>
          </w:tcPr>
          <w:p>
            <w:pPr>
              <w:spacing w:line="360" w:lineRule="auto"/>
              <w:jc w:val="center"/>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（九）项目团队成员情况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836" w:type="dxa"/>
            <w:vAlign w:val="center"/>
          </w:tcPr>
          <w:p>
            <w:pPr>
              <w:tabs>
                <w:tab w:val="left" w:pos="495"/>
              </w:tabs>
              <w:jc w:val="righ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10</w:t>
            </w:r>
          </w:p>
        </w:tc>
        <w:tc>
          <w:tcPr>
            <w:tcW w:w="5425" w:type="dxa"/>
            <w:vAlign w:val="center"/>
          </w:tcPr>
          <w:p>
            <w:pPr>
              <w:autoSpaceDE w:val="0"/>
              <w:autoSpaceDN w:val="0"/>
              <w:spacing w:line="360" w:lineRule="auto"/>
              <w:rPr>
                <w:rFonts w:ascii="仿宋_GB2312" w:hAnsi="宋体" w:eastAsia="仿宋_GB2312" w:cs="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lang w:bidi="ar"/>
                <w14:textFill>
                  <w14:solidFill>
                    <w14:schemeClr w14:val="tx1"/>
                  </w14:solidFill>
                </w14:textFill>
              </w:rPr>
              <w:t>投标人提供每组尺寸：900×570×2550mm（6层），二组为一列，共二列，一列为固定列（带门），一列为移动列（不带门），能实际操作。</w:t>
            </w:r>
          </w:p>
          <w:p>
            <w:pPr>
              <w:spacing w:line="360" w:lineRule="auto"/>
              <w:rPr>
                <w:rFonts w:ascii="仿宋_GB2312" w:hAnsi="宋体" w:eastAsia="仿宋_GB2312" w:cs="仿宋_GB2312"/>
                <w:b/>
                <w:bCs/>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lang w:bidi="ar"/>
                <w14:textFill>
                  <w14:solidFill>
                    <w14:schemeClr w14:val="tx1"/>
                  </w14:solidFill>
                </w14:textFill>
              </w:rPr>
              <w:t>1. 投标人提供</w:t>
            </w:r>
            <w:r>
              <w:rPr>
                <w:rFonts w:hint="eastAsia" w:ascii="仿宋" w:hAnsi="仿宋" w:eastAsia="仿宋" w:cs="仿宋_GB2312"/>
                <w:color w:val="000000" w:themeColor="text1"/>
                <w:sz w:val="24"/>
                <w:highlight w:val="none"/>
                <w14:textFill>
                  <w14:solidFill>
                    <w14:schemeClr w14:val="tx1"/>
                  </w14:solidFill>
                </w14:textFill>
              </w:rPr>
              <w:t>投标截止时间前1年内</w:t>
            </w:r>
            <w:r>
              <w:rPr>
                <w:rFonts w:hint="eastAsia" w:ascii="仿宋_GB2312" w:hAnsi="宋体" w:eastAsia="仿宋_GB2312" w:cs="仿宋_GB2312"/>
                <w:color w:val="000000" w:themeColor="text1"/>
                <w:sz w:val="24"/>
                <w:szCs w:val="24"/>
                <w:highlight w:val="none"/>
                <w:lang w:bidi="ar"/>
                <w14:textFill>
                  <w14:solidFill>
                    <w14:schemeClr w14:val="tx1"/>
                  </w14:solidFill>
                </w14:textFill>
              </w:rPr>
              <w:t>具有CMA标志的产品质量监督检验机构出具的针对样品使用的底盘、立柱、搁板、挂板、侧面板等5类部件的检测报告（报告内容至少包含钢板厚度，且符合采购需求），每提供1类得0.5分，最高2.5分。</w:t>
            </w:r>
            <w:r>
              <w:rPr>
                <w:rFonts w:hint="eastAsia" w:ascii="仿宋_GB2312" w:hAnsi="宋体" w:eastAsia="仿宋_GB2312" w:cs="仿宋_GB2312"/>
                <w:b/>
                <w:bCs/>
                <w:color w:val="000000" w:themeColor="text1"/>
                <w:sz w:val="24"/>
                <w:szCs w:val="24"/>
                <w:highlight w:val="none"/>
                <w:lang w:bidi="ar"/>
                <w14:textFill>
                  <w14:solidFill>
                    <w14:schemeClr w14:val="tx1"/>
                  </w14:solidFill>
                </w14:textFill>
              </w:rPr>
              <w:t>部件检测报告编制在投标文件中。</w:t>
            </w:r>
          </w:p>
          <w:p>
            <w:pPr>
              <w:spacing w:line="360" w:lineRule="auto"/>
              <w:rPr>
                <w:rFonts w:ascii="仿宋_GB2312" w:hAnsi="宋体" w:eastAsia="仿宋_GB2312" w:cs="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lang w:bidi="ar"/>
                <w14:textFill>
                  <w14:solidFill>
                    <w14:schemeClr w14:val="tx1"/>
                  </w14:solidFill>
                </w14:textFill>
              </w:rPr>
              <w:t>2、密集架各零件、组合件表面光滑、平整，无尖角、凸起的得1分，否则不得分；</w:t>
            </w:r>
          </w:p>
          <w:p>
            <w:pPr>
              <w:spacing w:line="360" w:lineRule="auto"/>
              <w:rPr>
                <w:rFonts w:ascii="仿宋_GB2312" w:hAnsi="宋体" w:eastAsia="仿宋_GB2312" w:cs="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lang w:bidi="ar"/>
                <w14:textFill>
                  <w14:solidFill>
                    <w14:schemeClr w14:val="tx1"/>
                  </w14:solidFill>
                </w14:textFill>
              </w:rPr>
              <w:t>密集架色泽一致，漆面均匀光亮，无划伤、漏喷、锈蚀、流挂、疙瘩、皱皮、飞漆等缺陷的得1.5分，否则不得分；</w:t>
            </w:r>
          </w:p>
          <w:p>
            <w:pPr>
              <w:spacing w:line="360" w:lineRule="auto"/>
              <w:rPr>
                <w:rFonts w:ascii="仿宋_GB2312" w:hAnsi="宋体" w:eastAsia="仿宋_GB2312" w:cs="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lang w:bidi="ar"/>
                <w14:textFill>
                  <w14:solidFill>
                    <w14:schemeClr w14:val="tx1"/>
                  </w14:solidFill>
                </w14:textFill>
              </w:rPr>
              <w:t>传动机构转动灵活、平稳、无失灵现象的得1分，否则不得分；</w:t>
            </w:r>
          </w:p>
          <w:p>
            <w:pPr>
              <w:spacing w:line="360" w:lineRule="auto"/>
              <w:rPr>
                <w:rFonts w:ascii="仿宋_GB2312" w:hAnsi="宋体" w:eastAsia="仿宋_GB2312" w:cs="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lang w:bidi="ar"/>
                <w14:textFill>
                  <w14:solidFill>
                    <w14:schemeClr w14:val="tx1"/>
                  </w14:solidFill>
                </w14:textFill>
              </w:rPr>
              <w:t>所有焊接件焊接牢固、外表光滑平整的得1分，否则不得分；</w:t>
            </w:r>
          </w:p>
          <w:p>
            <w:pPr>
              <w:spacing w:line="360" w:lineRule="auto"/>
              <w:rPr>
                <w:rFonts w:ascii="仿宋_GB2312" w:hAnsi="宋体" w:eastAsia="仿宋_GB2312" w:cs="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lang w:bidi="ar"/>
                <w14:textFill>
                  <w14:solidFill>
                    <w14:schemeClr w14:val="tx1"/>
                  </w14:solidFill>
                </w14:textFill>
              </w:rPr>
              <w:t>架体操作轻便灵活、运行平稳的得1分，否则不得分；</w:t>
            </w:r>
          </w:p>
          <w:p>
            <w:pPr>
              <w:spacing w:line="360" w:lineRule="auto"/>
              <w:rPr>
                <w:rFonts w:ascii="仿宋_GB2312" w:hAnsi="宋体" w:eastAsia="仿宋_GB2312" w:cs="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lang w:bidi="ar"/>
                <w14:textFill>
                  <w14:solidFill>
                    <w14:schemeClr w14:val="tx1"/>
                  </w14:solidFill>
                </w14:textFill>
              </w:rPr>
              <w:t>密集架具有良好的防盗、防光、防高温、防火、防潮、防尘、防鼠等功能的得1分，否则不得分；</w:t>
            </w:r>
          </w:p>
          <w:p>
            <w:pPr>
              <w:spacing w:line="360" w:lineRule="auto"/>
              <w:ind w:firstLine="480"/>
              <w:jc w:val="left"/>
              <w:outlineLvl w:val="0"/>
              <w:rPr>
                <w:rFonts w:ascii="仿宋" w:hAnsi="仿宋" w:eastAsia="仿宋" w:cs="仿宋_GB2312"/>
                <w:color w:val="000000" w:themeColor="text1"/>
                <w:sz w:val="24"/>
                <w:highlight w:val="none"/>
                <w14:textFill>
                  <w14:solidFill>
                    <w14:schemeClr w14:val="tx1"/>
                  </w14:solidFill>
                </w14:textFill>
              </w:rPr>
            </w:pPr>
          </w:p>
        </w:tc>
        <w:tc>
          <w:tcPr>
            <w:tcW w:w="833" w:type="dxa"/>
            <w:vAlign w:val="center"/>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9</w:t>
            </w:r>
          </w:p>
        </w:tc>
        <w:tc>
          <w:tcPr>
            <w:tcW w:w="1825" w:type="dxa"/>
          </w:tcPr>
          <w:p>
            <w:pPr>
              <w:spacing w:line="360" w:lineRule="auto"/>
              <w:jc w:val="center"/>
              <w:outlineLvl w:val="0"/>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rFonts w:ascii="仿宋_GB2312" w:hAnsi="宋体" w:eastAsia="仿宋_GB2312" w:cs="仿宋_GB2312"/>
                <w:color w:val="000000" w:themeColor="text1"/>
                <w:sz w:val="24"/>
                <w:szCs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（十）样品</w:t>
            </w:r>
            <w:r>
              <w:rPr>
                <w:rFonts w:hint="eastAsia" w:ascii="仿宋_GB2312" w:hAnsi="宋体" w:eastAsia="仿宋_GB2312" w:cs="仿宋_GB2312"/>
                <w:color w:val="000000" w:themeColor="text1"/>
                <w:sz w:val="24"/>
                <w:szCs w:val="24"/>
                <w:highlight w:val="none"/>
                <w:lang w:bidi="ar"/>
                <w14:textFill>
                  <w14:solidFill>
                    <w14:schemeClr w14:val="tx1"/>
                  </w14:solidFill>
                </w14:textFill>
              </w:rPr>
              <w:t>部件检测报告</w:t>
            </w:r>
          </w:p>
          <w:p>
            <w:pPr>
              <w:pStyle w:val="2"/>
              <w:rPr>
                <w:rFonts w:eastAsia="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836" w:type="dxa"/>
            <w:vAlign w:val="center"/>
          </w:tcPr>
          <w:p>
            <w:pPr>
              <w:spacing w:line="360" w:lineRule="auto"/>
              <w:jc w:val="right"/>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w:t>
            </w:r>
            <w:r>
              <w:rPr>
                <w:rFonts w:hint="eastAsia" w:ascii="仿宋" w:hAnsi="仿宋" w:eastAsia="仿宋" w:cs="仿宋_GB2312"/>
                <w:color w:val="000000" w:themeColor="text1"/>
                <w:sz w:val="24"/>
                <w:highlight w:val="none"/>
                <w14:textFill>
                  <w14:solidFill>
                    <w14:schemeClr w14:val="tx1"/>
                  </w14:solidFill>
                </w14:textFill>
              </w:rPr>
              <w:t>1</w:t>
            </w:r>
          </w:p>
        </w:tc>
        <w:tc>
          <w:tcPr>
            <w:tcW w:w="5425" w:type="dxa"/>
            <w:vAlign w:val="center"/>
          </w:tcPr>
          <w:p>
            <w:pPr>
              <w:spacing w:line="360" w:lineRule="auto"/>
              <w:outlineLvl w:val="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售后服务应对方案及承诺：</w:t>
            </w:r>
          </w:p>
          <w:p>
            <w:pPr>
              <w:spacing w:line="360" w:lineRule="auto"/>
              <w:outlineLvl w:val="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1.提供不少于5年质量保证期（质量保证期内负责维修，不能维修负责更换，费用包含在投标报价中），超过5年的，每超出一年加0.5分，最高得3分；</w:t>
            </w:r>
          </w:p>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提供详细完整的“三包”措施及售后服务措施和方案（包括服务措施、产品质量保证、回访、技术培训等）。根据供应商提供的方案能否满足采购需求判定评分，内容完整、措施有效、符合采购人实际视为满足。满足得2分，不满足不得分。</w:t>
            </w:r>
          </w:p>
        </w:tc>
        <w:tc>
          <w:tcPr>
            <w:tcW w:w="833" w:type="dxa"/>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w:t>
            </w:r>
          </w:p>
        </w:tc>
        <w:tc>
          <w:tcPr>
            <w:tcW w:w="1825" w:type="dxa"/>
          </w:tcPr>
          <w:p>
            <w:pPr>
              <w:spacing w:line="360" w:lineRule="auto"/>
              <w:outlineLvl w:val="0"/>
              <w:rPr>
                <w:rFonts w:ascii="仿宋_GB2312" w:hAnsi="宋体" w:eastAsia="仿宋_GB2312" w:cs="仿宋_GB2312"/>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（十一）</w:t>
            </w:r>
            <w:r>
              <w:rPr>
                <w:rFonts w:hint="eastAsia" w:ascii="仿宋" w:hAnsi="仿宋" w:eastAsia="仿宋"/>
                <w:color w:val="000000" w:themeColor="text1"/>
                <w:sz w:val="24"/>
                <w:highlight w:val="none"/>
                <w14:textFill>
                  <w14:solidFill>
                    <w14:schemeClr w14:val="tx1"/>
                  </w14:solidFill>
                </w14:textFill>
              </w:rPr>
              <w:t>售后服务应对方案及承诺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36" w:type="dxa"/>
            <w:vAlign w:val="center"/>
          </w:tcPr>
          <w:p>
            <w:pPr>
              <w:tabs>
                <w:tab w:val="left" w:pos="495"/>
              </w:tabs>
              <w:jc w:val="righ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12</w:t>
            </w:r>
          </w:p>
        </w:tc>
        <w:tc>
          <w:tcPr>
            <w:tcW w:w="5425" w:type="dxa"/>
            <w:vAlign w:val="center"/>
          </w:tcPr>
          <w:p>
            <w:pPr>
              <w:spacing w:line="360" w:lineRule="auto"/>
              <w:ind w:firstLine="480"/>
              <w:jc w:val="left"/>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投标人对智慧化综合管理平台及相应的系统功能进行现场演示（第5-7项通过样品演示）：</w:t>
            </w:r>
          </w:p>
          <w:p>
            <w:pPr>
              <w:spacing w:line="360" w:lineRule="auto"/>
              <w:ind w:firstLine="480"/>
              <w:jc w:val="left"/>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智慧档案馆综合管理平台演示：平台为模块化一体化设计，所有子系统均为一个平台开发完成，平台至少涵盖以下系统模块：库房环境安全智能控制系统模块、智能消毒净化系统模块、能源安全管理系统模块、智能密集架系统模块、智慧电子标签管理系统、智能灯光指引系统模块等，并进入各个子系统进行演示,同时预留其它相关系统接入的接口模块。本项满分5分，缺少1项模块扣1分，扣完为止。</w:t>
            </w:r>
          </w:p>
          <w:p>
            <w:pPr>
              <w:spacing w:line="360" w:lineRule="auto"/>
              <w:ind w:firstLine="480"/>
              <w:jc w:val="left"/>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2.库房环境安全智能控制系统演示：实时演示温湿度、二氧化碳、PM2.5的实时监测数值（符合一项得0.5分，共1.5分）；并现场演示除湿设备工作状态切换（符合得0.5分，不符合不得分）。本项满分2分。</w:t>
            </w:r>
          </w:p>
          <w:p>
            <w:pPr>
              <w:spacing w:line="360" w:lineRule="auto"/>
              <w:ind w:firstLine="480"/>
              <w:jc w:val="left"/>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3.能源安全管理系统演示：实时</w:t>
            </w:r>
            <w:r>
              <w:rPr>
                <w:rFonts w:hint="eastAsia" w:ascii="仿宋" w:hAnsi="仿宋" w:eastAsia="仿宋" w:cs="仿宋_GB2312"/>
                <w:color w:val="000000" w:themeColor="text1"/>
                <w:sz w:val="24"/>
                <w:highlight w:val="none"/>
                <w:lang w:eastAsia="zh-CN"/>
                <w14:textFill>
                  <w14:solidFill>
                    <w14:schemeClr w14:val="tx1"/>
                  </w14:solidFill>
                </w14:textFill>
              </w:rPr>
              <w:t>显示</w:t>
            </w:r>
            <w:r>
              <w:rPr>
                <w:rFonts w:hint="eastAsia" w:ascii="仿宋" w:hAnsi="仿宋" w:eastAsia="仿宋" w:cs="仿宋_GB2312"/>
                <w:color w:val="000000" w:themeColor="text1"/>
                <w:sz w:val="24"/>
                <w:highlight w:val="none"/>
                <w14:textFill>
                  <w14:solidFill>
                    <w14:schemeClr w14:val="tx1"/>
                  </w14:solidFill>
                </w14:textFill>
              </w:rPr>
              <w:t>电缆电压、电流、功耗、电流异常报警的状态。本项满分2分，缺少1项扣1分，扣完为止。</w:t>
            </w:r>
          </w:p>
          <w:p>
            <w:pPr>
              <w:spacing w:line="360" w:lineRule="auto"/>
              <w:ind w:firstLine="480"/>
              <w:jc w:val="left"/>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4.</w:t>
            </w:r>
            <w:r>
              <w:rPr>
                <w:rFonts w:hint="eastAsia" w:ascii="仿宋" w:hAnsi="仿宋" w:eastAsia="仿宋" w:cs="仿宋_GB2312"/>
                <w:color w:val="000000" w:themeColor="text1"/>
                <w:sz w:val="24"/>
                <w:highlight w:val="none"/>
                <w:lang w:eastAsia="zh-CN"/>
                <w14:textFill>
                  <w14:solidFill>
                    <w14:schemeClr w14:val="tx1"/>
                  </w14:solidFill>
                </w14:textFill>
              </w:rPr>
              <w:t>档案安全实时监测系统演示</w:t>
            </w:r>
            <w:r>
              <w:rPr>
                <w:rFonts w:hint="eastAsia" w:ascii="仿宋" w:hAnsi="仿宋" w:eastAsia="仿宋" w:cs="仿宋_GB2312"/>
                <w:color w:val="000000" w:themeColor="text1"/>
                <w:sz w:val="24"/>
                <w:highlight w:val="none"/>
                <w14:textFill>
                  <w14:solidFill>
                    <w14:schemeClr w14:val="tx1"/>
                  </w14:solidFill>
                </w14:textFill>
              </w:rPr>
              <w:t>：实时演示漏水感应器及烟雾的报警功能。本项满分2分，缺少1项扣1分，扣完为止。</w:t>
            </w:r>
          </w:p>
          <w:p>
            <w:pPr>
              <w:spacing w:line="360" w:lineRule="auto"/>
              <w:ind w:firstLine="480"/>
              <w:jc w:val="left"/>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5.智慧电子标签管理系统演示：提供一组一层档案（4公分档案20盒，每盒内电子标签数量不少于40份），抽取档案后现场演示盘点的准确率及识别速度，整层识别准确率须达100%。符合得4分，不符合不得分。</w:t>
            </w:r>
          </w:p>
          <w:p>
            <w:pPr>
              <w:spacing w:line="360" w:lineRule="auto"/>
              <w:ind w:firstLine="480"/>
              <w:jc w:val="left"/>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6.智能灯光指引系统演示：操作人员查找到档案信息，实时演示自动规划调档路线、打开智能密集架设备、指引灯光开启等3项功能。本项满分2分，缺少1项扣1分，扣完为止。</w:t>
            </w:r>
          </w:p>
          <w:p>
            <w:pPr>
              <w:spacing w:line="360" w:lineRule="auto"/>
              <w:ind w:firstLine="480"/>
              <w:jc w:val="left"/>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7.智能密集架系统模块演示：实时演示设备的自动打开、关闭以及通风功能。本项满分2分，缺少1项扣1分，扣完为止。</w:t>
            </w:r>
          </w:p>
        </w:tc>
        <w:tc>
          <w:tcPr>
            <w:tcW w:w="833" w:type="dxa"/>
            <w:vAlign w:val="center"/>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19</w:t>
            </w:r>
          </w:p>
        </w:tc>
        <w:tc>
          <w:tcPr>
            <w:tcW w:w="1825" w:type="dxa"/>
          </w:tcPr>
          <w:p>
            <w:pPr>
              <w:spacing w:line="360" w:lineRule="auto"/>
              <w:jc w:val="center"/>
              <w:outlineLvl w:val="0"/>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rFonts w:eastAsia="仿宋"/>
                <w:color w:val="000000" w:themeColor="text1"/>
                <w:highlight w:val="none"/>
                <w14:textFill>
                  <w14:solidFill>
                    <w14:schemeClr w14:val="tx1"/>
                  </w14:solidFill>
                </w14:textFill>
              </w:rPr>
            </w:pPr>
            <w:r>
              <w:rPr>
                <w:rFonts w:hint="eastAsia" w:hAnsi="宋体" w:cs="仿宋_GB2312"/>
                <w:b w:val="0"/>
                <w:bCs w:val="0"/>
                <w:color w:val="000000" w:themeColor="text1"/>
                <w:sz w:val="24"/>
                <w:szCs w:val="24"/>
                <w:highlight w:val="none"/>
                <w:lang w:val="en-US"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836" w:type="dxa"/>
            <w:vAlign w:val="center"/>
          </w:tcPr>
          <w:p>
            <w:pPr>
              <w:spacing w:line="360" w:lineRule="auto"/>
              <w:ind w:firstLine="240" w:firstLineChars="100"/>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w:t>
            </w:r>
            <w:r>
              <w:rPr>
                <w:rFonts w:hint="eastAsia" w:ascii="仿宋" w:hAnsi="仿宋" w:eastAsia="仿宋" w:cs="仿宋_GB2312"/>
                <w:color w:val="000000" w:themeColor="text1"/>
                <w:sz w:val="24"/>
                <w:highlight w:val="none"/>
                <w14:textFill>
                  <w14:solidFill>
                    <w14:schemeClr w14:val="tx1"/>
                  </w14:solidFill>
                </w14:textFill>
              </w:rPr>
              <w:t>3</w:t>
            </w:r>
          </w:p>
        </w:tc>
        <w:tc>
          <w:tcPr>
            <w:tcW w:w="5425" w:type="dxa"/>
          </w:tcPr>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有效投标报价的最低价作为评标基准价，其最低报价为满分；按［投标报价得分</w:t>
            </w:r>
            <w:r>
              <w:rPr>
                <w:rFonts w:ascii="仿宋" w:hAnsi="仿宋" w:eastAsia="仿宋" w:cs="仿宋_GB2312"/>
                <w:color w:val="000000" w:themeColor="text1"/>
                <w:sz w:val="24"/>
                <w:highlight w:val="none"/>
                <w14:textFill>
                  <w14:solidFill>
                    <w14:schemeClr w14:val="tx1"/>
                  </w14:solidFill>
                </w14:textFill>
              </w:rPr>
              <w:t>=（评标基准价/投标报价）*30］的计算公式计算</w:t>
            </w:r>
            <w:r>
              <w:rPr>
                <w:rFonts w:hint="eastAsia" w:ascii="仿宋" w:hAnsi="仿宋" w:eastAsia="仿宋" w:cs="仿宋_GB2312"/>
                <w:color w:val="000000" w:themeColor="text1"/>
                <w:sz w:val="24"/>
                <w:highlight w:val="none"/>
                <w14:textFill>
                  <w14:solidFill>
                    <w14:schemeClr w14:val="tx1"/>
                  </w14:solidFill>
                </w14:textFill>
              </w:rPr>
              <w:t>，精确到小数点后两位</w:t>
            </w:r>
            <w:r>
              <w:rPr>
                <w:rFonts w:ascii="仿宋" w:hAnsi="仿宋" w:eastAsia="仿宋" w:cs="仿宋_GB2312"/>
                <w:color w:val="000000" w:themeColor="text1"/>
                <w:sz w:val="24"/>
                <w:highlight w:val="none"/>
                <w14:textFill>
                  <w14:solidFill>
                    <w14:schemeClr w14:val="tx1"/>
                  </w14:solidFill>
                </w14:textFill>
              </w:rPr>
              <w:t>。</w:t>
            </w:r>
          </w:p>
          <w:p>
            <w:pPr>
              <w:widowControl/>
              <w:shd w:val="clear" w:color="auto" w:fill="FFFFFF"/>
              <w:adjustRightInd/>
              <w:spacing w:after="225" w:line="315" w:lineRule="atLeast"/>
              <w:ind w:firstLine="420"/>
              <w:jc w:val="left"/>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因落实政府采购政策</w:t>
            </w:r>
            <w:r>
              <w:rPr>
                <w:rFonts w:hint="eastAsia" w:ascii="仿宋" w:hAnsi="仿宋" w:eastAsia="仿宋" w:cs="仿宋_GB2312"/>
                <w:color w:val="000000" w:themeColor="text1"/>
                <w:sz w:val="24"/>
                <w:highlight w:val="none"/>
                <w14:textFill>
                  <w14:solidFill>
                    <w14:schemeClr w14:val="tx1"/>
                  </w14:solidFill>
                </w14:textFill>
              </w:rPr>
              <w:t>需要</w:t>
            </w:r>
            <w:r>
              <w:rPr>
                <w:rFonts w:ascii="仿宋" w:hAnsi="仿宋" w:eastAsia="仿宋" w:cs="仿宋_GB2312"/>
                <w:color w:val="000000" w:themeColor="text1"/>
                <w:sz w:val="24"/>
                <w:highlight w:val="none"/>
                <w14:textFill>
                  <w14:solidFill>
                    <w14:schemeClr w14:val="tx1"/>
                  </w14:solidFill>
                </w14:textFill>
              </w:rPr>
              <w:t>进行价格调整的，以调整后的价格计算评标基准价和投标报价。</w:t>
            </w:r>
          </w:p>
          <w:p>
            <w:pPr>
              <w:pStyle w:val="2"/>
              <w:rPr>
                <w:rFonts w:ascii="仿宋" w:eastAsia="仿宋"/>
                <w:color w:val="000000" w:themeColor="text1"/>
                <w:sz w:val="24"/>
                <w:szCs w:val="24"/>
                <w:highlight w:val="none"/>
                <w:lang w:val="en-US"/>
                <w14:textFill>
                  <w14:solidFill>
                    <w14:schemeClr w14:val="tx1"/>
                  </w14:solidFill>
                </w14:textFill>
              </w:rPr>
            </w:pPr>
          </w:p>
        </w:tc>
        <w:tc>
          <w:tcPr>
            <w:tcW w:w="833" w:type="dxa"/>
            <w:vAlign w:val="center"/>
          </w:tcPr>
          <w:p>
            <w:pPr>
              <w:spacing w:line="360" w:lineRule="auto"/>
              <w:ind w:firstLine="120" w:firstLineChars="50"/>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30</w:t>
            </w:r>
          </w:p>
        </w:tc>
        <w:tc>
          <w:tcPr>
            <w:tcW w:w="1825" w:type="dxa"/>
            <w:vAlign w:val="center"/>
          </w:tcPr>
          <w:p>
            <w:pPr>
              <w:spacing w:line="360" w:lineRule="auto"/>
              <w:jc w:val="center"/>
              <w:outlineLvl w:val="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w:t>
            </w:r>
          </w:p>
        </w:tc>
      </w:tr>
    </w:tbl>
    <w:p>
      <w:pPr>
        <w:snapToGrid w:val="0"/>
        <w:spacing w:line="360" w:lineRule="auto"/>
        <w:rPr>
          <w:rFonts w:ascii="仿宋" w:hAnsi="仿宋" w:eastAsia="仿宋" w:cs="仿宋_GB2312"/>
          <w:b/>
          <w:color w:val="000000" w:themeColor="text1"/>
          <w:sz w:val="24"/>
          <w:highlight w:val="none"/>
          <w14:textFill>
            <w14:solidFill>
              <w14:schemeClr w14:val="tx1"/>
            </w14:solidFill>
          </w14:textFill>
        </w:rPr>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snapToGrid w:val="0"/>
        <w:spacing w:line="360" w:lineRule="auto"/>
        <w:rPr>
          <w:rFonts w:ascii="仿宋_GB2312" w:hAnsi="仿宋" w:eastAsia="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二、评标标准</w:t>
      </w:r>
    </w:p>
    <w:p>
      <w:pPr>
        <w:spacing w:line="360" w:lineRule="auto"/>
        <w:ind w:firstLine="472" w:firstLineChars="196"/>
        <w:rPr>
          <w:rFonts w:ascii="仿宋_GB2312" w:hAnsi="仿宋_GB2312" w:eastAsia="仿宋_GB2312" w:cs="仿宋_GB2312"/>
          <w:b/>
          <w:color w:val="000000" w:themeColor="text1"/>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w:t>
      </w:r>
      <w:r>
        <w:rPr>
          <w:rFonts w:hint="eastAsia" w:ascii="仿宋_GB2312" w:hAnsi="仿宋" w:eastAsia="仿宋_GB2312" w:cs="Arial"/>
          <w:color w:val="000000" w:themeColor="text1"/>
          <w:kern w:val="0"/>
          <w:sz w:val="24"/>
          <w:highlight w:val="none"/>
          <w14:textFill>
            <w14:solidFill>
              <w14:schemeClr w14:val="tx1"/>
            </w14:solidFill>
          </w14:textFill>
        </w:rPr>
        <w:t>不</w:t>
      </w:r>
      <w:r>
        <w:rPr>
          <w:rFonts w:ascii="仿宋_GB2312" w:hAnsi="仿宋" w:eastAsia="仿宋_GB2312" w:cs="Arial"/>
          <w:color w:val="000000" w:themeColor="text1"/>
          <w:kern w:val="0"/>
          <w:sz w:val="24"/>
          <w:highlight w:val="none"/>
          <w14:textFill>
            <w14:solidFill>
              <w14:schemeClr w14:val="tx1"/>
            </w14:solidFill>
          </w14:textFill>
        </w:rPr>
        <w:t>满足招标文件的实质性要求</w:t>
      </w:r>
      <w:r>
        <w:rPr>
          <w:rFonts w:hint="eastAsia" w:ascii="仿宋_GB2312" w:hAnsi="仿宋" w:eastAsia="仿宋_GB2312" w:cs="Arial"/>
          <w:color w:val="000000" w:themeColor="text1"/>
          <w:kern w:val="0"/>
          <w:sz w:val="24"/>
          <w:highlight w:val="none"/>
          <w14:textFill>
            <w14:solidFill>
              <w14:schemeClr w14:val="tx1"/>
            </w14:solidFill>
          </w14:textFill>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128"/>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128"/>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28"/>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128"/>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28"/>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128"/>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128"/>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color w:val="000000" w:themeColor="text1"/>
          <w:kern w:val="0"/>
          <w:szCs w:val="24"/>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highlight w:val="none"/>
          <w14:textFill>
            <w14:solidFill>
              <w14:schemeClr w14:val="tx1"/>
            </w14:solidFill>
          </w14:textFill>
        </w:rPr>
        <w:t>;投标人不能证明其报价合理性的，评标委员会应当将其作为无效投标处理。</w:t>
      </w:r>
    </w:p>
    <w:p>
      <w:pPr>
        <w:pStyle w:val="128"/>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000000" w:themeColor="text1"/>
          <w:kern w:val="0"/>
          <w:sz w:val="24"/>
          <w:highlight w:val="none"/>
          <w14:textFill>
            <w14:solidFill>
              <w14:schemeClr w14:val="tx1"/>
            </w14:solidFill>
          </w14:textFill>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128"/>
        <w:spacing w:before="0"/>
        <w:ind w:firstLine="472" w:firstLineChars="196"/>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b/>
          <w:color w:val="000000" w:themeColor="text1"/>
          <w:kern w:val="0"/>
          <w:szCs w:val="24"/>
          <w:highlight w:val="none"/>
          <w14:textFill>
            <w14:solidFill>
              <w14:schemeClr w14:val="tx1"/>
            </w14:solidFill>
          </w14:textFill>
        </w:rPr>
        <w:t>4.1</w:t>
      </w:r>
      <w:r>
        <w:rPr>
          <w:rFonts w:hint="eastAsia" w:ascii="仿宋_GB2312" w:hAnsi="仿宋" w:eastAsia="仿宋_GB2312" w:cs="Arial"/>
          <w:b/>
          <w:color w:val="000000" w:themeColor="text1"/>
          <w:kern w:val="0"/>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b/>
          <w:color w:val="000000" w:themeColor="text1"/>
          <w:kern w:val="0"/>
          <w:highlight w:val="none"/>
          <w14:textFill>
            <w14:solidFill>
              <w14:schemeClr w14:val="tx1"/>
            </w14:solidFill>
          </w14:textFill>
        </w:rPr>
        <w:t>4.2投标无效。</w:t>
      </w:r>
      <w:r>
        <w:rPr>
          <w:rFonts w:hint="eastAsia" w:ascii="仿宋_GB2312" w:hAnsi="仿宋" w:eastAsia="仿宋_GB2312" w:cs="仿宋_GB2312"/>
          <w:color w:val="000000" w:themeColor="text1"/>
          <w:highlight w:val="none"/>
          <w14:textFill>
            <w14:solidFill>
              <w14:schemeClr w14:val="tx1"/>
            </w14:solidFill>
          </w14:textFill>
        </w:rPr>
        <w:t>有下列情况之一的，投标无效：</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highlight w:val="none"/>
          <w14:textFill>
            <w14:solidFill>
              <w14:schemeClr w14:val="tx1"/>
            </w14:solidFill>
          </w14:textFill>
        </w:rPr>
        <w:t>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highlight w:val="none"/>
          <w14:textFill>
            <w14:solidFill>
              <w14:schemeClr w14:val="tx1"/>
            </w14:solidFill>
          </w14:textFill>
        </w:rPr>
        <w:t xml:space="preserve"> </w:t>
      </w:r>
      <w:r>
        <w:rPr>
          <w:rFonts w:ascii="仿宋_GB2312" w:hAnsi="仿宋" w:eastAsia="仿宋_GB2312" w:cs="Arial"/>
          <w:color w:val="000000" w:themeColor="text1"/>
          <w:kern w:val="0"/>
          <w:sz w:val="24"/>
          <w:highlight w:val="none"/>
          <w14:textFill>
            <w14:solidFill>
              <w14:schemeClr w14:val="tx1"/>
            </w14:solidFill>
          </w14:textFill>
        </w:rPr>
        <w:t>4.2.6投标文件出现不是唯一的、有选择性投标报价的;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pStyle w:val="2"/>
        <w:ind w:left="862" w:leftChars="205"/>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5.废标。</w:t>
      </w:r>
      <w:r>
        <w:rPr>
          <w:rFonts w:hint="eastAsia" w:ascii="仿宋_GB2312" w:hAnsi="仿宋" w:eastAsia="仿宋_GB2312" w:cs="仿宋_GB2312"/>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5.1符合专业条件的供应商或者对招标文件作实质响应的供应商不足3家的；</w:t>
      </w:r>
    </w:p>
    <w:p>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5.2出现影响采购公正的违法、违规行为的；</w:t>
      </w:r>
    </w:p>
    <w:p>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5.3投标人的报价均超过了采购预算，采购人不能支付的；</w:t>
      </w:r>
    </w:p>
    <w:p>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5.4因重大变故，采购任务取消的。</w:t>
      </w:r>
    </w:p>
    <w:p>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废标后，采购机构应当将废标理由通知所有投标人。</w:t>
      </w:r>
    </w:p>
    <w:p>
      <w:pPr>
        <w:pStyle w:val="24"/>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Helvetica" w:eastAsia="仿宋_GB2312" w:cs="Helvetica"/>
          <w:b/>
          <w:color w:val="000000" w:themeColor="text1"/>
          <w:kern w:val="0"/>
          <w:highlight w:val="none"/>
          <w14:textFill>
            <w14:solidFill>
              <w14:schemeClr w14:val="tx1"/>
            </w14:solidFill>
          </w14:textFill>
        </w:rPr>
        <w:t>7.重新开展采购。</w:t>
      </w:r>
      <w:r>
        <w:rPr>
          <w:rFonts w:hint="eastAsia" w:ascii="仿宋_GB2312" w:hAnsi="仿宋" w:eastAsia="仿宋_GB2312" w:cs="仿宋_GB2312"/>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highlight w:val="none"/>
          <w14:textFill>
            <w14:solidFill>
              <w14:schemeClr w14:val="tx1"/>
            </w14:solidFill>
          </w14:textFill>
        </w:rPr>
        <w:t>活动。</w:t>
      </w:r>
    </w:p>
    <w:p>
      <w:pPr>
        <w:pStyle w:val="24"/>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highlight w:val="none"/>
          <w14:textFill>
            <w14:solidFill>
              <w14:schemeClr w14:val="tx1"/>
            </w14:solidFill>
          </w14:textFill>
        </w:rPr>
        <w:t>商造成损失的，由责任人承担赔偿责任。</w:t>
      </w:r>
    </w:p>
    <w:p>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highlight w:val="none"/>
          <w14:textFill>
            <w14:solidFill>
              <w14:schemeClr w14:val="tx1"/>
            </w14:solidFill>
          </w14:textFill>
        </w:rPr>
        <w:t>法</w:t>
      </w:r>
      <w:r>
        <w:rPr>
          <w:rFonts w:hint="eastAsia" w:ascii="仿宋_GB2312" w:hAnsi="仿宋" w:eastAsia="仿宋_GB2312" w:cs="Arial"/>
          <w:color w:val="000000" w:themeColor="text1"/>
          <w:kern w:val="0"/>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highlight w:val="none"/>
          <w14:textFill>
            <w14:solidFill>
              <w14:schemeClr w14:val="tx1"/>
            </w14:solidFill>
          </w14:textFill>
        </w:rPr>
        <w:t>7.1-7.4规定处理。</w:t>
      </w:r>
    </w:p>
    <w:p>
      <w:pPr>
        <w:pStyle w:val="24"/>
        <w:snapToGrid w:val="0"/>
        <w:spacing w:line="360" w:lineRule="auto"/>
        <w:ind w:firstLine="0" w:firstLineChars="0"/>
        <w:rPr>
          <w:rFonts w:ascii="仿宋_GB2312" w:hAnsi="仿宋" w:eastAsia="仿宋_GB2312" w:cs="仿宋_GB2312"/>
          <w:color w:val="000000" w:themeColor="text1"/>
          <w:highlight w:val="none"/>
          <w14:textFill>
            <w14:solidFill>
              <w14:schemeClr w14:val="tx1"/>
            </w14:solidFill>
          </w14:textFill>
        </w:rPr>
      </w:pPr>
    </w:p>
    <w:bookmarkEnd w:id="26"/>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bookmarkStart w:id="403" w:name="第五部分"/>
      <w:bookmarkStart w:id="404" w:name="_Toc86217003"/>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ascii="仿宋_GB2312" w:hAnsi="仿宋" w:eastAsia="仿宋_GB2312" w:cs="仿宋_GB2312"/>
          <w:b/>
          <w:color w:val="000000" w:themeColor="text1"/>
          <w:sz w:val="36"/>
          <w:szCs w:val="36"/>
          <w:highlight w:val="none"/>
          <w14:textFill>
            <w14:solidFill>
              <w14:schemeClr w14:val="tx1"/>
            </w14:solidFill>
          </w14:textFill>
        </w:rPr>
        <w:t xml:space="preserve">    </w:t>
      </w:r>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第五部分</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拟签订的合同文本</w:t>
      </w:r>
    </w:p>
    <w:p>
      <w:pPr>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合同编号：</w:t>
      </w:r>
      <w:r>
        <w:rPr>
          <w:rFonts w:ascii="楷体" w:hAnsi="楷体" w:eastAsia="楷体"/>
          <w:color w:val="000000" w:themeColor="text1"/>
          <w:sz w:val="24"/>
          <w:highlight w:val="none"/>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highlight w:val="none"/>
          <w14:textFill>
            <w14:solidFill>
              <w14:schemeClr w14:val="tx1"/>
            </w14:solidFill>
          </w14:textFill>
        </w:rPr>
      </w:pPr>
    </w:p>
    <w:p>
      <w:pPr>
        <w:spacing w:line="480" w:lineRule="auto"/>
        <w:jc w:val="center"/>
        <w:rPr>
          <w:rFonts w:ascii="仿宋" w:hAnsi="仿宋" w:eastAsia="仿宋"/>
          <w:b/>
          <w:color w:val="000000" w:themeColor="text1"/>
          <w:sz w:val="24"/>
          <w:highlight w:val="none"/>
          <w14:textFill>
            <w14:solidFill>
              <w14:schemeClr w14:val="tx1"/>
            </w14:solidFill>
          </w14:textFill>
        </w:rPr>
      </w:pPr>
    </w:p>
    <w:p>
      <w:pPr>
        <w:spacing w:line="480" w:lineRule="auto"/>
        <w:jc w:val="center"/>
        <w:rPr>
          <w:rFonts w:ascii="仿宋" w:hAnsi="仿宋" w:eastAsia="仿宋"/>
          <w:b/>
          <w:color w:val="000000" w:themeColor="text1"/>
          <w:sz w:val="24"/>
          <w:highlight w:val="none"/>
          <w14:textFill>
            <w14:solidFill>
              <w14:schemeClr w14:val="tx1"/>
            </w14:solidFill>
          </w14:textFill>
        </w:rPr>
      </w:pP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政府采购合同参考范本</w:t>
      </w: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（货物类）</w:t>
      </w:r>
    </w:p>
    <w:p>
      <w:pPr>
        <w:pStyle w:val="699"/>
        <w:rPr>
          <w:rFonts w:ascii="仿宋" w:hAnsi="仿宋" w:eastAsia="仿宋"/>
          <w:color w:val="000000" w:themeColor="text1"/>
          <w:szCs w:val="24"/>
          <w:highlight w:val="none"/>
          <w14:textFill>
            <w14:solidFill>
              <w14:schemeClr w14:val="tx1"/>
            </w14:solidFill>
          </w14:textFill>
        </w:rPr>
      </w:pPr>
    </w:p>
    <w:p>
      <w:pPr>
        <w:pStyle w:val="699"/>
        <w:rPr>
          <w:rFonts w:ascii="仿宋" w:hAnsi="仿宋" w:eastAsia="仿宋"/>
          <w:color w:val="000000" w:themeColor="text1"/>
          <w:szCs w:val="24"/>
          <w:highlight w:val="none"/>
          <w14:textFill>
            <w14:solidFill>
              <w14:schemeClr w14:val="tx1"/>
            </w14:solidFill>
          </w14:textFill>
        </w:rPr>
      </w:pPr>
    </w:p>
    <w:p>
      <w:pPr>
        <w:pStyle w:val="699"/>
        <w:jc w:val="center"/>
        <w:rPr>
          <w:rFonts w:ascii="仿宋" w:hAnsi="仿宋" w:eastAsia="仿宋"/>
          <w:color w:val="000000" w:themeColor="text1"/>
          <w:szCs w:val="24"/>
          <w:highlight w:val="none"/>
          <w14:textFill>
            <w14:solidFill>
              <w14:schemeClr w14:val="tx1"/>
            </w14:solidFill>
          </w14:textFill>
        </w:rPr>
      </w:pPr>
    </w:p>
    <w:p>
      <w:pPr>
        <w:pStyle w:val="699"/>
        <w:ind w:firstLine="2843" w:firstLineChars="118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第一部分</w:t>
      </w:r>
      <w:r>
        <w:rPr>
          <w:rFonts w:ascii="仿宋" w:hAnsi="仿宋" w:eastAsia="仿宋"/>
          <w:b/>
          <w:color w:val="000000" w:themeColor="text1"/>
          <w:szCs w:val="24"/>
          <w:highlight w:val="none"/>
          <w14:textFill>
            <w14:solidFill>
              <w14:schemeClr w14:val="tx1"/>
            </w14:solidFill>
          </w14:textFill>
        </w:rPr>
        <w:t xml:space="preserve"> </w:t>
      </w:r>
      <w:r>
        <w:rPr>
          <w:rFonts w:hint="eastAsia" w:ascii="仿宋" w:hAnsi="仿宋" w:eastAsia="仿宋"/>
          <w:b/>
          <w:color w:val="000000" w:themeColor="text1"/>
          <w:szCs w:val="24"/>
          <w:highlight w:val="none"/>
          <w14:textFill>
            <w14:solidFill>
              <w14:schemeClr w14:val="tx1"/>
            </w14:solidFill>
          </w14:textFill>
        </w:rPr>
        <w:t>合同书</w:t>
      </w:r>
    </w:p>
    <w:p>
      <w:pPr>
        <w:pStyle w:val="699"/>
        <w:rPr>
          <w:rFonts w:ascii="仿宋" w:hAnsi="仿宋" w:eastAsia="仿宋"/>
          <w:color w:val="000000" w:themeColor="text1"/>
          <w:szCs w:val="24"/>
          <w:highlight w:val="none"/>
          <w14:textFill>
            <w14:solidFill>
              <w14:schemeClr w14:val="tx1"/>
            </w14:solidFill>
          </w14:textFill>
        </w:rPr>
      </w:pPr>
    </w:p>
    <w:p>
      <w:pPr>
        <w:pStyle w:val="699"/>
        <w:rPr>
          <w:rFonts w:ascii="仿宋" w:hAnsi="仿宋" w:eastAsia="仿宋"/>
          <w:color w:val="000000" w:themeColor="text1"/>
          <w:szCs w:val="24"/>
          <w:highlight w:val="none"/>
          <w14:textFill>
            <w14:solidFill>
              <w14:schemeClr w14:val="tx1"/>
            </w14:solidFill>
          </w14:textFill>
        </w:rPr>
      </w:pP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p>
    <w:p>
      <w:pPr>
        <w:pStyle w:val="596"/>
        <w:spacing w:before="120" w:line="22" w:lineRule="atLeast"/>
        <w:rPr>
          <w:rFonts w:ascii="仿宋" w:hAnsi="仿宋" w:eastAsia="仿宋"/>
          <w:color w:val="000000" w:themeColor="text1"/>
          <w:szCs w:val="24"/>
          <w:highlight w:val="none"/>
          <w14:textFill>
            <w14:solidFill>
              <w14:schemeClr w14:val="tx1"/>
            </w14:solidFill>
          </w14:textFill>
        </w:rPr>
      </w:pPr>
    </w:p>
    <w:p>
      <w:pPr>
        <w:pStyle w:val="596"/>
        <w:spacing w:before="120" w:line="22" w:lineRule="atLeast"/>
        <w:rPr>
          <w:rFonts w:ascii="仿宋" w:hAnsi="仿宋" w:eastAsia="仿宋"/>
          <w:color w:val="000000" w:themeColor="text1"/>
          <w:szCs w:val="24"/>
          <w:highlight w:val="none"/>
          <w14:textFill>
            <w14:solidFill>
              <w14:schemeClr w14:val="tx1"/>
            </w14:solidFill>
          </w14:textFill>
        </w:rPr>
      </w:pPr>
    </w:p>
    <w:p>
      <w:pPr>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签订地：</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签订日期：</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年</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月</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日</w:t>
      </w:r>
    </w:p>
    <w:p>
      <w:pPr>
        <w:widowControl/>
        <w:jc w:val="left"/>
        <w:rPr>
          <w:rFonts w:ascii="仿宋" w:hAnsi="仿宋" w:eastAsia="仿宋"/>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年</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月</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杭州市档案馆</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u w:val="single"/>
          <w14:textFill>
            <w14:solidFill>
              <w14:schemeClr w14:val="tx1"/>
            </w14:solidFill>
          </w14:textFill>
        </w:rPr>
        <w:t xml:space="preserve">   （同前</w:t>
      </w:r>
      <w:r>
        <w:rPr>
          <w:rFonts w:hint="eastAsia" w:ascii="仿宋" w:hAnsi="仿宋" w:eastAsia="仿宋"/>
          <w:color w:val="000000" w:themeColor="text1"/>
          <w:sz w:val="24"/>
          <w:highlight w:val="none"/>
          <w:u w:val="single"/>
          <w14:textFill>
            <w14:solidFill>
              <w14:schemeClr w14:val="tx1"/>
            </w14:solidFill>
          </w14:textFill>
        </w:rPr>
        <w:t>页项目名称）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杭州市档案馆</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5" w:name="_Toc3029"/>
      <w:bookmarkStart w:id="406" w:name="_Toc24059"/>
      <w:bookmarkStart w:id="407" w:name="_Toc2232"/>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405"/>
      <w:bookmarkEnd w:id="406"/>
      <w:bookmarkEnd w:id="407"/>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8" w:name="_Toc27126"/>
      <w:bookmarkStart w:id="409" w:name="_Toc24300"/>
      <w:bookmarkStart w:id="410" w:name="_Toc21295"/>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货物</w:t>
      </w:r>
      <w:bookmarkEnd w:id="408"/>
      <w:bookmarkEnd w:id="409"/>
      <w:bookmarkEnd w:id="410"/>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货物名称：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货物数量：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货物质量：</w:t>
      </w:r>
      <w:r>
        <w:rPr>
          <w:rFonts w:hint="eastAsia" w:ascii="仿宋" w:hAnsi="仿宋" w:eastAsia="仿宋"/>
          <w:color w:val="000000" w:themeColor="text1"/>
          <w:sz w:val="24"/>
          <w:highlight w:val="none"/>
          <w:u w:val="single"/>
          <w14:textFill>
            <w14:solidFill>
              <w14:schemeClr w14:val="tx1"/>
            </w14:solidFill>
          </w14:textFill>
        </w:rPr>
        <w:t>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1" w:name="_Toc23292"/>
      <w:bookmarkStart w:id="412" w:name="_Toc21631"/>
      <w:bookmarkStart w:id="413" w:name="_Toc21551"/>
      <w:r>
        <w:rPr>
          <w:rFonts w:ascii="仿宋" w:hAnsi="仿宋" w:eastAsia="仿宋"/>
          <w:b/>
          <w:color w:val="000000" w:themeColor="text1"/>
          <w:sz w:val="24"/>
          <w:highlight w:val="none"/>
          <w14:textFill>
            <w14:solidFill>
              <w14:schemeClr w14:val="tx1"/>
            </w14:solidFill>
          </w14:textFill>
        </w:rPr>
        <w:t xml:space="preserve">1.3 </w:t>
      </w:r>
      <w:r>
        <w:rPr>
          <w:rFonts w:hint="eastAsia" w:ascii="仿宋" w:hAnsi="仿宋" w:eastAsia="仿宋"/>
          <w:b/>
          <w:color w:val="000000" w:themeColor="text1"/>
          <w:sz w:val="24"/>
          <w:highlight w:val="none"/>
          <w14:textFill>
            <w14:solidFill>
              <w14:schemeClr w14:val="tx1"/>
            </w14:solidFill>
          </w14:textFill>
        </w:rPr>
        <w:t>价款</w:t>
      </w:r>
      <w:bookmarkEnd w:id="411"/>
      <w:bookmarkEnd w:id="412"/>
      <w:bookmarkEnd w:id="41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本合同总价为：￥</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元（大写：</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元人民币）。</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bl>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4" w:name="_Toc1814"/>
      <w:bookmarkStart w:id="415" w:name="_Toc10340"/>
      <w:bookmarkStart w:id="416" w:name="_Toc22618"/>
      <w:r>
        <w:rPr>
          <w:rFonts w:ascii="仿宋" w:hAnsi="仿宋" w:eastAsia="仿宋"/>
          <w:b/>
          <w:color w:val="000000" w:themeColor="text1"/>
          <w:sz w:val="24"/>
          <w:highlight w:val="none"/>
          <w14:textFill>
            <w14:solidFill>
              <w14:schemeClr w14:val="tx1"/>
            </w14:solidFill>
          </w14:textFill>
        </w:rPr>
        <w:t xml:space="preserve">1.4 </w:t>
      </w:r>
      <w:r>
        <w:rPr>
          <w:rFonts w:hint="eastAsia" w:ascii="仿宋" w:hAnsi="仿宋" w:eastAsia="仿宋"/>
          <w:b/>
          <w:color w:val="000000" w:themeColor="text1"/>
          <w:sz w:val="24"/>
          <w:highlight w:val="none"/>
          <w14:textFill>
            <w14:solidFill>
              <w14:schemeClr w14:val="tx1"/>
            </w14:solidFill>
          </w14:textFill>
        </w:rPr>
        <w:t>付款</w:t>
      </w:r>
      <w:bookmarkEnd w:id="414"/>
      <w:bookmarkEnd w:id="415"/>
      <w:bookmarkEnd w:id="416"/>
      <w:r>
        <w:rPr>
          <w:rFonts w:hint="eastAsia" w:ascii="仿宋" w:hAnsi="仿宋" w:eastAsia="仿宋"/>
          <w:b/>
          <w:color w:val="000000" w:themeColor="text1"/>
          <w:sz w:val="24"/>
          <w:highlight w:val="none"/>
          <w14:textFill>
            <w14:solidFill>
              <w14:schemeClr w14:val="tx1"/>
            </w14:solidFill>
          </w14:textFill>
        </w:rPr>
        <w:t>方式、时间和条件</w:t>
      </w:r>
    </w:p>
    <w:p>
      <w:pPr>
        <w:pStyle w:val="957"/>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1.4.2甲方在政府采购合同中约定预付款，预付款比例</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合同金额的30％；项目分年安排预算的，每年预付款比例</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项目年度计划支付资金额的30％。采购项目实施以人工投入为主的，可适当降低预付款比例，但不低于10%。甲方可以根据项目特点、乙方信用等实际情况提高预付款比例，最高预付比例可以达到50%。</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1.4.3</w:t>
      </w:r>
      <w:r>
        <w:rPr>
          <w:rFonts w:hint="eastAsia" w:ascii="仿宋" w:hAnsi="仿宋" w:eastAsia="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7" w:name="_Toc32071"/>
      <w:bookmarkStart w:id="418" w:name="_Toc19304"/>
      <w:bookmarkStart w:id="419" w:name="_Toc2846"/>
      <w:r>
        <w:rPr>
          <w:rFonts w:ascii="仿宋" w:hAnsi="仿宋" w:eastAsia="仿宋"/>
          <w:b/>
          <w:color w:val="000000" w:themeColor="text1"/>
          <w:sz w:val="24"/>
          <w:highlight w:val="none"/>
          <w14:textFill>
            <w14:solidFill>
              <w14:schemeClr w14:val="tx1"/>
            </w14:solidFill>
          </w14:textFill>
        </w:rPr>
        <w:t xml:space="preserve">1.5 </w:t>
      </w:r>
      <w:r>
        <w:rPr>
          <w:rFonts w:hint="eastAsia" w:ascii="仿宋" w:hAnsi="仿宋" w:eastAsia="仿宋"/>
          <w:b/>
          <w:color w:val="000000" w:themeColor="text1"/>
          <w:sz w:val="24"/>
          <w:highlight w:val="none"/>
          <w14:textFill>
            <w14:solidFill>
              <w14:schemeClr w14:val="tx1"/>
            </w14:solidFill>
          </w14:textFill>
        </w:rPr>
        <w:t>货物交付期限、地点和方式</w:t>
      </w:r>
      <w:bookmarkEnd w:id="417"/>
      <w:bookmarkEnd w:id="418"/>
      <w:bookmarkEnd w:id="419"/>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交付期限：</w:t>
      </w:r>
      <w:r>
        <w:rPr>
          <w:rFonts w:ascii="仿宋" w:hAnsi="仿宋" w:eastAsia="仿宋"/>
          <w:color w:val="000000" w:themeColor="text1"/>
          <w:sz w:val="24"/>
          <w:highlight w:val="none"/>
          <w14:textFill>
            <w14:solidFill>
              <w14:schemeClr w14:val="tx1"/>
            </w14:solidFill>
          </w14:textFill>
        </w:rPr>
        <w:t>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交付地点：</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交付方式：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0" w:name="_Toc19554"/>
      <w:bookmarkStart w:id="421" w:name="_Toc27250"/>
      <w:bookmarkStart w:id="422" w:name="_Toc21423"/>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20"/>
      <w:bookmarkEnd w:id="421"/>
      <w:bookmarkEnd w:id="42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1.6.1 </w:t>
      </w:r>
      <w:r>
        <w:rPr>
          <w:rFonts w:hint="eastAsia" w:ascii="仿宋" w:hAnsi="仿宋" w:eastAsia="仿宋"/>
          <w:color w:val="000000" w:themeColor="text1"/>
          <w:sz w:val="24"/>
          <w:highlight w:val="none"/>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1.6.2 </w:t>
      </w:r>
      <w:r>
        <w:rPr>
          <w:rFonts w:hint="eastAsia" w:ascii="仿宋" w:hAnsi="仿宋" w:eastAsia="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3" w:name="_Toc15583"/>
      <w:bookmarkStart w:id="424" w:name="_Toc28375"/>
      <w:bookmarkStart w:id="425" w:name="_Toc16021"/>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合同争议的解决</w:t>
      </w:r>
      <w:bookmarkEnd w:id="423"/>
      <w:bookmarkEnd w:id="424"/>
      <w:bookmarkEnd w:id="425"/>
    </w:p>
    <w:p>
      <w:pPr>
        <w:spacing w:line="560" w:lineRule="exact"/>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6" w:name="_Toc7245"/>
      <w:bookmarkStart w:id="427" w:name="_Toc11173"/>
      <w:bookmarkStart w:id="428" w:name="_Toc15322"/>
      <w:r>
        <w:rPr>
          <w:rFonts w:ascii="仿宋" w:hAnsi="仿宋" w:eastAsia="仿宋"/>
          <w:b/>
          <w:color w:val="000000" w:themeColor="text1"/>
          <w:sz w:val="24"/>
          <w:highlight w:val="none"/>
          <w14:textFill>
            <w14:solidFill>
              <w14:schemeClr w14:val="tx1"/>
            </w14:solidFill>
          </w14:textFill>
        </w:rPr>
        <w:t xml:space="preserve">1.8 </w:t>
      </w:r>
      <w:r>
        <w:rPr>
          <w:rFonts w:hint="eastAsia" w:ascii="仿宋" w:hAnsi="仿宋" w:eastAsia="仿宋"/>
          <w:b/>
          <w:color w:val="000000" w:themeColor="text1"/>
          <w:sz w:val="24"/>
          <w:highlight w:val="none"/>
          <w14:textFill>
            <w14:solidFill>
              <w14:schemeClr w14:val="tx1"/>
            </w14:solidFill>
          </w14:textFill>
        </w:rPr>
        <w:t>合同生效</w:t>
      </w:r>
      <w:bookmarkEnd w:id="426"/>
      <w:bookmarkEnd w:id="427"/>
      <w:bookmarkEnd w:id="428"/>
    </w:p>
    <w:p>
      <w:pPr>
        <w:spacing w:line="560" w:lineRule="exact"/>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本合同自双方当事人盖章或者签字时生效。</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 xml:space="preserve">      乙方</w:t>
      </w:r>
      <w:r>
        <w:rPr>
          <w:rFonts w:hint="eastAsia" w:ascii="仿宋" w:hAnsi="仿宋" w:eastAsia="仿宋"/>
          <w:color w:val="000000" w:themeColor="text1"/>
          <w:sz w:val="24"/>
          <w:highlight w:val="none"/>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统一社会信用代码或身份证号码：</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住所：</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法定代表人</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或授权代表（签字）: </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联系人：</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约定送达地址：</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邮政编码：</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电子邮箱：</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开户账号：</w:t>
      </w:r>
    </w:p>
    <w:p>
      <w:pPr>
        <w:widowControl/>
        <w:spacing w:line="560" w:lineRule="exact"/>
        <w:jc w:val="left"/>
        <w:rPr>
          <w:rFonts w:ascii="仿宋" w:hAnsi="仿宋" w:eastAsia="仿宋"/>
          <w:b/>
          <w:color w:val="000000" w:themeColor="text1"/>
          <w:sz w:val="24"/>
          <w:highlight w:val="none"/>
          <w14:textFill>
            <w14:solidFill>
              <w14:schemeClr w14:val="tx1"/>
            </w14:solidFill>
          </w14:textFill>
        </w:rPr>
      </w:pPr>
      <w:bookmarkStart w:id="429" w:name="_Toc331685783"/>
    </w:p>
    <w:p>
      <w:pPr>
        <w:pStyle w:val="699"/>
        <w:spacing w:line="560" w:lineRule="exact"/>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第二部分</w:t>
      </w:r>
      <w:r>
        <w:rPr>
          <w:rFonts w:ascii="仿宋" w:hAnsi="仿宋" w:eastAsia="仿宋"/>
          <w:b/>
          <w:color w:val="000000" w:themeColor="text1"/>
          <w:szCs w:val="24"/>
          <w:highlight w:val="none"/>
          <w14:textFill>
            <w14:solidFill>
              <w14:schemeClr w14:val="tx1"/>
            </w14:solidFill>
          </w14:textFill>
        </w:rPr>
        <w:t xml:space="preserve"> </w:t>
      </w:r>
      <w:r>
        <w:rPr>
          <w:rFonts w:hint="eastAsia" w:ascii="仿宋" w:hAnsi="仿宋" w:eastAsia="仿宋"/>
          <w:b/>
          <w:color w:val="000000" w:themeColor="text1"/>
          <w:szCs w:val="24"/>
          <w:highlight w:val="none"/>
          <w14:textFill>
            <w14:solidFill>
              <w14:schemeClr w14:val="tx1"/>
            </w14:solidFill>
          </w14:textFill>
        </w:rPr>
        <w:t>合同一般条款</w:t>
      </w:r>
      <w:bookmarkEnd w:id="429"/>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0" w:name="_Toc28763"/>
      <w:bookmarkStart w:id="431" w:name="_Ref467379225"/>
      <w:bookmarkStart w:id="432" w:name="_Toc279701240"/>
      <w:bookmarkStart w:id="433" w:name="_Toc19614"/>
      <w:bookmarkStart w:id="434" w:name="_Ref467379214"/>
      <w:bookmarkStart w:id="435" w:name="_Ref467378404"/>
      <w:bookmarkStart w:id="436" w:name="_Ref467379109"/>
      <w:bookmarkStart w:id="437" w:name="_Ref467379101"/>
      <w:bookmarkStart w:id="438" w:name="_Toc16917"/>
      <w:bookmarkStart w:id="439" w:name="_Ref467379205"/>
      <w:bookmarkStart w:id="440" w:name="_Ref467379094"/>
      <w:bookmarkStart w:id="441" w:name="_Toc487900349"/>
      <w:bookmarkStart w:id="442" w:name="_Ref467379195"/>
      <w:bookmarkStart w:id="443" w:name="_Toc259093669"/>
      <w:bookmarkStart w:id="444" w:name="_Ref467378463"/>
      <w:bookmarkStart w:id="445" w:name="_Ref467378499"/>
      <w:r>
        <w:rPr>
          <w:rFonts w:ascii="仿宋" w:hAnsi="仿宋" w:eastAsia="仿宋"/>
          <w:b/>
          <w:color w:val="000000" w:themeColor="text1"/>
          <w:sz w:val="24"/>
          <w:highlight w:val="none"/>
          <w14:textFill>
            <w14:solidFill>
              <w14:schemeClr w14:val="tx1"/>
            </w14:solidFill>
          </w14:textFill>
        </w:rPr>
        <w:t xml:space="preserve">2.1 </w:t>
      </w:r>
      <w:r>
        <w:rPr>
          <w:rFonts w:hint="eastAsia" w:ascii="仿宋" w:hAnsi="仿宋" w:eastAsia="仿宋"/>
          <w:b/>
          <w:color w:val="000000" w:themeColor="text1"/>
          <w:sz w:val="24"/>
          <w:highlight w:val="none"/>
          <w14:textFill>
            <w14:solidFill>
              <w14:schemeClr w14:val="tx1"/>
            </w14:solidFill>
          </w14:textFill>
        </w:rPr>
        <w:t>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 </w:t>
      </w:r>
      <w:r>
        <w:rPr>
          <w:rFonts w:hint="eastAsia" w:ascii="仿宋" w:hAnsi="仿宋" w:eastAsia="仿宋"/>
          <w:color w:val="000000" w:themeColor="text1"/>
          <w:sz w:val="24"/>
          <w:highlight w:val="none"/>
          <w14:textFill>
            <w14:solidFill>
              <w14:schemeClr w14:val="tx1"/>
            </w14:solidFill>
          </w14:textFill>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 </w:t>
      </w:r>
      <w:r>
        <w:rPr>
          <w:rFonts w:hint="eastAsia" w:ascii="仿宋" w:hAnsi="仿宋" w:eastAsia="仿宋"/>
          <w:color w:val="000000" w:themeColor="text1"/>
          <w:sz w:val="24"/>
          <w:highlight w:val="none"/>
          <w14:textFill>
            <w14:solidFill>
              <w14:schemeClr w14:val="tx1"/>
            </w14:solidFill>
          </w14:textFill>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2.1.3 </w:t>
      </w:r>
      <w:r>
        <w:rPr>
          <w:rFonts w:hint="eastAsia" w:ascii="仿宋" w:hAnsi="仿宋" w:eastAsia="仿宋"/>
          <w:color w:val="000000" w:themeColor="text1"/>
          <w:sz w:val="24"/>
          <w:highlight w:val="none"/>
          <w14:textFill>
            <w14:solidFill>
              <w14:schemeClr w14:val="tx1"/>
            </w14:solidFill>
          </w14:textFill>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46" w:name="_Ref467378840"/>
      <w:r>
        <w:rPr>
          <w:rFonts w:ascii="仿宋" w:hAnsi="仿宋" w:eastAsia="仿宋"/>
          <w:color w:val="000000" w:themeColor="text1"/>
          <w:sz w:val="24"/>
          <w:highlight w:val="none"/>
          <w14:textFill>
            <w14:solidFill>
              <w14:schemeClr w14:val="tx1"/>
            </w14:solidFill>
          </w14:textFill>
        </w:rPr>
        <w:t xml:space="preserve">2.1.4 </w:t>
      </w:r>
      <w:r>
        <w:rPr>
          <w:rFonts w:hint="eastAsia" w:ascii="仿宋" w:hAnsi="仿宋" w:eastAsia="仿宋"/>
          <w:color w:val="000000" w:themeColor="text1"/>
          <w:sz w:val="24"/>
          <w:highlight w:val="none"/>
          <w14:textFill>
            <w14:solidFill>
              <w14:schemeClr w14:val="tx1"/>
            </w14:solidFill>
          </w14:textFill>
        </w:rPr>
        <w:t>“甲方”系指与中标供应商签署合同的采购人</w:t>
      </w:r>
      <w:bookmarkEnd w:id="446"/>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47" w:name="_Ref467379400"/>
      <w:r>
        <w:rPr>
          <w:rFonts w:ascii="仿宋" w:hAnsi="仿宋" w:eastAsia="仿宋"/>
          <w:color w:val="000000" w:themeColor="text1"/>
          <w:sz w:val="24"/>
          <w:highlight w:val="none"/>
          <w14:textFill>
            <w14:solidFill>
              <w14:schemeClr w14:val="tx1"/>
            </w14:solidFill>
          </w14:textFill>
        </w:rPr>
        <w:t xml:space="preserve">2.1.5 </w:t>
      </w:r>
      <w:r>
        <w:rPr>
          <w:rFonts w:hint="eastAsia" w:ascii="仿宋" w:hAnsi="仿宋" w:eastAsia="仿宋"/>
          <w:color w:val="000000" w:themeColor="text1"/>
          <w:sz w:val="24"/>
          <w:highlight w:val="none"/>
          <w14:textFill>
            <w14:solidFill>
              <w14:schemeClr w14:val="tx1"/>
            </w14:solidFill>
          </w14:textFill>
        </w:rPr>
        <w:t>“乙方”系指根据合同约定交付货物的中标供应商</w:t>
      </w:r>
      <w:bookmarkEnd w:id="447"/>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48" w:name="_Ref467379436"/>
      <w:r>
        <w:rPr>
          <w:rFonts w:ascii="仿宋" w:hAnsi="仿宋" w:eastAsia="仿宋"/>
          <w:color w:val="000000" w:themeColor="text1"/>
          <w:sz w:val="24"/>
          <w:highlight w:val="none"/>
          <w14:textFill>
            <w14:solidFill>
              <w14:schemeClr w14:val="tx1"/>
            </w14:solidFill>
          </w14:textFill>
        </w:rPr>
        <w:t xml:space="preserve">2.1.6 </w:t>
      </w:r>
      <w:r>
        <w:rPr>
          <w:rFonts w:hint="eastAsia" w:ascii="仿宋" w:hAnsi="仿宋" w:eastAsia="仿宋"/>
          <w:color w:val="000000" w:themeColor="text1"/>
          <w:sz w:val="24"/>
          <w:highlight w:val="none"/>
          <w14:textFill>
            <w14:solidFill>
              <w14:schemeClr w14:val="tx1"/>
            </w14:solidFill>
          </w14:textFill>
        </w:rPr>
        <w:t>“现场”系指合同约定货物将要运至或者安装的地点。</w:t>
      </w:r>
      <w:bookmarkEnd w:id="448"/>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9" w:name="_Toc259093670"/>
      <w:bookmarkStart w:id="450" w:name="_Toc13336"/>
      <w:bookmarkStart w:id="451" w:name="_Toc279701241"/>
      <w:bookmarkStart w:id="452" w:name="_Toc32504"/>
      <w:bookmarkStart w:id="453" w:name="_Toc487900350"/>
      <w:bookmarkStart w:id="454" w:name="_Toc27635"/>
      <w:r>
        <w:rPr>
          <w:rFonts w:ascii="仿宋" w:hAnsi="仿宋" w:eastAsia="仿宋"/>
          <w:b/>
          <w:color w:val="000000" w:themeColor="text1"/>
          <w:sz w:val="24"/>
          <w:highlight w:val="none"/>
          <w14:textFill>
            <w14:solidFill>
              <w14:schemeClr w14:val="tx1"/>
            </w14:solidFill>
          </w14:textFill>
        </w:rPr>
        <w:t xml:space="preserve">2.2 </w:t>
      </w:r>
      <w:r>
        <w:rPr>
          <w:rFonts w:hint="eastAsia" w:ascii="仿宋" w:hAnsi="仿宋" w:eastAsia="仿宋"/>
          <w:b/>
          <w:color w:val="000000" w:themeColor="text1"/>
          <w:sz w:val="24"/>
          <w:highlight w:val="none"/>
          <w14:textFill>
            <w14:solidFill>
              <w14:schemeClr w14:val="tx1"/>
            </w14:solidFill>
          </w14:textFill>
        </w:rPr>
        <w:t>技术规范</w:t>
      </w:r>
      <w:bookmarkEnd w:id="449"/>
      <w:bookmarkEnd w:id="450"/>
      <w:bookmarkEnd w:id="451"/>
      <w:bookmarkEnd w:id="452"/>
      <w:bookmarkEnd w:id="453"/>
      <w:bookmarkEnd w:id="454"/>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货物所应遵守的技术规范应与采购文件规定的技术规范和技术规范附件</w:t>
      </w:r>
      <w:r>
        <w:rPr>
          <w:rFonts w:ascii="仿宋" w:hAnsi="仿宋" w:eastAsia="仿宋"/>
          <w:color w:val="000000" w:themeColor="text1"/>
          <w:sz w:val="24"/>
          <w:highlight w:val="none"/>
          <w14:textFill>
            <w14:solidFill>
              <w14:schemeClr w14:val="tx1"/>
            </w14:solidFill>
          </w14:textFill>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5" w:name="_Toc9829"/>
      <w:bookmarkStart w:id="456" w:name="_Toc487900351"/>
      <w:bookmarkStart w:id="457" w:name="_Toc279701242"/>
      <w:bookmarkStart w:id="458" w:name="_Toc27853"/>
      <w:bookmarkStart w:id="459" w:name="_Toc259093671"/>
      <w:bookmarkStart w:id="460" w:name="_Toc31634"/>
      <w:r>
        <w:rPr>
          <w:rFonts w:ascii="仿宋" w:hAnsi="仿宋" w:eastAsia="仿宋"/>
          <w:b/>
          <w:color w:val="000000" w:themeColor="text1"/>
          <w:sz w:val="24"/>
          <w:highlight w:val="none"/>
          <w14:textFill>
            <w14:solidFill>
              <w14:schemeClr w14:val="tx1"/>
            </w14:solidFill>
          </w14:textFill>
        </w:rPr>
        <w:t xml:space="preserve">2.3 </w:t>
      </w:r>
      <w:r>
        <w:rPr>
          <w:rFonts w:hint="eastAsia" w:ascii="仿宋" w:hAnsi="仿宋" w:eastAsia="仿宋"/>
          <w:b/>
          <w:color w:val="000000" w:themeColor="text1"/>
          <w:sz w:val="24"/>
          <w:highlight w:val="none"/>
          <w14:textFill>
            <w14:solidFill>
              <w14:schemeClr w14:val="tx1"/>
            </w14:solidFill>
          </w14:textFill>
        </w:rPr>
        <w:t>知识产权</w:t>
      </w:r>
      <w:bookmarkEnd w:id="455"/>
      <w:bookmarkEnd w:id="456"/>
      <w:bookmarkEnd w:id="457"/>
      <w:bookmarkEnd w:id="458"/>
      <w:bookmarkEnd w:id="459"/>
      <w:bookmarkEnd w:id="460"/>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1" w:name="_Toc4194"/>
      <w:bookmarkStart w:id="462" w:name="_Toc11932"/>
      <w:bookmarkStart w:id="463" w:name="_Toc29149"/>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包装和装运</w:t>
      </w:r>
      <w:bookmarkEnd w:id="461"/>
      <w:bookmarkEnd w:id="462"/>
      <w:bookmarkEnd w:id="46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另有约定外</w:t>
      </w:r>
      <w:r>
        <w:rPr>
          <w:rFonts w:ascii="仿宋" w:hAnsi="仿宋" w:eastAsia="仿宋"/>
          <w:color w:val="000000" w:themeColor="text1"/>
          <w:sz w:val="24"/>
          <w:highlight w:val="none"/>
          <w14:textFill>
            <w14:solidFill>
              <w14:schemeClr w14:val="tx1"/>
            </w14:solidFill>
          </w14:textFill>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装运货物的要求和通知，详见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4" w:name="_Toc279701245"/>
      <w:bookmarkStart w:id="465" w:name="_Toc259093674"/>
      <w:bookmarkStart w:id="466" w:name="_Ref467379536"/>
      <w:bookmarkStart w:id="467" w:name="_Toc487900354"/>
      <w:bookmarkStart w:id="468" w:name="_Ref467378591"/>
      <w:bookmarkStart w:id="469" w:name="_Ref467379527"/>
      <w:bookmarkStart w:id="470" w:name="_Ref467378541"/>
      <w:bookmarkStart w:id="471" w:name="_Ref467379542"/>
      <w:bookmarkStart w:id="472" w:name="_Toc26182"/>
      <w:bookmarkStart w:id="473" w:name="_Toc19074"/>
      <w:bookmarkStart w:id="474" w:name="_Toc30272"/>
      <w:r>
        <w:rPr>
          <w:rFonts w:ascii="仿宋" w:hAnsi="仿宋" w:eastAsia="仿宋"/>
          <w:b/>
          <w:color w:val="000000" w:themeColor="text1"/>
          <w:sz w:val="24"/>
          <w:highlight w:val="none"/>
          <w14:textFill>
            <w14:solidFill>
              <w14:schemeClr w14:val="tx1"/>
            </w14:solidFill>
          </w14:textFill>
        </w:rPr>
        <w:t>2.</w:t>
      </w:r>
      <w:bookmarkEnd w:id="464"/>
      <w:bookmarkEnd w:id="465"/>
      <w:bookmarkEnd w:id="466"/>
      <w:bookmarkEnd w:id="467"/>
      <w:bookmarkEnd w:id="468"/>
      <w:bookmarkEnd w:id="469"/>
      <w:bookmarkEnd w:id="470"/>
      <w:bookmarkEnd w:id="471"/>
      <w:r>
        <w:rPr>
          <w:rFonts w:ascii="仿宋" w:hAnsi="仿宋" w:eastAsia="仿宋"/>
          <w:b/>
          <w:color w:val="000000" w:themeColor="text1"/>
          <w:sz w:val="24"/>
          <w:highlight w:val="none"/>
          <w14:textFill>
            <w14:solidFill>
              <w14:schemeClr w14:val="tx1"/>
            </w14:solidFill>
          </w14:textFill>
        </w:rPr>
        <w:t xml:space="preserve">5 </w:t>
      </w:r>
      <w:r>
        <w:rPr>
          <w:rFonts w:hint="eastAsia" w:ascii="仿宋" w:hAnsi="仿宋" w:eastAsia="仿宋"/>
          <w:b/>
          <w:color w:val="000000" w:themeColor="text1"/>
          <w:sz w:val="24"/>
          <w:highlight w:val="none"/>
          <w14:textFill>
            <w14:solidFill>
              <w14:schemeClr w14:val="tx1"/>
            </w14:solidFill>
          </w14:textFill>
        </w:rPr>
        <w:t>履约检查和问题反馈</w:t>
      </w:r>
      <w:bookmarkEnd w:id="472"/>
      <w:bookmarkEnd w:id="473"/>
      <w:bookmarkEnd w:id="474"/>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75" w:name="_Ref467379657"/>
      <w:r>
        <w:rPr>
          <w:rFonts w:ascii="仿宋" w:hAnsi="仿宋" w:eastAsia="仿宋"/>
          <w:color w:val="000000" w:themeColor="text1"/>
          <w:sz w:val="24"/>
          <w:highlight w:val="none"/>
          <w14:textFill>
            <w14:solidFill>
              <w14:schemeClr w14:val="tx1"/>
            </w14:solidFill>
          </w14:textFill>
        </w:rPr>
        <w:t>2.5.1</w:t>
      </w:r>
      <w:bookmarkEnd w:id="475"/>
      <w:bookmarkStart w:id="476" w:name="_Toc186431854"/>
      <w:bookmarkStart w:id="477" w:name="_Ref467379793"/>
      <w:bookmarkStart w:id="478" w:name="_Toc259093676"/>
      <w:bookmarkStart w:id="479" w:name="_Ref467379807"/>
      <w:bookmarkStart w:id="480" w:name="_Toc279701247"/>
      <w:bookmarkStart w:id="481" w:name="_Toc487900357"/>
      <w:r>
        <w:rPr>
          <w:rFonts w:hint="eastAsia" w:ascii="仿宋" w:hAnsi="仿宋" w:eastAsia="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2.5.2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bookmarkEnd w:id="476"/>
      <w:bookmarkStart w:id="482" w:name="_Toc186431855"/>
      <w:r>
        <w:rPr>
          <w:rFonts w:hint="eastAsia" w:ascii="仿宋" w:hAnsi="仿宋" w:eastAsia="仿宋"/>
          <w:color w:val="000000" w:themeColor="text1"/>
          <w:sz w:val="24"/>
          <w:highlight w:val="none"/>
          <w14:textFill>
            <w14:solidFill>
              <w14:schemeClr w14:val="tx1"/>
            </w14:solidFill>
          </w14:textFill>
        </w:rPr>
        <w:t>。</w:t>
      </w:r>
    </w:p>
    <w:bookmarkEnd w:id="477"/>
    <w:bookmarkEnd w:id="478"/>
    <w:bookmarkEnd w:id="479"/>
    <w:bookmarkEnd w:id="480"/>
    <w:bookmarkEnd w:id="481"/>
    <w:bookmarkEnd w:id="482"/>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3" w:name="_Ref467379923"/>
      <w:bookmarkStart w:id="484" w:name="_Toc259093677"/>
      <w:bookmarkStart w:id="485" w:name="_Toc487900358"/>
      <w:bookmarkStart w:id="486" w:name="_Ref467379863"/>
      <w:bookmarkStart w:id="487" w:name="_Toc279701248"/>
      <w:bookmarkStart w:id="488" w:name="_Ref467379852"/>
      <w:bookmarkStart w:id="489" w:name="_Toc774"/>
      <w:bookmarkStart w:id="490" w:name="_Toc3225"/>
      <w:bookmarkStart w:id="491" w:name="_Toc16110"/>
      <w:r>
        <w:rPr>
          <w:rFonts w:ascii="仿宋" w:hAnsi="仿宋" w:eastAsia="仿宋"/>
          <w:b/>
          <w:color w:val="000000" w:themeColor="text1"/>
          <w:sz w:val="24"/>
          <w:highlight w:val="none"/>
          <w14:textFill>
            <w14:solidFill>
              <w14:schemeClr w14:val="tx1"/>
            </w14:solidFill>
          </w14:textFill>
        </w:rPr>
        <w:t xml:space="preserve">2.6 </w:t>
      </w:r>
      <w:r>
        <w:rPr>
          <w:rFonts w:hint="eastAsia" w:ascii="仿宋" w:hAnsi="仿宋" w:eastAsia="仿宋"/>
          <w:b/>
          <w:color w:val="000000" w:themeColor="text1"/>
          <w:sz w:val="24"/>
          <w:highlight w:val="none"/>
          <w14:textFill>
            <w14:solidFill>
              <w14:schemeClr w14:val="tx1"/>
            </w14:solidFill>
          </w14:textFill>
        </w:rPr>
        <w:t>技术资料</w:t>
      </w:r>
      <w:bookmarkEnd w:id="483"/>
      <w:bookmarkEnd w:id="484"/>
      <w:bookmarkEnd w:id="485"/>
      <w:bookmarkEnd w:id="486"/>
      <w:bookmarkEnd w:id="487"/>
      <w:bookmarkEnd w:id="488"/>
      <w:r>
        <w:rPr>
          <w:rFonts w:hint="eastAsia" w:ascii="仿宋" w:hAnsi="仿宋" w:eastAsia="仿宋"/>
          <w:b/>
          <w:color w:val="000000" w:themeColor="text1"/>
          <w:sz w:val="24"/>
          <w:highlight w:val="none"/>
          <w14:textFill>
            <w14:solidFill>
              <w14:schemeClr w14:val="tx1"/>
            </w14:solidFill>
          </w14:textFill>
        </w:rPr>
        <w:t>和保密义务</w:t>
      </w:r>
      <w:bookmarkEnd w:id="489"/>
      <w:bookmarkEnd w:id="490"/>
      <w:bookmarkEnd w:id="491"/>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2.6.1 </w:t>
      </w:r>
      <w:r>
        <w:rPr>
          <w:rFonts w:hint="eastAsia" w:ascii="仿宋" w:hAnsi="仿宋" w:eastAsia="仿宋"/>
          <w:color w:val="000000" w:themeColor="text1"/>
          <w:sz w:val="24"/>
          <w:highlight w:val="none"/>
          <w14:textFill>
            <w14:solidFill>
              <w14:schemeClr w14:val="tx1"/>
            </w14:solidFill>
          </w14:textFill>
        </w:rPr>
        <w:t>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2" w:name="_Toc7860"/>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9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3" w:name="_Toc17244"/>
      <w:bookmarkStart w:id="494" w:name="_Toc487900362"/>
      <w:bookmarkStart w:id="495" w:name="_Toc259093681"/>
      <w:bookmarkStart w:id="496" w:name="_Toc279701252"/>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货物的风险负担</w:t>
      </w:r>
      <w:bookmarkEnd w:id="493"/>
    </w:p>
    <w:p>
      <w:pPr>
        <w:spacing w:line="560" w:lineRule="exact"/>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7" w:name="_Toc14055"/>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延迟交货</w:t>
      </w:r>
      <w:bookmarkEnd w:id="494"/>
      <w:bookmarkEnd w:id="495"/>
      <w:bookmarkEnd w:id="496"/>
      <w:bookmarkEnd w:id="497"/>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8" w:name="_Toc7502"/>
      <w:bookmarkStart w:id="499" w:name="_Toc279701254"/>
      <w:bookmarkStart w:id="500" w:name="_Toc487900364"/>
      <w:bookmarkStart w:id="501" w:name="_Toc259093683"/>
      <w:bookmarkStart w:id="502" w:name="_Ref467378121"/>
      <w:r>
        <w:rPr>
          <w:rFonts w:ascii="仿宋" w:hAnsi="仿宋" w:eastAsia="仿宋"/>
          <w:b/>
          <w:color w:val="000000" w:themeColor="text1"/>
          <w:sz w:val="24"/>
          <w:highlight w:val="none"/>
          <w14:textFill>
            <w14:solidFill>
              <w14:schemeClr w14:val="tx1"/>
            </w14:solidFill>
          </w14:textFill>
        </w:rPr>
        <w:t xml:space="preserve">2.10 </w:t>
      </w:r>
      <w:r>
        <w:rPr>
          <w:rFonts w:hint="eastAsia" w:ascii="仿宋" w:hAnsi="仿宋" w:eastAsia="仿宋"/>
          <w:b/>
          <w:color w:val="000000" w:themeColor="text1"/>
          <w:sz w:val="24"/>
          <w:highlight w:val="none"/>
          <w14:textFill>
            <w14:solidFill>
              <w14:schemeClr w14:val="tx1"/>
            </w14:solidFill>
          </w14:textFill>
        </w:rPr>
        <w:t>合同变更</w:t>
      </w:r>
      <w:bookmarkEnd w:id="498"/>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503" w:name="_Toc279701259"/>
      <w:bookmarkStart w:id="504" w:name="_Toc487900369"/>
      <w:bookmarkStart w:id="505" w:name="_Toc259093688"/>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6" w:name="_Toc15237"/>
      <w:bookmarkStart w:id="507" w:name="_Toc10366"/>
      <w:bookmarkStart w:id="508" w:name="_Toc22955"/>
      <w:r>
        <w:rPr>
          <w:rFonts w:ascii="仿宋" w:hAnsi="仿宋" w:eastAsia="仿宋"/>
          <w:b/>
          <w:color w:val="000000" w:themeColor="text1"/>
          <w:sz w:val="24"/>
          <w:highlight w:val="none"/>
          <w14:textFill>
            <w14:solidFill>
              <w14:schemeClr w14:val="tx1"/>
            </w14:solidFill>
          </w14:textFill>
        </w:rPr>
        <w:t xml:space="preserve">2.11 </w:t>
      </w:r>
      <w:r>
        <w:rPr>
          <w:rFonts w:hint="eastAsia" w:ascii="仿宋" w:hAnsi="仿宋" w:eastAsia="仿宋"/>
          <w:b/>
          <w:color w:val="000000" w:themeColor="text1"/>
          <w:sz w:val="24"/>
          <w:highlight w:val="none"/>
          <w14:textFill>
            <w14:solidFill>
              <w14:schemeClr w14:val="tx1"/>
            </w14:solidFill>
          </w14:textFill>
        </w:rPr>
        <w:t>合同转让</w:t>
      </w:r>
      <w:bookmarkEnd w:id="503"/>
      <w:bookmarkEnd w:id="504"/>
      <w:bookmarkEnd w:id="505"/>
      <w:r>
        <w:rPr>
          <w:rFonts w:hint="eastAsia" w:ascii="仿宋" w:hAnsi="仿宋" w:eastAsia="仿宋"/>
          <w:b/>
          <w:color w:val="000000" w:themeColor="text1"/>
          <w:sz w:val="24"/>
          <w:highlight w:val="none"/>
          <w14:textFill>
            <w14:solidFill>
              <w14:schemeClr w14:val="tx1"/>
            </w14:solidFill>
          </w14:textFill>
        </w:rPr>
        <w:t>和分包</w:t>
      </w:r>
      <w:bookmarkEnd w:id="506"/>
      <w:bookmarkEnd w:id="507"/>
      <w:bookmarkEnd w:id="508"/>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9" w:name="_Toc16508"/>
      <w:bookmarkStart w:id="510" w:name="_Toc14066"/>
      <w:bookmarkStart w:id="511" w:name="_Toc13566"/>
      <w:r>
        <w:rPr>
          <w:rFonts w:ascii="仿宋" w:hAnsi="仿宋" w:eastAsia="仿宋"/>
          <w:b/>
          <w:color w:val="000000" w:themeColor="text1"/>
          <w:sz w:val="24"/>
          <w:highlight w:val="none"/>
          <w14:textFill>
            <w14:solidFill>
              <w14:schemeClr w14:val="tx1"/>
            </w14:solidFill>
          </w14:textFill>
        </w:rPr>
        <w:t xml:space="preserve">2.12 </w:t>
      </w:r>
      <w:r>
        <w:rPr>
          <w:rFonts w:hint="eastAsia" w:ascii="仿宋" w:hAnsi="仿宋" w:eastAsia="仿宋"/>
          <w:b/>
          <w:color w:val="000000" w:themeColor="text1"/>
          <w:sz w:val="24"/>
          <w:highlight w:val="none"/>
          <w14:textFill>
            <w14:solidFill>
              <w14:schemeClr w14:val="tx1"/>
            </w14:solidFill>
          </w14:textFill>
        </w:rPr>
        <w:t>不可抗力</w:t>
      </w:r>
      <w:bookmarkEnd w:id="509"/>
      <w:bookmarkEnd w:id="510"/>
      <w:bookmarkEnd w:id="511"/>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2.12.3 </w:t>
      </w: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2" w:name="_Toc279701255"/>
      <w:bookmarkStart w:id="513" w:name="_Toc259093684"/>
      <w:bookmarkStart w:id="514" w:name="_Toc487900365"/>
      <w:bookmarkStart w:id="515" w:name="_Toc6969"/>
      <w:bookmarkStart w:id="516" w:name="_Toc689"/>
      <w:bookmarkStart w:id="517" w:name="_Toc30676"/>
      <w:r>
        <w:rPr>
          <w:rFonts w:ascii="仿宋" w:hAnsi="仿宋" w:eastAsia="仿宋"/>
          <w:b/>
          <w:color w:val="000000" w:themeColor="text1"/>
          <w:sz w:val="24"/>
          <w:highlight w:val="none"/>
          <w14:textFill>
            <w14:solidFill>
              <w14:schemeClr w14:val="tx1"/>
            </w14:solidFill>
          </w14:textFill>
        </w:rPr>
        <w:t xml:space="preserve">2.13 </w:t>
      </w:r>
      <w:r>
        <w:rPr>
          <w:rFonts w:hint="eastAsia" w:ascii="仿宋" w:hAnsi="仿宋" w:eastAsia="仿宋"/>
          <w:b/>
          <w:color w:val="000000" w:themeColor="text1"/>
          <w:sz w:val="24"/>
          <w:highlight w:val="none"/>
          <w14:textFill>
            <w14:solidFill>
              <w14:schemeClr w14:val="tx1"/>
            </w14:solidFill>
          </w14:textFill>
        </w:rPr>
        <w:t>税费</w:t>
      </w:r>
      <w:bookmarkEnd w:id="512"/>
      <w:bookmarkEnd w:id="513"/>
      <w:bookmarkEnd w:id="514"/>
      <w:bookmarkEnd w:id="515"/>
      <w:bookmarkEnd w:id="516"/>
      <w:bookmarkEnd w:id="517"/>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8" w:name="_Toc8298"/>
      <w:bookmarkStart w:id="519" w:name="_Toc16959"/>
      <w:bookmarkStart w:id="520" w:name="_Toc487900368"/>
      <w:bookmarkStart w:id="521" w:name="_Toc259093687"/>
      <w:bookmarkStart w:id="522" w:name="_Toc279701258"/>
      <w:bookmarkStart w:id="523" w:name="_Toc7102"/>
      <w:r>
        <w:rPr>
          <w:rFonts w:ascii="仿宋" w:hAnsi="仿宋" w:eastAsia="仿宋"/>
          <w:b/>
          <w:color w:val="000000" w:themeColor="text1"/>
          <w:sz w:val="24"/>
          <w:highlight w:val="none"/>
          <w14:textFill>
            <w14:solidFill>
              <w14:schemeClr w14:val="tx1"/>
            </w14:solidFill>
          </w14:textFill>
        </w:rPr>
        <w:t>2.14乙方破产</w:t>
      </w:r>
      <w:bookmarkEnd w:id="518"/>
      <w:bookmarkEnd w:id="519"/>
      <w:bookmarkEnd w:id="520"/>
      <w:bookmarkEnd w:id="521"/>
      <w:bookmarkEnd w:id="522"/>
      <w:bookmarkEnd w:id="52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24" w:name="_Toc6134"/>
      <w:bookmarkStart w:id="525" w:name="_Toc15387"/>
      <w:bookmarkStart w:id="526" w:name="_Toc29333"/>
      <w:r>
        <w:rPr>
          <w:rFonts w:ascii="仿宋" w:hAnsi="仿宋" w:eastAsia="仿宋"/>
          <w:b/>
          <w:color w:val="000000" w:themeColor="text1"/>
          <w:sz w:val="24"/>
          <w:highlight w:val="none"/>
          <w14:textFill>
            <w14:solidFill>
              <w14:schemeClr w14:val="tx1"/>
            </w14:solidFill>
          </w14:textFill>
        </w:rPr>
        <w:t xml:space="preserve">2.15 </w:t>
      </w:r>
      <w:r>
        <w:rPr>
          <w:rFonts w:hint="eastAsia" w:ascii="仿宋" w:hAnsi="仿宋" w:eastAsia="仿宋"/>
          <w:b/>
          <w:color w:val="000000" w:themeColor="text1"/>
          <w:sz w:val="24"/>
          <w:highlight w:val="none"/>
          <w14:textFill>
            <w14:solidFill>
              <w14:schemeClr w14:val="tx1"/>
            </w14:solidFill>
          </w14:textFill>
        </w:rPr>
        <w:t>合同中止、终止</w:t>
      </w:r>
      <w:bookmarkEnd w:id="524"/>
      <w:bookmarkEnd w:id="525"/>
      <w:bookmarkEnd w:id="526"/>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27" w:name="_Toc14563"/>
      <w:bookmarkStart w:id="528" w:name="_Toc6596"/>
      <w:bookmarkStart w:id="529" w:name="_Toc1125"/>
      <w:r>
        <w:rPr>
          <w:rFonts w:ascii="仿宋" w:hAnsi="仿宋" w:eastAsia="仿宋"/>
          <w:b/>
          <w:color w:val="000000" w:themeColor="text1"/>
          <w:sz w:val="24"/>
          <w:highlight w:val="none"/>
          <w14:textFill>
            <w14:solidFill>
              <w14:schemeClr w14:val="tx1"/>
            </w14:solidFill>
          </w14:textFill>
        </w:rPr>
        <w:t>2.16检验和验收</w:t>
      </w:r>
      <w:bookmarkEnd w:id="527"/>
      <w:bookmarkEnd w:id="528"/>
      <w:bookmarkEnd w:id="529"/>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2.16.3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bookmarkEnd w:id="499"/>
    <w:bookmarkEnd w:id="500"/>
    <w:bookmarkEnd w:id="501"/>
    <w:bookmarkEnd w:id="502"/>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30" w:name="_Toc487900371"/>
      <w:bookmarkStart w:id="531" w:name="_Toc259093690"/>
      <w:bookmarkStart w:id="532" w:name="_Toc279701261"/>
      <w:bookmarkStart w:id="533" w:name="_Toc11284"/>
      <w:bookmarkStart w:id="534" w:name="_Toc19604"/>
      <w:bookmarkStart w:id="535" w:name="_Toc25182"/>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通知</w:t>
      </w:r>
      <w:bookmarkEnd w:id="530"/>
      <w:bookmarkEnd w:id="531"/>
      <w:bookmarkEnd w:id="532"/>
      <w:r>
        <w:rPr>
          <w:rFonts w:hint="eastAsia" w:ascii="仿宋" w:hAnsi="仿宋" w:eastAsia="仿宋"/>
          <w:b/>
          <w:color w:val="000000" w:themeColor="text1"/>
          <w:sz w:val="24"/>
          <w:highlight w:val="none"/>
          <w14:textFill>
            <w14:solidFill>
              <w14:schemeClr w14:val="tx1"/>
            </w14:solidFill>
          </w14:textFill>
        </w:rPr>
        <w:t>和送达</w:t>
      </w:r>
      <w:bookmarkEnd w:id="533"/>
      <w:bookmarkEnd w:id="534"/>
      <w:bookmarkEnd w:id="53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536" w:name="_Toc6698"/>
      <w:bookmarkStart w:id="537" w:name="_Toc3135"/>
      <w:bookmarkStart w:id="538" w:name="_Toc487900372"/>
      <w:bookmarkStart w:id="539" w:name="_Toc279701262"/>
      <w:bookmarkStart w:id="540" w:name="_Toc259093691"/>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6"/>
      <w:bookmarkEnd w:id="537"/>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541" w:name="_Toc23128"/>
      <w:bookmarkStart w:id="542" w:name="_Toc23294"/>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541"/>
      <w:bookmarkEnd w:id="542"/>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43" w:name="_Toc18540"/>
      <w:bookmarkStart w:id="544" w:name="_Toc30599"/>
      <w:bookmarkStart w:id="545" w:name="_Toc4355"/>
      <w:r>
        <w:rPr>
          <w:rFonts w:ascii="仿宋" w:hAnsi="仿宋" w:eastAsia="仿宋"/>
          <w:b/>
          <w:color w:val="000000" w:themeColor="text1"/>
          <w:sz w:val="24"/>
          <w:highlight w:val="none"/>
          <w14:textFill>
            <w14:solidFill>
              <w14:schemeClr w14:val="tx1"/>
            </w14:solidFill>
          </w14:textFill>
        </w:rPr>
        <w:t xml:space="preserve">2.18 </w:t>
      </w:r>
      <w:r>
        <w:rPr>
          <w:rFonts w:hint="eastAsia" w:ascii="仿宋" w:hAnsi="仿宋" w:eastAsia="仿宋"/>
          <w:b/>
          <w:color w:val="000000" w:themeColor="text1"/>
          <w:sz w:val="24"/>
          <w:highlight w:val="none"/>
          <w14:textFill>
            <w14:solidFill>
              <w14:schemeClr w14:val="tx1"/>
            </w14:solidFill>
          </w14:textFill>
        </w:rPr>
        <w:t>计量单位</w:t>
      </w:r>
      <w:bookmarkEnd w:id="538"/>
      <w:bookmarkEnd w:id="539"/>
      <w:bookmarkEnd w:id="540"/>
      <w:bookmarkEnd w:id="543"/>
      <w:bookmarkEnd w:id="544"/>
      <w:bookmarkEnd w:id="54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除技术规范中另有规定外</w:t>
      </w:r>
      <w:r>
        <w:rPr>
          <w:rFonts w:ascii="仿宋" w:hAnsi="仿宋" w:eastAsia="仿宋"/>
          <w:color w:val="000000" w:themeColor="text1"/>
          <w:sz w:val="24"/>
          <w:highlight w:val="none"/>
          <w14:textFill>
            <w14:solidFill>
              <w14:schemeClr w14:val="tx1"/>
            </w14:solidFill>
          </w14:textFill>
        </w:rPr>
        <w:t>,合同的计量单位均使用国家法定计量单位。</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46" w:name="_Toc259093692"/>
      <w:bookmarkStart w:id="547" w:name="_Toc18567"/>
      <w:bookmarkStart w:id="548" w:name="_Toc487900373"/>
      <w:bookmarkStart w:id="549" w:name="_Toc10330"/>
      <w:bookmarkStart w:id="550" w:name="_Toc279701263"/>
      <w:bookmarkStart w:id="551" w:name="_Toc12773"/>
      <w:r>
        <w:rPr>
          <w:rFonts w:ascii="仿宋" w:hAnsi="仿宋" w:eastAsia="仿宋"/>
          <w:b/>
          <w:color w:val="000000" w:themeColor="text1"/>
          <w:sz w:val="24"/>
          <w:highlight w:val="none"/>
          <w14:textFill>
            <w14:solidFill>
              <w14:schemeClr w14:val="tx1"/>
            </w14:solidFill>
          </w14:textFill>
        </w:rPr>
        <w:t xml:space="preserve">2.19 </w:t>
      </w:r>
      <w:r>
        <w:rPr>
          <w:rFonts w:hint="eastAsia" w:ascii="仿宋" w:hAnsi="仿宋" w:eastAsia="仿宋"/>
          <w:b/>
          <w:color w:val="000000" w:themeColor="text1"/>
          <w:sz w:val="24"/>
          <w:highlight w:val="none"/>
          <w14:textFill>
            <w14:solidFill>
              <w14:schemeClr w14:val="tx1"/>
            </w14:solidFill>
          </w14:textFill>
        </w:rPr>
        <w:t>合同使用的文字和适用的法律</w:t>
      </w:r>
      <w:bookmarkEnd w:id="546"/>
      <w:bookmarkEnd w:id="547"/>
      <w:bookmarkEnd w:id="548"/>
      <w:bookmarkEnd w:id="549"/>
      <w:bookmarkEnd w:id="550"/>
      <w:bookmarkEnd w:id="551"/>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2.19.1 </w:t>
      </w:r>
      <w:r>
        <w:rPr>
          <w:rFonts w:hint="eastAsia" w:ascii="仿宋" w:hAnsi="仿宋" w:eastAsia="仿宋"/>
          <w:color w:val="000000" w:themeColor="text1"/>
          <w:sz w:val="24"/>
          <w:highlight w:val="none"/>
          <w14:textFill>
            <w14:solidFill>
              <w14:schemeClr w14:val="tx1"/>
            </w14:solidFill>
          </w14:textFill>
        </w:rPr>
        <w:t>合同使用汉语书就、变更和解释；</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2.19.2 </w:t>
      </w:r>
      <w:r>
        <w:rPr>
          <w:rFonts w:hint="eastAsia" w:ascii="仿宋" w:hAnsi="仿宋" w:eastAsia="仿宋"/>
          <w:color w:val="000000" w:themeColor="text1"/>
          <w:sz w:val="24"/>
          <w:highlight w:val="none"/>
          <w14:textFill>
            <w14:solidFill>
              <w14:schemeClr w14:val="tx1"/>
            </w14:solidFill>
          </w14:textFill>
        </w:rPr>
        <w:t>合同适用中华人民共和国法律。</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52" w:name="_Toc279701264"/>
      <w:bookmarkStart w:id="553" w:name="_Toc259093693"/>
      <w:bookmarkStart w:id="554" w:name="_Toc3148"/>
      <w:bookmarkStart w:id="555" w:name="_Toc12004"/>
      <w:bookmarkStart w:id="556" w:name="_Toc16673"/>
      <w:bookmarkStart w:id="557" w:name="_Toc487900374"/>
      <w:r>
        <w:rPr>
          <w:rFonts w:ascii="仿宋" w:hAnsi="仿宋" w:eastAsia="仿宋"/>
          <w:b/>
          <w:color w:val="000000" w:themeColor="text1"/>
          <w:sz w:val="24"/>
          <w:highlight w:val="none"/>
          <w14:textFill>
            <w14:solidFill>
              <w14:schemeClr w14:val="tx1"/>
            </w14:solidFill>
          </w14:textFill>
        </w:rPr>
        <w:t xml:space="preserve">2.20 </w:t>
      </w:r>
      <w:r>
        <w:rPr>
          <w:rFonts w:hint="eastAsia" w:ascii="仿宋" w:hAnsi="仿宋" w:eastAsia="仿宋"/>
          <w:b/>
          <w:color w:val="000000" w:themeColor="text1"/>
          <w:sz w:val="24"/>
          <w:highlight w:val="none"/>
          <w14:textFill>
            <w14:solidFill>
              <w14:schemeClr w14:val="tx1"/>
            </w14:solidFill>
          </w14:textFill>
        </w:rPr>
        <w:t>履约保证金</w:t>
      </w:r>
      <w:bookmarkEnd w:id="552"/>
      <w:bookmarkEnd w:id="553"/>
      <w:bookmarkEnd w:id="554"/>
      <w:bookmarkEnd w:id="555"/>
      <w:bookmarkEnd w:id="556"/>
    </w:p>
    <w:p>
      <w:pPr>
        <w:pStyle w:val="957"/>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2.20.1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highlight w:val="none"/>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2.20.2  </w:t>
      </w:r>
      <w:r>
        <w:rPr>
          <w:rFonts w:hint="eastAsia" w:ascii="仿宋" w:hAnsi="仿宋" w:eastAsia="仿宋"/>
          <w:color w:val="000000" w:themeColor="text1"/>
          <w:sz w:val="24"/>
          <w:highlight w:val="none"/>
          <w14:textFill>
            <w14:solidFill>
              <w14:schemeClr w14:val="tx1"/>
            </w14:solidFill>
          </w14:textFill>
        </w:rPr>
        <w:t>履约保证金在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5</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个工作日内，按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2.2</w:t>
      </w:r>
      <w:r>
        <w:rPr>
          <w:rFonts w:hint="eastAsia" w:ascii="仿宋" w:hAnsi="仿宋" w:eastAsia="仿宋"/>
          <w:color w:val="000000" w:themeColor="text1"/>
          <w:sz w:val="24"/>
          <w:highlight w:val="none"/>
          <w:lang w:val="en-US" w:eastAsia="zh-CN"/>
          <w14:textFill>
            <w14:solidFill>
              <w14:schemeClr w14:val="tx1"/>
            </w14:solidFill>
          </w14:textFill>
        </w:rPr>
        <w:t>0</w:t>
      </w: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highlight w:val="none"/>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合同金额5%。</w:t>
      </w:r>
    </w:p>
    <w:bookmarkEnd w:id="557"/>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58" w:name="_Toc6885"/>
      <w:bookmarkStart w:id="559" w:name="_Toc14001"/>
      <w:bookmarkStart w:id="560" w:name="_Toc19890"/>
      <w:r>
        <w:rPr>
          <w:rFonts w:ascii="仿宋" w:hAnsi="仿宋" w:eastAsia="仿宋"/>
          <w:b/>
          <w:color w:val="000000" w:themeColor="text1"/>
          <w:sz w:val="24"/>
          <w:highlight w:val="none"/>
          <w14:textFill>
            <w14:solidFill>
              <w14:schemeClr w14:val="tx1"/>
            </w14:solidFill>
          </w14:textFill>
        </w:rPr>
        <w:t xml:space="preserve">2.21 </w:t>
      </w:r>
      <w:r>
        <w:rPr>
          <w:rFonts w:hint="eastAsia" w:ascii="仿宋" w:hAnsi="仿宋" w:eastAsia="仿宋"/>
          <w:b/>
          <w:color w:val="000000" w:themeColor="text1"/>
          <w:sz w:val="24"/>
          <w:highlight w:val="none"/>
          <w14:textFill>
            <w14:solidFill>
              <w14:schemeClr w14:val="tx1"/>
            </w14:solidFill>
          </w14:textFill>
        </w:rPr>
        <w:t>合同份数</w:t>
      </w:r>
      <w:bookmarkEnd w:id="558"/>
      <w:bookmarkEnd w:id="559"/>
      <w:bookmarkEnd w:id="560"/>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合同份数按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规定，每份均具有同等法律效力。</w:t>
      </w:r>
    </w:p>
    <w:p>
      <w:pPr>
        <w:pStyle w:val="699"/>
        <w:spacing w:line="560" w:lineRule="exact"/>
        <w:jc w:val="center"/>
        <w:rPr>
          <w:rFonts w:ascii="仿宋" w:hAnsi="仿宋" w:eastAsia="仿宋"/>
          <w:b/>
          <w:color w:val="000000" w:themeColor="text1"/>
          <w:szCs w:val="24"/>
          <w:highlight w:val="none"/>
          <w14:textFill>
            <w14:solidFill>
              <w14:schemeClr w14:val="tx1"/>
            </w14:solidFill>
          </w14:textFill>
        </w:rPr>
      </w:pPr>
      <w:r>
        <w:rPr>
          <w:rFonts w:ascii="仿宋" w:hAnsi="仿宋" w:eastAsia="仿宋" w:cstheme="minorBidi"/>
          <w:color w:val="000000" w:themeColor="text1"/>
          <w:kern w:val="0"/>
          <w:szCs w:val="24"/>
          <w:highlight w:val="none"/>
          <w14:textFill>
            <w14:solidFill>
              <w14:schemeClr w14:val="tx1"/>
            </w14:solidFill>
          </w14:textFill>
        </w:rPr>
        <w:br w:type="page"/>
      </w:r>
      <w:bookmarkStart w:id="561" w:name="_Toc331685784"/>
      <w:r>
        <w:rPr>
          <w:rFonts w:hint="eastAsia" w:ascii="仿宋" w:hAnsi="仿宋" w:eastAsia="仿宋"/>
          <w:b/>
          <w:color w:val="000000" w:themeColor="text1"/>
          <w:szCs w:val="24"/>
          <w:highlight w:val="none"/>
          <w14:textFill>
            <w14:solidFill>
              <w14:schemeClr w14:val="tx1"/>
            </w14:solidFill>
          </w14:textFill>
        </w:rPr>
        <w:t xml:space="preserve"> </w:t>
      </w:r>
      <w:bookmarkEnd w:id="561"/>
      <w:r>
        <w:rPr>
          <w:rFonts w:hint="eastAsia" w:ascii="仿宋" w:hAnsi="仿宋" w:eastAsia="仿宋"/>
          <w:b/>
          <w:color w:val="000000" w:themeColor="text1"/>
          <w:szCs w:val="24"/>
          <w:highlight w:val="none"/>
          <w14:textFill>
            <w14:solidFill>
              <w14:schemeClr w14:val="tx1"/>
            </w14:solidFill>
          </w14:textFill>
        </w:rPr>
        <w:t>第三部分</w:t>
      </w:r>
      <w:r>
        <w:rPr>
          <w:rFonts w:ascii="仿宋" w:hAnsi="仿宋" w:eastAsia="仿宋"/>
          <w:b/>
          <w:color w:val="000000" w:themeColor="text1"/>
          <w:szCs w:val="24"/>
          <w:highlight w:val="none"/>
          <w14:textFill>
            <w14:solidFill>
              <w14:schemeClr w14:val="tx1"/>
            </w14:solidFill>
          </w14:textFill>
        </w:rPr>
        <w:t xml:space="preserve">  </w:t>
      </w:r>
      <w:r>
        <w:rPr>
          <w:rFonts w:hint="eastAsia" w:ascii="仿宋" w:hAnsi="仿宋" w:eastAsia="仿宋"/>
          <w:b/>
          <w:color w:val="000000" w:themeColor="text1"/>
          <w:szCs w:val="24"/>
          <w:highlight w:val="none"/>
          <w14:textFill>
            <w14:solidFill>
              <w14:schemeClr w14:val="tx1"/>
            </w14:solidFill>
          </w14:textFill>
        </w:rPr>
        <w:t>合同专用条款</w:t>
      </w:r>
    </w:p>
    <w:p>
      <w:pPr>
        <w:spacing w:line="560" w:lineRule="exact"/>
        <w:ind w:left="-420" w:leftChars="-200" w:right="-420" w:rightChars="-200" w:firstLine="480" w:firstLineChars="2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000000" w:themeColor="text1"/>
                <w:sz w:val="24"/>
                <w:highlight w:val="none"/>
                <w14:textFill>
                  <w14:solidFill>
                    <w14:schemeClr w14:val="tx1"/>
                  </w14:solidFill>
                </w14:textFill>
              </w:rPr>
            </w:pPr>
            <w:r>
              <w:rPr>
                <w:rFonts w:hint="eastAsia" w:ascii="仿宋_GB2312" w:hAnsi="楷体" w:eastAsia="仿宋_GB2312"/>
                <w:b/>
                <w:color w:val="000000" w:themeColor="text1"/>
                <w:sz w:val="24"/>
                <w:highlight w:val="none"/>
                <w14:textFill>
                  <w14:solidFill>
                    <w14:schemeClr w14:val="tx1"/>
                  </w14:solidFill>
                </w14:textFill>
              </w:rPr>
              <w:t>条款号</w:t>
            </w:r>
          </w:p>
        </w:tc>
        <w:tc>
          <w:tcPr>
            <w:tcW w:w="8275" w:type="dxa"/>
            <w:vAlign w:val="center"/>
          </w:tcPr>
          <w:p>
            <w:pPr>
              <w:spacing w:line="360" w:lineRule="auto"/>
              <w:jc w:val="center"/>
              <w:rPr>
                <w:rFonts w:ascii="仿宋_GB2312" w:hAnsi="楷体" w:eastAsia="仿宋_GB2312"/>
                <w:b/>
                <w:color w:val="000000" w:themeColor="text1"/>
                <w:sz w:val="24"/>
                <w:highlight w:val="none"/>
                <w14:textFill>
                  <w14:solidFill>
                    <w14:schemeClr w14:val="tx1"/>
                  </w14:solidFill>
                </w14:textFill>
              </w:rPr>
            </w:pPr>
            <w:r>
              <w:rPr>
                <w:rFonts w:hint="eastAsia" w:ascii="仿宋_GB2312" w:hAnsi="楷体" w:eastAsia="仿宋_GB2312"/>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第一笔项目款的支付：合同签订并生效后5个工作日内，且供应商交纳合同总额5%的履约保证金后，预付合同总价的30%；</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第二笔项目款的支付：乙方完成全部产品的供货、安装调试交付甲方使用后，在项目正式验收合格后7个工作日内，乙方凭到货核验单、产品合格证、质量保证书原件、产品/的检测报告、原厂质保承诺函、甲乙双方签字盖章的验收意见及验收小组签字的验收报告、公示截图及各种文档资料等，向甲方申请结算合同款项。甲方收到乙方申请后，在扣除违约金的前提下，一次性结算剩余合同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本项目</w:t>
            </w:r>
            <w:r>
              <w:rPr>
                <w:rFonts w:hint="eastAsia" w:ascii="仿宋" w:hAnsi="仿宋" w:eastAsia="仿宋"/>
                <w:color w:val="000000" w:themeColor="text1"/>
                <w:sz w:val="24"/>
                <w:highlight w:val="none"/>
                <w14:textFill>
                  <w14:solidFill>
                    <w14:schemeClr w14:val="tx1"/>
                  </w14:solidFill>
                </w14:textFill>
              </w:rPr>
              <w:t>工期时间（包括进货、到货、安装、调试等）为180个日历日，具体进度以甲方通知为准。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1.5.2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交付地点：</w:t>
            </w:r>
            <w:r>
              <w:rPr>
                <w:rFonts w:hint="eastAsia" w:ascii="仿宋_GB2312" w:hAnsi="仿宋" w:eastAsia="仿宋_GB2312"/>
                <w:color w:val="000000" w:themeColor="text1"/>
                <w:kern w:val="0"/>
                <w:sz w:val="24"/>
                <w:highlight w:val="none"/>
                <w14:textFill>
                  <w14:solidFill>
                    <w14:schemeClr w14:val="tx1"/>
                  </w14:solidFill>
                </w14:textFill>
              </w:rPr>
              <w:t>杭州市城市档案中心（西湖区转塘街道之江诚品北侧龙元建设工地</w:t>
            </w:r>
            <w:r>
              <w:rPr>
                <w:rFonts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1.7.</w:t>
            </w:r>
            <w:r>
              <w:rPr>
                <w:rFonts w:hint="eastAsia" w:ascii="仿宋" w:hAnsi="仿宋" w:eastAsia="仿宋"/>
                <w:color w:val="000000" w:themeColor="text1"/>
                <w:sz w:val="24"/>
                <w:highlight w:val="none"/>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w:t>
            </w:r>
          </w:p>
        </w:tc>
        <w:tc>
          <w:tcPr>
            <w:tcW w:w="8275" w:type="dxa"/>
            <w:vAlign w:val="center"/>
          </w:tcPr>
          <w:p>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基于甲方需求经二次开发后，</w:t>
            </w:r>
            <w:r>
              <w:rPr>
                <w:rFonts w:ascii="仿宋" w:hAnsi="仿宋" w:eastAsia="仿宋"/>
                <w:color w:val="000000" w:themeColor="text1"/>
                <w:sz w:val="24"/>
                <w:highlight w:val="none"/>
                <w14:textFill>
                  <w14:solidFill>
                    <w14:schemeClr w14:val="tx1"/>
                  </w14:solidFill>
                </w14:textFill>
              </w:rPr>
              <w:t>具有知识产权的软件的知识产权</w:t>
            </w:r>
            <w:r>
              <w:rPr>
                <w:rFonts w:hint="eastAsia" w:ascii="仿宋" w:hAnsi="仿宋" w:eastAsia="仿宋"/>
                <w:color w:val="000000" w:themeColor="text1"/>
                <w:sz w:val="24"/>
                <w:highlight w:val="none"/>
                <w14:textFill>
                  <w14:solidFill>
                    <w14:schemeClr w14:val="tx1"/>
                  </w14:solidFill>
                </w14:textFill>
              </w:rPr>
              <w:t>归甲方。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w:t>
            </w:r>
          </w:p>
        </w:tc>
        <w:tc>
          <w:tcPr>
            <w:tcW w:w="8275" w:type="dxa"/>
            <w:vAlign w:val="center"/>
          </w:tcPr>
          <w:p>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接到甲方发货通知后，3个自然日内将装运货物运送到现场。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2.8 </w:t>
            </w:r>
          </w:p>
        </w:tc>
        <w:tc>
          <w:tcPr>
            <w:tcW w:w="8275"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2.12.3</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受不可抗力影响的一方在不可抗力发生后，应在</w:t>
            </w:r>
            <w:r>
              <w:rPr>
                <w:rFonts w:hint="eastAsia" w:ascii="仿宋" w:hAnsi="仿宋" w:eastAsia="仿宋"/>
                <w:color w:val="000000" w:themeColor="text1"/>
                <w:sz w:val="24"/>
                <w:highlight w:val="none"/>
                <w14:textFill>
                  <w14:solidFill>
                    <w14:schemeClr w14:val="tx1"/>
                  </w14:solidFill>
                </w14:textFill>
              </w:rPr>
              <w:t>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货物交付前，乙方应对货物的质量、数量等方面进行详细、全面的检验，并向甲方出具证明货物符合合同约定的文件；货物交付时，乙方在</w:t>
            </w:r>
            <w:r>
              <w:rPr>
                <w:rFonts w:hint="eastAsia" w:ascii="仿宋" w:hAnsi="仿宋" w:eastAsia="仿宋"/>
                <w:color w:val="000000" w:themeColor="text1"/>
                <w:sz w:val="24"/>
                <w:highlight w:val="none"/>
                <w14:textFill>
                  <w14:solidFill>
                    <w14:schemeClr w14:val="tx1"/>
                  </w14:solidFill>
                </w14:textFill>
              </w:rPr>
              <w:t>15日内组织验收，并可依法邀请相关方参加，验收应出具验收书。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2.16.3</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2.20.1</w:t>
            </w:r>
          </w:p>
        </w:tc>
        <w:tc>
          <w:tcPr>
            <w:tcW w:w="8275"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文件要求乙方提交履约保证金的，乙方应提交合同价5%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2.20.2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乙方在前述约定期间届满前能履行完合同约定义务事项的，在前述约定期间届满之日起履约保证金自动转为质量保证金。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2.21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本合同一式六份。</w:t>
            </w:r>
          </w:p>
        </w:tc>
      </w:tr>
    </w:tbl>
    <w:p>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p>
    <w:p>
      <w:pPr>
        <w:spacing w:line="360" w:lineRule="auto"/>
        <w:ind w:left="-420" w:leftChars="-200" w:right="-420" w:rightChars="-200"/>
        <w:rPr>
          <w:rFonts w:ascii="仿宋" w:hAnsi="仿宋" w:eastAsia="仿宋"/>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仿宋" w:hAnsi="仿宋" w:eastAsia="仿宋"/>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仿宋" w:hAnsi="仿宋" w:eastAsia="仿宋"/>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仿宋" w:hAnsi="仿宋" w:eastAsia="仿宋"/>
          <w:color w:val="000000" w:themeColor="text1"/>
          <w:sz w:val="24"/>
          <w:highlight w:val="none"/>
          <w14:textFill>
            <w14:solidFill>
              <w14:schemeClr w14:val="tx1"/>
            </w14:solidFill>
          </w14:textFill>
        </w:rPr>
      </w:pPr>
    </w:p>
    <w:p>
      <w:pPr>
        <w:spacing w:line="360" w:lineRule="auto"/>
        <w:ind w:left="-420" w:leftChars="-200" w:right="-420" w:rightChars="-200" w:firstLine="723" w:firstLineChars="200"/>
        <w:jc w:val="center"/>
        <w:outlineLvl w:val="0"/>
        <w:rPr>
          <w:rFonts w:ascii="仿宋" w:hAnsi="仿宋" w:eastAsia="仿宋" w:cs="仿宋_GB2312"/>
          <w:b/>
          <w:color w:val="000000" w:themeColor="text1"/>
          <w:sz w:val="36"/>
          <w:szCs w:val="20"/>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仿宋" w:hAnsi="仿宋" w:eastAsia="仿宋"/>
          <w:color w:val="000000" w:themeColor="text1"/>
          <w:sz w:val="24"/>
          <w:highlight w:val="none"/>
          <w14:textFill>
            <w14:solidFill>
              <w14:schemeClr w14:val="tx1"/>
            </w14:solidFill>
          </w14:textFill>
        </w:rPr>
      </w:pPr>
    </w:p>
    <w:p>
      <w:pPr>
        <w:spacing w:line="360" w:lineRule="auto"/>
        <w:ind w:left="-420" w:leftChars="-200" w:right="-420" w:rightChars="-200" w:firstLine="723" w:firstLineChars="200"/>
        <w:jc w:val="center"/>
        <w:outlineLvl w:val="0"/>
        <w:rPr>
          <w:rFonts w:ascii="仿宋" w:hAnsi="仿宋" w:eastAsia="仿宋" w:cs="仿宋_GB2312"/>
          <w:b/>
          <w:color w:val="000000" w:themeColor="text1"/>
          <w:sz w:val="36"/>
          <w:szCs w:val="20"/>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仿宋" w:hAnsi="仿宋" w:eastAsia="仿宋"/>
          <w:color w:val="000000" w:themeColor="text1"/>
          <w:sz w:val="24"/>
          <w:highlight w:val="none"/>
          <w14:textFill>
            <w14:solidFill>
              <w14:schemeClr w14:val="tx1"/>
            </w14:solidFill>
          </w14:textFill>
        </w:rPr>
      </w:pPr>
    </w:p>
    <w:p>
      <w:pPr>
        <w:spacing w:line="360" w:lineRule="auto"/>
        <w:ind w:left="-420" w:leftChars="-200" w:right="-420" w:rightChars="-200" w:firstLine="723" w:firstLineChars="200"/>
        <w:jc w:val="center"/>
        <w:outlineLvl w:val="0"/>
        <w:rPr>
          <w:rFonts w:ascii="仿宋" w:hAnsi="仿宋" w:eastAsia="仿宋" w:cs="仿宋_GB2312"/>
          <w:b/>
          <w:color w:val="000000" w:themeColor="text1"/>
          <w:sz w:val="36"/>
          <w:szCs w:val="20"/>
          <w:highlight w:val="none"/>
          <w14:textFill>
            <w14:solidFill>
              <w14:schemeClr w14:val="tx1"/>
            </w14:solidFill>
          </w14:textFill>
        </w:rPr>
      </w:pPr>
    </w:p>
    <w:p>
      <w:pPr>
        <w:spacing w:line="360" w:lineRule="auto"/>
        <w:ind w:left="-420" w:leftChars="-200" w:right="-420" w:rightChars="-200" w:firstLine="723" w:firstLineChars="200"/>
        <w:jc w:val="center"/>
        <w:outlineLvl w:val="0"/>
        <w:rPr>
          <w:rFonts w:ascii="仿宋" w:hAnsi="仿宋" w:eastAsia="仿宋" w:cs="仿宋_GB2312"/>
          <w:b/>
          <w:color w:val="000000" w:themeColor="text1"/>
          <w:sz w:val="36"/>
          <w:szCs w:val="20"/>
          <w:highlight w:val="none"/>
          <w14:textFill>
            <w14:solidFill>
              <w14:schemeClr w14:val="tx1"/>
            </w14:solidFill>
          </w14:textFill>
        </w:rPr>
      </w:pP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ind w:left="720" w:firstLine="723" w:firstLineChars="200"/>
        <w:outlineLvl w:val="0"/>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s="仿宋_GB2312"/>
          <w:b/>
          <w:color w:val="000000" w:themeColor="text1"/>
          <w:sz w:val="36"/>
          <w:szCs w:val="20"/>
          <w:highlight w:val="none"/>
          <w14:textFill>
            <w14:solidFill>
              <w14:schemeClr w14:val="tx1"/>
            </w14:solidFill>
          </w14:textFill>
        </w:rPr>
        <w:t>第六部分</w:t>
      </w:r>
      <w:bookmarkEnd w:id="403"/>
      <w:r>
        <w:rPr>
          <w:rFonts w:ascii="仿宋" w:hAnsi="仿宋" w:eastAsia="仿宋" w:cs="仿宋_GB2312"/>
          <w:b/>
          <w:color w:val="000000" w:themeColor="text1"/>
          <w:sz w:val="36"/>
          <w:szCs w:val="20"/>
          <w:highlight w:val="none"/>
          <w14:textFill>
            <w14:solidFill>
              <w14:schemeClr w14:val="tx1"/>
            </w14:solidFill>
          </w14:textFill>
        </w:rPr>
        <w:t xml:space="preserve"> </w:t>
      </w:r>
      <w:bookmarkEnd w:id="404"/>
      <w:r>
        <w:rPr>
          <w:rFonts w:hint="eastAsia" w:ascii="仿宋" w:hAnsi="仿宋" w:eastAsia="仿宋" w:cs="仿宋_GB2312"/>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br w:type="page"/>
      </w: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杭州市档案馆、杭州市公共资源交易中心：</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我方参与杭州市城市档案中心智慧库房智慧化综合管理平台及配套设施、智能密集架、防磁库采购项目【招标编号：</w:t>
      </w:r>
      <w:r>
        <w:rPr>
          <w:rFonts w:hint="eastAsia" w:ascii="仿宋_GB2312" w:hAnsi="仿宋" w:eastAsia="仿宋_GB2312"/>
          <w:color w:val="000000" w:themeColor="text1"/>
          <w:sz w:val="24"/>
          <w:highlight w:val="none"/>
          <w14:textFill>
            <w14:solidFill>
              <w14:schemeClr w14:val="tx1"/>
            </w14:solidFill>
          </w14:textFill>
        </w:rPr>
        <w:t>HZZFCG-2021-187</w:t>
      </w:r>
      <w:r>
        <w:rPr>
          <w:rFonts w:hint="eastAsia" w:ascii="仿宋_GB2312" w:hAnsi="仿宋" w:eastAsia="仿宋_GB2312" w:cs="仿宋_GB2312"/>
          <w:color w:val="000000" w:themeColor="text1"/>
          <w:sz w:val="24"/>
          <w:highlight w:val="none"/>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w:t>
      </w:r>
      <w:r>
        <w:rPr>
          <w:rFonts w:ascii="仿宋_GB2312" w:hAnsi="仿宋" w:eastAsia="仿宋_GB2312"/>
          <w:color w:val="000000" w:themeColor="text1"/>
          <w:sz w:val="24"/>
          <w:highlight w:val="none"/>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w:t>
      </w:r>
      <w:r>
        <w:rPr>
          <w:rFonts w:ascii="仿宋_GB2312" w:hAnsi="仿宋" w:eastAsia="仿宋_GB2312"/>
          <w:color w:val="000000" w:themeColor="text1"/>
          <w:sz w:val="24"/>
          <w:highlight w:val="none"/>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w:t>
      </w:r>
      <w:r>
        <w:rPr>
          <w:rFonts w:ascii="仿宋_GB2312" w:hAnsi="仿宋" w:eastAsia="仿宋_GB2312"/>
          <w:color w:val="000000" w:themeColor="text1"/>
          <w:sz w:val="24"/>
          <w:highlight w:val="none"/>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5、</w:t>
      </w:r>
      <w:r>
        <w:rPr>
          <w:rFonts w:ascii="仿宋_GB2312" w:hAnsi="仿宋" w:eastAsia="仿宋_GB2312"/>
          <w:color w:val="000000" w:themeColor="text1"/>
          <w:sz w:val="24"/>
          <w:highlight w:val="none"/>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6、</w:t>
      </w:r>
      <w:r>
        <w:rPr>
          <w:rFonts w:ascii="仿宋_GB2312" w:hAnsi="仿宋" w:eastAsia="仿宋_GB2312"/>
          <w:color w:val="000000" w:themeColor="text1"/>
          <w:sz w:val="24"/>
          <w:highlight w:val="none"/>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（二）未被信用中国（</w:t>
      </w:r>
      <w:r>
        <w:rPr>
          <w:rFonts w:ascii="仿宋_GB2312" w:hAnsi="仿宋" w:eastAsia="仿宋_GB2312"/>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w:t>
      </w:r>
      <w:r>
        <w:rPr>
          <w:rFonts w:hint="eastAsia" w:ascii="仿宋_GB2312" w:hAnsi="仿宋" w:eastAsia="仿宋_GB2312"/>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A</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highlight w:val="none"/>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B.</w:t>
      </w:r>
      <w:r>
        <w:rPr>
          <w:rFonts w:hint="eastAsia" w:ascii="仿宋_GB2312" w:hAnsi="仿宋" w:eastAsia="仿宋_GB2312" w:cs="仿宋_GB2312"/>
          <w:color w:val="000000" w:themeColor="text1"/>
          <w:sz w:val="24"/>
          <w:highlight w:val="none"/>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highlight w:val="none"/>
          <w14:textFill>
            <w14:solidFill>
              <w14:schemeClr w14:val="tx1"/>
            </w14:solidFill>
          </w14:textFill>
        </w:rPr>
        <w:t>自愿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highlight w:val="none"/>
          <w14:textFill>
            <w14:solidFill>
              <w14:schemeClr w14:val="tx1"/>
            </w14:solidFill>
          </w14:textFill>
        </w:rPr>
        <w:t>参加</w:t>
      </w:r>
      <w:r>
        <w:rPr>
          <w:rFonts w:hint="eastAsia" w:ascii="仿宋_GB2312" w:hAnsi="仿宋" w:eastAsia="仿宋_GB2312" w:cs="仿宋_GB2312"/>
          <w:color w:val="000000" w:themeColor="text1"/>
          <w:sz w:val="24"/>
          <w:highlight w:val="none"/>
          <w14:textFill>
            <w14:solidFill>
              <w14:schemeClr w14:val="tx1"/>
            </w14:solidFill>
          </w14:textFill>
        </w:rPr>
        <w:t>杭州市城市档案中心智慧库房智慧化综合管理平台及配套设施、智能密集架、防磁库采购项目【招标编号：</w:t>
      </w:r>
      <w:r>
        <w:rPr>
          <w:rFonts w:hint="eastAsia" w:ascii="仿宋_GB2312" w:hAnsi="仿宋" w:eastAsia="仿宋_GB2312"/>
          <w:color w:val="000000" w:themeColor="text1"/>
          <w:sz w:val="24"/>
          <w:highlight w:val="none"/>
          <w14:textFill>
            <w14:solidFill>
              <w14:schemeClr w14:val="tx1"/>
            </w14:solidFill>
          </w14:textFill>
        </w:rPr>
        <w:t>HZZFCG-2021-187</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highlight w:val="none"/>
          <w14:textFill>
            <w14:solidFill>
              <w14:schemeClr w14:val="tx1"/>
            </w14:solidFill>
          </w14:textFill>
        </w:rPr>
        <w:t>为联合体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牵头人</w:t>
      </w:r>
      <w:r>
        <w:rPr>
          <w:rFonts w:hint="eastAsia" w:ascii="仿宋_GB2312" w:hAnsi="仿宋" w:eastAsia="仿宋_GB2312" w:cs="Arial"/>
          <w:color w:val="000000" w:themeColor="text1"/>
          <w:sz w:val="24"/>
          <w:highlight w:val="none"/>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w:t>
      </w:r>
      <w:r>
        <w:rPr>
          <w:rFonts w:hint="eastAsia" w:ascii="仿宋_GB2312" w:hAnsi="仿宋" w:eastAsia="仿宋_GB2312" w:cs="Arial"/>
          <w:color w:val="000000" w:themeColor="text1"/>
          <w:sz w:val="24"/>
          <w:highlight w:val="none"/>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w:t>
      </w: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五、如果中标，</w:t>
      </w:r>
      <w:r>
        <w:rPr>
          <w:rFonts w:hint="eastAsia" w:ascii="仿宋_GB2312" w:hAnsi="仿宋" w:eastAsia="仿宋_GB2312"/>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C、</w:t>
      </w:r>
      <w:r>
        <w:rPr>
          <w:rFonts w:hint="eastAsia" w:ascii="仿宋_GB2312" w:hAnsi="仿宋" w:eastAsia="仿宋_GB2312" w:cs="仿宋_GB2312"/>
          <w:color w:val="000000" w:themeColor="text1"/>
          <w:sz w:val="24"/>
          <w:highlight w:val="none"/>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若成为</w:t>
      </w:r>
      <w:r>
        <w:rPr>
          <w:rFonts w:hint="eastAsia" w:ascii="仿宋_GB2312" w:hAnsi="仿宋" w:eastAsia="仿宋_GB2312" w:cs="仿宋_GB2312"/>
          <w:color w:val="000000" w:themeColor="text1"/>
          <w:sz w:val="24"/>
          <w:highlight w:val="none"/>
          <w14:textFill>
            <w14:solidFill>
              <w14:schemeClr w14:val="tx1"/>
            </w14:solidFill>
          </w14:textFill>
        </w:rPr>
        <w:t>杭州市城市档案中心智慧库房智慧化综合管理平台及配套设施、智能密集架、防磁库采购项目【招标编号：</w:t>
      </w:r>
      <w:r>
        <w:rPr>
          <w:rFonts w:hint="eastAsia" w:ascii="仿宋_GB2312" w:hAnsi="仿宋" w:eastAsia="仿宋_GB2312"/>
          <w:color w:val="000000" w:themeColor="text1"/>
          <w:sz w:val="24"/>
          <w:highlight w:val="none"/>
          <w14:textFill>
            <w14:solidFill>
              <w14:schemeClr w14:val="tx1"/>
            </w14:solidFill>
          </w14:textFill>
        </w:rPr>
        <w:t>HZZFCG-2021-187</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14:textFill>
            <w14:solidFill>
              <w14:schemeClr w14:val="tx1"/>
            </w14:solidFill>
          </w14:textFill>
        </w:rPr>
        <w:t>与</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highlight w:val="none"/>
          <w14:textFill>
            <w14:solidFill>
              <w14:schemeClr w14:val="tx1"/>
            </w14:solidFill>
          </w14:textFill>
        </w:rPr>
        <w:t>达成分包意向协议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将</w:t>
      </w:r>
      <w:r>
        <w:rPr>
          <w:rFonts w:ascii="仿宋_GB2312" w:hAnsi="仿宋" w:eastAsia="仿宋_GB2312"/>
          <w:color w:val="000000" w:themeColor="text1"/>
          <w:highlight w:val="none"/>
          <w:u w:val="single"/>
          <w14:textFill>
            <w14:solidFill>
              <w14:schemeClr w14:val="tx1"/>
            </w14:solidFill>
          </w14:textFill>
        </w:rPr>
        <w:t xml:space="preserve">   XX工作内容   </w:t>
      </w:r>
      <w:r>
        <w:rPr>
          <w:rFonts w:hint="eastAsia" w:ascii="仿宋_GB2312" w:hAnsi="仿宋" w:eastAsia="仿宋_GB2312" w:cs="Arial"/>
          <w:color w:val="000000" w:themeColor="text1"/>
          <w:sz w:val="24"/>
          <w:highlight w:val="none"/>
          <w14:textFill>
            <w14:solidFill>
              <w14:schemeClr w14:val="tx1"/>
            </w14:solidFill>
          </w14:textFill>
        </w:rPr>
        <w:t>分包给</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具备承</w:t>
      </w:r>
      <w:r>
        <w:rPr>
          <w:rFonts w:hint="eastAsia" w:ascii="仿宋_GB2312" w:hAnsi="仿宋" w:eastAsia="仿宋_GB2312" w:cs="仿宋_GB2312"/>
          <w:color w:val="000000" w:themeColor="text1"/>
          <w:kern w:val="0"/>
          <w:sz w:val="24"/>
          <w:highlight w:val="none"/>
          <w14:textFill>
            <w14:solidFill>
              <w14:schemeClr w14:val="tx1"/>
            </w14:solidFill>
          </w14:textFill>
        </w:rPr>
        <w:t>担</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相应资质条件且不得再次分包；</w:t>
      </w:r>
    </w:p>
    <w:p>
      <w:pPr>
        <w:pStyle w:val="2"/>
        <w:ind w:left="664" w:leftChars="316" w:firstLine="229" w:firstLineChars="95"/>
        <w:rPr>
          <w:color w:val="000000" w:themeColor="text1"/>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highlight w:val="none"/>
          <w:u w:val="single"/>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（根据招标公告本项目的特定资格要求</w:t>
      </w:r>
      <w:r>
        <w:rPr>
          <w:rFonts w:hint="eastAsia" w:ascii="仿宋_GB2312" w:hAnsi="仿宋" w:eastAsia="仿宋_GB2312"/>
          <w:color w:val="000000" w:themeColor="text1"/>
          <w:sz w:val="24"/>
          <w:highlight w:val="none"/>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 w:eastAsia="仿宋_GB2312" w:cs="仿宋_GB2312"/>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1）投标函</w:t>
      </w:r>
      <w:r>
        <w:rPr>
          <w:rFonts w:hint="eastAsia" w:cs="仿宋_GB2312"/>
          <w:color w:val="000000" w:themeColor="text1"/>
          <w:highlight w:val="none"/>
          <w14:textFill>
            <w14:solidFill>
              <w14:schemeClr w14:val="tx1"/>
            </w14:solidFill>
          </w14:textFill>
        </w:rPr>
        <w:t>…………………………………………………………………………………（页码）</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2）授权委托书或法定代表人（单位负责人、自然人本人）身份证明</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3）联合协议</w:t>
      </w:r>
      <w:r>
        <w:rPr>
          <w:rFonts w:hint="eastAsia" w:cs="仿宋_GB2312"/>
          <w:color w:val="000000" w:themeColor="text1"/>
          <w:highlight w:val="none"/>
          <w14:textFill>
            <w14:solidFill>
              <w14:schemeClr w14:val="tx1"/>
            </w14:solidFill>
          </w14:textFill>
        </w:rPr>
        <w:t>………………………………………………………………………………（页码）</w:t>
      </w:r>
    </w:p>
    <w:p>
      <w:pPr>
        <w:snapToGrid w:val="0"/>
        <w:spacing w:line="360" w:lineRule="auto"/>
        <w:ind w:firstLine="480" w:firstLineChars="200"/>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4）分包意向协议</w:t>
      </w:r>
      <w:r>
        <w:rPr>
          <w:rFonts w:hint="eastAsia" w:cs="仿宋_GB2312"/>
          <w:color w:val="000000" w:themeColor="text1"/>
          <w:highlight w:val="none"/>
          <w14:textFill>
            <w14:solidFill>
              <w14:schemeClr w14:val="tx1"/>
            </w14:solidFill>
          </w14:textFill>
        </w:rPr>
        <w:t>…………………………………………………………………………（页码）</w:t>
      </w:r>
    </w:p>
    <w:p>
      <w:pPr>
        <w:snapToGrid w:val="0"/>
        <w:spacing w:line="360" w:lineRule="auto"/>
        <w:ind w:firstLine="480" w:firstLineChars="200"/>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5）符合性审查资料</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6）评标标准相应的商务技术资料</w:t>
      </w:r>
      <w:r>
        <w:rPr>
          <w:rFonts w:hint="eastAsia"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7）商务技术偏离表</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r>
        <w:rPr>
          <w:rFonts w:hint="eastAsia" w:cs="仿宋_GB2312"/>
          <w:color w:val="000000" w:themeColor="text1"/>
          <w:highlight w:val="none"/>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一、投标</w:t>
      </w:r>
      <w:r>
        <w:rPr>
          <w:rFonts w:hint="eastAsia" w:ascii="仿宋_GB2312" w:hAnsi="仿宋" w:eastAsia="仿宋_GB2312" w:cs="仿宋_GB2312"/>
          <w:b/>
          <w:color w:val="000000" w:themeColor="text1"/>
          <w:sz w:val="32"/>
          <w:szCs w:val="32"/>
          <w:highlight w:val="none"/>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杭州市档案馆、杭州市公共资源交易中心：</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我方参加你方组织的杭州市城市档案中心智慧库房智慧化综合管理平台及配套设施、智能密集架、防磁库采购项目【招标编号：</w:t>
      </w:r>
      <w:r>
        <w:rPr>
          <w:rFonts w:hint="eastAsia" w:ascii="仿宋_GB2312" w:hAnsi="仿宋" w:eastAsia="仿宋_GB2312"/>
          <w:color w:val="000000" w:themeColor="text1"/>
          <w:sz w:val="24"/>
          <w:highlight w:val="none"/>
          <w14:textFill>
            <w14:solidFill>
              <w14:schemeClr w14:val="tx1"/>
            </w14:solidFill>
          </w14:textFill>
        </w:rPr>
        <w:t>HZZFCG-2021-187</w:t>
      </w:r>
      <w:r>
        <w:rPr>
          <w:rFonts w:hint="eastAsia" w:ascii="仿宋_GB2312" w:hAnsi="仿宋" w:eastAsia="仿宋_GB2312" w:cs="仿宋_GB2312"/>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1、我方承诺投标有效期从提交投标文件的截止之日起</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天（不少于</w:t>
      </w:r>
      <w:r>
        <w:rPr>
          <w:rFonts w:ascii="仿宋_GB2312" w:hAnsi="仿宋" w:eastAsia="仿宋_GB2312" w:cs="仿宋_GB2312"/>
          <w:color w:val="000000" w:themeColor="text1"/>
          <w:sz w:val="24"/>
          <w:highlight w:val="none"/>
          <w14:textFill>
            <w14:solidFill>
              <w14:schemeClr w14:val="tx1"/>
            </w14:solidFill>
          </w14:textFill>
        </w:rPr>
        <w:t>90天）</w:t>
      </w:r>
      <w:r>
        <w:rPr>
          <w:rFonts w:hint="eastAsia"/>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2、我方的投标文件包括以下内容：</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2.1资格文件：</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2.1.1</w:t>
      </w:r>
      <w:r>
        <w:rPr>
          <w:rFonts w:hint="eastAsia" w:ascii="仿宋_GB2312" w:hAnsi="仿宋" w:eastAsia="仿宋_GB2312" w:cs="仿宋_GB2312"/>
          <w:color w:val="000000" w:themeColor="text1"/>
          <w:sz w:val="24"/>
          <w:highlight w:val="none"/>
          <w14:textFill>
            <w14:solidFill>
              <w14:schemeClr w14:val="tx1"/>
            </w14:solidFill>
          </w14:textFill>
        </w:rPr>
        <w:t>承诺函；</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2.1.2落实政府采购政策需满足的资格要求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2.1.3本项目的特定资格要求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2.2.3联合协议</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2.2.4分包意向协议</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2.2.5符合性审查资料；</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2.2.6评标标准相应的商务技术资料；</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2.2.7商务技术偏离表；</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3报价文件</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2.3.1开标一览表（报价表）；</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2.3.2中小企业声明函</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4、如我方中标，我方承诺：</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5、其他补充说明:</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p>
    <w:p>
      <w:pPr>
        <w:spacing w:line="360" w:lineRule="auto"/>
        <w:ind w:firstLine="3600" w:firstLineChars="15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投标人名称（电子签名）：</w:t>
      </w:r>
      <w:r>
        <w:rPr>
          <w:rFonts w:ascii="仿宋_GB2312" w:hAnsi="仿宋" w:eastAsia="仿宋_GB2312" w:cs="仿宋_GB2312"/>
          <w:color w:val="000000" w:themeColor="text1"/>
          <w:sz w:val="24"/>
          <w:highlight w:val="none"/>
          <w14:textFill>
            <w14:solidFill>
              <w14:schemeClr w14:val="tx1"/>
            </w14:solidFill>
          </w14:textFill>
        </w:rPr>
        <w:t xml:space="preserve">                          </w:t>
      </w:r>
    </w:p>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2872" w:firstLineChars="894"/>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授权委托书（适用于非联合体投标）</w:t>
      </w:r>
      <w:r>
        <w:rPr>
          <w:color w:val="000000" w:themeColor="text1"/>
          <w:highlight w:val="none"/>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杭州市档案馆、杭州市公共资源交易中心</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杭州市城市档案中心智慧库房智慧化综合管理平台及配套设施、智能密集架、防磁库采购项目【招标编号：</w:t>
      </w:r>
      <w:r>
        <w:rPr>
          <w:rFonts w:hint="eastAsia" w:ascii="仿宋_GB2312" w:hAnsi="仿宋" w:eastAsia="仿宋_GB2312"/>
          <w:color w:val="000000" w:themeColor="text1"/>
          <w:sz w:val="24"/>
          <w:highlight w:val="none"/>
          <w14:textFill>
            <w14:solidFill>
              <w14:schemeClr w14:val="tx1"/>
            </w14:solidFill>
          </w14:textFill>
        </w:rPr>
        <w:t>HZZFCG-2021-187</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杭州市档案馆、杭州市公共资源交易中心</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杭州市城市档案中心智慧库房智慧化综合管理平台及配套设施、智能密集架、防磁库采购项目【招标编号：</w:t>
      </w:r>
      <w:r>
        <w:rPr>
          <w:rFonts w:hint="eastAsia" w:ascii="仿宋_GB2312" w:hAnsi="仿宋" w:eastAsia="仿宋_GB2312"/>
          <w:color w:val="000000" w:themeColor="text1"/>
          <w:sz w:val="24"/>
          <w:highlight w:val="none"/>
          <w14:textFill>
            <w14:solidFill>
              <w14:schemeClr w14:val="tx1"/>
            </w14:solidFill>
          </w14:textFill>
        </w:rPr>
        <w:t>HZZFCG-2021-187</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6"/>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pPr>
              <w:pStyle w:val="146"/>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highlight w:val="none"/>
          <w14:textFill>
            <w14:solidFill>
              <w14:schemeClr w14:val="tx1"/>
            </w14:solidFill>
          </w14:textFill>
        </w:rPr>
        <w:t>自愿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highlight w:val="none"/>
          <w14:textFill>
            <w14:solidFill>
              <w14:schemeClr w14:val="tx1"/>
            </w14:solidFill>
          </w14:textFill>
        </w:rPr>
        <w:t>参加</w:t>
      </w:r>
      <w:r>
        <w:rPr>
          <w:rFonts w:hint="eastAsia" w:ascii="仿宋_GB2312" w:hAnsi="仿宋" w:eastAsia="仿宋_GB2312" w:cs="仿宋_GB2312"/>
          <w:color w:val="000000" w:themeColor="text1"/>
          <w:sz w:val="24"/>
          <w:highlight w:val="none"/>
          <w14:textFill>
            <w14:solidFill>
              <w14:schemeClr w14:val="tx1"/>
            </w14:solidFill>
          </w14:textFill>
        </w:rPr>
        <w:t>杭州市城市档案中心智慧库房智慧化综合管理平台及配套设施、智能密集架、防磁库采购项目【招标编号：</w:t>
      </w:r>
      <w:r>
        <w:rPr>
          <w:rFonts w:hint="eastAsia" w:ascii="仿宋_GB2312" w:hAnsi="仿宋" w:eastAsia="仿宋_GB2312"/>
          <w:color w:val="000000" w:themeColor="text1"/>
          <w:sz w:val="24"/>
          <w:highlight w:val="none"/>
          <w14:textFill>
            <w14:solidFill>
              <w14:schemeClr w14:val="tx1"/>
            </w14:solidFill>
          </w14:textFill>
        </w:rPr>
        <w:t>HZZFCG-2021-187</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highlight w:val="none"/>
          <w14:textFill>
            <w14:solidFill>
              <w14:schemeClr w14:val="tx1"/>
            </w14:solidFill>
          </w14:textFill>
        </w:rPr>
        <w:t>为联合体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牵头人</w:t>
      </w:r>
      <w:r>
        <w:rPr>
          <w:rFonts w:hint="eastAsia" w:ascii="仿宋_GB2312" w:hAnsi="仿宋" w:eastAsia="仿宋_GB2312" w:cs="Arial"/>
          <w:color w:val="000000" w:themeColor="text1"/>
          <w:sz w:val="24"/>
          <w:highlight w:val="none"/>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w:t>
      </w:r>
      <w:r>
        <w:rPr>
          <w:rFonts w:hint="eastAsia" w:ascii="仿宋_GB2312" w:hAnsi="仿宋" w:eastAsia="仿宋_GB2312" w:cs="Arial"/>
          <w:color w:val="000000" w:themeColor="text1"/>
          <w:sz w:val="24"/>
          <w:highlight w:val="none"/>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14:textFill>
            <w14:solidFill>
              <w14:schemeClr w14:val="tx1"/>
            </w14:solidFill>
          </w14:textFill>
        </w:rPr>
        <w:t>提供的全部货物由小微企业制造，其合同份额占到合同总金额</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%以上；</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000000" w:themeColor="text1"/>
          <w:kern w:val="0"/>
          <w:sz w:val="24"/>
          <w:highlight w:val="none"/>
          <w:lang w:val="zh-CN"/>
          <w14:textFill>
            <w14:solidFill>
              <w14:schemeClr w14:val="tx1"/>
            </w14:solidFill>
          </w14:textFill>
        </w:rPr>
        <w:t xml:space="preserve"> 30%以上</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，对联合体报价给予</w:t>
      </w:r>
      <w:r>
        <w:rPr>
          <w:rFonts w:ascii="仿宋_GB2312" w:hAnsi="仿宋" w:eastAsia="仿宋_GB2312" w:cs="仿宋_GB2312"/>
          <w:b/>
          <w:color w:val="000000" w:themeColor="text1"/>
          <w:kern w:val="0"/>
          <w:sz w:val="24"/>
          <w:highlight w:val="none"/>
          <w:lang w:val="zh-CN"/>
          <w14:textFill>
            <w14:solidFill>
              <w14:schemeClr w14:val="tx1"/>
            </w14:solidFill>
          </w14:textFill>
        </w:rPr>
        <w:t>3%的扣除</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五、如果中标，</w:t>
      </w:r>
      <w:r>
        <w:rPr>
          <w:rFonts w:hint="eastAsia" w:ascii="仿宋_GB2312" w:hAnsi="仿宋" w:eastAsia="仿宋_GB2312"/>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right="480"/>
        <w:rPr>
          <w:rFonts w:ascii="仿宋_GB2312" w:hAnsi="仿宋" w:eastAsia="仿宋_GB2312" w:cs="仿宋_GB2312"/>
          <w:b/>
          <w:color w:val="000000" w:themeColor="text1"/>
          <w:kern w:val="0"/>
          <w:sz w:val="32"/>
          <w:szCs w:val="32"/>
          <w:highlight w:val="none"/>
          <w:lang w:val="zh-CN"/>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若成为</w:t>
      </w:r>
      <w:r>
        <w:rPr>
          <w:rFonts w:hint="eastAsia" w:ascii="仿宋_GB2312" w:hAnsi="仿宋" w:eastAsia="仿宋_GB2312" w:cs="仿宋_GB2312"/>
          <w:color w:val="000000" w:themeColor="text1"/>
          <w:sz w:val="24"/>
          <w:highlight w:val="none"/>
          <w14:textFill>
            <w14:solidFill>
              <w14:schemeClr w14:val="tx1"/>
            </w14:solidFill>
          </w14:textFill>
        </w:rPr>
        <w:t>杭州市城市档案中心智慧库房智慧化综合管理平台及配套设施、智能密集架、防磁库采购项目【招标编号：</w:t>
      </w:r>
      <w:r>
        <w:rPr>
          <w:rFonts w:hint="eastAsia" w:ascii="仿宋_GB2312" w:hAnsi="仿宋" w:eastAsia="仿宋_GB2312"/>
          <w:color w:val="000000" w:themeColor="text1"/>
          <w:sz w:val="24"/>
          <w:highlight w:val="none"/>
          <w14:textFill>
            <w14:solidFill>
              <w14:schemeClr w14:val="tx1"/>
            </w14:solidFill>
          </w14:textFill>
        </w:rPr>
        <w:t>HZZFCG-2021-187</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14:textFill>
            <w14:solidFill>
              <w14:schemeClr w14:val="tx1"/>
            </w14:solidFill>
          </w14:textFill>
        </w:rPr>
        <w:t>与</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highlight w:val="none"/>
          <w14:textFill>
            <w14:solidFill>
              <w14:schemeClr w14:val="tx1"/>
            </w14:solidFill>
          </w14:textFill>
        </w:rPr>
        <w:t>达成分包意向协议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将</w:t>
      </w:r>
      <w:r>
        <w:rPr>
          <w:rFonts w:ascii="仿宋_GB2312" w:hAnsi="仿宋" w:eastAsia="仿宋_GB2312"/>
          <w:color w:val="000000" w:themeColor="text1"/>
          <w:highlight w:val="none"/>
          <w:u w:val="single"/>
          <w14:textFill>
            <w14:solidFill>
              <w14:schemeClr w14:val="tx1"/>
            </w14:solidFill>
          </w14:textFill>
        </w:rPr>
        <w:t xml:space="preserve">   XX工作内容   </w:t>
      </w:r>
      <w:r>
        <w:rPr>
          <w:rFonts w:hint="eastAsia" w:ascii="仿宋_GB2312" w:hAnsi="仿宋" w:eastAsia="仿宋_GB2312" w:cs="Arial"/>
          <w:color w:val="000000" w:themeColor="text1"/>
          <w:sz w:val="24"/>
          <w:highlight w:val="none"/>
          <w14:textFill>
            <w14:solidFill>
              <w14:schemeClr w14:val="tx1"/>
            </w14:solidFill>
          </w14:textFill>
        </w:rPr>
        <w:t>分包给</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具备承</w:t>
      </w:r>
      <w:r>
        <w:rPr>
          <w:rFonts w:hint="eastAsia" w:ascii="仿宋_GB2312" w:hAnsi="仿宋" w:eastAsia="仿宋_GB2312" w:cs="仿宋_GB2312"/>
          <w:color w:val="000000" w:themeColor="text1"/>
          <w:kern w:val="0"/>
          <w:sz w:val="24"/>
          <w:highlight w:val="none"/>
          <w14:textFill>
            <w14:solidFill>
              <w14:schemeClr w14:val="tx1"/>
            </w14:solidFill>
          </w14:textFill>
        </w:rPr>
        <w:t>担</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相应资质条件且不得再次分包；……</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highlight w:val="none"/>
          <w:u w:val="single"/>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七、其他</w:t>
      </w:r>
    </w:p>
    <w:p>
      <w:pPr>
        <w:snapToGrid w:val="0"/>
        <w:spacing w:line="360" w:lineRule="auto"/>
        <w:ind w:firstLine="576"/>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（分包供应商名称）提供的货物全部由小微企业制造，</w:t>
      </w:r>
      <w:r>
        <w:rPr>
          <w:rFonts w:hint="eastAsia" w:ascii="仿宋_GB2312" w:hAnsi="仿宋" w:eastAsia="仿宋_GB2312" w:cs="仿宋_GB2312"/>
          <w:color w:val="000000" w:themeColor="text1"/>
          <w:kern w:val="0"/>
          <w:sz w:val="24"/>
          <w:highlight w:val="none"/>
          <w14:textFill>
            <w14:solidFill>
              <w14:schemeClr w14:val="tx1"/>
            </w14:solidFill>
          </w14:textFill>
        </w:rPr>
        <w:t>其合同份额占到合同总金额</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%以上</w:t>
      </w:r>
      <w:r>
        <w:rPr>
          <w:rFonts w:hint="eastAsia" w:ascii="仿宋_GB2312" w:hAnsi="仿宋" w:eastAsia="仿宋_GB2312"/>
          <w:color w:val="000000" w:themeColor="text1"/>
          <w:highlight w:val="none"/>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000000" w:themeColor="text1"/>
          <w:kern w:val="0"/>
          <w:sz w:val="24"/>
          <w:highlight w:val="none"/>
          <w:lang w:val="zh-CN"/>
          <w14:textFill>
            <w14:solidFill>
              <w14:schemeClr w14:val="tx1"/>
            </w14:solidFill>
          </w14:textFill>
        </w:rPr>
        <w:t xml:space="preserve"> 30%以上</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的，对大中型企业的报价给予</w:t>
      </w:r>
      <w:r>
        <w:rPr>
          <w:rFonts w:ascii="仿宋_GB2312" w:hAnsi="仿宋" w:eastAsia="仿宋_GB2312" w:cs="仿宋_GB2312"/>
          <w:b/>
          <w:color w:val="000000" w:themeColor="text1"/>
          <w:kern w:val="0"/>
          <w:sz w:val="24"/>
          <w:highlight w:val="none"/>
          <w:lang w:val="zh-CN"/>
          <w14:textFill>
            <w14:solidFill>
              <w14:schemeClr w14:val="tx1"/>
            </w14:solidFill>
          </w14:textFill>
        </w:rPr>
        <w:t>3%的扣除</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w:t>
            </w:r>
            <w:r>
              <w:rPr>
                <w:rFonts w:hint="eastAsia" w:ascii="仿宋_GB2312" w:hAnsi="仿宋" w:eastAsia="仿宋_GB2312" w:cs="仿宋_GB2312"/>
                <w:color w:val="000000" w:themeColor="text1"/>
                <w:sz w:val="24"/>
                <w:highlight w:val="none"/>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仿宋" w:hAnsi="仿宋" w:eastAsia="仿宋" w:cs="仿宋_GB2312"/>
                <w:color w:val="000000" w:themeColor="text1"/>
                <w:sz w:val="24"/>
                <w:highlight w:val="none"/>
                <w14:textFill>
                  <w14:solidFill>
                    <w14:schemeClr w14:val="tx1"/>
                  </w14:solidFill>
                </w14:textFill>
              </w:rPr>
            </w:pPr>
          </w:p>
          <w:p>
            <w:pP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rPr>
                <w:color w:val="000000" w:themeColor="text1"/>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第</w:t>
            </w:r>
            <w:r>
              <w:rPr>
                <w:rFonts w:ascii="仿宋" w:eastAsia="仿宋" w:cs="仿宋_GB2312"/>
                <w:color w:val="000000" w:themeColor="text1"/>
                <w:sz w:val="24"/>
                <w:highlight w:val="none"/>
                <w:u w:val="single"/>
                <w14:textFill>
                  <w14:solidFill>
                    <w14:schemeClr w14:val="tx1"/>
                  </w14:solidFill>
                </w14:textFill>
              </w:rPr>
              <w:t xml:space="preserve">  </w:t>
            </w:r>
            <w:r>
              <w:rPr>
                <w:rFonts w:hint="eastAsia" w:asci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节能产品认证证书（本项目</w:t>
            </w:r>
            <w:r>
              <w:rPr>
                <w:rFonts w:hint="eastAsia" w:ascii="仿宋_GB2312" w:hAnsi="仿宋" w:eastAsia="仿宋_GB2312"/>
                <w:color w:val="000000" w:themeColor="text1"/>
                <w:sz w:val="24"/>
                <w:highlight w:val="none"/>
                <w14:textFill>
                  <w14:solidFill>
                    <w14:schemeClr w14:val="tx1"/>
                  </w14:solidFill>
                </w14:textFill>
              </w:rPr>
              <w:t>拟采购的产品</w:t>
            </w:r>
            <w:r>
              <w:rPr>
                <w:rFonts w:hint="eastAsia" w:ascii="仿宋_GB2312" w:hAnsi="仿宋" w:eastAsia="仿宋_GB2312"/>
                <w:color w:val="000000" w:themeColor="text1"/>
                <w:sz w:val="24"/>
                <w:highlight w:val="none"/>
                <w:lang w:val="en-US" w:eastAsia="zh-CN"/>
                <w14:textFill>
                  <w14:solidFill>
                    <w14:schemeClr w14:val="tx1"/>
                  </w14:solidFill>
                </w14:textFill>
              </w:rPr>
              <w:t>无</w:t>
            </w:r>
            <w:r>
              <w:rPr>
                <w:rFonts w:hint="eastAsia" w:ascii="仿宋_GB2312" w:hAnsi="仿宋" w:eastAsia="仿宋_GB2312"/>
                <w:color w:val="000000" w:themeColor="text1"/>
                <w:sz w:val="24"/>
                <w:highlight w:val="none"/>
                <w14:textFill>
                  <w14:solidFill>
                    <w14:schemeClr w14:val="tx1"/>
                  </w14:solidFill>
                </w14:textFill>
              </w:rPr>
              <w:t>政府强制采购的节能产品的</w:t>
            </w:r>
            <w:r>
              <w:rPr>
                <w:rFonts w:hint="eastAsia" w:ascii="仿宋_GB2312" w:hAnsi="仿宋" w:eastAsia="仿宋_GB2312" w:cs="仿宋_GB2312"/>
                <w:color w:val="000000" w:themeColor="text1"/>
                <w:sz w:val="24"/>
                <w:highlight w:val="none"/>
                <w14:textFill>
                  <w14:solidFill>
                    <w14:schemeClr w14:val="tx1"/>
                  </w14:solidFill>
                </w14:textFill>
              </w:rPr>
              <w:t>，无需提供）</w:t>
            </w:r>
          </w:p>
        </w:tc>
        <w:tc>
          <w:tcPr>
            <w:tcW w:w="1418" w:type="dxa"/>
          </w:tcPr>
          <w:p>
            <w:pPr>
              <w:rPr>
                <w:rFonts w:ascii="仿宋" w:hAnsi="仿宋" w:eastAsia="仿宋" w:cs="仿宋_GB2312"/>
                <w:color w:val="000000" w:themeColor="text1"/>
                <w:sz w:val="24"/>
                <w:highlight w:val="none"/>
                <w14:textFill>
                  <w14:solidFill>
                    <w14:schemeClr w14:val="tx1"/>
                  </w14:solidFill>
                </w14:textFill>
              </w:rPr>
            </w:pPr>
          </w:p>
          <w:p>
            <w:pPr>
              <w:rPr>
                <w:rFonts w:ascii="仿宋" w:hAnsi="仿宋" w:eastAsia="仿宋" w:cs="仿宋_GB2312"/>
                <w:color w:val="000000" w:themeColor="text1"/>
                <w:sz w:val="24"/>
                <w:highlight w:val="none"/>
                <w14:textFill>
                  <w14:solidFill>
                    <w14:schemeClr w14:val="tx1"/>
                  </w14:solidFill>
                </w14:textFill>
              </w:rPr>
            </w:pPr>
          </w:p>
          <w:p>
            <w:pP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pStyle w:val="2"/>
              <w:rPr>
                <w:color w:val="000000" w:themeColor="text1"/>
                <w:highlight w:val="none"/>
                <w:lang w:val="en-US"/>
                <w14:textFill>
                  <w14:solidFill>
                    <w14:schemeClr w14:val="tx1"/>
                  </w14:solidFill>
                </w14:textFill>
              </w:rPr>
            </w:pPr>
            <w:r>
              <w:rPr>
                <w:rFonts w:hint="eastAsia" w:ascii="仿宋" w:eastAsia="仿宋" w:cs="仿宋_GB2312"/>
                <w:b w:val="0"/>
                <w:bCs w:val="0"/>
                <w:color w:val="000000" w:themeColor="text1"/>
                <w:sz w:val="24"/>
                <w:szCs w:val="24"/>
                <w:highlight w:val="none"/>
                <w:lang w:val="en-US"/>
                <w14:textFill>
                  <w14:solidFill>
                    <w14:schemeClr w14:val="tx1"/>
                  </w14:solidFill>
                </w14:textFill>
              </w:rPr>
              <w:t>第</w:t>
            </w:r>
            <w:r>
              <w:rPr>
                <w:rFonts w:ascii="仿宋" w:eastAsia="仿宋" w:cs="仿宋_GB2312"/>
                <w:b w:val="0"/>
                <w:bCs w:val="0"/>
                <w:color w:val="000000" w:themeColor="text1"/>
                <w:sz w:val="24"/>
                <w:szCs w:val="24"/>
                <w:highlight w:val="none"/>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投标函</w:t>
            </w:r>
          </w:p>
        </w:tc>
        <w:tc>
          <w:tcPr>
            <w:tcW w:w="1418" w:type="dxa"/>
          </w:tcPr>
          <w:p>
            <w:pP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不存在如下情形：投标文件不满足招标文件的其它实质性要求。</w:t>
            </w:r>
          </w:p>
        </w:tc>
        <w:tc>
          <w:tcPr>
            <w:tcW w:w="2551" w:type="dxa"/>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除上述三项实质性要求外，招标文件其它实质性要求相应的材料，</w:t>
            </w:r>
            <w:r>
              <w:rPr>
                <w:rFonts w:hint="eastAsia" w:ascii="仿宋_GB2312" w:hAnsi="仿宋" w:eastAsia="仿宋_GB2312"/>
                <w:b/>
                <w:bCs/>
                <w:color w:val="000000" w:themeColor="text1"/>
                <w:sz w:val="24"/>
                <w:highlight w:val="none"/>
                <w14:textFill>
                  <w14:solidFill>
                    <w14:schemeClr w14:val="tx1"/>
                  </w14:solidFill>
                </w14:textFill>
              </w:rPr>
              <w:t>可提供</w:t>
            </w:r>
            <w:r>
              <w:rPr>
                <w:rFonts w:hint="eastAsia" w:ascii="仿宋_GB2312" w:hAnsi="仿宋" w:eastAsia="仿宋_GB2312" w:cs="仿宋_GB2312"/>
                <w:b/>
                <w:bCs/>
                <w:color w:val="000000" w:themeColor="text1"/>
                <w:kern w:val="0"/>
                <w:sz w:val="24"/>
                <w:highlight w:val="none"/>
                <w14:textFill>
                  <w14:solidFill>
                    <w14:schemeClr w14:val="tx1"/>
                  </w14:solidFill>
                </w14:textFill>
              </w:rPr>
              <w:t>对实质性要求无偏离的商务技术偏离表</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14:textFill>
                  <w14:solidFill>
                    <w14:schemeClr w14:val="tx1"/>
                  </w14:solidFill>
                </w14:textFill>
              </w:rPr>
              <w:t>系指实质性要求条款，招标文件无其它实质性要求的，无需提供）</w:t>
            </w:r>
          </w:p>
        </w:tc>
        <w:tc>
          <w:tcPr>
            <w:tcW w:w="1418" w:type="dxa"/>
          </w:tcPr>
          <w:p>
            <w:pP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序号</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1</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2</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bl>
    <w:p>
      <w:pPr>
        <w:jc w:val="left"/>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八、</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杭州市档案馆、杭州市公共资源交易中心</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我单位响应你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二、不为项目有关人员及部门报销应由你方单位或个人支付的费用；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三、不向项目有关人员及部门提供有可能影响公正的宴请和健身娱乐等活动；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六、严格遵守《</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政府采购法》《</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法》</w:t>
      </w:r>
      <w:r>
        <w:rPr>
          <w:rFonts w:hint="eastAsia" w:ascii="仿宋_GB2312" w:hAnsi="楷体" w:eastAsia="仿宋_GB2312"/>
          <w:color w:val="000000" w:themeColor="text1"/>
          <w:sz w:val="24"/>
          <w:highlight w:val="none"/>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等法律法规，诚实守信，合法经营，坚决抵制各种违法违纪行为。</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投标人名称（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spacing w:line="360" w:lineRule="auto"/>
        <w:ind w:left="4620" w:leftChars="2200"/>
        <w:rPr>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仿宋_GB2312" w:hAnsi="仿宋" w:eastAsia="仿宋_GB2312" w:cs="仿宋_GB2312"/>
          <w:b/>
          <w:bCs/>
          <w:color w:val="000000" w:themeColor="text1"/>
          <w:sz w:val="24"/>
          <w:highlight w:val="none"/>
          <w14:textFill>
            <w14:solidFill>
              <w14:schemeClr w14:val="tx1"/>
            </w14:solidFill>
          </w14:textFill>
        </w:rPr>
      </w:pPr>
    </w:p>
    <w:p>
      <w:pPr>
        <w:spacing w:line="360" w:lineRule="auto"/>
        <w:jc w:val="center"/>
        <w:rPr>
          <w:rFonts w:ascii="仿宋_GB2312" w:hAnsi="仿宋" w:eastAsia="仿宋_GB2312" w:cs="仿宋_GB2312"/>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1）开标一览表（报价表）……</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2）中小企业声明函……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杭州市档案馆、杭州市公共资源交易中心</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482"/>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themeColor="text1"/>
          <w:sz w:val="24"/>
          <w:highlight w:val="none"/>
          <w14:textFill>
            <w14:solidFill>
              <w14:schemeClr w14:val="tx1"/>
            </w14:solidFill>
          </w14:textFill>
        </w:rPr>
        <w:t>杭州市城市档案中心智慧库房智慧化综合管理平台及配套设施、智能密集架、防磁库采购项目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【招标编号：</w:t>
      </w:r>
      <w:r>
        <w:rPr>
          <w:rFonts w:hint="eastAsia" w:ascii="仿宋_GB2312" w:hAnsi="仿宋" w:eastAsia="仿宋_GB2312"/>
          <w:color w:val="000000" w:themeColor="text1"/>
          <w:sz w:val="24"/>
          <w:highlight w:val="none"/>
          <w14:textFill>
            <w14:solidFill>
              <w14:schemeClr w14:val="tx1"/>
            </w14:solidFill>
          </w14:textFill>
        </w:rPr>
        <w:t>HZZFCG-2021-187</w:t>
      </w:r>
      <w:r>
        <w:rPr>
          <w:rFonts w:hint="eastAsia" w:ascii="仿宋_GB2312" w:hAnsi="仿宋" w:eastAsia="仿宋_GB2312" w:cs="仿宋_GB2312"/>
          <w:color w:val="000000" w:themeColor="text1"/>
          <w:sz w:val="24"/>
          <w:highlight w:val="none"/>
          <w14:textFill>
            <w14:solidFill>
              <w14:schemeClr w14:val="tx1"/>
            </w14:solidFill>
          </w14:textFill>
        </w:rPr>
        <w:t>】的实施</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开标一览表（报价表）</w:t>
      </w:r>
      <w:r>
        <w:rPr>
          <w:rFonts w:ascii="仿宋_GB2312" w:hAnsi="仿宋" w:eastAsia="仿宋_GB2312" w:cs="仿宋_GB2312"/>
          <w:b/>
          <w:color w:val="000000" w:themeColor="text1"/>
          <w:kern w:val="0"/>
          <w:sz w:val="24"/>
          <w:highlight w:val="none"/>
          <w:lang w:val="zh-CN"/>
          <w14:textFill>
            <w14:solidFill>
              <w14:schemeClr w14:val="tx1"/>
            </w14:solidFill>
          </w14:textFill>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序号</w:t>
            </w:r>
          </w:p>
        </w:tc>
        <w:tc>
          <w:tcPr>
            <w:tcW w:w="1417" w:type="dxa"/>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名称</w:t>
            </w:r>
          </w:p>
        </w:tc>
        <w:tc>
          <w:tcPr>
            <w:tcW w:w="1843" w:type="dxa"/>
          </w:tcPr>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品牌（如果有）</w:t>
            </w:r>
          </w:p>
        </w:tc>
        <w:tc>
          <w:tcPr>
            <w:tcW w:w="3118" w:type="dxa"/>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规格型号（或具体服务）</w:t>
            </w:r>
          </w:p>
        </w:tc>
        <w:tc>
          <w:tcPr>
            <w:tcW w:w="993" w:type="dxa"/>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数量</w:t>
            </w:r>
          </w:p>
        </w:tc>
        <w:tc>
          <w:tcPr>
            <w:tcW w:w="1559" w:type="dxa"/>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单价</w:t>
            </w:r>
          </w:p>
        </w:tc>
        <w:tc>
          <w:tcPr>
            <w:tcW w:w="1984" w:type="dxa"/>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总价</w:t>
            </w:r>
          </w:p>
        </w:tc>
        <w:tc>
          <w:tcPr>
            <w:tcW w:w="3119" w:type="dxa"/>
            <w:vAlign w:val="center"/>
          </w:tcPr>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w:t>
            </w:r>
          </w:p>
        </w:tc>
        <w:tc>
          <w:tcPr>
            <w:tcW w:w="1417"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p>
        </w:tc>
        <w:tc>
          <w:tcPr>
            <w:tcW w:w="1417"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p>
        </w:tc>
        <w:tc>
          <w:tcPr>
            <w:tcW w:w="1417"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417"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417"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投标报价（小写）</w:t>
            </w:r>
          </w:p>
        </w:tc>
        <w:tc>
          <w:tcPr>
            <w:tcW w:w="7655" w:type="dxa"/>
            <w:gridSpan w:val="4"/>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投标报价（大写）</w:t>
            </w:r>
          </w:p>
        </w:tc>
        <w:tc>
          <w:tcPr>
            <w:tcW w:w="7655" w:type="dxa"/>
            <w:gridSpan w:val="4"/>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1、投标人需按本表格式填写，不得自行更改。</w:t>
      </w:r>
    </w:p>
    <w:p>
      <w:pPr>
        <w:snapToGrid w:val="0"/>
        <w:spacing w:line="360" w:lineRule="auto"/>
        <w:ind w:left="48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各项明细费用请按实填写（不得出现“</w:t>
      </w:r>
      <w:r>
        <w:rPr>
          <w:rFonts w:ascii="仿宋_GB2312" w:hAnsi="仿宋" w:eastAsia="仿宋_GB2312" w:cs="仿宋_GB2312"/>
          <w:b/>
          <w:color w:val="000000" w:themeColor="text1"/>
          <w:kern w:val="0"/>
          <w:sz w:val="24"/>
          <w:highlight w:val="none"/>
          <w:lang w:val="zh-CN"/>
          <w14:textFill>
            <w14:solidFill>
              <w14:schemeClr w14:val="tx1"/>
            </w14:solidFill>
          </w14:textFill>
        </w:rPr>
        <w:t>0元”“免费赠送”等形式的无偿报价）；采购内容未包含在《投标（开标）一览表》报价内容（报价名称）中，投标人不能</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作出合理解释的，采购人将不接受该报价。</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4、特别提示：采购机构将对项目名称和项目编号，中标供应商名称、地址和中标金额，主要中标标的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szCs w:val="22"/>
          <w:highlight w:val="none"/>
          <w:lang w:val="zh-CN"/>
          <w14:textFill>
            <w14:solidFill>
              <w14:schemeClr w14:val="tx1"/>
            </w14:solidFill>
          </w14:textFill>
        </w:rPr>
        <w:t>5、</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w:t>
      </w:r>
      <w:r>
        <w:rPr>
          <w:rFonts w:ascii="仿宋_GB2312" w:hAnsi="仿宋" w:eastAsia="仿宋_GB2312" w:cs="仿宋_GB2312"/>
          <w:color w:val="000000" w:themeColor="text1"/>
          <w:kern w:val="0"/>
          <w:sz w:val="24"/>
          <w:highlight w:val="none"/>
          <w:lang w:val="zh-CN"/>
          <w14:textFill>
            <w14:solidFill>
              <w14:schemeClr w14:val="tx1"/>
            </w14:solidFill>
          </w14:textFill>
        </w:rPr>
        <w:t>提供</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的中小企业</w:t>
      </w:r>
      <w:r>
        <w:rPr>
          <w:rFonts w:ascii="仿宋_GB2312" w:hAnsi="仿宋" w:eastAsia="仿宋_GB2312" w:cs="仿宋_GB2312"/>
          <w:color w:val="000000" w:themeColor="text1"/>
          <w:kern w:val="0"/>
          <w:sz w:val="24"/>
          <w:highlight w:val="none"/>
          <w:lang w:val="zh-CN"/>
          <w14:textFill>
            <w14:solidFill>
              <w14:schemeClr w14:val="tx1"/>
            </w14:solidFill>
          </w14:textFill>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000000" w:themeColor="text1"/>
          <w:kern w:val="0"/>
          <w:sz w:val="24"/>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jc w:val="both"/>
        <w:outlineLvl w:val="9"/>
        <w:rPr>
          <w:rFonts w:ascii="仿宋_GB2312" w:hAnsi="仿宋" w:eastAsia="仿宋_GB2312" w:cs="仿宋_GB2312"/>
          <w:color w:val="000000" w:themeColor="text1"/>
          <w:kern w:val="2"/>
          <w:sz w:val="24"/>
          <w:szCs w:val="24"/>
          <w:highlight w:val="none"/>
          <w14:textFill>
            <w14:solidFill>
              <w14:schemeClr w14:val="tx1"/>
            </w14:solidFill>
          </w14:textFill>
        </w:rPr>
      </w:pPr>
      <w:r>
        <w:rPr>
          <w:rFonts w:hint="eastAsia" w:ascii="仿宋_GB2312" w:hAnsi="仿宋" w:eastAsia="仿宋_GB2312" w:cs="仿宋_GB2312"/>
          <w:color w:val="000000" w:themeColor="text1"/>
          <w:kern w:val="2"/>
          <w:sz w:val="24"/>
          <w:szCs w:val="24"/>
          <w:highlight w:val="none"/>
          <w14:textFill>
            <w14:solidFill>
              <w14:schemeClr w14:val="tx1"/>
            </w14:solidFill>
          </w14:textFill>
        </w:rPr>
        <w:t>附：部分设备单价表。请注明以下设备单价，否则，视为投标文件含有采购人不能接受的附加条件，投标无效。</w:t>
      </w:r>
    </w:p>
    <w:tbl>
      <w:tblPr>
        <w:tblStyle w:val="62"/>
        <w:tblW w:w="96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755"/>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9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themeColor="text1"/>
                <w:kern w:val="0"/>
                <w:sz w:val="24"/>
                <w:szCs w:val="24"/>
                <w:highlight w:val="none"/>
                <w:lang w:bidi="ar"/>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部分设备单价表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序号</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设备名称</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仿宋_GB2312"/>
                <w:color w:val="000000" w:themeColor="text1"/>
                <w:spacing w:val="-2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bidi="ar"/>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平台数据存储设备（国产化）</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w:t>
            </w:r>
            <w:r>
              <w:rPr>
                <w:rFonts w:hint="eastAsia" w:ascii="仿宋" w:hAnsi="仿宋" w:eastAsia="仿宋" w:cs="仿宋"/>
                <w:color w:val="000000" w:themeColor="text1"/>
                <w:szCs w:val="24"/>
                <w:highlight w:val="none"/>
                <w:lang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超窄边拼接屏</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LCD屏框架</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HDMI线</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工控机</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6</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工业级电源</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7</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四面墙装饰</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8</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吊顶</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9</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静电地板</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单模光缆</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11</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综合控制柜</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12</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触摸显示屏</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13</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中心处理器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14</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区域控制器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15</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数据通讯控制器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16</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安全报警控制器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17</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三鉴入侵探测控制器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18</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漏水感应器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19</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防水接线盒</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20</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离子感烟控制器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21</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档案标签</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22</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层架标签</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23</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标签加工、档案数据注入、绑定</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w:t>
            </w:r>
            <w:r>
              <w:rPr>
                <w:rFonts w:hint="eastAsia" w:ascii="仿宋" w:hAnsi="仿宋" w:eastAsia="仿宋" w:cs="仿宋"/>
                <w:color w:val="000000" w:themeColor="text1"/>
                <w:sz w:val="24"/>
                <w:szCs w:val="24"/>
                <w:highlight w:val="none"/>
                <w:lang w:bidi="ar"/>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24</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数据对应、档案定位</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w:t>
            </w:r>
            <w:r>
              <w:rPr>
                <w:rFonts w:hint="eastAsia" w:ascii="仿宋" w:hAnsi="仿宋" w:eastAsia="仿宋" w:cs="仿宋"/>
                <w:color w:val="000000" w:themeColor="text1"/>
                <w:sz w:val="24"/>
                <w:szCs w:val="24"/>
                <w:highlight w:val="none"/>
                <w:lang w:bidi="ar"/>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25</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安全通道设备</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w:t>
            </w:r>
            <w:r>
              <w:rPr>
                <w:rFonts w:hint="eastAsia" w:ascii="仿宋" w:hAnsi="仿宋" w:eastAsia="仿宋" w:cs="仿宋"/>
                <w:color w:val="000000" w:themeColor="text1"/>
                <w:sz w:val="24"/>
                <w:szCs w:val="24"/>
                <w:highlight w:val="none"/>
                <w:lang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26</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能源数据管理中心</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27</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能源区域管理器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28</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能源数据采集器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29</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智能灯光管理中心</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30</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灯光区域指引管理器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31</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被动红外控制器</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32</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指引采集终端</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33</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智能密集架系统</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34</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库壳体建设</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35</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地板装饰（含踢脚线）</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36</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四面装饰</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37</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顶部装饰</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38</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电子档案存储设备</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bidi="ar"/>
                <w14:textFill>
                  <w14:solidFill>
                    <w14:schemeClr w14:val="tx1"/>
                  </w14:solidFill>
                </w14:textFill>
              </w:rPr>
              <w:t>元/立方米</w:t>
            </w:r>
          </w:p>
        </w:tc>
      </w:tr>
    </w:tbl>
    <w:p>
      <w:pPr>
        <w:pStyle w:val="690"/>
        <w:keepNext w:val="0"/>
        <w:pageBreakBefore w:val="0"/>
        <w:tabs>
          <w:tab w:val="clear" w:pos="720"/>
        </w:tabs>
        <w:snapToGrid w:val="0"/>
        <w:spacing w:before="120" w:after="120"/>
        <w:ind w:firstLine="643"/>
        <w:jc w:val="both"/>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二、</w:t>
      </w:r>
      <w:r>
        <w:rPr>
          <w:rFonts w:hint="eastAsia" w:ascii="仿宋_GB2312" w:hAnsi="宋体" w:eastAsia="仿宋_GB2312"/>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highlight w:val="none"/>
          <w14:textFill>
            <w14:solidFill>
              <w14:schemeClr w14:val="tx1"/>
            </w14:solidFill>
          </w14:textFill>
        </w:rPr>
        <w:t>5）。</w:t>
      </w:r>
      <w:r>
        <w:rPr>
          <w:rFonts w:hint="eastAsia" w:ascii="仿宋_GB2312" w:hAnsi="仿宋" w:eastAsia="仿宋_GB2312" w:cs="仿宋_GB2312"/>
          <w:b/>
          <w:color w:val="000000" w:themeColor="text1"/>
          <w:sz w:val="24"/>
          <w:highlight w:val="none"/>
          <w14:textFill>
            <w14:solidFill>
              <w14:schemeClr w14:val="tx1"/>
            </w14:solidFill>
          </w14:textFill>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_GB2312" w:hAnsi="仿宋" w:eastAsia="仿宋_GB2312" w:cs="仿宋_GB2312"/>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中国银保监会浙江监管局、杭州市人民政府金融工作办公室、杭州市经济和信息化局制定《杭州市政府采购支持中小企业信用融资管理办法。相关事项通知如下：</w:t>
      </w:r>
    </w:p>
    <w:p>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一、适用对象</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二、相关信息获取方式</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三、　政府采购信用融资操作流程：</w:t>
      </w:r>
    </w:p>
    <w:p>
      <w:pPr>
        <w:spacing w:line="360" w:lineRule="auto"/>
        <w:ind w:firstLine="960" w:firstLineChars="4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（一）线上融资模式：</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1.供应商根据合作银行提供的方案，自行选择金融产品，并办理开户等手续；</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2.供应商中标后，可通过杭州市政府采购网或“浙里办”测算授信额度；</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3.采购合同签订后，供应商在杭州市政府采购网或“浙里办”向合作银行发出融资申请；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4.审批通过后，在线办理放贷手续。</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（二）线下融资模式：</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2.采购合同签订后，供应商在杭州市政府采购网或“浙里办”向合作银行发出融资申请；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w:t>
      </w:r>
      <w:r>
        <w:rPr>
          <w:rFonts w:ascii="仿宋" w:hAnsi="仿宋" w:eastAsia="仿宋"/>
          <w:color w:val="000000" w:themeColor="text1"/>
          <w:sz w:val="24"/>
          <w:highlight w:val="none"/>
          <w14:textFill>
            <w14:solidFill>
              <w14:schemeClr w14:val="tx1"/>
            </w14:solidFill>
          </w14:textFill>
        </w:rPr>
        <w:t>4.审批通过后，合作银行应按照合作备忘录中约定的审批放款期限和优惠利率及时予以放款。</w:t>
      </w:r>
    </w:p>
    <w:p>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四、注意事项</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000000" w:themeColor="text1"/>
          <w:sz w:val="24"/>
          <w:highlight w:val="none"/>
          <w14:textFill>
            <w14:solidFill>
              <w14:schemeClr w14:val="tx1"/>
            </w14:solidFill>
          </w14:textFill>
        </w:rPr>
        <w:t>。</w:t>
      </w:r>
    </w:p>
    <w:p>
      <w:pPr>
        <w:spacing w:line="360" w:lineRule="auto"/>
        <w:ind w:left="5060" w:hanging="5060" w:hangingChars="2100"/>
        <w:rPr>
          <w:rFonts w:ascii="仿宋_GB2312" w:hAnsi="仿宋" w:eastAsia="仿宋_GB2312" w:cs="仿宋_GB2312"/>
          <w:b/>
          <w:bCs/>
          <w:color w:val="000000" w:themeColor="text1"/>
          <w:kern w:val="0"/>
          <w:sz w:val="24"/>
          <w:highlight w:val="none"/>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000000" w:themeColor="text1"/>
          <w:highlight w:val="none"/>
          <w14:textFill>
            <w14:solidFill>
              <w14:schemeClr w14:val="tx1"/>
            </w14:solidFill>
          </w14:textFill>
        </w:rPr>
      </w:pPr>
      <w:bookmarkStart w:id="562" w:name="_Toc465665161"/>
      <w:r>
        <w:rPr>
          <w:rFonts w:hint="eastAsia" w:ascii="仿宋_GB2312" w:hAnsi="仿宋" w:eastAsia="仿宋_GB2312"/>
          <w:color w:val="000000" w:themeColor="text1"/>
          <w:highlight w:val="none"/>
          <w14:textFill>
            <w14:solidFill>
              <w14:schemeClr w14:val="tx1"/>
            </w14:solidFill>
          </w14:textFill>
        </w:rPr>
        <w:t>附件</w:t>
      </w:r>
      <w:bookmarkEnd w:id="562"/>
    </w:p>
    <w:p>
      <w:pPr>
        <w:spacing w:line="360" w:lineRule="auto"/>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1：</w:t>
      </w: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bookmarkStart w:id="563" w:name="OLE_LINK14"/>
      <w:bookmarkStart w:id="564" w:name="OLE_LINK13"/>
      <w:r>
        <w:rPr>
          <w:rFonts w:hint="eastAsia" w:ascii="仿宋_GB2312" w:hAnsi="仿宋" w:eastAsia="仿宋_GB2312"/>
          <w:b/>
          <w:color w:val="000000" w:themeColor="text1"/>
          <w:spacing w:val="6"/>
          <w:sz w:val="32"/>
          <w:szCs w:val="32"/>
          <w:highlight w:val="none"/>
          <w14:textFill>
            <w14:solidFill>
              <w14:schemeClr w14:val="tx1"/>
            </w14:solidFill>
          </w14:textFill>
        </w:rPr>
        <w:t>残疾人福利性单位声明函</w:t>
      </w:r>
    </w:p>
    <w:bookmarkEnd w:id="563"/>
    <w:bookmarkEnd w:id="564"/>
    <w:p>
      <w:pPr>
        <w:spacing w:line="360" w:lineRule="auto"/>
        <w:rPr>
          <w:rFonts w:ascii="仿宋_GB2312" w:hAnsi="仿宋" w:eastAsia="仿宋_GB2312"/>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本单位郑重声明，根据《财政部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民政部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中国残疾人联合会关于促进残疾人就业政府采购政策的通知》（财库〔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投标人名称（电子签名）</w:t>
      </w:r>
      <w:r>
        <w:rPr>
          <w:rFonts w:hint="eastAsia" w:ascii="仿宋_GB2312" w:hAnsi="仿宋" w:eastAsia="仿宋_GB2312" w:cs="仿宋_GB2312"/>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  期：</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质疑供应商：</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联系人：</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授权代表：</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ascii="仿宋_GB2312" w:hAnsi="仿宋" w:eastAsia="仿宋_GB2312" w:cs="仿宋"/>
          <w:color w:val="000000" w:themeColor="text1"/>
          <w:sz w:val="24"/>
          <w:highlight w:val="none"/>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14:textFill>
            <w14:solidFill>
              <w14:schemeClr w14:val="tx1"/>
            </w14:solidFill>
          </w14:textFill>
        </w:rPr>
        <w:t xml:space="preserve"> </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质疑项目的编号：</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包号：</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采购人名称：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采购文件获取日期：</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1：</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事实依据：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法律依据：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2</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请求：</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2.质疑供应商若委托代理人进行质疑的，</w:t>
      </w:r>
      <w:r>
        <w:rPr>
          <w:rFonts w:hint="eastAsia" w:ascii="仿宋_GB2312" w:hAnsi="仿宋" w:eastAsia="仿宋_GB2312"/>
          <w:color w:val="000000" w:themeColor="text1"/>
          <w:sz w:val="24"/>
          <w:highlight w:val="none"/>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6.质疑供应商为自然人的，</w:t>
      </w:r>
      <w:r>
        <w:rPr>
          <w:rFonts w:hint="eastAsia" w:ascii="仿宋_GB2312" w:hAnsi="仿宋" w:eastAsia="仿宋_GB2312"/>
          <w:color w:val="000000" w:themeColor="text1"/>
          <w:sz w:val="24"/>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000000" w:themeColor="text1"/>
          <w:sz w:val="30"/>
          <w:szCs w:val="30"/>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投诉书范本</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一、投诉相关主体基本情况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法定代表人</w:t>
      </w:r>
      <w:r>
        <w:rPr>
          <w:rFonts w:ascii="仿宋_GB2312" w:hAnsi="仿宋" w:eastAsia="仿宋_GB2312"/>
          <w:color w:val="000000" w:themeColor="text1"/>
          <w:sz w:val="24"/>
          <w:highlight w:val="none"/>
          <w14:textFill>
            <w14:solidFill>
              <w14:schemeClr w14:val="tx1"/>
            </w14:solidFill>
          </w14:textFill>
        </w:rPr>
        <w:t>/主要负责人：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授权代表：</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dotted"/>
          <w14:textFill>
            <w14:solidFill>
              <w14:schemeClr w14:val="tx1"/>
            </w14:solidFill>
          </w14:textFill>
        </w:rPr>
        <w:t>：</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1：</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相关供应商：</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二、投诉项目基本情况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采购项目编号：</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包号：</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采购人名称：</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代理机构名称：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采购文件公告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采购结果公告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,向</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提出质疑，质疑事项为：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u w:val="dotted"/>
          <w14:textFill>
            <w14:solidFill>
              <w14:schemeClr w14:val="tx1"/>
            </w14:solidFill>
          </w14:textFill>
        </w:rPr>
        <w:t>采购人</w:t>
      </w:r>
      <w:r>
        <w:rPr>
          <w:rFonts w:ascii="仿宋_GB2312" w:hAnsi="仿宋" w:eastAsia="仿宋_GB2312"/>
          <w:color w:val="000000" w:themeColor="text1"/>
          <w:sz w:val="24"/>
          <w:highlight w:val="none"/>
          <w:u w:val="dotted"/>
          <w14:textFill>
            <w14:solidFill>
              <w14:schemeClr w14:val="tx1"/>
            </w14:solidFill>
          </w14:textFill>
        </w:rPr>
        <w:t>/代理机构</w:t>
      </w:r>
      <w:r>
        <w:rPr>
          <w:rFonts w:hint="eastAsia" w:ascii="仿宋_GB2312" w:hAnsi="仿宋" w:eastAsia="仿宋_GB2312"/>
          <w:color w:val="000000" w:themeColor="text1"/>
          <w:sz w:val="24"/>
          <w:highlight w:val="none"/>
          <w14:textFill>
            <w14:solidFill>
              <w14:schemeClr w14:val="tx1"/>
            </w14:solidFill>
          </w14:textFill>
        </w:rPr>
        <w:t>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,就质疑事项</w:t>
      </w:r>
      <w:r>
        <w:rPr>
          <w:rFonts w:hint="eastAsia" w:ascii="仿宋_GB2312" w:hAnsi="仿宋" w:eastAsia="仿宋_GB2312"/>
          <w:color w:val="000000" w:themeColor="text1"/>
          <w:sz w:val="24"/>
          <w:highlight w:val="none"/>
          <w14:textFill>
            <w14:solidFill>
              <w14:schemeClr w14:val="tx1"/>
            </w14:solidFill>
          </w14:textFill>
        </w:rPr>
        <w:t>作出了答复</w:t>
      </w:r>
      <w:r>
        <w:rPr>
          <w:rFonts w:ascii="仿宋_GB2312" w:hAnsi="仿宋" w:eastAsia="仿宋_GB2312"/>
          <w:color w:val="000000" w:themeColor="text1"/>
          <w:sz w:val="24"/>
          <w:highlight w:val="none"/>
          <w14:textFill>
            <w14:solidFill>
              <w14:schemeClr w14:val="tx1"/>
            </w14:solidFill>
          </w14:textFill>
        </w:rPr>
        <w:t>/没有在法定期限内</w:t>
      </w:r>
      <w:r>
        <w:rPr>
          <w:rFonts w:hint="eastAsia" w:ascii="仿宋_GB2312" w:hAnsi="仿宋" w:eastAsia="仿宋_GB2312"/>
          <w:color w:val="000000" w:themeColor="text1"/>
          <w:sz w:val="24"/>
          <w:highlight w:val="none"/>
          <w14:textFill>
            <w14:solidFill>
              <w14:schemeClr w14:val="tx1"/>
            </w14:solidFill>
          </w14:textFill>
        </w:rPr>
        <w:t>作出答复。</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四、投诉事项具体内容</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 xml:space="preserve"> 1：</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事实依据：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法律依据：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请求：</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4：</w:t>
      </w:r>
      <w:r>
        <w:rPr>
          <w:rFonts w:hint="eastAsia" w:ascii="仿宋" w:hAnsi="仿宋" w:eastAsia="仿宋"/>
          <w:b/>
          <w:bCs/>
          <w:color w:val="000000" w:themeColor="text1"/>
          <w:sz w:val="32"/>
          <w:szCs w:val="32"/>
          <w:highlight w:val="none"/>
          <w14:textFill>
            <w14:solidFill>
              <w14:schemeClr w14:val="tx1"/>
            </w14:solidFill>
          </w14:textFill>
        </w:rPr>
        <w:t>业务专用章使用说明函</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u w:val="single"/>
          <w14:textFill>
            <w14:solidFill>
              <w14:schemeClr w14:val="tx1"/>
            </w14:solidFill>
          </w14:textFill>
        </w:rPr>
        <w:t>杭州市档案馆、杭州市公共资源交易中心</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我方</w:t>
      </w:r>
      <w:r>
        <w:rPr>
          <w:rFonts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ascii="仿宋" w:hAnsi="仿宋" w:eastAsia="仿宋" w:cs="仿宋_GB2312"/>
          <w:color w:val="000000" w:themeColor="text1"/>
          <w:sz w:val="24"/>
          <w:highlight w:val="none"/>
          <w14:textFill>
            <w14:solidFill>
              <w14:schemeClr w14:val="tx1"/>
            </w14:solidFill>
          </w14:textFill>
        </w:rPr>
        <w:t>(投标人全称)</w:t>
      </w:r>
      <w:r>
        <w:rPr>
          <w:rFonts w:hint="eastAsia" w:ascii="仿宋" w:hAnsi="仿宋" w:eastAsia="仿宋"/>
          <w:color w:val="000000" w:themeColor="text1"/>
          <w:sz w:val="24"/>
          <w:highlight w:val="none"/>
          <w14:textFill>
            <w14:solidFill>
              <w14:schemeClr w14:val="tx1"/>
            </w14:solidFill>
          </w14:textFill>
        </w:rPr>
        <w:t>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仿宋_GB2312"/>
          <w:color w:val="000000" w:themeColor="text1"/>
          <w:sz w:val="24"/>
          <w:highlight w:val="none"/>
          <w14:textFill>
            <w14:solidFill>
              <w14:schemeClr w14:val="tx1"/>
            </w14:solidFill>
          </w14:textFill>
        </w:rPr>
        <w:t>你方组织的</w:t>
      </w:r>
      <w:r>
        <w:rPr>
          <w:rFonts w:hint="eastAsia" w:ascii="仿宋_GB2312" w:hAnsi="仿宋" w:eastAsia="仿宋_GB2312" w:cs="仿宋_GB2312"/>
          <w:color w:val="000000" w:themeColor="text1"/>
          <w:sz w:val="24"/>
          <w:highlight w:val="none"/>
          <w14:textFill>
            <w14:solidFill>
              <w14:schemeClr w14:val="tx1"/>
            </w14:solidFill>
          </w14:textFill>
        </w:rPr>
        <w:t>杭州市城市档案中心智慧库房智慧化综合管理平台及配套设施、智能密集架、防磁库采购项目项目</w:t>
      </w:r>
      <w:r>
        <w:rPr>
          <w:rFonts w:hint="eastAsia" w:ascii="仿宋" w:hAnsi="仿宋" w:eastAsia="仿宋" w:cs="仿宋_GB2312"/>
          <w:color w:val="000000" w:themeColor="text1"/>
          <w:sz w:val="24"/>
          <w:highlight w:val="none"/>
          <w14:textFill>
            <w14:solidFill>
              <w14:schemeClr w14:val="tx1"/>
            </w14:solidFill>
          </w14:textFill>
        </w:rPr>
        <w:t>【招标编号：HZZFCG-2021-187</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我方所使用的“</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专用章”与法定名称章具有同等的法律效力，对使用“</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专用章”的行为予以完全承认，并愿意承担相应责任。</w:t>
      </w:r>
      <w:r>
        <w:rPr>
          <w:rFonts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 xml:space="preserve">                              日期：       年     月     日</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pPr>
        <w:spacing w:line="360" w:lineRule="auto"/>
        <w:rPr>
          <w:rFonts w:ascii="仿宋" w:hAnsi="仿宋" w:eastAsia="仿宋"/>
          <w:bCs/>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w:t>
      </w:r>
      <w:r>
        <w:rPr>
          <w:rFonts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投标单位“</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5</w:t>
      </w:r>
      <w:r>
        <w:rPr>
          <w:rFonts w:hint="eastAsia" w:ascii="仿宋" w:hAnsi="仿宋" w:eastAsia="仿宋"/>
          <w:b/>
          <w:color w:val="000000" w:themeColor="text1"/>
          <w:spacing w:val="6"/>
          <w:sz w:val="32"/>
          <w:szCs w:val="32"/>
          <w:highlight w:val="none"/>
          <w14:textFill>
            <w14:solidFill>
              <w14:schemeClr w14:val="tx1"/>
            </w14:solidFill>
          </w14:textFill>
        </w:rPr>
        <w:t>：</w:t>
      </w:r>
      <w:r>
        <w:rPr>
          <w:rFonts w:hint="eastAsia" w:ascii="仿宋_GB2312" w:hAnsi="宋体" w:eastAsia="仿宋_GB2312"/>
          <w:b/>
          <w:color w:val="000000" w:themeColor="text1"/>
          <w:sz w:val="32"/>
          <w:szCs w:val="32"/>
          <w:highlight w:val="none"/>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highlight w:val="none"/>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numPr>
          <w:ilvl w:val="0"/>
          <w:numId w:val="3"/>
        </w:num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u w:val="single"/>
          <w14:textFill>
            <w14:solidFill>
              <w14:schemeClr w14:val="tx1"/>
            </w14:solidFill>
          </w14:textFill>
        </w:rPr>
        <w:t>平台数据存储设备（国产化）</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超窄边拼接屏</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 xml:space="preserve"> LCD屏框架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w:t>
      </w:r>
      <w:r>
        <w:rPr>
          <w:rFonts w:hint="eastAsia" w:ascii="仿宋_GB2312" w:hAnsi="宋体" w:eastAsia="仿宋_GB2312"/>
          <w:color w:val="000000" w:themeColor="text1"/>
          <w:sz w:val="24"/>
          <w:highlight w:val="none"/>
          <w:u w:val="single"/>
          <w14:textFill>
            <w14:solidFill>
              <w14:schemeClr w14:val="tx1"/>
            </w14:solidFill>
          </w14:textFill>
        </w:rPr>
        <w:t xml:space="preserve">操作台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5.</w:t>
      </w:r>
      <w:r>
        <w:rPr>
          <w:rFonts w:hint="eastAsia" w:ascii="仿宋_GB2312" w:hAnsi="宋体" w:eastAsia="仿宋_GB2312"/>
          <w:color w:val="000000" w:themeColor="text1"/>
          <w:sz w:val="24"/>
          <w:highlight w:val="none"/>
          <w:u w:val="single"/>
          <w14:textFill>
            <w14:solidFill>
              <w14:schemeClr w14:val="tx1"/>
            </w14:solidFill>
          </w14:textFill>
        </w:rPr>
        <w:t xml:space="preserve">矩阵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6</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2"/>
          <w:highlight w:val="none"/>
          <w:u w:val="single"/>
          <w:lang w:bidi="ar"/>
          <w14:textFill>
            <w14:solidFill>
              <w14:schemeClr w14:val="tx1"/>
            </w14:solidFill>
          </w14:textFill>
        </w:rPr>
        <w:t>工控机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7</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 xml:space="preserve">工业级电源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 xml:space="preserve">    8.</w:t>
      </w:r>
      <w:r>
        <w:rPr>
          <w:rFonts w:hint="eastAsia" w:ascii="仿宋_GB2312" w:hAnsi="宋体" w:eastAsia="仿宋_GB2312"/>
          <w:color w:val="000000" w:themeColor="text1"/>
          <w:sz w:val="24"/>
          <w:highlight w:val="none"/>
          <w:u w:val="single"/>
          <w14:textFill>
            <w14:solidFill>
              <w14:schemeClr w14:val="tx1"/>
            </w14:solidFill>
          </w14:textFill>
        </w:rPr>
        <w:t>光纤收发器单模</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 xml:space="preserve">    9</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 xml:space="preserve">综合控制柜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rFonts w:hint="eastAsia" w:ascii="仿宋_GB2312" w:hAnsi="宋体" w:eastAsia="仿宋_GB2312"/>
          <w:color w:val="000000" w:themeColor="text1"/>
          <w:sz w:val="24"/>
          <w:highlight w:val="none"/>
          <w14:textFill>
            <w14:solidFill>
              <w14:schemeClr w14:val="tx1"/>
            </w14:solidFill>
          </w14:textFill>
        </w:rPr>
        <w:t>0</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触摸显示屏</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2"/>
          <w:highlight w:val="none"/>
          <w:lang w:bidi="ar"/>
          <w14:textFill>
            <w14:solidFill>
              <w14:schemeClr w14:val="tx1"/>
            </w14:solidFill>
          </w14:textFill>
        </w:rPr>
        <w:t xml:space="preserve">    11.</w:t>
      </w:r>
      <w:r>
        <w:rPr>
          <w:rFonts w:hint="eastAsia" w:ascii="仿宋_GB2312" w:hAnsi="宋体" w:eastAsia="仿宋_GB2312"/>
          <w:color w:val="000000" w:themeColor="text1"/>
          <w:sz w:val="24"/>
          <w:highlight w:val="none"/>
          <w:u w:val="single"/>
          <w14:textFill>
            <w14:solidFill>
              <w14:schemeClr w14:val="tx1"/>
            </w14:solidFill>
          </w14:textFill>
        </w:rPr>
        <w:t xml:space="preserve">发送盒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rFonts w:hint="eastAsia" w:ascii="仿宋_GB2312" w:hAnsi="宋体" w:eastAsia="仿宋_GB2312"/>
          <w:color w:val="000000" w:themeColor="text1"/>
          <w:sz w:val="24"/>
          <w:highlight w:val="none"/>
          <w14:textFill>
            <w14:solidFill>
              <w14:schemeClr w14:val="tx1"/>
            </w14:solidFill>
          </w14:textFill>
        </w:rPr>
        <w:t>2</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中心处理器</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rFonts w:hint="eastAsia" w:ascii="仿宋_GB2312" w:hAnsi="宋体" w:eastAsia="仿宋_GB2312"/>
          <w:color w:val="000000" w:themeColor="text1"/>
          <w:sz w:val="24"/>
          <w:highlight w:val="none"/>
          <w14:textFill>
            <w14:solidFill>
              <w14:schemeClr w14:val="tx1"/>
            </w14:solidFill>
          </w14:textFill>
        </w:rPr>
        <w:t>3</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 xml:space="preserve"> 区域控制器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rFonts w:hint="eastAsia" w:ascii="仿宋_GB2312" w:hAnsi="宋体" w:eastAsia="仿宋_GB2312"/>
          <w:color w:val="000000" w:themeColor="text1"/>
          <w:sz w:val="24"/>
          <w:highlight w:val="none"/>
          <w14:textFill>
            <w14:solidFill>
              <w14:schemeClr w14:val="tx1"/>
            </w14:solidFill>
          </w14:textFill>
        </w:rPr>
        <w:t>4</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 xml:space="preserve">数据通讯控制器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 xml:space="preserve">    15.</w:t>
      </w:r>
      <w:r>
        <w:rPr>
          <w:rFonts w:hint="eastAsia" w:ascii="仿宋_GB2312" w:hAnsi="宋体" w:eastAsia="仿宋_GB2312"/>
          <w:color w:val="000000" w:themeColor="text1"/>
          <w:sz w:val="24"/>
          <w:highlight w:val="none"/>
          <w:u w:val="single"/>
          <w14:textFill>
            <w14:solidFill>
              <w14:schemeClr w14:val="tx1"/>
            </w14:solidFill>
          </w14:textFill>
        </w:rPr>
        <w:t>工业级恒湿一体机</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20" w:firstLineChars="200"/>
        <w:rPr>
          <w:rFonts w:ascii="仿宋_GB2312" w:hAnsi="宋体" w:eastAsia="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16..</w:t>
      </w:r>
      <w:r>
        <w:rPr>
          <w:rFonts w:hint="eastAsia" w:ascii="仿宋_GB2312" w:hAnsi="宋体" w:eastAsia="仿宋_GB2312"/>
          <w:color w:val="000000" w:themeColor="text1"/>
          <w:sz w:val="24"/>
          <w:highlight w:val="none"/>
          <w:u w:val="single"/>
          <w14:textFill>
            <w14:solidFill>
              <w14:schemeClr w14:val="tx1"/>
            </w14:solidFill>
          </w14:textFill>
        </w:rPr>
        <w:t>恒湿一体机控制器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17.</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空调控制器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u w:val="single"/>
          <w14:textFill>
            <w14:solidFill>
              <w14:schemeClr w14:val="tx1"/>
            </w14:solidFill>
          </w14:textFill>
        </w:rPr>
        <w:t>18.温湿度探测器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rFonts w:hint="eastAsia" w:ascii="仿宋_GB2312" w:hAnsi="宋体" w:eastAsia="仿宋_GB2312"/>
          <w:color w:val="000000" w:themeColor="text1"/>
          <w:sz w:val="24"/>
          <w:highlight w:val="none"/>
          <w14:textFill>
            <w14:solidFill>
              <w14:schemeClr w14:val="tx1"/>
            </w14:solidFill>
          </w14:textFill>
        </w:rPr>
        <w:t>9</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粉尘探测控制器，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20</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二氧化碳控制器，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21</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 xml:space="preserve">消毒净化一体机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 xml:space="preserve">    22.</w:t>
      </w:r>
      <w:r>
        <w:rPr>
          <w:rFonts w:hint="eastAsia"/>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消毒净化控制器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23.</w:t>
      </w:r>
      <w:r>
        <w:rPr>
          <w:rFonts w:hint="eastAsia" w:ascii="仿宋_GB2312" w:hAnsi="宋体" w:eastAsia="仿宋_GB2312"/>
          <w:color w:val="000000" w:themeColor="text1"/>
          <w:sz w:val="24"/>
          <w:highlight w:val="none"/>
          <w:u w:val="single"/>
          <w14:textFill>
            <w14:solidFill>
              <w14:schemeClr w14:val="tx1"/>
            </w14:solidFill>
          </w14:textFill>
        </w:rPr>
        <w:t>安全报警控制器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24.</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三鉴入侵探测控制器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25.</w:t>
      </w:r>
      <w:r>
        <w:rPr>
          <w:rFonts w:hint="eastAsia" w:ascii="仿宋_GB2312" w:hAnsi="宋体" w:eastAsia="仿宋_GB2312"/>
          <w:color w:val="000000" w:themeColor="text1"/>
          <w:sz w:val="24"/>
          <w:highlight w:val="none"/>
          <w:u w:val="single"/>
          <w14:textFill>
            <w14:solidFill>
              <w14:schemeClr w14:val="tx1"/>
            </w14:solidFill>
          </w14:textFill>
        </w:rPr>
        <w:t>漏水感应器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26</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防水接线盒</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27</w:t>
      </w:r>
      <w:r>
        <w:rPr>
          <w:rFonts w:ascii="仿宋_GB2312" w:hAnsi="宋体" w:eastAsia="仿宋_GB2312"/>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离子感烟控制器</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28</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 xml:space="preserve">  标签转换仪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 xml:space="preserve">    29.</w:t>
      </w:r>
      <w:r>
        <w:rPr>
          <w:rFonts w:hint="eastAsia" w:ascii="仿宋_GB2312" w:hAnsi="宋体" w:eastAsia="仿宋_GB2312"/>
          <w:color w:val="000000" w:themeColor="text1"/>
          <w:sz w:val="24"/>
          <w:highlight w:val="none"/>
          <w:u w:val="single"/>
          <w14:textFill>
            <w14:solidFill>
              <w14:schemeClr w14:val="tx1"/>
            </w14:solidFill>
          </w14:textFill>
        </w:rPr>
        <w:t>安全通道设备</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30.</w:t>
      </w:r>
      <w:r>
        <w:rPr>
          <w:rFonts w:hint="eastAsia" w:ascii="仿宋_GB2312" w:hAnsi="宋体" w:eastAsia="仿宋_GB2312"/>
          <w:color w:val="000000" w:themeColor="text1"/>
          <w:sz w:val="24"/>
          <w:highlight w:val="none"/>
          <w:u w:val="single"/>
          <w14:textFill>
            <w14:solidFill>
              <w14:schemeClr w14:val="tx1"/>
            </w14:solidFill>
          </w14:textFill>
        </w:rPr>
        <w:t>智能盘点车</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馆员工作站</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32.</w:t>
      </w:r>
      <w:r>
        <w:rPr>
          <w:rFonts w:hint="eastAsia" w:ascii="仿宋_GB2312" w:hAnsi="宋体" w:eastAsia="仿宋_GB2312"/>
          <w:color w:val="000000" w:themeColor="text1"/>
          <w:sz w:val="24"/>
          <w:highlight w:val="none"/>
          <w:u w:val="single"/>
          <w14:textFill>
            <w14:solidFill>
              <w14:schemeClr w14:val="tx1"/>
            </w14:solidFill>
          </w14:textFill>
        </w:rPr>
        <w:t>档案盘点仪</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33</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无线 AC，</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34</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 xml:space="preserve"> POE 接入交换机 24端口</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35</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无线 AP</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36</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 xml:space="preserve">  能源数据管理中心 </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 xml:space="preserve">    37.</w:t>
      </w:r>
      <w:r>
        <w:rPr>
          <w:rFonts w:hint="eastAsia" w:ascii="仿宋_GB2312" w:hAnsi="宋体" w:eastAsia="仿宋_GB2312"/>
          <w:color w:val="000000" w:themeColor="text1"/>
          <w:sz w:val="24"/>
          <w:highlight w:val="none"/>
          <w:u w:val="single"/>
          <w14:textFill>
            <w14:solidFill>
              <w14:schemeClr w14:val="tx1"/>
            </w14:solidFill>
          </w14:textFill>
        </w:rPr>
        <w:t>能源区域管理器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38.</w:t>
      </w:r>
      <w:r>
        <w:rPr>
          <w:rFonts w:hint="eastAsia" w:ascii="仿宋_GB2312" w:hAnsi="宋体" w:eastAsia="仿宋_GB2312"/>
          <w:color w:val="000000" w:themeColor="text1"/>
          <w:sz w:val="24"/>
          <w:highlight w:val="none"/>
          <w:u w:val="single"/>
          <w14:textFill>
            <w14:solidFill>
              <w14:schemeClr w14:val="tx1"/>
            </w14:solidFill>
          </w14:textFill>
        </w:rPr>
        <w:t>能源数据采集器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39.</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智能灯光管理中心</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40.</w:t>
      </w:r>
      <w:r>
        <w:rPr>
          <w:rFonts w:hint="eastAsia" w:ascii="仿宋_GB2312" w:hAnsi="宋体" w:eastAsia="仿宋_GB2312"/>
          <w:color w:val="000000" w:themeColor="text1"/>
          <w:sz w:val="24"/>
          <w:highlight w:val="none"/>
          <w:u w:val="single"/>
          <w14:textFill>
            <w14:solidFill>
              <w14:schemeClr w14:val="tx1"/>
            </w14:solidFill>
          </w14:textFill>
        </w:rPr>
        <w:t>灯光区域指引管理器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41</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被动红外控制器，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42</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 xml:space="preserve"> 指引采集终端</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43</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智能密集架系统</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44</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出风波导窗</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45</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 xml:space="preserve"> 回风波导窗</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46</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消防排烟波导</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47</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 xml:space="preserve">  信号屏蔽专用滤波器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 xml:space="preserve">    48.</w:t>
      </w:r>
      <w:r>
        <w:rPr>
          <w:rFonts w:hint="eastAsia" w:ascii="仿宋_GB2312" w:hAnsi="宋体" w:eastAsia="仿宋_GB2312"/>
          <w:color w:val="000000" w:themeColor="text1"/>
          <w:sz w:val="24"/>
          <w:highlight w:val="none"/>
          <w:u w:val="single"/>
          <w14:textFill>
            <w14:solidFill>
              <w14:schemeClr w14:val="tx1"/>
            </w14:solidFill>
          </w14:textFill>
        </w:rPr>
        <w:t>消防信号滤波器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49.</w:t>
      </w:r>
      <w:r>
        <w:rPr>
          <w:rFonts w:hint="eastAsia" w:ascii="仿宋_GB2312" w:hAnsi="宋体" w:eastAsia="仿宋_GB2312"/>
          <w:color w:val="000000" w:themeColor="text1"/>
          <w:sz w:val="24"/>
          <w:highlight w:val="none"/>
          <w:u w:val="single"/>
          <w14:textFill>
            <w14:solidFill>
              <w14:schemeClr w14:val="tx1"/>
            </w14:solidFill>
          </w14:textFill>
        </w:rPr>
        <w:t>视频信号器滤波器</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50.</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视频电源滤波器</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51.</w:t>
      </w:r>
      <w:r>
        <w:rPr>
          <w:rFonts w:hint="eastAsia" w:ascii="仿宋_GB2312" w:hAnsi="宋体" w:eastAsia="仿宋_GB2312"/>
          <w:color w:val="000000" w:themeColor="text1"/>
          <w:sz w:val="24"/>
          <w:highlight w:val="none"/>
          <w:u w:val="single"/>
          <w14:textFill>
            <w14:solidFill>
              <w14:schemeClr w14:val="tx1"/>
            </w14:solidFill>
          </w14:textFill>
        </w:rPr>
        <w:t>环境信号滤波器</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52</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u w:val="single"/>
          <w14:textFill>
            <w14:solidFill>
              <w14:schemeClr w14:val="tx1"/>
            </w14:solidFill>
          </w14:textFill>
        </w:rPr>
        <w:t>温湿度电源滤波器</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53</w:t>
      </w:r>
      <w:r>
        <w:rPr>
          <w:rFonts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szCs w:val="22"/>
          <w:highlight w:val="none"/>
          <w:u w:val="single"/>
          <w:lang w:bidi="ar"/>
          <w14:textFill>
            <w14:solidFill>
              <w14:schemeClr w14:val="tx1"/>
            </w14:solidFill>
          </w14:textFill>
        </w:rPr>
        <w:t>设备电源滤波器</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54</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2"/>
          <w:highlight w:val="none"/>
          <w:u w:val="single"/>
          <w:lang w:bidi="ar"/>
          <w14:textFill>
            <w14:solidFill>
              <w14:schemeClr w14:val="tx1"/>
            </w14:solidFill>
          </w14:textFill>
        </w:rPr>
        <w:t>电子档案存储设备</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55</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2"/>
          <w:highlight w:val="none"/>
          <w:u w:val="single"/>
          <w:lang w:bidi="ar"/>
          <w14:textFill>
            <w14:solidFill>
              <w14:schemeClr w14:val="tx1"/>
            </w14:solidFill>
          </w14:textFill>
        </w:rPr>
        <w:t>风淋系统</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 xml:space="preserve">工业 </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pacing w:line="360" w:lineRule="auto"/>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hAnsi="仿宋" w:eastAsia="仿宋_GB2312"/>
          <w:color w:val="000000" w:themeColor="text1"/>
          <w:highlight w:val="none"/>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highlight w:val="none"/>
          <w14:textFill>
            <w14:solidFill>
              <w14:schemeClr w14:val="tx1"/>
            </w14:solidFill>
          </w14:textFill>
        </w:rPr>
        <w:t xml:space="preserve">2020﹞46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日</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highlight w:val="none"/>
          <w14:textFill>
            <w14:solidFill>
              <w14:schemeClr w14:val="tx1"/>
            </w14:solidFill>
          </w14:textFill>
        </w:rPr>
      </w:pPr>
      <w:r>
        <w:rPr>
          <w:rFonts w:hint="eastAsia" w:ascii="仿宋_GB2312" w:hAnsi="宋体" w:eastAsia="仿宋_GB2312"/>
          <w:b/>
          <w:color w:val="000000" w:themeColor="text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p>
    <w:p>
      <w:pPr>
        <w:pStyle w:val="2"/>
        <w:rPr>
          <w:color w:val="000000" w:themeColor="text1"/>
          <w:highlight w:val="none"/>
          <w:lang w:val="en-US"/>
          <w14:textFill>
            <w14:solidFill>
              <w14:schemeClr w14:val="tx1"/>
            </w14:solidFill>
          </w14:textFill>
        </w:rPr>
      </w:pPr>
    </w:p>
    <w:p>
      <w:pPr>
        <w:spacing w:line="360" w:lineRule="auto"/>
        <w:ind w:right="420"/>
        <w:rPr>
          <w:color w:val="000000" w:themeColor="text1"/>
          <w:highlight w:val="none"/>
          <w14:textFill>
            <w14:solidFill>
              <w14:schemeClr w14:val="tx1"/>
            </w14:solidFill>
          </w14:textFill>
        </w:rPr>
      </w:pPr>
    </w:p>
    <w:p>
      <w:pPr>
        <w:spacing w:line="360" w:lineRule="auto"/>
        <w:rPr>
          <w:rFonts w:ascii="仿宋" w:hAnsi="仿宋" w:eastAsia="仿宋"/>
          <w:bCs/>
          <w:color w:val="000000" w:themeColor="text1"/>
          <w:sz w:val="24"/>
          <w:highlight w:val="none"/>
          <w14:textFill>
            <w14:solidFill>
              <w14:schemeClr w14:val="tx1"/>
            </w14:solidFill>
          </w14:textFill>
        </w:rPr>
      </w:pPr>
    </w:p>
    <w:bookmarkEnd w:id="569"/>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微软雅黑"/>
    <w:panose1 w:val="00000000000000000000"/>
    <w:charset w:val="00"/>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panose1 w:val="020B0504020202030204"/>
    <w:charset w:val="00"/>
    <w:family w:val="decorative"/>
    <w:pitch w:val="default"/>
    <w:sig w:usb0="00000007" w:usb1="00000000" w:usb2="00000000" w:usb3="00000000" w:csb0="00000093"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09F"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83" w:usb1="288F0000" w:usb2="00000006" w:usb3="00000000" w:csb0="00040001" w:csb1="0000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bookmarkStart w:id="565" w:name="_Toc91899912"/>
    <w:bookmarkStart w:id="566" w:name="_Toc164085800"/>
    <w:bookmarkStart w:id="567" w:name="_Toc131845147"/>
    <w:bookmarkStart w:id="568" w:name="_Toc36110187"/>
    <w:r>
      <w:rPr>
        <w:rFonts w:hint="eastAsia" w:ascii="仿宋_GB2312" w:eastAsia="仿宋_GB2312"/>
        <w:kern w:val="0"/>
        <w:szCs w:val="21"/>
      </w:rPr>
      <w:t xml:space="preserve"> 页</w:t>
    </w:r>
    <w:bookmarkEnd w:id="565"/>
    <w:bookmarkEnd w:id="566"/>
    <w:bookmarkEnd w:id="567"/>
    <w:bookmarkEnd w:id="5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F82AA"/>
    <w:multiLevelType w:val="singleLevel"/>
    <w:tmpl w:val="619F82AA"/>
    <w:lvl w:ilvl="0" w:tentative="0">
      <w:start w:val="1"/>
      <w:numFmt w:val="decimal"/>
      <w:suff w:val="space"/>
      <w:lvlText w:val="%1."/>
      <w:lvlJc w:val="left"/>
    </w:lvl>
  </w:abstractNum>
  <w:abstractNum w:abstractNumId="1">
    <w:nsid w:val="61A0C108"/>
    <w:multiLevelType w:val="multilevel"/>
    <w:tmpl w:val="61A0C108"/>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1A0C113"/>
    <w:multiLevelType w:val="multilevel"/>
    <w:tmpl w:val="61A0C113"/>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2896"/>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8D9"/>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6BE"/>
    <w:rsid w:val="0019602C"/>
    <w:rsid w:val="001969F2"/>
    <w:rsid w:val="00196CD6"/>
    <w:rsid w:val="0019756A"/>
    <w:rsid w:val="001A06B5"/>
    <w:rsid w:val="001A07F8"/>
    <w:rsid w:val="001A0A23"/>
    <w:rsid w:val="001A0C98"/>
    <w:rsid w:val="001A128B"/>
    <w:rsid w:val="001A1475"/>
    <w:rsid w:val="001A1F0E"/>
    <w:rsid w:val="001A2894"/>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5A84"/>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77D"/>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F55"/>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9C3"/>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959"/>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1E7F"/>
    <w:rsid w:val="004120DF"/>
    <w:rsid w:val="004126B5"/>
    <w:rsid w:val="00414909"/>
    <w:rsid w:val="00415034"/>
    <w:rsid w:val="00415B1A"/>
    <w:rsid w:val="00415DFD"/>
    <w:rsid w:val="00416208"/>
    <w:rsid w:val="0041690F"/>
    <w:rsid w:val="004169D3"/>
    <w:rsid w:val="00416C2B"/>
    <w:rsid w:val="00416D41"/>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EDA"/>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48C"/>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8E"/>
    <w:rsid w:val="006E00E3"/>
    <w:rsid w:val="006E045C"/>
    <w:rsid w:val="006E0569"/>
    <w:rsid w:val="006E065E"/>
    <w:rsid w:val="006E0849"/>
    <w:rsid w:val="006E11D6"/>
    <w:rsid w:val="006E17AC"/>
    <w:rsid w:val="006E189B"/>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CB1"/>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CB5"/>
    <w:rsid w:val="0076216B"/>
    <w:rsid w:val="00762948"/>
    <w:rsid w:val="00763137"/>
    <w:rsid w:val="00763AED"/>
    <w:rsid w:val="00763F8B"/>
    <w:rsid w:val="007640F3"/>
    <w:rsid w:val="0076417E"/>
    <w:rsid w:val="0076497F"/>
    <w:rsid w:val="007660EC"/>
    <w:rsid w:val="007662C7"/>
    <w:rsid w:val="00766862"/>
    <w:rsid w:val="007675DD"/>
    <w:rsid w:val="00767EB8"/>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6BC"/>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361"/>
    <w:rsid w:val="0088434F"/>
    <w:rsid w:val="00884371"/>
    <w:rsid w:val="008848E2"/>
    <w:rsid w:val="00884B7A"/>
    <w:rsid w:val="00884D47"/>
    <w:rsid w:val="008856C5"/>
    <w:rsid w:val="00885C1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6A0"/>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B13"/>
    <w:rsid w:val="0094215C"/>
    <w:rsid w:val="00942F8E"/>
    <w:rsid w:val="00943543"/>
    <w:rsid w:val="009441DB"/>
    <w:rsid w:val="00944834"/>
    <w:rsid w:val="00945BE1"/>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C2"/>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D1E"/>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006"/>
    <w:rsid w:val="009B66F5"/>
    <w:rsid w:val="009B7505"/>
    <w:rsid w:val="009B752B"/>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8A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F86"/>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01C"/>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CCD"/>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602"/>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450"/>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7E4"/>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0FF"/>
    <w:rsid w:val="00DD573B"/>
    <w:rsid w:val="00DD57E7"/>
    <w:rsid w:val="00DD5A1E"/>
    <w:rsid w:val="00DD5B8C"/>
    <w:rsid w:val="00DD5DFA"/>
    <w:rsid w:val="00DD5E91"/>
    <w:rsid w:val="00DD6CE2"/>
    <w:rsid w:val="00DD720D"/>
    <w:rsid w:val="00DE0229"/>
    <w:rsid w:val="00DE04E0"/>
    <w:rsid w:val="00DE097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84C"/>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E56"/>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662"/>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070EF"/>
    <w:rsid w:val="01D55165"/>
    <w:rsid w:val="01DF6BF8"/>
    <w:rsid w:val="01EC2C57"/>
    <w:rsid w:val="02063FE0"/>
    <w:rsid w:val="02107650"/>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7328F"/>
    <w:rsid w:val="066F1CF3"/>
    <w:rsid w:val="06930BB8"/>
    <w:rsid w:val="07245D42"/>
    <w:rsid w:val="07264C62"/>
    <w:rsid w:val="076C72BA"/>
    <w:rsid w:val="0779354C"/>
    <w:rsid w:val="07B17DCC"/>
    <w:rsid w:val="08061376"/>
    <w:rsid w:val="08452D77"/>
    <w:rsid w:val="086401F8"/>
    <w:rsid w:val="08751CAA"/>
    <w:rsid w:val="087E4C40"/>
    <w:rsid w:val="08D66AD6"/>
    <w:rsid w:val="08DA33A3"/>
    <w:rsid w:val="08E80F13"/>
    <w:rsid w:val="09335624"/>
    <w:rsid w:val="0944690F"/>
    <w:rsid w:val="09535675"/>
    <w:rsid w:val="095F057D"/>
    <w:rsid w:val="09733572"/>
    <w:rsid w:val="09772C16"/>
    <w:rsid w:val="098353B5"/>
    <w:rsid w:val="09A92330"/>
    <w:rsid w:val="09B06B87"/>
    <w:rsid w:val="09B329F7"/>
    <w:rsid w:val="09C13146"/>
    <w:rsid w:val="09E04166"/>
    <w:rsid w:val="09EA50CF"/>
    <w:rsid w:val="0A1C0718"/>
    <w:rsid w:val="0A3E7710"/>
    <w:rsid w:val="0A5B7E63"/>
    <w:rsid w:val="0AA374A5"/>
    <w:rsid w:val="0AAB7649"/>
    <w:rsid w:val="0ABC5606"/>
    <w:rsid w:val="0B30404E"/>
    <w:rsid w:val="0B4C6C14"/>
    <w:rsid w:val="0B631A88"/>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D589E"/>
    <w:rsid w:val="0DA01C73"/>
    <w:rsid w:val="0DC51AF6"/>
    <w:rsid w:val="0DD63300"/>
    <w:rsid w:val="0DF50604"/>
    <w:rsid w:val="0DF702FE"/>
    <w:rsid w:val="0E060E51"/>
    <w:rsid w:val="0E5604B2"/>
    <w:rsid w:val="0E6D5D79"/>
    <w:rsid w:val="0E7A2CD0"/>
    <w:rsid w:val="0E914AF4"/>
    <w:rsid w:val="0E9D0089"/>
    <w:rsid w:val="0EB803EE"/>
    <w:rsid w:val="0EF94D4B"/>
    <w:rsid w:val="0F272A69"/>
    <w:rsid w:val="0F4958DC"/>
    <w:rsid w:val="0F515DF7"/>
    <w:rsid w:val="0F596BA8"/>
    <w:rsid w:val="0F6248D2"/>
    <w:rsid w:val="0F693536"/>
    <w:rsid w:val="0F7B76D9"/>
    <w:rsid w:val="0F816ACD"/>
    <w:rsid w:val="0F856685"/>
    <w:rsid w:val="0FBF3FD2"/>
    <w:rsid w:val="0FBF7FF3"/>
    <w:rsid w:val="10406DB9"/>
    <w:rsid w:val="10646583"/>
    <w:rsid w:val="107D4B15"/>
    <w:rsid w:val="108A3C80"/>
    <w:rsid w:val="10C26171"/>
    <w:rsid w:val="10F33360"/>
    <w:rsid w:val="10FC16EA"/>
    <w:rsid w:val="11266F33"/>
    <w:rsid w:val="118963A1"/>
    <w:rsid w:val="11C6522A"/>
    <w:rsid w:val="11E104CC"/>
    <w:rsid w:val="11E20309"/>
    <w:rsid w:val="12255233"/>
    <w:rsid w:val="12530213"/>
    <w:rsid w:val="127723A9"/>
    <w:rsid w:val="12862074"/>
    <w:rsid w:val="12883966"/>
    <w:rsid w:val="12D81596"/>
    <w:rsid w:val="13072A44"/>
    <w:rsid w:val="130F58D2"/>
    <w:rsid w:val="135F4BE2"/>
    <w:rsid w:val="139B1A0A"/>
    <w:rsid w:val="139D25C7"/>
    <w:rsid w:val="13BF3CE4"/>
    <w:rsid w:val="141008D8"/>
    <w:rsid w:val="14125FE6"/>
    <w:rsid w:val="146D271E"/>
    <w:rsid w:val="14782CA6"/>
    <w:rsid w:val="14982588"/>
    <w:rsid w:val="149A5AD9"/>
    <w:rsid w:val="14A7619D"/>
    <w:rsid w:val="150536C3"/>
    <w:rsid w:val="150C1963"/>
    <w:rsid w:val="151447A0"/>
    <w:rsid w:val="154A6454"/>
    <w:rsid w:val="15762120"/>
    <w:rsid w:val="16A8729C"/>
    <w:rsid w:val="16B33777"/>
    <w:rsid w:val="16BC70A7"/>
    <w:rsid w:val="16C6339E"/>
    <w:rsid w:val="172018FF"/>
    <w:rsid w:val="172F2D79"/>
    <w:rsid w:val="17427AD3"/>
    <w:rsid w:val="17557BEF"/>
    <w:rsid w:val="179F7C4F"/>
    <w:rsid w:val="17D349C1"/>
    <w:rsid w:val="1830729E"/>
    <w:rsid w:val="183D2FD1"/>
    <w:rsid w:val="1870062C"/>
    <w:rsid w:val="18817102"/>
    <w:rsid w:val="18830A15"/>
    <w:rsid w:val="18852B28"/>
    <w:rsid w:val="188B5321"/>
    <w:rsid w:val="19932372"/>
    <w:rsid w:val="19A20DD5"/>
    <w:rsid w:val="19AE03F1"/>
    <w:rsid w:val="1A071A03"/>
    <w:rsid w:val="1A1F16AE"/>
    <w:rsid w:val="1A3B5C77"/>
    <w:rsid w:val="1A984BAD"/>
    <w:rsid w:val="1AB8220E"/>
    <w:rsid w:val="1ACC2385"/>
    <w:rsid w:val="1AE4166C"/>
    <w:rsid w:val="1AF06CFB"/>
    <w:rsid w:val="1AF11B8D"/>
    <w:rsid w:val="1B11359C"/>
    <w:rsid w:val="1B2A271F"/>
    <w:rsid w:val="1B530544"/>
    <w:rsid w:val="1B713184"/>
    <w:rsid w:val="1BA209CF"/>
    <w:rsid w:val="1BB4777D"/>
    <w:rsid w:val="1BD75AB8"/>
    <w:rsid w:val="1C0459C2"/>
    <w:rsid w:val="1C1B3B4A"/>
    <w:rsid w:val="1C88086E"/>
    <w:rsid w:val="1D0B2C34"/>
    <w:rsid w:val="1D266CE1"/>
    <w:rsid w:val="1D3963AF"/>
    <w:rsid w:val="1D6A673C"/>
    <w:rsid w:val="1D9247AE"/>
    <w:rsid w:val="1DB567EC"/>
    <w:rsid w:val="1DF42BB2"/>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7F7880"/>
    <w:rsid w:val="21D56769"/>
    <w:rsid w:val="21E52EF3"/>
    <w:rsid w:val="21FB5D7B"/>
    <w:rsid w:val="220B1C3D"/>
    <w:rsid w:val="221D1D20"/>
    <w:rsid w:val="22334A87"/>
    <w:rsid w:val="22BE6801"/>
    <w:rsid w:val="23140F9B"/>
    <w:rsid w:val="233500BF"/>
    <w:rsid w:val="23377FF7"/>
    <w:rsid w:val="236B425F"/>
    <w:rsid w:val="237646A6"/>
    <w:rsid w:val="2378543C"/>
    <w:rsid w:val="23836192"/>
    <w:rsid w:val="23901F29"/>
    <w:rsid w:val="23B908A4"/>
    <w:rsid w:val="23E95BEF"/>
    <w:rsid w:val="23FD0064"/>
    <w:rsid w:val="24001E9D"/>
    <w:rsid w:val="245375B0"/>
    <w:rsid w:val="24642C0A"/>
    <w:rsid w:val="24B22173"/>
    <w:rsid w:val="24B95AD9"/>
    <w:rsid w:val="24BE24DA"/>
    <w:rsid w:val="24CF5825"/>
    <w:rsid w:val="24D663E6"/>
    <w:rsid w:val="24D77F2B"/>
    <w:rsid w:val="258B00E2"/>
    <w:rsid w:val="25A917A6"/>
    <w:rsid w:val="25BE27CC"/>
    <w:rsid w:val="25F1264D"/>
    <w:rsid w:val="25F74A5C"/>
    <w:rsid w:val="2628662C"/>
    <w:rsid w:val="262D45DE"/>
    <w:rsid w:val="26A53EF9"/>
    <w:rsid w:val="26A94201"/>
    <w:rsid w:val="26AC274F"/>
    <w:rsid w:val="26E11F56"/>
    <w:rsid w:val="27044A29"/>
    <w:rsid w:val="271D34C8"/>
    <w:rsid w:val="272726CA"/>
    <w:rsid w:val="276142BF"/>
    <w:rsid w:val="27783712"/>
    <w:rsid w:val="27907362"/>
    <w:rsid w:val="28333E1D"/>
    <w:rsid w:val="28454BD6"/>
    <w:rsid w:val="28455253"/>
    <w:rsid w:val="28551971"/>
    <w:rsid w:val="285B1C53"/>
    <w:rsid w:val="28994B2A"/>
    <w:rsid w:val="289F7086"/>
    <w:rsid w:val="28C32028"/>
    <w:rsid w:val="28CC490F"/>
    <w:rsid w:val="28DE40AA"/>
    <w:rsid w:val="29345E77"/>
    <w:rsid w:val="294C65AD"/>
    <w:rsid w:val="298B3C4C"/>
    <w:rsid w:val="29F26D24"/>
    <w:rsid w:val="2A15033F"/>
    <w:rsid w:val="2A1662C1"/>
    <w:rsid w:val="2A1C7367"/>
    <w:rsid w:val="2A6D6092"/>
    <w:rsid w:val="2A7D76B4"/>
    <w:rsid w:val="2B226752"/>
    <w:rsid w:val="2B437463"/>
    <w:rsid w:val="2B7807EE"/>
    <w:rsid w:val="2BBF00EC"/>
    <w:rsid w:val="2BC37CFD"/>
    <w:rsid w:val="2BD5237F"/>
    <w:rsid w:val="2BE536CE"/>
    <w:rsid w:val="2BE758D9"/>
    <w:rsid w:val="2C033842"/>
    <w:rsid w:val="2C09049E"/>
    <w:rsid w:val="2C0A653C"/>
    <w:rsid w:val="2C191F85"/>
    <w:rsid w:val="2CDC0FA6"/>
    <w:rsid w:val="2CE82D6F"/>
    <w:rsid w:val="2D343236"/>
    <w:rsid w:val="2DD15014"/>
    <w:rsid w:val="2DF72DE4"/>
    <w:rsid w:val="2E0220AF"/>
    <w:rsid w:val="2E4B082A"/>
    <w:rsid w:val="2E5D4E86"/>
    <w:rsid w:val="2E5D790B"/>
    <w:rsid w:val="2E9A3C18"/>
    <w:rsid w:val="2E9F1F0C"/>
    <w:rsid w:val="2EBB0FEE"/>
    <w:rsid w:val="2EC63002"/>
    <w:rsid w:val="2F0A6B38"/>
    <w:rsid w:val="2F946CCB"/>
    <w:rsid w:val="2FBC35DD"/>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3FC48D7"/>
    <w:rsid w:val="340D2360"/>
    <w:rsid w:val="34211214"/>
    <w:rsid w:val="342E63AB"/>
    <w:rsid w:val="348C0943"/>
    <w:rsid w:val="34950E68"/>
    <w:rsid w:val="34986E94"/>
    <w:rsid w:val="34AF62C9"/>
    <w:rsid w:val="34CB4388"/>
    <w:rsid w:val="34FA6E12"/>
    <w:rsid w:val="362664E5"/>
    <w:rsid w:val="363A3B40"/>
    <w:rsid w:val="365302AE"/>
    <w:rsid w:val="36607A0A"/>
    <w:rsid w:val="366E227C"/>
    <w:rsid w:val="366F2E0D"/>
    <w:rsid w:val="36A74ADA"/>
    <w:rsid w:val="36AD60D5"/>
    <w:rsid w:val="36B224F9"/>
    <w:rsid w:val="36EC0CC9"/>
    <w:rsid w:val="373F410B"/>
    <w:rsid w:val="37D913AF"/>
    <w:rsid w:val="37EE7094"/>
    <w:rsid w:val="38296C89"/>
    <w:rsid w:val="383002EB"/>
    <w:rsid w:val="38586797"/>
    <w:rsid w:val="38826345"/>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C23C7"/>
    <w:rsid w:val="3EAF4836"/>
    <w:rsid w:val="3EC33DFA"/>
    <w:rsid w:val="3F060E16"/>
    <w:rsid w:val="3F1D1096"/>
    <w:rsid w:val="3F2F0234"/>
    <w:rsid w:val="3F6363FE"/>
    <w:rsid w:val="3F756B8F"/>
    <w:rsid w:val="3F95482B"/>
    <w:rsid w:val="4019356B"/>
    <w:rsid w:val="4057049F"/>
    <w:rsid w:val="40592157"/>
    <w:rsid w:val="406E1CAE"/>
    <w:rsid w:val="40A0133A"/>
    <w:rsid w:val="40C31A53"/>
    <w:rsid w:val="40FF545D"/>
    <w:rsid w:val="410067C8"/>
    <w:rsid w:val="418F0D2A"/>
    <w:rsid w:val="41BB44E3"/>
    <w:rsid w:val="41D00C05"/>
    <w:rsid w:val="41D01505"/>
    <w:rsid w:val="421B5801"/>
    <w:rsid w:val="42474939"/>
    <w:rsid w:val="424C3C57"/>
    <w:rsid w:val="42613FF3"/>
    <w:rsid w:val="42660D96"/>
    <w:rsid w:val="428667D2"/>
    <w:rsid w:val="42CD1CE0"/>
    <w:rsid w:val="42E1381E"/>
    <w:rsid w:val="42ED6459"/>
    <w:rsid w:val="42F02361"/>
    <w:rsid w:val="42FE58DD"/>
    <w:rsid w:val="43174B3D"/>
    <w:rsid w:val="434B790E"/>
    <w:rsid w:val="43977AB6"/>
    <w:rsid w:val="43A3342B"/>
    <w:rsid w:val="43B26B9C"/>
    <w:rsid w:val="43C77C27"/>
    <w:rsid w:val="43DE09EE"/>
    <w:rsid w:val="44002FAD"/>
    <w:rsid w:val="443917D6"/>
    <w:rsid w:val="449101DD"/>
    <w:rsid w:val="44DE1391"/>
    <w:rsid w:val="451B225C"/>
    <w:rsid w:val="452410C9"/>
    <w:rsid w:val="45317DFB"/>
    <w:rsid w:val="456D3CE4"/>
    <w:rsid w:val="4579042C"/>
    <w:rsid w:val="457F0571"/>
    <w:rsid w:val="45851176"/>
    <w:rsid w:val="45C63B94"/>
    <w:rsid w:val="460E7DA5"/>
    <w:rsid w:val="46422483"/>
    <w:rsid w:val="465374F0"/>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35162"/>
    <w:rsid w:val="4AB82D0F"/>
    <w:rsid w:val="4AE74670"/>
    <w:rsid w:val="4AEB7664"/>
    <w:rsid w:val="4AFD7C19"/>
    <w:rsid w:val="4B0567D1"/>
    <w:rsid w:val="4B236AAE"/>
    <w:rsid w:val="4B707271"/>
    <w:rsid w:val="4B9739F7"/>
    <w:rsid w:val="4BEE2503"/>
    <w:rsid w:val="4C245A30"/>
    <w:rsid w:val="4C881B9E"/>
    <w:rsid w:val="4CB6685F"/>
    <w:rsid w:val="4CC367FE"/>
    <w:rsid w:val="4D077F3C"/>
    <w:rsid w:val="4D123355"/>
    <w:rsid w:val="4D2A3B31"/>
    <w:rsid w:val="4D312C52"/>
    <w:rsid w:val="4D905305"/>
    <w:rsid w:val="4D964A72"/>
    <w:rsid w:val="4D9C1254"/>
    <w:rsid w:val="4E376061"/>
    <w:rsid w:val="4E4E3A88"/>
    <w:rsid w:val="4E570B14"/>
    <w:rsid w:val="4E793892"/>
    <w:rsid w:val="4E800872"/>
    <w:rsid w:val="4EC569ED"/>
    <w:rsid w:val="4ED50EA1"/>
    <w:rsid w:val="4EEC050C"/>
    <w:rsid w:val="4F104EC3"/>
    <w:rsid w:val="4F4033AD"/>
    <w:rsid w:val="4F47354A"/>
    <w:rsid w:val="4F911C54"/>
    <w:rsid w:val="4FE625E0"/>
    <w:rsid w:val="5021480F"/>
    <w:rsid w:val="50791A93"/>
    <w:rsid w:val="50962ECB"/>
    <w:rsid w:val="50A42E38"/>
    <w:rsid w:val="50A4577F"/>
    <w:rsid w:val="50B73D1F"/>
    <w:rsid w:val="50BD5BC9"/>
    <w:rsid w:val="50C11EEE"/>
    <w:rsid w:val="50E97CFC"/>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514662"/>
    <w:rsid w:val="54560AEA"/>
    <w:rsid w:val="54605E1E"/>
    <w:rsid w:val="546B0A8F"/>
    <w:rsid w:val="54B3506A"/>
    <w:rsid w:val="54CA0D16"/>
    <w:rsid w:val="54DD4057"/>
    <w:rsid w:val="54E7490F"/>
    <w:rsid w:val="54F118F9"/>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3D632F"/>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4F28"/>
    <w:rsid w:val="5C196DA7"/>
    <w:rsid w:val="5C2A048C"/>
    <w:rsid w:val="5C80234E"/>
    <w:rsid w:val="5C8A680C"/>
    <w:rsid w:val="5CC453C1"/>
    <w:rsid w:val="5D0C4701"/>
    <w:rsid w:val="5D0F0395"/>
    <w:rsid w:val="5D221076"/>
    <w:rsid w:val="5D397964"/>
    <w:rsid w:val="5D5A391C"/>
    <w:rsid w:val="5D5F10C0"/>
    <w:rsid w:val="5D891B7B"/>
    <w:rsid w:val="5DAD38EE"/>
    <w:rsid w:val="5E006862"/>
    <w:rsid w:val="5E0207B9"/>
    <w:rsid w:val="5E261785"/>
    <w:rsid w:val="5E4A7017"/>
    <w:rsid w:val="5E552BBA"/>
    <w:rsid w:val="5E611C10"/>
    <w:rsid w:val="5EFC7377"/>
    <w:rsid w:val="5F06174D"/>
    <w:rsid w:val="5F401ED1"/>
    <w:rsid w:val="5F6277C6"/>
    <w:rsid w:val="5F6D0B1D"/>
    <w:rsid w:val="5F8D0B82"/>
    <w:rsid w:val="5FCC5339"/>
    <w:rsid w:val="5FE34A5B"/>
    <w:rsid w:val="5FFE1E36"/>
    <w:rsid w:val="60232584"/>
    <w:rsid w:val="607330CE"/>
    <w:rsid w:val="60825176"/>
    <w:rsid w:val="609F2AC4"/>
    <w:rsid w:val="60E115FE"/>
    <w:rsid w:val="60FA2EE8"/>
    <w:rsid w:val="61054A27"/>
    <w:rsid w:val="610A52BC"/>
    <w:rsid w:val="611D2366"/>
    <w:rsid w:val="61421856"/>
    <w:rsid w:val="61654E3F"/>
    <w:rsid w:val="619F7F92"/>
    <w:rsid w:val="61E7472F"/>
    <w:rsid w:val="61F94C26"/>
    <w:rsid w:val="62000E56"/>
    <w:rsid w:val="62632286"/>
    <w:rsid w:val="62885958"/>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34F1A"/>
    <w:rsid w:val="65854376"/>
    <w:rsid w:val="658767BE"/>
    <w:rsid w:val="65892531"/>
    <w:rsid w:val="658B155C"/>
    <w:rsid w:val="66195831"/>
    <w:rsid w:val="662E75B1"/>
    <w:rsid w:val="66342C2E"/>
    <w:rsid w:val="663E784C"/>
    <w:rsid w:val="668B6A45"/>
    <w:rsid w:val="672F3F24"/>
    <w:rsid w:val="673E055F"/>
    <w:rsid w:val="674647FB"/>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CC2BFF"/>
    <w:rsid w:val="69FD55B8"/>
    <w:rsid w:val="6A0B1C62"/>
    <w:rsid w:val="6A2406C8"/>
    <w:rsid w:val="6ADE0BD1"/>
    <w:rsid w:val="6AE96859"/>
    <w:rsid w:val="6B147746"/>
    <w:rsid w:val="6B24787C"/>
    <w:rsid w:val="6B573233"/>
    <w:rsid w:val="6B5B6274"/>
    <w:rsid w:val="6B697849"/>
    <w:rsid w:val="6B935D53"/>
    <w:rsid w:val="6C196F71"/>
    <w:rsid w:val="6C226FCB"/>
    <w:rsid w:val="6C31226F"/>
    <w:rsid w:val="6C552F0B"/>
    <w:rsid w:val="6C6D1CF0"/>
    <w:rsid w:val="6C8C67B7"/>
    <w:rsid w:val="6C9D744C"/>
    <w:rsid w:val="6D167928"/>
    <w:rsid w:val="6D2555A0"/>
    <w:rsid w:val="6D26299B"/>
    <w:rsid w:val="6D4772EC"/>
    <w:rsid w:val="6D9078AF"/>
    <w:rsid w:val="6DAA3FEF"/>
    <w:rsid w:val="6DC0172B"/>
    <w:rsid w:val="6DCB690C"/>
    <w:rsid w:val="6DD41A5B"/>
    <w:rsid w:val="6DF11B9F"/>
    <w:rsid w:val="6DF43C2E"/>
    <w:rsid w:val="6DF51CA3"/>
    <w:rsid w:val="6E8335BD"/>
    <w:rsid w:val="6E8E12EF"/>
    <w:rsid w:val="6E972936"/>
    <w:rsid w:val="6ED446C5"/>
    <w:rsid w:val="6F2A7D94"/>
    <w:rsid w:val="6F8331F1"/>
    <w:rsid w:val="6FAE1A09"/>
    <w:rsid w:val="6FD75BF8"/>
    <w:rsid w:val="707723D0"/>
    <w:rsid w:val="70F5661B"/>
    <w:rsid w:val="71360107"/>
    <w:rsid w:val="713B688E"/>
    <w:rsid w:val="71B17F08"/>
    <w:rsid w:val="71CF4C44"/>
    <w:rsid w:val="71D43752"/>
    <w:rsid w:val="71F1796A"/>
    <w:rsid w:val="72154626"/>
    <w:rsid w:val="72262B5D"/>
    <w:rsid w:val="72283FF7"/>
    <w:rsid w:val="722E7212"/>
    <w:rsid w:val="723A0474"/>
    <w:rsid w:val="725923E4"/>
    <w:rsid w:val="72864BF7"/>
    <w:rsid w:val="729023FC"/>
    <w:rsid w:val="7375407B"/>
    <w:rsid w:val="73C0646E"/>
    <w:rsid w:val="742222F5"/>
    <w:rsid w:val="74476126"/>
    <w:rsid w:val="74706664"/>
    <w:rsid w:val="747F3682"/>
    <w:rsid w:val="749C4185"/>
    <w:rsid w:val="74B31505"/>
    <w:rsid w:val="75067759"/>
    <w:rsid w:val="752E6DCD"/>
    <w:rsid w:val="7551380D"/>
    <w:rsid w:val="75600BE5"/>
    <w:rsid w:val="7564475C"/>
    <w:rsid w:val="7583797F"/>
    <w:rsid w:val="75D20F1D"/>
    <w:rsid w:val="75DA2C18"/>
    <w:rsid w:val="75F54412"/>
    <w:rsid w:val="761D08E0"/>
    <w:rsid w:val="76640ECB"/>
    <w:rsid w:val="76826699"/>
    <w:rsid w:val="76C87133"/>
    <w:rsid w:val="76CD08D5"/>
    <w:rsid w:val="76DB4B92"/>
    <w:rsid w:val="77052AA4"/>
    <w:rsid w:val="77136511"/>
    <w:rsid w:val="77340A39"/>
    <w:rsid w:val="77351FD0"/>
    <w:rsid w:val="77472422"/>
    <w:rsid w:val="777F31F2"/>
    <w:rsid w:val="77D1700D"/>
    <w:rsid w:val="77EC04CC"/>
    <w:rsid w:val="77FB557B"/>
    <w:rsid w:val="78775729"/>
    <w:rsid w:val="78A42DB0"/>
    <w:rsid w:val="78A656AB"/>
    <w:rsid w:val="78B2245C"/>
    <w:rsid w:val="78DD2859"/>
    <w:rsid w:val="78E172CC"/>
    <w:rsid w:val="78EA1D1F"/>
    <w:rsid w:val="7904172F"/>
    <w:rsid w:val="790F7E27"/>
    <w:rsid w:val="792A231A"/>
    <w:rsid w:val="79316829"/>
    <w:rsid w:val="79753CD1"/>
    <w:rsid w:val="797E66A9"/>
    <w:rsid w:val="79A97383"/>
    <w:rsid w:val="79E27E8B"/>
    <w:rsid w:val="79F850CE"/>
    <w:rsid w:val="79FD443C"/>
    <w:rsid w:val="7A1D1975"/>
    <w:rsid w:val="7A3E5150"/>
    <w:rsid w:val="7A4670D6"/>
    <w:rsid w:val="7A534B63"/>
    <w:rsid w:val="7A615382"/>
    <w:rsid w:val="7A67303B"/>
    <w:rsid w:val="7AAB1D04"/>
    <w:rsid w:val="7ABA4368"/>
    <w:rsid w:val="7B257FFD"/>
    <w:rsid w:val="7B343476"/>
    <w:rsid w:val="7B5A2978"/>
    <w:rsid w:val="7B5A7E4C"/>
    <w:rsid w:val="7B667AF9"/>
    <w:rsid w:val="7B7468F8"/>
    <w:rsid w:val="7BED7BDD"/>
    <w:rsid w:val="7BEE0103"/>
    <w:rsid w:val="7C0A0FE4"/>
    <w:rsid w:val="7C254906"/>
    <w:rsid w:val="7C590818"/>
    <w:rsid w:val="7C7C10F6"/>
    <w:rsid w:val="7C853BEA"/>
    <w:rsid w:val="7C881368"/>
    <w:rsid w:val="7D0C32F1"/>
    <w:rsid w:val="7D0F408D"/>
    <w:rsid w:val="7D491C6C"/>
    <w:rsid w:val="7D5429C0"/>
    <w:rsid w:val="7D6E6D43"/>
    <w:rsid w:val="7DB57A34"/>
    <w:rsid w:val="7DE60973"/>
    <w:rsid w:val="7DEF0916"/>
    <w:rsid w:val="7E1E5218"/>
    <w:rsid w:val="7E9A4E1F"/>
    <w:rsid w:val="7EA7723A"/>
    <w:rsid w:val="7EF56FBB"/>
    <w:rsid w:val="7F0768EB"/>
    <w:rsid w:val="7F103AC3"/>
    <w:rsid w:val="7F143BEC"/>
    <w:rsid w:val="7F715AF2"/>
    <w:rsid w:val="7F731AA8"/>
    <w:rsid w:val="7F886E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96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83"/>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tcBorders>
        <w:top w:val="double" w:color="000000" w:sz="6" w:space="0"/>
        <w:left w:val="double" w:color="000000" w:sz="6" w:space="0"/>
        <w:bottom w:val="double" w:color="000000" w:sz="6" w:space="0"/>
        <w:right w:val="double" w:color="000000" w:sz="6" w:space="0"/>
      </w:tcBorders>
    </w:tcPr>
    <w:tblStylePr w:type="firstRow">
      <w:rPr>
        <w:caps/>
        <w:color w:val="auto"/>
      </w:rPr>
      <w:tblPr/>
      <w:tcPr>
        <w:tcBorders>
          <w:top w:val="nil"/>
          <w:left w:val="nil"/>
          <w:bottom w:val="nil"/>
          <w:right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tcBorders>
        <w:top w:val="single" w:color="000000" w:sz="12" w:space="0"/>
        <w:left w:val="single" w:color="000000" w:sz="12" w:space="0"/>
        <w:bottom w:val="single" w:color="000000" w:sz="12" w:space="0"/>
        <w:right w:val="single" w:color="000000" w:sz="12" w:space="0"/>
      </w:tcBorders>
    </w:tcPr>
    <w:tblStylePr w:type="firstRow">
      <w:tblPr/>
      <w:tcPr>
        <w:tcBorders>
          <w:top w:val="nil"/>
          <w:left w:val="nil"/>
          <w:bottom w:val="single" w:color="000000" w:sz="12" w:space="0"/>
          <w:right w:val="nil"/>
          <w:tl2br w:val="nil"/>
          <w:tr2bl w:val="nil"/>
        </w:tcBorders>
      </w:tcPr>
    </w:tblStylePr>
    <w:tblStylePr w:type="lastRow">
      <w:rPr>
        <w:b/>
        <w:bCs/>
      </w:rPr>
      <w:tblPr/>
      <w:tcPr>
        <w:tcBorders>
          <w:top w:val="nil"/>
          <w:left w:val="nil"/>
          <w:bottom w:val="nil"/>
          <w:right w:val="nil"/>
          <w:tl2br w:val="nil"/>
          <w:tr2bl w:val="nil"/>
        </w:tcBorders>
      </w:tcPr>
    </w:tblStylePr>
    <w:tblStylePr w:type="lastCol">
      <w:rPr>
        <w:b/>
        <w:bCs/>
      </w:rPr>
      <w:tblPr/>
      <w:tcPr>
        <w:tcBorders>
          <w:top w:val="nil"/>
          <w:left w:val="nil"/>
          <w:bottom w:val="nil"/>
          <w:right w:val="nil"/>
          <w:tl2br w:val="nil"/>
          <w:tr2bl w:val="nil"/>
        </w:tcBorders>
      </w:tcPr>
    </w:tblStylePr>
    <w:tblStylePr w:type="nwCell">
      <w:tblPr/>
      <w:tcPr>
        <w:tcBorders>
          <w:top w:val="nil"/>
          <w:left w:val="nil"/>
          <w:bottom w:val="nil"/>
          <w:right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tcBorders>
        <w:top w:val="single" w:color="000080" w:sz="6" w:space="0"/>
        <w:left w:val="single" w:color="000080" w:sz="6" w:space="0"/>
        <w:bottom w:val="single" w:color="000080" w:sz="6" w:space="0"/>
        <w:right w:val="single" w:color="000080" w:sz="6" w:space="0"/>
      </w:tcBorders>
    </w:tcPr>
    <w:tblStylePr w:type="firstRow">
      <w:rPr>
        <w:b/>
        <w:bCs/>
        <w:color w:val="FFFFFF"/>
      </w:rPr>
      <w:tblPr/>
      <w:tcPr>
        <w:tcBorders>
          <w:top w:val="nil"/>
          <w:left w:val="nil"/>
          <w:bottom w:val="nil"/>
          <w:right w:val="nil"/>
          <w:tl2br w:val="nil"/>
          <w:tr2bl w:val="nil"/>
        </w:tcBorders>
        <w:shd w:val="solid" w:color="000080" w:fill="FFFFFF"/>
      </w:tcPr>
    </w:tblStylePr>
    <w:tblStylePr w:type="lastRow">
      <w:rPr>
        <w:b/>
        <w:bCs/>
        <w:color w:val="auto"/>
      </w:rPr>
      <w:tblPr/>
      <w:tcPr>
        <w:tcBorders>
          <w:top w:val="nil"/>
          <w:left w:val="nil"/>
          <w:bottom w:val="nil"/>
          <w:right w:val="nil"/>
          <w:tl2br w:val="nil"/>
          <w:tr2bl w:val="nil"/>
        </w:tcBorders>
      </w:tcPr>
    </w:tblStylePr>
    <w:tblStylePr w:type="lastCol">
      <w:rPr>
        <w:b/>
        <w:bCs/>
        <w:color w:val="auto"/>
      </w:rPr>
      <w:tblPr/>
      <w:tcPr>
        <w:tcBorders>
          <w:top w:val="nil"/>
          <w:left w:val="nil"/>
          <w:bottom w:val="nil"/>
          <w:right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tcBorders>
        <w:top w:val="single" w:color="000000" w:sz="6" w:space="0"/>
        <w:left w:val="single" w:color="000000" w:sz="6" w:space="0"/>
        <w:bottom w:val="single" w:color="000000" w:sz="6" w:space="0"/>
        <w:right w:val="single" w:color="000000" w:sz="6" w:space="0"/>
      </w:tcBorders>
    </w:tcPr>
    <w:tblStylePr w:type="firstRow">
      <w:rPr>
        <w:b/>
        <w:bCs/>
        <w:color w:val="auto"/>
      </w:rPr>
      <w:tblPr/>
      <w:tcPr>
        <w:tcBorders>
          <w:top w:val="nil"/>
          <w:left w:val="nil"/>
          <w:bottom w:val="nil"/>
          <w:right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uiPriority w:val="6"/>
    <w:rPr>
      <w:rFonts w:ascii="宋体" w:hAnsi="宋体"/>
      <w:kern w:val="1"/>
      <w:sz w:val="24"/>
      <w:szCs w:val="24"/>
    </w:rPr>
  </w:style>
  <w:style w:type="character" w:customStyle="1" w:styleId="183">
    <w:name w:val="pt141"/>
    <w:uiPriority w:val="0"/>
    <w:rPr>
      <w:color w:val="330066"/>
      <w:sz w:val="22"/>
      <w:szCs w:val="22"/>
    </w:rPr>
  </w:style>
  <w:style w:type="character" w:customStyle="1" w:styleId="184">
    <w:name w:val="正文文本缩进 2 Char1"/>
    <w:semiHidden/>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uiPriority w:val="0"/>
    <w:rPr>
      <w:rFonts w:ascii="Cambria" w:hAnsi="Cambria" w:eastAsia="宋体" w:cs="Times New Roman"/>
      <w:b/>
      <w:bCs/>
      <w:snapToGrid w:val="0"/>
      <w:kern w:val="28"/>
      <w:sz w:val="32"/>
      <w:szCs w:val="32"/>
    </w:rPr>
  </w:style>
  <w:style w:type="character" w:customStyle="1" w:styleId="203">
    <w:name w:val="font61"/>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uiPriority w:val="0"/>
    <w:rPr>
      <w:rFonts w:eastAsia="宋体"/>
      <w:b/>
      <w:bCs/>
      <w:kern w:val="2"/>
      <w:sz w:val="21"/>
      <w:szCs w:val="24"/>
      <w:lang w:val="en-US" w:eastAsia="zh-CN" w:bidi="ar-SA"/>
    </w:rPr>
  </w:style>
  <w:style w:type="character" w:customStyle="1" w:styleId="206">
    <w:name w:val="标题 2 Char"/>
    <w:uiPriority w:val="0"/>
    <w:rPr>
      <w:rFonts w:ascii="Arial" w:hAnsi="Arial" w:eastAsia="黑体"/>
      <w:b/>
      <w:kern w:val="2"/>
      <w:sz w:val="32"/>
      <w:lang w:val="en-US" w:eastAsia="zh-CN"/>
    </w:rPr>
  </w:style>
  <w:style w:type="character" w:customStyle="1" w:styleId="207">
    <w:name w:val="maywed421"/>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uiPriority w:val="0"/>
    <w:rPr>
      <w:rFonts w:ascii="宋体" w:hAnsi="宋体"/>
      <w:kern w:val="2"/>
      <w:sz w:val="21"/>
      <w:szCs w:val="24"/>
      <w:lang w:val="en-US" w:eastAsia="zh-CN"/>
    </w:rPr>
  </w:style>
  <w:style w:type="character" w:customStyle="1" w:styleId="210">
    <w:name w:val="页眉 Char1"/>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uiPriority w:val="0"/>
    <w:rPr>
      <w:rFonts w:hint="eastAsia" w:ascii="宋体" w:hAnsi="宋体" w:eastAsia="宋体"/>
      <w:color w:val="333333"/>
      <w:sz w:val="22"/>
      <w:szCs w:val="22"/>
    </w:rPr>
  </w:style>
  <w:style w:type="character" w:customStyle="1" w:styleId="213">
    <w:name w:val="Char Char311"/>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uiPriority w:val="0"/>
    <w:rPr>
      <w:rFonts w:ascii="宋体" w:hAnsi="宋体"/>
      <w:i/>
      <w:iCs/>
      <w:sz w:val="24"/>
      <w:szCs w:val="24"/>
    </w:rPr>
  </w:style>
  <w:style w:type="character" w:customStyle="1" w:styleId="217">
    <w:name w:val="正文首行缩进 2 Char1"/>
    <w:uiPriority w:val="0"/>
    <w:rPr>
      <w:rFonts w:ascii="Times New Roman" w:hAnsi="Times New Roman" w:eastAsia="宋体" w:cs="Times New Roman"/>
      <w:kern w:val="2"/>
      <w:sz w:val="24"/>
      <w:szCs w:val="24"/>
    </w:rPr>
  </w:style>
  <w:style w:type="character" w:customStyle="1" w:styleId="218">
    <w:name w:val="副标题 Char2"/>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uiPriority w:val="99"/>
    <w:rPr>
      <w:rFonts w:ascii="Times New Roman" w:hAnsi="Times New Roman" w:eastAsia="宋体" w:cs="Times New Roman"/>
      <w:snapToGrid w:val="0"/>
      <w:kern w:val="0"/>
      <w:szCs w:val="24"/>
    </w:rPr>
  </w:style>
  <w:style w:type="character" w:customStyle="1" w:styleId="238">
    <w:name w:val="标书正文格式 Char"/>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uiPriority w:val="0"/>
    <w:rPr>
      <w:rFonts w:ascii="宋体" w:eastAsia="宋体"/>
      <w:snapToGrid w:val="0"/>
      <w:color w:val="000000"/>
      <w:kern w:val="28"/>
      <w:sz w:val="28"/>
      <w:lang w:val="en-US" w:eastAsia="zh-CN" w:bidi="ar-SA"/>
    </w:rPr>
  </w:style>
  <w:style w:type="character" w:customStyle="1" w:styleId="253">
    <w:name w:val="列出段落 Char1"/>
    <w:link w:val="254"/>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uiPriority w:val="0"/>
    <w:rPr>
      <w:rFonts w:eastAsia="宋体"/>
      <w:kern w:val="2"/>
      <w:sz w:val="21"/>
      <w:szCs w:val="24"/>
      <w:lang w:val="en-US" w:eastAsia="zh-CN" w:bidi="ar-SA"/>
    </w:rPr>
  </w:style>
  <w:style w:type="character" w:customStyle="1" w:styleId="269">
    <w:name w:val="Ò³Ã¼ Char Char"/>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uiPriority w:val="0"/>
    <w:pPr>
      <w:spacing w:line="480" w:lineRule="atLeast"/>
      <w:ind w:firstLine="567"/>
      <w:textAlignment w:val="baseline"/>
    </w:pPr>
    <w:rPr>
      <w:kern w:val="0"/>
      <w:sz w:val="24"/>
      <w:szCs w:val="20"/>
    </w:rPr>
  </w:style>
  <w:style w:type="paragraph" w:customStyle="1" w:styleId="601">
    <w:name w:val="正文文字表格居中"/>
    <w:basedOn w:val="1"/>
    <w:next w:val="55"/>
    <w:uiPriority w:val="0"/>
    <w:pPr>
      <w:snapToGrid w:val="0"/>
      <w:spacing w:line="360" w:lineRule="auto"/>
    </w:pPr>
    <w:rPr>
      <w:rFonts w:ascii="宋体"/>
      <w:b/>
      <w:sz w:val="24"/>
      <w:szCs w:val="20"/>
    </w:rPr>
  </w:style>
  <w:style w:type="paragraph" w:customStyle="1" w:styleId="602">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uiPriority w:val="7"/>
    <w:pPr>
      <w:adjustRightInd/>
    </w:pPr>
    <w:rPr>
      <w:rFonts w:ascii="宋体" w:hAnsi="Courier New"/>
    </w:rPr>
  </w:style>
  <w:style w:type="paragraph" w:customStyle="1" w:styleId="605">
    <w:name w:val="Char3"/>
    <w:basedOn w:val="1"/>
    <w:uiPriority w:val="0"/>
    <w:pPr>
      <w:adjustRightInd/>
    </w:pPr>
    <w:rPr>
      <w:rFonts w:ascii="仿宋_GB2312" w:eastAsia="仿宋_GB2312"/>
      <w:b/>
      <w:sz w:val="32"/>
      <w:szCs w:val="32"/>
    </w:rPr>
  </w:style>
  <w:style w:type="paragraph" w:customStyle="1" w:styleId="606">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uiPriority w:val="0"/>
    <w:pPr>
      <w:widowControl/>
      <w:adjustRightInd/>
      <w:spacing w:after="160" w:line="240" w:lineRule="exact"/>
      <w:jc w:val="left"/>
    </w:pPr>
    <w:rPr>
      <w:szCs w:val="20"/>
    </w:rPr>
  </w:style>
  <w:style w:type="paragraph" w:customStyle="1" w:styleId="614">
    <w:name w:val="表格标题2"/>
    <w:basedOn w:val="615"/>
    <w:uiPriority w:val="0"/>
    <w:rPr>
      <w:b/>
    </w:rPr>
  </w:style>
  <w:style w:type="paragraph" w:customStyle="1" w:styleId="615">
    <w:name w:val="表格内文"/>
    <w:basedOn w:val="1"/>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uiPriority w:val="0"/>
    <w:rPr>
      <w:rFonts w:ascii="仿宋_GB2312" w:eastAsia="仿宋_GB2312"/>
      <w:b/>
      <w:sz w:val="32"/>
      <w:szCs w:val="32"/>
    </w:rPr>
  </w:style>
  <w:style w:type="paragraph" w:customStyle="1" w:styleId="617">
    <w:name w:val="正文，首行缩进:  2 字符"/>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uiPriority w:val="0"/>
    <w:pPr>
      <w:spacing w:line="360" w:lineRule="auto"/>
    </w:pPr>
    <w:rPr>
      <w:szCs w:val="20"/>
    </w:rPr>
  </w:style>
  <w:style w:type="paragraph" w:customStyle="1" w:styleId="620">
    <w:name w:val="正文 大标"/>
    <w:basedOn w:val="1"/>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uiPriority w:val="0"/>
    <w:pPr>
      <w:adjustRightInd/>
      <w:spacing w:before="60" w:after="60" w:line="360" w:lineRule="auto"/>
      <w:ind w:firstLine="200" w:firstLineChars="200"/>
    </w:pPr>
    <w:rPr>
      <w:sz w:val="28"/>
      <w:szCs w:val="20"/>
    </w:rPr>
  </w:style>
  <w:style w:type="paragraph" w:customStyle="1" w:styleId="622">
    <w:name w:val="MM Topic 1"/>
    <w:basedOn w:val="3"/>
    <w:uiPriority w:val="0"/>
    <w:pPr>
      <w:tabs>
        <w:tab w:val="left" w:pos="840"/>
      </w:tabs>
      <w:adjustRightInd/>
      <w:ind w:left="840" w:hanging="420"/>
    </w:pPr>
  </w:style>
  <w:style w:type="paragraph" w:customStyle="1" w:styleId="623">
    <w:name w:val="样式 标题 2标题2H2Heading 2 HiddenHeading 2 CCBSheading 22nd lev..."/>
    <w:basedOn w:val="2"/>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uiPriority w:val="0"/>
    <w:pPr>
      <w:spacing w:line="360" w:lineRule="auto"/>
      <w:ind w:firstLine="200" w:firstLineChars="200"/>
    </w:pPr>
    <w:rPr>
      <w:kern w:val="0"/>
      <w:sz w:val="24"/>
      <w:szCs w:val="20"/>
    </w:rPr>
  </w:style>
  <w:style w:type="paragraph" w:customStyle="1" w:styleId="625">
    <w:name w:val="表格"/>
    <w:basedOn w:val="1"/>
    <w:uiPriority w:val="0"/>
    <w:pPr>
      <w:snapToGrid w:val="0"/>
      <w:ind w:firstLine="42" w:firstLineChars="21"/>
    </w:pPr>
    <w:rPr>
      <w:rFonts w:ascii="宋体" w:hAnsi="宋体"/>
      <w:kern w:val="0"/>
      <w:sz w:val="20"/>
      <w:szCs w:val="20"/>
    </w:rPr>
  </w:style>
  <w:style w:type="paragraph" w:customStyle="1" w:styleId="626">
    <w:name w:val="标书标题4"/>
    <w:basedOn w:val="6"/>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uiPriority w:val="0"/>
    <w:rPr>
      <w:rFonts w:ascii="仿宋_GB2312" w:eastAsia="仿宋_GB2312"/>
      <w:b/>
      <w:sz w:val="32"/>
      <w:szCs w:val="20"/>
    </w:rPr>
  </w:style>
  <w:style w:type="paragraph" w:customStyle="1" w:styleId="642">
    <w:name w:val="大汉方案正文"/>
    <w:basedOn w:val="1"/>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uiPriority w:val="0"/>
    <w:pPr>
      <w:adjustRightInd/>
      <w:ind w:firstLine="200" w:firstLineChars="200"/>
    </w:pPr>
    <w:rPr>
      <w:rFonts w:ascii="Tahoma" w:hAnsi="Tahoma"/>
      <w:sz w:val="24"/>
      <w:szCs w:val="20"/>
    </w:rPr>
  </w:style>
  <w:style w:type="paragraph" w:customStyle="1" w:styleId="644">
    <w:name w:val="a1"/>
    <w:basedOn w:val="1"/>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rPr>
  </w:style>
  <w:style w:type="paragraph" w:customStyle="1" w:styleId="648">
    <w:name w:val="main"/>
    <w:basedOn w:val="1"/>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uiPriority w:val="0"/>
    <w:pPr>
      <w:adjustRightInd/>
    </w:pPr>
    <w:rPr>
      <w:rFonts w:ascii="Tahoma" w:hAnsi="Tahoma"/>
      <w:sz w:val="24"/>
      <w:szCs w:val="20"/>
    </w:rPr>
  </w:style>
  <w:style w:type="paragraph" w:customStyle="1" w:styleId="651">
    <w:name w:val="Char1 Char Char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uiPriority w:val="0"/>
    <w:pPr>
      <w:tabs>
        <w:tab w:val="left" w:pos="1260"/>
        <w:tab w:val="left" w:pos="1680"/>
        <w:tab w:val="left" w:pos="2100"/>
        <w:tab w:val="left" w:pos="2520"/>
      </w:tabs>
      <w:ind w:left="2520"/>
      <w:outlineLvl w:val="4"/>
    </w:pPr>
  </w:style>
  <w:style w:type="paragraph" w:customStyle="1" w:styleId="653">
    <w:name w:val="二级条标题"/>
    <w:basedOn w:val="654"/>
    <w:next w:val="637"/>
    <w:uiPriority w:val="0"/>
    <w:pPr>
      <w:tabs>
        <w:tab w:val="left" w:pos="1260"/>
        <w:tab w:val="left" w:pos="1680"/>
        <w:tab w:val="left" w:pos="2100"/>
      </w:tabs>
      <w:ind w:left="0"/>
      <w:outlineLvl w:val="3"/>
    </w:pPr>
  </w:style>
  <w:style w:type="paragraph" w:customStyle="1" w:styleId="654">
    <w:name w:val="一级条标题"/>
    <w:basedOn w:val="655"/>
    <w:next w:val="637"/>
    <w:uiPriority w:val="0"/>
    <w:pPr>
      <w:tabs>
        <w:tab w:val="left" w:pos="1260"/>
        <w:tab w:val="left" w:pos="1680"/>
      </w:tabs>
      <w:spacing w:before="0" w:beforeLines="0" w:after="0" w:afterLines="0"/>
      <w:ind w:left="1680"/>
      <w:outlineLvl w:val="2"/>
    </w:pPr>
  </w:style>
  <w:style w:type="paragraph" w:customStyle="1" w:styleId="655">
    <w:name w:val="章标题"/>
    <w:next w:val="637"/>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uiPriority w:val="0"/>
    <w:pPr>
      <w:tabs>
        <w:tab w:val="left" w:pos="480"/>
      </w:tabs>
      <w:ind w:left="480" w:hanging="480"/>
    </w:pPr>
    <w:rPr>
      <w:rFonts w:ascii="Times New Roman" w:eastAsia="宋体"/>
      <w:i/>
      <w:sz w:val="36"/>
      <w:szCs w:val="36"/>
      <w:lang w:val="en-US"/>
    </w:rPr>
  </w:style>
  <w:style w:type="paragraph" w:customStyle="1" w:styleId="657">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uiPriority w:val="0"/>
    <w:pPr>
      <w:tabs>
        <w:tab w:val="left" w:pos="840"/>
      </w:tabs>
      <w:adjustRightInd/>
      <w:ind w:left="840" w:hanging="420"/>
    </w:pPr>
  </w:style>
  <w:style w:type="paragraph" w:customStyle="1" w:styleId="676">
    <w:name w:val="f9a style88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uiPriority w:val="6"/>
    <w:pPr>
      <w:spacing w:line="360" w:lineRule="auto"/>
    </w:pPr>
    <w:rPr>
      <w:szCs w:val="20"/>
    </w:rPr>
  </w:style>
  <w:style w:type="paragraph" w:customStyle="1" w:styleId="687">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688">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uiPriority w:val="0"/>
    <w:pPr>
      <w:adjustRightInd/>
      <w:spacing w:line="460" w:lineRule="exact"/>
      <w:ind w:firstLine="505"/>
      <w:jc w:val="left"/>
    </w:pPr>
    <w:rPr>
      <w:rFonts w:ascii="宋体"/>
      <w:kern w:val="24"/>
      <w:sz w:val="24"/>
      <w:szCs w:val="20"/>
    </w:rPr>
  </w:style>
  <w:style w:type="paragraph" w:customStyle="1" w:styleId="693">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uiPriority w:val="0"/>
    <w:pPr>
      <w:adjustRightInd/>
      <w:spacing w:line="360" w:lineRule="auto"/>
      <w:jc w:val="center"/>
    </w:pPr>
    <w:rPr>
      <w:sz w:val="24"/>
    </w:rPr>
  </w:style>
  <w:style w:type="paragraph" w:customStyle="1" w:styleId="697">
    <w:name w:val="正文3"/>
    <w:basedOn w:val="1"/>
    <w:uiPriority w:val="0"/>
    <w:pPr>
      <w:adjustRightInd/>
      <w:spacing w:before="156" w:beforeLines="50" w:after="156" w:afterLines="50" w:line="360" w:lineRule="auto"/>
      <w:outlineLvl w:val="8"/>
    </w:pPr>
    <w:rPr>
      <w:rFonts w:ascii="Segoe UI" w:hAnsi="宋体" w:eastAsia="楷体_GB2312" w:cs="Latha"/>
      <w:sz w:val="24"/>
    </w:rPr>
  </w:style>
  <w:style w:type="paragraph" w:customStyle="1" w:styleId="698">
    <w:name w:val="Char Char Char Char Char Char Char1"/>
    <w:basedOn w:val="1"/>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rPr>
  </w:style>
  <w:style w:type="paragraph" w:customStyle="1" w:styleId="700">
    <w:name w:val="Ñù"/>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uiPriority w:val="0"/>
    <w:pPr>
      <w:widowControl/>
      <w:adjustRightInd/>
      <w:spacing w:after="160" w:line="240" w:lineRule="exact"/>
      <w:jc w:val="left"/>
    </w:pPr>
    <w:rPr>
      <w:szCs w:val="20"/>
    </w:rPr>
  </w:style>
  <w:style w:type="paragraph" w:customStyle="1" w:styleId="702">
    <w:name w:val="Char Char1121"/>
    <w:basedOn w:val="1"/>
    <w:uiPriority w:val="0"/>
    <w:pPr>
      <w:spacing w:line="360" w:lineRule="auto"/>
    </w:pPr>
    <w:rPr>
      <w:szCs w:val="20"/>
    </w:rPr>
  </w:style>
  <w:style w:type="paragraph" w:customStyle="1" w:styleId="703">
    <w:name w:val="小项目标题"/>
    <w:basedOn w:val="1"/>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uiPriority w:val="0"/>
    <w:pPr>
      <w:spacing w:line="240" w:lineRule="atLeast"/>
      <w:ind w:left="420" w:firstLine="420"/>
    </w:pPr>
    <w:rPr>
      <w:sz w:val="24"/>
    </w:rPr>
  </w:style>
  <w:style w:type="paragraph" w:customStyle="1" w:styleId="713">
    <w:name w:val="WW-正文文字缩进 2"/>
    <w:basedOn w:val="1"/>
    <w:uiPriority w:val="0"/>
    <w:pPr>
      <w:suppressAutoHyphens/>
      <w:adjustRightInd/>
      <w:ind w:firstLine="420"/>
    </w:pPr>
    <w:rPr>
      <w:kern w:val="1"/>
      <w:szCs w:val="20"/>
    </w:rPr>
  </w:style>
  <w:style w:type="paragraph" w:customStyle="1" w:styleId="714">
    <w:name w:val="xl41"/>
    <w:basedOn w:val="1"/>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uiPriority w:val="0"/>
    <w:pPr>
      <w:spacing w:before="120" w:after="120"/>
      <w:ind w:left="0" w:firstLine="0"/>
      <w:jc w:val="both"/>
    </w:pPr>
    <w:rPr>
      <w:rFonts w:ascii="宋体" w:hAnsi="Arial" w:eastAsia="宋体"/>
      <w:sz w:val="28"/>
      <w:lang w:val="en-US"/>
    </w:rPr>
  </w:style>
  <w:style w:type="paragraph" w:customStyle="1" w:styleId="716">
    <w:name w:val="有符号正文"/>
    <w:basedOn w:val="1"/>
    <w:uiPriority w:val="0"/>
    <w:pPr>
      <w:adjustRightInd/>
      <w:spacing w:line="400" w:lineRule="exact"/>
      <w:ind w:firstLine="200" w:firstLineChars="200"/>
    </w:pPr>
    <w:rPr>
      <w:rFonts w:ascii="Arial" w:hAnsi="Arial"/>
    </w:rPr>
  </w:style>
  <w:style w:type="paragraph" w:customStyle="1" w:styleId="717">
    <w:name w:val="font10"/>
    <w:basedOn w:val="1"/>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719">
    <w:name w:val="4"/>
    <w:basedOn w:val="1"/>
    <w:next w:val="36"/>
    <w:uiPriority w:val="0"/>
    <w:pPr>
      <w:spacing w:after="120" w:line="480" w:lineRule="auto"/>
      <w:ind w:left="420" w:leftChars="200"/>
    </w:pPr>
    <w:rPr>
      <w:sz w:val="24"/>
      <w:szCs w:val="20"/>
    </w:rPr>
  </w:style>
  <w:style w:type="paragraph" w:customStyle="1" w:styleId="720">
    <w:name w:val="tableheading"/>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724">
    <w:name w:val="小标题"/>
    <w:basedOn w:val="1"/>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rPr>
  </w:style>
  <w:style w:type="paragraph" w:customStyle="1" w:styleId="731">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uiPriority w:val="0"/>
    <w:rPr>
      <w:rFonts w:ascii="仿宋_GB2312" w:eastAsia="仿宋_GB2312"/>
      <w:b/>
      <w:sz w:val="32"/>
      <w:szCs w:val="32"/>
    </w:rPr>
  </w:style>
  <w:style w:type="paragraph" w:customStyle="1" w:styleId="733">
    <w:name w:val="Char3 Char Char Char1"/>
    <w:basedOn w:val="1"/>
    <w:uiPriority w:val="6"/>
    <w:pPr>
      <w:widowControl/>
      <w:adjustRightInd/>
      <w:spacing w:after="160" w:line="240" w:lineRule="exact"/>
      <w:jc w:val="left"/>
    </w:pPr>
    <w:rPr>
      <w:szCs w:val="20"/>
    </w:rPr>
  </w:style>
  <w:style w:type="paragraph" w:customStyle="1" w:styleId="734">
    <w:name w:val="Char1 Char Char Char21"/>
    <w:basedOn w:val="1"/>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rPr>
  </w:style>
  <w:style w:type="paragraph" w:customStyle="1" w:styleId="736">
    <w:name w:val="正文（标题三）"/>
    <w:basedOn w:val="1"/>
    <w:uiPriority w:val="0"/>
    <w:pPr>
      <w:spacing w:line="360" w:lineRule="auto"/>
      <w:ind w:firstLine="200" w:firstLineChars="200"/>
    </w:pPr>
    <w:rPr>
      <w:sz w:val="24"/>
    </w:rPr>
  </w:style>
  <w:style w:type="paragraph" w:customStyle="1" w:styleId="737">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738">
    <w:name w:val="xl66"/>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uiPriority w:val="0"/>
    <w:pPr>
      <w:autoSpaceDE w:val="0"/>
      <w:autoSpaceDN w:val="0"/>
      <w:spacing w:before="175" w:after="102" w:line="351" w:lineRule="atLeast"/>
      <w:ind w:firstLine="200" w:firstLineChars="200"/>
    </w:pPr>
    <w:rPr>
      <w:color w:val="000000"/>
      <w:kern w:val="0"/>
    </w:rPr>
  </w:style>
  <w:style w:type="paragraph" w:customStyle="1" w:styleId="742">
    <w:name w:val="Char1 Char Char Char4"/>
    <w:basedOn w:val="1"/>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uiPriority w:val="0"/>
    <w:pPr>
      <w:adjustRightInd/>
    </w:pPr>
    <w:rPr>
      <w:rFonts w:ascii="Tahoma" w:hAnsi="Tahoma"/>
      <w:sz w:val="24"/>
    </w:rPr>
  </w:style>
  <w:style w:type="paragraph" w:customStyle="1" w:styleId="751">
    <w:name w:val="Char Char Char Char11"/>
    <w:basedOn w:val="1"/>
    <w:uiPriority w:val="0"/>
    <w:rPr>
      <w:rFonts w:ascii="Tahoma" w:hAnsi="Tahoma"/>
      <w:sz w:val="24"/>
      <w:szCs w:val="20"/>
    </w:rPr>
  </w:style>
  <w:style w:type="paragraph" w:customStyle="1" w:styleId="752">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uiPriority w:val="0"/>
    <w:rPr>
      <w:rFonts w:ascii="Tahoma" w:hAnsi="Tahoma"/>
      <w:sz w:val="24"/>
      <w:szCs w:val="20"/>
    </w:rPr>
  </w:style>
  <w:style w:type="paragraph" w:customStyle="1" w:styleId="754">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uiPriority w:val="0"/>
    <w:pPr>
      <w:adjustRightInd/>
    </w:pPr>
    <w:rPr>
      <w:szCs w:val="20"/>
    </w:rPr>
  </w:style>
  <w:style w:type="paragraph" w:customStyle="1" w:styleId="756">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uiPriority w:val="0"/>
    <w:rPr>
      <w:rFonts w:ascii="Times New Roman" w:hAnsi="Times New Roman" w:eastAsia="宋体" w:cs="Times New Roman"/>
      <w:kern w:val="2"/>
      <w:sz w:val="21"/>
      <w:szCs w:val="24"/>
      <w:lang w:val="en-US" w:eastAsia="zh-CN" w:bidi="ar-SA"/>
    </w:rPr>
  </w:style>
  <w:style w:type="paragraph" w:customStyle="1" w:styleId="763">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uiPriority w:val="0"/>
    <w:rPr>
      <w:rFonts w:ascii="Times New Roman" w:hAnsi="Times New Roman" w:eastAsia="宋体" w:cs="Times New Roman"/>
      <w:kern w:val="2"/>
      <w:sz w:val="21"/>
      <w:lang w:val="en-US" w:eastAsia="zh-CN" w:bidi="ar-SA"/>
    </w:rPr>
  </w:style>
  <w:style w:type="paragraph" w:customStyle="1" w:styleId="766">
    <w:name w:val="CSS1级正文 Char"/>
    <w:basedOn w:val="23"/>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uiPriority w:val="0"/>
    <w:rPr>
      <w:rFonts w:ascii="宋体" w:hAnsi="Times New Roman" w:eastAsia="宋体" w:cs="Times New Roman"/>
      <w:kern w:val="2"/>
      <w:lang w:val="en-US" w:eastAsia="zh-CN" w:bidi="ar-SA"/>
    </w:rPr>
  </w:style>
  <w:style w:type="paragraph" w:customStyle="1" w:styleId="769">
    <w:name w:val="MM Title"/>
    <w:basedOn w:val="58"/>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uiPriority w:val="0"/>
    <w:pPr>
      <w:tabs>
        <w:tab w:val="left" w:pos="360"/>
      </w:tabs>
    </w:pPr>
    <w:rPr>
      <w:sz w:val="24"/>
      <w:szCs w:val="20"/>
    </w:rPr>
  </w:style>
  <w:style w:type="paragraph" w:customStyle="1" w:styleId="773">
    <w:name w:val="表内文字"/>
    <w:basedOn w:val="1"/>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uiPriority w:val="0"/>
    <w:pPr>
      <w:adjustRightInd/>
      <w:spacing w:line="360" w:lineRule="auto"/>
    </w:pPr>
    <w:rPr>
      <w:rFonts w:ascii="Arial" w:hAnsi="Arial" w:eastAsia="黑体" w:cs="Arial"/>
      <w:snapToGrid w:val="0"/>
      <w:kern w:val="0"/>
    </w:rPr>
  </w:style>
  <w:style w:type="paragraph" w:customStyle="1" w:styleId="780">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rPr>
  </w:style>
  <w:style w:type="paragraph" w:customStyle="1" w:styleId="782">
    <w:name w:val="Char6"/>
    <w:basedOn w:val="1"/>
    <w:uiPriority w:val="0"/>
    <w:rPr>
      <w:rFonts w:ascii="仿宋_GB2312" w:eastAsia="仿宋_GB2312"/>
      <w:b/>
      <w:sz w:val="32"/>
      <w:szCs w:val="32"/>
    </w:rPr>
  </w:style>
  <w:style w:type="paragraph" w:customStyle="1" w:styleId="783">
    <w:name w:val="Char111"/>
    <w:basedOn w:val="1"/>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uiPriority w:val="0"/>
    <w:pPr>
      <w:tabs>
        <w:tab w:val="left" w:leader="dot" w:pos="7370"/>
      </w:tabs>
      <w:autoSpaceDE w:val="0"/>
      <w:autoSpaceDN w:val="0"/>
      <w:spacing w:line="317" w:lineRule="atLeast"/>
      <w:ind w:firstLine="419" w:firstLineChars="200"/>
    </w:pPr>
    <w:rPr>
      <w:color w:val="000000"/>
      <w:kern w:val="0"/>
    </w:rPr>
  </w:style>
  <w:style w:type="paragraph" w:customStyle="1" w:styleId="794">
    <w:name w:val="Char23"/>
    <w:basedOn w:val="1"/>
    <w:uiPriority w:val="0"/>
    <w:rPr>
      <w:rFonts w:ascii="仿宋_GB2312" w:eastAsia="仿宋_GB2312"/>
      <w:b/>
      <w:sz w:val="32"/>
      <w:szCs w:val="32"/>
    </w:rPr>
  </w:style>
  <w:style w:type="paragraph" w:customStyle="1" w:styleId="795">
    <w:name w:val="style3"/>
    <w:basedOn w:val="1"/>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799">
    <w:name w:val="单元格左对齐"/>
    <w:basedOn w:val="1"/>
    <w:uiPriority w:val="0"/>
    <w:pPr>
      <w:adjustRightInd/>
      <w:spacing w:line="360" w:lineRule="auto"/>
    </w:pPr>
    <w:rPr>
      <w:sz w:val="24"/>
    </w:rPr>
  </w:style>
  <w:style w:type="paragraph" w:customStyle="1" w:styleId="800">
    <w:name w:val="正文主体"/>
    <w:basedOn w:val="621"/>
    <w:uiPriority w:val="0"/>
  </w:style>
  <w:style w:type="paragraph" w:customStyle="1" w:styleId="801">
    <w:name w:val="font6"/>
    <w:basedOn w:val="1"/>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uiPriority w:val="6"/>
    <w:pPr>
      <w:adjustRightInd/>
      <w:spacing w:line="360" w:lineRule="auto"/>
    </w:pPr>
    <w:rPr>
      <w:rFonts w:ascii="Arial" w:hAnsi="Arial" w:eastAsia="黑体" w:cs="Arial"/>
      <w:snapToGrid w:val="0"/>
      <w:kern w:val="0"/>
    </w:rPr>
  </w:style>
  <w:style w:type="paragraph" w:customStyle="1" w:styleId="803">
    <w:name w:val="样式 首行缩进:  2 字符"/>
    <w:basedOn w:val="1"/>
    <w:uiPriority w:val="0"/>
    <w:pPr>
      <w:snapToGrid w:val="0"/>
      <w:spacing w:line="360" w:lineRule="auto"/>
    </w:pPr>
    <w:rPr>
      <w:rFonts w:ascii="仿宋_GB2312" w:hAnsi="宋体" w:eastAsia="仿宋_GB2312" w:cs="宋体"/>
      <w:color w:val="000000"/>
      <w:kern w:val="0"/>
      <w:sz w:val="28"/>
    </w:rPr>
  </w:style>
  <w:style w:type="paragraph" w:customStyle="1" w:styleId="804">
    <w:name w:val="正文（首行缩进2字符）"/>
    <w:basedOn w:val="1"/>
    <w:uiPriority w:val="0"/>
    <w:pPr>
      <w:adjustRightInd/>
      <w:spacing w:line="360" w:lineRule="auto"/>
      <w:ind w:firstLine="480" w:firstLineChars="200"/>
    </w:pPr>
    <w:rPr>
      <w:sz w:val="24"/>
      <w:szCs w:val="20"/>
    </w:rPr>
  </w:style>
  <w:style w:type="paragraph" w:customStyle="1" w:styleId="805">
    <w:name w:val="P1"/>
    <w:basedOn w:val="1"/>
    <w:uiPriority w:val="0"/>
    <w:pPr>
      <w:adjustRightInd/>
      <w:spacing w:line="288" w:lineRule="auto"/>
      <w:ind w:firstLine="425" w:firstLineChars="200"/>
    </w:pPr>
  </w:style>
  <w:style w:type="paragraph" w:customStyle="1" w:styleId="806">
    <w:name w:val="列表内容"/>
    <w:basedOn w:val="1"/>
    <w:next w:val="1"/>
    <w:uiPriority w:val="0"/>
    <w:pPr>
      <w:widowControl/>
      <w:tabs>
        <w:tab w:val="left" w:pos="840"/>
      </w:tabs>
      <w:ind w:left="840" w:hanging="420"/>
      <w:jc w:val="left"/>
    </w:pPr>
    <w:rPr>
      <w:kern w:val="0"/>
      <w:sz w:val="18"/>
    </w:rPr>
  </w:style>
  <w:style w:type="paragraph" w:customStyle="1" w:styleId="807">
    <w:name w:val="Char Char11 Char Char Char1"/>
    <w:basedOn w:val="1"/>
    <w:uiPriority w:val="6"/>
    <w:pPr>
      <w:spacing w:line="360" w:lineRule="auto"/>
    </w:pPr>
    <w:rPr>
      <w:szCs w:val="20"/>
    </w:rPr>
  </w:style>
  <w:style w:type="paragraph" w:customStyle="1" w:styleId="808">
    <w:name w:val="默认段落字体 Para Char Char Char Char Char Char Char Char Char1 Char Char Char Char"/>
    <w:basedOn w:val="1"/>
    <w:uiPriority w:val="0"/>
    <w:pPr>
      <w:adjustRightInd/>
    </w:pPr>
    <w:rPr>
      <w:rFonts w:ascii="Tahoma" w:hAnsi="Tahoma"/>
      <w:sz w:val="24"/>
      <w:szCs w:val="20"/>
    </w:rPr>
  </w:style>
  <w:style w:type="paragraph" w:customStyle="1" w:styleId="809">
    <w:name w:val="Char Char Char Char Char Char11"/>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uiPriority w:val="0"/>
    <w:pPr>
      <w:spacing w:line="360" w:lineRule="auto"/>
    </w:pPr>
    <w:rPr>
      <w:szCs w:val="20"/>
    </w:rPr>
  </w:style>
  <w:style w:type="paragraph" w:customStyle="1" w:styleId="814">
    <w:name w:val="正文4"/>
    <w:basedOn w:val="1"/>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uiPriority w:val="0"/>
    <w:rPr>
      <w:rFonts w:ascii="仿宋_GB2312" w:eastAsia="仿宋_GB2312"/>
      <w:b/>
      <w:sz w:val="32"/>
      <w:szCs w:val="32"/>
    </w:rPr>
  </w:style>
  <w:style w:type="paragraph" w:customStyle="1" w:styleId="817">
    <w:name w:val="Char1 Char Char Char Char Char Char Char Char Char"/>
    <w:basedOn w:val="1"/>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uiPriority w:val="0"/>
    <w:pPr>
      <w:adjustRightInd/>
      <w:spacing w:line="360" w:lineRule="auto"/>
      <w:ind w:firstLine="480"/>
    </w:pPr>
    <w:rPr>
      <w:rFonts w:cs="宋体"/>
      <w:sz w:val="24"/>
      <w:szCs w:val="20"/>
    </w:rPr>
  </w:style>
  <w:style w:type="paragraph" w:customStyle="1" w:styleId="820">
    <w:name w:val="Char Char4 Char Char"/>
    <w:basedOn w:val="1"/>
    <w:uiPriority w:val="0"/>
    <w:pPr>
      <w:widowControl/>
      <w:adjustRightInd/>
      <w:spacing w:after="160" w:line="240" w:lineRule="exact"/>
      <w:jc w:val="left"/>
    </w:pPr>
  </w:style>
  <w:style w:type="paragraph" w:customStyle="1" w:styleId="821">
    <w:name w:val="目录2"/>
    <w:basedOn w:val="1"/>
    <w:uiPriority w:val="0"/>
    <w:pPr>
      <w:tabs>
        <w:tab w:val="left" w:leader="dot" w:pos="7370"/>
      </w:tabs>
      <w:autoSpaceDE w:val="0"/>
      <w:autoSpaceDN w:val="0"/>
      <w:spacing w:line="317" w:lineRule="atLeast"/>
      <w:ind w:firstLine="209" w:firstLineChars="200"/>
    </w:pPr>
    <w:rPr>
      <w:color w:val="000000"/>
      <w:kern w:val="0"/>
    </w:rPr>
  </w:style>
  <w:style w:type="paragraph" w:customStyle="1" w:styleId="822">
    <w:name w:val="Char Char11 Char Char Char2"/>
    <w:basedOn w:val="1"/>
    <w:uiPriority w:val="0"/>
    <w:pPr>
      <w:spacing w:line="360" w:lineRule="auto"/>
    </w:pPr>
    <w:rPr>
      <w:szCs w:val="20"/>
    </w:rPr>
  </w:style>
  <w:style w:type="paragraph" w:customStyle="1" w:styleId="823">
    <w:name w:val="9"/>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uiPriority w:val="0"/>
    <w:pPr>
      <w:spacing w:after="240"/>
      <w:ind w:firstLine="200" w:firstLineChars="200"/>
      <w:jc w:val="center"/>
      <w:textAlignment w:val="baseline"/>
    </w:pPr>
    <w:rPr>
      <w:rFonts w:eastAsia="黑体"/>
      <w:sz w:val="24"/>
      <w:szCs w:val="20"/>
    </w:rPr>
  </w:style>
  <w:style w:type="paragraph" w:customStyle="1" w:styleId="828">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uiPriority w:val="0"/>
    <w:pPr>
      <w:adjustRightInd/>
      <w:ind w:firstLine="200" w:firstLineChars="200"/>
    </w:pPr>
    <w:rPr>
      <w:rFonts w:ascii="Tahoma" w:hAnsi="Tahoma"/>
      <w:sz w:val="24"/>
      <w:szCs w:val="20"/>
    </w:rPr>
  </w:style>
  <w:style w:type="paragraph" w:customStyle="1" w:styleId="830">
    <w:name w:val="正文文本 23"/>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uiPriority w:val="0"/>
    <w:pPr>
      <w:tabs>
        <w:tab w:val="left" w:pos="0"/>
      </w:tabs>
      <w:ind w:left="900" w:firstLine="0" w:firstLineChars="0"/>
    </w:pPr>
  </w:style>
  <w:style w:type="paragraph" w:customStyle="1" w:styleId="833">
    <w:name w:val="Bulleted List"/>
    <w:basedOn w:val="1"/>
    <w:uiPriority w:val="0"/>
    <w:pPr>
      <w:tabs>
        <w:tab w:val="left" w:pos="1260"/>
      </w:tabs>
      <w:adjustRightInd/>
      <w:ind w:left="1260" w:hanging="420"/>
    </w:pPr>
  </w:style>
  <w:style w:type="paragraph" w:customStyle="1" w:styleId="834">
    <w:name w:val="样式 正文文本缩进 2 + 仿宋_GB2312 黑色 行距: 1.5 倍行距"/>
    <w:basedOn w:val="36"/>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uiPriority w:val="2"/>
    <w:pPr>
      <w:adjustRightInd/>
      <w:spacing w:line="360" w:lineRule="auto"/>
    </w:pPr>
    <w:rPr>
      <w:rFonts w:cs="宋体"/>
      <w:sz w:val="24"/>
      <w:szCs w:val="20"/>
    </w:rPr>
  </w:style>
  <w:style w:type="paragraph" w:customStyle="1" w:styleId="836">
    <w:name w:val="Char Char Char Char Char Char Char Char Char Char Char Char1 Char"/>
    <w:basedOn w:val="1"/>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uiPriority w:val="0"/>
    <w:pPr>
      <w:adjustRightInd/>
      <w:spacing w:line="360" w:lineRule="auto"/>
    </w:pPr>
    <w:rPr>
      <w:rFonts w:ascii="Arial" w:hAnsi="Arial" w:eastAsia="黑体"/>
      <w:snapToGrid w:val="0"/>
      <w:kern w:val="0"/>
      <w:sz w:val="20"/>
    </w:rPr>
  </w:style>
  <w:style w:type="paragraph" w:customStyle="1" w:styleId="839">
    <w:name w:val="xl8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uiPriority w:val="0"/>
    <w:rPr>
      <w:rFonts w:ascii="仿宋_GB2312" w:eastAsia="仿宋_GB2312"/>
      <w:b/>
      <w:sz w:val="32"/>
      <w:szCs w:val="20"/>
    </w:rPr>
  </w:style>
  <w:style w:type="paragraph" w:customStyle="1" w:styleId="842">
    <w:name w:val="font8"/>
    <w:basedOn w:val="1"/>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uiPriority w:val="0"/>
    <w:rPr>
      <w:rFonts w:ascii="仿宋_GB2312" w:eastAsia="仿宋_GB2312"/>
      <w:b/>
      <w:sz w:val="32"/>
      <w:szCs w:val="20"/>
    </w:rPr>
  </w:style>
  <w:style w:type="paragraph" w:customStyle="1" w:styleId="844">
    <w:name w:val="font13"/>
    <w:basedOn w:val="1"/>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846">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855">
    <w:name w:val="Char Char Char Char Char Char1"/>
    <w:basedOn w:val="1"/>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uiPriority w:val="0"/>
    <w:pPr>
      <w:widowControl/>
      <w:spacing w:after="160" w:line="240" w:lineRule="exact"/>
      <w:jc w:val="left"/>
    </w:pPr>
    <w:rPr>
      <w:rFonts w:eastAsia="仿宋_GB2312"/>
      <w:sz w:val="28"/>
    </w:rPr>
  </w:style>
  <w:style w:type="paragraph" w:customStyle="1" w:styleId="858">
    <w:name w:val="Char21"/>
    <w:basedOn w:val="1"/>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uiPriority w:val="6"/>
    <w:pPr>
      <w:spacing w:line="360" w:lineRule="auto"/>
    </w:pPr>
    <w:rPr>
      <w:rFonts w:ascii="Tahoma" w:hAnsi="Tahoma"/>
      <w:sz w:val="24"/>
      <w:szCs w:val="20"/>
    </w:rPr>
  </w:style>
  <w:style w:type="paragraph" w:customStyle="1" w:styleId="861">
    <w:name w:val="xl80"/>
    <w:basedOn w:val="1"/>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uiPriority w:val="0"/>
    <w:pPr>
      <w:adjustRightInd/>
      <w:spacing w:line="360" w:lineRule="auto"/>
    </w:pPr>
    <w:rPr>
      <w:rFonts w:ascii="Arial" w:hAnsi="Arial" w:eastAsia="黑体" w:cs="Arial"/>
      <w:snapToGrid w:val="0"/>
      <w:kern w:val="0"/>
    </w:rPr>
  </w:style>
  <w:style w:type="paragraph" w:customStyle="1" w:styleId="863">
    <w:name w:val="表正文"/>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uiPriority w:val="0"/>
    <w:rPr>
      <w:rFonts w:ascii="Tahoma" w:hAnsi="Tahoma" w:cs="仿宋_GB2312"/>
      <w:sz w:val="24"/>
      <w:szCs w:val="20"/>
    </w:rPr>
  </w:style>
  <w:style w:type="paragraph" w:customStyle="1" w:styleId="866">
    <w:name w:val="样式9"/>
    <w:basedOn w:val="1"/>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uiPriority w:val="0"/>
    <w:pPr>
      <w:adjustRightInd/>
      <w:snapToGrid w:val="0"/>
      <w:spacing w:line="360" w:lineRule="auto"/>
    </w:pPr>
    <w:rPr>
      <w:rFonts w:ascii="Arial" w:hAnsi="Arial" w:eastAsia="黑体"/>
      <w:snapToGrid w:val="0"/>
      <w:kern w:val="0"/>
      <w:sz w:val="20"/>
    </w:rPr>
  </w:style>
  <w:style w:type="paragraph" w:customStyle="1" w:styleId="868">
    <w:name w:val="样式 列表编号 + 段后: 0.5 行"/>
    <w:basedOn w:val="15"/>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uiPriority w:val="0"/>
    <w:pPr>
      <w:adjustRightInd/>
      <w:ind w:firstLine="200" w:firstLineChars="200"/>
    </w:pPr>
    <w:rPr>
      <w:rFonts w:ascii="Tahoma" w:hAnsi="Tahoma"/>
      <w:sz w:val="24"/>
      <w:szCs w:val="20"/>
    </w:rPr>
  </w:style>
  <w:style w:type="paragraph" w:customStyle="1" w:styleId="870">
    <w:name w:val="_Style 12"/>
    <w:basedOn w:val="18"/>
    <w:uiPriority w:val="0"/>
    <w:pPr>
      <w:snapToGrid w:val="0"/>
      <w:spacing w:line="360" w:lineRule="auto"/>
    </w:pPr>
  </w:style>
  <w:style w:type="paragraph" w:customStyle="1" w:styleId="871">
    <w:name w:val="样式 首行缩进:  0 字符"/>
    <w:basedOn w:val="1"/>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rPr>
  </w:style>
  <w:style w:type="paragraph" w:customStyle="1" w:styleId="881">
    <w:name w:val="MM Empty"/>
    <w:basedOn w:val="1"/>
    <w:uiPriority w:val="0"/>
    <w:pPr>
      <w:adjustRightInd/>
    </w:pPr>
  </w:style>
  <w:style w:type="paragraph" w:customStyle="1" w:styleId="882">
    <w:name w:val="Char24"/>
    <w:basedOn w:val="1"/>
    <w:uiPriority w:val="0"/>
    <w:rPr>
      <w:rFonts w:ascii="仿宋_GB2312" w:eastAsia="仿宋_GB2312"/>
      <w:b/>
      <w:sz w:val="32"/>
      <w:szCs w:val="32"/>
    </w:rPr>
  </w:style>
  <w:style w:type="paragraph" w:customStyle="1" w:styleId="883">
    <w:name w:val="正文箭头"/>
    <w:basedOn w:val="535"/>
    <w:uiPriority w:val="0"/>
  </w:style>
  <w:style w:type="paragraph" w:customStyle="1" w:styleId="884">
    <w:name w:val="U_编号2"/>
    <w:basedOn w:val="1"/>
    <w:uiPriority w:val="0"/>
    <w:pPr>
      <w:tabs>
        <w:tab w:val="left" w:pos="785"/>
      </w:tabs>
      <w:adjustRightInd/>
      <w:spacing w:beforeLines="10" w:afterLines="10" w:line="300" w:lineRule="auto"/>
    </w:pPr>
    <w:rPr>
      <w:sz w:val="24"/>
    </w:rPr>
  </w:style>
  <w:style w:type="paragraph" w:customStyle="1" w:styleId="885">
    <w:name w:val="xl72"/>
    <w:basedOn w:val="1"/>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uiPriority w:val="0"/>
    <w:rPr>
      <w:b w:val="0"/>
      <w:sz w:val="20"/>
    </w:rPr>
  </w:style>
  <w:style w:type="paragraph" w:customStyle="1" w:styleId="891">
    <w:name w:val="正文首行缩进1"/>
    <w:basedOn w:val="23"/>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uiPriority w:val="0"/>
    <w:pPr>
      <w:tabs>
        <w:tab w:val="left" w:pos="1080"/>
      </w:tabs>
      <w:ind w:left="1080" w:hanging="1080"/>
    </w:pPr>
  </w:style>
  <w:style w:type="paragraph" w:customStyle="1" w:styleId="894">
    <w:name w:val="数字标题1"/>
    <w:basedOn w:val="3"/>
    <w:next w:val="1"/>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uiPriority w:val="0"/>
    <w:pPr>
      <w:spacing w:line="360" w:lineRule="auto"/>
    </w:pPr>
    <w:rPr>
      <w:kern w:val="0"/>
      <w:sz w:val="24"/>
      <w:szCs w:val="20"/>
    </w:rPr>
  </w:style>
  <w:style w:type="paragraph" w:customStyle="1" w:styleId="896">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uiPriority w:val="0"/>
    <w:pPr>
      <w:widowControl/>
    </w:pPr>
    <w:rPr>
      <w:kern w:val="0"/>
      <w:sz w:val="24"/>
      <w:szCs w:val="20"/>
    </w:rPr>
  </w:style>
  <w:style w:type="paragraph" w:customStyle="1" w:styleId="902">
    <w:name w:val="Char Char113"/>
    <w:basedOn w:val="1"/>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907">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uiPriority w:val="0"/>
    <w:pPr>
      <w:ind w:left="0"/>
    </w:pPr>
  </w:style>
  <w:style w:type="paragraph" w:customStyle="1" w:styleId="915">
    <w:name w:val="xl7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locked/>
    <w:uiPriority w:val="99"/>
    <w:rPr>
      <w:kern w:val="2"/>
      <w:sz w:val="18"/>
      <w:szCs w:val="18"/>
    </w:rPr>
  </w:style>
  <w:style w:type="character" w:customStyle="1" w:styleId="928">
    <w:name w:val="页眉 字符1"/>
    <w:uiPriority w:val="99"/>
    <w:rPr>
      <w:kern w:val="2"/>
      <w:sz w:val="18"/>
      <w:szCs w:val="18"/>
    </w:rPr>
  </w:style>
  <w:style w:type="character" w:customStyle="1" w:styleId="929">
    <w:name w:val="尾注文本 Char"/>
    <w:link w:val="37"/>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uiPriority w:val="0"/>
    <w:rPr>
      <w:rFonts w:cs="宋体"/>
      <w:kern w:val="2"/>
      <w:sz w:val="24"/>
    </w:rPr>
  </w:style>
  <w:style w:type="paragraph" w:customStyle="1" w:styleId="932">
    <w:name w:val="标准文本"/>
    <w:basedOn w:val="1"/>
    <w:link w:val="931"/>
    <w:uiPriority w:val="0"/>
    <w:pPr>
      <w:adjustRightInd/>
      <w:spacing w:line="360" w:lineRule="auto"/>
      <w:ind w:firstLine="480" w:firstLineChars="200"/>
    </w:pPr>
    <w:rPr>
      <w:rFonts w:cs="宋体"/>
      <w:sz w:val="24"/>
      <w:szCs w:val="20"/>
    </w:rPr>
  </w:style>
  <w:style w:type="character" w:customStyle="1" w:styleId="933">
    <w:name w:val="Char Char213"/>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uiPriority w:val="0"/>
    <w:rPr>
      <w:rFonts w:hint="default" w:ascii="Calibri" w:hAnsi="Calibri"/>
      <w:color w:val="0000FF"/>
      <w:u w:val="single"/>
    </w:rPr>
  </w:style>
  <w:style w:type="character" w:customStyle="1" w:styleId="936">
    <w:name w:val="16"/>
    <w:uiPriority w:val="0"/>
    <w:rPr>
      <w:rFonts w:hint="eastAsia" w:ascii="宋体" w:hAnsi="宋体" w:eastAsia="宋体"/>
      <w:color w:val="000000"/>
      <w:sz w:val="20"/>
      <w:szCs w:val="20"/>
    </w:rPr>
  </w:style>
  <w:style w:type="character" w:customStyle="1" w:styleId="937">
    <w:name w:val="edui-unclickable"/>
    <w:uiPriority w:val="0"/>
    <w:rPr>
      <w:color w:val="808080"/>
    </w:rPr>
  </w:style>
  <w:style w:type="character" w:customStyle="1" w:styleId="938">
    <w:name w:val="tpc_content1"/>
    <w:uiPriority w:val="0"/>
    <w:rPr>
      <w:sz w:val="20"/>
      <w:szCs w:val="20"/>
    </w:rPr>
  </w:style>
  <w:style w:type="character" w:customStyle="1" w:styleId="939">
    <w:name w:val="正文文本缩进 字符"/>
    <w:uiPriority w:val="0"/>
    <w:rPr>
      <w:rFonts w:ascii="Century Gothic" w:hAnsi="Century Gothic" w:eastAsia="Century Gothic"/>
      <w:kern w:val="2"/>
      <w:sz w:val="24"/>
      <w:lang w:val="en-US" w:eastAsia="zh-CN" w:bidi="ar-SA"/>
    </w:rPr>
  </w:style>
  <w:style w:type="character" w:customStyle="1" w:styleId="940">
    <w:name w:val="正文文本 2 字符"/>
    <w:uiPriority w:val="0"/>
    <w:rPr>
      <w:rFonts w:ascii="Arial" w:hAnsi="Arial" w:eastAsia="宋体"/>
      <w:kern w:val="2"/>
      <w:sz w:val="24"/>
      <w:szCs w:val="24"/>
      <w:lang w:val="en-US" w:eastAsia="zh-CN" w:bidi="ar-SA"/>
    </w:rPr>
  </w:style>
  <w:style w:type="character" w:customStyle="1" w:styleId="941">
    <w:name w:val="edui-clickable2"/>
    <w:uiPriority w:val="0"/>
    <w:rPr>
      <w:color w:val="0000FF"/>
      <w:u w:val="single"/>
    </w:rPr>
  </w:style>
  <w:style w:type="character" w:customStyle="1" w:styleId="942">
    <w:name w:val="style1"/>
    <w:uiPriority w:val="0"/>
    <w:rPr>
      <w:rFonts w:ascii="Arial" w:hAnsi="Arial" w:eastAsia="黑体" w:cs="Arial"/>
      <w:snapToGrid w:val="0"/>
      <w:kern w:val="0"/>
      <w:szCs w:val="21"/>
    </w:rPr>
  </w:style>
  <w:style w:type="character" w:customStyle="1" w:styleId="943">
    <w:name w:val="zbggtop11 style5"/>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uiPriority w:val="0"/>
    <w:rPr>
      <w:rFonts w:ascii="宋体" w:hAnsi="Courier New" w:eastAsia="宋体" w:cs="Courier New"/>
      <w:snapToGrid w:val="0"/>
      <w:sz w:val="18"/>
      <w:szCs w:val="21"/>
      <w:lang w:val="en-US" w:eastAsia="zh-CN" w:bidi="ar-SA"/>
    </w:rPr>
  </w:style>
  <w:style w:type="character" w:customStyle="1" w:styleId="945">
    <w:name w:val="bulletintext1"/>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uiPriority w:val="0"/>
    <w:pPr>
      <w:adjustRightInd/>
      <w:snapToGrid w:val="0"/>
      <w:jc w:val="left"/>
    </w:pPr>
    <w:rPr>
      <w:rFonts w:ascii="Century Gothic" w:hAnsi="楷体_GB2312" w:eastAsia="Century Gothic"/>
      <w:szCs w:val="20"/>
    </w:rPr>
  </w:style>
  <w:style w:type="paragraph" w:customStyle="1" w:styleId="949">
    <w:name w:val="*Body 1"/>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uiPriority w:val="0"/>
    <w:pPr>
      <w:autoSpaceDE w:val="0"/>
      <w:autoSpaceDN w:val="0"/>
      <w:spacing w:before="100" w:after="100"/>
      <w:ind w:left="360" w:right="360"/>
      <w:jc w:val="left"/>
    </w:pPr>
    <w:rPr>
      <w:kern w:val="0"/>
      <w:sz w:val="24"/>
      <w:szCs w:val="20"/>
    </w:rPr>
  </w:style>
  <w:style w:type="paragraph" w:customStyle="1" w:styleId="953">
    <w:name w:val="p1"/>
    <w:basedOn w:val="1"/>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uiPriority w:val="0"/>
    <w:pPr>
      <w:adjustRightInd/>
      <w:jc w:val="left"/>
    </w:pPr>
    <w:rPr>
      <w:rFonts w:ascii="Calibri" w:hAnsi="Calibri"/>
      <w:kern w:val="0"/>
      <w:sz w:val="22"/>
      <w:szCs w:val="22"/>
      <w:lang w:eastAsia="en-US"/>
    </w:rPr>
  </w:style>
  <w:style w:type="paragraph" w:customStyle="1" w:styleId="955">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uiPriority w:val="0"/>
    <w:rPr>
      <w:color w:val="000000"/>
      <w:shd w:val="clear" w:color="auto" w:fill="EFD200"/>
    </w:rPr>
  </w:style>
  <w:style w:type="character" w:customStyle="1" w:styleId="959">
    <w:name w:val="font71"/>
    <w:uiPriority w:val="0"/>
    <w:rPr>
      <w:rFonts w:hint="eastAsia" w:ascii="宋体" w:hAnsi="宋体" w:eastAsia="宋体" w:cs="宋体"/>
      <w:color w:val="000000"/>
      <w:sz w:val="22"/>
      <w:szCs w:val="22"/>
      <w:u w:val="none"/>
    </w:rPr>
  </w:style>
  <w:style w:type="character" w:customStyle="1" w:styleId="960">
    <w:name w:val="font91"/>
    <w:uiPriority w:val="0"/>
    <w:rPr>
      <w:rFonts w:hint="eastAsia" w:ascii="仿宋" w:hAnsi="仿宋" w:eastAsia="仿宋" w:cs="仿宋"/>
      <w:color w:val="000000"/>
      <w:sz w:val="22"/>
      <w:szCs w:val="22"/>
      <w:u w:val="none"/>
    </w:rPr>
  </w:style>
  <w:style w:type="character" w:customStyle="1" w:styleId="961">
    <w:name w:val="Footer-Even Char2"/>
    <w:basedOn w:val="69"/>
    <w:uiPriority w:val="0"/>
    <w:rPr>
      <w:rFonts w:hint="eastAsia" w:ascii="宋体" w:hAnsi="宋体" w:eastAsia="宋体" w:cs="宋体"/>
      <w:kern w:val="2"/>
      <w:sz w:val="18"/>
      <w:lang w:val="en-US" w:eastAsia="zh-CN" w:bidi="ar"/>
    </w:rPr>
  </w:style>
  <w:style w:type="character" w:customStyle="1" w:styleId="962">
    <w:name w:val="Char Char93"/>
    <w:basedOn w:val="69"/>
    <w:uiPriority w:val="0"/>
    <w:rPr>
      <w:rFonts w:hint="eastAsia" w:ascii="宋体" w:hAnsi="宋体" w:eastAsia="宋体" w:cs="宋体"/>
      <w:kern w:val="2"/>
      <w:sz w:val="18"/>
      <w:szCs w:val="18"/>
      <w:lang w:val="en-US" w:eastAsia="zh-CN" w:bidi="ar"/>
    </w:rPr>
  </w:style>
  <w:style w:type="character" w:customStyle="1" w:styleId="963">
    <w:name w:val="页脚 Char11"/>
    <w:basedOn w:val="69"/>
    <w:uiPriority w:val="0"/>
    <w:rPr>
      <w:rFonts w:hint="eastAsia" w:ascii="宋体" w:hAnsi="宋体" w:eastAsia="宋体" w:cs="宋体"/>
      <w:kern w:val="2"/>
      <w:sz w:val="18"/>
      <w:szCs w:val="18"/>
      <w:lang w:val="en-US" w:eastAsia="zh-CN" w:bidi="ar"/>
    </w:rPr>
  </w:style>
  <w:style w:type="character" w:customStyle="1" w:styleId="964">
    <w:name w:val="正文缩进 Char11"/>
    <w:basedOn w:val="69"/>
    <w:uiPriority w:val="0"/>
    <w:rPr>
      <w:rFonts w:hint="eastAsia" w:ascii="宋体" w:hAnsi="宋体" w:eastAsia="宋体" w:cs="宋体"/>
      <w:snapToGrid w:val="0"/>
      <w:color w:val="000000"/>
      <w:kern w:val="28"/>
      <w:sz w:val="28"/>
      <w:lang w:val="en-US" w:eastAsia="zh-CN" w:bidi="ar"/>
    </w:rPr>
  </w:style>
  <w:style w:type="character" w:customStyle="1" w:styleId="965">
    <w:name w:val="标题 2 Char1"/>
    <w:basedOn w:val="69"/>
    <w:link w:val="2"/>
    <w:uiPriority w:val="0"/>
    <w:rPr>
      <w:rFonts w:hint="eastAsia" w:ascii="仿宋_GB2312" w:hAnsi="仿宋" w:eastAsia="仿宋_GB2312" w:cs="Arial"/>
      <w:b/>
      <w:snapToGrid w:val="0"/>
      <w:kern w:val="2"/>
      <w:sz w:val="32"/>
      <w:szCs w:val="32"/>
      <w:lang w:val="zh-CN"/>
    </w:rPr>
  </w:style>
  <w:style w:type="character" w:customStyle="1" w:styleId="966">
    <w:name w:val="表正文 Char11"/>
    <w:basedOn w:val="69"/>
    <w:uiPriority w:val="0"/>
    <w:rPr>
      <w:rFonts w:hint="eastAsia" w:ascii="宋体" w:hAnsi="宋体" w:eastAsia="宋体" w:cs="宋体"/>
      <w:snapToGrid w:val="0"/>
      <w:color w:val="000000"/>
      <w:kern w:val="28"/>
      <w:sz w:val="28"/>
    </w:rPr>
  </w:style>
  <w:style w:type="character" w:customStyle="1" w:styleId="967">
    <w:name w:val="Char Char210"/>
    <w:basedOn w:val="69"/>
    <w:uiPriority w:val="0"/>
    <w:rPr>
      <w:rFonts w:hint="eastAsia" w:ascii="宋体" w:hAnsi="宋体" w:eastAsia="宋体" w:cs="宋体"/>
      <w:b/>
      <w:kern w:val="2"/>
      <w:sz w:val="21"/>
      <w:szCs w:val="24"/>
      <w:lang w:val="en-US" w:eastAsia="zh-CN" w:bidi="ar"/>
    </w:rPr>
  </w:style>
  <w:style w:type="character" w:customStyle="1" w:styleId="968">
    <w:name w:val="正文非缩进 Char31"/>
    <w:basedOn w:val="69"/>
    <w:uiPriority w:val="0"/>
    <w:rPr>
      <w:rFonts w:hint="eastAsia" w:ascii="宋体" w:hAnsi="宋体" w:eastAsia="宋体" w:cs="宋体"/>
      <w:snapToGrid w:val="0"/>
      <w:color w:val="000000"/>
      <w:kern w:val="28"/>
      <w:sz w:val="28"/>
      <w:lang w:val="en-US" w:eastAsia="zh-CN" w:bidi="ar"/>
    </w:rPr>
  </w:style>
  <w:style w:type="character" w:customStyle="1" w:styleId="969">
    <w:name w:val="正文非缩进 Char1"/>
    <w:basedOn w:val="69"/>
    <w:uiPriority w:val="0"/>
    <w:rPr>
      <w:rFonts w:hint="eastAsia" w:ascii="宋体" w:hAnsi="宋体" w:eastAsia="宋体" w:cs="宋体"/>
      <w:snapToGrid w:val="0"/>
      <w:color w:val="000000"/>
      <w:kern w:val="28"/>
      <w:sz w:val="28"/>
      <w:lang w:val="en-US" w:eastAsia="zh-CN" w:bidi="ar"/>
    </w:rPr>
  </w:style>
  <w:style w:type="character" w:customStyle="1" w:styleId="970">
    <w:name w:val="普通文字 Char31"/>
    <w:basedOn w:val="69"/>
    <w:uiPriority w:val="0"/>
    <w:rPr>
      <w:rFonts w:hint="eastAsia" w:ascii="宋体" w:hAnsi="Courier New" w:eastAsia="宋体" w:cs="宋体"/>
      <w:kern w:val="2"/>
      <w:sz w:val="21"/>
      <w:lang w:val="en-US" w:eastAsia="zh-CN" w:bidi="ar"/>
    </w:rPr>
  </w:style>
  <w:style w:type="character" w:customStyle="1" w:styleId="971">
    <w:name w:val="h4 Char1"/>
    <w:basedOn w:val="69"/>
    <w:uiPriority w:val="0"/>
    <w:rPr>
      <w:rFonts w:hint="default" w:ascii="Arial" w:hAnsi="Arial" w:eastAsia="黑体" w:cs="Arial"/>
      <w:b/>
      <w:kern w:val="2"/>
      <w:sz w:val="28"/>
      <w:szCs w:val="28"/>
      <w:lang w:val="zh-CN" w:eastAsia="zh-CN" w:bidi="ar"/>
    </w:rPr>
  </w:style>
  <w:style w:type="character" w:customStyle="1" w:styleId="972">
    <w:name w:val="h3 Char2"/>
    <w:basedOn w:val="69"/>
    <w:uiPriority w:val="0"/>
    <w:rPr>
      <w:rFonts w:hint="eastAsia" w:ascii="宋体" w:hAnsi="宋体" w:eastAsia="宋体" w:cs="宋体"/>
      <w:b/>
      <w:kern w:val="2"/>
      <w:sz w:val="32"/>
      <w:lang w:val="en-US" w:eastAsia="zh-CN" w:bidi="ar"/>
    </w:rPr>
  </w:style>
  <w:style w:type="character" w:customStyle="1" w:styleId="973">
    <w:name w:val="H6 Char1"/>
    <w:basedOn w:val="69"/>
    <w:uiPriority w:val="0"/>
    <w:rPr>
      <w:rFonts w:hint="default" w:ascii="Arial" w:hAnsi="Arial" w:eastAsia="黑体" w:cs="Arial"/>
      <w:b/>
      <w:kern w:val="2"/>
      <w:sz w:val="24"/>
      <w:szCs w:val="24"/>
    </w:rPr>
  </w:style>
  <w:style w:type="character" w:customStyle="1" w:styleId="974">
    <w:name w:val="Normal Indent Char Char1"/>
    <w:basedOn w:val="69"/>
    <w:uiPriority w:val="0"/>
    <w:rPr>
      <w:rFonts w:hint="eastAsia" w:ascii="宋体" w:hAnsi="宋体" w:eastAsia="宋体" w:cs="宋体"/>
      <w:kern w:val="2"/>
      <w:sz w:val="21"/>
      <w:lang w:val="en-US" w:eastAsia="zh-CN" w:bidi="ar"/>
    </w:rPr>
  </w:style>
  <w:style w:type="character" w:customStyle="1" w:styleId="975">
    <w:name w:val="H5 Char1"/>
    <w:basedOn w:val="69"/>
    <w:uiPriority w:val="0"/>
    <w:rPr>
      <w:b/>
      <w:kern w:val="2"/>
      <w:sz w:val="28"/>
      <w:szCs w:val="28"/>
    </w:rPr>
  </w:style>
  <w:style w:type="character" w:customStyle="1" w:styleId="976">
    <w:name w:val="普通文字 Char11"/>
    <w:basedOn w:val="69"/>
    <w:uiPriority w:val="0"/>
    <w:rPr>
      <w:rFonts w:hint="eastAsia" w:ascii="宋体" w:hAnsi="Courier New" w:eastAsia="宋体" w:cs="宋体"/>
      <w:kern w:val="2"/>
      <w:sz w:val="21"/>
      <w:lang w:val="en-US" w:eastAsia="zh-CN"/>
    </w:rPr>
  </w:style>
  <w:style w:type="character" w:customStyle="1" w:styleId="977">
    <w:name w:val="Char Char62"/>
    <w:basedOn w:val="69"/>
    <w:uiPriority w:val="0"/>
    <w:rPr>
      <w:rFonts w:hint="eastAsia" w:ascii="宋体" w:hAnsi="宋体" w:eastAsia="宋体" w:cs="宋体"/>
      <w:kern w:val="2"/>
      <w:sz w:val="21"/>
      <w:szCs w:val="24"/>
      <w:lang w:val="en-US" w:eastAsia="zh-CN" w:bidi="ar"/>
    </w:rPr>
  </w:style>
  <w:style w:type="character" w:customStyle="1" w:styleId="978">
    <w:name w:val="页眉 Char3"/>
    <w:basedOn w:val="69"/>
    <w:uiPriority w:val="0"/>
    <w:rPr>
      <w:rFonts w:hint="default" w:ascii="Arial" w:hAnsi="Arial" w:eastAsia="黑体" w:cs="Arial"/>
      <w:snapToGrid w:val="0"/>
      <w:kern w:val="2"/>
      <w:sz w:val="18"/>
      <w:szCs w:val="18"/>
    </w:rPr>
  </w:style>
  <w:style w:type="character" w:customStyle="1" w:styleId="979">
    <w:name w:val="正文文本 Char3"/>
    <w:basedOn w:val="69"/>
    <w:uiPriority w:val="0"/>
    <w:rPr>
      <w:rFonts w:hint="default" w:ascii="Arial" w:hAnsi="Arial" w:eastAsia="黑体" w:cs="Arial"/>
      <w:snapToGrid w:val="0"/>
      <w:kern w:val="2"/>
      <w:sz w:val="21"/>
      <w:szCs w:val="24"/>
    </w:rPr>
  </w:style>
  <w:style w:type="character" w:customStyle="1" w:styleId="980">
    <w:name w:val="Char Char103"/>
    <w:basedOn w:val="69"/>
    <w:uiPriority w:val="0"/>
    <w:rPr>
      <w:rFonts w:hint="eastAsia" w:ascii="宋体" w:hAnsi="宋体" w:eastAsia="宋体" w:cs="宋体"/>
      <w:kern w:val="2"/>
      <w:sz w:val="21"/>
      <w:szCs w:val="24"/>
    </w:rPr>
  </w:style>
  <w:style w:type="character" w:customStyle="1" w:styleId="981">
    <w:name w:val="Char Char38"/>
    <w:basedOn w:val="69"/>
    <w:uiPriority w:val="0"/>
    <w:rPr>
      <w:rFonts w:hint="eastAsia" w:ascii="宋体" w:hAnsi="Courier New" w:eastAsia="宋体" w:cs="宋体"/>
      <w:kern w:val="2"/>
      <w:sz w:val="21"/>
      <w:lang w:val="en-US" w:eastAsia="zh-CN" w:bidi="ar"/>
    </w:rPr>
  </w:style>
  <w:style w:type="character" w:customStyle="1" w:styleId="982">
    <w:name w:val="Char Char83"/>
    <w:basedOn w:val="69"/>
    <w:uiPriority w:val="0"/>
    <w:rPr>
      <w:rFonts w:hint="eastAsia" w:ascii="宋体" w:hAnsi="宋体" w:eastAsia="宋体" w:cs="宋体"/>
      <w:b/>
      <w:sz w:val="24"/>
      <w:lang w:val="en-US" w:eastAsia="zh-CN"/>
    </w:rPr>
  </w:style>
  <w:style w:type="character" w:customStyle="1" w:styleId="983">
    <w:name w:val="标题 3 Char"/>
    <w:basedOn w:val="69"/>
    <w:link w:val="4"/>
    <w:uiPriority w:val="0"/>
    <w:rPr>
      <w:rFonts w:hint="default" w:ascii="Arial" w:hAnsi="Arial" w:eastAsia="黑体" w:cs="Arial"/>
      <w:b/>
      <w:snapToGrid w:val="0"/>
      <w:kern w:val="2"/>
      <w:sz w:val="32"/>
      <w:szCs w:val="32"/>
    </w:rPr>
  </w:style>
  <w:style w:type="character" w:customStyle="1" w:styleId="984">
    <w:name w:val="页脚 Char3"/>
    <w:basedOn w:val="69"/>
    <w:uiPriority w:val="0"/>
    <w:rPr>
      <w:rFonts w:hint="default" w:ascii="Arial" w:hAnsi="Arial" w:eastAsia="黑体" w:cs="Arial"/>
      <w:snapToGrid w:val="0"/>
      <w:kern w:val="2"/>
      <w:sz w:val="18"/>
      <w:szCs w:val="18"/>
    </w:rPr>
  </w:style>
  <w:style w:type="character" w:customStyle="1" w:styleId="985">
    <w:name w:val="页眉 Char11"/>
    <w:basedOn w:val="69"/>
    <w:uiPriority w:val="0"/>
    <w:rPr>
      <w:rFonts w:hint="eastAsia" w:ascii="宋体" w:hAnsi="宋体" w:eastAsia="宋体" w:cs="宋体"/>
      <w:kern w:val="2"/>
      <w:sz w:val="18"/>
      <w:szCs w:val="18"/>
      <w:lang w:val="en-US" w:eastAsia="zh-CN" w:bidi="ar"/>
    </w:rPr>
  </w:style>
  <w:style w:type="character" w:customStyle="1" w:styleId="986">
    <w:name w:val="标题 3 Char21"/>
    <w:basedOn w:val="69"/>
    <w:uiPriority w:val="0"/>
    <w:rPr>
      <w:rFonts w:hint="eastAsia" w:ascii="宋体" w:hAnsi="宋体" w:eastAsia="宋体" w:cs="宋体"/>
      <w:b/>
      <w:kern w:val="2"/>
      <w:sz w:val="32"/>
      <w:szCs w:val="32"/>
      <w:lang w:val="en-US" w:eastAsia="zh-CN" w:bidi="ar"/>
    </w:rPr>
  </w:style>
  <w:style w:type="character" w:customStyle="1" w:styleId="987">
    <w:name w:val="PI Char2"/>
    <w:basedOn w:val="69"/>
    <w:uiPriority w:val="0"/>
    <w:rPr>
      <w:rFonts w:hint="eastAsia" w:ascii="宋体" w:hAnsi="宋体" w:eastAsia="宋体" w:cs="宋体"/>
      <w:kern w:val="2"/>
      <w:sz w:val="24"/>
      <w:szCs w:val="24"/>
      <w:lang w:val="en-US" w:eastAsia="zh-CN" w:bidi="ar"/>
    </w:rPr>
  </w:style>
  <w:style w:type="character" w:customStyle="1" w:styleId="988">
    <w:name w:val="标题 2 字符1"/>
    <w:basedOn w:val="69"/>
    <w:uiPriority w:val="0"/>
    <w:rPr>
      <w:rFonts w:hint="eastAsia" w:ascii="仿宋_GB2312" w:hAnsi="Times New Roman" w:eastAsia="仿宋_GB2312" w:cs="Times New Roman"/>
      <w:b/>
      <w:kern w:val="2"/>
      <w:sz w:val="24"/>
      <w:lang w:val="zh-CN"/>
    </w:rPr>
  </w:style>
  <w:style w:type="character" w:customStyle="1" w:styleId="989">
    <w:name w:val="Char Char39"/>
    <w:basedOn w:val="69"/>
    <w:uiPriority w:val="0"/>
    <w:rPr>
      <w:rFonts w:hint="eastAsia" w:ascii="宋体" w:hAnsi="宋体" w:eastAsia="宋体" w:cs="宋体"/>
      <w:kern w:val="2"/>
      <w:sz w:val="21"/>
      <w:szCs w:val="24"/>
      <w:lang w:val="en-US" w:eastAsia="zh-CN" w:bidi="ar"/>
    </w:rPr>
  </w:style>
  <w:style w:type="character" w:customStyle="1" w:styleId="990">
    <w:name w:val="Bold1"/>
    <w:basedOn w:val="69"/>
    <w:uiPriority w:val="0"/>
    <w:rPr>
      <w:rFonts w:hint="default" w:ascii="Arial" w:hAnsi="Arial" w:eastAsia="黑体" w:cs="Times New Roman"/>
      <w:b/>
      <w:kern w:val="2"/>
      <w:sz w:val="32"/>
      <w:szCs w:val="32"/>
      <w:lang w:val="en-US" w:eastAsia="zh-CN" w:bidi="ar"/>
    </w:rPr>
  </w:style>
  <w:style w:type="character" w:customStyle="1" w:styleId="991">
    <w:name w:val="Char Char122"/>
    <w:basedOn w:val="69"/>
    <w:uiPriority w:val="0"/>
    <w:rPr>
      <w:rFonts w:hint="eastAsia" w:ascii="仿宋_GB2312" w:eastAsia="仿宋_GB2312" w:cs="仿宋_GB2312"/>
      <w:b/>
      <w:kern w:val="2"/>
      <w:sz w:val="24"/>
      <w:szCs w:val="24"/>
      <w:lang w:val="zh-CN" w:eastAsia="zh-CN" w:bidi="ar"/>
    </w:rPr>
  </w:style>
  <w:style w:type="character" w:customStyle="1" w:styleId="992">
    <w:name w:val="纯文本 Char Char Char1"/>
    <w:basedOn w:val="69"/>
    <w:uiPriority w:val="0"/>
    <w:rPr>
      <w:rFonts w:hint="eastAsia" w:ascii="宋体" w:hAnsi="Courier New" w:eastAsia="宋体" w:cs="宋体"/>
      <w:kern w:val="2"/>
      <w:sz w:val="21"/>
      <w:lang w:val="en-US" w:eastAsia="zh-CN" w:bidi="ar"/>
    </w:rPr>
  </w:style>
  <w:style w:type="character" w:customStyle="1" w:styleId="993">
    <w:name w:val="Footer-Even Char11"/>
    <w:basedOn w:val="69"/>
    <w:uiPriority w:val="0"/>
    <w:rPr>
      <w:rFonts w:hint="eastAsia" w:ascii="宋体" w:hAnsi="宋体" w:eastAsia="宋体" w:cs="宋体"/>
      <w:kern w:val="2"/>
      <w:sz w:val="18"/>
      <w:szCs w:val="18"/>
      <w:lang w:val="en-US" w:eastAsia="zh-CN" w:bidi="ar"/>
    </w:rPr>
  </w:style>
  <w:style w:type="character" w:customStyle="1" w:styleId="994">
    <w:name w:val="列出段落 Char3"/>
    <w:basedOn w:val="69"/>
    <w:uiPriority w:val="0"/>
    <w:rPr>
      <w:rFonts w:hint="eastAsia" w:ascii="楷体_GB2312" w:eastAsia="楷体_GB2312" w:cs="Lucida Sans"/>
      <w:kern w:val="2"/>
      <w:sz w:val="24"/>
      <w:szCs w:val="24"/>
      <w:lang w:val="en-US" w:eastAsia="zh-CN" w:bidi="ar"/>
    </w:rPr>
  </w:style>
  <w:style w:type="character" w:customStyle="1" w:styleId="995">
    <w:name w:val="图名 Char1"/>
    <w:basedOn w:val="69"/>
    <w:uiPriority w:val="0"/>
    <w:rPr>
      <w:rFonts w:hint="default" w:ascii="Arial" w:hAnsi="Arial" w:eastAsia="黑体" w:cs="Arial"/>
      <w:kern w:val="2"/>
      <w:sz w:val="24"/>
      <w:szCs w:val="24"/>
      <w:lang w:val="en-US" w:eastAsia="zh-CN" w:bidi="ar"/>
    </w:rPr>
  </w:style>
  <w:style w:type="character" w:customStyle="1" w:styleId="996">
    <w:name w:val="h3 Char11"/>
    <w:basedOn w:val="69"/>
    <w:uiPriority w:val="0"/>
    <w:rPr>
      <w:rFonts w:hint="eastAsia" w:ascii="宋体" w:hAnsi="宋体" w:eastAsia="宋体" w:cs="宋体"/>
      <w:b/>
      <w:kern w:val="2"/>
      <w:sz w:val="32"/>
      <w:szCs w:val="32"/>
      <w:lang w:bidi="ar"/>
    </w:rPr>
  </w:style>
  <w:style w:type="character" w:customStyle="1" w:styleId="997">
    <w:name w:val="style1 Char"/>
    <w:basedOn w:val="69"/>
    <w:uiPriority w:val="0"/>
    <w:rPr>
      <w:rFonts w:hint="eastAsia" w:ascii="宋体" w:hAnsi="宋体" w:eastAsia="宋体" w:cs="宋体"/>
      <w:b/>
      <w:sz w:val="27"/>
    </w:rPr>
  </w:style>
  <w:style w:type="character" w:customStyle="1" w:styleId="998">
    <w:name w:val="Char Char53"/>
    <w:basedOn w:val="69"/>
    <w:uiPriority w:val="0"/>
    <w:rPr>
      <w:rFonts w:hint="eastAsia" w:ascii="宋体" w:hAnsi="Courier New" w:eastAsia="宋体" w:cs="宋体"/>
      <w:kern w:val="2"/>
      <w:sz w:val="21"/>
      <w:lang w:val="en-US" w:eastAsia="zh-CN"/>
    </w:rPr>
  </w:style>
  <w:style w:type="character" w:customStyle="1" w:styleId="999">
    <w:name w:val="标题 2 Char Char1"/>
    <w:basedOn w:val="69"/>
    <w:uiPriority w:val="0"/>
    <w:rPr>
      <w:rFonts w:hint="eastAsia" w:ascii="楷体_GB2312" w:hAnsi="Arial" w:eastAsia="楷体_GB2312" w:cs="楷体_GB2312"/>
      <w:b/>
      <w:kern w:val="2"/>
      <w:sz w:val="24"/>
      <w:szCs w:val="32"/>
      <w:lang w:val="en-US" w:eastAsia="zh-CN" w:bidi="ar"/>
    </w:rPr>
  </w:style>
  <w:style w:type="character" w:customStyle="1" w:styleId="1000">
    <w:name w:val="Char Char73"/>
    <w:basedOn w:val="69"/>
    <w:uiPriority w:val="0"/>
    <w:rPr>
      <w:rFonts w:hint="eastAsia" w:ascii="宋体" w:hAnsi="宋体" w:eastAsia="宋体" w:cs="宋体"/>
      <w:kern w:val="2"/>
      <w:sz w:val="21"/>
      <w:szCs w:val="24"/>
      <w:lang w:val="en-US" w:eastAsia="zh-CN" w:bidi="ar"/>
    </w:rPr>
  </w:style>
  <w:style w:type="character" w:customStyle="1" w:styleId="1001">
    <w:name w:val="Char Char42"/>
    <w:basedOn w:val="69"/>
    <w:uiPriority w:val="0"/>
    <w:rPr>
      <w:rFonts w:hint="eastAsia" w:ascii="宋体" w:hAnsi="宋体" w:eastAsia="宋体" w:cs="宋体"/>
      <w:b/>
      <w:sz w:val="24"/>
      <w:lang w:val="en-US" w:eastAsia="zh-CN" w:bidi="ar"/>
    </w:rPr>
  </w:style>
  <w:style w:type="character" w:customStyle="1" w:styleId="1002">
    <w:name w:val="普通文字 Char Char11"/>
    <w:basedOn w:val="69"/>
    <w:uiPriority w:val="0"/>
    <w:rPr>
      <w:rFonts w:hint="eastAsia" w:ascii="宋体" w:hAnsi="Courier New" w:eastAsia="宋体" w:cs="宋体"/>
      <w:kern w:val="2"/>
      <w:sz w:val="21"/>
    </w:rPr>
  </w:style>
  <w:style w:type="character" w:customStyle="1" w:styleId="1003">
    <w:name w:val="标书1 Char2"/>
    <w:basedOn w:val="69"/>
    <w:uiPriority w:val="0"/>
    <w:rPr>
      <w:rFonts w:hint="eastAsia" w:ascii="宋体" w:hAnsi="宋体" w:eastAsia="宋体" w:cs="宋体"/>
      <w:b/>
      <w:kern w:val="44"/>
      <w:sz w:val="44"/>
      <w:szCs w:val="44"/>
      <w:lang w:val="en-US" w:eastAsia="zh-CN" w:bidi="ar"/>
    </w:rPr>
  </w:style>
  <w:style w:type="character" w:customStyle="1" w:styleId="1004">
    <w:name w:val="表正文 Char2"/>
    <w:basedOn w:val="69"/>
    <w:uiPriority w:val="0"/>
    <w:rPr>
      <w:rFonts w:hint="eastAsia" w:ascii="宋体" w:hAnsi="宋体" w:eastAsia="宋体" w:cs="宋体"/>
      <w:snapToGrid w:val="0"/>
      <w:color w:val="000000"/>
      <w:kern w:val="28"/>
      <w:sz w:val="28"/>
      <w:lang w:val="en-US" w:eastAsia="zh-CN" w:bidi="ar"/>
    </w:rPr>
  </w:style>
  <w:style w:type="character" w:customStyle="1" w:styleId="1005">
    <w:name w:val="Heading 2 Hidden Char1"/>
    <w:basedOn w:val="69"/>
    <w:uiPriority w:val="0"/>
    <w:rPr>
      <w:rFonts w:hint="eastAsia" w:ascii="仿宋_GB2312" w:eastAsia="仿宋_GB2312" w:cs="仿宋_GB2312"/>
      <w:b/>
      <w:kern w:val="2"/>
      <w:sz w:val="24"/>
      <w:szCs w:val="24"/>
      <w:lang w:val="zh-CN" w:eastAsia="zh-CN" w:bidi="ar"/>
    </w:rPr>
  </w:style>
  <w:style w:type="character" w:customStyle="1" w:styleId="1006">
    <w:name w:val="表正文 Char31"/>
    <w:basedOn w:val="69"/>
    <w:uiPriority w:val="0"/>
    <w:rPr>
      <w:rFonts w:hint="eastAsia" w:ascii="宋体" w:hAnsi="宋体" w:eastAsia="宋体" w:cs="宋体"/>
    </w:rPr>
  </w:style>
  <w:style w:type="character" w:customStyle="1" w:styleId="1007">
    <w:name w:val="正文缩进 字符2"/>
    <w:basedOn w:val="69"/>
    <w:uiPriority w:val="0"/>
    <w:rPr>
      <w:rFonts w:hint="eastAsia" w:ascii="宋体" w:hAnsi="宋体" w:eastAsia="宋体" w:cs="宋体"/>
      <w:snapToGrid w:val="0"/>
      <w:color w:val="000000"/>
      <w:kern w:val="28"/>
      <w:sz w:val="28"/>
      <w:lang w:val="en-US" w:eastAsia="zh-CN" w:bidi="ar"/>
    </w:rPr>
  </w:style>
  <w:style w:type="character" w:customStyle="1" w:styleId="1008">
    <w:name w:val="列表段落 字符1"/>
    <w:basedOn w:val="69"/>
    <w:uiPriority w:val="0"/>
  </w:style>
  <w:style w:type="character" w:customStyle="1" w:styleId="1009">
    <w:name w:val="Char Char162"/>
    <w:basedOn w:val="69"/>
    <w:uiPriority w:val="0"/>
    <w:rPr>
      <w:rFonts w:hint="eastAsia" w:ascii="宋体" w:hAnsi="宋体" w:eastAsia="宋体" w:cs="宋体"/>
      <w:b/>
      <w:kern w:val="2"/>
      <w:sz w:val="32"/>
      <w:lang w:val="en-US" w:eastAsia="zh-CN"/>
    </w:rPr>
  </w:style>
  <w:style w:type="character" w:customStyle="1" w:styleId="1010">
    <w:name w:val="表名 Char1"/>
    <w:basedOn w:val="69"/>
    <w:uiPriority w:val="0"/>
    <w:rPr>
      <w:rFonts w:hint="eastAsia" w:ascii="宋体" w:hAnsi="宋体" w:eastAsia="宋体" w:cs="宋体"/>
      <w:b/>
      <w:kern w:val="2"/>
      <w:sz w:val="24"/>
      <w:szCs w:val="24"/>
      <w:lang w:val="en-US" w:eastAsia="zh-CN" w:bidi="ar"/>
    </w:rPr>
  </w:style>
  <w:style w:type="character" w:customStyle="1" w:styleId="1011">
    <w:name w:val="标题 1 字符1"/>
    <w:basedOn w:val="69"/>
    <w:uiPriority w:val="0"/>
    <w:rPr>
      <w:rFonts w:hint="default" w:ascii="Arial" w:hAnsi="Arial" w:eastAsia="黑体" w:cs="Arial"/>
      <w:b/>
      <w:snapToGrid w:val="0"/>
      <w:kern w:val="44"/>
      <w:sz w:val="44"/>
      <w:szCs w:val="44"/>
    </w:rPr>
  </w:style>
  <w:style w:type="character" w:customStyle="1" w:styleId="1012">
    <w:name w:val="h Char11"/>
    <w:basedOn w:val="69"/>
    <w:uiPriority w:val="0"/>
    <w:rPr>
      <w:sz w:val="18"/>
      <w:szCs w:val="18"/>
    </w:rPr>
  </w:style>
  <w:style w:type="character" w:customStyle="1" w:styleId="1013">
    <w:name w:val="正文首行缩进 Char Char Char Char Char1"/>
    <w:basedOn w:val="69"/>
    <w:uiPriority w:val="0"/>
    <w:rPr>
      <w:rFonts w:hint="eastAsia" w:ascii="宋体" w:hAnsi="宋体" w:eastAsia="宋体" w:cs="宋体"/>
      <w:kern w:val="2"/>
      <w:sz w:val="24"/>
      <w:lang w:val="zh-CN"/>
    </w:rPr>
  </w:style>
  <w:style w:type="character" w:customStyle="1" w:styleId="1014">
    <w:name w:val="PI Char11"/>
    <w:basedOn w:val="69"/>
    <w:uiPriority w:val="0"/>
    <w:rPr>
      <w:rFonts w:hint="eastAsia" w:ascii="宋体" w:hAnsi="宋体" w:eastAsia="宋体" w:cs="宋体"/>
      <w:kern w:val="2"/>
      <w:sz w:val="24"/>
      <w:szCs w:val="24"/>
    </w:rPr>
  </w:style>
  <w:style w:type="character" w:customStyle="1" w:styleId="1015">
    <w:name w:val="标书1 Char11"/>
    <w:basedOn w:val="69"/>
    <w:uiPriority w:val="0"/>
    <w:rPr>
      <w:rFonts w:hint="eastAsia" w:ascii="宋体" w:hAnsi="宋体" w:eastAsia="宋体" w:cs="宋体"/>
      <w:b/>
      <w:kern w:val="44"/>
      <w:sz w:val="44"/>
      <w:szCs w:val="44"/>
      <w:lang w:val="en-US" w:eastAsia="zh-CN" w:bidi="ar"/>
    </w:rPr>
  </w:style>
  <w:style w:type="character" w:customStyle="1" w:styleId="1016">
    <w:name w:val="未用 Char1"/>
    <w:basedOn w:val="69"/>
    <w:uiPriority w:val="0"/>
    <w:rPr>
      <w:rFonts w:hint="default" w:ascii="Arial" w:hAnsi="Arial" w:eastAsia="黑体" w:cs="Arial"/>
      <w:kern w:val="2"/>
      <w:sz w:val="21"/>
      <w:szCs w:val="21"/>
      <w:lang w:val="en-US" w:eastAsia="zh-CN" w:bidi="ar"/>
    </w:rPr>
  </w:style>
  <w:style w:type="paragraph" w:customStyle="1" w:styleId="1017">
    <w:name w:val="Body text|1"/>
    <w:basedOn w:val="1"/>
    <w:uiPriority w:val="0"/>
    <w:pPr>
      <w:spacing w:line="465" w:lineRule="auto"/>
      <w:ind w:firstLine="400"/>
    </w:pPr>
    <w:rPr>
      <w:rFonts w:hint="eastAsia" w:ascii="宋体" w:hAnsi="宋体"/>
      <w:sz w:val="20"/>
      <w:szCs w:val="20"/>
    </w:rPr>
  </w:style>
  <w:style w:type="character" w:customStyle="1" w:styleId="1018">
    <w:name w:val="NormalCharacter"/>
    <w:basedOn w:val="69"/>
    <w:uiPriority w:val="0"/>
    <w:rPr>
      <w:rFonts w:hint="default" w:ascii="Calibri" w:hAnsi="Calibri" w:eastAsia="宋体" w:cs="Times New Roman"/>
      <w:kern w:val="2"/>
      <w:sz w:val="21"/>
      <w:szCs w:val="22"/>
      <w:lang w:val="en-US" w:eastAsia="zh-CN" w:bidi="ar"/>
    </w:rPr>
  </w:style>
  <w:style w:type="paragraph" w:customStyle="1" w:styleId="1019">
    <w:name w:val="正文7"/>
    <w:basedOn w:val="1"/>
    <w:uiPriority w:val="0"/>
    <w:pPr>
      <w:widowControl/>
      <w:adjustRightInd/>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69346-6315-4712-A23B-C7648C5B58C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107</Pages>
  <Words>11142</Words>
  <Characters>63512</Characters>
  <Lines>529</Lines>
  <Paragraphs>149</Paragraphs>
  <TotalTime>7</TotalTime>
  <ScaleCrop>false</ScaleCrop>
  <LinksUpToDate>false</LinksUpToDate>
  <CharactersWithSpaces>74505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2021-07-29T08:22:00Z</dcterms:created>
  <dc:creator>玥</dc:creator>
  <cp:lastModifiedBy>小蕾</cp:lastModifiedBy>
  <cp:lastPrinted>2021-10-20T07:31:00Z</cp:lastPrinted>
  <dcterms:modified xsi:type="dcterms:W3CDTF">2021-11-27T09:36:55Z</dcterms:modified>
  <dc:title>杭州市市民卡扩大发卡工程</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E300EA40D56940B4AEBE391961D019BC</vt:lpwstr>
  </property>
</Properties>
</file>