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p>
    <w:p>
      <w:pPr>
        <w:adjustRightInd/>
        <w:spacing w:line="360" w:lineRule="auto"/>
        <w:jc w:val="center"/>
        <w:rPr>
          <w:rFonts w:hint="eastAsia" w:ascii="宋体" w:hAnsi="宋体" w:eastAsia="宋体" w:cs="宋体"/>
          <w:b/>
          <w:color w:val="auto"/>
          <w:sz w:val="44"/>
          <w:szCs w:val="44"/>
          <w:highlight w:val="none"/>
        </w:rPr>
      </w:pP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浦沿街道美丽杭州及数字城管案件处理</w:t>
      </w: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服务项目（</w:t>
      </w:r>
      <w:r>
        <w:rPr>
          <w:rFonts w:hint="eastAsia" w:ascii="宋体" w:hAnsi="宋体" w:eastAsia="宋体" w:cs="宋体"/>
          <w:color w:val="auto"/>
          <w:sz w:val="48"/>
          <w:szCs w:val="48"/>
          <w:highlight w:val="none"/>
          <w:lang w:eastAsia="zh-CN"/>
        </w:rPr>
        <w:t>浦沿路以西</w:t>
      </w:r>
      <w:r>
        <w:rPr>
          <w:rFonts w:hint="eastAsia" w:ascii="宋体" w:hAnsi="宋体" w:eastAsia="宋体" w:cs="宋体"/>
          <w:color w:val="auto"/>
          <w:sz w:val="48"/>
          <w:szCs w:val="48"/>
          <w:highlight w:val="none"/>
        </w:rPr>
        <w:t>）</w:t>
      </w:r>
    </w:p>
    <w:p>
      <w:pPr>
        <w:pStyle w:val="23"/>
        <w:rPr>
          <w:rFonts w:hint="eastAsia" w:ascii="宋体" w:hAnsi="宋体" w:eastAsia="宋体" w:cs="宋体"/>
          <w:color w:val="auto"/>
          <w:sz w:val="48"/>
          <w:szCs w:val="48"/>
          <w:highlight w:val="none"/>
          <w:lang w:val="en-US"/>
        </w:rPr>
      </w:pPr>
    </w:p>
    <w:p>
      <w:pPr>
        <w:pStyle w:val="24"/>
        <w:ind w:firstLine="560"/>
        <w:rPr>
          <w:rFonts w:hint="eastAsia" w:ascii="宋体" w:hAnsi="宋体" w:eastAsia="宋体" w:cs="宋体"/>
          <w:color w:val="auto"/>
          <w:highlight w:val="none"/>
        </w:rPr>
      </w:pP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编号:浙房咨202</w:t>
      </w:r>
      <w:r>
        <w:rPr>
          <w:rFonts w:hint="eastAsia" w:ascii="宋体" w:hAnsi="宋体" w:eastAsia="宋体" w:cs="宋体"/>
          <w:color w:val="auto"/>
          <w:sz w:val="30"/>
          <w:szCs w:val="30"/>
          <w:highlight w:val="none"/>
          <w:lang w:val="en-US" w:eastAsia="zh-CN"/>
        </w:rPr>
        <w:t>3</w:t>
      </w:r>
      <w:r>
        <w:rPr>
          <w:rFonts w:hint="eastAsia" w:ascii="宋体" w:hAnsi="宋体" w:eastAsia="宋体" w:cs="宋体"/>
          <w:color w:val="auto"/>
          <w:sz w:val="30"/>
          <w:szCs w:val="30"/>
          <w:highlight w:val="none"/>
        </w:rPr>
        <w:t>【D-</w:t>
      </w:r>
      <w:r>
        <w:rPr>
          <w:rFonts w:hint="eastAsia" w:ascii="宋体" w:hAnsi="宋体" w:eastAsia="宋体" w:cs="宋体"/>
          <w:color w:val="auto"/>
          <w:sz w:val="30"/>
          <w:szCs w:val="30"/>
          <w:highlight w:val="none"/>
          <w:lang w:val="en-US" w:eastAsia="zh-CN"/>
        </w:rPr>
        <w:t>009</w:t>
      </w:r>
      <w:r>
        <w:rPr>
          <w:rFonts w:hint="eastAsia" w:ascii="宋体" w:hAnsi="宋体" w:eastAsia="宋体" w:cs="宋体"/>
          <w:color w:val="auto"/>
          <w:sz w:val="30"/>
          <w:szCs w:val="30"/>
          <w:highlight w:val="none"/>
        </w:rPr>
        <w:t>】</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color w:val="auto"/>
          <w:sz w:val="24"/>
          <w:highlight w:val="none"/>
        </w:rPr>
      </w:pPr>
    </w:p>
    <w:p>
      <w:pPr>
        <w:pStyle w:val="2"/>
        <w:rPr>
          <w:rFonts w:hint="eastAsia" w:ascii="宋体" w:hAnsi="宋体" w:eastAsia="宋体" w:cs="宋体"/>
          <w:color w:val="auto"/>
          <w:highlight w:val="none"/>
        </w:rPr>
      </w:pPr>
    </w:p>
    <w:p>
      <w:pPr>
        <w:spacing w:line="360" w:lineRule="auto"/>
        <w:rPr>
          <w:rFonts w:hint="eastAsia" w:ascii="宋体" w:hAnsi="宋体" w:eastAsia="宋体" w:cs="宋体"/>
          <w:color w:val="auto"/>
          <w:sz w:val="32"/>
          <w:szCs w:val="32"/>
          <w:highlight w:val="none"/>
        </w:rPr>
      </w:pPr>
    </w:p>
    <w:p>
      <w:pPr>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杭州市滨江区人民政府浦沿街道办事处</w:t>
      </w:r>
    </w:p>
    <w:p>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浙江省房地产管理咨询有限公司</w:t>
      </w:r>
    </w:p>
    <w:p>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二〇二三年一月</w:t>
      </w:r>
      <w:r>
        <w:rPr>
          <w:rFonts w:hint="eastAsia" w:ascii="宋体" w:hAnsi="宋体" w:cs="宋体"/>
          <w:bCs/>
          <w:color w:val="auto"/>
          <w:sz w:val="32"/>
          <w:szCs w:val="32"/>
          <w:highlight w:val="none"/>
          <w:lang w:val="en-US" w:eastAsia="zh-CN"/>
        </w:rPr>
        <w:t>十八</w:t>
      </w:r>
      <w:r>
        <w:rPr>
          <w:rFonts w:hint="eastAsia" w:ascii="宋体" w:hAnsi="宋体" w:eastAsia="宋体" w:cs="宋体"/>
          <w:bCs/>
          <w:color w:val="auto"/>
          <w:sz w:val="32"/>
          <w:szCs w:val="32"/>
          <w:highlight w:val="none"/>
        </w:rPr>
        <w:t>日</w:t>
      </w:r>
    </w:p>
    <w:p>
      <w:pPr>
        <w:pStyle w:val="635"/>
        <w:rPr>
          <w:rFonts w:hint="eastAsia" w:ascii="宋体" w:hAnsi="宋体" w:eastAsia="宋体" w:cs="宋体"/>
          <w:color w:val="auto"/>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680" w:right="1418" w:bottom="468" w:left="1418" w:header="851" w:footer="992" w:gutter="0"/>
          <w:cols w:space="720" w:num="1"/>
          <w:titlePg/>
          <w:docGrid w:linePitch="312" w:charSpace="0"/>
        </w:sectPr>
      </w:pPr>
    </w:p>
    <w:p>
      <w:pPr>
        <w:pStyle w:val="635"/>
        <w:rPr>
          <w:rFonts w:hint="eastAsia" w:ascii="宋体" w:hAnsi="宋体" w:eastAsia="宋体" w:cs="宋体"/>
          <w:color w:val="auto"/>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hint="eastAsia" w:ascii="宋体" w:hAnsi="宋体" w:eastAsia="宋体" w:cs="宋体"/>
          <w:color w:val="auto"/>
          <w:sz w:val="24"/>
          <w:highlight w:val="none"/>
        </w:rPr>
      </w:pPr>
      <w:bookmarkStart w:id="0" w:name="_Hlt91233176"/>
      <w:bookmarkEnd w:id="0"/>
      <w:bookmarkStart w:id="1"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bookmarkEnd w:id="1"/>
    <w:p>
      <w:pPr>
        <w:adjustRightInd/>
        <w:spacing w:line="360" w:lineRule="auto"/>
        <w:jc w:val="center"/>
        <w:outlineLvl w:val="0"/>
        <w:rPr>
          <w:rFonts w:hint="eastAsia" w:ascii="宋体" w:hAnsi="宋体" w:eastAsia="宋体" w:cs="宋体"/>
          <w:b/>
          <w:color w:val="auto"/>
          <w:sz w:val="36"/>
          <w:szCs w:val="20"/>
          <w:highlight w:val="none"/>
        </w:rPr>
        <w:sectPr>
          <w:footerReference r:id="rId10" w:type="first"/>
          <w:footerReference r:id="rId9" w:type="default"/>
          <w:pgSz w:w="11906" w:h="16838"/>
          <w:pgMar w:top="680" w:right="1418" w:bottom="468" w:left="1418" w:header="851" w:footer="992" w:gutter="0"/>
          <w:pgNumType w:start="1"/>
          <w:cols w:space="720" w:num="1"/>
          <w:docGrid w:linePitch="312" w:charSpace="0"/>
        </w:sectPr>
      </w:pPr>
      <w:bookmarkStart w:id="2" w:name="_Hlt74707423"/>
      <w:bookmarkEnd w:id="2"/>
      <w:bookmarkStart w:id="3" w:name="_Hlt74728647"/>
      <w:bookmarkEnd w:id="3"/>
      <w:bookmarkStart w:id="4" w:name="_Hlt74649545"/>
      <w:bookmarkEnd w:id="4"/>
      <w:bookmarkStart w:id="5" w:name="_Hlt74729822"/>
      <w:bookmarkEnd w:id="5"/>
      <w:bookmarkStart w:id="6" w:name="第二部分"/>
      <w:bookmarkStart w:id="7" w:name="_Toc91899870"/>
      <w:bookmarkStart w:id="8" w:name="_Toc91899871"/>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浦沿街道美丽杭州及数字城管案件处理服务项目（</w:t>
      </w:r>
      <w:r>
        <w:rPr>
          <w:rFonts w:hint="eastAsia" w:ascii="宋体" w:hAnsi="宋体" w:eastAsia="宋体" w:cs="宋体"/>
          <w:color w:val="auto"/>
          <w:sz w:val="24"/>
          <w:highlight w:val="none"/>
          <w:u w:val="single"/>
          <w:lang w:eastAsia="zh-CN"/>
        </w:rPr>
        <w:t>浦沿路以西</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"https://www.zcygov.cn/）获取（下载）招标文件，并于2021年" </w:instrText>
      </w:r>
      <w:r>
        <w:rPr>
          <w:rFonts w:hint="eastAsia" w:ascii="宋体" w:hAnsi="宋体" w:eastAsia="宋体" w:cs="宋体"/>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w:t>
      </w:r>
      <w:r>
        <w:rPr>
          <w:rFonts w:hint="eastAsia" w:ascii="宋体" w:hAnsi="宋体" w:eastAsia="宋体" w:cs="宋体"/>
          <w:color w:val="auto"/>
          <w:sz w:val="24"/>
          <w:highlight w:val="none"/>
          <w:u w:val="single"/>
        </w:rPr>
        <w:t>2023年2月</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8</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eastAsia" w:ascii="宋体" w:hAnsi="宋体" w:eastAsia="宋体" w:cs="宋体"/>
          <w:color w:val="auto"/>
          <w:sz w:val="24"/>
          <w:highlight w:val="none"/>
          <w:u w:val="single"/>
        </w:rPr>
        <w:t>0分</w:t>
      </w:r>
      <w:r>
        <w:rPr>
          <w:rFonts w:hint="eastAsia" w:ascii="宋体" w:hAnsi="宋体" w:eastAsia="宋体" w:cs="宋体"/>
          <w:bCs/>
          <w:color w:val="auto"/>
          <w:sz w:val="24"/>
          <w:highlight w:val="none"/>
          <w:u w:val="single"/>
        </w:rPr>
        <w:t>00秒</w:t>
      </w:r>
      <w:r>
        <w:rPr>
          <w:rFonts w:hint="eastAsia" w:ascii="宋体" w:hAnsi="宋体" w:eastAsia="宋体" w:cs="宋体"/>
          <w:bCs/>
          <w:color w:val="auto"/>
          <w:sz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项目编号：浙房咨202</w:t>
      </w:r>
      <w:r>
        <w:rPr>
          <w:rFonts w:hint="eastAsia" w:ascii="宋体" w:hAnsi="宋体" w:eastAsia="宋体" w:cs="宋体"/>
          <w:b/>
          <w:color w:val="auto"/>
          <w:sz w:val="24"/>
          <w:highlight w:val="none"/>
          <w:lang w:val="en-US" w:eastAsia="zh-CN"/>
        </w:rPr>
        <w:t>3</w:t>
      </w:r>
      <w:r>
        <w:rPr>
          <w:rFonts w:hint="eastAsia" w:ascii="宋体" w:hAnsi="宋体" w:eastAsia="宋体" w:cs="宋体"/>
          <w:b/>
          <w:color w:val="auto"/>
          <w:sz w:val="24"/>
          <w:highlight w:val="none"/>
        </w:rPr>
        <w:t>【D-</w:t>
      </w:r>
      <w:r>
        <w:rPr>
          <w:rFonts w:hint="eastAsia" w:ascii="宋体" w:hAnsi="宋体" w:eastAsia="宋体" w:cs="宋体"/>
          <w:b/>
          <w:color w:val="auto"/>
          <w:sz w:val="24"/>
          <w:highlight w:val="none"/>
          <w:lang w:val="en-US" w:eastAsia="zh-CN"/>
        </w:rPr>
        <w:t>009</w:t>
      </w:r>
      <w:r>
        <w:rPr>
          <w:rFonts w:hint="eastAsia" w:ascii="宋体" w:hAnsi="宋体" w:eastAsia="宋体" w:cs="宋体"/>
          <w:b/>
          <w:color w:val="auto"/>
          <w:sz w:val="24"/>
          <w:highlight w:val="none"/>
        </w:rPr>
        <w:t>】</w:t>
      </w:r>
    </w:p>
    <w:p>
      <w:pPr>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项目名称：浦沿街道美丽杭州及数字城管案件处理服务项目（</w:t>
      </w:r>
      <w:r>
        <w:rPr>
          <w:rFonts w:hint="eastAsia" w:ascii="宋体" w:hAnsi="宋体" w:eastAsia="宋体" w:cs="宋体"/>
          <w:b/>
          <w:color w:val="auto"/>
          <w:sz w:val="24"/>
          <w:highlight w:val="none"/>
          <w:lang w:eastAsia="zh-CN"/>
        </w:rPr>
        <w:t>浦沿路以西</w:t>
      </w:r>
      <w:r>
        <w:rPr>
          <w:rFonts w:hint="eastAsia" w:ascii="宋体" w:hAnsi="宋体" w:eastAsia="宋体" w:cs="宋体"/>
          <w:b/>
          <w:color w:val="auto"/>
          <w:sz w:val="24"/>
          <w:highlight w:val="none"/>
        </w:rPr>
        <w:t>）</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预算金额（元）：</w:t>
      </w:r>
      <w:r>
        <w:rPr>
          <w:rFonts w:hint="eastAsia" w:ascii="宋体" w:hAnsi="宋体" w:eastAsia="宋体" w:cs="宋体"/>
          <w:b/>
          <w:color w:val="auto"/>
          <w:sz w:val="24"/>
          <w:highlight w:val="none"/>
          <w:lang w:val="en-US" w:eastAsia="zh-CN"/>
        </w:rPr>
        <w:t>7</w:t>
      </w:r>
      <w:r>
        <w:rPr>
          <w:rFonts w:hint="eastAsia" w:ascii="宋体" w:hAnsi="宋体" w:eastAsia="宋体" w:cs="宋体"/>
          <w:b/>
          <w:color w:val="auto"/>
          <w:sz w:val="24"/>
          <w:highlight w:val="none"/>
        </w:rPr>
        <w:t>000000元</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最高限价（元）：</w:t>
      </w:r>
      <w:r>
        <w:rPr>
          <w:rFonts w:hint="eastAsia" w:ascii="宋体" w:hAnsi="宋体" w:eastAsia="宋体" w:cs="宋体"/>
          <w:b/>
          <w:color w:val="auto"/>
          <w:sz w:val="24"/>
          <w:highlight w:val="none"/>
          <w:lang w:val="en-US" w:eastAsia="zh-CN"/>
        </w:rPr>
        <w:t>7</w:t>
      </w:r>
      <w:r>
        <w:rPr>
          <w:rFonts w:hint="eastAsia" w:ascii="宋体" w:hAnsi="宋体" w:eastAsia="宋体" w:cs="宋体"/>
          <w:b/>
          <w:color w:val="auto"/>
          <w:sz w:val="24"/>
          <w:highlight w:val="none"/>
        </w:rPr>
        <w:t>000000元</w:t>
      </w:r>
    </w:p>
    <w:p>
      <w:pPr>
        <w:pStyle w:val="5"/>
        <w:spacing w:line="360" w:lineRule="auto"/>
        <w:ind w:firstLine="480"/>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采购需求：</w:t>
      </w:r>
      <w:r>
        <w:rPr>
          <w:rFonts w:hint="eastAsia" w:ascii="宋体" w:hAnsi="宋体" w:eastAsia="宋体" w:cs="宋体"/>
          <w:bCs/>
          <w:color w:val="auto"/>
          <w:sz w:val="24"/>
          <w:highlight w:val="none"/>
        </w:rPr>
        <w:t>浦沿街道美丽杭州及数字城管案件处理服务项目（</w:t>
      </w:r>
      <w:r>
        <w:rPr>
          <w:rFonts w:hint="eastAsia" w:ascii="宋体" w:hAnsi="宋体" w:eastAsia="宋体" w:cs="宋体"/>
          <w:bCs/>
          <w:color w:val="auto"/>
          <w:sz w:val="24"/>
          <w:highlight w:val="none"/>
          <w:lang w:eastAsia="zh-CN"/>
        </w:rPr>
        <w:t>浦沿路以西</w:t>
      </w:r>
      <w:r>
        <w:rPr>
          <w:rFonts w:hint="eastAsia" w:ascii="宋体" w:hAnsi="宋体" w:eastAsia="宋体" w:cs="宋体"/>
          <w:bCs/>
          <w:color w:val="auto"/>
          <w:sz w:val="24"/>
          <w:highlight w:val="none"/>
        </w:rPr>
        <w:t>）</w:t>
      </w:r>
    </w:p>
    <w:p>
      <w:pPr>
        <w:pStyle w:val="5"/>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主要内容</w:t>
      </w:r>
      <w:r>
        <w:rPr>
          <w:rFonts w:hint="eastAsia" w:ascii="宋体" w:hAnsi="宋体" w:eastAsia="宋体" w:cs="宋体"/>
          <w:bCs/>
          <w:color w:val="auto"/>
          <w:sz w:val="24"/>
          <w:highlight w:val="none"/>
        </w:rPr>
        <w:t>：美丽杭州及数字城管案件处理服务</w:t>
      </w:r>
      <w:r>
        <w:rPr>
          <w:rFonts w:hint="eastAsia" w:ascii="宋体" w:hAnsi="宋体" w:eastAsia="宋体" w:cs="宋体"/>
          <w:bCs/>
          <w:color w:val="auto"/>
          <w:sz w:val="24"/>
          <w:highlight w:val="none"/>
          <w:lang w:eastAsia="zh-CN"/>
        </w:rPr>
        <w:t>。</w:t>
      </w:r>
      <w:r>
        <w:rPr>
          <w:rFonts w:hint="eastAsia" w:ascii="宋体" w:hAnsi="宋体" w:eastAsia="宋体" w:cs="宋体"/>
          <w:snapToGrid/>
          <w:color w:val="auto"/>
          <w:kern w:val="2"/>
          <w:sz w:val="24"/>
          <w:szCs w:val="24"/>
          <w:highlight w:val="none"/>
        </w:rPr>
        <w:t>具体以招标文件第三部分采购需求为准，供应商可点击本公告下方“浏览采购文件”查看采购需求。</w:t>
      </w:r>
    </w:p>
    <w:p>
      <w:pPr>
        <w:pStyle w:val="129"/>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w:t>
      </w:r>
      <w:r>
        <w:rPr>
          <w:rFonts w:hint="eastAsia" w:ascii="宋体" w:hAnsi="宋体" w:cs="宋体"/>
          <w:b/>
          <w:color w:val="auto"/>
          <w:highlight w:val="none"/>
          <w:lang w:val="en-US" w:eastAsia="zh-CN"/>
        </w:rPr>
        <w:t>一</w:t>
      </w:r>
      <w:r>
        <w:rPr>
          <w:rFonts w:hint="eastAsia" w:ascii="宋体" w:hAnsi="宋体" w:eastAsia="宋体" w:cs="宋体"/>
          <w:b/>
          <w:color w:val="auto"/>
          <w:highlight w:val="none"/>
        </w:rPr>
        <w:t>年(</w:t>
      </w:r>
      <w:r>
        <w:rPr>
          <w:rFonts w:hint="eastAsia" w:ascii="宋体" w:hAnsi="宋体" w:eastAsia="宋体" w:cs="宋体"/>
          <w:color w:val="auto"/>
          <w:szCs w:val="24"/>
          <w:highlight w:val="none"/>
        </w:rPr>
        <w:t>按采购文件要求执行。)</w:t>
      </w:r>
    </w:p>
    <w:p>
      <w:pPr>
        <w:pStyle w:val="5"/>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441836950"/>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b/>
          <w:color w:val="auto"/>
          <w:sz w:val="24"/>
          <w:highlight w:val="none"/>
        </w:rPr>
        <w:t>是；</w:t>
      </w:r>
      <w:sdt>
        <w:sdtPr>
          <w:rPr>
            <w:rFonts w:hint="eastAsia" w:ascii="宋体" w:hAnsi="宋体" w:eastAsia="宋体" w:cs="宋体"/>
            <w:color w:val="auto"/>
            <w:kern w:val="0"/>
            <w:sz w:val="24"/>
            <w:highlight w:val="none"/>
          </w:rPr>
          <w:id w:val="-1591624199"/>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pStyle w:val="2"/>
        <w:rPr>
          <w:rFonts w:hint="eastAsia" w:ascii="宋体" w:hAnsi="宋体" w:eastAsia="宋体" w:cs="宋体"/>
          <w:color w:val="auto"/>
          <w:highlight w:val="none"/>
          <w:lang w:val="en-US" w:eastAsia="zh-CN"/>
        </w:rPr>
      </w:pPr>
      <w:r>
        <w:rPr>
          <w:rFonts w:hint="eastAsia" w:ascii="宋体" w:hAnsi="宋体" w:eastAsia="宋体" w:cs="宋体"/>
          <w:snapToGrid w:val="0"/>
          <w:color w:val="auto"/>
          <w:kern w:val="28"/>
          <w:sz w:val="24"/>
          <w:szCs w:val="20"/>
          <w:highlight w:val="none"/>
          <w:lang w:val="en-US" w:eastAsia="zh-CN"/>
        </w:rPr>
        <w:t xml:space="preserve">    </w:t>
      </w:r>
      <w:r>
        <w:rPr>
          <w:rFonts w:hint="eastAsia" w:ascii="宋体" w:hAnsi="宋体" w:eastAsia="宋体" w:cs="宋体"/>
          <w:snapToGrid w:val="0"/>
          <w:color w:val="auto"/>
          <w:kern w:val="28"/>
          <w:sz w:val="24"/>
          <w:szCs w:val="20"/>
          <w:highlight w:val="none"/>
        </w:rPr>
        <w:t>2.</w:t>
      </w:r>
      <w:r>
        <w:rPr>
          <w:rFonts w:hint="eastAsia" w:ascii="宋体" w:hAnsi="宋体" w:eastAsia="宋体" w:cs="宋体"/>
          <w:color w:val="auto"/>
          <w:highlight w:val="none"/>
        </w:rPr>
        <w:t xml:space="preserve"> </w:t>
      </w:r>
      <w:r>
        <w:rPr>
          <w:rFonts w:hint="eastAsia" w:ascii="宋体" w:hAnsi="宋体" w:eastAsia="宋体" w:cs="宋体"/>
          <w:b w:val="0"/>
          <w:bCs w:val="0"/>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b w:val="0"/>
          <w:bCs w:val="0"/>
          <w:snapToGrid w:val="0"/>
          <w:color w:val="auto"/>
          <w:kern w:val="28"/>
          <w:sz w:val="24"/>
          <w:szCs w:val="20"/>
          <w:highlight w:val="none"/>
          <w:lang w:val="en-US" w:eastAsia="zh-CN"/>
        </w:rPr>
        <w:t>3</w:t>
      </w:r>
      <w:r>
        <w:rPr>
          <w:rFonts w:hint="eastAsia" w:ascii="宋体" w:hAnsi="宋体" w:eastAsia="宋体" w:cs="宋体"/>
          <w:b w:val="0"/>
          <w:bCs w:val="0"/>
          <w:snapToGrid w:val="0"/>
          <w:color w:val="auto"/>
          <w:kern w:val="28"/>
          <w:sz w:val="24"/>
          <w:szCs w:val="20"/>
          <w:highlight w:val="none"/>
        </w:rPr>
        <w:t>.</w:t>
      </w:r>
      <w:r>
        <w:rPr>
          <w:rFonts w:hint="eastAsia" w:ascii="宋体" w:hAnsi="宋体" w:cs="宋体"/>
          <w:b w:val="0"/>
          <w:bCs w:val="0"/>
          <w:snapToGrid w:val="0"/>
          <w:color w:val="auto"/>
          <w:kern w:val="28"/>
          <w:sz w:val="24"/>
          <w:szCs w:val="20"/>
          <w:highlight w:val="none"/>
          <w:lang w:val="en-US" w:eastAsia="zh-CN"/>
        </w:rPr>
        <w:t xml:space="preserve"> </w:t>
      </w:r>
      <w:r>
        <w:rPr>
          <w:rFonts w:hint="eastAsia" w:ascii="宋体" w:hAnsi="宋体" w:eastAsia="宋体" w:cs="宋体"/>
          <w:b w:val="0"/>
          <w:bCs w:val="0"/>
          <w:snapToGrid w:val="0"/>
          <w:color w:val="auto"/>
          <w:kern w:val="28"/>
          <w:sz w:val="24"/>
          <w:szCs w:val="20"/>
          <w:highlight w:val="none"/>
        </w:rPr>
        <w:t>落实</w:t>
      </w:r>
      <w:r>
        <w:rPr>
          <w:rFonts w:hint="eastAsia" w:ascii="宋体" w:hAnsi="宋体" w:eastAsia="宋体" w:cs="宋体"/>
          <w:snapToGrid w:val="0"/>
          <w:color w:val="auto"/>
          <w:kern w:val="28"/>
          <w:sz w:val="24"/>
          <w:szCs w:val="20"/>
          <w:highlight w:val="none"/>
        </w:rPr>
        <w:t>政府采购政策需满足的资格要求：</w:t>
      </w: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2470430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3685401"/>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sz w:val="24"/>
          <w:highlight w:val="none"/>
        </w:rPr>
        <w:t>服务全部由符合政策要求的中小企业承接，提供中小企业声明函；</w:t>
      </w:r>
    </w:p>
    <w:p>
      <w:pPr>
        <w:numPr>
          <w:ilvl w:val="0"/>
          <w:numId w:val="1"/>
        </w:num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本项目的特定资格要求：</w:t>
      </w:r>
      <w:r>
        <w:rPr>
          <w:rFonts w:hint="eastAsia" w:ascii="宋体" w:hAnsi="宋体" w:eastAsia="宋体" w:cs="宋体"/>
          <w:color w:val="auto"/>
          <w:sz w:val="24"/>
          <w:highlight w:val="none"/>
          <w:lang w:val="en-US" w:eastAsia="zh-CN"/>
        </w:rPr>
        <w:t>无；</w:t>
      </w:r>
    </w:p>
    <w:p>
      <w:pPr>
        <w:numPr>
          <w:ilvl w:val="0"/>
          <w:numId w:val="1"/>
        </w:num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lang w:val="en-US" w:eastAsia="zh-CN"/>
        </w:rPr>
        <w:t>2023 年</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lang w:val="en-US" w:eastAsia="zh-CN"/>
        </w:rPr>
        <w:t>月</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lang w:val="en-US" w:eastAsia="zh-CN"/>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2023年2月</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8</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eastAsia" w:ascii="宋体" w:hAnsi="宋体" w:eastAsia="宋体" w:cs="宋体"/>
          <w:color w:val="auto"/>
          <w:sz w:val="24"/>
          <w:highlight w:val="none"/>
          <w:u w:val="single"/>
        </w:rPr>
        <w:t>0分</w:t>
      </w:r>
      <w:r>
        <w:rPr>
          <w:rFonts w:hint="eastAsia" w:ascii="宋体" w:hAnsi="宋体" w:eastAsia="宋体" w:cs="宋体"/>
          <w:color w:val="auto"/>
          <w:sz w:val="24"/>
          <w:highlight w:val="none"/>
        </w:rPr>
        <w:t>（北京时间）</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 xml:space="preserve">2023年2月 </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 xml:space="preserve"> 日</w:t>
      </w:r>
      <w:r>
        <w:rPr>
          <w:rFonts w:hint="eastAsia" w:ascii="宋体" w:hAnsi="宋体" w:cs="宋体"/>
          <w:color w:val="auto"/>
          <w:sz w:val="24"/>
          <w:highlight w:val="none"/>
          <w:u w:val="single"/>
          <w:lang w:val="en-US" w:eastAsia="zh-CN"/>
        </w:rPr>
        <w:t>8</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eastAsia" w:ascii="宋体" w:hAnsi="宋体" w:eastAsia="宋体" w:cs="宋体"/>
          <w:color w:val="auto"/>
          <w:sz w:val="24"/>
          <w:highlight w:val="none"/>
          <w:u w:val="single"/>
        </w:rPr>
        <w:t>0分</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（1）需要落实的政府采购政策：包括节约资源、保护环境、支持创新、促进中小企业发展等。详见招标文件的第二部分总则。</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（3）招标文件公告期限与招标公告的公告期限一致。</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称：杭州市滨江区人民政府浦沿街道办事处 </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址：杭州市滨江区东冠路501号       </w:t>
      </w:r>
    </w:p>
    <w:p>
      <w:pPr>
        <w:spacing w:line="288"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项目联系人（询问）：朱工  </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项目联系方式（询问）：0571-86616671</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质疑联系人：俞工 </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质疑联系方式：0571-86618082 </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2.采购代理机构信息            </w:t>
      </w:r>
    </w:p>
    <w:p>
      <w:pPr>
        <w:spacing w:line="288"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称：浙江省房地产管理咨询有限公司</w:t>
      </w:r>
    </w:p>
    <w:p>
      <w:pPr>
        <w:spacing w:line="288"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址：杭州市拱墅区绍兴路538号三立时代广场A座12层</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项目联系人（询问）：郑晓鸯  </w:t>
      </w:r>
    </w:p>
    <w:p>
      <w:pPr>
        <w:spacing w:line="288"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项目联系方式（询问）：15988860402</w:t>
      </w:r>
      <w:r>
        <w:rPr>
          <w:rFonts w:hint="eastAsia" w:ascii="宋体" w:hAnsi="宋体" w:cs="宋体"/>
          <w:color w:val="auto"/>
          <w:sz w:val="24"/>
          <w:highlight w:val="none"/>
          <w:lang w:val="en-US" w:eastAsia="zh-CN"/>
        </w:rPr>
        <w:t>、</w:t>
      </w:r>
      <w:bookmarkStart w:id="515" w:name="_GoBack"/>
      <w:bookmarkEnd w:id="515"/>
      <w:r>
        <w:rPr>
          <w:rFonts w:hint="eastAsia" w:ascii="宋体" w:hAnsi="宋体" w:eastAsia="宋体" w:cs="宋体"/>
          <w:color w:val="auto"/>
          <w:sz w:val="24"/>
          <w:highlight w:val="none"/>
          <w:lang w:val="en-US" w:eastAsia="zh-CN"/>
        </w:rPr>
        <w:t>13396593621</w:t>
      </w:r>
    </w:p>
    <w:p>
      <w:pPr>
        <w:spacing w:line="288"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 姜</w:t>
      </w:r>
      <w:r>
        <w:rPr>
          <w:rFonts w:hint="eastAsia" w:ascii="宋体" w:hAnsi="宋体" w:eastAsia="宋体" w:cs="宋体"/>
          <w:color w:val="auto"/>
          <w:sz w:val="24"/>
          <w:highlight w:val="none"/>
          <w:lang w:val="en-US" w:eastAsia="zh-CN"/>
        </w:rPr>
        <w:t>理敏</w:t>
      </w:r>
    </w:p>
    <w:p>
      <w:pPr>
        <w:spacing w:line="288"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w:t>
      </w:r>
      <w:r>
        <w:rPr>
          <w:rFonts w:hint="eastAsia" w:ascii="宋体" w:hAnsi="宋体" w:eastAsia="宋体" w:cs="宋体"/>
          <w:color w:val="auto"/>
          <w:sz w:val="24"/>
          <w:highlight w:val="none"/>
          <w:lang w:val="en-US" w:eastAsia="zh-CN"/>
        </w:rPr>
        <w:t>13606709692</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3.同级政府采购监督管理部门            </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称：杭州市滨江区财政局</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址：杭州市滨江区江南大道328号701办公室</w:t>
      </w:r>
    </w:p>
    <w:p>
      <w:pPr>
        <w:spacing w:line="288"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：何先生    </w:t>
      </w:r>
    </w:p>
    <w:p>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监督投诉电话：0571-87760023  </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cn/），点击右侧咨询小采，获取采小蜜智能服务管家帮助，或拨打政采云服务热线</w:t>
      </w:r>
      <w:r>
        <w:rPr>
          <w:rFonts w:hint="eastAsia" w:ascii="宋体" w:hAnsi="宋体" w:cs="宋体"/>
          <w:color w:val="auto"/>
          <w:sz w:val="24"/>
          <w:highlight w:val="none"/>
          <w:lang w:val="en-US" w:eastAsia="zh-CN"/>
        </w:rPr>
        <w:t>95763</w:t>
      </w:r>
      <w:r>
        <w:rPr>
          <w:rFonts w:hint="eastAsia" w:ascii="宋体" w:hAnsi="宋体" w:eastAsia="宋体" w:cs="宋体"/>
          <w:color w:val="auto"/>
          <w:sz w:val="24"/>
          <w:highlight w:val="none"/>
        </w:rPr>
        <w:t>获取热线服务帮助。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rPr>
          <w:rFonts w:hint="eastAsia" w:ascii="宋体" w:hAnsi="宋体" w:eastAsia="宋体" w:cs="宋体"/>
          <w:color w:val="auto"/>
          <w:sz w:val="24"/>
          <w:highlight w:val="none"/>
        </w:rPr>
      </w:pPr>
    </w:p>
    <w:p>
      <w:pPr>
        <w:pStyle w:val="34"/>
        <w:spacing w:line="360" w:lineRule="auto"/>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6"/>
      <w:r>
        <w:rPr>
          <w:rFonts w:hint="eastAsia" w:ascii="宋体" w:hAnsi="宋体" w:eastAsia="宋体" w:cs="宋体"/>
          <w:b/>
          <w:color w:val="auto"/>
          <w:sz w:val="36"/>
          <w:szCs w:val="20"/>
          <w:highlight w:val="none"/>
        </w:rPr>
        <w:t xml:space="preserve"> 投标人须知</w:t>
      </w:r>
      <w:bookmarkEnd w:id="7"/>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（1）标的：</w:t>
            </w:r>
            <w:r>
              <w:rPr>
                <w:rFonts w:hint="eastAsia" w:ascii="宋体" w:hAnsi="宋体" w:eastAsia="宋体" w:cs="宋体"/>
                <w:color w:val="auto"/>
                <w:kern w:val="0"/>
                <w:sz w:val="24"/>
                <w:highlight w:val="none"/>
                <w:u w:val="single"/>
                <w:lang w:val="en-US" w:eastAsia="zh-CN"/>
              </w:rPr>
              <w:t>服务</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属于</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rPr>
              <w:t>其他未列明</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rPr>
              <w:t>行业</w:t>
            </w:r>
            <w:r>
              <w:rPr>
                <w:rFonts w:hint="eastAsia" w:ascii="宋体" w:hAnsi="宋体" w:eastAsia="宋体" w:cs="宋体"/>
                <w:color w:val="auto"/>
                <w:kern w:val="0"/>
                <w:sz w:val="24"/>
                <w:highlight w:val="none"/>
              </w:rPr>
              <w:t>；</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备注：《关于印发中小企业划型标准规定的通知》（工信部联企业〔2011〕300）第（十六）条：</w:t>
            </w:r>
          </w:p>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其他未列明行业：从业人员300人以下的为中小微型企业。其中，从业人员100人及以上的为中型企业；从业人员10人及以上的为小型企业；从业人员10 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highlight w:val="none"/>
              </w:rPr>
            </w:pPr>
            <w:sdt>
              <w:sdtPr>
                <w:rPr>
                  <w:rFonts w:hint="eastAsia" w:ascii="宋体" w:hAnsi="宋体" w:cs="宋体"/>
                  <w:color w:val="auto"/>
                  <w:kern w:val="0"/>
                  <w:sz w:val="24"/>
                </w:rPr>
                <w:id w:val="-182842570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本项目不允许采购进口产品。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cs="宋体"/>
                  <w:color w:val="auto"/>
                  <w:kern w:val="0"/>
                  <w:sz w:val="24"/>
                </w:rPr>
                <w:id w:val="-147728692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w:t>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同意将非主体、非关键性的工作分包。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212966419"/>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b/>
                <w:color w:val="auto"/>
                <w:sz w:val="24"/>
                <w:highlight w:val="none"/>
              </w:rPr>
            </w:pPr>
            <w:sdt>
              <w:sdtPr>
                <w:rPr>
                  <w:rFonts w:hint="eastAsia" w:ascii="宋体" w:hAnsi="宋体" w:eastAsia="宋体" w:cs="宋体"/>
                  <w:color w:val="auto"/>
                  <w:kern w:val="0"/>
                  <w:sz w:val="24"/>
                  <w:highlight w:val="none"/>
                </w:rPr>
                <w:id w:val="-1639946486"/>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b/>
                <w:color w:val="auto"/>
                <w:kern w:val="0"/>
                <w:sz w:val="24"/>
                <w:highlight w:val="none"/>
                <w:lang w:val="zh-CN"/>
              </w:rPr>
            </w:pPr>
            <w:sdt>
              <w:sdtPr>
                <w:rPr>
                  <w:rFonts w:hint="eastAsia" w:ascii="宋体" w:hAnsi="宋体" w:cs="宋体"/>
                  <w:color w:val="auto"/>
                  <w:kern w:val="0"/>
                  <w:sz w:val="24"/>
                </w:rPr>
                <w:id w:val="-185934854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ind w:firstLine="480" w:firstLineChars="200"/>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pPr>
              <w:snapToGrid w:val="0"/>
              <w:spacing w:line="360" w:lineRule="auto"/>
              <w:ind w:firstLine="482" w:firstLineChars="2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（2）投标报价因素包括：</w:t>
            </w:r>
          </w:p>
          <w:p>
            <w:pPr>
              <w:snapToGrid w:val="0"/>
              <w:spacing w:line="360" w:lineRule="auto"/>
              <w:ind w:firstLine="482" w:firstLineChars="200"/>
              <w:jc w:val="lef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lang w:val="zh-CN"/>
              </w:rPr>
              <w:t>投标报价应包括服务期内本项目所需的一切人工、材料费、工具、机械设备、保险、交通、利润、验收、税金（包含须由供应商承担的各种税费）、其它需供应商承担的费用及潜在可能涉及的一切费用。</w:t>
            </w:r>
          </w:p>
          <w:p>
            <w:pPr>
              <w:snapToGrid w:val="0"/>
              <w:spacing w:line="360" w:lineRule="auto"/>
              <w:ind w:firstLine="482" w:firstLineChars="2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（3）投标报价出现下列情形的，投标无效：</w:t>
            </w:r>
          </w:p>
          <w:p>
            <w:pPr>
              <w:snapToGrid w:val="0"/>
              <w:spacing w:line="360" w:lineRule="auto"/>
              <w:ind w:firstLine="482" w:firstLineChars="2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fldChar w:fldCharType="begin"/>
            </w:r>
            <w:r>
              <w:rPr>
                <w:rFonts w:hint="eastAsia" w:ascii="宋体" w:hAnsi="宋体" w:eastAsia="宋体" w:cs="宋体"/>
                <w:b/>
                <w:color w:val="auto"/>
                <w:kern w:val="0"/>
                <w:sz w:val="24"/>
                <w:highlight w:val="none"/>
                <w:lang w:val="zh-CN"/>
              </w:rPr>
              <w:instrText xml:space="preserve"> = 1 \* GB3 </w:instrText>
            </w:r>
            <w:r>
              <w:rPr>
                <w:rFonts w:hint="eastAsia" w:ascii="宋体" w:hAnsi="宋体" w:eastAsia="宋体" w:cs="宋体"/>
                <w:b/>
                <w:color w:val="auto"/>
                <w:kern w:val="0"/>
                <w:sz w:val="24"/>
                <w:highlight w:val="none"/>
                <w:lang w:val="zh-CN"/>
              </w:rPr>
              <w:fldChar w:fldCharType="separate"/>
            </w:r>
            <w:r>
              <w:rPr>
                <w:rFonts w:hint="eastAsia" w:ascii="宋体" w:hAnsi="宋体" w:eastAsia="宋体" w:cs="宋体"/>
                <w:b/>
                <w:color w:val="auto"/>
                <w:kern w:val="0"/>
                <w:sz w:val="24"/>
                <w:highlight w:val="none"/>
                <w:lang w:val="zh-CN"/>
              </w:rPr>
              <w:t>①</w:t>
            </w:r>
            <w:r>
              <w:rPr>
                <w:rFonts w:hint="eastAsia" w:ascii="宋体" w:hAnsi="宋体" w:eastAsia="宋体" w:cs="宋体"/>
                <w:b/>
                <w:color w:val="auto"/>
                <w:kern w:val="0"/>
                <w:sz w:val="24"/>
                <w:highlight w:val="none"/>
                <w:lang w:val="zh-CN"/>
              </w:rPr>
              <w:fldChar w:fldCharType="end"/>
            </w:r>
            <w:r>
              <w:rPr>
                <w:rFonts w:hint="eastAsia" w:ascii="宋体" w:hAnsi="宋体" w:eastAsia="宋体" w:cs="宋体"/>
                <w:b/>
                <w:color w:val="auto"/>
                <w:kern w:val="0"/>
                <w:sz w:val="24"/>
                <w:highlight w:val="none"/>
                <w:lang w:val="zh-CN"/>
              </w:rPr>
              <w:t>投标文件出现不是唯一的、有选择性投标报价的；</w:t>
            </w:r>
          </w:p>
          <w:p>
            <w:pPr>
              <w:snapToGrid w:val="0"/>
              <w:spacing w:line="360" w:lineRule="auto"/>
              <w:ind w:firstLine="482" w:firstLineChars="2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fldChar w:fldCharType="begin"/>
            </w:r>
            <w:r>
              <w:rPr>
                <w:rFonts w:hint="eastAsia" w:ascii="宋体" w:hAnsi="宋体" w:eastAsia="宋体" w:cs="宋体"/>
                <w:b/>
                <w:color w:val="auto"/>
                <w:kern w:val="0"/>
                <w:sz w:val="24"/>
                <w:highlight w:val="none"/>
                <w:lang w:val="zh-CN"/>
              </w:rPr>
              <w:instrText xml:space="preserve"> = 2 \* GB3 </w:instrText>
            </w:r>
            <w:r>
              <w:rPr>
                <w:rFonts w:hint="eastAsia" w:ascii="宋体" w:hAnsi="宋体" w:eastAsia="宋体" w:cs="宋体"/>
                <w:b/>
                <w:color w:val="auto"/>
                <w:kern w:val="0"/>
                <w:sz w:val="24"/>
                <w:highlight w:val="none"/>
                <w:lang w:val="zh-CN"/>
              </w:rPr>
              <w:fldChar w:fldCharType="separate"/>
            </w:r>
            <w:r>
              <w:rPr>
                <w:rFonts w:hint="eastAsia" w:ascii="宋体" w:hAnsi="宋体" w:eastAsia="宋体" w:cs="宋体"/>
                <w:b/>
                <w:color w:val="auto"/>
                <w:kern w:val="0"/>
                <w:sz w:val="24"/>
                <w:highlight w:val="none"/>
                <w:lang w:val="zh-CN"/>
              </w:rPr>
              <w:t>②</w:t>
            </w:r>
            <w:r>
              <w:rPr>
                <w:rFonts w:hint="eastAsia" w:ascii="宋体" w:hAnsi="宋体" w:eastAsia="宋体" w:cs="宋体"/>
                <w:b/>
                <w:color w:val="auto"/>
                <w:kern w:val="0"/>
                <w:sz w:val="24"/>
                <w:highlight w:val="none"/>
                <w:lang w:val="zh-CN"/>
              </w:rPr>
              <w:fldChar w:fldCharType="end"/>
            </w:r>
            <w:r>
              <w:rPr>
                <w:rFonts w:hint="eastAsia" w:ascii="宋体" w:hAnsi="宋体" w:eastAsia="宋体" w:cs="宋体"/>
                <w:b/>
                <w:color w:val="auto"/>
                <w:kern w:val="0"/>
                <w:sz w:val="24"/>
                <w:highlight w:val="none"/>
                <w:lang w:val="zh-CN"/>
              </w:rPr>
              <w:t>投标报价超过招标文件中规定的预算金额或者最高限价的；</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fldChar w:fldCharType="begin"/>
            </w:r>
            <w:r>
              <w:rPr>
                <w:rFonts w:hint="eastAsia" w:ascii="宋体" w:hAnsi="宋体" w:eastAsia="宋体" w:cs="宋体"/>
                <w:b/>
                <w:color w:val="auto"/>
                <w:kern w:val="0"/>
                <w:sz w:val="24"/>
                <w:highlight w:val="none"/>
              </w:rPr>
              <w:instrText xml:space="preserve"> = 3 \* GB3 </w:instrText>
            </w:r>
            <w:r>
              <w:rPr>
                <w:rFonts w:hint="eastAsia" w:ascii="宋体" w:hAnsi="宋体" w:eastAsia="宋体" w:cs="宋体"/>
                <w:b/>
                <w:color w:val="auto"/>
                <w:kern w:val="0"/>
                <w:sz w:val="24"/>
                <w:highlight w:val="none"/>
              </w:rPr>
              <w:fldChar w:fldCharType="separate"/>
            </w:r>
            <w:r>
              <w:rPr>
                <w:rFonts w:hint="eastAsia" w:ascii="宋体" w:hAnsi="宋体" w:eastAsia="宋体" w:cs="宋体"/>
                <w:b/>
                <w:color w:val="auto"/>
                <w:kern w:val="0"/>
                <w:sz w:val="24"/>
                <w:highlight w:val="none"/>
              </w:rPr>
              <w:t>③</w:t>
            </w:r>
            <w:r>
              <w:rPr>
                <w:rFonts w:hint="eastAsia" w:ascii="宋体" w:hAnsi="宋体" w:eastAsia="宋体" w:cs="宋体"/>
                <w:b/>
                <w:color w:val="auto"/>
                <w:kern w:val="0"/>
                <w:sz w:val="24"/>
                <w:highlight w:val="none"/>
              </w:rPr>
              <w:fldChar w:fldCharType="end"/>
            </w: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fldChar w:fldCharType="begin"/>
            </w:r>
            <w:r>
              <w:rPr>
                <w:rFonts w:hint="eastAsia" w:ascii="宋体" w:hAnsi="宋体" w:eastAsia="宋体" w:cs="宋体"/>
                <w:b/>
                <w:color w:val="auto"/>
                <w:kern w:val="0"/>
                <w:sz w:val="24"/>
                <w:highlight w:val="none"/>
              </w:rPr>
              <w:instrText xml:space="preserve"> = 4 \* GB3 </w:instrText>
            </w:r>
            <w:r>
              <w:rPr>
                <w:rFonts w:hint="eastAsia" w:ascii="宋体" w:hAnsi="宋体" w:eastAsia="宋体" w:cs="宋体"/>
                <w:b/>
                <w:color w:val="auto"/>
                <w:kern w:val="0"/>
                <w:sz w:val="24"/>
                <w:highlight w:val="none"/>
              </w:rPr>
              <w:fldChar w:fldCharType="separate"/>
            </w:r>
            <w:r>
              <w:rPr>
                <w:rFonts w:hint="eastAsia" w:ascii="宋体" w:hAnsi="宋体" w:eastAsia="宋体" w:cs="宋体"/>
                <w:b/>
                <w:color w:val="auto"/>
                <w:kern w:val="0"/>
                <w:sz w:val="24"/>
                <w:highlight w:val="none"/>
              </w:rPr>
              <w:t>④</w:t>
            </w:r>
            <w:r>
              <w:rPr>
                <w:rFonts w:hint="eastAsia" w:ascii="宋体" w:hAnsi="宋体" w:eastAsia="宋体" w:cs="宋体"/>
                <w:b/>
                <w:color w:val="auto"/>
                <w:kern w:val="0"/>
                <w:sz w:val="24"/>
                <w:highlight w:val="none"/>
              </w:rPr>
              <w:fldChar w:fldCharType="end"/>
            </w: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25"/>
              <w:jc w:val="left"/>
              <w:rPr>
                <w:rFonts w:hint="eastAsia" w:ascii="宋体" w:hAnsi="宋体" w:eastAsia="宋体" w:cs="宋体"/>
                <w:color w:val="auto"/>
                <w:highlight w:val="none"/>
              </w:rPr>
            </w:pPr>
            <w:r>
              <w:rPr>
                <w:rStyle w:val="85"/>
                <w:rFonts w:hint="eastAsia" w:ascii="宋体" w:hAnsi="宋体" w:eastAsia="宋体" w:cs="宋体"/>
                <w:color w:val="auto"/>
                <w:sz w:val="24"/>
                <w:highlight w:val="none"/>
              </w:rPr>
              <w:t>为支持和促进中小企业发展，进一步发挥政府采购政策功能，杭州市滨江区财政局出台了《杭州高新开发区（滨江）政府采购支持中小企业信用融资暂行办法》。供应商中标后根据杭州市滨江区门户网站公示的滨江区政采贷合作银行及联系人信息表（http://www.hhtz.gov.cn/art/2022/1/11/art_1487037_59039349.html）获取联系方式选择银行进行对接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hint="eastAsia" w:ascii="宋体" w:hAnsi="宋体" w:eastAsia="宋体" w:cs="宋体"/>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hint="eastAsia" w:ascii="宋体" w:hAnsi="宋体" w:eastAsia="宋体" w:cs="宋体"/>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kern w:val="28"/>
                <w:sz w:val="24"/>
                <w:szCs w:val="24"/>
                <w:highlight w:val="none"/>
                <w:u w:val="single"/>
              </w:rPr>
              <w:t>浙江省房地产管理咨询有限公司（地址：杭州市拱墅区绍兴路538号三立时代广场A座12层 1206室）</w:t>
            </w:r>
            <w:r>
              <w:rPr>
                <w:rFonts w:hint="eastAsia" w:ascii="宋体" w:hAnsi="宋体" w:eastAsia="宋体" w:cs="宋体"/>
                <w:color w:val="auto"/>
                <w:kern w:val="28"/>
                <w:sz w:val="24"/>
                <w:szCs w:val="24"/>
                <w:highlight w:val="none"/>
              </w:rPr>
              <w:t>；备份投标文件签收人员联系电话：</w:t>
            </w:r>
            <w:r>
              <w:rPr>
                <w:rFonts w:hint="eastAsia" w:ascii="宋体" w:hAnsi="宋体" w:eastAsia="宋体" w:cs="宋体"/>
                <w:color w:val="auto"/>
                <w:sz w:val="24"/>
                <w:highlight w:val="none"/>
                <w:u w:val="single"/>
              </w:rPr>
              <w:t>郑工15988860402</w:t>
            </w:r>
            <w:r>
              <w:rPr>
                <w:rFonts w:hint="eastAsia" w:hAnsi="宋体" w:cs="宋体"/>
                <w:color w:val="auto"/>
                <w:sz w:val="24"/>
                <w:highlight w:val="none"/>
                <w:u w:val="single"/>
                <w:lang w:val="en-US" w:eastAsia="zh-CN"/>
              </w:rPr>
              <w:t>、</w:t>
            </w:r>
            <w:r>
              <w:rPr>
                <w:rFonts w:hint="eastAsia" w:ascii="宋体" w:hAnsi="宋体" w:eastAsia="宋体" w:cs="宋体"/>
                <w:color w:val="auto"/>
                <w:sz w:val="24"/>
                <w:highlight w:val="none"/>
                <w:u w:val="single"/>
              </w:rPr>
              <w:t>13396593621</w:t>
            </w:r>
            <w:r>
              <w:rPr>
                <w:rFonts w:hint="eastAsia" w:ascii="宋体" w:hAnsi="宋体" w:eastAsia="宋体" w:cs="宋体"/>
                <w:color w:val="auto"/>
                <w:sz w:val="24"/>
                <w:szCs w:val="24"/>
                <w:highlight w:val="none"/>
              </w:rPr>
              <w:t>。</w:t>
            </w:r>
          </w:p>
          <w:p>
            <w:pPr>
              <w:pStyle w:val="34"/>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sz w:val="24"/>
                <w:szCs w:val="24"/>
                <w:highlight w:val="none"/>
              </w:rPr>
              <w:t>备份投标文件可采用邮寄的方式递交；</w:t>
            </w:r>
            <w:r>
              <w:rPr>
                <w:rFonts w:hint="eastAsia" w:ascii="宋体" w:hAnsi="宋体" w:eastAsia="宋体" w:cs="宋体"/>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right w:val="single" w:color="000000" w:sz="2" w:space="0"/>
            </w:tcBorders>
            <w:vAlign w:val="center"/>
          </w:tcPr>
          <w:p>
            <w:pPr>
              <w:pStyle w:val="34"/>
              <w:spacing w:line="360" w:lineRule="auto"/>
              <w:jc w:val="center"/>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13</w:t>
            </w:r>
          </w:p>
        </w:tc>
        <w:tc>
          <w:tcPr>
            <w:tcW w:w="1843" w:type="dxa"/>
            <w:tcBorders>
              <w:top w:val="single" w:color="000000" w:sz="8" w:space="0"/>
              <w:left w:val="single" w:color="000000" w:sz="2" w:space="0"/>
              <w:right w:val="single" w:color="000000" w:sz="8" w:space="0"/>
            </w:tcBorders>
            <w:vAlign w:val="center"/>
          </w:tcPr>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b/>
                <w:snapToGrid/>
                <w:color w:val="auto"/>
                <w:sz w:val="24"/>
                <w:szCs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b/>
                <w:color w:val="auto"/>
                <w:kern w:val="28"/>
                <w:sz w:val="24"/>
                <w:szCs w:val="24"/>
                <w:highlight w:val="none"/>
                <w:u w:val="single"/>
              </w:rPr>
              <w:t>（1）本项目代理服务费以中标金额为计算基础，参照计价格【2002】1980号文的收费标准向成交供应商收取</w:t>
            </w:r>
            <w:r>
              <w:rPr>
                <w:rFonts w:hint="eastAsia" w:ascii="宋体" w:hAnsi="宋体" w:eastAsia="宋体" w:cs="宋体"/>
                <w:color w:val="auto"/>
                <w:kern w:val="28"/>
                <w:sz w:val="24"/>
                <w:szCs w:val="24"/>
                <w:highlight w:val="none"/>
              </w:rPr>
              <w:t>。供应商应当自成交结果公告发布之日起5个工作日内一次性向采购代理机构支付代理服务费。</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（2）代理服务费支付：</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① 代理服务费缴纳形式：汇票/支票/电汇/现金</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② 代理服务费汇入以下账户 ：</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收款单位（户名）：浙江省房地产管理咨询有限公司</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开  户：杭州银行保俶支行</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账  号：77508100150602</w:t>
            </w:r>
          </w:p>
          <w:p>
            <w:pPr>
              <w:pStyle w:val="34"/>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（3）增值税发票开具资料：单位名称、税号（统一社会信用代码）、开户行名称、账号、地址及联系电话。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widowControl/>
              <w:adjustRightInd/>
              <w:jc w:val="left"/>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 xml:space="preserve">联合体投标的，联合体各方分别提供与联合体协议中规定的分工内容相应的业绩证明材料，业绩数量以提供材料较少的一方为准。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816336663"/>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23231189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tc>
        <w:tc>
          <w:tcPr>
            <w:tcW w:w="1843" w:type="dxa"/>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疫情防控要求：</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供应商应当按照疫情防控要求做好相关工作，如至现场递交有关资料、材料的，应严格按照疫情防控有关要求落实防疫措施，并符合杭州市疫情防控的要求，否则导致影响其递交资料、材料的情形，由供应商自行承担责任和风险。</w:t>
            </w:r>
          </w:p>
        </w:tc>
      </w:tr>
    </w:tbl>
    <w:p>
      <w:pPr>
        <w:snapToGrid w:val="0"/>
        <w:spacing w:line="360" w:lineRule="auto"/>
        <w:jc w:val="center"/>
        <w:rPr>
          <w:rFonts w:hint="eastAsia" w:ascii="宋体" w:hAnsi="宋体" w:eastAsia="宋体" w:cs="宋体"/>
          <w:b/>
          <w:color w:val="auto"/>
          <w:sz w:val="32"/>
          <w:szCs w:val="20"/>
          <w:highlight w:val="none"/>
        </w:rPr>
      </w:pPr>
    </w:p>
    <w:bookmarkEnd w:id="8"/>
    <w:p>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9" w:name="_Toc164416483"/>
      <w:bookmarkStart w:id="10" w:name="第三部分"/>
      <w:r>
        <w:rPr>
          <w:rFonts w:hint="eastAsia" w:ascii="宋体" w:hAnsi="宋体" w:eastAsia="宋体" w:cs="宋体"/>
          <w:b/>
          <w:color w:val="auto"/>
          <w:sz w:val="32"/>
          <w:szCs w:val="20"/>
          <w:highlight w:val="none"/>
        </w:rPr>
        <w:t>一、总则</w:t>
      </w:r>
    </w:p>
    <w:p>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sdt>
        <w:sdtPr>
          <w:rPr>
            <w:rFonts w:hint="eastAsia" w:ascii="宋体" w:hAnsi="宋体" w:eastAsia="宋体" w:cs="宋体"/>
            <w:color w:val="auto"/>
            <w:kern w:val="0"/>
            <w:sz w:val="24"/>
            <w:highlight w:val="none"/>
          </w:rPr>
          <w:id w:val="512970236"/>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3.采购项目需要落实的政府采购政策</w:t>
      </w:r>
    </w:p>
    <w:p>
      <w:pPr>
        <w:spacing w:line="360" w:lineRule="auto"/>
        <w:ind w:firstLine="240" w:firstLineChars="1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color w:val="auto"/>
          <w:sz w:val="24"/>
          <w:highlight w:val="none"/>
          <w:lang w:eastAsia="zh-CN"/>
        </w:rPr>
        <w:t>。</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3.5中小企业信用融资：</w:t>
      </w:r>
      <w:r>
        <w:rPr>
          <w:rFonts w:hint="eastAsia" w:ascii="宋体" w:hAnsi="宋体" w:eastAsia="宋体" w:cs="宋体"/>
          <w:color w:val="auto"/>
          <w:sz w:val="24"/>
          <w:highlight w:val="none"/>
          <w:lang w:val="zh-CN"/>
        </w:rPr>
        <w:t>为支持和促进中小企业发展，进一步发挥政府采购政策功能，杭州市滨江区财政局出台了《关于印发《杭州高新开发区（滨江）政府采购支持中小企业信用融资暂行办法》的通知》。供应商中标后根据滨江区门户网站公示的滨江区政采贷合作银行及联系人信息表</w:t>
      </w:r>
    </w:p>
    <w:p>
      <w:pPr>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"http://www.hhtz.gov.cn/art/2022/1/11/art_1487037_59039349.html"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zh-CN"/>
        </w:rPr>
        <w:t>http://www.hhtz.gov.cn/art/2022/1/11/art_1487037_59039349.html</w:t>
      </w:r>
      <w:r>
        <w:rPr>
          <w:rFonts w:hint="eastAsia" w:ascii="宋体" w:hAnsi="宋体" w:eastAsia="宋体" w:cs="宋体"/>
          <w:color w:val="auto"/>
          <w:sz w:val="24"/>
          <w:highlight w:val="none"/>
          <w:lang w:val="zh-CN"/>
        </w:rPr>
        <w:fldChar w:fldCharType="end"/>
      </w:r>
      <w:r>
        <w:rPr>
          <w:rFonts w:hint="eastAsia" w:ascii="宋体" w:hAnsi="宋体" w:eastAsia="宋体" w:cs="宋体"/>
          <w:color w:val="auto"/>
          <w:sz w:val="24"/>
          <w:highlight w:val="none"/>
          <w:lang w:val="zh-CN"/>
        </w:rPr>
        <w:t>）获取联系方式，选择银行进行对接申请。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3.6平等对待内外资企业和符合条件的破产重整企业</w:t>
      </w:r>
    </w:p>
    <w:p>
      <w:pPr>
        <w:spacing w:line="360" w:lineRule="auto"/>
        <w:ind w:firstLine="240" w:firstLineChars="100"/>
        <w:rPr>
          <w:rFonts w:hint="eastAsia" w:ascii="宋体" w:hAnsi="宋体" w:eastAsia="宋体" w:cs="宋体"/>
          <w:b/>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供应商询问</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供应商质疑</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w:t>
      </w:r>
      <w:r>
        <w:rPr>
          <w:rFonts w:hint="eastAsia" w:ascii="宋体" w:hAnsi="宋体" w:eastAsia="宋体" w:cs="宋体"/>
          <w:snapToGrid/>
          <w:color w:val="auto"/>
          <w:kern w:val="2"/>
          <w:sz w:val="24"/>
          <w:highlight w:val="none"/>
          <w:lang w:val="en-US" w:eastAsia="zh-CN"/>
        </w:rPr>
        <w:t>3</w:t>
      </w:r>
      <w:r>
        <w:rPr>
          <w:rFonts w:hint="eastAsia" w:ascii="宋体" w:hAnsi="宋体" w:eastAsia="宋体" w:cs="宋体"/>
          <w:snapToGrid/>
          <w:color w:val="auto"/>
          <w:kern w:val="2"/>
          <w:sz w:val="24"/>
          <w:highlight w:val="none"/>
        </w:rPr>
        <w:t>.2.1对招标文件提出质疑的，质疑期限为供应商获得招标文件之日或者招标文件公告期限届满之日起计算。</w:t>
      </w:r>
    </w:p>
    <w:p>
      <w:pPr>
        <w:pStyle w:val="34"/>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.2.2对采购过程提出质疑的，质疑期限为各采购程序环节结束之日起计算。4.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.2.3对采购结果提出质疑的，质疑期限自采购结果公告期限届满之日起计算。</w:t>
      </w:r>
    </w:p>
    <w:p>
      <w:pPr>
        <w:pStyle w:val="34"/>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供应商提出质疑应当提交质疑函和必要的证明材料。质疑函应当包括下列内容：</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.3.1供应商的姓名或者名称、地址、邮编、联系人及联系电话；</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.3.2质疑项目的名称、编号；</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.3.3具体、明确的质疑事项和与质疑事项相关的请求；</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.3.4事实依据；</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.3.5必要的法律依据；</w:t>
      </w:r>
    </w:p>
    <w:p>
      <w:pPr>
        <w:pStyle w:val="34"/>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.3.6提出质疑的日期。</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.4对同一采购程序环节的质疑，供应商须在法定质疑期内一次性提出。</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val="zh-CN"/>
        </w:rPr>
        <w:t>供应商投诉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.1质疑供应商对采购人、采购机构的答复不满意或者采购人、采购机构未在规定的时间内作出答复的，可以在答复期满后十五个工作日内向同级政府采购监督管理部门提出投诉。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.3供应商投诉应当有明确的请求和必要的证明材料。</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 xml:space="preserve"> 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在线质疑、投诉。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29"/>
        <w:snapToGrid w:val="0"/>
        <w:spacing w:before="0"/>
        <w:ind w:firstLine="360"/>
        <w:rPr>
          <w:rFonts w:hint="eastAsia" w:ascii="宋体" w:hAnsi="宋体" w:eastAsia="宋体" w:cs="宋体"/>
          <w:color w:val="auto"/>
          <w:sz w:val="18"/>
          <w:szCs w:val="18"/>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int="eastAsia" w:ascii="宋体" w:hAnsi="宋体" w:eastAsia="宋体" w:cs="宋体"/>
          <w:color w:val="auto"/>
          <w:sz w:val="18"/>
          <w:szCs w:val="18"/>
          <w:highlight w:val="none"/>
          <w:lang w:val="en-US"/>
        </w:rPr>
      </w:pPr>
    </w:p>
    <w:p>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pPr>
        <w:pStyle w:val="5"/>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w:t>
      </w:r>
      <w:r>
        <w:rPr>
          <w:rFonts w:hint="eastAsia" w:ascii="宋体" w:hAnsi="宋体" w:eastAsia="宋体" w:cs="宋体"/>
          <w:snapToGrid w:val="0"/>
          <w:color w:val="auto"/>
          <w:kern w:val="28"/>
          <w:sz w:val="24"/>
          <w:szCs w:val="20"/>
          <w:highlight w:val="none"/>
        </w:rPr>
        <w:t>联合协议（如果有)；</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11.1.3落实政府采购政策需满足的资格要求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11.1.4本项目的特定资格要求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2商务技术</w:t>
      </w:r>
      <w:r>
        <w:rPr>
          <w:rFonts w:hint="eastAsia" w:ascii="宋体" w:hAnsi="宋体" w:eastAsia="宋体" w:cs="宋体"/>
          <w:color w:val="auto"/>
          <w:sz w:val="24"/>
          <w:highlight w:val="none"/>
          <w:lang w:val="zh-CN"/>
        </w:rPr>
        <w:t>文件：</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11.2.5评标标准相应的商务技术资料；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11.3.2中小企业声明函。</w:t>
      </w:r>
    </w:p>
    <w:p>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pPr>
        <w:pStyle w:val="129"/>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pPr>
        <w:pStyle w:val="129"/>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pPr>
        <w:pStyle w:val="129"/>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pPr>
        <w:pStyle w:val="34"/>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但采购人、采购机构不强制或变相强制投标人提交备份投标文件。</w:t>
      </w:r>
    </w:p>
    <w:p>
      <w:pPr>
        <w:pStyle w:val="34"/>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pPr>
        <w:pStyle w:val="25"/>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有招标文件第四部分4.2规定的情形之一的，投标无效：</w:t>
      </w:r>
    </w:p>
    <w:p>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29"/>
        <w:spacing w:before="0"/>
        <w:ind w:firstLine="643"/>
        <w:rPr>
          <w:rFonts w:hint="eastAsia" w:ascii="宋体" w:hAnsi="宋体" w:eastAsia="宋体" w:cs="宋体"/>
          <w:b/>
          <w:color w:val="auto"/>
          <w:sz w:val="32"/>
          <w:highlight w:val="none"/>
        </w:rPr>
      </w:pPr>
    </w:p>
    <w:p>
      <w:pPr>
        <w:pStyle w:val="129"/>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pPr>
        <w:pStyle w:val="555"/>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p>
    <w:p>
      <w:pPr>
        <w:pStyle w:val="555"/>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19.1开标后，采购人或采购机构将依法对投标人的资格进行审查。</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采购人或采购机构依据法律法规和招标文件的规定，对投标人的资格进行审查。</w:t>
      </w:r>
    </w:p>
    <w:p>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4对未通过资格审查的投标人，采购人或采购机构告知其未通过的原因。</w:t>
      </w:r>
    </w:p>
    <w:p>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5合格投标人不足3家的，不再评标。</w:t>
      </w:r>
    </w:p>
    <w:p>
      <w:pPr>
        <w:pStyle w:val="12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pPr>
        <w:pStyle w:val="12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20.1信用信息查询渠道及截止时间：采购机构将在资格审查时通过“信用中国”网站(www.creditchina.gov.cn)、中国政府采购网(www.ccgp.gov.cn)渠道查询投标人接受资格时的信用记录。</w:t>
      </w:r>
    </w:p>
    <w:p>
      <w:pPr>
        <w:pStyle w:val="12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pPr>
        <w:pStyle w:val="12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pPr>
        <w:pStyle w:val="129"/>
        <w:spacing w:before="0"/>
        <w:ind w:firstLine="0" w:firstLineChars="0"/>
        <w:rPr>
          <w:rFonts w:hint="eastAsia" w:ascii="宋体" w:hAnsi="宋体" w:eastAsia="宋体" w:cs="宋体"/>
          <w:color w:val="auto"/>
          <w:kern w:val="0"/>
          <w:szCs w:val="24"/>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pPr>
        <w:spacing w:line="360" w:lineRule="auto"/>
        <w:rPr>
          <w:rFonts w:hint="eastAsia" w:ascii="宋体" w:hAnsi="宋体" w:eastAsia="宋体" w:cs="宋体"/>
          <w:b/>
          <w:color w:val="auto"/>
          <w:sz w:val="24"/>
          <w:highlight w:val="none"/>
        </w:rPr>
      </w:pPr>
      <w:bookmarkStart w:id="11" w:name="_Toc91899903"/>
      <w:r>
        <w:rPr>
          <w:rFonts w:hint="eastAsia" w:ascii="宋体" w:hAnsi="宋体" w:eastAsia="宋体" w:cs="宋体"/>
          <w:b/>
          <w:color w:val="auto"/>
          <w:sz w:val="24"/>
          <w:highlight w:val="none"/>
        </w:rPr>
        <w:t>21.</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pPr>
        <w:spacing w:line="360" w:lineRule="auto"/>
        <w:rPr>
          <w:rFonts w:hint="eastAsia" w:ascii="宋体" w:hAnsi="宋体" w:eastAsia="宋体" w:cs="宋体"/>
          <w:b/>
          <w:color w:val="auto"/>
          <w:sz w:val="24"/>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pPr>
        <w:pStyle w:val="129"/>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9"/>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2" w:name="_Hlk101184471"/>
      <w:r>
        <w:rPr>
          <w:rFonts w:hint="eastAsia" w:ascii="宋体" w:hAnsi="宋体" w:eastAsia="宋体" w:cs="宋体"/>
          <w:color w:val="auto"/>
          <w:sz w:val="24"/>
          <w:highlight w:val="none"/>
        </w:rPr>
        <w:t>资格审查情况、评审专家抽取规则、符合性审查情况、</w:t>
      </w:r>
      <w:bookmarkEnd w:id="12"/>
      <w:r>
        <w:rPr>
          <w:rFonts w:hint="eastAsia" w:ascii="宋体" w:hAnsi="宋体" w:eastAsia="宋体" w:cs="宋体"/>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pPr>
        <w:snapToGrid w:val="0"/>
        <w:spacing w:line="360" w:lineRule="auto"/>
        <w:ind w:left="120" w:leftChars="57" w:firstLine="482" w:firstLineChars="150"/>
        <w:jc w:val="center"/>
        <w:rPr>
          <w:rFonts w:hint="eastAsia" w:ascii="宋体" w:hAnsi="宋体" w:eastAsia="宋体" w:cs="宋体"/>
          <w:b/>
          <w:color w:val="auto"/>
          <w:sz w:val="32"/>
          <w:highlight w:val="none"/>
        </w:rPr>
      </w:pP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9"/>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pPr>
        <w:pStyle w:val="25"/>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。履约保证金的数额不得超过政府采购合同金额的1%。鼓励和支持供应商以银行、保险公司出具的保函形式提供履约保证金。</w:t>
      </w:r>
      <w:r>
        <w:rPr>
          <w:rFonts w:hint="eastAsia" w:ascii="宋体" w:hAnsi="宋体" w:eastAsia="宋体" w:cs="宋体"/>
          <w:b/>
          <w:color w:val="auto"/>
          <w:sz w:val="24"/>
          <w:highlight w:val="none"/>
        </w:rPr>
        <w:t>采购人不得拒收履约保函</w:t>
      </w:r>
      <w:r>
        <w:rPr>
          <w:rFonts w:hint="eastAsia" w:ascii="宋体" w:hAnsi="宋体" w:eastAsia="宋体" w:cs="宋体"/>
          <w:color w:val="auto"/>
          <w:sz w:val="24"/>
          <w:highlight w:val="none"/>
        </w:rPr>
        <w:t>。</w:t>
      </w:r>
    </w:p>
    <w:p>
      <w:pPr>
        <w:tabs>
          <w:tab w:val="left" w:pos="0"/>
        </w:tabs>
        <w:spacing w:line="360" w:lineRule="auto"/>
        <w:ind w:firstLine="48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提供保函可以根据杭州市滨江区门户网站公示的滨江区政采贷合作银行及联系人信息表http://www.hhtz.gov.cn/art/2022/1/11/art_1487037_59039349.html获取联系方式选择银行、对接申请提供保函服务。还可以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宋体" w:hAnsi="宋体" w:eastAsia="宋体" w:cs="宋体"/>
          <w:b/>
          <w:color w:val="auto"/>
          <w:sz w:val="32"/>
          <w:highlight w:val="none"/>
        </w:rPr>
      </w:pPr>
    </w:p>
    <w:p>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b/>
          <w:color w:val="auto"/>
          <w:szCs w:val="24"/>
          <w:highlight w:val="none"/>
        </w:rPr>
        <w:t>7.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pPr>
        <w:pStyle w:val="12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pStyle w:val="25"/>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29.验收</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pPr>
        <w:tabs>
          <w:tab w:val="left" w:pos="0"/>
        </w:tabs>
        <w:spacing w:line="360" w:lineRule="auto"/>
        <w:ind w:firstLine="480"/>
        <w:rPr>
          <w:rFonts w:hint="eastAsia" w:ascii="宋体" w:hAnsi="宋体" w:eastAsia="宋体" w:cs="宋体"/>
          <w:color w:val="auto"/>
          <w:kern w:val="0"/>
          <w:sz w:val="24"/>
          <w:highlight w:val="none"/>
        </w:rPr>
        <w:sectPr>
          <w:footerReference r:id="rId11" w:type="default"/>
          <w:pgSz w:w="11906" w:h="16838"/>
          <w:pgMar w:top="680" w:right="1418" w:bottom="468" w:left="1418" w:header="851" w:footer="992" w:gutter="0"/>
          <w:pgNumType w:start="1"/>
          <w:cols w:space="720" w:num="1"/>
          <w:docGrid w:linePitch="312" w:charSpace="0"/>
        </w:sectPr>
      </w:pPr>
      <w:bookmarkStart w:id="13" w:name="_Hlt68072990"/>
      <w:bookmarkEnd w:id="13"/>
      <w:bookmarkStart w:id="14" w:name="_Hlt68057669"/>
      <w:bookmarkEnd w:id="14"/>
      <w:bookmarkStart w:id="15" w:name="_Hlt74729768"/>
      <w:bookmarkEnd w:id="15"/>
      <w:bookmarkStart w:id="16" w:name="_Hlt75236290"/>
      <w:bookmarkEnd w:id="16"/>
      <w:bookmarkStart w:id="17" w:name="_Hlt68072998"/>
      <w:bookmarkEnd w:id="17"/>
      <w:bookmarkStart w:id="18" w:name="_Hlt74707468"/>
      <w:bookmarkEnd w:id="18"/>
      <w:bookmarkStart w:id="19" w:name="_Hlt75236101"/>
      <w:bookmarkEnd w:id="19"/>
      <w:bookmarkStart w:id="20" w:name="_Hlt74714665"/>
      <w:bookmarkEnd w:id="20"/>
      <w:bookmarkStart w:id="21" w:name="_Hlt68403820"/>
      <w:bookmarkEnd w:id="21"/>
      <w:bookmarkStart w:id="22" w:name="_Hlt68073093"/>
      <w:bookmarkEnd w:id="22"/>
      <w:bookmarkStart w:id="23" w:name="_Hlt75236011"/>
      <w:bookmarkEnd w:id="23"/>
      <w:bookmarkStart w:id="24" w:name="_Hlt74730295"/>
      <w:bookmarkEnd w:id="24"/>
    </w:p>
    <w:bookmarkEnd w:id="9"/>
    <w:bookmarkEnd w:id="10"/>
    <w:p>
      <w:pPr>
        <w:spacing w:line="360" w:lineRule="auto"/>
        <w:jc w:val="center"/>
        <w:outlineLvl w:val="0"/>
        <w:rPr>
          <w:rFonts w:hint="eastAsia" w:ascii="宋体" w:hAnsi="宋体" w:eastAsia="宋体" w:cs="宋体"/>
          <w:b/>
          <w:color w:val="auto"/>
          <w:sz w:val="36"/>
          <w:szCs w:val="36"/>
          <w:highlight w:val="none"/>
        </w:rPr>
      </w:pPr>
      <w:bookmarkStart w:id="25" w:name="第四部分"/>
      <w:r>
        <w:rPr>
          <w:rFonts w:hint="eastAsia" w:ascii="宋体" w:hAnsi="宋体" w:eastAsia="宋体" w:cs="宋体"/>
          <w:b/>
          <w:color w:val="auto"/>
          <w:sz w:val="36"/>
          <w:szCs w:val="36"/>
          <w:highlight w:val="none"/>
        </w:rPr>
        <w:t>第三部分   采购需求</w:t>
      </w:r>
    </w:p>
    <w:p>
      <w:pPr>
        <w:pStyle w:val="34"/>
        <w:snapToGrid w:val="0"/>
        <w:spacing w:beforeLines="150" w:after="120" w:line="360" w:lineRule="exact"/>
        <w:ind w:left="420" w:firstLine="243" w:firstLineChars="101"/>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一、服务内容、服务期限及服务要求</w:t>
      </w:r>
    </w:p>
    <w:p>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Cs w:val="24"/>
          <w:highlight w:val="none"/>
        </w:rPr>
        <w:t>1、</w:t>
      </w:r>
      <w:r>
        <w:rPr>
          <w:rFonts w:hint="eastAsia" w:ascii="宋体" w:hAnsi="宋体" w:eastAsia="宋体" w:cs="宋体"/>
          <w:b/>
          <w:bCs/>
          <w:color w:val="auto"/>
          <w:sz w:val="24"/>
          <w:szCs w:val="24"/>
          <w:highlight w:val="none"/>
          <w:lang w:val="en-US" w:eastAsia="zh-CN"/>
        </w:rPr>
        <w:t>本次采购服务内容位于杭州市滨江区浦沿街道浦沿路以西范围内</w:t>
      </w:r>
      <w:r>
        <w:rPr>
          <w:rFonts w:hint="eastAsia" w:ascii="宋体" w:hAnsi="宋体" w:eastAsia="宋体" w:cs="宋体"/>
          <w:color w:val="auto"/>
          <w:sz w:val="24"/>
          <w:szCs w:val="24"/>
          <w:highlight w:val="none"/>
          <w:lang w:val="en-US" w:eastAsia="zh-CN"/>
        </w:rPr>
        <w:t>的道路、河道、沿街商铺等全域范围，主要涉及社区有：</w:t>
      </w:r>
      <w:r>
        <w:rPr>
          <w:rFonts w:hint="eastAsia" w:ascii="宋体" w:hAnsi="宋体" w:eastAsia="宋体" w:cs="宋体"/>
          <w:color w:val="auto"/>
          <w:sz w:val="24"/>
          <w:szCs w:val="24"/>
          <w:highlight w:val="none"/>
          <w:u w:val="single"/>
          <w:lang w:val="en-US" w:eastAsia="zh-CN"/>
        </w:rPr>
        <w:t xml:space="preserve"> 杨家墩社区、滨文社区、明德社区、东冠社区、山二社区、岩大房社区、冠一社区、冠二社区、向南社区 </w:t>
      </w:r>
      <w:r>
        <w:rPr>
          <w:rFonts w:hint="eastAsia" w:ascii="宋体" w:hAnsi="宋体" w:eastAsia="宋体" w:cs="宋体"/>
          <w:color w:val="auto"/>
          <w:sz w:val="24"/>
          <w:szCs w:val="24"/>
          <w:highlight w:val="none"/>
          <w:lang w:val="en-US" w:eastAsia="zh-CN"/>
        </w:rPr>
        <w:t>。以及各社区周边或之间，浦沿街道范围内浦沿路以西沿线主要道路、次要道路及背街小巷的道路。</w:t>
      </w:r>
    </w:p>
    <w:p>
      <w:pPr>
        <w:spacing w:beforeLines="50"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服务内容为零星应急处置项目，解决标项辖区</w:t>
      </w:r>
      <w:r>
        <w:rPr>
          <w:rFonts w:hint="eastAsia" w:ascii="宋体" w:hAnsi="宋体" w:eastAsia="宋体" w:cs="宋体"/>
          <w:b/>
          <w:bCs/>
          <w:color w:val="auto"/>
          <w:sz w:val="24"/>
          <w:highlight w:val="none"/>
          <w:u w:val="none"/>
        </w:rPr>
        <w:t>范围内当前尚未完全覆盖或暂无法明确主体（无主案卷）的城市基础设施的市政、市容、绿化、亮灯、河道等</w:t>
      </w:r>
      <w:r>
        <w:rPr>
          <w:rFonts w:hint="eastAsia" w:ascii="宋体" w:hAnsi="宋体" w:eastAsia="宋体" w:cs="宋体"/>
          <w:b/>
          <w:bCs/>
          <w:color w:val="auto"/>
          <w:sz w:val="24"/>
          <w:highlight w:val="none"/>
        </w:rPr>
        <w:t>修缮、整改、维护管养工作。</w:t>
      </w:r>
    </w:p>
    <w:p>
      <w:pPr>
        <w:spacing w:beforeLines="50"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实施包含但不限于下列所述处置内容：</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（1）辖区范围内无主的城市家具维修和背街小巷改造后维护；</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（2）采购人临时指派的全民监督平台交办的应急设施整改；</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（3）无主交接箱类整治清理；</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（4）无主井盖整治；</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（5）不明架空线缆脱落或线缆垂挂的清理；</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（6）无主护栏清理；</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（7）无主外立面（含台阶）脱落或破损的修复；</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（8）未移交道路、桥、隧等设施的修复；</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（9）高空悬挂物清理：高空的树枝悬挂物、线缆悬挂物的清理；</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（10）宣传广告清理：破损公益广告（含宣传栏内）的清理；</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（11）突发状况：2小时内完成设置应急警示柱及固边警示工作（如道路塌陷、树木倒伏、低洼积水）；</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（12）人行道板和沥青路面的修复；</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（13）违规店招店牌的整治；</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（14）无主垃圾的清运；</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（15）辖区范围内当前尚未完全覆盖或暂无法明确主体（无主案卷）的城市基础设施的绿化缺失、修剪和枯死的补种；</w:t>
      </w:r>
    </w:p>
    <w:p>
      <w:pPr>
        <w:pStyle w:val="25"/>
        <w:adjustRightInd/>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（16）晾晒衣物、乱挂乱放等现象的清理；</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（17）绿化带内居民违规种菜现象治理和垃圾的清理；</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（18）其他绿化方面的数字城管等工作；</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（19）其他无主类及职能不清的案卷代整治。</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如采购人将相应任务交予供应商，供应商必须无条件予以响应；供应商对以上工作实行长效管理，出现问题时，及时予以解决。</w:t>
      </w:r>
    </w:p>
    <w:p>
      <w:pPr>
        <w:spacing w:beforeLines="50"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2、服务期：</w:t>
      </w:r>
      <w:bookmarkStart w:id="26" w:name="_Hlk118055572"/>
      <w:r>
        <w:rPr>
          <w:rFonts w:hint="eastAsia" w:ascii="宋体" w:hAnsi="宋体" w:cs="宋体"/>
          <w:color w:val="auto"/>
          <w:sz w:val="24"/>
          <w:highlight w:val="none"/>
          <w:lang w:val="en-US" w:eastAsia="zh-CN"/>
        </w:rPr>
        <w:t>1年</w:t>
      </w:r>
      <w:r>
        <w:rPr>
          <w:rFonts w:hint="eastAsia" w:ascii="宋体" w:hAnsi="宋体" w:eastAsia="宋体" w:cs="宋体"/>
          <w:color w:val="auto"/>
          <w:sz w:val="24"/>
          <w:highlight w:val="none"/>
        </w:rPr>
        <w:t>。</w:t>
      </w:r>
      <w:bookmarkEnd w:id="26"/>
    </w:p>
    <w:p>
      <w:pPr>
        <w:spacing w:beforeLines="50"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3、服务要求：</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▲（1）供应商必须具有与开展本项目工作相适应的人员、场所和设备设施，其中指派1名项目驻点负责人开展服务管理工作，负责人需具备相关行业工作经验，并承诺每个月到岗率90%以上。</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▲（2）信息接收岗位（熟悉电脑操作）不少于2个，信息接收终端设备不少于2台，工作每天时间7：30——21：00。节假日须有人在岗。</w:t>
      </w:r>
    </w:p>
    <w:p>
      <w:pPr>
        <w:spacing w:beforeLines="50"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上述（1）、（2）项涉及的人员和设备，由供应商提供，相关费用包含在投标报价中，采购人不再额外支付。</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项目实施内容均为零星应急项目，须做好“备货制”，既承担一切应急处置所需的材料及设备及时供应的准备。设备应至少具备应急抢险车辆、高压冲洗车、水泵、切割机、发电机等；供应商须充分考虑施工成本，施工人员、设备、应急响应时间，特殊时期必须24小时随时待命。</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因本项目必须随时待命随时处理的特殊性，非本地供应商未在杭州设立办事点、仓储、应急机、材设备停放的，须在中标公示后20个工作日内在服务区域内设立，否则视为主动放弃中标资格，由排名次之的中标候选人替补，以此类推。</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（5）供应商应严格按照采购人的指示进行施工作业，在接到采购人的书面指令后（包括但不限于书面函件、抄告单、领导交办单、数字城管案件交办单等）方可进行施工。</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（6）应每天对处置项目进行登记造册，要求在事前、事中和事后有图片说明，记录每一天处置设施量、位置、月末统一汇总（电子版），应急处置项目需每天汇报整改情况。</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 对于本项目处置的内容，供应商除完成处置工作外，也应完善并提升自身对相关内容的管理工作，做到事中严格管理，及时解决问题。</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（8）供应商在合同履行期间，做好员工及雇员的管理工作，如发生欠薪讨薪，引发、带头、参与集体上访及作业中发生的事故，全部由供应商自行解决及承担引起的一切法律和经济责任。</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（9）供应商要做好安全文明施工，杜绝因未做好安全文明施工、整治不到位而引发各类投诉或事故。</w:t>
      </w:r>
    </w:p>
    <w:p>
      <w:pPr>
        <w:spacing w:beforeLines="50" w:line="360" w:lineRule="auto"/>
        <w:ind w:left="479" w:leftChars="228" w:firstLine="0" w:firstLineChars="0"/>
        <w:rPr>
          <w:rFonts w:hint="eastAsia" w:ascii="宋体" w:hAnsi="宋体" w:eastAsia="宋体" w:cs="宋体"/>
          <w:b/>
          <w:color w:val="auto"/>
          <w:sz w:val="24"/>
          <w:szCs w:val="24"/>
          <w:highlight w:val="none"/>
        </w:rPr>
      </w:pPr>
      <w:r>
        <w:rPr>
          <w:rFonts w:hint="eastAsia" w:ascii="宋体" w:hAnsi="宋体" w:eastAsia="宋体" w:cs="宋体"/>
          <w:b/>
          <w:bCs/>
          <w:color w:val="auto"/>
          <w:sz w:val="24"/>
          <w:highlight w:val="none"/>
        </w:rPr>
        <w:t>（10）供应商须根据数字城管派单量及采购人交办任务随时增加人工、机械设备。</w:t>
      </w:r>
      <w:r>
        <w:rPr>
          <w:rFonts w:hint="eastAsia" w:ascii="宋体" w:hAnsi="宋体" w:eastAsia="宋体" w:cs="宋体"/>
          <w:b/>
          <w:color w:val="auto"/>
          <w:sz w:val="24"/>
          <w:szCs w:val="24"/>
          <w:highlight w:val="none"/>
        </w:rPr>
        <w:t>二、质量标准、验收标准及办法及售后服务的要求、响应时间</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1、质量标准：参照杭州市数字城管立结案规范文件执行。</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2、验收标准及办法：参照杭州市数字城管立结案规范文件执行。</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3、在接到采购人通知后5分钟内响应，30分钟内到达指定整治地点，供应商须根据采购人要求做好整治工作。</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必须收到采购人发出的整治服务要求后开展整治工作，整治过程中必须提供代整治点整治前后的照片及人员签到情况，并对整治车辆及人员进行定位。做好相关电子文档、书面文档等整治资料存档，以备检查和审计需要。</w:t>
      </w:r>
    </w:p>
    <w:p>
      <w:pPr>
        <w:pStyle w:val="34"/>
        <w:snapToGrid w:val="0"/>
        <w:spacing w:beforeLines="150" w:after="120" w:line="360" w:lineRule="auto"/>
        <w:ind w:left="420" w:firstLine="243" w:firstLineChars="101"/>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三、报价要求、付款方式和条件</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因项目内容繁杂，且为零星应急整治，供应商务必全面考虑本项目涉及的风险，对自身管理及运营成本做全面的、细致的考虑。一旦中标，无论最终工作内容如何，合同价格不得增加、服务响应的时间和质量一律不得降低。请各供应商在报价时予以考虑。报价应包括人员服务费、材料购置费、设备购置使用折旧费、隐蔽工程费、保险、税金等完成本项目涉及的全部费用，并承担一切风险责任。结合本项目特点，市场行情及供应商自身的技术，管理水平，竞争能力，确定最终报价。</w:t>
      </w:r>
    </w:p>
    <w:p>
      <w:pPr>
        <w:spacing w:beforeLines="50"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2、报价要求：</w:t>
      </w:r>
    </w:p>
    <w:p>
      <w:pPr>
        <w:spacing w:beforeLines="50"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①工程类：</w:t>
      </w:r>
      <w:r>
        <w:rPr>
          <w:rFonts w:hint="eastAsia" w:ascii="宋体" w:hAnsi="宋体" w:eastAsia="宋体" w:cs="宋体"/>
          <w:color w:val="auto"/>
          <w:sz w:val="24"/>
          <w:highlight w:val="none"/>
        </w:rPr>
        <w:t>投标报价采用折扣率报价（最高限价：100%，结算造价=工程造价*折扣率）。工程造价的计价方法采用定额项目清单计价，计价规则采用浙江省2018版定额计价体系，即定额套用《浙江省房屋建筑与装饰工程预算定额》（2018版）、《浙江省通用安装工程预算定额》（2018版）、《浙江省园林绿化及仿古建筑预算定额》（2018版）、《浙江省市政工程预算定额》（2018版）等2018版定额及补充文件，工程取费按《浙江省建设工程计价规则》（2018版）及补充文件，其中管理费、利润及组织措施费按费率中值计取（风险费用不计），规费及税金按规定计取。工程材料价格按照当月材料信息价，材料信息价中没有的按照副刊的80%计取，信息价及副刊材料价取定顺序为杭州市信息价-浙江省信息价-杭州市副刊价-浙江省副刊价。材料信息价和副刊中都没有的材料，供应商需提供三种以上同等档次的品牌及各自报价供采购人选择，最终以采购人选定的材料及认定的价格为准。如涉及材料按定额组价，无定额按信息价，无信息价按市场价，最终结算按审计价按实结算。</w:t>
      </w:r>
    </w:p>
    <w:p>
      <w:pPr>
        <w:spacing w:beforeLines="50"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②人工服务：</w:t>
      </w:r>
      <w:r>
        <w:rPr>
          <w:rFonts w:hint="eastAsia" w:ascii="宋体" w:hAnsi="宋体" w:eastAsia="宋体" w:cs="宋体"/>
          <w:color w:val="auto"/>
          <w:sz w:val="24"/>
          <w:highlight w:val="none"/>
        </w:rPr>
        <w:t>最高限价：220元/天。此项包含锹、镐、扫把、铲刀等操作工具。</w:t>
      </w:r>
    </w:p>
    <w:p>
      <w:pPr>
        <w:spacing w:beforeLines="50"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③垃圾清运1：</w:t>
      </w:r>
      <w:r>
        <w:rPr>
          <w:rFonts w:hint="eastAsia" w:ascii="宋体" w:hAnsi="宋体" w:eastAsia="宋体" w:cs="宋体"/>
          <w:color w:val="auto"/>
          <w:sz w:val="24"/>
          <w:highlight w:val="none"/>
        </w:rPr>
        <w:t>最高限价：160元/立方米。按方量计价，包含现场清理、装车、运输、卸载及处置等垃圾清运涉及的所有费用。</w:t>
      </w:r>
    </w:p>
    <w:p>
      <w:pPr>
        <w:spacing w:beforeLines="50"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④垃圾清运2：</w:t>
      </w:r>
      <w:r>
        <w:rPr>
          <w:rFonts w:hint="eastAsia" w:ascii="宋体" w:hAnsi="宋体" w:eastAsia="宋体" w:cs="宋体"/>
          <w:color w:val="auto"/>
          <w:sz w:val="24"/>
          <w:highlight w:val="none"/>
        </w:rPr>
        <w:t>最高限价：540元/车（3吨）。按车辆计价，包含运输、卸载及处置等费用。</w:t>
      </w:r>
    </w:p>
    <w:p>
      <w:pPr>
        <w:spacing w:beforeLines="50"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⑤垃圾清运3：</w:t>
      </w:r>
      <w:r>
        <w:rPr>
          <w:rFonts w:hint="eastAsia" w:ascii="宋体" w:hAnsi="宋体" w:eastAsia="宋体" w:cs="宋体"/>
          <w:color w:val="auto"/>
          <w:sz w:val="24"/>
          <w:highlight w:val="none"/>
        </w:rPr>
        <w:t>最高限价：790元/车（3吨）。按车辆计价，包含现场清理、装车、运输、卸载及处置等垃圾清运涉及的所有费用。</w:t>
      </w:r>
    </w:p>
    <w:p>
      <w:pPr>
        <w:spacing w:beforeLines="50"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注：超出最高限价的投标无效。</w:t>
      </w:r>
    </w:p>
    <w:p>
      <w:pPr>
        <w:pStyle w:val="34"/>
        <w:snapToGrid w:val="0"/>
        <w:spacing w:beforeLines="150" w:after="120" w:line="360" w:lineRule="auto"/>
        <w:ind w:left="420" w:firstLine="243" w:firstLineChars="101"/>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四、针对本项目的考核办法</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供应商应按采购人要求，按时保质保量完成落实整治工作，解决率和及时解决率达到100%。供应商必须无条件服从采购人的相关考核规定。</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1、供应商在合同履行期间，因不文明施工造成各类投诉的，每发生一件扣2000元。</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在合同履行期间及质保期内，存在施工不符合施工规范要求，偷工减量，以次充好，经采购人发现，视为质量不达标。质量不达标的，每发生1起扣2000元。且采购人有权要求供应商落实整改，拒绝整改或整改不到位的，采购人可以自行委托第三方施工单位整改到位，费用由供应商全部承担，从履约保证金中进行扣除，并该案卷的整个项目总费用全部扣除。</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根据上级领导督办、媒体报道、数字城管抄告、市民投诉、专业监管等情况，综合评出红、橙、黄色预警。被评判为黄色预警的：每月第1次扣款1000元，第2次扣款1500元，第3次扣款2000元（每增加1次增加扣款额500，以此类推）；被评判为红色预警的，招标人有权终止合同。</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4、供应商存在工程量虚报情况的，每次扣款1万元。发生三次工程量虚报情况的，招标人有权终止合同。</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5、管理不到位。单个合同期内发生1次管理不到位的，乙方需书面说明原因、分析和整改措施。单个合同期内发生2次以上管理不到位的，采购人立即终止与供应商的合同。</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①供应商在合同履行期间，存在欠薪讨薪，引发、带头、参与集体上访的，视为管理不到位。</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②采购人对供应商全年扣款总数进行考核，考核扣款超过年整治经费5%的，视为1次管理不到位；考核扣款超过年整治经费10%的，视为2次管理不到位。</w:t>
      </w:r>
      <w:bookmarkStart w:id="27" w:name="_Hlk80042225"/>
      <w:bookmarkStart w:id="28" w:name="_Hlk80043032"/>
    </w:p>
    <w:p>
      <w:pPr>
        <w:spacing w:beforeLines="50"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五、商务要求表</w:t>
      </w:r>
    </w:p>
    <w:tbl>
      <w:tblPr>
        <w:tblStyle w:val="63"/>
        <w:tblW w:w="935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36"/>
        <w:gridCol w:w="791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服务地点</w:t>
            </w:r>
          </w:p>
        </w:tc>
        <w:tc>
          <w:tcPr>
            <w:tcW w:w="7915"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杭州滨江区浦沿街道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服务期</w:t>
            </w:r>
          </w:p>
        </w:tc>
        <w:tc>
          <w:tcPr>
            <w:tcW w:w="7915"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ind w:firstLine="480" w:firstLineChars="200"/>
              <w:rPr>
                <w:rFonts w:hint="eastAsia" w:ascii="宋体" w:hAnsi="宋体" w:eastAsia="宋体" w:cs="宋体"/>
                <w:b/>
                <w:color w:val="auto"/>
                <w:sz w:val="24"/>
                <w:highlight w:val="none"/>
              </w:rPr>
            </w:pPr>
            <w:r>
              <w:rPr>
                <w:rFonts w:hint="eastAsia" w:ascii="宋体" w:hAnsi="宋体" w:cs="宋体"/>
                <w:color w:val="auto"/>
                <w:sz w:val="24"/>
                <w:highlight w:val="none"/>
                <w:lang w:val="en-US" w:eastAsia="zh-CN"/>
              </w:rPr>
              <w:t>1年。</w:t>
            </w:r>
            <w:r>
              <w:rPr>
                <w:rFonts w:hint="eastAsia" w:ascii="宋体" w:hAnsi="宋体" w:eastAsia="宋体" w:cs="宋体"/>
                <w:color w:val="auto"/>
                <w:sz w:val="24"/>
                <w:highlight w:val="none"/>
              </w:rPr>
              <w:t>服务期内必须随时待命随时处置，24小时随时响应。在接到采购人通知后5分钟内响应，30分钟内到达指定整治地点，供应商须根据采购人要求做好整治工作。成交供应商没有按合同规定服务，采购人有权终止合同，另行招标采购。中标供应商不得私自将相关工作转包，一经发现有转包行为本</w:t>
            </w:r>
            <w:r>
              <w:rPr>
                <w:rFonts w:hint="eastAsia" w:ascii="宋体" w:hAnsi="宋体" w:cs="宋体"/>
                <w:color w:val="auto"/>
                <w:sz w:val="24"/>
                <w:highlight w:val="none"/>
                <w:lang w:val="en-US" w:eastAsia="zh-CN"/>
              </w:rPr>
              <w:t>合同</w:t>
            </w:r>
            <w:r>
              <w:rPr>
                <w:rFonts w:hint="eastAsia" w:ascii="宋体" w:hAnsi="宋体" w:eastAsia="宋体" w:cs="宋体"/>
                <w:color w:val="auto"/>
                <w:sz w:val="24"/>
                <w:highlight w:val="none"/>
              </w:rPr>
              <w:t>自动终止，并追究中标供应商相关责任。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付款方式</w:t>
            </w:r>
          </w:p>
        </w:tc>
        <w:tc>
          <w:tcPr>
            <w:tcW w:w="7915" w:type="dxa"/>
            <w:tcBorders>
              <w:top w:val="single" w:color="auto" w:sz="4" w:space="0"/>
              <w:left w:val="single" w:color="auto" w:sz="4" w:space="0"/>
              <w:bottom w:val="single" w:color="auto" w:sz="4" w:space="0"/>
              <w:right w:val="single" w:color="auto" w:sz="4" w:space="0"/>
            </w:tcBorders>
            <w:vAlign w:val="center"/>
          </w:tcPr>
          <w:p>
            <w:pPr>
              <w:spacing w:beforeLines="50"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①预付款：合同预付款比例为合同金额的50％，应在合同生效以及具备实施条件后7个工作日内支付</w:t>
            </w:r>
            <w:r>
              <w:rPr>
                <w:rFonts w:hint="eastAsia" w:ascii="宋体" w:hAnsi="宋体" w:eastAsia="宋体" w:cs="宋体"/>
                <w:color w:val="auto"/>
                <w:sz w:val="24"/>
                <w:highlight w:val="none"/>
                <w:lang w:eastAsia="zh-CN"/>
              </w:rPr>
              <w:t>；</w:t>
            </w:r>
          </w:p>
          <w:p>
            <w:pPr>
              <w:pStyle w:val="25"/>
              <w:rPr>
                <w:rFonts w:hint="eastAsia" w:ascii="宋体" w:hAnsi="宋体" w:eastAsia="宋体" w:cs="宋体"/>
                <w:color w:val="auto"/>
                <w:highlight w:val="none"/>
                <w:lang w:eastAsia="zh-CN"/>
              </w:rPr>
            </w:pP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rPr>
              <w:t>向</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支付预付款的同时，</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须提交相同额度的由银行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五大行）</w:t>
            </w:r>
            <w:r>
              <w:rPr>
                <w:rFonts w:hint="eastAsia" w:ascii="宋体" w:hAnsi="宋体" w:eastAsia="宋体" w:cs="宋体"/>
                <w:color w:val="auto"/>
                <w:sz w:val="24"/>
                <w:highlight w:val="none"/>
              </w:rPr>
              <w:t>出具的预付款保函。保函期限为</w:t>
            </w:r>
            <w:r>
              <w:rPr>
                <w:rFonts w:hint="eastAsia" w:ascii="宋体" w:hAnsi="宋体" w:eastAsia="宋体" w:cs="宋体"/>
                <w:color w:val="auto"/>
                <w:sz w:val="24"/>
                <w:highlight w:val="none"/>
                <w:lang w:val="en-US" w:eastAsia="zh-CN"/>
              </w:rPr>
              <w:t>一年</w:t>
            </w:r>
            <w:r>
              <w:rPr>
                <w:rFonts w:hint="eastAsia" w:ascii="宋体" w:hAnsi="宋体" w:eastAsia="宋体" w:cs="宋体"/>
                <w:color w:val="auto"/>
                <w:sz w:val="24"/>
                <w:highlight w:val="none"/>
              </w:rPr>
              <w:t>。</w:t>
            </w:r>
          </w:p>
          <w:p>
            <w:pPr>
              <w:spacing w:beforeLines="50"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②进度款：根据考核及审计结果按月支付，在下个月20日前支付（扣除相应处罚款项）至审定金额得90%，剩余10%在服务期满后一次性支付。</w:t>
            </w:r>
          </w:p>
          <w:p>
            <w:pPr>
              <w:spacing w:beforeLines="50" w:line="360" w:lineRule="auto"/>
              <w:ind w:firstLine="480" w:firstLineChars="200"/>
              <w:jc w:val="left"/>
              <w:rPr>
                <w:rFonts w:hint="eastAsia" w:ascii="宋体" w:hAnsi="宋体" w:eastAsia="宋体" w:cs="宋体"/>
                <w:color w:val="auto"/>
                <w:highlight w:val="none"/>
              </w:rPr>
            </w:pP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 3 \* GB3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③</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工程量以甲方现场负责人</w:t>
            </w:r>
            <w:r>
              <w:rPr>
                <w:rFonts w:hint="eastAsia" w:ascii="宋体" w:hAnsi="宋体" w:eastAsia="宋体" w:cs="宋体"/>
                <w:color w:val="auto"/>
                <w:sz w:val="24"/>
                <w:highlight w:val="none"/>
                <w:lang w:val="en-US" w:eastAsia="zh-CN"/>
              </w:rPr>
              <w:t>及第三方监理</w:t>
            </w:r>
            <w:r>
              <w:rPr>
                <w:rFonts w:hint="eastAsia" w:ascii="宋体" w:hAnsi="宋体" w:eastAsia="宋体" w:cs="宋体"/>
                <w:color w:val="auto"/>
                <w:sz w:val="24"/>
                <w:highlight w:val="none"/>
              </w:rPr>
              <w:t>签字确认为准。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质量标准</w:t>
            </w:r>
          </w:p>
        </w:tc>
        <w:tc>
          <w:tcPr>
            <w:tcW w:w="791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施工质量符合（工程施工质量验收规范）合格标准。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验收条件</w:t>
            </w:r>
          </w:p>
        </w:tc>
        <w:tc>
          <w:tcPr>
            <w:tcW w:w="791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符合滨江区市政道路养护考核条件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其他约定</w:t>
            </w:r>
          </w:p>
        </w:tc>
        <w:tc>
          <w:tcPr>
            <w:tcW w:w="791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项目实施过程中发生的</w:t>
            </w:r>
            <w:r>
              <w:rPr>
                <w:rFonts w:hint="eastAsia" w:ascii="宋体" w:hAnsi="宋体" w:cs="宋体"/>
                <w:color w:val="auto"/>
                <w:sz w:val="24"/>
                <w:highlight w:val="none"/>
                <w:lang w:val="en-US" w:eastAsia="zh-CN"/>
              </w:rPr>
              <w:t>人员</w:t>
            </w:r>
            <w:r>
              <w:rPr>
                <w:rFonts w:hint="eastAsia" w:ascii="宋体" w:hAnsi="宋体" w:eastAsia="宋体" w:cs="宋体"/>
                <w:color w:val="auto"/>
                <w:sz w:val="24"/>
                <w:highlight w:val="none"/>
              </w:rPr>
              <w:t>死亡、人身伤害、财产损失、损害以及任何其它损失、损害和引起的费用和开支，由供应商承担全部责任。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履约保证金</w:t>
            </w:r>
          </w:p>
        </w:tc>
        <w:tc>
          <w:tcPr>
            <w:tcW w:w="7915" w:type="dxa"/>
            <w:tcBorders>
              <w:top w:val="single" w:color="auto" w:sz="4" w:space="0"/>
              <w:left w:val="single" w:color="auto" w:sz="4" w:space="0"/>
              <w:bottom w:val="single" w:color="auto" w:sz="4" w:space="0"/>
              <w:right w:val="single" w:color="auto" w:sz="4" w:space="0"/>
            </w:tcBorders>
            <w:vAlign w:val="center"/>
          </w:tcPr>
          <w:p>
            <w:pPr>
              <w:spacing w:beforeLines="50"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在中标通知书发出后7日内供应商应当向采购人提交中标合同金额1%的履约保证金（银行、保险公司出具履约保函）。服务期满并验收合格后15个工作日内，退还履约保证金（不计息）。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36" w:type="dxa"/>
            <w:tcBorders>
              <w:top w:val="single" w:color="auto" w:sz="4" w:space="0"/>
              <w:left w:val="single" w:color="auto" w:sz="4" w:space="0"/>
              <w:bottom w:val="single" w:color="auto" w:sz="4" w:space="0"/>
              <w:right w:val="single" w:color="auto" w:sz="4" w:space="0"/>
            </w:tcBorders>
            <w:vAlign w:val="center"/>
          </w:tcPr>
          <w:p>
            <w:pPr>
              <w:spacing w:beforeLines="100" w:afterLines="1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预付款保函</w:t>
            </w:r>
          </w:p>
        </w:tc>
        <w:tc>
          <w:tcPr>
            <w:tcW w:w="791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采购人向供应商支付预付款的同时，供应商须提交相同额度的由银行</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五大行</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出具的预付款保函。保函期限为</w:t>
            </w:r>
            <w:r>
              <w:rPr>
                <w:rFonts w:hint="eastAsia" w:ascii="宋体" w:hAnsi="宋体" w:eastAsia="宋体" w:cs="宋体"/>
                <w:color w:val="auto"/>
                <w:sz w:val="24"/>
                <w:highlight w:val="none"/>
                <w:lang w:val="en-US" w:eastAsia="zh-CN"/>
              </w:rPr>
              <w:t>一年</w:t>
            </w:r>
            <w:r>
              <w:rPr>
                <w:rFonts w:hint="eastAsia" w:ascii="宋体" w:hAnsi="宋体" w:eastAsia="宋体" w:cs="宋体"/>
                <w:color w:val="auto"/>
                <w:sz w:val="24"/>
                <w:highlight w:val="none"/>
              </w:rPr>
              <w:t>。</w:t>
            </w:r>
          </w:p>
        </w:tc>
      </w:tr>
      <w:bookmarkEnd w:id="27"/>
      <w:bookmarkEnd w:id="28"/>
    </w:tbl>
    <w:p>
      <w:pPr>
        <w:snapToGrid w:val="0"/>
        <w:spacing w:beforeLines="50" w:line="360" w:lineRule="auto"/>
        <w:ind w:firstLine="480" w:firstLineChars="200"/>
        <w:jc w:val="left"/>
        <w:rPr>
          <w:rFonts w:hint="eastAsia" w:ascii="宋体" w:hAnsi="宋体" w:eastAsia="宋体" w:cs="宋体"/>
          <w:color w:val="auto"/>
          <w:sz w:val="24"/>
          <w:highlight w:val="none"/>
        </w:rPr>
      </w:pPr>
    </w:p>
    <w:p>
      <w:pPr>
        <w:spacing w:beforeLines="50" w:line="360" w:lineRule="auto"/>
        <w:ind w:firstLine="480" w:firstLineChars="200"/>
        <w:rPr>
          <w:rFonts w:hint="eastAsia" w:ascii="宋体" w:hAnsi="宋体" w:eastAsia="宋体" w:cs="宋体"/>
          <w:color w:val="auto"/>
          <w:kern w:val="0"/>
          <w:sz w:val="24"/>
          <w:highlight w:val="none"/>
        </w:rPr>
      </w:pPr>
    </w:p>
    <w:p>
      <w:pPr>
        <w:snapToGrid w:val="0"/>
        <w:spacing w:beforeLines="50" w:line="360" w:lineRule="auto"/>
        <w:jc w:val="left"/>
        <w:rPr>
          <w:rFonts w:hint="eastAsia" w:ascii="宋体" w:hAnsi="宋体" w:eastAsia="宋体" w:cs="宋体"/>
          <w:color w:val="auto"/>
          <w:sz w:val="24"/>
          <w:highlight w:val="none"/>
        </w:rPr>
        <w:sectPr>
          <w:footerReference r:id="rId12" w:type="default"/>
          <w:pgSz w:w="11907" w:h="16840"/>
          <w:pgMar w:top="777" w:right="1418" w:bottom="471" w:left="1418" w:header="851" w:footer="851" w:gutter="0"/>
          <w:cols w:space="720" w:num="1"/>
          <w:docGrid w:linePitch="462" w:charSpace="0"/>
        </w:sectPr>
      </w:pPr>
    </w:p>
    <w:p>
      <w:pPr>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29" w:name="_Toc184313306"/>
      <w:bookmarkEnd w:id="29"/>
      <w:bookmarkStart w:id="30" w:name="_Toc184308068"/>
      <w:bookmarkEnd w:id="30"/>
      <w:bookmarkStart w:id="31" w:name="_Toc184312113"/>
      <w:bookmarkEnd w:id="31"/>
      <w:bookmarkStart w:id="32" w:name="_Toc184310320"/>
      <w:bookmarkEnd w:id="32"/>
      <w:bookmarkStart w:id="33" w:name="_Toc184313269"/>
      <w:bookmarkEnd w:id="33"/>
      <w:bookmarkStart w:id="34" w:name="_Toc184308073"/>
      <w:bookmarkEnd w:id="34"/>
      <w:bookmarkStart w:id="35" w:name="_Toc184308097"/>
      <w:bookmarkEnd w:id="35"/>
      <w:bookmarkStart w:id="36" w:name="_Toc184308108"/>
      <w:bookmarkEnd w:id="36"/>
      <w:bookmarkStart w:id="37" w:name="_Toc184312104"/>
      <w:bookmarkEnd w:id="37"/>
      <w:bookmarkStart w:id="38" w:name="_Toc184314462"/>
      <w:bookmarkEnd w:id="38"/>
      <w:bookmarkStart w:id="39" w:name="_Toc184313281"/>
      <w:bookmarkEnd w:id="39"/>
      <w:bookmarkStart w:id="40" w:name="_Toc184312087"/>
      <w:bookmarkEnd w:id="40"/>
      <w:bookmarkStart w:id="41" w:name="_Toc184314419"/>
      <w:bookmarkEnd w:id="41"/>
      <w:bookmarkStart w:id="42" w:name="_Toc184310306"/>
      <w:bookmarkEnd w:id="42"/>
      <w:bookmarkStart w:id="43" w:name="_Toc184308080"/>
      <w:bookmarkEnd w:id="43"/>
      <w:bookmarkStart w:id="44" w:name="_Toc184313295"/>
      <w:bookmarkEnd w:id="44"/>
      <w:bookmarkStart w:id="45" w:name="_Toc184308104"/>
      <w:bookmarkEnd w:id="45"/>
      <w:bookmarkStart w:id="46" w:name="_Toc184313304"/>
      <w:bookmarkEnd w:id="46"/>
      <w:bookmarkStart w:id="47" w:name="_Toc184310344"/>
      <w:bookmarkEnd w:id="47"/>
      <w:bookmarkStart w:id="48" w:name="_Toc184313275"/>
      <w:bookmarkEnd w:id="48"/>
      <w:bookmarkStart w:id="49" w:name="_Toc184310273"/>
      <w:bookmarkEnd w:id="49"/>
      <w:bookmarkStart w:id="50" w:name="_Toc184308077"/>
      <w:bookmarkEnd w:id="50"/>
      <w:bookmarkStart w:id="51" w:name="_Toc184310318"/>
      <w:bookmarkEnd w:id="51"/>
      <w:bookmarkStart w:id="52" w:name="_Toc184313301"/>
      <w:bookmarkEnd w:id="52"/>
      <w:bookmarkStart w:id="53" w:name="_Toc184312112"/>
      <w:bookmarkEnd w:id="53"/>
      <w:bookmarkStart w:id="54" w:name="_Toc184310301"/>
      <w:bookmarkEnd w:id="54"/>
      <w:bookmarkStart w:id="55" w:name="_Toc184310296"/>
      <w:bookmarkEnd w:id="55"/>
      <w:bookmarkStart w:id="56" w:name="_Toc184314439"/>
      <w:bookmarkEnd w:id="56"/>
      <w:bookmarkStart w:id="57" w:name="_Toc184310288"/>
      <w:bookmarkEnd w:id="57"/>
      <w:bookmarkStart w:id="58" w:name="_Toc184313296"/>
      <w:bookmarkEnd w:id="58"/>
      <w:bookmarkStart w:id="59" w:name="_Toc184312128"/>
      <w:bookmarkEnd w:id="59"/>
      <w:bookmarkStart w:id="60" w:name="_Toc184314454"/>
      <w:bookmarkEnd w:id="60"/>
      <w:bookmarkStart w:id="61" w:name="_Toc184314412"/>
      <w:bookmarkEnd w:id="61"/>
      <w:bookmarkStart w:id="62" w:name="_Toc184310293"/>
      <w:bookmarkEnd w:id="62"/>
      <w:bookmarkStart w:id="63" w:name="_Toc184310333"/>
      <w:bookmarkEnd w:id="63"/>
      <w:bookmarkStart w:id="64" w:name="_Toc184314435"/>
      <w:bookmarkEnd w:id="64"/>
      <w:bookmarkStart w:id="65" w:name="_Toc184313238"/>
      <w:bookmarkEnd w:id="65"/>
      <w:bookmarkStart w:id="66" w:name="_Toc184310286"/>
      <w:bookmarkEnd w:id="66"/>
      <w:bookmarkStart w:id="67" w:name="_Toc184314469"/>
      <w:bookmarkEnd w:id="67"/>
      <w:bookmarkStart w:id="68" w:name="_Toc184312077"/>
      <w:bookmarkEnd w:id="68"/>
      <w:bookmarkStart w:id="69" w:name="_Toc184312091"/>
      <w:bookmarkEnd w:id="69"/>
      <w:bookmarkStart w:id="70" w:name="_Toc184314470"/>
      <w:bookmarkEnd w:id="70"/>
      <w:bookmarkStart w:id="71" w:name="_Toc184310324"/>
      <w:bookmarkEnd w:id="71"/>
      <w:bookmarkStart w:id="72" w:name="_Toc184308103"/>
      <w:bookmarkEnd w:id="72"/>
      <w:bookmarkStart w:id="73" w:name="_Toc184314426"/>
      <w:bookmarkEnd w:id="73"/>
      <w:bookmarkStart w:id="74" w:name="_Toc184312075"/>
      <w:bookmarkEnd w:id="74"/>
      <w:bookmarkStart w:id="75" w:name="_Toc184314425"/>
      <w:bookmarkEnd w:id="75"/>
      <w:bookmarkStart w:id="76" w:name="_Toc184312114"/>
      <w:bookmarkEnd w:id="76"/>
      <w:bookmarkStart w:id="77" w:name="_Toc184308090"/>
      <w:bookmarkEnd w:id="77"/>
      <w:bookmarkStart w:id="78" w:name="_Toc184308042"/>
      <w:bookmarkEnd w:id="78"/>
      <w:bookmarkStart w:id="79" w:name="_Toc184313242"/>
      <w:bookmarkEnd w:id="79"/>
      <w:bookmarkStart w:id="80" w:name="_Toc184314476"/>
      <w:bookmarkEnd w:id="80"/>
      <w:bookmarkStart w:id="81" w:name="_Toc184312092"/>
      <w:bookmarkEnd w:id="81"/>
      <w:bookmarkStart w:id="82" w:name="_Toc184314432"/>
      <w:bookmarkEnd w:id="82"/>
      <w:bookmarkStart w:id="83" w:name="_Toc184310285"/>
      <w:bookmarkEnd w:id="83"/>
      <w:bookmarkStart w:id="84" w:name="_Toc184308054"/>
      <w:bookmarkEnd w:id="84"/>
      <w:bookmarkStart w:id="85" w:name="_Toc184314437"/>
      <w:bookmarkEnd w:id="85"/>
      <w:bookmarkStart w:id="86" w:name="_Toc184310325"/>
      <w:bookmarkEnd w:id="86"/>
      <w:bookmarkStart w:id="87" w:name="_Toc184312069"/>
      <w:bookmarkEnd w:id="87"/>
      <w:bookmarkStart w:id="88" w:name="_Toc184308063"/>
      <w:bookmarkEnd w:id="88"/>
      <w:bookmarkStart w:id="89" w:name="_Toc184308072"/>
      <w:bookmarkEnd w:id="89"/>
      <w:bookmarkStart w:id="90" w:name="_Toc184310279"/>
      <w:bookmarkEnd w:id="90"/>
      <w:bookmarkStart w:id="91" w:name="_Toc184312083"/>
      <w:bookmarkEnd w:id="91"/>
      <w:bookmarkStart w:id="92" w:name="_Toc184312102"/>
      <w:bookmarkEnd w:id="92"/>
      <w:bookmarkStart w:id="93" w:name="_Toc184310315"/>
      <w:bookmarkEnd w:id="93"/>
      <w:bookmarkStart w:id="94" w:name="_Toc184313262"/>
      <w:bookmarkEnd w:id="94"/>
      <w:bookmarkStart w:id="95" w:name="_Toc184312125"/>
      <w:bookmarkEnd w:id="95"/>
      <w:bookmarkStart w:id="96" w:name="_Toc184310299"/>
      <w:bookmarkEnd w:id="96"/>
      <w:bookmarkStart w:id="97" w:name="_Toc184310308"/>
      <w:bookmarkEnd w:id="97"/>
      <w:bookmarkStart w:id="98" w:name="_Toc184312119"/>
      <w:bookmarkEnd w:id="98"/>
      <w:bookmarkStart w:id="99" w:name="_Toc184308064"/>
      <w:bookmarkEnd w:id="99"/>
      <w:bookmarkStart w:id="100" w:name="_Toc184312116"/>
      <w:bookmarkEnd w:id="100"/>
      <w:bookmarkStart w:id="101" w:name="_Toc184308081"/>
      <w:bookmarkEnd w:id="101"/>
      <w:bookmarkStart w:id="102" w:name="_Toc184308037"/>
      <w:bookmarkEnd w:id="102"/>
      <w:bookmarkStart w:id="103" w:name="_Toc184310305"/>
      <w:bookmarkEnd w:id="103"/>
      <w:bookmarkStart w:id="104" w:name="_Toc184308070"/>
      <w:bookmarkEnd w:id="104"/>
      <w:bookmarkStart w:id="105" w:name="_Toc184313298"/>
      <w:bookmarkEnd w:id="105"/>
      <w:bookmarkStart w:id="106" w:name="_Toc184308101"/>
      <w:bookmarkEnd w:id="106"/>
      <w:bookmarkStart w:id="107" w:name="_Toc184314452"/>
      <w:bookmarkEnd w:id="107"/>
      <w:bookmarkStart w:id="108" w:name="_Toc184308106"/>
      <w:bookmarkEnd w:id="108"/>
      <w:bookmarkStart w:id="109" w:name="_Toc184312082"/>
      <w:bookmarkEnd w:id="109"/>
      <w:bookmarkStart w:id="110" w:name="_Toc184314421"/>
      <w:bookmarkEnd w:id="110"/>
      <w:bookmarkStart w:id="111" w:name="_Toc184313253"/>
      <w:bookmarkEnd w:id="111"/>
      <w:bookmarkStart w:id="112" w:name="_Toc184310304"/>
      <w:bookmarkEnd w:id="112"/>
      <w:bookmarkStart w:id="113" w:name="_Toc184308102"/>
      <w:bookmarkEnd w:id="113"/>
      <w:bookmarkStart w:id="114" w:name="_Toc184312139"/>
      <w:bookmarkEnd w:id="114"/>
      <w:bookmarkStart w:id="115" w:name="_Toc184313277"/>
      <w:bookmarkEnd w:id="115"/>
      <w:bookmarkStart w:id="116" w:name="_Toc184312123"/>
      <w:bookmarkEnd w:id="116"/>
      <w:bookmarkStart w:id="117" w:name="_Toc184310328"/>
      <w:bookmarkEnd w:id="117"/>
      <w:bookmarkStart w:id="118" w:name="_Toc184310319"/>
      <w:bookmarkEnd w:id="118"/>
      <w:bookmarkStart w:id="119" w:name="_Toc184314458"/>
      <w:bookmarkEnd w:id="119"/>
      <w:bookmarkStart w:id="120" w:name="_Toc184314468"/>
      <w:bookmarkEnd w:id="120"/>
      <w:bookmarkStart w:id="121" w:name="_Toc184313257"/>
      <w:bookmarkEnd w:id="121"/>
      <w:bookmarkStart w:id="122" w:name="_Toc184314450"/>
      <w:bookmarkEnd w:id="122"/>
      <w:bookmarkStart w:id="123" w:name="_Toc184312135"/>
      <w:bookmarkEnd w:id="123"/>
      <w:bookmarkStart w:id="124" w:name="_Toc184313243"/>
      <w:bookmarkEnd w:id="124"/>
      <w:bookmarkStart w:id="125" w:name="_Toc184312071"/>
      <w:bookmarkEnd w:id="125"/>
      <w:bookmarkStart w:id="126" w:name="_Toc184308099"/>
      <w:bookmarkEnd w:id="126"/>
      <w:bookmarkStart w:id="127" w:name="_Toc184310283"/>
      <w:bookmarkEnd w:id="127"/>
      <w:bookmarkStart w:id="128" w:name="_Toc184313256"/>
      <w:bookmarkEnd w:id="128"/>
      <w:bookmarkStart w:id="129" w:name="_Toc184308085"/>
      <w:bookmarkEnd w:id="129"/>
      <w:bookmarkStart w:id="130" w:name="_Toc184308058"/>
      <w:bookmarkEnd w:id="130"/>
      <w:bookmarkStart w:id="131" w:name="_Toc184314465"/>
      <w:bookmarkEnd w:id="131"/>
      <w:bookmarkStart w:id="132" w:name="_Toc184310338"/>
      <w:bookmarkEnd w:id="132"/>
      <w:bookmarkStart w:id="133" w:name="_Toc184310331"/>
      <w:bookmarkEnd w:id="133"/>
      <w:bookmarkStart w:id="134" w:name="_Toc184310339"/>
      <w:bookmarkEnd w:id="134"/>
      <w:bookmarkStart w:id="135" w:name="_Toc184314474"/>
      <w:bookmarkEnd w:id="135"/>
      <w:bookmarkStart w:id="136" w:name="_Toc184310330"/>
      <w:bookmarkEnd w:id="136"/>
      <w:bookmarkStart w:id="137" w:name="_Toc184312090"/>
      <w:bookmarkEnd w:id="137"/>
      <w:bookmarkStart w:id="138" w:name="_Toc184313310"/>
      <w:bookmarkEnd w:id="138"/>
      <w:bookmarkStart w:id="139" w:name="_Toc184314423"/>
      <w:bookmarkEnd w:id="139"/>
      <w:bookmarkStart w:id="140" w:name="_Toc184310337"/>
      <w:bookmarkEnd w:id="140"/>
      <w:bookmarkStart w:id="141" w:name="_Toc184312131"/>
      <w:bookmarkEnd w:id="141"/>
      <w:bookmarkStart w:id="142" w:name="_Toc184308048"/>
      <w:bookmarkEnd w:id="142"/>
      <w:bookmarkStart w:id="143" w:name="_Toc184308060"/>
      <w:bookmarkEnd w:id="143"/>
      <w:bookmarkStart w:id="144" w:name="_Toc184312120"/>
      <w:bookmarkEnd w:id="144"/>
      <w:bookmarkStart w:id="145" w:name="_Toc184314427"/>
      <w:bookmarkEnd w:id="145"/>
      <w:bookmarkStart w:id="146" w:name="_Toc184314479"/>
      <w:bookmarkEnd w:id="146"/>
      <w:bookmarkStart w:id="147" w:name="_Toc184308041"/>
      <w:bookmarkEnd w:id="147"/>
      <w:bookmarkStart w:id="148" w:name="_Toc184308092"/>
      <w:bookmarkEnd w:id="148"/>
      <w:bookmarkStart w:id="149" w:name="_Toc184314441"/>
      <w:bookmarkEnd w:id="149"/>
      <w:bookmarkStart w:id="150" w:name="_Toc184310332"/>
      <w:bookmarkEnd w:id="150"/>
      <w:bookmarkStart w:id="151" w:name="_Toc184314415"/>
      <w:bookmarkEnd w:id="151"/>
      <w:bookmarkStart w:id="152" w:name="_Toc184308100"/>
      <w:bookmarkEnd w:id="152"/>
      <w:bookmarkStart w:id="153" w:name="_Toc184310311"/>
      <w:bookmarkEnd w:id="153"/>
      <w:bookmarkStart w:id="154" w:name="_Toc184310303"/>
      <w:bookmarkEnd w:id="154"/>
      <w:bookmarkStart w:id="155" w:name="_Toc184314461"/>
      <w:bookmarkEnd w:id="155"/>
      <w:bookmarkStart w:id="156" w:name="_Toc184313299"/>
      <w:bookmarkEnd w:id="156"/>
      <w:bookmarkStart w:id="157" w:name="_Toc184313289"/>
      <w:bookmarkEnd w:id="157"/>
      <w:bookmarkStart w:id="158" w:name="_Toc184313278"/>
      <w:bookmarkEnd w:id="158"/>
      <w:bookmarkStart w:id="159" w:name="_Toc184313245"/>
      <w:bookmarkEnd w:id="159"/>
      <w:bookmarkStart w:id="160" w:name="_Toc184310275"/>
      <w:bookmarkEnd w:id="160"/>
      <w:bookmarkStart w:id="161" w:name="_Toc184312074"/>
      <w:bookmarkEnd w:id="161"/>
      <w:bookmarkStart w:id="162" w:name="_Toc184313270"/>
      <w:bookmarkEnd w:id="162"/>
      <w:bookmarkStart w:id="163" w:name="_Toc184314436"/>
      <w:bookmarkEnd w:id="163"/>
      <w:bookmarkStart w:id="164" w:name="_Toc184308087"/>
      <w:bookmarkEnd w:id="164"/>
      <w:bookmarkStart w:id="165" w:name="_Toc184314456"/>
      <w:bookmarkEnd w:id="165"/>
      <w:bookmarkStart w:id="166" w:name="_Toc184313292"/>
      <w:bookmarkEnd w:id="166"/>
      <w:bookmarkStart w:id="167" w:name="_Toc184313297"/>
      <w:bookmarkEnd w:id="167"/>
      <w:bookmarkStart w:id="168" w:name="_Toc184313241"/>
      <w:bookmarkEnd w:id="168"/>
      <w:bookmarkStart w:id="169" w:name="_Toc184313261"/>
      <w:bookmarkEnd w:id="169"/>
      <w:bookmarkStart w:id="170" w:name="_Toc184308065"/>
      <w:bookmarkEnd w:id="170"/>
      <w:bookmarkStart w:id="171" w:name="_Toc184314440"/>
      <w:bookmarkEnd w:id="171"/>
      <w:bookmarkStart w:id="172" w:name="_Toc184308045"/>
      <w:bookmarkEnd w:id="172"/>
      <w:bookmarkStart w:id="173" w:name="_Toc184314457"/>
      <w:bookmarkEnd w:id="173"/>
      <w:bookmarkStart w:id="174" w:name="_Toc184310278"/>
      <w:bookmarkEnd w:id="174"/>
      <w:bookmarkStart w:id="175" w:name="_Toc184308095"/>
      <w:bookmarkEnd w:id="175"/>
      <w:bookmarkStart w:id="176" w:name="_Toc184313282"/>
      <w:bookmarkEnd w:id="176"/>
      <w:bookmarkStart w:id="177" w:name="_Toc184312124"/>
      <w:bookmarkEnd w:id="177"/>
      <w:bookmarkStart w:id="178" w:name="_Toc184314448"/>
      <w:bookmarkEnd w:id="178"/>
      <w:bookmarkStart w:id="179" w:name="_Toc184310310"/>
      <w:bookmarkEnd w:id="179"/>
      <w:bookmarkStart w:id="180" w:name="_Toc184308057"/>
      <w:bookmarkEnd w:id="180"/>
      <w:bookmarkStart w:id="181" w:name="_Toc184313293"/>
      <w:bookmarkEnd w:id="181"/>
      <w:bookmarkStart w:id="182" w:name="_Toc184312105"/>
      <w:bookmarkEnd w:id="182"/>
      <w:bookmarkStart w:id="183" w:name="_Toc184310292"/>
      <w:bookmarkEnd w:id="183"/>
      <w:bookmarkStart w:id="184" w:name="_Toc184310295"/>
      <w:bookmarkEnd w:id="184"/>
      <w:bookmarkStart w:id="185" w:name="_Toc184314471"/>
      <w:bookmarkEnd w:id="185"/>
      <w:bookmarkStart w:id="186" w:name="_Toc184312107"/>
      <w:bookmarkEnd w:id="186"/>
      <w:bookmarkStart w:id="187" w:name="_Toc184308052"/>
      <w:bookmarkEnd w:id="187"/>
      <w:bookmarkStart w:id="188" w:name="_Toc184308062"/>
      <w:bookmarkEnd w:id="188"/>
      <w:bookmarkStart w:id="189" w:name="_Toc184310313"/>
      <w:bookmarkEnd w:id="189"/>
      <w:bookmarkStart w:id="190" w:name="_Toc184312127"/>
      <w:bookmarkEnd w:id="190"/>
      <w:bookmarkStart w:id="191" w:name="_Toc184310342"/>
      <w:bookmarkEnd w:id="191"/>
      <w:bookmarkStart w:id="192" w:name="_Toc184308084"/>
      <w:bookmarkEnd w:id="192"/>
      <w:bookmarkStart w:id="193" w:name="_Toc184312130"/>
      <w:bookmarkEnd w:id="193"/>
      <w:bookmarkStart w:id="194" w:name="_Toc184312108"/>
      <w:bookmarkEnd w:id="194"/>
      <w:bookmarkStart w:id="195" w:name="_Toc184314429"/>
      <w:bookmarkEnd w:id="195"/>
      <w:bookmarkStart w:id="196" w:name="_Toc184314444"/>
      <w:bookmarkEnd w:id="196"/>
      <w:bookmarkStart w:id="197" w:name="_Toc184310281"/>
      <w:bookmarkEnd w:id="197"/>
      <w:bookmarkStart w:id="198" w:name="_Toc184310307"/>
      <w:bookmarkEnd w:id="198"/>
      <w:bookmarkStart w:id="199" w:name="_Toc184310312"/>
      <w:bookmarkEnd w:id="199"/>
      <w:bookmarkStart w:id="200" w:name="_Toc184312073"/>
      <w:bookmarkEnd w:id="200"/>
      <w:bookmarkStart w:id="201" w:name="_Toc184308107"/>
      <w:bookmarkEnd w:id="201"/>
      <w:bookmarkStart w:id="202" w:name="_Toc184313294"/>
      <w:bookmarkEnd w:id="202"/>
      <w:bookmarkStart w:id="203" w:name="_Toc184314467"/>
      <w:bookmarkEnd w:id="203"/>
      <w:bookmarkStart w:id="204" w:name="_Toc184313239"/>
      <w:bookmarkEnd w:id="204"/>
      <w:bookmarkStart w:id="205" w:name="_Toc184313276"/>
      <w:bookmarkEnd w:id="205"/>
      <w:bookmarkStart w:id="206" w:name="_Toc184312132"/>
      <w:bookmarkEnd w:id="206"/>
      <w:bookmarkStart w:id="207" w:name="_Toc184314416"/>
      <w:bookmarkEnd w:id="207"/>
      <w:bookmarkStart w:id="208" w:name="_Toc184314410"/>
      <w:bookmarkEnd w:id="208"/>
      <w:bookmarkStart w:id="209" w:name="_Toc184308098"/>
      <w:bookmarkEnd w:id="209"/>
      <w:bookmarkStart w:id="210" w:name="_Toc184313240"/>
      <w:bookmarkEnd w:id="210"/>
      <w:bookmarkStart w:id="211" w:name="_Toc184312079"/>
      <w:bookmarkEnd w:id="211"/>
      <w:bookmarkStart w:id="212" w:name="_Toc184313249"/>
      <w:bookmarkEnd w:id="212"/>
      <w:bookmarkStart w:id="213" w:name="_Toc184310274"/>
      <w:bookmarkEnd w:id="213"/>
      <w:bookmarkStart w:id="214" w:name="_Toc184310343"/>
      <w:bookmarkEnd w:id="214"/>
      <w:bookmarkStart w:id="215" w:name="_Toc184313302"/>
      <w:bookmarkEnd w:id="215"/>
      <w:bookmarkStart w:id="216" w:name="_Toc184313260"/>
      <w:bookmarkEnd w:id="216"/>
      <w:bookmarkStart w:id="217" w:name="_Toc184312126"/>
      <w:bookmarkEnd w:id="217"/>
      <w:bookmarkStart w:id="218" w:name="_Toc184308053"/>
      <w:bookmarkEnd w:id="218"/>
      <w:bookmarkStart w:id="219" w:name="_Toc184314433"/>
      <w:bookmarkEnd w:id="219"/>
      <w:bookmarkStart w:id="220" w:name="_Toc184308046"/>
      <w:bookmarkEnd w:id="220"/>
      <w:bookmarkStart w:id="221" w:name="_Toc184308074"/>
      <w:bookmarkEnd w:id="221"/>
      <w:bookmarkStart w:id="222" w:name="_Toc184308043"/>
      <w:bookmarkEnd w:id="222"/>
      <w:bookmarkStart w:id="223" w:name="_Toc184308076"/>
      <w:bookmarkEnd w:id="223"/>
      <w:bookmarkStart w:id="224" w:name="_Toc184308089"/>
      <w:bookmarkEnd w:id="224"/>
      <w:bookmarkStart w:id="225" w:name="_Toc184310309"/>
      <w:bookmarkEnd w:id="225"/>
      <w:bookmarkStart w:id="226" w:name="_Toc184313258"/>
      <w:bookmarkEnd w:id="226"/>
      <w:bookmarkStart w:id="227" w:name="_Toc184310329"/>
      <w:bookmarkEnd w:id="227"/>
      <w:bookmarkStart w:id="228" w:name="_Toc184308059"/>
      <w:bookmarkEnd w:id="228"/>
      <w:bookmarkStart w:id="229" w:name="_Toc184310340"/>
      <w:bookmarkEnd w:id="229"/>
      <w:bookmarkStart w:id="230" w:name="_Toc184312085"/>
      <w:bookmarkEnd w:id="230"/>
      <w:bookmarkStart w:id="231" w:name="_Toc184310300"/>
      <w:bookmarkEnd w:id="231"/>
      <w:bookmarkStart w:id="232" w:name="_Toc184310336"/>
      <w:bookmarkEnd w:id="232"/>
      <w:bookmarkStart w:id="233" w:name="_Toc184310323"/>
      <w:bookmarkEnd w:id="233"/>
      <w:bookmarkStart w:id="234" w:name="_Toc184314453"/>
      <w:bookmarkEnd w:id="234"/>
      <w:bookmarkStart w:id="235" w:name="_Toc184312118"/>
      <w:bookmarkEnd w:id="235"/>
      <w:bookmarkStart w:id="236" w:name="_Toc184313273"/>
      <w:bookmarkEnd w:id="236"/>
      <w:bookmarkStart w:id="237" w:name="_Toc184313272"/>
      <w:bookmarkEnd w:id="237"/>
      <w:bookmarkStart w:id="238" w:name="_Toc184312115"/>
      <w:bookmarkEnd w:id="238"/>
      <w:bookmarkStart w:id="239" w:name="_Toc184310314"/>
      <w:bookmarkEnd w:id="239"/>
      <w:bookmarkStart w:id="240" w:name="_Toc184310322"/>
      <w:bookmarkEnd w:id="240"/>
      <w:bookmarkStart w:id="241" w:name="_Toc184313308"/>
      <w:bookmarkEnd w:id="241"/>
      <w:bookmarkStart w:id="242" w:name="_Toc184308056"/>
      <w:bookmarkEnd w:id="242"/>
      <w:bookmarkStart w:id="243" w:name="_Toc184308061"/>
      <w:bookmarkEnd w:id="243"/>
      <w:bookmarkStart w:id="244" w:name="_Toc184312106"/>
      <w:bookmarkEnd w:id="244"/>
      <w:bookmarkStart w:id="245" w:name="_Toc184314459"/>
      <w:bookmarkEnd w:id="245"/>
      <w:bookmarkStart w:id="246" w:name="_Toc184314455"/>
      <w:bookmarkEnd w:id="246"/>
      <w:bookmarkStart w:id="247" w:name="_Toc184314443"/>
      <w:bookmarkEnd w:id="247"/>
      <w:bookmarkStart w:id="248" w:name="_Toc184308069"/>
      <w:bookmarkEnd w:id="248"/>
      <w:bookmarkStart w:id="249" w:name="_Toc184314482"/>
      <w:bookmarkEnd w:id="249"/>
      <w:bookmarkStart w:id="250" w:name="_Toc184308038"/>
      <w:bookmarkEnd w:id="250"/>
      <w:bookmarkStart w:id="251" w:name="_Toc184310291"/>
      <w:bookmarkEnd w:id="251"/>
      <w:bookmarkStart w:id="252" w:name="_Toc184308040"/>
      <w:bookmarkEnd w:id="252"/>
      <w:bookmarkStart w:id="253" w:name="_Toc184310327"/>
      <w:bookmarkEnd w:id="253"/>
      <w:bookmarkStart w:id="254" w:name="_Toc184312099"/>
      <w:bookmarkEnd w:id="254"/>
      <w:bookmarkStart w:id="255" w:name="_Toc184310317"/>
      <w:bookmarkEnd w:id="255"/>
      <w:bookmarkStart w:id="256" w:name="_Toc184312072"/>
      <w:bookmarkEnd w:id="256"/>
      <w:bookmarkStart w:id="257" w:name="_Toc184308049"/>
      <w:bookmarkEnd w:id="257"/>
      <w:bookmarkStart w:id="258" w:name="_Toc184312109"/>
      <w:bookmarkEnd w:id="258"/>
      <w:bookmarkStart w:id="259" w:name="_Toc184312137"/>
      <w:bookmarkEnd w:id="259"/>
      <w:bookmarkStart w:id="260" w:name="_Toc184310280"/>
      <w:bookmarkEnd w:id="260"/>
      <w:bookmarkStart w:id="261" w:name="_Toc184312098"/>
      <w:bookmarkEnd w:id="261"/>
      <w:bookmarkStart w:id="262" w:name="_Toc184312103"/>
      <w:bookmarkEnd w:id="262"/>
      <w:bookmarkStart w:id="263" w:name="_Toc184312078"/>
      <w:bookmarkEnd w:id="263"/>
      <w:bookmarkStart w:id="264" w:name="_Toc184313307"/>
      <w:bookmarkEnd w:id="264"/>
      <w:bookmarkStart w:id="265" w:name="_Toc184313290"/>
      <w:bookmarkEnd w:id="265"/>
      <w:bookmarkStart w:id="266" w:name="_Toc184312093"/>
      <w:bookmarkEnd w:id="266"/>
      <w:bookmarkStart w:id="267" w:name="_Toc184314460"/>
      <w:bookmarkEnd w:id="267"/>
      <w:bookmarkStart w:id="268" w:name="_Toc184310316"/>
      <w:bookmarkEnd w:id="268"/>
      <w:bookmarkStart w:id="269" w:name="_Toc184313259"/>
      <w:bookmarkEnd w:id="269"/>
      <w:bookmarkStart w:id="270" w:name="_Toc184308082"/>
      <w:bookmarkEnd w:id="270"/>
      <w:bookmarkStart w:id="271" w:name="_Toc184313300"/>
      <w:bookmarkEnd w:id="271"/>
      <w:bookmarkStart w:id="272" w:name="_Toc184314414"/>
      <w:bookmarkEnd w:id="272"/>
      <w:bookmarkStart w:id="273" w:name="_Toc184308036"/>
      <w:bookmarkEnd w:id="273"/>
      <w:bookmarkStart w:id="274" w:name="_Toc184313280"/>
      <w:bookmarkEnd w:id="274"/>
      <w:bookmarkStart w:id="275" w:name="_Toc184308096"/>
      <w:bookmarkEnd w:id="275"/>
      <w:bookmarkStart w:id="276" w:name="_Toc184314422"/>
      <w:bookmarkEnd w:id="276"/>
      <w:bookmarkStart w:id="277" w:name="_Toc184314478"/>
      <w:bookmarkEnd w:id="277"/>
      <w:bookmarkStart w:id="278" w:name="_Toc184313271"/>
      <w:bookmarkEnd w:id="278"/>
      <w:bookmarkStart w:id="279" w:name="_Toc184313288"/>
      <w:bookmarkEnd w:id="279"/>
      <w:bookmarkStart w:id="280" w:name="_Toc184314480"/>
      <w:bookmarkEnd w:id="280"/>
      <w:bookmarkStart w:id="281" w:name="_Toc184312110"/>
      <w:bookmarkEnd w:id="281"/>
      <w:bookmarkStart w:id="282" w:name="_Toc184312101"/>
      <w:bookmarkEnd w:id="282"/>
      <w:bookmarkStart w:id="283" w:name="_Toc184313274"/>
      <w:bookmarkEnd w:id="283"/>
      <w:bookmarkStart w:id="284" w:name="_Toc184308094"/>
      <w:bookmarkEnd w:id="284"/>
      <w:bookmarkStart w:id="285" w:name="_Toc184310289"/>
      <w:bookmarkEnd w:id="285"/>
      <w:bookmarkStart w:id="286" w:name="_Toc184313252"/>
      <w:bookmarkEnd w:id="286"/>
      <w:bookmarkStart w:id="287" w:name="_Toc184314430"/>
      <w:bookmarkEnd w:id="287"/>
      <w:bookmarkStart w:id="288" w:name="_Toc184308066"/>
      <w:bookmarkEnd w:id="288"/>
      <w:bookmarkStart w:id="289" w:name="_Toc184313246"/>
      <w:bookmarkEnd w:id="289"/>
      <w:bookmarkStart w:id="290" w:name="_Toc184312068"/>
      <w:bookmarkEnd w:id="290"/>
      <w:bookmarkStart w:id="291" w:name="_Toc184312134"/>
      <w:bookmarkEnd w:id="291"/>
      <w:bookmarkStart w:id="292" w:name="_Toc184310290"/>
      <w:bookmarkEnd w:id="292"/>
      <w:bookmarkStart w:id="293" w:name="_Toc184312095"/>
      <w:bookmarkEnd w:id="293"/>
      <w:bookmarkStart w:id="294" w:name="_Toc184313283"/>
      <w:bookmarkEnd w:id="294"/>
      <w:bookmarkStart w:id="295" w:name="_Toc184312117"/>
      <w:bookmarkEnd w:id="295"/>
      <w:bookmarkStart w:id="296" w:name="_Toc184313268"/>
      <w:bookmarkEnd w:id="296"/>
      <w:bookmarkStart w:id="297" w:name="_Toc184308047"/>
      <w:bookmarkEnd w:id="297"/>
      <w:bookmarkStart w:id="298" w:name="_Toc184314464"/>
      <w:bookmarkEnd w:id="298"/>
      <w:bookmarkStart w:id="299" w:name="_Toc184310341"/>
      <w:bookmarkEnd w:id="299"/>
      <w:bookmarkStart w:id="300" w:name="_Toc184313309"/>
      <w:bookmarkEnd w:id="300"/>
      <w:bookmarkStart w:id="301" w:name="_Toc184308050"/>
      <w:bookmarkEnd w:id="301"/>
      <w:bookmarkStart w:id="302" w:name="_Toc184313244"/>
      <w:bookmarkEnd w:id="302"/>
      <w:bookmarkStart w:id="303" w:name="_Toc184314418"/>
      <w:bookmarkEnd w:id="303"/>
      <w:bookmarkStart w:id="304" w:name="_Toc184313251"/>
      <w:bookmarkEnd w:id="304"/>
      <w:bookmarkStart w:id="305" w:name="_Toc184312129"/>
      <w:bookmarkEnd w:id="305"/>
      <w:bookmarkStart w:id="306" w:name="_Toc184314446"/>
      <w:bookmarkEnd w:id="306"/>
      <w:bookmarkStart w:id="307" w:name="_Toc184310334"/>
      <w:bookmarkEnd w:id="307"/>
      <w:bookmarkStart w:id="308" w:name="_Toc184310294"/>
      <w:bookmarkEnd w:id="308"/>
      <w:bookmarkStart w:id="309" w:name="_Toc184312088"/>
      <w:bookmarkEnd w:id="309"/>
      <w:bookmarkStart w:id="310" w:name="_Toc184314481"/>
      <w:bookmarkEnd w:id="310"/>
      <w:bookmarkStart w:id="311" w:name="_Toc184314431"/>
      <w:bookmarkEnd w:id="311"/>
      <w:bookmarkStart w:id="312" w:name="_Toc184313286"/>
      <w:bookmarkEnd w:id="312"/>
      <w:bookmarkStart w:id="313" w:name="_Toc184310321"/>
      <w:bookmarkEnd w:id="313"/>
      <w:bookmarkStart w:id="314" w:name="_Toc184312080"/>
      <w:bookmarkEnd w:id="314"/>
      <w:bookmarkStart w:id="315" w:name="_Toc184310326"/>
      <w:bookmarkEnd w:id="315"/>
      <w:bookmarkStart w:id="316" w:name="_Toc184310276"/>
      <w:bookmarkEnd w:id="316"/>
      <w:bookmarkStart w:id="317" w:name="_Toc184308093"/>
      <w:bookmarkEnd w:id="317"/>
      <w:bookmarkStart w:id="318" w:name="_Toc184310297"/>
      <w:bookmarkEnd w:id="318"/>
      <w:bookmarkStart w:id="319" w:name="_Toc184308075"/>
      <w:bookmarkEnd w:id="319"/>
      <w:bookmarkStart w:id="320" w:name="_Toc184314417"/>
      <w:bookmarkEnd w:id="320"/>
      <w:bookmarkStart w:id="321" w:name="_Toc184312097"/>
      <w:bookmarkEnd w:id="321"/>
      <w:bookmarkStart w:id="322" w:name="_Toc184312122"/>
      <w:bookmarkEnd w:id="322"/>
      <w:bookmarkStart w:id="323" w:name="_Toc184312111"/>
      <w:bookmarkEnd w:id="323"/>
      <w:bookmarkStart w:id="324" w:name="_Toc184312100"/>
      <w:bookmarkEnd w:id="324"/>
      <w:bookmarkStart w:id="325" w:name="_Toc184312086"/>
      <w:bookmarkEnd w:id="325"/>
      <w:bookmarkStart w:id="326" w:name="_Toc184313291"/>
      <w:bookmarkEnd w:id="326"/>
      <w:bookmarkStart w:id="327" w:name="_Toc184310284"/>
      <w:bookmarkEnd w:id="327"/>
      <w:bookmarkStart w:id="328" w:name="_Toc184310335"/>
      <w:bookmarkEnd w:id="328"/>
      <w:bookmarkStart w:id="329" w:name="_Toc184308086"/>
      <w:bookmarkEnd w:id="329"/>
      <w:bookmarkStart w:id="330" w:name="_Toc184310302"/>
      <w:bookmarkEnd w:id="330"/>
      <w:bookmarkStart w:id="331" w:name="_Toc184308071"/>
      <w:bookmarkEnd w:id="331"/>
      <w:bookmarkStart w:id="332" w:name="_Toc184312081"/>
      <w:bookmarkEnd w:id="332"/>
      <w:bookmarkStart w:id="333" w:name="_Toc184314438"/>
      <w:bookmarkEnd w:id="333"/>
      <w:bookmarkStart w:id="334" w:name="_Toc184313305"/>
      <w:bookmarkEnd w:id="334"/>
      <w:bookmarkStart w:id="335" w:name="_Toc184314447"/>
      <w:bookmarkEnd w:id="335"/>
      <w:bookmarkStart w:id="336" w:name="_Toc184308067"/>
      <w:bookmarkEnd w:id="336"/>
      <w:bookmarkStart w:id="337" w:name="_Toc184313250"/>
      <w:bookmarkEnd w:id="337"/>
      <w:bookmarkStart w:id="338" w:name="_Toc184312094"/>
      <w:bookmarkEnd w:id="338"/>
      <w:bookmarkStart w:id="339" w:name="_Toc184313267"/>
      <w:bookmarkEnd w:id="339"/>
      <w:bookmarkStart w:id="340" w:name="_Toc184314466"/>
      <w:bookmarkEnd w:id="340"/>
      <w:bookmarkStart w:id="341" w:name="_Toc184313265"/>
      <w:bookmarkEnd w:id="341"/>
      <w:bookmarkStart w:id="342" w:name="_Toc184314477"/>
      <w:bookmarkEnd w:id="342"/>
      <w:bookmarkStart w:id="343" w:name="_Toc184312084"/>
      <w:bookmarkEnd w:id="343"/>
      <w:bookmarkStart w:id="344" w:name="_Toc184308044"/>
      <w:bookmarkEnd w:id="344"/>
      <w:bookmarkStart w:id="345" w:name="_Toc184312070"/>
      <w:bookmarkEnd w:id="345"/>
      <w:bookmarkStart w:id="346" w:name="_Toc184314420"/>
      <w:bookmarkEnd w:id="346"/>
      <w:bookmarkStart w:id="347" w:name="_Toc184312138"/>
      <w:bookmarkEnd w:id="347"/>
      <w:bookmarkStart w:id="348" w:name="_Toc184308055"/>
      <w:bookmarkEnd w:id="348"/>
      <w:bookmarkStart w:id="349" w:name="_Toc184314463"/>
      <w:bookmarkEnd w:id="349"/>
      <w:bookmarkStart w:id="350" w:name="_Toc184313254"/>
      <w:bookmarkEnd w:id="350"/>
      <w:bookmarkStart w:id="351" w:name="_Toc184314428"/>
      <w:bookmarkEnd w:id="351"/>
      <w:bookmarkStart w:id="352" w:name="_Toc184312076"/>
      <w:bookmarkEnd w:id="352"/>
      <w:bookmarkStart w:id="353" w:name="_Toc184314411"/>
      <w:bookmarkEnd w:id="353"/>
      <w:bookmarkStart w:id="354" w:name="_Toc184312133"/>
      <w:bookmarkEnd w:id="354"/>
      <w:bookmarkStart w:id="355" w:name="_Toc184313279"/>
      <w:bookmarkEnd w:id="355"/>
      <w:bookmarkStart w:id="356" w:name="_Toc184310298"/>
      <w:bookmarkEnd w:id="356"/>
      <w:bookmarkStart w:id="357" w:name="_Toc184313264"/>
      <w:bookmarkEnd w:id="357"/>
      <w:bookmarkStart w:id="358" w:name="_Toc184313247"/>
      <w:bookmarkEnd w:id="358"/>
      <w:bookmarkStart w:id="359" w:name="_Toc184308088"/>
      <w:bookmarkEnd w:id="359"/>
      <w:bookmarkStart w:id="360" w:name="_Toc184310287"/>
      <w:bookmarkEnd w:id="360"/>
      <w:bookmarkStart w:id="361" w:name="_Toc184308105"/>
      <w:bookmarkEnd w:id="361"/>
      <w:bookmarkStart w:id="362" w:name="_Toc184313266"/>
      <w:bookmarkEnd w:id="362"/>
      <w:bookmarkStart w:id="363" w:name="_Toc184314413"/>
      <w:bookmarkEnd w:id="363"/>
      <w:bookmarkStart w:id="364" w:name="_Toc184313284"/>
      <w:bookmarkEnd w:id="364"/>
      <w:bookmarkStart w:id="365" w:name="_Toc184313303"/>
      <w:bookmarkEnd w:id="365"/>
      <w:bookmarkStart w:id="366" w:name="_Toc184308051"/>
      <w:bookmarkEnd w:id="366"/>
      <w:bookmarkStart w:id="367" w:name="_Toc184308083"/>
      <w:bookmarkEnd w:id="367"/>
      <w:bookmarkStart w:id="368" w:name="_Toc184314451"/>
      <w:bookmarkEnd w:id="368"/>
      <w:bookmarkStart w:id="369" w:name="_Toc184314449"/>
      <w:bookmarkEnd w:id="369"/>
      <w:bookmarkStart w:id="370" w:name="_Toc184314445"/>
      <w:bookmarkEnd w:id="370"/>
      <w:bookmarkStart w:id="371" w:name="_Toc184313255"/>
      <w:bookmarkEnd w:id="371"/>
      <w:bookmarkStart w:id="372" w:name="_Toc184312067"/>
      <w:bookmarkEnd w:id="372"/>
      <w:bookmarkStart w:id="373" w:name="_Toc184314472"/>
      <w:bookmarkEnd w:id="373"/>
      <w:bookmarkStart w:id="374" w:name="_Toc184308091"/>
      <w:bookmarkEnd w:id="374"/>
      <w:bookmarkStart w:id="375" w:name="_Toc184308078"/>
      <w:bookmarkEnd w:id="375"/>
      <w:bookmarkStart w:id="376" w:name="_Toc184310282"/>
      <w:bookmarkEnd w:id="376"/>
      <w:bookmarkStart w:id="377" w:name="_Toc184308039"/>
      <w:bookmarkEnd w:id="377"/>
      <w:bookmarkStart w:id="378" w:name="_Toc184314473"/>
      <w:bookmarkEnd w:id="378"/>
      <w:bookmarkStart w:id="379" w:name="_Toc184314442"/>
      <w:bookmarkEnd w:id="379"/>
      <w:bookmarkStart w:id="380" w:name="_Toc184314424"/>
      <w:bookmarkEnd w:id="380"/>
      <w:bookmarkStart w:id="381" w:name="_Toc184313285"/>
      <w:bookmarkEnd w:id="381"/>
      <w:bookmarkStart w:id="382" w:name="_Toc184310272"/>
      <w:bookmarkEnd w:id="382"/>
      <w:bookmarkStart w:id="383" w:name="_Toc184308079"/>
      <w:bookmarkEnd w:id="383"/>
      <w:bookmarkStart w:id="384" w:name="_Toc184313287"/>
      <w:bookmarkEnd w:id="384"/>
      <w:bookmarkStart w:id="385" w:name="_Toc184312121"/>
      <w:bookmarkEnd w:id="385"/>
      <w:bookmarkStart w:id="386" w:name="_Toc184312096"/>
      <w:bookmarkEnd w:id="386"/>
      <w:bookmarkStart w:id="387" w:name="_Toc184314475"/>
      <w:bookmarkEnd w:id="387"/>
      <w:bookmarkStart w:id="388" w:name="_Toc184314434"/>
      <w:bookmarkEnd w:id="388"/>
      <w:bookmarkStart w:id="389" w:name="_Toc184312089"/>
      <w:bookmarkEnd w:id="389"/>
      <w:bookmarkStart w:id="390" w:name="_Toc184313263"/>
      <w:bookmarkEnd w:id="390"/>
      <w:bookmarkStart w:id="391" w:name="_Toc184313248"/>
      <w:bookmarkEnd w:id="391"/>
      <w:bookmarkStart w:id="392" w:name="_Toc184312136"/>
      <w:bookmarkEnd w:id="392"/>
      <w:bookmarkStart w:id="393" w:name="_Toc184310277"/>
      <w:bookmarkEnd w:id="393"/>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4479"/>
        <w:gridCol w:w="780"/>
        <w:gridCol w:w="1005"/>
        <w:gridCol w:w="1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trPr>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447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w:t>
            </w:r>
          </w:p>
        </w:tc>
        <w:tc>
          <w:tcPr>
            <w:tcW w:w="780"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1005" w:type="dxa"/>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主观分/客观分属性</w:t>
            </w:r>
          </w:p>
        </w:tc>
        <w:tc>
          <w:tcPr>
            <w:tcW w:w="1342" w:type="dxa"/>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479" w:type="dxa"/>
          </w:tcPr>
          <w:p>
            <w:pPr>
              <w:spacing w:beforeLines="20" w:afterLines="20" w:line="360" w:lineRule="exact"/>
              <w:rPr>
                <w:rFonts w:hint="eastAsia" w:ascii="宋体" w:hAnsi="宋体" w:eastAsia="宋体" w:cs="宋体"/>
                <w:color w:val="auto"/>
                <w:highlight w:val="none"/>
              </w:rPr>
            </w:pPr>
            <w:r>
              <w:rPr>
                <w:rFonts w:hint="eastAsia" w:ascii="宋体" w:hAnsi="宋体" w:eastAsia="宋体" w:cs="宋体"/>
                <w:color w:val="auto"/>
                <w:highlight w:val="none"/>
              </w:rPr>
              <w:t>①供应商营业执照经营范围含园林绿化施工且具有市政公用工程施工总承包资质和有效期内的安全生产许可证的得3分；</w:t>
            </w:r>
          </w:p>
          <w:p>
            <w:pPr>
              <w:spacing w:beforeLines="20" w:afterLines="20" w:line="360" w:lineRule="exact"/>
              <w:rPr>
                <w:rFonts w:hint="eastAsia" w:ascii="宋体" w:hAnsi="宋体" w:eastAsia="宋体" w:cs="宋体"/>
                <w:color w:val="auto"/>
                <w:highlight w:val="none"/>
              </w:rPr>
            </w:pPr>
            <w:r>
              <w:rPr>
                <w:rFonts w:hint="eastAsia" w:ascii="宋体" w:hAnsi="宋体" w:eastAsia="宋体" w:cs="宋体"/>
                <w:color w:val="auto"/>
                <w:highlight w:val="none"/>
              </w:rPr>
              <w:t>②供应商拟派驻点负责人具有市政公用工程二级及以上建造师证书的得3分；</w:t>
            </w:r>
          </w:p>
          <w:p>
            <w:pPr>
              <w:spacing w:beforeLines="20" w:afterLines="20" w:line="360" w:lineRule="exact"/>
              <w:rPr>
                <w:rFonts w:hint="eastAsia" w:ascii="宋体" w:hAnsi="宋体" w:eastAsia="宋体" w:cs="宋体"/>
                <w:color w:val="auto"/>
                <w:highlight w:val="none"/>
              </w:rPr>
            </w:pPr>
            <w:r>
              <w:rPr>
                <w:rFonts w:hint="eastAsia" w:ascii="宋体" w:hAnsi="宋体" w:eastAsia="宋体" w:cs="宋体"/>
                <w:color w:val="auto"/>
                <w:highlight w:val="none"/>
              </w:rPr>
              <w:t>③供应商具有有效期内的质量管理体系认证、职业健康安全管理体系认证、环境管理体系认证的，每个得1分，本项最高3分。</w:t>
            </w:r>
          </w:p>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highlight w:val="none"/>
              </w:rPr>
              <w:t>（须提供有效期内的证书扫描件并加盖公章）</w:t>
            </w:r>
          </w:p>
        </w:tc>
        <w:tc>
          <w:tcPr>
            <w:tcW w:w="780"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9分</w:t>
            </w:r>
          </w:p>
        </w:tc>
        <w:tc>
          <w:tcPr>
            <w:tcW w:w="1005"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479" w:type="dxa"/>
          </w:tcPr>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Cs w:val="21"/>
                <w:highlight w:val="none"/>
              </w:rPr>
              <w:t>供应商业绩：投标人自2018年1月1日以来，每具有一个类似业绩（类似业绩指：数字城管处理业绩）每提供一个得0.5分，本条最高得1分。（业绩证明材料以合同为准）。</w:t>
            </w:r>
          </w:p>
        </w:tc>
        <w:tc>
          <w:tcPr>
            <w:tcW w:w="780"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1分</w:t>
            </w:r>
          </w:p>
        </w:tc>
        <w:tc>
          <w:tcPr>
            <w:tcW w:w="1005"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客观分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479" w:type="dxa"/>
            <w:vAlign w:val="center"/>
          </w:tcPr>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对本项目各区块的复杂性及特性情况了解程度提出针对性的服务方案：针对本项目的服务方案详细程度、符合性及针对性打分。要点内容完整、完全符合项目情况的得5分；内容与本项目联系紧密，基本符合项目情况的得3～5（不含）分；部分符合项目情况的得0（不含）～3（不含）分；不符合或未提供的得0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1) 针对本项目的总体实施方案（5分）；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2)对本项目各区块的复杂性、难点及特性情况了解程度（5分）；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3)针对本项目提出难点及相关解决方案（5分）；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4)针对本项目涉及的保护性进场类案件的服务方案（5分）；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5)针对本项目涉及的突击整治类案件的服务方案（5分）；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6)针对本项目涉及的缺失绿化补种及养护管理服务方案（5分）</w:t>
            </w:r>
          </w:p>
          <w:p>
            <w:pPr>
              <w:spacing w:beforeLines="20" w:afterLines="20"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7）针对本项目涉及的临时大量增派人员机械设备类案件的服务方案（5分）；</w:t>
            </w:r>
          </w:p>
          <w:p>
            <w:pPr>
              <w:spacing w:beforeLines="20" w:afterLines="20" w:line="360" w:lineRule="exact"/>
              <w:jc w:val="left"/>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highlight w:val="none"/>
              </w:rPr>
              <w:t>8）针对本项目相关服务的管理手段及管理计划(5分)。</w:t>
            </w:r>
          </w:p>
        </w:tc>
        <w:tc>
          <w:tcPr>
            <w:tcW w:w="780"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40分</w:t>
            </w:r>
          </w:p>
        </w:tc>
        <w:tc>
          <w:tcPr>
            <w:tcW w:w="1005"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4479" w:type="dxa"/>
            <w:vAlign w:val="center"/>
          </w:tcPr>
          <w:p>
            <w:pPr>
              <w:spacing w:line="360" w:lineRule="exact"/>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拟设立的各项管理规章制度及档案资料的建立管理：根据各项规章制度、内部岗位责任制度、管理运作制度、考核制度及标准、档案资料管理制度等进行打分。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4479" w:type="dxa"/>
            <w:vAlign w:val="center"/>
          </w:tcPr>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对本项目城市应急（气象灾害、防汛抗台、抗雪防冻、渣土处置、防雪抗冻、重大活动或假日、重大迎检）突发事件制定处理预案：针对方案的可操作性和针对性进行打分。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4479" w:type="dxa"/>
            <w:vAlign w:val="center"/>
          </w:tcPr>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安全生产、文明施工措施：安全生产、文明施工措施的可操作性和针对性。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4479" w:type="dxa"/>
            <w:vAlign w:val="center"/>
          </w:tcPr>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交通通行安排及应急措施：针对本项目实施过程中造成的交通通行影响的疏通安排以及应急措施。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4479" w:type="dxa"/>
            <w:vAlign w:val="center"/>
          </w:tcPr>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针对本项目的人事管理制度：员工管理、员工招聘标准、员工培训计划等。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w:t>
            </w:r>
          </w:p>
        </w:tc>
        <w:tc>
          <w:tcPr>
            <w:tcW w:w="4479" w:type="dxa"/>
            <w:vAlign w:val="center"/>
          </w:tcPr>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在拆违、控违过程中可能遇到的困难、阻力进行分析，并提出合理可靠的解决方案。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4479" w:type="dxa"/>
            <w:vAlign w:val="center"/>
          </w:tcPr>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针对本项目的优惠方案及服务承诺:要点内容完整、完全符合项目情况的得5分；内容与本项目联系紧密，基本符合项目情况的得3～5（不含）分；部分符合项目情况的得0（不含）～3（不含）分；不符合或未提供的得0分。</w:t>
            </w:r>
          </w:p>
        </w:tc>
        <w:tc>
          <w:tcPr>
            <w:tcW w:w="780" w:type="dxa"/>
            <w:vAlign w:val="center"/>
          </w:tcPr>
          <w:p>
            <w:pPr>
              <w:snapToGrid w:val="0"/>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1005" w:type="dxa"/>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c>
          <w:tcPr>
            <w:tcW w:w="1342"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w:t>
            </w:r>
          </w:p>
        </w:tc>
        <w:tc>
          <w:tcPr>
            <w:tcW w:w="4479" w:type="dxa"/>
            <w:vAlign w:val="center"/>
          </w:tcPr>
          <w:p>
            <w:pPr>
              <w:spacing w:line="360" w:lineRule="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有效投标报价的最低价作为评标基准价，其最低报价为满分；按［投标报价得分=（评标基准价/投标报价）*权重］的计算公式计算。</w:t>
            </w:r>
          </w:p>
          <w:p>
            <w:pPr>
              <w:spacing w:line="360" w:lineRule="auto"/>
              <w:outlineLvl w:val="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报价权重</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 1 \* GB3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①</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工程类：</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 2 \* GB3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②</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人工服务：</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 3 \* GB3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③</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垃圾清运1：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 4 \* GB3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④</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垃圾清运2：</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 5 \* GB3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⑤</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垃圾清运3：</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评标过程中，不得去掉报价中的最高报价和最低报价。</w:t>
            </w:r>
          </w:p>
        </w:tc>
        <w:tc>
          <w:tcPr>
            <w:tcW w:w="780" w:type="dxa"/>
            <w:vAlign w:val="center"/>
          </w:tcPr>
          <w:p>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15分</w:t>
            </w:r>
          </w:p>
        </w:tc>
        <w:tc>
          <w:tcPr>
            <w:tcW w:w="1005" w:type="dxa"/>
            <w:vAlign w:val="center"/>
          </w:tcPr>
          <w:p>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c>
          <w:tcPr>
            <w:tcW w:w="1342" w:type="dxa"/>
            <w:vAlign w:val="center"/>
          </w:tcPr>
          <w:p>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w:t>
            </w:r>
          </w:p>
        </w:tc>
      </w:tr>
    </w:tbl>
    <w:p>
      <w:pPr>
        <w:pStyle w:val="25"/>
        <w:rPr>
          <w:rFonts w:hint="eastAsia" w:ascii="宋体" w:hAnsi="宋体" w:eastAsia="宋体" w:cs="宋体"/>
          <w:color w:val="auto"/>
          <w:highlight w:val="none"/>
        </w:rPr>
      </w:pPr>
    </w:p>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2.评标标准：</w:t>
      </w:r>
      <w:r>
        <w:rPr>
          <w:rFonts w:hint="eastAsia" w:ascii="宋体" w:hAnsi="宋体" w:eastAsia="宋体" w:cs="宋体"/>
          <w:color w:val="auto"/>
          <w:kern w:val="0"/>
          <w:sz w:val="24"/>
          <w:highlight w:val="none"/>
        </w:rPr>
        <w:t>见评标办法前附表。</w:t>
      </w:r>
    </w:p>
    <w:p>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129"/>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w:t>
      </w:r>
      <w:r>
        <w:rPr>
          <w:rFonts w:hint="eastAsia" w:ascii="宋体" w:hAnsi="宋体" w:eastAsia="宋体" w:cs="宋体"/>
          <w:color w:val="auto"/>
          <w:kern w:val="0"/>
          <w:szCs w:val="24"/>
          <w:highlight w:val="none"/>
          <w:lang w:val="en-US" w:eastAsia="zh-CN"/>
        </w:rPr>
        <w:t>10%-</w:t>
      </w:r>
      <w:r>
        <w:rPr>
          <w:rFonts w:hint="eastAsia" w:ascii="宋体" w:hAnsi="宋体" w:eastAsia="宋体" w:cs="宋体"/>
          <w:color w:val="auto"/>
          <w:kern w:val="0"/>
          <w:szCs w:val="24"/>
          <w:highlight w:val="none"/>
        </w:rPr>
        <w:t>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eastAsia="宋体" w:cs="宋体"/>
          <w:color w:val="auto"/>
          <w:kern w:val="0"/>
          <w:szCs w:val="24"/>
          <w:highlight w:val="none"/>
          <w:lang w:val="en-US" w:eastAsia="zh-CN"/>
        </w:rPr>
        <w:t>4%-</w:t>
      </w:r>
      <w:r>
        <w:rPr>
          <w:rFonts w:hint="eastAsia" w:ascii="宋体" w:hAnsi="宋体" w:eastAsia="宋体" w:cs="宋体"/>
          <w:color w:val="auto"/>
          <w:kern w:val="0"/>
          <w:szCs w:val="24"/>
          <w:highlight w:val="none"/>
        </w:rPr>
        <w:t>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pPr>
        <w:pStyle w:val="129"/>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pPr>
        <w:pStyle w:val="2"/>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pPr>
        <w:pStyle w:val="25"/>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pPr>
        <w:pStyle w:val="25"/>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pPr>
        <w:pStyle w:val="25"/>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5"/>
        <w:snapToGrid w:val="0"/>
        <w:spacing w:line="360" w:lineRule="auto"/>
        <w:ind w:firstLine="0" w:firstLineChars="0"/>
        <w:rPr>
          <w:rFonts w:hint="eastAsia" w:ascii="宋体" w:hAnsi="宋体" w:eastAsia="宋体" w:cs="宋体"/>
          <w:color w:val="auto"/>
          <w:highlight w:val="none"/>
        </w:rPr>
      </w:pPr>
    </w:p>
    <w:bookmarkEnd w:id="25"/>
    <w:p>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94" w:name="_Toc86217003"/>
      <w:bookmarkStart w:id="395" w:name="第五部分"/>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pStyle w:val="25"/>
        <w:rPr>
          <w:rFonts w:hint="eastAsia" w:ascii="宋体" w:hAnsi="宋体" w:eastAsia="宋体" w:cs="宋体"/>
          <w:b/>
          <w:color w:val="auto"/>
          <w:sz w:val="36"/>
          <w:szCs w:val="36"/>
          <w:highlight w:val="none"/>
        </w:rPr>
      </w:pPr>
    </w:p>
    <w:p>
      <w:pPr>
        <w:pStyle w:val="26"/>
        <w:rPr>
          <w:rFonts w:hint="eastAsia" w:ascii="宋体" w:hAnsi="宋体" w:eastAsia="宋体" w:cs="宋体"/>
          <w:b/>
          <w:color w:val="auto"/>
          <w:sz w:val="36"/>
          <w:szCs w:val="36"/>
          <w:highlight w:val="none"/>
        </w:rPr>
      </w:pPr>
    </w:p>
    <w:p>
      <w:pPr>
        <w:rPr>
          <w:rFonts w:hint="eastAsia" w:ascii="宋体" w:hAnsi="宋体" w:eastAsia="宋体" w:cs="宋体"/>
          <w:b/>
          <w:color w:val="auto"/>
          <w:sz w:val="36"/>
          <w:szCs w:val="36"/>
          <w:highlight w:val="none"/>
        </w:rPr>
      </w:pPr>
    </w:p>
    <w:p>
      <w:pPr>
        <w:pStyle w:val="25"/>
        <w:rPr>
          <w:rFonts w:hint="eastAsia" w:ascii="宋体" w:hAnsi="宋体" w:eastAsia="宋体" w:cs="宋体"/>
          <w:b/>
          <w:color w:val="auto"/>
          <w:sz w:val="36"/>
          <w:szCs w:val="36"/>
          <w:highlight w:val="none"/>
        </w:rPr>
      </w:pPr>
    </w:p>
    <w:p>
      <w:pPr>
        <w:pStyle w:val="26"/>
        <w:rPr>
          <w:rFonts w:hint="eastAsia" w:ascii="宋体" w:hAnsi="宋体" w:eastAsia="宋体" w:cs="宋体"/>
          <w:b/>
          <w:color w:val="auto"/>
          <w:sz w:val="36"/>
          <w:szCs w:val="36"/>
          <w:highlight w:val="none"/>
        </w:rPr>
      </w:pPr>
    </w:p>
    <w:p>
      <w:pPr>
        <w:rPr>
          <w:rFonts w:hint="eastAsia" w:ascii="宋体" w:hAnsi="宋体" w:eastAsia="宋体" w:cs="宋体"/>
          <w:b/>
          <w:color w:val="auto"/>
          <w:sz w:val="36"/>
          <w:szCs w:val="36"/>
          <w:highlight w:val="none"/>
        </w:rPr>
      </w:pPr>
    </w:p>
    <w:p>
      <w:pPr>
        <w:pStyle w:val="25"/>
        <w:rPr>
          <w:rFonts w:hint="eastAsia" w:ascii="宋体" w:hAnsi="宋体" w:eastAsia="宋体" w:cs="宋体"/>
          <w:b/>
          <w:color w:val="auto"/>
          <w:sz w:val="36"/>
          <w:szCs w:val="36"/>
          <w:highlight w:val="none"/>
        </w:rPr>
      </w:pPr>
    </w:p>
    <w:p>
      <w:pPr>
        <w:pStyle w:val="26"/>
        <w:rPr>
          <w:rFonts w:hint="eastAsia" w:ascii="宋体" w:hAnsi="宋体" w:eastAsia="宋体" w:cs="宋体"/>
          <w:b/>
          <w:color w:val="auto"/>
          <w:sz w:val="36"/>
          <w:szCs w:val="36"/>
          <w:highlight w:val="none"/>
        </w:rPr>
      </w:pPr>
    </w:p>
    <w:p>
      <w:pPr>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pPr>
        <w:spacing w:line="480" w:lineRule="auto"/>
        <w:jc w:val="center"/>
        <w:rPr>
          <w:rFonts w:hint="eastAsia" w:ascii="宋体" w:hAnsi="宋体" w:eastAsia="宋体" w:cs="宋体"/>
          <w:b/>
          <w:color w:val="auto"/>
          <w:sz w:val="28"/>
          <w:szCs w:val="28"/>
          <w:highlight w:val="none"/>
        </w:rPr>
      </w:pPr>
    </w:p>
    <w:p>
      <w:pPr>
        <w:spacing w:line="480" w:lineRule="auto"/>
        <w:jc w:val="center"/>
        <w:rPr>
          <w:rFonts w:hint="eastAsia" w:ascii="宋体" w:hAnsi="宋体" w:eastAsia="宋体" w:cs="宋体"/>
          <w:b/>
          <w:color w:val="auto"/>
          <w:sz w:val="24"/>
          <w:highlight w:val="none"/>
        </w:rPr>
      </w:pPr>
    </w:p>
    <w:p>
      <w:pPr>
        <w:spacing w:line="480" w:lineRule="auto"/>
        <w:jc w:val="center"/>
        <w:rPr>
          <w:rFonts w:hint="eastAsia" w:ascii="宋体" w:hAnsi="宋体" w:eastAsia="宋体" w:cs="宋体"/>
          <w:b/>
          <w:color w:val="auto"/>
          <w:sz w:val="24"/>
          <w:highlight w:val="none"/>
        </w:rPr>
      </w:pP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pPr>
        <w:pStyle w:val="700"/>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pPr>
        <w:spacing w:before="120" w:line="22" w:lineRule="atLeast"/>
        <w:rPr>
          <w:rFonts w:hint="eastAsia" w:ascii="宋体" w:hAnsi="宋体" w:eastAsia="宋体" w:cs="宋体"/>
          <w:color w:val="auto"/>
          <w:sz w:val="24"/>
          <w:highlight w:val="none"/>
        </w:rPr>
      </w:pPr>
    </w:p>
    <w:p>
      <w:pPr>
        <w:pStyle w:val="2"/>
        <w:rPr>
          <w:rFonts w:hint="eastAsia" w:ascii="宋体" w:hAnsi="宋体" w:eastAsia="宋体" w:cs="宋体"/>
          <w:color w:val="auto"/>
          <w:highlight w:val="none"/>
        </w:rPr>
      </w:pPr>
    </w:p>
    <w:p>
      <w:pPr>
        <w:spacing w:before="120" w:line="22" w:lineRule="atLeast"/>
        <w:ind w:left="96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浦沿街道美丽杭州及数字城管案件处理服务项目（</w:t>
      </w:r>
      <w:r>
        <w:rPr>
          <w:rFonts w:hint="eastAsia" w:ascii="宋体" w:hAnsi="宋体" w:eastAsia="宋体" w:cs="宋体"/>
          <w:color w:val="auto"/>
          <w:sz w:val="24"/>
          <w:highlight w:val="none"/>
          <w:u w:val="single"/>
          <w:lang w:val="en-US" w:eastAsia="zh-CN"/>
        </w:rPr>
        <w:t>浦沿</w:t>
      </w:r>
    </w:p>
    <w:p>
      <w:pPr>
        <w:spacing w:before="120" w:line="22" w:lineRule="atLeast"/>
        <w:ind w:left="960" w:firstLine="1200" w:firstLineChars="5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val="en-US" w:eastAsia="zh-CN"/>
        </w:rPr>
        <w:t>路以西</w:t>
      </w:r>
      <w:r>
        <w:rPr>
          <w:rFonts w:hint="eastAsia" w:ascii="宋体" w:hAnsi="宋体" w:eastAsia="宋体" w:cs="宋体"/>
          <w:color w:val="auto"/>
          <w:sz w:val="24"/>
          <w:highlight w:val="none"/>
          <w:u w:val="single"/>
        </w:rPr>
        <w:t>）</w:t>
      </w:r>
    </w:p>
    <w:p>
      <w:pPr>
        <w:spacing w:before="120" w:line="22" w:lineRule="atLeast"/>
        <w:ind w:left="960"/>
        <w:rPr>
          <w:rFonts w:hint="eastAsia" w:ascii="宋体" w:hAnsi="宋体" w:eastAsia="宋体" w:cs="宋体"/>
          <w:color w:val="auto"/>
          <w:szCs w:val="24"/>
          <w:highlight w:val="none"/>
        </w:rPr>
      </w:pPr>
    </w:p>
    <w:p>
      <w:pPr>
        <w:pStyle w:val="597"/>
        <w:spacing w:before="120" w:line="22" w:lineRule="atLeast"/>
        <w:rPr>
          <w:rFonts w:hint="eastAsia" w:ascii="宋体" w:hAnsi="宋体" w:eastAsia="宋体" w:cs="宋体"/>
          <w:color w:val="auto"/>
          <w:szCs w:val="24"/>
          <w:highlight w:val="none"/>
        </w:rPr>
      </w:pPr>
    </w:p>
    <w:p>
      <w:pPr>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杭州市滨江区人民政府浦沿街道办事处  </w:t>
      </w:r>
    </w:p>
    <w:p>
      <w:pPr>
        <w:spacing w:before="120" w:line="22" w:lineRule="atLeast"/>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杭州市滨江区浦沿街道办事处</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pPr>
        <w:widowControl/>
        <w:jc w:val="left"/>
        <w:rPr>
          <w:rFonts w:hint="eastAsia" w:ascii="宋体" w:hAnsi="宋体" w:eastAsia="宋体" w:cs="宋体"/>
          <w:color w:val="auto"/>
          <w:kern w:val="0"/>
          <w:sz w:val="24"/>
          <w:highlight w:val="none"/>
        </w:rPr>
        <w:sectPr>
          <w:pgSz w:w="11907" w:h="16840"/>
          <w:pgMar w:top="1474" w:right="1814" w:bottom="1474" w:left="1814" w:header="851" w:footer="851" w:gutter="0"/>
          <w:cols w:space="720" w:num="1"/>
        </w:sectPr>
      </w:pP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杭州市滨江区人民政府浦沿街道办事处</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浦沿街道美丽杭州及数字城管案件处理服务项目（</w:t>
      </w:r>
      <w:r>
        <w:rPr>
          <w:rFonts w:hint="eastAsia" w:ascii="宋体" w:hAnsi="宋体" w:eastAsia="宋体" w:cs="宋体"/>
          <w:color w:val="auto"/>
          <w:sz w:val="24"/>
          <w:highlight w:val="none"/>
          <w:u w:val="single"/>
          <w:lang w:eastAsia="zh-CN"/>
        </w:rPr>
        <w:t>浦沿路以西</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杭州市滨江区人民政府浦沿街道办事处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rPr>
        <w:t>为该项目中标供应商。现于中标通知书发出之日起10个工作日内，按照采购文件确定的事项签订本合同。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杭州市滨江区人民政府浦沿街道办事处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pPr>
        <w:spacing w:line="560" w:lineRule="exact"/>
        <w:ind w:firstLine="482" w:firstLineChars="200"/>
        <w:outlineLvl w:val="0"/>
        <w:rPr>
          <w:rFonts w:hint="eastAsia" w:ascii="宋体" w:hAnsi="宋体" w:eastAsia="宋体" w:cs="宋体"/>
          <w:color w:val="auto"/>
          <w:sz w:val="24"/>
          <w:highlight w:val="none"/>
        </w:rPr>
      </w:pPr>
      <w:bookmarkStart w:id="396" w:name="_Toc19273"/>
      <w:bookmarkStart w:id="397" w:name="_Toc22967"/>
      <w:bookmarkStart w:id="398" w:name="_Toc20421"/>
      <w:bookmarkStart w:id="399" w:name="_Toc15367"/>
      <w:bookmarkStart w:id="400" w:name="_Toc28855"/>
      <w:r>
        <w:rPr>
          <w:rFonts w:hint="eastAsia" w:ascii="宋体" w:hAnsi="宋体" w:eastAsia="宋体" w:cs="宋体"/>
          <w:b/>
          <w:color w:val="auto"/>
          <w:sz w:val="24"/>
          <w:highlight w:val="none"/>
        </w:rPr>
        <w:t>1.1 合同组成部分</w:t>
      </w:r>
      <w:bookmarkEnd w:id="396"/>
      <w:bookmarkEnd w:id="397"/>
      <w:bookmarkEnd w:id="398"/>
      <w:bookmarkEnd w:id="399"/>
      <w:bookmarkEnd w:id="40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中标通知书；</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投标文件（含澄清或者说明文件）；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招标文件（含澄清或者修改文件）；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pPr>
        <w:spacing w:line="560" w:lineRule="exact"/>
        <w:ind w:firstLine="482" w:firstLineChars="200"/>
        <w:outlineLvl w:val="0"/>
        <w:rPr>
          <w:rFonts w:hint="eastAsia" w:ascii="宋体" w:hAnsi="宋体" w:eastAsia="宋体" w:cs="宋体"/>
          <w:b/>
          <w:color w:val="auto"/>
          <w:sz w:val="24"/>
          <w:highlight w:val="none"/>
        </w:rPr>
      </w:pPr>
      <w:bookmarkStart w:id="401" w:name="_Toc18585"/>
      <w:bookmarkStart w:id="402" w:name="_Toc6311"/>
      <w:bookmarkStart w:id="403" w:name="_Toc22185"/>
      <w:bookmarkStart w:id="404" w:name="_Toc2918"/>
      <w:bookmarkStart w:id="405" w:name="_Toc6773"/>
      <w:r>
        <w:rPr>
          <w:rFonts w:hint="eastAsia" w:ascii="宋体" w:hAnsi="宋体" w:eastAsia="宋体" w:cs="宋体"/>
          <w:b/>
          <w:color w:val="auto"/>
          <w:sz w:val="24"/>
          <w:highlight w:val="none"/>
        </w:rPr>
        <w:t>1.2 标的</w:t>
      </w:r>
      <w:bookmarkEnd w:id="401"/>
      <w:bookmarkEnd w:id="402"/>
      <w:bookmarkEnd w:id="403"/>
      <w:bookmarkEnd w:id="404"/>
      <w:bookmarkEnd w:id="405"/>
    </w:p>
    <w:p>
      <w:pPr>
        <w:spacing w:line="560" w:lineRule="exact"/>
        <w:ind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1.2.1 标的名称：</w:t>
      </w:r>
      <w:r>
        <w:rPr>
          <w:rFonts w:hint="eastAsia" w:ascii="宋体" w:hAnsi="宋体" w:eastAsia="宋体" w:cs="宋体"/>
          <w:color w:val="auto"/>
          <w:sz w:val="24"/>
          <w:highlight w:val="none"/>
          <w:u w:val="single"/>
        </w:rPr>
        <w:t>浦沿街道美丽杭州及数字城管案件处理服务项目（</w:t>
      </w:r>
      <w:r>
        <w:rPr>
          <w:rFonts w:hint="eastAsia" w:ascii="宋体" w:hAnsi="宋体" w:eastAsia="宋体" w:cs="宋体"/>
          <w:color w:val="auto"/>
          <w:sz w:val="24"/>
          <w:highlight w:val="none"/>
          <w:u w:val="single"/>
          <w:lang w:val="en-US" w:eastAsia="zh-CN"/>
        </w:rPr>
        <w:t>浦沿</w:t>
      </w:r>
    </w:p>
    <w:p>
      <w:pPr>
        <w:spacing w:line="560" w:lineRule="exact"/>
        <w:ind w:firstLine="2400" w:firstLineChars="10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val="en-US" w:eastAsia="zh-CN"/>
        </w:rPr>
        <w:t>路以西</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标的数量：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1年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标的质量：</w:t>
      </w:r>
      <w:r>
        <w:rPr>
          <w:rFonts w:hint="eastAsia" w:ascii="宋体" w:hAnsi="宋体" w:eastAsia="宋体" w:cs="宋体"/>
          <w:color w:val="auto"/>
          <w:sz w:val="24"/>
          <w:highlight w:val="none"/>
          <w:u w:val="single"/>
        </w:rPr>
        <w:t>施工质量符合（工程施工质量验收规范）合格标准。</w:t>
      </w:r>
    </w:p>
    <w:p>
      <w:pPr>
        <w:spacing w:line="560" w:lineRule="exact"/>
        <w:ind w:firstLine="2400" w:firstLineChars="10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en-US" w:eastAsia="zh-CN"/>
        </w:rPr>
        <w:t>验收条件：</w:t>
      </w:r>
      <w:r>
        <w:rPr>
          <w:rFonts w:hint="eastAsia" w:ascii="宋体" w:hAnsi="宋体" w:eastAsia="宋体" w:cs="宋体"/>
          <w:color w:val="auto"/>
          <w:sz w:val="24"/>
          <w:highlight w:val="none"/>
          <w:u w:val="single"/>
        </w:rPr>
        <w:t xml:space="preserve">符合滨江区市政道路养护考核条件 </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406" w:name="_Toc13918"/>
      <w:bookmarkStart w:id="407" w:name="_Toc21124"/>
      <w:bookmarkStart w:id="408" w:name="_Toc4929"/>
      <w:bookmarkStart w:id="409" w:name="_Toc1386"/>
      <w:bookmarkStart w:id="410" w:name="_Toc5635"/>
      <w:r>
        <w:rPr>
          <w:rFonts w:hint="eastAsia" w:ascii="宋体" w:hAnsi="宋体" w:eastAsia="宋体" w:cs="宋体"/>
          <w:b/>
          <w:color w:val="auto"/>
          <w:sz w:val="24"/>
          <w:highlight w:val="none"/>
        </w:rPr>
        <w:t>1.3 价款</w:t>
      </w:r>
      <w:bookmarkEnd w:id="406"/>
      <w:bookmarkEnd w:id="407"/>
      <w:bookmarkEnd w:id="408"/>
      <w:bookmarkEnd w:id="409"/>
      <w:bookmarkEnd w:id="41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w:t>
      </w:r>
      <w:r>
        <w:rPr>
          <w:rFonts w:hint="eastAsia" w:ascii="宋体" w:hAnsi="宋体" w:eastAsia="宋体" w:cs="宋体"/>
          <w:color w:val="auto"/>
          <w:sz w:val="24"/>
          <w:highlight w:val="none"/>
          <w:lang w:val="en-US" w:eastAsia="zh-CN"/>
        </w:rPr>
        <w:t>暂定</w:t>
      </w:r>
      <w:r>
        <w:rPr>
          <w:rFonts w:hint="eastAsia" w:ascii="宋体" w:hAnsi="宋体" w:eastAsia="宋体" w:cs="宋体"/>
          <w:color w:val="auto"/>
          <w:sz w:val="24"/>
          <w:highlight w:val="none"/>
        </w:rPr>
        <w:t>总价为：￥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pPr>
        <w:pStyle w:val="25"/>
        <w:rPr>
          <w:rFonts w:hint="eastAsia" w:ascii="宋体" w:hAnsi="宋体" w:eastAsia="宋体" w:cs="宋体"/>
          <w:color w:val="auto"/>
          <w:highlight w:val="none"/>
          <w:lang w:val="en-US" w:eastAsia="zh-CN"/>
        </w:rPr>
      </w:pPr>
      <w:r>
        <w:rPr>
          <w:rFonts w:hint="eastAsia" w:ascii="宋体" w:hAnsi="宋体" w:eastAsia="宋体" w:cs="宋体"/>
          <w:color w:val="auto"/>
          <w:sz w:val="24"/>
          <w:highlight w:val="none"/>
          <w:lang w:val="en-US" w:eastAsia="zh-CN"/>
        </w:rPr>
        <w:t>本合同为暂定总价，具体以甲方按实结算价为准。</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3"/>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040"/>
        <w:gridCol w:w="6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6" w:type="dxa"/>
            <w:vAlign w:val="center"/>
          </w:tcPr>
          <w:p>
            <w:pPr>
              <w:pStyle w:val="318"/>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040" w:type="dxa"/>
            <w:vAlign w:val="center"/>
          </w:tcPr>
          <w:p>
            <w:pPr>
              <w:pStyle w:val="318"/>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6423" w:type="dxa"/>
            <w:vAlign w:val="center"/>
          </w:tcPr>
          <w:p>
            <w:pPr>
              <w:pStyle w:val="318"/>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6" w:type="dxa"/>
            <w:vAlign w:val="center"/>
          </w:tcPr>
          <w:p>
            <w:pPr>
              <w:pStyle w:val="318"/>
              <w:spacing w:line="560" w:lineRule="exact"/>
              <w:ind w:firstLine="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20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工程类（折扣率）</w:t>
            </w:r>
          </w:p>
        </w:tc>
        <w:tc>
          <w:tcPr>
            <w:tcW w:w="6423" w:type="dxa"/>
            <w:vAlign w:val="center"/>
          </w:tcPr>
          <w:p>
            <w:pPr>
              <w:spacing w:beforeLines="5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highlight w:val="none"/>
              </w:rPr>
              <w:t>（结算造价=工程造价*折扣率）。工程造价的计价方法采用定额项目清单计价，计价规则采用浙江省2018版定额计价体系，即定额套用《浙江省房屋建筑与装饰工程预算定额》（2018版）、《浙江省通用安装工程预算定额》（2018版）、《浙江省园林绿化及仿古建筑预算定额》（2018版）、《浙江省市政工程预算定额》（2018版）等2018版定额及补充文件，工程取费按《浙江省建设工程计价规则》（2018版）及补充文件，其中管理费、利润及组织措施费按费率中值计取（风险费用不计），规费及税金按规定计取。工程材料价格按照当月材料信息价，材料信息价中没有的按照副刊的80%计取，信息价及副刊材料价取定顺序为杭州市信息价-浙江省信息价-杭州市副刊价-浙江省副刊价。材料信息价和副刊中都没有的材料，供应商需提供三种以上同等档次的品牌及各自报价供采购人选择，最终以采购人选定的材料及认定的价格为准。如涉及材料按定额组价，无定额按信息价，无信息价按市场价，最终结算按审计价按实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6" w:type="dxa"/>
            <w:vAlign w:val="center"/>
          </w:tcPr>
          <w:p>
            <w:pPr>
              <w:pStyle w:val="318"/>
              <w:spacing w:line="560" w:lineRule="exact"/>
              <w:ind w:firstLine="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20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人工服务</w:t>
            </w:r>
          </w:p>
        </w:tc>
        <w:tc>
          <w:tcPr>
            <w:tcW w:w="6423" w:type="dxa"/>
            <w:vAlign w:val="center"/>
          </w:tcPr>
          <w:p>
            <w:pPr>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highlight w:val="none"/>
              </w:rPr>
              <w:t>此项包含锹、镐、扫把、铲刀等操作工具。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6" w:type="dxa"/>
            <w:vAlign w:val="center"/>
          </w:tcPr>
          <w:p>
            <w:pPr>
              <w:pStyle w:val="318"/>
              <w:spacing w:line="560" w:lineRule="exact"/>
              <w:ind w:firstLine="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20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垃圾清运1</w:t>
            </w:r>
          </w:p>
        </w:tc>
        <w:tc>
          <w:tcPr>
            <w:tcW w:w="6423" w:type="dxa"/>
            <w:vAlign w:val="center"/>
          </w:tcPr>
          <w:p>
            <w:pPr>
              <w:spacing w:beforeLines="50" w:line="36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元/立方米</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highlight w:val="none"/>
              </w:rPr>
              <w:t>按方量计价，包含现场清理、装车、运输、卸载及处置等垃圾清运涉及的所有费用。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6" w:type="dxa"/>
            <w:vAlign w:val="center"/>
          </w:tcPr>
          <w:p>
            <w:pPr>
              <w:pStyle w:val="318"/>
              <w:spacing w:line="560" w:lineRule="exact"/>
              <w:ind w:firstLine="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20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垃圾清运</w:t>
            </w:r>
            <w:r>
              <w:rPr>
                <w:rFonts w:hint="eastAsia" w:ascii="宋体" w:hAnsi="宋体" w:eastAsia="宋体" w:cs="宋体"/>
                <w:color w:val="auto"/>
                <w:sz w:val="24"/>
                <w:szCs w:val="24"/>
                <w:highlight w:val="none"/>
                <w:lang w:val="en-US" w:eastAsia="zh-CN"/>
              </w:rPr>
              <w:t>2</w:t>
            </w:r>
          </w:p>
        </w:tc>
        <w:tc>
          <w:tcPr>
            <w:tcW w:w="6423" w:type="dxa"/>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元/车（3吨）</w:t>
            </w:r>
            <w:r>
              <w:rPr>
                <w:rFonts w:hint="eastAsia" w:ascii="宋体" w:hAnsi="宋体" w:eastAsia="宋体" w:cs="宋体"/>
                <w:color w:val="auto"/>
                <w:sz w:val="24"/>
                <w:highlight w:val="none"/>
              </w:rPr>
              <w:t>。按车辆计价，包含运输、卸载及处置等费用。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876" w:type="dxa"/>
            <w:vAlign w:val="center"/>
          </w:tcPr>
          <w:p>
            <w:pPr>
              <w:pStyle w:val="318"/>
              <w:spacing w:line="560" w:lineRule="exact"/>
              <w:ind w:firstLine="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20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垃圾清运</w:t>
            </w:r>
            <w:r>
              <w:rPr>
                <w:rFonts w:hint="eastAsia" w:ascii="宋体" w:hAnsi="宋体" w:eastAsia="宋体" w:cs="宋体"/>
                <w:color w:val="auto"/>
                <w:sz w:val="24"/>
                <w:szCs w:val="24"/>
                <w:highlight w:val="none"/>
                <w:lang w:val="en-US" w:eastAsia="zh-CN"/>
              </w:rPr>
              <w:t>3</w:t>
            </w:r>
          </w:p>
        </w:tc>
        <w:tc>
          <w:tcPr>
            <w:tcW w:w="6423" w:type="dxa"/>
            <w:vAlign w:val="center"/>
          </w:tcPr>
          <w:p>
            <w:pPr>
              <w:spacing w:beforeLines="5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元/车（3吨）</w:t>
            </w:r>
            <w:r>
              <w:rPr>
                <w:rFonts w:hint="eastAsia" w:ascii="宋体" w:hAnsi="宋体" w:eastAsia="宋体" w:cs="宋体"/>
                <w:color w:val="auto"/>
                <w:sz w:val="24"/>
                <w:highlight w:val="none"/>
              </w:rPr>
              <w:t>。按车辆计价，包含现场清理、装车、运输、卸载及处置等垃圾清运涉及的所有费用。</w:t>
            </w:r>
          </w:p>
        </w:tc>
      </w:tr>
    </w:tbl>
    <w:p>
      <w:pPr>
        <w:spacing w:line="560" w:lineRule="exact"/>
        <w:ind w:firstLine="482" w:firstLineChars="200"/>
        <w:outlineLvl w:val="0"/>
        <w:rPr>
          <w:rFonts w:hint="eastAsia" w:ascii="宋体" w:hAnsi="宋体" w:eastAsia="宋体" w:cs="宋体"/>
          <w:b/>
          <w:color w:val="auto"/>
          <w:sz w:val="24"/>
          <w:highlight w:val="none"/>
        </w:rPr>
      </w:pPr>
      <w:bookmarkStart w:id="411" w:name="_Toc30506"/>
      <w:bookmarkStart w:id="412" w:name="_Toc26916"/>
      <w:bookmarkStart w:id="413" w:name="_Toc3654"/>
      <w:bookmarkStart w:id="414" w:name="_Toc14993"/>
      <w:bookmarkStart w:id="415" w:name="_Toc30158"/>
      <w:r>
        <w:rPr>
          <w:rFonts w:hint="eastAsia" w:ascii="宋体" w:hAnsi="宋体" w:eastAsia="宋体" w:cs="宋体"/>
          <w:b/>
          <w:color w:val="auto"/>
          <w:sz w:val="24"/>
          <w:highlight w:val="none"/>
        </w:rPr>
        <w:t>1.4 付款方式和发票开具方式</w:t>
      </w:r>
      <w:bookmarkEnd w:id="411"/>
      <w:bookmarkEnd w:id="412"/>
      <w:bookmarkEnd w:id="413"/>
      <w:bookmarkEnd w:id="414"/>
      <w:bookmarkEnd w:id="415"/>
    </w:p>
    <w:p>
      <w:pPr>
        <w:pStyle w:val="95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1.4.2 甲方在政府采购合同中约定预付款，应在合同生效以及具备实施条件后7个工作日内支付。对中小企业预付款比例原则上不低于合同金额的40％，不高于合同金额的70%；项目分年安排预算的，每年预付款比例为项目年度计划支付资金额的40％。采购项目实施以人工投入为主的，可适当降低预付款比例，但不低于20%。乙方为大型企业的项目或者以人工投入为主且实行按月定期结算支付款项的项目，预付款可低于上诉比例或者不约定预付款。乙方可以线下申请：根据滨江区门户网站公示的杭州市滨江区政采贷合作银行及联系人信息表http://www.hhtz.gov.cn/art/2022/1/11/art_1487</w:t>
      </w:r>
    </w:p>
    <w:p>
      <w:pPr>
        <w:spacing w:line="560" w:lineRule="exact"/>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037_59039349.html）获取联系方式，选择银行进行对接申请预付款保函。也可以线上申请：登录政采云前台大厅选择金融服务-【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1.4.4资金支付的方式、时间和条件详见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416" w:name="_Toc8772"/>
      <w:bookmarkStart w:id="417" w:name="_Toc3625"/>
      <w:bookmarkStart w:id="418" w:name="_Toc4760"/>
      <w:bookmarkStart w:id="419" w:name="_Toc31421"/>
      <w:bookmarkStart w:id="420" w:name="_Toc11108"/>
      <w:r>
        <w:rPr>
          <w:rFonts w:hint="eastAsia" w:ascii="宋体" w:hAnsi="宋体" w:eastAsia="宋体" w:cs="宋体"/>
          <w:b/>
          <w:color w:val="auto"/>
          <w:sz w:val="24"/>
          <w:highlight w:val="none"/>
        </w:rPr>
        <w:t>1.5 履行期限、地点和方式</w:t>
      </w:r>
      <w:bookmarkEnd w:id="416"/>
      <w:bookmarkEnd w:id="417"/>
      <w:bookmarkEnd w:id="418"/>
      <w:bookmarkEnd w:id="419"/>
      <w:bookmarkEnd w:id="420"/>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1.5.1 履行期限：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1.5.2 履行地点：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1.5.3 履行方式：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color w:val="auto"/>
          <w:sz w:val="24"/>
          <w:highlight w:val="none"/>
          <w:u w:val="single"/>
        </w:rPr>
      </w:pPr>
      <w:bookmarkStart w:id="421" w:name="_Toc2375"/>
      <w:bookmarkStart w:id="422" w:name="_Toc5698"/>
      <w:bookmarkStart w:id="423" w:name="_Toc24662"/>
      <w:bookmarkStart w:id="424" w:name="_Toc3079"/>
      <w:bookmarkStart w:id="425" w:name="_Toc8586"/>
      <w:r>
        <w:rPr>
          <w:rFonts w:hint="eastAsia" w:ascii="宋体" w:hAnsi="宋体" w:eastAsia="宋体" w:cs="宋体"/>
          <w:b/>
          <w:color w:val="auto"/>
          <w:sz w:val="24"/>
          <w:highlight w:val="none"/>
        </w:rPr>
        <w:t>1.6 违约责任</w:t>
      </w:r>
      <w:bookmarkEnd w:id="421"/>
      <w:bookmarkEnd w:id="422"/>
      <w:bookmarkEnd w:id="423"/>
      <w:bookmarkEnd w:id="424"/>
      <w:bookmarkEnd w:id="425"/>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720" w:firstLineChars="300"/>
        <w:rPr>
          <w:rFonts w:hint="eastAsia" w:ascii="宋体" w:hAnsi="宋体" w:eastAsia="宋体" w:cs="宋体"/>
          <w:color w:val="auto"/>
          <w:highlight w:val="none"/>
        </w:rPr>
      </w:pPr>
      <w:r>
        <w:rPr>
          <w:rFonts w:hint="eastAsia" w:ascii="宋体" w:hAnsi="宋体" w:eastAsia="宋体" w:cs="宋体"/>
          <w:color w:val="auto"/>
          <w:sz w:val="24"/>
          <w:highlight w:val="none"/>
        </w:rPr>
        <w:t>1.6.7违约责任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p>
      <w:pPr>
        <w:spacing w:line="560" w:lineRule="exact"/>
        <w:ind w:firstLine="482" w:firstLineChars="200"/>
        <w:outlineLvl w:val="0"/>
        <w:rPr>
          <w:rFonts w:hint="eastAsia" w:ascii="宋体" w:hAnsi="宋体" w:eastAsia="宋体" w:cs="宋体"/>
          <w:b/>
          <w:color w:val="auto"/>
          <w:sz w:val="24"/>
          <w:highlight w:val="none"/>
        </w:rPr>
      </w:pPr>
      <w:bookmarkStart w:id="426" w:name="_Toc18683"/>
      <w:bookmarkStart w:id="427" w:name="_Toc9497"/>
      <w:bookmarkStart w:id="428" w:name="_Toc32454"/>
      <w:bookmarkStart w:id="429" w:name="_Toc26807"/>
      <w:bookmarkStart w:id="430" w:name="_Toc30329"/>
      <w:r>
        <w:rPr>
          <w:rFonts w:hint="eastAsia" w:ascii="宋体" w:hAnsi="宋体" w:eastAsia="宋体" w:cs="宋体"/>
          <w:b/>
          <w:color w:val="auto"/>
          <w:sz w:val="24"/>
          <w:highlight w:val="none"/>
        </w:rPr>
        <w:t>1.7 合同争议的解决</w:t>
      </w:r>
      <w:bookmarkEnd w:id="426"/>
      <w:bookmarkEnd w:id="427"/>
      <w:bookmarkEnd w:id="428"/>
      <w:bookmarkEnd w:id="429"/>
      <w:bookmarkEnd w:id="430"/>
    </w:p>
    <w:p>
      <w:pPr>
        <w:spacing w:line="560" w:lineRule="exact"/>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合同专用条款  </w:t>
      </w:r>
      <w:r>
        <w:rPr>
          <w:rFonts w:hint="eastAsia" w:ascii="宋体" w:hAnsi="宋体" w:eastAsia="宋体" w:cs="宋体"/>
          <w:color w:val="auto"/>
          <w:sz w:val="24"/>
          <w:highlight w:val="none"/>
        </w:rPr>
        <w:t>条款规定的方式解决：</w:t>
      </w:r>
    </w:p>
    <w:p>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1.7.1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1.7.2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pPr>
        <w:spacing w:line="560" w:lineRule="exact"/>
        <w:ind w:firstLine="241" w:firstLineChars="100"/>
        <w:outlineLvl w:val="0"/>
        <w:rPr>
          <w:rFonts w:hint="eastAsia" w:ascii="宋体" w:hAnsi="宋体" w:eastAsia="宋体" w:cs="宋体"/>
          <w:b/>
          <w:color w:val="auto"/>
          <w:sz w:val="24"/>
          <w:highlight w:val="none"/>
        </w:rPr>
      </w:pPr>
      <w:bookmarkStart w:id="431" w:name="_Toc26227"/>
      <w:bookmarkStart w:id="432" w:name="_Toc15827"/>
      <w:bookmarkStart w:id="433" w:name="_Toc16417"/>
      <w:bookmarkStart w:id="434" w:name="_Toc12273"/>
      <w:bookmarkStart w:id="435" w:name="_Toc23784"/>
      <w:r>
        <w:rPr>
          <w:rFonts w:hint="eastAsia" w:ascii="宋体" w:hAnsi="宋体" w:eastAsia="宋体" w:cs="宋体"/>
          <w:b/>
          <w:color w:val="auto"/>
          <w:sz w:val="24"/>
          <w:highlight w:val="none"/>
        </w:rPr>
        <w:t>1.8 合同生效</w:t>
      </w:r>
      <w:bookmarkEnd w:id="431"/>
      <w:bookmarkEnd w:id="432"/>
      <w:bookmarkEnd w:id="433"/>
      <w:bookmarkEnd w:id="434"/>
      <w:bookmarkEnd w:id="435"/>
    </w:p>
    <w:p>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本合同自双方当事人盖章或者签字时生效。</w:t>
      </w:r>
    </w:p>
    <w:p>
      <w:pPr>
        <w:autoSpaceDE w:val="0"/>
        <w:autoSpaceDN w:val="0"/>
        <w:spacing w:line="560" w:lineRule="exact"/>
        <w:rPr>
          <w:rFonts w:hint="eastAsia" w:ascii="宋体" w:hAnsi="宋体" w:eastAsia="宋体" w:cs="宋体"/>
          <w:color w:val="auto"/>
          <w:sz w:val="24"/>
          <w:highlight w:val="none"/>
          <w:lang w:val="zh-CN"/>
        </w:rPr>
      </w:pP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pPr>
        <w:autoSpaceDE w:val="0"/>
        <w:autoSpaceDN w:val="0"/>
        <w:spacing w:line="560" w:lineRule="exact"/>
        <w:rPr>
          <w:rFonts w:hint="eastAsia" w:ascii="宋体" w:hAnsi="宋体" w:eastAsia="宋体" w:cs="宋体"/>
          <w:color w:val="auto"/>
          <w:sz w:val="24"/>
          <w:highlight w:val="none"/>
          <w:lang w:val="zh-CN"/>
        </w:rPr>
      </w:pP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pPr>
        <w:widowControl/>
        <w:spacing w:line="560" w:lineRule="exact"/>
        <w:jc w:val="left"/>
        <w:rPr>
          <w:rFonts w:hint="eastAsia" w:ascii="宋体" w:hAnsi="宋体" w:eastAsia="宋体" w:cs="宋体"/>
          <w:b/>
          <w:color w:val="auto"/>
          <w:sz w:val="24"/>
          <w:highlight w:val="none"/>
        </w:rPr>
      </w:pPr>
    </w:p>
    <w:p>
      <w:pPr>
        <w:pStyle w:val="2"/>
        <w:rPr>
          <w:rFonts w:hint="eastAsia" w:ascii="宋体" w:hAnsi="宋体" w:eastAsia="宋体" w:cs="宋体"/>
          <w:b/>
          <w:color w:val="auto"/>
          <w:sz w:val="24"/>
          <w:highlight w:val="none"/>
        </w:rPr>
      </w:pPr>
    </w:p>
    <w:p>
      <w:pPr>
        <w:rPr>
          <w:rFonts w:hint="eastAsia" w:ascii="宋体" w:hAnsi="宋体" w:eastAsia="宋体" w:cs="宋体"/>
          <w:b/>
          <w:color w:val="auto"/>
          <w:sz w:val="24"/>
          <w:highlight w:val="none"/>
        </w:rPr>
      </w:pPr>
    </w:p>
    <w:p>
      <w:pPr>
        <w:pStyle w:val="2"/>
        <w:rPr>
          <w:rFonts w:hint="eastAsia" w:ascii="宋体" w:hAnsi="宋体" w:eastAsia="宋体" w:cs="宋体"/>
          <w:b/>
          <w:color w:val="auto"/>
          <w:sz w:val="24"/>
          <w:highlight w:val="none"/>
        </w:rPr>
      </w:pPr>
    </w:p>
    <w:p>
      <w:pPr>
        <w:rPr>
          <w:rFonts w:hint="eastAsia" w:ascii="宋体" w:hAnsi="宋体" w:eastAsia="宋体" w:cs="宋体"/>
          <w:b/>
          <w:color w:val="auto"/>
          <w:sz w:val="24"/>
          <w:highlight w:val="none"/>
        </w:rPr>
      </w:pPr>
    </w:p>
    <w:p>
      <w:pPr>
        <w:pStyle w:val="2"/>
        <w:rPr>
          <w:rFonts w:hint="eastAsia" w:ascii="宋体" w:hAnsi="宋体" w:eastAsia="宋体" w:cs="宋体"/>
          <w:b/>
          <w:color w:val="auto"/>
          <w:sz w:val="24"/>
          <w:highlight w:val="none"/>
        </w:rPr>
      </w:pPr>
    </w:p>
    <w:p>
      <w:pPr>
        <w:rPr>
          <w:rFonts w:hint="eastAsia" w:ascii="宋体" w:hAnsi="宋体" w:eastAsia="宋体" w:cs="宋体"/>
          <w:b/>
          <w:color w:val="auto"/>
          <w:sz w:val="24"/>
          <w:highlight w:val="none"/>
        </w:rPr>
      </w:pPr>
    </w:p>
    <w:p>
      <w:pPr>
        <w:pStyle w:val="700"/>
        <w:spacing w:line="560" w:lineRule="exact"/>
        <w:ind w:firstLine="482"/>
        <w:jc w:val="center"/>
        <w:rPr>
          <w:rFonts w:hint="eastAsia" w:ascii="宋体" w:hAnsi="宋体" w:eastAsia="宋体" w:cs="宋体"/>
          <w:b/>
          <w:color w:val="auto"/>
          <w:szCs w:val="24"/>
          <w:highlight w:val="none"/>
        </w:rPr>
      </w:pPr>
    </w:p>
    <w:p>
      <w:pPr>
        <w:pStyle w:val="700"/>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pPr>
        <w:spacing w:line="560" w:lineRule="exact"/>
        <w:ind w:firstLine="482" w:firstLineChars="200"/>
        <w:outlineLvl w:val="0"/>
        <w:rPr>
          <w:rFonts w:hint="eastAsia" w:ascii="宋体" w:hAnsi="宋体" w:eastAsia="宋体" w:cs="宋体"/>
          <w:b/>
          <w:color w:val="auto"/>
          <w:sz w:val="24"/>
          <w:highlight w:val="none"/>
        </w:rPr>
      </w:pPr>
      <w:bookmarkStart w:id="436" w:name="_Toc19680"/>
      <w:bookmarkStart w:id="437" w:name="_Toc5228"/>
      <w:bookmarkStart w:id="438" w:name="_Toc25079"/>
      <w:bookmarkStart w:id="439" w:name="_Toc31297"/>
      <w:bookmarkStart w:id="440" w:name="_Toc14021"/>
      <w:r>
        <w:rPr>
          <w:rFonts w:hint="eastAsia" w:ascii="宋体" w:hAnsi="宋体" w:eastAsia="宋体" w:cs="宋体"/>
          <w:b/>
          <w:color w:val="auto"/>
          <w:sz w:val="24"/>
          <w:highlight w:val="none"/>
        </w:rPr>
        <w:t>2.1 定义</w:t>
      </w:r>
      <w:bookmarkEnd w:id="436"/>
      <w:bookmarkEnd w:id="437"/>
      <w:bookmarkEnd w:id="438"/>
      <w:bookmarkEnd w:id="439"/>
      <w:bookmarkEnd w:id="44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“合同价”系指根据合同约定，中标供应商在完全履行合同义务后，采购人应支付给中标供应商的价格。</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“甲方”系指与中标供应商签署合同的采购人；采购人委托采购代理机构代表其与乙方签订合同的，采购人的授权委托书作为合同附件。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pPr>
        <w:spacing w:line="560" w:lineRule="exact"/>
        <w:ind w:firstLine="482" w:firstLineChars="200"/>
        <w:outlineLvl w:val="0"/>
        <w:rPr>
          <w:rFonts w:hint="eastAsia" w:ascii="宋体" w:hAnsi="宋体" w:eastAsia="宋体" w:cs="宋体"/>
          <w:b/>
          <w:color w:val="auto"/>
          <w:sz w:val="24"/>
          <w:highlight w:val="none"/>
        </w:rPr>
      </w:pPr>
      <w:bookmarkStart w:id="441" w:name="_Toc19539"/>
      <w:bookmarkStart w:id="442" w:name="_Toc16752"/>
      <w:bookmarkStart w:id="443" w:name="_Toc31402"/>
      <w:bookmarkStart w:id="444" w:name="_Toc23289"/>
      <w:bookmarkStart w:id="445" w:name="_Toc3769"/>
      <w:r>
        <w:rPr>
          <w:rFonts w:hint="eastAsia" w:ascii="宋体" w:hAnsi="宋体" w:eastAsia="宋体" w:cs="宋体"/>
          <w:b/>
          <w:color w:val="auto"/>
          <w:sz w:val="24"/>
          <w:highlight w:val="none"/>
        </w:rPr>
        <w:t>2.2 技术规范</w:t>
      </w:r>
      <w:bookmarkEnd w:id="441"/>
      <w:bookmarkEnd w:id="442"/>
      <w:bookmarkEnd w:id="443"/>
      <w:bookmarkEnd w:id="444"/>
      <w:bookmarkEnd w:id="445"/>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宋体" w:hAnsi="宋体" w:eastAsia="宋体" w:cs="宋体"/>
          <w:b/>
          <w:color w:val="auto"/>
          <w:sz w:val="24"/>
          <w:highlight w:val="none"/>
        </w:rPr>
      </w:pPr>
      <w:bookmarkStart w:id="446" w:name="_Toc13673"/>
      <w:bookmarkStart w:id="447" w:name="_Toc4133"/>
      <w:bookmarkStart w:id="448" w:name="_Toc12412"/>
      <w:bookmarkStart w:id="449" w:name="_Toc9161"/>
      <w:bookmarkStart w:id="450" w:name="_Toc27945"/>
      <w:r>
        <w:rPr>
          <w:rFonts w:hint="eastAsia" w:ascii="宋体" w:hAnsi="宋体" w:eastAsia="宋体" w:cs="宋体"/>
          <w:b/>
          <w:color w:val="auto"/>
          <w:sz w:val="24"/>
          <w:highlight w:val="none"/>
        </w:rPr>
        <w:t>2.3 知识产权</w:t>
      </w:r>
      <w:bookmarkEnd w:id="446"/>
      <w:bookmarkEnd w:id="447"/>
      <w:bookmarkEnd w:id="448"/>
      <w:bookmarkEnd w:id="449"/>
      <w:bookmarkEnd w:id="45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宋体" w:hAnsi="宋体" w:eastAsia="宋体" w:cs="宋体"/>
          <w:b/>
          <w:color w:val="auto"/>
          <w:sz w:val="24"/>
          <w:highlight w:val="none"/>
        </w:rPr>
      </w:pPr>
      <w:bookmarkStart w:id="451" w:name="_Toc26555"/>
      <w:bookmarkStart w:id="452" w:name="_Toc22011"/>
      <w:bookmarkStart w:id="453" w:name="_Toc31233"/>
      <w:bookmarkStart w:id="454" w:name="_Toc32670"/>
      <w:bookmarkStart w:id="455" w:name="_Toc15447"/>
      <w:r>
        <w:rPr>
          <w:rFonts w:hint="eastAsia" w:ascii="宋体" w:hAnsi="宋体" w:eastAsia="宋体" w:cs="宋体"/>
          <w:b/>
          <w:color w:val="auto"/>
          <w:sz w:val="24"/>
          <w:highlight w:val="none"/>
        </w:rPr>
        <w:t>2.5 结算方式和付款条件</w:t>
      </w:r>
      <w:bookmarkEnd w:id="451"/>
      <w:bookmarkEnd w:id="452"/>
      <w:bookmarkEnd w:id="453"/>
      <w:bookmarkEnd w:id="454"/>
      <w:bookmarkEnd w:id="455"/>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456" w:name="_Toc16163"/>
      <w:bookmarkStart w:id="457" w:name="_Toc13154"/>
      <w:bookmarkStart w:id="458" w:name="_Toc18990"/>
      <w:bookmarkStart w:id="459" w:name="_Toc30507"/>
      <w:bookmarkStart w:id="460" w:name="_Toc13467"/>
      <w:r>
        <w:rPr>
          <w:rFonts w:hint="eastAsia" w:ascii="宋体" w:hAnsi="宋体" w:eastAsia="宋体" w:cs="宋体"/>
          <w:b/>
          <w:color w:val="auto"/>
          <w:sz w:val="24"/>
          <w:highlight w:val="none"/>
        </w:rPr>
        <w:t>2.6 技术资料和保密义务</w:t>
      </w:r>
      <w:bookmarkEnd w:id="456"/>
      <w:bookmarkEnd w:id="457"/>
      <w:bookmarkEnd w:id="458"/>
      <w:bookmarkEnd w:id="459"/>
      <w:bookmarkEnd w:id="46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宋体" w:hAnsi="宋体" w:eastAsia="宋体" w:cs="宋体"/>
          <w:b/>
          <w:color w:val="auto"/>
          <w:sz w:val="24"/>
          <w:highlight w:val="none"/>
        </w:rPr>
      </w:pPr>
      <w:bookmarkStart w:id="461" w:name="_Toc19069"/>
      <w:r>
        <w:rPr>
          <w:rFonts w:hint="eastAsia" w:ascii="宋体" w:hAnsi="宋体" w:eastAsia="宋体" w:cs="宋体"/>
          <w:b/>
          <w:color w:val="auto"/>
          <w:sz w:val="24"/>
          <w:highlight w:val="none"/>
        </w:rPr>
        <w:t>2.7 质量保证</w:t>
      </w:r>
      <w:bookmarkEnd w:id="46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宋体" w:hAnsi="宋体" w:eastAsia="宋体" w:cs="宋体"/>
          <w:b/>
          <w:color w:val="auto"/>
          <w:sz w:val="24"/>
          <w:highlight w:val="none"/>
        </w:rPr>
      </w:pPr>
      <w:bookmarkStart w:id="462" w:name="_Toc22267"/>
      <w:r>
        <w:rPr>
          <w:rFonts w:hint="eastAsia" w:ascii="宋体" w:hAnsi="宋体" w:eastAsia="宋体" w:cs="宋体"/>
          <w:b/>
          <w:color w:val="auto"/>
          <w:sz w:val="24"/>
          <w:highlight w:val="none"/>
        </w:rPr>
        <w:t>2.8 延迟履行</w:t>
      </w:r>
      <w:bookmarkEnd w:id="462"/>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宋体" w:hAnsi="宋体" w:eastAsia="宋体" w:cs="宋体"/>
          <w:b/>
          <w:color w:val="auto"/>
          <w:sz w:val="24"/>
          <w:highlight w:val="none"/>
        </w:rPr>
      </w:pPr>
      <w:bookmarkStart w:id="463" w:name="_Toc10611"/>
      <w:r>
        <w:rPr>
          <w:rFonts w:hint="eastAsia" w:ascii="宋体" w:hAnsi="宋体" w:eastAsia="宋体" w:cs="宋体"/>
          <w:b/>
          <w:color w:val="auto"/>
          <w:sz w:val="24"/>
          <w:highlight w:val="none"/>
        </w:rPr>
        <w:t>2.9 合同变更</w:t>
      </w:r>
      <w:bookmarkEnd w:id="46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highlight w:val="none"/>
        </w:rPr>
      </w:pPr>
      <w:bookmarkStart w:id="464" w:name="_Toc10663"/>
      <w:bookmarkStart w:id="465" w:name="_Toc26689"/>
      <w:bookmarkStart w:id="466" w:name="_Toc23368"/>
      <w:bookmarkStart w:id="467" w:name="_Toc21830"/>
      <w:bookmarkStart w:id="468" w:name="_Toc42"/>
      <w:r>
        <w:rPr>
          <w:rFonts w:hint="eastAsia" w:ascii="宋体" w:hAnsi="宋体" w:eastAsia="宋体" w:cs="宋体"/>
          <w:b/>
          <w:color w:val="auto"/>
          <w:sz w:val="24"/>
          <w:highlight w:val="none"/>
        </w:rPr>
        <w:t>2.10 合同转让和分包</w:t>
      </w:r>
      <w:bookmarkEnd w:id="464"/>
      <w:bookmarkEnd w:id="465"/>
      <w:bookmarkEnd w:id="466"/>
      <w:bookmarkEnd w:id="467"/>
      <w:bookmarkEnd w:id="46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宋体" w:hAnsi="宋体" w:eastAsia="宋体" w:cs="宋体"/>
          <w:b/>
          <w:color w:val="auto"/>
          <w:sz w:val="24"/>
          <w:highlight w:val="none"/>
        </w:rPr>
      </w:pPr>
      <w:bookmarkStart w:id="469" w:name="_Toc25571"/>
      <w:bookmarkStart w:id="470" w:name="_Toc4720"/>
      <w:bookmarkStart w:id="471" w:name="_Toc14371"/>
      <w:bookmarkStart w:id="472" w:name="_Toc26633"/>
      <w:bookmarkStart w:id="473" w:name="_Toc32494"/>
      <w:r>
        <w:rPr>
          <w:rFonts w:hint="eastAsia" w:ascii="宋体" w:hAnsi="宋体" w:eastAsia="宋体" w:cs="宋体"/>
          <w:b/>
          <w:color w:val="auto"/>
          <w:sz w:val="24"/>
          <w:highlight w:val="none"/>
        </w:rPr>
        <w:t>2.11 不可抗力</w:t>
      </w:r>
      <w:bookmarkEnd w:id="469"/>
      <w:bookmarkEnd w:id="470"/>
      <w:bookmarkEnd w:id="471"/>
      <w:bookmarkEnd w:id="472"/>
      <w:bookmarkEnd w:id="47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pPr>
        <w:spacing w:line="560" w:lineRule="exact"/>
        <w:ind w:firstLine="482" w:firstLineChars="200"/>
        <w:outlineLvl w:val="0"/>
        <w:rPr>
          <w:rFonts w:hint="eastAsia" w:ascii="宋体" w:hAnsi="宋体" w:eastAsia="宋体" w:cs="宋体"/>
          <w:b/>
          <w:color w:val="auto"/>
          <w:sz w:val="24"/>
          <w:highlight w:val="none"/>
        </w:rPr>
      </w:pPr>
      <w:bookmarkStart w:id="474" w:name="_Toc23854"/>
      <w:bookmarkStart w:id="475" w:name="_Toc25783"/>
      <w:bookmarkStart w:id="476" w:name="_Toc24465"/>
      <w:bookmarkStart w:id="477" w:name="_Toc3638"/>
      <w:bookmarkStart w:id="478" w:name="_Toc14115"/>
      <w:r>
        <w:rPr>
          <w:rFonts w:hint="eastAsia" w:ascii="宋体" w:hAnsi="宋体" w:eastAsia="宋体" w:cs="宋体"/>
          <w:b/>
          <w:color w:val="auto"/>
          <w:sz w:val="24"/>
          <w:highlight w:val="none"/>
        </w:rPr>
        <w:t>2.12 税费</w:t>
      </w:r>
      <w:bookmarkEnd w:id="474"/>
      <w:bookmarkEnd w:id="475"/>
      <w:bookmarkEnd w:id="476"/>
      <w:bookmarkEnd w:id="477"/>
      <w:bookmarkEnd w:id="47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pPr>
        <w:spacing w:line="560" w:lineRule="exact"/>
        <w:ind w:firstLine="482" w:firstLineChars="200"/>
        <w:outlineLvl w:val="0"/>
        <w:rPr>
          <w:rFonts w:hint="eastAsia" w:ascii="宋体" w:hAnsi="宋体" w:eastAsia="宋体" w:cs="宋体"/>
          <w:b/>
          <w:color w:val="auto"/>
          <w:sz w:val="24"/>
          <w:highlight w:val="none"/>
        </w:rPr>
      </w:pPr>
      <w:bookmarkStart w:id="479" w:name="_Toc25525"/>
      <w:bookmarkStart w:id="480" w:name="_Toc30105"/>
      <w:bookmarkStart w:id="481" w:name="_Toc7315"/>
      <w:bookmarkStart w:id="482" w:name="_Toc26883"/>
      <w:bookmarkStart w:id="483" w:name="_Toc14814"/>
      <w:r>
        <w:rPr>
          <w:rFonts w:hint="eastAsia" w:ascii="宋体" w:hAnsi="宋体" w:eastAsia="宋体" w:cs="宋体"/>
          <w:b/>
          <w:color w:val="auto"/>
          <w:sz w:val="24"/>
          <w:highlight w:val="none"/>
        </w:rPr>
        <w:t>2.13 乙方破产</w:t>
      </w:r>
      <w:bookmarkEnd w:id="479"/>
      <w:bookmarkEnd w:id="480"/>
      <w:bookmarkEnd w:id="481"/>
      <w:bookmarkEnd w:id="482"/>
      <w:bookmarkEnd w:id="48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宋体" w:hAnsi="宋体" w:eastAsia="宋体" w:cs="宋体"/>
          <w:b/>
          <w:color w:val="auto"/>
          <w:sz w:val="24"/>
          <w:highlight w:val="none"/>
        </w:rPr>
      </w:pPr>
      <w:bookmarkStart w:id="484" w:name="_Toc2016"/>
      <w:bookmarkStart w:id="485" w:name="_Toc23323"/>
      <w:bookmarkStart w:id="486" w:name="_Toc1123"/>
      <w:r>
        <w:rPr>
          <w:rFonts w:hint="eastAsia" w:ascii="宋体" w:hAnsi="宋体" w:eastAsia="宋体" w:cs="宋体"/>
          <w:b/>
          <w:color w:val="auto"/>
          <w:sz w:val="24"/>
          <w:highlight w:val="none"/>
        </w:rPr>
        <w:t>2.14 合同中止、终止</w:t>
      </w:r>
      <w:bookmarkEnd w:id="484"/>
      <w:bookmarkEnd w:id="485"/>
      <w:bookmarkEnd w:id="486"/>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highlight w:val="none"/>
        </w:rPr>
      </w:pPr>
      <w:bookmarkStart w:id="487" w:name="_Toc1969"/>
      <w:bookmarkStart w:id="488" w:name="_Toc14525"/>
      <w:bookmarkStart w:id="489" w:name="_Toc17363"/>
      <w:r>
        <w:rPr>
          <w:rFonts w:hint="eastAsia" w:ascii="宋体" w:hAnsi="宋体" w:eastAsia="宋体" w:cs="宋体"/>
          <w:b/>
          <w:color w:val="auto"/>
          <w:sz w:val="24"/>
          <w:highlight w:val="none"/>
        </w:rPr>
        <w:t>2.15 检验和验收</w:t>
      </w:r>
      <w:bookmarkEnd w:id="487"/>
      <w:bookmarkEnd w:id="488"/>
      <w:bookmarkEnd w:id="489"/>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490" w:name="_Toc25198"/>
      <w:bookmarkStart w:id="491" w:name="_Toc9808"/>
      <w:bookmarkStart w:id="492" w:name="_Toc12666"/>
      <w:bookmarkStart w:id="493" w:name="_Toc2308"/>
      <w:bookmarkStart w:id="494" w:name="_Toc31892"/>
      <w:r>
        <w:rPr>
          <w:rFonts w:hint="eastAsia" w:ascii="宋体" w:hAnsi="宋体" w:eastAsia="宋体" w:cs="宋体"/>
          <w:b/>
          <w:color w:val="auto"/>
          <w:sz w:val="24"/>
          <w:highlight w:val="none"/>
        </w:rPr>
        <w:t>2.16 通知和送达</w:t>
      </w:r>
      <w:bookmarkEnd w:id="490"/>
      <w:bookmarkEnd w:id="491"/>
      <w:bookmarkEnd w:id="492"/>
      <w:bookmarkEnd w:id="493"/>
      <w:bookmarkEnd w:id="494"/>
    </w:p>
    <w:p>
      <w:pPr>
        <w:spacing w:line="560" w:lineRule="exact"/>
        <w:ind w:firstLine="480" w:firstLineChars="200"/>
        <w:rPr>
          <w:rFonts w:hint="eastAsia" w:ascii="宋体" w:hAnsi="宋体" w:eastAsia="宋体" w:cs="宋体"/>
          <w:color w:val="auto"/>
          <w:sz w:val="24"/>
          <w:highlight w:val="none"/>
        </w:rPr>
      </w:pPr>
      <w:bookmarkStart w:id="495" w:name="_Toc18401"/>
      <w:bookmarkStart w:id="496" w:name="_Toc27674"/>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5"/>
      <w:bookmarkEnd w:id="496"/>
    </w:p>
    <w:p>
      <w:pPr>
        <w:spacing w:line="560" w:lineRule="exact"/>
        <w:ind w:firstLine="482" w:firstLineChars="200"/>
        <w:outlineLvl w:val="0"/>
        <w:rPr>
          <w:rFonts w:hint="eastAsia" w:ascii="宋体" w:hAnsi="宋体" w:eastAsia="宋体" w:cs="宋体"/>
          <w:b/>
          <w:color w:val="auto"/>
          <w:sz w:val="24"/>
          <w:highlight w:val="none"/>
        </w:rPr>
      </w:pPr>
      <w:bookmarkStart w:id="497" w:name="_Toc27644"/>
      <w:bookmarkStart w:id="498" w:name="_Toc12254"/>
      <w:bookmarkStart w:id="499" w:name="_Toc20808"/>
      <w:bookmarkStart w:id="500" w:name="_Toc5063"/>
      <w:bookmarkStart w:id="501" w:name="_Toc28906"/>
      <w:r>
        <w:rPr>
          <w:rFonts w:hint="eastAsia" w:ascii="宋体" w:hAnsi="宋体" w:eastAsia="宋体" w:cs="宋体"/>
          <w:b/>
          <w:color w:val="auto"/>
          <w:sz w:val="24"/>
          <w:highlight w:val="none"/>
        </w:rPr>
        <w:t>2.17 合同使用的文字和适用的法律</w:t>
      </w:r>
      <w:bookmarkEnd w:id="497"/>
      <w:bookmarkEnd w:id="498"/>
      <w:bookmarkEnd w:id="499"/>
      <w:bookmarkEnd w:id="500"/>
      <w:bookmarkEnd w:id="50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pPr>
        <w:spacing w:line="560" w:lineRule="exact"/>
        <w:ind w:firstLine="482" w:firstLineChars="200"/>
        <w:outlineLvl w:val="0"/>
        <w:rPr>
          <w:rFonts w:hint="eastAsia" w:ascii="宋体" w:hAnsi="宋体" w:eastAsia="宋体" w:cs="宋体"/>
          <w:b/>
          <w:color w:val="auto"/>
          <w:sz w:val="24"/>
          <w:highlight w:val="none"/>
        </w:rPr>
      </w:pPr>
      <w:bookmarkStart w:id="502" w:name="_Toc22266"/>
      <w:bookmarkStart w:id="503" w:name="_Toc30096"/>
      <w:bookmarkStart w:id="504" w:name="_Toc27127"/>
      <w:bookmarkStart w:id="505" w:name="_Toc27403"/>
      <w:bookmarkStart w:id="506" w:name="_Toc1492"/>
      <w:r>
        <w:rPr>
          <w:rFonts w:hint="eastAsia" w:ascii="宋体" w:hAnsi="宋体" w:eastAsia="宋体" w:cs="宋体"/>
          <w:b/>
          <w:color w:val="auto"/>
          <w:sz w:val="24"/>
          <w:highlight w:val="none"/>
        </w:rPr>
        <w:t>2.18 履约保证金</w:t>
      </w:r>
      <w:bookmarkEnd w:id="502"/>
      <w:bookmarkEnd w:id="503"/>
      <w:bookmarkEnd w:id="504"/>
      <w:bookmarkEnd w:id="505"/>
      <w:bookmarkEnd w:id="506"/>
    </w:p>
    <w:p>
      <w:pPr>
        <w:pStyle w:val="958"/>
        <w:spacing w:before="0" w:beforeAutospacing="0" w:after="0" w:afterAutospacing="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2.18.1 采购文件要求乙方提交履约保证金的，乙方应按</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2.18.2  甲方在项目验收结束后及时退还履约保证金。甲方在项目通过验收之日起</w:t>
      </w:r>
      <w:r>
        <w:rPr>
          <w:rFonts w:hint="eastAsia" w:ascii="宋体" w:hAnsi="宋体" w:eastAsia="宋体" w:cs="宋体"/>
          <w:color w:val="auto"/>
          <w:sz w:val="24"/>
          <w:highlight w:val="none"/>
          <w:u w:val="single"/>
        </w:rPr>
        <w:t xml:space="preserve"> 5 </w:t>
      </w:r>
      <w:r>
        <w:rPr>
          <w:rFonts w:hint="eastAsia" w:ascii="宋体" w:hAnsi="宋体" w:eastAsia="宋体" w:cs="宋体"/>
          <w:color w:val="auto"/>
          <w:sz w:val="24"/>
          <w:highlight w:val="none"/>
        </w:rPr>
        <w:t>个工作日内，按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约定的方式将履约保证金退还乙方，逾期退还的，乙方可要求甲方支付违约金，违约金按每迟延退还一日的应退还而未退还金额的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%计算，最高限额为本合同履约保证金的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 xml:space="preserve">%； </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2.18.4</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甲方在乙方履行完合同约定义务事项后及时退还，延迟退还的，应当按照合同约定和法律规定承担相应的赔偿责任。</w:t>
      </w:r>
    </w:p>
    <w:p>
      <w:pPr>
        <w:spacing w:line="56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2.19</w:t>
      </w:r>
      <w:r>
        <w:rPr>
          <w:rFonts w:hint="eastAsia" w:ascii="宋体" w:hAnsi="宋体" w:eastAsia="宋体" w:cs="宋体"/>
          <w:color w:val="auto"/>
          <w:sz w:val="24"/>
          <w:highlight w:val="none"/>
        </w:rPr>
        <w:t>对于因甲方原因导致变更、中止或者终止政府采购合同的，甲方应当依照合同约定对供应商受到的损失予以赔偿或者补偿。</w:t>
      </w:r>
    </w:p>
    <w:p>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2.20合同份数</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pStyle w:val="700"/>
        <w:spacing w:line="560" w:lineRule="exact"/>
        <w:jc w:val="center"/>
        <w:rPr>
          <w:rFonts w:hint="eastAsia" w:ascii="宋体" w:hAnsi="宋体" w:eastAsia="宋体" w:cs="宋体"/>
          <w:b/>
          <w:color w:val="auto"/>
          <w:szCs w:val="24"/>
          <w:highlight w:val="none"/>
        </w:rPr>
      </w:pPr>
      <w:r>
        <w:rPr>
          <w:rFonts w:hint="eastAsia" w:ascii="宋体" w:hAnsi="宋体" w:eastAsia="宋体" w:cs="宋体"/>
          <w:color w:val="auto"/>
          <w:kern w:val="0"/>
          <w:szCs w:val="24"/>
          <w:highlight w:val="none"/>
        </w:rPr>
        <w:br w:type="page"/>
      </w:r>
      <w:bookmarkStart w:id="507" w:name="_Toc331685784"/>
      <w:r>
        <w:rPr>
          <w:rFonts w:hint="eastAsia" w:ascii="宋体" w:hAnsi="宋体" w:eastAsia="宋体" w:cs="宋体"/>
          <w:b/>
          <w:color w:val="auto"/>
          <w:szCs w:val="24"/>
          <w:highlight w:val="none"/>
        </w:rPr>
        <w:t xml:space="preserve"> </w:t>
      </w:r>
      <w:bookmarkEnd w:id="507"/>
      <w:r>
        <w:rPr>
          <w:rFonts w:hint="eastAsia" w:ascii="宋体" w:hAnsi="宋体" w:eastAsia="宋体" w:cs="宋体"/>
          <w:b/>
          <w:color w:val="auto"/>
          <w:szCs w:val="24"/>
          <w:highlight w:val="none"/>
        </w:rPr>
        <w:t>第三部分  合同专用条款</w:t>
      </w:r>
    </w:p>
    <w:p>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8"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5"/>
        <w:gridCol w:w="829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2" w:type="pct"/>
            <w:tcBorders>
              <w:lef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4537" w:type="pct"/>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1.4.4</w:t>
            </w:r>
          </w:p>
        </w:tc>
        <w:tc>
          <w:tcPr>
            <w:tcW w:w="4537" w:type="pct"/>
            <w:vAlign w:val="center"/>
          </w:tcPr>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①预付款：合同预付款比例为合同金额的50％，应在合同生效以及具备实施条件后7个工作日内支付；</w:t>
            </w:r>
          </w:p>
          <w:p>
            <w:pPr>
              <w:pStyle w:val="25"/>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rPr>
              <w:t>向</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支付预付款的同时，</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须提交相同额度的由银行</w:t>
            </w:r>
            <w:r>
              <w:rPr>
                <w:rFonts w:hint="eastAsia" w:cs="宋体"/>
                <w:color w:val="auto"/>
                <w:sz w:val="24"/>
                <w:highlight w:val="none"/>
                <w:lang w:eastAsia="zh-CN"/>
              </w:rPr>
              <w:t>（</w:t>
            </w:r>
            <w:r>
              <w:rPr>
                <w:rFonts w:hint="eastAsia" w:cs="宋体"/>
                <w:color w:val="auto"/>
                <w:sz w:val="24"/>
                <w:highlight w:val="none"/>
                <w:lang w:val="en-US" w:eastAsia="zh-CN"/>
              </w:rPr>
              <w:t>五大行</w:t>
            </w:r>
            <w:r>
              <w:rPr>
                <w:rFonts w:hint="eastAsia" w:cs="宋体"/>
                <w:color w:val="auto"/>
                <w:sz w:val="24"/>
                <w:highlight w:val="none"/>
                <w:lang w:eastAsia="zh-CN"/>
              </w:rPr>
              <w:t>）</w:t>
            </w:r>
            <w:r>
              <w:rPr>
                <w:rFonts w:hint="eastAsia" w:ascii="宋体" w:hAnsi="宋体" w:eastAsia="宋体" w:cs="宋体"/>
                <w:color w:val="auto"/>
                <w:sz w:val="24"/>
                <w:highlight w:val="none"/>
              </w:rPr>
              <w:t>出具的预付款保函。保函期限为</w:t>
            </w:r>
            <w:r>
              <w:rPr>
                <w:rFonts w:hint="eastAsia" w:ascii="宋体" w:hAnsi="宋体" w:eastAsia="宋体" w:cs="宋体"/>
                <w:color w:val="auto"/>
                <w:sz w:val="24"/>
                <w:highlight w:val="none"/>
                <w:lang w:val="en-US" w:eastAsia="zh-CN"/>
              </w:rPr>
              <w:t>一年</w:t>
            </w:r>
            <w:r>
              <w:rPr>
                <w:rFonts w:hint="eastAsia" w:ascii="宋体" w:hAnsi="宋体" w:eastAsia="宋体" w:cs="宋体"/>
                <w:color w:val="auto"/>
                <w:sz w:val="24"/>
                <w:highlight w:val="none"/>
              </w:rPr>
              <w:t>。</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②进度款：根据考核及审计结果按月支付，在下个月20日前支付（扣除相应处罚款项）至审定金额得90%，剩余10%在服务期满后一次性支付。</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 3 \* GB3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③</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工程量以甲方现场负责人</w:t>
            </w:r>
            <w:r>
              <w:rPr>
                <w:rFonts w:hint="eastAsia" w:ascii="宋体" w:hAnsi="宋体" w:eastAsia="宋体" w:cs="宋体"/>
                <w:color w:val="auto"/>
                <w:sz w:val="24"/>
                <w:highlight w:val="none"/>
                <w:lang w:val="en-US" w:eastAsia="zh-CN"/>
              </w:rPr>
              <w:t>及第三方监理</w:t>
            </w:r>
            <w:r>
              <w:rPr>
                <w:rFonts w:hint="eastAsia" w:ascii="宋体" w:hAnsi="宋体" w:eastAsia="宋体" w:cs="宋体"/>
                <w:color w:val="auto"/>
                <w:sz w:val="24"/>
                <w:highlight w:val="none"/>
              </w:rPr>
              <w:t>签字确认为准。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4537" w:type="pct"/>
            <w:vAlign w:val="center"/>
          </w:tcPr>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服务期</w:t>
            </w:r>
            <w:r>
              <w:rPr>
                <w:rFonts w:hint="eastAsia" w:ascii="宋体" w:hAnsi="宋体" w:eastAsia="宋体" w:cs="宋体"/>
                <w:color w:val="auto"/>
                <w:sz w:val="24"/>
                <w:highlight w:val="none"/>
              </w:rPr>
              <w:t>：一年（2022年  月  日-2023年  月  日），服务期内必须随时待命随时处置，24小时随时响应，在接到</w:t>
            </w: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rPr>
              <w:t>通知后5分钟内响应，30分钟内到达指定整治地点，</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须根据</w:t>
            </w: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rPr>
              <w:t>要求做好整治工作。中标单位没有按合同规定服务，甲方有权终止合同，另行招标采购。中标乙方不得将相关工作转包，一经发现有转包行为本协议自动终止，并追究中标乙方相关责任。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4537" w:type="pct"/>
            <w:vAlign w:val="center"/>
          </w:tcPr>
          <w:p>
            <w:pPr>
              <w:pStyle w:val="23"/>
              <w:keepNext w:val="0"/>
              <w:keepLines w:val="0"/>
              <w:pageBreakBefore w:val="0"/>
              <w:widowControl w:val="0"/>
              <w:kinsoku/>
              <w:wordWrap/>
              <w:overflowPunct/>
              <w:topLinePunct w:val="0"/>
              <w:bidi w:val="0"/>
              <w:spacing w:line="36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bCs/>
                <w:color w:val="auto"/>
                <w:sz w:val="24"/>
                <w:szCs w:val="24"/>
                <w:highlight w:val="none"/>
                <w:lang w:val="en-US" w:eastAsia="zh-CN"/>
              </w:rPr>
              <w:t>本次采购服务内容位于杭州市滨江区浦沿街道浦沿路以西范围内</w:t>
            </w:r>
            <w:r>
              <w:rPr>
                <w:rFonts w:hint="eastAsia" w:ascii="宋体" w:hAnsi="宋体" w:eastAsia="宋体" w:cs="宋体"/>
                <w:color w:val="auto"/>
                <w:sz w:val="24"/>
                <w:szCs w:val="24"/>
                <w:highlight w:val="none"/>
                <w:lang w:val="en-US" w:eastAsia="zh-CN"/>
              </w:rPr>
              <w:t>的道路、河道、沿街商铺等全域范围，主要涉及社区有：</w:t>
            </w:r>
            <w:r>
              <w:rPr>
                <w:rFonts w:hint="eastAsia" w:ascii="宋体" w:hAnsi="宋体" w:eastAsia="宋体" w:cs="宋体"/>
                <w:color w:val="auto"/>
                <w:sz w:val="24"/>
                <w:szCs w:val="24"/>
                <w:highlight w:val="none"/>
                <w:u w:val="single"/>
                <w:lang w:val="en-US" w:eastAsia="zh-CN"/>
              </w:rPr>
              <w:t xml:space="preserve"> 杨家墩社区、滨文社区、明德社区、东冠社区、山二社区、岩大房社区、冠一社区、冠二社区、向南社区 </w:t>
            </w:r>
            <w:r>
              <w:rPr>
                <w:rFonts w:hint="eastAsia" w:ascii="宋体" w:hAnsi="宋体" w:eastAsia="宋体" w:cs="宋体"/>
                <w:color w:val="auto"/>
                <w:sz w:val="24"/>
                <w:szCs w:val="24"/>
                <w:highlight w:val="none"/>
                <w:lang w:val="en-US" w:eastAsia="zh-CN"/>
              </w:rPr>
              <w:t>。以及各社区周边或之间，浦沿街道范围内浦沿路以西沿线主要道路、次要道路及背街小巷的道路。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4537" w:type="pct"/>
            <w:vAlign w:val="center"/>
          </w:tcPr>
          <w:p>
            <w:pPr>
              <w:spacing w:beforeLines="50" w:line="360" w:lineRule="auto"/>
              <w:ind w:firstLine="482" w:firstLineChars="200"/>
              <w:rPr>
                <w:rFonts w:hint="eastAsia" w:ascii="宋体" w:hAnsi="宋体" w:eastAsia="宋体" w:cs="宋体"/>
                <w:b/>
                <w:bCs/>
                <w:color w:val="auto"/>
                <w:sz w:val="24"/>
                <w:highlight w:val="none"/>
                <w:u w:val="none"/>
              </w:rPr>
            </w:pPr>
            <w:r>
              <w:rPr>
                <w:rFonts w:hint="eastAsia" w:ascii="宋体" w:hAnsi="宋体" w:eastAsia="宋体" w:cs="宋体"/>
                <w:b/>
                <w:bCs/>
                <w:color w:val="auto"/>
                <w:sz w:val="24"/>
                <w:highlight w:val="none"/>
              </w:rPr>
              <w:t>服务内容为零星应急处置项目，解决标项辖区范围内当前尚未完全覆盖或暂无法明确主体（无主案卷）的城市基础设施的市政、市容、绿化、</w:t>
            </w:r>
            <w:r>
              <w:rPr>
                <w:rFonts w:hint="eastAsia" w:ascii="宋体" w:hAnsi="宋体" w:eastAsia="宋体" w:cs="宋体"/>
                <w:b/>
                <w:bCs/>
                <w:color w:val="auto"/>
                <w:sz w:val="24"/>
                <w:highlight w:val="none"/>
                <w:u w:val="none"/>
              </w:rPr>
              <w:t>亮灯、河道等修缮、整改、维护管养工作。</w:t>
            </w:r>
          </w:p>
          <w:p>
            <w:pPr>
              <w:spacing w:beforeLines="50" w:line="36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实施包含但不限于下列所述处置内容：</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（1）辖区范围内无主的城市家具维修和背街小巷改造后维护；</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（2）采购人临时指派的全民监督平台交办的应急设施整改；</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（3）无主交接箱类整治清理；</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（4）无主井盖整治；</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（5）不明架空线缆脱落或线缆垂挂的清理；</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（6）无主护栏清理；</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（7）无主外立面（含台阶）脱落或破损的修复；</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（8）未移交道路、桥、隧等设施的修复；</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（9）高空悬挂物清理：高空的树枝悬挂物、线缆悬挂物的清理；</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（10）宣传广告清理：破损公益广告（含宣传栏内）的清理；</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（11）突发状况：2小时内完成设置应急警示柱及固边警示工作（如道路塌陷、树木倒扶、低洼积水）；</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（12）人行道板和沥青路面的修复；</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（13）违规店招店牌的整治；</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（14）无主垃圾的清运；</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（15）辖区范围内当前尚未完全覆盖或暂无法明确主体（无主案卷）的城市基础设施的绿化缺失、修剪和枯死的补种；</w:t>
            </w:r>
          </w:p>
          <w:p>
            <w:pPr>
              <w:pStyle w:val="25"/>
              <w:adjustRightInd/>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（16）晾晒衣物、乱挂乱放等现象的清理；</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（17）绿化带内居民违规种菜现象治理和垃圾的清理；</w:t>
            </w:r>
          </w:p>
          <w:p>
            <w:pPr>
              <w:pStyle w:val="2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（18）其他绿化方面的数字城管等工作；</w:t>
            </w:r>
          </w:p>
          <w:p>
            <w:pPr>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（19）其他无主类及职能不清的案卷代整治。</w:t>
            </w:r>
          </w:p>
          <w:p>
            <w:pPr>
              <w:spacing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w:t>
            </w: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rPr>
              <w:t>将相应任务交予</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必须无条件予以响应；</w:t>
            </w:r>
            <w:r>
              <w:rPr>
                <w:rFonts w:hint="eastAsia" w:ascii="宋体" w:hAnsi="宋体" w:eastAsia="宋体" w:cs="宋体"/>
                <w:color w:val="auto"/>
                <w:sz w:val="24"/>
                <w:highlight w:val="none"/>
                <w:lang w:val="en-US" w:eastAsia="zh-CN"/>
              </w:rPr>
              <w:t>乙方</w:t>
            </w:r>
            <w:r>
              <w:rPr>
                <w:rFonts w:hint="eastAsia" w:ascii="宋体" w:hAnsi="宋体" w:eastAsia="宋体" w:cs="宋体"/>
                <w:color w:val="auto"/>
                <w:sz w:val="24"/>
                <w:highlight w:val="none"/>
              </w:rPr>
              <w:t>对以上工作实行长效管理，出现问题时，及时予以解决。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1.6.7</w:t>
            </w:r>
          </w:p>
        </w:tc>
        <w:tc>
          <w:tcPr>
            <w:tcW w:w="4537" w:type="pct"/>
            <w:vAlign w:val="center"/>
          </w:tcPr>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乙方在服务期间，出现以下情况之一，甲方有权终止合同并要求乙方支付违约金20万元，若甲方受到的损失超过违约金的，甲方有权就实际损失向乙方追偿。</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1、未经甲方允许，擅自将中标项目转让(转包)给他人；</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2、不符合工程技术标准的；</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3、造成重特大交通事故的；或被媒体曝光的。</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4、乙方擅自变更项目班子成员的；</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5、乙方其他违反本合同约定的行为的。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w:t>
            </w:r>
          </w:p>
        </w:tc>
        <w:tc>
          <w:tcPr>
            <w:tcW w:w="4537" w:type="pct"/>
            <w:vAlign w:val="center"/>
          </w:tcPr>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本合同履行过程中发生的任何争议，双方当事人均可通过和解或者调解解决；不愿和解、调解或者和解、调解不成的，可以选择以下第 </w:t>
            </w:r>
            <w:r>
              <w:rPr>
                <w:rFonts w:hint="eastAsia" w:ascii="宋体" w:hAnsi="宋体" w:eastAsia="宋体" w:cs="宋体"/>
                <w:color w:val="auto"/>
                <w:sz w:val="24"/>
                <w:highlight w:val="none"/>
                <w:u w:val="single"/>
                <w:lang w:val="en-US" w:eastAsia="zh-CN"/>
              </w:rPr>
              <w:t>1.7.</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4537" w:type="pct"/>
            <w:vAlign w:val="center"/>
          </w:tcPr>
          <w:p>
            <w:pPr>
              <w:spacing w:line="360" w:lineRule="auto"/>
              <w:ind w:firstLine="480" w:firstLineChars="200"/>
              <w:jc w:val="both"/>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4537" w:type="pct"/>
            <w:vAlign w:val="center"/>
          </w:tcPr>
          <w:p>
            <w:pPr>
              <w:spacing w:beforeLines="50" w:line="360" w:lineRule="exact"/>
              <w:ind w:firstLine="240" w:firstLineChars="10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杭州市滨江区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4537" w:type="pct"/>
            <w:vAlign w:val="center"/>
          </w:tcPr>
          <w:p>
            <w:pPr>
              <w:spacing w:line="360" w:lineRule="auto"/>
              <w:ind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具有知识产权的计算机软件成果归属，归乙方。合同涉及技术成果</w:t>
            </w:r>
          </w:p>
          <w:p>
            <w:pPr>
              <w:spacing w:line="360" w:lineRule="auto"/>
              <w:ind w:right="-420" w:right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归甲方。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4537" w:type="pct"/>
            <w:vAlign w:val="center"/>
          </w:tcPr>
          <w:p>
            <w:pP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见合同条款1.3和1.4.4。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4537"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因不可抗力致使合同变更必要的，双方当事人应在发生后6小时以内以书面形式变更合同。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4537" w:type="pct"/>
          </w:tcPr>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受不可抗力影响的一方在不可抗力发生后，应在1个工作日内以书面形式通知对方当事人，并在3个工作日内，将有关部门出具的证明文件送达对方当事人。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4537" w:type="pct"/>
            <w:vAlign w:val="center"/>
          </w:tcPr>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乙方应按甲方要求，按时保质保量完成落实整治工作，解决率和及时解决率达到100%。乙方必须无条件服从甲方的相关考核规定。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1、乙方在合同履行期间，因不文明施工造成各类投诉的，每发生一件扣2000元。</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乙方在合同履行期间及质保期内，存在施工不符合施工规范要求，偷工减量，以次充好，经甲方发现，视为质量不达标。质量不达标的，每发生1起扣2000元。且甲方有权要求乙方落实整改，拒绝整改或整改不到位的，甲方可以自行委托第三方施工单位整改到位，费用由乙方全部承担，从履约保证金中进行扣除，并该案卷的整个项目总费用全部扣除。</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根据上级领导督办、媒体报道、数字城管抄告、市民投诉、专业监管等情况，综合评出红、橙、黄色预警。被评判为黄色预警的：每月第1次扣款1000元，第2次扣款1500元，第3次扣款2000元（每增加1次增加扣款额500，以此类推）；被评判为红色预警的，招标人有权终止合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4、乙方存在工程量虚报情况的，每次扣款1万元。发生三次工程量虚报情况的，招标人有权终止合同。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5、管理不到位。单个合同期内发生1次管理不到位的，乙方需书面说明原因、分析和整改措施。单个合同期内发生2次以上管理不到位的，甲方立即终止与乙方的合同。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①乙方在合同履行期间，存在欠薪讨薪，引发、带头、参与集体上访的，视为管理不到位。</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②甲方对乙方全年扣款总数进行考核，考核扣款超过年整治经费5%的，视为1次管理不到位；考核扣款超过年整治经费10%的，视为2次管理不到位。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4537"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见</w:t>
            </w:r>
            <w:r>
              <w:rPr>
                <w:rFonts w:hint="eastAsia" w:ascii="宋体" w:hAnsi="宋体" w:cs="宋体"/>
                <w:color w:val="auto"/>
                <w:sz w:val="24"/>
                <w:highlight w:val="none"/>
                <w:lang w:val="en-US" w:eastAsia="zh-CN"/>
              </w:rPr>
              <w:t>合同条款</w:t>
            </w:r>
            <w:r>
              <w:rPr>
                <w:rFonts w:hint="eastAsia" w:ascii="宋体" w:hAnsi="宋体" w:eastAsia="宋体" w:cs="宋体"/>
                <w:color w:val="auto"/>
                <w:sz w:val="24"/>
                <w:highlight w:val="none"/>
                <w:lang w:val="en-US" w:eastAsia="zh-CN"/>
              </w:rPr>
              <w:t>2.15.1。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2.18.1</w:t>
            </w:r>
          </w:p>
        </w:tc>
        <w:tc>
          <w:tcPr>
            <w:tcW w:w="4537" w:type="pct"/>
            <w:vAlign w:val="center"/>
          </w:tcPr>
          <w:p>
            <w:pPr>
              <w:spacing w:beforeLines="50" w:line="360" w:lineRule="exact"/>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在中标通知书发出后7日内乙方应当向甲方提交</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万元</w:t>
            </w:r>
            <w:r>
              <w:rPr>
                <w:rFonts w:hint="eastAsia" w:ascii="宋体" w:hAnsi="宋体" w:eastAsia="宋体" w:cs="宋体"/>
                <w:color w:val="auto"/>
                <w:sz w:val="24"/>
                <w:highlight w:val="none"/>
              </w:rPr>
              <w:t>作为履约保证金（银行、保险公司出具履约保函）。</w:t>
            </w:r>
            <w:r>
              <w:rPr>
                <w:rFonts w:hint="eastAsia" w:ascii="宋体" w:hAnsi="宋体" w:eastAsia="宋体" w:cs="宋体"/>
                <w:color w:val="auto"/>
                <w:sz w:val="24"/>
                <w:highlight w:val="none"/>
                <w:lang w:val="en-US" w:eastAsia="zh-CN"/>
              </w:rPr>
              <w:t>履约保函有效期同项目服务期。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2.18.2</w:t>
            </w:r>
          </w:p>
        </w:tc>
        <w:tc>
          <w:tcPr>
            <w:tcW w:w="4537" w:type="pct"/>
            <w:vAlign w:val="center"/>
          </w:tcPr>
          <w:p>
            <w:pPr>
              <w:spacing w:line="360" w:lineRule="auto"/>
              <w:ind w:firstLine="240" w:firstLineChars="1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2" w:type="pct"/>
            <w:tcBorders>
              <w:left w:val="single" w:color="auto" w:sz="4" w:space="0"/>
            </w:tcBorders>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2.20</w:t>
            </w:r>
          </w:p>
        </w:tc>
        <w:tc>
          <w:tcPr>
            <w:tcW w:w="4537" w:type="pct"/>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eastAsia="宋体" w:cs="宋体"/>
                <w:color w:val="auto"/>
                <w:sz w:val="24"/>
                <w:highlight w:val="none"/>
                <w:lang w:val="en-US" w:eastAsia="zh-CN"/>
              </w:rPr>
              <w:t>捌</w:t>
            </w:r>
            <w:r>
              <w:rPr>
                <w:rFonts w:hint="eastAsia" w:ascii="宋体" w:hAnsi="宋体" w:eastAsia="宋体" w:cs="宋体"/>
                <w:color w:val="auto"/>
                <w:sz w:val="24"/>
                <w:highlight w:val="none"/>
              </w:rPr>
              <w:t>份，甲、乙双方各执</w:t>
            </w:r>
            <w:r>
              <w:rPr>
                <w:rFonts w:hint="eastAsia" w:ascii="宋体" w:hAnsi="宋体" w:eastAsia="宋体" w:cs="宋体"/>
                <w:color w:val="auto"/>
                <w:sz w:val="24"/>
                <w:highlight w:val="none"/>
                <w:lang w:val="en-US" w:eastAsia="zh-CN"/>
              </w:rPr>
              <w:t>肆</w:t>
            </w:r>
            <w:r>
              <w:rPr>
                <w:rFonts w:hint="eastAsia" w:ascii="宋体" w:hAnsi="宋体" w:eastAsia="宋体" w:cs="宋体"/>
                <w:color w:val="auto"/>
                <w:sz w:val="24"/>
                <w:highlight w:val="none"/>
              </w:rPr>
              <w:t>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67" w:hRule="atLeast"/>
        </w:trPr>
        <w:tc>
          <w:tcPr>
            <w:tcW w:w="462" w:type="pct"/>
            <w:tcBorders>
              <w:left w:val="single" w:color="auto" w:sz="4" w:space="0"/>
            </w:tcBorders>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2.21</w:t>
            </w:r>
          </w:p>
        </w:tc>
        <w:tc>
          <w:tcPr>
            <w:tcW w:w="4537" w:type="pct"/>
            <w:vAlign w:val="center"/>
          </w:tcPr>
          <w:p>
            <w:pPr>
              <w:spacing w:beforeLines="50" w:line="36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项目管理班子配备名单</w:t>
            </w:r>
            <w:r>
              <w:rPr>
                <w:rFonts w:hint="eastAsia" w:ascii="宋体" w:hAnsi="宋体" w:eastAsia="宋体" w:cs="宋体"/>
                <w:color w:val="auto"/>
                <w:sz w:val="24"/>
                <w:szCs w:val="24"/>
                <w:highlight w:val="none"/>
                <w:lang w:val="en-US" w:eastAsia="zh-CN"/>
              </w:rPr>
              <w:t>和机械设备</w:t>
            </w:r>
            <w:r>
              <w:rPr>
                <w:rFonts w:hint="eastAsia" w:ascii="宋体" w:hAnsi="宋体" w:eastAsia="宋体" w:cs="宋体"/>
                <w:color w:val="auto"/>
                <w:sz w:val="24"/>
                <w:szCs w:val="24"/>
                <w:highlight w:val="none"/>
              </w:rPr>
              <w:t>需到甲方备案。</w:t>
            </w:r>
          </w:p>
          <w:p>
            <w:pPr>
              <w:spacing w:beforeLines="50" w:line="360" w:lineRule="exact"/>
              <w:ind w:left="1140" w:leftChars="200" w:hanging="720" w:hangingChars="300"/>
              <w:jc w:val="lef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其中项目经理未经甲方允许，不得擅自变更。</w:t>
            </w:r>
            <w:r>
              <w:rPr>
                <w:rFonts w:hint="eastAsia" w:ascii="宋体" w:hAnsi="宋体" w:eastAsia="宋体" w:cs="宋体"/>
                <w:color w:val="auto"/>
                <w:sz w:val="24"/>
                <w:szCs w:val="24"/>
                <w:highlight w:val="none"/>
                <w:lang w:val="en-US" w:eastAsia="zh-CN"/>
              </w:rPr>
              <w:t>相关人员到岗率为：</w:t>
            </w:r>
            <w:r>
              <w:rPr>
                <w:rFonts w:hint="eastAsia" w:ascii="宋体" w:hAnsi="宋体" w:eastAsia="宋体" w:cs="宋体"/>
                <w:color w:val="auto"/>
                <w:sz w:val="24"/>
                <w:szCs w:val="24"/>
                <w:highlight w:val="none"/>
                <w:u w:val="single"/>
                <w:lang w:val="en-US" w:eastAsia="zh-CN"/>
              </w:rPr>
              <w:t xml:space="preserve">           </w:t>
            </w:r>
          </w:p>
          <w:p>
            <w:pPr>
              <w:spacing w:beforeLines="50" w:line="360" w:lineRule="exact"/>
              <w:ind w:left="1140" w:leftChars="200" w:hanging="720" w:hangingChars="3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服务过程中专业操作人员及有特殊要求的岗位，应持证上岗。甲方有权随时</w:t>
            </w:r>
          </w:p>
          <w:p>
            <w:pPr>
              <w:spacing w:beforeLines="50" w:line="360" w:lineRule="exact"/>
              <w:ind w:left="1140" w:leftChars="200" w:hanging="720" w:hangingChars="3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要求乙方变更养护人员，乙方须按甲方要求及时完成变更。</w:t>
            </w:r>
          </w:p>
          <w:p>
            <w:pPr>
              <w:spacing w:beforeLines="50" w:line="36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该项目服务人员组成：</w:t>
            </w:r>
          </w:p>
          <w:tbl>
            <w:tblPr>
              <w:tblStyle w:val="64"/>
              <w:tblW w:w="0" w:type="auto"/>
              <w:tblInd w:w="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978"/>
              <w:gridCol w:w="2053"/>
              <w:gridCol w:w="2053"/>
              <w:gridCol w:w="20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8" w:type="dxa"/>
                </w:tcPr>
                <w:p>
                  <w:pPr>
                    <w:spacing w:beforeLines="50"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人员组成</w:t>
                  </w:r>
                </w:p>
              </w:tc>
              <w:tc>
                <w:tcPr>
                  <w:tcW w:w="2053" w:type="dxa"/>
                </w:tcPr>
                <w:p>
                  <w:pPr>
                    <w:spacing w:beforeLines="50"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姓名</w:t>
                  </w:r>
                </w:p>
              </w:tc>
              <w:tc>
                <w:tcPr>
                  <w:tcW w:w="2053" w:type="dxa"/>
                </w:tcPr>
                <w:p>
                  <w:pPr>
                    <w:spacing w:beforeLines="50"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技术职称</w:t>
                  </w:r>
                </w:p>
              </w:tc>
              <w:tc>
                <w:tcPr>
                  <w:tcW w:w="2053" w:type="dxa"/>
                </w:tcPr>
                <w:p>
                  <w:pPr>
                    <w:spacing w:beforeLines="50"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8" w:type="dxa"/>
                </w:tcPr>
                <w:p>
                  <w:pPr>
                    <w:spacing w:beforeLines="50" w:line="360" w:lineRule="exact"/>
                    <w:jc w:val="left"/>
                    <w:rPr>
                      <w:rFonts w:hint="eastAsia" w:ascii="宋体" w:hAnsi="宋体" w:eastAsia="宋体" w:cs="宋体"/>
                      <w:color w:val="auto"/>
                      <w:sz w:val="24"/>
                      <w:szCs w:val="24"/>
                      <w:highlight w:val="none"/>
                    </w:rPr>
                  </w:pPr>
                </w:p>
              </w:tc>
              <w:tc>
                <w:tcPr>
                  <w:tcW w:w="2053" w:type="dxa"/>
                </w:tcPr>
                <w:p>
                  <w:pPr>
                    <w:spacing w:beforeLines="50" w:line="360" w:lineRule="exact"/>
                    <w:jc w:val="left"/>
                    <w:rPr>
                      <w:rFonts w:hint="eastAsia" w:ascii="宋体" w:hAnsi="宋体" w:eastAsia="宋体" w:cs="宋体"/>
                      <w:color w:val="auto"/>
                      <w:sz w:val="24"/>
                      <w:szCs w:val="24"/>
                      <w:highlight w:val="none"/>
                    </w:rPr>
                  </w:pPr>
                </w:p>
              </w:tc>
              <w:tc>
                <w:tcPr>
                  <w:tcW w:w="2053" w:type="dxa"/>
                </w:tcPr>
                <w:p>
                  <w:pPr>
                    <w:spacing w:beforeLines="50" w:line="360" w:lineRule="exact"/>
                    <w:jc w:val="left"/>
                    <w:rPr>
                      <w:rFonts w:hint="eastAsia" w:ascii="宋体" w:hAnsi="宋体" w:eastAsia="宋体" w:cs="宋体"/>
                      <w:color w:val="auto"/>
                      <w:sz w:val="24"/>
                      <w:szCs w:val="24"/>
                      <w:highlight w:val="none"/>
                    </w:rPr>
                  </w:pPr>
                </w:p>
              </w:tc>
              <w:tc>
                <w:tcPr>
                  <w:tcW w:w="2053" w:type="dxa"/>
                </w:tcPr>
                <w:p>
                  <w:pPr>
                    <w:spacing w:beforeLines="50" w:line="360" w:lineRule="exact"/>
                    <w:jc w:val="left"/>
                    <w:rPr>
                      <w:rFonts w:hint="eastAsia" w:ascii="宋体" w:hAnsi="宋体" w:eastAsia="宋体" w:cs="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8" w:type="dxa"/>
                </w:tcPr>
                <w:p>
                  <w:pPr>
                    <w:spacing w:beforeLines="50" w:line="360" w:lineRule="exact"/>
                    <w:jc w:val="left"/>
                    <w:rPr>
                      <w:rFonts w:hint="eastAsia" w:ascii="宋体" w:hAnsi="宋体" w:eastAsia="宋体" w:cs="宋体"/>
                      <w:color w:val="auto"/>
                      <w:sz w:val="24"/>
                      <w:szCs w:val="24"/>
                      <w:highlight w:val="none"/>
                    </w:rPr>
                  </w:pPr>
                </w:p>
              </w:tc>
              <w:tc>
                <w:tcPr>
                  <w:tcW w:w="2053" w:type="dxa"/>
                </w:tcPr>
                <w:p>
                  <w:pPr>
                    <w:spacing w:beforeLines="50" w:line="360" w:lineRule="exact"/>
                    <w:jc w:val="left"/>
                    <w:rPr>
                      <w:rFonts w:hint="eastAsia" w:ascii="宋体" w:hAnsi="宋体" w:eastAsia="宋体" w:cs="宋体"/>
                      <w:color w:val="auto"/>
                      <w:sz w:val="24"/>
                      <w:szCs w:val="24"/>
                      <w:highlight w:val="none"/>
                    </w:rPr>
                  </w:pPr>
                </w:p>
              </w:tc>
              <w:tc>
                <w:tcPr>
                  <w:tcW w:w="2053" w:type="dxa"/>
                </w:tcPr>
                <w:p>
                  <w:pPr>
                    <w:spacing w:beforeLines="50" w:line="360" w:lineRule="exact"/>
                    <w:jc w:val="left"/>
                    <w:rPr>
                      <w:rFonts w:hint="eastAsia" w:ascii="宋体" w:hAnsi="宋体" w:eastAsia="宋体" w:cs="宋体"/>
                      <w:color w:val="auto"/>
                      <w:sz w:val="24"/>
                      <w:szCs w:val="24"/>
                      <w:highlight w:val="none"/>
                    </w:rPr>
                  </w:pPr>
                </w:p>
              </w:tc>
              <w:tc>
                <w:tcPr>
                  <w:tcW w:w="2053" w:type="dxa"/>
                </w:tcPr>
                <w:p>
                  <w:pPr>
                    <w:spacing w:beforeLines="50" w:line="360" w:lineRule="exact"/>
                    <w:jc w:val="left"/>
                    <w:rPr>
                      <w:rFonts w:hint="eastAsia" w:ascii="宋体" w:hAnsi="宋体" w:eastAsia="宋体" w:cs="宋体"/>
                      <w:color w:val="auto"/>
                      <w:sz w:val="24"/>
                      <w:szCs w:val="24"/>
                      <w:highlight w:val="none"/>
                    </w:rPr>
                  </w:pPr>
                </w:p>
              </w:tc>
            </w:tr>
          </w:tbl>
          <w:p>
            <w:pPr>
              <w:spacing w:beforeLines="50" w:line="36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机械设备</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0"/>
              <w:gridCol w:w="1620"/>
              <w:gridCol w:w="4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tcPr>
                <w:p>
                  <w:pPr>
                    <w:snapToGrid w:val="0"/>
                    <w:spacing w:beforeLines="5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设备名称</w:t>
                  </w:r>
                </w:p>
              </w:tc>
              <w:tc>
                <w:tcPr>
                  <w:tcW w:w="1620" w:type="dxa"/>
                </w:tcPr>
                <w:p>
                  <w:pPr>
                    <w:snapToGrid w:val="0"/>
                    <w:spacing w:beforeLines="5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4500" w:type="dxa"/>
                </w:tcPr>
                <w:p>
                  <w:pPr>
                    <w:snapToGrid w:val="0"/>
                    <w:spacing w:beforeLines="5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品牌、型号、主要技术参数、机动车牌号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tcPr>
                <w:p>
                  <w:pPr>
                    <w:snapToGrid w:val="0"/>
                    <w:spacing w:beforeLines="50" w:line="360" w:lineRule="exact"/>
                    <w:ind w:firstLine="480"/>
                    <w:rPr>
                      <w:rFonts w:hint="eastAsia" w:ascii="宋体" w:hAnsi="宋体" w:eastAsia="宋体" w:cs="宋体"/>
                      <w:color w:val="auto"/>
                      <w:sz w:val="24"/>
                      <w:szCs w:val="24"/>
                      <w:highlight w:val="none"/>
                    </w:rPr>
                  </w:pPr>
                </w:p>
              </w:tc>
              <w:tc>
                <w:tcPr>
                  <w:tcW w:w="1620" w:type="dxa"/>
                </w:tcPr>
                <w:p>
                  <w:pPr>
                    <w:snapToGrid w:val="0"/>
                    <w:spacing w:beforeLines="50" w:line="360" w:lineRule="exact"/>
                    <w:ind w:firstLine="480"/>
                    <w:rPr>
                      <w:rFonts w:hint="eastAsia" w:ascii="宋体" w:hAnsi="宋体" w:eastAsia="宋体" w:cs="宋体"/>
                      <w:color w:val="auto"/>
                      <w:sz w:val="24"/>
                      <w:szCs w:val="24"/>
                      <w:highlight w:val="none"/>
                    </w:rPr>
                  </w:pPr>
                </w:p>
              </w:tc>
              <w:tc>
                <w:tcPr>
                  <w:tcW w:w="4500" w:type="dxa"/>
                </w:tcPr>
                <w:p>
                  <w:pPr>
                    <w:snapToGrid w:val="0"/>
                    <w:spacing w:beforeLines="50" w:line="360" w:lineRule="exact"/>
                    <w:ind w:firstLine="480"/>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tcPr>
                <w:p>
                  <w:pPr>
                    <w:snapToGrid w:val="0"/>
                    <w:spacing w:beforeLines="50" w:line="360" w:lineRule="exact"/>
                    <w:ind w:firstLine="480"/>
                    <w:rPr>
                      <w:rFonts w:hint="eastAsia" w:ascii="宋体" w:hAnsi="宋体" w:eastAsia="宋体" w:cs="宋体"/>
                      <w:color w:val="auto"/>
                      <w:sz w:val="24"/>
                      <w:szCs w:val="24"/>
                      <w:highlight w:val="none"/>
                    </w:rPr>
                  </w:pPr>
                </w:p>
              </w:tc>
              <w:tc>
                <w:tcPr>
                  <w:tcW w:w="1620" w:type="dxa"/>
                </w:tcPr>
                <w:p>
                  <w:pPr>
                    <w:snapToGrid w:val="0"/>
                    <w:spacing w:beforeLines="50" w:line="360" w:lineRule="exact"/>
                    <w:ind w:firstLine="480"/>
                    <w:rPr>
                      <w:rFonts w:hint="eastAsia" w:ascii="宋体" w:hAnsi="宋体" w:eastAsia="宋体" w:cs="宋体"/>
                      <w:color w:val="auto"/>
                      <w:sz w:val="24"/>
                      <w:szCs w:val="24"/>
                      <w:highlight w:val="none"/>
                    </w:rPr>
                  </w:pPr>
                </w:p>
              </w:tc>
              <w:tc>
                <w:tcPr>
                  <w:tcW w:w="4500" w:type="dxa"/>
                </w:tcPr>
                <w:p>
                  <w:pPr>
                    <w:snapToGrid w:val="0"/>
                    <w:spacing w:beforeLines="50" w:line="360" w:lineRule="exact"/>
                    <w:ind w:firstLine="480"/>
                    <w:rPr>
                      <w:rFonts w:hint="eastAsia" w:ascii="宋体" w:hAnsi="宋体" w:eastAsia="宋体" w:cs="宋体"/>
                      <w:color w:val="auto"/>
                      <w:sz w:val="24"/>
                      <w:szCs w:val="24"/>
                      <w:highlight w:val="none"/>
                    </w:rPr>
                  </w:pPr>
                </w:p>
              </w:tc>
            </w:tr>
          </w:tbl>
          <w:p>
            <w:pPr>
              <w:pStyle w:val="24"/>
              <w:ind w:left="0" w:leftChars="0" w:firstLine="0" w:firstLineChars="0"/>
              <w:rPr>
                <w:rFonts w:hint="eastAsia" w:ascii="宋体" w:hAnsi="宋体" w:eastAsia="宋体" w:cs="宋体"/>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2" w:type="pct"/>
            <w:tcBorders>
              <w:left w:val="single" w:color="auto" w:sz="4" w:space="0"/>
            </w:tcBorders>
            <w:vAlign w:val="center"/>
          </w:tcPr>
          <w:p>
            <w:pPr>
              <w:spacing w:line="360" w:lineRule="auto"/>
              <w:ind w:right="-420" w:rightChars="-200"/>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2.22</w:t>
            </w:r>
          </w:p>
        </w:tc>
        <w:tc>
          <w:tcPr>
            <w:tcW w:w="4537" w:type="pct"/>
            <w:vAlign w:val="center"/>
          </w:tcPr>
          <w:p>
            <w:pPr>
              <w:spacing w:beforeLines="50" w:line="360" w:lineRule="exact"/>
              <w:ind w:firstLine="482" w:firstLineChars="200"/>
              <w:jc w:val="left"/>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其他：</w:t>
            </w:r>
          </w:p>
          <w:p>
            <w:pPr>
              <w:spacing w:beforeLines="50" w:line="360" w:lineRule="exact"/>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zh-CN"/>
              </w:rPr>
              <w:t>乙方不得参与可能与合同规定的与甲方的利益相冲突的任何活动。</w:t>
            </w:r>
          </w:p>
          <w:p>
            <w:pPr>
              <w:spacing w:beforeLines="50" w:line="360" w:lineRule="exact"/>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乙方</w:t>
            </w:r>
            <w:r>
              <w:rPr>
                <w:rFonts w:hint="eastAsia" w:ascii="宋体" w:hAnsi="宋体" w:eastAsia="宋体" w:cs="宋体"/>
                <w:color w:val="auto"/>
                <w:sz w:val="24"/>
                <w:highlight w:val="none"/>
                <w:lang w:val="en-US" w:eastAsia="zh-CN"/>
              </w:rPr>
              <w:t>及其工作</w:t>
            </w:r>
            <w:r>
              <w:rPr>
                <w:rFonts w:hint="eastAsia" w:ascii="宋体" w:hAnsi="宋体" w:eastAsia="宋体" w:cs="宋体"/>
                <w:color w:val="auto"/>
                <w:sz w:val="24"/>
                <w:highlight w:val="none"/>
                <w:lang w:val="zh-CN"/>
              </w:rPr>
              <w:t>人员在</w:t>
            </w:r>
            <w:r>
              <w:rPr>
                <w:rFonts w:hint="eastAsia" w:ascii="宋体" w:hAnsi="宋体" w:eastAsia="宋体" w:cs="宋体"/>
                <w:color w:val="auto"/>
                <w:sz w:val="24"/>
                <w:highlight w:val="none"/>
                <w:lang w:val="en-US" w:eastAsia="zh-CN"/>
              </w:rPr>
              <w:t>提供服务时</w:t>
            </w:r>
            <w:r>
              <w:rPr>
                <w:rFonts w:hint="eastAsia" w:ascii="宋体" w:hAnsi="宋体" w:eastAsia="宋体" w:cs="宋体"/>
                <w:color w:val="auto"/>
                <w:sz w:val="24"/>
                <w:highlight w:val="none"/>
                <w:lang w:val="zh-CN"/>
              </w:rPr>
              <w:t>，应遵守甲方相关规章、制度。</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、合同履行期内甲乙双方均不得随意变更或解除合同。合同若有未尽事宜，需经双方共同协商，订立补充协议，补充协议与本合同有同等法律效力。</w:t>
            </w:r>
          </w:p>
          <w:p>
            <w:pPr>
              <w:spacing w:beforeLines="50" w:line="3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、采购文件、投标文件及评标过程中形成的文字资料、询标纪要均作为本合同的组成部分，具有同等效力。</w:t>
            </w:r>
          </w:p>
          <w:p>
            <w:pPr>
              <w:snapToGrid w:val="0"/>
              <w:spacing w:beforeLines="50" w:line="360" w:lineRule="exact"/>
              <w:ind w:firstLine="482"/>
              <w:jc w:val="left"/>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5</w:t>
            </w:r>
            <w:r>
              <w:rPr>
                <w:rFonts w:hint="eastAsia" w:ascii="宋体" w:hAnsi="宋体" w:eastAsia="宋体" w:cs="宋体"/>
                <w:b/>
                <w:bCs/>
                <w:color w:val="auto"/>
                <w:sz w:val="24"/>
                <w:highlight w:val="none"/>
              </w:rPr>
              <w:t>.验收还应符合关于印发《杭州高新区（滨江）政府采购项目验收管理办法》的通知（区财监督〔2014〕97号）的相关要求。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    6、</w:t>
            </w:r>
            <w:r>
              <w:rPr>
                <w:rFonts w:hint="eastAsia" w:ascii="宋体" w:hAnsi="宋体" w:eastAsia="宋体" w:cs="宋体"/>
                <w:color w:val="auto"/>
                <w:sz w:val="24"/>
                <w:highlight w:val="none"/>
              </w:rPr>
              <w:t>项目实施过程中发生的死亡、人身伤害、财产损失、损害以及任何其它损失、损害和引起的费用和开支，由供应商承担全部责任。</w:t>
            </w:r>
          </w:p>
        </w:tc>
      </w:tr>
    </w:tbl>
    <w:p>
      <w:pPr>
        <w:spacing w:line="360" w:lineRule="auto"/>
        <w:ind w:left="-420" w:leftChars="-200" w:right="-420" w:rightChars="-200" w:firstLine="480" w:firstLineChars="200"/>
        <w:rPr>
          <w:rFonts w:hint="eastAsia" w:ascii="宋体" w:hAnsi="宋体" w:eastAsia="宋体" w:cs="宋体"/>
          <w:color w:val="auto"/>
          <w:sz w:val="24"/>
          <w:highlight w:val="none"/>
        </w:rPr>
      </w:pPr>
    </w:p>
    <w:p>
      <w:pPr>
        <w:ind w:left="-420" w:leftChars="-200" w:right="-420" w:rightChars="-200" w:firstLine="723" w:firstLineChars="200"/>
        <w:rPr>
          <w:rFonts w:hint="eastAsia" w:ascii="宋体" w:hAnsi="宋体" w:eastAsia="宋体" w:cs="宋体"/>
          <w:b/>
          <w:bCs/>
          <w:color w:val="auto"/>
          <w:kern w:val="0"/>
          <w:sz w:val="24"/>
          <w:highlight w:val="none"/>
        </w:rPr>
      </w:pPr>
      <w:r>
        <w:rPr>
          <w:rFonts w:hint="eastAsia" w:ascii="宋体" w:hAnsi="宋体" w:eastAsia="宋体" w:cs="宋体"/>
          <w:b/>
          <w:color w:val="auto"/>
          <w:sz w:val="36"/>
          <w:szCs w:val="20"/>
          <w:highlight w:val="none"/>
          <w:lang w:val="en-US" w:eastAsia="zh-CN"/>
        </w:rPr>
        <w:t xml:space="preserve"> </w:t>
      </w:r>
      <w:r>
        <w:rPr>
          <w:rFonts w:hint="eastAsia" w:ascii="宋体" w:hAnsi="宋体" w:eastAsia="宋体" w:cs="宋体"/>
          <w:b/>
          <w:snapToGrid w:val="0"/>
          <w:color w:val="auto"/>
          <w:kern w:val="0"/>
          <w:sz w:val="24"/>
          <w:szCs w:val="24"/>
          <w:highlight w:val="none"/>
        </w:rPr>
        <w:t>注：本合同作为示范文本，具体以采购人与中标供应商所签定正式合同为准。</w:t>
      </w:r>
    </w:p>
    <w:p>
      <w:pPr>
        <w:rPr>
          <w:rFonts w:hint="eastAsia" w:ascii="宋体" w:hAnsi="宋体" w:eastAsia="宋体" w:cs="宋体"/>
          <w:color w:val="auto"/>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pStyle w:val="25"/>
        <w:ind w:firstLine="723"/>
        <w:rPr>
          <w:rFonts w:hint="eastAsia" w:ascii="宋体" w:hAnsi="宋体" w:eastAsia="宋体" w:cs="宋体"/>
          <w:b/>
          <w:color w:val="auto"/>
          <w:sz w:val="36"/>
          <w:szCs w:val="20"/>
          <w:highlight w:val="none"/>
        </w:rPr>
      </w:pPr>
    </w:p>
    <w:p>
      <w:pPr>
        <w:pStyle w:val="26"/>
        <w:ind w:firstLine="723"/>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color w:val="auto"/>
          <w:highlight w:val="none"/>
        </w:rPr>
      </w:pPr>
    </w:p>
    <w:p>
      <w:pPr>
        <w:pStyle w:val="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pStyle w:val="24"/>
        <w:ind w:firstLine="723"/>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4"/>
      <w:bookmarkEnd w:id="395"/>
      <w:r>
        <w:rPr>
          <w:rFonts w:hint="eastAsia" w:ascii="宋体" w:hAnsi="宋体" w:eastAsia="宋体" w:cs="宋体"/>
          <w:b/>
          <w:color w:val="auto"/>
          <w:sz w:val="36"/>
          <w:szCs w:val="20"/>
          <w:highlight w:val="none"/>
        </w:rPr>
        <w:t>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pPr>
        <w:snapToGrid w:val="0"/>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   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23"/>
        <w:rPr>
          <w:rFonts w:hint="eastAsia" w:ascii="宋体" w:hAnsi="宋体" w:eastAsia="宋体" w:cs="宋体"/>
          <w:color w:val="auto"/>
          <w:highlight w:val="none"/>
        </w:rPr>
      </w:pP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23"/>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pPr>
        <w:widowControl/>
        <w:spacing w:line="360" w:lineRule="auto"/>
        <w:ind w:firstLine="480"/>
        <w:jc w:val="left"/>
        <w:rPr>
          <w:rFonts w:hint="eastAsia" w:ascii="宋体" w:hAnsi="宋体" w:eastAsia="宋体" w:cs="宋体"/>
          <w:color w:val="auto"/>
          <w:sz w:val="24"/>
          <w:highlight w:val="none"/>
        </w:rPr>
      </w:pPr>
    </w:p>
    <w:p>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auto"/>
          <w:sz w:val="24"/>
          <w:highlight w:val="none"/>
        </w:rPr>
      </w:pP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ind w:firstLine="420"/>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
        <w:rPr>
          <w:rFonts w:hint="eastAsia" w:ascii="宋体" w:hAnsi="宋体" w:eastAsia="宋体" w:cs="宋体"/>
          <w:color w:val="auto"/>
          <w:highlight w:val="none"/>
        </w:rPr>
      </w:pPr>
    </w:p>
    <w:p>
      <w:pPr>
        <w:pStyle w:val="26"/>
        <w:ind w:firstLine="420"/>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ind w:firstLine="420"/>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ind w:firstLine="420"/>
        <w:rPr>
          <w:rFonts w:hint="eastAsia" w:ascii="宋体" w:hAnsi="宋体" w:eastAsia="宋体" w:cs="宋体"/>
          <w:color w:val="auto"/>
          <w:highlight w:val="none"/>
        </w:rPr>
      </w:pPr>
    </w:p>
    <w:p>
      <w:pPr>
        <w:rPr>
          <w:rFonts w:hint="eastAsia" w:ascii="宋体" w:hAnsi="宋体" w:eastAsia="宋体" w:cs="宋体"/>
          <w:color w:val="auto"/>
          <w:highlight w:val="none"/>
        </w:rPr>
      </w:pP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4"/>
          <w:highlight w:val="none"/>
        </w:rPr>
      </w:pP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（6）商务技术偏离表</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pStyle w:val="2"/>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508" w:name="_Hlk101257010"/>
      <w:r>
        <w:rPr>
          <w:rFonts w:hint="eastAsia" w:ascii="宋体" w:hAnsi="宋体" w:eastAsia="宋体" w:cs="宋体"/>
          <w:snapToGrid w:val="0"/>
          <w:color w:val="auto"/>
          <w:kern w:val="28"/>
          <w:sz w:val="24"/>
          <w:szCs w:val="20"/>
          <w:highlight w:val="none"/>
        </w:rPr>
        <w:t>（如果有)</w:t>
      </w:r>
      <w:bookmarkEnd w:id="508"/>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2商务技术</w:t>
      </w:r>
      <w:r>
        <w:rPr>
          <w:rFonts w:hint="eastAsia" w:ascii="宋体" w:hAnsi="宋体" w:eastAsia="宋体" w:cs="宋体"/>
          <w:color w:val="auto"/>
          <w:sz w:val="24"/>
          <w:highlight w:val="none"/>
          <w:lang w:val="zh-CN"/>
        </w:rPr>
        <w:t>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p>
    <w:p>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napToGrid w:val="0"/>
        <w:spacing w:line="360" w:lineRule="auto"/>
        <w:jc w:val="center"/>
        <w:rPr>
          <w:rFonts w:hint="eastAsia" w:ascii="宋体" w:hAnsi="宋体" w:eastAsia="宋体" w:cs="宋体"/>
          <w:b/>
          <w:color w:val="auto"/>
          <w:kern w:val="0"/>
          <w:sz w:val="32"/>
          <w:szCs w:val="32"/>
          <w:highlight w:val="none"/>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pStyle w:val="25"/>
        <w:rPr>
          <w:rFonts w:hint="eastAsia" w:ascii="宋体" w:hAnsi="宋体" w:eastAsia="宋体" w:cs="宋体"/>
          <w:b/>
          <w:color w:val="auto"/>
          <w:kern w:val="0"/>
          <w:sz w:val="32"/>
          <w:szCs w:val="32"/>
          <w:highlight w:val="none"/>
        </w:rPr>
      </w:pPr>
    </w:p>
    <w:p>
      <w:pPr>
        <w:pStyle w:val="26"/>
        <w:rPr>
          <w:rFonts w:hint="eastAsia" w:ascii="宋体" w:hAnsi="宋体" w:eastAsia="宋体" w:cs="宋体"/>
          <w:b/>
          <w:color w:val="auto"/>
          <w:kern w:val="0"/>
          <w:sz w:val="32"/>
          <w:szCs w:val="32"/>
          <w:highlight w:val="none"/>
        </w:rPr>
      </w:pPr>
    </w:p>
    <w:p>
      <w:pPr>
        <w:rPr>
          <w:rFonts w:hint="eastAsia" w:ascii="宋体" w:hAnsi="宋体" w:eastAsia="宋体" w:cs="宋体"/>
          <w:b/>
          <w:color w:val="auto"/>
          <w:kern w:val="0"/>
          <w:sz w:val="32"/>
          <w:szCs w:val="32"/>
          <w:highlight w:val="none"/>
        </w:rPr>
      </w:pPr>
    </w:p>
    <w:p>
      <w:pPr>
        <w:pStyle w:val="25"/>
        <w:rPr>
          <w:rFonts w:hint="eastAsia" w:ascii="宋体" w:hAnsi="宋体" w:eastAsia="宋体" w:cs="宋体"/>
          <w:b/>
          <w:color w:val="auto"/>
          <w:kern w:val="0"/>
          <w:sz w:val="32"/>
          <w:szCs w:val="32"/>
          <w:highlight w:val="none"/>
        </w:rPr>
      </w:pPr>
    </w:p>
    <w:p>
      <w:pPr>
        <w:pStyle w:val="26"/>
        <w:rPr>
          <w:rFonts w:hint="eastAsia" w:ascii="宋体" w:hAnsi="宋体" w:eastAsia="宋体" w:cs="宋体"/>
          <w:b/>
          <w:color w:val="auto"/>
          <w:kern w:val="0"/>
          <w:sz w:val="32"/>
          <w:szCs w:val="32"/>
          <w:highlight w:val="none"/>
        </w:rPr>
      </w:pPr>
    </w:p>
    <w:p>
      <w:pPr>
        <w:rPr>
          <w:rFonts w:hint="eastAsia"/>
          <w:color w:val="auto"/>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pStyle w:val="23"/>
        <w:rPr>
          <w:rFonts w:hint="eastAsia" w:ascii="宋体" w:hAnsi="宋体" w:eastAsia="宋体" w:cs="宋体"/>
          <w:color w:val="auto"/>
          <w:highlight w:val="none"/>
          <w:lang w:val="en-US"/>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p>
    <w:p>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自年月日起至年月日止。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授权委托书（适用于联合体投标）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日起</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至</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特此告知。</w:t>
      </w:r>
    </w:p>
    <w:p>
      <w:pPr>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147"/>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147"/>
              <w:adjustRightInd w:val="0"/>
              <w:spacing w:line="360" w:lineRule="auto"/>
              <w:rPr>
                <w:rFonts w:hint="eastAsia" w:ascii="宋体" w:hAnsi="宋体" w:eastAsia="宋体" w:cs="宋体"/>
                <w:bCs/>
                <w:color w:val="auto"/>
                <w:sz w:val="24"/>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snapToGrid w:val="0"/>
        <w:spacing w:line="360" w:lineRule="auto"/>
        <w:ind w:right="480"/>
        <w:rPr>
          <w:rFonts w:hint="eastAsia" w:ascii="宋体" w:hAnsi="宋体" w:eastAsia="宋体" w:cs="宋体"/>
          <w:b/>
          <w:color w:val="auto"/>
          <w:kern w:val="0"/>
          <w:sz w:val="32"/>
          <w:szCs w:val="32"/>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color w:val="auto"/>
          <w:kern w:val="0"/>
          <w:sz w:val="24"/>
          <w:highlight w:val="none"/>
        </w:rPr>
      </w:pPr>
    </w:p>
    <w:p>
      <w:pPr>
        <w:pStyle w:val="23"/>
        <w:rPr>
          <w:rFonts w:hint="eastAsia" w:ascii="宋体" w:hAnsi="宋体" w:eastAsia="宋体" w:cs="宋体"/>
          <w:color w:val="auto"/>
          <w:kern w:val="0"/>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pStyle w:val="24"/>
        <w:ind w:firstLine="480"/>
        <w:rPr>
          <w:rFonts w:hint="eastAsia" w:ascii="宋体" w:hAnsi="宋体" w:eastAsia="宋体" w:cs="宋体"/>
          <w:color w:val="auto"/>
          <w:kern w:val="0"/>
          <w:sz w:val="24"/>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pPr>
        <w:jc w:val="center"/>
        <w:rPr>
          <w:rFonts w:hint="eastAsia" w:ascii="宋体" w:hAnsi="宋体" w:eastAsia="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rPr>
                <w:rFonts w:hint="eastAsia" w:ascii="宋体" w:hAnsi="宋体" w:eastAsia="宋体" w:cs="宋体"/>
                <w:color w:val="auto"/>
                <w:highlight w:val="none"/>
              </w:rPr>
            </w:pPr>
            <w:r>
              <w:rPr>
                <w:rFonts w:hint="eastAsia" w:ascii="宋体" w:hAnsi="宋体" w:eastAsia="宋体" w:cs="宋体"/>
                <w:color w:val="auto"/>
                <w:sz w:val="24"/>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2</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见投标文件第页</w:t>
            </w: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pStyle w:val="23"/>
        <w:rPr>
          <w:rFonts w:hint="eastAsia" w:ascii="宋体" w:hAnsi="宋体" w:eastAsia="宋体" w:cs="宋体"/>
          <w:color w:val="auto"/>
          <w:highlight w:val="none"/>
          <w:lang w:val="en-US"/>
        </w:rPr>
      </w:pPr>
    </w:p>
    <w:p>
      <w:pPr>
        <w:jc w:val="center"/>
        <w:rPr>
          <w:rFonts w:hint="eastAsia" w:ascii="宋体" w:hAnsi="宋体" w:eastAsia="宋体" w:cs="宋体"/>
          <w:b/>
          <w:color w:val="auto"/>
          <w:kern w:val="0"/>
          <w:sz w:val="32"/>
          <w:szCs w:val="32"/>
          <w:highlight w:val="none"/>
        </w:rPr>
      </w:pPr>
    </w:p>
    <w:p>
      <w:pPr>
        <w:pStyle w:val="2"/>
        <w:rPr>
          <w:rFonts w:hint="eastAsia" w:ascii="宋体" w:hAnsi="宋体" w:eastAsia="宋体" w:cs="宋体"/>
          <w:b/>
          <w:color w:val="auto"/>
          <w:kern w:val="0"/>
          <w:sz w:val="32"/>
          <w:szCs w:val="32"/>
          <w:highlight w:val="none"/>
        </w:rPr>
      </w:pPr>
    </w:p>
    <w:p>
      <w:pPr>
        <w:rPr>
          <w:rFonts w:hint="eastAsia" w:ascii="宋体" w:hAnsi="宋体" w:eastAsia="宋体" w:cs="宋体"/>
          <w:b/>
          <w:color w:val="auto"/>
          <w:kern w:val="0"/>
          <w:sz w:val="32"/>
          <w:szCs w:val="32"/>
          <w:highlight w:val="none"/>
        </w:rPr>
      </w:pPr>
    </w:p>
    <w:p>
      <w:pPr>
        <w:pStyle w:val="2"/>
        <w:rPr>
          <w:rFonts w:hint="eastAsia" w:ascii="宋体" w:hAnsi="宋体" w:eastAsia="宋体" w:cs="宋体"/>
          <w:color w:val="auto"/>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pStyle w:val="2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pStyle w:val="24"/>
        <w:ind w:firstLine="643"/>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bl>
    <w:p>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pPr>
        <w:jc w:val="center"/>
        <w:rPr>
          <w:rFonts w:hint="eastAsia" w:ascii="宋体" w:hAnsi="宋体" w:eastAsia="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本表如不填写，视为</w:t>
      </w:r>
      <w:r>
        <w:rPr>
          <w:rFonts w:hint="eastAsia" w:ascii="宋体" w:hAnsi="宋体" w:eastAsia="宋体" w:cs="宋体"/>
          <w:color w:val="auto"/>
          <w:kern w:val="0"/>
          <w:sz w:val="24"/>
          <w:highlight w:val="none"/>
        </w:rPr>
        <w:t>投标人响应招标文件的全部要求。</w:t>
      </w: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pStyle w:val="23"/>
        <w:rPr>
          <w:rFonts w:hint="eastAsia" w:ascii="宋体" w:hAnsi="宋体" w:eastAsia="宋体" w:cs="宋体"/>
          <w:b/>
          <w:bCs/>
          <w:color w:val="auto"/>
          <w:sz w:val="32"/>
          <w:szCs w:val="32"/>
          <w:highlight w:val="none"/>
          <w:lang w:val="en-US"/>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643"/>
        <w:rPr>
          <w:rFonts w:hint="eastAsia" w:ascii="宋体" w:hAnsi="宋体" w:eastAsia="宋体" w:cs="宋体"/>
          <w:b/>
          <w:bCs/>
          <w:color w:val="auto"/>
          <w:sz w:val="32"/>
          <w:szCs w:val="32"/>
          <w:highlight w:val="none"/>
        </w:rPr>
      </w:pPr>
    </w:p>
    <w:p>
      <w:pPr>
        <w:pStyle w:val="24"/>
        <w:ind w:firstLine="0" w:firstLineChars="0"/>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lang w:val="en-US" w:eastAsia="zh-CN"/>
        </w:rPr>
        <w:t>七</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pacing w:line="360" w:lineRule="auto"/>
        <w:jc w:val="center"/>
        <w:rPr>
          <w:rFonts w:hint="eastAsia" w:ascii="宋体" w:hAnsi="宋体" w:eastAsia="宋体" w:cs="宋体"/>
          <w:b/>
          <w:bCs/>
          <w:color w:val="auto"/>
          <w:sz w:val="24"/>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（2）中小企业声明函………………………………………………………………（页码）</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22" w:type="first"/>
          <w:footerReference r:id="rId24" w:type="first"/>
          <w:headerReference r:id="rId21" w:type="default"/>
          <w:footerReference r:id="rId23"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（采购编号）】的实施</w:t>
      </w: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3"/>
        <w:tblW w:w="91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9122" w:type="dxa"/>
            <w:vAlign w:val="center"/>
          </w:tcPr>
          <w:p>
            <w:pPr>
              <w:spacing w:beforeLines="100" w:afterLines="1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w:t>
            </w:r>
          </w:p>
          <w:p>
            <w:pPr>
              <w:spacing w:beforeLines="50" w:line="340" w:lineRule="exact"/>
              <w:ind w:firstLine="480"/>
              <w:rPr>
                <w:rFonts w:hint="eastAsia" w:ascii="宋体" w:hAnsi="宋体" w:eastAsia="宋体" w:cs="宋体"/>
                <w:color w:val="auto"/>
                <w:highlight w:val="none"/>
              </w:rPr>
            </w:pPr>
            <w:r>
              <w:rPr>
                <w:rFonts w:hint="eastAsia" w:ascii="宋体" w:hAnsi="宋体" w:eastAsia="宋体" w:cs="宋体"/>
                <w:color w:val="auto"/>
                <w:sz w:val="24"/>
                <w:highlight w:val="none"/>
              </w:rPr>
              <w:t>①工</w:t>
            </w:r>
            <w:r>
              <w:rPr>
                <w:rFonts w:hint="eastAsia" w:ascii="宋体" w:hAnsi="宋体" w:eastAsia="宋体" w:cs="宋体"/>
                <w:color w:val="auto"/>
                <w:highlight w:val="none"/>
              </w:rPr>
              <w:t>程类（折扣率）：</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。（投标限价100%）</w:t>
            </w:r>
          </w:p>
          <w:p>
            <w:pPr>
              <w:spacing w:beforeLines="50"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②人工服务：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元/天。</w:t>
            </w:r>
          </w:p>
          <w:p>
            <w:pPr>
              <w:spacing w:beforeLines="50"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③垃圾清运1：</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元/立方米。</w:t>
            </w:r>
          </w:p>
          <w:p>
            <w:pPr>
              <w:spacing w:beforeLines="50"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④垃圾清运2：</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元/车（3吨）。</w:t>
            </w:r>
          </w:p>
          <w:p>
            <w:pPr>
              <w:spacing w:beforeLines="50" w:line="34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⑤垃圾清运3：</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元/车（3吨）。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9122" w:type="dxa"/>
            <w:vAlign w:val="center"/>
          </w:tcPr>
          <w:p>
            <w:pPr>
              <w:spacing w:beforeLines="100" w:afterLines="1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服务期：</w:t>
            </w:r>
            <w:r>
              <w:rPr>
                <w:rFonts w:hint="eastAsia" w:ascii="宋体" w:hAnsi="宋体" w:eastAsia="宋体" w:cs="宋体"/>
                <w:color w:val="auto"/>
                <w:sz w:val="24"/>
                <w:highlight w:val="none"/>
              </w:rPr>
              <w:t>按采购文件要求</w:t>
            </w:r>
          </w:p>
        </w:tc>
      </w:tr>
    </w:tbl>
    <w:p>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pPr>
        <w:snapToGrid w:val="0"/>
        <w:spacing w:line="360" w:lineRule="auto"/>
        <w:ind w:firstLine="480" w:firstLineChars="200"/>
        <w:jc w:val="left"/>
        <w:rPr>
          <w:rFonts w:hint="eastAsia" w:ascii="宋体" w:hAnsi="宋体" w:eastAsia="宋体" w:cs="宋体"/>
          <w:color w:val="auto"/>
          <w:kern w:val="0"/>
          <w:sz w:val="24"/>
          <w:szCs w:val="22"/>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34"/>
        <w:snapToGrid w:val="0"/>
        <w:spacing w:before="120" w:after="120"/>
        <w:ind w:left="1143" w:hanging="723"/>
        <w:jc w:val="center"/>
        <w:rPr>
          <w:rFonts w:hint="eastAsia" w:ascii="宋体" w:hAnsi="宋体" w:eastAsia="宋体" w:cs="宋体"/>
          <w:b/>
          <w:color w:val="auto"/>
          <w:sz w:val="36"/>
          <w:szCs w:val="36"/>
          <w:highlight w:val="none"/>
        </w:rPr>
      </w:pPr>
    </w:p>
    <w:p>
      <w:pPr>
        <w:pStyle w:val="34"/>
        <w:snapToGrid w:val="0"/>
        <w:spacing w:before="120" w:after="120"/>
        <w:ind w:left="1143" w:hanging="723"/>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投标报价明细表</w:t>
      </w:r>
    </w:p>
    <w:p>
      <w:pPr>
        <w:pStyle w:val="34"/>
        <w:snapToGrid w:val="0"/>
        <w:spacing w:line="360" w:lineRule="auto"/>
        <w:ind w:left="980" w:hanging="560"/>
        <w:rPr>
          <w:rFonts w:hint="eastAsia" w:ascii="宋体" w:hAnsi="宋体" w:eastAsia="宋体" w:cs="宋体"/>
          <w:color w:val="auto"/>
          <w:sz w:val="28"/>
          <w:szCs w:val="28"/>
          <w:highlight w:val="none"/>
        </w:rPr>
      </w:pPr>
    </w:p>
    <w:p>
      <w:pPr>
        <w:pStyle w:val="34"/>
        <w:snapToGrid w:val="0"/>
        <w:spacing w:line="360" w:lineRule="auto"/>
        <w:ind w:left="980" w:hanging="56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项目编号：金额单位：人民币（元）</w:t>
      </w:r>
    </w:p>
    <w:p>
      <w:pPr>
        <w:ind w:left="-359" w:leftChars="-171" w:firstLine="141" w:firstLineChars="5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（由供应商自拟格式，内容为各项报价的组价情况）</w:t>
      </w:r>
    </w:p>
    <w:p>
      <w:pPr>
        <w:ind w:left="-359" w:leftChars="-171" w:firstLine="141" w:firstLineChars="50"/>
        <w:rPr>
          <w:rFonts w:hint="eastAsia" w:ascii="宋体" w:hAnsi="宋体" w:eastAsia="宋体" w:cs="宋体"/>
          <w:b/>
          <w:color w:val="auto"/>
          <w:sz w:val="28"/>
          <w:szCs w:val="28"/>
          <w:highlight w:val="none"/>
        </w:rPr>
      </w:pPr>
    </w:p>
    <w:p>
      <w:pPr>
        <w:spacing w:line="360" w:lineRule="atLeast"/>
        <w:ind w:firstLine="281" w:firstLineChars="100"/>
        <w:jc w:val="left"/>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rPr>
        <w:t>注：请投标人务必在投标前踏勘现场，如因未踏勘现场或踏勘现场不全面而引起的报价错报、漏报等由投标人自行承担。</w:t>
      </w:r>
    </w:p>
    <w:p>
      <w:pPr>
        <w:spacing w:line="360" w:lineRule="atLeast"/>
        <w:ind w:firstLine="280" w:firstLineChars="100"/>
        <w:jc w:val="left"/>
        <w:rPr>
          <w:rFonts w:hint="eastAsia" w:ascii="宋体" w:hAnsi="宋体" w:eastAsia="宋体" w:cs="宋体"/>
          <w:color w:val="auto"/>
          <w:sz w:val="28"/>
          <w:szCs w:val="28"/>
          <w:highlight w:val="none"/>
        </w:rPr>
      </w:pPr>
    </w:p>
    <w:p>
      <w:pPr>
        <w:snapToGrid w:val="0"/>
        <w:spacing w:before="240" w:after="50" w:line="400" w:lineRule="exact"/>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投标单位（盖章）：</w:t>
      </w:r>
    </w:p>
    <w:p>
      <w:pPr>
        <w:snapToGrid w:val="0"/>
        <w:spacing w:before="240" w:after="50" w:line="400" w:lineRule="exact"/>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w:t>
      </w:r>
    </w:p>
    <w:p>
      <w:pPr>
        <w:spacing w:line="360" w:lineRule="auto"/>
        <w:ind w:firstLine="480"/>
        <w:rPr>
          <w:rFonts w:hint="eastAsia" w:ascii="宋体" w:hAnsi="宋体" w:eastAsia="宋体" w:cs="宋体"/>
          <w:color w:val="auto"/>
          <w:sz w:val="28"/>
          <w:szCs w:val="28"/>
          <w:highlight w:val="none"/>
        </w:rPr>
      </w:pPr>
    </w:p>
    <w:p>
      <w:pPr>
        <w:spacing w:line="360" w:lineRule="auto"/>
        <w:jc w:val="left"/>
        <w:rPr>
          <w:rFonts w:hint="eastAsia" w:ascii="宋体" w:hAnsi="宋体" w:eastAsia="宋体" w:cs="宋体"/>
          <w:color w:val="auto"/>
          <w:sz w:val="24"/>
          <w:highlight w:val="none"/>
        </w:rPr>
        <w:sectPr>
          <w:pgSz w:w="11907" w:h="16840"/>
          <w:pgMar w:top="1440" w:right="1797" w:bottom="1440" w:left="1797" w:header="851" w:footer="992" w:gutter="0"/>
          <w:cols w:space="720" w:num="1"/>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1"/>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杭州高新开发区（滨江）政府采购支持</w:t>
      </w:r>
    </w:p>
    <w:p>
      <w:pPr>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中小企业信用融资暂行办法</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为贯彻落实中央、省、市关于支持民营经济健康发展有关精神，进一步发挥政府采购政策功能，促进政府采购制度创新，加强诚信体系建设，根据财政部、工信部《政府采购促进中小企业发展暂行办法》、《浙江省政府采购支持中小企业信用融资试点办法》、《杭州市政府采购支持中小企业信用融资暂行办法》等有关规定，结合本区实际，制定本办法。</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一、适用对象</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凡已在浙江省政府采购云平台上注册入库，并取得杭州高新开发区（滨江）政府采购合同的区内中小企业供应商（以下简称供应商），均可申请政府采购信用融资。</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开展本区政府采购信用融资工作的银行，应当为区内注册或设立分支机构、且已开展中小企业贷款业务的商业银行。</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二、相关信息获取方式</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供应商可通过滨江区门户网站公布的政采贷合作银行相关信息(http://www.hhtz.</w:t>
      </w:r>
    </w:p>
    <w:p>
      <w:pPr>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gov.cn/art/2022/1/11/art_1487037_59039349.html)进行接洽申请。政采贷合作银行可通过浙江政府采购网(https://zfcg.czt.zj.gov.cn/)了解滨江区政府采购项目相关公示信息主动联系供应商。鼓励各银行加大融资规模。区财政局积极推进政府采购中标成交信息、合同信息等信息资源共享，提供相关的服务支持，做好协调工作。</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　政府采购信用融资操作流程：</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（一）线上融资模式：</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1.供应商中标后，可通过“政采云-金融服务-融资贷款”向合作银行测算授信额度；</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2.供应商根据合作银行提供的方案，自行选择金融产品，并办理开户等手续；</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3.采购合同签订后，供应商向相应银行发出融资申请；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4.审批通过后，在线办理放贷手续。</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（二）线下融资模式：</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1.供应商根据杭州市滨江区政府门户网站http://www.hhtz.gov.cn/art/2022/</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1/11/art_1487037_59039349.html获取滨江区政采贷合作银行联系人信息，根据合作银行提供的方案，自行选择金融产品，向合作银行提出信用资格预审，并办理开户等手续；</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2.采购合同签订后，向合作银行发出融资申请；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3.合作银行受理申请后，供应商提供审批材料。合作银行应对申请信用融资的供应商及备案的政府采购合同信息进行核对和审查；</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4.审批通过后，合作银行应按照与杭州市滨江区财政局合作备忘录中约定的审批放款期限和优惠利率及时予以放款。</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四、注意事项</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宋体" w:hAnsi="宋体" w:eastAsia="宋体" w:cs="宋体"/>
          <w:b/>
          <w:bCs/>
          <w:color w:val="auto"/>
          <w:kern w:val="0"/>
          <w:sz w:val="24"/>
          <w:highlight w:val="none"/>
        </w:rPr>
      </w:pPr>
    </w:p>
    <w:p>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bookmarkStart w:id="509" w:name="_Toc465665161"/>
      <w:r>
        <w:rPr>
          <w:rFonts w:hint="eastAsia" w:ascii="宋体" w:hAnsi="宋体" w:eastAsia="宋体" w:cs="宋体"/>
          <w:color w:val="auto"/>
          <w:highlight w:val="none"/>
        </w:rPr>
        <w:t>附件</w:t>
      </w:r>
      <w:bookmarkEnd w:id="509"/>
    </w:p>
    <w:p>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pPr>
        <w:spacing w:line="360" w:lineRule="auto"/>
        <w:jc w:val="center"/>
        <w:rPr>
          <w:rFonts w:hint="eastAsia" w:ascii="宋体" w:hAnsi="宋体" w:eastAsia="宋体" w:cs="宋体"/>
          <w:b/>
          <w:color w:val="auto"/>
          <w:spacing w:val="6"/>
          <w:sz w:val="32"/>
          <w:szCs w:val="32"/>
          <w:highlight w:val="none"/>
        </w:rPr>
      </w:pPr>
      <w:bookmarkStart w:id="510" w:name="OLE_LINK13"/>
      <w:bookmarkStart w:id="511" w:name="OLE_LINK14"/>
      <w:r>
        <w:rPr>
          <w:rFonts w:hint="eastAsia" w:ascii="宋体" w:hAnsi="宋体" w:eastAsia="宋体" w:cs="宋体"/>
          <w:b/>
          <w:color w:val="auto"/>
          <w:spacing w:val="6"/>
          <w:sz w:val="32"/>
          <w:szCs w:val="32"/>
          <w:highlight w:val="none"/>
        </w:rPr>
        <w:t>残疾人福利性单位声明函</w:t>
      </w:r>
    </w:p>
    <w:bookmarkEnd w:id="510"/>
    <w:bookmarkEnd w:id="511"/>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地址：邮编：</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联系人：联系电话：</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 邮编：</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质疑项目的编号：包号：</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p>
    <w:p>
      <w:pPr>
        <w:snapToGrid w:val="0"/>
        <w:spacing w:line="360" w:lineRule="auto"/>
        <w:rPr>
          <w:rFonts w:hint="eastAsia" w:ascii="宋体" w:hAnsi="宋体" w:eastAsia="宋体" w:cs="宋体"/>
          <w:color w:val="auto"/>
          <w:sz w:val="24"/>
          <w:highlight w:val="none"/>
          <w:u w:val="dotted"/>
        </w:rPr>
      </w:pP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址：邮编：</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址：邮编：</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址：邮编：</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联系人：联系电话：</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址：邮编：</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联系人：联系电话：</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采购项目编号：包号：</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投诉人于年月日,向提出质疑，质疑事项为：</w:t>
      </w:r>
    </w:p>
    <w:p>
      <w:pPr>
        <w:spacing w:line="360" w:lineRule="auto"/>
        <w:rPr>
          <w:rFonts w:hint="eastAsia" w:ascii="宋体" w:hAnsi="宋体" w:eastAsia="宋体" w:cs="宋体"/>
          <w:color w:val="auto"/>
          <w:sz w:val="24"/>
          <w:highlight w:val="none"/>
          <w:u w:val="dotted"/>
        </w:rPr>
      </w:pP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于年月日,就质疑事项作出了答复/没有在法定期限内作出答复。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p>
    <w:p>
      <w:pPr>
        <w:spacing w:line="360" w:lineRule="auto"/>
        <w:rPr>
          <w:rFonts w:hint="eastAsia" w:ascii="宋体" w:hAnsi="宋体" w:eastAsia="宋体" w:cs="宋体"/>
          <w:color w:val="auto"/>
          <w:sz w:val="24"/>
          <w:highlight w:val="none"/>
          <w:u w:val="dotted"/>
        </w:rPr>
      </w:pP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p>
    <w:p>
      <w:pPr>
        <w:spacing w:line="360" w:lineRule="auto"/>
        <w:rPr>
          <w:rFonts w:hint="eastAsia" w:ascii="宋体" w:hAnsi="宋体" w:eastAsia="宋体" w:cs="宋体"/>
          <w:color w:val="auto"/>
          <w:sz w:val="24"/>
          <w:highlight w:val="none"/>
          <w:u w:val="dotted"/>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auto"/>
          <w:sz w:val="24"/>
          <w:highlight w:val="none"/>
        </w:rPr>
      </w:pPr>
    </w:p>
    <w:p>
      <w:pPr>
        <w:autoSpaceDE w:val="0"/>
        <w:autoSpaceDN w:val="0"/>
        <w:jc w:val="center"/>
        <w:rPr>
          <w:rFonts w:hint="eastAsia" w:ascii="宋体" w:hAnsi="宋体" w:eastAsia="宋体" w:cs="宋体"/>
          <w:b/>
          <w:color w:val="auto"/>
          <w:spacing w:val="6"/>
          <w:sz w:val="32"/>
          <w:szCs w:val="32"/>
          <w:highlight w:val="none"/>
        </w:rPr>
      </w:pPr>
    </w:p>
    <w:p>
      <w:pPr>
        <w:pStyle w:val="25"/>
        <w:rPr>
          <w:rFonts w:hint="eastAsia" w:ascii="宋体" w:hAnsi="宋体" w:eastAsia="宋体" w:cs="宋体"/>
          <w:color w:val="auto"/>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你方组织的（项目名称）项目【招标编号：（采购编号）】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pict>
          <v:rect id="Rectangle 17" o:spid="_x0000_s1026" o:spt="1" style="position:absolute;left:0pt;margin-left:238.9pt;margin-top:28.05pt;height:177.45pt;width:212.95pt;z-index:-251656192;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path/>
            <v:fill focussize="0,0"/>
            <v:stroke miterlimit="2"/>
            <v:imagedata o:title=""/>
            <o:lock v:ext="edit"/>
          </v:rect>
        </w:pict>
      </w:r>
      <w:r>
        <w:rPr>
          <w:rFonts w:hint="eastAsia" w:ascii="宋体" w:hAnsi="宋体" w:eastAsia="宋体" w:cs="宋体"/>
          <w:b/>
          <w:bCs/>
          <w:color w:val="auto"/>
          <w:sz w:val="24"/>
          <w:highlight w:val="none"/>
        </w:rPr>
        <w:pict>
          <v:rect id="Rectangle 16" o:spid="_x0000_s1027" o:spt="1" style="position:absolute;left:0pt;margin-left:-7.2pt;margin-top:30.3pt;height:177.45pt;width:208.5pt;z-index:-251655168;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path/>
            <v:fill focussize="0,0"/>
            <v:stroke miterlimit="2"/>
            <v:imagedata o:title=""/>
            <o:lock v:ext="edit"/>
          </v:rect>
        </w:pict>
      </w:r>
      <w:r>
        <w:rPr>
          <w:rFonts w:hint="eastAsia" w:ascii="宋体" w:hAnsi="宋体" w:eastAsia="宋体" w:cs="宋体"/>
          <w:color w:val="auto"/>
          <w:sz w:val="24"/>
          <w:highlight w:val="none"/>
        </w:rPr>
        <w:t>投标单位法定名称章（印模）                投标单位“XX专用章”（印模）</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pStyle w:val="25"/>
        <w:rPr>
          <w:rFonts w:hint="eastAsia" w:ascii="宋体" w:hAnsi="宋体" w:eastAsia="宋体" w:cs="宋体"/>
          <w:color w:val="auto"/>
          <w:highlight w:val="none"/>
        </w:rPr>
      </w:pPr>
    </w:p>
    <w:p>
      <w:pPr>
        <w:pStyle w:val="26"/>
        <w:ind w:firstLine="420"/>
        <w:rPr>
          <w:rFonts w:hint="eastAsia" w:ascii="宋体" w:hAnsi="宋体" w:eastAsia="宋体" w:cs="宋体"/>
          <w:color w:val="auto"/>
          <w:highlight w:val="none"/>
        </w:rPr>
      </w:pPr>
    </w:p>
    <w:p>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pPr>
        <w:snapToGrid w:val="0"/>
        <w:spacing w:line="360" w:lineRule="auto"/>
        <w:ind w:firstLine="576"/>
        <w:rPr>
          <w:rFonts w:hint="eastAsia" w:ascii="宋体" w:hAnsi="宋体" w:eastAsia="宋体" w:cs="宋体"/>
          <w:color w:val="auto"/>
          <w:kern w:val="0"/>
          <w:sz w:val="24"/>
          <w:highlight w:val="none"/>
          <w:u w:val="single"/>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sz w:val="24"/>
          <w:highlight w:val="none"/>
          <w:u w:val="single"/>
        </w:rPr>
        <w:t>联合体其中一方成员名称</w:t>
      </w: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sz w:val="24"/>
          <w:highlight w:val="none"/>
          <w:u w:val="single"/>
        </w:rPr>
        <w:t>联合体其中一方成员名称</w:t>
      </w: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512" w:name="_Hlk101131882"/>
      <w:r>
        <w:rPr>
          <w:rFonts w:hint="eastAsia" w:ascii="宋体" w:hAnsi="宋体" w:eastAsia="宋体" w:cs="宋体"/>
          <w:color w:val="auto"/>
          <w:kern w:val="0"/>
          <w:sz w:val="24"/>
          <w:highlight w:val="none"/>
          <w:u w:val="single"/>
        </w:rPr>
        <w:t>联合体成员X,……</w:t>
      </w:r>
      <w:bookmarkEnd w:id="512"/>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513" w:name="_Hlk101133598"/>
      <w:r>
        <w:rPr>
          <w:rFonts w:hint="eastAsia" w:ascii="宋体" w:hAnsi="宋体" w:eastAsia="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513"/>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514"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514"/>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snapToGrid w:val="0"/>
        <w:spacing w:line="360" w:lineRule="auto"/>
        <w:ind w:firstLine="3666" w:firstLineChars="1100"/>
        <w:rPr>
          <w:rFonts w:hint="eastAsia" w:ascii="宋体" w:hAnsi="宋体" w:eastAsia="宋体" w:cs="宋体"/>
          <w:b/>
          <w:color w:val="auto"/>
          <w:spacing w:val="6"/>
          <w:sz w:val="32"/>
          <w:szCs w:val="32"/>
          <w:highlight w:val="none"/>
        </w:rPr>
      </w:pPr>
    </w:p>
    <w:p>
      <w:pPr>
        <w:snapToGrid w:val="0"/>
        <w:spacing w:line="360" w:lineRule="auto"/>
        <w:ind w:firstLine="3666"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pPr>
        <w:snapToGrid w:val="0"/>
        <w:spacing w:line="360" w:lineRule="auto"/>
        <w:ind w:firstLine="576"/>
        <w:rPr>
          <w:rFonts w:hint="eastAsia" w:ascii="宋体" w:hAnsi="宋体" w:eastAsia="宋体" w:cs="宋体"/>
          <w:color w:val="auto"/>
          <w:kern w:val="0"/>
          <w:sz w:val="24"/>
          <w:highlight w:val="none"/>
          <w:u w:val="single"/>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highlight w:val="none"/>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25"/>
        <w:rPr>
          <w:rFonts w:hint="eastAsia" w:ascii="宋体" w:hAnsi="宋体" w:eastAsia="宋体" w:cs="宋体"/>
          <w:color w:val="auto"/>
          <w:highlight w:val="none"/>
        </w:rPr>
      </w:pPr>
      <w:r>
        <w:rPr>
          <w:rFonts w:hint="eastAsia" w:ascii="宋体" w:hAnsi="宋体" w:eastAsia="宋体" w:cs="宋体"/>
          <w:color w:val="auto"/>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pPr>
        <w:pStyle w:val="25"/>
        <w:rPr>
          <w:rFonts w:hint="eastAsia" w:ascii="宋体" w:hAnsi="宋体" w:eastAsia="宋体" w:cs="宋体"/>
          <w:color w:val="auto"/>
          <w:highlight w:val="none"/>
          <w:lang w:val="zh-CN"/>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pPr>
        <w:snapToGrid w:val="0"/>
        <w:spacing w:line="360" w:lineRule="auto"/>
        <w:ind w:firstLine="576"/>
        <w:rPr>
          <w:rFonts w:hint="eastAsia" w:ascii="宋体" w:hAnsi="宋体" w:eastAsia="宋体" w:cs="宋体"/>
          <w:color w:val="auto"/>
          <w:highlight w:val="none"/>
          <w:u w:val="single"/>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pPr>
        <w:snapToGrid w:val="0"/>
        <w:spacing w:line="360" w:lineRule="auto"/>
        <w:ind w:firstLine="576"/>
        <w:rPr>
          <w:rFonts w:hint="eastAsia" w:ascii="宋体" w:hAnsi="宋体" w:eastAsia="宋体" w:cs="宋体"/>
          <w:color w:val="auto"/>
          <w:kern w:val="0"/>
          <w:sz w:val="24"/>
          <w:highlight w:val="none"/>
          <w:lang w:val="zh-CN"/>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pPr>
        <w:snapToGrid w:val="0"/>
        <w:spacing w:line="360" w:lineRule="auto"/>
        <w:ind w:left="573" w:leftChars="273"/>
        <w:rPr>
          <w:rFonts w:hint="eastAsia" w:ascii="宋体" w:hAnsi="宋体" w:eastAsia="宋体" w:cs="宋体"/>
          <w:color w:val="auto"/>
          <w:kern w:val="0"/>
          <w:sz w:val="24"/>
          <w:highlight w:val="none"/>
          <w:lang w:val="zh-CN"/>
        </w:rPr>
      </w:pP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pPr>
        <w:snapToGrid w:val="0"/>
        <w:spacing w:line="360" w:lineRule="auto"/>
        <w:ind w:firstLine="576"/>
        <w:rPr>
          <w:rFonts w:hint="eastAsia" w:ascii="宋体" w:hAnsi="宋体" w:eastAsia="宋体" w:cs="宋体"/>
          <w:color w:val="auto"/>
          <w:kern w:val="0"/>
          <w:sz w:val="24"/>
          <w:highlight w:val="none"/>
          <w:lang w:val="zh-CN"/>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pPr>
        <w:snapToGrid w:val="0"/>
        <w:spacing w:line="360" w:lineRule="auto"/>
        <w:ind w:firstLine="576"/>
        <w:rPr>
          <w:rFonts w:hint="eastAsia" w:ascii="宋体" w:hAnsi="宋体" w:eastAsia="宋体" w:cs="宋体"/>
          <w:color w:val="auto"/>
          <w:kern w:val="0"/>
          <w:sz w:val="24"/>
          <w:highlight w:val="none"/>
          <w:lang w:val="zh-CN"/>
        </w:rPr>
      </w:pP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pPr>
        <w:snapToGrid w:val="0"/>
        <w:spacing w:line="360" w:lineRule="auto"/>
        <w:ind w:firstLine="4800" w:firstLineChars="20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附件7：</w:t>
      </w:r>
      <w:r>
        <w:rPr>
          <w:rFonts w:hint="eastAsia" w:ascii="宋体" w:hAnsi="宋体" w:eastAsia="宋体" w:cs="宋体"/>
          <w:b/>
          <w:color w:val="auto"/>
          <w:sz w:val="32"/>
          <w:szCs w:val="32"/>
          <w:highlight w:val="none"/>
        </w:rPr>
        <w:t>中小企业声明函</w:t>
      </w:r>
    </w:p>
    <w:p>
      <w:pPr>
        <w:spacing w:line="360" w:lineRule="auto"/>
        <w:jc w:val="center"/>
        <w:rPr>
          <w:rFonts w:hint="eastAsia" w:ascii="宋体" w:hAnsi="宋体" w:eastAsia="宋体" w:cs="宋体"/>
          <w:color w:val="auto"/>
          <w:sz w:val="24"/>
          <w:highlight w:val="none"/>
          <w:u w:val="singl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napToGrid w:val="0"/>
        <w:spacing w:before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w:t>
      </w:r>
    </w:p>
    <w:p>
      <w:pPr>
        <w:pStyle w:val="25"/>
        <w:rPr>
          <w:rFonts w:hint="eastAsia" w:ascii="宋体" w:hAnsi="宋体" w:eastAsia="宋体" w:cs="宋体"/>
          <w:color w:val="auto"/>
          <w:highlight w:val="none"/>
        </w:rPr>
      </w:pP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pPr>
        <w:spacing w:line="360" w:lineRule="auto"/>
        <w:ind w:right="420"/>
        <w:rPr>
          <w:rFonts w:hint="eastAsia" w:ascii="宋体" w:hAnsi="宋体" w:eastAsia="宋体" w:cs="宋体"/>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rPr>
          <w:rFonts w:hint="eastAsia" w:ascii="宋体" w:hAnsi="宋体" w:eastAsia="宋体" w:cs="宋体"/>
          <w:color w:val="auto"/>
          <w:highlight w:val="none"/>
          <w:lang w:val="en-US"/>
        </w:rPr>
      </w:pPr>
    </w:p>
    <w:p>
      <w:pPr>
        <w:spacing w:line="360" w:lineRule="auto"/>
        <w:ind w:right="420"/>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spacing w:line="360" w:lineRule="auto"/>
        <w:rPr>
          <w:rFonts w:hint="eastAsia" w:ascii="宋体" w:hAnsi="宋体" w:eastAsia="宋体" w:cs="宋体"/>
          <w:bCs/>
          <w:color w:val="auto"/>
          <w:sz w:val="24"/>
          <w:highlight w:val="none"/>
        </w:rPr>
      </w:pPr>
    </w:p>
    <w:p>
      <w:pPr>
        <w:pStyle w:val="25"/>
        <w:rPr>
          <w:rFonts w:hint="eastAsia" w:ascii="宋体" w:hAnsi="宋体" w:eastAsia="宋体" w:cs="宋体"/>
          <w:color w:val="auto"/>
          <w:highlight w:val="none"/>
        </w:rPr>
      </w:pPr>
    </w:p>
    <w:p>
      <w:pPr>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附件8：代理服务费支付承诺书</w:t>
      </w:r>
    </w:p>
    <w:p>
      <w:pPr>
        <w:spacing w:line="360" w:lineRule="auto"/>
        <w:jc w:val="left"/>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代理服务费支付承诺书</w:t>
      </w:r>
    </w:p>
    <w:p>
      <w:pPr>
        <w:spacing w:line="360" w:lineRule="auto"/>
        <w:jc w:val="left"/>
        <w:rPr>
          <w:rFonts w:hint="eastAsia" w:ascii="宋体" w:hAnsi="宋体" w:eastAsia="宋体" w:cs="宋体"/>
          <w:color w:val="auto"/>
          <w:sz w:val="24"/>
          <w:highlight w:val="none"/>
        </w:rPr>
      </w:pP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lang w:val="en-US" w:eastAsia="zh-CN"/>
        </w:rPr>
        <w:t>浙江省房地产管理咨询有限公司</w:t>
      </w:r>
      <w:r>
        <w:rPr>
          <w:rFonts w:hint="eastAsia" w:ascii="宋体" w:hAnsi="宋体" w:eastAsia="宋体" w:cs="宋体"/>
          <w:color w:val="auto"/>
          <w:sz w:val="24"/>
          <w:highlight w:val="none"/>
        </w:rPr>
        <w:t>：</w:t>
      </w:r>
    </w:p>
    <w:p>
      <w:pPr>
        <w:spacing w:line="360" w:lineRule="auto"/>
        <w:jc w:val="left"/>
        <w:rPr>
          <w:rFonts w:hint="eastAsia" w:ascii="宋体" w:hAnsi="宋体" w:eastAsia="宋体" w:cs="宋体"/>
          <w:color w:val="auto"/>
          <w:sz w:val="24"/>
          <w:highlight w:val="none"/>
        </w:rPr>
      </w:pP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我公司已认真阅读了招标文件（项目编号：</w:t>
      </w:r>
      <w:r>
        <w:rPr>
          <w:rFonts w:hint="eastAsia" w:ascii="宋体" w:hAnsi="宋体" w:eastAsia="宋体" w:cs="宋体"/>
          <w:color w:val="auto"/>
          <w:sz w:val="24"/>
          <w:highlight w:val="none"/>
          <w:lang w:val="en-US" w:eastAsia="zh-CN"/>
        </w:rPr>
        <w:t>浙房咨2023【D-009】</w:t>
      </w:r>
      <w:r>
        <w:rPr>
          <w:rFonts w:hint="eastAsia" w:ascii="宋体" w:hAnsi="宋体" w:eastAsia="宋体" w:cs="宋体"/>
          <w:color w:val="auto"/>
          <w:sz w:val="24"/>
          <w:highlight w:val="none"/>
        </w:rPr>
        <w:t>）并在此承诺：</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如中标，我公司将自中标结果公告发布之日起5个工作日内按招标文件规定的标准（金额）一次性向采购代理机构支付代理服务费。</w:t>
      </w:r>
    </w:p>
    <w:p>
      <w:pPr>
        <w:spacing w:line="360" w:lineRule="auto"/>
        <w:jc w:val="left"/>
        <w:rPr>
          <w:rFonts w:hint="eastAsia" w:ascii="宋体" w:hAnsi="宋体" w:eastAsia="宋体" w:cs="宋体"/>
          <w:color w:val="auto"/>
          <w:sz w:val="24"/>
          <w:highlight w:val="none"/>
        </w:rPr>
      </w:pPr>
    </w:p>
    <w:p>
      <w:pPr>
        <w:spacing w:line="360" w:lineRule="auto"/>
        <w:jc w:val="left"/>
        <w:rPr>
          <w:rFonts w:hint="eastAsia" w:ascii="宋体" w:hAnsi="宋体" w:eastAsia="宋体" w:cs="宋体"/>
          <w:color w:val="auto"/>
          <w:sz w:val="24"/>
          <w:highlight w:val="none"/>
        </w:rPr>
      </w:pPr>
    </w:p>
    <w:p>
      <w:pPr>
        <w:spacing w:line="360" w:lineRule="auto"/>
        <w:jc w:val="left"/>
        <w:rPr>
          <w:rFonts w:hint="eastAsia" w:ascii="宋体" w:hAnsi="宋体" w:eastAsia="宋体" w:cs="宋体"/>
          <w:color w:val="auto"/>
          <w:sz w:val="24"/>
          <w:highlight w:val="none"/>
        </w:rPr>
      </w:pPr>
    </w:p>
    <w:p>
      <w:pPr>
        <w:spacing w:line="360" w:lineRule="auto"/>
        <w:jc w:val="left"/>
        <w:rPr>
          <w:rFonts w:hint="eastAsia" w:ascii="宋体" w:hAnsi="宋体" w:eastAsia="宋体" w:cs="宋体"/>
          <w:color w:val="auto"/>
          <w:sz w:val="24"/>
          <w:highlight w:val="none"/>
        </w:rPr>
      </w:pP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承诺方（投标人）法定名称：</w:t>
      </w:r>
      <w:r>
        <w:rPr>
          <w:rFonts w:hint="eastAsia" w:ascii="宋体" w:hAnsi="宋体" w:eastAsia="宋体" w:cs="宋体"/>
          <w:color w:val="auto"/>
          <w:sz w:val="24"/>
          <w:highlight w:val="none"/>
          <w:u w:val="single"/>
        </w:rPr>
        <w:t xml:space="preserve">          （盖章）         </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承诺方（投标人）法定地址：</w:t>
      </w:r>
    </w:p>
    <w:p>
      <w:pPr>
        <w:spacing w:line="360" w:lineRule="auto"/>
        <w:jc w:val="lef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联系电话：  联系传真：</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承诺日期：年月日</w:t>
      </w:r>
    </w:p>
    <w:p>
      <w:pPr>
        <w:pStyle w:val="26"/>
        <w:ind w:firstLine="420"/>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附件9   现场活动申明书</w:t>
      </w:r>
    </w:p>
    <w:p>
      <w:pPr>
        <w:keepNext w:val="0"/>
        <w:keepLines w:val="0"/>
        <w:pageBreakBefore w:val="0"/>
        <w:widowControl w:val="0"/>
        <w:kinsoku/>
        <w:wordWrap/>
        <w:overflowPunct/>
        <w:topLinePunct w:val="0"/>
        <w:bidi w:val="0"/>
        <w:adjustRightInd w:val="0"/>
        <w:snapToGrid/>
        <w:spacing w:before="0" w:line="400" w:lineRule="exact"/>
        <w:ind w:left="658" w:leftChars="0" w:right="1981" w:hanging="658" w:hangingChars="227"/>
        <w:jc w:val="center"/>
        <w:textAlignment w:val="auto"/>
        <w:rPr>
          <w:rFonts w:hint="eastAsia" w:ascii="宋体" w:hAnsi="宋体" w:eastAsia="宋体" w:cs="宋体"/>
          <w:color w:val="auto"/>
          <w:sz w:val="29"/>
          <w:szCs w:val="29"/>
          <w:highlight w:val="none"/>
        </w:rPr>
      </w:pPr>
      <w:r>
        <w:rPr>
          <w:rFonts w:hint="eastAsia" w:ascii="宋体" w:hAnsi="宋体" w:eastAsia="宋体" w:cs="宋体"/>
          <w:color w:val="auto"/>
          <w:sz w:val="29"/>
          <w:szCs w:val="29"/>
          <w:highlight w:val="none"/>
          <w:lang w:val="en-US" w:eastAsia="zh-CN"/>
        </w:rPr>
        <w:t xml:space="preserve">      </w:t>
      </w:r>
      <w:r>
        <w:rPr>
          <w:rFonts w:hint="eastAsia" w:ascii="宋体" w:hAnsi="宋体" w:eastAsia="宋体" w:cs="宋体"/>
          <w:color w:val="auto"/>
          <w:sz w:val="29"/>
          <w:szCs w:val="29"/>
          <w:highlight w:val="none"/>
        </w:rPr>
        <w:t>政府采购活动现场确认声明书</w:t>
      </w:r>
    </w:p>
    <w:p>
      <w:pPr>
        <w:keepNext w:val="0"/>
        <w:keepLines w:val="0"/>
        <w:pageBreakBefore w:val="0"/>
        <w:widowControl w:val="0"/>
        <w:kinsoku/>
        <w:wordWrap/>
        <w:overflowPunct/>
        <w:topLinePunct w:val="0"/>
        <w:bidi w:val="0"/>
        <w:adjustRightInd w:val="0"/>
        <w:snapToGrid/>
        <w:spacing w:before="0" w:line="400" w:lineRule="exact"/>
        <w:textAlignment w:val="auto"/>
        <w:rPr>
          <w:rFonts w:hint="eastAsia" w:ascii="宋体" w:hAnsi="宋体" w:eastAsia="宋体" w:cs="宋体"/>
          <w:color w:val="auto"/>
          <w:sz w:val="28"/>
          <w:szCs w:val="28"/>
          <w:highlight w:val="none"/>
        </w:rPr>
      </w:pPr>
    </w:p>
    <w:p>
      <w:pPr>
        <w:pStyle w:val="23"/>
        <w:keepNext w:val="0"/>
        <w:keepLines w:val="0"/>
        <w:pageBreakBefore w:val="0"/>
        <w:widowControl w:val="0"/>
        <w:kinsoku/>
        <w:wordWrap/>
        <w:overflowPunct/>
        <w:topLinePunct w:val="0"/>
        <w:bidi w:val="0"/>
        <w:adjustRightInd w:val="0"/>
        <w:snapToGrid/>
        <w:spacing w:before="0" w:line="400" w:lineRule="exact"/>
        <w:ind w:left="159" w:right="1981"/>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浙江省房地产管理咨询有限公司</w:t>
      </w:r>
      <w:r>
        <w:rPr>
          <w:rFonts w:hint="eastAsia" w:ascii="宋体" w:hAnsi="宋体" w:eastAsia="宋体" w:cs="宋体"/>
          <w:color w:val="auto"/>
          <w:spacing w:val="-20"/>
          <w:highlight w:val="none"/>
        </w:rPr>
        <w:t xml:space="preserve"> </w:t>
      </w:r>
      <w:r>
        <w:rPr>
          <w:rFonts w:hint="eastAsia" w:ascii="宋体" w:hAnsi="宋体" w:eastAsia="宋体" w:cs="宋体"/>
          <w:color w:val="auto"/>
          <w:highlight w:val="none"/>
        </w:rPr>
        <w:t>:</w:t>
      </w:r>
    </w:p>
    <w:p>
      <w:pPr>
        <w:pStyle w:val="23"/>
        <w:keepNext w:val="0"/>
        <w:keepLines w:val="0"/>
        <w:pageBreakBefore w:val="0"/>
        <w:widowControl w:val="0"/>
        <w:tabs>
          <w:tab w:val="left" w:pos="2213"/>
          <w:tab w:val="left" w:pos="7529"/>
          <w:tab w:val="left" w:pos="9676"/>
        </w:tabs>
        <w:kinsoku/>
        <w:wordWrap/>
        <w:overflowPunct/>
        <w:topLinePunct w:val="0"/>
        <w:bidi w:val="0"/>
        <w:adjustRightInd w:val="0"/>
        <w:snapToGrid/>
        <w:spacing w:before="158" w:line="400" w:lineRule="exact"/>
        <w:ind w:left="111" w:right="-170" w:rightChars="0" w:firstLine="384"/>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本人</w:t>
      </w:r>
      <w:r>
        <w:rPr>
          <w:rFonts w:hint="eastAsia" w:ascii="宋体" w:hAnsi="宋体" w:eastAsia="宋体" w:cs="宋体"/>
          <w:color w:val="auto"/>
          <w:highlight w:val="none"/>
          <w:u w:val="single" w:color="000000"/>
        </w:rPr>
        <w:tab/>
      </w:r>
      <w:r>
        <w:rPr>
          <w:rFonts w:hint="eastAsia" w:ascii="宋体" w:hAnsi="宋体" w:eastAsia="宋体" w:cs="宋体"/>
          <w:color w:val="auto"/>
          <w:highlight w:val="none"/>
        </w:rPr>
        <w:t>（授权代表姓名），经由</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（单位）</w:t>
      </w:r>
      <w:r>
        <w:rPr>
          <w:rFonts w:hint="eastAsia" w:ascii="宋体" w:hAnsi="宋体" w:eastAsia="宋体" w:cs="宋体"/>
          <w:color w:val="auto"/>
          <w:highlight w:val="none"/>
          <w:u w:val="single" w:color="000000"/>
        </w:rPr>
        <w:tab/>
      </w:r>
      <w:r>
        <w:rPr>
          <w:rFonts w:hint="eastAsia" w:ascii="宋体" w:hAnsi="宋体" w:eastAsia="宋体" w:cs="宋体"/>
          <w:color w:val="auto"/>
          <w:highlight w:val="none"/>
          <w:u w:val="single" w:color="000000"/>
          <w:lang w:val="en-US" w:eastAsia="zh-CN"/>
        </w:rPr>
        <w:t xml:space="preserve">      </w:t>
      </w:r>
      <w:r>
        <w:rPr>
          <w:rFonts w:hint="eastAsia" w:ascii="宋体" w:hAnsi="宋体" w:eastAsia="宋体" w:cs="宋体"/>
          <w:color w:val="auto"/>
          <w:highlight w:val="none"/>
        </w:rPr>
        <w:t>（法定代表人姓名）合法授权参加</w:t>
      </w:r>
      <w:r>
        <w:rPr>
          <w:rFonts w:hint="eastAsia" w:ascii="宋体" w:hAnsi="宋体" w:eastAsia="宋体" w:cs="宋体"/>
          <w:color w:val="auto"/>
          <w:spacing w:val="37"/>
          <w:highlight w:val="none"/>
        </w:rPr>
        <w:t xml:space="preserve"> </w:t>
      </w:r>
      <w:r>
        <w:rPr>
          <w:rFonts w:hint="eastAsia" w:ascii="宋体" w:hAnsi="宋体" w:eastAsia="宋体" w:cs="宋体"/>
          <w:color w:val="auto"/>
          <w:highlight w:val="none"/>
          <w:u w:val="single" w:color="000000"/>
          <w:lang w:val="en-US" w:eastAsia="zh-CN"/>
        </w:rPr>
        <w:t xml:space="preserve">                  </w:t>
      </w:r>
      <w:r>
        <w:rPr>
          <w:rFonts w:hint="eastAsia" w:ascii="宋体" w:hAnsi="宋体" w:eastAsia="宋体" w:cs="宋体"/>
          <w:color w:val="auto"/>
          <w:spacing w:val="-30"/>
          <w:highlight w:val="none"/>
          <w:u w:val="single" w:color="000000"/>
        </w:rPr>
        <w:t xml:space="preserve"> </w:t>
      </w:r>
      <w:r>
        <w:rPr>
          <w:rFonts w:hint="eastAsia" w:ascii="宋体" w:hAnsi="宋体" w:eastAsia="宋体" w:cs="宋体"/>
          <w:color w:val="auto"/>
          <w:highlight w:val="none"/>
        </w:rPr>
        <w:t>（编号：</w:t>
      </w:r>
      <w:r>
        <w:rPr>
          <w:rFonts w:hint="eastAsia" w:ascii="宋体" w:hAnsi="宋体" w:eastAsia="宋体" w:cs="宋体"/>
          <w:color w:val="auto"/>
          <w:spacing w:val="16"/>
          <w:highlight w:val="none"/>
        </w:rPr>
        <w:t xml:space="preserve"> </w:t>
      </w:r>
      <w:r>
        <w:rPr>
          <w:rFonts w:hint="eastAsia" w:ascii="宋体" w:hAnsi="宋体" w:eastAsia="宋体" w:cs="宋体"/>
          <w:color w:val="auto"/>
          <w:highlight w:val="none"/>
          <w:u w:val="single" w:color="000000"/>
          <w:lang w:val="en-US" w:eastAsia="zh-CN"/>
        </w:rPr>
        <w:t xml:space="preserve">        </w:t>
      </w:r>
      <w:r>
        <w:rPr>
          <w:rFonts w:hint="eastAsia" w:ascii="宋体" w:hAnsi="宋体" w:eastAsia="宋体" w:cs="宋体"/>
          <w:color w:val="auto"/>
          <w:spacing w:val="12"/>
          <w:highlight w:val="none"/>
          <w:u w:val="single" w:color="000000"/>
        </w:rPr>
        <w:t xml:space="preserve"> </w:t>
      </w:r>
      <w:r>
        <w:rPr>
          <w:rFonts w:hint="eastAsia" w:ascii="宋体" w:hAnsi="宋体" w:eastAsia="宋体" w:cs="宋体"/>
          <w:color w:val="auto"/>
          <w:highlight w:val="none"/>
        </w:rPr>
        <w:t>）政府</w:t>
      </w:r>
      <w:r>
        <w:rPr>
          <w:rFonts w:hint="eastAsia" w:ascii="宋体" w:hAnsi="宋体" w:eastAsia="宋体" w:cs="宋体"/>
          <w:color w:val="auto"/>
          <w:spacing w:val="-88"/>
          <w:highlight w:val="none"/>
        </w:rPr>
        <w:t xml:space="preserve"> </w:t>
      </w:r>
      <w:r>
        <w:rPr>
          <w:rFonts w:hint="eastAsia" w:ascii="宋体" w:hAnsi="宋体" w:eastAsia="宋体" w:cs="宋体"/>
          <w:color w:val="auto"/>
          <w:highlight w:val="none"/>
        </w:rPr>
        <w:t>采购活动．经与本单位法人代表（负责人）联系确认，现就有关公平竞争事项郑重声明如下:</w:t>
      </w:r>
    </w:p>
    <w:p>
      <w:pPr>
        <w:pStyle w:val="23"/>
        <w:keepNext w:val="0"/>
        <w:keepLines w:val="0"/>
        <w:pageBreakBefore w:val="0"/>
        <w:widowControl w:val="0"/>
        <w:numPr>
          <w:ilvl w:val="0"/>
          <w:numId w:val="0"/>
        </w:numPr>
        <w:kinsoku/>
        <w:wordWrap/>
        <w:overflowPunct/>
        <w:topLinePunct w:val="0"/>
        <w:bidi w:val="0"/>
        <w:adjustRightInd w:val="0"/>
        <w:snapToGrid/>
        <w:spacing w:line="400" w:lineRule="exact"/>
        <w:textAlignment w:val="auto"/>
        <w:rPr>
          <w:rFonts w:hint="eastAsia" w:ascii="宋体" w:hAnsi="宋体" w:eastAsia="宋体" w:cs="宋体"/>
          <w:color w:val="auto"/>
          <w:spacing w:val="-9"/>
          <w:highlight w:val="none"/>
        </w:rPr>
      </w:pPr>
      <w:r>
        <w:rPr>
          <w:rFonts w:hint="eastAsia" w:ascii="宋体" w:hAnsi="宋体" w:eastAsia="宋体" w:cs="宋体"/>
          <w:color w:val="auto"/>
          <w:highlight w:val="none"/>
          <w:lang w:val="en-US" w:eastAsia="zh-CN"/>
        </w:rPr>
        <w:t xml:space="preserve">   一、</w:t>
      </w:r>
      <w:r>
        <w:rPr>
          <w:rFonts w:hint="eastAsia" w:ascii="宋体" w:hAnsi="宋体" w:eastAsia="宋体" w:cs="宋体"/>
          <w:color w:val="auto"/>
          <w:highlight w:val="none"/>
        </w:rPr>
        <w:t xml:space="preserve">本单位与采购人之间 </w:t>
      </w: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 xml:space="preserve">不存在利害关系 </w:t>
      </w: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存在下列利害关系:</w:t>
      </w:r>
      <w:r>
        <w:rPr>
          <w:rFonts w:hint="eastAsia" w:ascii="宋体" w:hAnsi="宋体" w:eastAsia="宋体" w:cs="宋体"/>
          <w:color w:val="auto"/>
          <w:spacing w:val="-9"/>
          <w:highlight w:val="none"/>
        </w:rPr>
        <w:t xml:space="preserve"> </w:t>
      </w:r>
    </w:p>
    <w:p>
      <w:pPr>
        <w:pStyle w:val="23"/>
        <w:keepNext w:val="0"/>
        <w:keepLines w:val="0"/>
        <w:pageBreakBefore w:val="0"/>
        <w:widowControl w:val="0"/>
        <w:numPr>
          <w:ilvl w:val="0"/>
          <w:numId w:val="0"/>
        </w:numPr>
        <w:kinsoku/>
        <w:wordWrap/>
        <w:overflowPunct/>
        <w:topLinePunct w:val="0"/>
        <w:bidi w:val="0"/>
        <w:adjustRightInd w:val="0"/>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A．投资关系</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 xml:space="preserve">    </w:t>
      </w:r>
    </w:p>
    <w:p>
      <w:pPr>
        <w:pStyle w:val="23"/>
        <w:keepNext w:val="0"/>
        <w:keepLines w:val="0"/>
        <w:pageBreakBefore w:val="0"/>
        <w:widowControl w:val="0"/>
        <w:numPr>
          <w:ilvl w:val="0"/>
          <w:numId w:val="0"/>
        </w:numPr>
        <w:kinsoku/>
        <w:wordWrap/>
        <w:overflowPunct/>
        <w:topLinePunct w:val="0"/>
        <w:bidi w:val="0"/>
        <w:adjustRightInd w:val="0"/>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B．行政隶属关系</w:t>
      </w:r>
      <w:r>
        <w:rPr>
          <w:rFonts w:hint="eastAsia" w:ascii="宋体" w:hAnsi="宋体" w:eastAsia="宋体" w:cs="宋体"/>
          <w:color w:val="auto"/>
          <w:highlight w:val="none"/>
        </w:rPr>
        <w:tab/>
      </w:r>
    </w:p>
    <w:p>
      <w:pPr>
        <w:pStyle w:val="23"/>
        <w:keepNext w:val="0"/>
        <w:keepLines w:val="0"/>
        <w:pageBreakBefore w:val="0"/>
        <w:widowControl w:val="0"/>
        <w:numPr>
          <w:ilvl w:val="0"/>
          <w:numId w:val="0"/>
        </w:numPr>
        <w:kinsoku/>
        <w:wordWrap/>
        <w:overflowPunct/>
        <w:topLinePunct w:val="0"/>
        <w:bidi w:val="0"/>
        <w:adjustRightInd w:val="0"/>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C．业务指导关系</w:t>
      </w:r>
      <w:r>
        <w:rPr>
          <w:rFonts w:hint="eastAsia" w:ascii="宋体" w:hAnsi="宋体" w:eastAsia="宋体" w:cs="宋体"/>
          <w:color w:val="auto"/>
          <w:highlight w:val="none"/>
          <w:lang w:val="en-US" w:eastAsia="zh-CN"/>
        </w:rPr>
        <w:t xml:space="preserve">  </w:t>
      </w:r>
    </w:p>
    <w:p>
      <w:pPr>
        <w:pStyle w:val="23"/>
        <w:keepNext w:val="0"/>
        <w:keepLines w:val="0"/>
        <w:pageBreakBefore w:val="0"/>
        <w:widowControl w:val="0"/>
        <w:numPr>
          <w:ilvl w:val="0"/>
          <w:numId w:val="0"/>
        </w:numPr>
        <w:kinsoku/>
        <w:wordWrap/>
        <w:overflowPunct/>
        <w:topLinePunct w:val="0"/>
        <w:bidi w:val="0"/>
        <w:adjustRightInd w:val="0"/>
        <w:snapToGrid/>
        <w:spacing w:line="400" w:lineRule="exact"/>
        <w:ind w:firstLine="504" w:firstLineChars="700"/>
        <w:textAlignment w:val="auto"/>
        <w:rPr>
          <w:rFonts w:hint="eastAsia" w:ascii="宋体" w:hAnsi="宋体" w:eastAsia="宋体" w:cs="宋体"/>
          <w:color w:val="auto"/>
          <w:highlight w:val="none"/>
        </w:rPr>
      </w:pPr>
      <w:r>
        <w:rPr>
          <w:rFonts w:hint="eastAsia" w:ascii="宋体" w:hAnsi="宋体" w:eastAsia="宋体" w:cs="宋体"/>
          <w:color w:val="auto"/>
          <w:spacing w:val="-84"/>
          <w:highlight w:val="none"/>
        </w:rPr>
        <w:t xml:space="preserve"> </w:t>
      </w:r>
      <w:r>
        <w:rPr>
          <w:rFonts w:hint="eastAsia" w:ascii="宋体" w:hAnsi="宋体" w:eastAsia="宋体" w:cs="宋体"/>
          <w:color w:val="auto"/>
          <w:highlight w:val="none"/>
        </w:rPr>
        <w:t>D．其他可能影响采购公正的利害关系（如有，请如实说明）。</w:t>
      </w:r>
    </w:p>
    <w:p>
      <w:pPr>
        <w:pStyle w:val="23"/>
        <w:keepNext w:val="0"/>
        <w:keepLines w:val="0"/>
        <w:pageBreakBefore w:val="0"/>
        <w:widowControl w:val="0"/>
        <w:tabs>
          <w:tab w:val="left" w:pos="1797"/>
        </w:tabs>
        <w:kinsoku/>
        <w:wordWrap/>
        <w:overflowPunct/>
        <w:topLinePunct w:val="0"/>
        <w:bidi w:val="0"/>
        <w:adjustRightInd w:val="0"/>
        <w:snapToGrid/>
        <w:spacing w:line="400" w:lineRule="exact"/>
        <w:ind w:left="111" w:right="30" w:rightChars="0" w:firstLine="384"/>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二、现己清楚知道参加本项目采购活动的其他所有供应商名称，本单位 </w:t>
      </w: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与其他所有供应商之间均不存在利害关系</w:t>
      </w:r>
      <w:r>
        <w:rPr>
          <w:rFonts w:hint="eastAsia" w:ascii="宋体" w:hAnsi="宋体" w:eastAsia="宋体" w:cs="宋体"/>
          <w:color w:val="auto"/>
          <w:spacing w:val="-22"/>
          <w:highlight w:val="none"/>
        </w:rPr>
        <w:t xml:space="preserve"> </w:t>
      </w: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与</w:t>
      </w:r>
      <w:r>
        <w:rPr>
          <w:rFonts w:hint="eastAsia" w:ascii="宋体" w:hAnsi="宋体" w:eastAsia="宋体" w:cs="宋体"/>
          <w:color w:val="auto"/>
          <w:highlight w:val="none"/>
          <w:u w:val="single" w:color="000000"/>
          <w:lang w:val="en-US" w:eastAsia="zh-CN"/>
        </w:rPr>
        <w:t xml:space="preserve">                      </w:t>
      </w:r>
      <w:r>
        <w:rPr>
          <w:rFonts w:hint="eastAsia" w:ascii="宋体" w:hAnsi="宋体" w:eastAsia="宋体" w:cs="宋体"/>
          <w:color w:val="auto"/>
          <w:highlight w:val="none"/>
        </w:rPr>
        <w:t>（供应商名称）之间存在下列利害关系:</w:t>
      </w:r>
    </w:p>
    <w:p>
      <w:pPr>
        <w:pStyle w:val="23"/>
        <w:keepNext w:val="0"/>
        <w:keepLines w:val="0"/>
        <w:pageBreakBefore w:val="0"/>
        <w:widowControl w:val="0"/>
        <w:kinsoku/>
        <w:wordWrap/>
        <w:overflowPunct/>
        <w:topLinePunct w:val="0"/>
        <w:bidi w:val="0"/>
        <w:adjustRightInd w:val="0"/>
        <w:snapToGrid/>
        <w:spacing w:before="11" w:line="400" w:lineRule="exact"/>
        <w:ind w:right="1981" w:firstLine="480" w:firstLineChars="200"/>
        <w:jc w:val="left"/>
        <w:textAlignment w:val="auto"/>
        <w:rPr>
          <w:rFonts w:hint="eastAsia" w:ascii="宋体" w:hAnsi="宋体" w:eastAsia="宋体" w:cs="宋体"/>
          <w:color w:val="auto"/>
          <w:spacing w:val="-65"/>
          <w:highlight w:val="none"/>
        </w:rPr>
      </w:pPr>
      <w:r>
        <w:rPr>
          <w:rFonts w:hint="eastAsia" w:ascii="宋体" w:hAnsi="宋体" w:eastAsia="宋体" w:cs="宋体"/>
          <w:color w:val="auto"/>
          <w:highlight w:val="none"/>
        </w:rPr>
        <w:t>A．法定代表人或负责人或实际控制人是同一人</w:t>
      </w:r>
      <w:r>
        <w:rPr>
          <w:rFonts w:hint="eastAsia" w:ascii="宋体" w:hAnsi="宋体" w:eastAsia="宋体" w:cs="宋体"/>
          <w:color w:val="auto"/>
          <w:spacing w:val="-65"/>
          <w:highlight w:val="none"/>
        </w:rPr>
        <w:t xml:space="preserve"> </w:t>
      </w:r>
    </w:p>
    <w:p>
      <w:pPr>
        <w:pStyle w:val="23"/>
        <w:keepNext w:val="0"/>
        <w:keepLines w:val="0"/>
        <w:pageBreakBefore w:val="0"/>
        <w:widowControl w:val="0"/>
        <w:kinsoku/>
        <w:wordWrap/>
        <w:overflowPunct/>
        <w:topLinePunct w:val="0"/>
        <w:bidi w:val="0"/>
        <w:adjustRightInd w:val="0"/>
        <w:snapToGrid/>
        <w:spacing w:before="11" w:line="400" w:lineRule="exact"/>
        <w:ind w:right="1981"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B．法定代表人或负责人或实际控制人是夫妻关系</w:t>
      </w:r>
    </w:p>
    <w:p>
      <w:pPr>
        <w:pStyle w:val="23"/>
        <w:keepNext w:val="0"/>
        <w:keepLines w:val="0"/>
        <w:pageBreakBefore w:val="0"/>
        <w:widowControl w:val="0"/>
        <w:kinsoku/>
        <w:wordWrap/>
        <w:overflowPunct/>
        <w:topLinePunct w:val="0"/>
        <w:bidi w:val="0"/>
        <w:adjustRightInd w:val="0"/>
        <w:snapToGrid/>
        <w:spacing w:before="11" w:line="400" w:lineRule="exact"/>
        <w:ind w:right="1981"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C．法定代表人或负责人或实际控制人是直系血亲关系</w:t>
      </w:r>
    </w:p>
    <w:p>
      <w:pPr>
        <w:pStyle w:val="23"/>
        <w:keepNext w:val="0"/>
        <w:keepLines w:val="0"/>
        <w:pageBreakBefore w:val="0"/>
        <w:widowControl w:val="0"/>
        <w:kinsoku/>
        <w:wordWrap/>
        <w:overflowPunct/>
        <w:topLinePunct w:val="0"/>
        <w:bidi w:val="0"/>
        <w:adjustRightInd w:val="0"/>
        <w:snapToGrid/>
        <w:spacing w:before="11" w:line="400" w:lineRule="exact"/>
        <w:ind w:right="1510" w:rightChars="0" w:firstLine="488" w:firstLineChars="400"/>
        <w:jc w:val="left"/>
        <w:textAlignment w:val="auto"/>
        <w:rPr>
          <w:rFonts w:hint="eastAsia" w:ascii="宋体" w:hAnsi="宋体" w:eastAsia="宋体" w:cs="宋体"/>
          <w:color w:val="auto"/>
          <w:spacing w:val="-51"/>
          <w:highlight w:val="none"/>
        </w:rPr>
      </w:pPr>
      <w:r>
        <w:rPr>
          <w:rFonts w:hint="eastAsia" w:ascii="宋体" w:hAnsi="宋体" w:eastAsia="宋体" w:cs="宋体"/>
          <w:color w:val="auto"/>
          <w:spacing w:val="-59"/>
          <w:highlight w:val="none"/>
        </w:rPr>
        <w:t xml:space="preserve"> </w:t>
      </w:r>
      <w:r>
        <w:rPr>
          <w:rFonts w:hint="eastAsia" w:ascii="宋体" w:hAnsi="宋体" w:eastAsia="宋体" w:cs="宋体"/>
          <w:color w:val="auto"/>
          <w:highlight w:val="none"/>
        </w:rPr>
        <w:t>D．法定代表人或负责人或实际控制人存在三代以内旁系血亲关系</w:t>
      </w:r>
      <w:r>
        <w:rPr>
          <w:rFonts w:hint="eastAsia" w:ascii="宋体" w:hAnsi="宋体" w:eastAsia="宋体" w:cs="宋体"/>
          <w:color w:val="auto"/>
          <w:spacing w:val="-51"/>
          <w:highlight w:val="none"/>
        </w:rPr>
        <w:t xml:space="preserve"> </w:t>
      </w:r>
    </w:p>
    <w:p>
      <w:pPr>
        <w:pStyle w:val="23"/>
        <w:keepNext w:val="0"/>
        <w:keepLines w:val="0"/>
        <w:pageBreakBefore w:val="0"/>
        <w:widowControl w:val="0"/>
        <w:kinsoku/>
        <w:wordWrap/>
        <w:overflowPunct/>
        <w:topLinePunct w:val="0"/>
        <w:bidi w:val="0"/>
        <w:adjustRightInd w:val="0"/>
        <w:snapToGrid/>
        <w:spacing w:before="11" w:line="400" w:lineRule="exact"/>
        <w:ind w:right="1981"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E．法定代表人或负责人或实际控制人存在近姻亲关系</w:t>
      </w:r>
    </w:p>
    <w:p>
      <w:pPr>
        <w:pStyle w:val="23"/>
        <w:keepNext w:val="0"/>
        <w:keepLines w:val="0"/>
        <w:pageBreakBefore w:val="0"/>
        <w:widowControl w:val="0"/>
        <w:kinsoku/>
        <w:wordWrap/>
        <w:overflowPunct/>
        <w:topLinePunct w:val="0"/>
        <w:bidi w:val="0"/>
        <w:adjustRightInd w:val="0"/>
        <w:snapToGrid/>
        <w:spacing w:before="11" w:line="400" w:lineRule="exact"/>
        <w:ind w:right="670" w:rightChars="0" w:firstLine="480" w:firstLineChars="400"/>
        <w:jc w:val="left"/>
        <w:textAlignment w:val="auto"/>
        <w:rPr>
          <w:rFonts w:hint="eastAsia" w:ascii="宋体" w:hAnsi="宋体" w:eastAsia="宋体" w:cs="宋体"/>
          <w:color w:val="auto"/>
          <w:spacing w:val="-51"/>
          <w:highlight w:val="none"/>
        </w:rPr>
      </w:pPr>
      <w:r>
        <w:rPr>
          <w:rFonts w:hint="eastAsia" w:ascii="宋体" w:hAnsi="宋体" w:eastAsia="宋体" w:cs="宋体"/>
          <w:color w:val="auto"/>
          <w:spacing w:val="-60"/>
          <w:highlight w:val="none"/>
        </w:rPr>
        <w:t xml:space="preserve"> </w:t>
      </w:r>
      <w:r>
        <w:rPr>
          <w:rFonts w:hint="eastAsia" w:ascii="宋体" w:hAnsi="宋体" w:eastAsia="宋体" w:cs="宋体"/>
          <w:color w:val="auto"/>
          <w:highlight w:val="none"/>
        </w:rPr>
        <w:t>F．法定代表人或负责人或实际控制人存在股份控制或实际控制关系</w:t>
      </w:r>
      <w:r>
        <w:rPr>
          <w:rFonts w:hint="eastAsia" w:ascii="宋体" w:hAnsi="宋体" w:eastAsia="宋体" w:cs="宋体"/>
          <w:color w:val="auto"/>
          <w:spacing w:val="-51"/>
          <w:highlight w:val="none"/>
        </w:rPr>
        <w:t xml:space="preserve"> </w:t>
      </w:r>
    </w:p>
    <w:p>
      <w:pPr>
        <w:pStyle w:val="23"/>
        <w:keepNext w:val="0"/>
        <w:keepLines w:val="0"/>
        <w:pageBreakBefore w:val="0"/>
        <w:widowControl w:val="0"/>
        <w:kinsoku/>
        <w:wordWrap/>
        <w:overflowPunct/>
        <w:topLinePunct w:val="0"/>
        <w:bidi w:val="0"/>
        <w:adjustRightInd w:val="0"/>
        <w:snapToGrid/>
        <w:spacing w:before="11" w:line="400" w:lineRule="exact"/>
        <w:ind w:right="30" w:rightChars="0"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G．存在共同直接或间接投资设立子公司、联营企业和合营企业情况</w:t>
      </w:r>
    </w:p>
    <w:p>
      <w:pPr>
        <w:pStyle w:val="23"/>
        <w:keepNext w:val="0"/>
        <w:keepLines w:val="0"/>
        <w:pageBreakBefore w:val="0"/>
        <w:widowControl w:val="0"/>
        <w:kinsoku/>
        <w:wordWrap/>
        <w:overflowPunct/>
        <w:topLinePunct w:val="0"/>
        <w:bidi w:val="0"/>
        <w:adjustRightInd w:val="0"/>
        <w:snapToGrid/>
        <w:spacing w:line="400" w:lineRule="exact"/>
        <w:ind w:right="29" w:rightChars="14"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H．存在分级代理或代销关系、同一生产制造商关系、管理关系、重要业务（占主营业务收入 50 ％以上）或重要财务</w:t>
      </w:r>
      <w:r>
        <w:rPr>
          <w:rFonts w:hint="eastAsia" w:ascii="宋体" w:hAnsi="宋体" w:eastAsia="宋体" w:cs="宋体"/>
          <w:color w:val="auto"/>
          <w:spacing w:val="-58"/>
          <w:highlight w:val="none"/>
        </w:rPr>
        <w:t xml:space="preserve"> </w:t>
      </w:r>
      <w:r>
        <w:rPr>
          <w:rFonts w:hint="eastAsia" w:ascii="宋体" w:hAnsi="宋体" w:eastAsia="宋体" w:cs="宋体"/>
          <w:color w:val="auto"/>
          <w:highlight w:val="none"/>
        </w:rPr>
        <w:t>往来关系（如融资）等其他实质性控制关系</w:t>
      </w:r>
    </w:p>
    <w:p>
      <w:pPr>
        <w:pStyle w:val="23"/>
        <w:keepNext w:val="0"/>
        <w:keepLines w:val="0"/>
        <w:pageBreakBefore w:val="0"/>
        <w:widowControl w:val="0"/>
        <w:tabs>
          <w:tab w:val="left" w:pos="6600"/>
        </w:tabs>
        <w:kinsoku/>
        <w:wordWrap/>
        <w:overflowPunct/>
        <w:topLinePunct w:val="0"/>
        <w:bidi w:val="0"/>
        <w:adjustRightInd w:val="0"/>
        <w:snapToGrid/>
        <w:spacing w:before="57" w:line="400" w:lineRule="exact"/>
        <w:ind w:left="479" w:leftChars="228" w:right="3706" w:firstLine="0" w:firstLineChars="0"/>
        <w:jc w:val="left"/>
        <w:textAlignment w:val="auto"/>
        <w:rPr>
          <w:rFonts w:hint="eastAsia" w:ascii="宋体" w:hAnsi="宋体" w:eastAsia="宋体" w:cs="宋体"/>
          <w:color w:val="auto"/>
          <w:w w:val="100"/>
          <w:highlight w:val="none"/>
        </w:rPr>
      </w:pPr>
      <w:r>
        <w:rPr>
          <w:rFonts w:hint="eastAsia" w:ascii="宋体" w:hAnsi="宋体" w:eastAsia="宋体" w:cs="宋体"/>
          <w:color w:val="auto"/>
          <w:highlight w:val="none"/>
        </w:rPr>
        <w:t>I．其他利害关系情况。</w:t>
      </w:r>
      <w:r>
        <w:rPr>
          <w:rFonts w:hint="eastAsia" w:ascii="宋体" w:hAnsi="宋体" w:eastAsia="宋体" w:cs="宋体"/>
          <w:color w:val="auto"/>
          <w:w w:val="100"/>
          <w:highlight w:val="none"/>
        </w:rPr>
        <w:t xml:space="preserve"> </w:t>
      </w:r>
    </w:p>
    <w:p>
      <w:pPr>
        <w:pStyle w:val="23"/>
        <w:keepNext w:val="0"/>
        <w:keepLines w:val="0"/>
        <w:pageBreakBefore w:val="0"/>
        <w:widowControl w:val="0"/>
        <w:tabs>
          <w:tab w:val="left" w:pos="6600"/>
        </w:tabs>
        <w:kinsoku/>
        <w:wordWrap/>
        <w:overflowPunct/>
        <w:topLinePunct w:val="0"/>
        <w:bidi w:val="0"/>
        <w:adjustRightInd w:val="0"/>
        <w:snapToGrid/>
        <w:spacing w:before="57" w:line="400" w:lineRule="exact"/>
        <w:ind w:left="479" w:leftChars="228" w:right="30" w:rightChars="0"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三、现己清楚知道并严格遵守政府采购法律法规和现场纪律。</w:t>
      </w:r>
    </w:p>
    <w:p>
      <w:pPr>
        <w:pStyle w:val="23"/>
        <w:keepNext w:val="0"/>
        <w:keepLines w:val="0"/>
        <w:pageBreakBefore w:val="0"/>
        <w:widowControl w:val="0"/>
        <w:tabs>
          <w:tab w:val="left" w:pos="3643"/>
          <w:tab w:val="left" w:pos="8436"/>
        </w:tabs>
        <w:kinsoku/>
        <w:wordWrap/>
        <w:overflowPunct/>
        <w:topLinePunct w:val="0"/>
        <w:bidi w:val="0"/>
        <w:adjustRightInd w:val="0"/>
        <w:snapToGrid/>
        <w:spacing w:before="57" w:line="400" w:lineRule="exact"/>
        <w:ind w:right="30" w:rightChars="0" w:firstLine="480" w:firstLineChars="200"/>
        <w:jc w:val="left"/>
        <w:textAlignment w:val="auto"/>
        <w:rPr>
          <w:rFonts w:hint="eastAsia" w:ascii="宋体" w:hAnsi="宋体" w:eastAsia="宋体" w:cs="宋体"/>
          <w:color w:val="auto"/>
          <w:spacing w:val="-87"/>
          <w:highlight w:val="none"/>
        </w:rPr>
      </w:pPr>
      <w:r>
        <w:rPr>
          <w:rFonts w:hint="eastAsia" w:ascii="宋体" w:hAnsi="宋体" w:eastAsia="宋体" w:cs="宋体"/>
          <w:color w:val="auto"/>
          <w:highlight w:val="none"/>
        </w:rPr>
        <w:t>四、我发现</w:t>
      </w:r>
      <w:r>
        <w:rPr>
          <w:rFonts w:hint="eastAsia" w:ascii="宋体" w:hAnsi="宋体" w:eastAsia="宋体" w:cs="宋体"/>
          <w:color w:val="auto"/>
          <w:highlight w:val="none"/>
          <w:u w:val="single" w:color="000000"/>
        </w:rPr>
        <w:tab/>
      </w:r>
      <w:r>
        <w:rPr>
          <w:rFonts w:hint="eastAsia" w:ascii="宋体" w:hAnsi="宋体" w:eastAsia="宋体" w:cs="宋体"/>
          <w:color w:val="auto"/>
          <w:highlight w:val="none"/>
          <w:u w:val="single" w:color="000000"/>
          <w:lang w:val="en-US" w:eastAsia="zh-CN"/>
        </w:rPr>
        <w:t xml:space="preserve">         </w:t>
      </w:r>
      <w:r>
        <w:rPr>
          <w:rFonts w:hint="eastAsia" w:ascii="宋体" w:hAnsi="宋体" w:eastAsia="宋体" w:cs="宋体"/>
          <w:color w:val="auto"/>
          <w:highlight w:val="none"/>
        </w:rPr>
        <w:t>供应商之间存在或可能存在上述第二条第</w:t>
      </w:r>
      <w:r>
        <w:rPr>
          <w:rFonts w:hint="eastAsia" w:ascii="宋体" w:hAnsi="宋体" w:eastAsia="宋体" w:cs="宋体"/>
          <w:color w:val="auto"/>
          <w:highlight w:val="none"/>
          <w:u w:val="single" w:color="000000"/>
          <w:lang w:val="en-US" w:eastAsia="zh-CN"/>
        </w:rPr>
        <w:t xml:space="preserve">      </w:t>
      </w:r>
      <w:r>
        <w:rPr>
          <w:rFonts w:hint="eastAsia" w:ascii="宋体" w:hAnsi="宋体" w:eastAsia="宋体" w:cs="宋体"/>
          <w:color w:val="auto"/>
          <w:highlight w:val="none"/>
        </w:rPr>
        <w:t>项利害关系。</w:t>
      </w:r>
      <w:r>
        <w:rPr>
          <w:rFonts w:hint="eastAsia" w:ascii="宋体" w:hAnsi="宋体" w:eastAsia="宋体" w:cs="宋体"/>
          <w:color w:val="auto"/>
          <w:spacing w:val="-87"/>
          <w:highlight w:val="none"/>
        </w:rPr>
        <w:t xml:space="preserve"> </w:t>
      </w:r>
    </w:p>
    <w:p>
      <w:pPr>
        <w:pStyle w:val="23"/>
        <w:keepNext w:val="0"/>
        <w:keepLines w:val="0"/>
        <w:pageBreakBefore w:val="0"/>
        <w:widowControl w:val="0"/>
        <w:tabs>
          <w:tab w:val="left" w:pos="3643"/>
        </w:tabs>
        <w:kinsoku/>
        <w:wordWrap/>
        <w:overflowPunct/>
        <w:topLinePunct w:val="0"/>
        <w:bidi w:val="0"/>
        <w:adjustRightInd w:val="0"/>
        <w:snapToGrid/>
        <w:spacing w:before="57" w:line="400" w:lineRule="exact"/>
        <w:ind w:right="30" w:rightChars="0"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五、经检查确认所有投标人投标文件</w:t>
      </w:r>
      <w:r>
        <w:rPr>
          <w:rFonts w:hint="eastAsia" w:ascii="宋体" w:hAnsi="宋体" w:eastAsia="宋体" w:cs="宋体"/>
          <w:color w:val="auto"/>
          <w:spacing w:val="-27"/>
          <w:highlight w:val="non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不存在密封包装问题</w:t>
      </w:r>
      <w:r>
        <w:rPr>
          <w:rFonts w:hint="eastAsia" w:ascii="宋体" w:hAnsi="宋体" w:eastAsia="宋体" w:cs="宋体"/>
          <w:color w:val="auto"/>
          <w:spacing w:val="-27"/>
          <w:highlight w:val="non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存在密封包装问题（具体指出）</w:t>
      </w:r>
      <w:r>
        <w:rPr>
          <w:rFonts w:hint="eastAsia" w:ascii="宋体" w:hAnsi="宋体" w:eastAsia="宋体" w:cs="宋体"/>
          <w:color w:val="auto"/>
          <w:highlight w:val="none"/>
          <w:u w:val="single"/>
        </w:rPr>
        <w:tab/>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w:t>
      </w:r>
    </w:p>
    <w:p>
      <w:pPr>
        <w:keepNext w:val="0"/>
        <w:keepLines w:val="0"/>
        <w:pageBreakBefore w:val="0"/>
        <w:widowControl w:val="0"/>
        <w:kinsoku/>
        <w:wordWrap/>
        <w:overflowPunct/>
        <w:topLinePunct w:val="0"/>
        <w:autoSpaceDE/>
        <w:autoSpaceDN/>
        <w:bidi w:val="0"/>
        <w:adjustRightInd w:val="0"/>
        <w:snapToGrid/>
        <w:spacing w:before="0" w:line="400" w:lineRule="exact"/>
        <w:jc w:val="center"/>
        <w:textAlignment w:val="auto"/>
        <w:rPr>
          <w:rFonts w:hint="eastAsia" w:ascii="宋体" w:hAnsi="宋体" w:eastAsia="宋体" w:cs="宋体"/>
          <w:color w:val="auto"/>
          <w:spacing w:val="-39"/>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（供应商代表签名）:</w:t>
      </w:r>
    </w:p>
    <w:p>
      <w:pPr>
        <w:keepNext w:val="0"/>
        <w:keepLines w:val="0"/>
        <w:pageBreakBefore w:val="0"/>
        <w:widowControl w:val="0"/>
        <w:kinsoku/>
        <w:wordWrap/>
        <w:overflowPunct/>
        <w:topLinePunct w:val="0"/>
        <w:autoSpaceDE/>
        <w:autoSpaceDN/>
        <w:bidi w:val="0"/>
        <w:adjustRightInd w:val="0"/>
        <w:snapToGrid/>
        <w:spacing w:before="0" w:line="400" w:lineRule="exact"/>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pPr>
        <w:pStyle w:val="25"/>
        <w:ind w:left="0" w:leftChars="0" w:firstLine="0" w:firstLineChars="0"/>
        <w:rPr>
          <w:rFonts w:hint="eastAsia" w:ascii="宋体" w:hAnsi="宋体" w:eastAsia="宋体" w:cs="宋体"/>
          <w:color w:val="auto"/>
          <w:w w:val="100"/>
          <w:highlight w:val="none"/>
          <w:lang w:val="en-US" w:eastAsia="zh-CN"/>
        </w:rPr>
      </w:pPr>
      <w:r>
        <w:rPr>
          <w:rFonts w:hint="eastAsia" w:ascii="宋体" w:hAnsi="宋体" w:eastAsia="宋体" w:cs="宋体"/>
          <w:b/>
          <w:bCs/>
          <w:color w:val="auto"/>
          <w:spacing w:val="0"/>
          <w:w w:val="90"/>
          <w:kern w:val="0"/>
          <w:highlight w:val="none"/>
          <w:fitText w:val="8400" w:id="456948292"/>
          <w:lang w:val="en-US" w:eastAsia="zh-CN"/>
        </w:rPr>
        <w:t>请在开标当天解密响应文件后30分钟内签署本声明书，并发送到邮箱</w:t>
      </w:r>
      <w:r>
        <w:rPr>
          <w:rFonts w:hint="eastAsia" w:ascii="宋体" w:hAnsi="宋体" w:eastAsia="宋体" w:cs="宋体"/>
          <w:b/>
          <w:bCs/>
          <w:color w:val="auto"/>
          <w:spacing w:val="0"/>
          <w:w w:val="90"/>
          <w:kern w:val="0"/>
          <w:highlight w:val="none"/>
          <w:u w:val="single"/>
          <w:fitText w:val="8400" w:id="456948292"/>
          <w:lang w:val="en-US" w:eastAsia="zh-CN"/>
        </w:rPr>
        <w:t>357473346@qq.co</w:t>
      </w:r>
      <w:r>
        <w:rPr>
          <w:rFonts w:hint="eastAsia" w:ascii="宋体" w:hAnsi="宋体" w:eastAsia="宋体" w:cs="宋体"/>
          <w:b/>
          <w:bCs/>
          <w:color w:val="auto"/>
          <w:spacing w:val="-37"/>
          <w:w w:val="90"/>
          <w:kern w:val="0"/>
          <w:highlight w:val="none"/>
          <w:u w:val="single"/>
          <w:fitText w:val="8400" w:id="456948292"/>
          <w:lang w:val="en-US" w:eastAsia="zh-CN"/>
        </w:rPr>
        <w:t>m</w:t>
      </w:r>
      <w:r>
        <w:rPr>
          <w:rFonts w:hint="eastAsia" w:ascii="宋体" w:hAnsi="宋体" w:eastAsia="宋体" w:cs="宋体"/>
          <w:b/>
          <w:bCs/>
          <w:color w:val="auto"/>
          <w:w w:val="100"/>
          <w:kern w:val="0"/>
          <w:highlight w:val="none"/>
          <w:lang w:val="en-US" w:eastAsia="zh-CN"/>
        </w:rPr>
        <w:t>。</w:t>
      </w:r>
    </w:p>
    <w:sectPr>
      <w:headerReference r:id="rId26" w:type="first"/>
      <w:footerReference r:id="rId29" w:type="first"/>
      <w:headerReference r:id="rId25" w:type="default"/>
      <w:footerReference r:id="rId27" w:type="default"/>
      <w:footerReference r:id="rId28" w:type="even"/>
      <w:pgSz w:w="11906" w:h="16838"/>
      <w:pgMar w:top="1247" w:right="1418" w:bottom="1276" w:left="1418"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w:pict>
        <v:shape id="_x0000_s2058" o:spid="_x0000_s2058"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20</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pict>
        <v:shape id="_x0000_s2057" o:spid="_x0000_s2057"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26</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_x0000_s2055" o:spid="_x0000_s2055"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49</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_x0000_s2056" o:spid="_x0000_s205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27</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_x0000_s2053" o:spid="_x0000_s2053"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55</w:t>
                </w:r>
                <w: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_x0000_s2054" o:spid="_x0000_s2054"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50</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_x0000_s2051" o:spid="_x0000_s2051"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58</w:t>
                </w:r>
                <w: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pict>
        <v:shape id="_x0000_s2052" o:spid="_x0000_s2052"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56</w:t>
                </w:r>
                <w: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szCs w:val="24"/>
      </w:rPr>
    </w:pPr>
    <w:r>
      <w:pict>
        <v:shape id="_x0000_s2049" o:spid="_x0000_s2049"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72</w:t>
                </w:r>
                <w: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w:pict>
        <v:shape id="_x0000_s2050" o:spid="_x0000_s2050"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path/>
          <v:fill on="f" focussize="0,0"/>
          <v:stroke on="f" weight="0.5pt" joinstyle="miter"/>
          <v:imagedata o:title=""/>
          <o:lock v:ext="edit"/>
          <v:textbox inset="0mm,0mm,0mm,0mm" style="mso-fit-shape-to-text:t;">
            <w:txbxContent>
              <w:p>
                <w:pPr>
                  <w:pStyle w:val="41"/>
                </w:pPr>
                <w:r>
                  <w:fldChar w:fldCharType="begin"/>
                </w:r>
                <w:r>
                  <w:instrText xml:space="preserve"> PAGE  \* MERGEFORMAT </w:instrText>
                </w:r>
                <w:r>
                  <w:fldChar w:fldCharType="separate"/>
                </w:r>
                <w:r>
                  <w:t>59</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                    杭州市政府采购公开招标文件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p>
  <w:p>
    <w:pPr>
      <w:pStyle w:val="42"/>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杭州市政府采购公开招标文件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489E4D"/>
    <w:multiLevelType w:val="singleLevel"/>
    <w:tmpl w:val="84489E4D"/>
    <w:lvl w:ilvl="0" w:tentative="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hideSpellingErrors/>
  <w:documentProtection w:enforcement="0"/>
  <w:defaultTabStop w:val="420"/>
  <w:drawingGridVerticalSpacing w:val="156"/>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GI1NDdkZjg5NmU3YjU2MTc2NmJmZjdmZTA5MjQzYT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1C"/>
    <w:rsid w:val="00086EFD"/>
    <w:rsid w:val="00086F8A"/>
    <w:rsid w:val="00087031"/>
    <w:rsid w:val="00090243"/>
    <w:rsid w:val="000904F6"/>
    <w:rsid w:val="00090918"/>
    <w:rsid w:val="00090ED8"/>
    <w:rsid w:val="00090F9F"/>
    <w:rsid w:val="0009141B"/>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0F47"/>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25A"/>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BFE"/>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430"/>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FBD"/>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6CE"/>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5E1E"/>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3B4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6BD"/>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82E"/>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76E"/>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0F82"/>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2CD"/>
    <w:rsid w:val="0084357B"/>
    <w:rsid w:val="008465B4"/>
    <w:rsid w:val="00846D25"/>
    <w:rsid w:val="00850013"/>
    <w:rsid w:val="008500DD"/>
    <w:rsid w:val="00850A0A"/>
    <w:rsid w:val="00850A94"/>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63F"/>
    <w:rsid w:val="00904DC3"/>
    <w:rsid w:val="0090534A"/>
    <w:rsid w:val="00905469"/>
    <w:rsid w:val="00906078"/>
    <w:rsid w:val="0090629C"/>
    <w:rsid w:val="00906EA2"/>
    <w:rsid w:val="00907278"/>
    <w:rsid w:val="009076CA"/>
    <w:rsid w:val="00910041"/>
    <w:rsid w:val="0091112B"/>
    <w:rsid w:val="00911D61"/>
    <w:rsid w:val="00911FC9"/>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268"/>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2427"/>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E99"/>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BD5"/>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1C2B"/>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0E1"/>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071"/>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B2F"/>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533"/>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3C97"/>
    <w:rsid w:val="00E45A2C"/>
    <w:rsid w:val="00E46A6B"/>
    <w:rsid w:val="00E46A9C"/>
    <w:rsid w:val="00E47DB1"/>
    <w:rsid w:val="00E506FD"/>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281"/>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728"/>
    <w:rsid w:val="00FF49B4"/>
    <w:rsid w:val="00FF49F4"/>
    <w:rsid w:val="00FF5C6A"/>
    <w:rsid w:val="00FF651D"/>
    <w:rsid w:val="00FF6843"/>
    <w:rsid w:val="00FF6C25"/>
    <w:rsid w:val="010651D9"/>
    <w:rsid w:val="011A13C0"/>
    <w:rsid w:val="011B0745"/>
    <w:rsid w:val="011F6449"/>
    <w:rsid w:val="01236AFB"/>
    <w:rsid w:val="019F7441"/>
    <w:rsid w:val="01B25231"/>
    <w:rsid w:val="01B37585"/>
    <w:rsid w:val="01D55165"/>
    <w:rsid w:val="01DF6BF8"/>
    <w:rsid w:val="01EC2C57"/>
    <w:rsid w:val="02005B8D"/>
    <w:rsid w:val="02251150"/>
    <w:rsid w:val="025F0711"/>
    <w:rsid w:val="026B2E25"/>
    <w:rsid w:val="026C6D7F"/>
    <w:rsid w:val="02824D4D"/>
    <w:rsid w:val="02B552AE"/>
    <w:rsid w:val="02DC4B10"/>
    <w:rsid w:val="02DD76CE"/>
    <w:rsid w:val="02F36323"/>
    <w:rsid w:val="02F5619C"/>
    <w:rsid w:val="0326446A"/>
    <w:rsid w:val="032D5555"/>
    <w:rsid w:val="035107B1"/>
    <w:rsid w:val="036634D2"/>
    <w:rsid w:val="03DD35E4"/>
    <w:rsid w:val="03F728A0"/>
    <w:rsid w:val="04076900"/>
    <w:rsid w:val="041A5A3B"/>
    <w:rsid w:val="042311BA"/>
    <w:rsid w:val="042B157A"/>
    <w:rsid w:val="048F763B"/>
    <w:rsid w:val="049F330E"/>
    <w:rsid w:val="04AA775C"/>
    <w:rsid w:val="04AF1889"/>
    <w:rsid w:val="04F66F48"/>
    <w:rsid w:val="05251E14"/>
    <w:rsid w:val="05501D0E"/>
    <w:rsid w:val="05665803"/>
    <w:rsid w:val="05A16594"/>
    <w:rsid w:val="05A7762D"/>
    <w:rsid w:val="05B16DB5"/>
    <w:rsid w:val="060E5941"/>
    <w:rsid w:val="06110FAF"/>
    <w:rsid w:val="062E4A77"/>
    <w:rsid w:val="062E6072"/>
    <w:rsid w:val="06493CA7"/>
    <w:rsid w:val="065A6178"/>
    <w:rsid w:val="066F1CF3"/>
    <w:rsid w:val="06930BB8"/>
    <w:rsid w:val="06945411"/>
    <w:rsid w:val="07245D42"/>
    <w:rsid w:val="07264C62"/>
    <w:rsid w:val="0779354C"/>
    <w:rsid w:val="07C73E71"/>
    <w:rsid w:val="07DF701E"/>
    <w:rsid w:val="08061376"/>
    <w:rsid w:val="0836494C"/>
    <w:rsid w:val="08452D77"/>
    <w:rsid w:val="086401F8"/>
    <w:rsid w:val="08751CAA"/>
    <w:rsid w:val="087E4C40"/>
    <w:rsid w:val="08A871D0"/>
    <w:rsid w:val="08D66AD6"/>
    <w:rsid w:val="08DA33A3"/>
    <w:rsid w:val="08DB4566"/>
    <w:rsid w:val="08E80F13"/>
    <w:rsid w:val="08F876BA"/>
    <w:rsid w:val="09335624"/>
    <w:rsid w:val="0944690F"/>
    <w:rsid w:val="09535675"/>
    <w:rsid w:val="095F057D"/>
    <w:rsid w:val="09642282"/>
    <w:rsid w:val="09733572"/>
    <w:rsid w:val="09772C16"/>
    <w:rsid w:val="098353B5"/>
    <w:rsid w:val="09A92330"/>
    <w:rsid w:val="09B06B87"/>
    <w:rsid w:val="09C13146"/>
    <w:rsid w:val="09E04166"/>
    <w:rsid w:val="09F47D86"/>
    <w:rsid w:val="09F503A1"/>
    <w:rsid w:val="0A0D1815"/>
    <w:rsid w:val="0A1C0718"/>
    <w:rsid w:val="0A2A768E"/>
    <w:rsid w:val="0A3E7710"/>
    <w:rsid w:val="0A5B7E63"/>
    <w:rsid w:val="0AA374A5"/>
    <w:rsid w:val="0AAA1E9F"/>
    <w:rsid w:val="0AAB7649"/>
    <w:rsid w:val="0ABC5606"/>
    <w:rsid w:val="0B2C6BAE"/>
    <w:rsid w:val="0B30404E"/>
    <w:rsid w:val="0B4C6C14"/>
    <w:rsid w:val="0B540B13"/>
    <w:rsid w:val="0B547599"/>
    <w:rsid w:val="0B631A88"/>
    <w:rsid w:val="0B683D45"/>
    <w:rsid w:val="0B7F3F11"/>
    <w:rsid w:val="0B884417"/>
    <w:rsid w:val="0BDC03AB"/>
    <w:rsid w:val="0BF6188C"/>
    <w:rsid w:val="0BF73C91"/>
    <w:rsid w:val="0C152235"/>
    <w:rsid w:val="0C170175"/>
    <w:rsid w:val="0C571A41"/>
    <w:rsid w:val="0C5C1171"/>
    <w:rsid w:val="0C5E1CBC"/>
    <w:rsid w:val="0C615B50"/>
    <w:rsid w:val="0C8445DA"/>
    <w:rsid w:val="0C87121B"/>
    <w:rsid w:val="0CB61A22"/>
    <w:rsid w:val="0CC007F7"/>
    <w:rsid w:val="0CC617AC"/>
    <w:rsid w:val="0CE618DF"/>
    <w:rsid w:val="0CFE707A"/>
    <w:rsid w:val="0D063BDA"/>
    <w:rsid w:val="0D08375F"/>
    <w:rsid w:val="0D184CFB"/>
    <w:rsid w:val="0D4A7419"/>
    <w:rsid w:val="0D827401"/>
    <w:rsid w:val="0D84094E"/>
    <w:rsid w:val="0D8A00E9"/>
    <w:rsid w:val="0D8D589E"/>
    <w:rsid w:val="0DA01C73"/>
    <w:rsid w:val="0DD63300"/>
    <w:rsid w:val="0DE0796F"/>
    <w:rsid w:val="0DF50604"/>
    <w:rsid w:val="0DF702FE"/>
    <w:rsid w:val="0E060E51"/>
    <w:rsid w:val="0E5604B2"/>
    <w:rsid w:val="0E6D5D79"/>
    <w:rsid w:val="0E9D0089"/>
    <w:rsid w:val="0EB803EE"/>
    <w:rsid w:val="0EF94D4B"/>
    <w:rsid w:val="0F155E8E"/>
    <w:rsid w:val="0F3B26BD"/>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152D5B"/>
    <w:rsid w:val="11266F33"/>
    <w:rsid w:val="11535CDA"/>
    <w:rsid w:val="118963A1"/>
    <w:rsid w:val="11C17FEC"/>
    <w:rsid w:val="11C6522A"/>
    <w:rsid w:val="11E104CC"/>
    <w:rsid w:val="11E20309"/>
    <w:rsid w:val="12255233"/>
    <w:rsid w:val="12530213"/>
    <w:rsid w:val="127723A9"/>
    <w:rsid w:val="12862074"/>
    <w:rsid w:val="12883966"/>
    <w:rsid w:val="129E45B4"/>
    <w:rsid w:val="12D81596"/>
    <w:rsid w:val="13072A44"/>
    <w:rsid w:val="13217712"/>
    <w:rsid w:val="135F4BE2"/>
    <w:rsid w:val="139B1A0A"/>
    <w:rsid w:val="139D25C7"/>
    <w:rsid w:val="13BF3CE4"/>
    <w:rsid w:val="141008D8"/>
    <w:rsid w:val="14125FE6"/>
    <w:rsid w:val="143A4CAB"/>
    <w:rsid w:val="144B0EEA"/>
    <w:rsid w:val="146D271E"/>
    <w:rsid w:val="14982588"/>
    <w:rsid w:val="149A5AD9"/>
    <w:rsid w:val="14A7619D"/>
    <w:rsid w:val="14D760A7"/>
    <w:rsid w:val="150536C3"/>
    <w:rsid w:val="150C1963"/>
    <w:rsid w:val="151447A0"/>
    <w:rsid w:val="15446A1F"/>
    <w:rsid w:val="154A6454"/>
    <w:rsid w:val="15641278"/>
    <w:rsid w:val="15762120"/>
    <w:rsid w:val="15D554A4"/>
    <w:rsid w:val="164B6E6F"/>
    <w:rsid w:val="165F0C7D"/>
    <w:rsid w:val="166B5873"/>
    <w:rsid w:val="16A8729C"/>
    <w:rsid w:val="16B33777"/>
    <w:rsid w:val="16BC70A7"/>
    <w:rsid w:val="16C6339E"/>
    <w:rsid w:val="16DF31BC"/>
    <w:rsid w:val="172F2D79"/>
    <w:rsid w:val="17557BEF"/>
    <w:rsid w:val="17D349C1"/>
    <w:rsid w:val="1830729E"/>
    <w:rsid w:val="1870062C"/>
    <w:rsid w:val="18817102"/>
    <w:rsid w:val="18830A15"/>
    <w:rsid w:val="18852B28"/>
    <w:rsid w:val="188B5321"/>
    <w:rsid w:val="18954E2A"/>
    <w:rsid w:val="191A0E8B"/>
    <w:rsid w:val="192F5D1E"/>
    <w:rsid w:val="19932372"/>
    <w:rsid w:val="19A20DD5"/>
    <w:rsid w:val="19AE03F1"/>
    <w:rsid w:val="19E51499"/>
    <w:rsid w:val="1A071A03"/>
    <w:rsid w:val="1A1F16AE"/>
    <w:rsid w:val="1A3B5C77"/>
    <w:rsid w:val="1A3E6F6D"/>
    <w:rsid w:val="1A565B41"/>
    <w:rsid w:val="1A984BAD"/>
    <w:rsid w:val="1AB8220E"/>
    <w:rsid w:val="1AE4166C"/>
    <w:rsid w:val="1AEA79DF"/>
    <w:rsid w:val="1AF06CFB"/>
    <w:rsid w:val="1AF11B8D"/>
    <w:rsid w:val="1B11359C"/>
    <w:rsid w:val="1B2A271F"/>
    <w:rsid w:val="1B530544"/>
    <w:rsid w:val="1B713184"/>
    <w:rsid w:val="1B8371BB"/>
    <w:rsid w:val="1BA209CF"/>
    <w:rsid w:val="1BA77612"/>
    <w:rsid w:val="1BB4777D"/>
    <w:rsid w:val="1BB630ED"/>
    <w:rsid w:val="1BD75AB8"/>
    <w:rsid w:val="1BEC255B"/>
    <w:rsid w:val="1BEF4851"/>
    <w:rsid w:val="1C0459C2"/>
    <w:rsid w:val="1C1B3B4A"/>
    <w:rsid w:val="1C422E87"/>
    <w:rsid w:val="1C88086E"/>
    <w:rsid w:val="1D266CE1"/>
    <w:rsid w:val="1D28721B"/>
    <w:rsid w:val="1D3963AF"/>
    <w:rsid w:val="1D6A673C"/>
    <w:rsid w:val="1D9247AE"/>
    <w:rsid w:val="1DB567EC"/>
    <w:rsid w:val="1DEC51D0"/>
    <w:rsid w:val="1DED55CE"/>
    <w:rsid w:val="1DF51A98"/>
    <w:rsid w:val="1E177329"/>
    <w:rsid w:val="1E3D060F"/>
    <w:rsid w:val="1E3F7D2E"/>
    <w:rsid w:val="1E4134E4"/>
    <w:rsid w:val="1E5062B3"/>
    <w:rsid w:val="1E523514"/>
    <w:rsid w:val="1E714A66"/>
    <w:rsid w:val="1E802593"/>
    <w:rsid w:val="1E8B6156"/>
    <w:rsid w:val="1E982F7E"/>
    <w:rsid w:val="1EA703CC"/>
    <w:rsid w:val="1EB7330C"/>
    <w:rsid w:val="1EF503D0"/>
    <w:rsid w:val="1F0A0FF3"/>
    <w:rsid w:val="1F5771FF"/>
    <w:rsid w:val="1F607BCC"/>
    <w:rsid w:val="1F9E1483"/>
    <w:rsid w:val="1FE25607"/>
    <w:rsid w:val="1FE868A9"/>
    <w:rsid w:val="1FFB1A16"/>
    <w:rsid w:val="20034907"/>
    <w:rsid w:val="20173E4B"/>
    <w:rsid w:val="203B3061"/>
    <w:rsid w:val="204E48BC"/>
    <w:rsid w:val="208921B3"/>
    <w:rsid w:val="20973DEB"/>
    <w:rsid w:val="20B26522"/>
    <w:rsid w:val="20B44310"/>
    <w:rsid w:val="20C5380D"/>
    <w:rsid w:val="211116EB"/>
    <w:rsid w:val="21296E0A"/>
    <w:rsid w:val="216133FC"/>
    <w:rsid w:val="218D4888"/>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CD5478"/>
    <w:rsid w:val="23DC12AB"/>
    <w:rsid w:val="23E95BEF"/>
    <w:rsid w:val="23FD0064"/>
    <w:rsid w:val="245375B0"/>
    <w:rsid w:val="24642C0A"/>
    <w:rsid w:val="2466715E"/>
    <w:rsid w:val="24B22173"/>
    <w:rsid w:val="24B61A74"/>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6BC5523"/>
    <w:rsid w:val="26D934FB"/>
    <w:rsid w:val="27044A29"/>
    <w:rsid w:val="271D34C8"/>
    <w:rsid w:val="272B3C0A"/>
    <w:rsid w:val="276142BF"/>
    <w:rsid w:val="27783712"/>
    <w:rsid w:val="27907362"/>
    <w:rsid w:val="27D16CEC"/>
    <w:rsid w:val="28177F23"/>
    <w:rsid w:val="28292E99"/>
    <w:rsid w:val="28333E1D"/>
    <w:rsid w:val="28454BD6"/>
    <w:rsid w:val="28455253"/>
    <w:rsid w:val="28551971"/>
    <w:rsid w:val="285B1C53"/>
    <w:rsid w:val="289F7086"/>
    <w:rsid w:val="28C32028"/>
    <w:rsid w:val="28CC490F"/>
    <w:rsid w:val="28DE40AA"/>
    <w:rsid w:val="290A5904"/>
    <w:rsid w:val="29345E77"/>
    <w:rsid w:val="293A0747"/>
    <w:rsid w:val="294C65AD"/>
    <w:rsid w:val="29806583"/>
    <w:rsid w:val="298732CC"/>
    <w:rsid w:val="298B3C4C"/>
    <w:rsid w:val="29F26D24"/>
    <w:rsid w:val="2A15033F"/>
    <w:rsid w:val="2A1662C1"/>
    <w:rsid w:val="2A1C7367"/>
    <w:rsid w:val="2A2815FA"/>
    <w:rsid w:val="2A32072A"/>
    <w:rsid w:val="2A6D6092"/>
    <w:rsid w:val="2A733649"/>
    <w:rsid w:val="2A7D76B4"/>
    <w:rsid w:val="2ABE0808"/>
    <w:rsid w:val="2B437463"/>
    <w:rsid w:val="2B450C84"/>
    <w:rsid w:val="2B7807EE"/>
    <w:rsid w:val="2B7B5C15"/>
    <w:rsid w:val="2B861A47"/>
    <w:rsid w:val="2BA50BF7"/>
    <w:rsid w:val="2BBF00EC"/>
    <w:rsid w:val="2BC37CFD"/>
    <w:rsid w:val="2BD5237F"/>
    <w:rsid w:val="2BE536CE"/>
    <w:rsid w:val="2BE758D9"/>
    <w:rsid w:val="2C09049E"/>
    <w:rsid w:val="2C0A653C"/>
    <w:rsid w:val="2C191F85"/>
    <w:rsid w:val="2CE82D6F"/>
    <w:rsid w:val="2D343236"/>
    <w:rsid w:val="2DD15014"/>
    <w:rsid w:val="2DF72DE4"/>
    <w:rsid w:val="2E0220AF"/>
    <w:rsid w:val="2E037428"/>
    <w:rsid w:val="2E3F51C4"/>
    <w:rsid w:val="2E4B082A"/>
    <w:rsid w:val="2E5D4E86"/>
    <w:rsid w:val="2E5D790B"/>
    <w:rsid w:val="2E9A3C18"/>
    <w:rsid w:val="2EBB0FEE"/>
    <w:rsid w:val="2EC63002"/>
    <w:rsid w:val="2F0A6B38"/>
    <w:rsid w:val="2F213501"/>
    <w:rsid w:val="2F946CCB"/>
    <w:rsid w:val="2FD25781"/>
    <w:rsid w:val="2FD8767E"/>
    <w:rsid w:val="2FDC745C"/>
    <w:rsid w:val="2FFD7934"/>
    <w:rsid w:val="30733ACD"/>
    <w:rsid w:val="308C3862"/>
    <w:rsid w:val="309379D8"/>
    <w:rsid w:val="309C015F"/>
    <w:rsid w:val="30A270F7"/>
    <w:rsid w:val="30DF1478"/>
    <w:rsid w:val="30EC586F"/>
    <w:rsid w:val="319C6071"/>
    <w:rsid w:val="31A71971"/>
    <w:rsid w:val="31AC537E"/>
    <w:rsid w:val="31E3679B"/>
    <w:rsid w:val="31E732FD"/>
    <w:rsid w:val="32517576"/>
    <w:rsid w:val="32586854"/>
    <w:rsid w:val="327F4D4C"/>
    <w:rsid w:val="32BE5C2C"/>
    <w:rsid w:val="32FB6478"/>
    <w:rsid w:val="33263B3F"/>
    <w:rsid w:val="336963EB"/>
    <w:rsid w:val="33816EEB"/>
    <w:rsid w:val="33C87AB6"/>
    <w:rsid w:val="33EB55CD"/>
    <w:rsid w:val="33EC4C02"/>
    <w:rsid w:val="340D2360"/>
    <w:rsid w:val="3410665D"/>
    <w:rsid w:val="34117602"/>
    <w:rsid w:val="34211214"/>
    <w:rsid w:val="3425052C"/>
    <w:rsid w:val="34253971"/>
    <w:rsid w:val="342E63AB"/>
    <w:rsid w:val="34950E68"/>
    <w:rsid w:val="34986E94"/>
    <w:rsid w:val="34AF62C9"/>
    <w:rsid w:val="34CB4388"/>
    <w:rsid w:val="34FA6E12"/>
    <w:rsid w:val="354D7158"/>
    <w:rsid w:val="358D5588"/>
    <w:rsid w:val="35B2551A"/>
    <w:rsid w:val="363A3B40"/>
    <w:rsid w:val="365302AE"/>
    <w:rsid w:val="36607A0A"/>
    <w:rsid w:val="366E227C"/>
    <w:rsid w:val="366F2E0D"/>
    <w:rsid w:val="367B6A5C"/>
    <w:rsid w:val="368D18BF"/>
    <w:rsid w:val="36A74ADA"/>
    <w:rsid w:val="36AD60D5"/>
    <w:rsid w:val="36B224F9"/>
    <w:rsid w:val="36EC0CC9"/>
    <w:rsid w:val="370A2B69"/>
    <w:rsid w:val="373F410B"/>
    <w:rsid w:val="375A12C0"/>
    <w:rsid w:val="37EE7094"/>
    <w:rsid w:val="37F67A54"/>
    <w:rsid w:val="38296C89"/>
    <w:rsid w:val="383002EB"/>
    <w:rsid w:val="3842661C"/>
    <w:rsid w:val="385362AC"/>
    <w:rsid w:val="38586797"/>
    <w:rsid w:val="38BC0149"/>
    <w:rsid w:val="38D87D1C"/>
    <w:rsid w:val="39636459"/>
    <w:rsid w:val="396B7F6C"/>
    <w:rsid w:val="3972255F"/>
    <w:rsid w:val="39916AF0"/>
    <w:rsid w:val="399D7242"/>
    <w:rsid w:val="39A4757E"/>
    <w:rsid w:val="39B417A9"/>
    <w:rsid w:val="39FC5695"/>
    <w:rsid w:val="3A006D8E"/>
    <w:rsid w:val="3A2652F7"/>
    <w:rsid w:val="3A3651E5"/>
    <w:rsid w:val="3A744481"/>
    <w:rsid w:val="3A8C7BEF"/>
    <w:rsid w:val="3A906246"/>
    <w:rsid w:val="3A966B08"/>
    <w:rsid w:val="3B2349B7"/>
    <w:rsid w:val="3B616CFF"/>
    <w:rsid w:val="3B624075"/>
    <w:rsid w:val="3B6259F6"/>
    <w:rsid w:val="3B976654"/>
    <w:rsid w:val="3BA26D92"/>
    <w:rsid w:val="3BB9185D"/>
    <w:rsid w:val="3BC01EFC"/>
    <w:rsid w:val="3BCA786A"/>
    <w:rsid w:val="3BD31E2F"/>
    <w:rsid w:val="3BF15831"/>
    <w:rsid w:val="3C105946"/>
    <w:rsid w:val="3C233CF4"/>
    <w:rsid w:val="3C246476"/>
    <w:rsid w:val="3C471448"/>
    <w:rsid w:val="3C5F759A"/>
    <w:rsid w:val="3C65673D"/>
    <w:rsid w:val="3C6616BA"/>
    <w:rsid w:val="3C6C525A"/>
    <w:rsid w:val="3C7543C0"/>
    <w:rsid w:val="3C97441D"/>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D247B9"/>
    <w:rsid w:val="3F060E16"/>
    <w:rsid w:val="3F1D1096"/>
    <w:rsid w:val="3F2F0234"/>
    <w:rsid w:val="3F415A5B"/>
    <w:rsid w:val="3F6363FE"/>
    <w:rsid w:val="3F756B8F"/>
    <w:rsid w:val="3F95482B"/>
    <w:rsid w:val="3FA710F6"/>
    <w:rsid w:val="40117AFF"/>
    <w:rsid w:val="4019356B"/>
    <w:rsid w:val="40592157"/>
    <w:rsid w:val="406E1CAE"/>
    <w:rsid w:val="40A0055C"/>
    <w:rsid w:val="40A0133A"/>
    <w:rsid w:val="40C31A53"/>
    <w:rsid w:val="40E816EB"/>
    <w:rsid w:val="40FF545D"/>
    <w:rsid w:val="410067C8"/>
    <w:rsid w:val="414D1C8C"/>
    <w:rsid w:val="41673248"/>
    <w:rsid w:val="418F0D2A"/>
    <w:rsid w:val="41D01505"/>
    <w:rsid w:val="41DF7214"/>
    <w:rsid w:val="422F2880"/>
    <w:rsid w:val="42377906"/>
    <w:rsid w:val="42474939"/>
    <w:rsid w:val="424C3C57"/>
    <w:rsid w:val="42577CB7"/>
    <w:rsid w:val="42613FF3"/>
    <w:rsid w:val="42660D96"/>
    <w:rsid w:val="428667D2"/>
    <w:rsid w:val="429550D4"/>
    <w:rsid w:val="42CD1CE0"/>
    <w:rsid w:val="42E1381E"/>
    <w:rsid w:val="42E475F9"/>
    <w:rsid w:val="42ED6459"/>
    <w:rsid w:val="42FE58DD"/>
    <w:rsid w:val="43174B3D"/>
    <w:rsid w:val="434B790E"/>
    <w:rsid w:val="4360274F"/>
    <w:rsid w:val="43977AB6"/>
    <w:rsid w:val="43A3342B"/>
    <w:rsid w:val="43C77C27"/>
    <w:rsid w:val="43DE09EE"/>
    <w:rsid w:val="44002FAD"/>
    <w:rsid w:val="446B0669"/>
    <w:rsid w:val="447D07E4"/>
    <w:rsid w:val="449101DD"/>
    <w:rsid w:val="44DE1391"/>
    <w:rsid w:val="4505119D"/>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8E17EF"/>
    <w:rsid w:val="46C4686E"/>
    <w:rsid w:val="47376F28"/>
    <w:rsid w:val="477659F0"/>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4554B8"/>
    <w:rsid w:val="4A8055D9"/>
    <w:rsid w:val="4AB82D0F"/>
    <w:rsid w:val="4ADE3E57"/>
    <w:rsid w:val="4AEB7664"/>
    <w:rsid w:val="4AFD7C19"/>
    <w:rsid w:val="4B0567D1"/>
    <w:rsid w:val="4B236AAE"/>
    <w:rsid w:val="4B55797D"/>
    <w:rsid w:val="4B68369B"/>
    <w:rsid w:val="4B707271"/>
    <w:rsid w:val="4B9739F7"/>
    <w:rsid w:val="4BD761F0"/>
    <w:rsid w:val="4BEE2503"/>
    <w:rsid w:val="4C245A30"/>
    <w:rsid w:val="4C6D519A"/>
    <w:rsid w:val="4CB6685F"/>
    <w:rsid w:val="4CC367FE"/>
    <w:rsid w:val="4CE4545C"/>
    <w:rsid w:val="4D077F3C"/>
    <w:rsid w:val="4D123355"/>
    <w:rsid w:val="4D2A3B31"/>
    <w:rsid w:val="4D312C52"/>
    <w:rsid w:val="4D905305"/>
    <w:rsid w:val="4D964A72"/>
    <w:rsid w:val="4D9C1254"/>
    <w:rsid w:val="4DC41BC0"/>
    <w:rsid w:val="4DE60D60"/>
    <w:rsid w:val="4E480F0D"/>
    <w:rsid w:val="4E793892"/>
    <w:rsid w:val="4E800872"/>
    <w:rsid w:val="4EC569ED"/>
    <w:rsid w:val="4ED50EA1"/>
    <w:rsid w:val="4EEC050C"/>
    <w:rsid w:val="4F104EC3"/>
    <w:rsid w:val="4F18319B"/>
    <w:rsid w:val="4F3F5F03"/>
    <w:rsid w:val="4F40264B"/>
    <w:rsid w:val="4F47354A"/>
    <w:rsid w:val="4F4C6AE6"/>
    <w:rsid w:val="4F911C54"/>
    <w:rsid w:val="4FE2247E"/>
    <w:rsid w:val="4FE625E0"/>
    <w:rsid w:val="5021480F"/>
    <w:rsid w:val="50506965"/>
    <w:rsid w:val="505D11A3"/>
    <w:rsid w:val="50962ECB"/>
    <w:rsid w:val="50A42E38"/>
    <w:rsid w:val="50A4577F"/>
    <w:rsid w:val="50B73D1F"/>
    <w:rsid w:val="50BD5BC9"/>
    <w:rsid w:val="50C11EEE"/>
    <w:rsid w:val="50C66322"/>
    <w:rsid w:val="50E97CFC"/>
    <w:rsid w:val="50FA4028"/>
    <w:rsid w:val="510D65B7"/>
    <w:rsid w:val="511157AB"/>
    <w:rsid w:val="5142540C"/>
    <w:rsid w:val="5169691A"/>
    <w:rsid w:val="518832C8"/>
    <w:rsid w:val="519D3C50"/>
    <w:rsid w:val="51A0432A"/>
    <w:rsid w:val="51A86090"/>
    <w:rsid w:val="51B7396D"/>
    <w:rsid w:val="522E4CC3"/>
    <w:rsid w:val="5244713B"/>
    <w:rsid w:val="525C2120"/>
    <w:rsid w:val="525C5A95"/>
    <w:rsid w:val="52615633"/>
    <w:rsid w:val="52691F60"/>
    <w:rsid w:val="526F4DE4"/>
    <w:rsid w:val="52977FD4"/>
    <w:rsid w:val="52A25790"/>
    <w:rsid w:val="52A96B6F"/>
    <w:rsid w:val="52B45975"/>
    <w:rsid w:val="52D94AA4"/>
    <w:rsid w:val="52DD039C"/>
    <w:rsid w:val="52EA3A62"/>
    <w:rsid w:val="52F50BB8"/>
    <w:rsid w:val="52FA4CB2"/>
    <w:rsid w:val="53097272"/>
    <w:rsid w:val="53544462"/>
    <w:rsid w:val="5397158E"/>
    <w:rsid w:val="53CB1124"/>
    <w:rsid w:val="54013861"/>
    <w:rsid w:val="54487265"/>
    <w:rsid w:val="544D6070"/>
    <w:rsid w:val="54605E1E"/>
    <w:rsid w:val="54B3506A"/>
    <w:rsid w:val="54CA0D16"/>
    <w:rsid w:val="54DD4057"/>
    <w:rsid w:val="54E7490F"/>
    <w:rsid w:val="54F67A88"/>
    <w:rsid w:val="550764A4"/>
    <w:rsid w:val="550B2BF6"/>
    <w:rsid w:val="55214EB5"/>
    <w:rsid w:val="55364EFD"/>
    <w:rsid w:val="555D4828"/>
    <w:rsid w:val="557A4C8B"/>
    <w:rsid w:val="558931E1"/>
    <w:rsid w:val="55923347"/>
    <w:rsid w:val="55925180"/>
    <w:rsid w:val="55983B1B"/>
    <w:rsid w:val="55A8376B"/>
    <w:rsid w:val="55DC29B6"/>
    <w:rsid w:val="55DD4241"/>
    <w:rsid w:val="56134C69"/>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EE3633"/>
    <w:rsid w:val="58917D2F"/>
    <w:rsid w:val="5894085C"/>
    <w:rsid w:val="58AE4F0C"/>
    <w:rsid w:val="58B85899"/>
    <w:rsid w:val="58C85C32"/>
    <w:rsid w:val="58E2686E"/>
    <w:rsid w:val="58E363A9"/>
    <w:rsid w:val="58FA45CC"/>
    <w:rsid w:val="592B4413"/>
    <w:rsid w:val="59307CB8"/>
    <w:rsid w:val="595E1678"/>
    <w:rsid w:val="59674AFC"/>
    <w:rsid w:val="596D5BD4"/>
    <w:rsid w:val="597E3DD8"/>
    <w:rsid w:val="59F80043"/>
    <w:rsid w:val="5A013124"/>
    <w:rsid w:val="5A09252F"/>
    <w:rsid w:val="5A0B2778"/>
    <w:rsid w:val="5A2A7C7B"/>
    <w:rsid w:val="5A3E1908"/>
    <w:rsid w:val="5A3E2560"/>
    <w:rsid w:val="5A5D3B6E"/>
    <w:rsid w:val="5A637A76"/>
    <w:rsid w:val="5A6D33BA"/>
    <w:rsid w:val="5A792B1F"/>
    <w:rsid w:val="5A874767"/>
    <w:rsid w:val="5AA85BE2"/>
    <w:rsid w:val="5AAD6F28"/>
    <w:rsid w:val="5ABA15AB"/>
    <w:rsid w:val="5AD63A24"/>
    <w:rsid w:val="5B2E1A1D"/>
    <w:rsid w:val="5B647768"/>
    <w:rsid w:val="5B843A1C"/>
    <w:rsid w:val="5B873E3F"/>
    <w:rsid w:val="5C02690E"/>
    <w:rsid w:val="5C196DA7"/>
    <w:rsid w:val="5C2A048C"/>
    <w:rsid w:val="5C80234E"/>
    <w:rsid w:val="5C8A680C"/>
    <w:rsid w:val="5CB21F80"/>
    <w:rsid w:val="5D0C4701"/>
    <w:rsid w:val="5D0F0395"/>
    <w:rsid w:val="5D221076"/>
    <w:rsid w:val="5D397964"/>
    <w:rsid w:val="5D5977A1"/>
    <w:rsid w:val="5D5A391C"/>
    <w:rsid w:val="5D5F10C0"/>
    <w:rsid w:val="5D722610"/>
    <w:rsid w:val="5D891B7B"/>
    <w:rsid w:val="5D9500AD"/>
    <w:rsid w:val="5DAD38EE"/>
    <w:rsid w:val="5DBE0636"/>
    <w:rsid w:val="5E006862"/>
    <w:rsid w:val="5E0207B9"/>
    <w:rsid w:val="5E1834A1"/>
    <w:rsid w:val="5E261785"/>
    <w:rsid w:val="5E4044BD"/>
    <w:rsid w:val="5E4A7017"/>
    <w:rsid w:val="5E552BBA"/>
    <w:rsid w:val="5E611C10"/>
    <w:rsid w:val="5E7A0F3F"/>
    <w:rsid w:val="5EFC7377"/>
    <w:rsid w:val="5F047298"/>
    <w:rsid w:val="5F06174D"/>
    <w:rsid w:val="5F3A3602"/>
    <w:rsid w:val="5F45733B"/>
    <w:rsid w:val="5F6277C6"/>
    <w:rsid w:val="5F6D0B1D"/>
    <w:rsid w:val="5F8D0B82"/>
    <w:rsid w:val="5FCC5339"/>
    <w:rsid w:val="5FE34A5B"/>
    <w:rsid w:val="5FFE1E36"/>
    <w:rsid w:val="600625B4"/>
    <w:rsid w:val="60232584"/>
    <w:rsid w:val="607330CE"/>
    <w:rsid w:val="60825176"/>
    <w:rsid w:val="609F2AC4"/>
    <w:rsid w:val="60FA2EE8"/>
    <w:rsid w:val="61054A27"/>
    <w:rsid w:val="610A52BC"/>
    <w:rsid w:val="611D2366"/>
    <w:rsid w:val="61421856"/>
    <w:rsid w:val="615227C4"/>
    <w:rsid w:val="61654E3F"/>
    <w:rsid w:val="617541CD"/>
    <w:rsid w:val="6182292A"/>
    <w:rsid w:val="619F7F92"/>
    <w:rsid w:val="61F94C26"/>
    <w:rsid w:val="62000E56"/>
    <w:rsid w:val="621F0E23"/>
    <w:rsid w:val="62451E09"/>
    <w:rsid w:val="624F3E49"/>
    <w:rsid w:val="62632286"/>
    <w:rsid w:val="62885958"/>
    <w:rsid w:val="62F40B65"/>
    <w:rsid w:val="62FC2CFE"/>
    <w:rsid w:val="630167C8"/>
    <w:rsid w:val="63024505"/>
    <w:rsid w:val="635600A5"/>
    <w:rsid w:val="635B1DB5"/>
    <w:rsid w:val="63711FED"/>
    <w:rsid w:val="63880DDC"/>
    <w:rsid w:val="638D750D"/>
    <w:rsid w:val="63AC6CC0"/>
    <w:rsid w:val="64055776"/>
    <w:rsid w:val="640F47E2"/>
    <w:rsid w:val="64240056"/>
    <w:rsid w:val="643E143A"/>
    <w:rsid w:val="64491666"/>
    <w:rsid w:val="648B6EEF"/>
    <w:rsid w:val="64C158BF"/>
    <w:rsid w:val="64CE2EAA"/>
    <w:rsid w:val="64EC33ED"/>
    <w:rsid w:val="65162079"/>
    <w:rsid w:val="653C3090"/>
    <w:rsid w:val="65777CDC"/>
    <w:rsid w:val="65854376"/>
    <w:rsid w:val="658767BE"/>
    <w:rsid w:val="65892531"/>
    <w:rsid w:val="65CD59C7"/>
    <w:rsid w:val="66195831"/>
    <w:rsid w:val="662E75B1"/>
    <w:rsid w:val="66342C2E"/>
    <w:rsid w:val="663E784C"/>
    <w:rsid w:val="6649596B"/>
    <w:rsid w:val="6663325E"/>
    <w:rsid w:val="66746EB1"/>
    <w:rsid w:val="668B5A59"/>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856939"/>
    <w:rsid w:val="6ADE0BD1"/>
    <w:rsid w:val="6AE96859"/>
    <w:rsid w:val="6B147746"/>
    <w:rsid w:val="6B24787C"/>
    <w:rsid w:val="6B573233"/>
    <w:rsid w:val="6B5B6274"/>
    <w:rsid w:val="6B935D53"/>
    <w:rsid w:val="6C196F71"/>
    <w:rsid w:val="6C226FCB"/>
    <w:rsid w:val="6C31226F"/>
    <w:rsid w:val="6C552F0B"/>
    <w:rsid w:val="6C8C67B7"/>
    <w:rsid w:val="6C9D744C"/>
    <w:rsid w:val="6CB72B31"/>
    <w:rsid w:val="6D167928"/>
    <w:rsid w:val="6D26299B"/>
    <w:rsid w:val="6D4772EC"/>
    <w:rsid w:val="6D555021"/>
    <w:rsid w:val="6D5E04BB"/>
    <w:rsid w:val="6D9078AF"/>
    <w:rsid w:val="6DAA3FEF"/>
    <w:rsid w:val="6DC0172B"/>
    <w:rsid w:val="6DCB690C"/>
    <w:rsid w:val="6DD41A5B"/>
    <w:rsid w:val="6DF43C2E"/>
    <w:rsid w:val="6DF51CA3"/>
    <w:rsid w:val="6E063CFD"/>
    <w:rsid w:val="6E1374F8"/>
    <w:rsid w:val="6E8335BD"/>
    <w:rsid w:val="6E8E12EF"/>
    <w:rsid w:val="6E934195"/>
    <w:rsid w:val="6E972936"/>
    <w:rsid w:val="6ED446C5"/>
    <w:rsid w:val="6F2A7D94"/>
    <w:rsid w:val="6F8331F1"/>
    <w:rsid w:val="6FAD47D4"/>
    <w:rsid w:val="6FAE1A09"/>
    <w:rsid w:val="6FD75BF8"/>
    <w:rsid w:val="7013525E"/>
    <w:rsid w:val="70675CFC"/>
    <w:rsid w:val="707723D0"/>
    <w:rsid w:val="70C77B9F"/>
    <w:rsid w:val="70F5661B"/>
    <w:rsid w:val="71204E6C"/>
    <w:rsid w:val="71360107"/>
    <w:rsid w:val="713B688E"/>
    <w:rsid w:val="714B51FB"/>
    <w:rsid w:val="71775FF0"/>
    <w:rsid w:val="71D43752"/>
    <w:rsid w:val="71F1796A"/>
    <w:rsid w:val="72154626"/>
    <w:rsid w:val="72262B5D"/>
    <w:rsid w:val="72283FF7"/>
    <w:rsid w:val="722E7212"/>
    <w:rsid w:val="723A0474"/>
    <w:rsid w:val="725923E4"/>
    <w:rsid w:val="72864BF7"/>
    <w:rsid w:val="729023FC"/>
    <w:rsid w:val="72A93F87"/>
    <w:rsid w:val="733F28C9"/>
    <w:rsid w:val="735B7F50"/>
    <w:rsid w:val="738B58EE"/>
    <w:rsid w:val="73C0646E"/>
    <w:rsid w:val="742222F5"/>
    <w:rsid w:val="74476126"/>
    <w:rsid w:val="74706664"/>
    <w:rsid w:val="74726EED"/>
    <w:rsid w:val="747F3682"/>
    <w:rsid w:val="749C4185"/>
    <w:rsid w:val="74F46CE6"/>
    <w:rsid w:val="75067759"/>
    <w:rsid w:val="752E6DCD"/>
    <w:rsid w:val="75361DC0"/>
    <w:rsid w:val="7551380D"/>
    <w:rsid w:val="75600BE5"/>
    <w:rsid w:val="7564475C"/>
    <w:rsid w:val="7583797F"/>
    <w:rsid w:val="75D20F1D"/>
    <w:rsid w:val="75DA2C18"/>
    <w:rsid w:val="75F54412"/>
    <w:rsid w:val="761D08E0"/>
    <w:rsid w:val="762B3E40"/>
    <w:rsid w:val="765D347C"/>
    <w:rsid w:val="76826699"/>
    <w:rsid w:val="76A27B16"/>
    <w:rsid w:val="76C87133"/>
    <w:rsid w:val="76CD08D5"/>
    <w:rsid w:val="76DB4B92"/>
    <w:rsid w:val="76E4156F"/>
    <w:rsid w:val="77052AA4"/>
    <w:rsid w:val="77136511"/>
    <w:rsid w:val="77340A39"/>
    <w:rsid w:val="77351FD0"/>
    <w:rsid w:val="77472422"/>
    <w:rsid w:val="776E297D"/>
    <w:rsid w:val="777F31F2"/>
    <w:rsid w:val="77D1700D"/>
    <w:rsid w:val="77EB3293"/>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E407AD"/>
    <w:rsid w:val="7B257FFD"/>
    <w:rsid w:val="7B343476"/>
    <w:rsid w:val="7B361630"/>
    <w:rsid w:val="7B5A2978"/>
    <w:rsid w:val="7B5A7E4C"/>
    <w:rsid w:val="7B667AF9"/>
    <w:rsid w:val="7B7468F8"/>
    <w:rsid w:val="7B903116"/>
    <w:rsid w:val="7BEE0103"/>
    <w:rsid w:val="7C0A0FE4"/>
    <w:rsid w:val="7C254906"/>
    <w:rsid w:val="7C3D05FE"/>
    <w:rsid w:val="7C590818"/>
    <w:rsid w:val="7C5E5DE2"/>
    <w:rsid w:val="7C7C10F6"/>
    <w:rsid w:val="7C853BEA"/>
    <w:rsid w:val="7C881368"/>
    <w:rsid w:val="7CE27788"/>
    <w:rsid w:val="7D0C32F1"/>
    <w:rsid w:val="7D0F408D"/>
    <w:rsid w:val="7D491C6C"/>
    <w:rsid w:val="7D5429C0"/>
    <w:rsid w:val="7D6E6D43"/>
    <w:rsid w:val="7D7D673C"/>
    <w:rsid w:val="7DB57A34"/>
    <w:rsid w:val="7DE60973"/>
    <w:rsid w:val="7DEF0916"/>
    <w:rsid w:val="7E1E5218"/>
    <w:rsid w:val="7E9A4E1F"/>
    <w:rsid w:val="7EA7723A"/>
    <w:rsid w:val="7EF56FBB"/>
    <w:rsid w:val="7F0768EB"/>
    <w:rsid w:val="7F143BEC"/>
    <w:rsid w:val="7F345520"/>
    <w:rsid w:val="7F715AF2"/>
    <w:rsid w:val="7F886E69"/>
    <w:rsid w:val="7FDC1E3F"/>
    <w:rsid w:val="7FEF2EC2"/>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7"/>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0"/>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8"/>
    <w:qFormat/>
    <w:uiPriority w:val="0"/>
    <w:pPr>
      <w:autoSpaceDE w:val="0"/>
      <w:autoSpaceDN w:val="0"/>
      <w:spacing w:line="360" w:lineRule="auto"/>
    </w:pPr>
    <w:rPr>
      <w:rFonts w:ascii="宋体" w:hAnsi="Arial" w:cs="Arial"/>
      <w:snapToGrid w:val="0"/>
      <w:sz w:val="24"/>
      <w:szCs w:val="21"/>
      <w:lang w:val="zh-CN"/>
    </w:rPr>
  </w:style>
  <w:style w:type="paragraph" w:customStyle="1" w:styleId="24">
    <w:name w:val="_Style 2"/>
    <w:basedOn w:val="1"/>
    <w:qFormat/>
    <w:uiPriority w:val="0"/>
    <w:pPr>
      <w:ind w:firstLine="200" w:firstLineChars="200"/>
    </w:pPr>
    <w:rPr>
      <w:rFonts w:ascii="Calibri" w:hAnsi="Calibri"/>
      <w:sz w:val="28"/>
      <w:szCs w:val="22"/>
    </w:rPr>
  </w:style>
  <w:style w:type="paragraph" w:styleId="25">
    <w:name w:val="Body Text Indent"/>
    <w:basedOn w:val="1"/>
    <w:next w:val="26"/>
    <w:link w:val="263"/>
    <w:qFormat/>
    <w:uiPriority w:val="0"/>
    <w:pPr>
      <w:spacing w:line="480" w:lineRule="exact"/>
      <w:ind w:firstLine="480" w:firstLineChars="200"/>
    </w:pPr>
    <w:rPr>
      <w:rFonts w:ascii="宋体" w:hAnsi="宋体"/>
      <w:sz w:val="24"/>
    </w:rPr>
  </w:style>
  <w:style w:type="paragraph" w:styleId="26">
    <w:name w:val="Body Text First Indent 2"/>
    <w:basedOn w:val="25"/>
    <w:next w:val="1"/>
    <w:link w:val="119"/>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4">
    <w:name w:val="Plain Text"/>
    <w:basedOn w:val="1"/>
    <w:link w:val="12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9"/>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6"/>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39"/>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39"/>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4"/>
    <w:qFormat/>
    <w:uiPriority w:val="0"/>
    <w:rPr>
      <w:b/>
      <w:bCs/>
    </w:rPr>
  </w:style>
  <w:style w:type="paragraph" w:styleId="62">
    <w:name w:val="Body Text First Indent"/>
    <w:basedOn w:val="23"/>
    <w:link w:val="319"/>
    <w:qFormat/>
    <w:uiPriority w:val="0"/>
    <w:pPr>
      <w:ind w:firstLine="420"/>
    </w:pPr>
    <w:rPr>
      <w:rFonts w:hAnsi="Calibri" w:cs="Times New Roman"/>
      <w:snapToGrid/>
      <w:szCs w:val="20"/>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26"/>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2"/>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7"/>
    <w:qFormat/>
    <w:uiPriority w:val="0"/>
    <w:rPr>
      <w:rFonts w:ascii="宋体"/>
      <w:kern w:val="2"/>
      <w:sz w:val="24"/>
      <w:szCs w:val="21"/>
      <w:lang w:val="zh-CN"/>
    </w:rPr>
  </w:style>
  <w:style w:type="character" w:customStyle="1" w:styleId="180">
    <w:name w:val="标题 9 Char"/>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0"/>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8"/>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6"/>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2"/>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99"/>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2"/>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标题4"/>
    <w:basedOn w:val="1"/>
    <w:qFormat/>
    <w:uiPriority w:val="0"/>
    <w:pPr>
      <w:ind w:firstLine="480" w:firstLineChars="200"/>
    </w:pPr>
    <w:rPr>
      <w:rFonts w:eastAsia="仿宋_GB2312"/>
      <w:b/>
      <w:sz w:val="28"/>
    </w:rPr>
  </w:style>
  <w:style w:type="paragraph" w:customStyle="1" w:styleId="964">
    <w:name w:val="TOC Heading"/>
    <w:basedOn w:val="3"/>
    <w:next w:val="1"/>
    <w:semiHidden/>
    <w:unhideWhenUsed/>
    <w:qFormat/>
    <w:uiPriority w:val="39"/>
    <w:pPr>
      <w:widowControl/>
      <w:tabs>
        <w:tab w:val="clear" w:pos="432"/>
      </w:tabs>
      <w:adjustRightInd/>
      <w:spacing w:before="480" w:after="0" w:line="276" w:lineRule="auto"/>
      <w:ind w:left="0" w:firstLine="0"/>
      <w:jc w:val="left"/>
      <w:outlineLvl w:val="9"/>
    </w:pPr>
    <w:rPr>
      <w:rFonts w:asciiTheme="majorHAnsi" w:hAnsiTheme="majorHAnsi" w:eastAsiaTheme="majorEastAsia" w:cstheme="majorBidi"/>
      <w:color w:val="366091" w:themeColor="accent1" w:themeShade="BF"/>
      <w:kern w:val="0"/>
      <w:sz w:val="28"/>
      <w:szCs w:val="28"/>
    </w:rPr>
  </w:style>
  <w:style w:type="character" w:styleId="965">
    <w:name w:val="Placeholder Text"/>
    <w:basedOn w:val="70"/>
    <w:unhideWhenUsed/>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customXml" Target="../customXml/item2.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6.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header" Target="header11.xml"/><Relationship Id="rId25" Type="http://schemas.openxmlformats.org/officeDocument/2006/relationships/header" Target="header10.xml"/><Relationship Id="rId24" Type="http://schemas.openxmlformats.org/officeDocument/2006/relationships/footer" Target="footer13.xml"/><Relationship Id="rId23" Type="http://schemas.openxmlformats.org/officeDocument/2006/relationships/footer" Target="footer12.xml"/><Relationship Id="rId22" Type="http://schemas.openxmlformats.org/officeDocument/2006/relationships/header" Target="header9.xml"/><Relationship Id="rId21" Type="http://schemas.openxmlformats.org/officeDocument/2006/relationships/header" Target="header8.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header" Target="header6.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2058"/>
    <customShpInfo spid="_x0000_s2057"/>
    <customShpInfo spid="_x0000_s2055"/>
    <customShpInfo spid="_x0000_s2056"/>
    <customShpInfo spid="_x0000_s2053"/>
    <customShpInfo spid="_x0000_s2054"/>
    <customShpInfo spid="_x0000_s2051"/>
    <customShpInfo spid="_x0000_s2052"/>
    <customShpInfo spid="_x0000_s2049"/>
    <customShpInfo spid="_x0000_s2050"/>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24BE291-3253-4452-B866-25B1FFC03E7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40765</Words>
  <Characters>43184</Characters>
  <Lines>304</Lines>
  <Paragraphs>85</Paragraphs>
  <TotalTime>2</TotalTime>
  <ScaleCrop>false</ScaleCrop>
  <LinksUpToDate>false</LinksUpToDate>
  <CharactersWithSpaces>45680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2023-01-04T13:10:00Z</dcterms:created>
  <dc:creator>玥</dc:creator>
  <cp:lastModifiedBy>浙江省房地产管理咨询有限公司</cp:lastModifiedBy>
  <cp:lastPrinted>2021-12-27T03:06:00Z</cp:lastPrinted>
  <dcterms:modified xsi:type="dcterms:W3CDTF">2023-01-18T02:21:13Z</dcterms:modified>
  <dc:title>杭州市市民卡扩大发卡工程</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C37A31C397EB4121806F322B82377D61</vt:lpwstr>
  </property>
</Properties>
</file>