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pStyle w:val="82"/>
        <w:rPr>
          <w:color w:val="auto"/>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hint="eastAsia" w:ascii="宋体" w:hAnsi="宋体" w:eastAsia="宋体" w:cs="宋体"/>
          <w:b/>
          <w:bCs/>
          <w:color w:val="auto"/>
          <w:sz w:val="48"/>
          <w:szCs w:val="48"/>
          <w:highlight w:val="none"/>
          <w:lang w:eastAsia="zh-CN"/>
        </w:rPr>
      </w:pPr>
      <w:r>
        <w:rPr>
          <w:rFonts w:hint="eastAsia" w:ascii="宋体" w:hAnsi="宋体" w:cs="宋体"/>
          <w:b/>
          <w:bCs/>
          <w:color w:val="auto"/>
          <w:sz w:val="48"/>
          <w:szCs w:val="48"/>
          <w:highlight w:val="none"/>
          <w:lang w:eastAsia="zh-CN"/>
        </w:rPr>
        <w:t>杭州市余杭区市场监督管理局余杭市场监管所修缮项目</w:t>
      </w: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竞</w:t>
      </w:r>
      <w:r>
        <w:rPr>
          <w:rFonts w:hint="eastAsia" w:ascii="宋体" w:hAnsi="宋体" w:cs="宋体"/>
          <w:b/>
          <w:bCs/>
          <w:color w:val="auto"/>
          <w:sz w:val="72"/>
          <w:szCs w:val="72"/>
          <w:highlight w:val="none"/>
          <w:lang w:val="en-US" w:eastAsia="zh-CN"/>
        </w:rPr>
        <w:t xml:space="preserve"> </w:t>
      </w:r>
      <w:r>
        <w:rPr>
          <w:rFonts w:hint="eastAsia" w:ascii="宋体" w:hAnsi="宋体" w:cs="宋体"/>
          <w:b/>
          <w:bCs/>
          <w:color w:val="auto"/>
          <w:sz w:val="72"/>
          <w:szCs w:val="72"/>
          <w:highlight w:val="none"/>
        </w:rPr>
        <w:t>争</w:t>
      </w:r>
      <w:r>
        <w:rPr>
          <w:rFonts w:hint="eastAsia" w:ascii="宋体" w:hAnsi="宋体" w:cs="宋体"/>
          <w:b/>
          <w:bCs/>
          <w:color w:val="auto"/>
          <w:sz w:val="72"/>
          <w:szCs w:val="72"/>
          <w:highlight w:val="none"/>
          <w:lang w:val="en-US" w:eastAsia="zh-CN"/>
        </w:rPr>
        <w:t xml:space="preserve"> </w:t>
      </w:r>
      <w:r>
        <w:rPr>
          <w:rFonts w:hint="eastAsia" w:ascii="宋体" w:hAnsi="宋体" w:cs="宋体"/>
          <w:b/>
          <w:bCs/>
          <w:color w:val="auto"/>
          <w:sz w:val="72"/>
          <w:szCs w:val="72"/>
          <w:highlight w:val="none"/>
        </w:rPr>
        <w:t>性</w:t>
      </w:r>
      <w:r>
        <w:rPr>
          <w:rFonts w:hint="eastAsia" w:ascii="宋体" w:hAnsi="宋体" w:cs="宋体"/>
          <w:b/>
          <w:bCs/>
          <w:color w:val="auto"/>
          <w:sz w:val="72"/>
          <w:szCs w:val="72"/>
          <w:highlight w:val="none"/>
          <w:lang w:val="en-US" w:eastAsia="zh-CN"/>
        </w:rPr>
        <w:t xml:space="preserve"> </w:t>
      </w:r>
      <w:r>
        <w:rPr>
          <w:rFonts w:hint="eastAsia" w:ascii="宋体" w:hAnsi="宋体" w:cs="宋体"/>
          <w:b/>
          <w:bCs/>
          <w:color w:val="auto"/>
          <w:sz w:val="72"/>
          <w:szCs w:val="72"/>
          <w:highlight w:val="none"/>
        </w:rPr>
        <w:t>磋</w:t>
      </w:r>
      <w:r>
        <w:rPr>
          <w:rFonts w:hint="eastAsia" w:ascii="宋体" w:hAnsi="宋体" w:cs="宋体"/>
          <w:b/>
          <w:bCs/>
          <w:color w:val="auto"/>
          <w:sz w:val="72"/>
          <w:szCs w:val="72"/>
          <w:highlight w:val="none"/>
          <w:lang w:val="en-US" w:eastAsia="zh-CN"/>
        </w:rPr>
        <w:t xml:space="preserve"> </w:t>
      </w:r>
      <w:r>
        <w:rPr>
          <w:rFonts w:hint="eastAsia" w:ascii="宋体" w:hAnsi="宋体" w:cs="宋体"/>
          <w:b/>
          <w:bCs/>
          <w:color w:val="auto"/>
          <w:sz w:val="72"/>
          <w:szCs w:val="72"/>
          <w:highlight w:val="none"/>
        </w:rPr>
        <w:t>商</w:t>
      </w:r>
      <w:r>
        <w:rPr>
          <w:rFonts w:hint="eastAsia" w:ascii="宋体" w:hAnsi="宋体" w:cs="宋体"/>
          <w:b/>
          <w:bCs/>
          <w:color w:val="auto"/>
          <w:sz w:val="72"/>
          <w:szCs w:val="72"/>
          <w:highlight w:val="none"/>
          <w:lang w:val="en-US" w:eastAsia="zh-CN"/>
        </w:rPr>
        <w:t xml:space="preserve"> </w:t>
      </w:r>
      <w:r>
        <w:rPr>
          <w:rFonts w:hint="eastAsia" w:ascii="宋体" w:hAnsi="宋体" w:cs="宋体"/>
          <w:b/>
          <w:bCs/>
          <w:color w:val="auto"/>
          <w:sz w:val="72"/>
          <w:szCs w:val="72"/>
          <w:highlight w:val="none"/>
        </w:rPr>
        <w:t>文</w:t>
      </w:r>
      <w:r>
        <w:rPr>
          <w:rFonts w:hint="eastAsia" w:ascii="宋体" w:hAnsi="宋体" w:cs="宋体"/>
          <w:b/>
          <w:bCs/>
          <w:color w:val="auto"/>
          <w:sz w:val="72"/>
          <w:szCs w:val="72"/>
          <w:highlight w:val="none"/>
          <w:lang w:val="en-US" w:eastAsia="zh-CN"/>
        </w:rPr>
        <w:t xml:space="preserve"> </w:t>
      </w:r>
      <w:r>
        <w:rPr>
          <w:rFonts w:hint="eastAsia" w:ascii="宋体" w:hAnsi="宋体" w:cs="宋体"/>
          <w:b/>
          <w:bCs/>
          <w:color w:val="auto"/>
          <w:sz w:val="72"/>
          <w:szCs w:val="72"/>
          <w:highlight w:val="none"/>
        </w:rPr>
        <w:t>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（电子交易）</w:t>
      </w:r>
    </w:p>
    <w:p>
      <w:pPr>
        <w:snapToGrid w:val="0"/>
        <w:spacing w:line="360" w:lineRule="auto"/>
        <w:jc w:val="center"/>
        <w:rPr>
          <w:rFonts w:hint="eastAsia" w:ascii="宋体" w:hAnsi="宋体" w:cs="宋体"/>
          <w:color w:val="auto"/>
          <w:sz w:val="30"/>
          <w:szCs w:val="30"/>
          <w:highlight w:val="none"/>
        </w:rPr>
      </w:pP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编号:YHZFCG2024-115</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cs="宋体"/>
          <w:bCs/>
          <w:color w:val="auto"/>
          <w:sz w:val="36"/>
          <w:szCs w:val="36"/>
          <w:highlight w:val="none"/>
          <w:lang w:eastAsia="zh-CN"/>
        </w:rPr>
      </w:pPr>
      <w:r>
        <w:rPr>
          <w:rFonts w:hint="eastAsia" w:ascii="宋体" w:hAnsi="宋体" w:cs="宋体"/>
          <w:bCs/>
          <w:color w:val="auto"/>
          <w:sz w:val="36"/>
          <w:szCs w:val="36"/>
          <w:highlight w:val="none"/>
        </w:rPr>
        <w:t>采购</w:t>
      </w:r>
      <w:r>
        <w:rPr>
          <w:rFonts w:hint="eastAsia" w:ascii="宋体" w:hAnsi="宋体" w:cs="宋体"/>
          <w:bCs/>
          <w:color w:val="auto"/>
          <w:sz w:val="36"/>
          <w:szCs w:val="36"/>
          <w:highlight w:val="none"/>
          <w:lang w:eastAsia="zh-CN"/>
        </w:rPr>
        <w:t>单位</w:t>
      </w:r>
      <w:r>
        <w:rPr>
          <w:rFonts w:hint="eastAsia" w:ascii="宋体" w:hAnsi="宋体" w:cs="宋体"/>
          <w:bCs/>
          <w:color w:val="auto"/>
          <w:sz w:val="36"/>
          <w:szCs w:val="36"/>
          <w:highlight w:val="none"/>
        </w:rPr>
        <w:t>：</w:t>
      </w:r>
      <w:r>
        <w:rPr>
          <w:rFonts w:hint="eastAsia" w:ascii="宋体" w:hAnsi="宋体" w:cs="宋体"/>
          <w:bCs/>
          <w:color w:val="auto"/>
          <w:sz w:val="36"/>
          <w:szCs w:val="36"/>
          <w:highlight w:val="none"/>
          <w:lang w:eastAsia="zh-CN"/>
        </w:rPr>
        <w:t>杭州市余杭区市场监督管理局</w:t>
      </w:r>
    </w:p>
    <w:p>
      <w:pPr>
        <w:snapToGrid w:val="0"/>
        <w:spacing w:line="360" w:lineRule="auto"/>
        <w:jc w:val="center"/>
        <w:rPr>
          <w:rFonts w:hint="eastAsia" w:ascii="宋体" w:hAnsi="宋体" w:cs="宋体"/>
          <w:bCs/>
          <w:color w:val="auto"/>
          <w:sz w:val="36"/>
          <w:szCs w:val="36"/>
          <w:highlight w:val="none"/>
        </w:rPr>
      </w:pPr>
      <w:r>
        <w:rPr>
          <w:rFonts w:hint="eastAsia" w:ascii="宋体" w:hAnsi="宋体" w:cs="宋体"/>
          <w:bCs/>
          <w:color w:val="auto"/>
          <w:sz w:val="36"/>
          <w:szCs w:val="36"/>
          <w:highlight w:val="none"/>
          <w:lang w:eastAsia="zh-CN"/>
        </w:rPr>
        <w:t>采购</w:t>
      </w:r>
      <w:r>
        <w:rPr>
          <w:rFonts w:hint="eastAsia" w:ascii="宋体" w:hAnsi="宋体" w:cs="宋体"/>
          <w:bCs/>
          <w:color w:val="auto"/>
          <w:sz w:val="36"/>
          <w:szCs w:val="36"/>
          <w:highlight w:val="none"/>
        </w:rPr>
        <w:t>代理机构：耀华建设管理有限公司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w:t>
      </w:r>
      <w:r>
        <w:rPr>
          <w:rFonts w:hint="eastAsia" w:ascii="宋体" w:hAnsi="宋体" w:cs="宋体"/>
          <w:bCs/>
          <w:color w:val="auto"/>
          <w:sz w:val="32"/>
          <w:szCs w:val="32"/>
          <w:highlight w:val="none"/>
          <w:lang w:val="en-US" w:eastAsia="zh-CN"/>
        </w:rPr>
        <w:t>七</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竞争性磋商公告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供应商须知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评审办法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1280" w:firstLineChars="400"/>
        <w:rPr>
          <w:rFonts w:ascii="宋体" w:hAnsi="宋体" w:cs="宋体"/>
          <w:color w:val="auto"/>
          <w:sz w:val="32"/>
          <w:szCs w:val="32"/>
          <w:highlight w:val="none"/>
        </w:rPr>
      </w:pP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杭州市余杭区市场监督管理局余杭市场监管所修缮项目</w:t>
      </w:r>
      <w:r>
        <w:rPr>
          <w:rFonts w:hint="eastAsia" w:ascii="宋体" w:hAnsi="宋体" w:cs="宋体"/>
          <w:color w:val="auto"/>
          <w:sz w:val="24"/>
          <w:highlight w:val="none"/>
        </w:rPr>
        <w:t>的潜在供应商应在政采云平台（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9"/>
          <w:rFonts w:hint="eastAsia" w:ascii="宋体" w:hAnsi="宋体" w:eastAsia="宋体" w:cs="宋体"/>
          <w:snapToGrid/>
          <w:color w:val="auto"/>
          <w:kern w:val="2"/>
          <w:sz w:val="24"/>
          <w:szCs w:val="24"/>
          <w:highlight w:val="none"/>
        </w:rPr>
        <w:t>https://www.zcygov.cn/）获取（下载）采购文件，并于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提交（上传）响应文件。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cs="宋体"/>
          <w:b/>
          <w:color w:val="auto"/>
          <w:sz w:val="24"/>
          <w:highlight w:val="none"/>
        </w:rPr>
        <w:t>项目编号：</w:t>
      </w:r>
      <w:r>
        <w:rPr>
          <w:rFonts w:hint="eastAsia" w:ascii="宋体" w:hAnsi="宋体" w:eastAsia="宋体" w:cs="宋体"/>
          <w:color w:val="auto"/>
          <w:sz w:val="24"/>
          <w:szCs w:val="24"/>
          <w:highlight w:val="none"/>
        </w:rPr>
        <w:t>YHZFCG2024-115</w:t>
      </w:r>
    </w:p>
    <w:p>
      <w:pPr>
        <w:snapToGrid w:val="0"/>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杭州市余杭区市场监督管理局余杭市场监管所修缮项目</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color w:val="auto"/>
          <w:sz w:val="24"/>
          <w:highlight w:val="none"/>
          <w:lang w:val="en-US" w:eastAsia="zh-CN"/>
        </w:rPr>
        <w:t>820000</w:t>
      </w:r>
      <w:r>
        <w:rPr>
          <w:rFonts w:hint="eastAsia" w:ascii="宋体" w:hAnsi="宋体" w:cs="宋体"/>
          <w:color w:val="auto"/>
          <w:sz w:val="24"/>
          <w:highlight w:val="none"/>
        </w:rPr>
        <w:t xml:space="preserve">  </w:t>
      </w:r>
    </w:p>
    <w:p>
      <w:pPr>
        <w:snapToGrid w:val="0"/>
        <w:spacing w:line="360" w:lineRule="auto"/>
        <w:ind w:firstLine="482" w:firstLineChars="200"/>
        <w:rPr>
          <w:rFonts w:hint="default" w:ascii="宋体" w:hAnsi="宋体" w:eastAsia="宋体" w:cs="宋体"/>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bCs/>
          <w:color w:val="auto"/>
          <w:sz w:val="24"/>
          <w:highlight w:val="none"/>
        </w:rPr>
        <w:t>81</w:t>
      </w:r>
      <w:r>
        <w:rPr>
          <w:rFonts w:hint="eastAsia" w:ascii="宋体" w:hAnsi="宋体" w:cs="宋体"/>
          <w:b/>
          <w:bCs/>
          <w:color w:val="auto"/>
          <w:sz w:val="24"/>
          <w:highlight w:val="none"/>
          <w:lang w:val="en-US" w:eastAsia="zh-CN"/>
        </w:rPr>
        <w:t>6791</w:t>
      </w:r>
    </w:p>
    <w:p>
      <w:pPr>
        <w:snapToGrid w:val="0"/>
        <w:spacing w:line="360" w:lineRule="auto"/>
        <w:ind w:firstLine="482" w:firstLineChars="20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杭州市余杭区市场监督管理局余杭市场监管所修缮项目，</w:t>
      </w:r>
      <w:r>
        <w:rPr>
          <w:rFonts w:hint="eastAsia" w:ascii="宋体" w:hAnsi="宋体" w:cs="宋体"/>
          <w:color w:val="auto"/>
          <w:sz w:val="24"/>
          <w:highlight w:val="none"/>
          <w:shd w:val="clear" w:color="auto" w:fill="auto"/>
        </w:rPr>
        <w:t>具体要求</w:t>
      </w:r>
      <w:r>
        <w:rPr>
          <w:rFonts w:hint="eastAsia" w:hAnsi="宋体" w:cs="宋体"/>
          <w:bCs/>
          <w:snapToGrid/>
          <w:color w:val="auto"/>
          <w:kern w:val="2"/>
          <w:sz w:val="24"/>
          <w:szCs w:val="24"/>
          <w:highlight w:val="none"/>
        </w:rPr>
        <w:t>详见</w:t>
      </w:r>
      <w:r>
        <w:rPr>
          <w:rFonts w:hint="eastAsia" w:hAnsi="宋体" w:cs="宋体"/>
          <w:bCs/>
          <w:snapToGrid/>
          <w:color w:val="auto"/>
          <w:kern w:val="2"/>
          <w:sz w:val="24"/>
          <w:szCs w:val="24"/>
          <w:highlight w:val="none"/>
          <w:lang w:val="en-US" w:eastAsia="zh-CN"/>
        </w:rPr>
        <w:t>竞争性磋商</w:t>
      </w:r>
      <w:r>
        <w:rPr>
          <w:rFonts w:hint="eastAsia" w:hAnsi="宋体" w:cs="宋体"/>
          <w:bCs/>
          <w:snapToGrid/>
          <w:color w:val="auto"/>
          <w:kern w:val="2"/>
          <w:sz w:val="24"/>
          <w:szCs w:val="24"/>
          <w:highlight w:val="none"/>
        </w:rPr>
        <w:t>文件第三部分</w:t>
      </w:r>
      <w:r>
        <w:rPr>
          <w:rFonts w:hint="eastAsia" w:hAnsi="宋体" w:cs="宋体"/>
          <w:bCs/>
          <w:snapToGrid/>
          <w:color w:val="auto"/>
          <w:kern w:val="2"/>
          <w:sz w:val="24"/>
          <w:szCs w:val="24"/>
          <w:highlight w:val="none"/>
          <w:lang w:val="en-US" w:eastAsia="zh-CN"/>
        </w:rPr>
        <w:t xml:space="preserve"> </w:t>
      </w:r>
      <w:r>
        <w:rPr>
          <w:rFonts w:hint="eastAsia" w:hAnsi="宋体" w:cs="宋体"/>
          <w:bCs/>
          <w:snapToGrid/>
          <w:color w:val="auto"/>
          <w:kern w:val="2"/>
          <w:sz w:val="24"/>
          <w:szCs w:val="24"/>
          <w:highlight w:val="none"/>
        </w:rPr>
        <w:t>采购需求。</w:t>
      </w:r>
    </w:p>
    <w:p>
      <w:pPr>
        <w:adjustRightInd/>
        <w:snapToGrid/>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合同履约期限：</w:t>
      </w:r>
      <w:r>
        <w:rPr>
          <w:rFonts w:hint="eastAsia" w:ascii="宋体" w:hAnsi="宋体" w:cs="宋体"/>
          <w:b w:val="0"/>
          <w:bCs/>
          <w:color w:val="auto"/>
          <w:sz w:val="24"/>
          <w:szCs w:val="32"/>
          <w:highlight w:val="none"/>
          <w:lang w:val="en-US" w:eastAsia="zh-CN"/>
        </w:rPr>
        <w:t>工期为60日历天完成修缮项目提交项目审计资料。</w:t>
      </w:r>
    </w:p>
    <w:p>
      <w:pPr>
        <w:adjustRightInd/>
        <w:spacing w:line="360" w:lineRule="auto"/>
        <w:ind w:firstLine="482"/>
        <w:rPr>
          <w:rFonts w:hAnsi="宋体" w:cs="宋体"/>
          <w:color w:val="auto"/>
          <w:kern w:val="0"/>
          <w:sz w:val="24"/>
          <w:highlight w:val="none"/>
        </w:rPr>
      </w:pPr>
      <w:r>
        <w:rPr>
          <w:rFonts w:hint="eastAsia" w:ascii="宋体" w:hAnsi="宋体" w:eastAsia="宋体" w:cs="宋体"/>
          <w:b/>
          <w:color w:val="auto"/>
          <w:sz w:val="24"/>
          <w:highlight w:val="none"/>
        </w:rPr>
        <w:t>本项目接受联合体：</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Ansi="宋体" w:cs="宋体"/>
              <w:color w:val="auto"/>
              <w:kern w:val="0"/>
              <w:sz w:val="24"/>
              <w:highlight w:val="none"/>
            </w:rPr>
            <w:t>☐</w:t>
          </w:r>
        </w:sdtContent>
      </w:sdt>
      <w:r>
        <w:rPr>
          <w:rFonts w:hint="eastAsia" w:hAnsi="宋体" w:cs="宋体"/>
          <w:color w:val="auto"/>
          <w:sz w:val="24"/>
          <w:highlight w:val="none"/>
        </w:rPr>
        <w:t>否</w:t>
      </w:r>
      <w:r>
        <w:rPr>
          <w:rFonts w:hint="eastAsia" w:hAnsi="宋体" w:cs="宋体"/>
          <w:color w:val="auto"/>
          <w:kern w:val="0"/>
          <w:sz w:val="24"/>
          <w:highlight w:val="none"/>
        </w:rPr>
        <w:t>。</w:t>
      </w:r>
    </w:p>
    <w:p>
      <w:pPr>
        <w:pStyle w:val="132"/>
        <w:adjustRightInd/>
        <w:snapToGrid/>
        <w:spacing w:before="0"/>
        <w:ind w:firstLine="482"/>
        <w:outlineLvl w:val="2"/>
        <w:rPr>
          <w:rFonts w:ascii="宋体" w:hAnsi="宋体" w:cs="宋体"/>
          <w:b/>
          <w:color w:val="auto"/>
          <w:highlight w:val="none"/>
        </w:rPr>
      </w:pPr>
      <w:r>
        <w:rPr>
          <w:rFonts w:hint="eastAsia" w:ascii="宋体" w:hAnsi="宋体" w:cs="宋体"/>
          <w:b/>
          <w:color w:val="auto"/>
          <w:highlight w:val="none"/>
        </w:rPr>
        <w:t>注：不得限制大中型企业与小微企业组成联合体参与。</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以联合体形式参与的，提供联合协议(本项目不接受联合体或者供应商不以联合体形式参与的，则不需要提供)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工程全部由符合政策要求的中小企业承建，提供中小企业声明函；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工程全部由符合政策要求的小微企业承建，提供中小企业声明函；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b/>
          <w:bCs/>
          <w:color w:val="auto"/>
          <w:sz w:val="24"/>
          <w:highlight w:val="none"/>
          <w:lang w:eastAsia="zh-CN"/>
        </w:rPr>
        <w:t>具有建筑装修装饰工程专业承包二级或以上资质</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四、响应文件提交（上传）</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五、响应文件开启 </w:t>
      </w:r>
    </w:p>
    <w:p>
      <w:pPr>
        <w:spacing w:line="360" w:lineRule="auto"/>
        <w:ind w:firstLine="482" w:firstLineChars="200"/>
        <w:rPr>
          <w:rFonts w:hint="eastAsia" w:ascii="宋体" w:hAnsi="宋体" w:cs="宋体"/>
          <w:bCs/>
          <w:color w:val="auto"/>
          <w:sz w:val="24"/>
          <w:highlight w:val="none"/>
          <w:u w:val="single"/>
        </w:rPr>
      </w:pPr>
      <w:r>
        <w:rPr>
          <w:rFonts w:hint="eastAsia" w:ascii="宋体" w:hAnsi="宋体" w:cs="宋体"/>
          <w:b/>
          <w:color w:val="auto"/>
          <w:sz w:val="24"/>
          <w:highlight w:val="none"/>
        </w:rPr>
        <w:t>开启时间：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六、公告期限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自本公告发布之日起3个工作日。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七、其他补充事宜</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w:t>
      </w:r>
      <w:r>
        <w:rPr>
          <w:rFonts w:ascii="华文中宋" w:hAnsi="华文中宋" w:eastAsia="华文中宋" w:cs="华文中宋"/>
          <w:color w:val="auto"/>
          <w:sz w:val="24"/>
          <w:highlight w:val="none"/>
          <w:shd w:val="clear" w:color="auto" w:fill="FFFFFF"/>
        </w:rPr>
        <w:t>浙江省财政厅关于进一步加大政府采购 支持中小企业力度 助力扎实稳住经济 的通知</w:t>
      </w:r>
      <w:r>
        <w:rPr>
          <w:rFonts w:hint="eastAsia" w:ascii="华文中宋" w:hAnsi="华文中宋" w:eastAsia="华文中宋" w:cs="华文中宋"/>
          <w:color w:val="auto"/>
          <w:sz w:val="24"/>
          <w:highlight w:val="none"/>
          <w:shd w:val="clear" w:color="auto" w:fill="FFFFFF"/>
        </w:rPr>
        <w:t>》（浙财采监〔2022〕8号）</w:t>
      </w:r>
      <w:r>
        <w:rPr>
          <w:rFonts w:hint="eastAsia" w:ascii="宋体" w:hAnsi="宋体" w:cs="宋体"/>
          <w:color w:val="auto"/>
          <w:sz w:val="24"/>
          <w:highlight w:val="none"/>
        </w:rPr>
        <w:t>已分别于2022年1月29日、2022年2月1日和2022年7月1日开始实施，此前有关规定与上述文件内容不一致的，按上述文件要求执行。</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采购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杭州市余杭区市场监督管理局</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杭州市</w:t>
      </w:r>
      <w:r>
        <w:rPr>
          <w:rFonts w:hint="eastAsia" w:ascii="宋体" w:hAnsi="宋体" w:eastAsia="宋体" w:cs="宋体"/>
          <w:color w:val="auto"/>
          <w:sz w:val="24"/>
          <w:highlight w:val="none"/>
        </w:rPr>
        <w:t>余杭区文一西路1500号5号楼17</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21楼</w:t>
      </w:r>
      <w:r>
        <w:rPr>
          <w:rFonts w:hint="eastAsia" w:ascii="宋体" w:hAnsi="宋体" w:cs="宋体"/>
          <w:color w:val="auto"/>
          <w:sz w:val="24"/>
          <w:highlight w:val="none"/>
          <w:lang w:eastAsia="zh-CN"/>
        </w:rPr>
        <w:t>。</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w:t>
      </w:r>
      <w:r>
        <w:rPr>
          <w:rFonts w:hint="eastAsia" w:ascii="宋体" w:hAnsi="宋体" w:eastAsia="宋体" w:cs="宋体"/>
          <w:color w:val="auto"/>
          <w:sz w:val="24"/>
          <w:highlight w:val="none"/>
          <w:lang w:eastAsia="zh-CN"/>
        </w:rPr>
        <w:t>（询问）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姚小明</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联系电话：0571-89517881</w:t>
      </w:r>
      <w:r>
        <w:rPr>
          <w:rFonts w:hint="eastAsia" w:ascii="宋体" w:hAnsi="宋体" w:eastAsia="宋体" w:cs="宋体"/>
          <w:color w:val="auto"/>
          <w:sz w:val="24"/>
          <w:highlight w:val="none"/>
          <w:lang w:val="en-US" w:eastAsia="zh-CN"/>
        </w:rPr>
        <w:t xml:space="preserve">   </w:t>
      </w:r>
    </w:p>
    <w:p>
      <w:pPr>
        <w:snapToGrid w:val="0"/>
        <w:spacing w:line="360" w:lineRule="auto"/>
        <w:ind w:firstLine="480" w:firstLineChars="200"/>
        <w:rPr>
          <w:rFonts w:hint="default" w:ascii="宋体" w:hAnsi="宋体" w:cs="宋体"/>
          <w:color w:val="auto"/>
          <w:sz w:val="24"/>
          <w:highlight w:val="none"/>
          <w:lang w:val="en-US"/>
        </w:rPr>
      </w:pPr>
      <w:r>
        <w:rPr>
          <w:rFonts w:hint="eastAsia" w:ascii="宋体" w:hAnsi="宋体" w:eastAsia="宋体" w:cs="宋体"/>
          <w:color w:val="auto"/>
          <w:sz w:val="24"/>
          <w:highlight w:val="none"/>
          <w:lang w:eastAsia="zh-CN"/>
        </w:rPr>
        <w:t>质疑</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en-US" w:eastAsia="zh-CN"/>
        </w:rPr>
        <w:t xml:space="preserve">汪丽艳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联系电话：0571-89391630</w:t>
      </w:r>
      <w:r>
        <w:rPr>
          <w:rFonts w:hint="eastAsia" w:ascii="宋体" w:hAnsi="宋体" w:eastAsia="宋体" w:cs="宋体"/>
          <w:color w:val="auto"/>
          <w:sz w:val="24"/>
          <w:highlight w:val="none"/>
          <w:lang w:val="en-US" w:eastAsia="zh-CN"/>
        </w:rPr>
        <w:t xml:space="preserve">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adjustRightInd/>
        <w:snapToGrid/>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称：耀华建设管理有限公司</w:t>
      </w:r>
    </w:p>
    <w:p>
      <w:pPr>
        <w:pStyle w:val="82"/>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余杭地址:杭州市余杭区联创街77号汇银中心3幢2单元</w:t>
      </w:r>
      <w:r>
        <w:rPr>
          <w:rFonts w:hint="eastAsia" w:ascii="宋体" w:hAnsi="宋体" w:cs="宋体"/>
          <w:color w:val="auto"/>
          <w:sz w:val="24"/>
          <w:highlight w:val="none"/>
          <w:lang w:eastAsia="zh-CN"/>
        </w:rPr>
        <w:t>（整幢）</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层。</w:t>
      </w:r>
    </w:p>
    <w:p>
      <w:pPr>
        <w:adjustRightInd/>
        <w:snapToGrid/>
        <w:spacing w:line="36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cs="宋体"/>
          <w:color w:val="auto"/>
          <w:sz w:val="24"/>
          <w:highlight w:val="none"/>
        </w:rPr>
        <w:t>临平地址：杭州市临平区南苑街道华元欢乐城-华元大厦20层</w:t>
      </w:r>
      <w:r>
        <w:rPr>
          <w:rFonts w:hint="eastAsia" w:ascii="宋体" w:hAnsi="宋体" w:cs="宋体"/>
          <w:color w:val="auto"/>
          <w:sz w:val="24"/>
          <w:highlight w:val="none"/>
          <w:lang w:eastAsia="zh-CN"/>
        </w:rPr>
        <w:t>（整层）</w:t>
      </w:r>
      <w:r>
        <w:rPr>
          <w:rFonts w:hint="eastAsia" w:ascii="宋体" w:hAnsi="宋体" w:cs="宋体"/>
          <w:color w:val="auto"/>
          <w:sz w:val="24"/>
          <w:highlight w:val="none"/>
        </w:rPr>
        <w:t>。</w:t>
      </w:r>
    </w:p>
    <w:p>
      <w:pPr>
        <w:adjustRightInd/>
        <w:snapToGrid/>
        <w:spacing w:line="360" w:lineRule="auto"/>
        <w:ind w:firstLine="480" w:firstLineChars="200"/>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eastAsia="zh-CN"/>
        </w:rPr>
        <w:t>项目联系人（询问）：张擎峰</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联系方式：0571-86320706、</w:t>
      </w:r>
      <w:r>
        <w:rPr>
          <w:rFonts w:hint="eastAsia" w:ascii="宋体" w:hAnsi="宋体" w:eastAsia="宋体" w:cs="宋体"/>
          <w:bCs/>
          <w:color w:val="auto"/>
          <w:sz w:val="24"/>
          <w:szCs w:val="24"/>
          <w:highlight w:val="none"/>
          <w:lang w:val="en-US" w:eastAsia="zh-CN"/>
        </w:rPr>
        <w:t>18058709278</w:t>
      </w:r>
    </w:p>
    <w:p>
      <w:pPr>
        <w:adjustRightInd/>
        <w:spacing w:line="360" w:lineRule="auto"/>
        <w:ind w:firstLine="480" w:firstLineChars="200"/>
        <w:rPr>
          <w:color w:val="auto"/>
          <w:highlight w:val="none"/>
        </w:rPr>
      </w:pPr>
      <w:r>
        <w:rPr>
          <w:rFonts w:hint="eastAsia" w:ascii="宋体" w:hAnsi="宋体" w:eastAsia="宋体" w:cs="宋体"/>
          <w:bCs/>
          <w:color w:val="auto"/>
          <w:sz w:val="24"/>
          <w:szCs w:val="24"/>
          <w:highlight w:val="none"/>
          <w:lang w:eastAsia="zh-CN"/>
        </w:rPr>
        <w:t>质疑联系人：</w:t>
      </w:r>
      <w:r>
        <w:rPr>
          <w:rFonts w:hint="eastAsia" w:ascii="宋体" w:hAnsi="宋体" w:eastAsia="宋体" w:cs="宋体"/>
          <w:bCs/>
          <w:color w:val="auto"/>
          <w:sz w:val="24"/>
          <w:szCs w:val="24"/>
          <w:highlight w:val="none"/>
          <w:lang w:val="en-US" w:eastAsia="zh-CN"/>
        </w:rPr>
        <w:t>单成燕</w:t>
      </w: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联系方式：0571-863207</w:t>
      </w:r>
      <w:r>
        <w:rPr>
          <w:rFonts w:hint="eastAsia" w:ascii="宋体" w:hAnsi="宋体" w:eastAsia="宋体" w:cs="宋体"/>
          <w:bCs/>
          <w:color w:val="auto"/>
          <w:sz w:val="24"/>
          <w:szCs w:val="24"/>
          <w:highlight w:val="none"/>
          <w:lang w:val="en-US" w:eastAsia="zh-CN"/>
        </w:rPr>
        <w:t>27</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3.同级政府采购监督管理部门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名称：杭州市</w:t>
      </w:r>
      <w:r>
        <w:rPr>
          <w:rFonts w:hint="eastAsia" w:ascii="宋体" w:hAnsi="宋体" w:cs="宋体"/>
          <w:color w:val="auto"/>
          <w:sz w:val="24"/>
          <w:highlight w:val="none"/>
          <w:lang w:eastAsia="zh-CN"/>
        </w:rPr>
        <w:t>余杭</w:t>
      </w:r>
      <w:r>
        <w:rPr>
          <w:rFonts w:hint="eastAsia" w:ascii="宋体" w:hAnsi="宋体" w:eastAsia="宋体" w:cs="宋体"/>
          <w:color w:val="auto"/>
          <w:sz w:val="24"/>
          <w:highlight w:val="none"/>
        </w:rPr>
        <w:t xml:space="preserve">区财政局、浙江省政府采购行政裁决服务中心(杭州)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地址：杭州市上城区四季</w:t>
      </w:r>
      <w:r>
        <w:rPr>
          <w:rFonts w:hint="eastAsia" w:ascii="宋体" w:hAnsi="宋体" w:eastAsia="宋体" w:cs="宋体"/>
          <w:color w:val="auto"/>
          <w:sz w:val="24"/>
          <w:highlight w:val="none"/>
          <w:lang w:eastAsia="zh-CN"/>
        </w:rPr>
        <w:t>青</w:t>
      </w:r>
      <w:r>
        <w:rPr>
          <w:rFonts w:hint="eastAsia" w:ascii="宋体" w:hAnsi="宋体" w:eastAsia="宋体" w:cs="宋体"/>
          <w:color w:val="auto"/>
          <w:sz w:val="24"/>
          <w:highlight w:val="none"/>
        </w:rPr>
        <w:t>街道新业路市民之家GO3办公室(快递仅限ems或顺丰)</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传真： </w:t>
      </w:r>
      <w:r>
        <w:rPr>
          <w:rFonts w:hint="eastAsia" w:ascii="宋体" w:hAnsi="宋体" w:eastAsia="宋体" w:cs="宋体"/>
          <w:color w:val="auto"/>
          <w:sz w:val="24"/>
          <w:highlight w:val="none"/>
          <w:lang w:val="en-US" w:eastAsia="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联</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人：朱女士、王女士    </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eastAsia="宋体" w:cs="宋体"/>
          <w:color w:val="auto"/>
          <w:sz w:val="24"/>
          <w:highlight w:val="none"/>
        </w:rPr>
        <w:t xml:space="preserve">监督投诉电话：0571-85252453    </w:t>
      </w:r>
    </w:p>
    <w:p>
      <w:pPr>
        <w:snapToGrid w:val="0"/>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 xml:space="preserve">    若对项目采购电子交易系统操作有疑问，可登录政采云（https://www.zcygov.cn/），点击右侧咨询小采，获取采小蜜智能服务管家帮助，或拨打政采云服务热线</w:t>
      </w:r>
      <w:r>
        <w:rPr>
          <w:rFonts w:hint="eastAsia" w:ascii="宋体" w:hAnsi="宋体" w:cs="宋体"/>
          <w:color w:val="auto"/>
          <w:sz w:val="24"/>
          <w:highlight w:val="none"/>
          <w:lang w:val="en-US" w:eastAsia="zh-CN"/>
        </w:rPr>
        <w:t>95763</w:t>
      </w:r>
      <w:r>
        <w:rPr>
          <w:rFonts w:hint="eastAsia" w:ascii="宋体" w:hAnsi="宋体" w:cs="宋体"/>
          <w:color w:val="auto"/>
          <w:sz w:val="24"/>
          <w:highlight w:val="none"/>
        </w:rPr>
        <w:t>获取热线服务帮助。</w:t>
      </w:r>
    </w:p>
    <w:p>
      <w:pPr>
        <w:snapToGrid w:val="0"/>
        <w:spacing w:line="360" w:lineRule="auto"/>
        <w:ind w:firstLine="480" w:firstLineChars="200"/>
        <w:rPr>
          <w:rFonts w:ascii="宋体" w:hAnsi="宋体" w:cs="宋体"/>
          <w:color w:val="auto"/>
          <w:sz w:val="24"/>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720" w:num="1"/>
          <w:titlePg/>
          <w:docGrid w:linePitch="312" w:charSpace="0"/>
        </w:sectPr>
      </w:pPr>
      <w:r>
        <w:rPr>
          <w:rFonts w:hint="eastAsia" w:ascii="宋体" w:hAnsi="宋体" w:cs="宋体"/>
          <w:color w:val="auto"/>
          <w:sz w:val="24"/>
          <w:highlight w:val="none"/>
        </w:rPr>
        <w:t>CA问题联系电话（人工）：汇信CA 400-888-4636；天谷CA 400-087-8198。</w:t>
      </w:r>
    </w:p>
    <w:p>
      <w:pPr>
        <w:pStyle w:val="36"/>
        <w:spacing w:line="360" w:lineRule="auto"/>
        <w:jc w:val="center"/>
        <w:rPr>
          <w:rFonts w:hAnsi="宋体" w:cs="宋体"/>
          <w:b/>
          <w:snapToGrid/>
          <w:color w:val="auto"/>
          <w:sz w:val="36"/>
          <w:szCs w:val="20"/>
          <w:highlight w:val="none"/>
        </w:rPr>
      </w:pPr>
      <w:r>
        <w:rPr>
          <w:rFonts w:hint="eastAsia" w:hAnsi="宋体" w:cs="宋体"/>
          <w:b/>
          <w:snapToGrid/>
          <w:color w:val="auto"/>
          <w:sz w:val="36"/>
          <w:szCs w:val="20"/>
          <w:highlight w:val="none"/>
        </w:rPr>
        <w:t>第二部分</w:t>
      </w:r>
      <w:bookmarkEnd w:id="8"/>
      <w:r>
        <w:rPr>
          <w:rFonts w:hint="eastAsia" w:hAnsi="宋体" w:cs="宋体"/>
          <w:b/>
          <w:snapToGrid/>
          <w:color w:val="auto"/>
          <w:sz w:val="36"/>
          <w:szCs w:val="20"/>
          <w:highlight w:val="none"/>
        </w:rPr>
        <w:t xml:space="preserve"> 供应商须知</w:t>
      </w:r>
      <w:bookmarkEnd w:id="9"/>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5"/>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09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927"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92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工程</w:t>
            </w:r>
            <w:r>
              <w:rPr>
                <w:rFonts w:hint="eastAsia" w:ascii="宋体" w:hAnsi="宋体" w:cs="宋体"/>
                <w:color w:val="auto"/>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927" w:type="dxa"/>
            <w:vAlign w:val="center"/>
          </w:tcPr>
          <w:p>
            <w:pPr>
              <w:pStyle w:val="958"/>
              <w:pageBreakBefore w:val="0"/>
              <w:widowControl w:val="0"/>
              <w:tabs>
                <w:tab w:val="left" w:pos="1070"/>
              </w:tabs>
              <w:kinsoku/>
              <w:wordWrap/>
              <w:overflowPunct/>
              <w:topLinePunct w:val="0"/>
              <w:autoSpaceDE/>
              <w:autoSpaceDN/>
              <w:bidi w:val="0"/>
              <w:adjustRightInd/>
              <w:snapToGrid/>
              <w:spacing w:line="300" w:lineRule="exact"/>
              <w:ind w:left="0" w:right="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（1）本</w:t>
            </w:r>
            <w:r>
              <w:rPr>
                <w:rFonts w:hint="eastAsia" w:ascii="宋体" w:hAnsi="宋体" w:cs="宋体"/>
                <w:color w:val="auto"/>
                <w:sz w:val="24"/>
                <w:szCs w:val="24"/>
                <w:highlight w:val="none"/>
                <w:lang w:eastAsia="zh-CN"/>
              </w:rPr>
              <w:t>项目</w:t>
            </w:r>
            <w:r>
              <w:rPr>
                <w:rFonts w:hint="eastAsia" w:ascii="宋体" w:hAnsi="宋体" w:eastAsia="宋体" w:cs="宋体"/>
                <w:color w:val="auto"/>
                <w:sz w:val="24"/>
                <w:szCs w:val="24"/>
                <w:highlight w:val="none"/>
                <w:lang w:eastAsia="zh-CN"/>
              </w:rPr>
              <w:t>为</w:t>
            </w:r>
            <w:r>
              <w:rPr>
                <w:rFonts w:hint="eastAsia" w:ascii="宋体" w:hAnsi="宋体" w:eastAsia="宋体" w:cs="宋体"/>
                <w:b/>
                <w:bCs/>
                <w:color w:val="auto"/>
                <w:sz w:val="24"/>
                <w:szCs w:val="24"/>
                <w:highlight w:val="none"/>
                <w:u w:val="single"/>
                <w:lang w:eastAsia="zh-CN"/>
              </w:rPr>
              <w:t>专门面向</w:t>
            </w:r>
            <w:r>
              <w:rPr>
                <w:rFonts w:hint="eastAsia" w:ascii="宋体" w:hAnsi="宋体" w:cs="宋体"/>
                <w:b/>
                <w:bCs/>
                <w:color w:val="auto"/>
                <w:sz w:val="24"/>
                <w:szCs w:val="24"/>
                <w:highlight w:val="none"/>
                <w:u w:val="single"/>
                <w:lang w:val="en-US" w:eastAsia="zh-CN"/>
              </w:rPr>
              <w:t>小微</w:t>
            </w:r>
            <w:r>
              <w:rPr>
                <w:rFonts w:hint="eastAsia" w:ascii="宋体" w:hAnsi="宋体" w:eastAsia="宋体" w:cs="宋体"/>
                <w:b/>
                <w:bCs/>
                <w:color w:val="auto"/>
                <w:sz w:val="24"/>
                <w:szCs w:val="24"/>
                <w:highlight w:val="none"/>
                <w:u w:val="single"/>
                <w:lang w:eastAsia="zh-CN"/>
              </w:rPr>
              <w:t>企业，工程全部由符合政策要求的小微企业承建；</w:t>
            </w:r>
          </w:p>
          <w:p>
            <w:pPr>
              <w:pStyle w:val="958"/>
              <w:pageBreakBefore w:val="0"/>
              <w:widowControl w:val="0"/>
              <w:tabs>
                <w:tab w:val="left" w:pos="1070"/>
              </w:tabs>
              <w:kinsoku/>
              <w:wordWrap/>
              <w:overflowPunct/>
              <w:topLinePunct w:val="0"/>
              <w:autoSpaceDE/>
              <w:autoSpaceDN/>
              <w:bidi w:val="0"/>
              <w:adjustRightInd/>
              <w:snapToGrid/>
              <w:spacing w:line="300" w:lineRule="exact"/>
              <w:ind w:left="0" w:right="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（2）本采购文件所称中小企业，是指在中华人民共和国境</w:t>
            </w:r>
            <w:r>
              <w:rPr>
                <w:rFonts w:hint="eastAsia" w:ascii="宋体" w:hAnsi="宋体" w:eastAsia="宋体" w:cs="宋体"/>
                <w:color w:val="auto"/>
                <w:spacing w:val="-7"/>
                <w:sz w:val="24"/>
                <w:szCs w:val="24"/>
                <w:highlight w:val="none"/>
                <w:lang w:eastAsia="zh-CN"/>
              </w:rPr>
              <w:t>内依法设立，依据国务院批准的中小企业划分标准确定的中型</w:t>
            </w:r>
            <w:r>
              <w:rPr>
                <w:rFonts w:hint="eastAsia" w:ascii="宋体" w:hAnsi="宋体" w:eastAsia="宋体" w:cs="宋体"/>
                <w:color w:val="auto"/>
                <w:spacing w:val="-8"/>
                <w:sz w:val="24"/>
                <w:szCs w:val="24"/>
                <w:highlight w:val="none"/>
                <w:lang w:eastAsia="zh-CN"/>
              </w:rPr>
              <w:t xml:space="preserve">企业、小型企业和微型企业，但与大企业的负责人为同一人， </w:t>
            </w:r>
            <w:r>
              <w:rPr>
                <w:rFonts w:hint="eastAsia" w:ascii="宋体" w:hAnsi="宋体" w:eastAsia="宋体" w:cs="宋体"/>
                <w:color w:val="auto"/>
                <w:sz w:val="24"/>
                <w:szCs w:val="24"/>
                <w:highlight w:val="none"/>
                <w:lang w:eastAsia="zh-CN"/>
              </w:rPr>
              <w:t>或者与大企业存在直接控股、管理关系的除外。</w:t>
            </w:r>
          </w:p>
          <w:p>
            <w:pPr>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w:t>
            </w:r>
            <w:r>
              <w:rPr>
                <w:rFonts w:hint="eastAsia" w:ascii="宋体" w:hAnsi="宋体" w:eastAsia="宋体" w:cs="宋体"/>
                <w:color w:val="auto"/>
                <w:sz w:val="24"/>
                <w:szCs w:val="24"/>
                <w:highlight w:val="none"/>
                <w:lang w:eastAsia="zh-CN"/>
              </w:rPr>
              <w:t>本次</w:t>
            </w:r>
            <w:r>
              <w:rPr>
                <w:rFonts w:hint="eastAsia" w:ascii="宋体" w:hAnsi="宋体" w:eastAsia="宋体" w:cs="宋体"/>
                <w:color w:val="auto"/>
                <w:spacing w:val="-7"/>
                <w:sz w:val="24"/>
                <w:szCs w:val="24"/>
                <w:highlight w:val="none"/>
                <w:lang w:eastAsia="zh-CN"/>
              </w:rPr>
              <w:t>采购标的为</w:t>
            </w:r>
            <w:r>
              <w:rPr>
                <w:rFonts w:hint="eastAsia" w:ascii="宋体" w:hAnsi="宋体" w:cs="宋体"/>
                <w:b/>
                <w:bCs/>
                <w:color w:val="auto"/>
                <w:sz w:val="24"/>
                <w:highlight w:val="none"/>
                <w:u w:val="single"/>
                <w:lang w:eastAsia="zh-CN"/>
              </w:rPr>
              <w:t>杭州市余杭区市场监督管理局余杭市场监管所修缮项目</w:t>
            </w:r>
            <w:r>
              <w:rPr>
                <w:rFonts w:hint="eastAsia" w:ascii="宋体" w:hAnsi="宋体" w:cs="宋体"/>
                <w:color w:val="auto"/>
                <w:kern w:val="0"/>
                <w:sz w:val="24"/>
                <w:highlight w:val="none"/>
              </w:rPr>
              <w:t>，</w:t>
            </w:r>
            <w:r>
              <w:rPr>
                <w:rFonts w:hint="eastAsia" w:ascii="宋体" w:hAnsi="宋体" w:eastAsia="宋体" w:cs="宋体"/>
                <w:color w:val="auto"/>
                <w:spacing w:val="-10"/>
                <w:sz w:val="24"/>
                <w:szCs w:val="24"/>
                <w:highlight w:val="none"/>
                <w:lang w:eastAsia="zh-CN"/>
              </w:rPr>
              <w:t>对应的中小企业划分</w:t>
            </w:r>
            <w:r>
              <w:rPr>
                <w:rFonts w:hint="eastAsia" w:ascii="宋体" w:hAnsi="宋体" w:eastAsia="宋体" w:cs="宋体"/>
                <w:color w:val="auto"/>
                <w:sz w:val="24"/>
                <w:szCs w:val="24"/>
                <w:highlight w:val="none"/>
                <w:lang w:eastAsia="zh-CN"/>
              </w:rPr>
              <w:t>标准所属行业是：</w:t>
            </w:r>
            <w:r>
              <w:rPr>
                <w:rFonts w:hint="eastAsia" w:ascii="宋体" w:hAnsi="宋体" w:cs="宋体"/>
                <w:b/>
                <w:bCs/>
                <w:color w:val="auto"/>
                <w:kern w:val="0"/>
                <w:sz w:val="24"/>
                <w:highlight w:val="none"/>
                <w:u w:val="single"/>
              </w:rPr>
              <w:t>建筑业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4"/>
              <w:keepNext/>
              <w:keepLines/>
              <w:pageBreakBefore w:val="0"/>
              <w:widowControl w:val="0"/>
              <w:kinsoku/>
              <w:wordWrap/>
              <w:overflowPunct/>
              <w:topLinePunct w:val="0"/>
              <w:autoSpaceDE/>
              <w:autoSpaceDN/>
              <w:bidi w:val="0"/>
              <w:adjustRightInd/>
              <w:snapToGrid/>
              <w:spacing w:before="0" w:after="0" w:line="300" w:lineRule="exact"/>
              <w:ind w:left="0" w:firstLine="0"/>
              <w:textAlignment w:val="auto"/>
              <w:rPr>
                <w:rFonts w:hint="eastAsia" w:ascii="宋体" w:hAnsi="宋体" w:eastAsia="宋体" w:cs="宋体"/>
                <w:b w:val="0"/>
                <w:bCs w:val="0"/>
                <w:color w:val="auto"/>
                <w:spacing w:val="-7"/>
                <w:kern w:val="0"/>
                <w:sz w:val="24"/>
                <w:szCs w:val="24"/>
                <w:highlight w:val="none"/>
                <w:lang w:val="en-US" w:eastAsia="zh-CN" w:bidi="ar-SA"/>
              </w:rPr>
            </w:pPr>
            <w:r>
              <w:rPr>
                <w:rFonts w:hint="eastAsia" w:ascii="宋体" w:hAnsi="宋体" w:eastAsia="宋体" w:cs="宋体"/>
                <w:b w:val="0"/>
                <w:bCs w:val="0"/>
                <w:color w:val="auto"/>
                <w:spacing w:val="-7"/>
                <w:kern w:val="0"/>
                <w:sz w:val="24"/>
                <w:szCs w:val="24"/>
                <w:highlight w:val="none"/>
                <w:lang w:val="en-US" w:eastAsia="zh-CN" w:bidi="ar-SA"/>
              </w:rPr>
              <w:t>说明：</w:t>
            </w:r>
          </w:p>
          <w:p>
            <w:pPr>
              <w:pStyle w:val="958"/>
              <w:keepNext w:val="0"/>
              <w:keepLines w:val="0"/>
              <w:tabs>
                <w:tab w:val="left" w:pos="1070"/>
              </w:tabs>
              <w:spacing w:line="312" w:lineRule="auto"/>
              <w:ind w:right="52" w:firstLine="0" w:firstLineChars="0"/>
              <w:rPr>
                <w:color w:val="auto"/>
                <w:highlight w:val="none"/>
              </w:rPr>
            </w:pPr>
            <w:r>
              <w:rPr>
                <w:color w:val="auto"/>
                <w:highlight w:val="none"/>
              </w:rPr>
              <w:drawing>
                <wp:inline distT="0" distB="0" distL="114300" distR="114300">
                  <wp:extent cx="4370070" cy="371475"/>
                  <wp:effectExtent l="0" t="0" r="1143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26"/>
                          <a:srcRect b="62500"/>
                          <a:stretch>
                            <a:fillRect/>
                          </a:stretch>
                        </pic:blipFill>
                        <pic:spPr>
                          <a:xfrm>
                            <a:off x="0" y="0"/>
                            <a:ext cx="4370070" cy="371475"/>
                          </a:xfrm>
                          <a:prstGeom prst="rect">
                            <a:avLst/>
                          </a:prstGeom>
                          <a:noFill/>
                          <a:ln>
                            <a:noFill/>
                          </a:ln>
                        </pic:spPr>
                      </pic:pic>
                    </a:graphicData>
                  </a:graphic>
                </wp:inline>
              </w:drawing>
            </w:r>
            <w:r>
              <w:rPr>
                <w:color w:val="auto"/>
                <w:highlight w:val="none"/>
              </w:rPr>
              <w:drawing>
                <wp:inline distT="0" distB="0" distL="114300" distR="114300">
                  <wp:extent cx="4324350" cy="283845"/>
                  <wp:effectExtent l="0" t="0" r="0" b="190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26"/>
                          <a:srcRect t="71042"/>
                          <a:stretch>
                            <a:fillRect/>
                          </a:stretch>
                        </pic:blipFill>
                        <pic:spPr>
                          <a:xfrm>
                            <a:off x="0" y="0"/>
                            <a:ext cx="4324350" cy="283845"/>
                          </a:xfrm>
                          <a:prstGeom prst="rect">
                            <a:avLst/>
                          </a:prstGeom>
                          <a:noFill/>
                          <a:ln>
                            <a:noFill/>
                          </a:ln>
                        </pic:spPr>
                      </pic:pic>
                    </a:graphicData>
                  </a:graphic>
                </wp:inline>
              </w:drawing>
            </w:r>
          </w:p>
          <w:p>
            <w:pPr>
              <w:pStyle w:val="958"/>
              <w:keepNext w:val="0"/>
              <w:keepLines w:val="0"/>
              <w:pageBreakBefore w:val="0"/>
              <w:widowControl w:val="0"/>
              <w:tabs>
                <w:tab w:val="left" w:pos="1070"/>
              </w:tabs>
              <w:kinsoku/>
              <w:wordWrap/>
              <w:overflowPunct/>
              <w:topLinePunct w:val="0"/>
              <w:autoSpaceDE/>
              <w:autoSpaceDN/>
              <w:bidi w:val="0"/>
              <w:adjustRightInd/>
              <w:snapToGrid/>
              <w:spacing w:line="300" w:lineRule="exact"/>
              <w:ind w:right="0"/>
              <w:textAlignment w:val="auto"/>
              <w:rPr>
                <w:rFonts w:hint="eastAsia" w:ascii="宋体" w:hAnsi="宋体" w:eastAsia="宋体" w:cs="宋体"/>
                <w:b/>
                <w:bCs/>
                <w:color w:val="auto"/>
                <w:sz w:val="24"/>
                <w:szCs w:val="24"/>
                <w:highlight w:val="none"/>
                <w:shd w:val="clear" w:color="auto" w:fill="FFFFFF"/>
                <w:lang w:val="zh-CN" w:eastAsia="zh-CN" w:bidi="zh-CN"/>
              </w:rPr>
            </w:pPr>
            <w:r>
              <w:rPr>
                <w:rFonts w:hint="eastAsia" w:ascii="宋体" w:hAnsi="宋体" w:eastAsia="宋体" w:cs="宋体"/>
                <w:b/>
                <w:bCs/>
                <w:color w:val="auto"/>
                <w:sz w:val="24"/>
                <w:szCs w:val="24"/>
                <w:highlight w:val="none"/>
                <w:shd w:val="clear" w:color="auto" w:fill="FFFFFF"/>
                <w:lang w:val="zh-CN" w:eastAsia="zh-CN" w:bidi="zh-CN"/>
              </w:rPr>
              <w:t>1.大型、中型和小型企业须同时满足所列指标的下限，否则下划一档；微型企业只须满足所列指标中的一项即可。 　　</w:t>
            </w:r>
          </w:p>
          <w:p>
            <w:pPr>
              <w:pStyle w:val="958"/>
              <w:keepNext w:val="0"/>
              <w:keepLines w:val="0"/>
              <w:pageBreakBefore w:val="0"/>
              <w:widowControl w:val="0"/>
              <w:tabs>
                <w:tab w:val="left" w:pos="1070"/>
              </w:tabs>
              <w:kinsoku/>
              <w:wordWrap/>
              <w:overflowPunct/>
              <w:topLinePunct w:val="0"/>
              <w:autoSpaceDE/>
              <w:autoSpaceDN/>
              <w:bidi w:val="0"/>
              <w:adjustRightInd/>
              <w:snapToGrid/>
              <w:spacing w:line="300" w:lineRule="exact"/>
              <w:ind w:right="0"/>
              <w:textAlignment w:val="auto"/>
              <w:rPr>
                <w:rFonts w:hint="eastAsia" w:ascii="宋体" w:hAnsi="宋体" w:eastAsia="宋体" w:cs="宋体"/>
                <w:b/>
                <w:bCs/>
                <w:color w:val="auto"/>
                <w:sz w:val="24"/>
                <w:szCs w:val="24"/>
                <w:highlight w:val="none"/>
                <w:shd w:val="clear" w:color="auto" w:fill="FFFFFF"/>
                <w:lang w:val="zh-CN" w:eastAsia="zh-CN" w:bidi="zh-CN"/>
              </w:rPr>
            </w:pPr>
            <w:r>
              <w:rPr>
                <w:rFonts w:hint="eastAsia" w:ascii="宋体" w:hAnsi="宋体" w:eastAsia="宋体" w:cs="宋体"/>
                <w:b/>
                <w:bCs/>
                <w:color w:val="auto"/>
                <w:sz w:val="24"/>
                <w:szCs w:val="24"/>
                <w:highlight w:val="none"/>
                <w:shd w:val="clear" w:color="auto" w:fill="FFFFFF"/>
                <w:lang w:val="zh-CN" w:eastAsia="zh-CN" w:bidi="zh-CN"/>
              </w:rPr>
              <w:t>2.附表中各行业的范围以《国民经济行业分类》（GB/T4754-2017）为准。</w:t>
            </w:r>
          </w:p>
          <w:p>
            <w:pPr>
              <w:pStyle w:val="958"/>
              <w:keepNext w:val="0"/>
              <w:keepLines w:val="0"/>
              <w:pageBreakBefore w:val="0"/>
              <w:widowControl w:val="0"/>
              <w:tabs>
                <w:tab w:val="left" w:pos="1070"/>
              </w:tabs>
              <w:kinsoku/>
              <w:wordWrap/>
              <w:overflowPunct/>
              <w:topLinePunct w:val="0"/>
              <w:autoSpaceDE/>
              <w:autoSpaceDN/>
              <w:bidi w:val="0"/>
              <w:adjustRightInd/>
              <w:snapToGrid/>
              <w:spacing w:line="300" w:lineRule="exact"/>
              <w:ind w:right="0"/>
              <w:textAlignment w:val="auto"/>
              <w:rPr>
                <w:rFonts w:hint="eastAsia" w:ascii="宋体" w:hAnsi="宋体" w:eastAsia="宋体" w:cs="宋体"/>
                <w:b/>
                <w:bCs/>
                <w:color w:val="auto"/>
                <w:sz w:val="24"/>
                <w:szCs w:val="24"/>
                <w:highlight w:val="none"/>
                <w:shd w:val="clear" w:color="auto" w:fill="FFFFFF"/>
                <w:lang w:val="zh-CN" w:bidi="zh-CN"/>
              </w:rPr>
            </w:pPr>
            <w:r>
              <w:rPr>
                <w:rFonts w:hint="eastAsia" w:ascii="宋体" w:hAnsi="宋体" w:eastAsia="宋体" w:cs="宋体"/>
                <w:b/>
                <w:bCs/>
                <w:color w:val="auto"/>
                <w:sz w:val="24"/>
                <w:szCs w:val="24"/>
                <w:highlight w:val="none"/>
                <w:shd w:val="clear" w:color="auto" w:fill="FFFFFF"/>
                <w:lang w:val="zh-CN" w:bidi="zh-CN"/>
              </w:rPr>
              <w:t>3.企业划分指标以现行统计制度为准。</w:t>
            </w:r>
          </w:p>
          <w:p>
            <w:pPr>
              <w:pStyle w:val="958"/>
              <w:pageBreakBefore w:val="0"/>
              <w:widowControl w:val="0"/>
              <w:kinsoku/>
              <w:wordWrap/>
              <w:overflowPunct/>
              <w:topLinePunct w:val="0"/>
              <w:autoSpaceDE/>
              <w:autoSpaceDN/>
              <w:bidi w:val="0"/>
              <w:adjustRightInd/>
              <w:snapToGrid/>
              <w:spacing w:line="300" w:lineRule="exact"/>
              <w:ind w:left="0" w:right="0" w:firstLine="236"/>
              <w:textAlignment w:val="auto"/>
              <w:rPr>
                <w:rFonts w:hint="eastAsia" w:ascii="宋体" w:hAnsi="宋体" w:eastAsia="宋体" w:cs="宋体"/>
                <w:b/>
                <w:bCs/>
                <w:color w:val="auto"/>
                <w:sz w:val="24"/>
                <w:szCs w:val="24"/>
                <w:highlight w:val="none"/>
                <w:shd w:val="clear" w:color="auto" w:fill="FFFFFF"/>
                <w:lang w:val="zh-CN" w:bidi="zh-CN"/>
              </w:rPr>
            </w:pPr>
            <w:r>
              <w:rPr>
                <w:rFonts w:hint="eastAsia" w:ascii="宋体" w:hAnsi="宋体" w:eastAsia="宋体" w:cs="宋体"/>
                <w:b/>
                <w:bCs/>
                <w:color w:val="auto"/>
                <w:sz w:val="24"/>
                <w:szCs w:val="24"/>
                <w:highlight w:val="none"/>
                <w:shd w:val="clear" w:color="auto" w:fill="FFFFFF"/>
                <w:lang w:val="zh-CN" w:bidi="zh-CN"/>
              </w:rPr>
              <w:t> 1）从业人员，是指期末从业人员数，没有期末从业人员数的，采用全年平均人员数代替。</w:t>
            </w:r>
          </w:p>
          <w:p>
            <w:pPr>
              <w:pStyle w:val="958"/>
              <w:pageBreakBefore w:val="0"/>
              <w:widowControl w:val="0"/>
              <w:kinsoku/>
              <w:wordWrap/>
              <w:overflowPunct/>
              <w:topLinePunct w:val="0"/>
              <w:autoSpaceDE/>
              <w:autoSpaceDN/>
              <w:bidi w:val="0"/>
              <w:adjustRightInd/>
              <w:snapToGrid/>
              <w:spacing w:line="300" w:lineRule="exact"/>
              <w:ind w:left="0" w:right="0" w:firstLine="236"/>
              <w:textAlignment w:val="auto"/>
              <w:rPr>
                <w:rFonts w:hint="eastAsia" w:ascii="宋体" w:hAnsi="宋体" w:eastAsia="宋体" w:cs="宋体"/>
                <w:b/>
                <w:bCs/>
                <w:color w:val="auto"/>
                <w:sz w:val="24"/>
                <w:szCs w:val="24"/>
                <w:highlight w:val="none"/>
                <w:shd w:val="clear" w:color="auto" w:fill="FFFFFF"/>
                <w:lang w:val="zh-CN" w:bidi="zh-CN"/>
              </w:rPr>
            </w:pPr>
            <w:r>
              <w:rPr>
                <w:rFonts w:hint="eastAsia" w:ascii="宋体" w:hAnsi="宋体" w:eastAsia="宋体" w:cs="宋体"/>
                <w:b/>
                <w:bCs/>
                <w:color w:val="auto"/>
                <w:sz w:val="24"/>
                <w:szCs w:val="24"/>
                <w:highlight w:val="none"/>
                <w:shd w:val="clear" w:color="auto" w:fill="FFFFFF"/>
                <w:lang w:val="zh-CN" w:bidi="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958"/>
              <w:pageBreakBefore w:val="0"/>
              <w:widowControl w:val="0"/>
              <w:kinsoku/>
              <w:wordWrap/>
              <w:overflowPunct/>
              <w:topLinePunct w:val="0"/>
              <w:autoSpaceDE/>
              <w:autoSpaceDN/>
              <w:bidi w:val="0"/>
              <w:adjustRightInd/>
              <w:snapToGrid/>
              <w:spacing w:line="300" w:lineRule="exact"/>
              <w:ind w:left="0" w:right="0" w:firstLine="236"/>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lang w:val="zh-CN" w:bidi="zh-CN"/>
              </w:rPr>
              <w:t> 3）资产总额，采用资产总计代替。</w:t>
            </w:r>
          </w:p>
          <w:p>
            <w:pPr>
              <w:pStyle w:val="958"/>
              <w:pageBreakBefore w:val="0"/>
              <w:widowControl w:val="0"/>
              <w:tabs>
                <w:tab w:val="left" w:pos="1070"/>
              </w:tabs>
              <w:kinsoku/>
              <w:wordWrap/>
              <w:overflowPunct/>
              <w:topLinePunct w:val="0"/>
              <w:autoSpaceDE/>
              <w:autoSpaceDN/>
              <w:bidi w:val="0"/>
              <w:adjustRightInd/>
              <w:snapToGrid/>
              <w:spacing w:line="300" w:lineRule="exact"/>
              <w:ind w:right="0"/>
              <w:textAlignment w:val="auto"/>
              <w:rPr>
                <w:rFonts w:hint="eastAsia" w:ascii="宋体" w:hAnsi="宋体" w:eastAsia="宋体" w:cs="宋体"/>
                <w:color w:val="auto"/>
                <w:spacing w:val="-13"/>
                <w:sz w:val="24"/>
                <w:szCs w:val="24"/>
                <w:highlight w:val="none"/>
                <w:lang w:eastAsia="zh-CN"/>
              </w:rPr>
            </w:pPr>
            <w:r>
              <w:rPr>
                <w:rFonts w:hint="eastAsia" w:ascii="宋体" w:hAnsi="宋体" w:eastAsia="宋体" w:cs="宋体"/>
                <w:color w:val="auto"/>
                <w:spacing w:val="-2"/>
                <w:sz w:val="24"/>
                <w:szCs w:val="24"/>
                <w:highlight w:val="none"/>
                <w:lang w:eastAsia="zh-CN"/>
              </w:rPr>
              <w:t>(4)符合小微企业划分标准的个体工商户，视同小微企业</w:t>
            </w:r>
            <w:r>
              <w:rPr>
                <w:rFonts w:hint="eastAsia" w:ascii="宋体" w:hAnsi="宋体" w:eastAsia="宋体" w:cs="宋体"/>
                <w:color w:val="auto"/>
                <w:spacing w:val="-13"/>
                <w:sz w:val="24"/>
                <w:szCs w:val="24"/>
                <w:highlight w:val="none"/>
                <w:lang w:eastAsia="zh-CN"/>
              </w:rPr>
              <w:t>。</w:t>
            </w:r>
          </w:p>
          <w:p>
            <w:pPr>
              <w:pStyle w:val="958"/>
              <w:pageBreakBefore w:val="0"/>
              <w:widowControl w:val="0"/>
              <w:tabs>
                <w:tab w:val="left" w:pos="1070"/>
              </w:tabs>
              <w:kinsoku/>
              <w:wordWrap/>
              <w:overflowPunct/>
              <w:topLinePunct w:val="0"/>
              <w:autoSpaceDE/>
              <w:autoSpaceDN/>
              <w:bidi w:val="0"/>
              <w:adjustRightInd/>
              <w:snapToGrid/>
              <w:spacing w:line="300" w:lineRule="exact"/>
              <w:ind w:right="0"/>
              <w:textAlignment w:val="auto"/>
              <w:rPr>
                <w:rFonts w:ascii="宋体" w:hAnsi="宋体" w:eastAsia="宋体" w:cs="宋体"/>
                <w:color w:val="auto"/>
                <w:highlight w:val="none"/>
                <w:lang w:val="en-US"/>
              </w:rPr>
            </w:pP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
                <w:sz w:val="24"/>
                <w:szCs w:val="24"/>
                <w:highlight w:val="none"/>
                <w:lang w:val="en-US" w:eastAsia="zh-CN"/>
              </w:rPr>
              <w:t>5</w:t>
            </w:r>
            <w:r>
              <w:rPr>
                <w:rFonts w:hint="eastAsia" w:ascii="宋体" w:hAnsi="宋体" w:eastAsia="宋体" w:cs="宋体"/>
                <w:color w:val="auto"/>
                <w:spacing w:val="-1"/>
                <w:sz w:val="24"/>
                <w:szCs w:val="24"/>
                <w:highlight w:val="none"/>
              </w:rPr>
              <w:t xml:space="preserve">)监狱企业和残疾人福利性单位视同小型、微型企业， </w:t>
            </w:r>
            <w:r>
              <w:rPr>
                <w:rFonts w:hint="eastAsia" w:ascii="宋体" w:hAnsi="宋体" w:eastAsia="宋体" w:cs="宋体"/>
                <w:color w:val="auto"/>
                <w:sz w:val="24"/>
                <w:szCs w:val="24"/>
                <w:highlight w:val="none"/>
              </w:rPr>
              <w:t>按《财政部 司法部关于政府采购支持监狱企业发展有关问题的通知》(财库〔2014〕68 号)、《财政部 民政部  中国残</w:t>
            </w:r>
            <w:r>
              <w:rPr>
                <w:rFonts w:hint="eastAsia" w:ascii="宋体" w:hAnsi="宋体" w:eastAsia="宋体" w:cs="宋体"/>
                <w:color w:val="auto"/>
                <w:spacing w:val="-2"/>
                <w:sz w:val="24"/>
                <w:szCs w:val="24"/>
                <w:highlight w:val="none"/>
              </w:rPr>
              <w:t>疾人联合会关于促进残疾人就业政府采购政策的通知》</w:t>
            </w:r>
            <w:r>
              <w:rPr>
                <w:rFonts w:hint="eastAsia" w:ascii="宋体" w:hAnsi="宋体" w:eastAsia="宋体" w:cs="宋体"/>
                <w:color w:val="auto"/>
                <w:sz w:val="24"/>
                <w:szCs w:val="24"/>
                <w:highlight w:val="none"/>
              </w:rPr>
              <w:t>（财库〔2017〕141 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927" w:type="dxa"/>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分包</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不同意分包，具体理由：</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磋商前答疑会或现场考察</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b/>
                <w:color w:val="auto"/>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B要求提供</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2093" w:type="dxa"/>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927" w:type="dxa"/>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napToGrid w:val="0"/>
              <w:spacing w:line="360" w:lineRule="auto"/>
              <w:rPr>
                <w:rFonts w:ascii="宋体" w:hAnsi="宋体" w:cs="宋体"/>
                <w:b/>
                <w:color w:val="auto"/>
                <w:kern w:val="0"/>
                <w:sz w:val="24"/>
                <w:highlight w:val="none"/>
                <w:lang w:val="zh-CN"/>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restart"/>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2093" w:type="dxa"/>
            <w:vMerge w:val="restart"/>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供应商应当提供的资格、资信证明文件</w:t>
            </w:r>
          </w:p>
        </w:tc>
        <w:tc>
          <w:tcPr>
            <w:tcW w:w="692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（1）资格证明文件：见采购文件第二部分11.1。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continue"/>
            <w:vAlign w:val="center"/>
          </w:tcPr>
          <w:p>
            <w:pPr>
              <w:snapToGrid w:val="0"/>
              <w:spacing w:line="360" w:lineRule="auto"/>
              <w:jc w:val="center"/>
              <w:rPr>
                <w:rFonts w:ascii="宋体" w:hAnsi="宋体" w:cs="宋体"/>
                <w:color w:val="auto"/>
                <w:sz w:val="24"/>
                <w:highlight w:val="none"/>
              </w:rPr>
            </w:pPr>
          </w:p>
        </w:tc>
        <w:tc>
          <w:tcPr>
            <w:tcW w:w="2093" w:type="dxa"/>
            <w:vMerge w:val="continue"/>
            <w:vAlign w:val="center"/>
          </w:tcPr>
          <w:p>
            <w:pPr>
              <w:snapToGrid w:val="0"/>
              <w:spacing w:line="360" w:lineRule="auto"/>
              <w:jc w:val="center"/>
              <w:rPr>
                <w:rFonts w:ascii="宋体" w:hAnsi="宋体" w:cs="宋体"/>
                <w:b/>
                <w:color w:val="auto"/>
                <w:sz w:val="24"/>
                <w:highlight w:val="none"/>
              </w:rPr>
            </w:pPr>
          </w:p>
        </w:tc>
        <w:tc>
          <w:tcPr>
            <w:tcW w:w="6927"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927" w:type="dxa"/>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92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color w:val="auto"/>
                <w:sz w:val="24"/>
                <w:highlight w:val="none"/>
              </w:rPr>
              <w:t>报价单是报价的唯一载体</w:t>
            </w:r>
            <w:r>
              <w:rPr>
                <w:rFonts w:hint="eastAsia" w:ascii="宋体" w:hAnsi="宋体" w:cs="宋体"/>
                <w:color w:val="auto"/>
                <w:kern w:val="0"/>
                <w:sz w:val="24"/>
                <w:highlight w:val="none"/>
                <w:lang w:val="zh-CN"/>
              </w:rPr>
              <w:t>。响应文件中价格全部采用人民币报价。采购文件未列明，而供应商认为必需的费用也需列入报价。</w:t>
            </w:r>
            <w:r>
              <w:rPr>
                <w:rFonts w:hint="eastAsia" w:ascii="宋体" w:hAnsi="宋体" w:cs="宋体"/>
                <w:b/>
                <w:color w:val="auto"/>
                <w:kern w:val="0"/>
                <w:sz w:val="24"/>
                <w:highlight w:val="none"/>
                <w:lang w:val="zh-CN"/>
              </w:rPr>
              <w:t>提醒：验收时检测费用由采购人承担，不包含在总价中。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b/>
                <w:color w:val="auto"/>
                <w:kern w:val="0"/>
                <w:sz w:val="24"/>
                <w:highlight w:val="none"/>
                <w:lang w:val="zh-CN"/>
              </w:rPr>
            </w:pPr>
            <w:r>
              <w:rPr>
                <w:rFonts w:hint="eastAsia" w:ascii="宋体" w:hAnsi="宋体" w:eastAsia="宋体" w:cs="宋体"/>
                <w:b/>
                <w:color w:val="auto"/>
                <w:kern w:val="0"/>
                <w:sz w:val="24"/>
                <w:highlight w:val="none"/>
                <w:lang w:val="zh-CN"/>
              </w:rPr>
              <w:t>▲</w:t>
            </w:r>
            <w:r>
              <w:rPr>
                <w:rFonts w:hint="eastAsia" w:ascii="宋体" w:hAnsi="宋体" w:cs="宋体"/>
                <w:b/>
                <w:color w:val="auto"/>
                <w:kern w:val="0"/>
                <w:sz w:val="24"/>
                <w:highlight w:val="none"/>
                <w:lang w:val="zh-CN"/>
              </w:rPr>
              <w:t>最后报价出现下列情形的，响应文件无效：</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jc w:val="left"/>
              <w:textAlignment w:val="auto"/>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响应文件出现不是唯一的、有选择性最后报价的；</w:t>
            </w:r>
          </w:p>
          <w:p>
            <w:pPr>
              <w:snapToGrid w:val="0"/>
              <w:spacing w:line="360" w:lineRule="auto"/>
              <w:rPr>
                <w:rFonts w:hint="eastAsia" w:eastAsia="宋体"/>
                <w:color w:val="auto"/>
                <w:highlight w:val="none"/>
                <w:lang w:eastAsia="zh-CN"/>
              </w:rPr>
            </w:pPr>
            <w:r>
              <w:rPr>
                <w:rFonts w:hint="eastAsia" w:ascii="宋体" w:hAnsi="宋体" w:cs="宋体"/>
                <w:b/>
                <w:color w:val="auto"/>
                <w:kern w:val="0"/>
                <w:sz w:val="24"/>
                <w:highlight w:val="none"/>
                <w:lang w:val="zh-CN"/>
              </w:rPr>
              <w:t>最后报价超过采购文件中规定的预算金额或者最高限价的;</w:t>
            </w:r>
            <w:r>
              <w:rPr>
                <w:rFonts w:hint="eastAsia" w:ascii="宋体" w:hAnsi="宋体" w:cs="宋体"/>
                <w:b/>
                <w:color w:val="auto"/>
                <w:sz w:val="24"/>
                <w:highlight w:val="none"/>
                <w:lang w:eastAsia="zh-CN"/>
              </w:rPr>
              <w:t>预算造价</w:t>
            </w:r>
            <w:r>
              <w:rPr>
                <w:rFonts w:hint="eastAsia" w:ascii="宋体" w:hAnsi="宋体" w:cs="宋体"/>
                <w:b/>
                <w:color w:val="auto"/>
                <w:sz w:val="24"/>
                <w:highlight w:val="none"/>
                <w:lang w:val="en-US" w:eastAsia="zh-CN"/>
              </w:rPr>
              <w:t>/</w:t>
            </w:r>
            <w:r>
              <w:rPr>
                <w:rFonts w:hint="eastAsia" w:ascii="宋体" w:hAnsi="宋体" w:cs="宋体"/>
                <w:b/>
                <w:color w:val="auto"/>
                <w:sz w:val="24"/>
                <w:highlight w:val="none"/>
              </w:rPr>
              <w:t>最高限价：81</w:t>
            </w:r>
            <w:r>
              <w:rPr>
                <w:rFonts w:hint="eastAsia" w:ascii="宋体" w:hAnsi="宋体" w:cs="宋体"/>
                <w:b/>
                <w:color w:val="auto"/>
                <w:sz w:val="24"/>
                <w:highlight w:val="none"/>
                <w:lang w:val="en-US" w:eastAsia="zh-CN"/>
              </w:rPr>
              <w:t>6791</w:t>
            </w:r>
            <w:r>
              <w:rPr>
                <w:rFonts w:hint="eastAsia" w:ascii="宋体" w:hAnsi="宋体" w:cs="宋体"/>
                <w:b/>
                <w:color w:val="auto"/>
                <w:sz w:val="24"/>
                <w:highlight w:val="none"/>
              </w:rPr>
              <w:t>元</w:t>
            </w:r>
            <w:r>
              <w:rPr>
                <w:rFonts w:hint="eastAsia" w:ascii="宋体" w:hAnsi="宋体" w:cs="宋体"/>
                <w:b/>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ascii="宋体" w:hAnsi="宋体" w:cs="宋体"/>
                <w:color w:val="auto"/>
                <w:sz w:val="24"/>
                <w:highlight w:val="none"/>
              </w:rPr>
            </w:pPr>
            <w:r>
              <w:rPr>
                <w:rFonts w:hint="eastAsia" w:ascii="宋体" w:hAnsi="宋体" w:cs="宋体"/>
                <w:b/>
                <w:color w:val="auto"/>
                <w:kern w:val="0"/>
                <w:sz w:val="24"/>
                <w:highlight w:val="none"/>
              </w:rPr>
              <w:t>供应商对根据修正原则修正后的报价不确认的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24"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927" w:type="dxa"/>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备份响应文件送达地点和签收人员</w:t>
            </w:r>
          </w:p>
        </w:tc>
        <w:tc>
          <w:tcPr>
            <w:tcW w:w="6927" w:type="dxa"/>
            <w:vAlign w:val="center"/>
          </w:tcPr>
          <w:p>
            <w:pPr>
              <w:pStyle w:val="36"/>
              <w:spacing w:line="360" w:lineRule="auto"/>
              <w:rPr>
                <w:rFonts w:hAnsi="宋体" w:cs="宋体"/>
                <w:color w:val="auto"/>
                <w:kern w:val="28"/>
                <w:sz w:val="24"/>
                <w:highlight w:val="none"/>
              </w:rPr>
            </w:pPr>
            <w:r>
              <w:rPr>
                <w:rFonts w:hint="eastAsia" w:ascii="Times New Roman" w:hAnsi="宋体" w:cs="宋体"/>
                <w:color w:val="auto"/>
                <w:kern w:val="28"/>
                <w:sz w:val="24"/>
                <w:szCs w:val="24"/>
                <w:highlight w:val="none"/>
              </w:rPr>
              <w:t>备份投标文件送达地点：</w:t>
            </w:r>
            <w:r>
              <w:rPr>
                <w:rFonts w:hint="eastAsia" w:ascii="Times New Roman" w:hAnsi="宋体" w:cs="宋体"/>
                <w:color w:val="auto"/>
                <w:kern w:val="28"/>
                <w:sz w:val="24"/>
                <w:szCs w:val="24"/>
                <w:highlight w:val="none"/>
                <w:u w:val="none"/>
              </w:rPr>
              <w:t>密封包装后（建议顺丰邮寄形式）投标截止时间前递交、一份</w:t>
            </w:r>
            <w:r>
              <w:rPr>
                <w:rFonts w:hint="eastAsia" w:ascii="Times New Roman" w:hAnsi="宋体" w:cs="宋体"/>
                <w:color w:val="auto"/>
                <w:kern w:val="28"/>
                <w:sz w:val="24"/>
                <w:szCs w:val="24"/>
                <w:highlight w:val="none"/>
                <w:u w:val="single"/>
              </w:rPr>
              <w:t>（</w:t>
            </w:r>
            <w:r>
              <w:rPr>
                <w:rFonts w:hint="eastAsia" w:ascii="Times New Roman" w:hAnsi="宋体" w:cs="宋体"/>
                <w:b/>
                <w:bCs/>
                <w:color w:val="auto"/>
                <w:kern w:val="28"/>
                <w:sz w:val="24"/>
                <w:szCs w:val="24"/>
                <w:highlight w:val="none"/>
                <w:u w:val="single"/>
              </w:rPr>
              <w:t>邮寄地址：杭州市临平区南苑街道华元欢乐城-华元大厦20层2022办公室</w:t>
            </w:r>
            <w:r>
              <w:rPr>
                <w:rFonts w:hint="eastAsia" w:ascii="Times New Roman" w:hAnsi="宋体" w:cs="宋体"/>
                <w:b/>
                <w:bCs/>
                <w:color w:val="auto"/>
                <w:kern w:val="28"/>
                <w:sz w:val="24"/>
                <w:szCs w:val="24"/>
                <w:highlight w:val="none"/>
                <w:u w:val="single"/>
                <w:lang w:val="en-US" w:eastAsia="zh-CN"/>
              </w:rPr>
              <w:t>）</w:t>
            </w:r>
            <w:r>
              <w:rPr>
                <w:rFonts w:hint="eastAsia" w:ascii="Times New Roman" w:hAnsi="宋体" w:cs="宋体"/>
                <w:color w:val="auto"/>
                <w:kern w:val="28"/>
                <w:sz w:val="24"/>
                <w:szCs w:val="24"/>
                <w:highlight w:val="none"/>
              </w:rPr>
              <w:t>；备份投标文件签收人员联系电话：</w:t>
            </w:r>
            <w:r>
              <w:rPr>
                <w:rFonts w:hint="eastAsia" w:ascii="Times New Roman" w:hAnsi="宋体" w:cs="宋体"/>
                <w:b/>
                <w:bCs/>
                <w:color w:val="auto"/>
                <w:sz w:val="24"/>
                <w:szCs w:val="20"/>
                <w:highlight w:val="none"/>
                <w:u w:val="single"/>
                <w:lang w:eastAsia="zh-CN"/>
              </w:rPr>
              <w:t>张擎峰</w:t>
            </w:r>
            <w:r>
              <w:rPr>
                <w:rFonts w:hint="eastAsia" w:ascii="Times New Roman" w:hAnsi="宋体" w:cs="宋体"/>
                <w:b/>
                <w:bCs/>
                <w:color w:val="auto"/>
                <w:sz w:val="24"/>
                <w:szCs w:val="20"/>
                <w:highlight w:val="none"/>
                <w:u w:val="single"/>
              </w:rPr>
              <w:t>收，</w:t>
            </w:r>
            <w:r>
              <w:rPr>
                <w:rFonts w:hint="eastAsia" w:ascii="Times New Roman" w:hAnsi="宋体" w:cs="宋体"/>
                <w:b/>
                <w:bCs/>
                <w:color w:val="auto"/>
                <w:sz w:val="24"/>
                <w:szCs w:val="20"/>
                <w:highlight w:val="none"/>
                <w:u w:val="single"/>
                <w:lang w:val="en-US" w:eastAsia="zh-CN"/>
              </w:rPr>
              <w:t>18058709278</w:t>
            </w:r>
            <w:r>
              <w:rPr>
                <w:rFonts w:hint="eastAsia" w:ascii="Times New Roman" w:hAnsi="宋体" w:cs="宋体"/>
                <w:color w:val="auto"/>
                <w:sz w:val="24"/>
                <w:szCs w:val="20"/>
                <w:highlight w:val="none"/>
                <w:u w:val="single"/>
              </w:rPr>
              <w:t>。</w:t>
            </w:r>
            <w:r>
              <w:rPr>
                <w:rFonts w:hint="eastAsia" w:ascii="Times New Roman"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2093"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其它说明</w:t>
            </w:r>
          </w:p>
        </w:tc>
        <w:tc>
          <w:tcPr>
            <w:tcW w:w="6927" w:type="dxa"/>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trPr>
        <w:tc>
          <w:tcPr>
            <w:tcW w:w="7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2093" w:type="dxa"/>
            <w:vAlign w:val="center"/>
          </w:tcPr>
          <w:p>
            <w:pPr>
              <w:snapToGrid w:val="0"/>
              <w:spacing w:before="0" w:beforeAutospacing="0" w:after="0" w:afterAutospacing="0" w:line="360" w:lineRule="auto"/>
              <w:ind w:left="0" w:leftChars="0" w:right="0" w:rightChars="0"/>
              <w:jc w:val="center"/>
              <w:rPr>
                <w:rFonts w:ascii="宋体" w:hAnsi="宋体" w:cs="宋体"/>
                <w:b/>
                <w:color w:val="auto"/>
                <w:sz w:val="24"/>
                <w:highlight w:val="none"/>
              </w:rPr>
            </w:pPr>
            <w:r>
              <w:rPr>
                <w:rFonts w:hint="eastAsia" w:ascii="宋体" w:hAnsi="宋体" w:eastAsia="宋体" w:cs="宋体"/>
                <w:b/>
                <w:bCs/>
                <w:color w:val="auto"/>
                <w:sz w:val="24"/>
                <w:szCs w:val="24"/>
                <w:highlight w:val="none"/>
                <w:lang w:val="en-US" w:eastAsia="zh-CN"/>
              </w:rPr>
              <w:t>其他要求</w:t>
            </w:r>
          </w:p>
        </w:tc>
        <w:tc>
          <w:tcPr>
            <w:tcW w:w="6927" w:type="dxa"/>
            <w:vAlign w:val="center"/>
          </w:tcPr>
          <w:p>
            <w:pPr>
              <w:snapToGrid w:val="0"/>
              <w:spacing w:before="0" w:beforeAutospacing="0" w:after="0" w:afterAutospacing="0" w:line="360" w:lineRule="auto"/>
              <w:ind w:left="0" w:leftChars="0" w:right="0" w:rightChars="0" w:firstLine="0" w:firstLineChars="0"/>
              <w:jc w:val="left"/>
              <w:rPr>
                <w:rFonts w:hint="eastAsia" w:ascii="宋体" w:hAnsi="宋体" w:eastAsia="宋体" w:cs="宋体"/>
                <w:snapToGrid w:val="0"/>
                <w:color w:val="auto"/>
                <w:kern w:val="28"/>
                <w:sz w:val="24"/>
                <w:highlight w:val="none"/>
                <w:lang w:eastAsia="zh-CN"/>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bl>
    <w:p>
      <w:pPr>
        <w:snapToGrid w:val="0"/>
        <w:spacing w:line="360" w:lineRule="auto"/>
        <w:jc w:val="center"/>
        <w:rPr>
          <w:rFonts w:ascii="宋体" w:hAnsi="宋体" w:cs="宋体"/>
          <w:b/>
          <w:color w:val="auto"/>
          <w:sz w:val="32"/>
          <w:szCs w:val="20"/>
          <w:highlight w:val="none"/>
        </w:rPr>
      </w:pPr>
    </w:p>
    <w:bookmarkEnd w:id="10"/>
    <w:p>
      <w:pPr>
        <w:widowControl/>
        <w:adjustRightInd/>
        <w:jc w:val="left"/>
        <w:rPr>
          <w:rFonts w:ascii="宋体" w:hAnsi="宋体" w:cs="宋体"/>
          <w:b/>
          <w:color w:val="auto"/>
          <w:sz w:val="32"/>
          <w:szCs w:val="20"/>
          <w:highlight w:val="none"/>
        </w:rPr>
      </w:pPr>
      <w:bookmarkStart w:id="13" w:name="第三部分"/>
      <w:bookmarkStart w:id="14" w:name="_Toc164416483"/>
      <w:r>
        <w:rPr>
          <w:rFonts w:hint="eastAsia" w:ascii="宋体" w:hAnsi="宋体" w:cs="宋体"/>
          <w:b/>
          <w:color w:val="auto"/>
          <w:sz w:val="32"/>
          <w:szCs w:val="20"/>
          <w:highlight w:val="none"/>
        </w:rPr>
        <w:br w:type="page"/>
      </w: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2.定义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“采购人”系指竞争性磋商公告中载明的本项目的采购人。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“采购机构”系指竞争性磋商公告中载明的本项目的采购机构。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“供应商”系指是指提交响应文件和报价、参与竞争性磋商采购活动的法人、其他组织或者自然人。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系指不适用本项目的要求，“※”系指磋商过程中可能实质性变动的内容。</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color w:val="auto"/>
          <w:sz w:val="24"/>
          <w:highlight w:val="none"/>
        </w:rPr>
        <w:t>采购人拟采购的产品属于政府强制采购的节能产品品目清单范围的，供应商未按采购文件要求提供国家确定的认证机构出具的、处于有效期之内的节能产品认证证书的，响应文件无效。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3.2.2纳入政府采购管理的修缮、装修类项目采购建材的，鼓励采购单位将绿色建材性能、指标等作为实质性条件纳入采购文件和合同，具体性能指标要求参考相关绿色建材政府采购需求标准。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bCs/>
          <w:color w:val="auto"/>
          <w:sz w:val="24"/>
          <w:highlight w:val="none"/>
        </w:rPr>
        <w:t>3.3.2</w:t>
      </w:r>
      <w:r>
        <w:rPr>
          <w:rFonts w:hint="eastAsia" w:ascii="宋体" w:hAnsi="宋体" w:cs="宋体"/>
          <w:color w:val="auto"/>
          <w:kern w:val="0"/>
          <w:sz w:val="24"/>
          <w:highlight w:val="none"/>
        </w:rPr>
        <w:t>在政府采购活动中，供应商提供的工程符合下列情形的，享受中小企业扶持政策：</w:t>
      </w:r>
      <w:r>
        <w:rPr>
          <w:rFonts w:ascii="宋体" w:hAnsi="宋体" w:cs="宋体"/>
          <w:color w:val="auto"/>
          <w:sz w:val="24"/>
          <w:highlight w:val="none"/>
        </w:rPr>
        <w:t>在工程采购项目中，工程由中小企业承建，即工程施工单位为中小企业</w:t>
      </w:r>
      <w:r>
        <w:rPr>
          <w:rFonts w:hint="eastAsia" w:ascii="宋体" w:hAnsi="宋体" w:cs="宋体"/>
          <w:color w:val="auto"/>
          <w:kern w:val="0"/>
          <w:sz w:val="24"/>
          <w:highlight w:val="none"/>
        </w:rPr>
        <w:t>。</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15" w:name="_Hlk101132181"/>
      <w:r>
        <w:rPr>
          <w:rFonts w:hint="eastAsia" w:ascii="宋体" w:hAnsi="宋体" w:cs="宋体"/>
          <w:color w:val="auto"/>
          <w:sz w:val="24"/>
          <w:highlight w:val="none"/>
        </w:rPr>
        <w:t>联合协议或者分包意向协议约定小微企业的合同份额占到合同总金额30%以上的</w:t>
      </w:r>
      <w:bookmarkEnd w:id="15"/>
      <w:r>
        <w:rPr>
          <w:rFonts w:hint="eastAsia" w:ascii="宋体" w:hAnsi="宋体" w:cs="宋体"/>
          <w:color w:val="auto"/>
          <w:sz w:val="24"/>
          <w:highlight w:val="none"/>
        </w:rPr>
        <w:t>，对联合体或者大中型企业的报价给予2%的扣除，用扣除后的价格参加评审。组成联合体或者接受分包的小微企业与联合体内其他企业、分包企业之间存在直接控股、管理关系的，不享受价格扣除优惠政策。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5"/>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napToGrid w:val="0"/>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4.1在线询问、质疑、投诉</w:t>
      </w:r>
      <w:r>
        <w:rPr>
          <w:rFonts w:hint="eastAsia" w:ascii="宋体" w:hAnsi="宋体" w:cs="仿宋"/>
          <w:color w:val="auto"/>
          <w:sz w:val="24"/>
          <w:highlight w:val="none"/>
        </w:rPr>
        <w:t>、补偿救济</w:t>
      </w:r>
    </w:p>
    <w:p>
      <w:pPr>
        <w:pStyle w:val="890"/>
        <w:shd w:val="clear" w:color="auto" w:fill="FFFFFF"/>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6"/>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.1提出质疑的供应商应当是参与所质疑项目采购活动的供应商。潜在供应商已依法获取其可质疑的采购文件的，可以对该文件提出质疑。</w:t>
      </w:r>
    </w:p>
    <w:p>
      <w:pPr>
        <w:pStyle w:val="36"/>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4.3.2.1对采购文件提出质疑的，质疑期限为供应商获得采购文件之日或者采购文件公告期限届满之日起计算。</w:t>
      </w:r>
    </w:p>
    <w:p>
      <w:pPr>
        <w:pStyle w:val="36"/>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w:t>
      </w:r>
    </w:p>
    <w:p>
      <w:pPr>
        <w:pStyle w:val="36"/>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4.3.2.3对采购结果提出质疑的，质疑期限自采购结果公告期限届满之日起计算。</w:t>
      </w:r>
    </w:p>
    <w:p>
      <w:pPr>
        <w:pStyle w:val="36"/>
        <w:snapToGrid w:val="0"/>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6"/>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4.3.3.1供应商的姓名或者名称、地址、邮编、联系人及联系电话；</w:t>
      </w:r>
    </w:p>
    <w:p>
      <w:pPr>
        <w:pStyle w:val="36"/>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4.3.3.2质疑项目的名称、编号；</w:t>
      </w:r>
    </w:p>
    <w:p>
      <w:pPr>
        <w:pStyle w:val="36"/>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4.3.3.3具体、明确的质疑事项和与质疑事项相关的请求；</w:t>
      </w:r>
    </w:p>
    <w:p>
      <w:pPr>
        <w:pStyle w:val="36"/>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4.3.3.4事实依据；</w:t>
      </w:r>
    </w:p>
    <w:p>
      <w:pPr>
        <w:pStyle w:val="36"/>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4.3.3.5必要的法律依据；</w:t>
      </w:r>
    </w:p>
    <w:p>
      <w:pPr>
        <w:pStyle w:val="36"/>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质疑函范本及制作说明详见附件2。</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4.3.4对同一采购程序环节的质疑，供应商须在法定质疑期内一次性提出。</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4.3.6询问或者质疑事项可能影响采购结果的，采购人应当暂停签订合同，已经签订合同的，应当中止履行合同。</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4.4供应商投诉</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4.4.1质疑供应商对采购人、采购机构的答复不满意或者采购人、采购机构未在规定的时间内作出答复的，可以在答复期满后十五个工作日内向同级政府采购监督管理部门提出投诉。</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4.4.2供应商投诉的事项不得超出已质疑事项的范围，基于质疑答复内容提出的投诉事项除外。</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4.4.3供应商投诉应当有明确的请求和必要的证明材料。</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4.4.4以联合体形式参加政府采购活动的，其投诉应当由组成联合体的所有供应商共同提出。</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4.4.5</w:t>
      </w:r>
      <w:r>
        <w:rPr>
          <w:rFonts w:hint="eastAsia" w:ascii="宋体" w:hAnsi="宋体" w:eastAsia="宋体" w:cs="宋体"/>
          <w:color w:val="auto"/>
          <w:kern w:val="0"/>
          <w:sz w:val="24"/>
          <w:highlight w:val="none"/>
          <w:lang w:val="zh-CN" w:eastAsia="zh-CN"/>
        </w:rPr>
        <w:t>杭州市余杭区</w:t>
      </w:r>
      <w:r>
        <w:rPr>
          <w:rFonts w:hint="eastAsia" w:ascii="宋体" w:hAnsi="宋体" w:eastAsia="宋体" w:cs="宋体"/>
          <w:color w:val="auto"/>
          <w:kern w:val="0"/>
          <w:sz w:val="24"/>
          <w:highlight w:val="none"/>
          <w:lang w:val="zh-CN"/>
        </w:rPr>
        <w:t>政府采购项目投诉材料可寄送杭州市上城区四季青街道新业路市民之家G03办公室（快递仅限ems或顺丰），收件人朱女士、王女士</w:t>
      </w:r>
      <w:r>
        <w:rPr>
          <w:rFonts w:hint="eastAsia" w:ascii="宋体" w:hAnsi="宋体" w:eastAsia="宋体" w:cs="宋体"/>
          <w:color w:val="auto"/>
          <w:kern w:val="0"/>
          <w:sz w:val="24"/>
          <w:highlight w:val="none"/>
          <w:lang w:val="zh-CN" w:eastAsia="zh-CN"/>
        </w:rPr>
        <w:t>。</w:t>
      </w:r>
      <w:r>
        <w:rPr>
          <w:rFonts w:hint="eastAsia" w:ascii="宋体" w:hAnsi="宋体" w:eastAsia="宋体" w:cs="宋体"/>
          <w:color w:val="auto"/>
          <w:kern w:val="0"/>
          <w:sz w:val="24"/>
          <w:highlight w:val="none"/>
          <w:lang w:val="zh-CN"/>
        </w:rPr>
        <w:t>电话：0571-85252453。</w:t>
      </w:r>
    </w:p>
    <w:p>
      <w:pPr>
        <w:pStyle w:val="36"/>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投诉书范本及制作说明详见附件3。</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4.5 补偿救济</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采购人（行政机关）因政策变化、规划调整而不履行政府采购合同的，供应商可依据《杭州市涉企补偿救济实施办法（试行）》向采购人（行政机关）提起补偿申请。</w:t>
      </w:r>
    </w:p>
    <w:p>
      <w:pPr>
        <w:rPr>
          <w:rFonts w:hint="eastAsia"/>
          <w:color w:val="auto"/>
          <w:highlight w:val="none"/>
          <w:lang w:val="zh-CN"/>
        </w:rPr>
      </w:pPr>
    </w:p>
    <w:p>
      <w:pPr>
        <w:pStyle w:val="132"/>
        <w:snapToGrid w:val="0"/>
        <w:spacing w:before="0"/>
        <w:ind w:firstLine="360"/>
        <w:rPr>
          <w:rFonts w:ascii="宋体" w:hAnsi="宋体" w:cs="宋体"/>
          <w:color w:val="auto"/>
          <w:sz w:val="18"/>
          <w:szCs w:val="18"/>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二、采购文件的构成、澄清、修改</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5．采购文件的构成</w:t>
      </w:r>
    </w:p>
    <w:p>
      <w:pPr>
        <w:pStyle w:val="3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采购文件包括下列文件及附件：</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5.1.1竞争性磋商公告；</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5.1.2供应商须知；</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5.1.4评审办法；</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6"/>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澄清或者修改的内容为采购文件的组成部分</w:t>
      </w:r>
      <w:r>
        <w:rPr>
          <w:rFonts w:hint="eastAsia" w:ascii="宋体" w:hAnsi="宋体" w:cs="宋体"/>
          <w:color w:val="auto"/>
          <w:sz w:val="24"/>
          <w:highlight w:val="none"/>
        </w:rPr>
        <w:t>。</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6. 采购文件的澄清、修改</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6.1已获取采购文件的潜在供应商，若有问题需要澄清，应于响应文件提交（上传）截止时间前，以书面形式向采购机构提出。</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6.2 采购机构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5"/>
        <w:rPr>
          <w:rFonts w:hAnsi="宋体" w:cs="宋体"/>
          <w:color w:val="auto"/>
          <w:sz w:val="18"/>
          <w:szCs w:val="18"/>
          <w:highlight w:val="none"/>
          <w:lang w:val="en-US"/>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三、提交响应文件</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7. 采购文件的获取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详见竞争性磋商公告中获取采购文件的时间期限、地点、方式及采购文件售价。</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8.磋商前答疑会或现场考察</w:t>
      </w:r>
    </w:p>
    <w:p>
      <w:pPr>
        <w:pStyle w:val="3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采购人组织潜在供应商现场考察或者召开磋商前答疑会的，潜在供应商按第二部分供应商须知前附表的规定参加现场考察或者磋商前答疑会。</w:t>
      </w:r>
    </w:p>
    <w:p>
      <w:pPr>
        <w:pStyle w:val="36"/>
        <w:spacing w:line="360" w:lineRule="auto"/>
        <w:rPr>
          <w:rFonts w:hAnsi="宋体" w:cs="宋体"/>
          <w:b/>
          <w:color w:val="auto"/>
          <w:szCs w:val="24"/>
          <w:highlight w:val="none"/>
        </w:rPr>
      </w:pPr>
      <w:r>
        <w:rPr>
          <w:rFonts w:hint="eastAsia" w:hAnsi="宋体" w:cs="宋体"/>
          <w:b/>
          <w:color w:val="auto"/>
          <w:kern w:val="28"/>
          <w:sz w:val="24"/>
          <w:szCs w:val="24"/>
          <w:highlight w:val="none"/>
        </w:rPr>
        <w:t>9.磋商保证金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本项目不需缴纳磋商保证金。</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10. 响应文件的语言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响应文件及供应商与采购有关的来往通知、函件和文件均应使用中文。</w:t>
      </w:r>
    </w:p>
    <w:p>
      <w:pPr>
        <w:pStyle w:val="36"/>
        <w:spacing w:line="360" w:lineRule="auto"/>
        <w:rPr>
          <w:rFonts w:hAnsi="宋体" w:cs="宋体"/>
          <w:b/>
          <w:color w:val="auto"/>
          <w:sz w:val="24"/>
          <w:szCs w:val="24"/>
          <w:highlight w:val="none"/>
        </w:rPr>
      </w:pPr>
      <w:r>
        <w:rPr>
          <w:rFonts w:hint="eastAsia" w:hAnsi="宋体" w:cs="宋体"/>
          <w:b/>
          <w:color w:val="auto"/>
          <w:sz w:val="24"/>
          <w:szCs w:val="24"/>
          <w:highlight w:val="none"/>
        </w:rPr>
        <w:t>11. 响应文件的组成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11.1.1</w:t>
      </w:r>
      <w:r>
        <w:rPr>
          <w:rFonts w:hint="eastAsia" w:ascii="宋体" w:hAnsi="宋体" w:cs="宋体"/>
          <w:color w:val="auto"/>
          <w:sz w:val="24"/>
          <w:highlight w:val="none"/>
          <w:lang w:eastAsia="zh-CN"/>
        </w:rPr>
        <w:t>目录</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color w:val="auto"/>
          <w:sz w:val="24"/>
          <w:highlight w:val="none"/>
        </w:rPr>
        <w:t>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w:t>
      </w:r>
      <w:bookmarkStart w:id="16" w:name="_Hlk101259339"/>
      <w:r>
        <w:rPr>
          <w:rFonts w:hint="eastAsia" w:ascii="宋体" w:hAnsi="宋体" w:cs="宋体"/>
          <w:color w:val="auto"/>
          <w:sz w:val="24"/>
          <w:highlight w:val="none"/>
          <w:lang w:val="en-US" w:eastAsia="zh-CN"/>
        </w:rPr>
        <w:t>3</w:t>
      </w:r>
      <w:r>
        <w:rPr>
          <w:rFonts w:hint="eastAsia" w:ascii="宋体" w:hAnsi="宋体" w:cs="宋体"/>
          <w:snapToGrid w:val="0"/>
          <w:color w:val="auto"/>
          <w:kern w:val="28"/>
          <w:sz w:val="24"/>
          <w:szCs w:val="20"/>
          <w:highlight w:val="none"/>
        </w:rPr>
        <w:t>联合协议</w:t>
      </w:r>
      <w:bookmarkStart w:id="17" w:name="_Hlk101257010"/>
      <w:r>
        <w:rPr>
          <w:rFonts w:hint="eastAsia" w:ascii="宋体" w:hAnsi="宋体" w:cs="宋体"/>
          <w:snapToGrid w:val="0"/>
          <w:color w:val="auto"/>
          <w:kern w:val="28"/>
          <w:sz w:val="24"/>
          <w:szCs w:val="20"/>
          <w:highlight w:val="none"/>
        </w:rPr>
        <w:t>（如果有)</w:t>
      </w:r>
      <w:bookmarkEnd w:id="16"/>
      <w:bookmarkEnd w:id="17"/>
      <w:r>
        <w:rPr>
          <w:rFonts w:hint="eastAsia" w:ascii="宋体" w:hAnsi="宋体" w:cs="宋体"/>
          <w:snapToGrid w:val="0"/>
          <w:color w:val="auto"/>
          <w:kern w:val="28"/>
          <w:sz w:val="24"/>
          <w:szCs w:val="20"/>
          <w:highlight w:val="none"/>
        </w:rPr>
        <w:t>；</w:t>
      </w:r>
    </w:p>
    <w:p>
      <w:pPr>
        <w:snapToGrid w:val="0"/>
        <w:spacing w:line="360" w:lineRule="auto"/>
        <w:ind w:firstLine="720" w:firstLineChars="3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▲11.1.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lang w:eastAsia="zh-CN"/>
        </w:rPr>
        <w:t>：</w:t>
      </w:r>
      <w:r>
        <w:rPr>
          <w:rFonts w:hint="eastAsia" w:ascii="宋体" w:hAnsi="宋体" w:cs="宋体"/>
          <w:b/>
          <w:bCs/>
          <w:color w:val="auto"/>
          <w:sz w:val="24"/>
          <w:highlight w:val="none"/>
          <w:lang w:eastAsia="zh-CN"/>
        </w:rPr>
        <w:t>工程</w:t>
      </w:r>
      <w:r>
        <w:rPr>
          <w:rFonts w:hint="eastAsia" w:ascii="宋体" w:hAnsi="宋体" w:cs="宋体"/>
          <w:b/>
          <w:bCs/>
          <w:color w:val="auto"/>
          <w:sz w:val="24"/>
          <w:highlight w:val="none"/>
        </w:rPr>
        <w:t>全部由符合政策要求的</w:t>
      </w:r>
      <w:r>
        <w:rPr>
          <w:rFonts w:hint="eastAsia" w:ascii="宋体" w:hAnsi="宋体" w:cs="宋体"/>
          <w:b/>
          <w:bCs/>
          <w:color w:val="auto"/>
          <w:sz w:val="24"/>
          <w:highlight w:val="none"/>
          <w:lang w:eastAsia="zh-CN"/>
        </w:rPr>
        <w:t>小微</w:t>
      </w:r>
      <w:r>
        <w:rPr>
          <w:rFonts w:hint="eastAsia" w:ascii="宋体" w:hAnsi="宋体" w:cs="宋体"/>
          <w:b/>
          <w:bCs/>
          <w:color w:val="auto"/>
          <w:sz w:val="24"/>
          <w:highlight w:val="none"/>
        </w:rPr>
        <w:t>企业承接，提供中小企业声明函</w:t>
      </w:r>
      <w:r>
        <w:rPr>
          <w:rFonts w:hint="eastAsia" w:ascii="宋体" w:hAnsi="宋体" w:cs="宋体"/>
          <w:color w:val="auto"/>
          <w:sz w:val="24"/>
          <w:highlight w:val="none"/>
          <w:lang w:eastAsia="zh-CN"/>
        </w:rPr>
        <w:t>；</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eastAsia="zh-CN"/>
        </w:rPr>
        <w:t>：</w:t>
      </w:r>
      <w:r>
        <w:rPr>
          <w:rFonts w:hint="eastAsia" w:ascii="宋体" w:hAnsi="宋体" w:cs="宋体"/>
          <w:b/>
          <w:bCs/>
          <w:color w:val="auto"/>
          <w:sz w:val="24"/>
          <w:highlight w:val="none"/>
          <w:lang w:eastAsia="zh-CN"/>
        </w:rPr>
        <w:t>具有建筑装修装饰工程专业承包资质二级及以上</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11.2.1</w:t>
      </w:r>
      <w:r>
        <w:rPr>
          <w:rFonts w:hint="eastAsia" w:ascii="宋体" w:hAnsi="宋体" w:cs="宋体"/>
          <w:color w:val="auto"/>
          <w:sz w:val="24"/>
          <w:highlight w:val="none"/>
          <w:lang w:eastAsia="zh-CN"/>
        </w:rPr>
        <w:t>目录</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▲11.2.2响应函；</w:t>
      </w:r>
      <w:r>
        <w:rPr>
          <w:rFonts w:hint="eastAsia" w:ascii="宋体" w:hAnsi="宋体" w:cs="宋体"/>
          <w:color w:val="auto"/>
          <w:sz w:val="24"/>
          <w:highlight w:val="none"/>
          <w:lang w:val="zh-CN"/>
        </w:rPr>
        <w:t xml:space="preserve"> </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分包意向协议（如果有)；</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评审标准相应的商务技术资料；</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商务技术偏离表；</w:t>
      </w:r>
    </w:p>
    <w:p>
      <w:pPr>
        <w:snapToGrid w:val="0"/>
        <w:spacing w:line="360" w:lineRule="auto"/>
        <w:ind w:firstLine="720" w:firstLineChars="300"/>
        <w:rPr>
          <w:rFonts w:ascii="宋体" w:hAnsi="宋体" w:cs="宋体"/>
          <w:color w:val="auto"/>
          <w:sz w:val="24"/>
          <w:highlight w:val="none"/>
          <w:lang w:val="zh-CN"/>
        </w:rPr>
      </w:pPr>
      <w:r>
        <w:rPr>
          <w:rFonts w:hint="eastAsia" w:ascii="宋体" w:hAnsi="宋体" w:cs="宋体"/>
          <w:color w:val="auto"/>
          <w:sz w:val="24"/>
          <w:highlight w:val="none"/>
        </w:rPr>
        <w:t>▲</w:t>
      </w: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cs="宋体"/>
          <w:color w:val="auto"/>
          <w:sz w:val="24"/>
          <w:highlight w:val="none"/>
        </w:rPr>
        <w:t>11.3.1</w:t>
      </w:r>
      <w:r>
        <w:rPr>
          <w:rFonts w:hint="eastAsia" w:ascii="宋体" w:hAnsi="宋体" w:cs="宋体"/>
          <w:color w:val="auto"/>
          <w:sz w:val="24"/>
          <w:highlight w:val="none"/>
          <w:lang w:eastAsia="zh-CN"/>
        </w:rPr>
        <w:t>目录</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▲11.3.2报价单；</w:t>
      </w:r>
    </w:p>
    <w:p>
      <w:pPr>
        <w:snapToGrid w:val="0"/>
        <w:spacing w:line="360"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▲11.3.</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已标价工程量清单；</w:t>
      </w:r>
    </w:p>
    <w:p>
      <w:pPr>
        <w:snapToGrid w:val="0"/>
        <w:spacing w:line="360" w:lineRule="auto"/>
        <w:ind w:firstLine="960" w:firstLineChars="4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rPr>
        <w:t>11.3.</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val="en-US"/>
        </w:rPr>
        <w:t>报价情况说明（如供应商报价低于项目预算50%的，应当提交本文档，详细阐述不影响产品质量或者诚信履约的具体原因）</w:t>
      </w:r>
      <w:r>
        <w:rPr>
          <w:rFonts w:hint="eastAsia" w:ascii="宋体" w:hAnsi="宋体" w:eastAsia="宋体" w:cs="宋体"/>
          <w:color w:val="auto"/>
          <w:sz w:val="24"/>
          <w:highlight w:val="none"/>
          <w:lang w:val="en-US" w:eastAsia="zh-CN"/>
        </w:rPr>
        <w:t>；</w:t>
      </w:r>
    </w:p>
    <w:p>
      <w:pPr>
        <w:snapToGrid w:val="0"/>
        <w:spacing w:line="360" w:lineRule="auto"/>
        <w:ind w:firstLine="723" w:firstLineChars="300"/>
        <w:rPr>
          <w:rFonts w:ascii="宋体" w:hAnsi="宋体" w:cs="宋体"/>
          <w:b/>
          <w:color w:val="auto"/>
          <w:sz w:val="24"/>
          <w:highlight w:val="none"/>
        </w:rPr>
      </w:pPr>
      <w:r>
        <w:rPr>
          <w:rFonts w:hint="eastAsia" w:ascii="宋体" w:hAnsi="宋体" w:cs="宋体"/>
          <w:b/>
          <w:bCs/>
          <w:color w:val="auto"/>
          <w:sz w:val="24"/>
          <w:highlight w:val="none"/>
          <w:lang w:val="en-US" w:eastAsia="zh-CN"/>
        </w:rPr>
        <w:t>投标人应对投标文件中材料的真实性、合法性负责。</w:t>
      </w:r>
      <w:r>
        <w:rPr>
          <w:rFonts w:hint="eastAsia" w:ascii="宋体" w:hAnsi="宋体" w:cs="宋体"/>
          <w:b/>
          <w:color w:val="auto"/>
          <w:sz w:val="24"/>
          <w:highlight w:val="none"/>
        </w:rPr>
        <w:t>响应文件含有采购人不能接受的附加条件的，响应文件无效；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供应商提供虚假材料的，响应文件无效。</w:t>
      </w:r>
    </w:p>
    <w:p>
      <w:pPr>
        <w:pStyle w:val="132"/>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响应文件的编制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13.响应文件的签署、盖章</w:t>
      </w:r>
    </w:p>
    <w:p>
      <w:pPr>
        <w:pStyle w:val="132"/>
        <w:snapToGrid w:val="0"/>
        <w:spacing w:before="0"/>
        <w:ind w:firstLine="480"/>
        <w:rPr>
          <w:rFonts w:ascii="宋体" w:hAnsi="宋体" w:cs="宋体"/>
          <w:b/>
          <w:color w:val="auto"/>
          <w:highlight w:val="none"/>
        </w:rPr>
      </w:pPr>
      <w:r>
        <w:rPr>
          <w:rFonts w:hint="eastAsia" w:ascii="宋体" w:hAnsi="宋体" w:cs="宋体"/>
          <w:color w:val="auto"/>
          <w:szCs w:val="24"/>
          <w:highlight w:val="none"/>
        </w:rPr>
        <w:t>13.1响应文件按照采购文件第六部分格式要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▲供应商的响应文件未按照采购文件要求签署、盖章的，其响应文件无效</w:t>
      </w:r>
      <w:r>
        <w:rPr>
          <w:rFonts w:hint="eastAsia" w:ascii="宋体" w:hAnsi="宋体" w:cs="宋体"/>
          <w:color w:val="auto"/>
          <w:szCs w:val="24"/>
          <w:highlight w:val="none"/>
        </w:rPr>
        <w:t>。</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13.2为确保网上操作合法、有效和安全，供应商应当在响应文件提交（上传）截止时间前完成在“政府采购云平台”的身份认证，确保在电子投标过程中能够对相关数据电文进行加密和使用电子签名。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b/>
          <w:color w:val="auto"/>
          <w:szCs w:val="24"/>
          <w:highlight w:val="none"/>
        </w:rPr>
      </w:pPr>
      <w:r>
        <w:rPr>
          <w:rFonts w:hint="eastAsia" w:ascii="宋体" w:hAnsi="宋体" w:cs="宋体"/>
          <w:color w:val="auto"/>
          <w:highlight w:val="none"/>
        </w:rPr>
        <w:t>13.3采购文件对响应文件签署、盖章的要求适用于电子签名。</w:t>
      </w:r>
    </w:p>
    <w:p>
      <w:pPr>
        <w:pStyle w:val="132"/>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响应文件的提交、补充、修改、撤回</w:t>
      </w:r>
    </w:p>
    <w:p>
      <w:pPr>
        <w:pStyle w:val="132"/>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32"/>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32"/>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14.3采购人、采购机构可以视情况延长响应文件提交的截止时间。在上述情况下，采购机构与供应商以前在响应文件提交截止时间方面的全部权利、责任和义务，将适用于延长至新的响应文件提交截止时间。</w:t>
      </w:r>
    </w:p>
    <w:p>
      <w:pPr>
        <w:pStyle w:val="36"/>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15.备份响应文件</w:t>
      </w:r>
    </w:p>
    <w:p>
      <w:pPr>
        <w:pStyle w:val="36"/>
        <w:snapToGrid w:val="0"/>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15.1供应商在电子交易平台传输递交响应文件后，还可以在响应文件提交（上传）截止时间前直接提交或者以邮政快递方式递交备份响应文件1份，</w:t>
      </w:r>
      <w:r>
        <w:rPr>
          <w:rFonts w:hint="eastAsia" w:hAnsi="宋体" w:cs="宋体"/>
          <w:b/>
          <w:color w:val="auto"/>
          <w:sz w:val="24"/>
          <w:szCs w:val="24"/>
          <w:highlight w:val="none"/>
        </w:rPr>
        <w:t>但采购人、采购机构不强制或变相强制供应商提交备份响应文件。</w:t>
      </w:r>
    </w:p>
    <w:p>
      <w:pPr>
        <w:pStyle w:val="36"/>
        <w:snapToGrid w:val="0"/>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15.2备份响应文件须在“政采云投标客户端”制作生成，并储存在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存储、密封规定的备份响应文件将被视为无效或者被拒绝接收。</w:t>
      </w:r>
    </w:p>
    <w:p>
      <w:pPr>
        <w:pStyle w:val="36"/>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15.3直接提交备份响应文件的，供应商应于响应文件提交（上传）截止时间前在竞争性磋商公告中载明的响应文件开启地点将备份响应文件提交给采购机构，采购机构将拒绝接受逾期送达的备份响应文件。</w:t>
      </w:r>
    </w:p>
    <w:p>
      <w:pPr>
        <w:pStyle w:val="36"/>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15.4以邮政快递方式递交备份响应文件的，供应商应先将备份响应文件按要求密封和标记，再进行邮政快递包装后邮寄。备份响应文件须在响应文件提交（上传）截止时间之前送达</w:t>
      </w:r>
      <w:r>
        <w:rPr>
          <w:rFonts w:hint="eastAsia" w:hAnsi="宋体" w:cs="宋体"/>
          <w:snapToGrid/>
          <w:color w:val="auto"/>
          <w:sz w:val="24"/>
          <w:szCs w:val="24"/>
          <w:highlight w:val="none"/>
        </w:rPr>
        <w:t>采购文件第二部分供应商须知前附表规定的备份响应文件送达地点；</w:t>
      </w:r>
      <w:r>
        <w:rPr>
          <w:rFonts w:hint="eastAsia" w:hAnsi="宋体" w:cs="宋体"/>
          <w:color w:val="auto"/>
          <w:sz w:val="24"/>
          <w:szCs w:val="24"/>
          <w:highlight w:val="none"/>
        </w:rPr>
        <w:t>送达时间以签收人签收时间为准。采购机构将拒绝接受逾期送达的备份响应文件。邮寄过程中，电子备份响应文件发生泄露、遗失、损坏或延期送达等情况的，由供应商自行负责。</w:t>
      </w:r>
    </w:p>
    <w:p>
      <w:pPr>
        <w:pStyle w:val="36"/>
        <w:snapToGrid w:val="0"/>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15.5供应商仅提交备份响应文件，未在电子交易平台传输递交响应文件的，响应文件无效。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16.响应文件的无效处理</w:t>
      </w:r>
    </w:p>
    <w:p>
      <w:pPr>
        <w:pStyle w:val="28"/>
        <w:spacing w:line="360" w:lineRule="auto"/>
        <w:ind w:firstLine="360" w:firstLineChars="150"/>
        <w:rPr>
          <w:rFonts w:cs="宋体"/>
          <w:color w:val="auto"/>
          <w:szCs w:val="21"/>
          <w:highlight w:val="none"/>
        </w:rPr>
      </w:pPr>
      <w:r>
        <w:rPr>
          <w:rFonts w:hint="eastAsia" w:cs="宋体"/>
          <w:color w:val="auto"/>
          <w:szCs w:val="21"/>
          <w:highlight w:val="none"/>
        </w:rPr>
        <w:t>有采购文件第四部分</w:t>
      </w:r>
      <w:r>
        <w:rPr>
          <w:rFonts w:hint="eastAsia" w:cs="宋体"/>
          <w:color w:val="auto"/>
          <w:highlight w:val="none"/>
        </w:rPr>
        <w:t>4.2规定</w:t>
      </w:r>
      <w:r>
        <w:rPr>
          <w:rFonts w:hint="eastAsia" w:cs="宋体"/>
          <w:color w:val="auto"/>
          <w:szCs w:val="21"/>
          <w:highlight w:val="none"/>
        </w:rPr>
        <w:t>的情形之一的，响应文件无效：</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17.响应文件有效期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17.1响应文件有效期为从提交响应文件的截止之日起90天。▲</w:t>
      </w:r>
      <w:r>
        <w:rPr>
          <w:rFonts w:hint="eastAsia" w:ascii="宋体" w:hAnsi="宋体" w:cs="宋体"/>
          <w:b/>
          <w:color w:val="auto"/>
          <w:sz w:val="24"/>
          <w:szCs w:val="20"/>
          <w:highlight w:val="none"/>
        </w:rPr>
        <w:t>供应商的响应文件中承</w:t>
      </w:r>
      <w:r>
        <w:rPr>
          <w:rFonts w:hint="eastAsia" w:ascii="宋体" w:hAnsi="宋体" w:cs="宋体"/>
          <w:b/>
          <w:color w:val="auto"/>
          <w:sz w:val="24"/>
          <w:szCs w:val="21"/>
          <w:highlight w:val="none"/>
        </w:rPr>
        <w:t>诺的响应文件有效期少于采购文件中载明的响应文件有效期的，响应文件无效。</w:t>
      </w:r>
    </w:p>
    <w:p>
      <w:pPr>
        <w:pStyle w:val="132"/>
        <w:spacing w:before="0"/>
        <w:ind w:firstLine="480"/>
        <w:rPr>
          <w:rFonts w:ascii="宋体" w:hAnsi="宋体" w:cs="宋体"/>
          <w:color w:val="auto"/>
          <w:highlight w:val="none"/>
        </w:rPr>
      </w:pPr>
      <w:r>
        <w:rPr>
          <w:rFonts w:hint="eastAsia" w:ascii="宋体" w:hAnsi="宋体" w:cs="宋体"/>
          <w:color w:val="auto"/>
          <w:highlight w:val="none"/>
        </w:rPr>
        <w:t>17.2响应文件合格投递后，自响应文件提交截止时间起，在响应文件有效期内有效。</w:t>
      </w:r>
    </w:p>
    <w:p>
      <w:pPr>
        <w:pStyle w:val="132"/>
        <w:spacing w:before="0"/>
        <w:ind w:firstLine="480"/>
        <w:rPr>
          <w:rFonts w:ascii="宋体" w:hAnsi="宋体" w:cs="宋体"/>
          <w:color w:val="auto"/>
          <w:highlight w:val="none"/>
        </w:rPr>
      </w:pPr>
      <w:r>
        <w:rPr>
          <w:rFonts w:hint="eastAsia" w:ascii="宋体" w:hAnsi="宋体" w:cs="宋体"/>
          <w:color w:val="auto"/>
          <w:highlight w:val="none"/>
        </w:rPr>
        <w:t>17.3在原定响应文件有效期满之前，如果出现特殊情况，采购机构可以以书面形式通知供应商延长响应文件有效期。供应商同意延长的，不得要求或被允许修改其响应文件，供应商拒绝延长的，其响应文件无效。</w:t>
      </w:r>
    </w:p>
    <w:p>
      <w:pPr>
        <w:pStyle w:val="132"/>
        <w:spacing w:before="0"/>
        <w:ind w:firstLine="643"/>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四、响应文件开启、资格审查与信用信息查询</w:t>
      </w:r>
    </w:p>
    <w:p>
      <w:pPr>
        <w:pStyle w:val="558"/>
        <w:spacing w:before="0" w:line="360" w:lineRule="auto"/>
        <w:ind w:left="0" w:firstLine="0"/>
        <w:contextualSpacing/>
        <w:rPr>
          <w:rFonts w:ascii="宋体" w:hAnsi="宋体" w:cs="宋体"/>
          <w:color w:val="auto"/>
          <w:sz w:val="24"/>
          <w:highlight w:val="none"/>
        </w:rPr>
      </w:pPr>
      <w:r>
        <w:rPr>
          <w:rFonts w:hint="eastAsia" w:ascii="宋体" w:hAnsi="宋体" w:cs="宋体"/>
          <w:b/>
          <w:color w:val="auto"/>
          <w:sz w:val="24"/>
          <w:szCs w:val="24"/>
          <w:highlight w:val="none"/>
        </w:rPr>
        <w:t>18.响应文件开启</w:t>
      </w:r>
      <w:r>
        <w:rPr>
          <w:rFonts w:hint="eastAsia" w:ascii="宋体" w:hAnsi="宋体" w:cs="宋体"/>
          <w:color w:val="auto"/>
          <w:sz w:val="24"/>
          <w:highlight w:val="none"/>
        </w:rPr>
        <w:t xml:space="preserve"> </w:t>
      </w:r>
    </w:p>
    <w:p>
      <w:pPr>
        <w:pStyle w:val="558"/>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18.1采购机构按照采购文件规定的时间通过电子交易平台组织响应文件开启，所有供应商均应当准时在线参加。供应商不足3家的，不得开启。</w:t>
      </w:r>
    </w:p>
    <w:p>
      <w:pPr>
        <w:pStyle w:val="558"/>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18.2响应文件开启时，电子交易平台按响应文件开启时间自动提取所有响应文件。采购机构依托电子交易平台发起开始解密指令，供应商按照平台提示和采购文件的规定在半小时内完成在线解密。</w:t>
      </w:r>
    </w:p>
    <w:p>
      <w:pPr>
        <w:pStyle w:val="558"/>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18.3</w:t>
      </w:r>
      <w:r>
        <w:rPr>
          <w:rFonts w:hint="eastAsia" w:ascii="宋体" w:hAnsi="宋体" w:cs="宋体"/>
          <w:b/>
          <w:bCs/>
          <w:color w:val="auto"/>
          <w:sz w:val="24"/>
          <w:highlight w:val="none"/>
        </w:rPr>
        <w:t>响应文件未按时解密，供应商提供了备份响应文件的，以备份响应文件作为依据，否则视为响应文件撤回。响应文件已按时解密的，备份响应文件自动失效。</w:t>
      </w:r>
    </w:p>
    <w:p>
      <w:pPr>
        <w:pStyle w:val="558"/>
        <w:spacing w:before="0" w:line="360" w:lineRule="auto"/>
        <w:ind w:left="0" w:firstLine="0"/>
        <w:contextualSpacing/>
        <w:rPr>
          <w:rFonts w:ascii="宋体" w:hAnsi="宋体" w:cs="宋体"/>
          <w:b/>
          <w:color w:val="auto"/>
          <w:sz w:val="24"/>
          <w:szCs w:val="24"/>
          <w:highlight w:val="none"/>
        </w:rPr>
      </w:pPr>
      <w:r>
        <w:rPr>
          <w:rFonts w:hint="eastAsia" w:ascii="宋体" w:hAnsi="宋体" w:cs="宋体"/>
          <w:b/>
          <w:color w:val="auto"/>
          <w:sz w:val="24"/>
          <w:szCs w:val="24"/>
          <w:highlight w:val="none"/>
        </w:rPr>
        <w:t>19、资格审查进</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19.1响应文件开启后，</w:t>
      </w:r>
      <w:r>
        <w:rPr>
          <w:rFonts w:hint="eastAsia" w:ascii="宋体" w:hAnsi="宋体" w:cs="宋体"/>
          <w:color w:val="auto"/>
          <w:highlight w:val="none"/>
        </w:rPr>
        <w:t>采购人、采购机构或磋商小组</w:t>
      </w:r>
      <w:r>
        <w:rPr>
          <w:rFonts w:hint="eastAsia" w:ascii="宋体" w:hAnsi="宋体" w:cs="宋体"/>
          <w:color w:val="auto"/>
          <w:kern w:val="0"/>
          <w:szCs w:val="24"/>
          <w:highlight w:val="none"/>
        </w:rPr>
        <w:t>将依法对供应商的资格进行审查。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采购人、采购机构或磋商小组依据法律法规和采购文件的规定，对供应商的资格进行审查。</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19.3供应商未按照采购文件要求提供与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供应商不具备采购文件中规定的资格要求，其响应文件无效。</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4对未通过资格审查的供应商，采购人或采购机构告知其未通过的原因。</w:t>
      </w:r>
    </w:p>
    <w:p>
      <w:pPr>
        <w:pStyle w:val="132"/>
        <w:snapToGrid w:val="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5合格供应商不足3家的，不再评审。</w:t>
      </w:r>
      <w:r>
        <w:rPr>
          <w:rFonts w:hint="eastAsia" w:ascii="宋体" w:hAnsi="宋体" w:cs="宋体"/>
          <w:color w:val="auto"/>
          <w:kern w:val="0"/>
          <w:szCs w:val="24"/>
          <w:highlight w:val="none"/>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2"/>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20.1信用信息查询渠道及截止时间：采购机构将在资格审查时通过“信用中国”网站(www.creditchina.gov.cn)、中国政府采购网(www.ccgp.gov.cn)渠道查询供应商接受资格审查时的信用记录。</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20.2信用信息查询记录和证据留存的具体方式：现场查询的供应商的信用记录、查询结果经确认后将与采购文件一起存档。</w:t>
      </w:r>
    </w:p>
    <w:p>
      <w:pPr>
        <w:pStyle w:val="132"/>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32"/>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2"/>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五、评审</w:t>
      </w:r>
    </w:p>
    <w:p>
      <w:pPr>
        <w:spacing w:line="360" w:lineRule="auto"/>
        <w:rPr>
          <w:rFonts w:ascii="宋体" w:hAnsi="宋体" w:cs="宋体"/>
          <w:b/>
          <w:color w:val="auto"/>
          <w:sz w:val="24"/>
          <w:highlight w:val="none"/>
        </w:rPr>
      </w:pPr>
      <w:bookmarkStart w:id="18"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cs="宋体"/>
          <w:b/>
          <w:color w:val="auto"/>
          <w:sz w:val="24"/>
          <w:highlight w:val="none"/>
        </w:rPr>
        <w:t>详见采购文件第四部分评审办法。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六、成交供应商确定</w:t>
      </w:r>
    </w:p>
    <w:p>
      <w:pPr>
        <w:pStyle w:val="28"/>
        <w:spacing w:line="360" w:lineRule="auto"/>
        <w:ind w:left="479" w:hanging="479" w:hangingChars="199"/>
        <w:rPr>
          <w:rFonts w:cs="宋体"/>
          <w:b/>
          <w:color w:val="auto"/>
          <w:highlight w:val="none"/>
        </w:rPr>
      </w:pPr>
      <w:r>
        <w:rPr>
          <w:rFonts w:hint="eastAsia" w:cs="宋体"/>
          <w:b/>
          <w:color w:val="auto"/>
          <w:highlight w:val="none"/>
        </w:rPr>
        <w:t>22. 确定成交供应商</w:t>
      </w:r>
    </w:p>
    <w:p>
      <w:pPr>
        <w:pStyle w:val="132"/>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一般在收到评审报告当天确定中标或者成交供应商。中标、成交通知书和中标、成交结果公告应当在规定时间内同时发出。</w:t>
      </w:r>
    </w:p>
    <w:p>
      <w:pPr>
        <w:pStyle w:val="132"/>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23.1自成交供应商确定之日起1个工作日内，采购机构通过电子交易平台向成交供应商发出成交通知书，同时编制发布采购结果公告。采购机构也可以以纸质形式进行成交通知。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成交结果公告内容包括采购人及其委托的采购机构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fill="FFFFFF"/>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23.3公告期限为1个工作日。</w:t>
      </w:r>
    </w:p>
    <w:p>
      <w:pPr>
        <w:pStyle w:val="132"/>
        <w:adjustRightInd w:val="0"/>
        <w:snapToGrid w:val="0"/>
        <w:spacing w:before="0"/>
        <w:ind w:firstLine="482" w:firstLineChars="200"/>
        <w:rPr>
          <w:rStyle w:val="81"/>
          <w:color w:val="auto"/>
          <w:highlight w:val="none"/>
        </w:rPr>
      </w:pPr>
      <w:r>
        <w:rPr>
          <w:rFonts w:hint="eastAsia" w:ascii="宋体" w:hAnsi="宋体" w:cs="宋体"/>
          <w:b/>
          <w:color w:val="auto"/>
          <w:szCs w:val="24"/>
          <w:highlight w:val="none"/>
        </w:rPr>
        <w:t>24.</w:t>
      </w:r>
      <w:r>
        <w:rPr>
          <w:rFonts w:hint="eastAsia" w:ascii="宋体" w:hAnsi="宋体" w:cs="宋体"/>
          <w:b w:val="0"/>
          <w:bCs/>
          <w:color w:val="auto"/>
          <w:szCs w:val="24"/>
          <w:highlight w:val="none"/>
        </w:rPr>
        <w:t>由于</w:t>
      </w:r>
      <w:r>
        <w:rPr>
          <w:rFonts w:hint="eastAsia" w:ascii="宋体" w:hAnsi="宋体" w:cs="宋体"/>
          <w:bCs/>
          <w:color w:val="auto"/>
          <w:szCs w:val="24"/>
          <w:highlight w:val="none"/>
        </w:rPr>
        <w:t>中标、成交供应商原因导致重新采购的，应当承担支付代理费和专家评审费等费用在内的赔偿责任。</w:t>
      </w:r>
    </w:p>
    <w:p>
      <w:pPr>
        <w:pStyle w:val="2"/>
        <w:rPr>
          <w:color w:val="auto"/>
          <w:highlight w:val="none"/>
        </w:rPr>
      </w:pP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七、合同授予</w:t>
      </w:r>
    </w:p>
    <w:p>
      <w:pPr>
        <w:pStyle w:val="28"/>
        <w:snapToGrid w:val="0"/>
        <w:spacing w:line="360" w:lineRule="auto"/>
        <w:ind w:left="479" w:hanging="479"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5</w:t>
      </w:r>
      <w:r>
        <w:rPr>
          <w:rFonts w:hint="eastAsia" w:cs="宋体"/>
          <w:b/>
          <w:color w:val="auto"/>
          <w:highlight w:val="none"/>
        </w:rPr>
        <w:t xml:space="preserve">. </w:t>
      </w:r>
      <w:r>
        <w:rPr>
          <w:rFonts w:hint="eastAsia" w:cs="宋体"/>
          <w:color w:val="auto"/>
          <w:highlight w:val="none"/>
        </w:rPr>
        <w:t>合同主要条款详见第五部分拟签订的合同文本。</w:t>
      </w:r>
    </w:p>
    <w:p>
      <w:pPr>
        <w:pStyle w:val="28"/>
        <w:snapToGrid w:val="0"/>
        <w:spacing w:line="360" w:lineRule="auto"/>
        <w:ind w:left="479" w:hanging="479"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6</w:t>
      </w:r>
      <w:r>
        <w:rPr>
          <w:rFonts w:hint="eastAsia" w:cs="宋体"/>
          <w:b/>
          <w:color w:val="auto"/>
          <w:highlight w:val="none"/>
        </w:rPr>
        <w:t>. 合同的签订</w:t>
      </w:r>
    </w:p>
    <w:p>
      <w:pPr>
        <w:widowControl/>
        <w:shd w:val="clear" w:color="auto" w:fill="FFFFFF"/>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w:t>
      </w:r>
      <w:r>
        <w:rPr>
          <w:rFonts w:hint="eastAsia" w:ascii="宋体" w:hAnsi="宋体" w:cs="宋体"/>
          <w:color w:val="auto"/>
          <w:kern w:val="0"/>
          <w:sz w:val="24"/>
          <w:highlight w:val="none"/>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32"/>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w:t>
      </w:r>
      <w:r>
        <w:rPr>
          <w:rFonts w:hint="eastAsia" w:ascii="宋体" w:hAnsi="宋体" w:cs="宋体"/>
          <w:color w:val="auto"/>
          <w:kern w:val="0"/>
          <w:highlight w:val="none"/>
          <w:lang w:val="en-US" w:eastAsia="zh-CN"/>
        </w:rPr>
        <w:t>6</w:t>
      </w:r>
      <w:r>
        <w:rPr>
          <w:rFonts w:hint="eastAsia" w:ascii="宋体" w:hAnsi="宋体" w:cs="宋体"/>
          <w:color w:val="auto"/>
          <w:kern w:val="0"/>
          <w:highlight w:val="none"/>
          <w:lang w:val="zh-CN"/>
        </w:rPr>
        <w:t>.2成交供应商按规定的日期、时间、地点，由法定代表人或其授权代表与采购人代表签订合同。如成交供应商为联合体的，由联合体成员各方法定代表人或其授权代表与采购人代表签订合同。</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6</w:t>
      </w:r>
      <w:r>
        <w:rPr>
          <w:rFonts w:hint="eastAsia" w:ascii="宋体" w:hAnsi="宋体" w:cs="宋体"/>
          <w:color w:val="auto"/>
          <w:highlight w:val="none"/>
        </w:rPr>
        <w:t>.3如签订合同并生效后，供应商无故拒绝或延期，除按照合同条款处理外，列入不良行为记录一次，并给予通报。</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6</w:t>
      </w:r>
      <w:r>
        <w:rPr>
          <w:rFonts w:hint="eastAsia" w:ascii="宋体" w:hAnsi="宋体" w:cs="宋体"/>
          <w:color w:val="auto"/>
          <w:highlight w:val="none"/>
        </w:rPr>
        <w:t>.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6</w:t>
      </w:r>
      <w:r>
        <w:rPr>
          <w:rFonts w:hint="eastAsia" w:ascii="宋体" w:hAnsi="宋体" w:cs="宋体"/>
          <w:color w:val="auto"/>
          <w:highlight w:val="none"/>
        </w:rPr>
        <w:t>.5采购合同由采购人与成交供应商根据采购文件、响应文件等内容通过政府采购电子交易平台在线签订，自动备案。</w:t>
      </w:r>
    </w:p>
    <w:p>
      <w:pPr>
        <w:pStyle w:val="28"/>
        <w:snapToGrid w:val="0"/>
        <w:spacing w:line="360" w:lineRule="auto"/>
        <w:ind w:left="479" w:hanging="479"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7</w:t>
      </w:r>
      <w:r>
        <w:rPr>
          <w:rFonts w:hint="eastAsia" w:cs="宋体"/>
          <w:b/>
          <w:color w:val="auto"/>
          <w:highlight w:val="none"/>
        </w:rPr>
        <w:t>. 履约保证金</w:t>
      </w:r>
    </w:p>
    <w:p>
      <w:pPr>
        <w:tabs>
          <w:tab w:val="left" w:pos="0"/>
        </w:tabs>
        <w:snapToGrid w:val="0"/>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cs="宋体"/>
          <w:color w:val="auto"/>
          <w:sz w:val="24"/>
          <w:highlight w:val="none"/>
        </w:rPr>
        <w:t>。杭州市政府采购网公布的供应商履约评价为满分的供应商，采购单位应当免收履约保证金。确需收取履约保证金的，履约保证金缴纳最高比例由不超过合同金额的1%。采购单位鼓励供应商采取履约保函形式提供信用保证；供应商提供保函的，采购单位不得拒收。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5"/>
        <w:snapToGrid w:val="0"/>
        <w:ind w:left="0" w:firstLine="480" w:firstLineChars="200"/>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八、电子交易活动的中止</w:t>
      </w:r>
    </w:p>
    <w:p>
      <w:pPr>
        <w:pStyle w:val="132"/>
        <w:snapToGrid w:val="0"/>
        <w:spacing w:before="0"/>
        <w:ind w:firstLine="0" w:firstLineChars="0"/>
        <w:rPr>
          <w:rFonts w:ascii="宋体" w:hAnsi="宋体" w:cs="宋体"/>
          <w:color w:val="auto"/>
          <w:highlight w:val="none"/>
        </w:rPr>
      </w:pPr>
      <w:r>
        <w:rPr>
          <w:rFonts w:hint="eastAsia" w:ascii="宋体" w:hAnsi="宋体" w:cs="宋体"/>
          <w:b/>
          <w:bCs/>
          <w:color w:val="auto"/>
          <w:highlight w:val="none"/>
        </w:rPr>
        <w:t>2</w:t>
      </w:r>
      <w:r>
        <w:rPr>
          <w:rFonts w:hint="eastAsia" w:ascii="宋体" w:hAnsi="宋体" w:cs="宋体"/>
          <w:b/>
          <w:color w:val="auto"/>
          <w:szCs w:val="24"/>
          <w:highlight w:val="none"/>
          <w:lang w:val="en-US" w:eastAsia="zh-CN"/>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 xml:space="preserve">.1电子交易平台发生故障而无法登录访问的；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.2电子交易平台应用或数据库出现错误，不能进行正常操作的；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.3电子交易平台发现严重安全漏洞，有潜在泄密危险的；</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 xml:space="preserve">.4病毒发作导致不能进行正常操作的； </w:t>
      </w:r>
    </w:p>
    <w:p>
      <w:pPr>
        <w:pStyle w:val="132"/>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.5其他无法保证电子交易的公平、公正和安全的情况。</w:t>
      </w:r>
    </w:p>
    <w:p>
      <w:pPr>
        <w:pStyle w:val="132"/>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b/>
          <w:bCs/>
          <w:color w:val="auto"/>
          <w:highlight w:val="none"/>
        </w:rPr>
        <w:t>2</w:t>
      </w:r>
      <w:r>
        <w:rPr>
          <w:rFonts w:hint="eastAsia" w:ascii="宋体" w:hAnsi="宋体" w:cs="宋体"/>
          <w:b/>
          <w:bCs/>
          <w:color w:val="auto"/>
          <w:highlight w:val="none"/>
          <w:lang w:eastAsia="zh-CN"/>
        </w:rPr>
        <w:t>9</w:t>
      </w:r>
      <w:r>
        <w:rPr>
          <w:rFonts w:hint="eastAsia" w:ascii="宋体" w:hAnsi="宋体" w:cs="宋体"/>
          <w:b/>
          <w:bCs/>
          <w:color w:val="auto"/>
          <w:highlight w:val="none"/>
        </w:rPr>
        <w:t>.</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九、验收</w:t>
      </w:r>
    </w:p>
    <w:p>
      <w:pPr>
        <w:pStyle w:val="28"/>
        <w:spacing w:line="360" w:lineRule="auto"/>
        <w:ind w:firstLine="0" w:firstLineChars="0"/>
        <w:rPr>
          <w:rFonts w:cs="宋体"/>
          <w:b/>
          <w:color w:val="auto"/>
          <w:highlight w:val="none"/>
        </w:rPr>
      </w:pPr>
      <w:r>
        <w:rPr>
          <w:rFonts w:hint="eastAsia" w:cs="宋体"/>
          <w:b/>
          <w:color w:val="auto"/>
          <w:highlight w:val="none"/>
          <w:lang w:val="en-US" w:eastAsia="zh-CN"/>
        </w:rPr>
        <w:t>30</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8"/>
      <w:bookmarkStart w:id="19" w:name="_Hlt75236011"/>
      <w:bookmarkEnd w:id="19"/>
      <w:bookmarkStart w:id="20" w:name="_Hlt68057669"/>
      <w:bookmarkEnd w:id="20"/>
      <w:bookmarkStart w:id="21" w:name="_Hlt68403820"/>
      <w:bookmarkEnd w:id="21"/>
      <w:bookmarkStart w:id="22" w:name="_Hlt68072990"/>
      <w:bookmarkEnd w:id="22"/>
      <w:bookmarkStart w:id="23" w:name="_Hlt74714665"/>
      <w:bookmarkEnd w:id="23"/>
      <w:bookmarkStart w:id="24" w:name="_Hlt74730295"/>
      <w:bookmarkEnd w:id="24"/>
      <w:bookmarkStart w:id="25" w:name="_Hlt68072998"/>
      <w:bookmarkEnd w:id="25"/>
      <w:bookmarkStart w:id="26" w:name="_Hlt68073093"/>
      <w:bookmarkEnd w:id="26"/>
      <w:bookmarkStart w:id="27" w:name="_Hlt74707468"/>
      <w:bookmarkEnd w:id="27"/>
      <w:bookmarkStart w:id="28" w:name="_Hlt74729768"/>
      <w:bookmarkEnd w:id="28"/>
      <w:bookmarkStart w:id="29" w:name="_Hlt75236101"/>
      <w:bookmarkEnd w:id="29"/>
      <w:bookmarkStart w:id="30" w:name="_Hlt75236290"/>
      <w:bookmarkEnd w:id="30"/>
    </w:p>
    <w:p>
      <w:pPr>
        <w:pStyle w:val="5"/>
        <w:adjustRightInd w:val="0"/>
        <w:snapToGrid w:val="0"/>
        <w:ind w:left="0" w:firstLine="480" w:firstLineChars="20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pStyle w:val="2"/>
        <w:rPr>
          <w:color w:val="auto"/>
          <w:highlight w:val="none"/>
        </w:rPr>
        <w:sectPr>
          <w:pgSz w:w="11906" w:h="16838"/>
          <w:pgMar w:top="1440" w:right="1080" w:bottom="1440" w:left="1080" w:header="851" w:footer="992" w:gutter="0"/>
          <w:cols w:space="720" w:num="1"/>
          <w:titlePg/>
          <w:docGrid w:linePitch="312" w:charSpace="0"/>
        </w:sectPr>
      </w:pPr>
    </w:p>
    <w:bookmarkEnd w:id="13"/>
    <w:bookmarkEnd w:id="14"/>
    <w:p>
      <w:pPr>
        <w:pStyle w:val="36"/>
        <w:spacing w:line="360" w:lineRule="auto"/>
        <w:jc w:val="center"/>
        <w:rPr>
          <w:rFonts w:hAnsi="宋体" w:cs="宋体"/>
          <w:b/>
          <w:snapToGrid/>
          <w:color w:val="auto"/>
          <w:sz w:val="36"/>
          <w:szCs w:val="20"/>
          <w:highlight w:val="none"/>
        </w:rPr>
      </w:pPr>
      <w:bookmarkStart w:id="31" w:name="第四部分"/>
      <w:r>
        <w:rPr>
          <w:rFonts w:hint="eastAsia" w:hAnsi="宋体" w:cs="宋体"/>
          <w:b/>
          <w:snapToGrid/>
          <w:color w:val="auto"/>
          <w:sz w:val="36"/>
          <w:szCs w:val="20"/>
          <w:highlight w:val="none"/>
        </w:rPr>
        <w:t>第三部分 采购需求</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一、工程概况</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cs="宋体"/>
          <w:bCs/>
          <w:color w:val="auto"/>
          <w:sz w:val="24"/>
          <w:highlight w:val="none"/>
          <w:lang w:eastAsia="zh-CN"/>
        </w:rPr>
      </w:pPr>
      <w:r>
        <w:rPr>
          <w:rFonts w:hint="eastAsia" w:hAnsi="宋体" w:eastAsia="宋体" w:cs="宋体"/>
          <w:color w:val="auto"/>
          <w:sz w:val="24"/>
          <w:szCs w:val="24"/>
          <w:highlight w:val="none"/>
          <w:lang w:eastAsia="zh-CN"/>
        </w:rPr>
        <w:t>本工程为</w:t>
      </w:r>
      <w:r>
        <w:rPr>
          <w:rFonts w:hint="eastAsia" w:ascii="宋体" w:hAnsi="宋体" w:cs="宋体"/>
          <w:color w:val="auto"/>
          <w:sz w:val="24"/>
          <w:highlight w:val="none"/>
          <w:lang w:eastAsia="zh-CN"/>
        </w:rPr>
        <w:t>杭州市余杭区市场监督管理局余杭市场监管所修缮项目</w:t>
      </w:r>
      <w:r>
        <w:rPr>
          <w:rFonts w:hint="eastAsia" w:ascii="宋体" w:hAnsi="宋体" w:cs="宋体"/>
          <w:color w:val="auto"/>
          <w:kern w:val="0"/>
          <w:sz w:val="24"/>
          <w:szCs w:val="24"/>
          <w:highlight w:val="none"/>
          <w:lang w:val="en-US" w:eastAsia="zh-CN" w:bidi="ar"/>
        </w:rPr>
        <w:t>，</w:t>
      </w:r>
      <w:r>
        <w:rPr>
          <w:rFonts w:hint="eastAsia" w:ascii="宋体" w:hAnsi="宋体" w:cs="宋体"/>
          <w:bCs/>
          <w:color w:val="auto"/>
          <w:sz w:val="24"/>
          <w:highlight w:val="none"/>
          <w:lang w:eastAsia="zh-CN"/>
        </w:rPr>
        <w:t>采购</w:t>
      </w:r>
      <w:r>
        <w:rPr>
          <w:rFonts w:hint="eastAsia" w:ascii="宋体" w:hAnsi="宋体" w:cs="宋体"/>
          <w:bCs/>
          <w:color w:val="auto"/>
          <w:sz w:val="24"/>
          <w:highlight w:val="none"/>
        </w:rPr>
        <w:t>内容包括</w:t>
      </w:r>
      <w:r>
        <w:rPr>
          <w:rFonts w:hint="eastAsia" w:ascii="宋体" w:hAnsi="宋体" w:cs="宋体"/>
          <w:bCs/>
          <w:color w:val="auto"/>
          <w:sz w:val="24"/>
          <w:highlight w:val="none"/>
          <w:lang w:eastAsia="zh-CN"/>
        </w:rPr>
        <w:t>工程量</w:t>
      </w:r>
      <w:r>
        <w:rPr>
          <w:rFonts w:hint="eastAsia" w:ascii="宋体" w:hAnsi="宋体" w:cs="宋体"/>
          <w:bCs/>
          <w:color w:val="auto"/>
          <w:sz w:val="24"/>
          <w:highlight w:val="none"/>
        </w:rPr>
        <w:t>清单</w:t>
      </w:r>
      <w:r>
        <w:rPr>
          <w:rFonts w:hint="eastAsia" w:ascii="宋体" w:hAnsi="宋体" w:cs="宋体"/>
          <w:bCs/>
          <w:color w:val="auto"/>
          <w:sz w:val="24"/>
          <w:highlight w:val="none"/>
          <w:lang w:eastAsia="zh-CN"/>
        </w:rPr>
        <w:t>内容</w:t>
      </w:r>
      <w:r>
        <w:rPr>
          <w:rFonts w:hint="eastAsia" w:ascii="宋体" w:hAnsi="宋体" w:cs="宋体"/>
          <w:bCs/>
          <w:color w:val="auto"/>
          <w:sz w:val="24"/>
          <w:highlight w:val="none"/>
        </w:rPr>
        <w:t>及安装调试、</w:t>
      </w:r>
      <w:r>
        <w:rPr>
          <w:rFonts w:hint="eastAsia" w:ascii="宋体" w:hAnsi="宋体" w:cs="宋体"/>
          <w:bCs/>
          <w:color w:val="auto"/>
          <w:sz w:val="24"/>
          <w:highlight w:val="none"/>
          <w:lang w:eastAsia="zh-CN"/>
        </w:rPr>
        <w:t>工程结算审计</w:t>
      </w:r>
      <w:r>
        <w:rPr>
          <w:rFonts w:hint="eastAsia" w:ascii="宋体" w:hAnsi="宋体" w:cs="宋体"/>
          <w:bCs/>
          <w:color w:val="auto"/>
          <w:sz w:val="24"/>
          <w:highlight w:val="none"/>
        </w:rPr>
        <w:t>、质保期内的售后服务等。</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color w:val="auto"/>
          <w:sz w:val="24"/>
          <w:highlight w:val="none"/>
        </w:rPr>
      </w:pPr>
      <w:r>
        <w:rPr>
          <w:rFonts w:hint="eastAsia" w:ascii="宋体" w:hAnsi="宋体" w:cs="仿宋_GB2312"/>
          <w:b/>
          <w:bCs/>
          <w:color w:val="auto"/>
          <w:sz w:val="24"/>
          <w:highlight w:val="none"/>
        </w:rPr>
        <w:t xml:space="preserve">二、工程内容 </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1.工程名称</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杭州市余杭区市场监督管理局余杭市场监管所修缮项目</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2.现场条件</w:t>
      </w:r>
    </w:p>
    <w:p>
      <w:pPr>
        <w:pageBreakBefore w:val="0"/>
        <w:kinsoku/>
        <w:wordWrap/>
        <w:overflowPunct/>
        <w:topLinePunct w:val="0"/>
        <w:bidi w:val="0"/>
        <w:adjustRightInd/>
        <w:snapToGrid/>
        <w:spacing w:line="360" w:lineRule="auto"/>
        <w:ind w:left="0" w:leftChars="0" w:firstLine="480" w:firstLineChars="200"/>
        <w:textAlignment w:val="auto"/>
        <w:rPr>
          <w:rFonts w:hint="eastAsia" w:ascii="宋体" w:hAnsi="宋体" w:cs="宋体"/>
          <w:b w:val="0"/>
          <w:bCs/>
          <w:color w:val="auto"/>
          <w:sz w:val="24"/>
          <w:highlight w:val="none"/>
        </w:rPr>
      </w:pP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lang w:val="en-US" w:eastAsia="zh-CN"/>
        </w:rPr>
        <w:t>1</w:t>
      </w: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rPr>
        <w:t>采购人不组织现场踏勘，</w:t>
      </w:r>
      <w:r>
        <w:rPr>
          <w:rFonts w:hint="eastAsia" w:ascii="宋体" w:hAnsi="宋体" w:cs="宋体"/>
          <w:b w:val="0"/>
          <w:bCs/>
          <w:color w:val="auto"/>
          <w:sz w:val="24"/>
          <w:highlight w:val="none"/>
          <w:lang w:eastAsia="zh-CN"/>
        </w:rPr>
        <w:t>投标</w:t>
      </w:r>
      <w:r>
        <w:rPr>
          <w:rFonts w:hint="eastAsia" w:ascii="宋体" w:hAnsi="宋体" w:cs="宋体"/>
          <w:b w:val="0"/>
          <w:bCs/>
          <w:color w:val="auto"/>
          <w:sz w:val="24"/>
          <w:highlight w:val="none"/>
        </w:rPr>
        <w:t>供应商应自行对工程现场和周围环境进行踏勘和了解，以获取有关编制响应文件和签署合同所需的各种资料，并应充分考虑影响本次报价的因素、预计实施过程中各种不利因素，由此可能发生的费用均由供应商考虑并包含在报价中。</w:t>
      </w:r>
    </w:p>
    <w:p>
      <w:pPr>
        <w:pageBreakBefore w:val="0"/>
        <w:kinsoku/>
        <w:wordWrap/>
        <w:overflowPunct/>
        <w:topLinePunct w:val="0"/>
        <w:bidi w:val="0"/>
        <w:adjustRightInd/>
        <w:snapToGrid/>
        <w:spacing w:line="360" w:lineRule="auto"/>
        <w:ind w:left="0" w:leftChars="0" w:firstLine="480" w:firstLineChars="200"/>
        <w:textAlignment w:val="auto"/>
        <w:rPr>
          <w:rFonts w:ascii="宋体" w:hAnsi="宋体" w:cs="宋体"/>
          <w:b w:val="0"/>
          <w:bCs/>
          <w:color w:val="auto"/>
          <w:sz w:val="24"/>
          <w:highlight w:val="none"/>
        </w:rPr>
      </w:pP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lang w:val="en-US" w:eastAsia="zh-CN"/>
        </w:rPr>
        <w:t>2</w:t>
      </w: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rPr>
        <w:t>成交后，</w:t>
      </w:r>
      <w:r>
        <w:rPr>
          <w:rFonts w:hint="eastAsia" w:ascii="宋体" w:hAnsi="宋体" w:cs="宋体"/>
          <w:b w:val="0"/>
          <w:bCs/>
          <w:color w:val="auto"/>
          <w:sz w:val="24"/>
          <w:highlight w:val="none"/>
          <w:lang w:eastAsia="zh-CN"/>
        </w:rPr>
        <w:t>投标</w:t>
      </w:r>
      <w:r>
        <w:rPr>
          <w:rFonts w:hint="eastAsia" w:ascii="宋体" w:hAnsi="宋体" w:cs="宋体"/>
          <w:b w:val="0"/>
          <w:bCs/>
          <w:color w:val="auto"/>
          <w:sz w:val="24"/>
          <w:highlight w:val="none"/>
        </w:rPr>
        <w:t>供应商不得再以不完全了解现场情况等为理由而提出额外付款或延长工期等的要求，若有此类要求，采购人将不作任何答复与考虑，供应商应承担现场踏勘的责任和风险，踏勘现场的费用由</w:t>
      </w:r>
      <w:r>
        <w:rPr>
          <w:rFonts w:hint="eastAsia" w:ascii="宋体" w:hAnsi="宋体" w:cs="宋体"/>
          <w:b w:val="0"/>
          <w:bCs/>
          <w:color w:val="auto"/>
          <w:sz w:val="24"/>
          <w:highlight w:val="none"/>
          <w:lang w:eastAsia="zh-CN"/>
        </w:rPr>
        <w:t>投标</w:t>
      </w:r>
      <w:r>
        <w:rPr>
          <w:rFonts w:hint="eastAsia" w:ascii="宋体" w:hAnsi="宋体" w:cs="宋体"/>
          <w:b w:val="0"/>
          <w:bCs/>
          <w:color w:val="auto"/>
          <w:sz w:val="24"/>
          <w:highlight w:val="none"/>
        </w:rPr>
        <w:t>供应商自行承担。</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3.工程</w:t>
      </w:r>
      <w:r>
        <w:rPr>
          <w:rFonts w:hint="eastAsia" w:ascii="宋体" w:hAnsi="宋体" w:cs="仿宋_GB2312"/>
          <w:b/>
          <w:bCs/>
          <w:color w:val="auto"/>
          <w:sz w:val="24"/>
          <w:highlight w:val="none"/>
          <w:lang w:eastAsia="zh-CN"/>
        </w:rPr>
        <w:t>修缮</w:t>
      </w:r>
      <w:r>
        <w:rPr>
          <w:rFonts w:hint="eastAsia" w:ascii="宋体" w:hAnsi="宋体" w:cs="仿宋_GB2312"/>
          <w:b/>
          <w:bCs/>
          <w:color w:val="auto"/>
          <w:sz w:val="24"/>
          <w:highlight w:val="none"/>
        </w:rPr>
        <w:t>承包范围</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cs="宋体"/>
          <w:b w:val="0"/>
          <w:bCs/>
          <w:caps w:val="0"/>
          <w:color w:val="auto"/>
          <w:kern w:val="2"/>
          <w:sz w:val="24"/>
          <w:szCs w:val="24"/>
          <w:highlight w:val="none"/>
          <w:lang w:val="en-US" w:eastAsia="zh-CN" w:bidi="ar-SA"/>
        </w:rPr>
      </w:pPr>
      <w:r>
        <w:rPr>
          <w:rFonts w:hint="eastAsia" w:ascii="宋体" w:hAnsi="宋体"/>
          <w:color w:val="auto"/>
          <w:sz w:val="24"/>
          <w:highlight w:val="none"/>
          <w:lang w:eastAsia="zh-CN"/>
        </w:rPr>
        <w:t>详见</w:t>
      </w:r>
      <w:r>
        <w:rPr>
          <w:rFonts w:hint="eastAsia" w:ascii="宋体" w:hAnsi="宋体" w:eastAsia="宋体" w:cs="宋体"/>
          <w:b w:val="0"/>
          <w:bCs/>
          <w:caps w:val="0"/>
          <w:color w:val="auto"/>
          <w:kern w:val="2"/>
          <w:sz w:val="24"/>
          <w:szCs w:val="24"/>
          <w:highlight w:val="none"/>
          <w:lang w:val="en-US" w:eastAsia="zh-CN" w:bidi="ar-SA"/>
        </w:rPr>
        <w:t>“工程量清单”、“工程量清单编制说明”另附</w:t>
      </w:r>
      <w:r>
        <w:rPr>
          <w:rFonts w:hint="eastAsia" w:ascii="宋体" w:hAnsi="宋体" w:cs="宋体"/>
          <w:b w:val="0"/>
          <w:bCs/>
          <w:caps w:val="0"/>
          <w:color w:val="auto"/>
          <w:kern w:val="2"/>
          <w:sz w:val="24"/>
          <w:szCs w:val="24"/>
          <w:highlight w:val="none"/>
          <w:lang w:val="en-US" w:eastAsia="zh-CN" w:bidi="ar-SA"/>
        </w:rPr>
        <w:t>；</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b w:val="0"/>
          <w:bCs/>
          <w:caps w:val="0"/>
          <w:color w:val="auto"/>
          <w:kern w:val="2"/>
          <w:sz w:val="24"/>
          <w:szCs w:val="24"/>
          <w:highlight w:val="none"/>
          <w:lang w:val="en-US" w:eastAsia="zh-CN" w:bidi="ar-SA"/>
        </w:rPr>
      </w:pPr>
      <w:r>
        <w:rPr>
          <w:rFonts w:hint="eastAsia" w:ascii="宋体" w:hAnsi="宋体" w:cs="宋体"/>
          <w:b w:val="0"/>
          <w:bCs/>
          <w:caps w:val="0"/>
          <w:color w:val="auto"/>
          <w:kern w:val="2"/>
          <w:sz w:val="24"/>
          <w:szCs w:val="24"/>
          <w:highlight w:val="none"/>
          <w:lang w:val="en-US" w:eastAsia="zh-CN" w:bidi="ar-SA"/>
        </w:rPr>
        <w:t>参考</w:t>
      </w:r>
      <w:r>
        <w:rPr>
          <w:rFonts w:hint="eastAsia" w:ascii="宋体" w:hAnsi="宋体" w:eastAsia="宋体" w:cs="宋体"/>
          <w:b w:val="0"/>
          <w:bCs/>
          <w:caps w:val="0"/>
          <w:color w:val="auto"/>
          <w:kern w:val="2"/>
          <w:sz w:val="24"/>
          <w:szCs w:val="24"/>
          <w:highlight w:val="none"/>
          <w:lang w:val="en-US" w:eastAsia="zh-CN" w:bidi="ar-SA"/>
        </w:rPr>
        <w:t>图纸另附。</w:t>
      </w:r>
    </w:p>
    <w:p>
      <w:pPr>
        <w:pageBreakBefore w:val="0"/>
        <w:kinsoku/>
        <w:wordWrap/>
        <w:overflowPunct/>
        <w:topLinePunct w:val="0"/>
        <w:bidi w:val="0"/>
        <w:adjustRightInd/>
        <w:snapToGrid/>
        <w:spacing w:line="360" w:lineRule="auto"/>
        <w:ind w:firstLine="482" w:firstLineChars="200"/>
        <w:jc w:val="left"/>
        <w:textAlignment w:val="auto"/>
        <w:rPr>
          <w:rFonts w:hint="eastAsia" w:ascii="宋体" w:hAnsi="宋体" w:cs="仿宋_GB2312"/>
          <w:b/>
          <w:bCs/>
          <w:color w:val="auto"/>
          <w:sz w:val="24"/>
          <w:highlight w:val="none"/>
        </w:rPr>
      </w:pPr>
      <w:r>
        <w:rPr>
          <w:rFonts w:hint="eastAsia" w:ascii="宋体" w:hAnsi="宋体" w:cs="仿宋_GB2312"/>
          <w:b/>
          <w:bCs/>
          <w:color w:val="auto"/>
          <w:sz w:val="24"/>
          <w:highlight w:val="none"/>
        </w:rPr>
        <w:t>4.工程质量标准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本项目所用材料应必须有合格证，工程质量以国家相关标准规范验收合格为准。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项目施工材料应按相关规定进行检验，合格后方可使用。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应按国家、行业现行规范进行施工。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施工过程应做好相关资料记录。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w:t>
      </w:r>
      <w:r>
        <w:rPr>
          <w:rFonts w:hint="eastAsia" w:ascii="宋体" w:hAnsi="宋体" w:cs="宋体"/>
          <w:color w:val="auto"/>
          <w:sz w:val="24"/>
          <w:highlight w:val="none"/>
        </w:rPr>
        <w:t>必须按相关规定接受采购人委托单位的监督和检查，并提供相关资料。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eastAsia="宋体"/>
          <w:color w:val="auto"/>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w:t>
      </w:r>
      <w:r>
        <w:rPr>
          <w:rFonts w:hint="eastAsia" w:ascii="宋体" w:hAnsi="宋体" w:cs="宋体"/>
          <w:color w:val="auto"/>
          <w:sz w:val="24"/>
          <w:highlight w:val="none"/>
        </w:rPr>
        <w:t>中标人不服从采购人施工管理、施工管理不规范、安全质量达不到要求、不能在规定工期内完成等情形；采购人有权暂停或取消其施工资格</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w:t>
      </w:r>
      <w:r>
        <w:rPr>
          <w:rFonts w:hint="eastAsia" w:ascii="宋体" w:hAnsi="宋体"/>
          <w:color w:val="auto"/>
          <w:sz w:val="24"/>
          <w:highlight w:val="none"/>
        </w:rPr>
        <w:t>本工程质量标准合格，按国家现行施工验收规范标准进行验收。</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5.工程施工要求</w:t>
      </w:r>
    </w:p>
    <w:p>
      <w:pPr>
        <w:pageBreakBefore w:val="0"/>
        <w:kinsoku/>
        <w:wordWrap/>
        <w:overflowPunct/>
        <w:topLinePunct w:val="0"/>
        <w:bidi w:val="0"/>
        <w:adjustRightInd/>
        <w:snapToGrid/>
        <w:spacing w:line="360" w:lineRule="auto"/>
        <w:ind w:left="0" w:leftChars="0"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（1）承包人必须严格遵守安全、文明施工的操作规程，完善相关措施，做好自身的保险等工作。施工期间所发生的任何安全事故一律由中标人负责，招标人不承担任何责任</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（2）</w:t>
      </w:r>
      <w:r>
        <w:rPr>
          <w:rFonts w:ascii="宋体" w:hAnsi="宋体"/>
          <w:color w:val="auto"/>
          <w:sz w:val="24"/>
          <w:highlight w:val="none"/>
        </w:rPr>
        <w:t>施工用电、施工用水的</w:t>
      </w:r>
      <w:r>
        <w:rPr>
          <w:rFonts w:hint="eastAsia" w:ascii="宋体" w:hAnsi="宋体" w:eastAsia="宋体"/>
          <w:color w:val="auto"/>
          <w:sz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color w:val="auto"/>
          <w:sz w:val="24"/>
          <w:highlight w:val="none"/>
        </w:rPr>
      </w:pPr>
      <w:r>
        <w:rPr>
          <w:rFonts w:ascii="宋体" w:hAnsi="宋体" w:eastAsia="宋体" w:cs="Times New Roman"/>
          <w:color w:val="auto"/>
          <w:sz w:val="24"/>
          <w:highlight w:val="none"/>
        </w:rPr>
        <w:t>1）施工用电</w:t>
      </w:r>
      <w:r>
        <w:rPr>
          <w:rFonts w:hint="eastAsia" w:ascii="宋体" w:hAnsi="宋体" w:eastAsia="宋体" w:cs="Times New Roman"/>
          <w:color w:val="auto"/>
          <w:sz w:val="24"/>
          <w:highlight w:val="none"/>
        </w:rPr>
        <w:t>：承包人</w:t>
      </w:r>
      <w:r>
        <w:rPr>
          <w:rFonts w:hint="eastAsia" w:ascii="宋体" w:hAnsi="宋体" w:eastAsia="宋体" w:cs="Times New Roman"/>
          <w:color w:val="auto"/>
          <w:sz w:val="24"/>
          <w:highlight w:val="none"/>
          <w:lang w:val="en-US" w:eastAsia="zh-CN"/>
        </w:rPr>
        <w:t>在施工过程中应严格遵守用电安全原则，杜绝因违规用电或乱接乱拉电线导致的线路短路或引起火灾等情况的发生</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olor w:val="auto"/>
          <w:sz w:val="24"/>
          <w:highlight w:val="none"/>
        </w:rPr>
      </w:pPr>
      <w:r>
        <w:rPr>
          <w:rFonts w:ascii="宋体" w:hAnsi="宋体" w:eastAsia="宋体" w:cs="Times New Roman"/>
          <w:color w:val="auto"/>
          <w:sz w:val="24"/>
          <w:highlight w:val="none"/>
        </w:rPr>
        <w:t>2）施工用水</w:t>
      </w:r>
      <w:r>
        <w:rPr>
          <w:rFonts w:hint="eastAsia" w:ascii="宋体" w:hAnsi="宋体" w:eastAsia="宋体" w:cs="Times New Roman"/>
          <w:color w:val="auto"/>
          <w:sz w:val="24"/>
          <w:highlight w:val="none"/>
        </w:rPr>
        <w:t>：</w:t>
      </w:r>
      <w:r>
        <w:rPr>
          <w:rFonts w:ascii="宋体" w:hAnsi="宋体"/>
          <w:color w:val="auto"/>
          <w:sz w:val="24"/>
          <w:highlight w:val="none"/>
        </w:rPr>
        <w:t>承包人</w:t>
      </w:r>
      <w:r>
        <w:rPr>
          <w:rFonts w:hint="eastAsia" w:ascii="宋体" w:hAnsi="宋体"/>
          <w:color w:val="auto"/>
          <w:sz w:val="24"/>
          <w:highlight w:val="none"/>
          <w:lang w:val="en-US" w:eastAsia="zh-CN"/>
        </w:rPr>
        <w:t>应厉行节约用水的原则</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（3）施工现场维护措施。</w:t>
      </w:r>
    </w:p>
    <w:p>
      <w:pPr>
        <w:pageBreakBefore w:val="0"/>
        <w:kinsoku/>
        <w:wordWrap/>
        <w:overflowPunct/>
        <w:topLinePunct w:val="0"/>
        <w:bidi w:val="0"/>
        <w:adjustRightInd/>
        <w:snapToGrid/>
        <w:spacing w:line="360" w:lineRule="auto"/>
        <w:ind w:left="0" w:leftChars="0" w:firstLine="480" w:firstLineChars="200"/>
        <w:textAlignment w:val="auto"/>
        <w:rPr>
          <w:rFonts w:hint="eastAsia" w:ascii="宋体" w:hAnsi="宋体"/>
          <w:b/>
          <w:bCs/>
          <w:color w:val="auto"/>
          <w:sz w:val="24"/>
          <w:highlight w:val="none"/>
        </w:rPr>
      </w:pPr>
      <w:r>
        <w:rPr>
          <w:rFonts w:hint="eastAsia" w:ascii="宋体" w:hAnsi="宋体"/>
          <w:color w:val="auto"/>
          <w:sz w:val="24"/>
          <w:highlight w:val="none"/>
        </w:rPr>
        <w:t>承包人应充分做好</w:t>
      </w:r>
      <w:r>
        <w:rPr>
          <w:rFonts w:hint="eastAsia" w:ascii="宋体" w:hAnsi="宋体"/>
          <w:color w:val="auto"/>
          <w:sz w:val="24"/>
          <w:highlight w:val="none"/>
          <w:lang w:val="en-US" w:eastAsia="zh-CN"/>
        </w:rPr>
        <w:t>施工现场</w:t>
      </w:r>
      <w:r>
        <w:rPr>
          <w:rFonts w:hint="eastAsia" w:ascii="宋体" w:hAnsi="宋体"/>
          <w:color w:val="auto"/>
          <w:sz w:val="24"/>
          <w:highlight w:val="none"/>
        </w:rPr>
        <w:t>临时围护措施，</w:t>
      </w:r>
      <w:r>
        <w:rPr>
          <w:rFonts w:hint="eastAsia" w:ascii="宋体" w:hAnsi="宋体"/>
          <w:color w:val="auto"/>
          <w:sz w:val="24"/>
          <w:highlight w:val="none"/>
          <w:lang w:val="en-US" w:eastAsia="zh-CN"/>
        </w:rPr>
        <w:t>应在显眼处设置醒目的施工标识，</w:t>
      </w:r>
      <w:r>
        <w:rPr>
          <w:rFonts w:hint="eastAsia" w:ascii="宋体" w:hAnsi="宋体"/>
          <w:color w:val="auto"/>
          <w:sz w:val="24"/>
          <w:highlight w:val="none"/>
        </w:rPr>
        <w:t>确保临近施工</w:t>
      </w:r>
      <w:r>
        <w:rPr>
          <w:rFonts w:hint="eastAsia" w:ascii="宋体" w:hAnsi="宋体"/>
          <w:color w:val="auto"/>
          <w:sz w:val="24"/>
          <w:highlight w:val="none"/>
          <w:lang w:val="en-US" w:eastAsia="zh-CN"/>
        </w:rPr>
        <w:t>区域附近</w:t>
      </w:r>
      <w:r>
        <w:rPr>
          <w:rFonts w:hint="eastAsia" w:ascii="宋体" w:hAnsi="宋体"/>
          <w:color w:val="auto"/>
          <w:sz w:val="24"/>
          <w:highlight w:val="none"/>
        </w:rPr>
        <w:t>安全</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做好施工时扬尘的隔离措施；减小因装修或施工时引起的噪音影响。</w:t>
      </w:r>
      <w:r>
        <w:rPr>
          <w:rFonts w:hint="eastAsia" w:ascii="宋体" w:hAnsi="宋体"/>
          <w:b/>
          <w:bCs/>
          <w:color w:val="auto"/>
          <w:sz w:val="24"/>
          <w:highlight w:val="none"/>
        </w:rPr>
        <w:t>投标报价时应将</w:t>
      </w:r>
      <w:r>
        <w:rPr>
          <w:rFonts w:hint="eastAsia" w:ascii="宋体" w:hAnsi="宋体"/>
          <w:b/>
          <w:bCs/>
          <w:color w:val="auto"/>
          <w:sz w:val="24"/>
          <w:highlight w:val="none"/>
          <w:lang w:val="en-US" w:eastAsia="zh-CN"/>
        </w:rPr>
        <w:t>实施以上措施的</w:t>
      </w:r>
      <w:r>
        <w:rPr>
          <w:rFonts w:hint="eastAsia" w:ascii="宋体" w:hAnsi="宋体"/>
          <w:b/>
          <w:bCs/>
          <w:color w:val="auto"/>
          <w:sz w:val="24"/>
          <w:highlight w:val="none"/>
        </w:rPr>
        <w:t>费用计入措施项目中，发包人不另行支付。</w:t>
      </w:r>
    </w:p>
    <w:p>
      <w:pPr>
        <w:pageBreakBefore w:val="0"/>
        <w:kinsoku/>
        <w:wordWrap/>
        <w:overflowPunct/>
        <w:topLinePunct w:val="0"/>
        <w:bidi w:val="0"/>
        <w:adjustRightInd/>
        <w:snapToGrid/>
        <w:spacing w:line="360" w:lineRule="auto"/>
        <w:ind w:left="0" w:leftChars="0" w:firstLine="480" w:firstLineChars="200"/>
        <w:textAlignment w:val="auto"/>
        <w:rPr>
          <w:rFonts w:hint="default" w:ascii="宋体" w:hAnsi="宋体"/>
          <w:b w:val="0"/>
          <w:bCs w:val="0"/>
          <w:color w:val="auto"/>
          <w:sz w:val="24"/>
          <w:highlight w:val="none"/>
        </w:rPr>
      </w:pPr>
      <w:r>
        <w:rPr>
          <w:rFonts w:hint="eastAsia" w:ascii="宋体" w:hAnsi="宋体"/>
          <w:b w:val="0"/>
          <w:bCs w:val="0"/>
          <w:color w:val="auto"/>
          <w:sz w:val="24"/>
          <w:highlight w:val="none"/>
          <w:lang w:val="en-US" w:eastAsia="zh-CN"/>
        </w:rPr>
        <w:t>（4）装修施工垃圾堆放清运和临时用地。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本工程</w:t>
      </w:r>
      <w:r>
        <w:rPr>
          <w:rFonts w:hint="eastAsia" w:ascii="宋体" w:hAnsi="宋体"/>
          <w:color w:val="auto"/>
          <w:sz w:val="24"/>
          <w:highlight w:val="none"/>
          <w:lang w:val="en-US" w:eastAsia="zh-CN"/>
        </w:rPr>
        <w:t>在施工过程中产生的装修施工垃圾按</w:t>
      </w:r>
      <w:r>
        <w:rPr>
          <w:rFonts w:hint="eastAsia" w:ascii="宋体" w:hAnsi="宋体"/>
          <w:color w:val="auto"/>
          <w:sz w:val="24"/>
          <w:highlight w:val="none"/>
        </w:rPr>
        <w:t>承包人应按</w:t>
      </w:r>
      <w:r>
        <w:rPr>
          <w:rFonts w:hint="eastAsia" w:ascii="宋体" w:hAnsi="宋体"/>
          <w:color w:val="auto"/>
          <w:sz w:val="24"/>
          <w:highlight w:val="none"/>
          <w:lang w:eastAsia="zh-CN"/>
        </w:rPr>
        <w:t>采购人</w:t>
      </w:r>
      <w:r>
        <w:rPr>
          <w:rFonts w:hint="eastAsia" w:ascii="宋体" w:hAnsi="宋体"/>
          <w:color w:val="auto"/>
          <w:sz w:val="24"/>
          <w:highlight w:val="none"/>
          <w:lang w:val="en-US" w:eastAsia="zh-CN"/>
        </w:rPr>
        <w:t>指定地点堆放</w:t>
      </w:r>
      <w:r>
        <w:rPr>
          <w:rFonts w:hint="eastAsia" w:ascii="宋体" w:hAnsi="宋体"/>
          <w:color w:val="auto"/>
          <w:sz w:val="24"/>
          <w:highlight w:val="none"/>
        </w:rPr>
        <w:t>，</w:t>
      </w:r>
      <w:r>
        <w:rPr>
          <w:rFonts w:hint="eastAsia" w:ascii="宋体" w:hAnsi="宋体"/>
          <w:color w:val="auto"/>
          <w:sz w:val="24"/>
          <w:highlight w:val="none"/>
          <w:lang w:val="en-US" w:eastAsia="zh-CN"/>
        </w:rPr>
        <w:t>如没有合适场地的，</w:t>
      </w:r>
      <w:r>
        <w:rPr>
          <w:rFonts w:hint="eastAsia" w:ascii="宋体" w:hAnsi="宋体"/>
          <w:color w:val="auto"/>
          <w:sz w:val="24"/>
          <w:highlight w:val="none"/>
        </w:rPr>
        <w:t>由承包人自行解决，</w:t>
      </w:r>
      <w:r>
        <w:rPr>
          <w:rFonts w:hint="eastAsia" w:ascii="宋体" w:hAnsi="宋体"/>
          <w:b w:val="0"/>
          <w:bCs w:val="0"/>
          <w:color w:val="auto"/>
          <w:sz w:val="24"/>
          <w:highlight w:val="none"/>
        </w:rPr>
        <w:t>相关的费用计入到相应项目的单价中。</w:t>
      </w:r>
      <w:r>
        <w:rPr>
          <w:rFonts w:hint="eastAsia" w:ascii="宋体" w:hAnsi="宋体"/>
          <w:color w:val="auto"/>
          <w:sz w:val="24"/>
          <w:highlight w:val="none"/>
          <w:lang w:val="en-US" w:eastAsia="zh-CN"/>
        </w:rPr>
        <w:t>堆放时</w:t>
      </w:r>
      <w:r>
        <w:rPr>
          <w:rFonts w:hint="eastAsia" w:ascii="宋体" w:hAnsi="宋体"/>
          <w:color w:val="auto"/>
          <w:sz w:val="24"/>
          <w:highlight w:val="none"/>
        </w:rPr>
        <w:t>按</w:t>
      </w:r>
      <w:r>
        <w:rPr>
          <w:rFonts w:hint="eastAsia" w:ascii="宋体" w:hAnsi="宋体"/>
          <w:color w:val="auto"/>
          <w:sz w:val="24"/>
          <w:highlight w:val="none"/>
          <w:lang w:eastAsia="zh-CN"/>
        </w:rPr>
        <w:t>采购人</w:t>
      </w:r>
      <w:r>
        <w:rPr>
          <w:rFonts w:hint="eastAsia" w:ascii="宋体" w:hAnsi="宋体"/>
          <w:color w:val="auto"/>
          <w:sz w:val="24"/>
          <w:highlight w:val="none"/>
        </w:rPr>
        <w:t>批准的环境保护措施计划</w:t>
      </w:r>
      <w:r>
        <w:rPr>
          <w:rFonts w:hint="eastAsia" w:ascii="宋体" w:hAnsi="宋体"/>
          <w:color w:val="auto"/>
          <w:sz w:val="24"/>
          <w:highlight w:val="none"/>
          <w:lang w:val="en-US" w:eastAsia="zh-CN"/>
        </w:rPr>
        <w:t>进行</w:t>
      </w:r>
      <w:r>
        <w:rPr>
          <w:rFonts w:hint="eastAsia" w:ascii="宋体" w:hAnsi="宋体"/>
          <w:color w:val="auto"/>
          <w:sz w:val="24"/>
          <w:highlight w:val="none"/>
        </w:rPr>
        <w:t>，</w:t>
      </w:r>
      <w:r>
        <w:rPr>
          <w:rFonts w:hint="eastAsia" w:ascii="宋体" w:hAnsi="宋体"/>
          <w:color w:val="auto"/>
          <w:sz w:val="24"/>
          <w:highlight w:val="none"/>
          <w:lang w:val="en-US" w:eastAsia="zh-CN"/>
        </w:rPr>
        <w:t>做到环保和安全</w:t>
      </w:r>
      <w:r>
        <w:rPr>
          <w:rFonts w:hint="eastAsia" w:ascii="宋体" w:hAnsi="宋体"/>
          <w:color w:val="auto"/>
          <w:sz w:val="24"/>
          <w:highlight w:val="none"/>
        </w:rPr>
        <w:t>。</w:t>
      </w:r>
    </w:p>
    <w:p>
      <w:pPr>
        <w:pStyle w:val="2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w:t>
      </w:r>
      <w:r>
        <w:rPr>
          <w:rFonts w:hint="eastAsia" w:hAnsi="宋体" w:cs="Times New Roman"/>
          <w:color w:val="auto"/>
          <w:sz w:val="24"/>
          <w:highlight w:val="none"/>
          <w:lang w:val="en-US" w:eastAsia="zh-CN"/>
        </w:rPr>
        <w:t>5</w:t>
      </w:r>
      <w:r>
        <w:rPr>
          <w:rFonts w:hint="eastAsia" w:ascii="宋体" w:hAnsi="宋体" w:eastAsia="宋体" w:cs="Times New Roman"/>
          <w:color w:val="auto"/>
          <w:sz w:val="24"/>
          <w:highlight w:val="none"/>
          <w:lang w:val="en-US" w:eastAsia="zh-CN"/>
        </w:rPr>
        <w:t>）施工期间，中标人应接受采购</w:t>
      </w:r>
      <w:r>
        <w:rPr>
          <w:rFonts w:hint="eastAsia" w:hAnsi="宋体" w:cs="Times New Roman"/>
          <w:color w:val="auto"/>
          <w:sz w:val="24"/>
          <w:highlight w:val="none"/>
          <w:lang w:val="en-US" w:eastAsia="zh-CN"/>
        </w:rPr>
        <w:t>人</w:t>
      </w:r>
      <w:r>
        <w:rPr>
          <w:rFonts w:hint="eastAsia" w:ascii="宋体" w:hAnsi="宋体" w:eastAsia="宋体" w:cs="Times New Roman"/>
          <w:color w:val="auto"/>
          <w:sz w:val="24"/>
          <w:highlight w:val="none"/>
          <w:lang w:val="en-US" w:eastAsia="zh-CN"/>
        </w:rPr>
        <w:t>的质量监督，对采购人在施工节点进行验收时提出的质量问题要及时整改，整改完毕后通知采购</w:t>
      </w:r>
      <w:r>
        <w:rPr>
          <w:rFonts w:hint="eastAsia" w:hAnsi="宋体" w:cs="Times New Roman"/>
          <w:color w:val="auto"/>
          <w:sz w:val="24"/>
          <w:highlight w:val="none"/>
          <w:lang w:val="en-US" w:eastAsia="zh-CN"/>
        </w:rPr>
        <w:t>人</w:t>
      </w:r>
      <w:r>
        <w:rPr>
          <w:rFonts w:hint="eastAsia" w:ascii="宋体" w:hAnsi="宋体" w:eastAsia="宋体" w:cs="Times New Roman"/>
          <w:color w:val="auto"/>
          <w:sz w:val="24"/>
          <w:highlight w:val="none"/>
          <w:lang w:val="en-US" w:eastAsia="zh-CN"/>
        </w:rPr>
        <w:t>检查验收，</w:t>
      </w:r>
      <w:r>
        <w:rPr>
          <w:rFonts w:hint="eastAsia" w:ascii="宋体" w:hAnsi="宋体" w:eastAsia="宋体" w:cs="Times New Roman"/>
          <w:b w:val="0"/>
          <w:bCs w:val="0"/>
          <w:color w:val="auto"/>
          <w:sz w:val="24"/>
          <w:highlight w:val="none"/>
          <w:lang w:val="en-US" w:eastAsia="zh-CN"/>
        </w:rPr>
        <w:t>施工后需复原。</w:t>
      </w:r>
      <w:r>
        <w:rPr>
          <w:rFonts w:hint="eastAsia" w:ascii="宋体" w:hAnsi="宋体" w:eastAsia="宋体" w:cs="Times New Roman"/>
          <w:color w:val="auto"/>
          <w:sz w:val="24"/>
          <w:highlight w:val="none"/>
          <w:lang w:val="en-US" w:eastAsia="zh-CN"/>
        </w:rPr>
        <w:t>本项目涉及施工中拆装的恢复及修补均须中标单位完成，费用包含在本项目投标报价中。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olor w:val="auto"/>
          <w:highlight w:val="none"/>
        </w:rPr>
      </w:pPr>
      <w:r>
        <w:rPr>
          <w:rFonts w:hint="eastAsia" w:ascii="宋体" w:hAnsi="宋体" w:eastAsia="宋体" w:cs="Times New Roman"/>
          <w:color w:val="auto"/>
          <w:kern w:val="2"/>
          <w:sz w:val="24"/>
          <w:szCs w:val="24"/>
          <w:highlight w:val="none"/>
          <w:lang w:val="en-US" w:eastAsia="zh-CN" w:bidi="ar-SA"/>
        </w:rPr>
        <w:t>（</w:t>
      </w:r>
      <w:r>
        <w:rPr>
          <w:rFonts w:hint="eastAsia" w:ascii="宋体" w:hAnsi="宋体" w:cs="Times New Roman"/>
          <w:color w:val="auto"/>
          <w:kern w:val="2"/>
          <w:sz w:val="24"/>
          <w:szCs w:val="24"/>
          <w:highlight w:val="none"/>
          <w:lang w:val="en-US" w:eastAsia="zh-CN" w:bidi="ar-SA"/>
        </w:rPr>
        <w:t>6</w:t>
      </w:r>
      <w:r>
        <w:rPr>
          <w:rFonts w:hint="eastAsia" w:ascii="宋体" w:hAnsi="宋体" w:eastAsia="宋体" w:cs="Times New Roman"/>
          <w:color w:val="auto"/>
          <w:kern w:val="2"/>
          <w:sz w:val="24"/>
          <w:szCs w:val="24"/>
          <w:highlight w:val="none"/>
          <w:lang w:val="en-US" w:eastAsia="zh-CN" w:bidi="ar-SA"/>
        </w:rPr>
        <w:t>）承包人因施工造成财物损坏的，须承担赔偿责任。</w:t>
      </w:r>
    </w:p>
    <w:p>
      <w:pPr>
        <w:pageBreakBefore w:val="0"/>
        <w:kinsoku/>
        <w:wordWrap/>
        <w:overflowPunct/>
        <w:topLinePunct w:val="0"/>
        <w:bidi w:val="0"/>
        <w:adjustRightInd/>
        <w:snapToGrid/>
        <w:spacing w:line="360" w:lineRule="auto"/>
        <w:ind w:left="0" w:leftChars="0" w:firstLine="480" w:firstLineChars="200"/>
        <w:jc w:val="left"/>
        <w:textAlignment w:val="auto"/>
        <w:rPr>
          <w:rFonts w:ascii="宋体" w:hAnsi="宋体" w:cs="仿宋_GB2312"/>
          <w:b/>
          <w:bCs/>
          <w:color w:val="auto"/>
          <w:sz w:val="24"/>
          <w:highlight w:val="none"/>
        </w:rPr>
      </w:pPr>
      <w:r>
        <w:rPr>
          <w:rFonts w:hint="eastAsia" w:ascii="宋体" w:hAnsi="宋体" w:eastAsia="宋体" w:cs="Times New Roman"/>
          <w:color w:val="auto"/>
          <w:sz w:val="24"/>
          <w:highlight w:val="none"/>
        </w:rPr>
        <w:t>▲</w:t>
      </w:r>
      <w:r>
        <w:rPr>
          <w:rFonts w:hint="eastAsia" w:ascii="宋体" w:hAnsi="宋体" w:cs="仿宋_GB2312"/>
          <w:b/>
          <w:bCs/>
          <w:color w:val="auto"/>
          <w:sz w:val="24"/>
          <w:highlight w:val="none"/>
        </w:rPr>
        <w:t>6.工程管理要求</w:t>
      </w:r>
    </w:p>
    <w:p>
      <w:pPr>
        <w:shd w:val="clear" w:color="auto" w:fill="FFFFFF"/>
        <w:spacing w:line="360" w:lineRule="auto"/>
        <w:ind w:firstLine="480" w:firstLineChars="200"/>
        <w:jc w:val="left"/>
        <w:outlineLvl w:val="1"/>
        <w:rPr>
          <w:rFonts w:hint="eastAsia" w:ascii="宋体" w:hAnsi="宋体"/>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lang w:eastAsia="zh-CN"/>
        </w:rPr>
        <w:t>）</w:t>
      </w:r>
      <w:r>
        <w:rPr>
          <w:rFonts w:hint="eastAsia" w:ascii="宋体" w:hAnsi="宋体" w:eastAsia="宋体" w:cs="宋体"/>
          <w:b w:val="0"/>
          <w:bCs w:val="0"/>
          <w:color w:val="auto"/>
          <w:sz w:val="24"/>
          <w:szCs w:val="24"/>
          <w:highlight w:val="none"/>
        </w:rPr>
        <w:t>项目负责人应具有</w:t>
      </w:r>
      <w:r>
        <w:rPr>
          <w:rFonts w:hint="eastAsia" w:ascii="宋体" w:hAnsi="宋体" w:eastAsia="宋体" w:cs="宋体"/>
          <w:b w:val="0"/>
          <w:bCs w:val="0"/>
          <w:color w:val="auto"/>
          <w:sz w:val="24"/>
          <w:szCs w:val="24"/>
          <w:highlight w:val="none"/>
          <w:lang w:eastAsia="zh-CN"/>
        </w:rPr>
        <w:t>建筑工程</w:t>
      </w:r>
      <w:r>
        <w:rPr>
          <w:rFonts w:hint="eastAsia" w:ascii="宋体" w:hAnsi="宋体" w:eastAsia="宋体" w:cs="宋体"/>
          <w:b w:val="0"/>
          <w:bCs w:val="0"/>
          <w:color w:val="auto"/>
          <w:sz w:val="24"/>
          <w:szCs w:val="24"/>
          <w:highlight w:val="none"/>
        </w:rPr>
        <w:t>二级及以上注册建造师证且持有安全生产任职资格B类证；安全员须持有安全生产任职资格C类证；</w:t>
      </w:r>
      <w:r>
        <w:rPr>
          <w:rFonts w:hint="eastAsia" w:ascii="宋体" w:hAnsi="宋体"/>
          <w:color w:val="auto"/>
          <w:sz w:val="24"/>
          <w:highlight w:val="none"/>
        </w:rPr>
        <w:t>中标单位在投标文件中明确的项目负责人不能更换，同时，项目负责人必须在施工现场到岗、到位。</w:t>
      </w:r>
    </w:p>
    <w:p>
      <w:pPr>
        <w:shd w:val="clear" w:color="auto" w:fill="FFFFFF"/>
        <w:spacing w:line="360" w:lineRule="auto"/>
        <w:ind w:firstLine="480" w:firstLineChars="200"/>
        <w:outlineLvl w:val="1"/>
        <w:rPr>
          <w:rFonts w:hint="eastAsia" w:ascii="宋体" w:hAnsi="宋体" w:eastAsia="宋体" w:cs="宋体"/>
          <w:b w:val="0"/>
          <w:bCs w:val="0"/>
          <w:color w:val="auto"/>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eastAsia="zh-CN"/>
        </w:rPr>
        <w:t>）承包人应做好各项施工安全措施，</w:t>
      </w:r>
      <w:r>
        <w:rPr>
          <w:rFonts w:hint="eastAsia" w:ascii="宋体" w:hAnsi="宋体" w:cs="宋体"/>
          <w:color w:val="auto"/>
          <w:sz w:val="24"/>
          <w:highlight w:val="none"/>
          <w:lang w:eastAsia="zh-CN"/>
        </w:rPr>
        <w:t>因</w:t>
      </w:r>
      <w:r>
        <w:rPr>
          <w:rFonts w:hint="eastAsia" w:ascii="宋体" w:hAnsi="宋体" w:eastAsia="宋体" w:cs="宋体"/>
          <w:color w:val="auto"/>
          <w:sz w:val="24"/>
          <w:highlight w:val="none"/>
          <w:lang w:eastAsia="zh-CN"/>
        </w:rPr>
        <w:t>未落实导致的安全事故由承包人负责，与采购人无关，造成的经济损失</w:t>
      </w:r>
      <w:r>
        <w:rPr>
          <w:rFonts w:hint="eastAsia" w:ascii="宋体" w:hAnsi="宋体" w:eastAsia="宋体" w:cs="宋体"/>
          <w:color w:val="auto"/>
          <w:kern w:val="2"/>
          <w:sz w:val="24"/>
          <w:szCs w:val="24"/>
          <w:highlight w:val="none"/>
          <w:lang w:val="en-US" w:eastAsia="zh-CN" w:bidi="ar-SA"/>
        </w:rPr>
        <w:t>须承包人承担赔偿责任。</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color w:val="auto"/>
          <w:sz w:val="24"/>
          <w:highlight w:val="none"/>
        </w:rPr>
      </w:pPr>
      <w:r>
        <w:rPr>
          <w:rFonts w:hint="eastAsia" w:ascii="宋体" w:hAnsi="宋体" w:cs="仿宋_GB2312"/>
          <w:b/>
          <w:bCs/>
          <w:color w:val="auto"/>
          <w:sz w:val="24"/>
          <w:highlight w:val="none"/>
        </w:rPr>
        <w:t>7.工程主要材料（设备）要求</w:t>
      </w:r>
      <w:r>
        <w:rPr>
          <w:rFonts w:hint="eastAsia" w:ascii="宋体" w:hAnsi="宋体" w:cs="仿宋_GB2312"/>
          <w:color w:val="auto"/>
          <w:sz w:val="24"/>
          <w:highlight w:val="none"/>
        </w:rPr>
        <w:t xml:space="preserve">  </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Times New Roman"/>
          <w:color w:val="auto"/>
          <w:sz w:val="24"/>
          <w:highlight w:val="none"/>
          <w:lang w:val="en-US"/>
        </w:rPr>
      </w:pPr>
      <w:r>
        <w:rPr>
          <w:rFonts w:hint="eastAsia" w:ascii="宋体" w:hAnsi="宋体" w:eastAsia="宋体" w:cs="Times New Roman"/>
          <w:color w:val="auto"/>
          <w:sz w:val="24"/>
          <w:highlight w:val="none"/>
          <w:lang w:val="en-US"/>
        </w:rPr>
        <w:t>（</w:t>
      </w: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lang w:val="en-US"/>
        </w:rPr>
        <w:t>）工程施工使用的原材料必须符合设计要求和施工规范的规定。</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实际施工过程中，</w:t>
      </w:r>
      <w:r>
        <w:rPr>
          <w:rFonts w:hint="eastAsia" w:ascii="宋体" w:hAnsi="宋体" w:eastAsia="宋体" w:cs="Times New Roman"/>
          <w:color w:val="auto"/>
          <w:sz w:val="24"/>
          <w:highlight w:val="none"/>
          <w:lang w:eastAsia="zh-CN"/>
        </w:rPr>
        <w:t>采购人</w:t>
      </w:r>
      <w:r>
        <w:rPr>
          <w:rFonts w:hint="eastAsia" w:ascii="宋体" w:hAnsi="宋体" w:eastAsia="宋体" w:cs="Times New Roman"/>
          <w:color w:val="auto"/>
          <w:sz w:val="24"/>
          <w:highlight w:val="none"/>
        </w:rPr>
        <w:t>将严格检查验收进场原材料的合格证及质保书，如发现实样与质保书不符，应立即取样进行复查，对不合格的材料严禁用于施工。</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Times New Roman"/>
          <w:b w:val="0"/>
          <w:bCs w:val="0"/>
          <w:color w:val="auto"/>
          <w:sz w:val="24"/>
          <w:highlight w:val="none"/>
        </w:rPr>
      </w:pP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本项目涉及的主要材料，所有材料要求采用符合节能、环保要求，严禁选择不合设计要求的低档材料进行投标报价及组织施工实施。工程所涉及材料表另附（详见工程量清单编制说明）。</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三、商务要求</w:t>
      </w:r>
    </w:p>
    <w:p>
      <w:pPr>
        <w:pStyle w:val="25"/>
        <w:pageBreakBefore w:val="0"/>
        <w:kinsoku/>
        <w:wordWrap/>
        <w:overflowPunct/>
        <w:topLinePunct w:val="0"/>
        <w:bidi w:val="0"/>
        <w:adjustRightInd/>
        <w:snapToGrid/>
        <w:spacing w:line="360" w:lineRule="auto"/>
        <w:ind w:firstLine="241" w:firstLineChars="100"/>
        <w:textAlignment w:val="auto"/>
        <w:rPr>
          <w:rFonts w:hint="eastAsia" w:ascii="宋体" w:hAnsi="宋体" w:cs="宋体"/>
          <w:snapToGrid/>
          <w:color w:val="auto"/>
          <w:sz w:val="24"/>
          <w:szCs w:val="24"/>
          <w:highlight w:val="none"/>
          <w:lang w:val="en-US"/>
        </w:rPr>
      </w:pPr>
      <w:r>
        <w:rPr>
          <w:rFonts w:hint="eastAsia" w:ascii="宋体" w:hAnsi="宋体" w:cs="宋体"/>
          <w:b/>
          <w:color w:val="auto"/>
          <w:highlight w:val="none"/>
        </w:rPr>
        <w:t>▲</w:t>
      </w:r>
      <w:r>
        <w:rPr>
          <w:rFonts w:hint="eastAsia" w:ascii="宋体" w:hAnsi="宋体" w:cs="仿宋_GB2312"/>
          <w:b/>
          <w:bCs/>
          <w:color w:val="auto"/>
          <w:sz w:val="24"/>
          <w:highlight w:val="none"/>
        </w:rPr>
        <w:t>1.工期要求：</w:t>
      </w:r>
      <w:r>
        <w:rPr>
          <w:rFonts w:hint="eastAsia" w:ascii="宋体" w:hAnsi="宋体" w:cs="仿宋_GB2312"/>
          <w:b/>
          <w:bCs/>
          <w:color w:val="auto"/>
          <w:sz w:val="24"/>
          <w:highlight w:val="none"/>
          <w:lang w:val="en-US" w:eastAsia="zh-CN"/>
        </w:rPr>
        <w:t>工期为60日历天完成修缮项目提交项目审计资料。</w:t>
      </w:r>
      <w:r>
        <w:rPr>
          <w:rFonts w:hint="eastAsia" w:ascii="宋体" w:hAnsi="宋体" w:eastAsia="宋体" w:cs="宋体"/>
          <w:snapToGrid/>
          <w:color w:val="auto"/>
          <w:szCs w:val="24"/>
          <w:highlight w:val="none"/>
          <w:lang w:val="en-US"/>
        </w:rPr>
        <w:t xml:space="preserve"> </w:t>
      </w:r>
    </w:p>
    <w:p>
      <w:pPr>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cs="仿宋_GB2312"/>
          <w:b/>
          <w:bCs/>
          <w:color w:val="auto"/>
          <w:sz w:val="24"/>
          <w:highlight w:val="none"/>
        </w:rPr>
        <w:t>2.工程地点：</w:t>
      </w:r>
      <w:r>
        <w:rPr>
          <w:rFonts w:hint="eastAsia" w:ascii="宋体" w:hAnsi="宋体" w:cs="宋体"/>
          <w:color w:val="auto"/>
          <w:sz w:val="24"/>
          <w:highlight w:val="none"/>
          <w:lang w:eastAsia="zh-CN"/>
        </w:rPr>
        <w:t>杭州市余杭区余杭街道禹航路492号</w:t>
      </w:r>
      <w:r>
        <w:rPr>
          <w:rFonts w:hint="eastAsia" w:ascii="宋体" w:hAnsi="宋体"/>
          <w:color w:val="auto"/>
          <w:sz w:val="24"/>
          <w:highlight w:val="none"/>
          <w:u w:val="none"/>
          <w:lang w:eastAsia="zh-CN"/>
        </w:rPr>
        <w:t>。</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3.付款条件（进度和方式）</w:t>
      </w:r>
    </w:p>
    <w:p>
      <w:pPr>
        <w:pageBreakBefore w:val="0"/>
        <w:kinsoku/>
        <w:wordWrap/>
        <w:overflowPunct/>
        <w:topLinePunct w:val="0"/>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（1）项目合同签订后支付</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0%的预付款；</w:t>
      </w:r>
    </w:p>
    <w:p>
      <w:pPr>
        <w:pageBreakBefore w:val="0"/>
        <w:kinsoku/>
        <w:wordWrap/>
        <w:overflowPunct/>
        <w:topLinePunct w:val="0"/>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（2）工程竣工且验收合格，承包人向发包人移交全部工程及全部施工资料后，支付至合同签约价的80%。</w:t>
      </w:r>
    </w:p>
    <w:p>
      <w:pPr>
        <w:pageBreakBefore w:val="0"/>
        <w:kinsoku/>
        <w:wordWrap/>
        <w:overflowPunct/>
        <w:topLinePunct w:val="0"/>
        <w:bidi w:val="0"/>
        <w:adjustRightInd/>
        <w:snapToGrid/>
        <w:spacing w:line="360" w:lineRule="auto"/>
        <w:ind w:left="0" w:leftChars="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（3）经审计结算后支付至本项目结算审定价的100%。</w:t>
      </w:r>
    </w:p>
    <w:p>
      <w:pPr>
        <w:pageBreakBefore w:val="0"/>
        <w:kinsoku/>
        <w:wordWrap/>
        <w:overflowPunct/>
        <w:topLinePunct w:val="0"/>
        <w:bidi w:val="0"/>
        <w:adjustRightInd/>
        <w:snapToGrid/>
        <w:spacing w:line="360" w:lineRule="auto"/>
        <w:ind w:left="0" w:leftChars="0" w:firstLine="482" w:firstLineChars="200"/>
        <w:textAlignment w:val="auto"/>
        <w:rPr>
          <w:b/>
          <w:bCs/>
          <w:color w:val="auto"/>
          <w:highlight w:val="none"/>
        </w:rPr>
      </w:pPr>
      <w:r>
        <w:rPr>
          <w:rFonts w:hint="eastAsia" w:ascii="宋体" w:hAnsi="宋体" w:cs="宋体"/>
          <w:b/>
          <w:bCs/>
          <w:color w:val="auto"/>
          <w:sz w:val="24"/>
          <w:highlight w:val="none"/>
        </w:rPr>
        <w:t>注：款项支付前需提供支付凭证，支付期间以收到完整支付材料之日起算。</w:t>
      </w:r>
    </w:p>
    <w:p>
      <w:pPr>
        <w:pageBreakBefore w:val="0"/>
        <w:kinsoku/>
        <w:wordWrap/>
        <w:overflowPunct/>
        <w:topLinePunct w:val="0"/>
        <w:bidi w:val="0"/>
        <w:adjustRightInd/>
        <w:snapToGrid/>
        <w:spacing w:line="360" w:lineRule="auto"/>
        <w:ind w:firstLine="241" w:firstLineChars="100"/>
        <w:jc w:val="left"/>
        <w:textAlignment w:val="auto"/>
        <w:rPr>
          <w:rFonts w:ascii="宋体" w:hAnsi="宋体" w:cs="仿宋_GB2312"/>
          <w:color w:val="auto"/>
          <w:sz w:val="24"/>
          <w:highlight w:val="none"/>
        </w:rPr>
      </w:pPr>
      <w:r>
        <w:rPr>
          <w:rFonts w:hint="eastAsia" w:ascii="宋体" w:hAnsi="宋体" w:eastAsia="宋体" w:cs="宋体"/>
          <w:b/>
          <w:snapToGrid w:val="0"/>
          <w:color w:val="auto"/>
          <w:kern w:val="2"/>
          <w:sz w:val="24"/>
          <w:szCs w:val="21"/>
          <w:highlight w:val="none"/>
          <w:lang w:val="zh-CN" w:eastAsia="zh-CN" w:bidi="ar-SA"/>
        </w:rPr>
        <w:t>▲</w:t>
      </w:r>
      <w:r>
        <w:rPr>
          <w:rFonts w:hint="eastAsia" w:ascii="宋体" w:hAnsi="宋体" w:eastAsia="宋体" w:cs="宋体"/>
          <w:b/>
          <w:bCs w:val="0"/>
          <w:snapToGrid w:val="0"/>
          <w:color w:val="auto"/>
          <w:kern w:val="2"/>
          <w:sz w:val="24"/>
          <w:szCs w:val="21"/>
          <w:highlight w:val="none"/>
          <w:lang w:val="zh-CN" w:eastAsia="zh-CN" w:bidi="ar-SA"/>
        </w:rPr>
        <w:t>4.</w:t>
      </w:r>
      <w:r>
        <w:rPr>
          <w:rFonts w:hint="eastAsia" w:ascii="宋体" w:hAnsi="宋体" w:cs="仿宋_GB2312"/>
          <w:b/>
          <w:bCs w:val="0"/>
          <w:color w:val="auto"/>
          <w:sz w:val="24"/>
          <w:highlight w:val="none"/>
        </w:rPr>
        <w:t>工程售后服务要求</w:t>
      </w:r>
    </w:p>
    <w:p>
      <w:pPr>
        <w:pageBreakBefore w:val="0"/>
        <w:kinsoku/>
        <w:wordWrap/>
        <w:overflowPunct/>
        <w:topLinePunct w:val="0"/>
        <w:bidi w:val="0"/>
        <w:adjustRightInd/>
        <w:snapToGrid/>
        <w:spacing w:line="360" w:lineRule="auto"/>
        <w:ind w:firstLine="480" w:firstLineChars="200"/>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u w:val="none"/>
        </w:rPr>
        <w:t>本项目</w:t>
      </w:r>
      <w:r>
        <w:rPr>
          <w:rFonts w:hint="eastAsia" w:ascii="宋体" w:hAnsi="宋体" w:eastAsia="宋体" w:cs="宋体"/>
          <w:color w:val="auto"/>
          <w:sz w:val="24"/>
          <w:highlight w:val="none"/>
          <w:u w:val="none"/>
          <w:lang w:val="zh-TW"/>
        </w:rPr>
        <w:t>质保期</w:t>
      </w:r>
      <w:r>
        <w:rPr>
          <w:rFonts w:hint="eastAsia" w:ascii="宋体" w:hAnsi="宋体" w:eastAsia="宋体" w:cs="宋体"/>
          <w:color w:val="auto"/>
          <w:sz w:val="24"/>
          <w:highlight w:val="none"/>
        </w:rPr>
        <w:t>自工程</w:t>
      </w:r>
      <w:r>
        <w:rPr>
          <w:rFonts w:hint="eastAsia" w:ascii="宋体" w:hAnsi="宋体" w:eastAsia="宋体" w:cs="宋体"/>
          <w:color w:val="auto"/>
          <w:sz w:val="24"/>
          <w:highlight w:val="none"/>
          <w:lang w:eastAsia="zh-CN"/>
        </w:rPr>
        <w:t>完工</w:t>
      </w:r>
      <w:r>
        <w:rPr>
          <w:rFonts w:hint="eastAsia" w:ascii="宋体" w:hAnsi="宋体" w:eastAsia="宋体" w:cs="宋体"/>
          <w:color w:val="auto"/>
          <w:sz w:val="24"/>
          <w:highlight w:val="none"/>
        </w:rPr>
        <w:t>验收合格之日起</w:t>
      </w:r>
      <w:r>
        <w:rPr>
          <w:rFonts w:hint="eastAsia" w:ascii="宋体" w:hAnsi="宋体" w:eastAsia="宋体" w:cs="宋体"/>
          <w:color w:val="auto"/>
          <w:sz w:val="24"/>
          <w:highlight w:val="none"/>
          <w:u w:val="none"/>
          <w:lang w:val="zh-TW"/>
        </w:rPr>
        <w:t>二年</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lang w:eastAsia="zh-CN"/>
        </w:rPr>
        <w:t>质保期内出现质量问题，承包人须无偿修复至本项目要求标准，因工程质量问题给采购人造成的经济损失应予以赔偿。</w:t>
      </w:r>
    </w:p>
    <w:p>
      <w:pPr>
        <w:pageBreakBefore w:val="0"/>
        <w:kinsoku/>
        <w:wordWrap/>
        <w:overflowPunct/>
        <w:topLinePunct w:val="0"/>
        <w:bidi w:val="0"/>
        <w:adjustRightInd/>
        <w:snapToGrid/>
        <w:spacing w:line="360" w:lineRule="auto"/>
        <w:ind w:left="0" w:leftChars="0" w:firstLine="482" w:firstLineChars="200"/>
        <w:jc w:val="left"/>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五、其他要求</w:t>
      </w:r>
    </w:p>
    <w:p>
      <w:pPr>
        <w:spacing w:line="360" w:lineRule="auto"/>
        <w:ind w:firstLine="480" w:firstLineChars="200"/>
        <w:rPr>
          <w:rFonts w:hint="eastAsia"/>
          <w:color w:val="auto"/>
          <w:highlight w:val="none"/>
        </w:rPr>
      </w:pPr>
      <w:r>
        <w:rPr>
          <w:rFonts w:hint="eastAsia" w:ascii="宋体" w:hAnsi="宋体" w:cs="宋体"/>
          <w:bCs/>
          <w:color w:val="auto"/>
          <w:sz w:val="24"/>
          <w:highlight w:val="none"/>
        </w:rPr>
        <w:t>1、供应商应针对拟建工程编制保证安全施工、文明施工、环境保护和临时设施的技术措施方案和报价</w:t>
      </w:r>
      <w:r>
        <w:rPr>
          <w:rFonts w:hint="eastAsia" w:ascii="宋体" w:hAnsi="宋体" w:cs="宋体"/>
          <w:b w:val="0"/>
          <w:bCs/>
          <w:color w:val="auto"/>
          <w:sz w:val="24"/>
          <w:highlight w:val="none"/>
        </w:rPr>
        <w:t>，均考虑在综合报价内，结算时不予另行支付。</w:t>
      </w:r>
    </w:p>
    <w:p>
      <w:pPr>
        <w:pageBreakBefore w:val="0"/>
        <w:kinsoku/>
        <w:wordWrap/>
        <w:overflowPunct/>
        <w:topLinePunct w:val="0"/>
        <w:bidi w:val="0"/>
        <w:adjustRightInd/>
        <w:snapToGrid/>
        <w:spacing w:line="360" w:lineRule="auto"/>
        <w:ind w:left="0" w:leftChars="0" w:firstLine="480" w:firstLineChars="200"/>
        <w:textAlignment w:val="auto"/>
        <w:rPr>
          <w:rFonts w:hint="eastAsia" w:ascii="宋体" w:hAnsi="宋体"/>
          <w:color w:val="auto"/>
          <w:sz w:val="36"/>
          <w:highlight w:val="none"/>
        </w:rPr>
      </w:pPr>
      <w:r>
        <w:rPr>
          <w:rFonts w:hint="eastAsia" w:ascii="宋体" w:hAnsi="宋体" w:cs="宋体"/>
          <w:color w:val="auto"/>
          <w:sz w:val="24"/>
          <w:highlight w:val="none"/>
        </w:rPr>
        <w:t>2、其他内容以采购单位要求为准。</w:t>
      </w:r>
    </w:p>
    <w:p>
      <w:pPr>
        <w:pageBreakBefore w:val="0"/>
        <w:kinsoku/>
        <w:wordWrap/>
        <w:overflowPunct/>
        <w:topLinePunct w:val="0"/>
        <w:bidi w:val="0"/>
        <w:adjustRightInd/>
        <w:snapToGrid/>
        <w:spacing w:line="360" w:lineRule="auto"/>
        <w:ind w:left="0" w:leftChars="0" w:firstLine="480" w:firstLineChars="200"/>
        <w:textAlignment w:val="auto"/>
        <w:rPr>
          <w:rFonts w:ascii="宋体"/>
          <w:color w:val="auto"/>
          <w:kern w:val="0"/>
          <w:sz w:val="24"/>
          <w:highlight w:val="none"/>
          <w:lang w:val="zh-CN"/>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val="zh-CN"/>
        </w:rPr>
        <w:t>本项目“第三部分</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项目技术规范和服务要求”中所有带“</w:t>
      </w:r>
      <w:r>
        <w:rPr>
          <w:rFonts w:hint="eastAsia" w:ascii="宋体" w:hAnsi="宋体" w:cs="宋体"/>
          <w:b/>
          <w:color w:val="auto"/>
          <w:highlight w:val="none"/>
        </w:rPr>
        <w:t>▲</w:t>
      </w:r>
      <w:r>
        <w:rPr>
          <w:rFonts w:hint="eastAsia" w:ascii="宋体" w:hAnsi="宋体" w:cs="宋体"/>
          <w:color w:val="auto"/>
          <w:kern w:val="0"/>
          <w:sz w:val="24"/>
          <w:highlight w:val="none"/>
          <w:lang w:val="zh-CN"/>
        </w:rPr>
        <w:t>”条款，投标人必须作出实质性响应，如有任意一条未响应或不满足，将被视为无效。</w:t>
      </w:r>
    </w:p>
    <w:p>
      <w:pPr>
        <w:snapToGrid w:val="0"/>
        <w:spacing w:line="360" w:lineRule="auto"/>
        <w:jc w:val="center"/>
        <w:rPr>
          <w:rFonts w:ascii="宋体" w:hAnsi="宋体" w:cs="宋体"/>
          <w:b/>
          <w:color w:val="auto"/>
          <w:sz w:val="36"/>
          <w:szCs w:val="20"/>
          <w:highlight w:val="none"/>
        </w:rPr>
      </w:pPr>
      <w:r>
        <w:rPr>
          <w:rFonts w:hint="eastAsia" w:ascii="宋体" w:hAnsi="宋体" w:cs="宋体"/>
          <w:b/>
          <w:color w:val="auto"/>
          <w:sz w:val="24"/>
          <w:highlight w:val="none"/>
        </w:rPr>
        <w:br w:type="page"/>
      </w:r>
      <w:r>
        <w:rPr>
          <w:rFonts w:hint="eastAsia" w:ascii="宋体" w:hAnsi="宋体" w:cs="宋体"/>
          <w:b/>
          <w:color w:val="auto"/>
          <w:sz w:val="36"/>
          <w:szCs w:val="20"/>
          <w:highlight w:val="none"/>
        </w:rPr>
        <w:t>第四部分</w:t>
      </w:r>
      <w:bookmarkStart w:id="32" w:name="_Toc184308062"/>
      <w:bookmarkEnd w:id="32"/>
      <w:bookmarkStart w:id="33" w:name="_Toc184310318"/>
      <w:bookmarkEnd w:id="33"/>
      <w:bookmarkStart w:id="34" w:name="_Toc184314428"/>
      <w:bookmarkEnd w:id="34"/>
      <w:bookmarkStart w:id="35" w:name="_Toc184310293"/>
      <w:bookmarkEnd w:id="35"/>
      <w:bookmarkStart w:id="36" w:name="_Toc184308063"/>
      <w:bookmarkEnd w:id="36"/>
      <w:bookmarkStart w:id="37" w:name="_Toc184313289"/>
      <w:bookmarkEnd w:id="37"/>
      <w:bookmarkStart w:id="38" w:name="_Toc184314447"/>
      <w:bookmarkEnd w:id="38"/>
      <w:bookmarkStart w:id="39" w:name="_Toc184308058"/>
      <w:bookmarkEnd w:id="39"/>
      <w:bookmarkStart w:id="40" w:name="_Toc184312134"/>
      <w:bookmarkEnd w:id="40"/>
      <w:bookmarkStart w:id="41" w:name="_Toc184312101"/>
      <w:bookmarkEnd w:id="41"/>
      <w:bookmarkStart w:id="42" w:name="_Toc184313271"/>
      <w:bookmarkEnd w:id="42"/>
      <w:bookmarkStart w:id="43" w:name="_Toc184310289"/>
      <w:bookmarkEnd w:id="43"/>
      <w:bookmarkStart w:id="44" w:name="_Toc184312087"/>
      <w:bookmarkEnd w:id="44"/>
      <w:bookmarkStart w:id="45" w:name="_Toc184314482"/>
      <w:bookmarkEnd w:id="45"/>
      <w:bookmarkStart w:id="46" w:name="_Toc184314444"/>
      <w:bookmarkEnd w:id="46"/>
      <w:bookmarkStart w:id="47" w:name="_Toc184313274"/>
      <w:bookmarkEnd w:id="47"/>
      <w:bookmarkStart w:id="48" w:name="_Toc184313239"/>
      <w:bookmarkEnd w:id="48"/>
      <w:bookmarkStart w:id="49" w:name="_Toc184312067"/>
      <w:bookmarkEnd w:id="49"/>
      <w:bookmarkStart w:id="50" w:name="_Toc184313285"/>
      <w:bookmarkEnd w:id="50"/>
      <w:bookmarkStart w:id="51" w:name="_Toc184312099"/>
      <w:bookmarkEnd w:id="51"/>
      <w:bookmarkStart w:id="52" w:name="_Toc184313305"/>
      <w:bookmarkEnd w:id="52"/>
      <w:bookmarkStart w:id="53" w:name="_Toc184314427"/>
      <w:bookmarkEnd w:id="53"/>
      <w:bookmarkStart w:id="54" w:name="_Toc184314441"/>
      <w:bookmarkEnd w:id="54"/>
      <w:bookmarkStart w:id="55" w:name="_Toc184308082"/>
      <w:bookmarkEnd w:id="55"/>
      <w:bookmarkStart w:id="56" w:name="_Toc184312079"/>
      <w:bookmarkEnd w:id="56"/>
      <w:bookmarkStart w:id="57" w:name="_Toc184313258"/>
      <w:bookmarkEnd w:id="57"/>
      <w:bookmarkStart w:id="58" w:name="_Toc184308108"/>
      <w:bookmarkEnd w:id="58"/>
      <w:bookmarkStart w:id="59" w:name="_Toc184310299"/>
      <w:bookmarkEnd w:id="59"/>
      <w:bookmarkStart w:id="60" w:name="_Toc184313266"/>
      <w:bookmarkEnd w:id="60"/>
      <w:bookmarkStart w:id="61" w:name="_Toc184313276"/>
      <w:bookmarkEnd w:id="61"/>
      <w:bookmarkStart w:id="62" w:name="_Toc184314464"/>
      <w:bookmarkEnd w:id="62"/>
      <w:bookmarkStart w:id="63" w:name="_Toc184313246"/>
      <w:bookmarkEnd w:id="63"/>
      <w:bookmarkStart w:id="64" w:name="_Toc184308050"/>
      <w:bookmarkEnd w:id="64"/>
      <w:bookmarkStart w:id="65" w:name="_Toc184314454"/>
      <w:bookmarkEnd w:id="65"/>
      <w:bookmarkStart w:id="66" w:name="_Toc184313279"/>
      <w:bookmarkEnd w:id="66"/>
      <w:bookmarkStart w:id="67" w:name="_Toc184310290"/>
      <w:bookmarkEnd w:id="67"/>
      <w:bookmarkStart w:id="68" w:name="_Toc184313290"/>
      <w:bookmarkEnd w:id="68"/>
      <w:bookmarkStart w:id="69" w:name="_Toc184314414"/>
      <w:bookmarkEnd w:id="69"/>
      <w:bookmarkStart w:id="70" w:name="_Toc184313280"/>
      <w:bookmarkEnd w:id="70"/>
      <w:bookmarkStart w:id="71" w:name="_Toc184313291"/>
      <w:bookmarkEnd w:id="71"/>
      <w:bookmarkStart w:id="72" w:name="_Toc184312121"/>
      <w:bookmarkEnd w:id="72"/>
      <w:bookmarkStart w:id="73" w:name="_Toc184310309"/>
      <w:bookmarkEnd w:id="73"/>
      <w:bookmarkStart w:id="74" w:name="_Toc184312106"/>
      <w:bookmarkEnd w:id="74"/>
      <w:bookmarkStart w:id="75" w:name="_Toc184312100"/>
      <w:bookmarkEnd w:id="75"/>
      <w:bookmarkStart w:id="76" w:name="_Toc184312083"/>
      <w:bookmarkEnd w:id="76"/>
      <w:bookmarkStart w:id="77" w:name="_Toc184308085"/>
      <w:bookmarkEnd w:id="77"/>
      <w:bookmarkStart w:id="78" w:name="_Toc184313272"/>
      <w:bookmarkEnd w:id="78"/>
      <w:bookmarkStart w:id="79" w:name="_Toc184312071"/>
      <w:bookmarkEnd w:id="79"/>
      <w:bookmarkStart w:id="80" w:name="_Toc184312080"/>
      <w:bookmarkEnd w:id="80"/>
      <w:bookmarkStart w:id="81" w:name="_Toc184313253"/>
      <w:bookmarkEnd w:id="81"/>
      <w:bookmarkStart w:id="82" w:name="_Toc184310298"/>
      <w:bookmarkEnd w:id="82"/>
      <w:bookmarkStart w:id="83" w:name="_Toc184314474"/>
      <w:bookmarkEnd w:id="83"/>
      <w:bookmarkStart w:id="84" w:name="_Toc184308064"/>
      <w:bookmarkEnd w:id="84"/>
      <w:bookmarkStart w:id="85" w:name="_Toc184312073"/>
      <w:bookmarkEnd w:id="85"/>
      <w:bookmarkStart w:id="86" w:name="_Toc184312103"/>
      <w:bookmarkEnd w:id="86"/>
      <w:bookmarkStart w:id="87" w:name="_Toc184308090"/>
      <w:bookmarkEnd w:id="87"/>
      <w:bookmarkStart w:id="88" w:name="_Toc184313302"/>
      <w:bookmarkEnd w:id="88"/>
      <w:bookmarkStart w:id="89" w:name="_Toc184313296"/>
      <w:bookmarkEnd w:id="89"/>
      <w:bookmarkStart w:id="90" w:name="_Toc184310323"/>
      <w:bookmarkEnd w:id="90"/>
      <w:bookmarkStart w:id="91" w:name="_Toc184312102"/>
      <w:bookmarkEnd w:id="91"/>
      <w:bookmarkStart w:id="92" w:name="_Toc184310306"/>
      <w:bookmarkEnd w:id="92"/>
      <w:bookmarkStart w:id="93" w:name="_Toc184313250"/>
      <w:bookmarkEnd w:id="93"/>
      <w:bookmarkStart w:id="94" w:name="_Toc184308046"/>
      <w:bookmarkEnd w:id="94"/>
      <w:bookmarkStart w:id="95" w:name="_Toc184312128"/>
      <w:bookmarkEnd w:id="95"/>
      <w:bookmarkStart w:id="96" w:name="_Toc184310319"/>
      <w:bookmarkEnd w:id="96"/>
      <w:bookmarkStart w:id="97" w:name="_Toc184314420"/>
      <w:bookmarkEnd w:id="97"/>
      <w:bookmarkStart w:id="98" w:name="_Toc184314446"/>
      <w:bookmarkEnd w:id="98"/>
      <w:bookmarkStart w:id="99" w:name="_Toc184308086"/>
      <w:bookmarkEnd w:id="99"/>
      <w:bookmarkStart w:id="100" w:name="_Toc184314419"/>
      <w:bookmarkEnd w:id="100"/>
      <w:bookmarkStart w:id="101" w:name="_Toc184313255"/>
      <w:bookmarkEnd w:id="101"/>
      <w:bookmarkStart w:id="102" w:name="_Toc184313283"/>
      <w:bookmarkEnd w:id="102"/>
      <w:bookmarkStart w:id="103" w:name="_Toc184313293"/>
      <w:bookmarkEnd w:id="103"/>
      <w:bookmarkStart w:id="104" w:name="_Toc184314481"/>
      <w:bookmarkEnd w:id="104"/>
      <w:bookmarkStart w:id="105" w:name="_Toc184314418"/>
      <w:bookmarkEnd w:id="105"/>
      <w:bookmarkStart w:id="106" w:name="_Toc184312124"/>
      <w:bookmarkEnd w:id="106"/>
      <w:bookmarkStart w:id="107" w:name="_Toc184308079"/>
      <w:bookmarkEnd w:id="107"/>
      <w:bookmarkStart w:id="108" w:name="_Toc184313297"/>
      <w:bookmarkEnd w:id="108"/>
      <w:bookmarkStart w:id="109" w:name="_Toc184314411"/>
      <w:bookmarkEnd w:id="109"/>
      <w:bookmarkStart w:id="110" w:name="_Toc184308103"/>
      <w:bookmarkEnd w:id="110"/>
      <w:bookmarkStart w:id="111" w:name="_Toc184312114"/>
      <w:bookmarkEnd w:id="111"/>
      <w:bookmarkStart w:id="112" w:name="_Toc184314473"/>
      <w:bookmarkEnd w:id="112"/>
      <w:bookmarkStart w:id="113" w:name="_Toc184308080"/>
      <w:bookmarkEnd w:id="113"/>
      <w:bookmarkStart w:id="114" w:name="_Toc184310316"/>
      <w:bookmarkEnd w:id="114"/>
      <w:bookmarkStart w:id="115" w:name="_Toc184312138"/>
      <w:bookmarkEnd w:id="115"/>
      <w:bookmarkStart w:id="116" w:name="_Toc184312069"/>
      <w:bookmarkEnd w:id="116"/>
      <w:bookmarkStart w:id="117" w:name="_Toc184313251"/>
      <w:bookmarkEnd w:id="117"/>
      <w:bookmarkStart w:id="118" w:name="_Toc184314466"/>
      <w:bookmarkEnd w:id="118"/>
      <w:bookmarkStart w:id="119" w:name="_Toc184314433"/>
      <w:bookmarkEnd w:id="119"/>
      <w:bookmarkStart w:id="120" w:name="_Toc184310320"/>
      <w:bookmarkEnd w:id="120"/>
      <w:bookmarkStart w:id="121" w:name="_Toc184314476"/>
      <w:bookmarkEnd w:id="121"/>
      <w:bookmarkStart w:id="122" w:name="_Toc184314456"/>
      <w:bookmarkEnd w:id="122"/>
      <w:bookmarkStart w:id="123" w:name="_Toc184308065"/>
      <w:bookmarkEnd w:id="123"/>
      <w:bookmarkStart w:id="124" w:name="_Toc184310328"/>
      <w:bookmarkEnd w:id="124"/>
      <w:bookmarkStart w:id="125" w:name="_Toc184308041"/>
      <w:bookmarkEnd w:id="125"/>
      <w:bookmarkStart w:id="126" w:name="_Toc184308044"/>
      <w:bookmarkEnd w:id="126"/>
      <w:bookmarkStart w:id="127" w:name="_Toc184310296"/>
      <w:bookmarkEnd w:id="127"/>
      <w:bookmarkStart w:id="128" w:name="_Toc184312110"/>
      <w:bookmarkEnd w:id="128"/>
      <w:bookmarkStart w:id="129" w:name="_Toc184308052"/>
      <w:bookmarkEnd w:id="129"/>
      <w:bookmarkStart w:id="130" w:name="_Toc184314432"/>
      <w:bookmarkEnd w:id="130"/>
      <w:bookmarkStart w:id="131" w:name="_Toc184313268"/>
      <w:bookmarkEnd w:id="131"/>
      <w:bookmarkStart w:id="132" w:name="_Toc184310327"/>
      <w:bookmarkEnd w:id="132"/>
      <w:bookmarkStart w:id="133" w:name="_Toc184314435"/>
      <w:bookmarkEnd w:id="133"/>
      <w:bookmarkStart w:id="134" w:name="_Toc184313257"/>
      <w:bookmarkEnd w:id="134"/>
      <w:bookmarkStart w:id="135" w:name="_Toc184314429"/>
      <w:bookmarkEnd w:id="135"/>
      <w:bookmarkStart w:id="136" w:name="_Toc184310343"/>
      <w:bookmarkEnd w:id="136"/>
      <w:bookmarkStart w:id="137" w:name="_Toc184310329"/>
      <w:bookmarkEnd w:id="137"/>
      <w:bookmarkStart w:id="138" w:name="_Toc184313249"/>
      <w:bookmarkEnd w:id="138"/>
      <w:bookmarkStart w:id="139" w:name="_Toc184313309"/>
      <w:bookmarkEnd w:id="139"/>
      <w:bookmarkStart w:id="140" w:name="_Toc184314422"/>
      <w:bookmarkEnd w:id="140"/>
      <w:bookmarkStart w:id="141" w:name="_Toc184308055"/>
      <w:bookmarkEnd w:id="141"/>
      <w:bookmarkStart w:id="142" w:name="_Toc184312131"/>
      <w:bookmarkEnd w:id="142"/>
      <w:bookmarkStart w:id="143" w:name="_Toc184313284"/>
      <w:bookmarkEnd w:id="143"/>
      <w:bookmarkStart w:id="144" w:name="_Toc184310310"/>
      <w:bookmarkEnd w:id="144"/>
      <w:bookmarkStart w:id="145" w:name="_Toc184310285"/>
      <w:bookmarkEnd w:id="145"/>
      <w:bookmarkStart w:id="146" w:name="_Toc184313301"/>
      <w:bookmarkEnd w:id="146"/>
      <w:bookmarkStart w:id="147" w:name="_Toc184313244"/>
      <w:bookmarkEnd w:id="147"/>
      <w:bookmarkStart w:id="148" w:name="_Toc184310292"/>
      <w:bookmarkEnd w:id="148"/>
      <w:bookmarkStart w:id="149" w:name="_Toc184314457"/>
      <w:bookmarkEnd w:id="149"/>
      <w:bookmarkStart w:id="150" w:name="_Toc184312127"/>
      <w:bookmarkEnd w:id="150"/>
      <w:bookmarkStart w:id="151" w:name="_Toc184312085"/>
      <w:bookmarkEnd w:id="151"/>
      <w:bookmarkStart w:id="152" w:name="_Toc184310312"/>
      <w:bookmarkEnd w:id="152"/>
      <w:bookmarkStart w:id="153" w:name="_Toc184313282"/>
      <w:bookmarkEnd w:id="153"/>
      <w:bookmarkStart w:id="154" w:name="_Toc184312129"/>
      <w:bookmarkEnd w:id="154"/>
      <w:bookmarkStart w:id="155" w:name="_Toc184308101"/>
      <w:bookmarkEnd w:id="155"/>
      <w:bookmarkStart w:id="156" w:name="_Toc184313262"/>
      <w:bookmarkEnd w:id="156"/>
      <w:bookmarkStart w:id="157" w:name="_Toc184314445"/>
      <w:bookmarkEnd w:id="157"/>
      <w:bookmarkStart w:id="158" w:name="_Toc184312104"/>
      <w:bookmarkEnd w:id="158"/>
      <w:bookmarkStart w:id="159" w:name="_Toc184308042"/>
      <w:bookmarkEnd w:id="159"/>
      <w:bookmarkStart w:id="160" w:name="_Toc184310288"/>
      <w:bookmarkEnd w:id="160"/>
      <w:bookmarkStart w:id="161" w:name="_Toc184314465"/>
      <w:bookmarkEnd w:id="161"/>
      <w:bookmarkStart w:id="162" w:name="_Toc184310333"/>
      <w:bookmarkEnd w:id="162"/>
      <w:bookmarkStart w:id="163" w:name="_Toc184314416"/>
      <w:bookmarkEnd w:id="163"/>
      <w:bookmarkStart w:id="164" w:name="_Toc184308089"/>
      <w:bookmarkEnd w:id="164"/>
      <w:bookmarkStart w:id="165" w:name="_Toc184310307"/>
      <w:bookmarkEnd w:id="165"/>
      <w:bookmarkStart w:id="166" w:name="_Toc184310284"/>
      <w:bookmarkEnd w:id="166"/>
      <w:bookmarkStart w:id="167" w:name="_Toc184310272"/>
      <w:bookmarkEnd w:id="167"/>
      <w:bookmarkStart w:id="168" w:name="_Toc184308095"/>
      <w:bookmarkEnd w:id="168"/>
      <w:bookmarkStart w:id="169" w:name="_Toc184313307"/>
      <w:bookmarkEnd w:id="169"/>
      <w:bookmarkStart w:id="170" w:name="_Toc184310303"/>
      <w:bookmarkEnd w:id="170"/>
      <w:bookmarkStart w:id="171" w:name="_Toc184313252"/>
      <w:bookmarkEnd w:id="171"/>
      <w:bookmarkStart w:id="172" w:name="_Toc184310331"/>
      <w:bookmarkEnd w:id="172"/>
      <w:bookmarkStart w:id="173" w:name="_Toc184308039"/>
      <w:bookmarkEnd w:id="173"/>
      <w:bookmarkStart w:id="174" w:name="_Toc184313277"/>
      <w:bookmarkEnd w:id="174"/>
      <w:bookmarkStart w:id="175" w:name="_Toc184314448"/>
      <w:bookmarkEnd w:id="175"/>
      <w:bookmarkStart w:id="176" w:name="_Toc184312126"/>
      <w:bookmarkEnd w:id="176"/>
      <w:bookmarkStart w:id="177" w:name="_Toc184310301"/>
      <w:bookmarkEnd w:id="177"/>
      <w:bookmarkStart w:id="178" w:name="_Toc184308093"/>
      <w:bookmarkEnd w:id="178"/>
      <w:bookmarkStart w:id="179" w:name="_Toc184312125"/>
      <w:bookmarkEnd w:id="179"/>
      <w:bookmarkStart w:id="180" w:name="_Toc184313298"/>
      <w:bookmarkEnd w:id="180"/>
      <w:bookmarkStart w:id="181" w:name="_Toc184313256"/>
      <w:bookmarkEnd w:id="181"/>
      <w:bookmarkStart w:id="182" w:name="_Toc184313270"/>
      <w:bookmarkEnd w:id="182"/>
      <w:bookmarkStart w:id="183" w:name="_Toc184310321"/>
      <w:bookmarkEnd w:id="183"/>
      <w:bookmarkStart w:id="184" w:name="_Toc184308102"/>
      <w:bookmarkEnd w:id="184"/>
      <w:bookmarkStart w:id="185" w:name="_Toc184310283"/>
      <w:bookmarkEnd w:id="185"/>
      <w:bookmarkStart w:id="186" w:name="_Toc184312119"/>
      <w:bookmarkEnd w:id="186"/>
      <w:bookmarkStart w:id="187" w:name="_Toc184312133"/>
      <w:bookmarkEnd w:id="187"/>
      <w:bookmarkStart w:id="188" w:name="_Toc184312130"/>
      <w:bookmarkEnd w:id="188"/>
      <w:bookmarkStart w:id="189" w:name="_Toc184310322"/>
      <w:bookmarkEnd w:id="189"/>
      <w:bookmarkStart w:id="190" w:name="_Toc184312098"/>
      <w:bookmarkEnd w:id="190"/>
      <w:bookmarkStart w:id="191" w:name="_Toc184313248"/>
      <w:bookmarkEnd w:id="191"/>
      <w:bookmarkStart w:id="192" w:name="_Toc184308075"/>
      <w:bookmarkEnd w:id="192"/>
      <w:bookmarkStart w:id="193" w:name="_Toc184310339"/>
      <w:bookmarkEnd w:id="193"/>
      <w:bookmarkStart w:id="194" w:name="_Toc184308104"/>
      <w:bookmarkEnd w:id="194"/>
      <w:bookmarkStart w:id="195" w:name="_Toc184312084"/>
      <w:bookmarkEnd w:id="195"/>
      <w:bookmarkStart w:id="196" w:name="_Toc184313308"/>
      <w:bookmarkEnd w:id="196"/>
      <w:bookmarkStart w:id="197" w:name="_Toc184310297"/>
      <w:bookmarkEnd w:id="197"/>
      <w:bookmarkStart w:id="198" w:name="_Toc184308056"/>
      <w:bookmarkEnd w:id="198"/>
      <w:bookmarkStart w:id="199" w:name="_Toc184313263"/>
      <w:bookmarkEnd w:id="199"/>
      <w:bookmarkStart w:id="200" w:name="_Toc184314460"/>
      <w:bookmarkEnd w:id="200"/>
      <w:bookmarkStart w:id="201" w:name="_Toc184314415"/>
      <w:bookmarkEnd w:id="201"/>
      <w:bookmarkStart w:id="202" w:name="_Toc184314468"/>
      <w:bookmarkEnd w:id="202"/>
      <w:bookmarkStart w:id="203" w:name="_Toc184314439"/>
      <w:bookmarkEnd w:id="203"/>
      <w:bookmarkStart w:id="204" w:name="_Toc184308107"/>
      <w:bookmarkEnd w:id="204"/>
      <w:bookmarkStart w:id="205" w:name="_Toc184314436"/>
      <w:bookmarkEnd w:id="205"/>
      <w:bookmarkStart w:id="206" w:name="_Toc184308088"/>
      <w:bookmarkEnd w:id="206"/>
      <w:bookmarkStart w:id="207" w:name="_Toc184308074"/>
      <w:bookmarkEnd w:id="207"/>
      <w:bookmarkStart w:id="208" w:name="_Toc184308069"/>
      <w:bookmarkEnd w:id="208"/>
      <w:bookmarkStart w:id="209" w:name="_Toc184308048"/>
      <w:bookmarkEnd w:id="209"/>
      <w:bookmarkStart w:id="210" w:name="_Toc184308057"/>
      <w:bookmarkEnd w:id="210"/>
      <w:bookmarkStart w:id="211" w:name="_Toc184312081"/>
      <w:bookmarkEnd w:id="211"/>
      <w:bookmarkStart w:id="212" w:name="_Toc184313247"/>
      <w:bookmarkEnd w:id="212"/>
      <w:bookmarkStart w:id="213" w:name="_Toc184313292"/>
      <w:bookmarkEnd w:id="213"/>
      <w:bookmarkStart w:id="214" w:name="_Toc184312112"/>
      <w:bookmarkEnd w:id="214"/>
      <w:bookmarkStart w:id="215" w:name="_Toc184308105"/>
      <w:bookmarkEnd w:id="215"/>
      <w:bookmarkStart w:id="216" w:name="_Toc184310315"/>
      <w:bookmarkEnd w:id="216"/>
      <w:bookmarkStart w:id="217" w:name="_Toc184313294"/>
      <w:bookmarkEnd w:id="217"/>
      <w:bookmarkStart w:id="218" w:name="_Toc184313304"/>
      <w:bookmarkEnd w:id="218"/>
      <w:bookmarkStart w:id="219" w:name="_Toc184310326"/>
      <w:bookmarkEnd w:id="219"/>
      <w:bookmarkStart w:id="220" w:name="_Toc184312115"/>
      <w:bookmarkEnd w:id="220"/>
      <w:bookmarkStart w:id="221" w:name="_Toc184312107"/>
      <w:bookmarkEnd w:id="221"/>
      <w:bookmarkStart w:id="222" w:name="_Toc184312072"/>
      <w:bookmarkEnd w:id="222"/>
      <w:bookmarkStart w:id="223" w:name="_Toc184312086"/>
      <w:bookmarkEnd w:id="223"/>
      <w:bookmarkStart w:id="224" w:name="_Toc184312091"/>
      <w:bookmarkEnd w:id="224"/>
      <w:bookmarkStart w:id="225" w:name="_Toc184312136"/>
      <w:bookmarkEnd w:id="225"/>
      <w:bookmarkStart w:id="226" w:name="_Toc184308043"/>
      <w:bookmarkEnd w:id="226"/>
      <w:bookmarkStart w:id="227" w:name="_Toc184310276"/>
      <w:bookmarkEnd w:id="227"/>
      <w:bookmarkStart w:id="228" w:name="_Toc184310282"/>
      <w:bookmarkEnd w:id="228"/>
      <w:bookmarkStart w:id="229" w:name="_Toc184310302"/>
      <w:bookmarkEnd w:id="229"/>
      <w:bookmarkStart w:id="230" w:name="_Toc184308087"/>
      <w:bookmarkEnd w:id="230"/>
      <w:bookmarkStart w:id="231" w:name="_Toc184314451"/>
      <w:bookmarkEnd w:id="231"/>
      <w:bookmarkStart w:id="232" w:name="_Toc184312074"/>
      <w:bookmarkEnd w:id="232"/>
      <w:bookmarkStart w:id="233" w:name="_Toc184310273"/>
      <w:bookmarkEnd w:id="233"/>
      <w:bookmarkStart w:id="234" w:name="_Toc184312094"/>
      <w:bookmarkEnd w:id="234"/>
      <w:bookmarkStart w:id="235" w:name="_Toc184310342"/>
      <w:bookmarkEnd w:id="235"/>
      <w:bookmarkStart w:id="236" w:name="_Toc184310340"/>
      <w:bookmarkEnd w:id="236"/>
      <w:bookmarkStart w:id="237" w:name="_Toc184314425"/>
      <w:bookmarkEnd w:id="237"/>
      <w:bookmarkStart w:id="238" w:name="_Toc184308077"/>
      <w:bookmarkEnd w:id="238"/>
      <w:bookmarkStart w:id="239" w:name="_Toc184312097"/>
      <w:bookmarkEnd w:id="239"/>
      <w:bookmarkStart w:id="240" w:name="_Toc184314453"/>
      <w:bookmarkEnd w:id="240"/>
      <w:bookmarkStart w:id="241" w:name="_Toc184314471"/>
      <w:bookmarkEnd w:id="241"/>
      <w:bookmarkStart w:id="242" w:name="_Toc184313303"/>
      <w:bookmarkEnd w:id="242"/>
      <w:bookmarkStart w:id="243" w:name="_Toc184308100"/>
      <w:bookmarkEnd w:id="243"/>
      <w:bookmarkStart w:id="244" w:name="_Toc184312117"/>
      <w:bookmarkEnd w:id="244"/>
      <w:bookmarkStart w:id="245" w:name="_Toc184310317"/>
      <w:bookmarkEnd w:id="245"/>
      <w:bookmarkStart w:id="246" w:name="_Toc184314431"/>
      <w:bookmarkEnd w:id="246"/>
      <w:bookmarkStart w:id="247" w:name="_Toc184310336"/>
      <w:bookmarkEnd w:id="247"/>
      <w:bookmarkStart w:id="248" w:name="_Toc184314462"/>
      <w:bookmarkEnd w:id="248"/>
      <w:bookmarkStart w:id="249" w:name="_Toc184313259"/>
      <w:bookmarkEnd w:id="249"/>
      <w:bookmarkStart w:id="250" w:name="_Toc184312132"/>
      <w:bookmarkEnd w:id="250"/>
      <w:bookmarkStart w:id="251" w:name="_Toc184313241"/>
      <w:bookmarkEnd w:id="251"/>
      <w:bookmarkStart w:id="252" w:name="_Toc184308092"/>
      <w:bookmarkEnd w:id="252"/>
      <w:bookmarkStart w:id="253" w:name="_Toc184308076"/>
      <w:bookmarkEnd w:id="253"/>
      <w:bookmarkStart w:id="254" w:name="_Toc184312123"/>
      <w:bookmarkEnd w:id="254"/>
      <w:bookmarkStart w:id="255" w:name="_Toc184314477"/>
      <w:bookmarkEnd w:id="255"/>
      <w:bookmarkStart w:id="256" w:name="_Toc184312118"/>
      <w:bookmarkEnd w:id="256"/>
      <w:bookmarkStart w:id="257" w:name="_Toc184313299"/>
      <w:bookmarkEnd w:id="257"/>
      <w:bookmarkStart w:id="258" w:name="_Toc184312082"/>
      <w:bookmarkEnd w:id="258"/>
      <w:bookmarkStart w:id="259" w:name="_Toc184314475"/>
      <w:bookmarkEnd w:id="259"/>
      <w:bookmarkStart w:id="260" w:name="_Toc184314472"/>
      <w:bookmarkEnd w:id="260"/>
      <w:bookmarkStart w:id="261" w:name="_Toc184312076"/>
      <w:bookmarkEnd w:id="261"/>
      <w:bookmarkStart w:id="262" w:name="_Toc184312120"/>
      <w:bookmarkEnd w:id="262"/>
      <w:bookmarkStart w:id="263" w:name="_Toc184308054"/>
      <w:bookmarkEnd w:id="263"/>
      <w:bookmarkStart w:id="264" w:name="_Toc184308098"/>
      <w:bookmarkEnd w:id="264"/>
      <w:bookmarkStart w:id="265" w:name="_Toc184308096"/>
      <w:bookmarkEnd w:id="265"/>
      <w:bookmarkStart w:id="266" w:name="_Toc184310341"/>
      <w:bookmarkEnd w:id="266"/>
      <w:bookmarkStart w:id="267" w:name="_Toc184312122"/>
      <w:bookmarkEnd w:id="267"/>
      <w:bookmarkStart w:id="268" w:name="_Toc184308045"/>
      <w:bookmarkEnd w:id="268"/>
      <w:bookmarkStart w:id="269" w:name="_Toc184314412"/>
      <w:bookmarkEnd w:id="269"/>
      <w:bookmarkStart w:id="270" w:name="_Toc184308061"/>
      <w:bookmarkEnd w:id="270"/>
      <w:bookmarkStart w:id="271" w:name="_Toc184314443"/>
      <w:bookmarkEnd w:id="271"/>
      <w:bookmarkStart w:id="272" w:name="_Toc184308060"/>
      <w:bookmarkEnd w:id="272"/>
      <w:bookmarkStart w:id="273" w:name="_Toc184310278"/>
      <w:bookmarkEnd w:id="273"/>
      <w:bookmarkStart w:id="274" w:name="_Toc184313242"/>
      <w:bookmarkEnd w:id="274"/>
      <w:bookmarkStart w:id="275" w:name="_Toc184313281"/>
      <w:bookmarkEnd w:id="275"/>
      <w:bookmarkStart w:id="276" w:name="_Toc184310324"/>
      <w:bookmarkEnd w:id="276"/>
      <w:bookmarkStart w:id="277" w:name="_Toc184310286"/>
      <w:bookmarkEnd w:id="277"/>
      <w:bookmarkStart w:id="278" w:name="_Toc184312105"/>
      <w:bookmarkEnd w:id="278"/>
      <w:bookmarkStart w:id="279" w:name="_Toc184314480"/>
      <w:bookmarkEnd w:id="279"/>
      <w:bookmarkStart w:id="280" w:name="_Toc184314410"/>
      <w:bookmarkEnd w:id="280"/>
      <w:bookmarkStart w:id="281" w:name="_Toc184308068"/>
      <w:bookmarkEnd w:id="281"/>
      <w:bookmarkStart w:id="282" w:name="_Toc184313287"/>
      <w:bookmarkEnd w:id="282"/>
      <w:bookmarkStart w:id="283" w:name="_Toc184312113"/>
      <w:bookmarkEnd w:id="283"/>
      <w:bookmarkStart w:id="284" w:name="_Toc184310311"/>
      <w:bookmarkEnd w:id="284"/>
      <w:bookmarkStart w:id="285" w:name="_Toc184314479"/>
      <w:bookmarkEnd w:id="285"/>
      <w:bookmarkStart w:id="286" w:name="_Toc184314458"/>
      <w:bookmarkEnd w:id="286"/>
      <w:bookmarkStart w:id="287" w:name="_Toc184310332"/>
      <w:bookmarkEnd w:id="287"/>
      <w:bookmarkStart w:id="288" w:name="_Toc184308066"/>
      <w:bookmarkEnd w:id="288"/>
      <w:bookmarkStart w:id="289" w:name="_Toc184313310"/>
      <w:bookmarkEnd w:id="289"/>
      <w:bookmarkStart w:id="290" w:name="_Toc184308053"/>
      <w:bookmarkEnd w:id="290"/>
      <w:bookmarkStart w:id="291" w:name="_Toc184312077"/>
      <w:bookmarkEnd w:id="291"/>
      <w:bookmarkStart w:id="292" w:name="_Toc184312089"/>
      <w:bookmarkEnd w:id="292"/>
      <w:bookmarkStart w:id="293" w:name="_Toc184308071"/>
      <w:bookmarkEnd w:id="293"/>
      <w:bookmarkStart w:id="294" w:name="_Toc184308081"/>
      <w:bookmarkEnd w:id="294"/>
      <w:bookmarkStart w:id="295" w:name="_Toc184314469"/>
      <w:bookmarkEnd w:id="295"/>
      <w:bookmarkStart w:id="296" w:name="_Toc184310291"/>
      <w:bookmarkEnd w:id="296"/>
      <w:bookmarkStart w:id="297" w:name="_Toc184314423"/>
      <w:bookmarkEnd w:id="297"/>
      <w:bookmarkStart w:id="298" w:name="_Toc184312078"/>
      <w:bookmarkEnd w:id="298"/>
      <w:bookmarkStart w:id="299" w:name="_Toc184312137"/>
      <w:bookmarkEnd w:id="299"/>
      <w:bookmarkStart w:id="300" w:name="_Toc184310295"/>
      <w:bookmarkEnd w:id="300"/>
      <w:bookmarkStart w:id="301" w:name="_Toc184310313"/>
      <w:bookmarkEnd w:id="301"/>
      <w:bookmarkStart w:id="302" w:name="_Toc184313260"/>
      <w:bookmarkEnd w:id="302"/>
      <w:bookmarkStart w:id="303" w:name="_Toc184310314"/>
      <w:bookmarkEnd w:id="303"/>
      <w:bookmarkStart w:id="304" w:name="_Toc184313254"/>
      <w:bookmarkEnd w:id="304"/>
      <w:bookmarkStart w:id="305" w:name="_Toc184310308"/>
      <w:bookmarkEnd w:id="305"/>
      <w:bookmarkStart w:id="306" w:name="_Toc184313269"/>
      <w:bookmarkEnd w:id="306"/>
      <w:bookmarkStart w:id="307" w:name="_Toc184308099"/>
      <w:bookmarkEnd w:id="307"/>
      <w:bookmarkStart w:id="308" w:name="_Toc184312096"/>
      <w:bookmarkEnd w:id="308"/>
      <w:bookmarkStart w:id="309" w:name="_Toc184310275"/>
      <w:bookmarkEnd w:id="309"/>
      <w:bookmarkStart w:id="310" w:name="_Toc184313261"/>
      <w:bookmarkEnd w:id="310"/>
      <w:bookmarkStart w:id="311" w:name="_Toc184313278"/>
      <w:bookmarkEnd w:id="311"/>
      <w:bookmarkStart w:id="312" w:name="_Toc184310277"/>
      <w:bookmarkEnd w:id="312"/>
      <w:bookmarkStart w:id="313" w:name="_Toc184313245"/>
      <w:bookmarkEnd w:id="313"/>
      <w:bookmarkStart w:id="314" w:name="_Toc184313273"/>
      <w:bookmarkEnd w:id="314"/>
      <w:bookmarkStart w:id="315" w:name="_Toc184314413"/>
      <w:bookmarkEnd w:id="315"/>
      <w:bookmarkStart w:id="316" w:name="_Toc184312139"/>
      <w:bookmarkEnd w:id="316"/>
      <w:bookmarkStart w:id="317" w:name="_Toc184310287"/>
      <w:bookmarkEnd w:id="317"/>
      <w:bookmarkStart w:id="318" w:name="_Toc184308051"/>
      <w:bookmarkEnd w:id="318"/>
      <w:bookmarkStart w:id="319" w:name="_Toc184313295"/>
      <w:bookmarkEnd w:id="319"/>
      <w:bookmarkStart w:id="320" w:name="_Toc184314467"/>
      <w:bookmarkEnd w:id="320"/>
      <w:bookmarkStart w:id="321" w:name="_Toc184308067"/>
      <w:bookmarkEnd w:id="321"/>
      <w:bookmarkStart w:id="322" w:name="_Toc184314437"/>
      <w:bookmarkEnd w:id="322"/>
      <w:bookmarkStart w:id="323" w:name="_Toc184314478"/>
      <w:bookmarkEnd w:id="323"/>
      <w:bookmarkStart w:id="324" w:name="_Toc184314455"/>
      <w:bookmarkEnd w:id="324"/>
      <w:bookmarkStart w:id="325" w:name="_Toc184308059"/>
      <w:bookmarkEnd w:id="325"/>
      <w:bookmarkStart w:id="326" w:name="_Toc184312108"/>
      <w:bookmarkEnd w:id="326"/>
      <w:bookmarkStart w:id="327" w:name="_Toc184314459"/>
      <w:bookmarkEnd w:id="327"/>
      <w:bookmarkStart w:id="328" w:name="_Toc184314426"/>
      <w:bookmarkEnd w:id="328"/>
      <w:bookmarkStart w:id="329" w:name="_Toc184312093"/>
      <w:bookmarkEnd w:id="329"/>
      <w:bookmarkStart w:id="330" w:name="_Toc184310304"/>
      <w:bookmarkEnd w:id="330"/>
      <w:bookmarkStart w:id="331" w:name="_Toc184310344"/>
      <w:bookmarkEnd w:id="331"/>
      <w:bookmarkStart w:id="332" w:name="_Toc184314461"/>
      <w:bookmarkEnd w:id="332"/>
      <w:bookmarkStart w:id="333" w:name="_Toc184308078"/>
      <w:bookmarkEnd w:id="333"/>
      <w:bookmarkStart w:id="334" w:name="_Toc184313243"/>
      <w:bookmarkEnd w:id="334"/>
      <w:bookmarkStart w:id="335" w:name="_Toc184308038"/>
      <w:bookmarkEnd w:id="335"/>
      <w:bookmarkStart w:id="336" w:name="_Toc184314424"/>
      <w:bookmarkEnd w:id="336"/>
      <w:bookmarkStart w:id="337" w:name="_Toc184310305"/>
      <w:bookmarkEnd w:id="337"/>
      <w:bookmarkStart w:id="338" w:name="_Toc184313264"/>
      <w:bookmarkEnd w:id="338"/>
      <w:bookmarkStart w:id="339" w:name="_Toc184312111"/>
      <w:bookmarkEnd w:id="339"/>
      <w:bookmarkStart w:id="340" w:name="_Toc184308072"/>
      <w:bookmarkEnd w:id="340"/>
      <w:bookmarkStart w:id="341" w:name="_Toc184313267"/>
      <w:bookmarkEnd w:id="341"/>
      <w:bookmarkStart w:id="342" w:name="_Toc184310330"/>
      <w:bookmarkEnd w:id="342"/>
      <w:bookmarkStart w:id="343" w:name="_Toc184312070"/>
      <w:bookmarkEnd w:id="343"/>
      <w:bookmarkStart w:id="344" w:name="_Toc184313238"/>
      <w:bookmarkEnd w:id="344"/>
      <w:bookmarkStart w:id="345" w:name="_Toc184310325"/>
      <w:bookmarkEnd w:id="345"/>
      <w:bookmarkStart w:id="346" w:name="_Toc184308094"/>
      <w:bookmarkEnd w:id="346"/>
      <w:bookmarkStart w:id="347" w:name="_Toc184312109"/>
      <w:bookmarkEnd w:id="347"/>
      <w:bookmarkStart w:id="348" w:name="_Toc184310274"/>
      <w:bookmarkEnd w:id="348"/>
      <w:bookmarkStart w:id="349" w:name="_Toc184310337"/>
      <w:bookmarkEnd w:id="349"/>
      <w:bookmarkStart w:id="350" w:name="_Toc184312135"/>
      <w:bookmarkEnd w:id="350"/>
      <w:bookmarkStart w:id="351" w:name="_Toc184313240"/>
      <w:bookmarkEnd w:id="351"/>
      <w:bookmarkStart w:id="352" w:name="_Toc184313265"/>
      <w:bookmarkEnd w:id="352"/>
      <w:bookmarkStart w:id="353" w:name="_Toc184308097"/>
      <w:bookmarkEnd w:id="353"/>
      <w:bookmarkStart w:id="354" w:name="_Toc184308073"/>
      <w:bookmarkEnd w:id="354"/>
      <w:bookmarkStart w:id="355" w:name="_Toc184310281"/>
      <w:bookmarkEnd w:id="355"/>
      <w:bookmarkStart w:id="356" w:name="_Toc184312116"/>
      <w:bookmarkEnd w:id="356"/>
      <w:bookmarkStart w:id="357" w:name="_Toc184314421"/>
      <w:bookmarkEnd w:id="357"/>
      <w:bookmarkStart w:id="358" w:name="_Toc184314417"/>
      <w:bookmarkEnd w:id="358"/>
      <w:bookmarkStart w:id="359" w:name="_Toc184312075"/>
      <w:bookmarkEnd w:id="359"/>
      <w:bookmarkStart w:id="360" w:name="_Toc184313275"/>
      <w:bookmarkEnd w:id="360"/>
      <w:bookmarkStart w:id="361" w:name="_Toc184308040"/>
      <w:bookmarkEnd w:id="361"/>
      <w:bookmarkStart w:id="362" w:name="_Toc184308037"/>
      <w:bookmarkEnd w:id="362"/>
      <w:bookmarkStart w:id="363" w:name="_Toc184313288"/>
      <w:bookmarkEnd w:id="363"/>
      <w:bookmarkStart w:id="364" w:name="_Toc184314442"/>
      <w:bookmarkEnd w:id="364"/>
      <w:bookmarkStart w:id="365" w:name="_Toc184310279"/>
      <w:bookmarkEnd w:id="365"/>
      <w:bookmarkStart w:id="366" w:name="_Toc184314450"/>
      <w:bookmarkEnd w:id="366"/>
      <w:bookmarkStart w:id="367" w:name="_Toc184312095"/>
      <w:bookmarkEnd w:id="367"/>
      <w:bookmarkStart w:id="368" w:name="_Toc184310300"/>
      <w:bookmarkEnd w:id="368"/>
      <w:bookmarkStart w:id="369" w:name="_Toc184314470"/>
      <w:bookmarkEnd w:id="369"/>
      <w:bookmarkStart w:id="370" w:name="_Toc184308047"/>
      <w:bookmarkEnd w:id="370"/>
      <w:bookmarkStart w:id="371" w:name="_Toc184310338"/>
      <w:bookmarkEnd w:id="371"/>
      <w:bookmarkStart w:id="372" w:name="_Toc184310280"/>
      <w:bookmarkEnd w:id="372"/>
      <w:bookmarkStart w:id="373" w:name="_Toc184312092"/>
      <w:bookmarkEnd w:id="373"/>
      <w:bookmarkStart w:id="374" w:name="_Toc184310334"/>
      <w:bookmarkEnd w:id="374"/>
      <w:bookmarkStart w:id="375" w:name="_Toc184314438"/>
      <w:bookmarkEnd w:id="375"/>
      <w:bookmarkStart w:id="376" w:name="_Toc184308083"/>
      <w:bookmarkEnd w:id="376"/>
      <w:bookmarkStart w:id="377" w:name="_Toc184312088"/>
      <w:bookmarkEnd w:id="377"/>
      <w:bookmarkStart w:id="378" w:name="_Toc184313286"/>
      <w:bookmarkEnd w:id="378"/>
      <w:bookmarkStart w:id="379" w:name="_Toc184314452"/>
      <w:bookmarkEnd w:id="379"/>
      <w:bookmarkStart w:id="380" w:name="_Toc184310335"/>
      <w:bookmarkEnd w:id="380"/>
      <w:bookmarkStart w:id="381" w:name="_Toc184314449"/>
      <w:bookmarkEnd w:id="381"/>
      <w:bookmarkStart w:id="382" w:name="_Toc184308106"/>
      <w:bookmarkEnd w:id="382"/>
      <w:bookmarkStart w:id="383" w:name="_Toc184308091"/>
      <w:bookmarkEnd w:id="383"/>
      <w:bookmarkStart w:id="384" w:name="_Toc184310294"/>
      <w:bookmarkEnd w:id="384"/>
      <w:bookmarkStart w:id="385" w:name="_Toc184308070"/>
      <w:bookmarkEnd w:id="385"/>
      <w:bookmarkStart w:id="386" w:name="_Toc184313300"/>
      <w:bookmarkEnd w:id="386"/>
      <w:bookmarkStart w:id="387" w:name="_Toc184314430"/>
      <w:bookmarkEnd w:id="387"/>
      <w:bookmarkStart w:id="388" w:name="_Toc184312090"/>
      <w:bookmarkEnd w:id="388"/>
      <w:bookmarkStart w:id="389" w:name="_Toc184308049"/>
      <w:bookmarkEnd w:id="389"/>
      <w:bookmarkStart w:id="390" w:name="_Toc184308036"/>
      <w:bookmarkEnd w:id="390"/>
      <w:bookmarkStart w:id="391" w:name="_Toc184308084"/>
      <w:bookmarkEnd w:id="391"/>
      <w:bookmarkStart w:id="392" w:name="_Toc184312068"/>
      <w:bookmarkEnd w:id="392"/>
      <w:bookmarkStart w:id="393" w:name="_Toc184314463"/>
      <w:bookmarkEnd w:id="393"/>
      <w:bookmarkStart w:id="394" w:name="_Toc184313306"/>
      <w:bookmarkEnd w:id="394"/>
      <w:bookmarkStart w:id="395" w:name="_Toc184314440"/>
      <w:bookmarkEnd w:id="395"/>
      <w:bookmarkStart w:id="396" w:name="_Toc184314434"/>
      <w:bookmarkEnd w:id="396"/>
      <w:r>
        <w:rPr>
          <w:rFonts w:hint="eastAsia" w:ascii="宋体" w:hAnsi="宋体" w:cs="宋体"/>
          <w:b/>
          <w:color w:val="auto"/>
          <w:sz w:val="36"/>
          <w:szCs w:val="20"/>
          <w:highlight w:val="none"/>
        </w:rPr>
        <w:t xml:space="preserve"> 评审办法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评审办法前附表</w:t>
      </w:r>
    </w:p>
    <w:p>
      <w:pPr>
        <w:pStyle w:val="5"/>
        <w:jc w:val="both"/>
        <w:rPr>
          <w:color w:val="auto"/>
          <w:highlight w:val="none"/>
        </w:rPr>
      </w:pPr>
      <w:r>
        <w:rPr>
          <w:rFonts w:hint="eastAsia" w:ascii="宋体" w:hAnsi="宋体" w:eastAsia="宋体" w:cs="宋体"/>
          <w:b/>
          <w:bCs/>
          <w:color w:val="auto"/>
          <w:sz w:val="24"/>
          <w:szCs w:val="24"/>
          <w:highlight w:val="none"/>
          <w:lang w:val="en-US" w:eastAsia="zh-CN"/>
        </w:rPr>
        <w:t>1、商务技术分（70分）</w:t>
      </w:r>
    </w:p>
    <w:tbl>
      <w:tblPr>
        <w:tblStyle w:val="65"/>
        <w:tblW w:w="10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5655"/>
        <w:gridCol w:w="735"/>
        <w:gridCol w:w="100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bCs/>
                <w:color w:val="auto"/>
                <w:sz w:val="24"/>
                <w:highlight w:val="none"/>
              </w:rPr>
            </w:pPr>
            <w:r>
              <w:rPr>
                <w:rFonts w:hint="eastAsia" w:ascii="宋体" w:hAnsi="宋体" w:cs="宋体"/>
                <w:bCs/>
                <w:color w:val="auto"/>
                <w:sz w:val="24"/>
                <w:highlight w:val="none"/>
              </w:rPr>
              <w:t>序号</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bCs/>
                <w:color w:val="auto"/>
                <w:sz w:val="24"/>
                <w:highlight w:val="none"/>
              </w:rPr>
            </w:pPr>
            <w:r>
              <w:rPr>
                <w:rFonts w:hint="eastAsia" w:ascii="宋体" w:hAnsi="宋体" w:cs="宋体"/>
                <w:bCs/>
                <w:color w:val="auto"/>
                <w:sz w:val="24"/>
                <w:highlight w:val="none"/>
              </w:rPr>
              <w:t>评审标准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rPr>
              <w:t>权重</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rPr>
            </w:pPr>
            <w:r>
              <w:rPr>
                <w:rFonts w:hint="eastAsia" w:cs="仿宋_GB2312" w:asciiTheme="minorEastAsia" w:hAnsiTheme="minorEastAsia" w:eastAsiaTheme="minorEastAsia"/>
                <w:bCs/>
                <w:color w:val="auto"/>
                <w:sz w:val="24"/>
                <w:highlight w:val="none"/>
              </w:rPr>
              <w:t>主观分/客观分属性</w:t>
            </w:r>
          </w:p>
        </w:tc>
        <w:tc>
          <w:tcPr>
            <w:tcW w:w="213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宋体" w:hAnsi="宋体" w:cs="宋体"/>
                <w:bCs/>
                <w:color w:val="auto"/>
                <w:sz w:val="24"/>
                <w:highlight w:val="none"/>
              </w:rPr>
            </w:pPr>
            <w:r>
              <w:rPr>
                <w:rFonts w:hint="eastAsia" w:ascii="宋体" w:hAnsi="宋体" w:cs="宋体"/>
                <w:bCs/>
                <w:color w:val="auto"/>
                <w:sz w:val="24"/>
                <w:highlight w:val="none"/>
              </w:rPr>
              <w:t>响应文件中评审标准相应的商务技术资料目录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cs="宋体"/>
                <w:color w:val="auto"/>
                <w:sz w:val="24"/>
                <w:highlight w:val="none"/>
              </w:rPr>
              <w:t>1</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总体施工部署、场地平面布置及说明：施工部署是否科学合理，满足项目要求；施工范围内平面图布置是否可行、合理、具体；管理办法及说明是否完整、详细、很具针对性。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内容科学</w:t>
            </w:r>
            <w:r>
              <w:rPr>
                <w:rFonts w:hint="eastAsia" w:ascii="宋体" w:hAnsi="宋体" w:eastAsia="宋体" w:cs="宋体"/>
                <w:color w:val="auto"/>
                <w:sz w:val="24"/>
                <w:szCs w:val="24"/>
                <w:highlight w:val="none"/>
                <w:lang w:val="en-US" w:eastAsia="zh-CN"/>
              </w:rPr>
              <w:t>合理、</w:t>
            </w:r>
            <w:r>
              <w:rPr>
                <w:rFonts w:hint="eastAsia" w:ascii="宋体" w:hAnsi="宋体" w:cs="宋体"/>
                <w:color w:val="auto"/>
                <w:sz w:val="24"/>
                <w:szCs w:val="24"/>
                <w:highlight w:val="none"/>
                <w:lang w:val="en-US" w:eastAsia="zh-CN"/>
              </w:rPr>
              <w:t>完整</w:t>
            </w:r>
            <w:r>
              <w:rPr>
                <w:rFonts w:hint="eastAsia" w:ascii="宋体" w:hAnsi="宋体" w:eastAsia="宋体" w:cs="宋体"/>
                <w:color w:val="auto"/>
                <w:sz w:val="24"/>
                <w:szCs w:val="24"/>
                <w:highlight w:val="none"/>
                <w:lang w:val="en-US" w:eastAsia="zh-CN"/>
              </w:rPr>
              <w:t>可行的得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内容</w:t>
            </w:r>
            <w:r>
              <w:rPr>
                <w:rFonts w:hint="eastAsia" w:ascii="宋体" w:hAnsi="宋体" w:eastAsia="宋体" w:cs="宋体"/>
                <w:color w:val="auto"/>
                <w:sz w:val="24"/>
                <w:szCs w:val="24"/>
                <w:highlight w:val="none"/>
                <w:lang w:val="en-US" w:eastAsia="zh-CN"/>
              </w:rPr>
              <w:t>基本符合需求的4分，</w:t>
            </w:r>
            <w:r>
              <w:rPr>
                <w:rFonts w:hint="eastAsia" w:ascii="宋体" w:hAnsi="宋体" w:cs="宋体"/>
                <w:color w:val="auto"/>
                <w:sz w:val="24"/>
                <w:szCs w:val="24"/>
                <w:highlight w:val="none"/>
                <w:lang w:val="en-US" w:eastAsia="zh-CN"/>
              </w:rPr>
              <w:t>内容不全或合理性有欠缺的得2分。</w:t>
            </w:r>
            <w:r>
              <w:rPr>
                <w:rFonts w:hint="eastAsia" w:ascii="宋体" w:hAnsi="宋体" w:cs="宋体"/>
                <w:b/>
                <w:bCs/>
                <w:i w:val="0"/>
                <w:iCs w:val="0"/>
                <w:color w:val="auto"/>
                <w:sz w:val="24"/>
                <w:szCs w:val="24"/>
                <w:highlight w:val="none"/>
                <w:lang w:val="en-US" w:eastAsia="zh-CN"/>
              </w:rPr>
              <w:t>本项不提供</w:t>
            </w:r>
            <w:r>
              <w:rPr>
                <w:rFonts w:hint="eastAsia" w:ascii="宋体" w:hAnsi="宋体" w:eastAsia="宋体" w:cs="宋体"/>
                <w:b/>
                <w:bCs/>
                <w:i w:val="0"/>
                <w:iCs w:val="0"/>
                <w:color w:val="auto"/>
                <w:sz w:val="24"/>
                <w:szCs w:val="24"/>
                <w:highlight w:val="none"/>
                <w:lang w:val="en-US" w:eastAsia="zh-CN"/>
              </w:rPr>
              <w:t>不得分</w:t>
            </w:r>
            <w:r>
              <w:rPr>
                <w:rFonts w:hint="eastAsia" w:ascii="宋体" w:hAnsi="宋体" w:eastAsia="宋体" w:cs="宋体"/>
                <w:b/>
                <w:bCs/>
                <w:i w:val="0"/>
                <w:iCs w:val="0"/>
                <w:color w:val="auto"/>
                <w:sz w:val="24"/>
                <w:szCs w:val="24"/>
                <w:highlight w:val="none"/>
              </w:rPr>
              <w:t>。</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eastAsia="zh-CN"/>
              </w:rPr>
            </w:pPr>
            <w:r>
              <w:rPr>
                <w:rFonts w:hint="eastAsia" w:ascii="宋体" w:hAnsi="宋体" w:eastAsia="宋体" w:cs="宋体"/>
                <w:color w:val="auto"/>
                <w:sz w:val="24"/>
                <w:szCs w:val="24"/>
                <w:highlight w:val="none"/>
              </w:rPr>
              <w:t>施工部署、场地平面布置及说明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cs="宋体"/>
                <w:color w:val="auto"/>
                <w:sz w:val="24"/>
                <w:highlight w:val="none"/>
              </w:rPr>
              <w:t>2</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主要施工方案：施工技术方案是否科学合理、可行、有针对性。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方案科学合理、完整可行的得6分，方案基本符合需求的4分，方案不全或</w:t>
            </w:r>
            <w:r>
              <w:rPr>
                <w:rFonts w:hint="eastAsia" w:ascii="宋体" w:hAnsi="宋体" w:cs="宋体"/>
                <w:color w:val="auto"/>
                <w:sz w:val="24"/>
                <w:szCs w:val="24"/>
                <w:highlight w:val="none"/>
                <w:lang w:val="en-US" w:eastAsia="zh-CN"/>
              </w:rPr>
              <w:t>合理性有欠缺</w:t>
            </w:r>
            <w:r>
              <w:rPr>
                <w:rFonts w:hint="eastAsia" w:ascii="宋体" w:hAnsi="宋体" w:eastAsia="宋体" w:cs="宋体"/>
                <w:color w:val="auto"/>
                <w:sz w:val="24"/>
                <w:szCs w:val="24"/>
                <w:highlight w:val="none"/>
                <w:lang w:val="en-US" w:eastAsia="zh-CN"/>
              </w:rPr>
              <w:t>的得2分。</w:t>
            </w:r>
            <w:r>
              <w:rPr>
                <w:rFonts w:hint="eastAsia" w:ascii="宋体" w:hAnsi="宋体" w:eastAsia="宋体" w:cs="宋体"/>
                <w:b/>
                <w:bCs/>
                <w:color w:val="auto"/>
                <w:sz w:val="24"/>
                <w:szCs w:val="24"/>
                <w:highlight w:val="none"/>
                <w:lang w:val="en-US" w:eastAsia="zh-CN"/>
              </w:rPr>
              <w:t>本项不提供不得分。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eastAsia="宋体" w:cs="宋体"/>
                <w:color w:val="auto"/>
                <w:sz w:val="24"/>
                <w:szCs w:val="24"/>
                <w:highlight w:val="none"/>
              </w:rPr>
              <w:t>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cs="宋体"/>
                <w:color w:val="auto"/>
                <w:sz w:val="24"/>
                <w:highlight w:val="none"/>
              </w:rPr>
              <w:t>3</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劳动力人员的配备和组织安排是否能满足进度要求；安全保护措施、半成品保护、成品保护及移交方案（包括成品保护方案、项目移交的流程及安排）等是否到位及满足要求。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内容科学</w:t>
            </w:r>
            <w:r>
              <w:rPr>
                <w:rFonts w:hint="eastAsia" w:ascii="宋体" w:hAnsi="宋体" w:eastAsia="宋体" w:cs="宋体"/>
                <w:color w:val="auto"/>
                <w:sz w:val="24"/>
                <w:szCs w:val="24"/>
                <w:highlight w:val="none"/>
                <w:lang w:val="en-US" w:eastAsia="zh-CN"/>
              </w:rPr>
              <w:t>合理、</w:t>
            </w:r>
            <w:r>
              <w:rPr>
                <w:rFonts w:hint="eastAsia" w:ascii="宋体" w:hAnsi="宋体" w:cs="宋体"/>
                <w:color w:val="auto"/>
                <w:sz w:val="24"/>
                <w:szCs w:val="24"/>
                <w:highlight w:val="none"/>
                <w:lang w:val="en-US" w:eastAsia="zh-CN"/>
              </w:rPr>
              <w:t>完整</w:t>
            </w:r>
            <w:r>
              <w:rPr>
                <w:rFonts w:hint="eastAsia" w:ascii="宋体" w:hAnsi="宋体" w:eastAsia="宋体" w:cs="宋体"/>
                <w:color w:val="auto"/>
                <w:sz w:val="24"/>
                <w:szCs w:val="24"/>
                <w:highlight w:val="none"/>
                <w:lang w:val="en-US" w:eastAsia="zh-CN"/>
              </w:rPr>
              <w:t>可行的得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内容</w:t>
            </w:r>
            <w:r>
              <w:rPr>
                <w:rFonts w:hint="eastAsia" w:ascii="宋体" w:hAnsi="宋体" w:eastAsia="宋体" w:cs="宋体"/>
                <w:color w:val="auto"/>
                <w:sz w:val="24"/>
                <w:szCs w:val="24"/>
                <w:highlight w:val="none"/>
                <w:lang w:val="en-US" w:eastAsia="zh-CN"/>
              </w:rPr>
              <w:t>基本符合需求的4分，</w:t>
            </w:r>
            <w:r>
              <w:rPr>
                <w:rFonts w:hint="eastAsia" w:ascii="宋体" w:hAnsi="宋体" w:cs="宋体"/>
                <w:color w:val="auto"/>
                <w:sz w:val="24"/>
                <w:szCs w:val="24"/>
                <w:highlight w:val="none"/>
                <w:lang w:val="en-US" w:eastAsia="zh-CN"/>
              </w:rPr>
              <w:t>内容不全或合理性有欠缺的得2分。</w:t>
            </w:r>
            <w:r>
              <w:rPr>
                <w:rFonts w:hint="eastAsia" w:ascii="宋体" w:hAnsi="宋体" w:cs="宋体"/>
                <w:b/>
                <w:bCs/>
                <w:i w:val="0"/>
                <w:iCs w:val="0"/>
                <w:color w:val="auto"/>
                <w:sz w:val="24"/>
                <w:szCs w:val="24"/>
                <w:highlight w:val="none"/>
                <w:lang w:val="en-US" w:eastAsia="zh-CN"/>
              </w:rPr>
              <w:t>本项不提供</w:t>
            </w:r>
            <w:r>
              <w:rPr>
                <w:rFonts w:hint="eastAsia" w:ascii="宋体" w:hAnsi="宋体" w:eastAsia="宋体" w:cs="宋体"/>
                <w:b/>
                <w:bCs/>
                <w:i w:val="0"/>
                <w:iCs w:val="0"/>
                <w:color w:val="auto"/>
                <w:sz w:val="24"/>
                <w:szCs w:val="24"/>
                <w:highlight w:val="none"/>
                <w:lang w:val="en-US" w:eastAsia="zh-CN"/>
              </w:rPr>
              <w:t>不得分</w:t>
            </w:r>
            <w:r>
              <w:rPr>
                <w:rFonts w:hint="eastAsia" w:ascii="宋体" w:hAnsi="宋体" w:eastAsia="宋体" w:cs="宋体"/>
                <w:b/>
                <w:bCs/>
                <w:i w:val="0"/>
                <w:iCs w:val="0"/>
                <w:color w:val="auto"/>
                <w:sz w:val="24"/>
                <w:szCs w:val="24"/>
                <w:highlight w:val="none"/>
              </w:rPr>
              <w:t>。</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eastAsia="宋体" w:cs="宋体"/>
                <w:color w:val="auto"/>
                <w:sz w:val="24"/>
                <w:szCs w:val="24"/>
                <w:highlight w:val="none"/>
              </w:rPr>
              <w:t>人员的配备和组织安排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质量保障措施：施工质量标准是否满足招标文件要求；质量保证体系及措施、材料采购质量控制（包括控制流程、检验方法以及质量问题的解决方法）是否有针对性及可靠；对影响质量的因素有否分析考虑，关键工序、关键部位、难点施工部位等质量控制的技术措施和管理手段否有针对性及可靠；针对本工程的如发生质量事故的应急处理预案；施工质量的控制和检验手段是否科学、可靠。</w:t>
            </w:r>
          </w:p>
          <w:p>
            <w:pPr>
              <w:pStyle w:val="5"/>
              <w:ind w:left="0" w:leftChars="0" w:firstLine="0" w:firstLineChars="0"/>
              <w:jc w:val="both"/>
              <w:rPr>
                <w:rFonts w:hint="eastAsia"/>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内容科学合理、完整可行的得6分，内容基本符合需求的4分，内容不全或合理性有欠缺的得2分。</w:t>
            </w:r>
            <w:r>
              <w:rPr>
                <w:rFonts w:hint="eastAsia" w:ascii="宋体" w:hAnsi="宋体" w:eastAsia="宋体" w:cs="宋体"/>
                <w:b/>
                <w:bCs/>
                <w:color w:val="auto"/>
                <w:kern w:val="2"/>
                <w:sz w:val="24"/>
                <w:szCs w:val="24"/>
                <w:highlight w:val="none"/>
                <w:lang w:val="en-US" w:eastAsia="zh-CN" w:bidi="ar-SA"/>
              </w:rPr>
              <w:t>本项不提供不得分。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eastAsia="宋体" w:cs="宋体"/>
                <w:color w:val="auto"/>
                <w:sz w:val="24"/>
                <w:szCs w:val="24"/>
                <w:highlight w:val="none"/>
              </w:rPr>
              <w:t>质量保障措施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施工进度计划和保障措施:工程进度网络计划安排是否合理；与投标工期是否吻合；网络计划中关键线路与节点是否明确；工期保证体系和措施是否健全、可行，预防措施是否有力；对影响进度的因素</w:t>
            </w:r>
            <w:r>
              <w:rPr>
                <w:rFonts w:hint="eastAsia" w:ascii="宋体" w:hAnsi="宋体" w:cs="宋体"/>
                <w:color w:val="auto"/>
                <w:sz w:val="24"/>
                <w:szCs w:val="24"/>
                <w:highlight w:val="none"/>
                <w:lang w:eastAsia="zh-CN"/>
              </w:rPr>
              <w:t>是</w:t>
            </w:r>
            <w:r>
              <w:rPr>
                <w:rFonts w:hint="eastAsia" w:ascii="宋体" w:hAnsi="宋体" w:eastAsia="宋体" w:cs="宋体"/>
                <w:color w:val="auto"/>
                <w:sz w:val="24"/>
                <w:szCs w:val="24"/>
                <w:highlight w:val="none"/>
              </w:rPr>
              <w:t>否分析考虑；进度控制的重点、难点分析及临时补救措施是否有针对性及可靠。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内容科学合理、完整可行的得6分，内容基本符合需求的4分，内容不全或合理性有欠缺的得2分。</w:t>
            </w:r>
            <w:r>
              <w:rPr>
                <w:rFonts w:hint="eastAsia" w:ascii="宋体" w:hAnsi="宋体" w:eastAsia="宋体" w:cs="宋体"/>
                <w:b/>
                <w:bCs/>
                <w:color w:val="auto"/>
                <w:kern w:val="2"/>
                <w:sz w:val="24"/>
                <w:szCs w:val="24"/>
                <w:highlight w:val="none"/>
                <w:lang w:val="en-US" w:eastAsia="zh-CN" w:bidi="ar-SA"/>
              </w:rPr>
              <w:t>本项不提供不得分。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eastAsia="宋体" w:cs="宋体"/>
                <w:color w:val="auto"/>
                <w:sz w:val="24"/>
                <w:szCs w:val="24"/>
                <w:highlight w:val="none"/>
              </w:rPr>
              <w:t>进度计划和保障措施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安全生产、文明施工、环境保护措施：安全、文明施工及市政、市容、环保、消防等的保证措施是否科学、合理。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内容科学合理、完整可行的得6分，内容基本符合需求的4分，内容不全或</w:t>
            </w:r>
            <w:r>
              <w:rPr>
                <w:rFonts w:hint="eastAsia" w:ascii="宋体" w:hAnsi="宋体" w:cs="宋体"/>
                <w:color w:val="auto"/>
                <w:sz w:val="24"/>
                <w:szCs w:val="24"/>
                <w:highlight w:val="none"/>
                <w:lang w:val="en-US" w:eastAsia="zh-CN"/>
              </w:rPr>
              <w:t>合理性有欠缺</w:t>
            </w:r>
            <w:r>
              <w:rPr>
                <w:rFonts w:hint="eastAsia" w:ascii="宋体" w:hAnsi="宋体" w:eastAsia="宋体" w:cs="宋体"/>
                <w:b w:val="0"/>
                <w:bCs w:val="0"/>
                <w:color w:val="auto"/>
                <w:kern w:val="2"/>
                <w:sz w:val="24"/>
                <w:szCs w:val="24"/>
                <w:highlight w:val="none"/>
                <w:lang w:val="en-US" w:eastAsia="zh-CN" w:bidi="ar-SA"/>
              </w:rPr>
              <w:t>的得2分。</w:t>
            </w:r>
            <w:r>
              <w:rPr>
                <w:rFonts w:hint="eastAsia" w:ascii="宋体" w:hAnsi="宋体" w:eastAsia="宋体" w:cs="宋体"/>
                <w:b/>
                <w:bCs/>
                <w:color w:val="auto"/>
                <w:kern w:val="2"/>
                <w:sz w:val="24"/>
                <w:szCs w:val="24"/>
                <w:highlight w:val="none"/>
                <w:lang w:val="en-US" w:eastAsia="zh-CN" w:bidi="ar-SA"/>
              </w:rPr>
              <w:t>本项不提供不得分。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eastAsia="宋体" w:cs="宋体"/>
                <w:color w:val="auto"/>
                <w:sz w:val="24"/>
                <w:szCs w:val="24"/>
                <w:highlight w:val="none"/>
              </w:rPr>
              <w:t>安全生产、文明施工、环境保护措施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施工设备配置情况：施工机械配置数量、配置合理性及投入到位程度是否满足要求；拟投入的主要施工机械设备情况、主要施工机械计划：投入的施工机械、设备、机具有详细计划且计划周密，设备数量、选型配置、进厂数量、时间安排合理，满足施工需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内容科学合理、完整可行的得6分，内容基本符合需求的4分，内容不全或合理性有欠缺的得2分。</w:t>
            </w:r>
            <w:r>
              <w:rPr>
                <w:rFonts w:hint="eastAsia" w:ascii="宋体" w:hAnsi="宋体" w:eastAsia="宋体" w:cs="宋体"/>
                <w:b/>
                <w:bCs/>
                <w:color w:val="auto"/>
                <w:kern w:val="2"/>
                <w:sz w:val="24"/>
                <w:szCs w:val="24"/>
                <w:highlight w:val="none"/>
                <w:lang w:val="en-US" w:eastAsia="zh-CN" w:bidi="ar-SA"/>
              </w:rPr>
              <w:t>本项不提供不得分。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宋体" w:hAnsi="宋体" w:cs="宋体"/>
                <w:color w:val="auto"/>
                <w:sz w:val="24"/>
                <w:highlight w:val="none"/>
              </w:rPr>
            </w:pPr>
            <w:r>
              <w:rPr>
                <w:rFonts w:hint="eastAsia" w:ascii="宋体" w:hAnsi="宋体" w:eastAsia="宋体" w:cs="宋体"/>
                <w:color w:val="auto"/>
                <w:sz w:val="24"/>
                <w:szCs w:val="24"/>
                <w:highlight w:val="none"/>
              </w:rPr>
              <w:t>施工设备配置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工程验收、结算、移交的合理组织和配合</w:t>
            </w:r>
            <w:r>
              <w:rPr>
                <w:rFonts w:hint="eastAsia" w:ascii="宋体" w:hAnsi="宋体" w:eastAsia="宋体" w:cs="宋体"/>
                <w:color w:val="auto"/>
                <w:sz w:val="24"/>
                <w:szCs w:val="24"/>
                <w:highlight w:val="none"/>
                <w:lang w:val="en-US" w:eastAsia="zh-CN"/>
              </w:rPr>
              <w:t>方案</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内容科学合理、完整可行的得</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分，内容基本符合需求的</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分，内容不全或合理性有欠缺的得</w:t>
            </w: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分。</w:t>
            </w:r>
            <w:r>
              <w:rPr>
                <w:rFonts w:hint="eastAsia" w:ascii="宋体" w:hAnsi="宋体" w:eastAsia="宋体" w:cs="宋体"/>
                <w:b/>
                <w:bCs/>
                <w:color w:val="auto"/>
                <w:kern w:val="2"/>
                <w:sz w:val="24"/>
                <w:szCs w:val="24"/>
                <w:highlight w:val="none"/>
                <w:lang w:val="en-US" w:eastAsia="zh-CN" w:bidi="ar-SA"/>
              </w:rPr>
              <w:t>本项不提供不得分。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6分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主观分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eastAsia="zh-CN"/>
              </w:rPr>
            </w:pPr>
            <w:r>
              <w:rPr>
                <w:rFonts w:hint="eastAsia" w:ascii="宋体" w:hAnsi="宋体" w:eastAsia="宋体" w:cs="宋体"/>
                <w:color w:val="auto"/>
                <w:sz w:val="24"/>
                <w:szCs w:val="24"/>
                <w:highlight w:val="none"/>
              </w:rPr>
              <w:t>验收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结算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移交</w:t>
            </w:r>
            <w:r>
              <w:rPr>
                <w:rFonts w:hint="eastAsia" w:ascii="宋体" w:hAnsi="宋体" w:eastAsia="宋体" w:cs="宋体"/>
                <w:color w:val="auto"/>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能保证在质保期内，因质量原因，查看现场后，3天内解决，并完成修复工作的得3分，提供承诺书，否则不得分</w:t>
            </w:r>
            <w:r>
              <w:rPr>
                <w:rFonts w:hint="eastAsia" w:ascii="宋体" w:hAnsi="宋体" w:cs="宋体"/>
                <w:b/>
                <w:bCs/>
                <w:color w:val="auto"/>
                <w:sz w:val="24"/>
                <w:szCs w:val="24"/>
                <w:highlight w:val="none"/>
                <w:lang w:val="en-US" w:eastAsia="zh-CN"/>
              </w:rPr>
              <w:t>（承诺书格式自拟）</w:t>
            </w:r>
            <w:r>
              <w:rPr>
                <w:rFonts w:hint="eastAsia" w:ascii="宋体" w:hAnsi="宋体" w:eastAsia="宋体" w:cs="宋体"/>
                <w:color w:val="auto"/>
                <w:sz w:val="24"/>
                <w:szCs w:val="24"/>
                <w:highlight w:val="none"/>
                <w:lang w:val="en-US" w:eastAsia="zh-CN"/>
              </w:rPr>
              <w:t>。</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3分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客观分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质保期内维修承诺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投标人同时通过ISO9001质量体系认证、ISO45001职业健康安全管理体系认证、ISO14001环境管理体系认证，每个得</w:t>
            </w:r>
            <w:r>
              <w:rPr>
                <w:rFonts w:hint="eastAsia" w:ascii="宋体" w:hAnsi="宋体" w:cs="宋体"/>
                <w:i w:val="0"/>
                <w:color w:val="auto"/>
                <w:kern w:val="0"/>
                <w:sz w:val="24"/>
                <w:szCs w:val="24"/>
                <w:highlight w:val="none"/>
                <w:u w:val="none"/>
                <w:lang w:val="en-US" w:eastAsia="zh-CN" w:bidi="ar"/>
              </w:rPr>
              <w:t>2</w:t>
            </w:r>
            <w:r>
              <w:rPr>
                <w:rFonts w:hint="eastAsia" w:ascii="宋体" w:hAnsi="宋体" w:eastAsia="宋体" w:cs="宋体"/>
                <w:i w:val="0"/>
                <w:color w:val="auto"/>
                <w:kern w:val="0"/>
                <w:sz w:val="24"/>
                <w:szCs w:val="24"/>
                <w:highlight w:val="none"/>
                <w:u w:val="none"/>
                <w:lang w:val="en-US" w:eastAsia="zh-CN" w:bidi="ar"/>
              </w:rPr>
              <w:t>分，最高得</w:t>
            </w:r>
            <w:r>
              <w:rPr>
                <w:rFonts w:hint="eastAsia" w:ascii="宋体" w:hAnsi="宋体" w:cs="宋体"/>
                <w:i w:val="0"/>
                <w:color w:val="auto"/>
                <w:kern w:val="0"/>
                <w:sz w:val="24"/>
                <w:szCs w:val="24"/>
                <w:highlight w:val="none"/>
                <w:u w:val="none"/>
                <w:lang w:val="en-US" w:eastAsia="zh-CN" w:bidi="ar"/>
              </w:rPr>
              <w:t>6</w:t>
            </w:r>
            <w:r>
              <w:rPr>
                <w:rFonts w:hint="eastAsia" w:ascii="宋体" w:hAnsi="宋体" w:eastAsia="宋体" w:cs="宋体"/>
                <w:i w:val="0"/>
                <w:color w:val="auto"/>
                <w:kern w:val="0"/>
                <w:sz w:val="24"/>
                <w:szCs w:val="24"/>
                <w:highlight w:val="none"/>
                <w:u w:val="none"/>
                <w:lang w:val="en-US" w:eastAsia="zh-CN" w:bidi="ar"/>
              </w:rPr>
              <w:t>分</w:t>
            </w:r>
            <w:r>
              <w:rPr>
                <w:rFonts w:hint="eastAsia" w:ascii="宋体" w:hAnsi="宋体" w:cs="宋体"/>
                <w:i w:val="0"/>
                <w:color w:val="auto"/>
                <w:kern w:val="0"/>
                <w:sz w:val="24"/>
                <w:szCs w:val="24"/>
                <w:highlight w:val="none"/>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bCs/>
                <w:i w:val="0"/>
                <w:color w:val="auto"/>
                <w:kern w:val="0"/>
                <w:sz w:val="24"/>
                <w:szCs w:val="24"/>
                <w:highlight w:val="none"/>
                <w:u w:val="none"/>
                <w:lang w:val="en-US" w:eastAsia="zh-CN" w:bidi="ar"/>
              </w:rPr>
              <w:t>（提供证书复印件</w:t>
            </w:r>
            <w:r>
              <w:rPr>
                <w:rFonts w:hint="eastAsia" w:ascii="宋体" w:hAnsi="宋体" w:cs="宋体"/>
                <w:b/>
                <w:bCs/>
                <w:i w:val="0"/>
                <w:color w:val="auto"/>
                <w:kern w:val="0"/>
                <w:sz w:val="24"/>
                <w:szCs w:val="24"/>
                <w:highlight w:val="none"/>
                <w:u w:val="none"/>
                <w:lang w:val="en-US" w:eastAsia="zh-CN" w:bidi="ar"/>
              </w:rPr>
              <w:t>并加盖公章</w:t>
            </w:r>
            <w:r>
              <w:rPr>
                <w:rFonts w:hint="eastAsia" w:ascii="宋体" w:hAnsi="宋体" w:eastAsia="宋体" w:cs="宋体"/>
                <w:b/>
                <w:bCs/>
                <w:i w:val="0"/>
                <w:color w:val="auto"/>
                <w:kern w:val="0"/>
                <w:sz w:val="24"/>
                <w:szCs w:val="24"/>
                <w:highlight w:val="none"/>
                <w:u w:val="none"/>
                <w:lang w:val="en-US" w:eastAsia="zh-CN" w:bidi="ar"/>
              </w:rPr>
              <w:t>，否则不得分。）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w:t>
            </w:r>
            <w:r>
              <w:rPr>
                <w:rFonts w:hint="eastAsia" w:ascii="宋体" w:hAnsi="宋体" w:eastAsia="宋体" w:cs="宋体"/>
                <w:color w:val="auto"/>
                <w:sz w:val="24"/>
                <w:szCs w:val="24"/>
                <w:highlight w:val="none"/>
                <w:lang w:val="en-US" w:eastAsia="zh-CN"/>
              </w:rPr>
              <w:t>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企业认证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5655" w:type="dxa"/>
            <w:vAlign w:val="center"/>
          </w:tcPr>
          <w:p>
            <w:pPr>
              <w:pStyle w:val="21"/>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auto"/>
                <w:sz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投标人</w:t>
            </w:r>
            <w:r>
              <w:rPr>
                <w:rFonts w:hint="eastAsia" w:ascii="宋体" w:hAnsi="宋体" w:cs="宋体"/>
                <w:bCs/>
                <w:color w:val="auto"/>
                <w:sz w:val="24"/>
                <w:highlight w:val="none"/>
                <w:lang w:val="en-US" w:eastAsia="zh-CN"/>
              </w:rPr>
              <w:t>2021</w:t>
            </w:r>
            <w:r>
              <w:rPr>
                <w:rFonts w:hint="eastAsia" w:ascii="宋体" w:hAnsi="宋体" w:eastAsia="宋体" w:cs="宋体"/>
                <w:bCs/>
                <w:color w:val="auto"/>
                <w:sz w:val="24"/>
                <w:highlight w:val="none"/>
                <w:lang w:val="en-US"/>
              </w:rPr>
              <w:t>年</w:t>
            </w: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lang w:val="en-US"/>
              </w:rPr>
              <w:t>月1日</w:t>
            </w:r>
            <w:r>
              <w:rPr>
                <w:rFonts w:hint="eastAsia" w:ascii="宋体" w:hAnsi="宋体" w:cs="宋体"/>
                <w:bCs/>
                <w:color w:val="auto"/>
                <w:sz w:val="24"/>
                <w:highlight w:val="none"/>
                <w:lang w:val="en-US" w:eastAsia="zh-CN"/>
              </w:rPr>
              <w:t>以来</w:t>
            </w:r>
            <w:r>
              <w:rPr>
                <w:rFonts w:hint="eastAsia" w:ascii="宋体" w:hAnsi="宋体" w:eastAsia="宋体" w:cs="宋体"/>
                <w:bCs/>
                <w:color w:val="auto"/>
                <w:sz w:val="24"/>
                <w:highlight w:val="none"/>
                <w:lang w:val="en-US"/>
              </w:rPr>
              <w:t>，承担过类似</w:t>
            </w:r>
            <w:r>
              <w:rPr>
                <w:rFonts w:hint="eastAsia" w:ascii="宋体" w:hAnsi="宋体" w:eastAsia="宋体" w:cs="宋体"/>
                <w:b/>
                <w:bCs w:val="0"/>
                <w:color w:val="auto"/>
                <w:sz w:val="24"/>
                <w:highlight w:val="none"/>
                <w:lang w:val="en-US" w:eastAsia="zh-CN"/>
              </w:rPr>
              <w:t>建筑装饰装修工程</w:t>
            </w:r>
            <w:r>
              <w:rPr>
                <w:rFonts w:hint="eastAsia" w:ascii="宋体" w:hAnsi="宋体" w:eastAsia="宋体" w:cs="宋体"/>
                <w:bCs/>
                <w:color w:val="auto"/>
                <w:sz w:val="24"/>
                <w:highlight w:val="none"/>
                <w:lang w:val="en-US" w:eastAsia="zh-CN"/>
              </w:rPr>
              <w:t>业绩</w:t>
            </w:r>
            <w:r>
              <w:rPr>
                <w:rFonts w:hint="eastAsia" w:ascii="宋体" w:hAnsi="宋体" w:eastAsia="宋体" w:cs="宋体"/>
                <w:bCs/>
                <w:color w:val="auto"/>
                <w:sz w:val="24"/>
                <w:highlight w:val="none"/>
                <w:lang w:val="en-US"/>
              </w:rPr>
              <w:t>，每个得</w:t>
            </w:r>
            <w:r>
              <w:rPr>
                <w:rFonts w:hint="eastAsia" w:ascii="宋体" w:hAnsi="宋体" w:cs="宋体"/>
                <w:bCs/>
                <w:color w:val="auto"/>
                <w:sz w:val="24"/>
                <w:highlight w:val="none"/>
                <w:lang w:val="en-US" w:eastAsia="zh-CN"/>
              </w:rPr>
              <w:t>1</w:t>
            </w:r>
            <w:r>
              <w:rPr>
                <w:rFonts w:hint="eastAsia" w:ascii="宋体" w:hAnsi="宋体" w:eastAsia="宋体" w:cs="宋体"/>
                <w:bCs/>
                <w:color w:val="auto"/>
                <w:sz w:val="24"/>
                <w:highlight w:val="none"/>
                <w:lang w:val="en-US"/>
              </w:rPr>
              <w:t>分</w:t>
            </w:r>
            <w:r>
              <w:rPr>
                <w:rFonts w:hint="eastAsia" w:ascii="宋体" w:hAnsi="宋体" w:eastAsia="宋体" w:cs="宋体"/>
                <w:bCs/>
                <w:color w:val="auto"/>
                <w:sz w:val="24"/>
                <w:highlight w:val="none"/>
                <w:lang w:val="en-US" w:eastAsia="zh-CN"/>
              </w:rPr>
              <w:t>，最高得</w:t>
            </w:r>
            <w:r>
              <w:rPr>
                <w:rFonts w:hint="eastAsia" w:ascii="宋体" w:hAnsi="宋体" w:cs="宋体"/>
                <w:bCs/>
                <w:color w:val="auto"/>
                <w:sz w:val="24"/>
                <w:highlight w:val="none"/>
                <w:lang w:val="en-US" w:eastAsia="zh-CN"/>
              </w:rPr>
              <w:t>3</w:t>
            </w:r>
            <w:r>
              <w:rPr>
                <w:rFonts w:hint="eastAsia" w:ascii="宋体" w:hAnsi="宋体" w:eastAsia="宋体" w:cs="宋体"/>
                <w:bCs/>
                <w:color w:val="auto"/>
                <w:sz w:val="24"/>
                <w:highlight w:val="none"/>
                <w:lang w:val="en-US" w:eastAsia="zh-CN"/>
              </w:rPr>
              <w:t>分。</w:t>
            </w:r>
          </w:p>
          <w:p>
            <w:pPr>
              <w:pStyle w:val="21"/>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rPr>
              <w:t>（</w:t>
            </w:r>
            <w:r>
              <w:rPr>
                <w:rFonts w:hint="eastAsia" w:ascii="宋体" w:hAnsi="宋体" w:cs="宋体"/>
                <w:b/>
                <w:bCs w:val="0"/>
                <w:color w:val="auto"/>
                <w:sz w:val="24"/>
                <w:highlight w:val="none"/>
                <w:lang w:val="en-US" w:eastAsia="zh-CN"/>
              </w:rPr>
              <w:t>提供</w:t>
            </w:r>
            <w:r>
              <w:rPr>
                <w:rFonts w:hint="eastAsia" w:ascii="宋体" w:hAnsi="宋体" w:eastAsia="宋体" w:cs="宋体"/>
                <w:b/>
                <w:bCs w:val="0"/>
                <w:color w:val="auto"/>
                <w:sz w:val="24"/>
                <w:highlight w:val="none"/>
                <w:lang w:val="en-US"/>
              </w:rPr>
              <w:t>中标通知书</w:t>
            </w:r>
            <w:r>
              <w:rPr>
                <w:rFonts w:hint="eastAsia" w:ascii="宋体" w:hAnsi="宋体" w:eastAsia="宋体" w:cs="宋体"/>
                <w:b/>
                <w:bCs w:val="0"/>
                <w:color w:val="auto"/>
                <w:sz w:val="24"/>
                <w:highlight w:val="none"/>
                <w:lang w:val="en-US" w:eastAsia="zh-CN"/>
              </w:rPr>
              <w:t>、施工</w:t>
            </w:r>
            <w:r>
              <w:rPr>
                <w:rFonts w:hint="eastAsia" w:ascii="宋体" w:hAnsi="宋体" w:eastAsia="宋体" w:cs="宋体"/>
                <w:b/>
                <w:bCs w:val="0"/>
                <w:color w:val="auto"/>
                <w:sz w:val="24"/>
                <w:highlight w:val="none"/>
                <w:lang w:val="en-US"/>
              </w:rPr>
              <w:t>合同及竣工验收报告</w:t>
            </w:r>
            <w:r>
              <w:rPr>
                <w:rFonts w:hint="eastAsia" w:ascii="宋体" w:hAnsi="宋体" w:eastAsia="宋体" w:cs="宋体"/>
                <w:b/>
                <w:bCs w:val="0"/>
                <w:color w:val="auto"/>
                <w:sz w:val="24"/>
                <w:highlight w:val="none"/>
                <w:lang w:val="en-US" w:eastAsia="zh-CN"/>
              </w:rPr>
              <w:t>，时间以竣工验收报告时间为准。）</w:t>
            </w:r>
          </w:p>
          <w:p>
            <w:pPr>
              <w:pStyle w:val="21"/>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bCs w:val="0"/>
                <w:color w:val="auto"/>
                <w:sz w:val="24"/>
                <w:highlight w:val="none"/>
              </w:rPr>
              <w:t>（提供</w:t>
            </w:r>
            <w:r>
              <w:rPr>
                <w:rFonts w:hint="eastAsia" w:ascii="宋体" w:hAnsi="宋体" w:eastAsia="宋体" w:cs="宋体"/>
                <w:b/>
                <w:bCs w:val="0"/>
                <w:color w:val="auto"/>
                <w:sz w:val="24"/>
                <w:highlight w:val="none"/>
                <w:lang w:eastAsia="zh-CN"/>
              </w:rPr>
              <w:t>证明</w:t>
            </w:r>
            <w:r>
              <w:rPr>
                <w:rFonts w:hint="eastAsia" w:ascii="宋体" w:hAnsi="宋体" w:eastAsia="宋体" w:cs="宋体"/>
                <w:b/>
                <w:bCs w:val="0"/>
                <w:color w:val="auto"/>
                <w:sz w:val="24"/>
                <w:highlight w:val="none"/>
              </w:rPr>
              <w:t>材料复印件</w:t>
            </w:r>
            <w:r>
              <w:rPr>
                <w:rFonts w:hint="eastAsia" w:ascii="宋体" w:hAnsi="宋体" w:cs="宋体"/>
                <w:b/>
                <w:bCs w:val="0"/>
                <w:color w:val="auto"/>
                <w:sz w:val="24"/>
                <w:highlight w:val="none"/>
                <w:lang w:eastAsia="zh-CN"/>
              </w:rPr>
              <w:t>并加盖公章</w:t>
            </w:r>
            <w:r>
              <w:rPr>
                <w:rFonts w:hint="eastAsia" w:ascii="宋体" w:hAnsi="宋体" w:eastAsia="宋体" w:cs="宋体"/>
                <w:b/>
                <w:bCs w:val="0"/>
                <w:color w:val="auto"/>
                <w:sz w:val="24"/>
                <w:highlight w:val="none"/>
              </w:rPr>
              <w:t>，否则不得分</w:t>
            </w:r>
            <w:r>
              <w:rPr>
                <w:rFonts w:hint="eastAsia" w:ascii="宋体" w:hAnsi="宋体" w:eastAsia="宋体" w:cs="宋体"/>
                <w:b/>
                <w:bCs w:val="0"/>
                <w:color w:val="auto"/>
                <w:sz w:val="24"/>
                <w:highlight w:val="none"/>
                <w:lang w:eastAsia="zh-CN"/>
              </w:rPr>
              <w:t>。</w:t>
            </w:r>
            <w:r>
              <w:rPr>
                <w:rFonts w:hint="eastAsia" w:ascii="宋体" w:hAnsi="宋体" w:eastAsia="宋体" w:cs="宋体"/>
                <w:b/>
                <w:bCs w:val="0"/>
                <w:color w:val="auto"/>
                <w:sz w:val="24"/>
                <w:highlight w:val="none"/>
              </w:rPr>
              <w:t>）</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w:t>
            </w:r>
            <w:r>
              <w:rPr>
                <w:rFonts w:hint="eastAsia" w:ascii="宋体" w:hAnsi="宋体" w:eastAsia="宋体" w:cs="宋体"/>
                <w:color w:val="auto"/>
                <w:sz w:val="24"/>
                <w:szCs w:val="24"/>
                <w:highlight w:val="none"/>
                <w:lang w:val="en-US" w:eastAsia="zh-CN"/>
              </w:rPr>
              <w:t>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拟投入本工程的项目负责人具有</w:t>
            </w:r>
            <w:r>
              <w:rPr>
                <w:rFonts w:hint="eastAsia" w:ascii="宋体" w:hAnsi="宋体" w:cs="宋体"/>
                <w:color w:val="auto"/>
                <w:sz w:val="24"/>
                <w:szCs w:val="24"/>
                <w:highlight w:val="none"/>
                <w:lang w:eastAsia="zh-CN"/>
              </w:rPr>
              <w:t>中级工程师职称的得</w:t>
            </w:r>
            <w:r>
              <w:rPr>
                <w:rFonts w:hint="eastAsia" w:ascii="宋体" w:hAnsi="宋体" w:cs="宋体"/>
                <w:color w:val="auto"/>
                <w:sz w:val="24"/>
                <w:szCs w:val="24"/>
                <w:highlight w:val="none"/>
                <w:lang w:val="en-US" w:eastAsia="zh-CN"/>
              </w:rPr>
              <w:t>2分，具有高级工程师</w:t>
            </w:r>
            <w:r>
              <w:rPr>
                <w:rFonts w:hint="eastAsia" w:ascii="宋体" w:hAnsi="宋体" w:cs="宋体"/>
                <w:color w:val="auto"/>
                <w:sz w:val="24"/>
                <w:szCs w:val="24"/>
                <w:highlight w:val="none"/>
                <w:lang w:eastAsia="zh-CN"/>
              </w:rPr>
              <w:t>或</w:t>
            </w:r>
            <w:r>
              <w:rPr>
                <w:rFonts w:hint="eastAsia" w:ascii="宋体" w:hAnsi="宋体" w:eastAsia="宋体" w:cs="宋体"/>
                <w:color w:val="auto"/>
                <w:sz w:val="24"/>
                <w:szCs w:val="24"/>
                <w:highlight w:val="none"/>
              </w:rPr>
              <w:t>以上职称</w:t>
            </w:r>
            <w:r>
              <w:rPr>
                <w:rFonts w:hint="eastAsia" w:ascii="宋体" w:hAnsi="宋体" w:eastAsia="宋体" w:cs="宋体"/>
                <w:color w:val="auto"/>
                <w:sz w:val="24"/>
                <w:szCs w:val="24"/>
                <w:highlight w:val="none"/>
                <w:lang w:eastAsia="zh-CN"/>
              </w:rPr>
              <w:t>的得</w:t>
            </w:r>
            <w:r>
              <w:rPr>
                <w:rFonts w:hint="eastAsia" w:ascii="宋体" w:hAnsi="宋体" w:eastAsia="宋体" w:cs="宋体"/>
                <w:color w:val="auto"/>
                <w:sz w:val="24"/>
                <w:szCs w:val="24"/>
                <w:highlight w:val="none"/>
                <w:lang w:val="en-US" w:eastAsia="zh-CN"/>
              </w:rPr>
              <w:t>3分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拟投入本工程的技术负责人</w:t>
            </w:r>
            <w:r>
              <w:rPr>
                <w:rFonts w:hint="eastAsia" w:ascii="宋体" w:hAnsi="宋体" w:cs="宋体"/>
                <w:color w:val="auto"/>
                <w:sz w:val="24"/>
                <w:szCs w:val="24"/>
                <w:highlight w:val="none"/>
                <w:lang w:eastAsia="zh-CN"/>
              </w:rPr>
              <w:t>具有中级工程师职称的得</w:t>
            </w:r>
            <w:r>
              <w:rPr>
                <w:rFonts w:hint="eastAsia" w:ascii="宋体" w:hAnsi="宋体" w:cs="宋体"/>
                <w:color w:val="auto"/>
                <w:sz w:val="24"/>
                <w:szCs w:val="24"/>
                <w:highlight w:val="none"/>
                <w:lang w:val="en-US" w:eastAsia="zh-CN"/>
              </w:rPr>
              <w:t>2分，具有高级工程师</w:t>
            </w:r>
            <w:r>
              <w:rPr>
                <w:rFonts w:hint="eastAsia" w:ascii="宋体" w:hAnsi="宋体" w:eastAsia="宋体" w:cs="宋体"/>
                <w:color w:val="auto"/>
                <w:sz w:val="24"/>
                <w:szCs w:val="24"/>
                <w:highlight w:val="none"/>
              </w:rPr>
              <w:t>及以上职称</w:t>
            </w:r>
            <w:r>
              <w:rPr>
                <w:rFonts w:hint="eastAsia" w:ascii="宋体" w:hAnsi="宋体" w:eastAsia="宋体" w:cs="宋体"/>
                <w:color w:val="auto"/>
                <w:sz w:val="24"/>
                <w:szCs w:val="24"/>
                <w:highlight w:val="none"/>
                <w:lang w:eastAsia="zh-CN"/>
              </w:rPr>
              <w:t>的得</w:t>
            </w:r>
            <w:r>
              <w:rPr>
                <w:rFonts w:hint="eastAsia" w:ascii="宋体" w:hAnsi="宋体" w:eastAsia="宋体" w:cs="宋体"/>
                <w:color w:val="auto"/>
                <w:sz w:val="24"/>
                <w:szCs w:val="24"/>
                <w:highlight w:val="none"/>
                <w:lang w:val="en-US" w:eastAsia="zh-CN"/>
              </w:rPr>
              <w:t>3分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本项最高得</w:t>
            </w: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分</w:t>
            </w:r>
            <w:r>
              <w:rPr>
                <w:rFonts w:hint="eastAsia" w:ascii="宋体" w:hAnsi="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color w:val="auto"/>
                <w:sz w:val="24"/>
                <w:szCs w:val="24"/>
                <w:highlight w:val="none"/>
              </w:rPr>
              <w:t>（提供证书</w:t>
            </w:r>
            <w:r>
              <w:rPr>
                <w:rFonts w:hint="eastAsia" w:ascii="宋体" w:hAnsi="宋体" w:cs="宋体"/>
                <w:b/>
                <w:color w:val="auto"/>
                <w:sz w:val="24"/>
                <w:szCs w:val="24"/>
                <w:highlight w:val="none"/>
                <w:lang w:eastAsia="zh-CN"/>
              </w:rPr>
              <w:t>复印件</w:t>
            </w:r>
            <w:r>
              <w:rPr>
                <w:rFonts w:hint="eastAsia" w:ascii="宋体" w:hAnsi="宋体" w:eastAsia="宋体" w:cs="宋体"/>
                <w:b/>
                <w:color w:val="auto"/>
                <w:sz w:val="24"/>
                <w:szCs w:val="24"/>
                <w:highlight w:val="none"/>
              </w:rPr>
              <w:t>和</w:t>
            </w:r>
            <w:r>
              <w:rPr>
                <w:rFonts w:hint="eastAsia" w:ascii="宋体" w:hAnsi="宋体" w:cs="宋体"/>
                <w:b/>
                <w:color w:val="auto"/>
                <w:sz w:val="24"/>
                <w:szCs w:val="24"/>
                <w:highlight w:val="none"/>
                <w:lang w:eastAsia="zh-CN"/>
              </w:rPr>
              <w:t>近</w:t>
            </w:r>
            <w:r>
              <w:rPr>
                <w:rFonts w:hint="eastAsia" w:ascii="宋体" w:hAnsi="宋体" w:cs="宋体"/>
                <w:b/>
                <w:color w:val="auto"/>
                <w:sz w:val="24"/>
                <w:szCs w:val="24"/>
                <w:highlight w:val="none"/>
                <w:lang w:val="en-US" w:eastAsia="zh-CN"/>
              </w:rPr>
              <w:t>3个月社保证明并加盖公章</w:t>
            </w:r>
            <w:r>
              <w:rPr>
                <w:rFonts w:hint="eastAsia" w:ascii="宋体" w:hAnsi="宋体" w:eastAsia="宋体" w:cs="宋体"/>
                <w:b/>
                <w:color w:val="auto"/>
                <w:sz w:val="24"/>
                <w:szCs w:val="24"/>
                <w:highlight w:val="none"/>
              </w:rPr>
              <w:t>。）</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w:t>
            </w:r>
            <w:r>
              <w:rPr>
                <w:rFonts w:hint="eastAsia" w:ascii="宋体" w:hAnsi="宋体" w:eastAsia="宋体" w:cs="宋体"/>
                <w:color w:val="auto"/>
                <w:sz w:val="24"/>
                <w:szCs w:val="24"/>
                <w:highlight w:val="none"/>
                <w:lang w:val="en-US" w:eastAsia="zh-CN"/>
              </w:rPr>
              <w:t>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人员资质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56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Cs/>
                <w:color w:val="auto"/>
                <w:sz w:val="24"/>
                <w:szCs w:val="24"/>
                <w:highlight w:val="none"/>
              </w:rPr>
              <w:t>人员配备符合“《项目班组人员基本配备表》”</w:t>
            </w:r>
            <w:r>
              <w:rPr>
                <w:rFonts w:hint="eastAsia" w:ascii="宋体" w:hAnsi="宋体" w:cs="宋体"/>
                <w:bCs/>
                <w:color w:val="auto"/>
                <w:sz w:val="24"/>
                <w:szCs w:val="24"/>
                <w:highlight w:val="none"/>
                <w:lang w:eastAsia="zh-CN"/>
              </w:rPr>
              <w:t>中管理人员要求的</w:t>
            </w:r>
            <w:r>
              <w:rPr>
                <w:rFonts w:hint="eastAsia" w:ascii="宋体" w:hAnsi="宋体" w:eastAsia="宋体" w:cs="宋体"/>
                <w:bCs/>
                <w:color w:val="auto"/>
                <w:sz w:val="24"/>
                <w:szCs w:val="24"/>
                <w:highlight w:val="none"/>
              </w:rPr>
              <w:t>得4分，少1人扣1分，</w:t>
            </w:r>
            <w:r>
              <w:rPr>
                <w:rFonts w:hint="eastAsia" w:ascii="宋体" w:hAnsi="宋体" w:eastAsia="宋体" w:cs="宋体"/>
                <w:color w:val="auto"/>
                <w:sz w:val="24"/>
                <w:szCs w:val="24"/>
                <w:highlight w:val="none"/>
              </w:rPr>
              <w:t>本项最低得分为0分</w:t>
            </w:r>
            <w:r>
              <w:rPr>
                <w:rFonts w:hint="eastAsia" w:ascii="宋体" w:hAnsi="宋体" w:cs="宋体"/>
                <w:color w:val="auto"/>
                <w:sz w:val="24"/>
                <w:szCs w:val="24"/>
                <w:highlight w:val="none"/>
                <w:lang w:eastAsia="zh-CN"/>
              </w:rPr>
              <w:t>。</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提供相应人员的证书</w:t>
            </w:r>
            <w:r>
              <w:rPr>
                <w:rFonts w:hint="eastAsia" w:ascii="宋体" w:hAnsi="宋体" w:cs="宋体"/>
                <w:b/>
                <w:color w:val="auto"/>
                <w:sz w:val="24"/>
                <w:szCs w:val="24"/>
                <w:highlight w:val="none"/>
                <w:lang w:eastAsia="zh-CN"/>
              </w:rPr>
              <w:t>复印件</w:t>
            </w:r>
            <w:r>
              <w:rPr>
                <w:rFonts w:hint="eastAsia" w:ascii="宋体" w:hAnsi="宋体" w:eastAsia="宋体" w:cs="宋体"/>
                <w:b/>
                <w:color w:val="auto"/>
                <w:sz w:val="24"/>
                <w:szCs w:val="24"/>
                <w:highlight w:val="none"/>
              </w:rPr>
              <w:t>和</w:t>
            </w:r>
            <w:r>
              <w:rPr>
                <w:rFonts w:hint="eastAsia" w:ascii="宋体" w:hAnsi="宋体" w:cs="宋体"/>
                <w:b/>
                <w:color w:val="auto"/>
                <w:sz w:val="24"/>
                <w:szCs w:val="24"/>
                <w:highlight w:val="none"/>
                <w:lang w:eastAsia="zh-CN"/>
              </w:rPr>
              <w:t>近</w:t>
            </w:r>
            <w:r>
              <w:rPr>
                <w:rFonts w:hint="eastAsia" w:ascii="宋体" w:hAnsi="宋体" w:cs="宋体"/>
                <w:b/>
                <w:color w:val="auto"/>
                <w:sz w:val="24"/>
                <w:szCs w:val="24"/>
                <w:highlight w:val="none"/>
                <w:lang w:val="en-US" w:eastAsia="zh-CN"/>
              </w:rPr>
              <w:t>3个月社保证明并加盖公章</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szCs w:val="24"/>
                <w:highlight w:val="none"/>
                <w:lang w:val="en-US" w:eastAsia="zh-CN"/>
              </w:rPr>
              <w:t>分</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客观分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人员配备</w:t>
            </w:r>
          </w:p>
        </w:tc>
      </w:tr>
    </w:tbl>
    <w:p>
      <w:pPr>
        <w:pStyle w:val="958"/>
        <w:keepNext w:val="0"/>
        <w:keepLines w:val="0"/>
        <w:pageBreakBefore w:val="0"/>
        <w:widowControl w:val="0"/>
        <w:tabs>
          <w:tab w:val="left" w:pos="2309"/>
          <w:tab w:val="left" w:pos="2729"/>
          <w:tab w:val="left" w:pos="3826"/>
        </w:tabs>
        <w:kinsoku w:val="0"/>
        <w:wordWrap/>
        <w:overflowPunct/>
        <w:topLinePunct w:val="0"/>
        <w:autoSpaceDE/>
        <w:autoSpaceDN/>
        <w:bidi w:val="0"/>
        <w:adjustRightInd w:val="0"/>
        <w:snapToGrid w:val="0"/>
        <w:spacing w:before="63" w:beforeLines="20"/>
        <w:ind w:left="0" w:leftChars="0" w:right="0" w:rightChars="0"/>
        <w:jc w:val="center"/>
        <w:textAlignment w:val="auto"/>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  </w:t>
      </w:r>
    </w:p>
    <w:p>
      <w:pPr>
        <w:pStyle w:val="958"/>
        <w:keepNext w:val="0"/>
        <w:keepLines w:val="0"/>
        <w:pageBreakBefore w:val="0"/>
        <w:widowControl w:val="0"/>
        <w:tabs>
          <w:tab w:val="left" w:pos="2309"/>
          <w:tab w:val="left" w:pos="2729"/>
          <w:tab w:val="left" w:pos="3826"/>
        </w:tabs>
        <w:kinsoku w:val="0"/>
        <w:wordWrap/>
        <w:overflowPunct/>
        <w:topLinePunct w:val="0"/>
        <w:autoSpaceDE/>
        <w:autoSpaceDN/>
        <w:bidi w:val="0"/>
        <w:adjustRightInd w:val="0"/>
        <w:snapToGrid w:val="0"/>
        <w:spacing w:before="63" w:beforeLines="20"/>
        <w:ind w:left="0" w:leftChars="0" w:right="0" w:rightChars="0"/>
        <w:jc w:val="center"/>
        <w:textAlignment w:val="auto"/>
        <w:rPr>
          <w:rFonts w:hint="eastAsia" w:ascii="宋体" w:hAnsi="宋体" w:cs="宋体"/>
          <w:color w:val="auto"/>
          <w:sz w:val="20"/>
          <w:szCs w:val="20"/>
          <w:highlight w:val="none"/>
          <w:shd w:val="clear" w:color="auto" w:fill="FFFFFF"/>
        </w:rPr>
      </w:pPr>
    </w:p>
    <w:p>
      <w:pPr>
        <w:pStyle w:val="958"/>
        <w:keepNext w:val="0"/>
        <w:keepLines w:val="0"/>
        <w:pageBreakBefore w:val="0"/>
        <w:widowControl w:val="0"/>
        <w:tabs>
          <w:tab w:val="left" w:pos="2309"/>
          <w:tab w:val="left" w:pos="2729"/>
          <w:tab w:val="left" w:pos="3826"/>
        </w:tabs>
        <w:kinsoku w:val="0"/>
        <w:wordWrap/>
        <w:overflowPunct/>
        <w:topLinePunct w:val="0"/>
        <w:autoSpaceDE/>
        <w:autoSpaceDN/>
        <w:bidi w:val="0"/>
        <w:adjustRightInd w:val="0"/>
        <w:snapToGrid w:val="0"/>
        <w:spacing w:before="63" w:beforeLines="20"/>
        <w:ind w:left="0" w:leftChars="0" w:right="0" w:rightChars="0"/>
        <w:jc w:val="center"/>
        <w:textAlignment w:val="auto"/>
        <w:rPr>
          <w:rFonts w:hint="eastAsia" w:ascii="宋体" w:hAnsi="宋体" w:eastAsia="宋体" w:cs="宋体"/>
          <w:b/>
          <w:bCs/>
          <w:color w:val="auto"/>
          <w:spacing w:val="-9"/>
          <w:kern w:val="0"/>
          <w:sz w:val="24"/>
          <w:highlight w:val="none"/>
        </w:rPr>
      </w:pPr>
      <w:r>
        <w:rPr>
          <w:rFonts w:hint="eastAsia" w:ascii="宋体" w:hAnsi="宋体" w:eastAsia="宋体" w:cs="宋体"/>
          <w:b/>
          <w:bCs/>
          <w:color w:val="auto"/>
          <w:spacing w:val="-11"/>
          <w:kern w:val="0"/>
          <w:sz w:val="24"/>
          <w:highlight w:val="none"/>
        </w:rPr>
        <w:t>《项目班组人员基本配备表</w:t>
      </w:r>
      <w:r>
        <w:rPr>
          <w:rFonts w:hint="eastAsia" w:ascii="宋体" w:hAnsi="宋体" w:eastAsia="宋体" w:cs="宋体"/>
          <w:b/>
          <w:bCs/>
          <w:color w:val="auto"/>
          <w:spacing w:val="-9"/>
          <w:kern w:val="0"/>
          <w:sz w:val="24"/>
          <w:highlight w:val="none"/>
        </w:rPr>
        <w:t>》</w:t>
      </w:r>
    </w:p>
    <w:tbl>
      <w:tblPr>
        <w:tblStyle w:val="65"/>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47"/>
        <w:gridCol w:w="851"/>
        <w:gridCol w:w="5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6"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b/>
                <w:bCs/>
                <w:color w:val="auto"/>
                <w:kern w:val="21"/>
                <w:sz w:val="24"/>
                <w:highlight w:val="none"/>
              </w:rPr>
            </w:pPr>
            <w:r>
              <w:rPr>
                <w:rFonts w:hint="eastAsia" w:ascii="宋体" w:hAnsi="宋体" w:eastAsia="宋体" w:cs="宋体"/>
                <w:b/>
                <w:bCs/>
                <w:color w:val="auto"/>
                <w:kern w:val="21"/>
                <w:sz w:val="24"/>
                <w:highlight w:val="none"/>
              </w:rPr>
              <w:t>序号</w:t>
            </w:r>
          </w:p>
        </w:tc>
        <w:tc>
          <w:tcPr>
            <w:tcW w:w="2447"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b/>
                <w:bCs/>
                <w:color w:val="auto"/>
                <w:kern w:val="21"/>
                <w:sz w:val="24"/>
                <w:highlight w:val="none"/>
              </w:rPr>
            </w:pPr>
            <w:r>
              <w:rPr>
                <w:rFonts w:hint="eastAsia" w:ascii="宋体" w:hAnsi="宋体" w:eastAsia="宋体" w:cs="宋体"/>
                <w:b/>
                <w:bCs/>
                <w:color w:val="auto"/>
                <w:kern w:val="21"/>
                <w:sz w:val="24"/>
                <w:highlight w:val="none"/>
              </w:rPr>
              <w:t>岗位</w:t>
            </w:r>
          </w:p>
        </w:tc>
        <w:tc>
          <w:tcPr>
            <w:tcW w:w="851"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b/>
                <w:bCs/>
                <w:color w:val="auto"/>
                <w:kern w:val="21"/>
                <w:sz w:val="24"/>
                <w:highlight w:val="none"/>
              </w:rPr>
            </w:pPr>
            <w:r>
              <w:rPr>
                <w:rFonts w:hint="eastAsia" w:ascii="宋体" w:hAnsi="宋体" w:eastAsia="宋体" w:cs="宋体"/>
                <w:b/>
                <w:bCs/>
                <w:color w:val="auto"/>
                <w:kern w:val="21"/>
                <w:sz w:val="24"/>
                <w:highlight w:val="none"/>
              </w:rPr>
              <w:t>人数</w:t>
            </w:r>
          </w:p>
        </w:tc>
        <w:tc>
          <w:tcPr>
            <w:tcW w:w="5854"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b/>
                <w:bCs/>
                <w:color w:val="auto"/>
                <w:kern w:val="21"/>
                <w:sz w:val="24"/>
                <w:highlight w:val="none"/>
              </w:rPr>
            </w:pPr>
            <w:r>
              <w:rPr>
                <w:rFonts w:hint="eastAsia" w:ascii="宋体" w:hAnsi="宋体" w:eastAsia="宋体" w:cs="宋体"/>
                <w:b/>
                <w:bCs/>
                <w:color w:val="auto"/>
                <w:kern w:val="21"/>
                <w:sz w:val="24"/>
                <w:highlight w:val="none"/>
              </w:rPr>
              <w:t>岗位要求要求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6"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w:t>
            </w:r>
          </w:p>
        </w:tc>
        <w:tc>
          <w:tcPr>
            <w:tcW w:w="2447"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项目负责人（建造师）</w:t>
            </w:r>
          </w:p>
        </w:tc>
        <w:tc>
          <w:tcPr>
            <w:tcW w:w="851"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w:t>
            </w:r>
          </w:p>
        </w:tc>
        <w:tc>
          <w:tcPr>
            <w:tcW w:w="5854"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具有二级建造师（建筑工程）执业职格，具有“三类人员”安全生产考核B类合格证，无在建项目。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6"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2</w:t>
            </w:r>
          </w:p>
        </w:tc>
        <w:tc>
          <w:tcPr>
            <w:tcW w:w="2447"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施工管理人员</w:t>
            </w:r>
          </w:p>
        </w:tc>
        <w:tc>
          <w:tcPr>
            <w:tcW w:w="851"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w:t>
            </w:r>
          </w:p>
        </w:tc>
        <w:tc>
          <w:tcPr>
            <w:tcW w:w="5854"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具有土建（或建筑）施工员上岗证书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6"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3</w:t>
            </w:r>
          </w:p>
        </w:tc>
        <w:tc>
          <w:tcPr>
            <w:tcW w:w="2447"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质量管理人员</w:t>
            </w:r>
          </w:p>
        </w:tc>
        <w:tc>
          <w:tcPr>
            <w:tcW w:w="851"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w:t>
            </w:r>
          </w:p>
        </w:tc>
        <w:tc>
          <w:tcPr>
            <w:tcW w:w="5854"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具有质量员（或质检员）上岗证书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6"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4</w:t>
            </w:r>
          </w:p>
        </w:tc>
        <w:tc>
          <w:tcPr>
            <w:tcW w:w="2447"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安全管理人员</w:t>
            </w:r>
          </w:p>
        </w:tc>
        <w:tc>
          <w:tcPr>
            <w:tcW w:w="851"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w:t>
            </w:r>
          </w:p>
        </w:tc>
        <w:tc>
          <w:tcPr>
            <w:tcW w:w="5854"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具有有效期内的C类证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5</w:t>
            </w:r>
          </w:p>
        </w:tc>
        <w:tc>
          <w:tcPr>
            <w:tcW w:w="2447"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资料管理人员</w:t>
            </w:r>
          </w:p>
        </w:tc>
        <w:tc>
          <w:tcPr>
            <w:tcW w:w="851"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w:t>
            </w:r>
          </w:p>
        </w:tc>
        <w:tc>
          <w:tcPr>
            <w:tcW w:w="5854" w:type="dxa"/>
            <w:noWrap w:val="0"/>
            <w:vAlign w:val="center"/>
          </w:tcPr>
          <w:p>
            <w:pPr>
              <w:widowControl/>
              <w:kinsoku w:val="0"/>
              <w:autoSpaceDE w:val="0"/>
              <w:autoSpaceDN w:val="0"/>
              <w:adjustRightInd w:val="0"/>
              <w:snapToGrid w:val="0"/>
              <w:ind w:left="-105" w:leftChars="-50" w:right="-105" w:rightChars="-50"/>
              <w:jc w:val="center"/>
              <w:textAlignment w:val="baseline"/>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具有</w:t>
            </w:r>
            <w:r>
              <w:rPr>
                <w:rFonts w:hint="eastAsia" w:ascii="宋体" w:hAnsi="宋体" w:eastAsia="宋体" w:cs="宋体"/>
                <w:color w:val="auto"/>
                <w:sz w:val="24"/>
                <w:highlight w:val="none"/>
              </w:rPr>
              <w:t>资料员</w:t>
            </w:r>
            <w:r>
              <w:rPr>
                <w:rFonts w:hint="eastAsia" w:ascii="宋体" w:hAnsi="宋体" w:eastAsia="宋体" w:cs="宋体"/>
                <w:color w:val="auto"/>
                <w:kern w:val="21"/>
                <w:sz w:val="24"/>
                <w:highlight w:val="none"/>
              </w:rPr>
              <w:t>上岗证书</w:t>
            </w:r>
          </w:p>
        </w:tc>
      </w:tr>
    </w:tbl>
    <w:p>
      <w:pPr>
        <w:snapToGrid w:val="0"/>
        <w:spacing w:line="360" w:lineRule="auto"/>
        <w:rPr>
          <w:rFonts w:hint="eastAsia" w:ascii="宋体" w:hAnsi="宋体" w:cs="宋体"/>
          <w:color w:val="auto"/>
          <w:sz w:val="20"/>
          <w:szCs w:val="20"/>
          <w:highlight w:val="none"/>
          <w:shd w:val="clear" w:color="auto" w:fill="FFFFFF"/>
        </w:rPr>
      </w:pPr>
    </w:p>
    <w:p>
      <w:pPr>
        <w:adjustRightInd w:val="0"/>
        <w:snapToGrid w:val="0"/>
        <w:spacing w:line="360" w:lineRule="auto"/>
        <w:ind w:firstLine="0" w:firstLineChars="0"/>
        <w:rPr>
          <w:rFonts w:hint="eastAsia" w:ascii="宋体" w:hAnsi="宋体" w:cs="宋体"/>
          <w:color w:val="auto"/>
          <w:sz w:val="24"/>
          <w:highlight w:val="none"/>
          <w:lang w:eastAsia="zh-CN"/>
        </w:rPr>
      </w:pPr>
      <w:r>
        <w:rPr>
          <w:rFonts w:hint="eastAsia" w:ascii="宋体" w:hAnsi="宋体" w:cs="宋体"/>
          <w:color w:val="auto"/>
          <w:sz w:val="20"/>
          <w:szCs w:val="20"/>
          <w:highlight w:val="none"/>
          <w:shd w:val="clear" w:color="auto" w:fill="FFFFFF"/>
        </w:rPr>
        <w:t>*</w:t>
      </w:r>
      <w:r>
        <w:rPr>
          <w:rFonts w:hint="eastAsia" w:ascii="宋体" w:hAnsi="宋体" w:cs="宋体"/>
          <w:b/>
          <w:color w:val="auto"/>
          <w:sz w:val="24"/>
          <w:highlight w:val="none"/>
        </w:rPr>
        <w:t>备注：</w:t>
      </w:r>
      <w:r>
        <w:rPr>
          <w:rFonts w:hint="eastAsia" w:ascii="宋体" w:hAnsi="宋体" w:cs="宋体"/>
          <w:color w:val="auto"/>
          <w:sz w:val="24"/>
          <w:highlight w:val="none"/>
        </w:rPr>
        <w:t>供应商编制响应文件（商务技术文件部分）时，建议按此目录（序号和内容）提供评审标准相应的商务技术资料。 </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商务技术分=评标委员会所有成员评分合计数/评标委员会组成人员数（保留两位小数，四舍五入）；</w:t>
      </w:r>
    </w:p>
    <w:p>
      <w:pPr>
        <w:adjustRightInd w:val="0"/>
        <w:snapToGrid w:val="0"/>
        <w:spacing w:line="360" w:lineRule="auto"/>
        <w:ind w:firstLine="482" w:firstLineChars="200"/>
        <w:rPr>
          <w:rFonts w:hint="eastAsia" w:ascii="宋体" w:hAnsi="宋体"/>
          <w:color w:val="auto"/>
          <w:sz w:val="24"/>
          <w:highlight w:val="none"/>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价格分（30分）</w:t>
      </w:r>
      <w:r>
        <w:rPr>
          <w:rFonts w:hint="eastAsia" w:ascii="宋体" w:hAnsi="宋体"/>
          <w:b/>
          <w:bCs/>
          <w:color w:val="auto"/>
          <w:sz w:val="24"/>
          <w:highlight w:val="none"/>
          <w:lang w:eastAsia="zh-CN"/>
        </w:rPr>
        <w:t>：</w:t>
      </w:r>
      <w:r>
        <w:rPr>
          <w:rFonts w:hint="eastAsia" w:ascii="宋体" w:hAnsi="宋体"/>
          <w:color w:val="auto"/>
          <w:sz w:val="24"/>
          <w:highlight w:val="none"/>
        </w:rPr>
        <w:t>采用低价优先法计算，即满足磋商文件要求且投标价格最低的投标报价为评标基准价，其他供应商的价格分按照下列公式计算：</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价格分=（评标基准价/投标报价）×30×100%（保留两位小数，四舍五入）；</w:t>
      </w:r>
    </w:p>
    <w:p>
      <w:pPr>
        <w:adjustRightInd w:val="0"/>
        <w:snapToGrid w:val="0"/>
        <w:spacing w:line="360" w:lineRule="auto"/>
        <w:ind w:firstLine="472" w:firstLineChars="196"/>
        <w:rPr>
          <w:rFonts w:hint="eastAsia" w:ascii="宋体" w:hAnsi="宋体"/>
          <w:b/>
          <w:color w:val="auto"/>
          <w:sz w:val="24"/>
          <w:highlight w:val="none"/>
        </w:rPr>
      </w:pPr>
      <w:r>
        <w:rPr>
          <w:rFonts w:hint="eastAsia" w:ascii="宋体" w:hAnsi="宋体"/>
          <w:b/>
          <w:color w:val="auto"/>
          <w:sz w:val="24"/>
          <w:highlight w:val="none"/>
        </w:rPr>
        <w:t>报价是中标的一个重要因素，但最低报价不是中标的唯一依据。</w:t>
      </w:r>
    </w:p>
    <w:p>
      <w:pPr>
        <w:pStyle w:val="968"/>
        <w:ind w:firstLine="480"/>
        <w:rPr>
          <w:rFonts w:hint="eastAsia"/>
          <w:b/>
          <w:bCs/>
          <w:color w:val="auto"/>
          <w:highlight w:val="none"/>
        </w:rPr>
      </w:pPr>
      <w:r>
        <w:rPr>
          <w:rFonts w:hint="eastAsia"/>
          <w:b/>
          <w:bCs/>
          <w:color w:val="auto"/>
          <w:highlight w:val="none"/>
          <w:lang w:val="en-US" w:eastAsia="zh-CN"/>
        </w:rPr>
        <w:t>3、</w:t>
      </w:r>
      <w:r>
        <w:rPr>
          <w:rFonts w:hint="eastAsia"/>
          <w:b/>
          <w:bCs/>
          <w:color w:val="auto"/>
          <w:highlight w:val="none"/>
        </w:rPr>
        <w:t xml:space="preserve"> 供应商评标综合得分=价格分+商务技术分（保留两位小数，四舍五入）。</w:t>
      </w:r>
    </w:p>
    <w:p>
      <w:pPr>
        <w:jc w:val="left"/>
        <w:rPr>
          <w:rFonts w:ascii="宋体" w:hAnsi="宋体" w:cs="宋体"/>
          <w:b/>
          <w:color w:val="auto"/>
          <w:sz w:val="32"/>
          <w:highlight w:val="none"/>
        </w:rPr>
      </w:pPr>
      <w:r>
        <w:rPr>
          <w:rFonts w:hint="eastAsia" w:ascii="宋体" w:hAnsi="宋体" w:cs="宋体"/>
          <w:b/>
          <w:color w:val="auto"/>
          <w:sz w:val="32"/>
          <w:highlight w:val="none"/>
        </w:rPr>
        <w:br w:type="page"/>
      </w: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32"/>
          <w:highlight w:val="none"/>
        </w:rPr>
        <w:t>一、评审方法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综合评分法，是指响应文件满足磋商文件全部实质性要求且按评审因素的量化指标评审得分最高的供应商为成交候选供应商的评审方法。</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二、评审标准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评审标准：</w:t>
      </w:r>
      <w:r>
        <w:rPr>
          <w:rFonts w:hint="eastAsia" w:ascii="宋体" w:hAnsi="宋体" w:cs="宋体"/>
          <w:color w:val="auto"/>
          <w:kern w:val="0"/>
          <w:sz w:val="24"/>
          <w:highlight w:val="none"/>
        </w:rPr>
        <w:t>见评审办法前附表。</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三、评审程序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ascii="宋体" w:hAnsi="宋体" w:cs="宋体"/>
          <w:color w:val="auto"/>
          <w:sz w:val="24"/>
          <w:highlight w:val="none"/>
        </w:rPr>
      </w:pPr>
      <w:r>
        <w:rPr>
          <w:rFonts w:hint="eastAsia" w:ascii="宋体" w:hAnsi="宋体" w:cs="宋体"/>
          <w:b/>
          <w:color w:val="auto"/>
          <w:kern w:val="0"/>
          <w:sz w:val="24"/>
          <w:highlight w:val="none"/>
        </w:rPr>
        <w:t>3.2 磋商。</w:t>
      </w:r>
      <w:r>
        <w:rPr>
          <w:rFonts w:hint="eastAsia" w:ascii="宋体" w:hAnsi="宋体" w:cs="宋体"/>
          <w:color w:val="auto"/>
          <w:sz w:val="24"/>
          <w:highlight w:val="none"/>
        </w:rPr>
        <w:t>磋商小组将对确定为实质性响应本采购文件的响应文件进行详细评价和比较，主要就资信、服务方案内容、服务承诺等磋商小组认为与本次采购有关的因素与</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供应商逐一进行磋商。</w:t>
      </w:r>
    </w:p>
    <w:p>
      <w:pPr>
        <w:spacing w:line="360" w:lineRule="auto"/>
        <w:ind w:firstLine="470" w:firstLineChars="196"/>
        <w:rPr>
          <w:rFonts w:ascii="宋体" w:hAnsi="宋体" w:cs="宋体"/>
          <w:b/>
          <w:color w:val="auto"/>
          <w:sz w:val="24"/>
          <w:highlight w:val="none"/>
        </w:rPr>
      </w:pPr>
      <w:r>
        <w:rPr>
          <w:rFonts w:hint="eastAsia" w:ascii="宋体" w:hAnsi="宋体" w:cs="宋体"/>
          <w:bCs/>
          <w:color w:val="auto"/>
          <w:sz w:val="24"/>
          <w:highlight w:val="none"/>
        </w:rPr>
        <w:t xml:space="preserve">3.2.1 </w:t>
      </w:r>
      <w:r>
        <w:rPr>
          <w:rFonts w:hint="eastAsia" w:ascii="宋体" w:hAnsi="宋体" w:cs="宋体"/>
          <w:color w:val="auto"/>
          <w:sz w:val="24"/>
          <w:highlight w:val="none"/>
        </w:rPr>
        <w:t>供应商逐家回答磋商小组的提问；</w:t>
      </w:r>
      <w:r>
        <w:rPr>
          <w:rFonts w:hint="eastAsia" w:ascii="宋体" w:hAnsi="宋体" w:cs="宋体"/>
          <w:b/>
          <w:color w:val="auto"/>
          <w:sz w:val="24"/>
          <w:highlight w:val="none"/>
        </w:rPr>
        <w:t>逐家磋商一次为一个轮次，磋商轮次根据实际情况进行。</w:t>
      </w:r>
    </w:p>
    <w:p>
      <w:pPr>
        <w:spacing w:line="360" w:lineRule="auto"/>
        <w:ind w:firstLine="470" w:firstLineChars="196"/>
        <w:rPr>
          <w:rFonts w:ascii="宋体" w:hAnsi="宋体" w:cs="宋体"/>
          <w:color w:val="auto"/>
          <w:sz w:val="24"/>
          <w:highlight w:val="none"/>
        </w:rPr>
      </w:pPr>
      <w:r>
        <w:rPr>
          <w:rFonts w:hint="eastAsia" w:ascii="宋体" w:hAnsi="宋体" w:cs="宋体"/>
          <w:bCs/>
          <w:color w:val="auto"/>
          <w:sz w:val="24"/>
          <w:highlight w:val="none"/>
        </w:rPr>
        <w:t xml:space="preserve">3.2.2 </w:t>
      </w:r>
      <w:r>
        <w:rPr>
          <w:rFonts w:hint="eastAsia" w:ascii="宋体" w:hAnsi="宋体" w:cs="宋体"/>
          <w:color w:val="auto"/>
          <w:sz w:val="24"/>
          <w:highlight w:val="none"/>
        </w:rPr>
        <w:t>供应商应按磋商小组通知的时间在线或以邮件回复做出承诺或回复，承诺或回复的内容须由供应商法定代表人或授权代表签署，并作为响应文件的补充部分。</w:t>
      </w:r>
    </w:p>
    <w:p>
      <w:pPr>
        <w:spacing w:line="360" w:lineRule="auto"/>
        <w:ind w:firstLine="470" w:firstLineChars="196"/>
        <w:rPr>
          <w:rFonts w:ascii="宋体" w:hAnsi="宋体" w:cs="宋体"/>
          <w:bCs/>
          <w:color w:val="auto"/>
          <w:kern w:val="0"/>
          <w:sz w:val="24"/>
          <w:highlight w:val="none"/>
        </w:rPr>
      </w:pPr>
      <w:r>
        <w:rPr>
          <w:rFonts w:hint="eastAsia" w:ascii="宋体" w:hAnsi="宋体" w:cs="宋体"/>
          <w:color w:val="auto"/>
          <w:sz w:val="24"/>
          <w:highlight w:val="none"/>
        </w:rPr>
        <w:t xml:space="preserve">3.2.3 </w:t>
      </w:r>
      <w:r>
        <w:rPr>
          <w:rFonts w:hint="eastAsia" w:ascii="宋体" w:hAnsi="宋体" w:cs="宋体"/>
          <w:b/>
          <w:bCs/>
          <w:color w:val="auto"/>
          <w:sz w:val="24"/>
          <w:highlight w:val="none"/>
        </w:rPr>
        <w:t>在磋商过程中，磋商小组可以根据磋商文件和磋商情况实质性变动采购需求中的“※”号技术、服务要求以及合同草案中的“※”号条款，但不得变动磋商文件中的其他内容。</w:t>
      </w:r>
      <w:r>
        <w:rPr>
          <w:rFonts w:hint="eastAsia" w:ascii="宋体" w:hAnsi="宋体" w:cs="宋体"/>
          <w:color w:val="auto"/>
          <w:sz w:val="24"/>
          <w:highlight w:val="none"/>
        </w:rPr>
        <w:t>实质性变动的内容，须经采购人代表确认。磋商文件有实质性变动的，磋商小组将以书面形式通知所有</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 xml:space="preserve">供应商。 </w:t>
      </w:r>
    </w:p>
    <w:p>
      <w:pPr>
        <w:spacing w:line="360" w:lineRule="auto"/>
        <w:ind w:firstLine="472" w:firstLineChars="196"/>
        <w:rPr>
          <w:rFonts w:ascii="宋体" w:hAnsi="宋体" w:cs="宋体"/>
          <w:b/>
          <w:bCs/>
          <w:color w:val="auto"/>
          <w:kern w:val="0"/>
          <w:sz w:val="24"/>
          <w:highlight w:val="none"/>
        </w:rPr>
      </w:pPr>
      <w:r>
        <w:rPr>
          <w:rFonts w:hint="eastAsia" w:ascii="宋体" w:hAnsi="宋体" w:cs="宋体"/>
          <w:b/>
          <w:bCs/>
          <w:color w:val="auto"/>
          <w:kern w:val="0"/>
          <w:sz w:val="24"/>
          <w:highlight w:val="none"/>
        </w:rPr>
        <w:t>3.3最后报价</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3.3.3 已提交响应文件的供应商，在提交最后报价之前，可以根据磋商情况退出磋商</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3.4 综合评分。</w:t>
      </w:r>
      <w:r>
        <w:rPr>
          <w:rFonts w:hint="eastAsia" w:ascii="宋体" w:hAnsi="宋体" w:cs="宋体"/>
          <w:bCs/>
          <w:color w:val="auto"/>
          <w:kern w:val="0"/>
          <w:sz w:val="24"/>
          <w:highlight w:val="none"/>
        </w:rPr>
        <w:t>经磋商确定最终采购需求和提交最后报价的供应商后，</w:t>
      </w:r>
      <w:r>
        <w:rPr>
          <w:rFonts w:hint="eastAsia" w:ascii="宋体" w:hAnsi="宋体" w:cs="宋体"/>
          <w:color w:val="auto"/>
          <w:kern w:val="0"/>
          <w:sz w:val="24"/>
          <w:highlight w:val="none"/>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3.5汇总商务技术得分。</w:t>
      </w:r>
      <w:r>
        <w:rPr>
          <w:rFonts w:hint="eastAsia" w:ascii="宋体" w:hAnsi="宋体" w:cs="宋体"/>
          <w:color w:val="auto"/>
          <w:kern w:val="0"/>
          <w:sz w:val="24"/>
          <w:highlight w:val="none"/>
        </w:rPr>
        <w:t>磋商小组各成员应当独立对每个供应商的商务和技术文件进行评价，并汇总商务技术得分情况。磋商小组成员总评分偏离平均分30%以上的，以及个人主观打分偏离所有磋商小组成员主观打分平均值</w:t>
      </w:r>
      <w:r>
        <w:rPr>
          <w:rFonts w:ascii="宋体" w:hAnsi="宋体" w:cs="宋体"/>
          <w:color w:val="auto"/>
          <w:kern w:val="0"/>
          <w:sz w:val="24"/>
          <w:highlight w:val="none"/>
        </w:rPr>
        <w:t>30%以上的，由</w:t>
      </w:r>
      <w:r>
        <w:rPr>
          <w:rFonts w:hint="eastAsia" w:ascii="宋体" w:hAnsi="宋体" w:cs="宋体"/>
          <w:color w:val="auto"/>
          <w:kern w:val="0"/>
          <w:sz w:val="24"/>
          <w:highlight w:val="none"/>
        </w:rPr>
        <w:t>磋商小组</w:t>
      </w:r>
      <w:r>
        <w:rPr>
          <w:rFonts w:ascii="宋体" w:hAnsi="宋体" w:cs="宋体"/>
          <w:color w:val="auto"/>
          <w:kern w:val="0"/>
          <w:sz w:val="24"/>
          <w:highlight w:val="none"/>
        </w:rPr>
        <w:t>启动评分畸高、畸低行为认定程序</w:t>
      </w:r>
      <w:r>
        <w:rPr>
          <w:rFonts w:hint="eastAsia" w:ascii="宋体" w:hAnsi="宋体" w:cs="宋体"/>
          <w:color w:val="auto"/>
          <w:kern w:val="0"/>
          <w:sz w:val="24"/>
          <w:highlight w:val="none"/>
        </w:rPr>
        <w:t>，磋商小组组长应提醒相关评审人员进行复核或书面说明理由，评审人员拒绝说明的，由现场监督员据实记录；评审人员的评审、修改记录应保留原件，随项目其他资料一并存档。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3.6报价评审。</w:t>
      </w:r>
    </w:p>
    <w:p>
      <w:pPr>
        <w:pStyle w:val="132"/>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3.6.1响应文件报价出现前后不一致的，按照下列规定修正：</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3.6.1.1响应文件中已标价工程量清单内容与响应文件中相应内容不一致的，以已标价工程量清单为准;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3.6.1.2大写金额和小写金额不一致的，以大写金额为准;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3.6.1.3单价金额小数点或者百分比有明显错位的，以已标价工程量清单的总价为准，并修改单价;</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3.6.1.4总价金额与按单价汇总金额不一致的，以单价金额计算结果为准。</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3.6.1.5同时出现两种以上不一致的，按照3.6.1规定的顺序修正。修正后的报价经供应商确认后产生约束力。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3.6.2响应文件出现不是唯一的、有选择性最后报价的，响应文件无效。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3.6.3最后报价超过采购文件中规定的预算金额或者最高限价的，响应文件无效。</w:t>
      </w:r>
    </w:p>
    <w:p>
      <w:pPr>
        <w:pStyle w:val="13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3.6.4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3.7排序与推荐。</w:t>
      </w:r>
      <w:r>
        <w:rPr>
          <w:rFonts w:hint="eastAsia" w:ascii="宋体" w:hAnsi="宋体" w:cs="宋体"/>
          <w:color w:val="auto"/>
          <w:kern w:val="0"/>
          <w:sz w:val="24"/>
          <w:highlight w:val="none"/>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3.8编写评审报告。</w:t>
      </w:r>
      <w:r>
        <w:rPr>
          <w:rFonts w:hint="eastAsia" w:ascii="宋体" w:hAnsi="宋体" w:cs="宋体"/>
          <w:color w:val="auto"/>
          <w:kern w:val="0"/>
          <w:sz w:val="24"/>
          <w:highlight w:val="none"/>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ascii="宋体" w:hAnsi="宋体" w:cs="宋体"/>
          <w:b/>
          <w:color w:val="auto"/>
          <w:sz w:val="32"/>
          <w:highlight w:val="none"/>
        </w:rPr>
      </w:pPr>
      <w:r>
        <w:rPr>
          <w:rFonts w:hint="eastAsia" w:ascii="宋体" w:hAnsi="宋体" w:cs="宋体"/>
          <w:b/>
          <w:color w:val="auto"/>
          <w:sz w:val="32"/>
          <w:highlight w:val="none"/>
        </w:rPr>
        <w:t>四、评审中的其他事项</w:t>
      </w:r>
    </w:p>
    <w:p>
      <w:pPr>
        <w:pStyle w:val="132"/>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4.1供应商澄清、说明或者补正。</w:t>
      </w:r>
      <w:r>
        <w:rPr>
          <w:rFonts w:hint="eastAsia" w:ascii="宋体" w:hAnsi="宋体" w:cs="宋体"/>
          <w:color w:val="auto"/>
          <w:kern w:val="0"/>
          <w:szCs w:val="24"/>
          <w:highlight w:val="none"/>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8"/>
        <w:spacing w:line="360" w:lineRule="auto"/>
        <w:ind w:left="954" w:leftChars="226" w:hanging="479" w:firstLineChars="0"/>
        <w:rPr>
          <w:rFonts w:cs="宋体"/>
          <w:color w:val="auto"/>
          <w:szCs w:val="21"/>
          <w:highlight w:val="none"/>
        </w:rPr>
      </w:pPr>
      <w:r>
        <w:rPr>
          <w:rFonts w:hint="eastAsia" w:cs="宋体"/>
          <w:b/>
          <w:color w:val="auto"/>
          <w:kern w:val="0"/>
          <w:highlight w:val="none"/>
        </w:rPr>
        <w:t>4.2响应文件无效。</w:t>
      </w:r>
      <w:r>
        <w:rPr>
          <w:rFonts w:hint="eastAsia" w:cs="宋体"/>
          <w:color w:val="auto"/>
          <w:szCs w:val="21"/>
          <w:highlight w:val="none"/>
        </w:rPr>
        <w:t>有下列情形之一的，响应文件无效：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4.2.1供应商不具备采购文件中规定的资格要求的（供应商未提供有效的资格文件的，视为供应商不具备采购文件中规定的资格要求）；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4.2.2响应文件未按照采购文件要求签署、盖章的；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4.2.4响应文件含有采购人不能接受的附加条件的；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4.2.5响应文件中承诺的响应文件有效期少于采购文件中载明的响应文件有效期的；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4.2.6响应文件出现不是唯一的、有选择性最后报价的;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4.2.7最后报价超过采购文件中规定的预算金额或者最高限价的;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4.2.9供应商对根据修正原则修正后的报价不确认的；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4.2.10供应商提供虚假材料响应的；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4.2.11供应商有恶意串通、妨碍其他供应商的竞争行为、损害采购人或者其他供应商的合法权益情形的；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4.2.12供应商仅提交备份响应文件，未在电子交易平台传输递交响应文件的，响应文件无效；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 响应文件不满足采购文件的其它实质性要求的；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8"/>
        <w:snapToGrid w:val="0"/>
        <w:spacing w:line="360" w:lineRule="auto"/>
        <w:ind w:firstLine="472" w:firstLineChars="196"/>
        <w:rPr>
          <w:rFonts w:cs="宋体"/>
          <w:color w:val="auto"/>
          <w:highlight w:val="none"/>
        </w:rPr>
      </w:pPr>
      <w:r>
        <w:rPr>
          <w:rFonts w:hint="eastAsia" w:cs="宋体"/>
          <w:b/>
          <w:color w:val="auto"/>
          <w:highlight w:val="none"/>
        </w:rPr>
        <w:t>5.终止竞争性磋商采购活动。</w:t>
      </w:r>
      <w:r>
        <w:rPr>
          <w:rFonts w:hint="eastAsia" w:cs="宋体"/>
          <w:color w:val="auto"/>
          <w:highlight w:val="none"/>
        </w:rPr>
        <w:t>出现下列情形之一的，采购人或者采购代理机构应当终止竞争性磋商采购活动，发布项目终止公告并说明原因，重新开展采购活动：</w:t>
      </w:r>
    </w:p>
    <w:p>
      <w:pPr>
        <w:pStyle w:val="28"/>
        <w:snapToGrid w:val="0"/>
        <w:spacing w:line="360" w:lineRule="auto"/>
        <w:rPr>
          <w:rFonts w:cs="宋体"/>
          <w:color w:val="auto"/>
          <w:highlight w:val="none"/>
        </w:rPr>
      </w:pPr>
      <w:r>
        <w:rPr>
          <w:rFonts w:hint="eastAsia" w:cs="宋体"/>
          <w:color w:val="auto"/>
          <w:highlight w:val="none"/>
        </w:rPr>
        <w:t>5.1因情况变化，不再符合规定的竞争性磋商采购方式适用情形的；</w:t>
      </w:r>
    </w:p>
    <w:p>
      <w:pPr>
        <w:pStyle w:val="28"/>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8"/>
        <w:snapToGrid w:val="0"/>
        <w:spacing w:line="360" w:lineRule="auto"/>
        <w:rPr>
          <w:rFonts w:cs="宋体"/>
          <w:color w:val="auto"/>
          <w:highlight w:val="none"/>
        </w:rPr>
      </w:pPr>
      <w:r>
        <w:rPr>
          <w:rFonts w:hint="eastAsia" w:cs="宋体"/>
          <w:color w:val="auto"/>
          <w:highlight w:val="none"/>
        </w:rPr>
        <w:t>5.3除本办法第二十一条第三款规定的情形外，在采购过程中符合要求的供应商或者报价未超过采购预算的供应商不足3家的。</w:t>
      </w:r>
    </w:p>
    <w:p>
      <w:pPr>
        <w:pStyle w:val="28"/>
        <w:snapToGrid w:val="0"/>
        <w:spacing w:line="360" w:lineRule="auto"/>
        <w:rPr>
          <w:rFonts w:cs="宋体"/>
          <w:color w:val="auto"/>
          <w:highlight w:val="none"/>
        </w:rPr>
      </w:pPr>
      <w:r>
        <w:rPr>
          <w:rFonts w:hint="eastAsia" w:cs="宋体"/>
          <w:color w:val="auto"/>
          <w:highlight w:val="none"/>
        </w:rPr>
        <w:t>5.4在采购活动中因重大变故，采购任务取消的，采购人或者采购代理机构应当终止采购活动，通知所有参加采购活动的供应商，并将项目实施情况和采购任务取消原因报送本级财政部门。</w:t>
      </w:r>
    </w:p>
    <w:p>
      <w:pPr>
        <w:pStyle w:val="28"/>
        <w:snapToGrid w:val="0"/>
        <w:spacing w:line="360" w:lineRule="auto"/>
        <w:ind w:firstLine="482"/>
        <w:rPr>
          <w:rFonts w:cs="宋体"/>
          <w:color w:val="auto"/>
          <w:highlight w:val="none"/>
        </w:rPr>
      </w:pPr>
      <w:r>
        <w:rPr>
          <w:rFonts w:hint="eastAsia" w:cs="宋体"/>
          <w:b/>
          <w:color w:val="auto"/>
          <w:kern w:val="0"/>
          <w:highlight w:val="none"/>
        </w:rPr>
        <w:t>6.重新开展采购。</w:t>
      </w:r>
      <w:r>
        <w:rPr>
          <w:rFonts w:hint="eastAsia" w:cs="宋体"/>
          <w:color w:val="auto"/>
          <w:highlight w:val="none"/>
        </w:rPr>
        <w:t>有政府采购法第七十一条、第七十二条规定的违法行为之一，影响或者可能影响成交结果的，依照下列规定处理：</w:t>
      </w:r>
    </w:p>
    <w:p>
      <w:pPr>
        <w:pStyle w:val="28"/>
        <w:snapToGrid w:val="0"/>
        <w:spacing w:line="360" w:lineRule="auto"/>
        <w:rPr>
          <w:rFonts w:cs="宋体"/>
          <w:color w:val="auto"/>
          <w:highlight w:val="none"/>
        </w:rPr>
      </w:pPr>
      <w:r>
        <w:rPr>
          <w:rFonts w:hint="eastAsia" w:cs="宋体"/>
          <w:color w:val="auto"/>
          <w:highlight w:val="none"/>
        </w:rPr>
        <w:t>6.1未确定成交供应商的，终止本次政府采购活动，重新开展政府采购活动。</w:t>
      </w:r>
    </w:p>
    <w:p>
      <w:pPr>
        <w:pStyle w:val="28"/>
        <w:snapToGrid w:val="0"/>
        <w:spacing w:line="360" w:lineRule="auto"/>
        <w:rPr>
          <w:rFonts w:cs="宋体"/>
          <w:color w:val="auto"/>
          <w:highlight w:val="none"/>
        </w:rPr>
      </w:pPr>
      <w:r>
        <w:rPr>
          <w:rFonts w:hint="eastAsia" w:cs="宋体"/>
          <w:color w:val="auto"/>
          <w:highlight w:val="none"/>
        </w:rPr>
        <w:t>6.2已确定成交供应商但尚未签订政府采购合同的，成交结果无效，从合格的成交候选供应商中另行确定成交供应商；没有合格的成交候选供应商的，重新开展政府采购活动。</w:t>
      </w:r>
    </w:p>
    <w:p>
      <w:pPr>
        <w:pStyle w:val="28"/>
        <w:snapToGrid w:val="0"/>
        <w:spacing w:line="360" w:lineRule="auto"/>
        <w:rPr>
          <w:rFonts w:cs="宋体"/>
          <w:color w:val="auto"/>
          <w:highlight w:val="none"/>
        </w:rPr>
      </w:pPr>
      <w:r>
        <w:rPr>
          <w:rFonts w:hint="eastAsia" w:cs="宋体"/>
          <w:color w:val="auto"/>
          <w:highlight w:val="none"/>
        </w:rPr>
        <w:t>6.3政府采购合同已签订但尚未履行的，撤销合同，从合格的成交候选供应商中另行确定成交供应商；没有合格的成交候选供应商的，重新开展政府采购活动。</w:t>
      </w:r>
    </w:p>
    <w:p>
      <w:pPr>
        <w:pStyle w:val="28"/>
        <w:snapToGrid w:val="0"/>
        <w:spacing w:line="360" w:lineRule="auto"/>
        <w:rPr>
          <w:rFonts w:cs="宋体"/>
          <w:color w:val="auto"/>
          <w:highlight w:val="none"/>
        </w:rPr>
      </w:pPr>
      <w:r>
        <w:rPr>
          <w:rFonts w:hint="eastAsia" w:cs="宋体"/>
          <w:color w:val="auto"/>
          <w:highlight w:val="none"/>
        </w:rPr>
        <w:t>6.4政府采购合同已经履行，给采购人、供应商造成损失的，由责任人承担赔偿责任。</w:t>
      </w:r>
    </w:p>
    <w:p>
      <w:pPr>
        <w:pStyle w:val="28"/>
        <w:snapToGrid w:val="0"/>
        <w:spacing w:line="360" w:lineRule="auto"/>
        <w:rPr>
          <w:rFonts w:cs="宋体"/>
          <w:color w:val="auto"/>
          <w:highlight w:val="none"/>
        </w:rPr>
      </w:pPr>
      <w:r>
        <w:rPr>
          <w:rFonts w:hint="eastAsia" w:cs="宋体"/>
          <w:color w:val="auto"/>
          <w:highlight w:val="none"/>
        </w:rPr>
        <w:t>6.5政府采购当事人有其他违反政府采购法或者政府采购法实施条例等法律法规规定的行为，经改正后仍然影响或者可能影响成交结果或者依法被认定为成交无效的，依照6.1-6.4规定处理。</w:t>
      </w:r>
    </w:p>
    <w:p>
      <w:pPr>
        <w:pStyle w:val="28"/>
        <w:snapToGrid w:val="0"/>
        <w:spacing w:line="360" w:lineRule="auto"/>
        <w:ind w:firstLine="0" w:firstLineChars="0"/>
        <w:rPr>
          <w:rFonts w:cs="宋体"/>
          <w:color w:val="auto"/>
          <w:highlight w:val="none"/>
        </w:rPr>
        <w:sectPr>
          <w:pgSz w:w="11907" w:h="16840"/>
          <w:pgMar w:top="1440" w:right="1080" w:bottom="1440" w:left="1080" w:header="851" w:footer="851" w:gutter="0"/>
          <w:cols w:space="720" w:num="1"/>
        </w:sectPr>
      </w:pPr>
    </w:p>
    <w:bookmarkEnd w:id="31"/>
    <w:p>
      <w:pPr>
        <w:spacing w:line="360" w:lineRule="auto"/>
        <w:jc w:val="center"/>
        <w:outlineLvl w:val="0"/>
        <w:rPr>
          <w:rFonts w:ascii="宋体" w:hAnsi="宋体" w:cs="宋体"/>
          <w:b/>
          <w:color w:val="auto"/>
          <w:sz w:val="36"/>
          <w:szCs w:val="36"/>
          <w:highlight w:val="none"/>
        </w:rPr>
      </w:pPr>
      <w:bookmarkStart w:id="397" w:name="第五部分"/>
      <w:bookmarkStart w:id="398" w:name="_Toc86217003"/>
      <w:r>
        <w:rPr>
          <w:rFonts w:hint="eastAsia" w:ascii="宋体" w:hAnsi="宋体" w:cs="宋体"/>
          <w:b/>
          <w:color w:val="auto"/>
          <w:sz w:val="36"/>
          <w:szCs w:val="36"/>
          <w:highlight w:val="none"/>
        </w:rPr>
        <w:t>第五部分 拟签订的合同文本</w:t>
      </w:r>
    </w:p>
    <w:p>
      <w:pPr>
        <w:snapToGrid w:val="0"/>
        <w:spacing w:line="360" w:lineRule="auto"/>
        <w:ind w:firstLine="480" w:firstLineChars="200"/>
        <w:jc w:val="left"/>
        <w:rPr>
          <w:rFonts w:ascii="宋体" w:hAnsi="宋体"/>
          <w:snapToGrid w:val="0"/>
          <w:color w:val="auto"/>
          <w:kern w:val="0"/>
          <w:sz w:val="24"/>
          <w:szCs w:val="20"/>
          <w:highlight w:val="none"/>
        </w:rPr>
      </w:pPr>
      <w:r>
        <w:rPr>
          <w:rFonts w:hint="eastAsia" w:ascii="宋体" w:hAnsi="宋体"/>
          <w:snapToGrid w:val="0"/>
          <w:color w:val="auto"/>
          <w:kern w:val="0"/>
          <w:sz w:val="24"/>
          <w:szCs w:val="20"/>
          <w:highlight w:val="none"/>
        </w:rPr>
        <w:t>参考住房城乡建设部、原国家工商行政管理总局制定的《建设工程施工合同（示范文本）》（GF-2017-0201）。</w:t>
      </w:r>
    </w:p>
    <w:p>
      <w:pPr>
        <w:keepNext/>
        <w:keepLines/>
        <w:numPr>
          <w:ilvl w:val="1"/>
          <w:numId w:val="0"/>
        </w:numPr>
        <w:snapToGrid w:val="0"/>
        <w:spacing w:before="100" w:line="360" w:lineRule="auto"/>
        <w:jc w:val="center"/>
        <w:rPr>
          <w:rFonts w:ascii="宋体" w:hAnsi="宋体" w:cs="宋体"/>
          <w:snapToGrid w:val="0"/>
          <w:color w:val="auto"/>
          <w:kern w:val="44"/>
          <w:sz w:val="28"/>
          <w:szCs w:val="20"/>
          <w:highlight w:val="none"/>
        </w:rPr>
      </w:pPr>
      <w:r>
        <w:rPr>
          <w:rFonts w:hint="eastAsia" w:ascii="宋体" w:hAnsi="宋体" w:cs="宋体"/>
          <w:snapToGrid w:val="0"/>
          <w:color w:val="auto"/>
          <w:kern w:val="44"/>
          <w:sz w:val="24"/>
          <w:szCs w:val="20"/>
          <w:highlight w:val="none"/>
        </w:rPr>
        <w:br w:type="page"/>
      </w:r>
      <w:bookmarkStart w:id="399" w:name="_Toc32130"/>
      <w:bookmarkStart w:id="400" w:name="_Toc97299497"/>
      <w:r>
        <w:rPr>
          <w:rFonts w:hint="eastAsia" w:ascii="宋体" w:hAnsi="宋体" w:cs="宋体"/>
          <w:snapToGrid w:val="0"/>
          <w:color w:val="auto"/>
          <w:kern w:val="44"/>
          <w:sz w:val="28"/>
          <w:szCs w:val="20"/>
          <w:highlight w:val="none"/>
        </w:rPr>
        <w:t>第一部分  合同协议书</w:t>
      </w:r>
      <w:bookmarkEnd w:id="399"/>
      <w:bookmarkEnd w:id="400"/>
    </w:p>
    <w:p>
      <w:pPr>
        <w:snapToGrid w:val="0"/>
        <w:spacing w:line="360" w:lineRule="auto"/>
        <w:ind w:firstLine="470" w:firstLineChars="196"/>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发包人（全称）：</w:t>
      </w:r>
      <w:r>
        <w:rPr>
          <w:rFonts w:hint="eastAsia" w:ascii="宋体" w:hAnsi="宋体" w:cs="宋体"/>
          <w:snapToGrid w:val="0"/>
          <w:color w:val="auto"/>
          <w:kern w:val="0"/>
          <w:sz w:val="24"/>
          <w:highlight w:val="none"/>
          <w:u w:val="single"/>
        </w:rPr>
        <w:t xml:space="preserve">    </w:t>
      </w:r>
      <w:bookmarkStart w:id="401" w:name="SOA_hhxys_fbr"/>
      <w:r>
        <w:rPr>
          <w:rFonts w:hint="eastAsia" w:ascii="宋体" w:hAnsi="宋体" w:cs="宋体"/>
          <w:snapToGrid w:val="0"/>
          <w:color w:val="auto"/>
          <w:kern w:val="0"/>
          <w:sz w:val="24"/>
          <w:highlight w:val="none"/>
          <w:u w:val="single"/>
        </w:rPr>
        <w:t xml:space="preserve">                  </w:t>
      </w:r>
      <w:bookmarkEnd w:id="401"/>
      <w:r>
        <w:rPr>
          <w:rFonts w:hint="eastAsia" w:ascii="宋体" w:hAnsi="宋体" w:cs="宋体"/>
          <w:snapToGrid w:val="0"/>
          <w:color w:val="auto"/>
          <w:kern w:val="0"/>
          <w:sz w:val="24"/>
          <w:highlight w:val="none"/>
          <w:u w:val="single"/>
        </w:rPr>
        <w:t xml:space="preserve"> </w:t>
      </w:r>
    </w:p>
    <w:p>
      <w:pPr>
        <w:snapToGrid w:val="0"/>
        <w:spacing w:line="360" w:lineRule="auto"/>
        <w:ind w:firstLine="470" w:firstLineChars="196"/>
        <w:rPr>
          <w:rFonts w:ascii="宋体" w:hAnsi="宋体" w:cs="宋体"/>
          <w:b/>
          <w:snapToGrid w:val="0"/>
          <w:color w:val="auto"/>
          <w:kern w:val="0"/>
          <w:sz w:val="24"/>
          <w:highlight w:val="none"/>
          <w:u w:val="single"/>
        </w:rPr>
      </w:pPr>
      <w:r>
        <w:rPr>
          <w:rFonts w:hint="eastAsia" w:ascii="宋体" w:hAnsi="宋体" w:cs="宋体"/>
          <w:snapToGrid w:val="0"/>
          <w:color w:val="auto"/>
          <w:kern w:val="0"/>
          <w:sz w:val="24"/>
          <w:highlight w:val="none"/>
        </w:rPr>
        <w:t>承包人（全称）：</w:t>
      </w:r>
      <w:r>
        <w:rPr>
          <w:rFonts w:hint="eastAsia" w:ascii="宋体" w:hAnsi="宋体" w:cs="宋体"/>
          <w:snapToGrid w:val="0"/>
          <w:color w:val="auto"/>
          <w:kern w:val="0"/>
          <w:sz w:val="24"/>
          <w:highlight w:val="none"/>
          <w:u w:val="single"/>
        </w:rPr>
        <w:t xml:space="preserve">                  </w:t>
      </w:r>
      <w:bookmarkStart w:id="402" w:name="SOA_hhxys_cbr"/>
      <w:r>
        <w:rPr>
          <w:rFonts w:hint="eastAsia" w:ascii="宋体" w:hAnsi="宋体" w:cs="宋体"/>
          <w:snapToGrid w:val="0"/>
          <w:color w:val="auto"/>
          <w:kern w:val="0"/>
          <w:sz w:val="24"/>
          <w:highlight w:val="none"/>
          <w:u w:val="single"/>
        </w:rPr>
        <w:t xml:space="preserve">  </w:t>
      </w:r>
      <w:r>
        <w:rPr>
          <w:rFonts w:hint="eastAsia" w:ascii="宋体" w:hAnsi="宋体" w:cs="宋体"/>
          <w:b/>
          <w:snapToGrid w:val="0"/>
          <w:color w:val="auto"/>
          <w:kern w:val="0"/>
          <w:sz w:val="24"/>
          <w:highlight w:val="none"/>
          <w:u w:val="single"/>
        </w:rPr>
        <w:t xml:space="preserve">           </w:t>
      </w:r>
      <w:r>
        <w:rPr>
          <w:rFonts w:hint="eastAsia" w:ascii="宋体" w:hAnsi="宋体" w:cs="宋体"/>
          <w:snapToGrid w:val="0"/>
          <w:color w:val="auto"/>
          <w:kern w:val="0"/>
          <w:sz w:val="24"/>
          <w:highlight w:val="none"/>
          <w:u w:val="single"/>
        </w:rPr>
        <w:t xml:space="preserve">    </w:t>
      </w:r>
      <w:bookmarkEnd w:id="402"/>
      <w:r>
        <w:rPr>
          <w:rFonts w:hint="eastAsia" w:ascii="宋体" w:hAnsi="宋体" w:cs="宋体"/>
          <w:snapToGrid w:val="0"/>
          <w:color w:val="auto"/>
          <w:kern w:val="0"/>
          <w:sz w:val="24"/>
          <w:highlight w:val="none"/>
          <w:u w:val="single"/>
        </w:rPr>
        <w:t xml:space="preserve">   </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根据《中华人民共和国民法典》、 《中华人民共和国建筑法》及有关法律规定，遵循平等、自愿、公平和诚实信用的原则，双方就</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工程施工及有关事项协商一致，共同达成如下协议：</w:t>
      </w:r>
    </w:p>
    <w:p>
      <w:pPr>
        <w:snapToGrid w:val="0"/>
        <w:spacing w:before="24" w:beforeLines="10" w:after="24" w:afterLines="10" w:line="360" w:lineRule="auto"/>
        <w:outlineLvl w:val="1"/>
        <w:rPr>
          <w:rFonts w:ascii="宋体" w:hAnsi="宋体" w:cs="宋体"/>
          <w:b/>
          <w:bCs/>
          <w:snapToGrid w:val="0"/>
          <w:color w:val="auto"/>
          <w:kern w:val="0"/>
          <w:sz w:val="24"/>
          <w:highlight w:val="none"/>
        </w:rPr>
      </w:pPr>
      <w:bookmarkStart w:id="403" w:name="_Toc361220410"/>
      <w:bookmarkStart w:id="404" w:name="_Toc97299498"/>
      <w:r>
        <w:rPr>
          <w:rFonts w:hint="eastAsia" w:ascii="宋体" w:hAnsi="宋体" w:cs="宋体"/>
          <w:b/>
          <w:bCs/>
          <w:snapToGrid w:val="0"/>
          <w:color w:val="auto"/>
          <w:kern w:val="0"/>
          <w:sz w:val="24"/>
          <w:highlight w:val="none"/>
        </w:rPr>
        <w:t>一、工程概况</w:t>
      </w:r>
      <w:bookmarkEnd w:id="403"/>
      <w:bookmarkEnd w:id="404"/>
    </w:p>
    <w:p>
      <w:pPr>
        <w:snapToGrid w:val="0"/>
        <w:spacing w:line="360" w:lineRule="auto"/>
        <w:ind w:firstLine="470" w:firstLineChars="196"/>
        <w:rPr>
          <w:rFonts w:ascii="宋体" w:hAnsi="宋体" w:cs="宋体"/>
          <w:snapToGrid w:val="0"/>
          <w:color w:val="auto"/>
          <w:kern w:val="0"/>
          <w:sz w:val="24"/>
          <w:highlight w:val="none"/>
          <w:u w:val="single"/>
        </w:rPr>
      </w:pPr>
      <w:r>
        <w:rPr>
          <w:rFonts w:hint="eastAsia" w:ascii="宋体" w:hAnsi="宋体" w:cs="宋体"/>
          <w:bCs/>
          <w:snapToGrid w:val="0"/>
          <w:color w:val="auto"/>
          <w:kern w:val="0"/>
          <w:sz w:val="24"/>
          <w:highlight w:val="none"/>
        </w:rPr>
        <w:t>1.工程名称</w:t>
      </w:r>
      <w:r>
        <w:rPr>
          <w:rFonts w:hint="eastAsia" w:ascii="宋体" w:hAnsi="宋体" w:cs="宋体"/>
          <w:snapToGrid w:val="0"/>
          <w:color w:val="auto"/>
          <w:kern w:val="0"/>
          <w:sz w:val="24"/>
          <w:highlight w:val="none"/>
        </w:rPr>
        <w:t>：</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w:t>
      </w:r>
    </w:p>
    <w:p>
      <w:pPr>
        <w:snapToGrid w:val="0"/>
        <w:spacing w:line="360" w:lineRule="auto"/>
        <w:ind w:firstLine="470" w:firstLineChars="196"/>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2.工程地点：</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w:t>
      </w:r>
    </w:p>
    <w:p>
      <w:pPr>
        <w:snapToGrid w:val="0"/>
        <w:spacing w:line="360" w:lineRule="auto"/>
        <w:ind w:firstLine="470" w:firstLineChars="196"/>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3.工程立项批准文号：</w:t>
      </w:r>
      <w:r>
        <w:rPr>
          <w:rFonts w:hint="eastAsia" w:ascii="宋体" w:hAnsi="宋体" w:cs="宋体"/>
          <w:snapToGrid w:val="0"/>
          <w:color w:val="auto"/>
          <w:kern w:val="0"/>
          <w:sz w:val="24"/>
          <w:highlight w:val="none"/>
          <w:u w:val="single"/>
        </w:rPr>
        <w:t xml:space="preserve">       </w:t>
      </w:r>
      <w:r>
        <w:rPr>
          <w:rFonts w:hint="eastAsia" w:ascii="宋体" w:hAnsi="宋体" w:cs="宋体"/>
          <w:bCs/>
          <w:snapToGrid w:val="0"/>
          <w:color w:val="auto"/>
          <w:kern w:val="0"/>
          <w:sz w:val="24"/>
          <w:highlight w:val="none"/>
        </w:rPr>
        <w:t>。</w:t>
      </w:r>
    </w:p>
    <w:p>
      <w:pPr>
        <w:snapToGrid w:val="0"/>
        <w:spacing w:line="360" w:lineRule="auto"/>
        <w:ind w:firstLine="470" w:firstLineChars="196"/>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4.资金来源：</w:t>
      </w:r>
      <w:r>
        <w:rPr>
          <w:rFonts w:hint="eastAsia" w:ascii="宋体" w:hAnsi="宋体" w:cs="宋体"/>
          <w:snapToGrid w:val="0"/>
          <w:color w:val="auto"/>
          <w:kern w:val="0"/>
          <w:sz w:val="24"/>
          <w:highlight w:val="none"/>
          <w:u w:val="single"/>
        </w:rPr>
        <w:t>        </w:t>
      </w:r>
      <w:r>
        <w:rPr>
          <w:rFonts w:hint="eastAsia" w:ascii="宋体" w:hAnsi="宋体" w:cs="宋体"/>
          <w:bCs/>
          <w:snapToGrid w:val="0"/>
          <w:color w:val="auto"/>
          <w:kern w:val="0"/>
          <w:sz w:val="24"/>
          <w:highlight w:val="none"/>
        </w:rPr>
        <w:t>。</w:t>
      </w:r>
    </w:p>
    <w:p>
      <w:pPr>
        <w:snapToGrid w:val="0"/>
        <w:spacing w:line="360" w:lineRule="auto"/>
        <w:ind w:firstLine="463" w:firstLineChars="193"/>
        <w:rPr>
          <w:rFonts w:ascii="宋体" w:hAnsi="宋体" w:cs="宋体"/>
          <w:snapToGrid w:val="0"/>
          <w:color w:val="auto"/>
          <w:kern w:val="0"/>
          <w:sz w:val="24"/>
          <w:highlight w:val="none"/>
        </w:rPr>
      </w:pPr>
      <w:r>
        <w:rPr>
          <w:rFonts w:hint="eastAsia" w:ascii="宋体" w:hAnsi="宋体" w:cs="宋体"/>
          <w:bCs/>
          <w:snapToGrid w:val="0"/>
          <w:color w:val="auto"/>
          <w:kern w:val="0"/>
          <w:sz w:val="24"/>
          <w:highlight w:val="none"/>
        </w:rPr>
        <w:t xml:space="preserve">5.工程内容：                           </w:t>
      </w:r>
      <w:r>
        <w:rPr>
          <w:rFonts w:hint="eastAsia" w:ascii="宋体" w:hAnsi="宋体" w:cs="宋体"/>
          <w:snapToGrid w:val="0"/>
          <w:color w:val="auto"/>
          <w:kern w:val="0"/>
          <w:sz w:val="24"/>
          <w:highlight w:val="none"/>
        </w:rPr>
        <w:t xml:space="preserve"> </w:t>
      </w:r>
    </w:p>
    <w:p>
      <w:pPr>
        <w:snapToGrid w:val="0"/>
        <w:spacing w:line="360" w:lineRule="auto"/>
        <w:ind w:firstLine="470" w:firstLineChars="196"/>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6.工程承包范围：</w:t>
      </w:r>
    </w:p>
    <w:p>
      <w:pPr>
        <w:snapToGrid w:val="0"/>
        <w:spacing w:line="360" w:lineRule="auto"/>
        <w:ind w:firstLine="463" w:firstLineChars="193"/>
        <w:rPr>
          <w:rFonts w:ascii="宋体" w:hAnsi="宋体" w:cs="宋体"/>
          <w:bCs/>
          <w:snapToGrid w:val="0"/>
          <w:color w:val="auto"/>
          <w:kern w:val="0"/>
          <w:sz w:val="24"/>
          <w:highlight w:val="none"/>
        </w:rPr>
      </w:pPr>
      <w:bookmarkStart w:id="405" w:name="_Toc361220411"/>
      <w:r>
        <w:rPr>
          <w:rFonts w:hint="eastAsia" w:ascii="宋体" w:hAnsi="宋体" w:cs="宋体"/>
          <w:bCs/>
          <w:snapToGrid w:val="0"/>
          <w:color w:val="auto"/>
          <w:kern w:val="0"/>
          <w:sz w:val="24"/>
          <w:highlight w:val="none"/>
        </w:rPr>
        <w:t>本项目为（项目名称）项目，详见图纸、工程量清单以及采购文件要求</w:t>
      </w:r>
    </w:p>
    <w:p>
      <w:pPr>
        <w:snapToGrid w:val="0"/>
        <w:spacing w:line="360" w:lineRule="auto"/>
        <w:outlineLvl w:val="1"/>
        <w:rPr>
          <w:rFonts w:ascii="宋体" w:hAnsi="宋体" w:cs="宋体"/>
          <w:b/>
          <w:bCs/>
          <w:snapToGrid w:val="0"/>
          <w:color w:val="auto"/>
          <w:kern w:val="0"/>
          <w:sz w:val="24"/>
          <w:highlight w:val="none"/>
        </w:rPr>
      </w:pPr>
      <w:bookmarkStart w:id="406" w:name="_Toc97299499"/>
      <w:r>
        <w:rPr>
          <w:rFonts w:hint="eastAsia" w:ascii="宋体" w:hAnsi="宋体" w:cs="宋体"/>
          <w:b/>
          <w:bCs/>
          <w:snapToGrid w:val="0"/>
          <w:color w:val="auto"/>
          <w:kern w:val="0"/>
          <w:sz w:val="24"/>
          <w:highlight w:val="none"/>
        </w:rPr>
        <w:t>二、合同工期</w:t>
      </w:r>
      <w:bookmarkEnd w:id="405"/>
      <w:bookmarkEnd w:id="406"/>
    </w:p>
    <w:p>
      <w:pPr>
        <w:snapToGrid w:val="0"/>
        <w:spacing w:line="360" w:lineRule="auto"/>
        <w:ind w:firstLine="459"/>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计划开工日期：</w:t>
      </w:r>
      <w:r>
        <w:rPr>
          <w:rFonts w:hint="eastAsia" w:ascii="宋体" w:hAnsi="宋体" w:cs="宋体"/>
          <w:snapToGrid w:val="0"/>
          <w:color w:val="auto"/>
          <w:kern w:val="0"/>
          <w:sz w:val="24"/>
          <w:highlight w:val="none"/>
          <w:u w:val="single"/>
        </w:rPr>
        <w:t xml:space="preserve">20  </w:t>
      </w:r>
      <w:r>
        <w:rPr>
          <w:rFonts w:hint="eastAsia" w:ascii="宋体" w:hAnsi="宋体" w:cs="宋体"/>
          <w:snapToGrid w:val="0"/>
          <w:color w:val="auto"/>
          <w:kern w:val="0"/>
          <w:sz w:val="24"/>
          <w:highlight w:val="none"/>
        </w:rPr>
        <w:t>年</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月</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日；</w:t>
      </w:r>
    </w:p>
    <w:p>
      <w:pPr>
        <w:snapToGrid w:val="0"/>
        <w:spacing w:line="360" w:lineRule="auto"/>
        <w:ind w:firstLine="459"/>
        <w:rPr>
          <w:rFonts w:ascii="宋体" w:hAnsi="宋体" w:cs="宋体"/>
          <w:snapToGrid w:val="0"/>
          <w:color w:val="auto"/>
          <w:kern w:val="0"/>
          <w:sz w:val="24"/>
          <w:highlight w:val="none"/>
        </w:rPr>
      </w:pPr>
      <w:bookmarkStart w:id="407" w:name="SOA_hhxys_jgn"/>
      <w:r>
        <w:rPr>
          <w:rFonts w:hint="eastAsia" w:ascii="宋体" w:hAnsi="宋体" w:cs="宋体"/>
          <w:snapToGrid w:val="0"/>
          <w:color w:val="auto"/>
          <w:kern w:val="0"/>
          <w:sz w:val="24"/>
          <w:highlight w:val="none"/>
        </w:rPr>
        <w:t>计划竣工日期：</w:t>
      </w:r>
      <w:r>
        <w:rPr>
          <w:rFonts w:hint="eastAsia" w:ascii="宋体" w:hAnsi="宋体" w:cs="宋体"/>
          <w:snapToGrid w:val="0"/>
          <w:color w:val="auto"/>
          <w:kern w:val="0"/>
          <w:sz w:val="24"/>
          <w:highlight w:val="none"/>
          <w:u w:val="single"/>
        </w:rPr>
        <w:t xml:space="preserve">20  </w:t>
      </w:r>
      <w:r>
        <w:rPr>
          <w:rFonts w:hint="eastAsia" w:ascii="宋体" w:hAnsi="宋体" w:cs="宋体"/>
          <w:snapToGrid w:val="0"/>
          <w:color w:val="auto"/>
          <w:kern w:val="0"/>
          <w:sz w:val="24"/>
          <w:highlight w:val="none"/>
        </w:rPr>
        <w:t>年</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月</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日；</w:t>
      </w:r>
      <w:bookmarkEnd w:id="407"/>
    </w:p>
    <w:p>
      <w:pPr>
        <w:snapToGrid w:val="0"/>
        <w:spacing w:line="360" w:lineRule="auto"/>
        <w:ind w:firstLine="459"/>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工期总日历天数：</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天。工期总日历天数与根据前述计划开竣工日期计算的工期天数不一致的，以工期总日历天数为准。</w:t>
      </w:r>
    </w:p>
    <w:p>
      <w:pPr>
        <w:snapToGrid w:val="0"/>
        <w:spacing w:line="360" w:lineRule="auto"/>
        <w:outlineLvl w:val="1"/>
        <w:rPr>
          <w:rFonts w:ascii="宋体" w:hAnsi="宋体" w:cs="宋体"/>
          <w:b/>
          <w:bCs/>
          <w:snapToGrid w:val="0"/>
          <w:color w:val="auto"/>
          <w:kern w:val="0"/>
          <w:sz w:val="24"/>
          <w:highlight w:val="none"/>
        </w:rPr>
      </w:pPr>
      <w:bookmarkStart w:id="408" w:name="_Toc361220412"/>
      <w:bookmarkStart w:id="409" w:name="_Toc97299500"/>
      <w:r>
        <w:rPr>
          <w:rFonts w:hint="eastAsia" w:ascii="宋体" w:hAnsi="宋体" w:cs="宋体"/>
          <w:b/>
          <w:bCs/>
          <w:snapToGrid w:val="0"/>
          <w:color w:val="auto"/>
          <w:kern w:val="0"/>
          <w:sz w:val="24"/>
          <w:highlight w:val="none"/>
        </w:rPr>
        <w:t>三、质量标准</w:t>
      </w:r>
      <w:bookmarkEnd w:id="408"/>
      <w:bookmarkEnd w:id="409"/>
    </w:p>
    <w:p>
      <w:pPr>
        <w:snapToGrid w:val="0"/>
        <w:spacing w:line="360" w:lineRule="auto"/>
        <w:ind w:firstLine="459"/>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工程质量符合</w:t>
      </w:r>
      <w:r>
        <w:rPr>
          <w:rFonts w:hint="eastAsia" w:ascii="宋体" w:hAnsi="宋体" w:cs="宋体"/>
          <w:snapToGrid w:val="0"/>
          <w:color w:val="auto"/>
          <w:kern w:val="0"/>
          <w:sz w:val="24"/>
          <w:highlight w:val="none"/>
          <w:u w:val="single"/>
        </w:rPr>
        <w:t></w:t>
      </w:r>
      <w:bookmarkStart w:id="410" w:name="SOA_hhxys_zlbz"/>
      <w:r>
        <w:rPr>
          <w:rFonts w:hint="eastAsia" w:ascii="宋体" w:hAnsi="宋体" w:cs="宋体"/>
          <w:snapToGrid w:val="0"/>
          <w:color w:val="auto"/>
          <w:kern w:val="0"/>
          <w:sz w:val="24"/>
          <w:highlight w:val="none"/>
          <w:u w:val="single"/>
        </w:rPr>
        <w:t xml:space="preserve">       </w:t>
      </w:r>
      <w:bookmarkEnd w:id="410"/>
      <w:r>
        <w:rPr>
          <w:rFonts w:hint="eastAsia" w:ascii="宋体" w:hAnsi="宋体" w:cs="宋体"/>
          <w:snapToGrid w:val="0"/>
          <w:color w:val="auto"/>
          <w:kern w:val="0"/>
          <w:sz w:val="24"/>
          <w:highlight w:val="none"/>
          <w:u w:val="single"/>
        </w:rPr>
        <w:t></w:t>
      </w:r>
      <w:r>
        <w:rPr>
          <w:rFonts w:hint="eastAsia" w:ascii="宋体" w:hAnsi="宋体" w:cs="宋体"/>
          <w:snapToGrid w:val="0"/>
          <w:color w:val="auto"/>
          <w:kern w:val="0"/>
          <w:sz w:val="24"/>
          <w:highlight w:val="none"/>
        </w:rPr>
        <w:t>标准。</w:t>
      </w:r>
    </w:p>
    <w:p>
      <w:pPr>
        <w:snapToGrid w:val="0"/>
        <w:spacing w:line="360" w:lineRule="auto"/>
        <w:outlineLvl w:val="1"/>
        <w:rPr>
          <w:rFonts w:ascii="宋体" w:hAnsi="宋体" w:cs="宋体"/>
          <w:b/>
          <w:bCs/>
          <w:snapToGrid w:val="0"/>
          <w:color w:val="auto"/>
          <w:kern w:val="0"/>
          <w:sz w:val="24"/>
          <w:highlight w:val="none"/>
        </w:rPr>
      </w:pPr>
      <w:bookmarkStart w:id="411" w:name="_Toc361220413"/>
      <w:bookmarkStart w:id="412" w:name="_Toc97299501"/>
      <w:r>
        <w:rPr>
          <w:rFonts w:hint="eastAsia" w:ascii="宋体" w:hAnsi="宋体" w:cs="宋体"/>
          <w:b/>
          <w:bCs/>
          <w:snapToGrid w:val="0"/>
          <w:color w:val="auto"/>
          <w:kern w:val="0"/>
          <w:sz w:val="24"/>
          <w:highlight w:val="none"/>
        </w:rPr>
        <w:t>四、签约合同价与合同价格形式</w:t>
      </w:r>
      <w:bookmarkEnd w:id="411"/>
      <w:bookmarkEnd w:id="412"/>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1.签约合同价为：</w:t>
      </w:r>
    </w:p>
    <w:p>
      <w:pPr>
        <w:snapToGrid w:val="0"/>
        <w:spacing w:line="360" w:lineRule="auto"/>
        <w:ind w:firstLine="600" w:firstLineChars="25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人民币（大写）</w:t>
      </w:r>
      <w:bookmarkStart w:id="413" w:name="SOA_hhxys_htjdx"/>
      <w:r>
        <w:rPr>
          <w:rFonts w:hint="eastAsia" w:ascii="宋体" w:hAnsi="宋体" w:cs="宋体"/>
          <w:snapToGrid w:val="0"/>
          <w:color w:val="auto"/>
          <w:kern w:val="0"/>
          <w:sz w:val="24"/>
          <w:highlight w:val="none"/>
          <w:u w:val="single"/>
        </w:rPr>
        <w:t xml:space="preserve">                   </w:t>
      </w:r>
      <w:bookmarkEnd w:id="413"/>
      <w:r>
        <w:rPr>
          <w:rFonts w:hint="eastAsia" w:ascii="宋体" w:hAnsi="宋体" w:cs="宋体"/>
          <w:snapToGrid w:val="0"/>
          <w:color w:val="auto"/>
          <w:kern w:val="0"/>
          <w:sz w:val="24"/>
          <w:highlight w:val="none"/>
        </w:rPr>
        <w:t>(¥</w:t>
      </w:r>
      <w:r>
        <w:rPr>
          <w:rFonts w:hint="eastAsia" w:ascii="宋体" w:hAnsi="宋体" w:cs="宋体"/>
          <w:snapToGrid w:val="0"/>
          <w:color w:val="auto"/>
          <w:kern w:val="0"/>
          <w:sz w:val="24"/>
          <w:highlight w:val="none"/>
          <w:u w:val="single"/>
        </w:rPr>
        <w:t xml:space="preserve"> </w:t>
      </w:r>
      <w:bookmarkStart w:id="414" w:name="SOA_hhxys_htjxx"/>
      <w:r>
        <w:rPr>
          <w:rFonts w:hint="eastAsia" w:ascii="宋体" w:hAnsi="宋体" w:cs="宋体"/>
          <w:snapToGrid w:val="0"/>
          <w:color w:val="auto"/>
          <w:kern w:val="0"/>
          <w:sz w:val="24"/>
          <w:highlight w:val="none"/>
          <w:u w:val="single"/>
        </w:rPr>
        <w:t xml:space="preserve">            </w:t>
      </w:r>
      <w:bookmarkEnd w:id="414"/>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元)；</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其中：</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（1）安全文明施工费：</w:t>
      </w:r>
    </w:p>
    <w:p>
      <w:pPr>
        <w:snapToGrid w:val="0"/>
        <w:spacing w:line="360" w:lineRule="auto"/>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     人民币（大写）</w:t>
      </w:r>
      <w:bookmarkStart w:id="415" w:name="SOA_hhxys_wmsgfdx"/>
      <w:r>
        <w:rPr>
          <w:rFonts w:hint="eastAsia" w:ascii="宋体" w:hAnsi="宋体" w:cs="宋体"/>
          <w:snapToGrid w:val="0"/>
          <w:color w:val="auto"/>
          <w:kern w:val="0"/>
          <w:sz w:val="24"/>
          <w:highlight w:val="none"/>
          <w:u w:val="single"/>
        </w:rPr>
        <w:t xml:space="preserve">                </w:t>
      </w:r>
      <w:bookmarkEnd w:id="415"/>
      <w:r>
        <w:rPr>
          <w:rFonts w:hint="eastAsia" w:ascii="宋体" w:hAnsi="宋体" w:cs="宋体"/>
          <w:snapToGrid w:val="0"/>
          <w:color w:val="auto"/>
          <w:kern w:val="0"/>
          <w:sz w:val="24"/>
          <w:highlight w:val="none"/>
        </w:rPr>
        <w:t>(¥</w:t>
      </w:r>
      <w:bookmarkStart w:id="416" w:name="SOA_hhxys_wmsgfxx"/>
      <w:r>
        <w:rPr>
          <w:rFonts w:hint="eastAsia" w:ascii="宋体" w:hAnsi="宋体" w:cs="宋体"/>
          <w:snapToGrid w:val="0"/>
          <w:color w:val="auto"/>
          <w:kern w:val="0"/>
          <w:sz w:val="24"/>
          <w:highlight w:val="none"/>
          <w:u w:val="single"/>
        </w:rPr>
        <w:t xml:space="preserve">                  </w:t>
      </w:r>
      <w:bookmarkEnd w:id="416"/>
      <w:r>
        <w:rPr>
          <w:rFonts w:hint="eastAsia" w:ascii="宋体" w:hAnsi="宋体" w:cs="宋体"/>
          <w:snapToGrid w:val="0"/>
          <w:color w:val="auto"/>
          <w:kern w:val="0"/>
          <w:sz w:val="24"/>
          <w:highlight w:val="none"/>
        </w:rPr>
        <w:t>元)；</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（2）材料和工程设备暂估价金额：</w:t>
      </w:r>
    </w:p>
    <w:p>
      <w:pPr>
        <w:snapToGrid w:val="0"/>
        <w:spacing w:line="360" w:lineRule="auto"/>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     人民币（大写）</w:t>
      </w:r>
      <w:bookmarkStart w:id="417" w:name="SOA_hhxys_sbzgjdx"/>
      <w:r>
        <w:rPr>
          <w:rFonts w:hint="eastAsia" w:ascii="宋体" w:hAnsi="宋体" w:cs="宋体"/>
          <w:snapToGrid w:val="0"/>
          <w:color w:val="auto"/>
          <w:kern w:val="0"/>
          <w:sz w:val="24"/>
          <w:highlight w:val="none"/>
          <w:u w:val="single"/>
        </w:rPr>
        <w:t xml:space="preserve">       </w:t>
      </w:r>
      <w:bookmarkEnd w:id="417"/>
      <w:r>
        <w:rPr>
          <w:rFonts w:hint="eastAsia" w:ascii="宋体" w:hAnsi="宋体" w:cs="宋体"/>
          <w:snapToGrid w:val="0"/>
          <w:color w:val="auto"/>
          <w:kern w:val="0"/>
          <w:sz w:val="24"/>
          <w:highlight w:val="none"/>
        </w:rPr>
        <w:t>(¥</w:t>
      </w:r>
      <w:bookmarkStart w:id="418" w:name="SOA_hhxys_sbzgjxx"/>
      <w:r>
        <w:rPr>
          <w:rFonts w:hint="eastAsia" w:ascii="宋体" w:hAnsi="宋体" w:cs="宋体"/>
          <w:snapToGrid w:val="0"/>
          <w:color w:val="auto"/>
          <w:kern w:val="0"/>
          <w:sz w:val="24"/>
          <w:highlight w:val="none"/>
          <w:u w:val="single"/>
        </w:rPr>
        <w:t xml:space="preserve">      </w:t>
      </w:r>
      <w:bookmarkEnd w:id="418"/>
      <w:r>
        <w:rPr>
          <w:rFonts w:hint="eastAsia" w:ascii="宋体" w:hAnsi="宋体" w:cs="宋体"/>
          <w:snapToGrid w:val="0"/>
          <w:color w:val="auto"/>
          <w:kern w:val="0"/>
          <w:sz w:val="24"/>
          <w:highlight w:val="none"/>
        </w:rPr>
        <w:t>元)；</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（3）专业工程暂估价金额：</w:t>
      </w:r>
    </w:p>
    <w:p>
      <w:pPr>
        <w:snapToGrid w:val="0"/>
        <w:spacing w:line="360" w:lineRule="auto"/>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     人民币（大写）</w:t>
      </w:r>
      <w:bookmarkStart w:id="419" w:name="SOA_hhxys_gczgjdx"/>
      <w:r>
        <w:rPr>
          <w:rFonts w:hint="eastAsia" w:ascii="宋体" w:hAnsi="宋体" w:cs="宋体"/>
          <w:snapToGrid w:val="0"/>
          <w:color w:val="auto"/>
          <w:kern w:val="0"/>
          <w:sz w:val="24"/>
          <w:highlight w:val="none"/>
          <w:u w:val="single"/>
        </w:rPr>
        <w:t xml:space="preserve">       </w:t>
      </w:r>
      <w:bookmarkEnd w:id="419"/>
      <w:r>
        <w:rPr>
          <w:rFonts w:hint="eastAsia" w:ascii="宋体" w:hAnsi="宋体" w:cs="宋体"/>
          <w:snapToGrid w:val="0"/>
          <w:color w:val="auto"/>
          <w:kern w:val="0"/>
          <w:sz w:val="24"/>
          <w:highlight w:val="none"/>
        </w:rPr>
        <w:t>(¥</w:t>
      </w:r>
      <w:bookmarkStart w:id="420" w:name="SOA_hhxys_gczgjxx"/>
      <w:r>
        <w:rPr>
          <w:rFonts w:hint="eastAsia" w:ascii="宋体" w:hAnsi="宋体" w:cs="宋体"/>
          <w:snapToGrid w:val="0"/>
          <w:color w:val="auto"/>
          <w:kern w:val="0"/>
          <w:sz w:val="24"/>
          <w:highlight w:val="none"/>
          <w:u w:val="single"/>
        </w:rPr>
        <w:t xml:space="preserve">       </w:t>
      </w:r>
      <w:bookmarkEnd w:id="420"/>
      <w:r>
        <w:rPr>
          <w:rFonts w:hint="eastAsia" w:ascii="宋体" w:hAnsi="宋体" w:cs="宋体"/>
          <w:snapToGrid w:val="0"/>
          <w:color w:val="auto"/>
          <w:kern w:val="0"/>
          <w:sz w:val="24"/>
          <w:highlight w:val="none"/>
        </w:rPr>
        <w:t>元)；</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（4）暂列金额：</w:t>
      </w:r>
    </w:p>
    <w:p>
      <w:pPr>
        <w:snapToGrid w:val="0"/>
        <w:spacing w:line="360" w:lineRule="auto"/>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     人民币（大写）</w:t>
      </w:r>
      <w:bookmarkStart w:id="421" w:name="SOA_hhxys_zljedx"/>
      <w:r>
        <w:rPr>
          <w:rFonts w:hint="eastAsia" w:ascii="宋体" w:hAnsi="宋体" w:cs="宋体"/>
          <w:snapToGrid w:val="0"/>
          <w:color w:val="auto"/>
          <w:kern w:val="0"/>
          <w:sz w:val="24"/>
          <w:highlight w:val="none"/>
          <w:u w:val="single"/>
        </w:rPr>
        <w:t xml:space="preserve">       </w:t>
      </w:r>
      <w:bookmarkEnd w:id="421"/>
      <w:r>
        <w:rPr>
          <w:rFonts w:hint="eastAsia" w:ascii="宋体" w:hAnsi="宋体" w:cs="宋体"/>
          <w:snapToGrid w:val="0"/>
          <w:color w:val="auto"/>
          <w:kern w:val="0"/>
          <w:sz w:val="24"/>
          <w:highlight w:val="none"/>
        </w:rPr>
        <w:t>(¥</w:t>
      </w:r>
      <w:bookmarkStart w:id="422" w:name="SOA_hhxys_zljexx"/>
      <w:r>
        <w:rPr>
          <w:rFonts w:hint="eastAsia" w:ascii="宋体" w:hAnsi="宋体" w:cs="宋体"/>
          <w:snapToGrid w:val="0"/>
          <w:color w:val="auto"/>
          <w:kern w:val="0"/>
          <w:sz w:val="24"/>
          <w:highlight w:val="none"/>
          <w:u w:val="single"/>
        </w:rPr>
        <w:t xml:space="preserve">        </w:t>
      </w:r>
      <w:bookmarkEnd w:id="422"/>
      <w:r>
        <w:rPr>
          <w:rFonts w:hint="eastAsia" w:ascii="宋体" w:hAnsi="宋体" w:cs="宋体"/>
          <w:snapToGrid w:val="0"/>
          <w:color w:val="auto"/>
          <w:kern w:val="0"/>
          <w:sz w:val="24"/>
          <w:highlight w:val="none"/>
        </w:rPr>
        <w:t>元)。</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2.合同价格形式：</w:t>
      </w:r>
      <w:r>
        <w:rPr>
          <w:rFonts w:hint="eastAsia" w:ascii="宋体" w:hAnsi="宋体" w:cs="宋体"/>
          <w:snapToGrid w:val="0"/>
          <w:color w:val="auto"/>
          <w:kern w:val="0"/>
          <w:sz w:val="24"/>
          <w:highlight w:val="none"/>
          <w:u w:val="single"/>
        </w:rPr>
        <w:t></w:t>
      </w:r>
      <w:bookmarkStart w:id="423" w:name="SOA_hhxys_htjgxs"/>
      <w:r>
        <w:rPr>
          <w:rFonts w:hint="eastAsia" w:ascii="宋体" w:hAnsi="宋体" w:cs="宋体"/>
          <w:snapToGrid w:val="0"/>
          <w:color w:val="auto"/>
          <w:kern w:val="0"/>
          <w:sz w:val="24"/>
          <w:highlight w:val="none"/>
          <w:u w:val="single"/>
        </w:rPr>
        <w:t xml:space="preserve">  </w:t>
      </w:r>
      <w:bookmarkEnd w:id="423"/>
      <w:r>
        <w:rPr>
          <w:rFonts w:hint="eastAsia" w:ascii="宋体" w:hAnsi="宋体" w:cs="宋体"/>
          <w:snapToGrid w:val="0"/>
          <w:color w:val="auto"/>
          <w:kern w:val="0"/>
          <w:sz w:val="24"/>
          <w:highlight w:val="none"/>
          <w:u w:val="single"/>
        </w:rPr>
        <w:t xml:space="preserve">      </w:t>
      </w:r>
      <w:r>
        <w:rPr>
          <w:rFonts w:hint="eastAsia" w:ascii="宋体" w:hAnsi="宋体" w:cs="宋体"/>
          <w:snapToGrid w:val="0"/>
          <w:color w:val="auto"/>
          <w:kern w:val="0"/>
          <w:sz w:val="24"/>
          <w:highlight w:val="none"/>
        </w:rPr>
        <w:t>。</w:t>
      </w:r>
    </w:p>
    <w:p>
      <w:pPr>
        <w:snapToGrid w:val="0"/>
        <w:spacing w:line="360" w:lineRule="auto"/>
        <w:outlineLvl w:val="1"/>
        <w:rPr>
          <w:rFonts w:ascii="宋体" w:hAnsi="宋体" w:cs="宋体"/>
          <w:b/>
          <w:bCs/>
          <w:snapToGrid w:val="0"/>
          <w:color w:val="auto"/>
          <w:kern w:val="0"/>
          <w:sz w:val="24"/>
          <w:highlight w:val="none"/>
        </w:rPr>
      </w:pPr>
      <w:bookmarkStart w:id="424" w:name="_Toc97299502"/>
      <w:bookmarkStart w:id="425" w:name="_Toc361220414"/>
      <w:r>
        <w:rPr>
          <w:rFonts w:hint="eastAsia" w:ascii="宋体" w:hAnsi="宋体" w:cs="宋体"/>
          <w:b/>
          <w:bCs/>
          <w:snapToGrid w:val="0"/>
          <w:color w:val="auto"/>
          <w:kern w:val="0"/>
          <w:sz w:val="24"/>
          <w:highlight w:val="none"/>
        </w:rPr>
        <w:t>五、项目经理</w:t>
      </w:r>
      <w:bookmarkEnd w:id="424"/>
      <w:bookmarkEnd w:id="425"/>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承包人项目经理：</w:t>
      </w:r>
      <w:r>
        <w:rPr>
          <w:rFonts w:hint="eastAsia" w:ascii="宋体" w:hAnsi="宋体" w:cs="宋体"/>
          <w:snapToGrid w:val="0"/>
          <w:color w:val="auto"/>
          <w:kern w:val="0"/>
          <w:sz w:val="24"/>
          <w:highlight w:val="none"/>
          <w:u w:val="single"/>
        </w:rPr>
        <w:t></w:t>
      </w:r>
      <w:bookmarkStart w:id="426" w:name="SOA_hhxys_cbrxmjl"/>
      <w:r>
        <w:rPr>
          <w:rFonts w:hint="eastAsia" w:ascii="宋体" w:hAnsi="宋体" w:cs="宋体"/>
          <w:snapToGrid w:val="0"/>
          <w:color w:val="auto"/>
          <w:kern w:val="0"/>
          <w:sz w:val="24"/>
          <w:highlight w:val="none"/>
          <w:u w:val="single"/>
        </w:rPr>
        <w:t xml:space="preserve">        </w:t>
      </w:r>
      <w:bookmarkEnd w:id="426"/>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w:t>
      </w:r>
    </w:p>
    <w:p>
      <w:pPr>
        <w:snapToGrid w:val="0"/>
        <w:spacing w:line="360" w:lineRule="auto"/>
        <w:outlineLvl w:val="1"/>
        <w:rPr>
          <w:rFonts w:ascii="宋体" w:hAnsi="宋体" w:cs="宋体"/>
          <w:b/>
          <w:bCs/>
          <w:snapToGrid w:val="0"/>
          <w:color w:val="auto"/>
          <w:kern w:val="0"/>
          <w:sz w:val="24"/>
          <w:highlight w:val="none"/>
        </w:rPr>
      </w:pPr>
      <w:bookmarkStart w:id="427" w:name="_Toc361220415"/>
      <w:bookmarkStart w:id="428" w:name="_Toc97299503"/>
      <w:r>
        <w:rPr>
          <w:rFonts w:hint="eastAsia" w:ascii="宋体" w:hAnsi="宋体" w:cs="宋体"/>
          <w:b/>
          <w:bCs/>
          <w:snapToGrid w:val="0"/>
          <w:color w:val="auto"/>
          <w:kern w:val="0"/>
          <w:sz w:val="24"/>
          <w:highlight w:val="none"/>
        </w:rPr>
        <w:t>六、合同文件构成</w:t>
      </w:r>
      <w:bookmarkEnd w:id="427"/>
      <w:bookmarkEnd w:id="428"/>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本协议书与下列文件一起构成合同文件：</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（1）成交通知书（如果有）；</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 xml:space="preserve">（2）响应函及其附录（如果有）； </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（3）专用合同条款及其附件；</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（4）通用合同条款；</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（5）技术标准和要求；</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（6）图纸；</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（7）已标价工程量清单或预算书；</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（8）其他合同文件。</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在合同订立及履行过程中形成的与合同有关的文件均构成合同文件组成部分。</w:t>
      </w:r>
    </w:p>
    <w:p>
      <w:pPr>
        <w:autoSpaceDE w:val="0"/>
        <w:autoSpaceDN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outlineLvl w:val="1"/>
        <w:rPr>
          <w:rFonts w:ascii="宋体" w:hAnsi="宋体" w:cs="宋体"/>
          <w:b/>
          <w:bCs/>
          <w:snapToGrid w:val="0"/>
          <w:color w:val="auto"/>
          <w:kern w:val="0"/>
          <w:sz w:val="24"/>
          <w:highlight w:val="none"/>
        </w:rPr>
      </w:pPr>
      <w:bookmarkStart w:id="429" w:name="_Toc97299504"/>
      <w:bookmarkStart w:id="430" w:name="_Toc361220416"/>
      <w:r>
        <w:rPr>
          <w:rFonts w:hint="eastAsia" w:ascii="宋体" w:hAnsi="宋体" w:cs="宋体"/>
          <w:b/>
          <w:bCs/>
          <w:snapToGrid w:val="0"/>
          <w:color w:val="auto"/>
          <w:kern w:val="0"/>
          <w:sz w:val="24"/>
          <w:highlight w:val="none"/>
        </w:rPr>
        <w:t>七、承诺</w:t>
      </w:r>
      <w:bookmarkEnd w:id="429"/>
      <w:bookmarkEnd w:id="430"/>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1.发包人承诺按照法律规定履行项目审批手续、筹集工程建设资金并按照合同约定的期限和方式支付合同价款。</w:t>
      </w:r>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3.发包人和承包人通过</w:t>
      </w:r>
      <w:r>
        <w:rPr>
          <w:rFonts w:hint="eastAsia"/>
          <w:color w:val="auto"/>
          <w:highlight w:val="none"/>
        </w:rPr>
        <w:t>政府采购</w:t>
      </w:r>
      <w:r>
        <w:rPr>
          <w:rFonts w:hint="eastAsia" w:ascii="宋体" w:hAnsi="宋体" w:cs="宋体"/>
          <w:bCs/>
          <w:snapToGrid w:val="0"/>
          <w:color w:val="auto"/>
          <w:kern w:val="0"/>
          <w:sz w:val="24"/>
          <w:highlight w:val="none"/>
        </w:rPr>
        <w:t>形式签订合同的，双方理解并承诺不再就同一工程另行签订与合同实质性内容相背离的协议。</w:t>
      </w:r>
    </w:p>
    <w:p>
      <w:pPr>
        <w:snapToGrid w:val="0"/>
        <w:spacing w:line="360" w:lineRule="auto"/>
        <w:outlineLvl w:val="1"/>
        <w:rPr>
          <w:rFonts w:ascii="宋体" w:hAnsi="宋体" w:cs="宋体"/>
          <w:b/>
          <w:bCs/>
          <w:snapToGrid w:val="0"/>
          <w:color w:val="auto"/>
          <w:kern w:val="0"/>
          <w:sz w:val="24"/>
          <w:highlight w:val="none"/>
        </w:rPr>
      </w:pPr>
      <w:bookmarkStart w:id="431" w:name="_Toc97299505"/>
      <w:bookmarkStart w:id="432" w:name="_Toc361220417"/>
      <w:r>
        <w:rPr>
          <w:rFonts w:hint="eastAsia" w:ascii="宋体" w:hAnsi="宋体" w:cs="宋体"/>
          <w:b/>
          <w:bCs/>
          <w:snapToGrid w:val="0"/>
          <w:color w:val="auto"/>
          <w:kern w:val="0"/>
          <w:sz w:val="24"/>
          <w:highlight w:val="none"/>
        </w:rPr>
        <w:t>八、词语含义</w:t>
      </w:r>
      <w:bookmarkEnd w:id="431"/>
      <w:bookmarkEnd w:id="432"/>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本协议书中词语含义与第二部分通用合同条款中赋予的含义相同。</w:t>
      </w:r>
    </w:p>
    <w:p>
      <w:pPr>
        <w:snapToGrid w:val="0"/>
        <w:spacing w:line="360" w:lineRule="auto"/>
        <w:outlineLvl w:val="1"/>
        <w:rPr>
          <w:rFonts w:ascii="宋体" w:hAnsi="宋体" w:cs="宋体"/>
          <w:b/>
          <w:bCs/>
          <w:snapToGrid w:val="0"/>
          <w:color w:val="auto"/>
          <w:kern w:val="0"/>
          <w:sz w:val="24"/>
          <w:highlight w:val="none"/>
        </w:rPr>
      </w:pPr>
      <w:bookmarkStart w:id="433" w:name="_Toc361220418"/>
      <w:bookmarkStart w:id="434" w:name="_Toc97299506"/>
      <w:r>
        <w:rPr>
          <w:rFonts w:hint="eastAsia" w:ascii="宋体" w:hAnsi="宋体" w:cs="宋体"/>
          <w:b/>
          <w:bCs/>
          <w:snapToGrid w:val="0"/>
          <w:color w:val="auto"/>
          <w:kern w:val="0"/>
          <w:sz w:val="24"/>
          <w:highlight w:val="none"/>
        </w:rPr>
        <w:t>九、签订时间</w:t>
      </w:r>
      <w:bookmarkEnd w:id="433"/>
      <w:bookmarkEnd w:id="434"/>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本合同于</w:t>
      </w:r>
      <w:bookmarkStart w:id="435" w:name="SOA_hhxys_htqdn"/>
      <w:r>
        <w:rPr>
          <w:rFonts w:hint="eastAsia" w:ascii="宋体" w:hAnsi="宋体" w:cs="宋体"/>
          <w:bCs/>
          <w:snapToGrid w:val="0"/>
          <w:color w:val="auto"/>
          <w:kern w:val="0"/>
          <w:sz w:val="24"/>
          <w:highlight w:val="none"/>
          <w:u w:val="single"/>
        </w:rPr>
        <w:t xml:space="preserve">      </w:t>
      </w:r>
      <w:bookmarkEnd w:id="435"/>
      <w:r>
        <w:rPr>
          <w:rFonts w:hint="eastAsia" w:ascii="宋体" w:hAnsi="宋体" w:cs="宋体"/>
          <w:bCs/>
          <w:snapToGrid w:val="0"/>
          <w:color w:val="auto"/>
          <w:kern w:val="0"/>
          <w:sz w:val="24"/>
          <w:highlight w:val="none"/>
        </w:rPr>
        <w:t>年</w:t>
      </w:r>
      <w:bookmarkStart w:id="436" w:name="SOA_hhxys_htqdy"/>
      <w:r>
        <w:rPr>
          <w:rFonts w:hint="eastAsia" w:ascii="宋体" w:hAnsi="宋体" w:cs="宋体"/>
          <w:bCs/>
          <w:snapToGrid w:val="0"/>
          <w:color w:val="auto"/>
          <w:kern w:val="0"/>
          <w:sz w:val="24"/>
          <w:highlight w:val="none"/>
          <w:u w:val="single"/>
        </w:rPr>
        <w:t xml:space="preserve">      </w:t>
      </w:r>
      <w:bookmarkEnd w:id="436"/>
      <w:r>
        <w:rPr>
          <w:rFonts w:hint="eastAsia" w:ascii="宋体" w:hAnsi="宋体" w:cs="宋体"/>
          <w:bCs/>
          <w:snapToGrid w:val="0"/>
          <w:color w:val="auto"/>
          <w:kern w:val="0"/>
          <w:sz w:val="24"/>
          <w:highlight w:val="none"/>
        </w:rPr>
        <w:t>月</w:t>
      </w:r>
      <w:bookmarkStart w:id="437" w:name="SOA_hhxys_htqdr"/>
      <w:r>
        <w:rPr>
          <w:rFonts w:hint="eastAsia" w:ascii="宋体" w:hAnsi="宋体" w:cs="宋体"/>
          <w:bCs/>
          <w:snapToGrid w:val="0"/>
          <w:color w:val="auto"/>
          <w:kern w:val="0"/>
          <w:sz w:val="24"/>
          <w:highlight w:val="none"/>
          <w:u w:val="single"/>
        </w:rPr>
        <w:t xml:space="preserve">      </w:t>
      </w:r>
      <w:bookmarkEnd w:id="437"/>
      <w:r>
        <w:rPr>
          <w:rFonts w:hint="eastAsia" w:ascii="宋体" w:hAnsi="宋体" w:cs="宋体"/>
          <w:bCs/>
          <w:snapToGrid w:val="0"/>
          <w:color w:val="auto"/>
          <w:kern w:val="0"/>
          <w:sz w:val="24"/>
          <w:highlight w:val="none"/>
        </w:rPr>
        <w:t>日签订。</w:t>
      </w:r>
    </w:p>
    <w:p>
      <w:pPr>
        <w:snapToGrid w:val="0"/>
        <w:spacing w:line="360" w:lineRule="auto"/>
        <w:outlineLvl w:val="1"/>
        <w:rPr>
          <w:rFonts w:ascii="宋体" w:hAnsi="宋体" w:cs="宋体"/>
          <w:b/>
          <w:bCs/>
          <w:snapToGrid w:val="0"/>
          <w:color w:val="auto"/>
          <w:kern w:val="0"/>
          <w:sz w:val="24"/>
          <w:highlight w:val="none"/>
        </w:rPr>
      </w:pPr>
      <w:bookmarkStart w:id="438" w:name="_Toc361220419"/>
      <w:bookmarkStart w:id="439" w:name="_Toc97299507"/>
      <w:r>
        <w:rPr>
          <w:rFonts w:hint="eastAsia" w:ascii="宋体" w:hAnsi="宋体" w:cs="宋体"/>
          <w:b/>
          <w:bCs/>
          <w:snapToGrid w:val="0"/>
          <w:color w:val="auto"/>
          <w:kern w:val="0"/>
          <w:sz w:val="24"/>
          <w:highlight w:val="none"/>
        </w:rPr>
        <w:t>十、签订地点</w:t>
      </w:r>
      <w:bookmarkEnd w:id="438"/>
      <w:bookmarkEnd w:id="439"/>
    </w:p>
    <w:p>
      <w:pPr>
        <w:snapToGrid w:val="0"/>
        <w:spacing w:line="360" w:lineRule="auto"/>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 xml:space="preserve">    本合同在</w:t>
      </w:r>
      <w:r>
        <w:rPr>
          <w:rFonts w:hint="eastAsia" w:ascii="宋体" w:hAnsi="宋体" w:cs="宋体"/>
          <w:bCs/>
          <w:snapToGrid w:val="0"/>
          <w:color w:val="auto"/>
          <w:kern w:val="0"/>
          <w:sz w:val="24"/>
          <w:highlight w:val="none"/>
          <w:u w:val="single"/>
        </w:rPr>
        <w:t xml:space="preserve">   </w:t>
      </w:r>
      <w:bookmarkStart w:id="440" w:name="SOA_zyht_htqddd"/>
      <w:r>
        <w:rPr>
          <w:rFonts w:hint="eastAsia" w:ascii="宋体" w:hAnsi="宋体" w:cs="宋体"/>
          <w:bCs/>
          <w:snapToGrid w:val="0"/>
          <w:color w:val="auto"/>
          <w:kern w:val="0"/>
          <w:sz w:val="24"/>
          <w:highlight w:val="none"/>
          <w:u w:val="single"/>
        </w:rPr>
        <w:t xml:space="preserve">  杭州   </w:t>
      </w:r>
      <w:bookmarkEnd w:id="440"/>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签订。</w:t>
      </w:r>
    </w:p>
    <w:p>
      <w:pPr>
        <w:snapToGrid w:val="0"/>
        <w:spacing w:line="360" w:lineRule="auto"/>
        <w:outlineLvl w:val="1"/>
        <w:rPr>
          <w:rFonts w:ascii="宋体" w:hAnsi="宋体" w:cs="宋体"/>
          <w:b/>
          <w:bCs/>
          <w:snapToGrid w:val="0"/>
          <w:color w:val="auto"/>
          <w:kern w:val="0"/>
          <w:sz w:val="24"/>
          <w:highlight w:val="none"/>
        </w:rPr>
      </w:pPr>
      <w:bookmarkStart w:id="441" w:name="_Toc97299508"/>
      <w:bookmarkStart w:id="442" w:name="_Toc361220420"/>
      <w:r>
        <w:rPr>
          <w:rFonts w:hint="eastAsia" w:ascii="宋体" w:hAnsi="宋体" w:cs="宋体"/>
          <w:b/>
          <w:bCs/>
          <w:snapToGrid w:val="0"/>
          <w:color w:val="auto"/>
          <w:kern w:val="0"/>
          <w:sz w:val="24"/>
          <w:highlight w:val="none"/>
        </w:rPr>
        <w:t>十一、补充协议</w:t>
      </w:r>
      <w:bookmarkEnd w:id="441"/>
      <w:bookmarkEnd w:id="442"/>
    </w:p>
    <w:p>
      <w:pPr>
        <w:snapToGrid w:val="0"/>
        <w:spacing w:line="360" w:lineRule="auto"/>
        <w:ind w:firstLine="480" w:firstLineChars="200"/>
        <w:rPr>
          <w:rFonts w:ascii="宋体" w:hAnsi="宋体" w:cs="宋体"/>
          <w:b/>
          <w:bCs/>
          <w:snapToGrid w:val="0"/>
          <w:color w:val="auto"/>
          <w:kern w:val="0"/>
          <w:sz w:val="24"/>
          <w:highlight w:val="none"/>
        </w:rPr>
      </w:pPr>
      <w:r>
        <w:rPr>
          <w:rFonts w:hint="eastAsia" w:ascii="宋体" w:hAnsi="宋体" w:cs="宋体"/>
          <w:bCs/>
          <w:snapToGrid w:val="0"/>
          <w:color w:val="auto"/>
          <w:kern w:val="0"/>
          <w:sz w:val="24"/>
          <w:highlight w:val="none"/>
        </w:rPr>
        <w:t>合同未尽事宜，合同当事人另行签订补充协议，补充协议是合同的组成部分。</w:t>
      </w:r>
    </w:p>
    <w:p>
      <w:pPr>
        <w:snapToGrid w:val="0"/>
        <w:spacing w:line="360" w:lineRule="auto"/>
        <w:outlineLvl w:val="1"/>
        <w:rPr>
          <w:rFonts w:ascii="宋体" w:hAnsi="宋体" w:cs="宋体"/>
          <w:b/>
          <w:bCs/>
          <w:snapToGrid w:val="0"/>
          <w:color w:val="auto"/>
          <w:kern w:val="0"/>
          <w:sz w:val="24"/>
          <w:highlight w:val="none"/>
        </w:rPr>
      </w:pPr>
      <w:bookmarkStart w:id="443" w:name="_Toc97299509"/>
      <w:bookmarkStart w:id="444" w:name="_Toc361220421"/>
      <w:r>
        <w:rPr>
          <w:rFonts w:hint="eastAsia" w:ascii="宋体" w:hAnsi="宋体" w:cs="宋体"/>
          <w:b/>
          <w:bCs/>
          <w:snapToGrid w:val="0"/>
          <w:color w:val="auto"/>
          <w:kern w:val="0"/>
          <w:sz w:val="24"/>
          <w:highlight w:val="none"/>
        </w:rPr>
        <w:t>十二、合同生效</w:t>
      </w:r>
      <w:bookmarkEnd w:id="443"/>
      <w:bookmarkEnd w:id="444"/>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本合同自</w:t>
      </w:r>
      <w:r>
        <w:rPr>
          <w:rFonts w:hint="eastAsia" w:ascii="宋体" w:hAnsi="宋体" w:cs="宋体"/>
          <w:bCs/>
          <w:snapToGrid w:val="0"/>
          <w:color w:val="auto"/>
          <w:kern w:val="0"/>
          <w:sz w:val="24"/>
          <w:highlight w:val="none"/>
          <w:u w:val="single"/>
        </w:rPr>
        <w:t xml:space="preserve">  </w:t>
      </w:r>
      <w:bookmarkStart w:id="445" w:name="SOA_hhxys_htsx"/>
      <w:r>
        <w:rPr>
          <w:rFonts w:hint="eastAsia" w:ascii="宋体" w:hAnsi="宋体" w:cs="宋体"/>
          <w:bCs/>
          <w:snapToGrid w:val="0"/>
          <w:color w:val="auto"/>
          <w:kern w:val="0"/>
          <w:sz w:val="24"/>
          <w:highlight w:val="none"/>
          <w:u w:val="single"/>
        </w:rPr>
        <w:t xml:space="preserve">  </w:t>
      </w:r>
      <w:r>
        <w:rPr>
          <w:rFonts w:hint="eastAsia" w:ascii="宋体" w:hAnsi="宋体" w:cs="宋体"/>
          <w:b/>
          <w:bCs/>
          <w:snapToGrid w:val="0"/>
          <w:color w:val="auto"/>
          <w:kern w:val="0"/>
          <w:sz w:val="24"/>
          <w:highlight w:val="none"/>
          <w:u w:val="single"/>
        </w:rPr>
        <w:t xml:space="preserve">   </w:t>
      </w:r>
      <w:r>
        <w:rPr>
          <w:rFonts w:hint="eastAsia" w:ascii="宋体" w:hAnsi="宋体" w:cs="宋体"/>
          <w:bCs/>
          <w:snapToGrid w:val="0"/>
          <w:color w:val="auto"/>
          <w:kern w:val="0"/>
          <w:sz w:val="24"/>
          <w:highlight w:val="none"/>
          <w:u w:val="single"/>
        </w:rPr>
        <w:t xml:space="preserve">   </w:t>
      </w:r>
      <w:bookmarkEnd w:id="445"/>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生效。</w:t>
      </w:r>
    </w:p>
    <w:p>
      <w:pPr>
        <w:snapToGrid w:val="0"/>
        <w:spacing w:line="360" w:lineRule="auto"/>
        <w:outlineLvl w:val="1"/>
        <w:rPr>
          <w:rFonts w:ascii="宋体" w:hAnsi="宋体" w:cs="宋体"/>
          <w:b/>
          <w:bCs/>
          <w:snapToGrid w:val="0"/>
          <w:color w:val="auto"/>
          <w:kern w:val="0"/>
          <w:sz w:val="24"/>
          <w:highlight w:val="none"/>
        </w:rPr>
      </w:pPr>
      <w:bookmarkStart w:id="446" w:name="_Toc361220422"/>
      <w:bookmarkStart w:id="447" w:name="_Toc97299510"/>
      <w:r>
        <w:rPr>
          <w:rFonts w:hint="eastAsia" w:ascii="宋体" w:hAnsi="宋体" w:cs="宋体"/>
          <w:b/>
          <w:bCs/>
          <w:snapToGrid w:val="0"/>
          <w:color w:val="auto"/>
          <w:kern w:val="0"/>
          <w:sz w:val="24"/>
          <w:highlight w:val="none"/>
        </w:rPr>
        <w:t>十三、合同份数</w:t>
      </w:r>
      <w:bookmarkEnd w:id="446"/>
      <w:bookmarkEnd w:id="447"/>
    </w:p>
    <w:p>
      <w:pPr>
        <w:snapToGrid w:val="0"/>
        <w:spacing w:line="360" w:lineRule="auto"/>
        <w:ind w:left="210" w:leftChars="100" w:firstLine="240" w:firstLineChars="100"/>
        <w:rPr>
          <w:rFonts w:ascii="宋体" w:hAnsi="宋体" w:cs="宋体"/>
          <w:bCs/>
          <w:snapToGrid w:val="0"/>
          <w:color w:val="auto"/>
          <w:kern w:val="0"/>
          <w:sz w:val="24"/>
          <w:highlight w:val="none"/>
        </w:rPr>
      </w:pPr>
      <w:r>
        <w:rPr>
          <w:rFonts w:hint="eastAsia" w:ascii="宋体" w:hAnsi="宋体" w:cs="宋体"/>
          <w:bCs/>
          <w:snapToGrid w:val="0"/>
          <w:color w:val="auto"/>
          <w:kern w:val="0"/>
          <w:sz w:val="24"/>
          <w:highlight w:val="none"/>
        </w:rPr>
        <w:t>本合同一式</w:t>
      </w:r>
      <w:r>
        <w:rPr>
          <w:rFonts w:hint="eastAsia" w:ascii="宋体" w:hAnsi="宋体" w:cs="宋体"/>
          <w:b/>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份，均具有同等法律效力，发包人执</w:t>
      </w:r>
      <w:r>
        <w:rPr>
          <w:rFonts w:hint="eastAsia" w:ascii="宋体" w:hAnsi="宋体" w:cs="宋体"/>
          <w:bCs/>
          <w:snapToGrid w:val="0"/>
          <w:color w:val="auto"/>
          <w:kern w:val="0"/>
          <w:sz w:val="24"/>
          <w:highlight w:val="none"/>
          <w:u w:val="single"/>
        </w:rPr>
        <w:t xml:space="preserve">  </w:t>
      </w:r>
      <w:r>
        <w:rPr>
          <w:rFonts w:hint="eastAsia" w:ascii="宋体" w:hAnsi="宋体" w:cs="宋体"/>
          <w:bCs/>
          <w:snapToGrid w:val="0"/>
          <w:color w:val="auto"/>
          <w:kern w:val="0"/>
          <w:sz w:val="24"/>
          <w:highlight w:val="none"/>
        </w:rPr>
        <w:t>份，承包人执</w:t>
      </w:r>
      <w:r>
        <w:rPr>
          <w:rFonts w:hint="eastAsia" w:ascii="宋体" w:hAnsi="宋体" w:cs="宋体"/>
          <w:b/>
          <w:snapToGrid w:val="0"/>
          <w:color w:val="auto"/>
          <w:kern w:val="0"/>
          <w:sz w:val="24"/>
          <w:highlight w:val="none"/>
          <w:u w:val="single"/>
        </w:rPr>
        <w:t xml:space="preserve">  </w:t>
      </w:r>
      <w:r>
        <w:rPr>
          <w:rFonts w:hint="eastAsia" w:ascii="宋体" w:hAnsi="宋体" w:cs="宋体"/>
          <w:bCs/>
          <w:snapToGrid w:val="0"/>
          <w:color w:val="auto"/>
          <w:kern w:val="0"/>
          <w:sz w:val="24"/>
          <w:highlight w:val="none"/>
        </w:rPr>
        <w:t>份。</w:t>
      </w:r>
    </w:p>
    <w:p>
      <w:pPr>
        <w:snapToGrid w:val="0"/>
        <w:spacing w:line="360" w:lineRule="auto"/>
        <w:ind w:firstLine="480" w:firstLineChars="200"/>
        <w:rPr>
          <w:rFonts w:ascii="宋体" w:hAnsi="宋体" w:cs="宋体"/>
          <w:snapToGrid w:val="0"/>
          <w:color w:val="auto"/>
          <w:kern w:val="0"/>
          <w:sz w:val="24"/>
          <w:highlight w:val="none"/>
        </w:rPr>
      </w:pP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发包人：  (公章)</w:t>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承包人：  (公章)</w:t>
      </w:r>
    </w:p>
    <w:p>
      <w:pPr>
        <w:snapToGrid w:val="0"/>
        <w:spacing w:line="360" w:lineRule="auto"/>
        <w:ind w:firstLine="480" w:firstLineChars="200"/>
        <w:rPr>
          <w:rFonts w:ascii="宋体" w:hAnsi="宋体" w:cs="宋体"/>
          <w:bCs/>
          <w:snapToGrid w:val="0"/>
          <w:color w:val="auto"/>
          <w:kern w:val="0"/>
          <w:sz w:val="24"/>
          <w:highlight w:val="none"/>
        </w:rPr>
      </w:pPr>
      <w:r>
        <w:rPr>
          <w:rFonts w:hint="eastAsia" w:ascii="宋体" w:hAnsi="宋体" w:cs="宋体"/>
          <w:snapToGrid w:val="0"/>
          <w:color w:val="auto"/>
          <w:kern w:val="0"/>
          <w:sz w:val="24"/>
          <w:highlight w:val="none"/>
        </w:rPr>
        <w:t>法定代表人或其委托代理人：</w:t>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法定代表人或其委托代理人：</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（签字）</w:t>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ab/>
      </w:r>
      <w:r>
        <w:rPr>
          <w:rFonts w:hint="eastAsia" w:ascii="宋体" w:hAnsi="宋体" w:cs="宋体"/>
          <w:snapToGrid w:val="0"/>
          <w:color w:val="auto"/>
          <w:kern w:val="0"/>
          <w:sz w:val="24"/>
          <w:highlight w:val="none"/>
        </w:rPr>
        <w:t>（签字）</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组织机构代码：</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组织机构代码：</w:t>
      </w:r>
      <w:bookmarkStart w:id="448" w:name="SOA_hhxys_zjjgdm1"/>
      <w:r>
        <w:rPr>
          <w:rFonts w:hint="eastAsia" w:ascii="宋体" w:hAnsi="宋体" w:cs="宋体"/>
          <w:snapToGrid w:val="0"/>
          <w:color w:val="auto"/>
          <w:kern w:val="0"/>
          <w:sz w:val="24"/>
          <w:highlight w:val="none"/>
          <w:u w:val="single"/>
        </w:rPr>
        <w:t xml:space="preserve">      </w:t>
      </w:r>
      <w:bookmarkEnd w:id="448"/>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地  址：</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地  址：</w:t>
      </w:r>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邮政编码：</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邮政编码：</w:t>
      </w:r>
      <w:bookmarkStart w:id="449" w:name="SOA_hhxys_cbryb"/>
      <w:r>
        <w:rPr>
          <w:rFonts w:hint="eastAsia" w:ascii="宋体" w:hAnsi="宋体" w:cs="宋体"/>
          <w:snapToGrid w:val="0"/>
          <w:color w:val="auto"/>
          <w:kern w:val="0"/>
          <w:sz w:val="24"/>
          <w:highlight w:val="none"/>
          <w:u w:val="single"/>
        </w:rPr>
        <w:t xml:space="preserve">             </w:t>
      </w:r>
      <w:bookmarkEnd w:id="449"/>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法定代表人：</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法定代表人：</w:t>
      </w:r>
      <w:bookmarkStart w:id="450" w:name="SOA_hhxys_fddbr1"/>
      <w:r>
        <w:rPr>
          <w:rFonts w:hint="eastAsia" w:ascii="宋体" w:hAnsi="宋体" w:cs="宋体"/>
          <w:snapToGrid w:val="0"/>
          <w:color w:val="auto"/>
          <w:kern w:val="0"/>
          <w:sz w:val="24"/>
          <w:highlight w:val="none"/>
          <w:u w:val="single"/>
        </w:rPr>
        <w:t xml:space="preserve">     </w:t>
      </w:r>
      <w:bookmarkEnd w:id="450"/>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委托代理人：</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委托代理人：</w:t>
      </w:r>
      <w:bookmarkStart w:id="451" w:name="SOA_hhxys_wtdlr1"/>
      <w:r>
        <w:rPr>
          <w:rFonts w:hint="eastAsia" w:ascii="宋体" w:hAnsi="宋体" w:cs="宋体"/>
          <w:snapToGrid w:val="0"/>
          <w:color w:val="auto"/>
          <w:kern w:val="0"/>
          <w:sz w:val="24"/>
          <w:highlight w:val="none"/>
          <w:u w:val="single"/>
        </w:rPr>
        <w:t xml:space="preserve">    </w:t>
      </w:r>
      <w:bookmarkEnd w:id="451"/>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电  话：</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电  话：</w:t>
      </w:r>
      <w:bookmarkStart w:id="452" w:name="SOA_hhxys_cbrdh"/>
      <w:r>
        <w:rPr>
          <w:rFonts w:hint="eastAsia" w:ascii="宋体" w:hAnsi="宋体" w:cs="宋体"/>
          <w:snapToGrid w:val="0"/>
          <w:color w:val="auto"/>
          <w:kern w:val="0"/>
          <w:sz w:val="24"/>
          <w:highlight w:val="none"/>
          <w:u w:val="single"/>
        </w:rPr>
        <w:t xml:space="preserve">            </w:t>
      </w:r>
      <w:bookmarkEnd w:id="452"/>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传  真：</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传  真：</w:t>
      </w:r>
      <w:bookmarkStart w:id="453" w:name="SOA_hhxys_cbrcz"/>
      <w:r>
        <w:rPr>
          <w:rFonts w:hint="eastAsia" w:ascii="宋体" w:hAnsi="宋体" w:cs="宋体"/>
          <w:snapToGrid w:val="0"/>
          <w:color w:val="auto"/>
          <w:kern w:val="0"/>
          <w:sz w:val="24"/>
          <w:highlight w:val="none"/>
          <w:u w:val="single"/>
        </w:rPr>
        <w:t xml:space="preserve">              </w:t>
      </w:r>
      <w:bookmarkEnd w:id="453"/>
      <w:r>
        <w:rPr>
          <w:rFonts w:hint="eastAsia" w:ascii="宋体" w:hAnsi="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电子信箱：</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电子信箱：</w:t>
      </w:r>
      <w:bookmarkStart w:id="454" w:name="SOA_hhxys_cbrdzxx"/>
      <w:r>
        <w:rPr>
          <w:rFonts w:hint="eastAsia" w:ascii="宋体" w:hAnsi="宋体" w:cs="宋体"/>
          <w:snapToGrid w:val="0"/>
          <w:color w:val="auto"/>
          <w:kern w:val="0"/>
          <w:sz w:val="24"/>
          <w:highlight w:val="none"/>
          <w:u w:val="single"/>
        </w:rPr>
        <w:t xml:space="preserve">      </w:t>
      </w:r>
      <w:bookmarkEnd w:id="454"/>
      <w:r>
        <w:rPr>
          <w:rFonts w:hint="eastAsia" w:ascii="宋体" w:hAnsi="宋体" w:cs="宋体"/>
          <w:snapToGrid w:val="0"/>
          <w:color w:val="auto"/>
          <w:kern w:val="0"/>
          <w:sz w:val="24"/>
          <w:highlight w:val="none"/>
          <w:u w:val="singl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开户银行：</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开户银行：</w:t>
      </w:r>
      <w:r>
        <w:rPr>
          <w:rFonts w:hint="eastAsia" w:ascii="宋体" w:hAnsi="宋体" w:cs="宋体"/>
          <w:snapToGrid w:val="0"/>
          <w:color w:val="auto"/>
          <w:kern w:val="0"/>
          <w:sz w:val="24"/>
          <w:highlight w:val="none"/>
          <w:u w:val="single"/>
        </w:rPr>
        <w:t xml:space="preserve">                 </w:t>
      </w:r>
    </w:p>
    <w:p>
      <w:pPr>
        <w:snapToGrid w:val="0"/>
        <w:spacing w:line="360" w:lineRule="auto"/>
        <w:ind w:firstLine="480" w:firstLineChars="200"/>
        <w:rPr>
          <w:rFonts w:ascii="宋体" w:hAnsi="宋体" w:cs="宋体"/>
          <w:snapToGrid w:val="0"/>
          <w:color w:val="auto"/>
          <w:kern w:val="0"/>
          <w:sz w:val="24"/>
          <w:highlight w:val="none"/>
          <w:u w:val="single"/>
        </w:rPr>
      </w:pPr>
      <w:r>
        <w:rPr>
          <w:rFonts w:hint="eastAsia" w:ascii="宋体" w:hAnsi="宋体" w:cs="宋体"/>
          <w:snapToGrid w:val="0"/>
          <w:color w:val="auto"/>
          <w:kern w:val="0"/>
          <w:sz w:val="24"/>
          <w:highlight w:val="none"/>
        </w:rPr>
        <w:t>账  号：</w:t>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u w:val="single"/>
        </w:rPr>
        <w:tab/>
      </w:r>
      <w:r>
        <w:rPr>
          <w:rFonts w:hint="eastAsia" w:ascii="宋体" w:hAnsi="宋体" w:cs="宋体"/>
          <w:snapToGrid w:val="0"/>
          <w:color w:val="auto"/>
          <w:kern w:val="0"/>
          <w:sz w:val="24"/>
          <w:highlight w:val="none"/>
        </w:rPr>
        <w:t>账  号：</w:t>
      </w:r>
      <w:r>
        <w:rPr>
          <w:rFonts w:hint="eastAsia" w:ascii="宋体" w:hAnsi="宋体" w:cs="宋体"/>
          <w:snapToGrid w:val="0"/>
          <w:color w:val="auto"/>
          <w:kern w:val="0"/>
          <w:sz w:val="24"/>
          <w:highlight w:val="none"/>
          <w:u w:val="single"/>
        </w:rPr>
        <w:t></w:t>
      </w:r>
      <w:bookmarkStart w:id="455" w:name="SOA_hhxys_cbrzh"/>
      <w:r>
        <w:rPr>
          <w:rFonts w:hint="eastAsia" w:ascii="宋体" w:hAnsi="宋体" w:cs="宋体"/>
          <w:snapToGrid w:val="0"/>
          <w:color w:val="auto"/>
          <w:kern w:val="0"/>
          <w:sz w:val="24"/>
          <w:highlight w:val="none"/>
          <w:u w:val="single"/>
        </w:rPr>
        <w:t xml:space="preserve"> </w:t>
      </w:r>
      <w:bookmarkEnd w:id="455"/>
      <w:r>
        <w:rPr>
          <w:rFonts w:hint="eastAsia" w:ascii="宋体" w:hAnsi="宋体" w:cs="宋体"/>
          <w:snapToGrid w:val="0"/>
          <w:color w:val="auto"/>
          <w:kern w:val="0"/>
          <w:sz w:val="24"/>
          <w:highlight w:val="none"/>
          <w:u w:val="single"/>
        </w:rPr>
        <w:t xml:space="preserve">        </w:t>
      </w:r>
    </w:p>
    <w:p>
      <w:pPr>
        <w:keepNext/>
        <w:keepLines/>
        <w:numPr>
          <w:ilvl w:val="1"/>
          <w:numId w:val="0"/>
        </w:numPr>
        <w:spacing w:before="100" w:line="400" w:lineRule="exact"/>
        <w:jc w:val="center"/>
        <w:outlineLvl w:val="1"/>
        <w:rPr>
          <w:rFonts w:ascii="宋体" w:hAnsi="宋体" w:cs="宋体"/>
          <w:snapToGrid w:val="0"/>
          <w:color w:val="auto"/>
          <w:kern w:val="44"/>
          <w:sz w:val="28"/>
          <w:szCs w:val="20"/>
          <w:highlight w:val="none"/>
        </w:rPr>
      </w:pPr>
      <w:r>
        <w:rPr>
          <w:rFonts w:hint="eastAsia" w:ascii="宋体" w:hAnsi="宋体" w:cs="宋体"/>
          <w:snapToGrid w:val="0"/>
          <w:color w:val="auto"/>
          <w:kern w:val="0"/>
          <w:sz w:val="24"/>
          <w:highlight w:val="none"/>
        </w:rPr>
        <w:br w:type="page"/>
      </w:r>
      <w:bookmarkStart w:id="456" w:name="_Toc31640"/>
      <w:bookmarkStart w:id="457" w:name="_Toc97299511"/>
      <w:bookmarkStart w:id="458" w:name="_Toc69485879"/>
      <w:r>
        <w:rPr>
          <w:rFonts w:hint="eastAsia" w:ascii="宋体" w:hAnsi="宋体" w:cs="宋体"/>
          <w:snapToGrid w:val="0"/>
          <w:color w:val="auto"/>
          <w:kern w:val="44"/>
          <w:sz w:val="28"/>
          <w:szCs w:val="20"/>
          <w:highlight w:val="none"/>
        </w:rPr>
        <w:t>第二部分  通用条款（略）</w:t>
      </w:r>
      <w:bookmarkEnd w:id="456"/>
      <w:bookmarkEnd w:id="457"/>
      <w:bookmarkEnd w:id="458"/>
    </w:p>
    <w:p>
      <w:pPr>
        <w:keepNext/>
        <w:keepLines/>
        <w:numPr>
          <w:ilvl w:val="1"/>
          <w:numId w:val="0"/>
        </w:numPr>
        <w:spacing w:before="100" w:line="400" w:lineRule="exact"/>
        <w:jc w:val="center"/>
        <w:outlineLvl w:val="1"/>
        <w:rPr>
          <w:rFonts w:ascii="宋体" w:hAnsi="宋体" w:cs="宋体"/>
          <w:snapToGrid w:val="0"/>
          <w:color w:val="auto"/>
          <w:kern w:val="44"/>
          <w:sz w:val="28"/>
          <w:szCs w:val="20"/>
          <w:highlight w:val="none"/>
        </w:rPr>
      </w:pPr>
      <w:bookmarkStart w:id="459" w:name="_Toc69485880"/>
      <w:bookmarkStart w:id="460" w:name="_Toc8278"/>
      <w:bookmarkStart w:id="461" w:name="_Toc97299512"/>
      <w:r>
        <w:rPr>
          <w:rFonts w:hint="eastAsia" w:ascii="宋体" w:hAnsi="宋体" w:cs="宋体"/>
          <w:snapToGrid w:val="0"/>
          <w:color w:val="auto"/>
          <w:kern w:val="44"/>
          <w:sz w:val="28"/>
          <w:szCs w:val="20"/>
          <w:highlight w:val="none"/>
        </w:rPr>
        <w:t>第三部分  专用条款</w:t>
      </w:r>
      <w:bookmarkEnd w:id="459"/>
      <w:bookmarkEnd w:id="460"/>
      <w:bookmarkEnd w:id="461"/>
    </w:p>
    <w:p>
      <w:pPr>
        <w:keepNext/>
        <w:numPr>
          <w:ilvl w:val="3"/>
          <w:numId w:val="0"/>
        </w:numPr>
        <w:tabs>
          <w:tab w:val="left" w:pos="864"/>
        </w:tabs>
        <w:snapToGrid w:val="0"/>
        <w:spacing w:line="360" w:lineRule="auto"/>
        <w:ind w:left="426" w:hanging="420"/>
        <w:outlineLvl w:val="3"/>
        <w:rPr>
          <w:rFonts w:ascii="宋体" w:hAnsi="宋体"/>
          <w:b/>
          <w:color w:val="auto"/>
          <w:szCs w:val="21"/>
          <w:highlight w:val="none"/>
        </w:rPr>
      </w:pPr>
      <w:bookmarkStart w:id="462" w:name="_Toc351203633"/>
      <w:r>
        <w:rPr>
          <w:rFonts w:hint="eastAsia" w:ascii="宋体" w:hAnsi="宋体"/>
          <w:b/>
          <w:color w:val="auto"/>
          <w:szCs w:val="21"/>
          <w:highlight w:val="none"/>
        </w:rPr>
        <w:t>1</w:t>
      </w:r>
      <w:bookmarkStart w:id="463" w:name="_Toc296503156"/>
      <w:bookmarkStart w:id="464" w:name="_Toc296347155"/>
      <w:bookmarkStart w:id="465" w:name="_Toc296890984"/>
      <w:bookmarkStart w:id="466" w:name="_Toc297048342"/>
      <w:bookmarkStart w:id="467" w:name="_Toc296944495"/>
      <w:bookmarkStart w:id="468" w:name="_Toc296346657"/>
      <w:bookmarkStart w:id="469" w:name="_Toc297120456"/>
      <w:bookmarkStart w:id="470" w:name="_Toc292559361"/>
      <w:bookmarkStart w:id="471" w:name="_Toc296891196"/>
      <w:bookmarkStart w:id="472" w:name="_Toc292559866"/>
      <w:r>
        <w:rPr>
          <w:rFonts w:hint="eastAsia" w:ascii="宋体" w:hAnsi="宋体"/>
          <w:b/>
          <w:color w:val="auto"/>
          <w:szCs w:val="21"/>
          <w:highlight w:val="none"/>
        </w:rPr>
        <w:t>. 一般约定</w:t>
      </w:r>
      <w:bookmarkEnd w:id="462"/>
    </w:p>
    <w:bookmarkEnd w:id="463"/>
    <w:bookmarkEnd w:id="464"/>
    <w:bookmarkEnd w:id="465"/>
    <w:bookmarkEnd w:id="466"/>
    <w:bookmarkEnd w:id="467"/>
    <w:bookmarkEnd w:id="468"/>
    <w:bookmarkEnd w:id="469"/>
    <w:bookmarkEnd w:id="470"/>
    <w:bookmarkEnd w:id="471"/>
    <w:bookmarkEnd w:id="472"/>
    <w:p>
      <w:pPr>
        <w:snapToGrid w:val="0"/>
        <w:spacing w:line="360" w:lineRule="auto"/>
        <w:ind w:firstLine="367" w:firstLineChars="175"/>
        <w:rPr>
          <w:rFonts w:ascii="宋体" w:hAnsi="宋体"/>
          <w:snapToGrid w:val="0"/>
          <w:color w:val="auto"/>
          <w:kern w:val="0"/>
          <w:szCs w:val="21"/>
          <w:highlight w:val="none"/>
        </w:rPr>
      </w:pPr>
      <w:r>
        <w:rPr>
          <w:rFonts w:hint="eastAsia" w:ascii="宋体" w:hAnsi="宋体"/>
          <w:snapToGrid w:val="0"/>
          <w:color w:val="auto"/>
          <w:kern w:val="0"/>
          <w:szCs w:val="21"/>
          <w:highlight w:val="none"/>
        </w:rPr>
        <w:t>1.1 词语定义</w:t>
      </w:r>
    </w:p>
    <w:p>
      <w:pPr>
        <w:snapToGrid w:val="0"/>
        <w:spacing w:line="360" w:lineRule="auto"/>
        <w:ind w:firstLine="367" w:firstLineChars="175"/>
        <w:rPr>
          <w:rFonts w:ascii="宋体" w:hAnsi="宋体"/>
          <w:snapToGrid w:val="0"/>
          <w:color w:val="auto"/>
          <w:kern w:val="0"/>
          <w:szCs w:val="21"/>
          <w:highlight w:val="none"/>
        </w:rPr>
      </w:pPr>
      <w:r>
        <w:rPr>
          <w:rFonts w:hint="eastAsia" w:ascii="宋体" w:hAnsi="宋体"/>
          <w:snapToGrid w:val="0"/>
          <w:color w:val="auto"/>
          <w:kern w:val="0"/>
          <w:szCs w:val="21"/>
          <w:highlight w:val="none"/>
        </w:rPr>
        <w:t>1.1.1合同</w:t>
      </w:r>
    </w:p>
    <w:p>
      <w:pPr>
        <w:shd w:val="clear" w:color="auto" w:fill="FAFAFA"/>
        <w:snapToGrid w:val="0"/>
        <w:spacing w:line="360" w:lineRule="auto"/>
        <w:ind w:firstLine="411" w:firstLineChars="196"/>
        <w:rPr>
          <w:rFonts w:ascii="宋体" w:hAnsi="宋体"/>
          <w:b/>
          <w:snapToGrid w:val="0"/>
          <w:color w:val="auto"/>
          <w:kern w:val="0"/>
          <w:szCs w:val="21"/>
          <w:highlight w:val="none"/>
          <w:u w:val="single"/>
        </w:rPr>
      </w:pPr>
      <w:r>
        <w:rPr>
          <w:rFonts w:hint="eastAsia" w:ascii="宋体" w:hAnsi="宋体"/>
          <w:snapToGrid w:val="0"/>
          <w:color w:val="auto"/>
          <w:kern w:val="0"/>
          <w:szCs w:val="21"/>
          <w:highlight w:val="none"/>
        </w:rPr>
        <w:t>1.1.1.10其他合同文件包括：</w:t>
      </w:r>
      <w:r>
        <w:rPr>
          <w:rFonts w:hint="eastAsia" w:ascii="宋体" w:hAnsi="宋体"/>
          <w:snapToGrid w:val="0"/>
          <w:color w:val="auto"/>
          <w:kern w:val="0"/>
          <w:szCs w:val="21"/>
          <w:highlight w:val="none"/>
          <w:u w:val="single"/>
        </w:rPr>
        <w:t xml:space="preserve">                                         </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1.1.2 合同当事人及其他相关方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1.1.2.4监理人：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1.1.2.5 设计人：</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名    称：</w:t>
      </w:r>
      <w:r>
        <w:rPr>
          <w:rFonts w:hint="eastAsia" w:ascii="宋体" w:hAnsi="宋体" w:cs="仿宋_GB2312"/>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资质类别和等级：</w:t>
      </w:r>
      <w:r>
        <w:rPr>
          <w:rFonts w:hint="eastAsia" w:ascii="宋体" w:hAnsi="宋体" w:cs="仿宋_GB2312"/>
          <w:snapToGrid w:val="0"/>
          <w:color w:val="auto"/>
          <w:kern w:val="0"/>
          <w:szCs w:val="21"/>
          <w:highlight w:val="none"/>
          <w:u w:val="single"/>
        </w:rPr>
        <w:t xml:space="preserve">                    </w:t>
      </w:r>
      <w:r>
        <w:rPr>
          <w:rFonts w:hint="eastAsia" w:ascii="宋体" w:hAnsi="宋体"/>
          <w:snapToGrid w:val="0"/>
          <w:color w:val="auto"/>
          <w:kern w:val="0"/>
          <w:szCs w:val="20"/>
          <w:highlight w:val="none"/>
          <w:u w:val="single"/>
        </w:rPr>
        <w:t xml:space="preserve">        </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联系电话：</w:t>
      </w:r>
      <w:r>
        <w:rPr>
          <w:rFonts w:hint="eastAsia" w:ascii="宋体" w:hAnsi="宋体" w:cs="仿宋_GB2312"/>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u w:val="single"/>
        </w:rPr>
        <w:t xml:space="preserve">         </w:t>
      </w:r>
      <w:r>
        <w:rPr>
          <w:rFonts w:hint="eastAsia" w:ascii="宋体" w:hAnsi="宋体" w:cs="仿宋_GB2312"/>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电子信箱：</w:t>
      </w:r>
      <w:r>
        <w:rPr>
          <w:rFonts w:hint="eastAsia" w:ascii="宋体" w:hAnsi="宋体" w:cs="仿宋_GB2312"/>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u w:val="single"/>
        </w:rPr>
        <w:t xml:space="preserve">                </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通信地址：</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u w:val="single"/>
        </w:rPr>
        <w:t xml:space="preserve">    </w:t>
      </w:r>
      <w:r>
        <w:rPr>
          <w:rFonts w:hint="eastAsia" w:ascii="宋体" w:hAnsi="宋体" w:cs="仿宋_GB2312"/>
          <w:snapToGrid w:val="0"/>
          <w:color w:val="auto"/>
          <w:kern w:val="0"/>
          <w:szCs w:val="21"/>
          <w:highlight w:val="none"/>
          <w:u w:val="single"/>
        </w:rPr>
        <w:t>  /  </w:t>
      </w:r>
      <w:r>
        <w:rPr>
          <w:rFonts w:hint="eastAsia" w:ascii="宋体" w:hAnsi="宋体"/>
          <w:snapToGrid w:val="0"/>
          <w:color w:val="auto"/>
          <w:kern w:val="0"/>
          <w:szCs w:val="21"/>
          <w:highlight w:val="none"/>
          <w:u w:val="single"/>
        </w:rPr>
        <w:t xml:space="preserve">              </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 工程和设备</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1.1.3.7 作为施工现场组成部分的其他场所包括：</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1.1.3.9 永久占地包括：</w:t>
      </w:r>
      <w:r>
        <w:rPr>
          <w:rFonts w:hint="eastAsia" w:ascii="宋体" w:hAnsi="宋体" w:cs="宋体"/>
          <w:color w:val="auto"/>
          <w:szCs w:val="21"/>
          <w:highlight w:val="none"/>
          <w:u w:val="single"/>
        </w:rPr>
        <w:t xml:space="preserve">                        </w:t>
      </w:r>
      <w:r>
        <w:rPr>
          <w:rFonts w:hint="eastAsia" w:ascii="宋体" w:hAnsi="宋体" w:cs="宋体"/>
          <w:color w:val="auto"/>
          <w:kern w:val="0"/>
          <w:szCs w:val="21"/>
          <w:highlight w:val="none"/>
        </w:rPr>
        <w:t>。</w:t>
      </w:r>
    </w:p>
    <w:p>
      <w:pPr>
        <w:adjustRightInd/>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color w:val="auto"/>
          <w:kern w:val="0"/>
          <w:szCs w:val="21"/>
          <w:highlight w:val="none"/>
        </w:rPr>
        <w:t>1.1.3.10 临时占地包括：</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1.3法律 </w:t>
      </w:r>
    </w:p>
    <w:p>
      <w:pPr>
        <w:autoSpaceDE w:val="0"/>
        <w:autoSpaceDN w:val="0"/>
        <w:snapToGrid w:val="0"/>
        <w:spacing w:line="360" w:lineRule="auto"/>
        <w:jc w:val="left"/>
        <w:rPr>
          <w:rFonts w:ascii="宋体" w:hAnsi="宋体" w:cs="宋体"/>
          <w:color w:val="auto"/>
          <w:szCs w:val="21"/>
          <w:highlight w:val="none"/>
          <w:u w:val="single"/>
        </w:rPr>
      </w:pPr>
      <w:r>
        <w:rPr>
          <w:rFonts w:hint="eastAsia" w:ascii="宋体" w:hAnsi="宋体" w:cs="宋体"/>
          <w:color w:val="auto"/>
          <w:szCs w:val="21"/>
          <w:highlight w:val="none"/>
        </w:rPr>
        <w:t>适用于合同的其他规范性文件：</w:t>
      </w:r>
      <w:r>
        <w:rPr>
          <w:rFonts w:hint="eastAsia" w:ascii="宋体" w:hAnsi="宋体" w:cs="宋体"/>
          <w:color w:val="auto"/>
          <w:szCs w:val="21"/>
          <w:highlight w:val="none"/>
          <w:u w:val="single"/>
        </w:rPr>
        <w:t xml:space="preserve">     </w:t>
      </w:r>
    </w:p>
    <w:p>
      <w:pPr>
        <w:autoSpaceDE w:val="0"/>
        <w:autoSpaceDN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 标准和规范</w:t>
      </w:r>
    </w:p>
    <w:p>
      <w:pPr>
        <w:snapToGrid w:val="0"/>
        <w:spacing w:line="360" w:lineRule="auto"/>
        <w:ind w:firstLine="420" w:firstLineChars="200"/>
        <w:rPr>
          <w:rFonts w:ascii="宋体" w:hAnsi="宋体"/>
          <w:b/>
          <w:snapToGrid w:val="0"/>
          <w:color w:val="auto"/>
          <w:kern w:val="0"/>
          <w:szCs w:val="21"/>
          <w:highlight w:val="none"/>
          <w:u w:val="single"/>
        </w:rPr>
      </w:pPr>
      <w:r>
        <w:rPr>
          <w:rFonts w:hint="eastAsia" w:ascii="宋体" w:hAnsi="宋体"/>
          <w:snapToGrid w:val="0"/>
          <w:color w:val="auto"/>
          <w:kern w:val="0"/>
          <w:szCs w:val="21"/>
          <w:highlight w:val="none"/>
        </w:rPr>
        <w:t>1.4.1适用于工程的标准规范包括：</w:t>
      </w:r>
      <w:r>
        <w:rPr>
          <w:rFonts w:hint="eastAsia" w:ascii="宋体" w:hAnsi="宋体"/>
          <w:b/>
          <w:snapToGrid w:val="0"/>
          <w:color w:val="auto"/>
          <w:kern w:val="0"/>
          <w:szCs w:val="21"/>
          <w:highlight w:val="none"/>
          <w:u w:val="single"/>
        </w:rPr>
        <w:t xml:space="preserve">       </w:t>
      </w:r>
      <w:r>
        <w:rPr>
          <w:rFonts w:hint="eastAsia" w:ascii="Arial" w:hAnsi="Arial" w:cs="Arial"/>
          <w:snapToGrid w:val="0"/>
          <w:color w:val="auto"/>
          <w:kern w:val="0"/>
          <w:szCs w:val="21"/>
          <w:highlight w:val="none"/>
          <w:u w:val="single"/>
        </w:rPr>
        <w:t>。</w:t>
      </w:r>
    </w:p>
    <w:p>
      <w:pPr>
        <w:snapToGrid w:val="0"/>
        <w:spacing w:line="360" w:lineRule="auto"/>
        <w:ind w:firstLine="420" w:firstLineChars="200"/>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1.4.2 发包人提供国外标准、规范的名称：</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发包人提供国外标准、规范的份数：</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发包人提供国外标准、规范的名称：</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1.4.3发包人对工程的技术标准和功能要求的特殊要求：</w:t>
      </w:r>
      <w:r>
        <w:rPr>
          <w:rFonts w:hint="eastAsia" w:ascii="宋体" w:hAnsi="宋体" w:cs="仿宋_GB2312"/>
          <w:snapToGrid w:val="0"/>
          <w:color w:val="auto"/>
          <w:kern w:val="0"/>
          <w:szCs w:val="21"/>
          <w:highlight w:val="none"/>
          <w:u w:val="single"/>
        </w:rPr>
        <w:t></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w:t>
      </w:r>
    </w:p>
    <w:p>
      <w:pPr>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1.5 合同文件的优先顺序</w:t>
      </w:r>
    </w:p>
    <w:p>
      <w:pPr>
        <w:autoSpaceDE w:val="0"/>
        <w:autoSpaceDN w:val="0"/>
        <w:snapToGri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合同文件组成及优先顺序为：</w:t>
      </w:r>
    </w:p>
    <w:p>
      <w:pPr>
        <w:autoSpaceDE w:val="0"/>
        <w:autoSpaceDN w:val="0"/>
        <w:snapToGrid w:val="0"/>
        <w:spacing w:line="360" w:lineRule="auto"/>
        <w:ind w:firstLine="417" w:firstLineChars="198"/>
        <w:jc w:val="left"/>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（1）合同协议书</w:t>
      </w:r>
      <w:r>
        <w:rPr>
          <w:rFonts w:hint="eastAsia" w:ascii="宋体" w:hAnsi="宋体"/>
          <w:b/>
          <w:snapToGrid w:val="0"/>
          <w:color w:val="auto"/>
          <w:kern w:val="0"/>
          <w:szCs w:val="21"/>
          <w:highlight w:val="none"/>
        </w:rPr>
        <w:t>；</w:t>
      </w:r>
    </w:p>
    <w:p>
      <w:pPr>
        <w:autoSpaceDE w:val="0"/>
        <w:autoSpaceDN w:val="0"/>
        <w:snapToGrid w:val="0"/>
        <w:spacing w:line="360" w:lineRule="auto"/>
        <w:ind w:firstLine="417" w:firstLineChars="198"/>
        <w:jc w:val="left"/>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（2）成交通知书（或项目发承包基本情况表）</w:t>
      </w:r>
      <w:r>
        <w:rPr>
          <w:rFonts w:hint="eastAsia" w:ascii="宋体" w:hAnsi="宋体"/>
          <w:b/>
          <w:snapToGrid w:val="0"/>
          <w:color w:val="auto"/>
          <w:kern w:val="0"/>
          <w:szCs w:val="21"/>
          <w:highlight w:val="none"/>
        </w:rPr>
        <w:t>；</w:t>
      </w:r>
    </w:p>
    <w:p>
      <w:pPr>
        <w:snapToGrid w:val="0"/>
        <w:spacing w:line="360" w:lineRule="auto"/>
        <w:ind w:firstLine="417" w:firstLineChars="198"/>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（3）磋商响应文件及磋商记录（如果有）</w:t>
      </w:r>
      <w:r>
        <w:rPr>
          <w:rFonts w:hint="eastAsia" w:ascii="宋体" w:hAnsi="宋体"/>
          <w:b/>
          <w:snapToGrid w:val="0"/>
          <w:color w:val="auto"/>
          <w:kern w:val="0"/>
          <w:szCs w:val="21"/>
          <w:highlight w:val="none"/>
        </w:rPr>
        <w:t>；</w:t>
      </w:r>
    </w:p>
    <w:p>
      <w:pPr>
        <w:autoSpaceDE w:val="0"/>
        <w:autoSpaceDN w:val="0"/>
        <w:snapToGrid w:val="0"/>
        <w:spacing w:line="360" w:lineRule="auto"/>
        <w:ind w:firstLine="417" w:firstLineChars="198"/>
        <w:jc w:val="left"/>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（4）专用合同条款及其附件</w:t>
      </w:r>
      <w:r>
        <w:rPr>
          <w:rFonts w:hint="eastAsia" w:ascii="宋体" w:hAnsi="宋体"/>
          <w:b/>
          <w:snapToGrid w:val="0"/>
          <w:color w:val="auto"/>
          <w:kern w:val="0"/>
          <w:szCs w:val="21"/>
          <w:highlight w:val="none"/>
        </w:rPr>
        <w:t>；</w:t>
      </w:r>
    </w:p>
    <w:p>
      <w:pPr>
        <w:autoSpaceDE w:val="0"/>
        <w:autoSpaceDN w:val="0"/>
        <w:snapToGrid w:val="0"/>
        <w:spacing w:line="360" w:lineRule="auto"/>
        <w:ind w:firstLine="417" w:firstLineChars="198"/>
        <w:jc w:val="left"/>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（5）通用合同条款</w:t>
      </w:r>
      <w:r>
        <w:rPr>
          <w:rFonts w:hint="eastAsia" w:ascii="宋体" w:hAnsi="宋体"/>
          <w:b/>
          <w:snapToGrid w:val="0"/>
          <w:color w:val="auto"/>
          <w:kern w:val="0"/>
          <w:szCs w:val="21"/>
          <w:highlight w:val="none"/>
        </w:rPr>
        <w:t>；</w:t>
      </w:r>
    </w:p>
    <w:p>
      <w:pPr>
        <w:snapToGrid w:val="0"/>
        <w:spacing w:line="360" w:lineRule="auto"/>
        <w:ind w:firstLine="417" w:firstLineChars="198"/>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（6）技术标准和要求</w:t>
      </w:r>
      <w:r>
        <w:rPr>
          <w:rFonts w:hint="eastAsia" w:ascii="宋体" w:hAnsi="宋体"/>
          <w:b/>
          <w:snapToGrid w:val="0"/>
          <w:color w:val="auto"/>
          <w:kern w:val="0"/>
          <w:szCs w:val="21"/>
          <w:highlight w:val="none"/>
        </w:rPr>
        <w:t>；</w:t>
      </w:r>
    </w:p>
    <w:p>
      <w:pPr>
        <w:snapToGrid w:val="0"/>
        <w:spacing w:line="360" w:lineRule="auto"/>
        <w:ind w:firstLine="417" w:firstLineChars="198"/>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（7）图纸（如有） ；</w:t>
      </w:r>
    </w:p>
    <w:p>
      <w:pPr>
        <w:snapToGrid w:val="0"/>
        <w:spacing w:line="360" w:lineRule="auto"/>
        <w:ind w:firstLine="417" w:firstLineChars="198"/>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（8）已标价工程量清单或预算书</w:t>
      </w:r>
      <w:r>
        <w:rPr>
          <w:rFonts w:hint="eastAsia" w:ascii="宋体" w:hAnsi="宋体"/>
          <w:b/>
          <w:snapToGrid w:val="0"/>
          <w:color w:val="auto"/>
          <w:kern w:val="0"/>
          <w:szCs w:val="21"/>
          <w:highlight w:val="none"/>
        </w:rPr>
        <w:t>；</w:t>
      </w:r>
    </w:p>
    <w:p>
      <w:pPr>
        <w:snapToGrid w:val="0"/>
        <w:spacing w:line="360" w:lineRule="auto"/>
        <w:ind w:firstLine="417" w:firstLineChars="198"/>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（9）其他合同文件</w:t>
      </w:r>
      <w:r>
        <w:rPr>
          <w:rFonts w:hint="eastAsia" w:ascii="宋体" w:hAnsi="宋体"/>
          <w:b/>
          <w:snapToGrid w:val="0"/>
          <w:color w:val="auto"/>
          <w:kern w:val="0"/>
          <w:szCs w:val="21"/>
          <w:highlight w:val="none"/>
        </w:rPr>
        <w:t>：</w:t>
      </w:r>
    </w:p>
    <w:p>
      <w:pPr>
        <w:snapToGrid w:val="0"/>
        <w:spacing w:line="360" w:lineRule="auto"/>
        <w:ind w:firstLine="417" w:firstLineChars="198"/>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①施工组织设计</w:t>
      </w:r>
      <w:r>
        <w:rPr>
          <w:rFonts w:hint="eastAsia" w:ascii="宋体" w:hAnsi="宋体"/>
          <w:b/>
          <w:snapToGrid w:val="0"/>
          <w:color w:val="auto"/>
          <w:kern w:val="0"/>
          <w:szCs w:val="21"/>
          <w:highlight w:val="none"/>
        </w:rPr>
        <w:t>；</w:t>
      </w:r>
    </w:p>
    <w:p>
      <w:pPr>
        <w:snapToGrid w:val="0"/>
        <w:spacing w:line="360" w:lineRule="auto"/>
        <w:ind w:firstLine="417" w:firstLineChars="198"/>
        <w:rPr>
          <w:rFonts w:ascii="宋体" w:hAnsi="宋体"/>
          <w:b/>
          <w:snapToGrid w:val="0"/>
          <w:color w:val="auto"/>
          <w:kern w:val="0"/>
          <w:szCs w:val="21"/>
          <w:highlight w:val="none"/>
          <w:u w:val="single"/>
        </w:rPr>
      </w:pPr>
      <w:r>
        <w:rPr>
          <w:rFonts w:hint="eastAsia" w:ascii="宋体" w:hAnsi="宋体"/>
          <w:b/>
          <w:snapToGrid w:val="0"/>
          <w:color w:val="auto"/>
          <w:kern w:val="0"/>
          <w:szCs w:val="21"/>
          <w:highlight w:val="none"/>
          <w:u w:val="single"/>
        </w:rPr>
        <w:t xml:space="preserve">②其他：采购文件（含采购工程量清单）及采购答疑（如果有）。      </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1.6 图纸和承包人文件</w:t>
      </w:r>
      <w:r>
        <w:rPr>
          <w:rFonts w:hint="eastAsia" w:ascii="宋体" w:hAnsi="宋体" w:cs="宋体"/>
          <w:color w:val="auto"/>
          <w:szCs w:val="21"/>
          <w:highlight w:val="none"/>
        </w:rPr>
        <w:tab/>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 图纸的提供</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发包人向承包人提供图纸的期限：</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发包人向承包人提供图纸的数量：</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发包人向承包人提供图纸的内容：</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 承包人文件</w:t>
      </w:r>
    </w:p>
    <w:p>
      <w:pPr>
        <w:snapToGrid w:val="0"/>
        <w:spacing w:line="360" w:lineRule="auto"/>
        <w:ind w:left="596" w:leftChars="284"/>
        <w:jc w:val="left"/>
        <w:rPr>
          <w:rFonts w:ascii="宋体" w:hAnsi="宋体" w:cs="宋体"/>
          <w:color w:val="auto"/>
          <w:szCs w:val="21"/>
          <w:highlight w:val="none"/>
          <w:u w:val="single"/>
        </w:rPr>
      </w:pPr>
      <w:r>
        <w:rPr>
          <w:rFonts w:hint="eastAsia" w:ascii="宋体" w:hAnsi="宋体" w:cs="宋体"/>
          <w:color w:val="auto"/>
          <w:szCs w:val="21"/>
          <w:highlight w:val="none"/>
        </w:rPr>
        <w:t>需要由承包人提供的文件，包括：</w:t>
      </w:r>
      <w:r>
        <w:rPr>
          <w:rFonts w:hint="eastAsia" w:ascii="宋体" w:hAnsi="宋体" w:cs="宋体"/>
          <w:color w:val="auto"/>
          <w:szCs w:val="21"/>
          <w:highlight w:val="none"/>
          <w:u w:val="single"/>
        </w:rPr>
        <w:t>          </w:t>
      </w:r>
    </w:p>
    <w:p>
      <w:pPr>
        <w:snapToGrid w:val="0"/>
        <w:spacing w:line="360" w:lineRule="auto"/>
        <w:ind w:left="596" w:leftChars="284"/>
        <w:jc w:val="left"/>
        <w:rPr>
          <w:rFonts w:ascii="宋体" w:hAnsi="宋体" w:cs="宋体"/>
          <w:color w:val="auto"/>
          <w:szCs w:val="21"/>
          <w:highlight w:val="none"/>
        </w:rPr>
      </w:pP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承包人提供的文件的期限为：</w:t>
      </w:r>
      <w:r>
        <w:rPr>
          <w:rFonts w:hint="eastAsia" w:ascii="宋体" w:hAnsi="宋体" w:cs="宋体"/>
          <w:color w:val="auto"/>
          <w:szCs w:val="21"/>
          <w:highlight w:val="none"/>
          <w:u w:val="single"/>
        </w:rPr>
        <w:t> 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承包人提供的文件的数量为：</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承包人提供的文件的形式为：</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发包人审批承包人文件的期限：</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 现场图纸准备</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关于现场图纸准备的约定：</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1.7 联络</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1.7.1发包人和承包人应当在</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天内将与合同有关的通知、批准、证明、证书、指示、指令、要求、请求、同意、意见、确定和决定等书面函件送达对方当事人。</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1.7.2 发包人接收文件的地点：</w:t>
      </w:r>
      <w:r>
        <w:rPr>
          <w:rFonts w:hint="eastAsia" w:ascii="宋体" w:hAnsi="宋体" w:cs="宋体"/>
          <w:color w:val="auto"/>
          <w:szCs w:val="21"/>
          <w:highlight w:val="none"/>
          <w:u w:val="single"/>
        </w:rPr>
        <w:t>  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发包人指定的接收人为：</w:t>
      </w:r>
      <w:r>
        <w:rPr>
          <w:rFonts w:hint="eastAsia" w:ascii="宋体" w:hAnsi="宋体" w:cs="宋体"/>
          <w:color w:val="auto"/>
          <w:szCs w:val="21"/>
          <w:highlight w:val="none"/>
          <w:u w:val="single"/>
        </w:rPr>
        <w:t>       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承包人接收文件的地点：</w:t>
      </w:r>
      <w:r>
        <w:rPr>
          <w:rFonts w:hint="eastAsia" w:ascii="宋体" w:hAnsi="宋体" w:cs="宋体"/>
          <w:color w:val="auto"/>
          <w:szCs w:val="21"/>
          <w:highlight w:val="none"/>
          <w:u w:val="single"/>
        </w:rPr>
        <w:t>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承包人指定的接收人为：</w:t>
      </w:r>
      <w:r>
        <w:rPr>
          <w:rFonts w:hint="eastAsia" w:ascii="宋体" w:hAnsi="宋体" w:cs="宋体"/>
          <w:color w:val="auto"/>
          <w:szCs w:val="21"/>
          <w:highlight w:val="none"/>
          <w:u w:val="single"/>
        </w:rPr>
        <w:t>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监理人接收文件的地点：</w:t>
      </w:r>
      <w:r>
        <w:rPr>
          <w:rFonts w:hint="eastAsia" w:ascii="宋体" w:hAnsi="宋体" w:cs="宋体"/>
          <w:color w:val="auto"/>
          <w:szCs w:val="21"/>
          <w:highlight w:val="none"/>
          <w:u w:val="single"/>
        </w:rPr>
        <w:t> 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监理人指定的接收人为：</w:t>
      </w:r>
      <w:r>
        <w:rPr>
          <w:rFonts w:hint="eastAsia" w:ascii="宋体" w:hAnsi="宋体" w:cs="宋体"/>
          <w:color w:val="auto"/>
          <w:szCs w:val="21"/>
          <w:highlight w:val="none"/>
          <w:u w:val="single"/>
        </w:rPr>
        <w:t>            </w:t>
      </w:r>
      <w:r>
        <w:rPr>
          <w:rFonts w:hint="eastAsia" w:ascii="宋体" w:hAnsi="宋体" w:cs="宋体"/>
          <w:color w:val="auto"/>
          <w:kern w:val="0"/>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1.10 交通运输</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w:t>
      </w:r>
      <w:bookmarkStart w:id="473" w:name="_Toc318581155"/>
      <w:bookmarkStart w:id="474" w:name="_Toc300934943"/>
      <w:bookmarkStart w:id="475" w:name="_Toc312677986"/>
      <w:bookmarkStart w:id="476" w:name="_Toc304295521"/>
      <w:bookmarkStart w:id="477" w:name="_Toc303539100"/>
      <w:r>
        <w:rPr>
          <w:rFonts w:hint="eastAsia" w:ascii="宋体" w:hAnsi="宋体" w:cs="宋体"/>
          <w:color w:val="auto"/>
          <w:szCs w:val="21"/>
          <w:highlight w:val="none"/>
        </w:rPr>
        <w:t>.10.1 出入现场的权利</w:t>
      </w:r>
    </w:p>
    <w:p>
      <w:pPr>
        <w:snapToGrid w:val="0"/>
        <w:spacing w:line="360" w:lineRule="auto"/>
        <w:ind w:left="596" w:leftChars="284"/>
        <w:rPr>
          <w:rFonts w:ascii="宋体" w:hAnsi="宋体" w:cs="宋体"/>
          <w:color w:val="auto"/>
          <w:szCs w:val="21"/>
          <w:highlight w:val="none"/>
          <w:u w:val="single"/>
        </w:rPr>
      </w:pPr>
      <w:r>
        <w:rPr>
          <w:rFonts w:hint="eastAsia" w:ascii="宋体" w:hAnsi="宋体" w:cs="宋体"/>
          <w:color w:val="auto"/>
          <w:szCs w:val="21"/>
          <w:highlight w:val="none"/>
        </w:rPr>
        <w:t>关于出入现场的权利的约定：</w:t>
      </w:r>
      <w:r>
        <w:rPr>
          <w:rFonts w:hint="eastAsia" w:ascii="宋体" w:hAnsi="宋体" w:cs="宋体"/>
          <w:color w:val="auto"/>
          <w:szCs w:val="21"/>
          <w:highlight w:val="none"/>
          <w:u w:val="single"/>
        </w:rPr>
        <w:t> 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                            </w:t>
      </w:r>
      <w:r>
        <w:rPr>
          <w:rFonts w:hint="eastAsia" w:ascii="宋体" w:hAnsi="宋体" w:cs="宋体"/>
          <w:color w:val="auto"/>
          <w:szCs w:val="21"/>
          <w:highlight w:val="none"/>
        </w:rPr>
        <w:t>。</w:t>
      </w:r>
    </w:p>
    <w:bookmarkEnd w:id="473"/>
    <w:bookmarkEnd w:id="474"/>
    <w:bookmarkEnd w:id="475"/>
    <w:bookmarkEnd w:id="476"/>
    <w:bookmarkEnd w:id="477"/>
    <w:p>
      <w:pPr>
        <w:snapToGrid w:val="0"/>
        <w:spacing w:line="360" w:lineRule="auto"/>
        <w:ind w:firstLine="420" w:firstLineChars="200"/>
        <w:jc w:val="left"/>
        <w:outlineLvl w:val="0"/>
        <w:rPr>
          <w:rFonts w:ascii="宋体" w:hAnsi="宋体" w:cs="宋体"/>
          <w:color w:val="auto"/>
          <w:szCs w:val="21"/>
          <w:highlight w:val="none"/>
        </w:rPr>
      </w:pPr>
      <w:r>
        <w:rPr>
          <w:rFonts w:hint="eastAsia" w:ascii="宋体" w:hAnsi="宋体" w:cs="宋体"/>
          <w:color w:val="auto"/>
          <w:szCs w:val="21"/>
          <w:highlight w:val="none"/>
        </w:rPr>
        <w:t>1</w:t>
      </w:r>
      <w:bookmarkStart w:id="478" w:name="_Toc300934944"/>
      <w:bookmarkStart w:id="479" w:name="_Toc318581156"/>
      <w:bookmarkStart w:id="480" w:name="_Toc312677987"/>
      <w:bookmarkStart w:id="481" w:name="_Toc304295522"/>
      <w:bookmarkStart w:id="482" w:name="_Toc303539101"/>
      <w:r>
        <w:rPr>
          <w:rFonts w:hint="eastAsia" w:ascii="宋体" w:hAnsi="宋体" w:cs="宋体"/>
          <w:color w:val="auto"/>
          <w:szCs w:val="21"/>
          <w:highlight w:val="none"/>
        </w:rPr>
        <w:t>.10.3 场内交通</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关于场外交通和场内交通的边界的约定：</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关于发包人向承包人免费提供满足工程施工需要的场内道路和交通设施的约定：</w:t>
      </w:r>
      <w:r>
        <w:rPr>
          <w:rFonts w:hint="eastAsia" w:ascii="宋体" w:hAnsi="宋体" w:cs="宋体"/>
          <w:color w:val="auto"/>
          <w:szCs w:val="21"/>
          <w:highlight w:val="none"/>
          <w:u w:val="single"/>
        </w:rPr>
        <w:t>                                        </w:t>
      </w:r>
      <w:r>
        <w:rPr>
          <w:rFonts w:hint="eastAsia" w:ascii="宋体" w:hAnsi="宋体" w:cs="宋体"/>
          <w:color w:val="auto"/>
          <w:szCs w:val="21"/>
          <w:highlight w:val="none"/>
        </w:rPr>
        <w:t>。</w:t>
      </w:r>
      <w:bookmarkEnd w:id="478"/>
      <w:bookmarkEnd w:id="479"/>
      <w:bookmarkEnd w:id="480"/>
      <w:bookmarkEnd w:id="481"/>
      <w:bookmarkEnd w:id="482"/>
      <w:r>
        <w:rPr>
          <w:rFonts w:hint="eastAsia" w:ascii="宋体" w:hAnsi="宋体" w:cs="宋体"/>
          <w:color w:val="auto"/>
          <w:szCs w:val="21"/>
          <w:highlight w:val="none"/>
        </w:rPr>
        <w:t xml:space="preserve">  </w:t>
      </w:r>
      <w:bookmarkStart w:id="483" w:name="_Toc318581157"/>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1.10.4超大件和超重件的运输</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运输超大件或超重件所需的道路和桥梁临时加固改造费用和其他有关费用由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承担。</w:t>
      </w:r>
    </w:p>
    <w:bookmarkEnd w:id="483"/>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1.11 知识产权</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Cs w:val="21"/>
          <w:highlight w:val="none"/>
          <w:u w:val="single"/>
        </w:rPr>
        <w:t xml:space="preserve">                                                        </w:t>
      </w:r>
      <w:r>
        <w:rPr>
          <w:rFonts w:hint="eastAsia" w:ascii="宋体" w:hAnsi="宋体" w:cs="宋体"/>
          <w:color w:val="auto"/>
          <w:szCs w:val="21"/>
          <w:highlight w:val="none"/>
        </w:rPr>
        <w:t>。</w:t>
      </w:r>
    </w:p>
    <w:p>
      <w:pPr>
        <w:snapToGrid w:val="0"/>
        <w:spacing w:line="360" w:lineRule="auto"/>
        <w:ind w:left="596" w:leftChars="284"/>
        <w:rPr>
          <w:rFonts w:ascii="宋体" w:hAnsi="宋体" w:cs="宋体"/>
          <w:color w:val="auto"/>
          <w:szCs w:val="21"/>
          <w:highlight w:val="none"/>
        </w:rPr>
      </w:pPr>
      <w:r>
        <w:rPr>
          <w:rFonts w:hint="eastAsia" w:ascii="宋体" w:hAnsi="宋体" w:cs="宋体"/>
          <w:color w:val="auto"/>
          <w:szCs w:val="21"/>
          <w:highlight w:val="none"/>
        </w:rPr>
        <w:t>关于发包人提供的上述文件的使用限制的要求：</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left="596" w:leftChars="284"/>
        <w:outlineLvl w:val="0"/>
        <w:rPr>
          <w:rFonts w:ascii="宋体" w:hAnsi="宋体" w:cs="宋体"/>
          <w:color w:val="auto"/>
          <w:szCs w:val="21"/>
          <w:highlight w:val="none"/>
        </w:rPr>
      </w:pPr>
      <w:r>
        <w:rPr>
          <w:rFonts w:hint="eastAsia" w:ascii="宋体" w:hAnsi="宋体" w:cs="宋体"/>
          <w:color w:val="auto"/>
          <w:szCs w:val="21"/>
          <w:highlight w:val="none"/>
        </w:rPr>
        <w:t>1.11.2 关于承包人为实施工程所编制文件的著作权的归属：</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关于承包人提供的上述文件的使用限制的要求：</w:t>
      </w:r>
      <w:r>
        <w:rPr>
          <w:rFonts w:hint="eastAsia" w:ascii="宋体" w:hAnsi="宋体" w:cs="宋体"/>
          <w:color w:val="auto"/>
          <w:szCs w:val="21"/>
          <w:highlight w:val="none"/>
          <w:u w:val="single"/>
        </w:rPr>
        <w:t>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xml:space="preserve">                              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kern w:val="0"/>
          <w:szCs w:val="21"/>
          <w:highlight w:val="none"/>
        </w:rPr>
      </w:pPr>
      <w:r>
        <w:rPr>
          <w:rFonts w:hint="eastAsia" w:ascii="宋体" w:hAnsi="宋体" w:cs="宋体"/>
          <w:color w:val="auto"/>
          <w:szCs w:val="21"/>
          <w:highlight w:val="none"/>
        </w:rPr>
        <w:t>1.11.4 承包人在施工过程中所采用的专利、专有技术、技术秘密的使用费的承担方式：</w:t>
      </w:r>
      <w:r>
        <w:rPr>
          <w:rFonts w:hint="eastAsia" w:ascii="宋体" w:hAnsi="宋体" w:cs="宋体"/>
          <w:color w:val="auto"/>
          <w:szCs w:val="21"/>
          <w:highlight w:val="none"/>
          <w:u w:val="single"/>
        </w:rPr>
        <w:t xml:space="preserve">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1.13工程量清单错误的修正</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出现工程量清单错误时，是否调整合同价格：</w:t>
      </w:r>
      <w:r>
        <w:rPr>
          <w:rFonts w:hint="eastAsia" w:ascii="宋体" w:hAnsi="宋体" w:cs="宋体"/>
          <w:color w:val="auto"/>
          <w:szCs w:val="21"/>
          <w:highlight w:val="none"/>
          <w:u w:val="single"/>
        </w:rPr>
        <w:t xml:space="preserve">          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允许调整合同价格的工程量偏差范围：</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xml:space="preserve">                                                       </w:t>
      </w:r>
      <w:r>
        <w:rPr>
          <w:rFonts w:hint="eastAsia" w:ascii="宋体" w:hAnsi="宋体" w:cs="宋体"/>
          <w:color w:val="auto"/>
          <w:kern w:val="0"/>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484" w:name="_Toc351203634"/>
      <w:r>
        <w:rPr>
          <w:rFonts w:hint="eastAsia" w:ascii="宋体" w:hAnsi="宋体" w:eastAsia="宋体" w:cs="宋体"/>
          <w:b w:val="0"/>
          <w:color w:val="auto"/>
          <w:sz w:val="21"/>
          <w:szCs w:val="21"/>
          <w:highlight w:val="none"/>
        </w:rPr>
        <w:t>2</w:t>
      </w:r>
      <w:bookmarkStart w:id="485" w:name="_Toc296890985"/>
      <w:bookmarkStart w:id="486" w:name="_Toc296347156"/>
      <w:bookmarkStart w:id="487" w:name="_Toc292559867"/>
      <w:bookmarkStart w:id="488" w:name="_Toc296891197"/>
      <w:bookmarkStart w:id="489" w:name="_Toc297048343"/>
      <w:bookmarkStart w:id="490" w:name="_Toc296503157"/>
      <w:bookmarkStart w:id="491" w:name="_Toc296346658"/>
      <w:bookmarkStart w:id="492" w:name="_Toc292559362"/>
      <w:bookmarkStart w:id="493" w:name="_Toc297120457"/>
      <w:bookmarkStart w:id="494" w:name="_Toc296944496"/>
      <w:r>
        <w:rPr>
          <w:rFonts w:hint="eastAsia" w:ascii="宋体" w:hAnsi="宋体" w:eastAsia="宋体" w:cs="宋体"/>
          <w:b w:val="0"/>
          <w:color w:val="auto"/>
          <w:sz w:val="21"/>
          <w:szCs w:val="21"/>
          <w:highlight w:val="none"/>
        </w:rPr>
        <w:t>. 发包人</w:t>
      </w:r>
      <w:bookmarkEnd w:id="484"/>
    </w:p>
    <w:bookmarkEnd w:id="485"/>
    <w:bookmarkEnd w:id="486"/>
    <w:bookmarkEnd w:id="487"/>
    <w:bookmarkEnd w:id="488"/>
    <w:bookmarkEnd w:id="489"/>
    <w:bookmarkEnd w:id="490"/>
    <w:bookmarkEnd w:id="491"/>
    <w:bookmarkEnd w:id="492"/>
    <w:bookmarkEnd w:id="493"/>
    <w:bookmarkEnd w:id="494"/>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2.2 发包人代表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发包人代表：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发包人对发包人代表的授权范围如下：</w:t>
      </w:r>
      <w:r>
        <w:rPr>
          <w:rFonts w:hint="eastAsia" w:ascii="宋体" w:hAnsi="宋体" w:cs="宋体"/>
          <w:color w:val="auto"/>
          <w:szCs w:val="21"/>
          <w:highlight w:val="none"/>
          <w:u w:val="single"/>
        </w:rPr>
        <w:t>     </w:t>
      </w:r>
    </w:p>
    <w:p>
      <w:pPr>
        <w:snapToGrid w:val="0"/>
        <w:spacing w:line="360" w:lineRule="auto"/>
        <w:rPr>
          <w:rFonts w:ascii="宋体" w:hAnsi="宋体" w:cs="宋体"/>
          <w:b/>
          <w:color w:val="auto"/>
          <w:szCs w:val="21"/>
          <w:highlight w:val="none"/>
        </w:rPr>
      </w:pP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2.4 施工现场、施工条件和基础资料的提供</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2.4.1 提供施工现场</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关于发包人移交施工现场的期限要求：</w:t>
      </w:r>
      <w:r>
        <w:rPr>
          <w:rFonts w:hint="eastAsia" w:ascii="宋体" w:hAnsi="宋体" w:cs="宋体"/>
          <w:color w:val="auto"/>
          <w:szCs w:val="21"/>
          <w:highlight w:val="none"/>
          <w:u w:val="single"/>
        </w:rPr>
        <w:t>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2.4.2 提供施工条件</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关于发包人应负责提供施工所需要的条件，包括：</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2.5 资金来源证明及支付担保</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发包人提供资金来源证明的期限要求：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发包人是否提供支付担保：</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发包人提供支付担保的形式：</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495" w:name="_Toc351203635"/>
      <w:r>
        <w:rPr>
          <w:rFonts w:hint="eastAsia" w:ascii="宋体" w:hAnsi="宋体" w:eastAsia="宋体" w:cs="宋体"/>
          <w:b w:val="0"/>
          <w:color w:val="auto"/>
          <w:sz w:val="21"/>
          <w:szCs w:val="21"/>
          <w:highlight w:val="none"/>
        </w:rPr>
        <w:t>3</w:t>
      </w:r>
      <w:bookmarkStart w:id="496" w:name="_Toc292559363"/>
      <w:bookmarkStart w:id="497" w:name="_Toc296944497"/>
      <w:bookmarkStart w:id="498" w:name="_Toc296503158"/>
      <w:bookmarkStart w:id="499" w:name="_Toc296891198"/>
      <w:bookmarkStart w:id="500" w:name="_Toc292559868"/>
      <w:bookmarkStart w:id="501" w:name="_Toc296346659"/>
      <w:bookmarkStart w:id="502" w:name="_Toc297048344"/>
      <w:bookmarkStart w:id="503" w:name="_Toc296890986"/>
      <w:bookmarkStart w:id="504" w:name="_Toc297120458"/>
      <w:bookmarkStart w:id="505" w:name="_Toc296347157"/>
      <w:r>
        <w:rPr>
          <w:rFonts w:hint="eastAsia" w:ascii="宋体" w:hAnsi="宋体" w:eastAsia="宋体" w:cs="宋体"/>
          <w:b w:val="0"/>
          <w:color w:val="auto"/>
          <w:sz w:val="21"/>
          <w:szCs w:val="21"/>
          <w:highlight w:val="none"/>
        </w:rPr>
        <w:t>. 承包人</w:t>
      </w:r>
      <w:bookmarkEnd w:id="495"/>
    </w:p>
    <w:bookmarkEnd w:id="496"/>
    <w:bookmarkEnd w:id="497"/>
    <w:bookmarkEnd w:id="498"/>
    <w:bookmarkEnd w:id="499"/>
    <w:bookmarkEnd w:id="500"/>
    <w:bookmarkEnd w:id="501"/>
    <w:bookmarkEnd w:id="502"/>
    <w:bookmarkEnd w:id="503"/>
    <w:bookmarkEnd w:id="504"/>
    <w:bookmarkEnd w:id="505"/>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 承包人的一般义务</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（9）</w:t>
      </w:r>
      <w:r>
        <w:rPr>
          <w:rFonts w:hint="eastAsia" w:ascii="宋体" w:hAnsi="宋体" w:cs="宋体"/>
          <w:color w:val="auto"/>
          <w:szCs w:val="21"/>
          <w:highlight w:val="none"/>
        </w:rPr>
        <w:t>承包人提交的竣工资料的内容：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承包人需要提交的竣工资料套数：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left="638" w:leftChars="304"/>
        <w:jc w:val="left"/>
        <w:rPr>
          <w:rFonts w:ascii="宋体" w:hAnsi="宋体" w:cs="宋体"/>
          <w:color w:val="auto"/>
          <w:szCs w:val="21"/>
          <w:highlight w:val="none"/>
        </w:rPr>
      </w:pPr>
      <w:r>
        <w:rPr>
          <w:rFonts w:hint="eastAsia" w:ascii="宋体" w:hAnsi="宋体" w:cs="宋体"/>
          <w:color w:val="auto"/>
          <w:szCs w:val="21"/>
          <w:highlight w:val="none"/>
        </w:rPr>
        <w:t>承包人提交的竣工资料的费用承担：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left="638" w:leftChars="304"/>
        <w:jc w:val="left"/>
        <w:rPr>
          <w:rFonts w:ascii="宋体" w:hAnsi="宋体" w:cs="宋体"/>
          <w:color w:val="auto"/>
          <w:szCs w:val="21"/>
          <w:highlight w:val="none"/>
        </w:rPr>
      </w:pPr>
      <w:r>
        <w:rPr>
          <w:rFonts w:hint="eastAsia" w:ascii="宋体" w:hAnsi="宋体" w:cs="宋体"/>
          <w:color w:val="auto"/>
          <w:szCs w:val="21"/>
          <w:highlight w:val="none"/>
        </w:rPr>
        <w:t>承包人提交的竣工资料移交时间：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承包人提交的竣工资料形式要求：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（10）承包人应履行的其他义务：</w:t>
      </w:r>
      <w:r>
        <w:rPr>
          <w:rFonts w:hint="eastAsia" w:ascii="宋体" w:hAnsi="宋体" w:cs="宋体"/>
          <w:color w:val="auto"/>
          <w:szCs w:val="21"/>
          <w:highlight w:val="none"/>
          <w:u w:val="single"/>
        </w:rPr>
        <w:t>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 项目经理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 xml:space="preserve">3.2.1 </w:t>
      </w:r>
      <w:r>
        <w:rPr>
          <w:rFonts w:hint="eastAsia" w:ascii="宋体" w:hAnsi="宋体" w:cs="宋体"/>
          <w:color w:val="auto"/>
          <w:szCs w:val="21"/>
          <w:highlight w:val="none"/>
        </w:rPr>
        <w:t>项目经理：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建造师执业资格等级：</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建造师注册证书号：</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建造师执业印章号：</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安全生产考核合格证书号：</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承包人对项目经理的授权范围如下：</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关于项目经理每月在施工现场的时间要求：</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承包人未提交劳动合同，以及没有为项目经理缴纳社会保险证明的违约责任：</w:t>
      </w:r>
      <w:r>
        <w:rPr>
          <w:rFonts w:hint="eastAsia" w:ascii="宋体" w:hAnsi="宋体" w:cs="宋体"/>
          <w:color w:val="auto"/>
          <w:szCs w:val="21"/>
          <w:highlight w:val="none"/>
          <w:u w:val="single"/>
        </w:rPr>
        <w:t xml:space="preserve">               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kern w:val="0"/>
          <w:szCs w:val="21"/>
          <w:highlight w:val="none"/>
        </w:rPr>
        <w:t>项目经理未经批准，擅自离开施工现场的违约责任：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3.2.3 承包人擅自更换项目经理的违约责任：</w:t>
      </w:r>
      <w:r>
        <w:rPr>
          <w:rFonts w:hint="eastAsia" w:ascii="宋体" w:hAnsi="宋体" w:cs="宋体"/>
          <w:color w:val="auto"/>
          <w:szCs w:val="21"/>
          <w:highlight w:val="none"/>
          <w:u w:val="single"/>
        </w:rPr>
        <w:t xml:space="preserve">     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                                    </w:t>
      </w:r>
      <w:r>
        <w:rPr>
          <w:rFonts w:hint="eastAsia" w:ascii="宋体" w:hAnsi="宋体" w:cs="宋体"/>
          <w:color w:val="auto"/>
          <w:szCs w:val="21"/>
          <w:highlight w:val="none"/>
        </w:rPr>
        <w:t>。</w:t>
      </w:r>
    </w:p>
    <w:p>
      <w:pPr>
        <w:snapToGrid w:val="0"/>
        <w:spacing w:line="360" w:lineRule="auto"/>
        <w:outlineLvl w:val="0"/>
        <w:rPr>
          <w:rFonts w:ascii="宋体" w:hAnsi="宋体" w:cs="宋体"/>
          <w:color w:val="auto"/>
          <w:szCs w:val="21"/>
          <w:highlight w:val="none"/>
        </w:rPr>
      </w:pPr>
      <w:r>
        <w:rPr>
          <w:rFonts w:hint="eastAsia" w:ascii="宋体" w:hAnsi="宋体" w:cs="宋体"/>
          <w:color w:val="auto"/>
          <w:szCs w:val="21"/>
          <w:highlight w:val="none"/>
        </w:rPr>
        <w:t xml:space="preserve">    3.2.4 承包人无正当理由拒绝更换项目经理的违约责任：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 承包人人员</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3.3.1 承包人提交项目管理机构及施工现场管理人员安排报告的期限：</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3.3.3 承包人无正当理由拒绝撤换主要施工管理人员的违约责任：</w:t>
      </w:r>
      <w:r>
        <w:rPr>
          <w:rFonts w:hint="eastAsia" w:ascii="宋体" w:hAnsi="宋体" w:cs="宋体"/>
          <w:color w:val="auto"/>
          <w:szCs w:val="21"/>
          <w:highlight w:val="none"/>
          <w:u w:val="single"/>
        </w:rPr>
        <w:t xml:space="preserve">                          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 xml:space="preserve">3.3.4 承包人主要施工管理人员离开施工现场的批准要求：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3.3.5承包人擅自更换主要施工管理人员的违约责任：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承包人主要施工管理人员擅自离开施工现场的违约责任：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w:t>
      </w:r>
      <w:bookmarkStart w:id="506" w:name="_Toc304295523"/>
      <w:bookmarkStart w:id="507" w:name="_Toc300934945"/>
      <w:bookmarkStart w:id="508" w:name="_Toc297123492"/>
      <w:bookmarkStart w:id="509" w:name="_Toc292559364"/>
      <w:bookmarkStart w:id="510" w:name="_Toc292559869"/>
      <w:bookmarkStart w:id="511" w:name="_Toc296347158"/>
      <w:bookmarkStart w:id="512" w:name="_Toc296890987"/>
      <w:bookmarkStart w:id="513" w:name="_Toc296891199"/>
      <w:bookmarkStart w:id="514" w:name="_Toc296944498"/>
      <w:bookmarkStart w:id="515" w:name="_Toc297120459"/>
      <w:bookmarkStart w:id="516" w:name="_Toc296346660"/>
      <w:bookmarkStart w:id="517" w:name="_Toc296503159"/>
      <w:bookmarkStart w:id="518" w:name="_Toc303539102"/>
      <w:bookmarkStart w:id="519" w:name="_Toc297048345"/>
      <w:bookmarkStart w:id="520" w:name="_Toc297216151"/>
      <w:bookmarkStart w:id="521" w:name="_Toc312677988"/>
      <w:r>
        <w:rPr>
          <w:rFonts w:hint="eastAsia" w:ascii="宋体" w:hAnsi="宋体" w:cs="宋体"/>
          <w:color w:val="auto"/>
          <w:szCs w:val="21"/>
          <w:highlight w:val="none"/>
        </w:rPr>
        <w:t>.5 分包</w:t>
      </w:r>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w:t>
      </w:r>
      <w:bookmarkStart w:id="522" w:name="_Toc296346661"/>
      <w:bookmarkStart w:id="523" w:name="_Toc304295524"/>
      <w:bookmarkStart w:id="524" w:name="_Toc296890988"/>
      <w:bookmarkStart w:id="525" w:name="_Toc296347159"/>
      <w:bookmarkStart w:id="526" w:name="_Toc300934946"/>
      <w:bookmarkStart w:id="527" w:name="_Toc296503160"/>
      <w:bookmarkStart w:id="528" w:name="_Toc292559365"/>
      <w:bookmarkStart w:id="529" w:name="_Toc297216152"/>
      <w:bookmarkStart w:id="530" w:name="_Toc297048346"/>
      <w:bookmarkStart w:id="531" w:name="_Toc297120460"/>
      <w:bookmarkStart w:id="532" w:name="_Toc303539103"/>
      <w:bookmarkStart w:id="533" w:name="_Toc297123493"/>
      <w:bookmarkStart w:id="534" w:name="_Toc292559870"/>
      <w:bookmarkStart w:id="535" w:name="_Toc296891200"/>
      <w:bookmarkStart w:id="536" w:name="_Toc296944499"/>
      <w:bookmarkStart w:id="537" w:name="_Toc318581158"/>
      <w:bookmarkStart w:id="538" w:name="_Toc312677989"/>
      <w:r>
        <w:rPr>
          <w:rFonts w:hint="eastAsia" w:ascii="宋体" w:hAnsi="宋体" w:cs="宋体"/>
          <w:color w:val="auto"/>
          <w:szCs w:val="21"/>
          <w:highlight w:val="none"/>
        </w:rPr>
        <w:t>.5.1 分包的一般约定</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禁止分包的工程包括：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主体结构、关键性工作的范围：</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Start w:id="539" w:name="_Toc296346662"/>
      <w:bookmarkStart w:id="540" w:name="_Toc296503161"/>
      <w:bookmarkStart w:id="541" w:name="_Toc296347160"/>
      <w:bookmarkStart w:id="542" w:name="_Toc296944500"/>
      <w:bookmarkStart w:id="543" w:name="_Toc297123494"/>
      <w:bookmarkStart w:id="544" w:name="_Toc300934947"/>
      <w:bookmarkStart w:id="545" w:name="_Toc297216153"/>
      <w:bookmarkStart w:id="546" w:name="_Toc304295525"/>
      <w:bookmarkStart w:id="547" w:name="_Toc303539104"/>
      <w:bookmarkStart w:id="548" w:name="_Toc297120461"/>
      <w:bookmarkStart w:id="549" w:name="_Toc296890989"/>
      <w:bookmarkStart w:id="550" w:name="_Toc297048347"/>
      <w:bookmarkStart w:id="551" w:name="_Toc296891201"/>
    </w:p>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3</w:t>
      </w:r>
      <w:bookmarkStart w:id="552" w:name="_Toc312677990"/>
      <w:bookmarkStart w:id="553" w:name="_Toc318581159"/>
      <w:r>
        <w:rPr>
          <w:rFonts w:hint="eastAsia" w:ascii="宋体" w:hAnsi="宋体" w:cs="宋体"/>
          <w:color w:val="auto"/>
          <w:szCs w:val="21"/>
          <w:highlight w:val="none"/>
        </w:rPr>
        <w:t>.5.2分包的确定</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允许分包的专业工程包括：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其他关于分包的约定：</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3.5.4 分包合同价款</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关于分包合同价款支付的约定：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552"/>
    <w:bookmarkEnd w:id="553"/>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3.6 工程照管与成品、半成品保护</w:t>
      </w:r>
    </w:p>
    <w:p>
      <w:pPr>
        <w:snapToGrid w:val="0"/>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rPr>
        <w:t>承包人负责照管工程及工程相关的材料、工程设备的起始时间：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3.7 履约担保</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承包人是否提供履约担保：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承包人提供履约担保的形式、金额及期限的：</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554" w:name="_Toc351203636"/>
      <w:r>
        <w:rPr>
          <w:rFonts w:hint="eastAsia" w:ascii="宋体" w:hAnsi="宋体" w:eastAsia="宋体" w:cs="宋体"/>
          <w:b w:val="0"/>
          <w:color w:val="auto"/>
          <w:sz w:val="21"/>
          <w:szCs w:val="21"/>
          <w:highlight w:val="none"/>
        </w:rPr>
        <w:t>4</w:t>
      </w:r>
      <w:bookmarkStart w:id="555" w:name="_Toc267251413"/>
      <w:bookmarkStart w:id="556" w:name="_Toc292559871"/>
      <w:bookmarkStart w:id="557" w:name="_Toc296891202"/>
      <w:bookmarkStart w:id="558" w:name="_Toc292559366"/>
      <w:bookmarkStart w:id="559" w:name="_Toc296890990"/>
      <w:bookmarkStart w:id="560" w:name="_Toc296503162"/>
      <w:bookmarkStart w:id="561" w:name="_Toc296347161"/>
      <w:bookmarkStart w:id="562" w:name="_Toc296944501"/>
      <w:bookmarkStart w:id="563" w:name="_Toc297048348"/>
      <w:bookmarkStart w:id="564" w:name="_Toc296346663"/>
      <w:bookmarkStart w:id="565" w:name="_Toc297120462"/>
      <w:r>
        <w:rPr>
          <w:rFonts w:hint="eastAsia" w:ascii="宋体" w:hAnsi="宋体" w:eastAsia="宋体" w:cs="宋体"/>
          <w:b w:val="0"/>
          <w:color w:val="auto"/>
          <w:sz w:val="21"/>
          <w:szCs w:val="21"/>
          <w:highlight w:val="none"/>
        </w:rPr>
        <w:t>. 监</w:t>
      </w:r>
      <w:bookmarkEnd w:id="555"/>
      <w:bookmarkEnd w:id="556"/>
      <w:bookmarkEnd w:id="557"/>
      <w:bookmarkEnd w:id="558"/>
      <w:bookmarkEnd w:id="559"/>
      <w:bookmarkEnd w:id="560"/>
      <w:bookmarkEnd w:id="561"/>
      <w:bookmarkEnd w:id="562"/>
      <w:bookmarkEnd w:id="563"/>
      <w:bookmarkEnd w:id="564"/>
      <w:bookmarkEnd w:id="565"/>
      <w:r>
        <w:rPr>
          <w:rFonts w:hint="eastAsia" w:ascii="宋体" w:hAnsi="宋体" w:eastAsia="宋体" w:cs="宋体"/>
          <w:b w:val="0"/>
          <w:color w:val="auto"/>
          <w:sz w:val="21"/>
          <w:szCs w:val="21"/>
          <w:highlight w:val="none"/>
        </w:rPr>
        <w:t>理人</w:t>
      </w:r>
      <w:bookmarkEnd w:id="554"/>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4.1监理人的一般规定</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关于监理人的监理内容：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关于监理人的监理权限：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关于监理人在施工现场的办公场所、生活场所的提供和费用承担的约定：</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 监理人员</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总监理工程师：</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监理工程师执业资格证书号：</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关于监理人的其他约定：</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4.4 商定或确定</w:t>
      </w:r>
    </w:p>
    <w:p>
      <w:pPr>
        <w:snapToGrid w:val="0"/>
        <w:spacing w:line="360" w:lineRule="auto"/>
        <w:ind w:firstLine="420" w:firstLineChars="200"/>
        <w:rPr>
          <w:rFonts w:ascii="宋体" w:hAnsi="宋体" w:cs="宋体"/>
          <w:color w:val="auto"/>
          <w:szCs w:val="21"/>
          <w:highlight w:val="none"/>
        </w:rPr>
      </w:pPr>
      <w:bookmarkStart w:id="566" w:name="_Toc267251418"/>
      <w:r>
        <w:rPr>
          <w:rFonts w:hint="eastAsia" w:ascii="宋体" w:hAnsi="宋体" w:cs="宋体"/>
          <w:color w:val="auto"/>
          <w:szCs w:val="21"/>
          <w:highlight w:val="none"/>
        </w:rPr>
        <w:t>在发包人和承包人不能通过协商达成一致意见时，发包人授权监理人对以下事项进行确定：</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567" w:name="_Toc351203637"/>
      <w:r>
        <w:rPr>
          <w:rFonts w:hint="eastAsia" w:ascii="宋体" w:hAnsi="宋体" w:eastAsia="宋体" w:cs="宋体"/>
          <w:b w:val="0"/>
          <w:color w:val="auto"/>
          <w:sz w:val="21"/>
          <w:szCs w:val="21"/>
          <w:highlight w:val="none"/>
        </w:rPr>
        <w:t>5</w:t>
      </w:r>
      <w:bookmarkEnd w:id="566"/>
      <w:bookmarkStart w:id="568" w:name="_Toc297120463"/>
      <w:bookmarkStart w:id="569" w:name="_Toc296347162"/>
      <w:bookmarkStart w:id="570" w:name="_Toc296891203"/>
      <w:bookmarkStart w:id="571" w:name="_Toc292559872"/>
      <w:bookmarkStart w:id="572" w:name="_Toc296503163"/>
      <w:bookmarkStart w:id="573" w:name="_Toc297048349"/>
      <w:bookmarkStart w:id="574" w:name="_Toc296346664"/>
      <w:bookmarkStart w:id="575" w:name="_Toc296944502"/>
      <w:bookmarkStart w:id="576" w:name="_Toc296890991"/>
      <w:bookmarkStart w:id="577" w:name="_Toc292559367"/>
      <w:r>
        <w:rPr>
          <w:rFonts w:hint="eastAsia" w:ascii="宋体" w:hAnsi="宋体" w:eastAsia="宋体" w:cs="宋体"/>
          <w:b w:val="0"/>
          <w:color w:val="auto"/>
          <w:sz w:val="21"/>
          <w:szCs w:val="21"/>
          <w:highlight w:val="none"/>
        </w:rPr>
        <w:t>. 工程质量</w:t>
      </w:r>
      <w:bookmarkEnd w:id="567"/>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5.1 质量要求</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5</w:t>
      </w:r>
      <w:bookmarkStart w:id="578" w:name="_Toc318581164"/>
      <w:bookmarkStart w:id="579" w:name="_Toc297123496"/>
      <w:bookmarkStart w:id="580" w:name="_Toc297216155"/>
      <w:bookmarkStart w:id="581" w:name="_Toc300934949"/>
      <w:bookmarkStart w:id="582" w:name="_Toc304295527"/>
      <w:bookmarkStart w:id="583" w:name="_Toc303539106"/>
      <w:bookmarkStart w:id="584" w:name="_Toc312677997"/>
      <w:r>
        <w:rPr>
          <w:rFonts w:hint="eastAsia" w:ascii="宋体" w:hAnsi="宋体" w:cs="宋体"/>
          <w:color w:val="auto"/>
          <w:szCs w:val="21"/>
          <w:highlight w:val="none"/>
        </w:rPr>
        <w:t>.1.1 特殊质量标准和要求：</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关于工程奖项的约定：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5.3 隐蔽工程检查</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5.3.2承包人提前通知监理人隐蔽工程检查的期限的约定：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监理人不能按时进行检查时，应提前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小时提交书面延期要求。</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小时。</w:t>
      </w:r>
    </w:p>
    <w:p>
      <w:pPr>
        <w:pStyle w:val="8"/>
        <w:snapToGrid w:val="0"/>
        <w:spacing w:before="0" w:after="0" w:line="360" w:lineRule="auto"/>
        <w:rPr>
          <w:rFonts w:ascii="宋体" w:hAnsi="宋体" w:eastAsia="宋体" w:cs="宋体"/>
          <w:b w:val="0"/>
          <w:color w:val="auto"/>
          <w:sz w:val="21"/>
          <w:szCs w:val="21"/>
          <w:highlight w:val="none"/>
        </w:rPr>
      </w:pPr>
      <w:bookmarkStart w:id="585" w:name="_Toc351203638"/>
      <w:r>
        <w:rPr>
          <w:rFonts w:hint="eastAsia" w:ascii="宋体" w:hAnsi="宋体" w:eastAsia="宋体" w:cs="宋体"/>
          <w:b w:val="0"/>
          <w:color w:val="auto"/>
          <w:sz w:val="21"/>
          <w:szCs w:val="21"/>
          <w:highlight w:val="none"/>
        </w:rPr>
        <w:t>6. 安全文明施工与环境保护</w:t>
      </w:r>
      <w:bookmarkEnd w:id="585"/>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6.1安全文明施工</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6.1.1 项目安全生产的达标目标及相应事项的约定：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6.1.4 关于治安保卫的特别约定：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关于编制施工场地治安管理计划的约定：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rPr>
        <w:br w:type="textWrapping"/>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6.1.5 文明施工</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合同当事人对文明施工的要求：</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6.1.6 关于安全文明施工费支付比例和支付期限的约定：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578"/>
    <w:bookmarkEnd w:id="579"/>
    <w:bookmarkEnd w:id="580"/>
    <w:bookmarkEnd w:id="581"/>
    <w:bookmarkEnd w:id="582"/>
    <w:bookmarkEnd w:id="583"/>
    <w:bookmarkEnd w:id="584"/>
    <w:p>
      <w:pPr>
        <w:pStyle w:val="8"/>
        <w:snapToGrid w:val="0"/>
        <w:spacing w:before="0" w:after="0" w:line="360" w:lineRule="auto"/>
        <w:rPr>
          <w:rFonts w:ascii="宋体" w:hAnsi="宋体" w:eastAsia="宋体" w:cs="宋体"/>
          <w:b w:val="0"/>
          <w:color w:val="auto"/>
          <w:sz w:val="21"/>
          <w:szCs w:val="21"/>
          <w:highlight w:val="none"/>
        </w:rPr>
      </w:pPr>
      <w:bookmarkStart w:id="586" w:name="_Toc351203639"/>
      <w:r>
        <w:rPr>
          <w:rFonts w:hint="eastAsia" w:ascii="宋体" w:hAnsi="宋体" w:eastAsia="宋体" w:cs="宋体"/>
          <w:b w:val="0"/>
          <w:color w:val="auto"/>
          <w:sz w:val="21"/>
          <w:szCs w:val="21"/>
          <w:highlight w:val="none"/>
        </w:rPr>
        <w:t>7. 工期和进度</w:t>
      </w:r>
      <w:bookmarkEnd w:id="586"/>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7.1 施工组织设计</w:t>
      </w:r>
    </w:p>
    <w:p>
      <w:pPr>
        <w:autoSpaceDE w:val="0"/>
        <w:autoSpaceDN w:val="0"/>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7.1.1 合</w:t>
      </w:r>
      <w:r>
        <w:rPr>
          <w:rFonts w:hint="eastAsia" w:ascii="宋体" w:hAnsi="宋体" w:cs="宋体"/>
          <w:color w:val="auto"/>
          <w:kern w:val="0"/>
          <w:szCs w:val="21"/>
          <w:highlight w:val="none"/>
        </w:rPr>
        <w:t>同当事人约定的施工组织设计应包括的其他内容：</w:t>
      </w:r>
      <w:r>
        <w:rPr>
          <w:rFonts w:hint="eastAsia" w:ascii="宋体" w:hAnsi="宋体" w:cs="宋体"/>
          <w:color w:val="auto"/>
          <w:szCs w:val="21"/>
          <w:highlight w:val="none"/>
          <w:u w:val="single"/>
        </w:rPr>
        <w:t xml:space="preserve">   </w:t>
      </w:r>
    </w:p>
    <w:p>
      <w:pPr>
        <w:autoSpaceDE w:val="0"/>
        <w:autoSpaceDN w:val="0"/>
        <w:snapToGrid w:val="0"/>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 xml:space="preserve">7.1.2 </w:t>
      </w:r>
      <w:r>
        <w:rPr>
          <w:rFonts w:hint="eastAsia" w:ascii="宋体" w:hAnsi="宋体" w:cs="宋体"/>
          <w:color w:val="auto"/>
          <w:kern w:val="0"/>
          <w:szCs w:val="21"/>
          <w:highlight w:val="none"/>
        </w:rPr>
        <w:t>施工组织设计的提交和修改</w:t>
      </w:r>
    </w:p>
    <w:p>
      <w:pPr>
        <w:autoSpaceDE w:val="0"/>
        <w:autoSpaceDN w:val="0"/>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承包人提交详细施工组织设计的期限的约定：</w:t>
      </w:r>
      <w:r>
        <w:rPr>
          <w:rFonts w:hint="eastAsia" w:ascii="宋体" w:hAnsi="宋体" w:cs="宋体"/>
          <w:color w:val="auto"/>
          <w:szCs w:val="21"/>
          <w:highlight w:val="none"/>
          <w:u w:val="single"/>
        </w:rPr>
        <w:t xml:space="preserve">              </w:t>
      </w:r>
    </w:p>
    <w:p>
      <w:pPr>
        <w:autoSpaceDE w:val="0"/>
        <w:autoSpaceDN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发包人和监理人在收到详细的施工组织设计后确认或提出修改意见的期限：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bookmarkStart w:id="587" w:name="_Toc312678005"/>
      <w:bookmarkStart w:id="588" w:name="_Toc312677479"/>
      <w:bookmarkStart w:id="589" w:name="_Toc300934966"/>
      <w:bookmarkStart w:id="590" w:name="_Toc303539123"/>
      <w:bookmarkStart w:id="591" w:name="_Toc297123514"/>
      <w:bookmarkStart w:id="592" w:name="_Toc304295541"/>
      <w:bookmarkStart w:id="593" w:name="_Toc297216173"/>
      <w:r>
        <w:rPr>
          <w:rFonts w:hint="eastAsia" w:ascii="宋体" w:hAnsi="宋体" w:cs="宋体"/>
          <w:color w:val="auto"/>
          <w:szCs w:val="21"/>
          <w:highlight w:val="none"/>
        </w:rPr>
        <w:t>.2 施工进度计划</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7.2.2 施工进度计划的修订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发包人和监理人在收到修订的施工进度计划后确认或提出修改意见的期限：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7.3 开工</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7.3.1 开工准备</w:t>
      </w:r>
    </w:p>
    <w:p>
      <w:pPr>
        <w:snapToGrid w:val="0"/>
        <w:spacing w:line="360" w:lineRule="auto"/>
        <w:ind w:firstLine="645"/>
        <w:jc w:val="left"/>
        <w:rPr>
          <w:rFonts w:ascii="宋体" w:hAnsi="宋体" w:cs="宋体"/>
          <w:color w:val="auto"/>
          <w:szCs w:val="21"/>
          <w:highlight w:val="none"/>
          <w:u w:val="single"/>
        </w:rPr>
      </w:pPr>
      <w:r>
        <w:rPr>
          <w:rFonts w:hint="eastAsia" w:ascii="宋体" w:hAnsi="宋体" w:cs="宋体"/>
          <w:color w:val="auto"/>
          <w:szCs w:val="21"/>
          <w:highlight w:val="none"/>
        </w:rPr>
        <w:t>关于承包人提交</w:t>
      </w:r>
      <w:r>
        <w:rPr>
          <w:rFonts w:hint="eastAsia" w:ascii="宋体" w:hAnsi="宋体" w:cs="宋体"/>
          <w:color w:val="auto"/>
          <w:kern w:val="0"/>
          <w:szCs w:val="21"/>
          <w:highlight w:val="none"/>
        </w:rPr>
        <w:t>工程开工报审表的期限：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645"/>
        <w:jc w:val="left"/>
        <w:rPr>
          <w:rFonts w:ascii="宋体" w:hAnsi="宋体" w:cs="宋体"/>
          <w:color w:val="auto"/>
          <w:szCs w:val="21"/>
          <w:highlight w:val="none"/>
          <w:u w:val="single"/>
        </w:rPr>
      </w:pPr>
      <w:r>
        <w:rPr>
          <w:rFonts w:hint="eastAsia" w:ascii="宋体" w:hAnsi="宋体" w:cs="宋体"/>
          <w:color w:val="auto"/>
          <w:szCs w:val="21"/>
          <w:highlight w:val="none"/>
        </w:rPr>
        <w:t>关于发包人应完成的其他开工准备工作及期限：</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关于承包人应完成的其他开工准备工作及期限：</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7.3.2开工通知</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因发包人原因造成监理人未能在计划开工日期之日起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天内发出开工通知的，承包人有权提出价格调整要求，或者解除合同。</w:t>
      </w:r>
    </w:p>
    <w:bookmarkEnd w:id="587"/>
    <w:bookmarkEnd w:id="588"/>
    <w:bookmarkEnd w:id="589"/>
    <w:bookmarkEnd w:id="590"/>
    <w:bookmarkEnd w:id="591"/>
    <w:bookmarkEnd w:id="592"/>
    <w:bookmarkEnd w:id="593"/>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7.4 测量放线</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7.4.1发包人通过监理人向承包人提供测量基准点、基准线和水准点及其书面资料的期限：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bookmarkStart w:id="594" w:name="_Toc297216175"/>
      <w:bookmarkStart w:id="595" w:name="_Toc312678010"/>
      <w:bookmarkStart w:id="596" w:name="_Toc312677484"/>
      <w:bookmarkStart w:id="597" w:name="_Toc303539125"/>
      <w:bookmarkStart w:id="598" w:name="_Toc304295546"/>
      <w:bookmarkStart w:id="599" w:name="_Toc297123516"/>
      <w:bookmarkStart w:id="600" w:name="_Toc300934968"/>
      <w:r>
        <w:rPr>
          <w:rFonts w:hint="eastAsia" w:ascii="宋体" w:hAnsi="宋体" w:cs="宋体"/>
          <w:color w:val="auto"/>
          <w:szCs w:val="21"/>
          <w:highlight w:val="none"/>
        </w:rPr>
        <w:t>.5 工期延误</w:t>
      </w:r>
    </w:p>
    <w:bookmarkEnd w:id="594"/>
    <w:bookmarkEnd w:id="595"/>
    <w:bookmarkEnd w:id="596"/>
    <w:bookmarkEnd w:id="597"/>
    <w:bookmarkEnd w:id="598"/>
    <w:bookmarkEnd w:id="599"/>
    <w:bookmarkEnd w:id="600"/>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7.5.1 因发包人原因导致工期延误</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（7）因发包人原因导致工期延误的其他情形：</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w:t>
      </w:r>
      <w:bookmarkStart w:id="601" w:name="_Toc318581169"/>
      <w:bookmarkStart w:id="602" w:name="_Toc312677486"/>
      <w:bookmarkStart w:id="603" w:name="_Toc312678012"/>
      <w:bookmarkStart w:id="604" w:name="_Toc304295548"/>
      <w:bookmarkStart w:id="605" w:name="_Toc297123518"/>
      <w:bookmarkStart w:id="606" w:name="_Toc297216177"/>
      <w:bookmarkStart w:id="607" w:name="_Toc303539127"/>
      <w:bookmarkStart w:id="608" w:name="_Toc300934970"/>
      <w:r>
        <w:rPr>
          <w:rFonts w:hint="eastAsia" w:ascii="宋体" w:hAnsi="宋体" w:cs="宋体"/>
          <w:color w:val="auto"/>
          <w:szCs w:val="21"/>
          <w:highlight w:val="none"/>
        </w:rPr>
        <w:t>.5.2 因承包人原因导致工期延误</w:t>
      </w:r>
    </w:p>
    <w:bookmarkEnd w:id="601"/>
    <w:bookmarkEnd w:id="602"/>
    <w:bookmarkEnd w:id="603"/>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因</w:t>
      </w:r>
      <w:bookmarkStart w:id="609" w:name="_Toc312677487"/>
      <w:bookmarkStart w:id="610" w:name="_Toc312678013"/>
      <w:bookmarkStart w:id="611" w:name="_Toc318581170"/>
      <w:r>
        <w:rPr>
          <w:rFonts w:hint="eastAsia" w:ascii="宋体" w:hAnsi="宋体" w:cs="宋体"/>
          <w:color w:val="auto"/>
          <w:szCs w:val="21"/>
          <w:highlight w:val="none"/>
        </w:rPr>
        <w:t>承包人原因造成工期延误，逾期竣工违约金的计算方法为：</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bookmarkEnd w:id="604"/>
      <w:bookmarkEnd w:id="605"/>
      <w:bookmarkEnd w:id="606"/>
      <w:bookmarkEnd w:id="607"/>
      <w:bookmarkEnd w:id="608"/>
      <w:bookmarkEnd w:id="609"/>
      <w:bookmarkEnd w:id="610"/>
    </w:p>
    <w:bookmarkEnd w:id="611"/>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因承包人原因造成工期延误，逾</w:t>
      </w:r>
      <w:bookmarkStart w:id="612" w:name="_Toc318581171"/>
      <w:bookmarkStart w:id="613" w:name="_Toc312678014"/>
      <w:r>
        <w:rPr>
          <w:rFonts w:hint="eastAsia" w:ascii="宋体" w:hAnsi="宋体" w:cs="宋体"/>
          <w:color w:val="auto"/>
          <w:szCs w:val="21"/>
          <w:highlight w:val="none"/>
        </w:rPr>
        <w:t>期竣工违约金的上限：</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612"/>
    <w:bookmarkEnd w:id="613"/>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bookmarkStart w:id="614" w:name="_Toc312678015"/>
      <w:bookmarkStart w:id="615" w:name="_Toc304295549"/>
      <w:bookmarkStart w:id="616" w:name="_Toc300934971"/>
      <w:bookmarkStart w:id="617" w:name="_Toc297123519"/>
      <w:bookmarkStart w:id="618" w:name="_Toc297216178"/>
      <w:bookmarkStart w:id="619" w:name="_Toc303539128"/>
      <w:r>
        <w:rPr>
          <w:rFonts w:hint="eastAsia" w:ascii="宋体" w:hAnsi="宋体" w:cs="宋体"/>
          <w:color w:val="auto"/>
          <w:szCs w:val="21"/>
          <w:highlight w:val="none"/>
        </w:rPr>
        <w:t>.6 不</w:t>
      </w:r>
      <w:bookmarkEnd w:id="614"/>
      <w:bookmarkEnd w:id="615"/>
      <w:bookmarkEnd w:id="616"/>
      <w:bookmarkEnd w:id="617"/>
      <w:bookmarkEnd w:id="618"/>
      <w:bookmarkEnd w:id="619"/>
      <w:r>
        <w:rPr>
          <w:rFonts w:hint="eastAsia" w:ascii="宋体" w:hAnsi="宋体" w:cs="宋体"/>
          <w:color w:val="auto"/>
          <w:szCs w:val="21"/>
          <w:highlight w:val="none"/>
        </w:rPr>
        <w:t>利物质条件</w:t>
      </w:r>
    </w:p>
    <w:p>
      <w:pPr>
        <w:snapToGrid w:val="0"/>
        <w:spacing w:line="360" w:lineRule="auto"/>
        <w:ind w:firstLine="420" w:firstLineChars="200"/>
        <w:jc w:val="left"/>
        <w:rPr>
          <w:rFonts w:ascii="宋体" w:hAnsi="宋体" w:cs="宋体"/>
          <w:color w:val="auto"/>
          <w:szCs w:val="21"/>
          <w:highlight w:val="none"/>
          <w:u w:val="single"/>
        </w:rPr>
      </w:pPr>
      <w:bookmarkStart w:id="620" w:name="_Toc297216179"/>
      <w:bookmarkStart w:id="621" w:name="_Toc297123520"/>
      <w:bookmarkStart w:id="622" w:name="_Toc318581172"/>
      <w:bookmarkStart w:id="623" w:name="_Toc300934972"/>
      <w:bookmarkStart w:id="624" w:name="_Toc304295550"/>
      <w:bookmarkStart w:id="625" w:name="_Toc312678016"/>
      <w:bookmarkStart w:id="626" w:name="_Toc303539129"/>
      <w:r>
        <w:rPr>
          <w:rFonts w:hint="eastAsia" w:ascii="宋体" w:hAnsi="宋体" w:cs="宋体"/>
          <w:color w:val="auto"/>
          <w:szCs w:val="21"/>
          <w:highlight w:val="none"/>
        </w:rPr>
        <w:t>不利物质条件的其他情形和有关约定：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620"/>
    <w:bookmarkEnd w:id="621"/>
    <w:bookmarkEnd w:id="622"/>
    <w:bookmarkEnd w:id="623"/>
    <w:bookmarkEnd w:id="624"/>
    <w:bookmarkEnd w:id="625"/>
    <w:bookmarkEnd w:id="626"/>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bookmarkStart w:id="627" w:name="_Toc297216180"/>
      <w:bookmarkStart w:id="628" w:name="_Toc304295551"/>
      <w:bookmarkStart w:id="629" w:name="_Toc297123521"/>
      <w:bookmarkStart w:id="630" w:name="_Toc303539130"/>
      <w:bookmarkStart w:id="631" w:name="_Toc300934973"/>
      <w:bookmarkStart w:id="632" w:name="_Toc312678017"/>
      <w:r>
        <w:rPr>
          <w:rFonts w:hint="eastAsia" w:ascii="宋体" w:hAnsi="宋体" w:cs="宋体"/>
          <w:color w:val="auto"/>
          <w:szCs w:val="21"/>
          <w:highlight w:val="none"/>
        </w:rPr>
        <w:t>.7异常恶劣的气候条件</w:t>
      </w:r>
    </w:p>
    <w:bookmarkEnd w:id="627"/>
    <w:bookmarkEnd w:id="628"/>
    <w:bookmarkEnd w:id="629"/>
    <w:bookmarkEnd w:id="630"/>
    <w:bookmarkEnd w:id="631"/>
    <w:bookmarkEnd w:id="632"/>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发包人和承包人同意以下情形视为异常恶劣的气候条件：</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7.9 提前竣工的奖励</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7.9.2提前竣工的奖励：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633" w:name="_Toc351203640"/>
      <w:r>
        <w:rPr>
          <w:rFonts w:hint="eastAsia" w:ascii="宋体" w:hAnsi="宋体" w:eastAsia="宋体" w:cs="宋体"/>
          <w:b w:val="0"/>
          <w:color w:val="auto"/>
          <w:sz w:val="21"/>
          <w:szCs w:val="21"/>
          <w:highlight w:val="none"/>
        </w:rPr>
        <w:t>8. 材料与设备</w:t>
      </w:r>
      <w:bookmarkEnd w:id="633"/>
    </w:p>
    <w:bookmarkEnd w:id="568"/>
    <w:bookmarkEnd w:id="569"/>
    <w:bookmarkEnd w:id="570"/>
    <w:bookmarkEnd w:id="571"/>
    <w:bookmarkEnd w:id="572"/>
    <w:bookmarkEnd w:id="573"/>
    <w:bookmarkEnd w:id="574"/>
    <w:bookmarkEnd w:id="575"/>
    <w:bookmarkEnd w:id="576"/>
    <w:bookmarkEnd w:id="577"/>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w:t>
      </w:r>
      <w:bookmarkStart w:id="634" w:name="_Toc296944506"/>
      <w:bookmarkStart w:id="635" w:name="_Toc280868654"/>
      <w:bookmarkStart w:id="636" w:name="_Toc296503167"/>
      <w:bookmarkStart w:id="637" w:name="_Toc296347166"/>
      <w:bookmarkStart w:id="638" w:name="_Toc292559372"/>
      <w:bookmarkStart w:id="639" w:name="_Toc297123527"/>
      <w:bookmarkStart w:id="640" w:name="_Toc296890995"/>
      <w:bookmarkStart w:id="641" w:name="_Toc312677493"/>
      <w:bookmarkStart w:id="642" w:name="_Toc296346668"/>
      <w:bookmarkStart w:id="643" w:name="_Toc292559877"/>
      <w:bookmarkStart w:id="644" w:name="_Toc297048353"/>
      <w:bookmarkStart w:id="645" w:name="_Toc312678019"/>
      <w:bookmarkStart w:id="646" w:name="_Toc297216186"/>
      <w:bookmarkStart w:id="647" w:name="_Toc297120467"/>
      <w:bookmarkStart w:id="648" w:name="_Toc300934979"/>
      <w:bookmarkStart w:id="649" w:name="_Toc303539136"/>
      <w:bookmarkStart w:id="650" w:name="_Toc296891207"/>
      <w:bookmarkStart w:id="651" w:name="_Toc304295556"/>
      <w:bookmarkStart w:id="652" w:name="_Toc280868656"/>
      <w:bookmarkStart w:id="653" w:name="_Toc280868655"/>
      <w:bookmarkStart w:id="654" w:name="_Toc267251424"/>
      <w:r>
        <w:rPr>
          <w:rFonts w:hint="eastAsia" w:ascii="宋体" w:hAnsi="宋体" w:cs="宋体"/>
          <w:color w:val="auto"/>
          <w:szCs w:val="21"/>
          <w:highlight w:val="none"/>
        </w:rPr>
        <w:t>.4材料与工程设备的保管与使用</w:t>
      </w:r>
    </w:p>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8</w:t>
      </w:r>
      <w:bookmarkStart w:id="655" w:name="_Toc292559878"/>
      <w:bookmarkStart w:id="656" w:name="_Toc292559373"/>
      <w:bookmarkStart w:id="657" w:name="_Toc300934980"/>
      <w:bookmarkStart w:id="658" w:name="_Toc318581173"/>
      <w:bookmarkStart w:id="659" w:name="_Toc312677494"/>
      <w:bookmarkStart w:id="660" w:name="_Toc304295557"/>
      <w:bookmarkStart w:id="661" w:name="_Toc297216187"/>
      <w:bookmarkStart w:id="662" w:name="_Toc296890996"/>
      <w:bookmarkStart w:id="663" w:name="_Toc296503168"/>
      <w:bookmarkStart w:id="664" w:name="_Toc296347167"/>
      <w:bookmarkStart w:id="665" w:name="_Toc312678020"/>
      <w:bookmarkStart w:id="666" w:name="_Toc303539137"/>
      <w:bookmarkStart w:id="667" w:name="_Toc297123528"/>
      <w:bookmarkStart w:id="668" w:name="_Toc296891208"/>
      <w:bookmarkStart w:id="669" w:name="_Toc297048354"/>
      <w:bookmarkStart w:id="670" w:name="_Toc297120468"/>
      <w:bookmarkStart w:id="671" w:name="_Toc296944507"/>
      <w:bookmarkStart w:id="672" w:name="_Toc296346669"/>
      <w:r>
        <w:rPr>
          <w:rFonts w:hint="eastAsia" w:ascii="宋体" w:hAnsi="宋体" w:cs="宋体"/>
          <w:color w:val="auto"/>
          <w:szCs w:val="21"/>
          <w:highlight w:val="none"/>
        </w:rPr>
        <w:t>.4.1发包人供应的材料设备的保管费用的承担：</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bookmarkEnd w:id="655"/>
      <w:bookmarkEnd w:id="656"/>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8.6 样品</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8.6.1</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样品的报送与封存</w:t>
      </w:r>
    </w:p>
    <w:p>
      <w:pPr>
        <w:autoSpaceDE w:val="0"/>
        <w:autoSpaceDN w:val="0"/>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需要承包人报送样品的材料或工程设备，样品的种类、名称、规格、数量要求：</w:t>
      </w:r>
      <w:r>
        <w:rPr>
          <w:rFonts w:hint="eastAsia" w:ascii="宋体" w:hAnsi="宋体" w:cs="宋体"/>
          <w:color w:val="auto"/>
          <w:szCs w:val="21"/>
          <w:highlight w:val="none"/>
          <w:u w:val="single"/>
        </w:rPr>
        <w:t xml:space="preserve">                                          </w:t>
      </w:r>
    </w:p>
    <w:p>
      <w:pPr>
        <w:autoSpaceDE w:val="0"/>
        <w:autoSpaceDN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8.8 施工设备和临时设施</w:t>
      </w:r>
    </w:p>
    <w:p>
      <w:pPr>
        <w:autoSpaceDE w:val="0"/>
        <w:autoSpaceDN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8.8.1 承包人提供的施工设备和临时设施</w:t>
      </w:r>
    </w:p>
    <w:p>
      <w:pPr>
        <w:autoSpaceDE w:val="0"/>
        <w:autoSpaceDN w:val="0"/>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关于修建临时设施费用承担的约定：</w:t>
      </w:r>
      <w:r>
        <w:rPr>
          <w:rFonts w:hint="eastAsia" w:ascii="宋体" w:hAnsi="宋体" w:cs="宋体"/>
          <w:color w:val="auto"/>
          <w:szCs w:val="21"/>
          <w:highlight w:val="none"/>
          <w:u w:val="single"/>
        </w:rPr>
        <w:t xml:space="preserve">                     </w:t>
      </w:r>
    </w:p>
    <w:p>
      <w:pPr>
        <w:autoSpaceDE w:val="0"/>
        <w:autoSpaceDN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Pr>
        <w:pStyle w:val="8"/>
        <w:snapToGrid w:val="0"/>
        <w:spacing w:before="0" w:after="0" w:line="360" w:lineRule="auto"/>
        <w:rPr>
          <w:rFonts w:ascii="宋体" w:hAnsi="宋体" w:eastAsia="宋体" w:cs="宋体"/>
          <w:b w:val="0"/>
          <w:color w:val="auto"/>
          <w:sz w:val="21"/>
          <w:szCs w:val="21"/>
          <w:highlight w:val="none"/>
        </w:rPr>
      </w:pPr>
      <w:bookmarkStart w:id="673" w:name="_Toc351203641"/>
      <w:r>
        <w:rPr>
          <w:rFonts w:hint="eastAsia" w:ascii="宋体" w:hAnsi="宋体" w:eastAsia="宋体" w:cs="宋体"/>
          <w:b w:val="0"/>
          <w:color w:val="auto"/>
          <w:sz w:val="21"/>
          <w:szCs w:val="21"/>
          <w:highlight w:val="none"/>
        </w:rPr>
        <w:t>9</w:t>
      </w:r>
      <w:bookmarkEnd w:id="652"/>
      <w:bookmarkEnd w:id="653"/>
      <w:bookmarkEnd w:id="654"/>
      <w:bookmarkStart w:id="674" w:name="_Toc297216192"/>
      <w:bookmarkStart w:id="675" w:name="_Toc312678021"/>
      <w:bookmarkStart w:id="676" w:name="_Toc297123533"/>
      <w:bookmarkStart w:id="677" w:name="_Toc312677495"/>
      <w:bookmarkStart w:id="678" w:name="_Toc304295559"/>
      <w:bookmarkStart w:id="679" w:name="_Toc303539139"/>
      <w:bookmarkStart w:id="680" w:name="_Toc300934982"/>
      <w:bookmarkStart w:id="681" w:name="_Toc296346674"/>
      <w:bookmarkStart w:id="682" w:name="_Toc296503173"/>
      <w:bookmarkStart w:id="683" w:name="_Toc297120473"/>
      <w:bookmarkStart w:id="684" w:name="_Toc297048359"/>
      <w:bookmarkStart w:id="685" w:name="_Toc267251427"/>
      <w:bookmarkStart w:id="686" w:name="_Toc296944512"/>
      <w:bookmarkStart w:id="687" w:name="_Toc296347172"/>
      <w:bookmarkStart w:id="688" w:name="_Toc292559883"/>
      <w:bookmarkStart w:id="689" w:name="_Toc296891001"/>
      <w:bookmarkStart w:id="690" w:name="_Toc296891213"/>
      <w:bookmarkStart w:id="691" w:name="_Toc292559378"/>
      <w:bookmarkStart w:id="692" w:name="_Toc267251428"/>
      <w:r>
        <w:rPr>
          <w:rFonts w:hint="eastAsia" w:ascii="宋体" w:hAnsi="宋体" w:eastAsia="宋体" w:cs="宋体"/>
          <w:b w:val="0"/>
          <w:color w:val="auto"/>
          <w:sz w:val="21"/>
          <w:szCs w:val="21"/>
          <w:highlight w:val="none"/>
        </w:rPr>
        <w:t>. 试验与检验</w:t>
      </w:r>
      <w:bookmarkEnd w:id="673"/>
    </w:p>
    <w:bookmarkEnd w:id="674"/>
    <w:bookmarkEnd w:id="675"/>
    <w:bookmarkEnd w:id="676"/>
    <w:bookmarkEnd w:id="677"/>
    <w:bookmarkEnd w:id="678"/>
    <w:bookmarkEnd w:id="679"/>
    <w:bookmarkEnd w:id="680"/>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w:t>
      </w:r>
      <w:bookmarkStart w:id="693" w:name="_Toc303539140"/>
      <w:bookmarkStart w:id="694" w:name="_Toc312678022"/>
      <w:bookmarkStart w:id="695" w:name="_Toc304295560"/>
      <w:bookmarkStart w:id="696" w:name="_Toc297216193"/>
      <w:bookmarkStart w:id="697" w:name="_Toc312677496"/>
      <w:bookmarkStart w:id="698" w:name="_Toc297123534"/>
      <w:bookmarkStart w:id="699" w:name="_Toc300934983"/>
      <w:r>
        <w:rPr>
          <w:rFonts w:hint="eastAsia" w:ascii="宋体" w:hAnsi="宋体" w:cs="宋体"/>
          <w:color w:val="auto"/>
          <w:szCs w:val="21"/>
          <w:highlight w:val="none"/>
        </w:rPr>
        <w:t>.1试验设备与试验人员</w:t>
      </w:r>
    </w:p>
    <w:bookmarkEnd w:id="693"/>
    <w:bookmarkEnd w:id="694"/>
    <w:bookmarkEnd w:id="695"/>
    <w:bookmarkEnd w:id="696"/>
    <w:bookmarkEnd w:id="697"/>
    <w:bookmarkEnd w:id="698"/>
    <w:bookmarkEnd w:id="699"/>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w:t>
      </w:r>
      <w:bookmarkStart w:id="700" w:name="_Toc312678023"/>
      <w:bookmarkStart w:id="701" w:name="_Toc303539141"/>
      <w:bookmarkStart w:id="702" w:name="_Toc297123535"/>
      <w:bookmarkStart w:id="703" w:name="_Toc300934984"/>
      <w:bookmarkStart w:id="704" w:name="_Toc297216194"/>
      <w:bookmarkStart w:id="705" w:name="_Toc312677497"/>
      <w:bookmarkStart w:id="706" w:name="_Toc304295561"/>
      <w:bookmarkStart w:id="707" w:name="_Toc318581174"/>
      <w:r>
        <w:rPr>
          <w:rFonts w:hint="eastAsia" w:ascii="宋体" w:hAnsi="宋体" w:cs="宋体"/>
          <w:color w:val="auto"/>
          <w:szCs w:val="21"/>
          <w:highlight w:val="none"/>
        </w:rPr>
        <w:t>.1.2 试验设备</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施工现场需要配置的试验场所：</w:t>
      </w:r>
      <w:bookmarkEnd w:id="700"/>
      <w:bookmarkEnd w:id="701"/>
      <w:bookmarkEnd w:id="702"/>
      <w:bookmarkEnd w:id="703"/>
      <w:bookmarkEnd w:id="704"/>
      <w:bookmarkEnd w:id="705"/>
      <w:bookmarkEnd w:id="706"/>
      <w:bookmarkStart w:id="708" w:name="_Toc304295562"/>
      <w:bookmarkStart w:id="709" w:name="_Toc297216195"/>
      <w:bookmarkStart w:id="710" w:name="_Toc303539142"/>
      <w:bookmarkStart w:id="711" w:name="_Toc300934985"/>
      <w:bookmarkStart w:id="712" w:name="_Toc312677498"/>
      <w:bookmarkStart w:id="713" w:name="_Toc312678024"/>
      <w:bookmarkStart w:id="714" w:name="_Toc297123536"/>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施工现场需要配备的试验设备：</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施工现场需要具备的其他试验条件：</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 xml:space="preserve">9.4 现场工艺试验 </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现场工艺试验的有关约定：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707"/>
    <w:bookmarkEnd w:id="708"/>
    <w:bookmarkEnd w:id="709"/>
    <w:bookmarkEnd w:id="710"/>
    <w:bookmarkEnd w:id="711"/>
    <w:bookmarkEnd w:id="712"/>
    <w:bookmarkEnd w:id="713"/>
    <w:bookmarkEnd w:id="714"/>
    <w:p>
      <w:pPr>
        <w:pStyle w:val="8"/>
        <w:snapToGrid w:val="0"/>
        <w:spacing w:before="0" w:after="0" w:line="360" w:lineRule="auto"/>
        <w:rPr>
          <w:rFonts w:ascii="宋体" w:hAnsi="宋体" w:eastAsia="宋体" w:cs="宋体"/>
          <w:b w:val="0"/>
          <w:color w:val="auto"/>
          <w:sz w:val="21"/>
          <w:szCs w:val="21"/>
          <w:highlight w:val="none"/>
        </w:rPr>
      </w:pPr>
      <w:bookmarkStart w:id="715" w:name="_Toc351203642"/>
      <w:r>
        <w:rPr>
          <w:rFonts w:hint="eastAsia" w:ascii="宋体" w:hAnsi="宋体" w:eastAsia="宋体" w:cs="宋体"/>
          <w:b w:val="0"/>
          <w:color w:val="auto"/>
          <w:sz w:val="21"/>
          <w:szCs w:val="21"/>
          <w:highlight w:val="none"/>
        </w:rPr>
        <w:t>1</w:t>
      </w:r>
      <w:bookmarkEnd w:id="681"/>
      <w:bookmarkEnd w:id="682"/>
      <w:bookmarkEnd w:id="683"/>
      <w:bookmarkEnd w:id="684"/>
      <w:bookmarkEnd w:id="685"/>
      <w:bookmarkEnd w:id="686"/>
      <w:bookmarkEnd w:id="687"/>
      <w:bookmarkEnd w:id="688"/>
      <w:bookmarkEnd w:id="689"/>
      <w:bookmarkEnd w:id="690"/>
      <w:bookmarkEnd w:id="691"/>
      <w:bookmarkEnd w:id="692"/>
      <w:bookmarkStart w:id="716" w:name="_Toc296944532"/>
      <w:bookmarkStart w:id="717" w:name="_Toc296891233"/>
      <w:bookmarkStart w:id="718" w:name="_Toc300934989"/>
      <w:bookmarkStart w:id="719" w:name="_Toc297048379"/>
      <w:bookmarkStart w:id="720" w:name="_Toc297123540"/>
      <w:bookmarkStart w:id="721" w:name="_Toc297120493"/>
      <w:bookmarkStart w:id="722" w:name="_Toc296347192"/>
      <w:bookmarkStart w:id="723" w:name="_Toc297216199"/>
      <w:bookmarkStart w:id="724" w:name="_Toc292559903"/>
      <w:bookmarkStart w:id="725" w:name="_Toc296503193"/>
      <w:bookmarkStart w:id="726" w:name="_Toc303539146"/>
      <w:bookmarkStart w:id="727" w:name="_Toc296346694"/>
      <w:bookmarkStart w:id="728" w:name="_Toc292559398"/>
      <w:bookmarkStart w:id="729" w:name="_Toc296891021"/>
      <w:bookmarkStart w:id="730" w:name="_Toc304295566"/>
      <w:bookmarkStart w:id="731" w:name="_Toc312678025"/>
      <w:bookmarkStart w:id="732" w:name="_Toc312677499"/>
      <w:bookmarkStart w:id="733" w:name="_Toc267251439"/>
      <w:bookmarkStart w:id="734" w:name="_Toc267251440"/>
      <w:bookmarkStart w:id="735" w:name="_Toc267251433"/>
      <w:bookmarkStart w:id="736" w:name="_Toc267251435"/>
      <w:bookmarkStart w:id="737" w:name="_Toc267251441"/>
      <w:bookmarkStart w:id="738" w:name="_Toc267251437"/>
      <w:bookmarkStart w:id="739" w:name="_Toc267251442"/>
      <w:r>
        <w:rPr>
          <w:rFonts w:hint="eastAsia" w:ascii="宋体" w:hAnsi="宋体" w:eastAsia="宋体" w:cs="宋体"/>
          <w:b w:val="0"/>
          <w:color w:val="auto"/>
          <w:sz w:val="21"/>
          <w:szCs w:val="21"/>
          <w:highlight w:val="none"/>
        </w:rPr>
        <w:t>0. 变更</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bookmarkEnd w:id="731"/>
    <w:bookmarkEnd w:id="732"/>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bookmarkStart w:id="740" w:name="_Toc312677500"/>
      <w:bookmarkStart w:id="741" w:name="_Toc300934990"/>
      <w:bookmarkStart w:id="742" w:name="_Toc297123541"/>
      <w:bookmarkStart w:id="743" w:name="_Toc296346695"/>
      <w:bookmarkStart w:id="744" w:name="_Toc296891022"/>
      <w:bookmarkStart w:id="745" w:name="_Toc296503194"/>
      <w:bookmarkStart w:id="746" w:name="_Toc297048380"/>
      <w:bookmarkStart w:id="747" w:name="_Toc312678026"/>
      <w:bookmarkStart w:id="748" w:name="_Toc297120494"/>
      <w:bookmarkStart w:id="749" w:name="_Toc303539147"/>
      <w:bookmarkStart w:id="750" w:name="_Toc292559399"/>
      <w:bookmarkStart w:id="751" w:name="_Toc296347193"/>
      <w:bookmarkStart w:id="752" w:name="_Toc304295567"/>
      <w:bookmarkStart w:id="753" w:name="_Toc297216200"/>
      <w:bookmarkStart w:id="754" w:name="_Toc296944533"/>
      <w:bookmarkStart w:id="755" w:name="_Toc292559904"/>
      <w:bookmarkStart w:id="756" w:name="_Toc296891234"/>
      <w:r>
        <w:rPr>
          <w:rFonts w:hint="eastAsia" w:ascii="宋体" w:hAnsi="宋体" w:cs="宋体"/>
          <w:color w:val="auto"/>
          <w:szCs w:val="21"/>
          <w:highlight w:val="none"/>
        </w:rPr>
        <w:t>0.1变更的范围</w:t>
      </w:r>
    </w:p>
    <w:p>
      <w:pPr>
        <w:snapToGrid w:val="0"/>
        <w:spacing w:line="360" w:lineRule="auto"/>
        <w:ind w:firstLine="600"/>
        <w:jc w:val="left"/>
        <w:rPr>
          <w:rFonts w:ascii="宋体" w:hAnsi="宋体" w:cs="宋体"/>
          <w:color w:val="auto"/>
          <w:szCs w:val="21"/>
          <w:highlight w:val="none"/>
          <w:u w:val="single"/>
        </w:rPr>
      </w:pPr>
      <w:r>
        <w:rPr>
          <w:rFonts w:hint="eastAsia" w:ascii="宋体" w:hAnsi="宋体" w:cs="宋体"/>
          <w:color w:val="auto"/>
          <w:szCs w:val="21"/>
          <w:highlight w:val="none"/>
        </w:rPr>
        <w:t>关于变更的范围的约定：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10.4 变更估价</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10.4.1 变更估价原则</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 xml:space="preserve">关于变更估价的约定: </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Start w:id="757" w:name="_Toc296944536"/>
      <w:bookmarkStart w:id="758" w:name="_Toc296346698"/>
      <w:bookmarkStart w:id="759" w:name="_Toc297048383"/>
      <w:bookmarkStart w:id="760" w:name="_Toc296347196"/>
      <w:bookmarkStart w:id="761" w:name="_Toc303539150"/>
      <w:bookmarkStart w:id="762" w:name="_Toc296891237"/>
      <w:bookmarkStart w:id="763" w:name="_Toc292559402"/>
      <w:bookmarkStart w:id="764" w:name="_Toc296891025"/>
      <w:bookmarkStart w:id="765" w:name="_Toc297123544"/>
      <w:bookmarkStart w:id="766" w:name="_Toc300934993"/>
      <w:bookmarkStart w:id="767" w:name="_Toc296503197"/>
      <w:bookmarkStart w:id="768" w:name="_Toc297120497"/>
      <w:bookmarkStart w:id="769" w:name="_Toc297216203"/>
      <w:bookmarkStart w:id="770" w:name="_Toc292559907"/>
      <w:bookmarkStart w:id="771" w:name="_Toc304295570"/>
      <w:bookmarkStart w:id="772" w:name="_Toc312677503"/>
      <w:bookmarkStart w:id="773" w:name="_Toc312678029"/>
      <w:r>
        <w:rPr>
          <w:rFonts w:hint="eastAsia" w:ascii="宋体" w:hAnsi="宋体" w:cs="宋体"/>
          <w:color w:val="auto"/>
          <w:szCs w:val="21"/>
          <w:highlight w:val="none"/>
        </w:rPr>
        <w:t>0.5承</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Start w:id="774" w:name="_Toc292559408"/>
      <w:bookmarkStart w:id="775" w:name="_Toc296891243"/>
      <w:bookmarkStart w:id="776" w:name="_Toc292559913"/>
      <w:bookmarkStart w:id="777" w:name="_Toc297216204"/>
      <w:bookmarkStart w:id="778" w:name="_Toc296503203"/>
      <w:bookmarkStart w:id="779" w:name="_Toc296346704"/>
      <w:bookmarkStart w:id="780" w:name="_Toc296347202"/>
      <w:bookmarkStart w:id="781" w:name="_Toc297123545"/>
      <w:bookmarkStart w:id="782" w:name="_Toc303539151"/>
      <w:bookmarkStart w:id="783" w:name="_Toc296944542"/>
      <w:bookmarkStart w:id="784" w:name="_Toc297048389"/>
      <w:bookmarkStart w:id="785" w:name="_Toc296891031"/>
      <w:bookmarkStart w:id="786" w:name="_Toc297120503"/>
      <w:bookmarkStart w:id="787" w:name="_Toc300934994"/>
      <w:r>
        <w:rPr>
          <w:rFonts w:hint="eastAsia" w:ascii="宋体" w:hAnsi="宋体" w:cs="宋体"/>
          <w:color w:val="auto"/>
          <w:szCs w:val="21"/>
          <w:highlight w:val="none"/>
        </w:rPr>
        <w:t>包人的合理化建议</w:t>
      </w:r>
    </w:p>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监理人审查承包人合理化建议的期限：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发包人审批承包人合理化建议的期限：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w:t>
      </w:r>
      <w:bookmarkStart w:id="788" w:name="_Toc296944543"/>
      <w:bookmarkStart w:id="789" w:name="_Toc297048390"/>
      <w:bookmarkStart w:id="790" w:name="_Toc304295571"/>
      <w:bookmarkStart w:id="791" w:name="_Toc297216205"/>
      <w:bookmarkStart w:id="792" w:name="_Toc318581175"/>
      <w:bookmarkStart w:id="793" w:name="_Toc296503204"/>
      <w:bookmarkStart w:id="794" w:name="_Toc296891032"/>
      <w:bookmarkStart w:id="795" w:name="_Toc297120504"/>
      <w:bookmarkStart w:id="796" w:name="_Toc296891244"/>
      <w:bookmarkStart w:id="797" w:name="_Toc296347203"/>
      <w:bookmarkStart w:id="798" w:name="_Toc292559409"/>
      <w:bookmarkStart w:id="799" w:name="_Toc303539152"/>
      <w:bookmarkStart w:id="800" w:name="_Toc312678030"/>
      <w:bookmarkStart w:id="801" w:name="_Toc300934995"/>
      <w:bookmarkStart w:id="802" w:name="_Toc292559914"/>
      <w:bookmarkStart w:id="803" w:name="_Toc296346705"/>
      <w:bookmarkStart w:id="804" w:name="_Toc312677504"/>
      <w:bookmarkStart w:id="805" w:name="_Toc297123546"/>
      <w:r>
        <w:rPr>
          <w:rFonts w:hint="eastAsia" w:ascii="宋体" w:hAnsi="宋体" w:cs="宋体"/>
          <w:color w:val="auto"/>
          <w:szCs w:val="21"/>
          <w:highlight w:val="none"/>
        </w:rPr>
        <w:t>包人提出的合理化建议降低了合同价格或者提高了工程经济效益的奖励的方法和金额为：</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w:t>
      </w:r>
      <w:bookmarkStart w:id="806" w:name="_Toc297120499"/>
      <w:bookmarkStart w:id="807" w:name="_Toc312677507"/>
      <w:bookmarkStart w:id="808" w:name="_Toc297123548"/>
      <w:bookmarkStart w:id="809" w:name="_Toc296503199"/>
      <w:bookmarkStart w:id="810" w:name="_Toc297048385"/>
      <w:bookmarkStart w:id="811" w:name="_Toc303539154"/>
      <w:bookmarkStart w:id="812" w:name="_Toc292559909"/>
      <w:bookmarkStart w:id="813" w:name="_Toc304295574"/>
      <w:bookmarkStart w:id="814" w:name="_Toc297216207"/>
      <w:bookmarkStart w:id="815" w:name="_Toc296891027"/>
      <w:bookmarkStart w:id="816" w:name="_Toc296347198"/>
      <w:bookmarkStart w:id="817" w:name="_Toc312678033"/>
      <w:bookmarkStart w:id="818" w:name="_Toc296346700"/>
      <w:bookmarkStart w:id="819" w:name="_Toc292559404"/>
      <w:bookmarkStart w:id="820" w:name="_Toc296891239"/>
      <w:bookmarkStart w:id="821" w:name="_Toc296944538"/>
      <w:bookmarkStart w:id="822" w:name="_Toc300934997"/>
      <w:r>
        <w:rPr>
          <w:rFonts w:hint="eastAsia" w:ascii="宋体" w:hAnsi="宋体" w:cs="宋体"/>
          <w:color w:val="auto"/>
          <w:szCs w:val="21"/>
          <w:highlight w:val="none"/>
        </w:rPr>
        <w:t>0.7 暂估价</w:t>
      </w:r>
    </w:p>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暂</w:t>
      </w:r>
      <w:bookmarkStart w:id="823" w:name="_Toc318581176"/>
      <w:bookmarkStart w:id="824" w:name="_Toc312678034"/>
      <w:bookmarkStart w:id="825" w:name="_Toc312677508"/>
      <w:r>
        <w:rPr>
          <w:rFonts w:hint="eastAsia" w:ascii="宋体" w:hAnsi="宋体" w:cs="宋体"/>
          <w:color w:val="auto"/>
          <w:kern w:val="0"/>
          <w:szCs w:val="21"/>
          <w:highlight w:val="none"/>
        </w:rPr>
        <w:t>估价材料和工程设备的明细详见附件11：《</w:t>
      </w:r>
      <w:r>
        <w:rPr>
          <w:rFonts w:hint="eastAsia" w:ascii="宋体" w:hAnsi="宋体" w:cs="宋体"/>
          <w:color w:val="auto"/>
          <w:szCs w:val="21"/>
          <w:highlight w:val="none"/>
        </w:rPr>
        <w:t>暂估价一览表》</w:t>
      </w:r>
      <w:r>
        <w:rPr>
          <w:rFonts w:hint="eastAsia" w:ascii="宋体" w:hAnsi="宋体" w:cs="宋体"/>
          <w:color w:val="auto"/>
          <w:kern w:val="0"/>
          <w:szCs w:val="21"/>
          <w:highlight w:val="none"/>
        </w:rPr>
        <w:t>。</w:t>
      </w:r>
    </w:p>
    <w:bookmarkEnd w:id="823"/>
    <w:bookmarkEnd w:id="824"/>
    <w:bookmarkEnd w:id="825"/>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w:t>
      </w:r>
      <w:bookmarkStart w:id="826" w:name="_Toc312677509"/>
      <w:bookmarkStart w:id="827" w:name="_Toc318581177"/>
      <w:bookmarkStart w:id="828" w:name="_Toc312678035"/>
      <w:r>
        <w:rPr>
          <w:rFonts w:hint="eastAsia" w:ascii="宋体" w:hAnsi="宋体" w:cs="宋体"/>
          <w:color w:val="auto"/>
          <w:szCs w:val="21"/>
          <w:highlight w:val="none"/>
        </w:rPr>
        <w:t>0.7.1 依法必须招标的暂估价项目</w:t>
      </w:r>
    </w:p>
    <w:bookmarkEnd w:id="826"/>
    <w:bookmarkEnd w:id="827"/>
    <w:bookmarkEnd w:id="828"/>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对于依法必须招标的暂估价项目的确认和批准采取第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种方式确定。</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10.7.2 不属于依法必须招标的暂估价项目</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对于不属于依法必须招标的暂估价项目的确认和批准采取第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种方式确定。</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第3种方式：</w:t>
      </w:r>
      <w:r>
        <w:rPr>
          <w:rFonts w:hint="eastAsia" w:ascii="宋体" w:hAnsi="宋体" w:cs="宋体"/>
          <w:color w:val="auto"/>
          <w:kern w:val="0"/>
          <w:szCs w:val="21"/>
          <w:highlight w:val="none"/>
        </w:rPr>
        <w:t>承包人直接实施的暂估价项目</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承包人直接实施的暂估价项目的约定：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10.8 暂列金额</w:t>
      </w:r>
    </w:p>
    <w:p>
      <w:pPr>
        <w:autoSpaceDE w:val="0"/>
        <w:autoSpaceDN w:val="0"/>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合同当事人关于暂列金额使用的约定：</w:t>
      </w:r>
      <w:r>
        <w:rPr>
          <w:rFonts w:hint="eastAsia" w:ascii="宋体" w:hAnsi="宋体" w:cs="宋体"/>
          <w:color w:val="auto"/>
          <w:szCs w:val="21"/>
          <w:highlight w:val="none"/>
          <w:u w:val="single"/>
        </w:rPr>
        <w:t xml:space="preserve">                     </w:t>
      </w:r>
    </w:p>
    <w:p>
      <w:pPr>
        <w:autoSpaceDE w:val="0"/>
        <w:autoSpaceDN w:val="0"/>
        <w:snapToGrid w:val="0"/>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829" w:name="_Toc351203643"/>
      <w:r>
        <w:rPr>
          <w:rFonts w:hint="eastAsia" w:ascii="宋体" w:hAnsi="宋体" w:eastAsia="宋体" w:cs="宋体"/>
          <w:b w:val="0"/>
          <w:color w:val="auto"/>
          <w:sz w:val="21"/>
          <w:szCs w:val="21"/>
          <w:highlight w:val="none"/>
        </w:rPr>
        <w:t>11. 价格调整</w:t>
      </w:r>
      <w:bookmarkEnd w:id="829"/>
    </w:p>
    <w:p>
      <w:pPr>
        <w:snapToGrid w:val="0"/>
        <w:spacing w:line="360" w:lineRule="auto"/>
        <w:ind w:firstLine="420" w:firstLineChars="200"/>
        <w:rPr>
          <w:rFonts w:ascii="宋体" w:hAnsi="宋体" w:cs="宋体"/>
          <w:color w:val="auto"/>
          <w:szCs w:val="21"/>
          <w:highlight w:val="none"/>
        </w:rPr>
      </w:pPr>
      <w:bookmarkStart w:id="830" w:name="_Toc297216209"/>
      <w:bookmarkStart w:id="831" w:name="_Toc292559911"/>
      <w:bookmarkStart w:id="832" w:name="_Toc297123550"/>
      <w:bookmarkStart w:id="833" w:name="_Toc304295577"/>
      <w:bookmarkStart w:id="834" w:name="_Toc297120501"/>
      <w:bookmarkStart w:id="835" w:name="_Toc296891241"/>
      <w:bookmarkStart w:id="836" w:name="_Toc296944540"/>
      <w:bookmarkStart w:id="837" w:name="_Toc296346702"/>
      <w:bookmarkStart w:id="838" w:name="_Toc292559406"/>
      <w:bookmarkStart w:id="839" w:name="_Toc300935000"/>
      <w:bookmarkStart w:id="840" w:name="_Toc312678039"/>
      <w:bookmarkStart w:id="841" w:name="_Toc296891029"/>
      <w:bookmarkStart w:id="842" w:name="_Toc296347200"/>
      <w:bookmarkStart w:id="843" w:name="_Toc303539157"/>
      <w:bookmarkStart w:id="844" w:name="_Toc297048387"/>
      <w:bookmarkStart w:id="845" w:name="_Toc296503201"/>
      <w:r>
        <w:rPr>
          <w:rFonts w:hint="eastAsia" w:ascii="宋体" w:hAnsi="宋体" w:cs="宋体"/>
          <w:color w:val="auto"/>
          <w:szCs w:val="21"/>
          <w:highlight w:val="none"/>
        </w:rPr>
        <w:t>11.1 市场价格波动引起的调整</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市场价格波动是否调整合同价格的约定：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因市场价格波动调整合同价格，采用以下第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种方式对合同价格进行调整：</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第1种方式：采用价格指数进行价格调整。</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关于各可调因子、定值和变值权重，以及基本价格指数及其来源的约定：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第2种方式：采用造价信息进行价格调整。</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（2）关于基准价格的约定：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%时，或材料单价跌幅以已标价工程量清单或预算书中载明材料单价为基础超过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%时，其超过部分据实调整。</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②承包人在已标价工程量清单或预算书中载明的材料单价高于基准价格的：专用合同条款合同履行期间材料单价跌幅以基准价格为基础超过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%时，材料单价涨幅以已标价工程量清单或预算书中载明材料单价为基础超过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%时，其超过部分据实调整。</w:t>
      </w:r>
    </w:p>
    <w:p>
      <w:pPr>
        <w:snapToGrid w:val="0"/>
        <w:spacing w:line="360" w:lineRule="auto"/>
        <w:ind w:firstLine="645"/>
        <w:jc w:val="left"/>
        <w:rPr>
          <w:rFonts w:ascii="宋体" w:hAnsi="宋体" w:cs="宋体"/>
          <w:color w:val="auto"/>
          <w:szCs w:val="21"/>
          <w:highlight w:val="none"/>
        </w:rPr>
      </w:pPr>
      <w:r>
        <w:rPr>
          <w:rFonts w:hint="eastAsia" w:ascii="宋体" w:hAnsi="宋体" w:cs="宋体"/>
          <w:color w:val="auto"/>
          <w:szCs w:val="21"/>
          <w:highlight w:val="none"/>
        </w:rPr>
        <w:t>③承包人在已标价工程量清单或预算书中载明的材料单价等于基准单价的：专用合同条款合同履行期间材料单价涨跌幅以基准单价为基础超过±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%时，其超过部分据实调整。</w:t>
      </w:r>
    </w:p>
    <w:p>
      <w:pPr>
        <w:snapToGrid w:val="0"/>
        <w:spacing w:line="360" w:lineRule="auto"/>
        <w:ind w:firstLine="645"/>
        <w:jc w:val="left"/>
        <w:rPr>
          <w:rFonts w:ascii="宋体" w:hAnsi="宋体" w:cs="宋体"/>
          <w:color w:val="auto"/>
          <w:szCs w:val="21"/>
          <w:highlight w:val="none"/>
          <w:u w:val="single"/>
        </w:rPr>
      </w:pPr>
      <w:r>
        <w:rPr>
          <w:rFonts w:hint="eastAsia" w:ascii="宋体" w:hAnsi="宋体" w:cs="宋体"/>
          <w:color w:val="auto"/>
          <w:szCs w:val="21"/>
          <w:highlight w:val="none"/>
        </w:rPr>
        <w:t>第3种方式：其他价格调整方式：</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733"/>
    <w:bookmarkEnd w:id="734"/>
    <w:bookmarkEnd w:id="735"/>
    <w:bookmarkEnd w:id="736"/>
    <w:bookmarkEnd w:id="737"/>
    <w:bookmarkEnd w:id="738"/>
    <w:p>
      <w:pPr>
        <w:pStyle w:val="8"/>
        <w:snapToGrid w:val="0"/>
        <w:spacing w:before="0" w:after="0" w:line="360" w:lineRule="auto"/>
        <w:rPr>
          <w:rFonts w:ascii="宋体" w:hAnsi="宋体" w:eastAsia="宋体" w:cs="宋体"/>
          <w:b w:val="0"/>
          <w:color w:val="auto"/>
          <w:sz w:val="21"/>
          <w:szCs w:val="21"/>
          <w:highlight w:val="none"/>
        </w:rPr>
      </w:pPr>
      <w:bookmarkStart w:id="846" w:name="_Toc292559410"/>
      <w:bookmarkStart w:id="847" w:name="_Toc297120505"/>
      <w:bookmarkStart w:id="848" w:name="_Toc296347204"/>
      <w:bookmarkStart w:id="849" w:name="_Toc296944544"/>
      <w:bookmarkStart w:id="850" w:name="_Toc296346706"/>
      <w:bookmarkStart w:id="851" w:name="_Toc297048391"/>
      <w:bookmarkStart w:id="852" w:name="_Toc296503205"/>
      <w:bookmarkStart w:id="853" w:name="_Toc296891033"/>
      <w:bookmarkStart w:id="854" w:name="_Toc296891245"/>
      <w:bookmarkStart w:id="855" w:name="_Toc292559915"/>
      <w:bookmarkStart w:id="856" w:name="_Toc351203644"/>
      <w:bookmarkStart w:id="857" w:name="_Toc303539159"/>
      <w:bookmarkStart w:id="858" w:name="_Toc312678040"/>
      <w:bookmarkStart w:id="859" w:name="_Toc300935002"/>
      <w:bookmarkStart w:id="860" w:name="_Toc304295579"/>
      <w:bookmarkStart w:id="861" w:name="_Toc297216211"/>
      <w:bookmarkStart w:id="862" w:name="_Toc297123552"/>
      <w:r>
        <w:rPr>
          <w:rFonts w:hint="eastAsia" w:ascii="宋体" w:hAnsi="宋体" w:eastAsia="宋体" w:cs="宋体"/>
          <w:b w:val="0"/>
          <w:color w:val="auto"/>
          <w:sz w:val="21"/>
          <w:szCs w:val="21"/>
          <w:highlight w:val="none"/>
        </w:rPr>
        <w:t xml:space="preserve">12. </w:t>
      </w:r>
      <w:bookmarkEnd w:id="846"/>
      <w:bookmarkEnd w:id="847"/>
      <w:bookmarkEnd w:id="848"/>
      <w:bookmarkEnd w:id="849"/>
      <w:bookmarkEnd w:id="850"/>
      <w:bookmarkEnd w:id="851"/>
      <w:bookmarkEnd w:id="852"/>
      <w:bookmarkEnd w:id="853"/>
      <w:bookmarkEnd w:id="854"/>
      <w:bookmarkEnd w:id="855"/>
      <w:r>
        <w:rPr>
          <w:rFonts w:hint="eastAsia" w:ascii="宋体" w:hAnsi="宋体" w:eastAsia="宋体" w:cs="宋体"/>
          <w:b w:val="0"/>
          <w:color w:val="auto"/>
          <w:sz w:val="21"/>
          <w:szCs w:val="21"/>
          <w:highlight w:val="none"/>
        </w:rPr>
        <w:t>合同价格、计量与支付</w:t>
      </w:r>
      <w:bookmarkEnd w:id="856"/>
    </w:p>
    <w:bookmarkEnd w:id="857"/>
    <w:bookmarkEnd w:id="858"/>
    <w:bookmarkEnd w:id="859"/>
    <w:bookmarkEnd w:id="860"/>
    <w:bookmarkEnd w:id="861"/>
    <w:bookmarkEnd w:id="862"/>
    <w:p>
      <w:pPr>
        <w:snapToGrid w:val="0"/>
        <w:spacing w:line="360" w:lineRule="auto"/>
        <w:ind w:firstLine="420" w:firstLineChars="200"/>
        <w:rPr>
          <w:rFonts w:ascii="宋体" w:hAnsi="宋体" w:cs="宋体"/>
          <w:color w:val="auto"/>
          <w:szCs w:val="21"/>
          <w:highlight w:val="none"/>
        </w:rPr>
      </w:pPr>
      <w:bookmarkStart w:id="863" w:name="_Toc267251461"/>
      <w:bookmarkStart w:id="864" w:name="_Toc292559916"/>
      <w:bookmarkStart w:id="865" w:name="_Toc292559411"/>
      <w:bookmarkStart w:id="866" w:name="_Toc297048392"/>
      <w:bookmarkStart w:id="867" w:name="_Toc296891246"/>
      <w:bookmarkStart w:id="868" w:name="_Toc296347205"/>
      <w:bookmarkStart w:id="869" w:name="_Toc297120506"/>
      <w:bookmarkStart w:id="870" w:name="_Toc296891034"/>
      <w:bookmarkStart w:id="871" w:name="_Toc296346707"/>
      <w:bookmarkStart w:id="872" w:name="_Toc296944545"/>
      <w:bookmarkStart w:id="873" w:name="_Toc296503206"/>
      <w:bookmarkStart w:id="874" w:name="_Toc312678041"/>
      <w:bookmarkStart w:id="875" w:name="_Toc297216212"/>
      <w:bookmarkStart w:id="876" w:name="_Toc303539160"/>
      <w:bookmarkStart w:id="877" w:name="_Toc297123553"/>
      <w:bookmarkStart w:id="878" w:name="_Toc304295580"/>
      <w:bookmarkStart w:id="879" w:name="_Toc300935003"/>
      <w:r>
        <w:rPr>
          <w:rFonts w:hint="eastAsia" w:ascii="宋体" w:hAnsi="宋体" w:cs="宋体"/>
          <w:color w:val="auto"/>
          <w:szCs w:val="21"/>
          <w:highlight w:val="none"/>
        </w:rPr>
        <w:t>12.1 合</w:t>
      </w:r>
      <w:bookmarkEnd w:id="863"/>
      <w:bookmarkEnd w:id="864"/>
      <w:bookmarkEnd w:id="865"/>
      <w:r>
        <w:rPr>
          <w:rFonts w:hint="eastAsia" w:ascii="宋体" w:hAnsi="宋体" w:cs="宋体"/>
          <w:color w:val="auto"/>
          <w:szCs w:val="21"/>
          <w:highlight w:val="none"/>
        </w:rPr>
        <w:t>同价</w:t>
      </w:r>
      <w:bookmarkEnd w:id="866"/>
      <w:bookmarkEnd w:id="867"/>
      <w:bookmarkEnd w:id="868"/>
      <w:bookmarkEnd w:id="869"/>
      <w:bookmarkEnd w:id="870"/>
      <w:bookmarkEnd w:id="871"/>
      <w:bookmarkEnd w:id="872"/>
      <w:bookmarkEnd w:id="873"/>
      <w:r>
        <w:rPr>
          <w:rFonts w:hint="eastAsia" w:ascii="宋体" w:hAnsi="宋体" w:cs="宋体"/>
          <w:color w:val="auto"/>
          <w:szCs w:val="21"/>
          <w:highlight w:val="none"/>
        </w:rPr>
        <w:t>格形式</w:t>
      </w:r>
    </w:p>
    <w:bookmarkEnd w:id="874"/>
    <w:bookmarkEnd w:id="875"/>
    <w:bookmarkEnd w:id="876"/>
    <w:bookmarkEnd w:id="877"/>
    <w:bookmarkEnd w:id="878"/>
    <w:bookmarkEnd w:id="879"/>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1、单价合同。</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综合单价包含的风险范围：</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风险费用的计算方法：</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2、总价合同。</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总价包含的风险范围：</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风险费用的计算方法：</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3、其他价格方式：</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bookmarkStart w:id="880" w:name="_Toc297216213"/>
      <w:bookmarkStart w:id="881" w:name="_Toc312678042"/>
      <w:bookmarkStart w:id="882" w:name="_Toc297123554"/>
      <w:bookmarkStart w:id="883" w:name="_Toc303539161"/>
      <w:bookmarkStart w:id="884" w:name="_Toc300935004"/>
      <w:bookmarkStart w:id="885" w:name="_Toc304295581"/>
      <w:bookmarkStart w:id="886" w:name="_Toc296346708"/>
      <w:bookmarkStart w:id="887" w:name="_Toc296503207"/>
      <w:bookmarkStart w:id="888" w:name="_Toc297120507"/>
      <w:bookmarkStart w:id="889" w:name="_Toc296891035"/>
      <w:bookmarkStart w:id="890" w:name="_Toc292559412"/>
      <w:bookmarkStart w:id="891" w:name="_Toc297048393"/>
      <w:bookmarkStart w:id="892" w:name="_Toc296891247"/>
      <w:bookmarkStart w:id="893" w:name="_Toc296944546"/>
      <w:bookmarkStart w:id="894" w:name="_Toc296347206"/>
      <w:bookmarkStart w:id="895" w:name="_Toc292559917"/>
      <w:r>
        <w:rPr>
          <w:rFonts w:hint="eastAsia" w:ascii="宋体" w:hAnsi="宋体" w:cs="宋体"/>
          <w:color w:val="auto"/>
          <w:szCs w:val="21"/>
          <w:highlight w:val="none"/>
        </w:rPr>
        <w:t>12.2 预付款</w:t>
      </w:r>
    </w:p>
    <w:bookmarkEnd w:id="880"/>
    <w:bookmarkEnd w:id="881"/>
    <w:bookmarkEnd w:id="882"/>
    <w:bookmarkEnd w:id="883"/>
    <w:bookmarkEnd w:id="884"/>
    <w:bookmarkEnd w:id="885"/>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12.2.1 预付款的支付</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12.2.2 预付款担保</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886"/>
    <w:bookmarkEnd w:id="887"/>
    <w:bookmarkEnd w:id="888"/>
    <w:bookmarkEnd w:id="889"/>
    <w:bookmarkEnd w:id="890"/>
    <w:bookmarkEnd w:id="891"/>
    <w:bookmarkEnd w:id="892"/>
    <w:bookmarkEnd w:id="893"/>
    <w:bookmarkEnd w:id="894"/>
    <w:bookmarkEnd w:id="895"/>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12.3 计量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12.3.1 计量原则</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工程量计算规则：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12.3.2 计量周期</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关于计量周期的约定：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12.3.3 单价合同的计量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关于单价合同计量的约定：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12.3.4 总价合同的计量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关于总价合同计量的约定：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12.3.5总价合同采用支付分解表计量支付的，是否适用第</w:t>
      </w:r>
      <w:r>
        <w:rPr>
          <w:rFonts w:hint="eastAsia" w:ascii="宋体" w:hAnsi="宋体" w:cs="宋体"/>
          <w:color w:val="auto"/>
          <w:kern w:val="0"/>
          <w:szCs w:val="21"/>
          <w:highlight w:val="none"/>
        </w:rPr>
        <w:t xml:space="preserve">12.3.4 </w:t>
      </w:r>
      <w:r>
        <w:rPr>
          <w:rFonts w:hint="eastAsia" w:ascii="宋体" w:hAnsi="宋体" w:cs="宋体"/>
          <w:color w:val="auto"/>
          <w:szCs w:val="21"/>
          <w:highlight w:val="none"/>
        </w:rPr>
        <w:t>项</w:t>
      </w:r>
      <w:r>
        <w:rPr>
          <w:rFonts w:hint="eastAsia" w:ascii="宋体" w:hAnsi="宋体" w:cs="宋体"/>
          <w:color w:val="auto"/>
          <w:kern w:val="0"/>
          <w:szCs w:val="21"/>
          <w:highlight w:val="none"/>
        </w:rPr>
        <w:t>〔总价合同的计量〕</w:t>
      </w:r>
      <w:r>
        <w:rPr>
          <w:rFonts w:hint="eastAsia" w:ascii="宋体" w:hAnsi="宋体" w:cs="宋体"/>
          <w:color w:val="auto"/>
          <w:szCs w:val="21"/>
          <w:highlight w:val="none"/>
        </w:rPr>
        <w:t>约定进行计量：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12.3.6 其他价格形式合同的计量</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其他价格形式的计量方式和程序：</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12.4 工程进度款支付</w:t>
      </w:r>
    </w:p>
    <w:p>
      <w:pPr>
        <w:snapToGrid w:val="0"/>
        <w:spacing w:line="360" w:lineRule="auto"/>
        <w:ind w:firstLine="420" w:firstLineChars="200"/>
        <w:jc w:val="left"/>
        <w:rPr>
          <w:rFonts w:ascii="宋体" w:hAnsi="宋体" w:cs="宋体"/>
          <w:color w:val="auto"/>
          <w:szCs w:val="21"/>
          <w:highlight w:val="none"/>
        </w:rPr>
      </w:pPr>
      <w:bookmarkStart w:id="896" w:name="_Toc296944550"/>
      <w:bookmarkStart w:id="897" w:name="_Toc297123556"/>
      <w:bookmarkStart w:id="898" w:name="_Toc296891251"/>
      <w:bookmarkStart w:id="899" w:name="_Toc296891039"/>
      <w:bookmarkStart w:id="900" w:name="_Toc300935006"/>
      <w:bookmarkStart w:id="901" w:name="_Toc296346712"/>
      <w:bookmarkStart w:id="902" w:name="_Toc297048397"/>
      <w:bookmarkStart w:id="903" w:name="_Toc296503211"/>
      <w:bookmarkStart w:id="904" w:name="_Toc303539163"/>
      <w:bookmarkStart w:id="905" w:name="_Toc297120511"/>
      <w:bookmarkStart w:id="906" w:name="_Toc292559416"/>
      <w:bookmarkStart w:id="907" w:name="_Toc297216215"/>
      <w:bookmarkStart w:id="908" w:name="_Toc296347210"/>
      <w:bookmarkStart w:id="909" w:name="_Toc292559921"/>
      <w:r>
        <w:rPr>
          <w:rFonts w:hint="eastAsia" w:ascii="宋体" w:hAnsi="宋体" w:cs="宋体"/>
          <w:color w:val="auto"/>
          <w:szCs w:val="21"/>
          <w:highlight w:val="none"/>
        </w:rPr>
        <w:t>12.4.1 付款周期</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关于付款周期的约定：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12.4.2 进度付款申请单的编制</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关于进度付款申请单编制的约定：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Fonts w:hint="eastAsia" w:ascii="宋体" w:hAnsi="宋体" w:cs="宋体"/>
          <w:color w:val="auto"/>
          <w:szCs w:val="21"/>
          <w:highlight w:val="none"/>
        </w:rPr>
        <w:t>2.4.3 进度付款申请单的提交</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（1）单价合同进度付款申请单提交的约定：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（2）总价合同进度付款申请单提交的约定：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（3）其他价格形式合同进度付款申请单提交的约定：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12.4.4 进度款审核和支付</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（1）监理人审查并报送发包人的期限：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发包人完成审批并签发进度款支付证书的期限：</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（2）发包人支付进度款的期限：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525" w:firstLineChars="250"/>
        <w:jc w:val="left"/>
        <w:rPr>
          <w:rFonts w:ascii="宋体" w:hAnsi="宋体" w:cs="宋体"/>
          <w:color w:val="auto"/>
          <w:szCs w:val="21"/>
          <w:highlight w:val="none"/>
          <w:u w:val="single"/>
        </w:rPr>
      </w:pPr>
      <w:r>
        <w:rPr>
          <w:rFonts w:hint="eastAsia" w:ascii="宋体" w:hAnsi="宋体" w:cs="宋体"/>
          <w:color w:val="auto"/>
          <w:szCs w:val="21"/>
          <w:highlight w:val="none"/>
        </w:rPr>
        <w:t>发包人逾期支付进度款的违约金的计算方式：</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12.4.6 支付分解表的编制</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2、总价合同支付分解表的编制与审批：</w:t>
      </w:r>
      <w:r>
        <w:rPr>
          <w:rFonts w:hint="eastAsia" w:ascii="宋体" w:hAnsi="宋体" w:cs="宋体"/>
          <w:color w:val="auto"/>
          <w:szCs w:val="21"/>
          <w:highlight w:val="none"/>
          <w:u w:val="single"/>
        </w:rPr>
        <w:t xml:space="preserve">                  </w:t>
      </w:r>
    </w:p>
    <w:p>
      <w:pPr>
        <w:snapToGrid w:val="0"/>
        <w:spacing w:line="360" w:lineRule="auto"/>
        <w:ind w:left="4200" w:hanging="4200" w:hangingChars="2000"/>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3、单价合同的总价项目支付分解表的编制与审批：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739"/>
    <w:p>
      <w:pPr>
        <w:pStyle w:val="8"/>
        <w:snapToGrid w:val="0"/>
        <w:spacing w:before="0" w:after="0" w:line="360" w:lineRule="auto"/>
        <w:rPr>
          <w:rFonts w:ascii="宋体" w:hAnsi="宋体" w:eastAsia="宋体" w:cs="宋体"/>
          <w:b w:val="0"/>
          <w:color w:val="auto"/>
          <w:sz w:val="21"/>
          <w:szCs w:val="21"/>
          <w:highlight w:val="none"/>
        </w:rPr>
      </w:pPr>
      <w:bookmarkStart w:id="910" w:name="_Toc351203645"/>
      <w:bookmarkStart w:id="911" w:name="_Toc297216223"/>
      <w:bookmarkStart w:id="912" w:name="_Toc297123564"/>
      <w:bookmarkStart w:id="913" w:name="_Toc292559929"/>
      <w:bookmarkStart w:id="914" w:name="_Toc297120519"/>
      <w:bookmarkStart w:id="915" w:name="_Toc296891259"/>
      <w:bookmarkStart w:id="916" w:name="_Toc292559424"/>
      <w:bookmarkStart w:id="917" w:name="_Toc300935015"/>
      <w:bookmarkStart w:id="918" w:name="_Toc312678053"/>
      <w:bookmarkStart w:id="919" w:name="_Toc296891047"/>
      <w:bookmarkStart w:id="920" w:name="_Toc296346720"/>
      <w:bookmarkStart w:id="921" w:name="_Toc304295593"/>
      <w:bookmarkStart w:id="922" w:name="_Toc303539172"/>
      <w:bookmarkStart w:id="923" w:name="_Toc296503219"/>
      <w:bookmarkStart w:id="924" w:name="_Toc296347218"/>
      <w:bookmarkStart w:id="925" w:name="_Toc297048405"/>
      <w:bookmarkStart w:id="926" w:name="_Toc296944558"/>
      <w:r>
        <w:rPr>
          <w:rFonts w:hint="eastAsia" w:ascii="宋体" w:hAnsi="宋体" w:eastAsia="宋体" w:cs="宋体"/>
          <w:b w:val="0"/>
          <w:color w:val="auto"/>
          <w:sz w:val="21"/>
          <w:szCs w:val="21"/>
          <w:highlight w:val="none"/>
        </w:rPr>
        <w:t>13. 验收和工程试车</w:t>
      </w:r>
      <w:bookmarkEnd w:id="910"/>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13.1 分部分项工程验收</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13.1.2监理人不能按时进行验收时，应提前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小时提交书面延期要求。</w:t>
      </w:r>
    </w:p>
    <w:p>
      <w:pPr>
        <w:snapToGrid w:val="0"/>
        <w:spacing w:line="360" w:lineRule="auto"/>
        <w:ind w:firstLine="420" w:firstLineChars="200"/>
        <w:jc w:val="left"/>
        <w:rPr>
          <w:rFonts w:ascii="宋体" w:hAnsi="宋体" w:cs="宋体"/>
          <w:b/>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小时。</w:t>
      </w:r>
    </w:p>
    <w:p>
      <w:pPr>
        <w:snapToGrid w:val="0"/>
        <w:spacing w:line="360" w:lineRule="auto"/>
        <w:ind w:firstLine="420" w:firstLineChars="200"/>
        <w:rPr>
          <w:rFonts w:ascii="宋体" w:hAnsi="宋体" w:cs="宋体"/>
          <w:color w:val="auto"/>
          <w:szCs w:val="21"/>
          <w:highlight w:val="none"/>
        </w:rPr>
      </w:pPr>
      <w:bookmarkStart w:id="927" w:name="_Toc296347222"/>
      <w:bookmarkStart w:id="928" w:name="_Toc303539173"/>
      <w:bookmarkStart w:id="929" w:name="_Toc297048409"/>
      <w:bookmarkStart w:id="930" w:name="_Toc296891263"/>
      <w:bookmarkStart w:id="931" w:name="_Toc296944562"/>
      <w:bookmarkStart w:id="932" w:name="_Toc304295596"/>
      <w:bookmarkStart w:id="933" w:name="_Toc297123565"/>
      <w:bookmarkStart w:id="934" w:name="_Toc300935016"/>
      <w:bookmarkStart w:id="935" w:name="_Toc297216224"/>
      <w:bookmarkStart w:id="936" w:name="_Toc296346724"/>
      <w:bookmarkStart w:id="937" w:name="_Toc292559933"/>
      <w:bookmarkStart w:id="938" w:name="_Toc297120523"/>
      <w:bookmarkStart w:id="939" w:name="_Toc292559428"/>
      <w:bookmarkStart w:id="940" w:name="_Toc312678056"/>
      <w:bookmarkStart w:id="941" w:name="_Toc296891051"/>
      <w:bookmarkStart w:id="942" w:name="_Toc296503223"/>
      <w:bookmarkStart w:id="943" w:name="_Toc267251474"/>
      <w:bookmarkStart w:id="944" w:name="_Toc267251476"/>
      <w:bookmarkStart w:id="945" w:name="_Toc267251472"/>
      <w:bookmarkStart w:id="946" w:name="_Toc267251473"/>
      <w:bookmarkStart w:id="947" w:name="_Toc267251471"/>
      <w:bookmarkStart w:id="948" w:name="_Toc267251470"/>
      <w:bookmarkStart w:id="949" w:name="_Toc267251475"/>
      <w:r>
        <w:rPr>
          <w:rFonts w:hint="eastAsia" w:ascii="宋体" w:hAnsi="宋体" w:cs="宋体"/>
          <w:color w:val="auto"/>
          <w:szCs w:val="21"/>
          <w:highlight w:val="none"/>
        </w:rPr>
        <w:t>13.2 竣工验收</w:t>
      </w:r>
    </w:p>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Pr>
        <w:snapToGrid w:val="0"/>
        <w:spacing w:line="360" w:lineRule="auto"/>
        <w:ind w:firstLine="420" w:firstLineChars="200"/>
        <w:jc w:val="left"/>
        <w:rPr>
          <w:rFonts w:ascii="宋体" w:hAnsi="宋体" w:cs="宋体"/>
          <w:color w:val="auto"/>
          <w:szCs w:val="21"/>
          <w:highlight w:val="none"/>
        </w:rPr>
      </w:pPr>
      <w:bookmarkStart w:id="950" w:name="_Toc280868704"/>
      <w:bookmarkStart w:id="951" w:name="_Toc280868705"/>
      <w:bookmarkStart w:id="952" w:name="_Toc280868706"/>
      <w:bookmarkStart w:id="953" w:name="_Toc280868707"/>
      <w:bookmarkStart w:id="954" w:name="_Toc280868708"/>
      <w:bookmarkStart w:id="955" w:name="_Toc280868709"/>
      <w:r>
        <w:rPr>
          <w:rFonts w:hint="eastAsia" w:ascii="宋体" w:hAnsi="宋体" w:cs="宋体"/>
          <w:color w:val="auto"/>
          <w:szCs w:val="21"/>
          <w:highlight w:val="none"/>
        </w:rPr>
        <w:t>13.2.2竣工验收程序</w:t>
      </w:r>
    </w:p>
    <w:bookmarkEnd w:id="950"/>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关于竣工验收程序的约定：</w:t>
      </w:r>
      <w:r>
        <w:rPr>
          <w:rFonts w:hint="eastAsia" w:ascii="宋体" w:hAnsi="宋体" w:cs="宋体"/>
          <w:color w:val="auto"/>
          <w:szCs w:val="21"/>
          <w:highlight w:val="none"/>
          <w:u w:val="single"/>
        </w:rPr>
        <w:t xml:space="preserve">                              </w:t>
      </w:r>
    </w:p>
    <w:p>
      <w:pPr>
        <w:snapToGrid w:val="0"/>
        <w:spacing w:line="360" w:lineRule="auto"/>
        <w:ind w:left="4200" w:hanging="4200" w:hangingChars="2000"/>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发包人不按照本项约定组织竣工验收、颁发工程接收证书的违约金的计算方法：</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951"/>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13.2.5移交、接收全部与部分工程</w:t>
      </w:r>
    </w:p>
    <w:bookmarkEnd w:id="952"/>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承包人向发包人移交工程的期限：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发包人未按本合同约定接收全部或部分工程的，违约金的计算方法为：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953"/>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承包人未按时移交工程的，违约金的计算方法为：</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13.3 工程试车</w:t>
      </w:r>
    </w:p>
    <w:bookmarkEnd w:id="954"/>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13.3.1 试车程序</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工程试车内容：</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（1）单机无负荷试车费用由</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承担；</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（2）无负荷联动试车费用由</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承担。</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13.3.3 投料试车</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关于投料试车相关事项的约定：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13.6 竣工退场</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13.6.1 竣工退场</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承包人完成竣工退场的期限：</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956" w:name="_Toc351203646"/>
      <w:r>
        <w:rPr>
          <w:rFonts w:hint="eastAsia" w:ascii="宋体" w:hAnsi="宋体" w:eastAsia="宋体" w:cs="宋体"/>
          <w:b w:val="0"/>
          <w:color w:val="auto"/>
          <w:sz w:val="21"/>
          <w:szCs w:val="21"/>
          <w:highlight w:val="none"/>
        </w:rPr>
        <w:t>14. 竣工结算</w:t>
      </w:r>
      <w:bookmarkEnd w:id="956"/>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14.1 竣工结算申请</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承包人提交竣工结算申请单的期限：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竣工结算申请单应包括的内容：</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14.2 竣工结算审核</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发包人审批竣工付款申请单的期限：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发包人完成竣工付款的期限：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关于竣工付款证书异议部分复核的方式和程序：</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14.4 最终结清</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14.4.1 最终结清申请单</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承包人提交最终结清申请单的份数：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承包人提交最终结算申请单的期限：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14.4.2 最终结清证书和支付</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（1）发包人完成最终结清申请单的审批并颁发最终结清证书的期限：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（2）发包人完成支付的期限：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943"/>
    <w:bookmarkEnd w:id="944"/>
    <w:bookmarkEnd w:id="945"/>
    <w:bookmarkEnd w:id="946"/>
    <w:bookmarkEnd w:id="947"/>
    <w:bookmarkEnd w:id="948"/>
    <w:bookmarkEnd w:id="949"/>
    <w:bookmarkEnd w:id="955"/>
    <w:p>
      <w:pPr>
        <w:pStyle w:val="8"/>
        <w:snapToGrid w:val="0"/>
        <w:spacing w:before="0" w:after="0" w:line="360" w:lineRule="auto"/>
        <w:rPr>
          <w:rFonts w:ascii="宋体" w:hAnsi="宋体" w:eastAsia="宋体" w:cs="宋体"/>
          <w:b w:val="0"/>
          <w:color w:val="auto"/>
          <w:sz w:val="21"/>
          <w:szCs w:val="21"/>
          <w:highlight w:val="none"/>
        </w:rPr>
      </w:pPr>
      <w:bookmarkStart w:id="957" w:name="_Toc351203647"/>
      <w:bookmarkStart w:id="958" w:name="_Toc267251483"/>
      <w:bookmarkStart w:id="959" w:name="_Toc267251482"/>
      <w:bookmarkStart w:id="960" w:name="_Toc267251484"/>
      <w:bookmarkStart w:id="961" w:name="_Toc267251485"/>
      <w:bookmarkStart w:id="962" w:name="_Toc267251486"/>
      <w:bookmarkStart w:id="963" w:name="_Toc267251489"/>
      <w:bookmarkStart w:id="964" w:name="_Toc267251490"/>
      <w:bookmarkStart w:id="965" w:name="_Toc267251488"/>
      <w:bookmarkStart w:id="966" w:name="_Toc267251499"/>
      <w:bookmarkStart w:id="967" w:name="_Toc267251502"/>
      <w:bookmarkStart w:id="968" w:name="_Toc267251494"/>
      <w:bookmarkStart w:id="969" w:name="_Toc267251493"/>
      <w:bookmarkStart w:id="970" w:name="_Toc267251492"/>
      <w:bookmarkStart w:id="971" w:name="_Toc267251498"/>
      <w:bookmarkStart w:id="972" w:name="_Toc267251497"/>
      <w:bookmarkStart w:id="973" w:name="_Toc267251501"/>
      <w:bookmarkStart w:id="974" w:name="_Toc267251495"/>
      <w:bookmarkStart w:id="975" w:name="_Toc267251491"/>
      <w:bookmarkStart w:id="976" w:name="_Toc267251503"/>
      <w:bookmarkStart w:id="977" w:name="_Toc267251496"/>
      <w:bookmarkStart w:id="978" w:name="_Toc267251506"/>
      <w:bookmarkStart w:id="979" w:name="_Toc267251504"/>
      <w:bookmarkStart w:id="980" w:name="_Toc267251507"/>
      <w:bookmarkStart w:id="981" w:name="_Toc267251508"/>
      <w:bookmarkStart w:id="982" w:name="_Toc267251511"/>
      <w:bookmarkStart w:id="983" w:name="_Toc267251514"/>
      <w:bookmarkStart w:id="984" w:name="_Toc267251515"/>
      <w:bookmarkStart w:id="985" w:name="_Toc267251510"/>
      <w:bookmarkStart w:id="986" w:name="_Toc267251509"/>
      <w:bookmarkStart w:id="987" w:name="_Toc267251513"/>
      <w:r>
        <w:rPr>
          <w:rFonts w:hint="eastAsia" w:ascii="宋体" w:hAnsi="宋体" w:eastAsia="宋体" w:cs="宋体"/>
          <w:b w:val="0"/>
          <w:color w:val="auto"/>
          <w:sz w:val="21"/>
          <w:szCs w:val="21"/>
          <w:highlight w:val="none"/>
        </w:rPr>
        <w:t>15. 缺陷责任期与保修</w:t>
      </w:r>
      <w:bookmarkEnd w:id="957"/>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15.2缺陷责任期</w:t>
      </w:r>
      <w:bookmarkEnd w:id="958"/>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缺陷责任期的具体期限：</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15.3 质量保证金</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关于是否扣留质量保证金的约定：</w:t>
      </w:r>
      <w:r>
        <w:rPr>
          <w:rFonts w:hint="eastAsia" w:ascii="宋体" w:hAnsi="宋体" w:cs="宋体"/>
          <w:color w:val="auto"/>
          <w:szCs w:val="21"/>
          <w:highlight w:val="none"/>
          <w:u w:val="single"/>
        </w:rPr>
        <w:t xml:space="preserve"> 不扣留  </w:t>
      </w:r>
      <w:r>
        <w:rPr>
          <w:rFonts w:hint="eastAsia" w:ascii="宋体" w:hAnsi="宋体" w:cs="宋体"/>
          <w:color w:val="auto"/>
          <w:szCs w:val="21"/>
          <w:highlight w:val="none"/>
        </w:rPr>
        <w:t>。在工程项目竣工前，承包人按专用合同条款第3.7条提供履约担保的，发包人不得同时预留工程质量保证金。</w:t>
      </w:r>
    </w:p>
    <w:p>
      <w:pPr>
        <w:snapToGrid w:val="0"/>
        <w:spacing w:line="360" w:lineRule="auto"/>
        <w:ind w:firstLine="420" w:firstLineChars="200"/>
        <w:jc w:val="left"/>
        <w:rPr>
          <w:rFonts w:ascii="宋体" w:hAnsi="宋体" w:cs="宋体"/>
          <w:color w:val="auto"/>
          <w:szCs w:val="21"/>
          <w:highlight w:val="none"/>
        </w:rPr>
      </w:pPr>
    </w:p>
    <w:p>
      <w:pPr>
        <w:snapToGrid w:val="0"/>
        <w:spacing w:line="360" w:lineRule="auto"/>
        <w:ind w:firstLine="420" w:firstLineChars="200"/>
        <w:jc w:val="left"/>
        <w:outlineLvl w:val="0"/>
        <w:rPr>
          <w:rFonts w:ascii="宋体" w:hAnsi="宋体" w:cs="宋体"/>
          <w:color w:val="auto"/>
          <w:szCs w:val="21"/>
          <w:highlight w:val="none"/>
        </w:rPr>
      </w:pPr>
      <w:r>
        <w:rPr>
          <w:rFonts w:hint="eastAsia" w:ascii="宋体" w:hAnsi="宋体" w:cs="宋体"/>
          <w:color w:val="auto"/>
          <w:szCs w:val="21"/>
          <w:highlight w:val="none"/>
        </w:rPr>
        <w:t>15.3.1 承包人提供质量保证金的方式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质量保证金采用以下第</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种方式：</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（1）质量保证金保函，保证金额为：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%的工程款；</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（3）其他方式: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outlineLvl w:val="0"/>
        <w:rPr>
          <w:rFonts w:ascii="宋体" w:hAnsi="宋体" w:cs="宋体"/>
          <w:color w:val="auto"/>
          <w:szCs w:val="21"/>
          <w:highlight w:val="none"/>
        </w:rPr>
      </w:pPr>
      <w:r>
        <w:rPr>
          <w:rFonts w:hint="eastAsia" w:ascii="宋体" w:hAnsi="宋体" w:cs="宋体"/>
          <w:color w:val="auto"/>
          <w:szCs w:val="21"/>
          <w:highlight w:val="none"/>
        </w:rPr>
        <w:t xml:space="preserve">15.3.2 质量保证金的扣留 </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质量保证金的扣留采取以下第</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种方式：</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（1）在支付工程进度款时逐次扣留，在此情形下，质量保证金的计算基数不包括预付款的支付、扣回以及价格调整的金额；</w:t>
      </w:r>
    </w:p>
    <w:p>
      <w:pPr>
        <w:autoSpaceDE w:val="0"/>
        <w:autoSpaceDN w:val="0"/>
        <w:snapToGrid w:val="0"/>
        <w:spacing w:line="360" w:lineRule="auto"/>
        <w:ind w:firstLine="420" w:firstLineChars="200"/>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（2）工程竣工结算时一次性扣留质量保证金；</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（3）其他扣留方式: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szCs w:val="21"/>
          <w:highlight w:val="none"/>
        </w:rPr>
        <w:t>关于质量保证金的补充约定：</w:t>
      </w:r>
      <w:r>
        <w:rPr>
          <w:rFonts w:hint="eastAsia" w:ascii="宋体" w:hAnsi="宋体" w:cs="宋体"/>
          <w:color w:val="auto"/>
          <w:kern w:val="0"/>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bookmarkEnd w:id="959"/>
    <w:bookmarkEnd w:id="960"/>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15.4保修</w:t>
      </w:r>
    </w:p>
    <w:bookmarkEnd w:id="961"/>
    <w:p>
      <w:pPr>
        <w:snapToGrid w:val="0"/>
        <w:spacing w:line="360" w:lineRule="auto"/>
        <w:ind w:firstLine="409" w:firstLineChars="195"/>
        <w:jc w:val="left"/>
        <w:rPr>
          <w:rFonts w:ascii="宋体" w:hAnsi="宋体" w:cs="宋体"/>
          <w:color w:val="auto"/>
          <w:szCs w:val="21"/>
          <w:highlight w:val="none"/>
        </w:rPr>
      </w:pPr>
      <w:r>
        <w:rPr>
          <w:rFonts w:hint="eastAsia" w:ascii="宋体" w:hAnsi="宋体" w:cs="宋体"/>
          <w:color w:val="auto"/>
          <w:szCs w:val="21"/>
          <w:highlight w:val="none"/>
        </w:rPr>
        <w:t>15.4.1 保修责任</w:t>
      </w:r>
    </w:p>
    <w:p>
      <w:pPr>
        <w:snapToGrid w:val="0"/>
        <w:spacing w:line="360" w:lineRule="auto"/>
        <w:ind w:firstLine="409" w:firstLineChars="195"/>
        <w:jc w:val="left"/>
        <w:rPr>
          <w:rFonts w:ascii="宋体" w:hAnsi="宋体" w:cs="宋体"/>
          <w:color w:val="auto"/>
          <w:kern w:val="0"/>
          <w:szCs w:val="21"/>
          <w:highlight w:val="none"/>
          <w:u w:val="single"/>
        </w:rPr>
      </w:pPr>
      <w:r>
        <w:rPr>
          <w:rFonts w:hint="eastAsia" w:ascii="宋体" w:hAnsi="宋体" w:cs="宋体"/>
          <w:color w:val="auto"/>
          <w:szCs w:val="21"/>
          <w:highlight w:val="none"/>
        </w:rPr>
        <w:t>工程保修期为：</w:t>
      </w:r>
      <w:r>
        <w:rPr>
          <w:rFonts w:hint="eastAsia" w:ascii="宋体" w:hAnsi="宋体" w:cs="宋体"/>
          <w:color w:val="auto"/>
          <w:kern w:val="0"/>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09" w:firstLineChars="195"/>
        <w:jc w:val="left"/>
        <w:rPr>
          <w:rFonts w:ascii="宋体" w:hAnsi="宋体" w:cs="宋体"/>
          <w:color w:val="auto"/>
          <w:szCs w:val="21"/>
          <w:highlight w:val="none"/>
        </w:rPr>
      </w:pPr>
      <w:r>
        <w:rPr>
          <w:rFonts w:hint="eastAsia" w:ascii="宋体" w:hAnsi="宋体" w:cs="宋体"/>
          <w:color w:val="auto"/>
          <w:szCs w:val="21"/>
          <w:highlight w:val="none"/>
        </w:rPr>
        <w:t>15.4.3 修复通知</w:t>
      </w:r>
    </w:p>
    <w:p>
      <w:pPr>
        <w:snapToGrid w:val="0"/>
        <w:spacing w:line="360" w:lineRule="auto"/>
        <w:ind w:firstLine="409" w:firstLineChars="195"/>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承包人收到保修通知并到达工程现场的合理时间：</w:t>
      </w:r>
      <w:r>
        <w:rPr>
          <w:rFonts w:hint="eastAsia" w:ascii="宋体" w:hAnsi="宋体" w:cs="宋体"/>
          <w:color w:val="auto"/>
          <w:kern w:val="0"/>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bookmarkEnd w:id="962"/>
    <w:bookmarkEnd w:id="963"/>
    <w:bookmarkEnd w:id="964"/>
    <w:bookmarkEnd w:id="965"/>
    <w:p>
      <w:pPr>
        <w:pStyle w:val="8"/>
        <w:snapToGrid w:val="0"/>
        <w:spacing w:before="0" w:after="0" w:line="360" w:lineRule="auto"/>
        <w:rPr>
          <w:rFonts w:ascii="宋体" w:hAnsi="宋体" w:eastAsia="宋体" w:cs="宋体"/>
          <w:b w:val="0"/>
          <w:color w:val="auto"/>
          <w:sz w:val="21"/>
          <w:szCs w:val="21"/>
          <w:highlight w:val="none"/>
        </w:rPr>
      </w:pPr>
      <w:bookmarkStart w:id="988" w:name="_Toc351203648"/>
      <w:bookmarkStart w:id="989" w:name="_Toc280868717"/>
      <w:bookmarkStart w:id="990" w:name="_Toc280868718"/>
      <w:r>
        <w:rPr>
          <w:rFonts w:hint="eastAsia" w:ascii="宋体" w:hAnsi="宋体" w:eastAsia="宋体" w:cs="宋体"/>
          <w:b w:val="0"/>
          <w:color w:val="auto"/>
          <w:sz w:val="21"/>
          <w:szCs w:val="21"/>
          <w:highlight w:val="none"/>
        </w:rPr>
        <w:t>16. 违约</w:t>
      </w:r>
      <w:bookmarkEnd w:id="988"/>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16.1 发包人违约</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16.1.1发包人违约的情形</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发包人违约的其他情形：</w:t>
      </w:r>
      <w:r>
        <w:rPr>
          <w:rFonts w:hint="eastAsia" w:ascii="宋体" w:hAnsi="宋体" w:cs="宋体"/>
          <w:color w:val="auto"/>
          <w:kern w:val="0"/>
          <w:szCs w:val="21"/>
          <w:highlight w:val="none"/>
          <w:u w:val="single"/>
        </w:rPr>
        <w:t xml:space="preserve">                                </w:t>
      </w:r>
    </w:p>
    <w:p>
      <w:pPr>
        <w:snapToGrid w:val="0"/>
        <w:spacing w:line="360" w:lineRule="auto"/>
        <w:ind w:left="1050" w:hanging="1050" w:hangingChars="500"/>
        <w:jc w:val="left"/>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left="1050" w:hanging="1050" w:hangingChars="5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16.1.2 发包人违约的责任</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发包人违约责任的承担方式和计算方法：</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（1）因发包人原因未能在计划开工日期前7天内下达开工通知的违约责任：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（2）因发包人原因未能按合同约定支付合同价款的违约责任：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（3）发包人违反第10.1款〔变更的范围〕第（2）项约定，自行实施被取消的工作或转由他人实施的违约责任：</w:t>
      </w:r>
      <w:r>
        <w:rPr>
          <w:rFonts w:hint="eastAsia" w:ascii="宋体" w:hAnsi="宋体" w:cs="宋体"/>
          <w:color w:val="auto"/>
          <w:kern w:val="0"/>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（5）因发包人违反合同约定造成暂停施工的违约责任：</w:t>
      </w:r>
      <w:r>
        <w:rPr>
          <w:rFonts w:hint="eastAsia" w:ascii="宋体" w:hAnsi="宋体" w:cs="宋体"/>
          <w:color w:val="auto"/>
          <w:kern w:val="0"/>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（6）发包人无正当理由没有在约定期限内发出复工指示，导致承包人无法复工的违约责任：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（7）其他：</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16.1.3 因发包人违约解除合同</w:t>
      </w:r>
    </w:p>
    <w:p>
      <w:pPr>
        <w:autoSpaceDE w:val="0"/>
        <w:autoSpaceDN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承包人按16.1.1项〔发包人违约的情形〕约定暂停施工满</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天后发包人仍不纠正其违约行为并致使合同目的不能实现的，承包人有权解除合同。</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16.2 承包人违约</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16.2.1 承包人违约的情形</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承包人违约的其他情形：</w:t>
      </w:r>
      <w:r>
        <w:rPr>
          <w:rFonts w:hint="eastAsia" w:ascii="宋体" w:hAnsi="宋体" w:cs="宋体"/>
          <w:color w:val="auto"/>
          <w:kern w:val="0"/>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16.2.2承包人违约的责任</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承包人违约责任的承担方式和计算方法：</w:t>
      </w:r>
      <w:r>
        <w:rPr>
          <w:rFonts w:hint="eastAsia" w:ascii="宋体" w:hAnsi="宋体" w:cs="宋体"/>
          <w:color w:val="auto"/>
          <w:kern w:val="0"/>
          <w:szCs w:val="21"/>
          <w:highlight w:val="none"/>
          <w:u w:val="single"/>
        </w:rPr>
        <w:t xml:space="preserve">                  </w:t>
      </w:r>
    </w:p>
    <w:p>
      <w:pPr>
        <w:snapToGrid w:val="0"/>
        <w:spacing w:line="360" w:lineRule="auto"/>
        <w:ind w:left="1050" w:hanging="1050" w:hangingChars="500"/>
        <w:jc w:val="left"/>
        <w:rPr>
          <w:rFonts w:ascii="宋体" w:hAnsi="宋体" w:cs="宋体"/>
          <w:color w:val="auto"/>
          <w:kern w:val="0"/>
          <w:szCs w:val="21"/>
          <w:highlight w:val="none"/>
          <w:u w:val="singl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szCs w:val="21"/>
          <w:highlight w:val="none"/>
        </w:rPr>
        <w:t xml:space="preserve">    </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16.2.3 因承包人违约解除合同</w:t>
      </w:r>
    </w:p>
    <w:p>
      <w:pPr>
        <w:snapToGrid w:val="0"/>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rPr>
        <w:t>关于承包人违约解除合同的特别约定：</w:t>
      </w:r>
      <w:r>
        <w:rPr>
          <w:rFonts w:hint="eastAsia" w:ascii="宋体" w:hAnsi="宋体" w:cs="宋体"/>
          <w:color w:val="auto"/>
          <w:kern w:val="0"/>
          <w:szCs w:val="21"/>
          <w:highlight w:val="none"/>
          <w:u w:val="single"/>
        </w:rPr>
        <w:t xml:space="preserve">                    </w:t>
      </w:r>
    </w:p>
    <w:p>
      <w:p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发包人继续使用承包人在施工现场的材料、设备、临时工程、承包人文件和由承包人或以其名义编制的其他文件的费用承担方式：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8"/>
        <w:snapToGrid w:val="0"/>
        <w:spacing w:before="0" w:after="0" w:line="360" w:lineRule="auto"/>
        <w:rPr>
          <w:rFonts w:ascii="宋体" w:hAnsi="宋体" w:eastAsia="宋体" w:cs="宋体"/>
          <w:b w:val="0"/>
          <w:color w:val="auto"/>
          <w:sz w:val="21"/>
          <w:szCs w:val="21"/>
          <w:highlight w:val="none"/>
        </w:rPr>
      </w:pPr>
      <w:bookmarkStart w:id="991" w:name="_Toc351203649"/>
      <w:r>
        <w:rPr>
          <w:rFonts w:hint="eastAsia" w:ascii="宋体" w:hAnsi="宋体" w:eastAsia="宋体" w:cs="宋体"/>
          <w:b w:val="0"/>
          <w:color w:val="auto"/>
          <w:sz w:val="21"/>
          <w:szCs w:val="21"/>
          <w:highlight w:val="none"/>
        </w:rPr>
        <w:t>17. 不可抗力</w:t>
      </w:r>
      <w:bookmarkEnd w:id="991"/>
      <w:r>
        <w:rPr>
          <w:rFonts w:hint="eastAsia" w:ascii="宋体" w:hAnsi="宋体" w:eastAsia="宋体" w:cs="宋体"/>
          <w:b w:val="0"/>
          <w:color w:val="auto"/>
          <w:sz w:val="21"/>
          <w:szCs w:val="21"/>
          <w:highlight w:val="none"/>
        </w:rPr>
        <w:t xml:space="preserve"> </w:t>
      </w:r>
      <w:bookmarkEnd w:id="989"/>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17.1 不可抗力的确认</w:t>
      </w:r>
    </w:p>
    <w:p>
      <w:pPr>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szCs w:val="21"/>
          <w:highlight w:val="none"/>
        </w:rPr>
        <w:t xml:space="preserve">除通用合同条款约定的不可抗力事件之外，视为不可抗力的其他情形：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17.4 因不可抗力解除合同</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合同解除后，发包人应在商定或确定发包人应支付款项后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天内完成款项的支付。</w:t>
      </w:r>
    </w:p>
    <w:p>
      <w:pPr>
        <w:pStyle w:val="8"/>
        <w:snapToGrid w:val="0"/>
        <w:spacing w:before="0" w:after="0" w:line="360" w:lineRule="auto"/>
        <w:rPr>
          <w:rFonts w:ascii="宋体" w:hAnsi="宋体" w:eastAsia="宋体" w:cs="宋体"/>
          <w:b w:val="0"/>
          <w:color w:val="auto"/>
          <w:sz w:val="21"/>
          <w:szCs w:val="21"/>
          <w:highlight w:val="none"/>
        </w:rPr>
      </w:pPr>
      <w:bookmarkStart w:id="992" w:name="_Toc351203650"/>
      <w:r>
        <w:rPr>
          <w:rFonts w:hint="eastAsia" w:ascii="宋体" w:hAnsi="宋体" w:eastAsia="宋体" w:cs="宋体"/>
          <w:b w:val="0"/>
          <w:color w:val="auto"/>
          <w:sz w:val="21"/>
          <w:szCs w:val="21"/>
          <w:highlight w:val="none"/>
        </w:rPr>
        <w:t>18. 保险</w:t>
      </w:r>
      <w:bookmarkEnd w:id="992"/>
    </w:p>
    <w:bookmarkEnd w:id="990"/>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18.1 工程保险</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关于工程保险的特别约定：</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18.3 其他保险</w:t>
      </w:r>
    </w:p>
    <w:p>
      <w:pPr>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关于其他保险的约定：</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承包人是否应为其施工设备等办理财产保险：</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18.7 通知义务</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关于变更保险合同时的通知义务的约定：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bookmarkEnd w:id="966"/>
    <w:bookmarkEnd w:id="967"/>
    <w:bookmarkEnd w:id="968"/>
    <w:bookmarkEnd w:id="969"/>
    <w:bookmarkEnd w:id="970"/>
    <w:bookmarkEnd w:id="971"/>
    <w:bookmarkEnd w:id="972"/>
    <w:bookmarkEnd w:id="973"/>
    <w:bookmarkEnd w:id="974"/>
    <w:bookmarkEnd w:id="975"/>
    <w:bookmarkEnd w:id="976"/>
    <w:bookmarkEnd w:id="977"/>
    <w:p>
      <w:pPr>
        <w:pStyle w:val="8"/>
        <w:snapToGrid w:val="0"/>
        <w:spacing w:before="0" w:after="0" w:line="360" w:lineRule="auto"/>
        <w:rPr>
          <w:rFonts w:ascii="宋体" w:hAnsi="宋体" w:eastAsia="宋体" w:cs="宋体"/>
          <w:b w:val="0"/>
          <w:color w:val="auto"/>
          <w:sz w:val="21"/>
          <w:szCs w:val="21"/>
          <w:highlight w:val="none"/>
        </w:rPr>
      </w:pPr>
      <w:bookmarkStart w:id="993" w:name="_Toc351203651"/>
      <w:r>
        <w:rPr>
          <w:rFonts w:hint="eastAsia" w:ascii="宋体" w:hAnsi="宋体" w:eastAsia="宋体" w:cs="宋体"/>
          <w:b w:val="0"/>
          <w:color w:val="auto"/>
          <w:sz w:val="21"/>
          <w:szCs w:val="21"/>
          <w:highlight w:val="none"/>
        </w:rPr>
        <w:t>20. 争议解决</w:t>
      </w:r>
      <w:bookmarkEnd w:id="993"/>
    </w:p>
    <w:bookmarkEnd w:id="978"/>
    <w:bookmarkEnd w:id="979"/>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20.3 争</w:t>
      </w:r>
      <w:bookmarkEnd w:id="980"/>
      <w:r>
        <w:rPr>
          <w:rFonts w:hint="eastAsia" w:ascii="宋体" w:hAnsi="宋体" w:cs="宋体"/>
          <w:color w:val="auto"/>
          <w:szCs w:val="21"/>
          <w:highlight w:val="none"/>
        </w:rPr>
        <w:t>议评审</w:t>
      </w:r>
    </w:p>
    <w:p>
      <w:pPr>
        <w:snapToGrid w:val="0"/>
        <w:spacing w:line="360" w:lineRule="auto"/>
        <w:ind w:left="149" w:leftChars="71" w:firstLine="315" w:firstLineChars="150"/>
        <w:jc w:val="left"/>
        <w:rPr>
          <w:rFonts w:ascii="宋体" w:hAnsi="宋体" w:cs="宋体"/>
          <w:color w:val="auto"/>
          <w:szCs w:val="21"/>
          <w:highlight w:val="none"/>
          <w:u w:val="single"/>
        </w:rPr>
      </w:pPr>
      <w:r>
        <w:rPr>
          <w:rFonts w:hint="eastAsia" w:ascii="宋体" w:hAnsi="宋体" w:cs="宋体"/>
          <w:color w:val="auto"/>
          <w:szCs w:val="21"/>
          <w:highlight w:val="none"/>
        </w:rPr>
        <w:t>合同当事人是否同意将工程争议提交争议评审小组决定：</w:t>
      </w:r>
      <w:r>
        <w:rPr>
          <w:rFonts w:hint="eastAsia" w:ascii="宋体" w:hAnsi="宋体" w:cs="宋体"/>
          <w:color w:val="auto"/>
          <w:szCs w:val="21"/>
          <w:highlight w:val="none"/>
          <w:u w:val="single"/>
        </w:rPr>
        <w:t xml:space="preserve">    </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ind w:firstLine="420" w:firstLineChars="200"/>
        <w:jc w:val="left"/>
        <w:outlineLvl w:val="0"/>
        <w:rPr>
          <w:rFonts w:ascii="宋体" w:hAnsi="宋体" w:cs="宋体"/>
          <w:color w:val="auto"/>
          <w:szCs w:val="21"/>
          <w:highlight w:val="none"/>
        </w:rPr>
      </w:pPr>
      <w:r>
        <w:rPr>
          <w:rFonts w:hint="eastAsia" w:ascii="宋体" w:hAnsi="宋体" w:cs="宋体"/>
          <w:color w:val="auto"/>
          <w:szCs w:val="21"/>
          <w:highlight w:val="none"/>
        </w:rPr>
        <w:t>20.3.1 争议评审小组的确定</w:t>
      </w:r>
    </w:p>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争议评审小组成员的确定：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选定争议评审员的期限：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争议评审小组成员的报酬承担方式：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其他事项的约定：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snapToGrid w:val="0"/>
        <w:spacing w:line="360" w:lineRule="auto"/>
        <w:ind w:firstLine="420" w:firstLineChars="200"/>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20.3.2 争议评审小组的决定</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合同当事人关于本项的约定：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20.4仲裁或诉讼</w:t>
      </w:r>
      <w:bookmarkEnd w:id="981"/>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因合同及合同有关事项发生的争议，按下列第（1）种方式解决：</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（1）向</w:t>
      </w:r>
      <w:r>
        <w:rPr>
          <w:rFonts w:hint="eastAsia" w:ascii="宋体" w:hAnsi="宋体" w:cs="宋体"/>
          <w:color w:val="auto"/>
          <w:szCs w:val="21"/>
          <w:highlight w:val="none"/>
          <w:u w:val="single"/>
        </w:rPr>
        <w:t>杭州市</w:t>
      </w:r>
      <w:r>
        <w:rPr>
          <w:rFonts w:hint="eastAsia" w:ascii="宋体" w:hAnsi="宋体" w:cs="宋体"/>
          <w:color w:val="auto"/>
          <w:szCs w:val="21"/>
          <w:highlight w:val="none"/>
        </w:rPr>
        <w:t>仲裁委员会申请仲裁；</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人民法院起诉。</w:t>
      </w:r>
      <w:bookmarkEnd w:id="982"/>
      <w:bookmarkEnd w:id="983"/>
      <w:bookmarkEnd w:id="984"/>
      <w:bookmarkEnd w:id="985"/>
      <w:bookmarkEnd w:id="986"/>
      <w:bookmarkEnd w:id="987"/>
    </w:p>
    <w:p>
      <w:pPr>
        <w:snapToGrid w:val="0"/>
        <w:spacing w:line="360" w:lineRule="auto"/>
        <w:ind w:firstLine="482"/>
        <w:rPr>
          <w:rFonts w:ascii="宋体" w:hAnsi="宋体"/>
          <w:color w:val="auto"/>
          <w:sz w:val="18"/>
          <w:szCs w:val="21"/>
          <w:highlight w:val="none"/>
        </w:rPr>
      </w:pPr>
      <w:r>
        <w:rPr>
          <w:rFonts w:hint="eastAsia" w:ascii="宋体" w:hAnsi="宋体"/>
          <w:b/>
          <w:color w:val="auto"/>
          <w:sz w:val="18"/>
          <w:szCs w:val="21"/>
          <w:highlight w:val="none"/>
        </w:rPr>
        <w:t>附件：</w:t>
      </w:r>
    </w:p>
    <w:p>
      <w:pPr>
        <w:adjustRightInd/>
        <w:snapToGrid w:val="0"/>
        <w:spacing w:line="360" w:lineRule="auto"/>
        <w:ind w:firstLine="371" w:firstLineChars="177"/>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附件1：建筑工程质量保修书</w:t>
      </w:r>
    </w:p>
    <w:p>
      <w:pPr>
        <w:adjustRightInd/>
        <w:ind w:firstLine="371" w:firstLineChars="177"/>
        <w:jc w:val="left"/>
        <w:rPr>
          <w:rFonts w:ascii="宋体" w:hAnsi="宋体"/>
          <w:snapToGrid w:val="0"/>
          <w:color w:val="auto"/>
          <w:kern w:val="0"/>
          <w:szCs w:val="21"/>
          <w:highlight w:val="none"/>
        </w:rPr>
      </w:pPr>
    </w:p>
    <w:p>
      <w:pPr>
        <w:spacing w:before="162" w:line="440" w:lineRule="exact"/>
        <w:ind w:firstLine="480"/>
        <w:rPr>
          <w:rFonts w:ascii="宋体" w:hAnsi="宋体"/>
          <w:b/>
          <w:bCs/>
          <w:color w:val="auto"/>
          <w:sz w:val="24"/>
          <w:highlight w:val="none"/>
        </w:rPr>
      </w:pPr>
      <w:r>
        <w:rPr>
          <w:rFonts w:ascii="宋体" w:hAnsi="宋体"/>
          <w:color w:val="auto"/>
          <w:sz w:val="24"/>
          <w:highlight w:val="none"/>
          <w:u w:val="single"/>
        </w:rPr>
        <w:br w:type="page"/>
      </w:r>
      <w:bookmarkStart w:id="994" w:name="_Toc534620509"/>
      <w:bookmarkStart w:id="995" w:name="_Toc249091536"/>
      <w:r>
        <w:rPr>
          <w:rFonts w:hint="eastAsia" w:ascii="宋体" w:hAnsi="宋体"/>
          <w:b/>
          <w:bCs/>
          <w:color w:val="auto"/>
          <w:sz w:val="24"/>
          <w:highlight w:val="none"/>
        </w:rPr>
        <w:t>附件1:</w:t>
      </w:r>
    </w:p>
    <w:bookmarkEnd w:id="994"/>
    <w:bookmarkEnd w:id="995"/>
    <w:p>
      <w:pPr>
        <w:adjustRightInd/>
        <w:spacing w:before="120" w:beforeLines="50" w:after="120" w:afterLines="50" w:line="288" w:lineRule="auto"/>
        <w:jc w:val="center"/>
        <w:rPr>
          <w:rFonts w:ascii="宋体" w:hAnsi="宋体"/>
          <w:snapToGrid w:val="0"/>
          <w:color w:val="auto"/>
          <w:kern w:val="0"/>
          <w:szCs w:val="21"/>
          <w:highlight w:val="none"/>
        </w:rPr>
      </w:pPr>
      <w:r>
        <w:rPr>
          <w:rFonts w:ascii="宋体" w:hAnsi="宋体"/>
          <w:snapToGrid w:val="0"/>
          <w:color w:val="auto"/>
          <w:kern w:val="0"/>
          <w:szCs w:val="21"/>
          <w:highlight w:val="none"/>
        </w:rPr>
        <w:t>工程质量保修书</w:t>
      </w:r>
    </w:p>
    <w:p>
      <w:pPr>
        <w:adjustRightInd/>
        <w:spacing w:line="288"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发包人（全称）：</w:t>
      </w:r>
      <w:r>
        <w:rPr>
          <w:rFonts w:ascii="宋体" w:hAnsi="宋体"/>
          <w:snapToGrid w:val="0"/>
          <w:color w:val="auto"/>
          <w:kern w:val="0"/>
          <w:szCs w:val="21"/>
          <w:highlight w:val="none"/>
          <w:u w:val="single"/>
        </w:rPr>
        <w:t xml:space="preserve">  </w:t>
      </w:r>
      <w:bookmarkStart w:id="996" w:name="SOA_zyht_zlbxfb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bookmarkEnd w:id="996"/>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　　承包人（全称）：</w:t>
      </w:r>
      <w:r>
        <w:rPr>
          <w:rFonts w:ascii="宋体" w:hAnsi="宋体"/>
          <w:snapToGrid w:val="0"/>
          <w:color w:val="auto"/>
          <w:kern w:val="0"/>
          <w:szCs w:val="21"/>
          <w:highlight w:val="none"/>
          <w:u w:val="single"/>
        </w:rPr>
        <w:t xml:space="preserve">  </w:t>
      </w:r>
      <w:bookmarkStart w:id="997" w:name="SOA_zyht_zlbxcbr"/>
      <w:r>
        <w:rPr>
          <w:rFonts w:ascii="宋体" w:hAnsi="宋体"/>
          <w:snapToGrid w:val="0"/>
          <w:color w:val="auto"/>
          <w:kern w:val="0"/>
          <w:szCs w:val="21"/>
          <w:highlight w:val="none"/>
          <w:u w:val="single"/>
        </w:rPr>
        <w:t xml:space="preserve"> </w:t>
      </w:r>
      <w:bookmarkEnd w:id="997"/>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　　发包人和承包人根据《中华人民共和国建筑法》和《建设工程质量管理条例》，经协商一致就</w:t>
      </w:r>
      <w:r>
        <w:rPr>
          <w:rFonts w:ascii="宋体" w:hAnsi="宋体"/>
          <w:snapToGrid w:val="0"/>
          <w:color w:val="auto"/>
          <w:kern w:val="0"/>
          <w:szCs w:val="21"/>
          <w:highlight w:val="none"/>
          <w:u w:val="single"/>
        </w:rPr>
        <w:t xml:space="preserve">  </w:t>
      </w:r>
      <w:bookmarkStart w:id="998" w:name="SOA_zyht_gcqc"/>
      <w:r>
        <w:rPr>
          <w:rFonts w:ascii="宋体" w:hAnsi="宋体"/>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bookmarkEnd w:id="998"/>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（工程全称）签订工程质量保修书。</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一、工程质量保修范围和内容</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　　承包人在质量保修期内，按照有关法律规定和合同约定，承担工程质量保修责任。</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u w:val="single"/>
        </w:rPr>
        <w:t xml:space="preserve">   </w:t>
      </w:r>
      <w:bookmarkStart w:id="999" w:name="SOA_zyht_gczlbxfw"/>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双方约定对施工承包范围内的所有内容实行保修</w:t>
      </w:r>
      <w:r>
        <w:rPr>
          <w:rFonts w:ascii="宋体" w:hAnsi="宋体"/>
          <w:snapToGrid w:val="0"/>
          <w:color w:val="auto"/>
          <w:kern w:val="0"/>
          <w:szCs w:val="21"/>
          <w:highlight w:val="none"/>
          <w:u w:val="single"/>
        </w:rPr>
        <w:t xml:space="preserve">   </w:t>
      </w:r>
      <w:bookmarkEnd w:id="999"/>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二、质量保修期</w:t>
      </w:r>
    </w:p>
    <w:p>
      <w:pPr>
        <w:adjustRightInd/>
        <w:spacing w:line="288"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根据《建设工程质量管理条例》及有关规定，工程的质量保修期如下：</w:t>
      </w:r>
    </w:p>
    <w:p>
      <w:pPr>
        <w:adjustRightInd/>
        <w:spacing w:line="288"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1．地基基础工程和主体结构工程为设计文件规定的工程合理使用年限；</w:t>
      </w:r>
    </w:p>
    <w:p>
      <w:pPr>
        <w:adjustRightInd/>
        <w:spacing w:line="288"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2．</w:t>
      </w:r>
      <w:r>
        <w:rPr>
          <w:rFonts w:ascii="宋体" w:hAnsi="宋体"/>
          <w:snapToGrid w:val="0"/>
          <w:color w:val="auto"/>
          <w:kern w:val="0"/>
          <w:szCs w:val="21"/>
          <w:highlight w:val="none"/>
        </w:rPr>
        <w:t>屋面防水工程、有防水要求的卫生间、房间和外墙面的防渗</w:t>
      </w:r>
      <w:r>
        <w:rPr>
          <w:rFonts w:hint="eastAsia" w:ascii="宋体" w:hAnsi="宋体"/>
          <w:snapToGrid w:val="0"/>
          <w:color w:val="auto"/>
          <w:kern w:val="0"/>
          <w:szCs w:val="21"/>
          <w:highlight w:val="none"/>
        </w:rPr>
        <w:t>为</w:t>
      </w:r>
      <w:r>
        <w:rPr>
          <w:rFonts w:hint="eastAsia" w:ascii="宋体" w:hAnsi="宋体"/>
          <w:snapToGrid w:val="0"/>
          <w:color w:val="auto"/>
          <w:kern w:val="0"/>
          <w:szCs w:val="21"/>
          <w:highlight w:val="none"/>
          <w:u w:val="single"/>
        </w:rPr>
        <w:t xml:space="preserve"> 5 </w:t>
      </w:r>
      <w:r>
        <w:rPr>
          <w:rFonts w:ascii="宋体" w:hAnsi="宋体"/>
          <w:snapToGrid w:val="0"/>
          <w:color w:val="auto"/>
          <w:kern w:val="0"/>
          <w:szCs w:val="21"/>
          <w:highlight w:val="none"/>
        </w:rPr>
        <w:t>年；</w:t>
      </w:r>
    </w:p>
    <w:p>
      <w:pPr>
        <w:adjustRightInd/>
        <w:spacing w:line="288"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ascii="宋体" w:hAnsi="宋体"/>
          <w:snapToGrid w:val="0"/>
          <w:color w:val="auto"/>
          <w:kern w:val="0"/>
          <w:szCs w:val="21"/>
          <w:highlight w:val="none"/>
        </w:rPr>
        <w:t>装修工程为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2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p>
    <w:p>
      <w:pPr>
        <w:adjustRightInd/>
        <w:spacing w:line="288"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4．</w:t>
      </w:r>
      <w:r>
        <w:rPr>
          <w:rFonts w:ascii="宋体" w:hAnsi="宋体"/>
          <w:snapToGrid w:val="0"/>
          <w:color w:val="auto"/>
          <w:kern w:val="0"/>
          <w:szCs w:val="21"/>
          <w:highlight w:val="none"/>
        </w:rPr>
        <w:t>电气管线、给排水管道、设备安装工程为</w:t>
      </w:r>
      <w:bookmarkStart w:id="1000" w:name="SOA_zyht_azbxnx"/>
      <w:r>
        <w:rPr>
          <w:rFonts w:ascii="宋体" w:hAnsi="宋体"/>
          <w:snapToGrid w:val="0"/>
          <w:color w:val="auto"/>
          <w:kern w:val="0"/>
          <w:szCs w:val="21"/>
          <w:highlight w:val="none"/>
          <w:u w:val="single"/>
        </w:rPr>
        <w:t xml:space="preserve"> </w:t>
      </w:r>
      <w:bookmarkEnd w:id="1000"/>
      <w:r>
        <w:rPr>
          <w:rFonts w:hint="eastAsia" w:ascii="宋体" w:hAnsi="宋体"/>
          <w:snapToGrid w:val="0"/>
          <w:color w:val="auto"/>
          <w:kern w:val="0"/>
          <w:szCs w:val="21"/>
          <w:highlight w:val="none"/>
          <w:u w:val="single"/>
        </w:rPr>
        <w:t>2</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p>
    <w:p>
      <w:pPr>
        <w:adjustRightInd/>
        <w:spacing w:line="288"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5．</w:t>
      </w:r>
      <w:r>
        <w:rPr>
          <w:rFonts w:ascii="宋体" w:hAnsi="宋体"/>
          <w:snapToGrid w:val="0"/>
          <w:color w:val="auto"/>
          <w:kern w:val="0"/>
          <w:szCs w:val="21"/>
          <w:highlight w:val="none"/>
        </w:rPr>
        <w:t>供热与供冷系统为</w:t>
      </w:r>
      <w:r>
        <w:rPr>
          <w:rFonts w:ascii="宋体" w:hAnsi="宋体"/>
          <w:snapToGrid w:val="0"/>
          <w:color w:val="auto"/>
          <w:kern w:val="0"/>
          <w:szCs w:val="21"/>
          <w:highlight w:val="none"/>
          <w:u w:val="single"/>
        </w:rPr>
        <w:t xml:space="preserve"> </w:t>
      </w:r>
      <w:bookmarkStart w:id="1001" w:name="SOA_zyht_grbxnx"/>
      <w:r>
        <w:rPr>
          <w:rFonts w:hint="eastAsia" w:ascii="宋体" w:hAnsi="宋体"/>
          <w:snapToGrid w:val="0"/>
          <w:color w:val="auto"/>
          <w:kern w:val="0"/>
          <w:szCs w:val="21"/>
          <w:highlight w:val="none"/>
          <w:u w:val="single"/>
        </w:rPr>
        <w:t>2</w:t>
      </w:r>
      <w:r>
        <w:rPr>
          <w:rFonts w:ascii="宋体" w:hAnsi="宋体"/>
          <w:snapToGrid w:val="0"/>
          <w:color w:val="auto"/>
          <w:kern w:val="0"/>
          <w:szCs w:val="21"/>
          <w:highlight w:val="none"/>
          <w:u w:val="single"/>
        </w:rPr>
        <w:t xml:space="preserve"> </w:t>
      </w:r>
      <w:bookmarkEnd w:id="1001"/>
      <w:r>
        <w:rPr>
          <w:rFonts w:ascii="宋体" w:hAnsi="宋体"/>
          <w:snapToGrid w:val="0"/>
          <w:color w:val="auto"/>
          <w:kern w:val="0"/>
          <w:szCs w:val="21"/>
          <w:highlight w:val="none"/>
        </w:rPr>
        <w:t>个采暖期、供冷期；</w:t>
      </w:r>
    </w:p>
    <w:p>
      <w:pPr>
        <w:adjustRightInd/>
        <w:spacing w:line="288"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6．</w:t>
      </w:r>
      <w:r>
        <w:rPr>
          <w:rFonts w:ascii="宋体" w:hAnsi="宋体"/>
          <w:snapToGrid w:val="0"/>
          <w:color w:val="auto"/>
          <w:kern w:val="0"/>
          <w:szCs w:val="21"/>
          <w:highlight w:val="none"/>
        </w:rPr>
        <w:t>住宅小区内的给排水设施、道路等配套工程为</w:t>
      </w:r>
      <w:r>
        <w:rPr>
          <w:rFonts w:hint="eastAsia" w:ascii="宋体" w:hAnsi="宋体"/>
          <w:snapToGrid w:val="0"/>
          <w:color w:val="auto"/>
          <w:kern w:val="0"/>
          <w:szCs w:val="21"/>
          <w:highlight w:val="none"/>
          <w:u w:val="single"/>
        </w:rPr>
        <w:t>2</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p>
    <w:p>
      <w:pPr>
        <w:adjustRightInd/>
        <w:spacing w:line="288"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7．</w:t>
      </w:r>
      <w:r>
        <w:rPr>
          <w:rFonts w:ascii="宋体" w:hAnsi="宋体"/>
          <w:snapToGrid w:val="0"/>
          <w:color w:val="auto"/>
          <w:kern w:val="0"/>
          <w:szCs w:val="21"/>
          <w:highlight w:val="none"/>
        </w:rPr>
        <w:t>其他项目保修期限约定如下：</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　　质量保修期自工程竣工验收合格之日起计算。</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三、缺陷责任期</w:t>
      </w:r>
    </w:p>
    <w:p>
      <w:pPr>
        <w:adjustRightInd/>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工程缺陷责任期为</w:t>
      </w:r>
      <w:bookmarkStart w:id="1002" w:name="SOA_zyht_gcqxq"/>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24 </w:t>
      </w:r>
      <w:r>
        <w:rPr>
          <w:rFonts w:ascii="宋体" w:hAnsi="宋体"/>
          <w:snapToGrid w:val="0"/>
          <w:color w:val="auto"/>
          <w:kern w:val="0"/>
          <w:szCs w:val="21"/>
          <w:highlight w:val="none"/>
          <w:u w:val="single"/>
        </w:rPr>
        <w:t xml:space="preserve"> </w:t>
      </w:r>
      <w:bookmarkEnd w:id="1002"/>
      <w:r>
        <w:rPr>
          <w:rFonts w:ascii="宋体" w:hAnsi="宋体"/>
          <w:snapToGrid w:val="0"/>
          <w:color w:val="auto"/>
          <w:kern w:val="0"/>
          <w:szCs w:val="21"/>
          <w:highlight w:val="none"/>
        </w:rPr>
        <w:t>个月，缺陷责任期自</w:t>
      </w:r>
      <w:r>
        <w:rPr>
          <w:rFonts w:hint="eastAsia" w:ascii="宋体" w:hAnsi="宋体"/>
          <w:snapToGrid w:val="0"/>
          <w:color w:val="auto"/>
          <w:kern w:val="0"/>
          <w:szCs w:val="21"/>
          <w:highlight w:val="none"/>
        </w:rPr>
        <w:t>工程通过竣工验收合格之日</w:t>
      </w:r>
      <w:r>
        <w:rPr>
          <w:rFonts w:ascii="宋体" w:hAnsi="宋体"/>
          <w:snapToGrid w:val="0"/>
          <w:color w:val="auto"/>
          <w:kern w:val="0"/>
          <w:szCs w:val="21"/>
          <w:highlight w:val="none"/>
        </w:rPr>
        <w:t>起计算。单位工程先于全部工程进行验收，单位工程缺陷责任期自单位工程</w:t>
      </w:r>
      <w:r>
        <w:rPr>
          <w:rFonts w:hint="eastAsia" w:ascii="宋体" w:hAnsi="宋体"/>
          <w:snapToGrid w:val="0"/>
          <w:color w:val="auto"/>
          <w:kern w:val="0"/>
          <w:szCs w:val="21"/>
          <w:highlight w:val="none"/>
        </w:rPr>
        <w:t>验收合格之日</w:t>
      </w:r>
      <w:r>
        <w:rPr>
          <w:rFonts w:ascii="宋体" w:hAnsi="宋体"/>
          <w:snapToGrid w:val="0"/>
          <w:color w:val="auto"/>
          <w:kern w:val="0"/>
          <w:szCs w:val="21"/>
          <w:highlight w:val="none"/>
        </w:rPr>
        <w:t>起</w:t>
      </w:r>
      <w:r>
        <w:rPr>
          <w:rFonts w:hint="eastAsia" w:ascii="宋体" w:hAnsi="宋体"/>
          <w:snapToGrid w:val="0"/>
          <w:color w:val="auto"/>
          <w:kern w:val="0"/>
          <w:szCs w:val="21"/>
          <w:highlight w:val="none"/>
        </w:rPr>
        <w:t>计</w:t>
      </w:r>
      <w:r>
        <w:rPr>
          <w:rFonts w:ascii="宋体" w:hAnsi="宋体"/>
          <w:snapToGrid w:val="0"/>
          <w:color w:val="auto"/>
          <w:kern w:val="0"/>
          <w:szCs w:val="21"/>
          <w:highlight w:val="none"/>
        </w:rPr>
        <w:t>算。</w:t>
      </w:r>
    </w:p>
    <w:p>
      <w:pPr>
        <w:adjustRightInd/>
        <w:spacing w:line="288"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缺陷责任期终止后，发包人应退还剩余的质量保证金。</w:t>
      </w:r>
    </w:p>
    <w:p>
      <w:pPr>
        <w:adjustRightInd/>
        <w:spacing w:line="288" w:lineRule="auto"/>
        <w:rPr>
          <w:rFonts w:ascii="宋体" w:hAnsi="宋体"/>
          <w:snapToGrid w:val="0"/>
          <w:color w:val="auto"/>
          <w:kern w:val="0"/>
          <w:szCs w:val="21"/>
          <w:highlight w:val="none"/>
        </w:rPr>
      </w:pPr>
      <w:r>
        <w:rPr>
          <w:rFonts w:ascii="宋体" w:hAnsi="宋体"/>
          <w:snapToGrid w:val="0"/>
          <w:color w:val="auto"/>
          <w:kern w:val="0"/>
          <w:szCs w:val="21"/>
          <w:highlight w:val="none"/>
        </w:rPr>
        <w:t>四、质量保修责任</w:t>
      </w:r>
    </w:p>
    <w:p>
      <w:pPr>
        <w:adjustRightInd/>
        <w:spacing w:line="288" w:lineRule="auto"/>
        <w:ind w:left="105" w:leftChars="50" w:firstLine="430" w:firstLineChars="205"/>
        <w:rPr>
          <w:rFonts w:ascii="宋体" w:hAnsi="宋体"/>
          <w:snapToGrid w:val="0"/>
          <w:color w:val="auto"/>
          <w:kern w:val="0"/>
          <w:szCs w:val="21"/>
          <w:highlight w:val="none"/>
        </w:rPr>
      </w:pPr>
      <w:r>
        <w:rPr>
          <w:rFonts w:hint="eastAsia" w:ascii="宋体" w:hAnsi="宋体"/>
          <w:snapToGrid w:val="0"/>
          <w:color w:val="auto"/>
          <w:kern w:val="0"/>
          <w:szCs w:val="21"/>
          <w:highlight w:val="none"/>
        </w:rPr>
        <w:t>1．</w:t>
      </w:r>
      <w:r>
        <w:rPr>
          <w:rFonts w:ascii="宋体" w:hAnsi="宋体"/>
          <w:snapToGrid w:val="0"/>
          <w:color w:val="auto"/>
          <w:kern w:val="0"/>
          <w:szCs w:val="21"/>
          <w:highlight w:val="none"/>
        </w:rPr>
        <w:t>属于保修范围、内容的项目，承包人应当在接到保修通知之日起7天内派人保修。承包人不在约定期限内派人保修的，发包人可以委托他人修理。</w:t>
      </w:r>
    </w:p>
    <w:p>
      <w:pPr>
        <w:adjustRightInd/>
        <w:spacing w:line="300" w:lineRule="auto"/>
        <w:ind w:left="105" w:leftChars="50" w:firstLine="430" w:firstLineChars="205"/>
        <w:rPr>
          <w:rFonts w:ascii="宋体" w:hAnsi="宋体"/>
          <w:snapToGrid w:val="0"/>
          <w:color w:val="auto"/>
          <w:kern w:val="0"/>
          <w:szCs w:val="21"/>
          <w:highlight w:val="none"/>
        </w:rPr>
      </w:pPr>
      <w:r>
        <w:rPr>
          <w:rFonts w:hint="eastAsia" w:ascii="宋体" w:hAnsi="宋体"/>
          <w:snapToGrid w:val="0"/>
          <w:color w:val="auto"/>
          <w:kern w:val="0"/>
          <w:szCs w:val="21"/>
          <w:highlight w:val="none"/>
        </w:rPr>
        <w:t>2．</w:t>
      </w:r>
      <w:r>
        <w:rPr>
          <w:rFonts w:ascii="宋体" w:hAnsi="宋体"/>
          <w:snapToGrid w:val="0"/>
          <w:color w:val="auto"/>
          <w:kern w:val="0"/>
          <w:szCs w:val="21"/>
          <w:highlight w:val="none"/>
        </w:rPr>
        <w:t>发生紧急事故需抢修的，承包人在接到事故通知后，应当立即到达事故现场抢修。</w:t>
      </w:r>
    </w:p>
    <w:p>
      <w:pPr>
        <w:adjustRightInd/>
        <w:spacing w:line="300" w:lineRule="auto"/>
        <w:ind w:left="105" w:leftChars="50" w:firstLine="430" w:firstLineChars="205"/>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ascii="宋体" w:hAnsi="宋体"/>
          <w:snapToGrid w:val="0"/>
          <w:color w:val="auto"/>
          <w:kern w:val="0"/>
          <w:szCs w:val="21"/>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spacing w:line="300" w:lineRule="auto"/>
        <w:ind w:left="420" w:leftChars="200" w:firstLine="105" w:firstLineChars="50"/>
        <w:rPr>
          <w:rFonts w:ascii="宋体" w:hAnsi="宋体"/>
          <w:snapToGrid w:val="0"/>
          <w:color w:val="auto"/>
          <w:kern w:val="0"/>
          <w:szCs w:val="21"/>
          <w:highlight w:val="none"/>
        </w:rPr>
      </w:pPr>
      <w:r>
        <w:rPr>
          <w:rFonts w:hint="eastAsia" w:ascii="宋体" w:hAnsi="宋体"/>
          <w:snapToGrid w:val="0"/>
          <w:color w:val="auto"/>
          <w:kern w:val="0"/>
          <w:szCs w:val="21"/>
          <w:highlight w:val="none"/>
        </w:rPr>
        <w:t>4．</w:t>
      </w:r>
      <w:r>
        <w:rPr>
          <w:rFonts w:ascii="宋体" w:hAnsi="宋体"/>
          <w:snapToGrid w:val="0"/>
          <w:color w:val="auto"/>
          <w:kern w:val="0"/>
          <w:szCs w:val="21"/>
          <w:highlight w:val="none"/>
        </w:rPr>
        <w:t>质量保修完成后，由发包人组织验收。</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五、保修费用</w:t>
      </w:r>
    </w:p>
    <w:p>
      <w:pPr>
        <w:adjustRightInd/>
        <w:spacing w:line="300" w:lineRule="auto"/>
        <w:ind w:firstLine="480"/>
        <w:rPr>
          <w:rFonts w:ascii="宋体" w:hAnsi="宋体"/>
          <w:snapToGrid w:val="0"/>
          <w:color w:val="auto"/>
          <w:kern w:val="0"/>
          <w:szCs w:val="21"/>
          <w:highlight w:val="none"/>
        </w:rPr>
      </w:pPr>
      <w:r>
        <w:rPr>
          <w:rFonts w:ascii="宋体" w:hAnsi="宋体"/>
          <w:snapToGrid w:val="0"/>
          <w:color w:val="auto"/>
          <w:kern w:val="0"/>
          <w:szCs w:val="21"/>
          <w:highlight w:val="none"/>
        </w:rPr>
        <w:t>保修费用由造成质量缺陷的责任方承担。</w:t>
      </w:r>
    </w:p>
    <w:p>
      <w:pPr>
        <w:adjustRightInd/>
        <w:spacing w:line="360" w:lineRule="auto"/>
        <w:ind w:firstLine="600"/>
        <w:jc w:val="left"/>
        <w:rPr>
          <w:rFonts w:ascii="宋体" w:hAnsi="宋体"/>
          <w:snapToGrid w:val="0"/>
          <w:color w:val="auto"/>
          <w:kern w:val="0"/>
          <w:szCs w:val="21"/>
          <w:highlight w:val="none"/>
          <w:u w:val="single"/>
        </w:rPr>
      </w:pPr>
      <w:r>
        <w:rPr>
          <w:rFonts w:ascii="宋体" w:hAnsi="宋体"/>
          <w:b/>
          <w:snapToGrid w:val="0"/>
          <w:color w:val="auto"/>
          <w:kern w:val="0"/>
          <w:szCs w:val="21"/>
          <w:highlight w:val="none"/>
        </w:rPr>
        <w:t>六</w:t>
      </w:r>
      <w:r>
        <w:rPr>
          <w:rFonts w:ascii="宋体" w:hAnsi="宋体"/>
          <w:snapToGrid w:val="0"/>
          <w:color w:val="auto"/>
          <w:kern w:val="0"/>
          <w:szCs w:val="21"/>
          <w:highlight w:val="none"/>
        </w:rPr>
        <w:t>、双方约定的其他工程质量保修事项：</w:t>
      </w:r>
      <w:r>
        <w:rPr>
          <w:rFonts w:hint="eastAsia" w:ascii="宋体" w:hAnsi="宋体"/>
          <w:snapToGrid w:val="0"/>
          <w:color w:val="auto"/>
          <w:kern w:val="0"/>
          <w:szCs w:val="21"/>
          <w:highlight w:val="none"/>
          <w:u w:val="single"/>
        </w:rPr>
        <w:t>工程质量保证金在工程缺陷期满后，扣除相应的扣款（由于乙方维修不及时而甲方自行维修的费用）后，结清余款（无息）。</w:t>
      </w:r>
    </w:p>
    <w:p>
      <w:pPr>
        <w:adjustRightInd/>
        <w:spacing w:line="360" w:lineRule="auto"/>
        <w:ind w:firstLine="6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u w:val="single"/>
        </w:rPr>
        <w:t>甲方在保修期内发现质量问题并通知乙方，乙方应及时派专业人员进行维修，如乙方未及时派专业人员进行维修，甲方有权请其它人进行维修，由此产生的费用将从乙方的质量保修金中予以扣除，同时乙方将承担因维修延误给甲方造成的一切损失</w:t>
      </w:r>
      <w:r>
        <w:rPr>
          <w:rFonts w:ascii="宋体" w:hAnsi="宋体"/>
          <w:snapToGrid w:val="0"/>
          <w:color w:val="auto"/>
          <w:kern w:val="0"/>
          <w:szCs w:val="21"/>
          <w:highlight w:val="none"/>
        </w:rPr>
        <w:t>。</w:t>
      </w:r>
    </w:p>
    <w:p>
      <w:pPr>
        <w:adjustRightInd/>
        <w:spacing w:line="300" w:lineRule="auto"/>
        <w:ind w:firstLine="399" w:firstLineChars="190"/>
        <w:rPr>
          <w:rFonts w:ascii="宋体" w:hAnsi="宋体"/>
          <w:snapToGrid w:val="0"/>
          <w:color w:val="auto"/>
          <w:kern w:val="0"/>
          <w:szCs w:val="21"/>
          <w:highlight w:val="none"/>
        </w:rPr>
      </w:pPr>
      <w:r>
        <w:rPr>
          <w:rFonts w:ascii="宋体" w:hAnsi="宋体"/>
          <w:snapToGrid w:val="0"/>
          <w:color w:val="auto"/>
          <w:kern w:val="0"/>
          <w:szCs w:val="21"/>
          <w:highlight w:val="none"/>
        </w:rPr>
        <w:t>工程质量保修书由发包人、承包人在工程竣工验收前共同签署，作为施工合同附件，其有效期限至保修期满。</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发包人(公章)：</w:t>
      </w:r>
      <w:r>
        <w:rPr>
          <w:rFonts w:ascii="宋体" w:hAnsi="宋体"/>
          <w:snapToGrid w:val="0"/>
          <w:color w:val="auto"/>
          <w:kern w:val="0"/>
          <w:szCs w:val="21"/>
          <w:highlight w:val="none"/>
          <w:u w:val="single"/>
        </w:rPr>
        <w:t xml:space="preserve"> </w:t>
      </w:r>
      <w:bookmarkStart w:id="1003" w:name="SOA_zyht_fb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bookmarkEnd w:id="1003"/>
      <w:r>
        <w:rPr>
          <w:rFonts w:ascii="宋体" w:hAnsi="宋体"/>
          <w:snapToGrid w:val="0"/>
          <w:color w:val="auto"/>
          <w:kern w:val="0"/>
          <w:szCs w:val="21"/>
          <w:highlight w:val="none"/>
          <w:u w:val="single"/>
        </w:rPr>
        <w:t></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承包人(公章)：</w:t>
      </w:r>
      <w:r>
        <w:rPr>
          <w:rFonts w:ascii="宋体" w:hAnsi="宋体"/>
          <w:snapToGrid w:val="0"/>
          <w:color w:val="auto"/>
          <w:kern w:val="0"/>
          <w:szCs w:val="21"/>
          <w:highlight w:val="none"/>
          <w:u w:val="single"/>
        </w:rPr>
        <w:t></w:t>
      </w:r>
      <w:bookmarkStart w:id="1004" w:name="SOA_zyht_cb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bookmarkEnd w:id="1004"/>
      <w:r>
        <w:rPr>
          <w:rFonts w:hint="eastAsia" w:ascii="宋体" w:hAnsi="宋体"/>
          <w:snapToGrid w:val="0"/>
          <w:color w:val="auto"/>
          <w:kern w:val="0"/>
          <w:szCs w:val="21"/>
          <w:highlight w:val="none"/>
          <w:u w:val="single"/>
        </w:rPr>
        <w:t xml:space="preserve">  </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地  址：</w:t>
      </w:r>
      <w:r>
        <w:rPr>
          <w:rFonts w:ascii="宋体" w:hAnsi="宋体"/>
          <w:snapToGrid w:val="0"/>
          <w:color w:val="auto"/>
          <w:kern w:val="0"/>
          <w:szCs w:val="21"/>
          <w:highlight w:val="none"/>
          <w:u w:val="single"/>
        </w:rPr>
        <w:t xml:space="preserve"> </w:t>
      </w:r>
      <w:bookmarkStart w:id="1005" w:name="SOA_zyht_fbrdz"/>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bookmarkEnd w:id="1005"/>
      <w:r>
        <w:rPr>
          <w:rFonts w:ascii="宋体" w:hAnsi="宋体"/>
          <w:snapToGrid w:val="0"/>
          <w:color w:val="auto"/>
          <w:kern w:val="0"/>
          <w:szCs w:val="21"/>
          <w:highlight w:val="none"/>
          <w:u w:val="single"/>
        </w:rPr>
        <w:t></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地  址：</w:t>
      </w:r>
      <w:r>
        <w:rPr>
          <w:rFonts w:ascii="宋体" w:hAnsi="宋体"/>
          <w:snapToGrid w:val="0"/>
          <w:color w:val="auto"/>
          <w:kern w:val="0"/>
          <w:szCs w:val="21"/>
          <w:highlight w:val="none"/>
          <w:u w:val="single"/>
        </w:rPr>
        <w:t></w:t>
      </w:r>
      <w:bookmarkStart w:id="1006" w:name="SOA_zyht_cbrdz"/>
      <w:r>
        <w:rPr>
          <w:rFonts w:ascii="宋体" w:hAnsi="宋体"/>
          <w:snapToGrid w:val="0"/>
          <w:color w:val="auto"/>
          <w:kern w:val="0"/>
          <w:szCs w:val="21"/>
          <w:highlight w:val="none"/>
          <w:u w:val="single"/>
        </w:rPr>
        <w:t xml:space="preserve">      </w:t>
      </w:r>
      <w:bookmarkEnd w:id="1006"/>
      <w:r>
        <w:rPr>
          <w:rFonts w:ascii="宋体" w:hAnsi="宋体"/>
          <w:snapToGrid w:val="0"/>
          <w:color w:val="auto"/>
          <w:kern w:val="0"/>
          <w:szCs w:val="21"/>
          <w:highlight w:val="none"/>
          <w:u w:val="single"/>
        </w:rPr>
        <w:t></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法定代表人(签字)：</w:t>
      </w:r>
      <w:bookmarkStart w:id="1007" w:name="SOA_zyht_fddbr1"/>
      <w:r>
        <w:rPr>
          <w:rFonts w:ascii="宋体" w:hAnsi="宋体"/>
          <w:snapToGrid w:val="0"/>
          <w:color w:val="auto"/>
          <w:kern w:val="0"/>
          <w:szCs w:val="21"/>
          <w:highlight w:val="none"/>
          <w:u w:val="single"/>
        </w:rPr>
        <w:t xml:space="preserve">      </w:t>
      </w:r>
      <w:bookmarkEnd w:id="1007"/>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法定代表人(签字)：</w:t>
      </w:r>
      <w:bookmarkStart w:id="1008" w:name="SOA_zyht_fddbr2"/>
      <w:r>
        <w:rPr>
          <w:rFonts w:ascii="宋体" w:hAnsi="宋体"/>
          <w:snapToGrid w:val="0"/>
          <w:color w:val="auto"/>
          <w:kern w:val="0"/>
          <w:szCs w:val="21"/>
          <w:highlight w:val="none"/>
          <w:u w:val="single"/>
        </w:rPr>
        <w:t xml:space="preserve">      </w:t>
      </w:r>
      <w:bookmarkEnd w:id="1008"/>
      <w:r>
        <w:rPr>
          <w:rFonts w:hint="eastAsia" w:ascii="宋体" w:hAnsi="宋体"/>
          <w:snapToGrid w:val="0"/>
          <w:color w:val="auto"/>
          <w:kern w:val="0"/>
          <w:szCs w:val="21"/>
          <w:highlight w:val="none"/>
          <w:u w:val="single"/>
        </w:rPr>
        <w:t xml:space="preserve">  </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委托代理人(签字)：</w:t>
      </w:r>
      <w:bookmarkStart w:id="1009" w:name="SOA_zyht_wtdlr1"/>
      <w:r>
        <w:rPr>
          <w:rFonts w:ascii="宋体" w:hAnsi="宋体"/>
          <w:snapToGrid w:val="0"/>
          <w:color w:val="auto"/>
          <w:kern w:val="0"/>
          <w:szCs w:val="21"/>
          <w:highlight w:val="none"/>
          <w:u w:val="single"/>
        </w:rPr>
        <w:t xml:space="preserve">      </w:t>
      </w:r>
      <w:bookmarkEnd w:id="1009"/>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委托代理人(签字)：</w:t>
      </w:r>
      <w:bookmarkStart w:id="1010" w:name="SOA_zyht_wtdlr2"/>
      <w:r>
        <w:rPr>
          <w:rFonts w:ascii="宋体" w:hAnsi="宋体"/>
          <w:snapToGrid w:val="0"/>
          <w:color w:val="auto"/>
          <w:kern w:val="0"/>
          <w:szCs w:val="21"/>
          <w:highlight w:val="none"/>
          <w:u w:val="single"/>
        </w:rPr>
        <w:t xml:space="preserve">      </w:t>
      </w:r>
      <w:bookmarkEnd w:id="1010"/>
      <w:r>
        <w:rPr>
          <w:rFonts w:hint="eastAsia" w:ascii="宋体" w:hAnsi="宋体"/>
          <w:snapToGrid w:val="0"/>
          <w:color w:val="auto"/>
          <w:kern w:val="0"/>
          <w:szCs w:val="21"/>
          <w:highlight w:val="none"/>
          <w:u w:val="single"/>
        </w:rPr>
        <w:t xml:space="preserve">  </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w:t>
      </w:r>
      <w:bookmarkStart w:id="1011" w:name="SOA_zyht_fbrdh1"/>
      <w:r>
        <w:rPr>
          <w:rFonts w:ascii="宋体" w:hAnsi="宋体"/>
          <w:snapToGrid w:val="0"/>
          <w:color w:val="auto"/>
          <w:kern w:val="0"/>
          <w:szCs w:val="21"/>
          <w:highlight w:val="none"/>
          <w:u w:val="single"/>
        </w:rPr>
        <w:t xml:space="preserve">      </w:t>
      </w:r>
      <w:bookmarkEnd w:id="1011"/>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w:t>
      </w:r>
      <w:bookmarkStart w:id="1012" w:name="SOA_zyht_cbrdh"/>
      <w:r>
        <w:rPr>
          <w:rFonts w:ascii="宋体" w:hAnsi="宋体"/>
          <w:snapToGrid w:val="0"/>
          <w:color w:val="auto"/>
          <w:kern w:val="0"/>
          <w:szCs w:val="21"/>
          <w:highlight w:val="none"/>
          <w:u w:val="single"/>
        </w:rPr>
        <w:t xml:space="preserve">      </w:t>
      </w:r>
      <w:bookmarkEnd w:id="1012"/>
      <w:r>
        <w:rPr>
          <w:rFonts w:ascii="宋体" w:hAnsi="宋体"/>
          <w:snapToGrid w:val="0"/>
          <w:color w:val="auto"/>
          <w:kern w:val="0"/>
          <w:szCs w:val="21"/>
          <w:highlight w:val="none"/>
          <w:u w:val="single"/>
        </w:rPr>
        <w:t xml:space="preserve"> </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传  真：</w:t>
      </w:r>
      <w:r>
        <w:rPr>
          <w:rFonts w:hint="eastAsia" w:ascii="宋体" w:hAnsi="宋体"/>
          <w:snapToGrid w:val="0"/>
          <w:color w:val="auto"/>
          <w:kern w:val="0"/>
          <w:szCs w:val="21"/>
          <w:highlight w:val="none"/>
          <w:u w:val="single"/>
        </w:rPr>
        <w:t xml:space="preserve">  </w:t>
      </w:r>
      <w:bookmarkStart w:id="1013" w:name="SOA_zyht_fbrcz"/>
      <w:r>
        <w:rPr>
          <w:rFonts w:ascii="宋体" w:hAnsi="宋体"/>
          <w:snapToGrid w:val="0"/>
          <w:color w:val="auto"/>
          <w:kern w:val="0"/>
          <w:szCs w:val="21"/>
          <w:highlight w:val="none"/>
          <w:u w:val="single"/>
        </w:rPr>
        <w:t xml:space="preserve">      </w:t>
      </w:r>
      <w:bookmarkEnd w:id="1013"/>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传  真：</w:t>
      </w:r>
      <w:r>
        <w:rPr>
          <w:rFonts w:ascii="宋体" w:hAnsi="宋体"/>
          <w:snapToGrid w:val="0"/>
          <w:color w:val="auto"/>
          <w:kern w:val="0"/>
          <w:szCs w:val="21"/>
          <w:highlight w:val="none"/>
          <w:u w:val="single"/>
        </w:rPr>
        <w:t></w:t>
      </w:r>
      <w:bookmarkStart w:id="1014" w:name="SOA_zyht_cbrcz"/>
      <w:r>
        <w:rPr>
          <w:rFonts w:ascii="宋体" w:hAnsi="宋体"/>
          <w:snapToGrid w:val="0"/>
          <w:color w:val="auto"/>
          <w:kern w:val="0"/>
          <w:szCs w:val="21"/>
          <w:highlight w:val="none"/>
          <w:u w:val="single"/>
        </w:rPr>
        <w:t xml:space="preserve">      </w:t>
      </w:r>
      <w:bookmarkEnd w:id="1014"/>
      <w:r>
        <w:rPr>
          <w:rFonts w:ascii="宋体" w:hAnsi="宋体"/>
          <w:snapToGrid w:val="0"/>
          <w:color w:val="auto"/>
          <w:kern w:val="0"/>
          <w:szCs w:val="21"/>
          <w:highlight w:val="none"/>
          <w:u w:val="single"/>
        </w:rPr>
        <w:t></w:t>
      </w:r>
      <w:r>
        <w:rPr>
          <w:rFonts w:hint="eastAsia" w:ascii="宋体" w:hAnsi="宋体"/>
          <w:snapToGrid w:val="0"/>
          <w:color w:val="auto"/>
          <w:kern w:val="0"/>
          <w:szCs w:val="21"/>
          <w:highlight w:val="none"/>
          <w:u w:val="single"/>
        </w:rPr>
        <w:t xml:space="preserve"> </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开户银行：</w:t>
      </w:r>
      <w:bookmarkStart w:id="1015" w:name="SOA_zyht_fbrkhyh"/>
      <w:r>
        <w:rPr>
          <w:rFonts w:ascii="宋体" w:hAnsi="宋体"/>
          <w:snapToGrid w:val="0"/>
          <w:color w:val="auto"/>
          <w:kern w:val="0"/>
          <w:szCs w:val="21"/>
          <w:highlight w:val="none"/>
          <w:u w:val="single"/>
        </w:rPr>
        <w:t xml:space="preserve">      </w:t>
      </w:r>
      <w:bookmarkEnd w:id="1015"/>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开户银行：</w:t>
      </w:r>
      <w:bookmarkStart w:id="1016" w:name="SOA_zyht_cbrkhyh"/>
      <w:r>
        <w:rPr>
          <w:rFonts w:ascii="宋体" w:hAnsi="宋体"/>
          <w:snapToGrid w:val="0"/>
          <w:color w:val="auto"/>
          <w:kern w:val="0"/>
          <w:szCs w:val="21"/>
          <w:highlight w:val="none"/>
          <w:u w:val="single"/>
        </w:rPr>
        <w:t xml:space="preserve">      </w:t>
      </w:r>
      <w:bookmarkEnd w:id="1016"/>
      <w:r>
        <w:rPr>
          <w:rFonts w:hint="eastAsia" w:ascii="宋体" w:hAnsi="宋体"/>
          <w:snapToGrid w:val="0"/>
          <w:color w:val="auto"/>
          <w:kern w:val="0"/>
          <w:szCs w:val="21"/>
          <w:highlight w:val="none"/>
          <w:u w:val="single"/>
        </w:rPr>
        <w:t xml:space="preserve">  </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账  号：</w:t>
      </w:r>
      <w:r>
        <w:rPr>
          <w:rFonts w:ascii="宋体" w:hAnsi="宋体"/>
          <w:snapToGrid w:val="0"/>
          <w:color w:val="auto"/>
          <w:kern w:val="0"/>
          <w:szCs w:val="21"/>
          <w:highlight w:val="none"/>
          <w:u w:val="single"/>
        </w:rPr>
        <w:t></w:t>
      </w:r>
      <w:bookmarkStart w:id="1017" w:name="SOA_zyht_fbrzh"/>
      <w:r>
        <w:rPr>
          <w:rFonts w:ascii="宋体" w:hAnsi="宋体"/>
          <w:snapToGrid w:val="0"/>
          <w:color w:val="auto"/>
          <w:kern w:val="0"/>
          <w:szCs w:val="21"/>
          <w:highlight w:val="none"/>
          <w:u w:val="single"/>
        </w:rPr>
        <w:t xml:space="preserve">      </w:t>
      </w:r>
      <w:bookmarkEnd w:id="1017"/>
      <w:r>
        <w:rPr>
          <w:rFonts w:ascii="宋体" w:hAnsi="宋体"/>
          <w:snapToGrid w:val="0"/>
          <w:color w:val="auto"/>
          <w:kern w:val="0"/>
          <w:szCs w:val="21"/>
          <w:highlight w:val="none"/>
          <w:u w:val="single"/>
        </w:rPr>
        <w:t></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账</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 xml:space="preserve"> 号：</w:t>
      </w:r>
      <w:r>
        <w:rPr>
          <w:rFonts w:ascii="宋体" w:hAnsi="宋体"/>
          <w:snapToGrid w:val="0"/>
          <w:color w:val="auto"/>
          <w:kern w:val="0"/>
          <w:szCs w:val="21"/>
          <w:highlight w:val="none"/>
          <w:u w:val="single"/>
        </w:rPr>
        <w:t></w:t>
      </w:r>
      <w:bookmarkStart w:id="1018" w:name="SOA_zyht_cbrzh"/>
      <w:r>
        <w:rPr>
          <w:rFonts w:ascii="宋体" w:hAnsi="宋体"/>
          <w:snapToGrid w:val="0"/>
          <w:color w:val="auto"/>
          <w:kern w:val="0"/>
          <w:szCs w:val="21"/>
          <w:highlight w:val="none"/>
          <w:u w:val="single"/>
        </w:rPr>
        <w:t xml:space="preserve">      </w:t>
      </w:r>
      <w:bookmarkEnd w:id="1018"/>
      <w:r>
        <w:rPr>
          <w:rFonts w:hint="eastAsia" w:ascii="宋体" w:hAnsi="宋体"/>
          <w:snapToGrid w:val="0"/>
          <w:color w:val="auto"/>
          <w:kern w:val="0"/>
          <w:szCs w:val="21"/>
          <w:highlight w:val="none"/>
          <w:u w:val="single"/>
        </w:rPr>
        <w:t xml:space="preserve">  </w:t>
      </w:r>
    </w:p>
    <w:p>
      <w:pPr>
        <w:adjustRightInd/>
        <w:spacing w:line="300" w:lineRule="auto"/>
        <w:rPr>
          <w:rFonts w:ascii="宋体" w:hAnsi="宋体"/>
          <w:snapToGrid w:val="0"/>
          <w:color w:val="auto"/>
          <w:kern w:val="0"/>
          <w:szCs w:val="21"/>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bookmarkStart w:id="1019" w:name="SOA_zyht_fbryb"/>
      <w:r>
        <w:rPr>
          <w:rFonts w:ascii="宋体" w:hAnsi="宋体"/>
          <w:snapToGrid w:val="0"/>
          <w:color w:val="auto"/>
          <w:kern w:val="0"/>
          <w:szCs w:val="21"/>
          <w:highlight w:val="none"/>
          <w:u w:val="single"/>
        </w:rPr>
        <w:t xml:space="preserve">      </w:t>
      </w:r>
      <w:bookmarkEnd w:id="1019"/>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w:t>
      </w:r>
      <w:bookmarkStart w:id="1020" w:name="SOA_zyht_cbryb"/>
      <w:r>
        <w:rPr>
          <w:rFonts w:ascii="宋体" w:hAnsi="宋体"/>
          <w:snapToGrid w:val="0"/>
          <w:color w:val="auto"/>
          <w:kern w:val="0"/>
          <w:szCs w:val="21"/>
          <w:highlight w:val="none"/>
          <w:u w:val="single"/>
        </w:rPr>
        <w:t xml:space="preserve">     </w:t>
      </w:r>
      <w:bookmarkEnd w:id="1020"/>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w:t>
      </w:r>
    </w:p>
    <w:p>
      <w:pPr>
        <w:spacing w:line="480" w:lineRule="auto"/>
        <w:jc w:val="center"/>
        <w:rPr>
          <w:rFonts w:ascii="宋体" w:hAnsi="宋体" w:cs="宋体"/>
          <w:b/>
          <w:color w:val="auto"/>
          <w:sz w:val="28"/>
          <w:szCs w:val="28"/>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sectPr>
          <w:headerReference r:id="rId8" w:type="first"/>
          <w:footerReference r:id="rId10" w:type="first"/>
          <w:footerReference r:id="rId9" w:type="default"/>
          <w:pgSz w:w="11906" w:h="16838"/>
          <w:pgMar w:top="1440" w:right="1080" w:bottom="1440" w:left="1080" w:header="851" w:footer="992" w:gutter="0"/>
          <w:cols w:space="720" w:num="1"/>
          <w:titlePg/>
          <w:docGrid w:linePitch="312" w:charSpace="0"/>
        </w:sectPr>
      </w:pPr>
    </w:p>
    <w:p>
      <w:pPr>
        <w:snapToGrid w:val="0"/>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7"/>
      <w:r>
        <w:rPr>
          <w:rFonts w:hint="eastAsia" w:ascii="宋体" w:hAnsi="宋体" w:cs="宋体"/>
          <w:b/>
          <w:color w:val="auto"/>
          <w:sz w:val="36"/>
          <w:szCs w:val="20"/>
          <w:highlight w:val="none"/>
        </w:rPr>
        <w:t xml:space="preserve"> </w:t>
      </w:r>
      <w:bookmarkEnd w:id="398"/>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0000FF"/>
          <w:sz w:val="24"/>
          <w:highlight w:val="none"/>
        </w:rPr>
        <w:t>（项目名称）【项目编号：（采购编号）】</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[以联合体形式参与的，提供联合协议（附件5）；本项目不接受联合体或者供应商不以联合体形式投参与的，则不需要提供]</w:t>
      </w:r>
    </w:p>
    <w:p>
      <w:pP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pStyle w:val="2"/>
        <w:ind w:left="0" w:leftChars="0" w:firstLine="0" w:firstLineChars="0"/>
        <w:jc w:val="center"/>
        <w:rPr>
          <w:rFonts w:hint="eastAsia" w:ascii="宋体" w:hAnsi="宋体" w:eastAsia="宋体" w:cs="宋体"/>
          <w:b/>
          <w:color w:val="auto"/>
          <w:kern w:val="0"/>
          <w:sz w:val="30"/>
          <w:szCs w:val="30"/>
          <w:highlight w:val="none"/>
          <w:lang w:val="en-US" w:eastAsia="zh-CN" w:bidi="ar-SA"/>
        </w:rPr>
      </w:pPr>
      <w:r>
        <w:rPr>
          <w:rFonts w:hint="eastAsia" w:ascii="宋体" w:hAnsi="宋体" w:eastAsia="宋体" w:cs="宋体"/>
          <w:b/>
          <w:color w:val="auto"/>
          <w:kern w:val="0"/>
          <w:sz w:val="30"/>
          <w:szCs w:val="30"/>
          <w:highlight w:val="none"/>
          <w:lang w:val="en-US" w:eastAsia="zh-CN" w:bidi="ar-SA"/>
        </w:rPr>
        <w:t>（本项目工程全部由符合政策要求的小微企业承接，提供中小企业声明函）</w:t>
      </w:r>
    </w:p>
    <w:p>
      <w:pPr>
        <w:spacing w:line="360" w:lineRule="auto"/>
        <w:rPr>
          <w:rFonts w:hint="eastAsia"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.专门面向中小企业，工程全部由符合政策要求的中小企业（或小微企业）承建的，提供相应的中小企业声明函（附件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），联合协议中中小企业合同金额应当达到竞争性磋商公告载明的比例；如果供应商本身提供所有标的均由中小企业承建的，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），分包意向协议中中小企业合同金额应当达到竞争性磋商公告载明的比例；如果供应商本身提供所有标的均由中小企业承建，</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pStyle w:val="2"/>
        <w:rPr>
          <w:rFonts w:ascii="宋体" w:hAnsi="宋体" w:cs="宋体"/>
          <w:b/>
          <w:color w:val="auto"/>
          <w:kern w:val="0"/>
          <w:sz w:val="32"/>
          <w:szCs w:val="32"/>
          <w:highlight w:val="none"/>
        </w:rPr>
      </w:pPr>
    </w:p>
    <w:p>
      <w:pPr>
        <w:pStyle w:val="2"/>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0000FF"/>
          <w:sz w:val="24"/>
          <w:highlight w:val="none"/>
        </w:rPr>
      </w:pPr>
      <w:r>
        <w:rPr>
          <w:rFonts w:hint="eastAsia" w:ascii="宋体" w:hAnsi="宋体" w:cs="宋体"/>
          <w:b/>
          <w:bCs/>
          <w:color w:val="auto"/>
          <w:sz w:val="24"/>
          <w:highlight w:val="none"/>
          <w:lang w:eastAsia="zh-CN"/>
        </w:rPr>
        <w:t>提供二级及以上建筑装修装饰工程专业承包资质</w:t>
      </w:r>
      <w:r>
        <w:rPr>
          <w:rFonts w:hint="eastAsia" w:ascii="宋体" w:hAnsi="宋体" w:cs="宋体"/>
          <w:color w:val="auto"/>
          <w:sz w:val="24"/>
          <w:highlight w:val="none"/>
        </w:rPr>
        <w:t>。</w:t>
      </w:r>
    </w:p>
    <w:p>
      <w:pPr>
        <w:rPr>
          <w:rFonts w:ascii="宋体" w:hAnsi="宋体" w:cs="宋体"/>
          <w:color w:val="0000FF"/>
          <w:highlight w:val="none"/>
        </w:rPr>
      </w:pPr>
    </w:p>
    <w:p>
      <w:pPr>
        <w:snapToGrid w:val="0"/>
        <w:spacing w:line="360" w:lineRule="auto"/>
        <w:ind w:right="480"/>
        <w:jc w:val="center"/>
        <w:rPr>
          <w:rFonts w:ascii="宋体" w:hAnsi="宋体" w:cs="宋体"/>
          <w:b/>
          <w:color w:val="0000FF"/>
          <w:kern w:val="0"/>
          <w:sz w:val="32"/>
          <w:szCs w:val="32"/>
          <w:highlight w:val="none"/>
        </w:rPr>
        <w:sectPr>
          <w:pgSz w:w="11906" w:h="16838"/>
          <w:pgMar w:top="1440" w:right="1080" w:bottom="1440" w:left="1080" w:header="851" w:footer="992" w:gutter="0"/>
          <w:cols w:space="720" w:num="1"/>
          <w:titlePg/>
          <w:docGrid w:linePitch="312" w:charSpace="0"/>
        </w:sectPr>
      </w:pPr>
    </w:p>
    <w:p>
      <w:pPr>
        <w:pStyle w:val="5"/>
        <w:rPr>
          <w:rFonts w:ascii="宋体" w:hAnsi="宋体" w:cs="宋体"/>
          <w:b w:val="0"/>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numPr>
          <w:ilvl w:val="255"/>
          <w:numId w:val="0"/>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响应函……………………………………………………………………………（页码）</w:t>
      </w:r>
    </w:p>
    <w:p>
      <w:pPr>
        <w:numPr>
          <w:ilvl w:val="255"/>
          <w:numId w:val="0"/>
        </w:num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2）授权委托书或法定代表人（单位负责人、自然人本人）身份证明</w:t>
      </w:r>
      <w:r>
        <w:rPr>
          <w:rFonts w:hint="eastAsia" w:ascii="宋体" w:hAnsi="宋体" w:cs="宋体"/>
          <w:color w:val="auto"/>
          <w:sz w:val="24"/>
          <w:highlight w:val="none"/>
        </w:rPr>
        <w:t>……………（页码）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）评审标准相应的商务技术资料……………………………………………………（页码）（</w:t>
      </w:r>
      <w:r>
        <w:rPr>
          <w:rFonts w:ascii="宋体" w:hAnsi="宋体" w:cs="宋体"/>
          <w:color w:val="auto"/>
          <w:sz w:val="24"/>
          <w:highlight w:val="none"/>
        </w:rPr>
        <w:t>6</w:t>
      </w:r>
      <w:r>
        <w:rPr>
          <w:rFonts w:hint="eastAsia" w:ascii="宋体" w:hAnsi="宋体" w:cs="宋体"/>
          <w:color w:val="auto"/>
          <w:sz w:val="24"/>
          <w:highlight w:val="none"/>
        </w:rPr>
        <w:t>）商务技术偏离表……………………………………………………………………（页码）</w:t>
      </w:r>
    </w:p>
    <w:p>
      <w:pP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lang w:val="zh-CN"/>
        </w:rPr>
        <w:t>（</w:t>
      </w:r>
      <w:r>
        <w:rPr>
          <w:rFonts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rPr>
        <w:t>…………………………………………………（页码）</w:t>
      </w:r>
    </w:p>
    <w:p>
      <w:pPr>
        <w:snapToGrid w:val="0"/>
        <w:spacing w:line="360" w:lineRule="auto"/>
        <w:jc w:val="center"/>
        <w:rPr>
          <w:rFonts w:ascii="宋体" w:hAnsi="宋体" w:cs="宋体"/>
          <w:b/>
          <w:color w:val="auto"/>
          <w:kern w:val="0"/>
          <w:sz w:val="24"/>
          <w:szCs w:val="32"/>
          <w:highlight w:val="none"/>
          <w:lang w:val="zh-CN"/>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一、响应函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0000FF"/>
          <w:sz w:val="24"/>
          <w:highlight w:val="none"/>
        </w:rPr>
        <w:t>（项目名称）【项目编号：（采购编号）】</w:t>
      </w:r>
      <w:r>
        <w:rPr>
          <w:rFonts w:hint="eastAsia" w:ascii="宋体" w:hAnsi="宋体" w:cs="宋体"/>
          <w:color w:val="auto"/>
          <w:sz w:val="24"/>
          <w:highlight w:val="none"/>
        </w:rPr>
        <w:t>采购的有关活动，并对此项目提交响应文件及报价。为此：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1、我方承诺响应文件有效期从提交响应文件的截止之日起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本响应文件在响应文件有效期满之前均具有约束力。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2、我方的响应文件包括以下内容：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2.2.1响应函；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评审标准相应的商务技术资料；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2.3.1报价单；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2.3.2已标价工程量清单；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2.3.3中小企业声明函（如果有）。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3、我方承诺除商务技术偏离表列出的偏离外，我方响应采购文件的全部要求。对投标文件中材料的真实性、合法性负责。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4、如我方成交，我方承诺：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4.3按照采购文件要求提交履约保证金；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供应商名称（电子签名）：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授权委托书（适用于非联合体</w:t>
      </w:r>
      <w:r>
        <w:rPr>
          <w:rFonts w:hint="eastAsia" w:ascii="宋体" w:hAnsi="宋体" w:cs="宋体"/>
          <w:b/>
          <w:bCs/>
          <w:color w:val="auto"/>
          <w:sz w:val="32"/>
          <w:szCs w:val="32"/>
          <w:highlight w:val="none"/>
        </w:rPr>
        <w:t>响应</w:t>
      </w:r>
      <w:r>
        <w:rPr>
          <w:rFonts w:hint="eastAsia" w:ascii="宋体" w:hAnsi="宋体" w:cs="宋体"/>
          <w:b/>
          <w:bCs/>
          <w:color w:val="auto"/>
          <w:sz w:val="32"/>
          <w:szCs w:val="32"/>
          <w:highlight w:val="none"/>
          <w:lang w:val="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0000FF"/>
          <w:sz w:val="24"/>
          <w:highlight w:val="none"/>
        </w:rPr>
        <w:t>（项目名称）【项目编号：（采购编号）】</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授权委托书（适用于联合体</w:t>
      </w:r>
      <w:r>
        <w:rPr>
          <w:rFonts w:hint="eastAsia" w:ascii="宋体" w:hAnsi="宋体" w:cs="宋体"/>
          <w:b/>
          <w:bCs/>
          <w:color w:val="auto"/>
          <w:sz w:val="32"/>
          <w:szCs w:val="32"/>
          <w:highlight w:val="none"/>
        </w:rPr>
        <w:t>响应</w:t>
      </w:r>
      <w:r>
        <w:rPr>
          <w:rFonts w:hint="eastAsia" w:ascii="宋体" w:hAnsi="宋体" w:cs="宋体"/>
          <w:b/>
          <w:bCs/>
          <w:color w:val="auto"/>
          <w:sz w:val="32"/>
          <w:szCs w:val="32"/>
          <w:highlight w:val="none"/>
          <w:lang w:val="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0000FF"/>
          <w:sz w:val="24"/>
          <w:highlight w:val="none"/>
        </w:rPr>
        <w:t>（项目名称）【项目编号：（采购编号）】</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jc w:val="center"/>
        <w:rPr>
          <w:rFonts w:hint="eastAsia" w:ascii="宋体" w:hAnsi="宋体" w:cs="宋体"/>
          <w:b/>
          <w:bCs/>
          <w:color w:val="auto"/>
          <w:sz w:val="32"/>
          <w:szCs w:val="32"/>
          <w:highlight w:val="none"/>
          <w:lang w:val="zh-CN"/>
        </w:rPr>
      </w:pPr>
    </w:p>
    <w:p>
      <w:pPr>
        <w:snapToGrid w:val="0"/>
        <w:jc w:val="center"/>
        <w:rPr>
          <w:rFonts w:hint="eastAsia" w:ascii="宋体" w:hAnsi="宋体" w:cs="宋体"/>
          <w:b/>
          <w:bCs/>
          <w:color w:val="auto"/>
          <w:sz w:val="32"/>
          <w:szCs w:val="32"/>
          <w:highlight w:val="none"/>
          <w:lang w:val="zh-CN"/>
        </w:rPr>
      </w:pPr>
    </w:p>
    <w:p>
      <w:pPr>
        <w:snapToGrid w:val="0"/>
        <w:jc w:val="center"/>
        <w:rPr>
          <w:rFonts w:hint="eastAsia" w:ascii="宋体" w:hAnsi="宋体" w:cs="宋体"/>
          <w:b/>
          <w:bCs/>
          <w:color w:val="auto"/>
          <w:sz w:val="32"/>
          <w:szCs w:val="32"/>
          <w:highlight w:val="none"/>
          <w:lang w:val="zh-CN"/>
        </w:rPr>
      </w:pPr>
    </w:p>
    <w:p>
      <w:pPr>
        <w:snapToGrid w:val="0"/>
        <w:jc w:val="center"/>
        <w:rPr>
          <w:rFonts w:hint="eastAsia" w:ascii="宋体" w:hAnsi="宋体" w:cs="宋体"/>
          <w:b/>
          <w:bCs/>
          <w:color w:val="auto"/>
          <w:sz w:val="32"/>
          <w:szCs w:val="32"/>
          <w:highlight w:val="none"/>
          <w:lang w:val="zh-CN"/>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lang w:val="zh-CN"/>
        </w:rPr>
        <w:t>法定代表人、单位负责人或自然人本人</w:t>
      </w:r>
      <w:r>
        <w:rPr>
          <w:rFonts w:hint="eastAsia" w:ascii="宋体" w:hAnsi="宋体" w:cs="宋体"/>
          <w:b/>
          <w:bCs/>
          <w:color w:val="auto"/>
          <w:sz w:val="32"/>
          <w:szCs w:val="32"/>
          <w:highlight w:val="none"/>
        </w:rPr>
        <w:t>的身份证明（适用于法定代表人、单位负责人或者自然人本人代表供应商参加响应）</w:t>
      </w:r>
    </w:p>
    <w:p>
      <w:pPr>
        <w:pStyle w:val="150"/>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0"/>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三、分包意向协议</w:t>
      </w:r>
    </w:p>
    <w:p>
      <w:pPr>
        <w:widowControl/>
        <w:spacing w:line="360" w:lineRule="auto"/>
        <w:ind w:firstLine="120" w:firstLineChars="50"/>
        <w:jc w:val="left"/>
        <w:rPr>
          <w:rFonts w:ascii="宋体" w:hAnsi="宋体" w:cs="宋体"/>
          <w:color w:val="auto"/>
          <w:sz w:val="24"/>
          <w:highlight w:val="none"/>
        </w:rPr>
      </w:pPr>
      <w:bookmarkStart w:id="1021" w:name="_Hlk101169080"/>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；采购人不同意分包或者供应商成交后不以分包方式履行合同的，则不需要提供。</w:t>
      </w:r>
      <w:r>
        <w:rPr>
          <w:rFonts w:hint="eastAsia" w:ascii="宋体" w:hAnsi="宋体" w:cs="宋体"/>
          <w:color w:val="auto"/>
          <w:sz w:val="24"/>
          <w:highlight w:val="none"/>
        </w:rPr>
        <w:t>]</w:t>
      </w:r>
    </w:p>
    <w:bookmarkEnd w:id="1021"/>
    <w:p>
      <w:pPr>
        <w:snapToGrid w:val="0"/>
        <w:spacing w:line="360" w:lineRule="auto"/>
        <w:rPr>
          <w:rFonts w:ascii="宋体" w:hAnsi="宋体" w:cs="宋体"/>
          <w:color w:val="auto"/>
          <w:kern w:val="0"/>
          <w:sz w:val="24"/>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四、符合性审查资料</w:t>
      </w:r>
    </w:p>
    <w:p>
      <w:pPr>
        <w:jc w:val="center"/>
        <w:rPr>
          <w:rFonts w:ascii="宋体" w:hAnsi="宋体" w:cs="宋体"/>
          <w:b/>
          <w:color w:val="auto"/>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响应文件中的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响应文件按照采购文件要求签署、盖章。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需要使用电子签名或者签字盖章的响应文件的组成部分</w:t>
            </w:r>
          </w:p>
        </w:tc>
        <w:tc>
          <w:tcPr>
            <w:tcW w:w="1418" w:type="dxa"/>
            <w:vAlign w:val="center"/>
          </w:tcPr>
          <w:p>
            <w:pPr>
              <w:rPr>
                <w:rFonts w:ascii="宋体" w:hAnsi="宋体" w:cs="宋体"/>
                <w:color w:val="auto"/>
                <w:sz w:val="24"/>
                <w:highlight w:val="none"/>
              </w:rPr>
            </w:pPr>
            <w:r>
              <w:rPr>
                <w:rFonts w:hint="eastAsia" w:ascii="宋体" w:hAnsi="宋体" w:cs="宋体"/>
                <w:color w:val="auto"/>
                <w:sz w:val="24"/>
                <w:highlight w:val="none"/>
              </w:rPr>
              <w:t>见响应文件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c>
          <w:tcPr>
            <w:tcW w:w="1418" w:type="dxa"/>
            <w:vAlign w:val="center"/>
          </w:tcPr>
          <w:p>
            <w:pPr>
              <w:rPr>
                <w:rFonts w:ascii="宋体" w:hAnsi="宋体" w:cs="宋体"/>
                <w:color w:val="auto"/>
                <w:sz w:val="24"/>
                <w:highlight w:val="none"/>
              </w:rPr>
            </w:pPr>
            <w:r>
              <w:rPr>
                <w:rFonts w:hint="eastAsia" w:ascii="宋体" w:hAnsi="宋体" w:cs="宋体"/>
                <w:color w:val="auto"/>
                <w:sz w:val="24"/>
                <w:highlight w:val="none"/>
              </w:rPr>
              <w:t>见响应文件</w:t>
            </w:r>
          </w:p>
          <w:p>
            <w:pPr>
              <w:pStyle w:val="5"/>
              <w:jc w:val="both"/>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响应文件中承诺的响应文件有效期不少于采购文件中载明的响应文件有效期。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响应函</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4</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响应文件满足采购文件的其它实质性要求。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采购文件其它实质性要求相应的材料（“▲” 系指实质性要求条款，采购文件无其它实质性要求的，无需提供）</w:t>
            </w:r>
          </w:p>
        </w:tc>
        <w:tc>
          <w:tcPr>
            <w:tcW w:w="1418" w:type="dxa"/>
            <w:vAlign w:val="center"/>
          </w:tcPr>
          <w:p>
            <w:pP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五、评审标准相应的商务技术资料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（按采购文件第四部分评审办法前附表中“响应文件中评审标准相应的商务技术资料目录”提供资料。）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六、商务技术偏离表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采购文件章节及具体内容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响应文件章节及具体内容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供应商保证：除商务技术偏离表列出的偏离外，供应商响应采购文件的全部要求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sectPr>
          <w:footerReference r:id="rId12" w:type="first"/>
          <w:footerReference r:id="rId11" w:type="default"/>
          <w:pgSz w:w="11906" w:h="16838"/>
          <w:pgMar w:top="1440" w:right="1080" w:bottom="1440" w:left="1080" w:header="851" w:footer="992" w:gutter="0"/>
          <w:cols w:space="720" w:num="1"/>
          <w:titlePg/>
          <w:docGrid w:linePitch="312" w:charSpace="0"/>
        </w:sectPr>
      </w:pPr>
    </w:p>
    <w:p>
      <w:pPr>
        <w:snapToGrid w:val="0"/>
        <w:jc w:val="center"/>
        <w:rPr>
          <w:rFonts w:ascii="宋体" w:hAnsi="宋体" w:cs="宋体"/>
          <w:b/>
          <w:color w:val="auto"/>
          <w:kern w:val="0"/>
          <w:sz w:val="32"/>
          <w:szCs w:val="32"/>
          <w:highlight w:val="none"/>
        </w:rPr>
      </w:pPr>
      <w:r>
        <w:rPr>
          <w:rFonts w:hint="eastAsia" w:ascii="宋体" w:hAnsi="宋体" w:cs="宋体"/>
          <w:b/>
          <w:bCs/>
          <w:color w:val="auto"/>
          <w:sz w:val="32"/>
          <w:szCs w:val="32"/>
          <w:highlight w:val="none"/>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初始</w:t>
      </w:r>
      <w:r>
        <w:rPr>
          <w:rFonts w:hint="eastAsia" w:ascii="宋体" w:hAnsi="宋体" w:cs="宋体"/>
          <w:color w:val="auto"/>
          <w:sz w:val="24"/>
          <w:highlight w:val="none"/>
        </w:rPr>
        <w:t>报价单……………………………………………………………………（页码）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（2）已标价工程量清单……………………………………………………………（页码）</w:t>
      </w:r>
    </w:p>
    <w:p>
      <w:pPr>
        <w:snapToGrid w:val="0"/>
        <w:spacing w:line="360" w:lineRule="auto"/>
        <w:ind w:right="480"/>
        <w:jc w:val="both"/>
        <w:rPr>
          <w:rFonts w:ascii="宋体" w:hAnsi="宋体" w:cs="宋体"/>
          <w:b/>
          <w:color w:val="auto"/>
          <w:kern w:val="0"/>
          <w:sz w:val="32"/>
          <w:szCs w:val="32"/>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rPr>
        <w:t>报价情况说明</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footerReference r:id="rId15" w:type="first"/>
          <w:headerReference r:id="rId13" w:type="default"/>
          <w:footerReference r:id="rId14" w:type="default"/>
          <w:pgSz w:w="11906" w:h="16838"/>
          <w:pgMar w:top="1440" w:right="1080" w:bottom="1440" w:left="1080"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w:t>
      </w:r>
      <w:r>
        <w:rPr>
          <w:rFonts w:hint="eastAsia" w:ascii="宋体" w:hAnsi="宋体" w:eastAsia="宋体" w:cs="宋体"/>
          <w:color w:val="auto"/>
          <w:kern w:val="2"/>
          <w:sz w:val="32"/>
          <w:szCs w:val="32"/>
          <w:highlight w:val="none"/>
          <w:lang w:eastAsia="zh-CN"/>
        </w:rPr>
        <w:t>初始</w:t>
      </w:r>
      <w:r>
        <w:rPr>
          <w:rFonts w:hint="eastAsia" w:ascii="宋体" w:hAnsi="宋体" w:eastAsia="宋体" w:cs="宋体"/>
          <w:color w:val="auto"/>
          <w:kern w:val="2"/>
          <w:sz w:val="32"/>
          <w:szCs w:val="32"/>
          <w:highlight w:val="none"/>
        </w:rPr>
        <w:t>报价单</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按你方采购文件要求，我们，本响应文件签字方，谨此向你方发出要约如下：如你方接受本投标，我方承诺按照如下报价单的价格完成</w:t>
      </w:r>
      <w:r>
        <w:rPr>
          <w:rFonts w:hint="eastAsia" w:ascii="宋体" w:hAnsi="宋体" w:cs="宋体"/>
          <w:color w:val="0000FF"/>
          <w:sz w:val="24"/>
          <w:highlight w:val="none"/>
          <w:u w:val="single"/>
        </w:rPr>
        <w:t>（项目名称）</w:t>
      </w:r>
      <w:r>
        <w:rPr>
          <w:rFonts w:hint="eastAsia" w:ascii="宋体" w:hAnsi="宋体" w:cs="宋体"/>
          <w:color w:val="0000FF"/>
          <w:kern w:val="0"/>
          <w:sz w:val="24"/>
          <w:highlight w:val="none"/>
          <w:u w:val="single"/>
          <w:lang w:val="zh-CN"/>
        </w:rPr>
        <w:t>【项目编号：</w:t>
      </w:r>
      <w:r>
        <w:rPr>
          <w:rFonts w:hint="eastAsia" w:ascii="宋体" w:hAnsi="宋体" w:cs="宋体"/>
          <w:color w:val="0000FF"/>
          <w:sz w:val="24"/>
          <w:highlight w:val="none"/>
          <w:u w:val="single"/>
        </w:rPr>
        <w:t>（采购编号）】</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报价汇总单(单位均为人民币元)</w:t>
      </w:r>
    </w:p>
    <w:tbl>
      <w:tblPr>
        <w:tblStyle w:val="6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施工范围</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施工工期</w:t>
            </w:r>
          </w:p>
        </w:tc>
        <w:tc>
          <w:tcPr>
            <w:tcW w:w="255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项目经理</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执业证书信息</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2552"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后附报价工程量清单，各分项报价明细详见工程量清单。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w:t>
            </w:r>
            <w:r>
              <w:rPr>
                <w:rFonts w:hint="eastAsia" w:ascii="宋体" w:hAnsi="宋体" w:cs="宋体"/>
                <w:b/>
                <w:color w:val="auto"/>
                <w:sz w:val="24"/>
                <w:highlight w:val="none"/>
                <w:lang w:eastAsia="zh-CN"/>
              </w:rPr>
              <w:t>合计</w:t>
            </w:r>
            <w:r>
              <w:rPr>
                <w:rFonts w:hint="eastAsia" w:ascii="宋体" w:hAnsi="宋体" w:cs="宋体"/>
                <w:b/>
                <w:color w:val="auto"/>
                <w:sz w:val="24"/>
                <w:highlight w:val="none"/>
              </w:rPr>
              <w:t>（小写）</w:t>
            </w:r>
          </w:p>
        </w:tc>
        <w:tc>
          <w:tcPr>
            <w:tcW w:w="7655" w:type="dxa"/>
            <w:gridSpan w:val="3"/>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w:t>
            </w:r>
            <w:r>
              <w:rPr>
                <w:rFonts w:hint="eastAsia" w:ascii="宋体" w:hAnsi="宋体" w:cs="宋体"/>
                <w:b/>
                <w:color w:val="auto"/>
                <w:sz w:val="24"/>
                <w:highlight w:val="none"/>
                <w:lang w:eastAsia="zh-CN"/>
              </w:rPr>
              <w:t>合计</w:t>
            </w:r>
            <w:r>
              <w:rPr>
                <w:rFonts w:hint="eastAsia" w:ascii="宋体" w:hAnsi="宋体" w:cs="宋体"/>
                <w:b/>
                <w:color w:val="auto"/>
                <w:sz w:val="24"/>
                <w:highlight w:val="none"/>
              </w:rPr>
              <w:t>（大写）</w:t>
            </w:r>
          </w:p>
        </w:tc>
        <w:tc>
          <w:tcPr>
            <w:tcW w:w="7655" w:type="dxa"/>
            <w:gridSpan w:val="3"/>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响应文件含有采购人不能接受的附加条件，响应文件无效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采购内容未包含在《报价单》名称栏中，供应商不能作出合理解释的，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响应文件含有采购人不能接受的附加条件的，响应文件无效。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3、特别提示：采购机构将对项目名称和项目编号，成交供应商名称、地址和成交金额、施工范围、施工工期、项目经理、执业证书信息、品牌（如果有）、规格型号、数量、单价等予以公示。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40" w:right="1080" w:bottom="1440" w:left="1080" w:header="851" w:footer="992" w:gutter="0"/>
          <w:cols w:space="720" w:num="1"/>
          <w:titlePg/>
          <w:docGrid w:linePitch="312" w:charSpace="0"/>
        </w:sectPr>
      </w:pPr>
    </w:p>
    <w:p>
      <w:pPr>
        <w:pStyle w:val="694"/>
        <w:keepNext w:val="0"/>
        <w:pageBreakBefore w:val="0"/>
        <w:tabs>
          <w:tab w:val="clear" w:pos="720"/>
        </w:tabs>
        <w:snapToGrid w:val="0"/>
        <w:spacing w:before="120" w:after="120"/>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二、已标价工程量清单</w:t>
      </w:r>
    </w:p>
    <w:p>
      <w:pPr>
        <w:ind w:right="420" w:firstLine="960" w:firstLineChars="400"/>
        <w:rPr>
          <w:rFonts w:hint="eastAsia" w:ascii="宋体" w:hAnsi="宋体" w:cs="宋体"/>
          <w:color w:val="auto"/>
          <w:sz w:val="24"/>
          <w:highlight w:val="none"/>
        </w:rPr>
      </w:pPr>
    </w:p>
    <w:p>
      <w:pPr>
        <w:ind w:right="420" w:firstLine="960" w:firstLineChars="400"/>
        <w:rPr>
          <w:rFonts w:ascii="宋体" w:hAnsi="宋体" w:cs="宋体"/>
          <w:color w:val="auto"/>
          <w:sz w:val="24"/>
          <w:highlight w:val="none"/>
        </w:rPr>
      </w:pPr>
      <w:r>
        <w:rPr>
          <w:rFonts w:hint="eastAsia" w:ascii="宋体" w:hAnsi="宋体" w:cs="宋体"/>
          <w:color w:val="auto"/>
          <w:sz w:val="24"/>
          <w:highlight w:val="none"/>
        </w:rPr>
        <w:t>注：</w:t>
      </w:r>
      <w:r>
        <w:rPr>
          <w:rFonts w:hint="eastAsia" w:ascii="宋体" w:hAnsi="宋体" w:cs="宋体"/>
          <w:color w:val="auto"/>
          <w:sz w:val="24"/>
          <w:highlight w:val="none"/>
          <w:lang w:eastAsia="zh-CN"/>
        </w:rPr>
        <w:t>详见附件，投标按工程量清单要求进行编制投标报价。</w:t>
      </w:r>
    </w:p>
    <w:p>
      <w:pPr>
        <w:pStyle w:val="64"/>
        <w:ind w:firstLine="480"/>
        <w:rPr>
          <w:rFonts w:cs="宋体"/>
          <w:color w:val="auto"/>
          <w:sz w:val="24"/>
          <w:highlight w:val="none"/>
        </w:rPr>
      </w:pPr>
    </w:p>
    <w:p>
      <w:pPr>
        <w:pStyle w:val="64"/>
        <w:ind w:firstLine="480"/>
        <w:rPr>
          <w:rFonts w:cs="宋体"/>
          <w:color w:val="auto"/>
          <w:sz w:val="24"/>
          <w:highlight w:val="none"/>
        </w:rPr>
      </w:pPr>
    </w:p>
    <w:p>
      <w:pPr>
        <w:pStyle w:val="64"/>
        <w:ind w:firstLine="480"/>
        <w:rPr>
          <w:rFonts w:cs="宋体"/>
          <w:color w:val="auto"/>
          <w:sz w:val="24"/>
          <w:highlight w:val="none"/>
        </w:rPr>
      </w:pPr>
    </w:p>
    <w:p>
      <w:pPr>
        <w:pStyle w:val="64"/>
        <w:ind w:firstLine="480"/>
        <w:rPr>
          <w:rFonts w:cs="宋体"/>
          <w:color w:val="auto"/>
          <w:sz w:val="24"/>
          <w:highlight w:val="none"/>
        </w:rPr>
      </w:pPr>
    </w:p>
    <w:p>
      <w:pPr>
        <w:pStyle w:val="64"/>
        <w:ind w:firstLine="480"/>
        <w:rPr>
          <w:rFonts w:cs="宋体"/>
          <w:color w:val="auto"/>
          <w:sz w:val="24"/>
          <w:highlight w:val="none"/>
        </w:rPr>
      </w:pPr>
    </w:p>
    <w:p>
      <w:pPr>
        <w:pStyle w:val="64"/>
        <w:numPr>
          <w:ilvl w:val="-1"/>
          <w:numId w:val="0"/>
        </w:numPr>
        <w:ind w:left="0" w:leftChars="0" w:firstLine="0" w:firstLineChars="0"/>
        <w:jc w:val="center"/>
        <w:rPr>
          <w:rFonts w:hint="eastAsia" w:ascii="宋体" w:hAnsi="宋体" w:eastAsia="宋体" w:cs="宋体"/>
          <w:b/>
          <w:bCs w:val="0"/>
          <w:color w:val="auto"/>
          <w:sz w:val="32"/>
          <w:szCs w:val="32"/>
          <w:highlight w:val="none"/>
          <w:lang w:val="en-US"/>
        </w:rPr>
      </w:pPr>
      <w:r>
        <w:rPr>
          <w:rFonts w:hint="eastAsia" w:ascii="宋体" w:hAnsi="宋体" w:eastAsia="宋体" w:cs="宋体"/>
          <w:b/>
          <w:bCs w:val="0"/>
          <w:color w:val="auto"/>
          <w:sz w:val="32"/>
          <w:szCs w:val="32"/>
          <w:highlight w:val="none"/>
          <w:lang w:val="en-US" w:eastAsia="zh-CN"/>
        </w:rPr>
        <w:t>三、</w:t>
      </w:r>
      <w:r>
        <w:rPr>
          <w:rFonts w:hint="eastAsia" w:ascii="宋体" w:hAnsi="宋体" w:eastAsia="宋体" w:cs="宋体"/>
          <w:b/>
          <w:bCs w:val="0"/>
          <w:color w:val="auto"/>
          <w:sz w:val="32"/>
          <w:szCs w:val="32"/>
          <w:highlight w:val="none"/>
          <w:lang w:val="en-US"/>
        </w:rPr>
        <w:t>报价情况说明</w:t>
      </w:r>
    </w:p>
    <w:p>
      <w:pPr>
        <w:pStyle w:val="64"/>
        <w:numPr>
          <w:ilvl w:val="-1"/>
          <w:numId w:val="0"/>
        </w:numPr>
        <w:ind w:left="840" w:leftChars="400" w:firstLine="0" w:firstLineChars="0"/>
        <w:rPr>
          <w:rFonts w:hint="eastAsia" w:ascii="宋体" w:hAnsi="宋体" w:eastAsia="宋体" w:cs="宋体"/>
          <w:b/>
          <w:color w:val="auto"/>
          <w:sz w:val="32"/>
          <w:szCs w:val="32"/>
          <w:highlight w:val="none"/>
          <w:lang w:eastAsia="zh-CN"/>
        </w:rPr>
        <w:sectPr>
          <w:footerReference r:id="rId19" w:type="first"/>
          <w:headerReference r:id="rId16" w:type="default"/>
          <w:footerReference r:id="rId17" w:type="default"/>
          <w:footerReference r:id="rId18" w:type="even"/>
          <w:pgSz w:w="11906" w:h="16838"/>
          <w:pgMar w:top="1440" w:right="1080" w:bottom="1440" w:left="1080" w:header="851" w:footer="992" w:gutter="0"/>
          <w:cols w:space="720" w:num="1"/>
          <w:titlePg/>
          <w:docGrid w:linePitch="312" w:charSpace="0"/>
        </w:sectPr>
      </w:pPr>
      <w:r>
        <w:rPr>
          <w:rFonts w:hint="eastAsia" w:ascii="宋体" w:hAnsi="宋体" w:eastAsia="宋体" w:cs="宋体"/>
          <w:b/>
          <w:bCs w:val="0"/>
          <w:color w:val="auto"/>
          <w:sz w:val="32"/>
          <w:szCs w:val="32"/>
          <w:highlight w:val="none"/>
          <w:lang w:val="en-US"/>
        </w:rPr>
        <w:t>（如供应商报价低于项目预算50%的，应当提交本文档，详细阐述不影响产品质量或者诚信履约的具体原因）</w:t>
      </w: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1022" w:name="_Toc465665161"/>
      <w:r>
        <w:rPr>
          <w:rFonts w:hint="eastAsia" w:ascii="宋体" w:hAnsi="宋体" w:cs="宋体"/>
          <w:color w:val="auto"/>
          <w:highlight w:val="none"/>
        </w:rPr>
        <w:t>附件</w:t>
      </w:r>
      <w:bookmarkEnd w:id="1022"/>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1023" w:name="OLE_LINK13"/>
      <w:bookmarkStart w:id="1024" w:name="OLE_LINK14"/>
      <w:r>
        <w:rPr>
          <w:rFonts w:hint="eastAsia" w:ascii="宋体" w:hAnsi="宋体" w:cs="宋体"/>
          <w:b/>
          <w:color w:val="auto"/>
          <w:spacing w:val="6"/>
          <w:sz w:val="32"/>
          <w:szCs w:val="32"/>
          <w:highlight w:val="none"/>
        </w:rPr>
        <w:t>残疾人福利性单位声明函</w:t>
      </w:r>
    </w:p>
    <w:bookmarkEnd w:id="1023"/>
    <w:bookmarkEnd w:id="102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pStyle w:val="2"/>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(供应商全称)是中华人民共和国依法登记注册的合法企业，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0000FF"/>
          <w:sz w:val="24"/>
          <w:highlight w:val="none"/>
        </w:rPr>
        <w:t>（项目名称）项目【项目编号：（采购编号）】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供应商（法定名称章）：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highlight w:val="none"/>
        </w:rPr>
        <w:t>供应商</w:t>
      </w:r>
      <w:r>
        <w:rPr>
          <w:rFonts w:hint="eastAsia" w:ascii="宋体" w:hAnsi="宋体" w:cs="宋体"/>
          <w:color w:val="auto"/>
          <w:sz w:val="24"/>
          <w:highlight w:val="none"/>
        </w:rPr>
        <w:t>法定名称章（印模）                供应商“XX专用章”（印模）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（以联合体形式参与的，提供联合协议；本项目不接受联合体或者供应商不以联合体形式参与的，则不需要提供）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0000FF"/>
          <w:sz w:val="24"/>
          <w:highlight w:val="none"/>
        </w:rPr>
        <w:t>（项目名称）【项目编号：（采购编号）】</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授权代表根据采购文件规定及</w:t>
      </w:r>
      <w:r>
        <w:rPr>
          <w:rFonts w:hint="eastAsia" w:ascii="宋体" w:hAnsi="宋体" w:cs="宋体"/>
          <w:color w:val="auto"/>
          <w:kern w:val="0"/>
          <w:sz w:val="24"/>
          <w:highlight w:val="none"/>
        </w:rPr>
        <w:t>响应内容</w:t>
      </w:r>
      <w:r>
        <w:rPr>
          <w:rFonts w:hint="eastAsia" w:ascii="宋体" w:hAnsi="宋体" w:cs="宋体"/>
          <w:color w:val="auto"/>
          <w:kern w:val="0"/>
          <w:sz w:val="24"/>
          <w:highlight w:val="none"/>
          <w:lang w:val="zh-CN"/>
        </w:rPr>
        <w:t>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中，分工如下：</w:t>
      </w:r>
    </w:p>
    <w:p>
      <w:pPr>
        <w:snapToGrid w:val="0"/>
        <w:spacing w:line="360" w:lineRule="auto"/>
        <w:ind w:firstLine="576"/>
        <w:rPr>
          <w:rFonts w:ascii="宋体" w:hAnsi="宋体" w:cs="宋体"/>
          <w:color w:val="auto"/>
          <w:kern w:val="0"/>
          <w:sz w:val="24"/>
          <w:highlight w:val="none"/>
          <w:lang w:val="zh-CN"/>
        </w:rPr>
      </w:pPr>
      <w:bookmarkStart w:id="1025"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1025"/>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提供的全部工程由小微企业承建，其合同份额占到合同总金额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w:t>
      </w:r>
      <w:r>
        <w:rPr>
          <w:rFonts w:hint="eastAsia" w:ascii="宋体" w:hAnsi="宋体" w:cs="宋体"/>
          <w:b/>
          <w:color w:val="auto"/>
          <w:kern w:val="0"/>
          <w:sz w:val="24"/>
          <w:highlight w:val="none"/>
        </w:rPr>
        <w:t>磋商</w:t>
      </w:r>
      <w:r>
        <w:rPr>
          <w:rFonts w:hint="eastAsia" w:ascii="宋体" w:hAnsi="宋体" w:cs="宋体"/>
          <w:b/>
          <w:color w:val="auto"/>
          <w:kern w:val="0"/>
          <w:sz w:val="24"/>
          <w:highlight w:val="none"/>
          <w:lang w:val="zh-CN"/>
        </w:rPr>
        <w:t>的，联合协议约定小微企业的合同份额占到合同总金额30%以上的，对联合体报价给予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要求以联合体形式参加的项目或采购包，供应商按采购文件第一部分竞争性磋商公告申请人的资格要求中规定的联合协议中中小企业、小微企业合同金额应当达到的比例要求填写。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五、如果成交，</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pageBreakBefore w:val="0"/>
        <w:kinsoku/>
        <w:wordWrap/>
        <w:overflowPunct/>
        <w:topLinePunct w:val="0"/>
        <w:autoSpaceDE/>
        <w:autoSpaceDN/>
        <w:bidi w:val="0"/>
        <w:adjustRightInd/>
        <w:snapToGrid/>
        <w:spacing w:line="360" w:lineRule="auto"/>
        <w:ind w:left="0" w:leftChars="0"/>
        <w:jc w:val="center"/>
        <w:textAlignment w:val="auto"/>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adjustRightInd/>
        <w:snapToGrid/>
        <w:spacing w:line="360" w:lineRule="auto"/>
        <w:ind w:left="0" w:leftChars="0" w:firstLine="120" w:firstLineChars="50"/>
        <w:jc w:val="left"/>
        <w:textAlignment w:val="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成交后以分包方式履行合同的，提供分包意向协议；采购人不同意分包或者供应商成交后不以分包方式履行合同的，则不需要提供。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adjustRightInd/>
        <w:snapToGrid/>
        <w:spacing w:line="36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（项目名称）【项目编号：（采购编号）】</w:t>
      </w:r>
      <w:r>
        <w:rPr>
          <w:rFonts w:hint="eastAsia" w:ascii="宋体" w:hAnsi="宋体" w:cs="宋体"/>
          <w:color w:val="auto"/>
          <w:kern w:val="0"/>
          <w:sz w:val="24"/>
          <w:highlight w:val="none"/>
          <w:lang w:val="zh-CN"/>
        </w:rPr>
        <w:t>的成交供应商，将依法采取分包方式履行合同。</w:t>
      </w: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pageBreakBefore w:val="0"/>
        <w:kinsoku/>
        <w:wordWrap/>
        <w:overflowPunct/>
        <w:topLinePunct w:val="0"/>
        <w:autoSpaceDE/>
        <w:autoSpaceDN/>
        <w:bidi w:val="0"/>
        <w:adjustRightInd/>
        <w:snapToGrid/>
        <w:spacing w:line="36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adjustRightInd/>
        <w:snapToGrid/>
        <w:spacing w:line="36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5"/>
        <w:pageBreakBefore w:val="0"/>
        <w:kinsoku/>
        <w:wordWrap/>
        <w:overflowPunct/>
        <w:topLinePunct w:val="0"/>
        <w:autoSpaceDE/>
        <w:autoSpaceDN/>
        <w:bidi w:val="0"/>
        <w:adjustRightInd/>
        <w:snapToGrid/>
        <w:ind w:left="0" w:leftChars="0" w:firstLine="229" w:firstLineChars="95"/>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adjustRightInd/>
        <w:snapToGrid/>
        <w:spacing w:line="36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pageBreakBefore w:val="0"/>
        <w:kinsoku/>
        <w:wordWrap/>
        <w:overflowPunct/>
        <w:topLinePunct w:val="0"/>
        <w:autoSpaceDE/>
        <w:autoSpaceDN/>
        <w:bidi w:val="0"/>
        <w:adjustRightInd/>
        <w:snapToGrid/>
        <w:spacing w:line="360" w:lineRule="auto"/>
        <w:ind w:left="0" w:leftChars="0" w:firstLine="576"/>
        <w:textAlignment w:val="auto"/>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……）提供的工程全部由小微企业承建，</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pageBreakBefore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102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要求合同分包形式参加的项目或采购包，供应商按采购文件第一部分竞争性磋商公告申请人的资格要求中规定的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1026"/>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highlight w:val="none"/>
          <w:u w:val="single"/>
        </w:rPr>
      </w:pPr>
      <w:r>
        <w:rPr>
          <w:rFonts w:hint="eastAsia" w:ascii="宋体" w:hAnsi="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ascii="宋体" w:hAnsi="宋体" w:cs="宋体"/>
          <w:color w:val="auto"/>
          <w:kern w:val="0"/>
          <w:sz w:val="24"/>
          <w:highlight w:val="none"/>
          <w:lang w:val="zh-CN"/>
        </w:rPr>
      </w:pP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
        <w:textAlignment w:val="auto"/>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adjustRightInd/>
        <w:snapToGrid/>
        <w:spacing w:line="360" w:lineRule="auto"/>
        <w:ind w:left="5040" w:leftChars="0" w:hanging="5040" w:hangingChars="2100"/>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pageBreakBefore w:val="0"/>
        <w:kinsoku/>
        <w:wordWrap/>
        <w:overflowPunct/>
        <w:topLinePunct w:val="0"/>
        <w:autoSpaceDE/>
        <w:autoSpaceDN/>
        <w:bidi w:val="0"/>
        <w:adjustRightInd/>
        <w:snapToGrid/>
        <w:spacing w:line="360" w:lineRule="auto"/>
        <w:ind w:left="0" w:leftChars="0" w:firstLine="5640" w:firstLineChars="2350"/>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pageBreakBefore w:val="0"/>
        <w:kinsoku/>
        <w:wordWrap/>
        <w:overflowPunct/>
        <w:topLinePunct w:val="0"/>
        <w:autoSpaceDE/>
        <w:autoSpaceDN/>
        <w:bidi w:val="0"/>
        <w:adjustRightInd/>
        <w:snapToGrid/>
        <w:spacing w:line="360" w:lineRule="auto"/>
        <w:ind w:left="0" w:leftChars="0" w:firstLine="5760" w:firstLineChars="2400"/>
        <w:textAlignment w:val="auto"/>
        <w:rPr>
          <w:rFonts w:ascii="宋体" w:hAns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adjustRightInd/>
        <w:snapToGrid/>
        <w:spacing w:line="360" w:lineRule="auto"/>
        <w:ind w:left="0" w:leftChars="0"/>
        <w:jc w:val="center"/>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7</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firstLine="480" w:firstLineChars="200"/>
        <w:rPr>
          <w:rFonts w:ascii="宋体" w:hAnsi="宋体" w:cs="宋体"/>
          <w:color w:val="auto"/>
          <w:sz w:val="24"/>
          <w:highlight w:val="none"/>
        </w:rPr>
      </w:pP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rPr>
          <w:color w:val="auto"/>
          <w:highlight w:val="none"/>
        </w:rPr>
      </w:pPr>
    </w:p>
    <w:p>
      <w:pPr>
        <w:spacing w:line="360" w:lineRule="auto"/>
        <w:rPr>
          <w:rFonts w:ascii="宋体" w:hAnsi="宋体" w:cs="宋体"/>
          <w:bCs/>
          <w:color w:val="auto"/>
          <w:sz w:val="24"/>
          <w:highlight w:val="none"/>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tbl>
      <w:tblPr>
        <w:tblStyle w:val="65"/>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32"/>
                <w:szCs w:val="32"/>
                <w:highlight w:val="none"/>
              </w:rPr>
            </w:pPr>
            <w:r>
              <w:rPr>
                <w:rFonts w:hint="eastAsia" w:ascii="宋体" w:hAnsi="宋体" w:cs="宋体"/>
                <w:b/>
                <w:color w:val="auto"/>
                <w:kern w:val="0"/>
                <w:sz w:val="32"/>
                <w:szCs w:val="32"/>
                <w:highlight w:val="none"/>
              </w:rPr>
              <w:t>中小微行业划型标准规定</w:t>
            </w:r>
            <w:r>
              <w:rPr>
                <w:rFonts w:hint="eastAsia" w:ascii="宋体" w:hAnsi="宋体" w:cs="宋体"/>
                <w:b/>
                <w:color w:val="auto"/>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bottom"/>
              <w:rPr>
                <w:rFonts w:ascii="宋体" w:hAnsi="宋体" w:cs="宋体"/>
                <w:color w:val="auto"/>
                <w:sz w:val="20"/>
                <w:highlight w:val="none"/>
              </w:rPr>
            </w:pPr>
            <w:r>
              <w:rPr>
                <w:rFonts w:hint="eastAsia" w:ascii="宋体" w:hAnsi="宋体" w:cs="宋体"/>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jc w:val="center"/>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bottom"/>
              <w:rPr>
                <w:rFonts w:ascii="宋体" w:hAnsi="宋体" w:cs="宋体"/>
                <w:color w:val="auto"/>
                <w:sz w:val="20"/>
                <w:highlight w:val="none"/>
              </w:rPr>
            </w:pPr>
            <w:r>
              <w:rPr>
                <w:rFonts w:hint="eastAsia" w:ascii="宋体" w:hAnsi="宋体" w:cs="宋体"/>
                <w:color w:val="auto"/>
                <w:kern w:val="0"/>
                <w:sz w:val="20"/>
                <w:highlight w:val="none"/>
              </w:rPr>
              <w:t>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jc w:val="center"/>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jc w:val="both"/>
        <w:rPr>
          <w:rFonts w:hint="eastAsia"/>
          <w:color w:val="auto"/>
          <w:sz w:val="30"/>
          <w:szCs w:val="30"/>
          <w:highlight w:val="none"/>
          <w:u w:val="none"/>
          <w:lang w:val="en-US" w:eastAsia="zh-CN"/>
        </w:rPr>
        <w:sectPr>
          <w:pgSz w:w="16838" w:h="11906" w:orient="landscape"/>
          <w:pgMar w:top="1417" w:right="1276" w:bottom="1417" w:left="1247" w:header="851" w:footer="992" w:gutter="0"/>
          <w:pgBorders>
            <w:top w:val="none" w:sz="0" w:space="0"/>
            <w:left w:val="none" w:sz="0" w:space="0"/>
            <w:bottom w:val="none" w:sz="0" w:space="0"/>
            <w:right w:val="none" w:sz="0" w:space="0"/>
          </w:pgBorders>
          <w:cols w:space="720" w:num="1"/>
          <w:titlePg/>
          <w:rtlGutter w:val="0"/>
          <w:docGrid w:linePitch="312" w:charSpace="0"/>
        </w:sect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附件8：工程量清单（另附）</w:t>
      </w:r>
    </w:p>
    <w:p>
      <w:pPr>
        <w:spacing w:line="360" w:lineRule="auto"/>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bookmarkStart w:id="1031" w:name="_GoBack"/>
      <w:bookmarkEnd w:id="1031"/>
    </w:p>
    <w:p>
      <w:pPr>
        <w:pStyle w:val="2"/>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pStyle w:val="2"/>
        <w:rPr>
          <w:rFonts w:ascii="宋体" w:hAnsi="宋体" w:cs="宋体"/>
          <w:b/>
          <w:color w:val="auto"/>
          <w:spacing w:val="6"/>
          <w:sz w:val="32"/>
          <w:szCs w:val="32"/>
          <w:highlight w:val="none"/>
        </w:rPr>
      </w:pP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附件9：图纸（另附）</w:t>
      </w:r>
    </w:p>
    <w:p>
      <w:pPr>
        <w:pStyle w:val="28"/>
        <w:ind w:left="0" w:leftChars="0" w:firstLine="0" w:firstLineChars="0"/>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rPr>
          <w:color w:val="auto"/>
          <w:highlight w:val="none"/>
        </w:rPr>
      </w:pPr>
    </w:p>
    <w:p>
      <w:pPr>
        <w:pStyle w:val="2"/>
      </w:pPr>
    </w:p>
    <w:p>
      <w:pPr>
        <w:rPr>
          <w:color w:val="auto"/>
          <w:highlight w:val="none"/>
        </w:rPr>
      </w:pPr>
    </w:p>
    <w:p>
      <w:pPr>
        <w:rPr>
          <w:color w:val="auto"/>
          <w:highlight w:val="none"/>
        </w:rPr>
      </w:pPr>
    </w:p>
    <w:p>
      <w:pPr>
        <w:jc w:val="both"/>
        <w:rPr>
          <w:rFonts w:hint="eastAsia"/>
          <w:b/>
          <w:color w:val="auto"/>
          <w:sz w:val="48"/>
          <w:szCs w:val="48"/>
          <w:highlight w:val="none"/>
        </w:rPr>
      </w:pPr>
      <w:r>
        <w:rPr>
          <w:rFonts w:hint="eastAsia"/>
          <w:color w:val="auto"/>
          <w:sz w:val="30"/>
          <w:szCs w:val="30"/>
          <w:highlight w:val="none"/>
          <w:u w:val="none"/>
          <w:lang w:val="en-US" w:eastAsia="zh-CN"/>
        </w:rPr>
        <w:t>附件10（中标后提供）：</w:t>
      </w: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rPr>
        <w:t>承 诺 书</w:t>
      </w:r>
    </w:p>
    <w:p>
      <w:pPr>
        <w:rPr>
          <w:rFonts w:hint="eastAsia"/>
          <w:color w:val="auto"/>
          <w:sz w:val="30"/>
          <w:szCs w:val="30"/>
          <w:highlight w:val="none"/>
        </w:rPr>
      </w:pPr>
    </w:p>
    <w:p>
      <w:pPr>
        <w:rPr>
          <w:rFonts w:hint="eastAsia"/>
          <w:color w:val="auto"/>
          <w:sz w:val="30"/>
          <w:szCs w:val="30"/>
          <w:highlight w:val="none"/>
        </w:rPr>
      </w:pPr>
      <w:r>
        <w:rPr>
          <w:rFonts w:hint="eastAsia"/>
          <w:color w:val="auto"/>
          <w:sz w:val="30"/>
          <w:szCs w:val="30"/>
          <w:highlight w:val="none"/>
          <w:u w:val="single"/>
          <w:lang w:val="en-US" w:eastAsia="zh-CN"/>
        </w:rPr>
        <w:t xml:space="preserve">耀华建设管理有限公司 </w:t>
      </w:r>
      <w:r>
        <w:rPr>
          <w:rFonts w:hint="eastAsia"/>
          <w:color w:val="auto"/>
          <w:sz w:val="30"/>
          <w:szCs w:val="30"/>
          <w:highlight w:val="none"/>
        </w:rPr>
        <w:t>：</w:t>
      </w:r>
    </w:p>
    <w:p>
      <w:pPr>
        <w:spacing w:line="780" w:lineRule="exact"/>
        <w:ind w:firstLine="600" w:firstLineChars="200"/>
        <w:rPr>
          <w:rFonts w:hint="eastAsia"/>
          <w:color w:val="auto"/>
          <w:sz w:val="30"/>
          <w:szCs w:val="30"/>
          <w:highlight w:val="none"/>
        </w:rPr>
      </w:pPr>
      <w:r>
        <w:rPr>
          <w:rFonts w:hint="eastAsia"/>
          <w:color w:val="auto"/>
          <w:sz w:val="30"/>
          <w:szCs w:val="30"/>
          <w:highlight w:val="none"/>
          <w:u w:val="none"/>
          <w:lang w:val="en-US" w:eastAsia="zh-CN"/>
        </w:rPr>
        <w:t>我单位参与投标的</w:t>
      </w:r>
      <w:r>
        <w:rPr>
          <w:rFonts w:hint="eastAsia"/>
          <w:color w:val="auto"/>
          <w:sz w:val="30"/>
          <w:szCs w:val="30"/>
          <w:highlight w:val="none"/>
          <w:u w:val="single"/>
          <w:lang w:val="en-US" w:eastAsia="zh-CN"/>
        </w:rPr>
        <w:t xml:space="preserve">   （项目名称）   </w:t>
      </w:r>
      <w:r>
        <w:rPr>
          <w:rFonts w:hint="eastAsia"/>
          <w:color w:val="auto"/>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color w:val="auto"/>
          <w:sz w:val="30"/>
          <w:szCs w:val="30"/>
          <w:highlight w:val="none"/>
        </w:rPr>
        <w:t>，本公司承诺：</w:t>
      </w:r>
    </w:p>
    <w:p>
      <w:pPr>
        <w:spacing w:line="780" w:lineRule="exact"/>
        <w:ind w:firstLine="600" w:firstLineChars="200"/>
        <w:rPr>
          <w:rFonts w:hint="default" w:eastAsia="宋体"/>
          <w:color w:val="auto"/>
          <w:sz w:val="30"/>
          <w:szCs w:val="30"/>
          <w:highlight w:val="none"/>
          <w:lang w:val="en-US" w:eastAsia="zh-CN"/>
        </w:rPr>
      </w:pPr>
      <w:r>
        <w:rPr>
          <w:rFonts w:hint="eastAsia"/>
          <w:color w:val="auto"/>
          <w:sz w:val="30"/>
          <w:szCs w:val="30"/>
          <w:highlight w:val="none"/>
          <w:lang w:eastAsia="zh-CN"/>
        </w:rPr>
        <w:t>本单位</w:t>
      </w:r>
      <w:r>
        <w:rPr>
          <w:rFonts w:hint="eastAsia"/>
          <w:color w:val="auto"/>
          <w:sz w:val="30"/>
          <w:szCs w:val="30"/>
          <w:highlight w:val="none"/>
        </w:rPr>
        <w:t>提交给</w:t>
      </w:r>
      <w:r>
        <w:rPr>
          <w:rFonts w:hint="eastAsia"/>
          <w:color w:val="auto"/>
          <w:sz w:val="30"/>
          <w:szCs w:val="30"/>
          <w:highlight w:val="none"/>
          <w:lang w:eastAsia="zh-CN"/>
        </w:rPr>
        <w:t>招标代理机构备案的</w:t>
      </w:r>
      <w:r>
        <w:rPr>
          <w:rFonts w:hint="eastAsia"/>
          <w:color w:val="auto"/>
          <w:sz w:val="30"/>
          <w:szCs w:val="30"/>
          <w:highlight w:val="none"/>
          <w:u w:val="single"/>
          <w:lang w:eastAsia="zh-CN"/>
        </w:rPr>
        <w:t>投标文件</w:t>
      </w:r>
      <w:r>
        <w:rPr>
          <w:rFonts w:hint="eastAsia"/>
          <w:color w:val="auto"/>
          <w:sz w:val="30"/>
          <w:szCs w:val="30"/>
          <w:highlight w:val="none"/>
          <w:u w:val="single"/>
        </w:rPr>
        <w:t>纸质</w:t>
      </w:r>
      <w:r>
        <w:rPr>
          <w:rFonts w:hint="eastAsia"/>
          <w:color w:val="auto"/>
          <w:sz w:val="30"/>
          <w:szCs w:val="30"/>
          <w:highlight w:val="none"/>
          <w:u w:val="single"/>
          <w:lang w:eastAsia="zh-CN"/>
        </w:rPr>
        <w:t>版</w:t>
      </w:r>
      <w:r>
        <w:rPr>
          <w:rFonts w:hint="eastAsia"/>
          <w:color w:val="auto"/>
          <w:sz w:val="30"/>
          <w:szCs w:val="30"/>
          <w:highlight w:val="none"/>
        </w:rPr>
        <w:t>与</w:t>
      </w:r>
      <w:r>
        <w:rPr>
          <w:rFonts w:hint="eastAsia"/>
          <w:color w:val="auto"/>
          <w:sz w:val="30"/>
          <w:szCs w:val="30"/>
          <w:highlight w:val="none"/>
          <w:u w:val="single"/>
        </w:rPr>
        <w:t>电子</w:t>
      </w:r>
      <w:r>
        <w:rPr>
          <w:rFonts w:hint="eastAsia"/>
          <w:color w:val="auto"/>
          <w:sz w:val="30"/>
          <w:szCs w:val="30"/>
          <w:highlight w:val="none"/>
          <w:u w:val="single"/>
          <w:lang w:eastAsia="zh-CN"/>
        </w:rPr>
        <w:t>投标文件</w:t>
      </w:r>
      <w:r>
        <w:rPr>
          <w:rFonts w:hint="eastAsia"/>
          <w:color w:val="auto"/>
          <w:sz w:val="30"/>
          <w:szCs w:val="30"/>
          <w:highlight w:val="none"/>
        </w:rPr>
        <w:t>内容均一致，</w:t>
      </w:r>
      <w:r>
        <w:rPr>
          <w:rFonts w:hint="eastAsia"/>
          <w:color w:val="auto"/>
          <w:sz w:val="30"/>
          <w:szCs w:val="30"/>
          <w:highlight w:val="none"/>
          <w:lang w:eastAsia="zh-CN"/>
        </w:rPr>
        <w:t>如不一致导致的任何法律责任自负。特此承诺！</w:t>
      </w:r>
    </w:p>
    <w:p>
      <w:pPr>
        <w:spacing w:line="780" w:lineRule="exact"/>
        <w:ind w:firstLine="450" w:firstLineChars="150"/>
        <w:rPr>
          <w:rFonts w:hint="eastAsia"/>
          <w:color w:val="auto"/>
          <w:sz w:val="30"/>
          <w:szCs w:val="30"/>
          <w:highlight w:val="none"/>
        </w:rPr>
      </w:pPr>
    </w:p>
    <w:p>
      <w:pPr>
        <w:pStyle w:val="4"/>
        <w:rPr>
          <w:color w:val="auto"/>
          <w:highlight w:val="none"/>
        </w:rPr>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5"/>
      </w:rPr>
    </w:pPr>
    <w:r>
      <w:fldChar w:fldCharType="begin"/>
    </w:r>
    <w:r>
      <w:rPr>
        <w:rStyle w:val="75"/>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bookmarkStart w:id="1027" w:name="_Toc131845147"/>
    <w:bookmarkStart w:id="1028" w:name="_Toc91899912"/>
    <w:bookmarkStart w:id="1029" w:name="_Toc164085800"/>
    <w:bookmarkStart w:id="1030" w:name="_Toc36110187"/>
    <w:r>
      <w:rPr>
        <w:rFonts w:hint="eastAsia" w:ascii="仿宋_GB2312" w:eastAsia="仿宋_GB2312"/>
        <w:kern w:val="0"/>
        <w:szCs w:val="21"/>
      </w:rPr>
      <w:t xml:space="preserve"> 页</w:t>
    </w:r>
    <w:bookmarkEnd w:id="1027"/>
    <w:bookmarkEnd w:id="1028"/>
    <w:bookmarkEnd w:id="1029"/>
    <w:bookmarkEnd w:id="1030"/>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5"/>
      </w:rPr>
    </w:pPr>
    <w:r>
      <w:fldChar w:fldCharType="begin"/>
    </w:r>
    <w:r>
      <w:rPr>
        <w:rStyle w:val="75"/>
      </w:rPr>
      <w:instrText xml:space="preserve">PAGE  </w:instrText>
    </w:r>
    <w:r>
      <w:fldChar w:fldCharType="end"/>
    </w:r>
  </w:p>
  <w:p>
    <w:pPr>
      <w:pStyle w:val="43"/>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5"/>
      </w:rPr>
    </w:pPr>
    <w:r>
      <w:fldChar w:fldCharType="begin"/>
    </w:r>
    <w:r>
      <w:rPr>
        <w:rStyle w:val="75"/>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jc w:val="right"/>
      <w:rPr>
        <w:rFonts w:ascii="仿宋_GB2312" w:eastAsia="仿宋_GB2312"/>
        <w:i/>
        <w:u w:val="single"/>
      </w:rPr>
    </w:pPr>
    <w:r>
      <w:rPr>
        <w:lang w:val="zh-CN"/>
      </w:rPr>
      <w:t>杭州市政府采购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rPr>
        <w:rFonts w:ascii="仿宋_GB2312" w:eastAsia="仿宋_GB2312"/>
        <w:b/>
        <w:i/>
        <w:u w:val="single"/>
      </w:rPr>
    </w:pPr>
    <w:r>
      <w:rPr>
        <w:lang w:val="zh-CN"/>
      </w:rPr>
      <w:t>杭州市政府采购</w:t>
    </w:r>
    <w:r>
      <w:rPr>
        <w:rFonts w:hint="eastAsia"/>
        <w:lang w:val="zh-CN"/>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rPr>
        <w:rFonts w:ascii="仿宋_GB2312"/>
        <w:b/>
        <w:i/>
        <w:iCs/>
        <w:u w:val="single"/>
      </w:rPr>
    </w:pPr>
    <w:r>
      <w:rPr>
        <w:lang w:val="zh-CN"/>
      </w:rPr>
      <w:t>杭州市政府采购</w:t>
    </w:r>
    <w:r>
      <w:rPr>
        <w:rFonts w:hint="eastAsia"/>
        <w:lang w:val="zh-CN"/>
      </w:rPr>
      <w:t>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hideSpellingErrors/>
  <w:trackRevisions w:val="1"/>
  <w:documentProtection w:enforcement="0"/>
  <w:defaultTabStop w:val="419"/>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YzMyM2UzZDA4MWQ2MWE2MjVhM2VmNjhjYzJlNG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7D"/>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A1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FE0"/>
    <w:rsid w:val="005207D8"/>
    <w:rsid w:val="0052091D"/>
    <w:rsid w:val="005212F4"/>
    <w:rsid w:val="00521908"/>
    <w:rsid w:val="005224BC"/>
    <w:rsid w:val="00522928"/>
    <w:rsid w:val="00522FF1"/>
    <w:rsid w:val="00523946"/>
    <w:rsid w:val="0052397A"/>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250"/>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D71"/>
    <w:rsid w:val="008052CE"/>
    <w:rsid w:val="0080548A"/>
    <w:rsid w:val="008058D0"/>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35"/>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EC6"/>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65DA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040A4"/>
    <w:rsid w:val="04076900"/>
    <w:rsid w:val="041A5A3B"/>
    <w:rsid w:val="042311BA"/>
    <w:rsid w:val="04274B96"/>
    <w:rsid w:val="042B157A"/>
    <w:rsid w:val="04671DB8"/>
    <w:rsid w:val="048F763B"/>
    <w:rsid w:val="049F330E"/>
    <w:rsid w:val="04AA775C"/>
    <w:rsid w:val="04AF1889"/>
    <w:rsid w:val="04C64E6C"/>
    <w:rsid w:val="04F66F48"/>
    <w:rsid w:val="05251E14"/>
    <w:rsid w:val="05A16594"/>
    <w:rsid w:val="05A7762D"/>
    <w:rsid w:val="05AE6663"/>
    <w:rsid w:val="060E5941"/>
    <w:rsid w:val="06110FAF"/>
    <w:rsid w:val="061E21DC"/>
    <w:rsid w:val="06493CA7"/>
    <w:rsid w:val="065A6178"/>
    <w:rsid w:val="066F1CF3"/>
    <w:rsid w:val="06930BB8"/>
    <w:rsid w:val="07245D42"/>
    <w:rsid w:val="07264C62"/>
    <w:rsid w:val="0779354C"/>
    <w:rsid w:val="07A46B95"/>
    <w:rsid w:val="08061376"/>
    <w:rsid w:val="08452D77"/>
    <w:rsid w:val="086401F8"/>
    <w:rsid w:val="08751CAA"/>
    <w:rsid w:val="087E4C40"/>
    <w:rsid w:val="08923AEE"/>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03465"/>
    <w:rsid w:val="0AA374A5"/>
    <w:rsid w:val="0AAB7649"/>
    <w:rsid w:val="0ABC5606"/>
    <w:rsid w:val="0B277D2D"/>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A54A7"/>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B6C4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B4878"/>
    <w:rsid w:val="1535689E"/>
    <w:rsid w:val="154A6454"/>
    <w:rsid w:val="15762120"/>
    <w:rsid w:val="16A8729C"/>
    <w:rsid w:val="16B33777"/>
    <w:rsid w:val="16BC70A7"/>
    <w:rsid w:val="16C6339E"/>
    <w:rsid w:val="16DB32B4"/>
    <w:rsid w:val="172F2D79"/>
    <w:rsid w:val="17557BEF"/>
    <w:rsid w:val="17D349C1"/>
    <w:rsid w:val="1830729E"/>
    <w:rsid w:val="1870062C"/>
    <w:rsid w:val="18817102"/>
    <w:rsid w:val="18830A15"/>
    <w:rsid w:val="18852B28"/>
    <w:rsid w:val="188B5321"/>
    <w:rsid w:val="18F7519C"/>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725CD"/>
    <w:rsid w:val="1C88086E"/>
    <w:rsid w:val="1CE906D1"/>
    <w:rsid w:val="1D266CE1"/>
    <w:rsid w:val="1D3963AF"/>
    <w:rsid w:val="1D3D0FE5"/>
    <w:rsid w:val="1D5C4168"/>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47862"/>
    <w:rsid w:val="1F5771FF"/>
    <w:rsid w:val="1F904124"/>
    <w:rsid w:val="1FE868A9"/>
    <w:rsid w:val="20034907"/>
    <w:rsid w:val="20173E4B"/>
    <w:rsid w:val="204E48BC"/>
    <w:rsid w:val="208921B3"/>
    <w:rsid w:val="20973DEB"/>
    <w:rsid w:val="20B26522"/>
    <w:rsid w:val="20B44310"/>
    <w:rsid w:val="211116EB"/>
    <w:rsid w:val="216133FC"/>
    <w:rsid w:val="217511A4"/>
    <w:rsid w:val="218B0B78"/>
    <w:rsid w:val="21A33E82"/>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7939EB"/>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155EF"/>
    <w:rsid w:val="29345E77"/>
    <w:rsid w:val="294C65AD"/>
    <w:rsid w:val="29806583"/>
    <w:rsid w:val="298B3C4C"/>
    <w:rsid w:val="29A46C7B"/>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377632"/>
    <w:rsid w:val="2E4B082A"/>
    <w:rsid w:val="2E5D4E86"/>
    <w:rsid w:val="2E5D790B"/>
    <w:rsid w:val="2E9A3C18"/>
    <w:rsid w:val="2EBB0FEE"/>
    <w:rsid w:val="2EC63002"/>
    <w:rsid w:val="2F0A6B38"/>
    <w:rsid w:val="2F946CCB"/>
    <w:rsid w:val="2FD25781"/>
    <w:rsid w:val="2FDC745C"/>
    <w:rsid w:val="2FFD7934"/>
    <w:rsid w:val="304B28CE"/>
    <w:rsid w:val="30733ACD"/>
    <w:rsid w:val="308C3862"/>
    <w:rsid w:val="309379D8"/>
    <w:rsid w:val="309B6AD1"/>
    <w:rsid w:val="30A270F7"/>
    <w:rsid w:val="30DF1478"/>
    <w:rsid w:val="30EC586F"/>
    <w:rsid w:val="319C6071"/>
    <w:rsid w:val="31AC537E"/>
    <w:rsid w:val="31E3679B"/>
    <w:rsid w:val="31E732FD"/>
    <w:rsid w:val="32517576"/>
    <w:rsid w:val="32BE5C2C"/>
    <w:rsid w:val="32D63C1D"/>
    <w:rsid w:val="32FB6478"/>
    <w:rsid w:val="332410B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A44686"/>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204F94"/>
    <w:rsid w:val="3A3651E5"/>
    <w:rsid w:val="3A744481"/>
    <w:rsid w:val="3A8C7BEF"/>
    <w:rsid w:val="3A906246"/>
    <w:rsid w:val="3AF50B16"/>
    <w:rsid w:val="3B003F2D"/>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26A43"/>
    <w:rsid w:val="3D3C7F39"/>
    <w:rsid w:val="3D440F09"/>
    <w:rsid w:val="3D4504A0"/>
    <w:rsid w:val="3D8734BB"/>
    <w:rsid w:val="3D9A11D4"/>
    <w:rsid w:val="3DA16D89"/>
    <w:rsid w:val="3DA364BE"/>
    <w:rsid w:val="3DE041CB"/>
    <w:rsid w:val="3E0D48F6"/>
    <w:rsid w:val="3E1868B4"/>
    <w:rsid w:val="3E377251"/>
    <w:rsid w:val="3E42664B"/>
    <w:rsid w:val="3E4B565F"/>
    <w:rsid w:val="3E5A7334"/>
    <w:rsid w:val="3E5D0CB0"/>
    <w:rsid w:val="3E7B5D6B"/>
    <w:rsid w:val="3E843E66"/>
    <w:rsid w:val="3E8F51FE"/>
    <w:rsid w:val="3E926F87"/>
    <w:rsid w:val="3E9A59DE"/>
    <w:rsid w:val="3EAF4836"/>
    <w:rsid w:val="3EC33DFA"/>
    <w:rsid w:val="3F060E16"/>
    <w:rsid w:val="3F1D1096"/>
    <w:rsid w:val="3F2F0234"/>
    <w:rsid w:val="3F6363FE"/>
    <w:rsid w:val="3F756B8F"/>
    <w:rsid w:val="3F95482B"/>
    <w:rsid w:val="401471BB"/>
    <w:rsid w:val="4019356B"/>
    <w:rsid w:val="40592157"/>
    <w:rsid w:val="406E1CAE"/>
    <w:rsid w:val="40A0133A"/>
    <w:rsid w:val="40C003E6"/>
    <w:rsid w:val="40C31A53"/>
    <w:rsid w:val="40F35117"/>
    <w:rsid w:val="40FF545D"/>
    <w:rsid w:val="410067C8"/>
    <w:rsid w:val="416176D3"/>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C37AA"/>
    <w:rsid w:val="449101DD"/>
    <w:rsid w:val="44A82DD4"/>
    <w:rsid w:val="44DE1391"/>
    <w:rsid w:val="451B225C"/>
    <w:rsid w:val="452410C9"/>
    <w:rsid w:val="45317DFB"/>
    <w:rsid w:val="456D3CE4"/>
    <w:rsid w:val="4579042C"/>
    <w:rsid w:val="457F0571"/>
    <w:rsid w:val="45851176"/>
    <w:rsid w:val="45C55BC2"/>
    <w:rsid w:val="45C63B94"/>
    <w:rsid w:val="460E7DA5"/>
    <w:rsid w:val="46422483"/>
    <w:rsid w:val="4659254A"/>
    <w:rsid w:val="465B0637"/>
    <w:rsid w:val="465E3F0D"/>
    <w:rsid w:val="466A16E6"/>
    <w:rsid w:val="46893F2B"/>
    <w:rsid w:val="46C444E6"/>
    <w:rsid w:val="46C4686E"/>
    <w:rsid w:val="477B778F"/>
    <w:rsid w:val="478203EC"/>
    <w:rsid w:val="47B025FA"/>
    <w:rsid w:val="47B50CFB"/>
    <w:rsid w:val="4809698F"/>
    <w:rsid w:val="4811697D"/>
    <w:rsid w:val="485A2BF4"/>
    <w:rsid w:val="487A3E25"/>
    <w:rsid w:val="488B5503"/>
    <w:rsid w:val="48937E21"/>
    <w:rsid w:val="489A0361"/>
    <w:rsid w:val="48B94FF3"/>
    <w:rsid w:val="48E37AAB"/>
    <w:rsid w:val="48FD4B4C"/>
    <w:rsid w:val="490A68E0"/>
    <w:rsid w:val="491055FE"/>
    <w:rsid w:val="495F5B3E"/>
    <w:rsid w:val="496F77D7"/>
    <w:rsid w:val="497654FD"/>
    <w:rsid w:val="49B64211"/>
    <w:rsid w:val="49D41AAC"/>
    <w:rsid w:val="49F6167F"/>
    <w:rsid w:val="4A064FA0"/>
    <w:rsid w:val="4A16615C"/>
    <w:rsid w:val="4A4424D7"/>
    <w:rsid w:val="4AB82D0F"/>
    <w:rsid w:val="4AEB7664"/>
    <w:rsid w:val="4AFD7C19"/>
    <w:rsid w:val="4B0567D1"/>
    <w:rsid w:val="4B236AAE"/>
    <w:rsid w:val="4B2F799D"/>
    <w:rsid w:val="4B707271"/>
    <w:rsid w:val="4B9739F7"/>
    <w:rsid w:val="4BEE2503"/>
    <w:rsid w:val="4BF727EA"/>
    <w:rsid w:val="4C245A30"/>
    <w:rsid w:val="4CB6685F"/>
    <w:rsid w:val="4CC367FE"/>
    <w:rsid w:val="4D077F3C"/>
    <w:rsid w:val="4D123355"/>
    <w:rsid w:val="4D2A3B31"/>
    <w:rsid w:val="4D2A610B"/>
    <w:rsid w:val="4D312C52"/>
    <w:rsid w:val="4D782049"/>
    <w:rsid w:val="4D905305"/>
    <w:rsid w:val="4D964A72"/>
    <w:rsid w:val="4D9C1254"/>
    <w:rsid w:val="4D9E5B15"/>
    <w:rsid w:val="4E793892"/>
    <w:rsid w:val="4E800872"/>
    <w:rsid w:val="4EC569ED"/>
    <w:rsid w:val="4ED50EA1"/>
    <w:rsid w:val="4EEC050C"/>
    <w:rsid w:val="4F104EC3"/>
    <w:rsid w:val="4F47354A"/>
    <w:rsid w:val="4F911C54"/>
    <w:rsid w:val="4FE625E0"/>
    <w:rsid w:val="5021480F"/>
    <w:rsid w:val="50317A77"/>
    <w:rsid w:val="505C30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5646F"/>
    <w:rsid w:val="522E4CC3"/>
    <w:rsid w:val="5244713B"/>
    <w:rsid w:val="52615633"/>
    <w:rsid w:val="526F4DE4"/>
    <w:rsid w:val="52977FD4"/>
    <w:rsid w:val="52A25790"/>
    <w:rsid w:val="52A72811"/>
    <w:rsid w:val="52A96B6F"/>
    <w:rsid w:val="52B45975"/>
    <w:rsid w:val="52D94AA4"/>
    <w:rsid w:val="52EA3A62"/>
    <w:rsid w:val="52F50BB8"/>
    <w:rsid w:val="53097272"/>
    <w:rsid w:val="534C1537"/>
    <w:rsid w:val="53544462"/>
    <w:rsid w:val="5397158E"/>
    <w:rsid w:val="53E325D5"/>
    <w:rsid w:val="54013861"/>
    <w:rsid w:val="54487265"/>
    <w:rsid w:val="544D6070"/>
    <w:rsid w:val="54605E1E"/>
    <w:rsid w:val="54935924"/>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E78E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E2749"/>
    <w:rsid w:val="5AD63A24"/>
    <w:rsid w:val="5AE51A4D"/>
    <w:rsid w:val="5B2E1A1D"/>
    <w:rsid w:val="5B843A1C"/>
    <w:rsid w:val="5B873E3F"/>
    <w:rsid w:val="5B9375E0"/>
    <w:rsid w:val="5C02690E"/>
    <w:rsid w:val="5C196DA7"/>
    <w:rsid w:val="5C2A048C"/>
    <w:rsid w:val="5C4D2220"/>
    <w:rsid w:val="5C665022"/>
    <w:rsid w:val="5C80234E"/>
    <w:rsid w:val="5C8A680C"/>
    <w:rsid w:val="5D0C4701"/>
    <w:rsid w:val="5D0F0395"/>
    <w:rsid w:val="5D221076"/>
    <w:rsid w:val="5D397964"/>
    <w:rsid w:val="5D5A391C"/>
    <w:rsid w:val="5D5F10C0"/>
    <w:rsid w:val="5D790E2F"/>
    <w:rsid w:val="5D891B7B"/>
    <w:rsid w:val="5DAD38EE"/>
    <w:rsid w:val="5E006862"/>
    <w:rsid w:val="5E0207B9"/>
    <w:rsid w:val="5E1834A1"/>
    <w:rsid w:val="5E261785"/>
    <w:rsid w:val="5E4A7017"/>
    <w:rsid w:val="5E552BBA"/>
    <w:rsid w:val="5E611C10"/>
    <w:rsid w:val="5E7A0F3F"/>
    <w:rsid w:val="5E923B9C"/>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0D059B"/>
    <w:rsid w:val="611D2366"/>
    <w:rsid w:val="61421856"/>
    <w:rsid w:val="615227C4"/>
    <w:rsid w:val="61654E3F"/>
    <w:rsid w:val="6182292A"/>
    <w:rsid w:val="619F7F92"/>
    <w:rsid w:val="61F94C26"/>
    <w:rsid w:val="62000E56"/>
    <w:rsid w:val="6214785A"/>
    <w:rsid w:val="624F1172"/>
    <w:rsid w:val="624F3E49"/>
    <w:rsid w:val="62632286"/>
    <w:rsid w:val="62885958"/>
    <w:rsid w:val="62F40B65"/>
    <w:rsid w:val="62FC2CFE"/>
    <w:rsid w:val="63024505"/>
    <w:rsid w:val="630C0B48"/>
    <w:rsid w:val="635600A5"/>
    <w:rsid w:val="635B1DB5"/>
    <w:rsid w:val="63711FED"/>
    <w:rsid w:val="63880DDC"/>
    <w:rsid w:val="638D750D"/>
    <w:rsid w:val="63AC6CC0"/>
    <w:rsid w:val="64055776"/>
    <w:rsid w:val="641F5B67"/>
    <w:rsid w:val="64240056"/>
    <w:rsid w:val="642B09EE"/>
    <w:rsid w:val="643E143A"/>
    <w:rsid w:val="64491666"/>
    <w:rsid w:val="648B6EEF"/>
    <w:rsid w:val="64C158BF"/>
    <w:rsid w:val="64CE2EAA"/>
    <w:rsid w:val="653C3090"/>
    <w:rsid w:val="65854376"/>
    <w:rsid w:val="658767BE"/>
    <w:rsid w:val="65892531"/>
    <w:rsid w:val="66195831"/>
    <w:rsid w:val="662E75B1"/>
    <w:rsid w:val="66342C2E"/>
    <w:rsid w:val="663E784C"/>
    <w:rsid w:val="668B6A45"/>
    <w:rsid w:val="67112C4A"/>
    <w:rsid w:val="672F3F24"/>
    <w:rsid w:val="673E055F"/>
    <w:rsid w:val="67551CE3"/>
    <w:rsid w:val="67A22552"/>
    <w:rsid w:val="67AB1FA1"/>
    <w:rsid w:val="67B22DCC"/>
    <w:rsid w:val="67BE71AA"/>
    <w:rsid w:val="67CF7323"/>
    <w:rsid w:val="67D90273"/>
    <w:rsid w:val="67DE5875"/>
    <w:rsid w:val="67E55852"/>
    <w:rsid w:val="67EB1AB4"/>
    <w:rsid w:val="67FA1285"/>
    <w:rsid w:val="68551F4F"/>
    <w:rsid w:val="687C10C9"/>
    <w:rsid w:val="687D72F7"/>
    <w:rsid w:val="68840C16"/>
    <w:rsid w:val="68876EFB"/>
    <w:rsid w:val="68884654"/>
    <w:rsid w:val="689F444F"/>
    <w:rsid w:val="68B96DBB"/>
    <w:rsid w:val="68CA2805"/>
    <w:rsid w:val="68E937A3"/>
    <w:rsid w:val="68FB149A"/>
    <w:rsid w:val="693E15D3"/>
    <w:rsid w:val="69627681"/>
    <w:rsid w:val="6977531D"/>
    <w:rsid w:val="69CC2BFF"/>
    <w:rsid w:val="69FD55B8"/>
    <w:rsid w:val="6A0B1C62"/>
    <w:rsid w:val="6A2406C8"/>
    <w:rsid w:val="6A9A1ADF"/>
    <w:rsid w:val="6ADE0BD1"/>
    <w:rsid w:val="6AE81378"/>
    <w:rsid w:val="6AE96859"/>
    <w:rsid w:val="6B147746"/>
    <w:rsid w:val="6B24787C"/>
    <w:rsid w:val="6B573233"/>
    <w:rsid w:val="6B5B6274"/>
    <w:rsid w:val="6B935D53"/>
    <w:rsid w:val="6C1316F7"/>
    <w:rsid w:val="6C196F71"/>
    <w:rsid w:val="6C226FCB"/>
    <w:rsid w:val="6C31226F"/>
    <w:rsid w:val="6C517EC7"/>
    <w:rsid w:val="6C552F0B"/>
    <w:rsid w:val="6C8C67B7"/>
    <w:rsid w:val="6C9D744C"/>
    <w:rsid w:val="6CDB516D"/>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2E7CC6"/>
    <w:rsid w:val="6F8331F1"/>
    <w:rsid w:val="6FAE1A09"/>
    <w:rsid w:val="6FD75BF8"/>
    <w:rsid w:val="707723D0"/>
    <w:rsid w:val="70F5661B"/>
    <w:rsid w:val="71360107"/>
    <w:rsid w:val="713B688E"/>
    <w:rsid w:val="7148279F"/>
    <w:rsid w:val="71A3699E"/>
    <w:rsid w:val="71D43752"/>
    <w:rsid w:val="71F1796A"/>
    <w:rsid w:val="71FB63D5"/>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441040"/>
    <w:rsid w:val="765D347C"/>
    <w:rsid w:val="76826699"/>
    <w:rsid w:val="76C87133"/>
    <w:rsid w:val="76CD08D5"/>
    <w:rsid w:val="76D1360B"/>
    <w:rsid w:val="76DB4B92"/>
    <w:rsid w:val="76E65007"/>
    <w:rsid w:val="77052AA4"/>
    <w:rsid w:val="77136511"/>
    <w:rsid w:val="77340A39"/>
    <w:rsid w:val="77351FD0"/>
    <w:rsid w:val="77472422"/>
    <w:rsid w:val="777F31F2"/>
    <w:rsid w:val="77D1700D"/>
    <w:rsid w:val="77EC04CC"/>
    <w:rsid w:val="781910FC"/>
    <w:rsid w:val="78775729"/>
    <w:rsid w:val="78A42DB0"/>
    <w:rsid w:val="78A656AB"/>
    <w:rsid w:val="78B2245C"/>
    <w:rsid w:val="78E172CC"/>
    <w:rsid w:val="78EA1D1F"/>
    <w:rsid w:val="79036DC3"/>
    <w:rsid w:val="7904172F"/>
    <w:rsid w:val="790F7E27"/>
    <w:rsid w:val="792A231A"/>
    <w:rsid w:val="79316829"/>
    <w:rsid w:val="797E66A9"/>
    <w:rsid w:val="798518A4"/>
    <w:rsid w:val="79A166DA"/>
    <w:rsid w:val="79A97383"/>
    <w:rsid w:val="79BB23CA"/>
    <w:rsid w:val="79E27E8B"/>
    <w:rsid w:val="79F850CE"/>
    <w:rsid w:val="79FD443C"/>
    <w:rsid w:val="7A1D1975"/>
    <w:rsid w:val="7A3E5150"/>
    <w:rsid w:val="7A4670D6"/>
    <w:rsid w:val="7A534B63"/>
    <w:rsid w:val="7A615382"/>
    <w:rsid w:val="7A67303B"/>
    <w:rsid w:val="7A7A7E88"/>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64F7"/>
    <w:rsid w:val="7CE27788"/>
    <w:rsid w:val="7D0C32F1"/>
    <w:rsid w:val="7D0F408D"/>
    <w:rsid w:val="7D491C6C"/>
    <w:rsid w:val="7D5429C0"/>
    <w:rsid w:val="7D6E6D43"/>
    <w:rsid w:val="7DB57A34"/>
    <w:rsid w:val="7DE60973"/>
    <w:rsid w:val="7DEF0916"/>
    <w:rsid w:val="7E1E5218"/>
    <w:rsid w:val="7E6C679B"/>
    <w:rsid w:val="7E9A4E1F"/>
    <w:rsid w:val="7EA7723A"/>
    <w:rsid w:val="7EF56FBB"/>
    <w:rsid w:val="7F0768EB"/>
    <w:rsid w:val="7F143BEC"/>
    <w:rsid w:val="7F715AF2"/>
    <w:rsid w:val="7F7B47F9"/>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空2字"/>
    <w:basedOn w:val="3"/>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3">
    <w:name w:val="左对齐正文"/>
    <w:autoRedefine/>
    <w:qFormat/>
    <w:uiPriority w:val="99"/>
    <w:rPr>
      <w:rFonts w:ascii="Calibri" w:hAnsi="Calibri" w:eastAsia="仿宋_GB2312" w:cs="Calibri"/>
      <w:kern w:val="2"/>
      <w:sz w:val="32"/>
      <w:szCs w:val="32"/>
      <w:lang w:val="en-US" w:eastAsia="zh-CN" w:bidi="ar-SA"/>
    </w:rPr>
  </w:style>
  <w:style w:type="paragraph" w:styleId="7">
    <w:name w:val="Normal Indent"/>
    <w:basedOn w:val="1"/>
    <w:next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3"/>
    <w:autoRedefine/>
    <w:qFormat/>
    <w:uiPriority w:val="0"/>
    <w:pPr>
      <w:shd w:val="clear" w:color="auto" w:fill="000080"/>
    </w:pPr>
  </w:style>
  <w:style w:type="paragraph" w:styleId="21">
    <w:name w:val="annotation text"/>
    <w:basedOn w:val="1"/>
    <w:link w:val="345"/>
    <w:autoRedefine/>
    <w:qFormat/>
    <w:uiPriority w:val="99"/>
    <w:pPr>
      <w:jc w:val="left"/>
    </w:pPr>
  </w:style>
  <w:style w:type="paragraph" w:styleId="22">
    <w:name w:val="Salutation"/>
    <w:basedOn w:val="1"/>
    <w:next w:val="1"/>
    <w:link w:val="299"/>
    <w:autoRedefine/>
    <w:qFormat/>
    <w:uiPriority w:val="0"/>
    <w:rPr>
      <w:rFonts w:ascii="仿宋_GB2312" w:eastAsia="仿宋_GB2312"/>
      <w:sz w:val="28"/>
      <w:szCs w:val="20"/>
    </w:rPr>
  </w:style>
  <w:style w:type="paragraph" w:styleId="23">
    <w:name w:val="Body Text 3"/>
    <w:basedOn w:val="1"/>
    <w:link w:val="331"/>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22"/>
    <w:autoRedefine/>
    <w:qFormat/>
    <w:uiPriority w:val="0"/>
    <w:pPr>
      <w:ind w:firstLine="420"/>
    </w:pPr>
    <w:rPr>
      <w:rFonts w:hAnsi="Calibri" w:cs="Times New Roman"/>
      <w:snapToGrid/>
      <w:szCs w:val="20"/>
    </w:rPr>
  </w:style>
  <w:style w:type="paragraph" w:styleId="27">
    <w:name w:val="toc 6"/>
    <w:basedOn w:val="1"/>
    <w:next w:val="1"/>
    <w:autoRedefine/>
    <w:qFormat/>
    <w:uiPriority w:val="0"/>
    <w:pPr>
      <w:ind w:left="2100" w:leftChars="1000"/>
    </w:pPr>
  </w:style>
  <w:style w:type="paragraph" w:styleId="28">
    <w:name w:val="Body Text Indent"/>
    <w:basedOn w:val="1"/>
    <w:next w:val="1"/>
    <w:link w:val="266"/>
    <w:autoRedefine/>
    <w:qFormat/>
    <w:uiPriority w:val="0"/>
    <w:pPr>
      <w:spacing w:line="480" w:lineRule="exact"/>
      <w:ind w:firstLine="480" w:firstLineChars="200"/>
    </w:pPr>
    <w:rPr>
      <w:rFonts w:ascii="宋体" w:hAnsi="宋体"/>
      <w:sz w:val="24"/>
    </w:rPr>
  </w:style>
  <w:style w:type="paragraph" w:styleId="29">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6"/>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2"/>
    <w:autoRedefine/>
    <w:qFormat/>
    <w:uiPriority w:val="0"/>
    <w:pPr>
      <w:ind w:left="100" w:leftChars="2500"/>
    </w:pPr>
    <w:rPr>
      <w:rFonts w:ascii="宋体"/>
      <w:sz w:val="24"/>
      <w:szCs w:val="21"/>
      <w:lang w:val="zh-CN"/>
    </w:rPr>
  </w:style>
  <w:style w:type="paragraph" w:styleId="40">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3"/>
    <w:autoRedefine/>
    <w:qFormat/>
    <w:uiPriority w:val="0"/>
    <w:rPr>
      <w:lang w:val="zh-CN"/>
    </w:rPr>
  </w:style>
  <w:style w:type="paragraph" w:styleId="42">
    <w:name w:val="Balloon Text"/>
    <w:basedOn w:val="1"/>
    <w:link w:val="189"/>
    <w:autoRedefine/>
    <w:qFormat/>
    <w:uiPriority w:val="0"/>
    <w:rPr>
      <w:sz w:val="18"/>
      <w:szCs w:val="18"/>
    </w:rPr>
  </w:style>
  <w:style w:type="paragraph" w:styleId="43">
    <w:name w:val="footer"/>
    <w:basedOn w:val="1"/>
    <w:link w:val="384"/>
    <w:autoRedefine/>
    <w:qFormat/>
    <w:uiPriority w:val="99"/>
    <w:pPr>
      <w:tabs>
        <w:tab w:val="center" w:pos="4153"/>
        <w:tab w:val="right" w:pos="8306"/>
      </w:tabs>
      <w:snapToGrid w:val="0"/>
      <w:jc w:val="left"/>
    </w:pPr>
    <w:rPr>
      <w:sz w:val="18"/>
      <w:szCs w:val="18"/>
    </w:rPr>
  </w:style>
  <w:style w:type="paragraph" w:styleId="44">
    <w:name w:val="header"/>
    <w:basedOn w:val="1"/>
    <w:next w:val="45"/>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5">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46">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autoRedefine/>
    <w:qFormat/>
    <w:uiPriority w:val="0"/>
  </w:style>
  <w:style w:type="paragraph" w:styleId="48">
    <w:name w:val="toc 4"/>
    <w:basedOn w:val="1"/>
    <w:next w:val="1"/>
    <w:autoRedefine/>
    <w:qFormat/>
    <w:uiPriority w:val="0"/>
    <w:pPr>
      <w:ind w:left="1260" w:leftChars="600"/>
    </w:pPr>
  </w:style>
  <w:style w:type="paragraph" w:styleId="49">
    <w:name w:val="index heading"/>
    <w:basedOn w:val="1"/>
    <w:next w:val="50"/>
    <w:autoRedefine/>
    <w:qFormat/>
    <w:uiPriority w:val="0"/>
    <w:pPr>
      <w:adjustRightInd/>
      <w:ind w:firstLine="200" w:firstLineChars="200"/>
    </w:pPr>
  </w:style>
  <w:style w:type="paragraph" w:styleId="50">
    <w:name w:val="index 1"/>
    <w:basedOn w:val="1"/>
    <w:next w:val="1"/>
    <w:autoRedefine/>
    <w:qFormat/>
    <w:uiPriority w:val="0"/>
    <w:pPr>
      <w:adjustRightInd/>
      <w:spacing w:line="360" w:lineRule="auto"/>
      <w:ind w:firstLine="200" w:firstLineChars="200"/>
      <w:jc w:val="center"/>
    </w:pPr>
    <w:rPr>
      <w:sz w:val="24"/>
      <w:szCs w:val="20"/>
    </w:rPr>
  </w:style>
  <w:style w:type="paragraph" w:styleId="51">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autoRedefine/>
    <w:qFormat/>
    <w:uiPriority w:val="0"/>
    <w:pPr>
      <w:tabs>
        <w:tab w:val="left" w:pos="902"/>
      </w:tabs>
      <w:adjustRightInd/>
      <w:spacing w:line="400" w:lineRule="exact"/>
      <w:ind w:left="902" w:hanging="420"/>
    </w:pPr>
    <w:rPr>
      <w:sz w:val="24"/>
      <w:szCs w:val="20"/>
    </w:rPr>
  </w:style>
  <w:style w:type="paragraph" w:styleId="53">
    <w:name w:val="List"/>
    <w:basedOn w:val="1"/>
    <w:autoRedefine/>
    <w:qFormat/>
    <w:uiPriority w:val="0"/>
    <w:pPr>
      <w:ind w:left="200" w:hanging="200" w:hangingChars="200"/>
    </w:pPr>
  </w:style>
  <w:style w:type="paragraph" w:styleId="54">
    <w:name w:val="footnote text"/>
    <w:basedOn w:val="7"/>
    <w:link w:val="311"/>
    <w:autoRedefine/>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autoRedefine/>
    <w:qFormat/>
    <w:uiPriority w:val="0"/>
    <w:pPr>
      <w:adjustRightInd/>
      <w:ind w:left="100" w:leftChars="800" w:hanging="200" w:hangingChars="200"/>
    </w:pPr>
  </w:style>
  <w:style w:type="paragraph" w:styleId="56">
    <w:name w:val="Body Text Indent 3"/>
    <w:basedOn w:val="1"/>
    <w:link w:val="376"/>
    <w:autoRedefine/>
    <w:qFormat/>
    <w:uiPriority w:val="0"/>
    <w:pPr>
      <w:spacing w:line="360" w:lineRule="auto"/>
      <w:ind w:firstLine="420"/>
    </w:pPr>
    <w:rPr>
      <w:sz w:val="24"/>
      <w:szCs w:val="20"/>
    </w:r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3"/>
    <w:autoRedefine/>
    <w:qFormat/>
    <w:uiPriority w:val="0"/>
    <w:pPr>
      <w:spacing w:after="120" w:line="480" w:lineRule="auto"/>
    </w:pPr>
  </w:style>
  <w:style w:type="paragraph" w:styleId="60">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97"/>
    <w:autoRedefine/>
    <w:qFormat/>
    <w:uiPriority w:val="0"/>
    <w:rPr>
      <w:b/>
      <w:bCs/>
    </w:rPr>
  </w:style>
  <w:style w:type="paragraph" w:styleId="64">
    <w:name w:val="Body Text First Indent 2"/>
    <w:basedOn w:val="28"/>
    <w:link w:val="122"/>
    <w:autoRedefine/>
    <w:qFormat/>
    <w:uiPriority w:val="0"/>
    <w:pPr>
      <w:adjustRightInd/>
      <w:spacing w:after="120" w:line="240" w:lineRule="auto"/>
      <w:ind w:left="420" w:leftChars="200" w:firstLine="210"/>
    </w:pPr>
    <w:rPr>
      <w:sz w:val="21"/>
    </w:rPr>
  </w:style>
  <w:style w:type="table" w:styleId="66">
    <w:name w:val="Table Grid"/>
    <w:basedOn w:val="6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autoRedefine/>
    <w:qFormat/>
    <w:uiPriority w:val="22"/>
    <w:rPr>
      <w:b/>
      <w:bCs/>
    </w:rPr>
  </w:style>
  <w:style w:type="character" w:styleId="74">
    <w:name w:val="endnote reference"/>
    <w:autoRedefine/>
    <w:qFormat/>
    <w:uiPriority w:val="0"/>
    <w:rPr>
      <w:vertAlign w:val="superscript"/>
    </w:rPr>
  </w:style>
  <w:style w:type="character" w:styleId="75">
    <w:name w:val="page number"/>
    <w:basedOn w:val="72"/>
    <w:autoRedefine/>
    <w:qFormat/>
    <w:uiPriority w:val="0"/>
    <w:rPr>
      <w:rFonts w:ascii="Arial" w:hAnsi="Arial" w:eastAsia="黑体" w:cs="Arial"/>
      <w:snapToGrid w:val="0"/>
      <w:kern w:val="0"/>
      <w:szCs w:val="21"/>
    </w:rPr>
  </w:style>
  <w:style w:type="character" w:styleId="76">
    <w:name w:val="FollowedHyperlink"/>
    <w:autoRedefine/>
    <w:qFormat/>
    <w:uiPriority w:val="99"/>
    <w:rPr>
      <w:rFonts w:ascii="Arial" w:hAnsi="Arial" w:eastAsia="黑体" w:cs="Arial"/>
      <w:snapToGrid w:val="0"/>
      <w:color w:val="000000"/>
      <w:kern w:val="0"/>
      <w:sz w:val="18"/>
      <w:szCs w:val="18"/>
      <w:u w:val="none"/>
    </w:rPr>
  </w:style>
  <w:style w:type="character" w:styleId="77">
    <w:name w:val="Emphasis"/>
    <w:autoRedefine/>
    <w:qFormat/>
    <w:uiPriority w:val="20"/>
    <w:rPr>
      <w:color w:val="CC0033"/>
    </w:rPr>
  </w:style>
  <w:style w:type="character" w:styleId="78">
    <w:name w:val="line number"/>
    <w:basedOn w:val="72"/>
    <w:autoRedefine/>
    <w:qFormat/>
    <w:uiPriority w:val="0"/>
    <w:rPr>
      <w:rFonts w:ascii="Arial" w:hAnsi="Arial" w:eastAsia="黑体" w:cs="Arial"/>
      <w:snapToGrid w:val="0"/>
      <w:kern w:val="0"/>
      <w:szCs w:val="21"/>
    </w:rPr>
  </w:style>
  <w:style w:type="character" w:styleId="79">
    <w:name w:val="Hyperlink"/>
    <w:autoRedefine/>
    <w:qFormat/>
    <w:uiPriority w:val="99"/>
    <w:rPr>
      <w:rFonts w:ascii="Arial" w:hAnsi="Arial" w:eastAsia="黑体" w:cs="Arial"/>
      <w:snapToGrid w:val="0"/>
      <w:color w:val="000000"/>
      <w:kern w:val="0"/>
      <w:sz w:val="18"/>
      <w:szCs w:val="18"/>
      <w:u w:val="none"/>
    </w:rPr>
  </w:style>
  <w:style w:type="character" w:styleId="80">
    <w:name w:val="HTML Code"/>
    <w:autoRedefine/>
    <w:qFormat/>
    <w:uiPriority w:val="0"/>
    <w:rPr>
      <w:rFonts w:ascii="黑体" w:hAnsi="Courier New" w:eastAsia="黑体" w:cs="楷体_GB2312"/>
      <w:sz w:val="20"/>
      <w:szCs w:val="20"/>
    </w:rPr>
  </w:style>
  <w:style w:type="character" w:styleId="81">
    <w:name w:val="annotation reference"/>
    <w:autoRedefine/>
    <w:qFormat/>
    <w:uiPriority w:val="99"/>
    <w:rPr>
      <w:sz w:val="21"/>
      <w:szCs w:val="21"/>
    </w:rPr>
  </w:style>
  <w:style w:type="paragraph" w:customStyle="1" w:styleId="82">
    <w:name w:val="[Normal]"/>
    <w:autoRedefine/>
    <w:qFormat/>
    <w:uiPriority w:val="0"/>
    <w:rPr>
      <w:rFonts w:ascii="宋体" w:hAnsi="宋体" w:eastAsia="宋体" w:cs="Times New Roman"/>
      <w:sz w:val="24"/>
      <w:szCs w:val="22"/>
      <w:lang w:val="zh-CN" w:eastAsia="zh-CN" w:bidi="ar-SA"/>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3"/>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64"/>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2"/>
    <w:autoRedefine/>
    <w:qFormat/>
    <w:uiPriority w:val="0"/>
    <w:rPr>
      <w:rFonts w:ascii="Arial" w:hAnsi="Arial" w:eastAsia="黑体" w:cs="Arial"/>
      <w:snapToGrid w:val="0"/>
      <w:kern w:val="0"/>
      <w:szCs w:val="21"/>
    </w:rPr>
  </w:style>
  <w:style w:type="character" w:customStyle="1" w:styleId="126">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51"/>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10"/>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5"/>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9"/>
    <w:autoRedefine/>
    <w:qFormat/>
    <w:uiPriority w:val="0"/>
    <w:rPr>
      <w:rFonts w:ascii="宋体"/>
      <w:kern w:val="2"/>
      <w:sz w:val="24"/>
      <w:szCs w:val="21"/>
      <w:lang w:val="zh-CN"/>
    </w:rPr>
  </w:style>
  <w:style w:type="character" w:customStyle="1" w:styleId="183">
    <w:name w:val="标题 9 Char"/>
    <w:link w:val="13"/>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42"/>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7"/>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20"/>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2"/>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3"/>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8"/>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8"/>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9">
    <w:name w:val="列出段落1"/>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28"/>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4"/>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62"/>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9"/>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2"/>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60"/>
    <w:autoRedefine/>
    <w:qFormat/>
    <w:uiPriority w:val="0"/>
    <w:rPr>
      <w:rFonts w:ascii="黑体" w:hAnsi="Courier New" w:eastAsia="黑体"/>
    </w:rPr>
  </w:style>
  <w:style w:type="character" w:customStyle="1" w:styleId="303">
    <w:name w:val="正文文本 2 Char1"/>
    <w:link w:val="59"/>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8"/>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11"/>
    <w:autoRedefine/>
    <w:qFormat/>
    <w:uiPriority w:val="0"/>
    <w:rPr>
      <w:b/>
      <w:bCs/>
      <w:kern w:val="2"/>
      <w:sz w:val="24"/>
      <w:szCs w:val="24"/>
    </w:rPr>
  </w:style>
  <w:style w:type="character" w:customStyle="1" w:styleId="309">
    <w:name w:val="正文文本缩进 2 Char"/>
    <w:link w:val="40"/>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4"/>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26"/>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8"/>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3"/>
    <w:autoRedefine/>
    <w:qFormat/>
    <w:uiPriority w:val="0"/>
    <w:rPr>
      <w:kern w:val="2"/>
      <w:sz w:val="21"/>
    </w:rPr>
  </w:style>
  <w:style w:type="character" w:customStyle="1" w:styleId="332">
    <w:name w:val="font3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21"/>
    <w:autoRedefine/>
    <w:qFormat/>
    <w:uiPriority w:val="99"/>
    <w:rPr>
      <w:kern w:val="2"/>
      <w:sz w:val="21"/>
      <w:szCs w:val="24"/>
    </w:rPr>
  </w:style>
  <w:style w:type="character" w:customStyle="1" w:styleId="346">
    <w:name w:val="签名 Char"/>
    <w:link w:val="46"/>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6"/>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3"/>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4"/>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156"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2"/>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7"/>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2"/>
    <w:autoRedefine/>
    <w:qFormat/>
    <w:uiPriority w:val="0"/>
    <w:rPr>
      <w:rFonts w:ascii="Arial" w:hAnsi="Arial" w:eastAsia="黑体" w:cs="Arial"/>
      <w:snapToGrid w:val="0"/>
      <w:kern w:val="0"/>
      <w:szCs w:val="21"/>
    </w:rPr>
  </w:style>
  <w:style w:type="character" w:customStyle="1" w:styleId="433">
    <w:name w:val="hui"/>
    <w:basedOn w:val="72"/>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312"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spacing w:before="0" w:after="0"/>
      <w:outlineLvl w:val="5"/>
    </w:pPr>
  </w:style>
  <w:style w:type="paragraph" w:customStyle="1" w:styleId="475">
    <w:name w:val="5级标题"/>
    <w:basedOn w:val="476"/>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4">
    <w:name w:val="无间隔2"/>
    <w:basedOn w:val="1"/>
    <w:link w:val="934"/>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6"/>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9"/>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6"/>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8"/>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9"/>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4"/>
    <w:autoRedefine/>
    <w:qFormat/>
    <w:uiPriority w:val="0"/>
    <w:pPr>
      <w:tabs>
        <w:tab w:val="left" w:pos="840"/>
      </w:tabs>
      <w:adjustRightInd/>
      <w:ind w:left="840" w:hanging="420"/>
    </w:pPr>
  </w:style>
  <w:style w:type="paragraph" w:customStyle="1" w:styleId="627">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1"/>
    <w:next w:val="2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pPr>
      <w:spacing w:line="360" w:lineRule="auto"/>
    </w:pPr>
    <w:rPr>
      <w:szCs w:val="20"/>
    </w:rPr>
  </w:style>
  <w:style w:type="paragraph" w:customStyle="1" w:styleId="707">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rPr>
      <w:sz w:val="24"/>
    </w:r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0"/>
    <w:pPr>
      <w:adjustRightInd/>
      <w:spacing w:line="400" w:lineRule="exact"/>
      <w:ind w:firstLine="200" w:firstLineChars="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40"/>
    <w:autoRedefine/>
    <w:qFormat/>
    <w:uiPriority w:val="0"/>
    <w:pPr>
      <w:spacing w:after="120" w:line="480" w:lineRule="auto"/>
      <w:ind w:left="420" w:leftChars="200"/>
    </w:pPr>
    <w:rPr>
      <w:sz w:val="24"/>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 w:val="24"/>
      <w:szCs w:val="20"/>
    </w:rPr>
  </w:style>
  <w:style w:type="paragraph" w:customStyle="1" w:styleId="739">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autoRedefine/>
    <w:qFormat/>
    <w:uiPriority w:val="0"/>
    <w:pPr>
      <w:spacing w:line="360" w:lineRule="auto"/>
      <w:ind w:firstLine="200" w:firstLineChars="200"/>
    </w:pPr>
    <w:rPr>
      <w:sz w:val="24"/>
    </w:rPr>
  </w:style>
  <w:style w:type="paragraph" w:customStyle="1" w:styleId="74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0"/>
    <w:pPr>
      <w:adjustRightInd/>
      <w:ind w:firstLine="200" w:firstLineChars="200"/>
    </w:pPr>
    <w:rPr>
      <w:rFonts w:ascii="Tahoma" w:hAnsi="Tahoma"/>
      <w:sz w:val="24"/>
      <w:szCs w:val="20"/>
    </w:rPr>
  </w:style>
  <w:style w:type="paragraph" w:customStyle="1" w:styleId="747">
    <w:name w:val="_标题2"/>
    <w:basedOn w:val="714"/>
    <w:next w:val="714"/>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0"/>
    <w:pPr>
      <w:adjustRightInd/>
    </w:pPr>
    <w:rPr>
      <w:rFonts w:ascii="Tahoma" w:hAnsi="Tahoma"/>
      <w:sz w:val="24"/>
    </w:rPr>
  </w:style>
  <w:style w:type="paragraph" w:customStyle="1" w:styleId="755">
    <w:name w:val="Char Char Char Char11"/>
    <w:basedOn w:val="1"/>
    <w:autoRedefine/>
    <w:qFormat/>
    <w:uiPriority w:val="0"/>
    <w:rPr>
      <w:rFonts w:ascii="Tahoma" w:hAnsi="Tahoma"/>
      <w:sz w:val="24"/>
      <w:szCs w:val="20"/>
    </w:rPr>
  </w:style>
  <w:style w:type="paragraph" w:customStyle="1" w:styleId="756">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71">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6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 w:val="24"/>
      <w:szCs w:val="20"/>
    </w:rPr>
  </w:style>
  <w:style w:type="paragraph" w:customStyle="1" w:styleId="777">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8"/>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6"/>
    <w:next w:val="56"/>
    <w:autoRedefine/>
    <w:qFormat/>
    <w:uiPriority w:val="0"/>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firstLineChars="200"/>
    </w:pPr>
    <w:rPr>
      <w:rFonts w:ascii="Tahoma" w:hAnsi="Tahoma"/>
      <w:sz w:val="24"/>
      <w:szCs w:val="20"/>
    </w:rPr>
  </w:style>
  <w:style w:type="paragraph" w:customStyle="1" w:styleId="792">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641"/>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autoRedefine/>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3">
    <w:name w:val="单元格左对齐"/>
    <w:basedOn w:val="1"/>
    <w:autoRedefine/>
    <w:qFormat/>
    <w:uiPriority w:val="0"/>
    <w:pPr>
      <w:adjustRightInd/>
      <w:spacing w:line="360" w:lineRule="auto"/>
    </w:pPr>
    <w:rPr>
      <w:sz w:val="24"/>
    </w:rPr>
  </w:style>
  <w:style w:type="paragraph" w:customStyle="1" w:styleId="804">
    <w:name w:val="正文主体"/>
    <w:basedOn w:val="625"/>
    <w:autoRedefine/>
    <w:qFormat/>
    <w:uiPriority w:val="0"/>
  </w:style>
  <w:style w:type="paragraph" w:customStyle="1" w:styleId="80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spacing w:line="360" w:lineRule="auto"/>
      <w:ind w:firstLine="480" w:firstLineChars="200"/>
    </w:pPr>
    <w:rPr>
      <w:sz w:val="24"/>
      <w:szCs w:val="20"/>
    </w:rPr>
  </w:style>
  <w:style w:type="paragraph" w:customStyle="1" w:styleId="809">
    <w:name w:val="P1"/>
    <w:basedOn w:val="1"/>
    <w:autoRedefine/>
    <w:qFormat/>
    <w:uiPriority w:val="0"/>
    <w:pPr>
      <w:adjustRightInd/>
      <w:spacing w:line="288" w:lineRule="auto"/>
      <w:ind w:firstLine="425" w:firstLineChars="200"/>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pPr>
      <w:spacing w:line="360" w:lineRule="auto"/>
    </w:pPr>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3">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autoRedefine/>
    <w:qFormat/>
    <w:uiPriority w:val="0"/>
    <w:pPr>
      <w:spacing w:line="360" w:lineRule="auto"/>
    </w:pPr>
    <w:rPr>
      <w:szCs w:val="20"/>
    </w:rPr>
  </w:style>
  <w:style w:type="paragraph" w:customStyle="1" w:styleId="818">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autoRedefine/>
    <w:qFormat/>
    <w:uiPriority w:val="0"/>
    <w:pPr>
      <w:spacing w:line="360" w:lineRule="auto"/>
    </w:pPr>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firstLineChars="200"/>
    </w:pPr>
    <w:rPr>
      <w:rFonts w:ascii="Tahoma" w:hAnsi="Tahoma"/>
      <w:sz w:val="24"/>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autoRedefine/>
    <w:qFormat/>
    <w:uiPriority w:val="0"/>
    <w:rPr>
      <w:rFonts w:ascii="Tahoma" w:hAnsi="Tahoma" w:cs="仿宋_GB2312"/>
      <w:sz w:val="24"/>
      <w:szCs w:val="20"/>
    </w:rPr>
  </w:style>
  <w:style w:type="paragraph" w:customStyle="1" w:styleId="841">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8"/>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0"/>
    <w:rPr>
      <w:rFonts w:ascii="仿宋_GB2312" w:eastAsia="仿宋_GB2312"/>
      <w:b/>
      <w:sz w:val="32"/>
      <w:szCs w:val="20"/>
    </w:rPr>
  </w:style>
  <w:style w:type="paragraph" w:customStyle="1" w:styleId="846">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0"/>
    <w:rPr>
      <w:rFonts w:ascii="仿宋_GB2312" w:eastAsia="仿宋_GB2312"/>
      <w:b/>
      <w:sz w:val="32"/>
      <w:szCs w:val="20"/>
    </w:rPr>
  </w:style>
  <w:style w:type="paragraph" w:customStyle="1" w:styleId="848">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0">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5">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autoRedefine/>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9">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0"/>
    <w:pPr>
      <w:widowControl/>
      <w:spacing w:after="160" w:line="240" w:lineRule="exact"/>
      <w:jc w:val="left"/>
    </w:pPr>
    <w:rPr>
      <w:rFonts w:eastAsia="仿宋_GB2312"/>
      <w:sz w:val="28"/>
    </w:rPr>
  </w:style>
  <w:style w:type="paragraph" w:customStyle="1" w:styleId="862">
    <w:name w:val="Char21"/>
    <w:basedOn w:val="1"/>
    <w:autoRedefine/>
    <w:qFormat/>
    <w:uiPriority w:val="0"/>
    <w:pPr>
      <w:adjustRightInd/>
      <w:ind w:firstLine="200" w:firstLineChars="200"/>
    </w:pPr>
    <w:rPr>
      <w:rFonts w:ascii="仿宋_GB2312" w:eastAsia="仿宋_GB2312"/>
      <w:b/>
      <w:sz w:val="32"/>
      <w:szCs w:val="32"/>
    </w:rPr>
  </w:style>
  <w:style w:type="paragraph" w:customStyle="1" w:styleId="863">
    <w:name w:val="列表段落1"/>
    <w:basedOn w:val="1"/>
    <w:autoRedefine/>
    <w:qFormat/>
    <w:uiPriority w:val="34"/>
    <w:pPr>
      <w:adjustRightInd/>
      <w:ind w:right="238" w:firstLine="420"/>
    </w:pPr>
    <w:rPr>
      <w:rFonts w:ascii="Calibri" w:hAnsi="Calibri"/>
      <w:sz w:val="24"/>
    </w:rPr>
  </w:style>
  <w:style w:type="paragraph" w:customStyle="1" w:styleId="864">
    <w:name w:val="Char Char110"/>
    <w:basedOn w:val="1"/>
    <w:autoRedefine/>
    <w:qFormat/>
    <w:uiPriority w:val="6"/>
    <w:pPr>
      <w:spacing w:line="360" w:lineRule="auto"/>
    </w:pPr>
    <w:rPr>
      <w:rFonts w:ascii="Tahoma" w:hAnsi="Tahoma"/>
      <w:sz w:val="24"/>
      <w:szCs w:val="20"/>
    </w:rPr>
  </w:style>
  <w:style w:type="paragraph" w:customStyle="1" w:styleId="865">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7">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0"/>
    <w:rPr>
      <w:rFonts w:ascii="Tahoma" w:hAnsi="Tahoma" w:cs="仿宋_GB2312"/>
      <w:sz w:val="24"/>
      <w:szCs w:val="20"/>
    </w:rPr>
  </w:style>
  <w:style w:type="paragraph" w:customStyle="1" w:styleId="870">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4">
    <w:name w:val="_Style 12"/>
    <w:basedOn w:val="20"/>
    <w:autoRedefine/>
    <w:qFormat/>
    <w:uiPriority w:val="0"/>
    <w:pPr>
      <w:snapToGrid w:val="0"/>
      <w:spacing w:line="360" w:lineRule="auto"/>
    </w:pPr>
  </w:style>
  <w:style w:type="paragraph" w:customStyle="1" w:styleId="875">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autoRedefine/>
    <w:qFormat/>
    <w:uiPriority w:val="0"/>
    <w:pPr>
      <w:outlineLvl w:val="2"/>
    </w:pPr>
  </w:style>
  <w:style w:type="paragraph" w:customStyle="1" w:styleId="88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0"/>
    <w:pPr>
      <w:adjustRightInd/>
      <w:ind w:firstLine="200" w:firstLineChars="200"/>
    </w:pPr>
    <w:rPr>
      <w:rFonts w:ascii="Tahoma" w:hAnsi="Tahoma"/>
      <w:sz w:val="24"/>
      <w:szCs w:val="20"/>
    </w:rPr>
  </w:style>
  <w:style w:type="paragraph" w:customStyle="1" w:styleId="884">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5">
    <w:name w:val="MM Empty"/>
    <w:basedOn w:val="1"/>
    <w:autoRedefine/>
    <w:qFormat/>
    <w:uiPriority w:val="0"/>
    <w:pPr>
      <w:adjustRightInd/>
    </w:pPr>
  </w:style>
  <w:style w:type="paragraph" w:customStyle="1" w:styleId="886">
    <w:name w:val="Char24"/>
    <w:basedOn w:val="1"/>
    <w:autoRedefine/>
    <w:qFormat/>
    <w:uiPriority w:val="0"/>
    <w:rPr>
      <w:rFonts w:ascii="仿宋_GB2312" w:eastAsia="仿宋_GB2312"/>
      <w:b/>
      <w:sz w:val="32"/>
      <w:szCs w:val="32"/>
    </w:rPr>
  </w:style>
  <w:style w:type="paragraph" w:customStyle="1" w:styleId="887">
    <w:name w:val="正文箭头"/>
    <w:basedOn w:val="539"/>
    <w:autoRedefine/>
    <w:qFormat/>
    <w:uiPriority w:val="0"/>
  </w:style>
  <w:style w:type="paragraph" w:customStyle="1" w:styleId="888">
    <w:name w:val="U_编号2"/>
    <w:basedOn w:val="1"/>
    <w:autoRedefine/>
    <w:qFormat/>
    <w:uiPriority w:val="0"/>
    <w:pPr>
      <w:tabs>
        <w:tab w:val="left" w:pos="785"/>
      </w:tabs>
      <w:adjustRightInd/>
      <w:spacing w:beforeLines="10" w:afterLines="10" w:line="300" w:lineRule="auto"/>
    </w:pPr>
    <w:rPr>
      <w:sz w:val="24"/>
    </w:rPr>
  </w:style>
  <w:style w:type="paragraph" w:customStyle="1" w:styleId="88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autoRedefine/>
    <w:qFormat/>
    <w:uiPriority w:val="34"/>
    <w:pPr>
      <w:adjustRightInd/>
      <w:ind w:firstLine="420" w:firstLineChars="200"/>
    </w:pPr>
    <w:rPr>
      <w:rFonts w:eastAsia="仿宋_GB2312"/>
      <w:sz w:val="28"/>
    </w:rPr>
  </w:style>
  <w:style w:type="paragraph" w:customStyle="1" w:styleId="894">
    <w:name w:val="表格 内容"/>
    <w:basedOn w:val="730"/>
    <w:autoRedefine/>
    <w:qFormat/>
    <w:uiPriority w:val="0"/>
    <w:rPr>
      <w:b w:val="0"/>
      <w:sz w:val="20"/>
    </w:rPr>
  </w:style>
  <w:style w:type="paragraph" w:customStyle="1" w:styleId="895">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9"/>
    <w:next w:val="1"/>
    <w:autoRedefine/>
    <w:qFormat/>
    <w:uiPriority w:val="0"/>
    <w:pPr>
      <w:tabs>
        <w:tab w:val="left" w:pos="1080"/>
      </w:tabs>
      <w:ind w:left="1080" w:hanging="1080"/>
    </w:pPr>
  </w:style>
  <w:style w:type="paragraph" w:customStyle="1" w:styleId="898">
    <w:name w:val="数字标题1"/>
    <w:basedOn w:val="4"/>
    <w:next w:val="1"/>
    <w:autoRedefine/>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autoRedefine/>
    <w:qFormat/>
    <w:uiPriority w:val="0"/>
    <w:pPr>
      <w:widowControl/>
    </w:pPr>
    <w:rPr>
      <w:kern w:val="0"/>
      <w:sz w:val="24"/>
      <w:szCs w:val="20"/>
    </w:rPr>
  </w:style>
  <w:style w:type="paragraph" w:customStyle="1" w:styleId="906">
    <w:name w:val="Char Char113"/>
    <w:basedOn w:val="1"/>
    <w:autoRedefine/>
    <w:qFormat/>
    <w:uiPriority w:val="0"/>
    <w:pPr>
      <w:widowControl/>
      <w:spacing w:after="160" w:line="240" w:lineRule="exact"/>
      <w:jc w:val="left"/>
    </w:pPr>
    <w:rPr>
      <w:rFonts w:eastAsia="仿宋_GB2312"/>
      <w:sz w:val="28"/>
    </w:rPr>
  </w:style>
  <w:style w:type="paragraph" w:customStyle="1" w:styleId="90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autoRedefine/>
    <w:qFormat/>
    <w:uiPriority w:val="34"/>
    <w:pPr>
      <w:adjustRightInd/>
      <w:ind w:firstLine="420" w:firstLineChars="200"/>
    </w:pPr>
    <w:rPr>
      <w:rFonts w:eastAsia="仿宋_GB2312"/>
      <w:sz w:val="28"/>
    </w:rPr>
  </w:style>
  <w:style w:type="paragraph" w:customStyle="1" w:styleId="90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autoRedefine/>
    <w:qFormat/>
    <w:uiPriority w:val="6"/>
    <w:pPr>
      <w:widowControl/>
      <w:spacing w:after="160" w:line="240" w:lineRule="exact"/>
      <w:jc w:val="left"/>
    </w:pPr>
    <w:rPr>
      <w:rFonts w:eastAsia="仿宋_GB2312"/>
      <w:sz w:val="28"/>
    </w:rPr>
  </w:style>
  <w:style w:type="paragraph" w:customStyle="1" w:styleId="915">
    <w:name w:val="正文 图"/>
    <w:basedOn w:val="444"/>
    <w:autoRedefine/>
    <w:qFormat/>
    <w:uiPriority w:val="0"/>
    <w:pPr>
      <w:adjustRightInd/>
      <w:spacing w:before="0"/>
      <w:ind w:firstLine="0"/>
      <w:jc w:val="center"/>
    </w:pPr>
    <w:rPr>
      <w:rFonts w:ascii="微软雅黑" w:hAnsi="微软雅黑"/>
    </w:rPr>
  </w:style>
  <w:style w:type="paragraph" w:customStyle="1" w:styleId="91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autoRedefine/>
    <w:qFormat/>
    <w:uiPriority w:val="0"/>
    <w:pPr>
      <w:ind w:left="0"/>
    </w:pPr>
  </w:style>
  <w:style w:type="paragraph" w:customStyle="1" w:styleId="919">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0"/>
    <w:pPr>
      <w:adjustRightInd/>
      <w:spacing w:line="360" w:lineRule="auto"/>
      <w:ind w:firstLine="480"/>
    </w:pPr>
    <w:rPr>
      <w:sz w:val="24"/>
    </w:rPr>
  </w:style>
  <w:style w:type="table" w:customStyle="1" w:styleId="922">
    <w:name w:val="网格型2"/>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autoRedefine/>
    <w:qFormat/>
    <w:uiPriority w:val="34"/>
    <w:pPr>
      <w:ind w:firstLine="420" w:firstLineChars="200"/>
    </w:pPr>
  </w:style>
  <w:style w:type="character" w:customStyle="1" w:styleId="92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autoRedefine/>
    <w:qFormat/>
    <w:uiPriority w:val="0"/>
    <w:rPr>
      <w:rFonts w:ascii="宋体" w:eastAsia="宋体"/>
      <w:snapToGrid w:val="0"/>
      <w:color w:val="000000"/>
      <w:kern w:val="28"/>
      <w:sz w:val="28"/>
      <w:lang w:val="en-US" w:eastAsia="zh-CN" w:bidi="ar-SA"/>
    </w:rPr>
  </w:style>
  <w:style w:type="character" w:customStyle="1" w:styleId="931">
    <w:name w:val="页脚 字符1"/>
    <w:autoRedefine/>
    <w:qFormat/>
    <w:locked/>
    <w:uiPriority w:val="99"/>
    <w:rPr>
      <w:kern w:val="2"/>
      <w:sz w:val="18"/>
      <w:szCs w:val="18"/>
    </w:rPr>
  </w:style>
  <w:style w:type="character" w:customStyle="1" w:styleId="932">
    <w:name w:val="页眉 字符1"/>
    <w:autoRedefine/>
    <w:qFormat/>
    <w:uiPriority w:val="99"/>
    <w:rPr>
      <w:kern w:val="2"/>
      <w:sz w:val="18"/>
      <w:szCs w:val="18"/>
    </w:rPr>
  </w:style>
  <w:style w:type="character" w:customStyle="1" w:styleId="933">
    <w:name w:val="尾注文本 Char"/>
    <w:link w:val="41"/>
    <w:autoRedefine/>
    <w:qFormat/>
    <w:uiPriority w:val="0"/>
    <w:rPr>
      <w:kern w:val="2"/>
      <w:sz w:val="21"/>
      <w:szCs w:val="24"/>
      <w:lang w:val="zh-CN"/>
    </w:rPr>
  </w:style>
  <w:style w:type="character" w:customStyle="1" w:styleId="934">
    <w:name w:val="无间隔 字符"/>
    <w:link w:val="484"/>
    <w:autoRedefine/>
    <w:qFormat/>
    <w:uiPriority w:val="99"/>
    <w:rPr>
      <w:kern w:val="2"/>
      <w:sz w:val="21"/>
      <w:szCs w:val="22"/>
    </w:rPr>
  </w:style>
  <w:style w:type="character" w:customStyle="1" w:styleId="935">
    <w:name w:val="标准文本 Char Char"/>
    <w:link w:val="936"/>
    <w:autoRedefine/>
    <w:qFormat/>
    <w:uiPriority w:val="0"/>
    <w:rPr>
      <w:rFonts w:cs="宋体"/>
      <w:kern w:val="2"/>
      <w:sz w:val="24"/>
    </w:rPr>
  </w:style>
  <w:style w:type="paragraph" w:customStyle="1" w:styleId="936">
    <w:name w:val="标准文本"/>
    <w:basedOn w:val="1"/>
    <w:link w:val="935"/>
    <w:autoRedefine/>
    <w:qFormat/>
    <w:uiPriority w:val="0"/>
    <w:pPr>
      <w:adjustRightInd/>
      <w:spacing w:line="360" w:lineRule="auto"/>
      <w:ind w:firstLine="480" w:firstLineChars="200"/>
    </w:pPr>
    <w:rPr>
      <w:rFonts w:cs="宋体"/>
      <w:sz w:val="24"/>
      <w:szCs w:val="20"/>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正文文本缩进 字符"/>
    <w:autoRedefine/>
    <w:qFormat/>
    <w:uiPriority w:val="0"/>
    <w:rPr>
      <w:rFonts w:ascii="Century Gothic" w:hAnsi="Century Gothic" w:eastAsia="Century Gothic"/>
      <w:kern w:val="2"/>
      <w:sz w:val="24"/>
      <w:lang w:val="en-US" w:eastAsia="zh-CN" w:bidi="ar-SA"/>
    </w:rPr>
  </w:style>
  <w:style w:type="character" w:customStyle="1" w:styleId="944">
    <w:name w:val="正文文本 2 字符"/>
    <w:autoRedefine/>
    <w:qFormat/>
    <w:uiPriority w:val="0"/>
    <w:rPr>
      <w:rFonts w:ascii="Arial" w:hAnsi="Arial" w:eastAsia="宋体"/>
      <w:kern w:val="2"/>
      <w:sz w:val="24"/>
      <w:szCs w:val="24"/>
      <w:lang w:val="en-US" w:eastAsia="zh-CN" w:bidi="ar-SA"/>
    </w:rPr>
  </w:style>
  <w:style w:type="character" w:customStyle="1" w:styleId="945">
    <w:name w:val="edui-clickable2"/>
    <w:autoRedefine/>
    <w:qFormat/>
    <w:uiPriority w:val="0"/>
    <w:rPr>
      <w:color w:val="0000FF"/>
      <w:u w:val="single"/>
    </w:rPr>
  </w:style>
  <w:style w:type="character" w:customStyle="1" w:styleId="946">
    <w:name w:val="style1"/>
    <w:autoRedefine/>
    <w:qFormat/>
    <w:uiPriority w:val="0"/>
    <w:rPr>
      <w:rFonts w:ascii="Arial" w:hAnsi="Arial" w:eastAsia="黑体" w:cs="Arial"/>
      <w:snapToGrid w:val="0"/>
      <w:kern w:val="0"/>
      <w:szCs w:val="21"/>
    </w:rPr>
  </w:style>
  <w:style w:type="character" w:customStyle="1" w:styleId="947">
    <w:name w:val="zbggtop11 style5"/>
    <w:autoRedefine/>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9">
    <w:name w:val="bulletintext1"/>
    <w:autoRedefine/>
    <w:qFormat/>
    <w:uiPriority w:val="0"/>
    <w:rPr>
      <w:color w:val="000000"/>
      <w:sz w:val="18"/>
    </w:rPr>
  </w:style>
  <w:style w:type="paragraph" w:customStyle="1" w:styleId="950">
    <w:name w:val="_Style 947"/>
    <w:basedOn w:val="1"/>
    <w:next w:val="259"/>
    <w:autoRedefine/>
    <w:qFormat/>
    <w:uiPriority w:val="34"/>
    <w:pPr>
      <w:adjustRightInd/>
      <w:ind w:firstLine="420" w:firstLineChars="20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autoRedefine/>
    <w:qFormat/>
    <w:uiPriority w:val="0"/>
    <w:pPr>
      <w:adjustRightInd/>
      <w:jc w:val="left"/>
    </w:pPr>
    <w:rPr>
      <w:rFonts w:ascii="Calibri" w:hAnsi="Calibri"/>
      <w:kern w:val="0"/>
      <w:sz w:val="22"/>
      <w:szCs w:val="22"/>
      <w:lang w:eastAsia="en-US"/>
    </w:rPr>
  </w:style>
  <w:style w:type="paragraph" w:customStyle="1" w:styleId="95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2"/>
    <w:autoRedefine/>
    <w:qFormat/>
    <w:uiPriority w:val="0"/>
    <w:rPr>
      <w:color w:val="000000"/>
      <w:shd w:val="clear" w:color="auto" w:fill="EFD200"/>
    </w:rPr>
  </w:style>
  <w:style w:type="character" w:customStyle="1" w:styleId="963">
    <w:name w:val="font71"/>
    <w:autoRedefine/>
    <w:qFormat/>
    <w:uiPriority w:val="0"/>
    <w:rPr>
      <w:rFonts w:hint="eastAsia" w:ascii="宋体" w:hAnsi="宋体" w:eastAsia="宋体" w:cs="宋体"/>
      <w:color w:val="000000"/>
      <w:sz w:val="22"/>
      <w:szCs w:val="22"/>
      <w:u w:val="none"/>
    </w:rPr>
  </w:style>
  <w:style w:type="character" w:customStyle="1" w:styleId="964">
    <w:name w:val="font91"/>
    <w:autoRedefine/>
    <w:qFormat/>
    <w:uiPriority w:val="0"/>
    <w:rPr>
      <w:rFonts w:hint="eastAsia" w:ascii="仿宋" w:hAnsi="仿宋" w:eastAsia="仿宋" w:cs="仿宋"/>
      <w:color w:val="000000"/>
      <w:sz w:val="22"/>
      <w:szCs w:val="22"/>
      <w:u w:val="none"/>
    </w:rPr>
  </w:style>
  <w:style w:type="paragraph" w:customStyle="1" w:styleId="965">
    <w:name w:val="样式 标题 2 + Times New Roman 四号 非加粗 段前: 5 磅 段后: 0 磅 行距: 固定值 20..."/>
    <w:basedOn w:val="5"/>
    <w:autoRedefine/>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6">
    <w:name w:val="p16"/>
    <w:basedOn w:val="1"/>
    <w:autoRedefine/>
    <w:qFormat/>
    <w:uiPriority w:val="0"/>
    <w:pPr>
      <w:widowControl/>
      <w:spacing w:before="100" w:after="100"/>
      <w:jc w:val="left"/>
    </w:pPr>
    <w:rPr>
      <w:rFonts w:ascii="宋体" w:hAnsi="宋体" w:cs="宋体"/>
      <w:color w:val="000000"/>
      <w:kern w:val="0"/>
      <w:sz w:val="24"/>
    </w:rPr>
  </w:style>
  <w:style w:type="paragraph" w:customStyle="1" w:styleId="967">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8">
    <w:name w:val="样式 宋体 小四 行距: 1.5 倍行距 首行缩进:  2 字符"/>
    <w:basedOn w:val="1"/>
    <w:autoRedefine/>
    <w:qFormat/>
    <w:uiPriority w:val="0"/>
    <w:pPr>
      <w:spacing w:line="360" w:lineRule="auto"/>
      <w:ind w:firstLine="200" w:firstLineChars="200"/>
    </w:pPr>
    <w:rPr>
      <w:rFonts w:ascii="宋体" w:hAnsi="宋体" w:eastAsia="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2E11C-51AB-47DF-B442-849B3EEBA18D}">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40386</Words>
  <Characters>42898</Characters>
  <Lines>399</Lines>
  <Paragraphs>112</Paragraphs>
  <TotalTime>567</TotalTime>
  <ScaleCrop>false</ScaleCrop>
  <LinksUpToDate>false</LinksUpToDate>
  <CharactersWithSpaces>58298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2022-05-06T23:35:00Z</dcterms:created>
  <dc:creator>玥</dc:creator>
  <cp:lastModifiedBy>qxx</cp:lastModifiedBy>
  <cp:lastPrinted>2021-12-27T03:06:00Z</cp:lastPrinted>
  <dcterms:modified xsi:type="dcterms:W3CDTF">2024-04-17T02:05:57Z</dcterms:modified>
  <dc:title>杭州市市民卡扩大发卡工程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B63C0FC5079F4E0F89B0B96579E77687_13</vt:lpwstr>
  </property>
  <property fmtid="{D5CDD505-2E9C-101B-9397-08002B2CF9AE}" pid="5" name="commondata">
    <vt:lpwstr>eyJoZGlkIjoiNGNlMmFkMDQ1NDY0ZmRiM2Q0NjY4NTFjN2IwMTllYjMifQ==</vt:lpwstr>
  </property>
</Properties>
</file>