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44"/>
          <w:szCs w:val="44"/>
          <w:highlight w:val="none"/>
        </w:rPr>
      </w:pPr>
    </w:p>
    <w:p>
      <w:pPr>
        <w:pStyle w:val="61"/>
        <w:rPr>
          <w:rFonts w:hint="eastAsia"/>
          <w:color w:val="auto"/>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钱塘区2023年-2024年数字城管服务外包项目</w:t>
      </w: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（江东区域）（重新招标）</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ind w:firstLine="2700" w:firstLineChars="9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QTCG-GK-2023-008（2）  </w:t>
      </w:r>
    </w:p>
    <w:p>
      <w:pPr>
        <w:adjustRightInd/>
        <w:spacing w:line="360" w:lineRule="auto"/>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杭州市钱塘区综合行政执法局</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浙江省房地产管理咨询有限公司</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二〇二三年三月十七日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36"/>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钱塘区2023年-2024年数字城管服务外包项目（江东区域）（重新招标）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QTCG-GK-2023-008（2）</w:t>
      </w:r>
      <w:r>
        <w:rPr>
          <w:rFonts w:hint="eastAsia" w:ascii="仿宋" w:hAnsi="仿宋" w:eastAsia="仿宋" w:cs="仿宋"/>
          <w:b/>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钱塘区2023年-2024年数字城管服务外包项目（江东区域）（重新招标）</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5030000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5030000</w:t>
      </w:r>
      <w:r>
        <w:rPr>
          <w:rFonts w:hint="eastAsia" w:ascii="仿宋" w:hAnsi="仿宋" w:eastAsia="仿宋" w:cs="仿宋"/>
          <w:color w:val="auto"/>
          <w:sz w:val="24"/>
          <w:highlight w:val="none"/>
        </w:rPr>
        <w:t xml:space="preserve">  </w:t>
      </w:r>
    </w:p>
    <w:p>
      <w:pPr>
        <w:pStyle w:val="18"/>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钱塘区2023年-2024年数字城管服务外包项目（江东区域）（重新招标）主要内容：根据招标人要求及管理标准，负责钱塘区江东区域（以招标人指定为准）城市事件动态问题及部件完好、变更信息的限时采集；对热线投诉和社区联系站等途径反馈问题进行核查；对所发现问题结案前进行核实；根据城市管理工作的要求，实施各类专项信息采集工作以及数字城管要求的其他相关工作。具体以招标文件第三部分采购需求为准，供应商可点击本公告下方“浏览采购文件”查看采购需求。</w:t>
      </w:r>
    </w:p>
    <w:p>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2"/>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lang w:val="en-US" w:eastAsia="zh-CN"/>
        </w:rPr>
        <w:t>2年。</w:t>
      </w:r>
    </w:p>
    <w:p>
      <w:pPr>
        <w:pStyle w:val="18"/>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snapToGrid w:val="0"/>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6"/>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hint="eastAsia"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8"/>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928616923"/>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1"/>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20"/>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23"/>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 w:hAnsi="仿宋" w:eastAsia="仿宋" w:cs="仿宋"/>
            <w:color w:val="auto"/>
            <w:kern w:val="0"/>
            <w:sz w:val="24"/>
            <w:highlight w:val="none"/>
          </w:rPr>
          <w:id w:val="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25"/>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w:t>
      </w:r>
      <w:r>
        <w:rPr>
          <w:rFonts w:hint="eastAsia" w:ascii="仿宋" w:hAnsi="仿宋" w:eastAsia="仿宋" w:cs="宋体"/>
          <w:color w:val="auto"/>
          <w:spacing w:val="8"/>
          <w:kern w:val="0"/>
          <w:sz w:val="24"/>
          <w:highlight w:val="none"/>
        </w:rPr>
        <w:t>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2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7"/>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pStyle w:val="58"/>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ascii="仿宋_GB2312" w:hAnsi="仿宋" w:eastAsia="仿宋_GB2312"/>
          <w:color w:val="auto"/>
          <w:sz w:val="24"/>
          <w:highlight w:val="none"/>
        </w:rPr>
        <w:t xml:space="preserve">   </w:t>
      </w: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杭州市钱塘区综合行政执法局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杭州钱塘区松合路369号</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倪成丰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0571-89898743</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质疑联系人：金海明</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质疑联系方式：0571-86933036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称：浙江省房地产管理咨询有限公司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w:t>
      </w:r>
      <w:r>
        <w:rPr>
          <w:rFonts w:hint="eastAsia" w:ascii="仿宋" w:hAnsi="仿宋" w:eastAsia="仿宋" w:cs="仿宋"/>
          <w:color w:val="auto"/>
          <w:sz w:val="24"/>
          <w:highlight w:val="none"/>
          <w:lang w:eastAsia="zh-CN"/>
        </w:rPr>
        <w:t>拱墅区</w:t>
      </w:r>
      <w:r>
        <w:rPr>
          <w:rFonts w:hint="eastAsia" w:ascii="仿宋" w:hAnsi="仿宋" w:eastAsia="仿宋" w:cs="仿宋"/>
          <w:color w:val="auto"/>
          <w:sz w:val="24"/>
          <w:highlight w:val="none"/>
        </w:rPr>
        <w:t>三立时代</w:t>
      </w:r>
      <w:r>
        <w:rPr>
          <w:rFonts w:hint="eastAsia" w:ascii="仿宋" w:hAnsi="仿宋" w:eastAsia="仿宋" w:cs="仿宋"/>
          <w:color w:val="auto"/>
          <w:sz w:val="24"/>
          <w:highlight w:val="none"/>
          <w:lang w:eastAsia="zh-CN"/>
        </w:rPr>
        <w:t>广场</w:t>
      </w:r>
      <w:r>
        <w:rPr>
          <w:rFonts w:hint="eastAsia" w:ascii="仿宋" w:hAnsi="仿宋" w:eastAsia="仿宋" w:cs="仿宋"/>
          <w:color w:val="auto"/>
          <w:sz w:val="24"/>
          <w:highlight w:val="none"/>
        </w:rPr>
        <w:t xml:space="preserve">A座1206室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真：0571-88477702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项目联系人（询问）：伍红仙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项目联系方式（询问）：13357106093</w:t>
      </w:r>
      <w:r>
        <w:rPr>
          <w:rFonts w:hint="eastAsia" w:ascii="仿宋" w:hAnsi="仿宋" w:eastAsia="仿宋" w:cs="仿宋"/>
          <w:color w:val="auto"/>
          <w:sz w:val="24"/>
          <w:highlight w:val="none"/>
          <w:lang w:val="en-US" w:eastAsia="zh-CN"/>
        </w:rPr>
        <w:t>/18868089351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质疑联系人：刘宝林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质疑联系方式：0571-88023816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址：杭州市钱塘区青六北路499号钱塘中心5号楼</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真：0571-89535550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：任女士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监督投诉电话：0571-89535530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36"/>
          <w:highlight w:val="none"/>
        </w:rPr>
      </w:pPr>
    </w:p>
    <w:p>
      <w:pPr>
        <w:adjustRightInd/>
        <w:spacing w:line="360" w:lineRule="auto"/>
        <w:jc w:val="center"/>
        <w:outlineLvl w:val="0"/>
        <w:rPr>
          <w:rFonts w:hint="eastAsia" w:ascii="仿宋" w:hAnsi="仿宋" w:eastAsia="仿宋" w:cs="仿宋"/>
          <w:b/>
          <w:color w:val="auto"/>
          <w:sz w:val="36"/>
          <w:szCs w:val="36"/>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9"/>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hint="eastAsia" w:ascii="仿宋_GB2312" w:hAnsi="仿宋" w:eastAsia="仿宋_GB2312"/>
                <w:color w:val="auto"/>
                <w:sz w:val="24"/>
                <w:highlight w:val="none"/>
                <w:u w:val="single"/>
                <w:lang w:val="en-US" w:eastAsia="zh-CN"/>
              </w:rPr>
              <w:t>人员培训</w:t>
            </w:r>
            <w:r>
              <w:rPr>
                <w:rFonts w:hint="eastAsia" w:ascii="仿宋_GB2312" w:hAnsi="仿宋" w:eastAsia="仿宋_GB2312"/>
                <w:color w:val="auto"/>
                <w:sz w:val="24"/>
                <w:highlight w:val="none"/>
              </w:rPr>
              <w:t>工作分包。</w:t>
            </w:r>
          </w:p>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32"/>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w:t>
            </w:r>
            <w:r>
              <w:rPr>
                <w:rFonts w:hint="eastAsia" w:ascii="仿宋_GB2312" w:hAnsi="仿宋" w:eastAsia="仿宋_GB2312"/>
                <w:color w:val="auto"/>
                <w:sz w:val="24"/>
                <w:highlight w:val="none"/>
                <w:lang w:eastAsia="zh-CN"/>
              </w:rPr>
              <w:t>大型</w:t>
            </w:r>
            <w:r>
              <w:rPr>
                <w:rFonts w:hint="eastAsia" w:ascii="仿宋_GB2312" w:hAnsi="仿宋" w:eastAsia="仿宋_GB2312"/>
                <w:color w:val="auto"/>
                <w:sz w:val="24"/>
                <w:highlight w:val="none"/>
                <w:lang w:val="en-US" w:eastAsia="zh-CN"/>
              </w:rPr>
              <w:t>企业向小微企业、中型企业向小微企业、小微企业向小微企业合理分包</w:t>
            </w:r>
            <w:r>
              <w:rPr>
                <w:rFonts w:hint="eastAsia" w:ascii="仿宋_GB2312" w:hAnsi="仿宋" w:eastAsia="仿宋_GB2312"/>
                <w:color w:val="auto"/>
                <w:sz w:val="24"/>
                <w:highlight w:val="none"/>
              </w:rPr>
              <w:t>。</w:t>
            </w:r>
          </w:p>
          <w:p>
            <w:pPr>
              <w:spacing w:line="360" w:lineRule="auto"/>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35"/>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
              <w:bidi w:val="0"/>
              <w:jc w:val="both"/>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b/>
                    <w:bCs/>
                    <w:color w:val="auto"/>
                    <w:kern w:val="0"/>
                    <w:sz w:val="24"/>
                    <w:szCs w:val="32"/>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3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8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eastAsia="仿宋" w:cs="仿宋"/>
                <w:color w:val="auto"/>
                <w:kern w:val="0"/>
                <w:sz w:val="24"/>
                <w:highlight w:val="none"/>
                <w:u w:val="single"/>
                <w:lang w:eastAsia="zh-CN"/>
              </w:rPr>
              <w:t>钱塘区2023年-2024年数字城管服务外包项目（江东区域）（重新招标）</w:t>
            </w:r>
            <w:r>
              <w:rPr>
                <w:rFonts w:hint="eastAsia" w:ascii="仿宋" w:hAnsi="仿宋" w:eastAsia="仿宋" w:cs="仿宋"/>
                <w:color w:val="auto"/>
                <w:kern w:val="0"/>
                <w:sz w:val="24"/>
                <w:highlight w:val="none"/>
              </w:rPr>
              <w:t>，属于</w:t>
            </w:r>
            <w:r>
              <w:rPr>
                <w:rFonts w:hint="eastAsia" w:asci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bottom w:val="single" w:color="auto" w:sz="4"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12</w:t>
            </w:r>
          </w:p>
        </w:tc>
        <w:tc>
          <w:tcPr>
            <w:tcW w:w="1843"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本项目的采购代理服务费由中标供应商支付。</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计费标准按《计价格［2002］1980号》及《发改办价格［2003］857号》文件规定按服务类收费标准计算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低于捌仟元按捌仟元计算</w:t>
            </w:r>
            <w:r>
              <w:rPr>
                <w:rFonts w:hint="eastAsia" w:ascii="仿宋" w:hAnsi="仿宋" w:eastAsia="仿宋" w:cs="仿宋"/>
                <w:snapToGrid w:val="0"/>
                <w:color w:val="auto"/>
                <w:kern w:val="28"/>
                <w:sz w:val="24"/>
                <w:highlight w:val="none"/>
              </w:rPr>
              <w:t>。</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人：浙江省房地产管理咨询有限公司</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（2）开户银行：杭州银行保俶支行</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（3）账    号：7750 8100 1506 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13</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杭州市拱墅区绍兴路538号三立时代广场A座12</w:t>
            </w:r>
            <w:r>
              <w:rPr>
                <w:rFonts w:hint="eastAsia" w:ascii="仿宋" w:hAnsi="仿宋" w:eastAsia="仿宋" w:cs="仿宋"/>
                <w:color w:val="auto"/>
                <w:sz w:val="24"/>
                <w:highlight w:val="none"/>
                <w:u w:val="single"/>
                <w:lang w:val="en-US" w:eastAsia="zh-CN"/>
              </w:rPr>
              <w:t>06室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伍红仙</w:t>
            </w:r>
            <w:r>
              <w:rPr>
                <w:rFonts w:hint="eastAsia" w:ascii="仿宋" w:hAnsi="仿宋" w:eastAsia="仿宋" w:cs="仿宋"/>
                <w:color w:val="auto"/>
                <w:sz w:val="24"/>
                <w:highlight w:val="none"/>
                <w:u w:val="single"/>
                <w:lang w:val="en-US" w:eastAsia="zh-CN"/>
              </w:rPr>
              <w:t>13357106093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根据财库〔2020〕46号的相关规定，在评审时对符合本办法规定的小</w:t>
            </w:r>
            <w:r>
              <w:rPr>
                <w:rFonts w:hint="eastAsia" w:ascii="仿宋" w:hAnsi="仿宋" w:eastAsia="仿宋" w:cs="仿宋"/>
                <w:bCs/>
                <w:color w:val="auto"/>
                <w:sz w:val="24"/>
                <w:szCs w:val="24"/>
                <w:highlight w:val="none"/>
                <w:lang w:eastAsia="zh-CN"/>
              </w:rPr>
              <w:t>微</w:t>
            </w:r>
            <w:r>
              <w:rPr>
                <w:rFonts w:hint="eastAsia" w:ascii="仿宋" w:hAnsi="仿宋" w:eastAsia="仿宋" w:cs="仿宋"/>
                <w:bCs/>
                <w:color w:val="auto"/>
                <w:sz w:val="24"/>
                <w:szCs w:val="24"/>
                <w:highlight w:val="none"/>
              </w:rPr>
              <w:t xml:space="preserve">企业报价给予 </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xml:space="preserve"> % 的扣除，取扣除后的价格作为最终投标报价（此最终投标报价仅作为价格分计算）。中小企业参加政府采购活动，应当出具本办法规定的《中小企业声明函》，否则不得享受相关中小企业扶持政策。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szCs w:val="24"/>
                <w:highlight w:val="none"/>
              </w:rPr>
            </w:pPr>
            <w:sdt>
              <w:sdtPr>
                <w:rPr>
                  <w:rFonts w:hint="eastAsia" w:ascii="仿宋" w:hAnsi="仿宋" w:eastAsia="仿宋" w:cs="仿宋"/>
                  <w:bCs/>
                  <w:color w:val="auto"/>
                  <w:sz w:val="24"/>
                  <w:szCs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bCs/>
                  <w:color w:val="auto"/>
                  <w:sz w:val="24"/>
                  <w:szCs w:val="24"/>
                  <w:highlight w:val="none"/>
                </w:rPr>
              </w:sdtEndPr>
              <w:sdtContent>
                <w:r>
                  <w:rPr>
                    <w:rFonts w:hint="eastAsia" w:ascii="仿宋" w:hAnsi="仿宋" w:eastAsia="仿宋" w:cs="仿宋"/>
                    <w:bCs/>
                    <w:color w:val="auto"/>
                    <w:sz w:val="24"/>
                    <w:szCs w:val="24"/>
                    <w:highlight w:val="none"/>
                  </w:rPr>
                  <w:t>☐</w:t>
                </w:r>
              </w:sdtContent>
            </w:sdt>
            <w:r>
              <w:rPr>
                <w:rFonts w:hint="eastAsia" w:ascii="仿宋" w:hAnsi="仿宋" w:eastAsia="仿宋" w:cs="仿宋"/>
                <w:bCs/>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bCs/>
                <w:color w:val="auto"/>
                <w:sz w:val="24"/>
                <w:szCs w:val="24"/>
                <w:highlight w:val="none"/>
              </w:rPr>
            </w:pPr>
            <w:sdt>
              <w:sdtPr>
                <w:rPr>
                  <w:rFonts w:hint="eastAsia" w:ascii="仿宋" w:hAnsi="仿宋" w:eastAsia="仿宋" w:cs="仿宋"/>
                  <w:bCs/>
                  <w:color w:val="auto"/>
                  <w:sz w:val="24"/>
                  <w:szCs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bCs/>
                  <w:color w:val="auto"/>
                  <w:sz w:val="24"/>
                  <w:szCs w:val="24"/>
                  <w:highlight w:val="none"/>
                </w:rPr>
              </w:sdtEndPr>
              <w:sdtContent>
                <w:r>
                  <w:rPr>
                    <w:rFonts w:hint="eastAsia" w:ascii="仿宋" w:hAnsi="仿宋" w:eastAsia="仿宋" w:cs="仿宋"/>
                    <w:bCs/>
                    <w:color w:val="auto"/>
                    <w:sz w:val="24"/>
                    <w:szCs w:val="24"/>
                    <w:highlight w:val="none"/>
                  </w:rPr>
                  <w:sym w:font="Wingdings" w:char="F0FE"/>
                </w:r>
              </w:sdtContent>
            </w:sdt>
            <w:r>
              <w:rPr>
                <w:rFonts w:hint="eastAsia" w:ascii="仿宋" w:hAnsi="仿宋" w:eastAsia="仿宋" w:cs="仿宋"/>
                <w:bCs/>
                <w:color w:val="auto"/>
                <w:sz w:val="24"/>
                <w:szCs w:val="24"/>
                <w:highlight w:val="none"/>
              </w:rPr>
              <w:t>联合体投标的，联合体中有一方或者联合体成员根据分工按招标文件第四部分评标标准要求提供资信证明文件的，视为符合了相关要求。</w:t>
            </w:r>
          </w:p>
        </w:tc>
      </w:tr>
      <w:bookmarkEnd w:id="10"/>
    </w:tbl>
    <w:p>
      <w:pPr>
        <w:snapToGrid w:val="0"/>
        <w:spacing w:line="360" w:lineRule="auto"/>
        <w:jc w:val="center"/>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bookmarkStart w:id="424" w:name="_GoBack"/>
      <w:bookmarkEnd w:id="424"/>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w:t>
      </w:r>
      <w:r>
        <w:rPr>
          <w:rFonts w:hint="eastAsia" w:ascii="仿宋" w:hAnsi="仿宋" w:eastAsia="仿宋" w:cs="仿宋"/>
          <w:color w:val="auto"/>
          <w:kern w:val="0"/>
          <w:sz w:val="24"/>
          <w:highlight w:val="none"/>
          <w:lang w:eastAsia="zh-CN"/>
        </w:rPr>
        <w:t>民法典</w:t>
      </w:r>
      <w:r>
        <w:rPr>
          <w:rFonts w:hint="eastAsia" w:ascii="仿宋" w:hAnsi="仿宋" w:eastAsia="仿宋" w:cs="仿宋"/>
          <w:color w:val="auto"/>
          <w:kern w:val="0"/>
          <w:sz w:val="24"/>
          <w:highlight w:val="none"/>
        </w:rPr>
        <w:t>》订立劳动合同的从业人员。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10%-20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4%-6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4.2.1提出质疑的供应商应当是参与所质疑项目采购活动的供应商。潜在供应商已依法获取其可质疑的招标文件的，可以对该文件提出质疑。</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4.2.2.1对招标文件提出质疑的，质疑期限为供应商获得招标文件之日或者招标文件公告期限届满之日起计算。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4.2.2.2对采购过程提出质疑的，质疑期限为各采购程序环节结束之日起计算。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4.2.2.3对采购结果提出质疑的，质疑期限自采购结果公告期限届满之日起计算。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kern w:val="0"/>
          <w:sz w:val="24"/>
          <w:highlight w:val="none"/>
        </w:rPr>
        <w:t>（如有）</w:t>
      </w:r>
      <w:r>
        <w:rPr>
          <w:rFonts w:hint="eastAsia" w:ascii="仿宋" w:hAnsi="仿宋" w:eastAsia="仿宋" w:cs="仿宋"/>
          <w:color w:val="auto"/>
          <w:sz w:val="24"/>
          <w:highlight w:val="none"/>
        </w:rPr>
        <w:t>；</w:t>
      </w:r>
    </w:p>
    <w:p>
      <w:pPr>
        <w:widowControl/>
        <w:ind w:firstLine="960" w:firstLine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11.1.4</w:t>
      </w:r>
      <w:r>
        <w:rPr>
          <w:rFonts w:hint="eastAsia" w:ascii="仿宋" w:hAnsi="仿宋" w:eastAsia="仿宋" w:cs="仿宋"/>
          <w:color w:val="auto"/>
          <w:kern w:val="0"/>
          <w:sz w:val="24"/>
          <w:highlight w:val="none"/>
        </w:rPr>
        <w:t>联合协议（如有）。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拟派项目团队配备情况表</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0"/>
          <w:highlight w:val="none"/>
          <w:lang w:val="zh-CN" w:eastAsia="zh-CN" w:bidi="ar-SA"/>
        </w:rPr>
      </w:pPr>
      <w:r>
        <w:rPr>
          <w:rFonts w:hint="eastAsia" w:ascii="仿宋" w:hAnsi="仿宋" w:eastAsia="仿宋" w:cs="仿宋"/>
          <w:color w:val="auto"/>
          <w:kern w:val="0"/>
          <w:sz w:val="24"/>
          <w:szCs w:val="20"/>
          <w:highlight w:val="none"/>
          <w:lang w:val="zh-CN" w:eastAsia="zh-CN" w:bidi="ar-SA"/>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sz w:val="24"/>
          <w:szCs w:val="20"/>
          <w:highlight w:val="none"/>
          <w:lang w:val="zh-CN" w:eastAsia="zh-CN" w:bidi="ar-SA"/>
        </w:rPr>
        <w:t>25.2中标人按规</w:t>
      </w:r>
      <w:r>
        <w:rPr>
          <w:rFonts w:hint="eastAsia" w:ascii="仿宋" w:hAnsi="仿宋" w:eastAsia="仿宋" w:cs="仿宋"/>
          <w:color w:val="auto"/>
          <w:kern w:val="0"/>
          <w:highlight w:val="none"/>
          <w:lang w:val="zh-CN"/>
        </w:rPr>
        <w:t>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bookmarkEnd w:id="11"/>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028" w:bottom="468" w:left="1418" w:header="851" w:footer="992" w:gutter="0"/>
          <w:pgNumType w:fmt="decimal"/>
          <w:cols w:space="720" w:num="1"/>
          <w:titlePg/>
          <w:docGrid w:linePitch="312" w:charSpace="0"/>
        </w:sectPr>
      </w:pPr>
      <w:bookmarkStart w:id="14" w:name="_Hlt75236290"/>
      <w:bookmarkEnd w:id="14"/>
      <w:bookmarkStart w:id="15" w:name="_Hlt74707468"/>
      <w:bookmarkEnd w:id="15"/>
      <w:bookmarkStart w:id="16" w:name="_Hlt68072998"/>
      <w:bookmarkEnd w:id="16"/>
      <w:bookmarkStart w:id="17" w:name="_Hlt68073093"/>
      <w:bookmarkEnd w:id="17"/>
      <w:bookmarkStart w:id="18" w:name="_Hlt75236011"/>
      <w:bookmarkEnd w:id="18"/>
      <w:bookmarkStart w:id="19" w:name="_Hlt74714665"/>
      <w:bookmarkEnd w:id="19"/>
      <w:bookmarkStart w:id="20" w:name="_Hlt74729768"/>
      <w:bookmarkEnd w:id="20"/>
      <w:bookmarkStart w:id="21" w:name="_Hlt68057669"/>
      <w:bookmarkEnd w:id="21"/>
      <w:bookmarkStart w:id="22" w:name="_Hlt75236101"/>
      <w:bookmarkEnd w:id="22"/>
      <w:bookmarkStart w:id="23" w:name="_Hlt74730295"/>
      <w:bookmarkEnd w:id="23"/>
      <w:bookmarkStart w:id="24" w:name="_Hlt68403820"/>
      <w:bookmarkEnd w:id="24"/>
      <w:bookmarkStart w:id="25" w:name="_Hlt68072990"/>
      <w:bookmarkEnd w:id="25"/>
    </w:p>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napToGrid w:val="0"/>
        <w:spacing w:line="360" w:lineRule="auto"/>
        <w:jc w:val="left"/>
        <w:rPr>
          <w:rFonts w:hint="eastAsia"/>
          <w:color w:val="auto"/>
          <w:highlight w:val="none"/>
          <w:lang w:val="en-US" w:eastAsia="zh-CN"/>
        </w:rPr>
      </w:pP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27" w:name="_Toc309392650"/>
      <w:bookmarkStart w:id="28" w:name="_Toc8508"/>
      <w:r>
        <w:rPr>
          <w:rFonts w:hint="eastAsia" w:ascii="仿宋" w:hAnsi="仿宋" w:eastAsia="仿宋" w:cs="仿宋"/>
          <w:color w:val="auto"/>
          <w:sz w:val="24"/>
          <w:szCs w:val="24"/>
          <w:highlight w:val="none"/>
        </w:rPr>
        <w:t>一、项目总体目标</w:t>
      </w:r>
      <w:bookmarkEnd w:id="27"/>
      <w:bookmarkEnd w:id="28"/>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随着整个杭州市数字城市管理信息系统的建设，杭州</w:t>
      </w:r>
      <w:r>
        <w:rPr>
          <w:rFonts w:hint="eastAsia" w:ascii="仿宋" w:hAnsi="仿宋" w:eastAsia="仿宋" w:cs="仿宋"/>
          <w:snapToGrid w:val="0"/>
          <w:color w:val="auto"/>
          <w:kern w:val="0"/>
          <w:sz w:val="24"/>
          <w:szCs w:val="24"/>
          <w:highlight w:val="none"/>
          <w:lang w:eastAsia="zh-CN"/>
        </w:rPr>
        <w:t>市</w:t>
      </w:r>
      <w:r>
        <w:rPr>
          <w:rFonts w:hint="eastAsia" w:ascii="仿宋" w:hAnsi="仿宋" w:eastAsia="仿宋" w:cs="仿宋"/>
          <w:snapToGrid w:val="0"/>
          <w:color w:val="auto"/>
          <w:kern w:val="0"/>
          <w:sz w:val="24"/>
          <w:szCs w:val="24"/>
          <w:highlight w:val="none"/>
        </w:rPr>
        <w:t>钱塘区数字城市管理信息系统也同步建设起来，该系统的总目标是：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29" w:name="_Toc8133"/>
      <w:bookmarkStart w:id="30" w:name="_Toc309392651"/>
      <w:r>
        <w:rPr>
          <w:rFonts w:hint="eastAsia" w:ascii="仿宋" w:hAnsi="仿宋" w:eastAsia="仿宋" w:cs="仿宋"/>
          <w:color w:val="auto"/>
          <w:sz w:val="24"/>
          <w:szCs w:val="24"/>
          <w:highlight w:val="none"/>
        </w:rPr>
        <w:t>二、本项目工作内容</w:t>
      </w:r>
      <w:bookmarkEnd w:id="29"/>
      <w:bookmarkEnd w:id="30"/>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杭州钱塘新区数字城管城市事件和部件管理信息采集是本着信息采集“群专结合”和“政府花钱买服务”、“养事不养人”的原则，将数字城管覆盖范围内的城市事、部件委托社会具有信息采集且具有合法经营资质的公司，按照城市事、部件管理标准、巡查监管要求，并以社区为基本工作单位，进行定时、全面、公正、及时的监管和有效信息数据采集、准确传输以及核查、核实等，保证问题的及时发现和全面处置。</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1" w:name="_Toc309392652"/>
      <w:bookmarkStart w:id="32" w:name="_Toc24794"/>
      <w:r>
        <w:rPr>
          <w:rFonts w:hint="eastAsia" w:ascii="仿宋" w:hAnsi="仿宋" w:eastAsia="仿宋" w:cs="仿宋"/>
          <w:color w:val="auto"/>
          <w:sz w:val="24"/>
          <w:szCs w:val="24"/>
          <w:highlight w:val="none"/>
        </w:rPr>
        <w:t>三、</w:t>
      </w:r>
      <w:bookmarkEnd w:id="31"/>
      <w:r>
        <w:rPr>
          <w:rFonts w:hint="eastAsia" w:ascii="仿宋" w:hAnsi="仿宋" w:eastAsia="仿宋" w:cs="仿宋"/>
          <w:color w:val="auto"/>
          <w:sz w:val="24"/>
          <w:szCs w:val="24"/>
          <w:highlight w:val="none"/>
        </w:rPr>
        <w:t>基本服务标准</w:t>
      </w:r>
      <w:bookmarkEnd w:id="32"/>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一</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工作</w:t>
      </w:r>
      <w:r>
        <w:rPr>
          <w:rFonts w:hint="eastAsia" w:ascii="仿宋" w:hAnsi="仿宋" w:eastAsia="仿宋" w:cs="仿宋"/>
          <w:b/>
          <w:bCs/>
          <w:snapToGrid w:val="0"/>
          <w:color w:val="auto"/>
          <w:kern w:val="0"/>
          <w:sz w:val="24"/>
          <w:szCs w:val="24"/>
          <w:highlight w:val="none"/>
        </w:rPr>
        <w:t>范围</w:t>
      </w:r>
    </w:p>
    <w:p>
      <w:pPr>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本项目服务范围为杭州钱塘新区江东区域</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义蓬</w:t>
      </w:r>
      <w:r>
        <w:rPr>
          <w:rFonts w:hint="eastAsia" w:ascii="仿宋" w:hAnsi="仿宋" w:eastAsia="仿宋" w:cs="仿宋"/>
          <w:snapToGrid w:val="0"/>
          <w:color w:val="auto"/>
          <w:kern w:val="0"/>
          <w:sz w:val="24"/>
          <w:szCs w:val="24"/>
          <w:highlight w:val="none"/>
          <w:lang w:val="en-US" w:eastAsia="zh-CN"/>
        </w:rPr>
        <w:t>街道</w:t>
      </w:r>
      <w:r>
        <w:rPr>
          <w:rFonts w:hint="eastAsia" w:ascii="仿宋" w:hAnsi="仿宋" w:eastAsia="仿宋" w:cs="仿宋"/>
          <w:snapToGrid w:val="0"/>
          <w:color w:val="auto"/>
          <w:kern w:val="0"/>
          <w:sz w:val="24"/>
          <w:szCs w:val="24"/>
          <w:highlight w:val="none"/>
        </w:rPr>
        <w:t>、河庄</w:t>
      </w:r>
      <w:r>
        <w:rPr>
          <w:rFonts w:hint="eastAsia" w:ascii="仿宋" w:hAnsi="仿宋" w:eastAsia="仿宋" w:cs="仿宋"/>
          <w:snapToGrid w:val="0"/>
          <w:color w:val="auto"/>
          <w:kern w:val="0"/>
          <w:sz w:val="24"/>
          <w:szCs w:val="24"/>
          <w:highlight w:val="none"/>
          <w:lang w:val="en-US" w:eastAsia="zh-CN"/>
        </w:rPr>
        <w:t>街道</w:t>
      </w:r>
      <w:r>
        <w:rPr>
          <w:rFonts w:hint="eastAsia" w:ascii="仿宋" w:hAnsi="仿宋" w:eastAsia="仿宋" w:cs="仿宋"/>
          <w:snapToGrid w:val="0"/>
          <w:color w:val="auto"/>
          <w:kern w:val="0"/>
          <w:sz w:val="24"/>
          <w:szCs w:val="24"/>
          <w:highlight w:val="none"/>
        </w:rPr>
        <w:t>、新湾</w:t>
      </w:r>
      <w:r>
        <w:rPr>
          <w:rFonts w:hint="eastAsia" w:ascii="仿宋" w:hAnsi="仿宋" w:eastAsia="仿宋" w:cs="仿宋"/>
          <w:snapToGrid w:val="0"/>
          <w:color w:val="auto"/>
          <w:kern w:val="0"/>
          <w:sz w:val="24"/>
          <w:szCs w:val="24"/>
          <w:highlight w:val="none"/>
          <w:lang w:val="en-US" w:eastAsia="zh-CN"/>
        </w:rPr>
        <w:t>街道</w:t>
      </w:r>
      <w:r>
        <w:rPr>
          <w:rFonts w:hint="eastAsia" w:ascii="仿宋" w:hAnsi="仿宋" w:eastAsia="仿宋" w:cs="仿宋"/>
          <w:snapToGrid w:val="0"/>
          <w:color w:val="auto"/>
          <w:kern w:val="0"/>
          <w:sz w:val="24"/>
          <w:szCs w:val="24"/>
          <w:highlight w:val="none"/>
        </w:rPr>
        <w:t>、临江</w:t>
      </w:r>
      <w:r>
        <w:rPr>
          <w:rFonts w:hint="eastAsia" w:ascii="仿宋" w:hAnsi="仿宋" w:eastAsia="仿宋" w:cs="仿宋"/>
          <w:snapToGrid w:val="0"/>
          <w:color w:val="auto"/>
          <w:kern w:val="0"/>
          <w:sz w:val="24"/>
          <w:szCs w:val="24"/>
          <w:highlight w:val="none"/>
          <w:lang w:val="en-US" w:eastAsia="zh-CN"/>
        </w:rPr>
        <w:t>街道</w:t>
      </w:r>
      <w:r>
        <w:rPr>
          <w:rFonts w:hint="eastAsia" w:ascii="仿宋" w:hAnsi="仿宋" w:eastAsia="仿宋" w:cs="仿宋"/>
          <w:snapToGrid w:val="0"/>
          <w:color w:val="auto"/>
          <w:kern w:val="0"/>
          <w:sz w:val="24"/>
          <w:szCs w:val="24"/>
          <w:highlight w:val="none"/>
        </w:rPr>
        <w:t>和前进</w:t>
      </w:r>
      <w:r>
        <w:rPr>
          <w:rFonts w:hint="eastAsia" w:ascii="仿宋" w:hAnsi="仿宋" w:eastAsia="仿宋" w:cs="仿宋"/>
          <w:snapToGrid w:val="0"/>
          <w:color w:val="auto"/>
          <w:kern w:val="0"/>
          <w:sz w:val="24"/>
          <w:szCs w:val="24"/>
          <w:highlight w:val="none"/>
          <w:lang w:val="en-US" w:eastAsia="zh-CN"/>
        </w:rPr>
        <w:t>街道，不包括下沙街道和白杨街道</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，数字城管覆盖面积</w:t>
      </w:r>
      <w:r>
        <w:rPr>
          <w:rFonts w:hint="eastAsia" w:ascii="仿宋" w:hAnsi="仿宋" w:eastAsia="仿宋" w:cs="仿宋"/>
          <w:color w:val="auto"/>
          <w:sz w:val="24"/>
          <w:szCs w:val="24"/>
          <w:highlight w:val="none"/>
          <w:lang w:val="en-US" w:eastAsia="zh-CN"/>
        </w:rPr>
        <w:t>22.35</w:t>
      </w:r>
      <w:r>
        <w:rPr>
          <w:rFonts w:hint="eastAsia" w:ascii="仿宋" w:hAnsi="仿宋" w:eastAsia="仿宋" w:cs="仿宋"/>
          <w:snapToGrid w:val="0"/>
          <w:color w:val="auto"/>
          <w:kern w:val="0"/>
          <w:sz w:val="24"/>
          <w:szCs w:val="24"/>
          <w:highlight w:val="none"/>
        </w:rPr>
        <w:t>平方公里,具体范围请服从招标人安排。</w:t>
      </w:r>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二</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工作</w:t>
      </w:r>
      <w:r>
        <w:rPr>
          <w:rFonts w:hint="eastAsia" w:ascii="仿宋" w:hAnsi="仿宋" w:eastAsia="仿宋" w:cs="仿宋"/>
          <w:b/>
          <w:bCs/>
          <w:snapToGrid w:val="0"/>
          <w:color w:val="auto"/>
          <w:kern w:val="0"/>
          <w:sz w:val="24"/>
          <w:szCs w:val="24"/>
          <w:highlight w:val="none"/>
        </w:rPr>
        <w:t>内容</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依据管理标准，负责对城市事件动态问题及部件完好、变更信息的限时采集</w:t>
      </w:r>
      <w:r>
        <w:rPr>
          <w:rFonts w:hint="eastAsia" w:ascii="仿宋" w:hAnsi="仿宋" w:eastAsia="仿宋" w:cs="仿宋"/>
          <w:snapToGrid w:val="0"/>
          <w:color w:val="auto"/>
          <w:kern w:val="0"/>
          <w:sz w:val="24"/>
          <w:szCs w:val="24"/>
          <w:highlight w:val="none"/>
          <w:lang w:eastAsia="zh-CN"/>
        </w:rPr>
        <w:t>；</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对热线受理、投诉、社区反映及媒体曝光和社区联系站等途径反馈问题进行核实；</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对所发现问题结案前进行核查；</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4、日常</w:t>
      </w:r>
      <w:r>
        <w:rPr>
          <w:rFonts w:hint="eastAsia" w:ascii="仿宋" w:hAnsi="仿宋" w:eastAsia="仿宋" w:cs="仿宋"/>
          <w:snapToGrid w:val="0"/>
          <w:color w:val="auto"/>
          <w:kern w:val="0"/>
          <w:sz w:val="24"/>
          <w:szCs w:val="24"/>
          <w:highlight w:val="none"/>
        </w:rPr>
        <w:t>普查内容</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对</w:t>
      </w: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数字城管城市快车道、河道、高架立交、桥梁隧道等区域信息全面及时采集</w:t>
      </w:r>
      <w:r>
        <w:rPr>
          <w:rFonts w:hint="eastAsia" w:ascii="仿宋" w:hAnsi="仿宋" w:eastAsia="仿宋" w:cs="仿宋"/>
          <w:snapToGrid w:val="0"/>
          <w:color w:val="auto"/>
          <w:kern w:val="0"/>
          <w:sz w:val="24"/>
          <w:szCs w:val="24"/>
          <w:highlight w:val="none"/>
        </w:rPr>
        <w:t>；</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重大活动、防汛防台等应急保障工作；</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其他根据城市管理工作的需要，按采购人要求实施的各类专项信息采集工作等。</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项目报价和相关要求</w:t>
      </w:r>
    </w:p>
    <w:p>
      <w:pPr>
        <w:pageBreakBefore w:val="0"/>
        <w:tabs>
          <w:tab w:val="left" w:pos="6300"/>
        </w:tabs>
        <w:kinsoku/>
        <w:wordWrap/>
        <w:overflowPunct/>
        <w:topLinePunct w:val="0"/>
        <w:bidi w:val="0"/>
        <w:adjustRightInd w:val="0"/>
        <w:spacing w:line="360" w:lineRule="auto"/>
        <w:ind w:left="0" w:firstLine="56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为完成本招标文件所述的服务项目内容指标所需的全部费用，即按采购人要求完工的价格，包括服务方案和规范制度编写费、调研费、设备（包括机动巡查车辆、应急办公设备等）购置维修费、方案计划评审费、培训费等须由投标单位支付的所有费用（包括各种人工费、机械使用费、管理、利润、税务费、必要的保险费用、必须的专用工具、辅助材料费及合同实施过程中不可预见的费用等）的总和。</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（四）信息采集队伍组建相关要</w:t>
      </w:r>
      <w:r>
        <w:rPr>
          <w:rFonts w:hint="eastAsia" w:ascii="仿宋" w:hAnsi="仿宋" w:eastAsia="仿宋" w:cs="仿宋"/>
          <w:b/>
          <w:color w:val="auto"/>
          <w:sz w:val="24"/>
          <w:szCs w:val="24"/>
          <w:highlight w:val="none"/>
        </w:rPr>
        <w:t>求</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合同签订后，中标人</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rPr>
        <w:t>按照投标文件的承诺，完成信息采集队伍的招募、培训等前期工作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bCs/>
          <w:color w:val="auto"/>
          <w:sz w:val="24"/>
          <w:szCs w:val="24"/>
          <w:highlight w:val="none"/>
        </w:rPr>
        <w:t>根据采购需求设定采集员以及信息采集器的工作区域，向采购人提供各信息采集员</w:t>
      </w:r>
      <w:r>
        <w:rPr>
          <w:rFonts w:hint="eastAsia" w:ascii="仿宋" w:hAnsi="仿宋" w:eastAsia="仿宋" w:cs="仿宋"/>
          <w:bCs/>
          <w:color w:val="auto"/>
          <w:sz w:val="24"/>
          <w:szCs w:val="24"/>
          <w:highlight w:val="none"/>
          <w:lang w:val="en-US" w:eastAsia="zh-CN"/>
        </w:rPr>
        <w:t>信息及</w:t>
      </w:r>
      <w:r>
        <w:rPr>
          <w:rFonts w:hint="eastAsia" w:ascii="仿宋" w:hAnsi="仿宋" w:eastAsia="仿宋" w:cs="仿宋"/>
          <w:bCs/>
          <w:color w:val="auto"/>
          <w:sz w:val="24"/>
          <w:szCs w:val="24"/>
          <w:highlight w:val="none"/>
        </w:rPr>
        <w:t>巡查线路。</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投标时，投标文件中应能提供网格划分方案，</w:t>
      </w:r>
      <w:r>
        <w:rPr>
          <w:rStyle w:val="962"/>
          <w:rFonts w:hint="eastAsia" w:ascii="仿宋" w:hAnsi="仿宋" w:eastAsia="仿宋" w:cs="仿宋"/>
          <w:color w:val="auto"/>
          <w:kern w:val="0"/>
          <w:sz w:val="24"/>
          <w:szCs w:val="24"/>
          <w:highlight w:val="none"/>
        </w:rPr>
        <w:t>采集员交接</w:t>
      </w:r>
      <w:r>
        <w:rPr>
          <w:rStyle w:val="962"/>
          <w:rFonts w:hint="eastAsia" w:ascii="仿宋" w:hAnsi="仿宋" w:eastAsia="仿宋" w:cs="仿宋"/>
          <w:color w:val="auto"/>
          <w:kern w:val="0"/>
          <w:sz w:val="24"/>
          <w:szCs w:val="24"/>
          <w:highlight w:val="none"/>
          <w:lang w:val="en-US" w:eastAsia="zh-CN"/>
        </w:rPr>
        <w:t>方案,</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项目负责人及团队管理人员应具备管理类专科及以上学历，且需具有1年及以上信息采集项目经验。整个项目团队人员中，应有成员</w:t>
      </w:r>
      <w:r>
        <w:rPr>
          <w:rFonts w:hint="eastAsia" w:ascii="仿宋" w:hAnsi="仿宋" w:eastAsia="仿宋" w:cs="仿宋"/>
          <w:snapToGrid w:val="0"/>
          <w:color w:val="auto"/>
          <w:kern w:val="0"/>
          <w:sz w:val="24"/>
          <w:szCs w:val="24"/>
          <w:highlight w:val="none"/>
          <w:lang w:val="zh-CN" w:eastAsia="zh-CN"/>
        </w:rPr>
        <w:t>取得国家认可的人力资源管理师证书。</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为实现项目需求，投标人需根据自身情况</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rPr>
        <w:t>五座（含）以上巡查车辆；</w:t>
      </w:r>
      <w:r>
        <w:rPr>
          <w:rFonts w:hint="eastAsia" w:ascii="仿宋" w:hAnsi="仿宋" w:eastAsia="仿宋" w:cs="仿宋"/>
          <w:snapToGrid w:val="0"/>
          <w:color w:val="auto"/>
          <w:kern w:val="0"/>
          <w:sz w:val="24"/>
          <w:szCs w:val="24"/>
          <w:highlight w:val="none"/>
          <w:lang w:val="en-US" w:eastAsia="zh-CN"/>
        </w:rPr>
        <w:t>自有的提供车辆行驶证，租赁的提供租赁合同及出租方的车辆行驶证，否则在评审时不予认可。</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依法为项目组人员缴纳五险一金，购买意外险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项目组人员扣除“五险一金”和意外险后的月均实际收入不低于当年杭州市最低工资标准数额；</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5、中标后在所中标区域内设立办公场所，便于工作开展及管理；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人。（注：</w:t>
      </w:r>
      <w:r>
        <w:rPr>
          <w:rFonts w:hint="eastAsia" w:ascii="仿宋" w:hAnsi="仿宋" w:eastAsia="仿宋" w:cs="仿宋"/>
          <w:color w:val="auto"/>
          <w:sz w:val="24"/>
          <w:szCs w:val="24"/>
          <w:highlight w:val="none"/>
          <w:lang w:val="en-US" w:eastAsia="zh-CN"/>
        </w:rPr>
        <w:t>人员依据在岗人数要求进行考核</w:t>
      </w:r>
      <w:r>
        <w:rPr>
          <w:rFonts w:hint="eastAsia" w:ascii="仿宋" w:hAnsi="仿宋" w:eastAsia="仿宋" w:cs="仿宋"/>
          <w:color w:val="auto"/>
          <w:sz w:val="24"/>
          <w:szCs w:val="24"/>
          <w:highlight w:val="none"/>
          <w:lang w:eastAsia="zh-CN"/>
        </w:rPr>
        <w:t>）。晚上</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-次日早上</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0值班人员不少于1人，值班车辆不少于1辆</w:t>
      </w:r>
      <w:r>
        <w:rPr>
          <w:rFonts w:hint="eastAsia" w:ascii="仿宋" w:hAnsi="仿宋" w:eastAsia="仿宋" w:cs="仿宋"/>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人员应能提供投标人为其缴纳的距投标截止时间3个月任意时间的社保证明材料，否则在评审时不予认可。</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、制定</w:t>
      </w:r>
      <w:r>
        <w:rPr>
          <w:rFonts w:hint="eastAsia" w:ascii="仿宋" w:hAnsi="仿宋" w:eastAsia="仿宋" w:cs="仿宋"/>
          <w:color w:val="auto"/>
          <w:sz w:val="24"/>
          <w:szCs w:val="24"/>
          <w:highlight w:val="none"/>
          <w:lang w:val="en-US" w:eastAsia="zh-CN"/>
        </w:rPr>
        <w:t>内部管理制度，实施</w:t>
      </w:r>
      <w:r>
        <w:rPr>
          <w:rFonts w:hint="eastAsia" w:ascii="仿宋" w:hAnsi="仿宋" w:eastAsia="仿宋" w:cs="仿宋"/>
          <w:color w:val="auto"/>
          <w:sz w:val="24"/>
          <w:szCs w:val="24"/>
          <w:highlight w:val="none"/>
        </w:rPr>
        <w:t>层级管理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制定详细的纪律、廉政、安全、</w:t>
      </w:r>
      <w:r>
        <w:rPr>
          <w:rFonts w:hint="eastAsia" w:ascii="仿宋" w:hAnsi="仿宋" w:eastAsia="仿宋" w:cs="仿宋"/>
          <w:color w:val="auto"/>
          <w:sz w:val="24"/>
          <w:szCs w:val="24"/>
          <w:highlight w:val="none"/>
          <w:lang w:val="en-US" w:eastAsia="zh-CN"/>
        </w:rPr>
        <w:t>文</w:t>
      </w:r>
      <w:r>
        <w:rPr>
          <w:rFonts w:hint="eastAsia" w:ascii="仿宋" w:hAnsi="仿宋" w:eastAsia="仿宋" w:cs="仿宋"/>
          <w:color w:val="auto"/>
          <w:sz w:val="24"/>
          <w:szCs w:val="24"/>
          <w:highlight w:val="none"/>
        </w:rPr>
        <w:t>档、宣传等内部管理制度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制定各岗位明确分工和职责要求并对应制定考核办法，实行末位淘汰等奖优罚劣措施、严格按照</w:t>
      </w:r>
      <w:r>
        <w:rPr>
          <w:rFonts w:hint="eastAsia" w:ascii="仿宋" w:hAnsi="仿宋" w:eastAsia="仿宋" w:cs="仿宋"/>
          <w:color w:val="auto"/>
          <w:sz w:val="24"/>
          <w:szCs w:val="24"/>
          <w:highlight w:val="none"/>
          <w:lang w:val="en-US" w:eastAsia="zh-CN"/>
        </w:rPr>
        <w:t>采购方考核要求指定人员</w:t>
      </w:r>
      <w:r>
        <w:rPr>
          <w:rFonts w:hint="eastAsia" w:ascii="仿宋" w:hAnsi="仿宋" w:eastAsia="仿宋" w:cs="仿宋"/>
          <w:color w:val="auto"/>
          <w:sz w:val="24"/>
          <w:szCs w:val="24"/>
          <w:highlight w:val="none"/>
        </w:rPr>
        <w:t>管理办法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w:t>
      </w:r>
      <w:r>
        <w:rPr>
          <w:rFonts w:hint="eastAsia" w:ascii="仿宋" w:hAnsi="仿宋" w:eastAsia="仿宋" w:cs="仿宋"/>
          <w:color w:val="auto"/>
          <w:sz w:val="24"/>
          <w:szCs w:val="24"/>
          <w:highlight w:val="none"/>
          <w:lang w:val="en-US" w:eastAsia="zh-CN"/>
        </w:rPr>
        <w:t>突发事件</w:t>
      </w:r>
      <w:r>
        <w:rPr>
          <w:rFonts w:hint="eastAsia" w:ascii="仿宋" w:hAnsi="仿宋" w:eastAsia="仿宋" w:cs="仿宋"/>
          <w:color w:val="auto"/>
          <w:sz w:val="24"/>
          <w:szCs w:val="24"/>
          <w:highlight w:val="none"/>
        </w:rPr>
        <w:t>应急预案</w:t>
      </w:r>
      <w:r>
        <w:rPr>
          <w:rFonts w:hint="eastAsia" w:ascii="仿宋" w:hAnsi="仿宋" w:eastAsia="仿宋" w:cs="仿宋"/>
          <w:color w:val="auto"/>
          <w:sz w:val="24"/>
          <w:szCs w:val="24"/>
          <w:highlight w:val="none"/>
          <w:lang w:eastAsia="zh-CN"/>
        </w:rPr>
        <w:t>。</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考核办法详见附表一，并随市对区、区对局的考核要求调整作相应调整。</w:t>
      </w:r>
    </w:p>
    <w:p>
      <w:pPr>
        <w:pStyle w:val="2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如因数字城管运行实际需要，所产生的相关指标变化，中标人必须无条件接受；</w:t>
      </w:r>
    </w:p>
    <w:p>
      <w:pPr>
        <w:pStyle w:val="2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特殊保障要求，防汛抗雪等期间的人员配备、工作质量应加倍计扣；</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采购人概不负责中标人所有人员有关的社保、医疗、薪酬等问题</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要对所属人员（含劳务外包人员）的工作行为负责，所有采集员、管理人员及项目负责人工作中的安全责任以及法律纠纷等均由中标采集公司自行承担</w:t>
      </w:r>
      <w:r>
        <w:rPr>
          <w:rFonts w:hint="eastAsia" w:ascii="仿宋" w:hAnsi="仿宋" w:eastAsia="仿宋" w:cs="仿宋"/>
          <w:color w:val="auto"/>
          <w:sz w:val="24"/>
          <w:szCs w:val="24"/>
          <w:highlight w:val="none"/>
          <w:lang w:eastAsia="zh-CN"/>
        </w:rPr>
        <w:t>。</w:t>
      </w:r>
    </w:p>
    <w:tbl>
      <w:tblPr>
        <w:tblStyle w:val="6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82"/>
        <w:gridCol w:w="401"/>
        <w:gridCol w:w="831"/>
        <w:gridCol w:w="1019"/>
        <w:gridCol w:w="925"/>
        <w:gridCol w:w="849"/>
        <w:gridCol w:w="96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069" w:type="dxa"/>
            <w:gridSpan w:val="9"/>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4"/>
                <w:szCs w:val="24"/>
                <w:highlight w:val="none"/>
              </w:rPr>
              <w:t>采集公司考核评价体系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指标大类</w:t>
            </w:r>
          </w:p>
        </w:tc>
        <w:tc>
          <w:tcPr>
            <w:tcW w:w="482"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40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小类</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评价内容</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评价标准</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说明</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相关要求及计扣办法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vMerge w:val="restart"/>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质</w:t>
            </w: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量</w:t>
            </w: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w:t>
            </w: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数</w:t>
            </w: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质量</w:t>
            </w: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指数      </w:t>
            </w: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482"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全面采集</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视频巡查</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视频巡查率</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视频巡查数/案卷总数</w:t>
            </w:r>
            <w:r>
              <w:rPr>
                <w:rFonts w:hint="eastAsia" w:ascii="仿宋" w:hAnsi="仿宋" w:eastAsia="仿宋" w:cs="仿宋"/>
                <w:color w:val="auto"/>
                <w:kern w:val="0"/>
                <w:sz w:val="21"/>
                <w:szCs w:val="21"/>
                <w:highlight w:val="none"/>
              </w:rPr>
              <w:t>）×100％</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不少于</w:t>
            </w:r>
            <w:r>
              <w:rPr>
                <w:rFonts w:hint="eastAsia" w:ascii="仿宋" w:hAnsi="仿宋" w:eastAsia="仿宋" w:cs="仿宋"/>
                <w:color w:val="auto"/>
                <w:kern w:val="0"/>
                <w:sz w:val="21"/>
                <w:szCs w:val="21"/>
                <w:highlight w:val="none"/>
                <w:lang w:val="en-US" w:eastAsia="zh-CN"/>
              </w:rPr>
              <w:t>8%，每少1%扣1000元。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3" w:type="dxa"/>
            <w:vMerge w:val="continue"/>
            <w:noWrap w:val="0"/>
            <w:vAlign w:val="top"/>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美丽杭州</w:t>
            </w:r>
            <w:r>
              <w:rPr>
                <w:rFonts w:hint="eastAsia" w:ascii="仿宋" w:hAnsi="仿宋" w:eastAsia="仿宋" w:cs="仿宋"/>
                <w:color w:val="auto"/>
                <w:kern w:val="0"/>
                <w:sz w:val="21"/>
                <w:szCs w:val="21"/>
                <w:highlight w:val="none"/>
              </w:rPr>
              <w:t>漏报率</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漏报率＝（漏报数/校核基数）×100％，</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w:t>
            </w:r>
          </w:p>
        </w:tc>
        <w:tc>
          <w:tcPr>
            <w:tcW w:w="2994" w:type="dxa"/>
            <w:noWrap w:val="0"/>
            <w:vAlign w:val="top"/>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控制漏报。</w:t>
            </w:r>
            <w:r>
              <w:rPr>
                <w:rFonts w:hint="eastAsia" w:ascii="仿宋" w:hAnsi="仿宋" w:eastAsia="仿宋" w:cs="仿宋"/>
                <w:color w:val="auto"/>
                <w:kern w:val="0"/>
                <w:sz w:val="21"/>
                <w:szCs w:val="21"/>
                <w:highlight w:val="none"/>
                <w:lang w:eastAsia="zh-CN"/>
              </w:rPr>
              <w:t>根据每周考核情况，</w:t>
            </w:r>
            <w:r>
              <w:rPr>
                <w:rFonts w:hint="eastAsia" w:ascii="仿宋" w:hAnsi="仿宋" w:eastAsia="仿宋" w:cs="仿宋"/>
                <w:color w:val="auto"/>
                <w:kern w:val="0"/>
                <w:sz w:val="21"/>
                <w:szCs w:val="21"/>
                <w:highlight w:val="none"/>
                <w:lang w:val="en-US" w:eastAsia="zh-CN"/>
              </w:rPr>
              <w:t>漏报率低于（含）50%的不扣。检查漏报率在50%～70%（含）的，每上升1%扣200元；检查漏报率在70%以上的，每上升1%扣400元。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漏报件</w:t>
            </w:r>
          </w:p>
        </w:tc>
        <w:tc>
          <w:tcPr>
            <w:tcW w:w="101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区级</w:t>
            </w: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检查</w:t>
            </w:r>
          </w:p>
        </w:tc>
        <w:tc>
          <w:tcPr>
            <w:tcW w:w="925"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等重大漏报并经确认的</w:t>
            </w:r>
          </w:p>
        </w:tc>
        <w:tc>
          <w:tcPr>
            <w:tcW w:w="84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w:t>
            </w:r>
          </w:p>
        </w:tc>
        <w:tc>
          <w:tcPr>
            <w:tcW w:w="965"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此项按件计扣，不纳入漏报率评价</w:t>
            </w:r>
          </w:p>
        </w:tc>
        <w:tc>
          <w:tcPr>
            <w:tcW w:w="2994" w:type="dxa"/>
            <w:noWrap w:val="0"/>
            <w:vAlign w:val="center"/>
          </w:tcPr>
          <w:p>
            <w:pPr>
              <w:pageBreakBefore w:val="0"/>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漏报。工作区域内所有事部件问题应在第一时间内上报，因不及时上报而构成漏报事实，将按以下标准计扣：由各科室、中队巡查、社区反映校核确认为的漏报，每件扣500元；领导督查、行业监管部门检查校核后确认的漏报，每件扣2000</w:t>
            </w:r>
            <w:r>
              <w:rPr>
                <w:rFonts w:hint="eastAsia" w:ascii="仿宋" w:hAnsi="仿宋" w:eastAsia="仿宋" w:cs="仿宋"/>
                <w:color w:val="auto"/>
                <w:kern w:val="0"/>
                <w:sz w:val="21"/>
                <w:szCs w:val="21"/>
                <w:highlight w:val="none"/>
                <w:lang w:val="en-US" w:eastAsia="zh-CN"/>
              </w:rPr>
              <w:t>元</w:t>
            </w:r>
            <w:r>
              <w:rPr>
                <w:rFonts w:hint="eastAsia" w:ascii="仿宋" w:hAnsi="仿宋" w:eastAsia="仿宋" w:cs="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101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联合</w:t>
            </w: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检查</w:t>
            </w:r>
          </w:p>
        </w:tc>
        <w:tc>
          <w:tcPr>
            <w:tcW w:w="925"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84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每件扣2000元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2994" w:type="dxa"/>
            <w:vMerge w:val="restart"/>
            <w:noWrap w:val="0"/>
            <w:vAlign w:val="center"/>
          </w:tcPr>
          <w:p>
            <w:pPr>
              <w:pageBreakBefore w:val="0"/>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被上级主管部门检查校核后确认的漏报，每件扣2000元.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101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热线投诉、媒体漏报</w:t>
            </w:r>
          </w:p>
        </w:tc>
        <w:tc>
          <w:tcPr>
            <w:tcW w:w="92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4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每件扣2000元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101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普查、应急保障</w:t>
            </w:r>
          </w:p>
        </w:tc>
        <w:tc>
          <w:tcPr>
            <w:tcW w:w="92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49"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每件扣2000元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类别覆盖率</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类别覆盖率=（实际覆盖事、部件类别数/事、部件类别总数）×100％，</w:t>
            </w:r>
          </w:p>
        </w:tc>
        <w:tc>
          <w:tcPr>
            <w:tcW w:w="965" w:type="dxa"/>
            <w:vMerge w:val="restart"/>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w:t>
            </w:r>
          </w:p>
        </w:tc>
        <w:tc>
          <w:tcPr>
            <w:tcW w:w="2994"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公正采集。应严格按事、部件标准实行“全视野”采集。采集中出现明显缺项且无正当理由的，以80%为基数，每下降1%扣1000元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以80%为基数，每下降1%扣1000元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0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准确上报</w:t>
            </w:r>
          </w:p>
        </w:tc>
        <w:tc>
          <w:tcPr>
            <w:tcW w:w="831" w:type="dxa"/>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差错件</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采集差错、举手之劳等不立案案卷</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p>
            <w:pPr>
              <w:pageBreakBefore w:val="0"/>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按件计扣，</w:t>
            </w:r>
            <w:r>
              <w:rPr>
                <w:rFonts w:hint="eastAsia" w:ascii="仿宋" w:hAnsi="仿宋" w:eastAsia="仿宋" w:cs="仿宋"/>
                <w:color w:val="auto"/>
                <w:kern w:val="0"/>
                <w:sz w:val="21"/>
                <w:szCs w:val="21"/>
                <w:highlight w:val="none"/>
                <w:lang w:eastAsia="zh-CN"/>
              </w:rPr>
              <w:t>纳入被市级考核的</w:t>
            </w:r>
            <w:r>
              <w:rPr>
                <w:rFonts w:hint="eastAsia" w:ascii="仿宋" w:hAnsi="仿宋" w:eastAsia="仿宋" w:cs="仿宋"/>
                <w:color w:val="auto"/>
                <w:kern w:val="0"/>
                <w:sz w:val="21"/>
                <w:szCs w:val="21"/>
                <w:highlight w:val="none"/>
              </w:rPr>
              <w:t>每件扣1</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及时回复</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核查及时下发率</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核查回复率＝(核查及时下发数/核查发出数)×100％</w:t>
            </w:r>
          </w:p>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以100％为基数，每下降1％扣1000元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被上级主管部门扣分每件扣2000元。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核查及时回复率</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核查及时回复率＝(核查及时回复次数/核查回复数)×100％，</w:t>
            </w:r>
          </w:p>
        </w:tc>
        <w:tc>
          <w:tcPr>
            <w:tcW w:w="965" w:type="dxa"/>
            <w:vMerge w:val="restart"/>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以100％为基数，每下降1％扣1000元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3" w:type="dxa"/>
            <w:vMerge w:val="restart"/>
            <w:noWrap w:val="0"/>
            <w:vAlign w:val="top"/>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管控</w:t>
            </w:r>
          </w:p>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指数</w:t>
            </w: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Style w:val="519"/>
              <w:pageBreakBefore w:val="0"/>
              <w:kinsoku/>
              <w:wordWrap/>
              <w:overflowPunct/>
              <w:topLinePunct w:val="0"/>
              <w:bidi w:val="0"/>
              <w:spacing w:line="240" w:lineRule="auto"/>
              <w:ind w:left="0"/>
              <w:textAlignment w:val="auto"/>
              <w:rPr>
                <w:rFonts w:hint="eastAsia" w:ascii="仿宋" w:hAnsi="仿宋" w:eastAsia="仿宋" w:cs="仿宋"/>
                <w:color w:val="auto"/>
                <w:sz w:val="21"/>
                <w:szCs w:val="21"/>
                <w:highlight w:val="none"/>
                <w:lang w:eastAsia="zh-CN"/>
              </w:rPr>
            </w:pP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管控</w:t>
            </w:r>
          </w:p>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 xml:space="preserve">指数                                                                    </w:t>
            </w: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人员管理</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人员配置</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工作时间路面</w:t>
            </w:r>
            <w:r>
              <w:rPr>
                <w:rFonts w:hint="eastAsia" w:ascii="仿宋" w:hAnsi="仿宋" w:eastAsia="仿宋" w:cs="仿宋"/>
                <w:color w:val="auto"/>
                <w:sz w:val="21"/>
                <w:szCs w:val="21"/>
                <w:highlight w:val="none"/>
                <w:lang w:val="en-US" w:eastAsia="zh-CN"/>
              </w:rPr>
              <w:t>在岗</w:t>
            </w:r>
            <w:r>
              <w:rPr>
                <w:rFonts w:hint="eastAsia" w:ascii="仿宋" w:hAnsi="仿宋" w:eastAsia="仿宋" w:cs="仿宋"/>
                <w:color w:val="auto"/>
                <w:sz w:val="21"/>
                <w:szCs w:val="21"/>
                <w:highlight w:val="none"/>
              </w:rPr>
              <w:t>巡查人数不少于</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人（机动车巡查不少于</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辆）</w:t>
            </w:r>
            <w:r>
              <w:rPr>
                <w:rFonts w:hint="eastAsia" w:ascii="仿宋" w:hAnsi="仿宋" w:eastAsia="仿宋" w:cs="仿宋"/>
                <w:color w:val="auto"/>
                <w:sz w:val="21"/>
                <w:szCs w:val="21"/>
                <w:highlight w:val="none"/>
                <w:lang w:eastAsia="zh-CN"/>
              </w:rPr>
              <w:t>；12：00-13：30，18：00-20：30非正常采集时段，在岗人数不低于</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lang w:eastAsia="zh-CN"/>
              </w:rPr>
              <w:t>人，晚上</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lang w:eastAsia="zh-CN"/>
              </w:rPr>
              <w:t>-次日早上</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0值班人员不少于1人，值班车辆不少于1辆</w:t>
            </w:r>
            <w:r>
              <w:rPr>
                <w:rFonts w:hint="eastAsia" w:ascii="仿宋" w:hAnsi="仿宋" w:eastAsia="仿宋" w:cs="仿宋"/>
                <w:color w:val="auto"/>
                <w:kern w:val="0"/>
                <w:sz w:val="21"/>
                <w:szCs w:val="21"/>
                <w:highlight w:val="none"/>
              </w:rPr>
              <w:t>；每少1人</w:t>
            </w:r>
            <w:r>
              <w:rPr>
                <w:rFonts w:hint="eastAsia" w:ascii="仿宋" w:hAnsi="仿宋" w:eastAsia="仿宋" w:cs="仿宋"/>
                <w:color w:val="auto"/>
                <w:kern w:val="0"/>
                <w:sz w:val="21"/>
                <w:szCs w:val="21"/>
                <w:highlight w:val="none"/>
                <w:lang w:val="en-US" w:eastAsia="zh-CN"/>
              </w:rPr>
              <w:t>/辆</w:t>
            </w:r>
            <w:r>
              <w:rPr>
                <w:rFonts w:hint="eastAsia" w:ascii="仿宋" w:hAnsi="仿宋" w:eastAsia="仿宋" w:cs="仿宋"/>
                <w:color w:val="auto"/>
                <w:kern w:val="0"/>
                <w:sz w:val="21"/>
                <w:szCs w:val="21"/>
                <w:highlight w:val="none"/>
              </w:rPr>
              <w:t>扣2000元</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采集员和管理员达不到甲方工作要求5个工作日内需落实替换人员，逾期每超过1个工作日扣500元。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额定人数为合同约定人数，用工应符合劳动法相关规定。</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应足额配备一定素质的采集员。采集员队伍基本素质要求：采集员必须具备高中以上学历，</w:t>
            </w:r>
            <w:r>
              <w:rPr>
                <w:rFonts w:hint="eastAsia" w:ascii="仿宋" w:hAnsi="仿宋" w:eastAsia="仿宋" w:cs="仿宋"/>
                <w:color w:val="auto"/>
                <w:kern w:val="0"/>
                <w:sz w:val="21"/>
                <w:szCs w:val="21"/>
                <w:highlight w:val="none"/>
                <w:lang w:val="en-US" w:eastAsia="zh-CN"/>
              </w:rPr>
              <w:t>管理员必须具备专科及以上学历，</w:t>
            </w:r>
            <w:r>
              <w:rPr>
                <w:rFonts w:hint="eastAsia" w:ascii="仿宋" w:hAnsi="仿宋" w:eastAsia="仿宋" w:cs="仿宋"/>
                <w:color w:val="auto"/>
                <w:kern w:val="0"/>
                <w:sz w:val="21"/>
                <w:szCs w:val="21"/>
                <w:highlight w:val="none"/>
              </w:rPr>
              <w:t>身体健康，具有较强责任心和事业心，年龄不超过法定退休年龄</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管理员还需具有1年以上信息采集项目经验</w:t>
            </w:r>
            <w:r>
              <w:rPr>
                <w:rFonts w:hint="eastAsia" w:ascii="仿宋" w:hAnsi="仿宋" w:eastAsia="仿宋" w:cs="仿宋"/>
                <w:color w:val="auto"/>
                <w:kern w:val="0"/>
                <w:sz w:val="21"/>
                <w:szCs w:val="21"/>
                <w:highlight w:val="none"/>
              </w:rPr>
              <w:t>；采集员和管理员达不到甲方工作要求5个工作日内需落实替换人员。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人员管理</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留用应开除人员，每发生1人次扣2000元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员工管理。如管理层（含区域经理、项目经理及管理员等公司管理层）如需变更或暂离岗位的，中标人应提前一周以书面形式告知甲方并做好工作对接，且暂离不得超过10日。城管系统内违纪（规）被开除的人员，中标人不得录用从事信息采集相关工作，如采集员因违纪（规）被中标单位开除，该中标单位应自开除之日起3天内书面告知甲方。员工流动导致人员不足的，中标人应于员工离职之日起1天内书面告知甲方，并于15日内落实新晋人员（含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录用违规人员，每发生1人次扣5000元</w:t>
            </w:r>
          </w:p>
        </w:tc>
        <w:tc>
          <w:tcPr>
            <w:tcW w:w="965" w:type="dxa"/>
            <w:noWrap w:val="0"/>
            <w:vAlign w:val="center"/>
          </w:tcPr>
          <w:p>
            <w:pPr>
              <w:pageBreakBefore w:val="0"/>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队伍稳定</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管理层擅自变更，每发生1人次扣5000元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采集公司管理层擅离或暂离超过10天,每发生1人次扣5000元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965" w:type="dxa"/>
            <w:vMerge w:val="restart"/>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员工流动比例以6%为基数，每增加1%扣1000元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公司内部矛盾激化，员工到公司以外寻求解决办法，造成较大影响，每发生1人次扣5000元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过程控制</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制度建设</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有明确的信息采集质量管理目标、管理制度、工作程序、工作记录、人员管控和考核检查奖惩办法等，每缺1项，扣2000元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现场管控</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未足额上岗、员工迟到、早退、溜岗等行为等同人员配置不到位，每少1人次扣2000元。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应按要求在不同时间段安排足额员工</w:t>
            </w:r>
          </w:p>
        </w:tc>
        <w:tc>
          <w:tcPr>
            <w:tcW w:w="2994" w:type="dxa"/>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人数</w:t>
            </w:r>
            <w:r>
              <w:rPr>
                <w:rFonts w:hint="eastAsia" w:ascii="仿宋" w:hAnsi="仿宋" w:eastAsia="仿宋" w:cs="仿宋"/>
                <w:color w:val="auto"/>
                <w:sz w:val="21"/>
                <w:szCs w:val="21"/>
                <w:highlight w:val="none"/>
                <w:lang w:val="en-US" w:eastAsia="zh-CN"/>
              </w:rPr>
              <w:t>总数</w:t>
            </w:r>
            <w:r>
              <w:rPr>
                <w:rFonts w:hint="eastAsia" w:ascii="仿宋" w:hAnsi="仿宋" w:eastAsia="仿宋" w:cs="仿宋"/>
                <w:color w:val="auto"/>
                <w:sz w:val="21"/>
                <w:szCs w:val="21"/>
                <w:highlight w:val="none"/>
              </w:rPr>
              <w:t>不少于</w:t>
            </w:r>
            <w:r>
              <w:rPr>
                <w:rFonts w:hint="eastAsia" w:ascii="仿宋" w:hAnsi="仿宋" w:eastAsia="仿宋" w:cs="仿宋"/>
                <w:color w:val="auto"/>
                <w:sz w:val="21"/>
                <w:szCs w:val="21"/>
                <w:highlight w:val="none"/>
                <w:lang w:val="en-US" w:eastAsia="zh-CN"/>
              </w:rPr>
              <w:t>42</w:t>
            </w:r>
            <w:r>
              <w:rPr>
                <w:rFonts w:hint="eastAsia" w:ascii="仿宋" w:hAnsi="仿宋" w:eastAsia="仿宋" w:cs="仿宋"/>
                <w:color w:val="auto"/>
                <w:sz w:val="21"/>
                <w:szCs w:val="21"/>
                <w:highlight w:val="none"/>
              </w:rPr>
              <w:t>人（含管理员</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人、项目负责人1人）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工作时间路面</w:t>
            </w:r>
            <w:r>
              <w:rPr>
                <w:rFonts w:hint="eastAsia" w:ascii="仿宋" w:hAnsi="仿宋" w:eastAsia="仿宋" w:cs="仿宋"/>
                <w:color w:val="auto"/>
                <w:sz w:val="21"/>
                <w:szCs w:val="21"/>
                <w:highlight w:val="none"/>
                <w:lang w:val="en-US" w:eastAsia="zh-CN"/>
              </w:rPr>
              <w:t>在岗</w:t>
            </w:r>
            <w:r>
              <w:rPr>
                <w:rFonts w:hint="eastAsia" w:ascii="仿宋" w:hAnsi="仿宋" w:eastAsia="仿宋" w:cs="仿宋"/>
                <w:color w:val="auto"/>
                <w:sz w:val="21"/>
                <w:szCs w:val="21"/>
                <w:highlight w:val="none"/>
              </w:rPr>
              <w:t>巡查人数不少于</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人（机动车巡查不少于</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辆）</w:t>
            </w:r>
            <w:r>
              <w:rPr>
                <w:rFonts w:hint="eastAsia" w:ascii="仿宋" w:hAnsi="仿宋" w:eastAsia="仿宋" w:cs="仿宋"/>
                <w:color w:val="auto"/>
                <w:sz w:val="21"/>
                <w:szCs w:val="21"/>
                <w:highlight w:val="none"/>
                <w:lang w:eastAsia="zh-CN"/>
              </w:rPr>
              <w:t>；12：00-13：30，18：00-20：30非正常采集时段，在岗人数不低于</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未持证上岗，每人次扣100元。</w:t>
            </w:r>
          </w:p>
        </w:tc>
        <w:tc>
          <w:tcPr>
            <w:tcW w:w="965" w:type="dxa"/>
            <w:noWrap w:val="0"/>
            <w:vAlign w:val="center"/>
          </w:tcPr>
          <w:p>
            <w:pPr>
              <w:pageBreakBefore w:val="0"/>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采集员必须持证上岗，未经培训取得上岗资格或未持证不得从事采集工作。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巡查全覆盖：正常采集时间段内主要道路</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上下午各巡查不少于2次</w:t>
            </w:r>
            <w:r>
              <w:rPr>
                <w:rFonts w:hint="eastAsia" w:ascii="仿宋" w:hAnsi="仿宋" w:eastAsia="仿宋" w:cs="仿宋"/>
                <w:color w:val="auto"/>
                <w:kern w:val="0"/>
                <w:sz w:val="21"/>
                <w:szCs w:val="21"/>
                <w:highlight w:val="none"/>
                <w:lang w:eastAsia="zh-CN"/>
              </w:rPr>
              <w:t>（其中徒步巡查一天不少于一次）</w:t>
            </w:r>
            <w:r>
              <w:rPr>
                <w:rFonts w:hint="eastAsia" w:ascii="仿宋" w:hAnsi="仿宋" w:eastAsia="仿宋" w:cs="仿宋"/>
                <w:color w:val="auto"/>
                <w:kern w:val="0"/>
                <w:sz w:val="21"/>
                <w:szCs w:val="21"/>
                <w:highlight w:val="none"/>
              </w:rPr>
              <w:t>，次要道路</w:t>
            </w:r>
            <w:r>
              <w:rPr>
                <w:rFonts w:hint="eastAsia" w:ascii="仿宋" w:hAnsi="仿宋" w:eastAsia="仿宋" w:cs="仿宋"/>
                <w:color w:val="auto"/>
                <w:kern w:val="0"/>
                <w:sz w:val="21"/>
                <w:szCs w:val="21"/>
                <w:highlight w:val="none"/>
                <w:lang w:eastAsia="zh-CN"/>
              </w:rPr>
              <w:t>，背街小巷</w:t>
            </w:r>
            <w:r>
              <w:rPr>
                <w:rFonts w:hint="eastAsia" w:ascii="仿宋" w:hAnsi="仿宋" w:eastAsia="仿宋" w:cs="仿宋"/>
                <w:color w:val="auto"/>
                <w:kern w:val="0"/>
                <w:sz w:val="21"/>
                <w:szCs w:val="21"/>
                <w:highlight w:val="none"/>
              </w:rPr>
              <w:t>和其他道路上下午各巡查不少于1次</w:t>
            </w:r>
            <w:r>
              <w:rPr>
                <w:rFonts w:hint="eastAsia" w:ascii="仿宋" w:hAnsi="仿宋" w:eastAsia="仿宋" w:cs="仿宋"/>
                <w:color w:val="auto"/>
                <w:kern w:val="0"/>
                <w:sz w:val="21"/>
                <w:szCs w:val="21"/>
                <w:highlight w:val="none"/>
                <w:lang w:eastAsia="zh-CN"/>
              </w:rPr>
              <w:t>（徒步巡查每两天不少于</w:t>
            </w:r>
            <w:r>
              <w:rPr>
                <w:rFonts w:hint="eastAsia" w:ascii="仿宋" w:hAnsi="仿宋" w:eastAsia="仿宋" w:cs="仿宋"/>
                <w:color w:val="auto"/>
                <w:kern w:val="0"/>
                <w:sz w:val="21"/>
                <w:szCs w:val="21"/>
                <w:highlight w:val="none"/>
                <w:lang w:val="en-US" w:eastAsia="zh-CN"/>
              </w:rPr>
              <w:t>1次</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。非正常采集时间段内全覆盖巡查不少于1次。</w:t>
            </w:r>
          </w:p>
        </w:tc>
        <w:tc>
          <w:tcPr>
            <w:tcW w:w="965" w:type="dxa"/>
            <w:noWrap w:val="0"/>
            <w:vAlign w:val="center"/>
          </w:tcPr>
          <w:p>
            <w:pPr>
              <w:pageBreakBefore w:val="0"/>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不达要求每人次扣500元。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人员素质合格</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不合格人员5个工作日内整改完毕，逾期仍不合格或不整改每人次扣2000元。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异地采集</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为确保采集公正性，必须异地安排采集员，做到“异地采集”且定期轮岗（原则上2个月一次）。</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为确保采集公正性，必须异地安排采集员，做到“异地采集”且定期轮岗（原则上2个月一次）。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定区采集</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每两月月末3个工作日内上报采集员三定表，逾期未上报每发生1次扣1000元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采集员管理、配置需符合“三定表”要求，每两月月末3个工作日内上报三定表。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指令执行</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重要普查或应急保障等执行应无条件服从</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在规定时间内完成普查任务，每次扣1000元。如遇防汛、抗雪、防灾或重大活动和重点区域保障需延长采集巡查时间，或需进行专项普查的，中标人应无条件服从。如出现不执行或执行不到位的，每次视情扣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设备管理</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规范使用</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工作时间内未开启或未按要求正常使用采集器的GPS功能、擅自修改配置或挪作他用的，每发生1次扣200元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标人须在签订合同后五日内，足数领取“信息采集器”，合同终结时，中标人须如数将“信息采集器”返还，每少一部按照采集器采购合同价95％的比例赔偿。使用过程中要做好信息采集设备（手机）的管理，保证功能的正常发挥。如遗失将按手机实际购买价95％</w:t>
            </w:r>
            <w:r>
              <w:rPr>
                <w:rFonts w:hint="eastAsia" w:ascii="仿宋" w:hAnsi="仿宋" w:eastAsia="仿宋" w:cs="仿宋"/>
                <w:color w:val="auto"/>
                <w:kern w:val="0"/>
                <w:sz w:val="21"/>
                <w:szCs w:val="21"/>
                <w:highlight w:val="none"/>
                <w:lang w:eastAsia="zh-CN"/>
              </w:rPr>
              <w:t>的比例</w:t>
            </w:r>
            <w:r>
              <w:rPr>
                <w:rFonts w:hint="eastAsia" w:ascii="仿宋" w:hAnsi="仿宋" w:eastAsia="仿宋" w:cs="仿宋"/>
                <w:color w:val="auto"/>
                <w:kern w:val="0"/>
                <w:sz w:val="21"/>
                <w:szCs w:val="21"/>
                <w:highlight w:val="none"/>
              </w:rPr>
              <w:t>赔偿，如因使用、管理不当造成手机硬件损坏或数据丢失的，应交甲方指定维护部门统一修理，非“三包”范围产生的费用由中标单位自理。严禁私自拆解、人为损坏、私自送修、擅自修改配置、挪作他用（游戏、影音、换卡打私人电话）等。因违规使用、不及时报修导致采集器无法正常工作的，责任由中标人承担；采集员在工作时间内必须开启采集器G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规范维护</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将采集器私自拆解、人为损坏、私自到非正规维修点送修等，每发生1次扣200元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03"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诚信指数</w:t>
            </w: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诚信管理</w:t>
            </w:r>
          </w:p>
        </w:tc>
        <w:tc>
          <w:tcPr>
            <w:tcW w:w="83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职业道德</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吃拿卡要行为，每发生1次扣1000-5000元</w:t>
            </w:r>
          </w:p>
        </w:tc>
        <w:tc>
          <w:tcPr>
            <w:tcW w:w="965" w:type="dxa"/>
            <w:vMerge w:val="restart"/>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严禁条款。杜绝“吃、拿、卡、要”行为，杜绝虚假信息，杜绝有责纠纷，如有上述情况一经查实，每次视情扣款，第三次发生（含）上述情况，甲方有权</w:t>
            </w:r>
            <w:r>
              <w:rPr>
                <w:rFonts w:hint="eastAsia" w:ascii="仿宋" w:hAnsi="仿宋" w:eastAsia="仿宋" w:cs="仿宋"/>
                <w:color w:val="auto"/>
                <w:kern w:val="0"/>
                <w:sz w:val="21"/>
                <w:szCs w:val="21"/>
                <w:highlight w:val="none"/>
                <w:lang w:val="en-US" w:eastAsia="zh-CN"/>
              </w:rPr>
              <w:t>终</w:t>
            </w:r>
            <w:r>
              <w:rPr>
                <w:rFonts w:hint="eastAsia" w:ascii="仿宋" w:hAnsi="仿宋" w:eastAsia="仿宋" w:cs="仿宋"/>
                <w:color w:val="auto"/>
                <w:kern w:val="0"/>
                <w:sz w:val="21"/>
                <w:szCs w:val="21"/>
                <w:highlight w:val="none"/>
              </w:rPr>
              <w:t>止合同，没收履约保证金，同时取消中标人下一轮信息采集投标资格。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上传虚假信息，每发生1次扣2000元</w:t>
            </w:r>
          </w:p>
        </w:tc>
        <w:tc>
          <w:tcPr>
            <w:tcW w:w="965"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vMerge w:val="continue"/>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无资格顶岗</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欺瞒采集员信息、违规使用无上岗资格人员</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欺瞒采集员信息、违规使用无上岗资格人员的，每发生1人次扣2000元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队伍形象</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投诉核实</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发生</w:t>
            </w:r>
            <w:r>
              <w:rPr>
                <w:rFonts w:hint="eastAsia" w:ascii="仿宋" w:hAnsi="仿宋" w:eastAsia="仿宋" w:cs="仿宋"/>
                <w:color w:val="auto"/>
                <w:kern w:val="0"/>
                <w:sz w:val="21"/>
                <w:szCs w:val="21"/>
                <w:highlight w:val="none"/>
              </w:rPr>
              <w:t>有责投诉</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有责投诉，每发生1次扣3000元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社会评价</w:t>
            </w:r>
          </w:p>
        </w:tc>
        <w:tc>
          <w:tcPr>
            <w:tcW w:w="2793" w:type="dxa"/>
            <w:gridSpan w:val="3"/>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负面评价</w:t>
            </w:r>
          </w:p>
        </w:tc>
        <w:tc>
          <w:tcPr>
            <w:tcW w:w="965" w:type="dxa"/>
            <w:noWrap w:val="0"/>
            <w:vAlign w:val="center"/>
          </w:tcPr>
          <w:p>
            <w:pPr>
              <w:pageBreakBefore w:val="0"/>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受到公众和新闻媒体负面评价，每次扣5000元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401" w:type="dxa"/>
            <w:vMerge w:val="restart"/>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文明经营</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依法用工</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无故拖欠员工工资、克扣员工福利或其他违法经营行为</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无故拖欠员工工资、克扣员工福利或其他违法经营行为，每发生1次扣3000元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公平竞争</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公司采取不正当竞争手段，影响采集市场正常运行的，每发生1次扣5000元</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994" w:type="dxa"/>
            <w:noWrap w:val="0"/>
            <w:vAlign w:val="center"/>
          </w:tcPr>
          <w:p>
            <w:pPr>
              <w:pageBreakBefore w:val="0"/>
              <w:widowControl/>
              <w:kinsoku/>
              <w:wordWrap/>
              <w:overflowPunct/>
              <w:topLinePunct w:val="0"/>
              <w:bidi w:val="0"/>
              <w:adjustRightInd w:val="0"/>
              <w:snapToGrid w:val="0"/>
              <w:spacing w:line="240" w:lineRule="auto"/>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若出现不正当竞争行为、影响恶劣的甲方有权终止合同，没收履约保证金，并取消中标人下一轮信息采集投标资格。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宣传</w:t>
            </w:r>
          </w:p>
        </w:tc>
        <w:tc>
          <w:tcPr>
            <w:tcW w:w="482"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01"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宣传</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宣传</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及时上报宣传报道任务</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noWrap w:val="0"/>
            <w:vAlign w:val="center"/>
          </w:tcPr>
          <w:p>
            <w:pPr>
              <w:pageBreakBefore w:val="0"/>
              <w:kinsoku/>
              <w:wordWrap/>
              <w:overflowPunct/>
              <w:topLinePunct w:val="0"/>
              <w:bidi w:val="0"/>
              <w:spacing w:line="240" w:lineRule="auto"/>
              <w:ind w:lef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SA"/>
              </w:rPr>
              <w:t>每月至少被区局、市局各录用1篇，未完成任务区级扣500元，市级扣1000元；每多录用1篇，区级奖励100元/篇，市级奖励300元/篇。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荣誉</w:t>
            </w:r>
          </w:p>
        </w:tc>
        <w:tc>
          <w:tcPr>
            <w:tcW w:w="482"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01"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荣誉</w:t>
            </w:r>
          </w:p>
        </w:tc>
        <w:tc>
          <w:tcPr>
            <w:tcW w:w="831" w:type="dxa"/>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荣誉</w:t>
            </w:r>
          </w:p>
        </w:tc>
        <w:tc>
          <w:tcPr>
            <w:tcW w:w="2793" w:type="dxa"/>
            <w:gridSpan w:val="3"/>
            <w:noWrap w:val="0"/>
            <w:vAlign w:val="center"/>
          </w:tcPr>
          <w:p>
            <w:pPr>
              <w:pageBreakBefore w:val="0"/>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参加年度数字城管信息采集大比武或工作表现出色等被上级部门表扬</w:t>
            </w:r>
          </w:p>
        </w:tc>
        <w:tc>
          <w:tcPr>
            <w:tcW w:w="965" w:type="dxa"/>
            <w:noWrap w:val="0"/>
            <w:vAlign w:val="center"/>
          </w:tcPr>
          <w:p>
            <w:pPr>
              <w:pageBreakBefore w:val="0"/>
              <w:widowControl/>
              <w:kinsoku/>
              <w:wordWrap/>
              <w:overflowPunct/>
              <w:topLinePunct w:val="0"/>
              <w:bidi w:val="0"/>
              <w:adjustRightInd w:val="0"/>
              <w:snapToGrid w:val="0"/>
              <w:spacing w:line="240" w:lineRule="auto"/>
              <w:ind w:left="0"/>
              <w:jc w:val="left"/>
              <w:textAlignment w:val="auto"/>
              <w:rPr>
                <w:rFonts w:hint="eastAsia" w:ascii="仿宋" w:hAnsi="仿宋" w:eastAsia="仿宋" w:cs="仿宋"/>
                <w:color w:val="auto"/>
                <w:kern w:val="0"/>
                <w:sz w:val="21"/>
                <w:szCs w:val="21"/>
                <w:highlight w:val="none"/>
              </w:rPr>
            </w:pPr>
          </w:p>
        </w:tc>
        <w:tc>
          <w:tcPr>
            <w:tcW w:w="2994"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年度比武获得荣誉，单项三等奖奖励500元，二等奖奖励1000元，一等奖奖励2000元。被区级表扬奖励500元/次；市级及以上表扬奖励1000元/次。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317" w:type="dxa"/>
            <w:gridSpan w:val="4"/>
            <w:noWrap w:val="0"/>
            <w:vAlign w:val="center"/>
          </w:tcPr>
          <w:p>
            <w:pPr>
              <w:pageBreakBefore w:val="0"/>
              <w:widowControl/>
              <w:kinsoku/>
              <w:wordWrap/>
              <w:overflowPunct/>
              <w:topLinePunct w:val="0"/>
              <w:bidi w:val="0"/>
              <w:adjustRightInd w:val="0"/>
              <w:snapToGrid w:val="0"/>
              <w:spacing w:line="240" w:lineRule="auto"/>
              <w:ind w:left="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评价</w:t>
            </w:r>
          </w:p>
        </w:tc>
        <w:tc>
          <w:tcPr>
            <w:tcW w:w="6752" w:type="dxa"/>
            <w:gridSpan w:val="5"/>
            <w:noWrap w:val="0"/>
            <w:vAlign w:val="center"/>
          </w:tcPr>
          <w:p>
            <w:pPr>
              <w:keepNext/>
              <w:keepLines/>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实行打分制。考核每扣1000元折合扣1分，按月考核（满分100分）；第一年度评分为第一年度前11个月评分加权平均数，评分达90分及以上视为合格，同意签订第二年度合同。</w:t>
            </w:r>
          </w:p>
        </w:tc>
      </w:tr>
    </w:tbl>
    <w:p>
      <w:pPr>
        <w:pageBreakBefore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相关要求及计扣办法</w:t>
      </w:r>
      <w:r>
        <w:rPr>
          <w:rFonts w:hint="eastAsia" w:ascii="仿宋" w:hAnsi="仿宋" w:eastAsia="仿宋" w:cs="仿宋"/>
          <w:b/>
          <w:snapToGrid w:val="0"/>
          <w:color w:val="auto"/>
          <w:kern w:val="0"/>
          <w:sz w:val="24"/>
          <w:szCs w:val="24"/>
          <w:highlight w:val="none"/>
          <w:lang w:eastAsia="zh-CN"/>
        </w:rPr>
        <w:t>，并随市对区、区对局的考核要求调整作相应调整。</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 ：</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（1）因本项目性质，</w:t>
      </w:r>
      <w:r>
        <w:rPr>
          <w:rFonts w:hint="eastAsia" w:ascii="仿宋" w:hAnsi="仿宋" w:eastAsia="仿宋" w:cs="仿宋"/>
          <w:snapToGrid w:val="0"/>
          <w:color w:val="auto"/>
          <w:kern w:val="0"/>
          <w:sz w:val="24"/>
          <w:szCs w:val="24"/>
          <w:highlight w:val="none"/>
          <w:lang w:eastAsia="zh-CN"/>
        </w:rPr>
        <w:t>中标后</w:t>
      </w:r>
      <w:r>
        <w:rPr>
          <w:rFonts w:hint="eastAsia" w:ascii="仿宋" w:hAnsi="仿宋" w:eastAsia="仿宋" w:cs="仿宋"/>
          <w:snapToGrid w:val="0"/>
          <w:color w:val="auto"/>
          <w:kern w:val="0"/>
          <w:sz w:val="24"/>
          <w:szCs w:val="24"/>
          <w:highlight w:val="none"/>
        </w:rPr>
        <w:t>必须在服务区域设立固定的办事机构，确保服务到位、政令畅通。投标前未设立的，请在投标文件中提供相应的服务方案，并承诺“如中标，服务进场前，在服务区域设立固定的办事机构，确保服务到位、政令畅通”。</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（2）为体现采集数据的公正，有属地管理职责的企业或事业法人单位，必须实施异地采集。</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（3）未经采购人事先书面同意，中标人不得部分或全部转让其应履行的合同义务，否则甲方有权无条件终止合同，并取消其下一轮信息采集投标资格。</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（4）考核方式：每月考核，按季兑付；</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（5）如因数字城管运行实际需要，所产生的相关指标变化，中标人必须无条件接受；</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0"/>
          <w:sz w:val="24"/>
          <w:szCs w:val="24"/>
          <w:highlight w:val="none"/>
        </w:rPr>
        <w:t xml:space="preserve">  （6）如上传率（上传有效数据/上传有效数据的定量基数]）连续三个月低于96％，中标单位应说明原因。如工作时间、人员配备、巡查密度、控制漏报、及时回复、普查保障、严禁条款均未发生计扣情况，其他相关要求执行良好的，上传有效数据基数经讨论后可适做调整。（特殊保障要求，防汛抗雪等期间的人员配备、工作质量应加倍计扣）</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3" w:name="_Toc22028"/>
      <w:bookmarkStart w:id="34" w:name="_Toc309392654"/>
      <w:r>
        <w:rPr>
          <w:rFonts w:hint="eastAsia" w:ascii="仿宋" w:hAnsi="仿宋" w:eastAsia="仿宋" w:cs="仿宋"/>
          <w:color w:val="auto"/>
          <w:sz w:val="24"/>
          <w:szCs w:val="24"/>
          <w:highlight w:val="none"/>
        </w:rPr>
        <w:t>五、“信息采集器”的管理和信息采集费的支付</w:t>
      </w:r>
      <w:bookmarkEnd w:id="33"/>
      <w:bookmarkEnd w:id="34"/>
    </w:p>
    <w:p>
      <w:pPr>
        <w:pageBreakBefore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（一）“信息采集器”的领取、管理和使用</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1．设备配置及价格。</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（1）合同签订后，中标人须在五天内，按每名信息采集员一部的比例，足数领取“信息采集器”。采集器必须按照实名制登记使用，同时中标人应配置1名采集器专管员。</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（2）合同终结时，乙方须如数将“信息采集器”返还，每少一部按照采购合同价95％的比例赔偿；如因使用不当造成“信息采集器”外观破损或影响功能正常使用的，将足额支付修理费用。</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（3）中标人应制定“信息采集器”管理使用办法，从制度上保证“信息采集器”的正常使用。</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（4）要按照采购人提供的“信息采集器”设定的工作区域，落实专人使用，并按正点率和全覆盖的要求，在合同签订一个月内提供各工作单位（社区）巡查行径线路。</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5" w:name="_Toc27226"/>
      <w:bookmarkStart w:id="36" w:name="_Toc309392655"/>
      <w:r>
        <w:rPr>
          <w:rFonts w:hint="eastAsia" w:ascii="仿宋" w:hAnsi="仿宋" w:eastAsia="仿宋" w:cs="仿宋"/>
          <w:color w:val="auto"/>
          <w:sz w:val="24"/>
          <w:szCs w:val="24"/>
          <w:highlight w:val="none"/>
        </w:rPr>
        <w:t>六、采集队伍的组建</w:t>
      </w:r>
      <w:bookmarkEnd w:id="35"/>
      <w:bookmarkEnd w:id="36"/>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lang w:val="zh-CN"/>
        </w:rPr>
        <w:t>按照投标文件的承诺</w:t>
      </w:r>
      <w:r>
        <w:rPr>
          <w:rFonts w:hint="eastAsia" w:ascii="仿宋" w:hAnsi="仿宋" w:eastAsia="仿宋" w:cs="仿宋"/>
          <w:color w:val="auto"/>
          <w:sz w:val="24"/>
          <w:szCs w:val="24"/>
          <w:highlight w:val="none"/>
        </w:rPr>
        <w:t>，完成信息采集队伍人员的组建。</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7" w:name="_Toc309392656"/>
      <w:bookmarkStart w:id="38" w:name="_Toc5967"/>
      <w:r>
        <w:rPr>
          <w:rFonts w:hint="eastAsia" w:ascii="仿宋" w:hAnsi="仿宋" w:eastAsia="仿宋" w:cs="仿宋"/>
          <w:color w:val="auto"/>
          <w:sz w:val="24"/>
          <w:szCs w:val="24"/>
          <w:highlight w:val="none"/>
        </w:rPr>
        <w:t>七、区域巡查图层</w:t>
      </w:r>
      <w:bookmarkEnd w:id="37"/>
      <w:bookmarkEnd w:id="38"/>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采购人指定。</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9" w:name="_Toc2494"/>
      <w:r>
        <w:rPr>
          <w:rFonts w:hint="eastAsia" w:ascii="仿宋" w:hAnsi="仿宋" w:eastAsia="仿宋" w:cs="仿宋"/>
          <w:color w:val="auto"/>
          <w:sz w:val="24"/>
          <w:szCs w:val="24"/>
          <w:highlight w:val="none"/>
        </w:rPr>
        <w:t>八、商务要求</w:t>
      </w:r>
      <w:bookmarkEnd w:id="39"/>
    </w:p>
    <w:tbl>
      <w:tblPr>
        <w:tblStyle w:val="6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服务期</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textAlignment w:val="auto"/>
              <w:rPr>
                <w:rFonts w:hint="eastAsia" w:ascii="仿宋" w:hAnsi="仿宋" w:eastAsia="仿宋" w:cs="仿宋"/>
                <w:color w:val="auto"/>
                <w:spacing w:val="-6"/>
                <w:sz w:val="24"/>
                <w:szCs w:val="24"/>
                <w:highlight w:val="none"/>
              </w:rPr>
            </w:pPr>
            <w:r>
              <w:rPr>
                <w:rFonts w:hint="eastAsia" w:ascii="仿宋" w:hAnsi="仿宋" w:eastAsia="仿宋" w:cs="仿宋"/>
                <w:snapToGrid w:val="0"/>
                <w:color w:val="auto"/>
                <w:kern w:val="0"/>
                <w:sz w:val="24"/>
                <w:szCs w:val="24"/>
                <w:highlight w:val="none"/>
              </w:rPr>
              <w:t>本项目服务期为2年。具体起始时间服从采购人安排。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采购人指定地点</w:t>
            </w:r>
            <w:r>
              <w:rPr>
                <w:rFonts w:hint="eastAsia" w:ascii="仿宋" w:hAnsi="仿宋" w:eastAsia="仿宋" w:cs="仿宋"/>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履约保证金</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zh-CN"/>
              </w:rPr>
              <w:t>合同生效后7个工作日内，乙方应以支票、汇票、本票或者金融机构、担保机构出具的保函等非现金形式，提交合同价1%的履约保证金，待项目验收合格后无息退还（如有违约内容，则扣除相应违约款项后，无息退还）。</w:t>
            </w:r>
          </w:p>
        </w:tc>
      </w:tr>
    </w:tbl>
    <w:p>
      <w:pPr>
        <w:pageBreakBefore w:val="0"/>
        <w:kinsoku/>
        <w:wordWrap/>
        <w:overflowPunct/>
        <w:topLinePunct w:val="0"/>
        <w:bidi w:val="0"/>
        <w:spacing w:line="360" w:lineRule="auto"/>
        <w:ind w:left="0"/>
        <w:textAlignment w:val="auto"/>
        <w:rPr>
          <w:rFonts w:hint="eastAsia" w:ascii="仿宋" w:hAnsi="仿宋" w:eastAsia="仿宋" w:cs="仿宋"/>
          <w:b/>
          <w:color w:val="auto"/>
          <w:sz w:val="24"/>
          <w:szCs w:val="24"/>
          <w:highlight w:val="none"/>
        </w:rPr>
      </w:pP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40" w:name="_Toc16703"/>
      <w:bookmarkStart w:id="41" w:name="_Toc25020"/>
      <w:bookmarkStart w:id="42" w:name="_Toc151438330"/>
      <w:bookmarkStart w:id="43" w:name="_Toc194983822"/>
      <w:bookmarkStart w:id="44" w:name="_Toc306304669"/>
      <w:bookmarkStart w:id="45" w:name="_Toc203558310"/>
      <w:bookmarkStart w:id="46" w:name="_Toc149969107"/>
      <w:bookmarkStart w:id="47" w:name="_Toc152411298"/>
      <w:r>
        <w:rPr>
          <w:rFonts w:hint="eastAsia" w:ascii="仿宋" w:hAnsi="仿宋" w:eastAsia="仿宋" w:cs="仿宋"/>
          <w:color w:val="auto"/>
          <w:sz w:val="24"/>
          <w:szCs w:val="24"/>
          <w:highlight w:val="none"/>
        </w:rPr>
        <w:t>九、注意事项</w:t>
      </w:r>
      <w:bookmarkEnd w:id="40"/>
      <w:bookmarkEnd w:id="41"/>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1、人员工资不得低于杭州市劳动保障有关规定，认真贯彻杭政办《浙江省人民政府办公厅关于进一步改善环卫工人工作生活条件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必须落实职工劳保福利待遇，为职工缴纳社会保险费（养老保险、医疗保险、失业保险、工伤保险和生育保险）与住房公积金，保障职工休息休假权利，确保环卫工人基本权益得到保障。</w:t>
      </w:r>
      <w:bookmarkEnd w:id="42"/>
      <w:bookmarkEnd w:id="43"/>
      <w:bookmarkEnd w:id="44"/>
      <w:bookmarkEnd w:id="45"/>
      <w:bookmarkEnd w:id="46"/>
      <w:bookmarkEnd w:id="47"/>
      <w:bookmarkStart w:id="48" w:name="_Toc17988"/>
      <w:bookmarkStart w:id="49" w:name="_Toc495389909"/>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2、提倡职业道德，轻微问题做到举手之劳（劝导）。</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（1）不符合立案的小广告；</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（2）垃圾箱小门打开或盖子移位，垃圾箱外的小袋装垃圾；</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（3）井盖轻微错位，在能力范围内；</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（4）交通护拦轻微移位、脱节、侧倒（非水泥柱等）；</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（5）重大节庆活动、防台防汛抗雪等特殊任务需要时，应服从监督指挥中心的统一安排，并无偿提供人员保障；</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（6）非泊车位的停车（车主正准备停）单个现象，自行车停在泊车线外；</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（7）绿地或主干道的小木板广告类；</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（8）网络通讯交接箱门打开（设施不坏）；</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（9）主干道单个流浪乞讨；</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（10）单个影响交通及自身安全的无证商贩。</w:t>
      </w:r>
    </w:p>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50" w:name="_Toc14934"/>
      <w:r>
        <w:rPr>
          <w:rFonts w:hint="eastAsia" w:ascii="仿宋" w:hAnsi="仿宋" w:eastAsia="仿宋" w:cs="仿宋"/>
          <w:color w:val="auto"/>
          <w:sz w:val="24"/>
          <w:szCs w:val="24"/>
          <w:highlight w:val="none"/>
        </w:rPr>
        <w:t>十、验收</w:t>
      </w:r>
      <w:bookmarkEnd w:id="50"/>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1、本项目需根据《杭州市政府采购履约验收暂行办法》杭财采监〔2019〕10 号文，进行履约验收，验收合格报告作为项目支付的依据。</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验收依据：①采购文件确定的技术指标或者服务要求；②投标文件承诺、询标回复；③服务合同、甲方制定的考核标准。未进行相应约定的，应当符合国家强制性规定、政策要求、安全标准、行业或企业有关标准等。</w:t>
      </w:r>
    </w:p>
    <w:bookmarkEnd w:id="48"/>
    <w:bookmarkEnd w:id="49"/>
    <w:p>
      <w:pPr>
        <w:pStyle w:val="6"/>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51" w:name="_Toc3651"/>
      <w:r>
        <w:rPr>
          <w:rFonts w:hint="eastAsia" w:asci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投标时其他</w:t>
      </w:r>
      <w:r>
        <w:rPr>
          <w:rFonts w:hint="eastAsia" w:ascii="仿宋" w:hAnsi="仿宋" w:eastAsia="仿宋" w:cs="仿宋"/>
          <w:color w:val="auto"/>
          <w:sz w:val="24"/>
          <w:szCs w:val="24"/>
          <w:highlight w:val="none"/>
        </w:rPr>
        <w:t>事项</w:t>
      </w:r>
      <w:bookmarkEnd w:id="51"/>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（一）投标人要求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Style w:val="962"/>
          <w:rFonts w:hint="eastAsia" w:ascii="仿宋" w:hAnsi="仿宋" w:eastAsia="仿宋" w:cs="仿宋"/>
          <w:color w:val="auto"/>
          <w:kern w:val="0"/>
          <w:sz w:val="24"/>
          <w:szCs w:val="24"/>
          <w:highlight w:val="none"/>
          <w:lang w:val="en-US" w:eastAsia="zh-CN" w:bidi="ar-SA"/>
        </w:rPr>
      </w:pPr>
      <w:r>
        <w:rPr>
          <w:rStyle w:val="962"/>
          <w:rFonts w:hint="eastAsia" w:ascii="仿宋" w:hAnsi="仿宋" w:eastAsia="仿宋" w:cs="仿宋"/>
          <w:color w:val="auto"/>
          <w:kern w:val="0"/>
          <w:sz w:val="24"/>
          <w:szCs w:val="24"/>
          <w:highlight w:val="none"/>
          <w:lang w:val="en-US" w:eastAsia="zh-CN" w:bidi="ar-SA"/>
        </w:rPr>
        <w:t>1、具有有效的质量体系认证，环境体系认证，职业健康安全管理体系认证证书。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lang w:val="en-US" w:eastAsia="zh-CN" w:bidi="ar-SA"/>
        </w:rPr>
        <w:t>2、投标人自2020年1月1日（按合同签订时间为准）以来，具有</w:t>
      </w:r>
      <w:r>
        <w:rPr>
          <w:rFonts w:hint="eastAsia" w:ascii="仿宋" w:hAnsi="仿宋" w:eastAsia="仿宋" w:cs="仿宋"/>
          <w:color w:val="auto"/>
          <w:sz w:val="24"/>
          <w:highlight w:val="none"/>
        </w:rPr>
        <w:t>信息采集项目</w:t>
      </w:r>
      <w:r>
        <w:rPr>
          <w:rStyle w:val="962"/>
          <w:rFonts w:hint="eastAsia" w:ascii="仿宋" w:hAnsi="仿宋" w:eastAsia="仿宋" w:cs="仿宋"/>
          <w:color w:val="auto"/>
          <w:kern w:val="0"/>
          <w:sz w:val="24"/>
          <w:szCs w:val="24"/>
          <w:highlight w:val="none"/>
          <w:lang w:val="en-US" w:eastAsia="zh-CN" w:bidi="ar-SA"/>
        </w:rPr>
        <w:t>的成功经验。</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（二）投标时对方案的要求</w:t>
      </w:r>
    </w:p>
    <w:p>
      <w:pPr>
        <w:pStyle w:val="26"/>
        <w:rPr>
          <w:rFonts w:hint="eastAsia" w:ascii="仿宋" w:hAnsi="仿宋" w:eastAsia="仿宋" w:cs="仿宋"/>
          <w:bCs/>
          <w:color w:val="auto"/>
          <w:highlight w:val="none"/>
        </w:rPr>
      </w:pPr>
      <w:r>
        <w:rPr>
          <w:rFonts w:hint="eastAsia" w:ascii="仿宋" w:hAnsi="仿宋" w:eastAsia="仿宋" w:cs="仿宋"/>
          <w:bCs/>
          <w:color w:val="auto"/>
          <w:highlight w:val="none"/>
        </w:rPr>
        <w:t>1、投标人需针对本项目的</w:t>
      </w:r>
      <w:r>
        <w:rPr>
          <w:rFonts w:hint="eastAsia" w:ascii="仿宋" w:hAnsi="仿宋" w:eastAsia="仿宋" w:cs="仿宋"/>
          <w:bCs/>
          <w:color w:val="auto"/>
          <w:highlight w:val="none"/>
          <w:lang w:val="en-US" w:eastAsia="zh-CN"/>
        </w:rPr>
        <w:t>总体目标、工作内容，制定项目启动实施方案</w:t>
      </w:r>
      <w:r>
        <w:rPr>
          <w:rFonts w:hint="eastAsia" w:ascii="仿宋" w:hAnsi="仿宋" w:eastAsia="仿宋" w:cs="仿宋"/>
          <w:bCs/>
          <w:color w:val="auto"/>
          <w:highlight w:val="none"/>
        </w:rPr>
        <w:t>。</w:t>
      </w:r>
    </w:p>
    <w:p>
      <w:pPr>
        <w:pStyle w:val="26"/>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2、投标人需针对本项目的实际情况与需求，</w:t>
      </w:r>
      <w:r>
        <w:rPr>
          <w:rFonts w:hint="eastAsia" w:ascii="仿宋" w:hAnsi="仿宋" w:eastAsia="仿宋" w:cs="仿宋"/>
          <w:bCs/>
          <w:color w:val="auto"/>
          <w:highlight w:val="none"/>
          <w:lang w:val="en-US" w:eastAsia="zh-CN"/>
        </w:rPr>
        <w:t>就关键内容</w:t>
      </w:r>
      <w:r>
        <w:rPr>
          <w:rFonts w:hint="eastAsia" w:ascii="仿宋" w:hAnsi="仿宋" w:eastAsia="仿宋" w:cs="仿宋"/>
          <w:bCs/>
          <w:color w:val="auto"/>
          <w:highlight w:val="none"/>
        </w:rPr>
        <w:t>制定</w:t>
      </w:r>
      <w:r>
        <w:rPr>
          <w:rFonts w:hint="eastAsia" w:ascii="仿宋" w:hAnsi="仿宋" w:eastAsia="仿宋" w:cs="仿宋"/>
          <w:bCs/>
          <w:color w:val="auto"/>
          <w:highlight w:val="none"/>
          <w:lang w:val="en-US" w:eastAsia="zh-CN"/>
        </w:rPr>
        <w:t>措施方案，包括：（1）</w:t>
      </w:r>
      <w:r>
        <w:rPr>
          <w:rStyle w:val="962"/>
          <w:rFonts w:hint="eastAsia" w:ascii="仿宋" w:hAnsi="仿宋" w:eastAsia="仿宋" w:cs="仿宋"/>
          <w:color w:val="auto"/>
          <w:kern w:val="0"/>
          <w:sz w:val="24"/>
          <w:szCs w:val="24"/>
          <w:highlight w:val="none"/>
          <w:lang w:val="en-US" w:eastAsia="zh-CN" w:bidi="ar-SA"/>
        </w:rPr>
        <w:t>全面、及时、准确采集相关信息数据方案（含核实、核查）</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lang w:eastAsia="zh-CN"/>
        </w:rPr>
        <w:t>）</w:t>
      </w: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数字城管城市快车道、河道、高架立交、桥梁隧道等区域信息采集实施方案；（3）</w:t>
      </w:r>
      <w:r>
        <w:rPr>
          <w:rStyle w:val="962"/>
          <w:rFonts w:hint="eastAsia" w:ascii="仿宋" w:hAnsi="仿宋" w:eastAsia="仿宋" w:cs="仿宋"/>
          <w:color w:val="auto"/>
          <w:kern w:val="0"/>
          <w:sz w:val="24"/>
          <w:szCs w:val="24"/>
          <w:highlight w:val="none"/>
        </w:rPr>
        <w:t>提供科学合理的网格划分方案</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4</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rPr>
        <w:t>确保工作衔接的采集员交接</w:t>
      </w:r>
      <w:r>
        <w:rPr>
          <w:rStyle w:val="962"/>
          <w:rFonts w:hint="eastAsia" w:ascii="仿宋" w:hAnsi="仿宋" w:eastAsia="仿宋" w:cs="仿宋"/>
          <w:color w:val="auto"/>
          <w:kern w:val="0"/>
          <w:sz w:val="24"/>
          <w:szCs w:val="24"/>
          <w:highlight w:val="none"/>
          <w:lang w:val="en-US" w:eastAsia="zh-CN"/>
        </w:rPr>
        <w:t>方案；（5）</w:t>
      </w:r>
      <w:r>
        <w:rPr>
          <w:rStyle w:val="962"/>
          <w:rFonts w:hint="eastAsia" w:ascii="仿宋" w:hAnsi="仿宋" w:eastAsia="仿宋" w:cs="仿宋"/>
          <w:color w:val="auto"/>
          <w:kern w:val="0"/>
          <w:sz w:val="24"/>
          <w:szCs w:val="24"/>
          <w:highlight w:val="none"/>
        </w:rPr>
        <w:t>确保漏报、投诉等问题处置、回复、满意率均达100％的</w:t>
      </w:r>
      <w:r>
        <w:rPr>
          <w:rStyle w:val="962"/>
          <w:rFonts w:hint="eastAsia" w:ascii="仿宋" w:hAnsi="仿宋" w:eastAsia="仿宋" w:cs="仿宋"/>
          <w:color w:val="auto"/>
          <w:kern w:val="0"/>
          <w:sz w:val="24"/>
          <w:szCs w:val="24"/>
          <w:highlight w:val="none"/>
          <w:lang w:val="en-US" w:eastAsia="zh-CN"/>
        </w:rPr>
        <w:t>措施；（6）</w:t>
      </w:r>
      <w:r>
        <w:rPr>
          <w:rStyle w:val="962"/>
          <w:rFonts w:hint="eastAsia" w:ascii="仿宋" w:hAnsi="仿宋" w:eastAsia="仿宋" w:cs="仿宋"/>
          <w:color w:val="auto"/>
          <w:kern w:val="0"/>
          <w:sz w:val="24"/>
          <w:szCs w:val="24"/>
          <w:highlight w:val="none"/>
        </w:rPr>
        <w:t>落实专人或机构负责对采集员上岗、巡查、采集工作质量，实行实时监控且建立管理体系的</w:t>
      </w:r>
      <w:r>
        <w:rPr>
          <w:rStyle w:val="962"/>
          <w:rFonts w:hint="eastAsia" w:ascii="仿宋" w:hAnsi="仿宋" w:eastAsia="仿宋" w:cs="仿宋"/>
          <w:color w:val="auto"/>
          <w:kern w:val="0"/>
          <w:sz w:val="24"/>
          <w:szCs w:val="24"/>
          <w:highlight w:val="none"/>
          <w:lang w:val="en-US" w:eastAsia="zh-CN"/>
        </w:rPr>
        <w:t>措施；（7）</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包括培训内容</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含</w:t>
      </w:r>
      <w:r>
        <w:rPr>
          <w:rStyle w:val="962"/>
          <w:rFonts w:hint="eastAsia" w:ascii="仿宋" w:hAnsi="仿宋" w:eastAsia="仿宋" w:cs="仿宋"/>
          <w:color w:val="auto"/>
          <w:kern w:val="0"/>
          <w:sz w:val="24"/>
          <w:szCs w:val="24"/>
          <w:highlight w:val="none"/>
        </w:rPr>
        <w:t>岗位标准、专业知识、职业道德规范、应急保障</w:t>
      </w:r>
      <w:r>
        <w:rPr>
          <w:rStyle w:val="962"/>
          <w:rFonts w:hint="eastAsia" w:ascii="仿宋" w:hAnsi="仿宋" w:eastAsia="仿宋" w:cs="仿宋"/>
          <w:color w:val="auto"/>
          <w:kern w:val="0"/>
          <w:sz w:val="24"/>
          <w:szCs w:val="24"/>
          <w:highlight w:val="none"/>
          <w:lang w:eastAsia="zh-CN"/>
        </w:rPr>
        <w:t>）及针对性的培训措施；（</w:t>
      </w:r>
      <w:r>
        <w:rPr>
          <w:rStyle w:val="962"/>
          <w:rFonts w:hint="eastAsia" w:ascii="仿宋" w:hAnsi="仿宋" w:eastAsia="仿宋" w:cs="仿宋"/>
          <w:color w:val="auto"/>
          <w:kern w:val="0"/>
          <w:sz w:val="24"/>
          <w:szCs w:val="24"/>
          <w:highlight w:val="none"/>
          <w:lang w:val="en-US" w:eastAsia="zh-CN"/>
        </w:rPr>
        <w:t>8</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rPr>
        <w:t>针对“信息采集器”管理和维护办法</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9</w:t>
      </w:r>
      <w:r>
        <w:rPr>
          <w:rStyle w:val="962"/>
          <w:rFonts w:hint="eastAsia" w:ascii="仿宋" w:hAnsi="仿宋" w:eastAsia="仿宋" w:cs="仿宋"/>
          <w:color w:val="auto"/>
          <w:kern w:val="0"/>
          <w:sz w:val="24"/>
          <w:szCs w:val="24"/>
          <w:highlight w:val="none"/>
          <w:lang w:eastAsia="zh-CN"/>
        </w:rPr>
        <w:t>）预防触碰三条高压线（防止虚假信息、防止吃拿卡要、有责投诉）的</w:t>
      </w:r>
      <w:r>
        <w:rPr>
          <w:rStyle w:val="962"/>
          <w:rFonts w:hint="eastAsia" w:ascii="仿宋" w:hAnsi="仿宋" w:eastAsia="仿宋" w:cs="仿宋"/>
          <w:color w:val="auto"/>
          <w:kern w:val="0"/>
          <w:sz w:val="24"/>
          <w:szCs w:val="24"/>
          <w:highlight w:val="none"/>
          <w:lang w:val="en-US" w:eastAsia="zh-CN"/>
        </w:rPr>
        <w:t>措施方案；（10）应急保障，含①</w:t>
      </w:r>
      <w:r>
        <w:rPr>
          <w:rStyle w:val="962"/>
          <w:rFonts w:hint="eastAsia" w:ascii="仿宋" w:hAnsi="仿宋" w:eastAsia="仿宋" w:cs="仿宋"/>
          <w:color w:val="auto"/>
          <w:kern w:val="0"/>
          <w:sz w:val="24"/>
          <w:szCs w:val="24"/>
          <w:highlight w:val="none"/>
        </w:rPr>
        <w:t>数字城管信息采集两防两抗（抗台防汛，抗雪防冻）应急保障预案</w:t>
      </w:r>
      <w:r>
        <w:rPr>
          <w:rStyle w:val="962"/>
          <w:rFonts w:hint="eastAsia" w:ascii="仿宋" w:hAnsi="仿宋" w:eastAsia="仿宋" w:cs="仿宋"/>
          <w:color w:val="auto"/>
          <w:kern w:val="0"/>
          <w:sz w:val="24"/>
          <w:szCs w:val="24"/>
          <w:highlight w:val="none"/>
          <w:lang w:eastAsia="zh-CN"/>
        </w:rPr>
        <w:t>；②</w:t>
      </w:r>
      <w:r>
        <w:rPr>
          <w:rStyle w:val="962"/>
          <w:rFonts w:hint="eastAsia" w:ascii="仿宋" w:hAnsi="仿宋" w:eastAsia="仿宋" w:cs="仿宋"/>
          <w:color w:val="auto"/>
          <w:kern w:val="0"/>
          <w:sz w:val="24"/>
          <w:szCs w:val="24"/>
          <w:highlight w:val="none"/>
        </w:rPr>
        <w:t>城市管理重点问题信息采集保障方案</w:t>
      </w:r>
      <w:r>
        <w:rPr>
          <w:rStyle w:val="962"/>
          <w:rFonts w:hint="eastAsia" w:ascii="仿宋" w:hAnsi="仿宋" w:eastAsia="仿宋" w:cs="仿宋"/>
          <w:color w:val="auto"/>
          <w:kern w:val="0"/>
          <w:sz w:val="24"/>
          <w:szCs w:val="24"/>
          <w:highlight w:val="none"/>
          <w:lang w:eastAsia="zh-CN"/>
        </w:rPr>
        <w:t>；③数字城管信息采集重大活动任务保障预案；</w:t>
      </w:r>
      <w:r>
        <w:rPr>
          <w:rStyle w:val="962"/>
          <w:rFonts w:hint="eastAsia" w:ascii="仿宋" w:hAnsi="仿宋" w:eastAsia="仿宋" w:cs="仿宋"/>
          <w:color w:val="auto"/>
          <w:kern w:val="0"/>
          <w:sz w:val="24"/>
          <w:szCs w:val="24"/>
          <w:highlight w:val="none"/>
          <w:lang w:val="zh-CN"/>
        </w:rPr>
        <w:t>④</w:t>
      </w:r>
      <w:r>
        <w:rPr>
          <w:rStyle w:val="962"/>
          <w:rFonts w:hint="eastAsia" w:ascii="仿宋" w:hAnsi="仿宋" w:eastAsia="仿宋" w:cs="仿宋"/>
          <w:color w:val="auto"/>
          <w:kern w:val="0"/>
          <w:sz w:val="24"/>
          <w:szCs w:val="24"/>
          <w:highlight w:val="none"/>
          <w:lang w:eastAsia="zh-CN"/>
        </w:rPr>
        <w:t>公共危机应急预案；（</w:t>
      </w:r>
      <w:r>
        <w:rPr>
          <w:rStyle w:val="962"/>
          <w:rFonts w:hint="eastAsia" w:ascii="仿宋" w:hAnsi="仿宋" w:eastAsia="仿宋" w:cs="仿宋"/>
          <w:color w:val="auto"/>
          <w:kern w:val="0"/>
          <w:sz w:val="24"/>
          <w:szCs w:val="24"/>
          <w:highlight w:val="none"/>
          <w:lang w:val="en-US" w:eastAsia="zh-CN"/>
        </w:rPr>
        <w:t>11</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制定完善的管理制度，包括①</w:t>
      </w:r>
      <w:r>
        <w:rPr>
          <w:rStyle w:val="962"/>
          <w:rFonts w:hint="eastAsia" w:ascii="仿宋" w:hAnsi="仿宋" w:eastAsia="仿宋" w:cs="仿宋"/>
          <w:color w:val="auto"/>
          <w:kern w:val="0"/>
          <w:sz w:val="24"/>
          <w:szCs w:val="24"/>
          <w:highlight w:val="none"/>
          <w:lang w:val="zh-CN"/>
        </w:rPr>
        <w:t>制定层级管理制度，保证管理、指挥、质量控制要求在组织架构上实现；</w:t>
      </w:r>
      <w:r>
        <w:rPr>
          <w:rStyle w:val="962"/>
          <w:rFonts w:hint="eastAsia" w:ascii="仿宋" w:hAnsi="仿宋" w:eastAsia="仿宋" w:cs="仿宋"/>
          <w:color w:val="auto"/>
          <w:kern w:val="0"/>
          <w:sz w:val="24"/>
          <w:szCs w:val="24"/>
          <w:highlight w:val="none"/>
          <w:lang w:eastAsia="zh-CN"/>
        </w:rPr>
        <w:t>②</w:t>
      </w:r>
      <w:r>
        <w:rPr>
          <w:rStyle w:val="962"/>
          <w:rFonts w:hint="eastAsia" w:ascii="仿宋" w:hAnsi="仿宋" w:eastAsia="仿宋" w:cs="仿宋"/>
          <w:color w:val="auto"/>
          <w:kern w:val="0"/>
          <w:sz w:val="24"/>
          <w:szCs w:val="24"/>
          <w:highlight w:val="none"/>
          <w:lang w:val="zh-CN"/>
        </w:rPr>
        <w:t>建立规范的人力资源管理体系；</w:t>
      </w:r>
      <w:r>
        <w:rPr>
          <w:rStyle w:val="962"/>
          <w:rFonts w:hint="eastAsia" w:ascii="仿宋" w:hAnsi="仿宋" w:eastAsia="仿宋" w:cs="仿宋"/>
          <w:color w:val="auto"/>
          <w:kern w:val="0"/>
          <w:sz w:val="24"/>
          <w:szCs w:val="24"/>
          <w:highlight w:val="none"/>
          <w:lang w:eastAsia="zh-CN"/>
        </w:rPr>
        <w:t>③</w:t>
      </w:r>
      <w:r>
        <w:rPr>
          <w:rStyle w:val="962"/>
          <w:rFonts w:hint="eastAsia" w:ascii="仿宋" w:hAnsi="仿宋" w:eastAsia="仿宋" w:cs="仿宋"/>
          <w:color w:val="auto"/>
          <w:kern w:val="0"/>
          <w:sz w:val="24"/>
          <w:szCs w:val="24"/>
          <w:highlight w:val="none"/>
          <w:lang w:val="zh-CN"/>
        </w:rPr>
        <w:t>制定纪律、廉政、安全、宣传、档案管理等内部管理制度；④具有明确的分工和职责要求并对应制定考核办法；⑤实行末位淘汰等奖优罚劣措施。</w:t>
      </w:r>
    </w:p>
    <w:p>
      <w:pPr>
        <w:pStyle w:val="26"/>
        <w:rPr>
          <w:rFonts w:ascii="仿宋" w:hAnsi="仿宋" w:eastAsia="仿宋" w:cs="仿宋"/>
          <w:bCs/>
          <w:color w:val="auto"/>
          <w:highlight w:val="none"/>
        </w:rPr>
      </w:pPr>
      <w:r>
        <w:rPr>
          <w:rFonts w:hint="eastAsia" w:ascii="仿宋" w:hAnsi="仿宋" w:eastAsia="仿宋" w:cs="仿宋"/>
          <w:bCs/>
          <w:color w:val="auto"/>
          <w:highlight w:val="none"/>
        </w:rPr>
        <w:t>3、针对</w:t>
      </w:r>
      <w:r>
        <w:rPr>
          <w:rFonts w:hint="eastAsia" w:ascii="仿宋" w:hAnsi="仿宋" w:eastAsia="仿宋" w:cs="仿宋"/>
          <w:bCs/>
          <w:color w:val="auto"/>
          <w:highlight w:val="none"/>
          <w:lang w:val="en-US" w:eastAsia="zh-CN"/>
        </w:rPr>
        <w:t>数字城管</w:t>
      </w:r>
      <w:r>
        <w:rPr>
          <w:rFonts w:hint="eastAsia" w:ascii="仿宋" w:hAnsi="仿宋" w:eastAsia="仿宋" w:cs="仿宋"/>
          <w:bCs/>
          <w:color w:val="auto"/>
          <w:highlight w:val="none"/>
        </w:rPr>
        <w:t>性质及特点，投标人应能提供技术重点、难点的分析，并提供应对措施，相应的咨询服务。</w:t>
      </w:r>
    </w:p>
    <w:p>
      <w:pPr>
        <w:pStyle w:val="26"/>
        <w:rPr>
          <w:rFonts w:hint="eastAsia" w:ascii="仿宋" w:hAnsi="仿宋" w:eastAsia="仿宋" w:cs="仿宋"/>
          <w:bCs/>
          <w:color w:val="auto"/>
          <w:highlight w:val="none"/>
        </w:rPr>
      </w:pPr>
      <w:r>
        <w:rPr>
          <w:rFonts w:hint="eastAsia" w:ascii="仿宋" w:hAnsi="仿宋" w:eastAsia="仿宋" w:cs="仿宋"/>
          <w:bCs/>
          <w:color w:val="auto"/>
          <w:highlight w:val="none"/>
        </w:rPr>
        <w:t>4、</w:t>
      </w:r>
      <w:r>
        <w:rPr>
          <w:rFonts w:hint="eastAsia" w:ascii="仿宋" w:hAnsi="仿宋" w:eastAsia="仿宋" w:cs="仿宋"/>
          <w:bCs/>
          <w:color w:val="auto"/>
          <w:highlight w:val="none"/>
          <w:lang w:val="en-US" w:eastAsia="zh-CN"/>
        </w:rPr>
        <w:t>提供队伍组建方案</w:t>
      </w:r>
      <w:r>
        <w:rPr>
          <w:rFonts w:hint="eastAsia" w:ascii="仿宋" w:hAnsi="仿宋" w:eastAsia="仿宋" w:cs="仿宋"/>
          <w:bCs/>
          <w:color w:val="auto"/>
          <w:highlight w:val="none"/>
        </w:rPr>
        <w:t>。</w:t>
      </w:r>
    </w:p>
    <w:p>
      <w:pPr>
        <w:pStyle w:val="6"/>
        <w:spacing w:before="120" w:after="120" w:line="360" w:lineRule="auto"/>
        <w:rPr>
          <w:rFonts w:ascii="仿宋" w:hAnsi="仿宋" w:eastAsia="仿宋" w:cs="仿宋"/>
          <w:color w:val="auto"/>
          <w:sz w:val="24"/>
          <w:szCs w:val="24"/>
          <w:highlight w:val="none"/>
        </w:rPr>
      </w:pPr>
      <w:bookmarkStart w:id="52" w:name="_Toc24129"/>
      <w:bookmarkStart w:id="53" w:name="_Toc11456"/>
      <w:r>
        <w:rPr>
          <w:rFonts w:hint="eastAsia" w:asci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rPr>
        <w:t>、其他说明</w:t>
      </w:r>
      <w:bookmarkEnd w:id="52"/>
      <w:bookmarkEnd w:id="53"/>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1、投标人提供的服务、证明材料等实际情况与投标文件中所承诺或响应内容不符合，可视为虚假应标及欺诈行为，并追究相应责任。</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未尽事宜可进一步参阅合同条款、</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文件其他内容</w:t>
      </w:r>
      <w:r>
        <w:rPr>
          <w:rFonts w:hint="eastAsia" w:ascii="仿宋" w:hAnsi="仿宋" w:eastAsia="仿宋" w:cs="仿宋"/>
          <w:color w:val="auto"/>
          <w:sz w:val="24"/>
          <w:highlight w:val="none"/>
          <w:lang w:val="zh-CN"/>
        </w:rPr>
        <w:t>。</w:t>
      </w:r>
    </w:p>
    <w:p>
      <w:pPr>
        <w:rPr>
          <w:rFonts w:hint="eastAsia"/>
          <w:color w:val="auto"/>
          <w:highlight w:val="none"/>
          <w:lang w:val="en-US" w:eastAsia="zh-CN"/>
        </w:rPr>
        <w:sectPr>
          <w:headerReference r:id="rId8" w:type="default"/>
          <w:footerReference r:id="rId9" w:type="default"/>
          <w:pgSz w:w="11850" w:h="16783"/>
          <w:pgMar w:top="1247" w:right="1588" w:bottom="1089" w:left="1588" w:header="851" w:footer="992" w:gutter="0"/>
          <w:pgNumType w:fmt="decimal"/>
          <w:cols w:space="720" w:num="1"/>
          <w:docGrid w:linePitch="312" w:charSpace="0"/>
        </w:sect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54" w:name="_Toc184312084"/>
      <w:bookmarkEnd w:id="54"/>
      <w:bookmarkStart w:id="55" w:name="_Toc184313267"/>
      <w:bookmarkEnd w:id="55"/>
      <w:bookmarkStart w:id="56" w:name="_Toc184313264"/>
      <w:bookmarkEnd w:id="56"/>
      <w:bookmarkStart w:id="57" w:name="_Toc184312067"/>
      <w:bookmarkEnd w:id="57"/>
      <w:bookmarkStart w:id="58" w:name="_Toc184312119"/>
      <w:bookmarkEnd w:id="58"/>
      <w:bookmarkStart w:id="59" w:name="_Toc184310309"/>
      <w:bookmarkEnd w:id="59"/>
      <w:bookmarkStart w:id="60" w:name="_Toc184310344"/>
      <w:bookmarkEnd w:id="60"/>
      <w:bookmarkStart w:id="61" w:name="_Toc184314479"/>
      <w:bookmarkEnd w:id="61"/>
      <w:bookmarkStart w:id="62" w:name="_Toc184308100"/>
      <w:bookmarkEnd w:id="62"/>
      <w:bookmarkStart w:id="63" w:name="_Toc184313276"/>
      <w:bookmarkEnd w:id="63"/>
      <w:bookmarkStart w:id="64" w:name="_Toc184308082"/>
      <w:bookmarkEnd w:id="64"/>
      <w:bookmarkStart w:id="65" w:name="_Toc184308058"/>
      <w:bookmarkEnd w:id="65"/>
      <w:bookmarkStart w:id="66" w:name="_Toc184314482"/>
      <w:bookmarkEnd w:id="66"/>
      <w:bookmarkStart w:id="67" w:name="_Toc184310297"/>
      <w:bookmarkEnd w:id="67"/>
      <w:bookmarkStart w:id="68" w:name="_Toc184308090"/>
      <w:bookmarkEnd w:id="68"/>
      <w:bookmarkStart w:id="69" w:name="_Toc184313277"/>
      <w:bookmarkEnd w:id="69"/>
      <w:bookmarkStart w:id="70" w:name="_Toc184310327"/>
      <w:bookmarkEnd w:id="70"/>
      <w:bookmarkStart w:id="71" w:name="_Toc184313285"/>
      <w:bookmarkEnd w:id="71"/>
      <w:bookmarkStart w:id="72" w:name="_Toc184314477"/>
      <w:bookmarkEnd w:id="72"/>
      <w:bookmarkStart w:id="73" w:name="_Toc184310276"/>
      <w:bookmarkEnd w:id="73"/>
      <w:bookmarkStart w:id="74" w:name="_Toc184314469"/>
      <w:bookmarkEnd w:id="74"/>
      <w:bookmarkStart w:id="75" w:name="_Toc184310306"/>
      <w:bookmarkEnd w:id="75"/>
      <w:bookmarkStart w:id="76" w:name="_Toc184313303"/>
      <w:bookmarkEnd w:id="76"/>
      <w:bookmarkStart w:id="77" w:name="_Toc184312078"/>
      <w:bookmarkEnd w:id="77"/>
      <w:bookmarkStart w:id="78" w:name="_Toc184312130"/>
      <w:bookmarkEnd w:id="78"/>
      <w:bookmarkStart w:id="79" w:name="_Toc184308036"/>
      <w:bookmarkEnd w:id="79"/>
      <w:bookmarkStart w:id="80" w:name="_Toc184310304"/>
      <w:bookmarkEnd w:id="80"/>
      <w:bookmarkStart w:id="81" w:name="_Toc184312111"/>
      <w:bookmarkEnd w:id="81"/>
      <w:bookmarkStart w:id="82" w:name="_Toc184313265"/>
      <w:bookmarkEnd w:id="82"/>
      <w:bookmarkStart w:id="83" w:name="_Toc184313292"/>
      <w:bookmarkEnd w:id="83"/>
      <w:bookmarkStart w:id="84" w:name="_Toc184313297"/>
      <w:bookmarkEnd w:id="84"/>
      <w:bookmarkStart w:id="85" w:name="_Toc184312128"/>
      <w:bookmarkEnd w:id="85"/>
      <w:bookmarkStart w:id="86" w:name="_Toc184312138"/>
      <w:bookmarkEnd w:id="86"/>
      <w:bookmarkStart w:id="87" w:name="_Toc184312072"/>
      <w:bookmarkEnd w:id="87"/>
      <w:bookmarkStart w:id="88" w:name="_Toc184313278"/>
      <w:bookmarkEnd w:id="88"/>
      <w:bookmarkStart w:id="89" w:name="_Toc184313266"/>
      <w:bookmarkEnd w:id="89"/>
      <w:bookmarkStart w:id="90" w:name="_Toc184314442"/>
      <w:bookmarkEnd w:id="90"/>
      <w:bookmarkStart w:id="91" w:name="_Toc184313263"/>
      <w:bookmarkEnd w:id="91"/>
      <w:bookmarkStart w:id="92" w:name="_Toc184314457"/>
      <w:bookmarkEnd w:id="92"/>
      <w:bookmarkStart w:id="93" w:name="_Toc184314411"/>
      <w:bookmarkEnd w:id="93"/>
      <w:bookmarkStart w:id="94" w:name="_Toc184310274"/>
      <w:bookmarkEnd w:id="94"/>
      <w:bookmarkStart w:id="95" w:name="_Toc184312076"/>
      <w:bookmarkEnd w:id="95"/>
      <w:bookmarkStart w:id="96" w:name="_Toc184313250"/>
      <w:bookmarkEnd w:id="96"/>
      <w:bookmarkStart w:id="97" w:name="_Toc184310325"/>
      <w:bookmarkEnd w:id="97"/>
      <w:bookmarkStart w:id="98" w:name="_Toc184308045"/>
      <w:bookmarkEnd w:id="98"/>
      <w:bookmarkStart w:id="99" w:name="_Toc184312106"/>
      <w:bookmarkEnd w:id="99"/>
      <w:bookmarkStart w:id="100" w:name="_Toc184310289"/>
      <w:bookmarkEnd w:id="100"/>
      <w:bookmarkStart w:id="101" w:name="_Toc184310281"/>
      <w:bookmarkEnd w:id="101"/>
      <w:bookmarkStart w:id="102" w:name="_Toc184313290"/>
      <w:bookmarkEnd w:id="102"/>
      <w:bookmarkStart w:id="103" w:name="_Toc184313262"/>
      <w:bookmarkEnd w:id="103"/>
      <w:bookmarkStart w:id="104" w:name="_Toc184314453"/>
      <w:bookmarkEnd w:id="104"/>
      <w:bookmarkStart w:id="105" w:name="_Toc184312082"/>
      <w:bookmarkEnd w:id="105"/>
      <w:bookmarkStart w:id="106" w:name="_Toc184313307"/>
      <w:bookmarkEnd w:id="106"/>
      <w:bookmarkStart w:id="107" w:name="_Toc184310275"/>
      <w:bookmarkEnd w:id="107"/>
      <w:bookmarkStart w:id="108" w:name="_Toc184313268"/>
      <w:bookmarkEnd w:id="108"/>
      <w:bookmarkStart w:id="109" w:name="_Toc184312086"/>
      <w:bookmarkEnd w:id="109"/>
      <w:bookmarkStart w:id="110" w:name="_Toc184314467"/>
      <w:bookmarkEnd w:id="110"/>
      <w:bookmarkStart w:id="111" w:name="_Toc184310302"/>
      <w:bookmarkEnd w:id="111"/>
      <w:bookmarkStart w:id="112" w:name="_Toc184312085"/>
      <w:bookmarkEnd w:id="112"/>
      <w:bookmarkStart w:id="113" w:name="_Toc184313288"/>
      <w:bookmarkEnd w:id="113"/>
      <w:bookmarkStart w:id="114" w:name="_Toc184312132"/>
      <w:bookmarkEnd w:id="114"/>
      <w:bookmarkStart w:id="115" w:name="_Toc184314422"/>
      <w:bookmarkEnd w:id="115"/>
      <w:bookmarkStart w:id="116" w:name="_Toc184312100"/>
      <w:bookmarkEnd w:id="116"/>
      <w:bookmarkStart w:id="117" w:name="_Toc184312116"/>
      <w:bookmarkEnd w:id="117"/>
      <w:bookmarkStart w:id="118" w:name="_Toc184312096"/>
      <w:bookmarkEnd w:id="118"/>
      <w:bookmarkStart w:id="119" w:name="_Toc184310300"/>
      <w:bookmarkEnd w:id="119"/>
      <w:bookmarkStart w:id="120" w:name="_Toc184313279"/>
      <w:bookmarkEnd w:id="120"/>
      <w:bookmarkStart w:id="121" w:name="_Toc184313260"/>
      <w:bookmarkEnd w:id="121"/>
      <w:bookmarkStart w:id="122" w:name="_Toc184308037"/>
      <w:bookmarkEnd w:id="122"/>
      <w:bookmarkStart w:id="123" w:name="_Toc184308049"/>
      <w:bookmarkEnd w:id="123"/>
      <w:bookmarkStart w:id="124" w:name="_Toc184310273"/>
      <w:bookmarkEnd w:id="124"/>
      <w:bookmarkStart w:id="125" w:name="_Toc184314429"/>
      <w:bookmarkEnd w:id="125"/>
      <w:bookmarkStart w:id="126" w:name="_Toc184313270"/>
      <w:bookmarkEnd w:id="126"/>
      <w:bookmarkStart w:id="127" w:name="_Toc184313283"/>
      <w:bookmarkEnd w:id="127"/>
      <w:bookmarkStart w:id="128" w:name="_Toc184310328"/>
      <w:bookmarkEnd w:id="128"/>
      <w:bookmarkStart w:id="129" w:name="_Toc184308042"/>
      <w:bookmarkEnd w:id="129"/>
      <w:bookmarkStart w:id="130" w:name="_Toc184314416"/>
      <w:bookmarkEnd w:id="130"/>
      <w:bookmarkStart w:id="131" w:name="_Toc184313272"/>
      <w:bookmarkEnd w:id="131"/>
      <w:bookmarkStart w:id="132" w:name="_Toc184310291"/>
      <w:bookmarkEnd w:id="132"/>
      <w:bookmarkStart w:id="133" w:name="_Toc184313259"/>
      <w:bookmarkEnd w:id="133"/>
      <w:bookmarkStart w:id="134" w:name="_Toc184314447"/>
      <w:bookmarkEnd w:id="134"/>
      <w:bookmarkStart w:id="135" w:name="_Toc184314480"/>
      <w:bookmarkEnd w:id="135"/>
      <w:bookmarkStart w:id="136" w:name="_Toc184313269"/>
      <w:bookmarkEnd w:id="136"/>
      <w:bookmarkStart w:id="137" w:name="_Toc184308084"/>
      <w:bookmarkEnd w:id="137"/>
      <w:bookmarkStart w:id="138" w:name="_Toc184310329"/>
      <w:bookmarkEnd w:id="138"/>
      <w:bookmarkStart w:id="139" w:name="_Toc184312139"/>
      <w:bookmarkEnd w:id="139"/>
      <w:bookmarkStart w:id="140" w:name="_Toc184310301"/>
      <w:bookmarkEnd w:id="140"/>
      <w:bookmarkStart w:id="141" w:name="_Toc184314425"/>
      <w:bookmarkEnd w:id="141"/>
      <w:bookmarkStart w:id="142" w:name="_Toc184308065"/>
      <w:bookmarkEnd w:id="142"/>
      <w:bookmarkStart w:id="143" w:name="_Toc184314415"/>
      <w:bookmarkEnd w:id="143"/>
      <w:bookmarkStart w:id="144" w:name="_Toc184314474"/>
      <w:bookmarkEnd w:id="144"/>
      <w:bookmarkStart w:id="145" w:name="_Toc184310337"/>
      <w:bookmarkEnd w:id="145"/>
      <w:bookmarkStart w:id="146" w:name="_Toc184308072"/>
      <w:bookmarkEnd w:id="146"/>
      <w:bookmarkStart w:id="147" w:name="_Toc184310340"/>
      <w:bookmarkEnd w:id="147"/>
      <w:bookmarkStart w:id="148" w:name="_Toc184313247"/>
      <w:bookmarkEnd w:id="148"/>
      <w:bookmarkStart w:id="149" w:name="_Toc184312090"/>
      <w:bookmarkEnd w:id="149"/>
      <w:bookmarkStart w:id="150" w:name="_Toc184314456"/>
      <w:bookmarkEnd w:id="150"/>
      <w:bookmarkStart w:id="151" w:name="_Toc184308057"/>
      <w:bookmarkEnd w:id="151"/>
      <w:bookmarkStart w:id="152" w:name="_Toc184308071"/>
      <w:bookmarkEnd w:id="152"/>
      <w:bookmarkStart w:id="153" w:name="_Toc184308088"/>
      <w:bookmarkEnd w:id="153"/>
      <w:bookmarkStart w:id="154" w:name="_Toc184308092"/>
      <w:bookmarkEnd w:id="154"/>
      <w:bookmarkStart w:id="155" w:name="_Toc184308059"/>
      <w:bookmarkEnd w:id="155"/>
      <w:bookmarkStart w:id="156" w:name="_Toc184308096"/>
      <w:bookmarkEnd w:id="156"/>
      <w:bookmarkStart w:id="157" w:name="_Toc184314481"/>
      <w:bookmarkEnd w:id="157"/>
      <w:bookmarkStart w:id="158" w:name="_Toc184314450"/>
      <w:bookmarkEnd w:id="158"/>
      <w:bookmarkStart w:id="159" w:name="_Toc184310305"/>
      <w:bookmarkEnd w:id="159"/>
      <w:bookmarkStart w:id="160" w:name="_Toc184314418"/>
      <w:bookmarkEnd w:id="160"/>
      <w:bookmarkStart w:id="161" w:name="_Toc184313240"/>
      <w:bookmarkEnd w:id="161"/>
      <w:bookmarkStart w:id="162" w:name="_Toc184313251"/>
      <w:bookmarkEnd w:id="162"/>
      <w:bookmarkStart w:id="163" w:name="_Toc184308076"/>
      <w:bookmarkEnd w:id="163"/>
      <w:bookmarkStart w:id="164" w:name="_Toc184314463"/>
      <w:bookmarkEnd w:id="164"/>
      <w:bookmarkStart w:id="165" w:name="_Toc184310317"/>
      <w:bookmarkEnd w:id="165"/>
      <w:bookmarkStart w:id="166" w:name="_Toc184313298"/>
      <w:bookmarkEnd w:id="166"/>
      <w:bookmarkStart w:id="167" w:name="_Toc184313261"/>
      <w:bookmarkEnd w:id="167"/>
      <w:bookmarkStart w:id="168" w:name="_Toc184308094"/>
      <w:bookmarkEnd w:id="168"/>
      <w:bookmarkStart w:id="169" w:name="_Toc184312131"/>
      <w:bookmarkEnd w:id="169"/>
      <w:bookmarkStart w:id="170" w:name="_Toc184314432"/>
      <w:bookmarkEnd w:id="170"/>
      <w:bookmarkStart w:id="171" w:name="_Toc184314462"/>
      <w:bookmarkEnd w:id="171"/>
      <w:bookmarkStart w:id="172" w:name="_Toc184308104"/>
      <w:bookmarkEnd w:id="172"/>
      <w:bookmarkStart w:id="173" w:name="_Toc184310282"/>
      <w:bookmarkEnd w:id="173"/>
      <w:bookmarkStart w:id="174" w:name="_Toc184310295"/>
      <w:bookmarkEnd w:id="174"/>
      <w:bookmarkStart w:id="175" w:name="_Toc184312071"/>
      <w:bookmarkEnd w:id="175"/>
      <w:bookmarkStart w:id="176" w:name="_Toc184310272"/>
      <w:bookmarkEnd w:id="176"/>
      <w:bookmarkStart w:id="177" w:name="_Toc184313291"/>
      <w:bookmarkEnd w:id="177"/>
      <w:bookmarkStart w:id="178" w:name="_Toc184312094"/>
      <w:bookmarkEnd w:id="178"/>
      <w:bookmarkStart w:id="179" w:name="_Toc184313289"/>
      <w:bookmarkEnd w:id="179"/>
      <w:bookmarkStart w:id="180" w:name="_Toc184308054"/>
      <w:bookmarkEnd w:id="180"/>
      <w:bookmarkStart w:id="181" w:name="_Toc184314417"/>
      <w:bookmarkEnd w:id="181"/>
      <w:bookmarkStart w:id="182" w:name="_Toc184312110"/>
      <w:bookmarkEnd w:id="182"/>
      <w:bookmarkStart w:id="183" w:name="_Toc184313254"/>
      <w:bookmarkEnd w:id="183"/>
      <w:bookmarkStart w:id="184" w:name="_Toc184310318"/>
      <w:bookmarkEnd w:id="184"/>
      <w:bookmarkStart w:id="185" w:name="_Toc184310331"/>
      <w:bookmarkEnd w:id="185"/>
      <w:bookmarkStart w:id="186" w:name="_Toc184310314"/>
      <w:bookmarkEnd w:id="186"/>
      <w:bookmarkStart w:id="187" w:name="_Toc184314424"/>
      <w:bookmarkEnd w:id="187"/>
      <w:bookmarkStart w:id="188" w:name="_Toc184310293"/>
      <w:bookmarkEnd w:id="188"/>
      <w:bookmarkStart w:id="189" w:name="_Toc184310284"/>
      <w:bookmarkEnd w:id="189"/>
      <w:bookmarkStart w:id="190" w:name="_Toc184308060"/>
      <w:bookmarkEnd w:id="190"/>
      <w:bookmarkStart w:id="191" w:name="_Toc184310335"/>
      <w:bookmarkEnd w:id="191"/>
      <w:bookmarkStart w:id="192" w:name="_Toc184312121"/>
      <w:bookmarkEnd w:id="192"/>
      <w:bookmarkStart w:id="193" w:name="_Toc184314443"/>
      <w:bookmarkEnd w:id="193"/>
      <w:bookmarkStart w:id="194" w:name="_Toc184312069"/>
      <w:bookmarkEnd w:id="194"/>
      <w:bookmarkStart w:id="195" w:name="_Toc184314435"/>
      <w:bookmarkEnd w:id="195"/>
      <w:bookmarkStart w:id="196" w:name="_Toc184310336"/>
      <w:bookmarkEnd w:id="196"/>
      <w:bookmarkStart w:id="197" w:name="_Toc184308038"/>
      <w:bookmarkEnd w:id="197"/>
      <w:bookmarkStart w:id="198" w:name="_Toc184312125"/>
      <w:bookmarkEnd w:id="198"/>
      <w:bookmarkStart w:id="199" w:name="_Toc184314468"/>
      <w:bookmarkEnd w:id="199"/>
      <w:bookmarkStart w:id="200" w:name="_Toc184308107"/>
      <w:bookmarkEnd w:id="200"/>
      <w:bookmarkStart w:id="201" w:name="_Toc184314433"/>
      <w:bookmarkEnd w:id="201"/>
      <w:bookmarkStart w:id="202" w:name="_Toc184310294"/>
      <w:bookmarkEnd w:id="202"/>
      <w:bookmarkStart w:id="203" w:name="_Toc184313252"/>
      <w:bookmarkEnd w:id="203"/>
      <w:bookmarkStart w:id="204" w:name="_Toc184308098"/>
      <w:bookmarkEnd w:id="204"/>
      <w:bookmarkStart w:id="205" w:name="_Toc184313256"/>
      <w:bookmarkEnd w:id="205"/>
      <w:bookmarkStart w:id="206" w:name="_Toc184312129"/>
      <w:bookmarkEnd w:id="206"/>
      <w:bookmarkStart w:id="207" w:name="_Toc184312135"/>
      <w:bookmarkEnd w:id="207"/>
      <w:bookmarkStart w:id="208" w:name="_Toc184313258"/>
      <w:bookmarkEnd w:id="208"/>
      <w:bookmarkStart w:id="209" w:name="_Toc184310286"/>
      <w:bookmarkEnd w:id="209"/>
      <w:bookmarkStart w:id="210" w:name="_Toc184314414"/>
      <w:bookmarkEnd w:id="210"/>
      <w:bookmarkStart w:id="211" w:name="_Toc184312079"/>
      <w:bookmarkEnd w:id="211"/>
      <w:bookmarkStart w:id="212" w:name="_Toc184312123"/>
      <w:bookmarkEnd w:id="212"/>
      <w:bookmarkStart w:id="213" w:name="_Toc184314470"/>
      <w:bookmarkEnd w:id="213"/>
      <w:bookmarkStart w:id="214" w:name="_Toc184312104"/>
      <w:bookmarkEnd w:id="214"/>
      <w:bookmarkStart w:id="215" w:name="_Toc184310280"/>
      <w:bookmarkEnd w:id="215"/>
      <w:bookmarkStart w:id="216" w:name="_Toc184312124"/>
      <w:bookmarkEnd w:id="216"/>
      <w:bookmarkStart w:id="217" w:name="_Toc184310342"/>
      <w:bookmarkEnd w:id="217"/>
      <w:bookmarkStart w:id="218" w:name="_Toc184310341"/>
      <w:bookmarkEnd w:id="218"/>
      <w:bookmarkStart w:id="219" w:name="_Toc184308044"/>
      <w:bookmarkEnd w:id="219"/>
      <w:bookmarkStart w:id="220" w:name="_Toc184310279"/>
      <w:bookmarkEnd w:id="220"/>
      <w:bookmarkStart w:id="221" w:name="_Toc184310320"/>
      <w:bookmarkEnd w:id="221"/>
      <w:bookmarkStart w:id="222" w:name="_Toc184312137"/>
      <w:bookmarkEnd w:id="222"/>
      <w:bookmarkStart w:id="223" w:name="_Toc184313271"/>
      <w:bookmarkEnd w:id="223"/>
      <w:bookmarkStart w:id="224" w:name="_Toc184312120"/>
      <w:bookmarkEnd w:id="224"/>
      <w:bookmarkStart w:id="225" w:name="_Toc184310298"/>
      <w:bookmarkEnd w:id="225"/>
      <w:bookmarkStart w:id="226" w:name="_Toc184312126"/>
      <w:bookmarkEnd w:id="226"/>
      <w:bookmarkStart w:id="227" w:name="_Toc184312101"/>
      <w:bookmarkEnd w:id="227"/>
      <w:bookmarkStart w:id="228" w:name="_Toc184313280"/>
      <w:bookmarkEnd w:id="228"/>
      <w:bookmarkStart w:id="229" w:name="_Toc184308039"/>
      <w:bookmarkEnd w:id="229"/>
      <w:bookmarkStart w:id="230" w:name="_Toc184310292"/>
      <w:bookmarkEnd w:id="230"/>
      <w:bookmarkStart w:id="231" w:name="_Toc184308097"/>
      <w:bookmarkEnd w:id="231"/>
      <w:bookmarkStart w:id="232" w:name="_Toc184313287"/>
      <w:bookmarkEnd w:id="232"/>
      <w:bookmarkStart w:id="233" w:name="_Toc184314419"/>
      <w:bookmarkEnd w:id="233"/>
      <w:bookmarkStart w:id="234" w:name="_Toc184312095"/>
      <w:bookmarkEnd w:id="234"/>
      <w:bookmarkStart w:id="235" w:name="_Toc184308053"/>
      <w:bookmarkEnd w:id="235"/>
      <w:bookmarkStart w:id="236" w:name="_Toc184314451"/>
      <w:bookmarkEnd w:id="236"/>
      <w:bookmarkStart w:id="237" w:name="_Toc184313296"/>
      <w:bookmarkEnd w:id="237"/>
      <w:bookmarkStart w:id="238" w:name="_Toc184313282"/>
      <w:bookmarkEnd w:id="238"/>
      <w:bookmarkStart w:id="239" w:name="_Toc184313245"/>
      <w:bookmarkEnd w:id="239"/>
      <w:bookmarkStart w:id="240" w:name="_Toc184312134"/>
      <w:bookmarkEnd w:id="240"/>
      <w:bookmarkStart w:id="241" w:name="_Toc184312115"/>
      <w:bookmarkEnd w:id="241"/>
      <w:bookmarkStart w:id="242" w:name="_Toc184310288"/>
      <w:bookmarkEnd w:id="242"/>
      <w:bookmarkStart w:id="243" w:name="_Toc184312087"/>
      <w:bookmarkEnd w:id="243"/>
      <w:bookmarkStart w:id="244" w:name="_Toc184308055"/>
      <w:bookmarkEnd w:id="244"/>
      <w:bookmarkStart w:id="245" w:name="_Toc184314430"/>
      <w:bookmarkEnd w:id="245"/>
      <w:bookmarkStart w:id="246" w:name="_Toc184308083"/>
      <w:bookmarkEnd w:id="246"/>
      <w:bookmarkStart w:id="247" w:name="_Toc184312136"/>
      <w:bookmarkEnd w:id="247"/>
      <w:bookmarkStart w:id="248" w:name="_Toc184308070"/>
      <w:bookmarkEnd w:id="248"/>
      <w:bookmarkStart w:id="249" w:name="_Toc184312093"/>
      <w:bookmarkEnd w:id="249"/>
      <w:bookmarkStart w:id="250" w:name="_Toc184310296"/>
      <w:bookmarkEnd w:id="250"/>
      <w:bookmarkStart w:id="251" w:name="_Toc184308080"/>
      <w:bookmarkEnd w:id="251"/>
      <w:bookmarkStart w:id="252" w:name="_Toc184308046"/>
      <w:bookmarkEnd w:id="252"/>
      <w:bookmarkStart w:id="253" w:name="_Toc184308108"/>
      <w:bookmarkEnd w:id="253"/>
      <w:bookmarkStart w:id="254" w:name="_Toc184308041"/>
      <w:bookmarkEnd w:id="254"/>
      <w:bookmarkStart w:id="255" w:name="_Toc184308101"/>
      <w:bookmarkEnd w:id="255"/>
      <w:bookmarkStart w:id="256" w:name="_Toc184314460"/>
      <w:bookmarkEnd w:id="256"/>
      <w:bookmarkStart w:id="257" w:name="_Toc184308068"/>
      <w:bookmarkEnd w:id="257"/>
      <w:bookmarkStart w:id="258" w:name="_Toc184314420"/>
      <w:bookmarkEnd w:id="258"/>
      <w:bookmarkStart w:id="259" w:name="_Toc184313295"/>
      <w:bookmarkEnd w:id="259"/>
      <w:bookmarkStart w:id="260" w:name="_Toc184310290"/>
      <w:bookmarkEnd w:id="260"/>
      <w:bookmarkStart w:id="261" w:name="_Toc184310316"/>
      <w:bookmarkEnd w:id="261"/>
      <w:bookmarkStart w:id="262" w:name="_Toc184308061"/>
      <w:bookmarkEnd w:id="262"/>
      <w:bookmarkStart w:id="263" w:name="_Toc184313284"/>
      <w:bookmarkEnd w:id="263"/>
      <w:bookmarkStart w:id="264" w:name="_Toc184312091"/>
      <w:bookmarkEnd w:id="264"/>
      <w:bookmarkStart w:id="265" w:name="_Toc184314423"/>
      <w:bookmarkEnd w:id="265"/>
      <w:bookmarkStart w:id="266" w:name="_Toc184314448"/>
      <w:bookmarkEnd w:id="266"/>
      <w:bookmarkStart w:id="267" w:name="_Toc184310313"/>
      <w:bookmarkEnd w:id="267"/>
      <w:bookmarkStart w:id="268" w:name="_Toc184308093"/>
      <w:bookmarkEnd w:id="268"/>
      <w:bookmarkStart w:id="269" w:name="_Toc184314464"/>
      <w:bookmarkEnd w:id="269"/>
      <w:bookmarkStart w:id="270" w:name="_Toc184312089"/>
      <w:bookmarkEnd w:id="270"/>
      <w:bookmarkStart w:id="271" w:name="_Toc184310277"/>
      <w:bookmarkEnd w:id="271"/>
      <w:bookmarkStart w:id="272" w:name="_Toc184314459"/>
      <w:bookmarkEnd w:id="272"/>
      <w:bookmarkStart w:id="273" w:name="_Toc184313273"/>
      <w:bookmarkEnd w:id="273"/>
      <w:bookmarkStart w:id="274" w:name="_Toc184312113"/>
      <w:bookmarkEnd w:id="274"/>
      <w:bookmarkStart w:id="275" w:name="_Toc184308089"/>
      <w:bookmarkEnd w:id="275"/>
      <w:bookmarkStart w:id="276" w:name="_Toc184314478"/>
      <w:bookmarkEnd w:id="276"/>
      <w:bookmarkStart w:id="277" w:name="_Toc184308091"/>
      <w:bookmarkEnd w:id="277"/>
      <w:bookmarkStart w:id="278" w:name="_Toc184308086"/>
      <w:bookmarkEnd w:id="278"/>
      <w:bookmarkStart w:id="279" w:name="_Toc184308078"/>
      <w:bookmarkEnd w:id="279"/>
      <w:bookmarkStart w:id="280" w:name="_Toc184313274"/>
      <w:bookmarkEnd w:id="280"/>
      <w:bookmarkStart w:id="281" w:name="_Toc184313257"/>
      <w:bookmarkEnd w:id="281"/>
      <w:bookmarkStart w:id="282" w:name="_Toc184308062"/>
      <w:bookmarkEnd w:id="282"/>
      <w:bookmarkStart w:id="283" w:name="_Toc184312073"/>
      <w:bookmarkEnd w:id="283"/>
      <w:bookmarkStart w:id="284" w:name="_Toc184308052"/>
      <w:bookmarkEnd w:id="284"/>
      <w:bookmarkStart w:id="285" w:name="_Toc184308043"/>
      <w:bookmarkEnd w:id="285"/>
      <w:bookmarkStart w:id="286" w:name="_Toc184314437"/>
      <w:bookmarkEnd w:id="286"/>
      <w:bookmarkStart w:id="287" w:name="_Toc184314445"/>
      <w:bookmarkEnd w:id="287"/>
      <w:bookmarkStart w:id="288" w:name="_Toc184312118"/>
      <w:bookmarkEnd w:id="288"/>
      <w:bookmarkStart w:id="289" w:name="_Toc184310332"/>
      <w:bookmarkEnd w:id="289"/>
      <w:bookmarkStart w:id="290" w:name="_Toc184310307"/>
      <w:bookmarkEnd w:id="290"/>
      <w:bookmarkStart w:id="291" w:name="_Toc184308050"/>
      <w:bookmarkEnd w:id="291"/>
      <w:bookmarkStart w:id="292" w:name="_Toc184313241"/>
      <w:bookmarkEnd w:id="292"/>
      <w:bookmarkStart w:id="293" w:name="_Toc184308102"/>
      <w:bookmarkEnd w:id="293"/>
      <w:bookmarkStart w:id="294" w:name="_Toc184312080"/>
      <w:bookmarkEnd w:id="294"/>
      <w:bookmarkStart w:id="295" w:name="_Toc184312068"/>
      <w:bookmarkEnd w:id="295"/>
      <w:bookmarkStart w:id="296" w:name="_Toc184312122"/>
      <w:bookmarkEnd w:id="296"/>
      <w:bookmarkStart w:id="297" w:name="_Toc184310326"/>
      <w:bookmarkEnd w:id="297"/>
      <w:bookmarkStart w:id="298" w:name="_Toc184312088"/>
      <w:bookmarkEnd w:id="298"/>
      <w:bookmarkStart w:id="299" w:name="_Toc184310343"/>
      <w:bookmarkEnd w:id="299"/>
      <w:bookmarkStart w:id="300" w:name="_Toc184312108"/>
      <w:bookmarkEnd w:id="300"/>
      <w:bookmarkStart w:id="301" w:name="_Toc184313242"/>
      <w:bookmarkEnd w:id="301"/>
      <w:bookmarkStart w:id="302" w:name="_Toc184310324"/>
      <w:bookmarkEnd w:id="302"/>
      <w:bookmarkStart w:id="303" w:name="_Toc184312070"/>
      <w:bookmarkEnd w:id="303"/>
      <w:bookmarkStart w:id="304" w:name="_Toc184312109"/>
      <w:bookmarkEnd w:id="304"/>
      <w:bookmarkStart w:id="305" w:name="_Toc184313294"/>
      <w:bookmarkEnd w:id="305"/>
      <w:bookmarkStart w:id="306" w:name="_Toc184312099"/>
      <w:bookmarkEnd w:id="306"/>
      <w:bookmarkStart w:id="307" w:name="_Toc184313301"/>
      <w:bookmarkEnd w:id="307"/>
      <w:bookmarkStart w:id="308" w:name="_Toc184314438"/>
      <w:bookmarkEnd w:id="308"/>
      <w:bookmarkStart w:id="309" w:name="_Toc184310311"/>
      <w:bookmarkEnd w:id="309"/>
      <w:bookmarkStart w:id="310" w:name="_Toc184313255"/>
      <w:bookmarkEnd w:id="310"/>
      <w:bookmarkStart w:id="311" w:name="_Toc184313248"/>
      <w:bookmarkEnd w:id="311"/>
      <w:bookmarkStart w:id="312" w:name="_Toc184313281"/>
      <w:bookmarkEnd w:id="312"/>
      <w:bookmarkStart w:id="313" w:name="_Toc184310315"/>
      <w:bookmarkEnd w:id="313"/>
      <w:bookmarkStart w:id="314" w:name="_Toc184314449"/>
      <w:bookmarkEnd w:id="314"/>
      <w:bookmarkStart w:id="315" w:name="_Toc184308040"/>
      <w:bookmarkEnd w:id="315"/>
      <w:bookmarkStart w:id="316" w:name="_Toc184308079"/>
      <w:bookmarkEnd w:id="316"/>
      <w:bookmarkStart w:id="317" w:name="_Toc184314439"/>
      <w:bookmarkEnd w:id="317"/>
      <w:bookmarkStart w:id="318" w:name="_Toc184308064"/>
      <w:bookmarkEnd w:id="318"/>
      <w:bookmarkStart w:id="319" w:name="_Toc184308073"/>
      <w:bookmarkEnd w:id="319"/>
      <w:bookmarkStart w:id="320" w:name="_Toc184308047"/>
      <w:bookmarkEnd w:id="320"/>
      <w:bookmarkStart w:id="321" w:name="_Toc184314410"/>
      <w:bookmarkEnd w:id="321"/>
      <w:bookmarkStart w:id="322" w:name="_Toc184313243"/>
      <w:bookmarkEnd w:id="322"/>
      <w:bookmarkStart w:id="323" w:name="_Toc184313305"/>
      <w:bookmarkEnd w:id="323"/>
      <w:bookmarkStart w:id="324" w:name="_Toc184312097"/>
      <w:bookmarkEnd w:id="324"/>
      <w:bookmarkStart w:id="325" w:name="_Toc184313293"/>
      <w:bookmarkEnd w:id="325"/>
      <w:bookmarkStart w:id="326" w:name="_Toc184314446"/>
      <w:bookmarkEnd w:id="326"/>
      <w:bookmarkStart w:id="327" w:name="_Toc184314473"/>
      <w:bookmarkEnd w:id="327"/>
      <w:bookmarkStart w:id="328" w:name="_Toc184312117"/>
      <w:bookmarkEnd w:id="328"/>
      <w:bookmarkStart w:id="329" w:name="_Toc184312092"/>
      <w:bookmarkEnd w:id="329"/>
      <w:bookmarkStart w:id="330" w:name="_Toc184313253"/>
      <w:bookmarkEnd w:id="330"/>
      <w:bookmarkStart w:id="331" w:name="_Toc184310322"/>
      <w:bookmarkEnd w:id="331"/>
      <w:bookmarkStart w:id="332" w:name="_Toc184308087"/>
      <w:bookmarkEnd w:id="332"/>
      <w:bookmarkStart w:id="333" w:name="_Toc184313310"/>
      <w:bookmarkEnd w:id="333"/>
      <w:bookmarkStart w:id="334" w:name="_Toc184308048"/>
      <w:bookmarkEnd w:id="334"/>
      <w:bookmarkStart w:id="335" w:name="_Toc184312102"/>
      <w:bookmarkEnd w:id="335"/>
      <w:bookmarkStart w:id="336" w:name="_Toc184312077"/>
      <w:bookmarkEnd w:id="336"/>
      <w:bookmarkStart w:id="337" w:name="_Toc184312107"/>
      <w:bookmarkEnd w:id="337"/>
      <w:bookmarkStart w:id="338" w:name="_Toc184308075"/>
      <w:bookmarkEnd w:id="338"/>
      <w:bookmarkStart w:id="339" w:name="_Toc184314440"/>
      <w:bookmarkEnd w:id="339"/>
      <w:bookmarkStart w:id="340" w:name="_Toc184312083"/>
      <w:bookmarkEnd w:id="340"/>
      <w:bookmarkStart w:id="341" w:name="_Toc184308056"/>
      <w:bookmarkEnd w:id="341"/>
      <w:bookmarkStart w:id="342" w:name="_Toc184308074"/>
      <w:bookmarkEnd w:id="342"/>
      <w:bookmarkStart w:id="343" w:name="_Toc184308105"/>
      <w:bookmarkEnd w:id="343"/>
      <w:bookmarkStart w:id="344" w:name="_Toc184310338"/>
      <w:bookmarkEnd w:id="344"/>
      <w:bookmarkStart w:id="345" w:name="_Toc184310299"/>
      <w:bookmarkEnd w:id="345"/>
      <w:bookmarkStart w:id="346" w:name="_Toc184313299"/>
      <w:bookmarkEnd w:id="346"/>
      <w:bookmarkStart w:id="347" w:name="_Toc184314452"/>
      <w:bookmarkEnd w:id="347"/>
      <w:bookmarkStart w:id="348" w:name="_Toc184310333"/>
      <w:bookmarkEnd w:id="348"/>
      <w:bookmarkStart w:id="349" w:name="_Toc184314428"/>
      <w:bookmarkEnd w:id="349"/>
      <w:bookmarkStart w:id="350" w:name="_Toc184310285"/>
      <w:bookmarkEnd w:id="350"/>
      <w:bookmarkStart w:id="351" w:name="_Toc184313309"/>
      <w:bookmarkEnd w:id="351"/>
      <w:bookmarkStart w:id="352" w:name="_Toc184314427"/>
      <w:bookmarkEnd w:id="352"/>
      <w:bookmarkStart w:id="353" w:name="_Toc184308081"/>
      <w:bookmarkEnd w:id="353"/>
      <w:bookmarkStart w:id="354" w:name="_Toc184312105"/>
      <w:bookmarkEnd w:id="354"/>
      <w:bookmarkStart w:id="355" w:name="_Toc184314461"/>
      <w:bookmarkEnd w:id="355"/>
      <w:bookmarkStart w:id="356" w:name="_Toc184313308"/>
      <w:bookmarkEnd w:id="356"/>
      <w:bookmarkStart w:id="357" w:name="_Toc184310330"/>
      <w:bookmarkEnd w:id="357"/>
      <w:bookmarkStart w:id="358" w:name="_Toc184314465"/>
      <w:bookmarkEnd w:id="358"/>
      <w:bookmarkStart w:id="359" w:name="_Toc184312081"/>
      <w:bookmarkEnd w:id="359"/>
      <w:bookmarkStart w:id="360" w:name="_Toc184314454"/>
      <w:bookmarkEnd w:id="360"/>
      <w:bookmarkStart w:id="361" w:name="_Toc184308106"/>
      <w:bookmarkEnd w:id="361"/>
      <w:bookmarkStart w:id="362" w:name="_Toc184310303"/>
      <w:bookmarkEnd w:id="362"/>
      <w:bookmarkStart w:id="363" w:name="_Toc184310334"/>
      <w:bookmarkEnd w:id="363"/>
      <w:bookmarkStart w:id="364" w:name="_Toc184313286"/>
      <w:bookmarkEnd w:id="364"/>
      <w:bookmarkStart w:id="365" w:name="_Toc184308051"/>
      <w:bookmarkEnd w:id="365"/>
      <w:bookmarkStart w:id="366" w:name="_Toc184313300"/>
      <w:bookmarkEnd w:id="366"/>
      <w:bookmarkStart w:id="367" w:name="_Toc184312133"/>
      <w:bookmarkEnd w:id="367"/>
      <w:bookmarkStart w:id="368" w:name="_Toc184314426"/>
      <w:bookmarkEnd w:id="368"/>
      <w:bookmarkStart w:id="369" w:name="_Toc184314455"/>
      <w:bookmarkEnd w:id="369"/>
      <w:bookmarkStart w:id="370" w:name="_Toc184310323"/>
      <w:bookmarkEnd w:id="370"/>
      <w:bookmarkStart w:id="371" w:name="_Toc184314436"/>
      <w:bookmarkEnd w:id="371"/>
      <w:bookmarkStart w:id="372" w:name="_Toc184313304"/>
      <w:bookmarkEnd w:id="372"/>
      <w:bookmarkStart w:id="373" w:name="_Toc184314458"/>
      <w:bookmarkEnd w:id="373"/>
      <w:bookmarkStart w:id="374" w:name="_Toc184310278"/>
      <w:bookmarkEnd w:id="374"/>
      <w:bookmarkStart w:id="375" w:name="_Toc184308085"/>
      <w:bookmarkEnd w:id="375"/>
      <w:bookmarkStart w:id="376" w:name="_Toc184308066"/>
      <w:bookmarkEnd w:id="376"/>
      <w:bookmarkStart w:id="377" w:name="_Toc184312075"/>
      <w:bookmarkEnd w:id="377"/>
      <w:bookmarkStart w:id="378" w:name="_Toc184308077"/>
      <w:bookmarkEnd w:id="378"/>
      <w:bookmarkStart w:id="379" w:name="_Toc184313238"/>
      <w:bookmarkEnd w:id="379"/>
      <w:bookmarkStart w:id="380" w:name="_Toc184313275"/>
      <w:bookmarkEnd w:id="380"/>
      <w:bookmarkStart w:id="381" w:name="_Toc184314421"/>
      <w:bookmarkEnd w:id="381"/>
      <w:bookmarkStart w:id="382" w:name="_Toc184308095"/>
      <w:bookmarkEnd w:id="382"/>
      <w:bookmarkStart w:id="383" w:name="_Toc184314412"/>
      <w:bookmarkEnd w:id="383"/>
      <w:bookmarkStart w:id="384" w:name="_Toc184310283"/>
      <w:bookmarkEnd w:id="384"/>
      <w:bookmarkStart w:id="385" w:name="_Toc184310321"/>
      <w:bookmarkEnd w:id="385"/>
      <w:bookmarkStart w:id="386" w:name="_Toc184314472"/>
      <w:bookmarkEnd w:id="386"/>
      <w:bookmarkStart w:id="387" w:name="_Toc184314441"/>
      <w:bookmarkEnd w:id="387"/>
      <w:bookmarkStart w:id="388" w:name="_Toc184312114"/>
      <w:bookmarkEnd w:id="388"/>
      <w:bookmarkStart w:id="389" w:name="_Toc184312074"/>
      <w:bookmarkEnd w:id="389"/>
      <w:bookmarkStart w:id="390" w:name="_Toc184312112"/>
      <w:bookmarkEnd w:id="390"/>
      <w:bookmarkStart w:id="391" w:name="_Toc184312127"/>
      <w:bookmarkEnd w:id="391"/>
      <w:bookmarkStart w:id="392" w:name="_Toc184314431"/>
      <w:bookmarkEnd w:id="392"/>
      <w:bookmarkStart w:id="393" w:name="_Toc184308067"/>
      <w:bookmarkEnd w:id="393"/>
      <w:bookmarkStart w:id="394" w:name="_Toc184314434"/>
      <w:bookmarkEnd w:id="394"/>
      <w:bookmarkStart w:id="395" w:name="_Toc184314444"/>
      <w:bookmarkEnd w:id="395"/>
      <w:bookmarkStart w:id="396" w:name="_Toc184308069"/>
      <w:bookmarkEnd w:id="396"/>
      <w:bookmarkStart w:id="397" w:name="_Toc184313249"/>
      <w:bookmarkEnd w:id="397"/>
      <w:bookmarkStart w:id="398" w:name="_Toc184314471"/>
      <w:bookmarkEnd w:id="398"/>
      <w:bookmarkStart w:id="399" w:name="_Toc184314466"/>
      <w:bookmarkEnd w:id="399"/>
      <w:bookmarkStart w:id="400" w:name="_Toc184308099"/>
      <w:bookmarkEnd w:id="400"/>
      <w:bookmarkStart w:id="401" w:name="_Toc184308063"/>
      <w:bookmarkEnd w:id="401"/>
      <w:bookmarkStart w:id="402" w:name="_Toc184310319"/>
      <w:bookmarkEnd w:id="402"/>
      <w:bookmarkStart w:id="403" w:name="_Toc184313244"/>
      <w:bookmarkEnd w:id="403"/>
      <w:bookmarkStart w:id="404" w:name="_Toc184310339"/>
      <w:bookmarkEnd w:id="404"/>
      <w:bookmarkStart w:id="405" w:name="_Toc184310310"/>
      <w:bookmarkEnd w:id="405"/>
      <w:bookmarkStart w:id="406" w:name="_Toc184313239"/>
      <w:bookmarkEnd w:id="406"/>
      <w:bookmarkStart w:id="407" w:name="_Toc184314475"/>
      <w:bookmarkEnd w:id="407"/>
      <w:bookmarkStart w:id="408" w:name="_Toc184314476"/>
      <w:bookmarkEnd w:id="408"/>
      <w:bookmarkStart w:id="409" w:name="_Toc184313306"/>
      <w:bookmarkEnd w:id="409"/>
      <w:bookmarkStart w:id="410" w:name="_Toc184310287"/>
      <w:bookmarkEnd w:id="410"/>
      <w:bookmarkStart w:id="411" w:name="_Toc184314413"/>
      <w:bookmarkEnd w:id="411"/>
      <w:bookmarkStart w:id="412" w:name="_Toc184313302"/>
      <w:bookmarkEnd w:id="412"/>
      <w:bookmarkStart w:id="413" w:name="_Toc184312103"/>
      <w:bookmarkEnd w:id="413"/>
      <w:bookmarkStart w:id="414" w:name="_Toc184310312"/>
      <w:bookmarkEnd w:id="414"/>
      <w:bookmarkStart w:id="415" w:name="_Toc184310308"/>
      <w:bookmarkEnd w:id="415"/>
      <w:bookmarkStart w:id="416" w:name="_Toc184308103"/>
      <w:bookmarkEnd w:id="416"/>
      <w:bookmarkStart w:id="417" w:name="_Toc184313246"/>
      <w:bookmarkEnd w:id="417"/>
      <w:bookmarkStart w:id="418" w:name="_Toc184312098"/>
      <w:bookmarkEnd w:id="418"/>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7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主观分/客观分属性</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投标人资信能力评价</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w:t>
            </w:r>
            <w:r>
              <w:rPr>
                <w:rStyle w:val="962"/>
                <w:rFonts w:hint="eastAsia" w:ascii="仿宋" w:hAnsi="仿宋" w:eastAsia="仿宋" w:cs="仿宋"/>
                <w:color w:val="auto"/>
                <w:kern w:val="0"/>
                <w:sz w:val="24"/>
                <w:szCs w:val="24"/>
                <w:highlight w:val="none"/>
                <w:lang w:val="en-US" w:eastAsia="zh-CN" w:bidi="ar-SA"/>
              </w:rPr>
              <w:t>2020年1月1日（按合同签订时间为准）以来具有同类业绩的，每一个得0.5分，最高得2分</w:t>
            </w:r>
            <w:r>
              <w:rPr>
                <w:rFonts w:hint="eastAsia" w:ascii="仿宋" w:hAnsi="仿宋" w:eastAsia="仿宋" w:cs="仿宋"/>
                <w:color w:val="auto"/>
                <w:sz w:val="24"/>
                <w:highlight w:val="none"/>
              </w:rPr>
              <w:t>；</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说明：业绩证明材料需提供中标通知书及合同扫描件</w:t>
            </w:r>
            <w:r>
              <w:rPr>
                <w:rFonts w:hint="eastAsia" w:ascii="仿宋" w:hAnsi="仿宋" w:eastAsia="仿宋" w:cs="仿宋"/>
                <w:color w:val="auto"/>
                <w:sz w:val="24"/>
                <w:highlight w:val="none"/>
                <w:lang w:val="en-US" w:eastAsia="zh-CN"/>
              </w:rPr>
              <w:t>加盖公章。</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具有有效的质量体系认证，环境体系认证，职业健康安全管理体系认证证书的，每个得1分，最高得3分。提供证书扫描件。</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针对本项目的总体目标、工作内容提供</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项目启动实施方案情况。</w:t>
            </w:r>
            <w:r>
              <w:rPr>
                <w:rFonts w:hint="eastAsia" w:ascii="仿宋" w:hAnsi="仿宋" w:eastAsia="仿宋" w:cs="仿宋"/>
                <w:color w:val="auto"/>
                <w:sz w:val="24"/>
                <w:highlight w:val="none"/>
                <w:lang w:val="en-US" w:eastAsia="zh-CN"/>
              </w:rPr>
              <w:t>根据方案完整性、可行性、项目匹配性进行打分。完整性、可行性、项目匹配性好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完整性、可行性、项目匹配性较好2分；完整性、可行性、项目匹配性一般得1分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797" w:type="dxa"/>
            <w:noWrap w:val="0"/>
            <w:vAlign w:val="center"/>
          </w:tcPr>
          <w:p>
            <w:pPr>
              <w:snapToGrid w:val="0"/>
              <w:rPr>
                <w:rFonts w:hint="eastAsia" w:ascii="仿宋" w:hAnsi="仿宋" w:eastAsia="仿宋" w:cs="仿宋"/>
                <w:color w:val="auto"/>
                <w:sz w:val="24"/>
                <w:highlight w:val="none"/>
                <w:lang w:eastAsia="zh-CN"/>
              </w:rPr>
            </w:pPr>
            <w:r>
              <w:rPr>
                <w:rStyle w:val="962"/>
                <w:rFonts w:hint="eastAsia" w:ascii="仿宋" w:hAnsi="仿宋" w:eastAsia="仿宋" w:cs="仿宋"/>
                <w:color w:val="auto"/>
                <w:kern w:val="0"/>
                <w:sz w:val="24"/>
                <w:szCs w:val="24"/>
                <w:highlight w:val="none"/>
                <w:lang w:val="en-US" w:eastAsia="zh-CN" w:bidi="ar-SA"/>
              </w:rPr>
              <w:t>全面、及时、准确采集相关信息数据方案（含核实、核查）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根据方案完整性、可行性、项目匹配性进行打分。完整性、可行性、项目匹配性好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完整性、可行性、项目匹配性较好3分；完整性、可行性、项目匹配性一般得2分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有较大的欠缺得1分；其余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97" w:type="dxa"/>
            <w:noWrap w:val="0"/>
            <w:vAlign w:val="center"/>
          </w:tcPr>
          <w:p>
            <w:pPr>
              <w:snapToGrid w:val="0"/>
              <w:rPr>
                <w:rFonts w:hint="eastAsia" w:ascii="仿宋" w:hAnsi="仿宋" w:eastAsia="仿宋" w:cs="仿宋"/>
                <w:color w:val="auto"/>
                <w:sz w:val="24"/>
                <w:highlight w:val="none"/>
                <w:lang w:eastAsia="zh-CN"/>
              </w:rPr>
            </w:pP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数字城管城市快车道、河道、高架立交、桥梁隧道等区域信息采集实施方案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pPr>
              <w:snapToGrid w:val="0"/>
              <w:rPr>
                <w:rFonts w:hint="eastAsia" w:ascii="仿宋" w:hAnsi="仿宋" w:eastAsia="仿宋" w:cs="仿宋"/>
                <w:color w:val="auto"/>
                <w:sz w:val="24"/>
                <w:highlight w:val="none"/>
                <w:lang w:eastAsia="zh-CN"/>
              </w:rPr>
            </w:pPr>
            <w:r>
              <w:rPr>
                <w:rStyle w:val="962"/>
                <w:rFonts w:hint="eastAsia" w:ascii="仿宋" w:hAnsi="仿宋" w:eastAsia="仿宋" w:cs="仿宋"/>
                <w:color w:val="auto"/>
                <w:kern w:val="0"/>
                <w:sz w:val="24"/>
                <w:szCs w:val="24"/>
                <w:highlight w:val="none"/>
              </w:rPr>
              <w:t>提供网格划分方案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w:t>
            </w:r>
            <w:r>
              <w:rPr>
                <w:rStyle w:val="962"/>
                <w:rFonts w:hint="eastAsia" w:ascii="仿宋" w:hAnsi="仿宋" w:eastAsia="仿宋" w:cs="仿宋"/>
                <w:color w:val="auto"/>
                <w:kern w:val="0"/>
                <w:sz w:val="24"/>
                <w:szCs w:val="24"/>
                <w:highlight w:val="none"/>
              </w:rPr>
              <w:t>工作衔接的采集员交接班</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w:t>
            </w:r>
            <w:r>
              <w:rPr>
                <w:rStyle w:val="962"/>
                <w:rFonts w:hint="eastAsia" w:ascii="仿宋" w:hAnsi="仿宋" w:eastAsia="仿宋" w:cs="仿宋"/>
                <w:color w:val="auto"/>
                <w:kern w:val="0"/>
                <w:sz w:val="24"/>
                <w:szCs w:val="24"/>
                <w:highlight w:val="none"/>
              </w:rPr>
              <w:t>确保漏报、投诉等问题处置、回复、满意率均达100％的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962"/>
                <w:rFonts w:hint="eastAsia" w:ascii="仿宋" w:hAnsi="仿宋" w:eastAsia="仿宋" w:cs="仿宋"/>
                <w:color w:val="auto"/>
                <w:kern w:val="0"/>
                <w:sz w:val="24"/>
                <w:szCs w:val="24"/>
                <w:highlight w:val="none"/>
              </w:rPr>
              <w:t>落实专人或机构负责对采集员上岗、巡查、采集工作质量，实行实时监控且建立管理体系的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962"/>
                <w:rFonts w:hint="eastAsia" w:ascii="仿宋" w:hAnsi="仿宋" w:eastAsia="仿宋" w:cs="仿宋"/>
                <w:color w:val="auto"/>
                <w:kern w:val="0"/>
                <w:sz w:val="24"/>
                <w:szCs w:val="24"/>
                <w:highlight w:val="none"/>
                <w:lang w:val="en-US" w:eastAsia="zh-CN"/>
              </w:rPr>
              <w:t>提供</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，应</w:t>
            </w:r>
            <w:r>
              <w:rPr>
                <w:rStyle w:val="962"/>
                <w:rFonts w:hint="eastAsia" w:ascii="仿宋" w:hAnsi="仿宋" w:eastAsia="仿宋" w:cs="仿宋"/>
                <w:color w:val="auto"/>
                <w:kern w:val="0"/>
                <w:sz w:val="24"/>
                <w:szCs w:val="24"/>
                <w:highlight w:val="none"/>
                <w:lang w:eastAsia="zh-CN"/>
              </w:rPr>
              <w:t>包括培训内容</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含</w:t>
            </w:r>
            <w:r>
              <w:rPr>
                <w:rStyle w:val="962"/>
                <w:rFonts w:hint="eastAsia" w:ascii="仿宋" w:hAnsi="仿宋" w:eastAsia="仿宋" w:cs="仿宋"/>
                <w:color w:val="auto"/>
                <w:kern w:val="0"/>
                <w:sz w:val="24"/>
                <w:szCs w:val="24"/>
                <w:highlight w:val="none"/>
              </w:rPr>
              <w:t>岗位标准、专业知识、职业道德规范、应急保障</w:t>
            </w:r>
            <w:r>
              <w:rPr>
                <w:rStyle w:val="962"/>
                <w:rFonts w:hint="eastAsia" w:ascii="仿宋" w:hAnsi="仿宋" w:eastAsia="仿宋" w:cs="仿宋"/>
                <w:color w:val="auto"/>
                <w:kern w:val="0"/>
                <w:sz w:val="24"/>
                <w:szCs w:val="24"/>
                <w:highlight w:val="none"/>
                <w:lang w:eastAsia="zh-CN"/>
              </w:rPr>
              <w:t>）及针对性的培训措施）。培训内容完整合理、</w:t>
            </w:r>
            <w:r>
              <w:rPr>
                <w:rStyle w:val="962"/>
                <w:rFonts w:hint="eastAsia" w:ascii="仿宋" w:hAnsi="仿宋" w:eastAsia="仿宋" w:cs="仿宋"/>
                <w:color w:val="auto"/>
                <w:kern w:val="0"/>
                <w:sz w:val="24"/>
                <w:szCs w:val="24"/>
                <w:highlight w:val="none"/>
                <w:lang w:val="en-US" w:eastAsia="zh-CN"/>
              </w:rPr>
              <w:t>措施可落实</w:t>
            </w:r>
            <w:r>
              <w:rPr>
                <w:rStyle w:val="962"/>
                <w:rFonts w:hint="eastAsia" w:ascii="仿宋" w:hAnsi="仿宋" w:eastAsia="仿宋" w:cs="仿宋"/>
                <w:color w:val="auto"/>
                <w:kern w:val="0"/>
                <w:sz w:val="24"/>
                <w:szCs w:val="24"/>
                <w:highlight w:val="none"/>
                <w:lang w:eastAsia="zh-CN"/>
              </w:rPr>
              <w:t>得</w:t>
            </w:r>
            <w:r>
              <w:rPr>
                <w:rStyle w:val="962"/>
                <w:rFonts w:hint="eastAsia" w:ascii="仿宋" w:hAnsi="仿宋" w:eastAsia="仿宋" w:cs="仿宋"/>
                <w:color w:val="auto"/>
                <w:kern w:val="0"/>
                <w:sz w:val="24"/>
                <w:szCs w:val="24"/>
                <w:highlight w:val="none"/>
                <w:lang w:val="en-US" w:eastAsia="zh-CN"/>
              </w:rPr>
              <w:t>2分；培训内容有缺失、部分合理、或措施有欠缺得1分；其余不得分。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962"/>
                <w:rFonts w:hint="eastAsia" w:ascii="仿宋" w:hAnsi="仿宋" w:eastAsia="仿宋" w:cs="仿宋"/>
                <w:color w:val="auto"/>
                <w:kern w:val="0"/>
                <w:sz w:val="24"/>
                <w:szCs w:val="24"/>
                <w:highlight w:val="none"/>
              </w:rPr>
              <w:t>针对“信息采集器”管理和维护</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合理性、可行性、项目匹配性较好得3分；合理性、可行性、项目匹配性一般得2分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797" w:type="dxa"/>
            <w:noWrap w:val="0"/>
            <w:vAlign w:val="center"/>
          </w:tcPr>
          <w:p>
            <w:pPr>
              <w:snapToGrid w:val="0"/>
              <w:rPr>
                <w:rFonts w:hint="eastAsia" w:ascii="仿宋" w:hAnsi="仿宋" w:eastAsia="仿宋" w:cs="仿宋"/>
                <w:color w:val="auto"/>
                <w:sz w:val="24"/>
                <w:highlight w:val="none"/>
                <w:lang w:eastAsia="zh-CN"/>
              </w:rPr>
            </w:pPr>
            <w:r>
              <w:rPr>
                <w:rStyle w:val="962"/>
                <w:rFonts w:hint="eastAsia" w:ascii="仿宋" w:hAnsi="仿宋" w:eastAsia="仿宋" w:cs="仿宋"/>
                <w:color w:val="auto"/>
                <w:kern w:val="0"/>
                <w:sz w:val="24"/>
                <w:szCs w:val="24"/>
                <w:highlight w:val="none"/>
                <w:lang w:eastAsia="zh-CN"/>
              </w:rPr>
              <w:t>预防触碰三条高压线（防止虚假信息、防止吃拿卡要、有责投诉）的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797" w:type="dxa"/>
            <w:noWrap w:val="0"/>
            <w:vAlign w:val="center"/>
          </w:tcPr>
          <w:p>
            <w:pPr>
              <w:snapToGrid w:val="0"/>
              <w:rPr>
                <w:rFonts w:hint="eastAsia" w:ascii="仿宋" w:hAnsi="仿宋" w:eastAsia="仿宋" w:cs="仿宋"/>
                <w:color w:val="auto"/>
                <w:sz w:val="24"/>
                <w:highlight w:val="none"/>
                <w:lang w:val="en-US"/>
              </w:rPr>
            </w:pPr>
            <w:r>
              <w:rPr>
                <w:rStyle w:val="962"/>
                <w:rFonts w:hint="eastAsia" w:ascii="仿宋" w:hAnsi="仿宋" w:eastAsia="仿宋" w:cs="仿宋"/>
                <w:color w:val="auto"/>
                <w:kern w:val="0"/>
                <w:sz w:val="24"/>
                <w:szCs w:val="24"/>
                <w:highlight w:val="none"/>
                <w:lang w:val="en-US" w:eastAsia="zh-CN"/>
              </w:rPr>
              <w:t>应急保障相关措施方案</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rPr>
              <w:t>数字城管信息采集两防两抗（抗台防汛，抗雪防冻）应急保障预案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rPr>
              <w:t>城市管理重点问题信息采集保障方案</w:t>
            </w:r>
            <w:r>
              <w:rPr>
                <w:rStyle w:val="962"/>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eastAsia="zh-CN"/>
              </w:rPr>
              <w:t>数字城管信息采集重大活动任务保障预案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eastAsia="zh-CN"/>
              </w:rPr>
              <w:t>公共危机应急预案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highlight w:val="none"/>
                <w:lang w:val="en-US" w:eastAsia="zh-CN"/>
              </w:rPr>
              <w:t>13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制定管理制度</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制定层级管理制度，保证管理、指挥、质量控制要求在组织架构上实现。</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建立规范的人力资源管理体系。</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制定纪律、廉政、安全、宣传、档案管理等内部管理制度，</w:t>
            </w:r>
            <w:r>
              <w:rPr>
                <w:rStyle w:val="962"/>
                <w:rFonts w:hint="eastAsia" w:ascii="仿宋" w:hAnsi="仿宋" w:eastAsia="仿宋" w:cs="仿宋"/>
                <w:color w:val="auto"/>
                <w:kern w:val="0"/>
                <w:sz w:val="24"/>
                <w:szCs w:val="24"/>
                <w:highlight w:val="none"/>
                <w:lang w:val="en-US" w:eastAsia="zh-CN"/>
              </w:rPr>
              <w:t>每具备一项得1分，最多5分。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具有明确的分工和职责要求并对应制定考核办法。</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实行末位淘汰等奖优罚劣措施。</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信息采集队伍组建</w:t>
            </w:r>
            <w:r>
              <w:rPr>
                <w:rFonts w:hint="eastAsia" w:ascii="仿宋" w:hAnsi="仿宋" w:eastAsia="仿宋" w:cs="仿宋"/>
                <w:color w:val="auto"/>
                <w:sz w:val="24"/>
                <w:highlight w:val="none"/>
                <w:lang w:val="en-US" w:eastAsia="zh-CN"/>
              </w:rPr>
              <w:t>响应情况。</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项目负责人学历及从业经历情况。具有3年及以上信息采集项目经理从业经验且具有管理类本科及以上学历得5分；具有2年及以上信息采集项目经理从业经验且具有管理类专科及以上学历得3分；具有1年及以上信息采集项目管理员从业经验且具有管理类专科及以上学历得1分。证明材料</w:t>
            </w:r>
            <w:r>
              <w:rPr>
                <w:rFonts w:hint="eastAsia" w:ascii="仿宋" w:hAnsi="仿宋" w:eastAsia="仿宋" w:cs="仿宋"/>
                <w:color w:val="auto"/>
                <w:sz w:val="24"/>
                <w:highlight w:val="none"/>
                <w:lang w:val="en-US" w:eastAsia="zh-CN"/>
              </w:rPr>
              <w:t>:提供作为项目经理的</w:t>
            </w:r>
            <w:r>
              <w:rPr>
                <w:rFonts w:hint="eastAsia" w:ascii="仿宋" w:hAnsi="仿宋" w:eastAsia="仿宋" w:cs="仿宋"/>
                <w:color w:val="auto"/>
                <w:sz w:val="24"/>
                <w:highlight w:val="none"/>
                <w:lang w:val="zh-CN" w:eastAsia="zh-CN"/>
              </w:rPr>
              <w:t>从业经验证明资料（例如合同、业主证明或者其他能体现职位和从业经验时限的证明材料）、现有公司最近连续</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个月社保缴纳清单、学历证书，证明材料不全或不符合要求不得分。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）项目管理员学历及从业经历情况：具有1年及以上信息采集从业经验且具有管理类专科及以上学历，每有</w:t>
            </w:r>
            <w:r>
              <w:rPr>
                <w:rFonts w:hint="eastAsia" w:ascii="仿宋" w:hAnsi="仿宋" w:eastAsia="仿宋" w:cs="仿宋"/>
                <w:color w:val="auto"/>
                <w:sz w:val="24"/>
                <w:highlight w:val="none"/>
                <w:lang w:val="en-US" w:eastAsia="zh-CN"/>
              </w:rPr>
              <w:t>1人得1.5分，最高得6分。</w:t>
            </w:r>
            <w:r>
              <w:rPr>
                <w:rFonts w:hint="eastAsia" w:ascii="仿宋" w:hAnsi="仿宋" w:eastAsia="仿宋" w:cs="仿宋"/>
                <w:color w:val="auto"/>
                <w:sz w:val="24"/>
                <w:highlight w:val="none"/>
                <w:lang w:val="zh-CN" w:eastAsia="zh-CN"/>
              </w:rPr>
              <w:t>需提供证明材料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eastAsia="zh-CN"/>
              </w:rPr>
              <w:t>从业经验证明资料（例如合同、业主证明或者其他能体现从业经验时限的证明材料）、现有公司最近连续</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个月社保缴纳清单、学历证书等。证明材料不全或不符合要求的人员不得分。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投标文件中已组建项目组人员数量，与采购需求比较的充足率</w:t>
            </w:r>
            <w:r>
              <w:rPr>
                <w:rFonts w:hint="eastAsia" w:ascii="仿宋" w:hAnsi="仿宋" w:eastAsia="仿宋" w:cs="仿宋"/>
                <w:color w:val="auto"/>
                <w:sz w:val="24"/>
                <w:highlight w:val="none"/>
                <w:lang w:eastAsia="zh-CN"/>
              </w:rPr>
              <w:t>（不包括中标后按</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文件中人员要求补足</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人数）：项目组人员数量达到本项目所需要求</w:t>
            </w:r>
            <w:r>
              <w:rPr>
                <w:rFonts w:hint="eastAsia" w:ascii="仿宋" w:hAnsi="仿宋" w:eastAsia="仿宋" w:cs="仿宋"/>
                <w:color w:val="auto"/>
                <w:sz w:val="24"/>
                <w:highlight w:val="none"/>
                <w:lang w:val="en-US" w:eastAsia="zh-CN"/>
              </w:rPr>
              <w:t>42人</w:t>
            </w:r>
            <w:r>
              <w:rPr>
                <w:rFonts w:hint="eastAsia" w:ascii="仿宋" w:hAnsi="仿宋" w:eastAsia="仿宋" w:cs="仿宋"/>
                <w:color w:val="auto"/>
                <w:sz w:val="24"/>
                <w:highlight w:val="none"/>
                <w:lang w:eastAsia="zh-CN"/>
              </w:rPr>
              <w:t>及以上的得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34人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42人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25人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34人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17人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25人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分，不足</w:t>
            </w:r>
            <w:r>
              <w:rPr>
                <w:rFonts w:hint="eastAsia" w:ascii="仿宋" w:hAnsi="仿宋" w:eastAsia="仿宋" w:cs="仿宋"/>
                <w:color w:val="auto"/>
                <w:sz w:val="24"/>
                <w:highlight w:val="none"/>
                <w:lang w:val="en-US" w:eastAsia="zh-CN"/>
              </w:rPr>
              <w:t>17人</w:t>
            </w:r>
            <w:r>
              <w:rPr>
                <w:rFonts w:hint="eastAsia" w:ascii="仿宋" w:hAnsi="仿宋" w:eastAsia="仿宋" w:cs="仿宋"/>
                <w:color w:val="auto"/>
                <w:sz w:val="24"/>
                <w:highlight w:val="none"/>
                <w:lang w:eastAsia="zh-CN"/>
              </w:rPr>
              <w:t>的不得分。</w:t>
            </w:r>
            <w:r>
              <w:rPr>
                <w:rStyle w:val="962"/>
                <w:rFonts w:hint="eastAsia" w:ascii="仿宋" w:hAnsi="仿宋" w:eastAsia="仿宋" w:cs="仿宋"/>
                <w:strike w:val="0"/>
                <w:dstrike w:val="0"/>
                <w:color w:val="auto"/>
                <w:sz w:val="24"/>
                <w:szCs w:val="24"/>
                <w:highlight w:val="none"/>
                <w:lang w:val="zh-CN"/>
              </w:rPr>
              <w:t>需提供证明材料【证明材料</w:t>
            </w:r>
            <w:r>
              <w:rPr>
                <w:rStyle w:val="962"/>
                <w:rFonts w:hint="eastAsia" w:ascii="仿宋" w:hAnsi="仿宋" w:eastAsia="仿宋" w:cs="仿宋"/>
                <w:strike w:val="0"/>
                <w:dstrike w:val="0"/>
                <w:color w:val="auto"/>
                <w:sz w:val="24"/>
                <w:szCs w:val="24"/>
                <w:highlight w:val="none"/>
                <w:lang w:val="en-US" w:eastAsia="zh-CN"/>
              </w:rPr>
              <w:t>：</w:t>
            </w:r>
            <w:r>
              <w:rPr>
                <w:rStyle w:val="962"/>
                <w:rFonts w:hint="eastAsia" w:ascii="仿宋" w:hAnsi="仿宋" w:eastAsia="仿宋" w:cs="仿宋"/>
                <w:strike w:val="0"/>
                <w:dstrike w:val="0"/>
                <w:color w:val="auto"/>
                <w:sz w:val="24"/>
                <w:szCs w:val="24"/>
                <w:highlight w:val="none"/>
                <w:lang w:val="zh-CN"/>
              </w:rPr>
              <w:t>现有公司为其缴纳的近</w:t>
            </w:r>
            <w:r>
              <w:rPr>
                <w:rStyle w:val="962"/>
                <w:rFonts w:hint="eastAsia" w:ascii="仿宋" w:hAnsi="仿宋" w:eastAsia="仿宋" w:cs="仿宋"/>
                <w:strike w:val="0"/>
                <w:dstrike w:val="0"/>
                <w:color w:val="auto"/>
                <w:sz w:val="24"/>
                <w:szCs w:val="24"/>
                <w:highlight w:val="none"/>
                <w:lang w:val="en-US" w:eastAsia="zh-CN"/>
              </w:rPr>
              <w:t>3个月</w:t>
            </w:r>
            <w:r>
              <w:rPr>
                <w:rStyle w:val="962"/>
                <w:rFonts w:hint="eastAsia" w:ascii="仿宋" w:hAnsi="仿宋" w:eastAsia="仿宋" w:cs="仿宋"/>
                <w:strike w:val="0"/>
                <w:dstrike w:val="0"/>
                <w:color w:val="auto"/>
                <w:sz w:val="24"/>
                <w:szCs w:val="24"/>
                <w:highlight w:val="none"/>
                <w:lang w:val="zh-CN"/>
              </w:rPr>
              <w:t>社保证明】，未提供证明材料或证明</w:t>
            </w:r>
            <w:r>
              <w:rPr>
                <w:rStyle w:val="962"/>
                <w:rFonts w:hint="eastAsia" w:ascii="仿宋" w:hAnsi="仿宋" w:eastAsia="仿宋" w:cs="仿宋"/>
                <w:color w:val="auto"/>
                <w:sz w:val="24"/>
                <w:szCs w:val="24"/>
                <w:highlight w:val="none"/>
                <w:lang w:val="zh-CN"/>
              </w:rPr>
              <w:t>材料不符合要求的人员不计入“项目组人员数量”。</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w:t>
            </w:r>
            <w:r>
              <w:rPr>
                <w:rFonts w:hint="eastAsia" w:ascii="仿宋" w:hAnsi="仿宋" w:eastAsia="仿宋" w:cs="仿宋"/>
                <w:snapToGrid w:val="0"/>
                <w:color w:val="auto"/>
                <w:kern w:val="0"/>
                <w:sz w:val="24"/>
                <w:szCs w:val="24"/>
                <w:highlight w:val="none"/>
                <w:lang w:val="en-US" w:eastAsia="zh-CN"/>
              </w:rPr>
              <w:t>整个项目团队人员中，应有成员</w:t>
            </w:r>
            <w:r>
              <w:rPr>
                <w:rFonts w:hint="eastAsia" w:ascii="仿宋" w:hAnsi="仿宋" w:eastAsia="仿宋" w:cs="仿宋"/>
                <w:snapToGrid w:val="0"/>
                <w:color w:val="auto"/>
                <w:kern w:val="0"/>
                <w:sz w:val="24"/>
                <w:szCs w:val="24"/>
                <w:highlight w:val="none"/>
                <w:lang w:val="zh-CN" w:eastAsia="zh-CN"/>
              </w:rPr>
              <w:t>取得国家认可的人力资源管理师证书。</w:t>
            </w:r>
            <w:r>
              <w:rPr>
                <w:rFonts w:hint="eastAsia" w:ascii="仿宋" w:hAnsi="仿宋" w:eastAsia="仿宋" w:cs="仿宋"/>
                <w:snapToGrid w:val="0"/>
                <w:color w:val="auto"/>
                <w:kern w:val="0"/>
                <w:sz w:val="24"/>
                <w:szCs w:val="24"/>
                <w:highlight w:val="none"/>
                <w:lang w:val="en-US" w:eastAsia="zh-CN"/>
              </w:rPr>
              <w:t>满足得1分，不满足不得分。</w:t>
            </w:r>
            <w:r>
              <w:rPr>
                <w:rStyle w:val="962"/>
                <w:rFonts w:hint="eastAsia" w:ascii="仿宋" w:hAnsi="仿宋" w:eastAsia="仿宋" w:cs="仿宋"/>
                <w:color w:val="auto"/>
                <w:sz w:val="24"/>
                <w:szCs w:val="24"/>
                <w:highlight w:val="none"/>
                <w:lang w:val="zh-CN"/>
              </w:rPr>
              <w:t>需提供证明材料【现有公司最近连续</w:t>
            </w:r>
            <w:r>
              <w:rPr>
                <w:rStyle w:val="962"/>
                <w:rFonts w:hint="eastAsia" w:ascii="仿宋" w:hAnsi="仿宋" w:eastAsia="仿宋" w:cs="仿宋"/>
                <w:color w:val="auto"/>
                <w:sz w:val="24"/>
                <w:szCs w:val="24"/>
                <w:highlight w:val="none"/>
              </w:rPr>
              <w:t>3</w:t>
            </w:r>
            <w:r>
              <w:rPr>
                <w:rStyle w:val="962"/>
                <w:rFonts w:hint="eastAsia" w:ascii="仿宋" w:hAnsi="仿宋" w:eastAsia="仿宋" w:cs="仿宋"/>
                <w:color w:val="auto"/>
                <w:sz w:val="24"/>
                <w:szCs w:val="24"/>
                <w:highlight w:val="none"/>
                <w:lang w:val="zh-CN"/>
              </w:rPr>
              <w:t>个月社保缴纳清单、人力资源管理师证书扫描件】，证明材料不全或不符合要求不得分。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w:t>
            </w:r>
            <w:r>
              <w:rPr>
                <w:rStyle w:val="962"/>
                <w:rFonts w:hint="eastAsia" w:ascii="仿宋" w:hAnsi="仿宋" w:eastAsia="仿宋" w:cs="仿宋"/>
                <w:color w:val="auto"/>
                <w:kern w:val="2"/>
                <w:sz w:val="24"/>
                <w:szCs w:val="24"/>
                <w:highlight w:val="none"/>
                <w:lang w:val="zh-CN" w:eastAsia="zh-CN" w:bidi="ar-SA"/>
              </w:rPr>
              <w:t>承诺项目组人员扣除“社保”和意外险后的月均实际收入不低于当年杭州市最低工资标准数额。承诺的得</w:t>
            </w:r>
            <w:r>
              <w:rPr>
                <w:rStyle w:val="962"/>
                <w:rFonts w:hint="eastAsia" w:ascii="仿宋" w:hAnsi="仿宋" w:eastAsia="仿宋" w:cs="仿宋"/>
                <w:color w:val="auto"/>
                <w:kern w:val="2"/>
                <w:sz w:val="24"/>
                <w:szCs w:val="24"/>
                <w:highlight w:val="none"/>
                <w:lang w:val="en-US" w:eastAsia="zh-CN" w:bidi="ar-SA"/>
              </w:rPr>
              <w:t>1</w:t>
            </w:r>
            <w:r>
              <w:rPr>
                <w:rStyle w:val="962"/>
                <w:rFonts w:hint="eastAsia" w:ascii="仿宋" w:hAnsi="仿宋" w:eastAsia="仿宋" w:cs="仿宋"/>
                <w:color w:val="auto"/>
                <w:kern w:val="2"/>
                <w:sz w:val="24"/>
                <w:szCs w:val="24"/>
                <w:highlight w:val="none"/>
                <w:lang w:val="zh-CN" w:eastAsia="zh-CN" w:bidi="ar-SA"/>
              </w:rPr>
              <w:t>分，未承诺不得分。在投标文件中提供承诺书等证明材料。</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w:t>
            </w:r>
            <w:r>
              <w:rPr>
                <w:rStyle w:val="962"/>
                <w:rFonts w:hint="eastAsia" w:ascii="仿宋" w:hAnsi="仿宋" w:eastAsia="仿宋" w:cs="仿宋"/>
                <w:color w:val="auto"/>
                <w:kern w:val="0"/>
                <w:sz w:val="24"/>
                <w:szCs w:val="24"/>
                <w:highlight w:val="none"/>
                <w:lang w:val="en-US" w:eastAsia="zh-CN" w:bidi="ar-SA"/>
              </w:rPr>
              <w:t>用于信息采集所提供的机动车车辆符合采购人的要求的得2分，不满足不得分。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w:t>
            </w:r>
            <w:r>
              <w:rPr>
                <w:rFonts w:hint="eastAsia" w:ascii="仿宋" w:hAnsi="仿宋" w:eastAsia="仿宋" w:cs="仿宋"/>
                <w:snapToGrid w:val="0"/>
                <w:color w:val="auto"/>
                <w:kern w:val="0"/>
                <w:sz w:val="24"/>
                <w:szCs w:val="24"/>
                <w:highlight w:val="none"/>
                <w:lang w:val="en-US" w:eastAsia="zh-CN"/>
              </w:rPr>
              <w:t>在满足人员、车辆基本数量基础上，投标人承诺在人员配备数量、员工工资待遇保障、巡查车辆配备数量等方面提供有实质性有利于项目开展的内容。</w:t>
            </w:r>
            <w:r>
              <w:rPr>
                <w:rFonts w:hint="eastAsia" w:ascii="仿宋" w:hAnsi="仿宋" w:eastAsia="仿宋" w:cs="仿宋"/>
                <w:color w:val="auto"/>
                <w:sz w:val="24"/>
                <w:szCs w:val="24"/>
                <w:highlight w:val="none"/>
                <w:lang w:val="en-US" w:eastAsia="zh-CN"/>
              </w:rPr>
              <w:t>每项承诺得1分，没有不予计分。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797" w:type="dxa"/>
            <w:noWrap w:val="0"/>
            <w:vAlign w:val="center"/>
          </w:tcPr>
          <w:p>
            <w:pPr>
              <w:snapToGrid w:val="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投标人承诺中标后在所中标区域内设立固定办公场所，便于工作开展及管理。承诺的得2分，未承诺不得分。在投标文件中提供承诺书等证明材料。</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5797" w:type="dxa"/>
            <w:noWrap w:val="0"/>
            <w:vAlign w:val="center"/>
          </w:tcPr>
          <w:p>
            <w:pPr>
              <w:snapToGrid w:val="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有效投标报价的最低价作为评标基准价，其最低报价为满分；按［投标报价得分=（评标基准价/投标报价）*20］的计算公式计算。</w:t>
            </w:r>
          </w:p>
          <w:p>
            <w:pPr>
              <w:snapToGrid w:val="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评标过程中，不得去掉报价中的最高报价和最低报价。</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0"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3"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360" w:lineRule="auto"/>
        <w:ind w:firstLine="588"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88"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419" w:name="第五部分"/>
      <w:bookmarkStart w:id="420" w:name="_Toc86217003"/>
    </w:p>
    <w:p>
      <w:pPr>
        <w:spacing w:line="360" w:lineRule="auto"/>
        <w:ind w:left="720" w:leftChars="343" w:firstLine="1080" w:firstLineChars="300"/>
        <w:outlineLvl w:val="0"/>
        <w:rPr>
          <w:rFonts w:hint="eastAsia" w:ascii="仿宋" w:hAnsi="仿宋" w:eastAsia="仿宋" w:cs="仿宋"/>
          <w:b/>
          <w:color w:val="auto"/>
          <w:sz w:val="36"/>
          <w:szCs w:val="36"/>
          <w:highlight w:val="none"/>
        </w:rPr>
      </w:pPr>
    </w:p>
    <w:p>
      <w:pPr>
        <w:spacing w:line="360" w:lineRule="auto"/>
        <w:ind w:left="720" w:leftChars="343" w:firstLine="1080"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合同将由</w:t>
      </w:r>
      <w:r>
        <w:rPr>
          <w:rFonts w:hint="eastAsia" w:ascii="仿宋" w:hAnsi="仿宋" w:eastAsia="仿宋" w:cs="仿宋"/>
          <w:snapToGrid w:val="0"/>
          <w:color w:val="auto"/>
          <w:kern w:val="0"/>
          <w:sz w:val="24"/>
          <w:szCs w:val="24"/>
          <w:highlight w:val="none"/>
          <w:lang w:eastAsia="zh-CN"/>
        </w:rPr>
        <w:t>杭州市钱塘区综合行政执法局</w:t>
      </w:r>
      <w:r>
        <w:rPr>
          <w:rFonts w:hint="eastAsia" w:ascii="仿宋" w:hAnsi="仿宋" w:eastAsia="仿宋" w:cs="仿宋"/>
          <w:snapToGrid w:val="0"/>
          <w:color w:val="auto"/>
          <w:kern w:val="0"/>
          <w:sz w:val="24"/>
          <w:szCs w:val="24"/>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钱塘区2023年-2024年数字城管服务外包项目</w:t>
      </w:r>
    </w:p>
    <w:p>
      <w:pPr>
        <w:snapToGrid w:val="0"/>
        <w:spacing w:before="120" w:beforeLines="50" w:after="120" w:afterLines="50"/>
        <w:jc w:val="center"/>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lang w:eastAsia="zh-CN"/>
        </w:rPr>
        <w:t>（江东区域）（重新招标）</w:t>
      </w:r>
      <w:r>
        <w:rPr>
          <w:rFonts w:hint="eastAsia" w:ascii="仿宋" w:hAnsi="仿宋" w:eastAsia="仿宋" w:cs="仿宋"/>
          <w:b/>
          <w:color w:val="auto"/>
          <w:sz w:val="32"/>
          <w:szCs w:val="32"/>
          <w:highlight w:val="none"/>
        </w:rPr>
        <w:t>政府采购</w:t>
      </w:r>
      <w:r>
        <w:rPr>
          <w:rFonts w:hint="eastAsia" w:ascii="仿宋" w:hAnsi="仿宋" w:eastAsia="仿宋" w:cs="仿宋"/>
          <w:b/>
          <w:color w:val="auto"/>
          <w:sz w:val="32"/>
          <w:szCs w:val="32"/>
          <w:highlight w:val="none"/>
          <w:lang w:val="zh-CN"/>
        </w:rPr>
        <w:t>合同</w:t>
      </w:r>
    </w:p>
    <w:p>
      <w:pPr>
        <w:snapToGrid w:val="0"/>
        <w:spacing w:before="120" w:beforeLines="50" w:after="120" w:afterLines="50"/>
        <w:jc w:val="center"/>
        <w:rPr>
          <w:rFonts w:hint="eastAsia" w:ascii="仿宋" w:hAnsi="仿宋" w:eastAsia="仿宋" w:cs="仿宋"/>
          <w:b/>
          <w:color w:val="auto"/>
          <w:sz w:val="30"/>
          <w:highlight w:val="none"/>
        </w:rPr>
      </w:pPr>
      <w:r>
        <w:rPr>
          <w:rFonts w:hint="eastAsia" w:ascii="仿宋" w:hAnsi="仿宋" w:eastAsia="仿宋" w:cs="仿宋"/>
          <w:color w:val="auto"/>
          <w:spacing w:val="-6"/>
          <w:highlight w:val="none"/>
        </w:rPr>
        <w:t>（本合同为合同样稿）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签订地点：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双方根据</w:t>
      </w:r>
      <w:r>
        <w:rPr>
          <w:rFonts w:hint="eastAsia" w:ascii="仿宋" w:hAnsi="仿宋" w:eastAsia="仿宋" w:cs="仿宋"/>
          <w:color w:val="auto"/>
          <w:sz w:val="24"/>
          <w:szCs w:val="24"/>
          <w:highlight w:val="none"/>
          <w:u w:val="single"/>
          <w:lang w:eastAsia="zh-CN"/>
        </w:rPr>
        <w:t>钱塘区2023年-2024年数字城管服务外包项目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（江东区域）（重新招标）</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）采购结果和采购文件的要求，并经双方协调一致，订立本采购合同。</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一、合同标的</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根据甲方要求及管理标准，负责钱塘区江东区域（以招标人指定为准）城市事件动态问题及部件完好、变更信息的限时采集；对热线投诉和社区联系站等途径反馈问题进行核查；对所发现问题结案前进行核实；根据城市管理工作的要求，实施各类专项信息采集工作以及数字城管要求的其他相关工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二、合同金额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本项目合同一年一签。</w:t>
      </w:r>
      <w:r>
        <w:rPr>
          <w:rFonts w:hint="eastAsia" w:ascii="仿宋" w:hAnsi="仿宋" w:eastAsia="仿宋" w:cs="仿宋"/>
          <w:color w:val="auto"/>
          <w:sz w:val="24"/>
          <w:szCs w:val="24"/>
          <w:highlight w:val="none"/>
        </w:rPr>
        <w:t xml:space="preserve">本合同金额为（大写）：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，其中一年合同金额为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元）人民币。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以上包含所有今后项目实施过程中所涉及到的一切费用。将实施而未列入报价的费用将被视为投标人优惠，甲方将不再另行支付。</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三、服务期限及基本要求</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1、本项目服务范围为杭州</w:t>
      </w:r>
      <w:r>
        <w:rPr>
          <w:rFonts w:hint="eastAsia" w:ascii="仿宋" w:hAnsi="仿宋" w:eastAsia="仿宋" w:cs="仿宋"/>
          <w:color w:val="auto"/>
          <w:sz w:val="24"/>
          <w:szCs w:val="24"/>
          <w:highlight w:val="none"/>
          <w:lang w:eastAsia="zh-CN"/>
        </w:rPr>
        <w:t>市</w:t>
      </w:r>
      <w:r>
        <w:rPr>
          <w:rFonts w:hint="eastAsia" w:ascii="仿宋" w:hAnsi="仿宋" w:eastAsia="仿宋" w:cs="仿宋"/>
          <w:color w:val="auto"/>
          <w:sz w:val="24"/>
          <w:szCs w:val="24"/>
          <w:highlight w:val="none"/>
        </w:rPr>
        <w:t>钱塘区江东区域，具体范围请服从甲方安排。</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服务期限：自     年   月   日起至     年   月   日止。</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2、投标人务必根据自身情况对实际每日具体在岗信息采集员进行配置。</w:t>
      </w: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w:t>
      </w:r>
      <w:r>
        <w:rPr>
          <w:rFonts w:hint="eastAsia" w:ascii="仿宋" w:hAnsi="仿宋" w:eastAsia="仿宋" w:cs="仿宋"/>
          <w:snapToGrid w:val="0"/>
          <w:color w:val="auto"/>
          <w:kern w:val="0"/>
          <w:sz w:val="24"/>
          <w:szCs w:val="24"/>
          <w:highlight w:val="none"/>
        </w:rPr>
        <w:t>间路面</w:t>
      </w:r>
      <w:r>
        <w:rPr>
          <w:rFonts w:hint="eastAsia" w:ascii="仿宋" w:hAnsi="仿宋" w:eastAsia="仿宋" w:cs="仿宋"/>
          <w:snapToGrid w:val="0"/>
          <w:color w:val="auto"/>
          <w:kern w:val="0"/>
          <w:sz w:val="24"/>
          <w:szCs w:val="24"/>
          <w:highlight w:val="none"/>
          <w:lang w:val="en-US" w:eastAsia="zh-CN"/>
        </w:rPr>
        <w:t>在岗</w:t>
      </w:r>
      <w:r>
        <w:rPr>
          <w:rFonts w:hint="eastAsia" w:ascii="仿宋" w:hAnsi="仿宋" w:eastAsia="仿宋" w:cs="仿宋"/>
          <w:snapToGrid w:val="0"/>
          <w:color w:val="auto"/>
          <w:kern w:val="0"/>
          <w:sz w:val="24"/>
          <w:szCs w:val="24"/>
          <w:highlight w:val="none"/>
        </w:rPr>
        <w:t>巡查人数不少于</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人（机动车巡查不少于</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辆）</w:t>
      </w:r>
      <w:r>
        <w:rPr>
          <w:rFonts w:hint="eastAsia" w:ascii="仿宋" w:hAnsi="仿宋" w:eastAsia="仿宋" w:cs="仿宋"/>
          <w:snapToGrid w:val="0"/>
          <w:color w:val="auto"/>
          <w:kern w:val="0"/>
          <w:sz w:val="24"/>
          <w:szCs w:val="24"/>
          <w:highlight w:val="none"/>
          <w:lang w:eastAsia="zh-CN"/>
        </w:rPr>
        <w:t>；12：00-13：30，18：00-20：30非正常采集时段，在岗人数不低于</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人。（注：</w:t>
      </w:r>
      <w:r>
        <w:rPr>
          <w:rFonts w:hint="eastAsia" w:ascii="仿宋" w:hAnsi="仿宋" w:eastAsia="仿宋" w:cs="仿宋"/>
          <w:snapToGrid w:val="0"/>
          <w:color w:val="auto"/>
          <w:kern w:val="0"/>
          <w:sz w:val="24"/>
          <w:szCs w:val="24"/>
          <w:highlight w:val="none"/>
          <w:lang w:val="en-US" w:eastAsia="zh-CN"/>
        </w:rPr>
        <w:t>人员依据在岗人数要求进行考核</w:t>
      </w:r>
      <w:r>
        <w:rPr>
          <w:rFonts w:hint="eastAsia" w:ascii="仿宋" w:hAnsi="仿宋" w:eastAsia="仿宋" w:cs="仿宋"/>
          <w:snapToGrid w:val="0"/>
          <w:color w:val="auto"/>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晚上</w:t>
      </w: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lang w:eastAsia="zh-CN"/>
        </w:rPr>
        <w:t>-次日早上</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0值班人员不少于1人，值班车辆不少于1辆</w:t>
      </w:r>
      <w:r>
        <w:rPr>
          <w:rFonts w:hint="eastAsia" w:ascii="仿宋" w:hAnsi="仿宋" w:eastAsia="仿宋" w:cs="仿宋"/>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四、评价体系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参照招标需求：相关要求及计扣办法。</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五、履约保证金及预付款</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合同生效后7个工作日内，乙方应以支票、汇票、本票或者金融机构、担保机构出具的保函等非现金形式，提交合同价1%的履约保证金，待项目验收合格后无息退还（如有违约内容，则扣除相应违约款项后，无息退还）。</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strike w:val="0"/>
          <w:dstrike w:val="0"/>
          <w:color w:val="auto"/>
          <w:sz w:val="24"/>
          <w:szCs w:val="24"/>
          <w:highlight w:val="none"/>
          <w:lang w:val="zh-CN" w:eastAsia="zh-CN"/>
        </w:rPr>
        <w:t>2、</w:t>
      </w:r>
      <w:r>
        <w:rPr>
          <w:rFonts w:hint="eastAsia" w:ascii="仿宋" w:hAnsi="仿宋" w:eastAsia="仿宋" w:cs="仿宋"/>
          <w:color w:val="auto"/>
          <w:sz w:val="24"/>
          <w:szCs w:val="24"/>
          <w:highlight w:val="none"/>
          <w:lang w:val="zh-CN"/>
        </w:rPr>
        <w:t>乙方没有履行本合同项下约定的责任和义务所需承担的违约金、赔偿金、</w:t>
      </w:r>
      <w:r>
        <w:rPr>
          <w:rFonts w:hint="eastAsia" w:ascii="仿宋" w:hAnsi="仿宋" w:eastAsia="仿宋" w:cs="仿宋"/>
          <w:color w:val="auto"/>
          <w:sz w:val="24"/>
          <w:szCs w:val="24"/>
          <w:highlight w:val="none"/>
          <w:lang w:val="en-US" w:eastAsia="zh-CN"/>
        </w:rPr>
        <w:t>扣款</w:t>
      </w:r>
      <w:r>
        <w:rPr>
          <w:rFonts w:hint="eastAsia" w:ascii="仿宋" w:hAnsi="仿宋" w:eastAsia="仿宋" w:cs="仿宋"/>
          <w:color w:val="auto"/>
          <w:sz w:val="24"/>
          <w:szCs w:val="24"/>
          <w:highlight w:val="none"/>
          <w:lang w:val="zh-CN"/>
        </w:rPr>
        <w:t>及其他费用，</w:t>
      </w:r>
      <w:r>
        <w:rPr>
          <w:rFonts w:hint="eastAsia" w:ascii="仿宋" w:hAnsi="仿宋" w:eastAsia="仿宋" w:cs="仿宋"/>
          <w:color w:val="auto"/>
          <w:sz w:val="24"/>
          <w:szCs w:val="24"/>
          <w:highlight w:val="none"/>
          <w:lang w:val="zh-CN" w:eastAsia="zh-CN"/>
        </w:rPr>
        <w:t>除本合同另有约定外，甲</w:t>
      </w:r>
      <w:r>
        <w:rPr>
          <w:rFonts w:hint="eastAsia" w:ascii="仿宋" w:hAnsi="仿宋" w:eastAsia="仿宋" w:cs="仿宋"/>
          <w:color w:val="auto"/>
          <w:sz w:val="24"/>
          <w:szCs w:val="24"/>
          <w:highlight w:val="none"/>
          <w:lang w:val="zh-CN"/>
        </w:rPr>
        <w:t>方有权直接从履约保证金中扣除，履约保证金不足以扣除的，</w:t>
      </w:r>
      <w:r>
        <w:rPr>
          <w:rFonts w:hint="eastAsia" w:ascii="仿宋" w:hAnsi="仿宋" w:eastAsia="仿宋" w:cs="仿宋"/>
          <w:color w:val="auto"/>
          <w:sz w:val="24"/>
          <w:szCs w:val="24"/>
          <w:highlight w:val="none"/>
          <w:lang w:val="zh-CN" w:eastAsia="zh-CN"/>
        </w:rPr>
        <w:t>甲</w:t>
      </w:r>
      <w:r>
        <w:rPr>
          <w:rFonts w:hint="eastAsia" w:ascii="仿宋" w:hAnsi="仿宋" w:eastAsia="仿宋" w:cs="仿宋"/>
          <w:color w:val="auto"/>
          <w:sz w:val="24"/>
          <w:szCs w:val="24"/>
          <w:highlight w:val="none"/>
          <w:lang w:val="zh-CN"/>
        </w:rPr>
        <w:t>方有权从</w:t>
      </w:r>
      <w:r>
        <w:rPr>
          <w:rFonts w:hint="eastAsia" w:ascii="仿宋" w:hAnsi="仿宋" w:eastAsia="仿宋" w:cs="仿宋"/>
          <w:color w:val="auto"/>
          <w:sz w:val="24"/>
          <w:szCs w:val="24"/>
          <w:highlight w:val="none"/>
          <w:lang w:val="zh-CN" w:eastAsia="zh-CN"/>
        </w:rPr>
        <w:t>合同</w:t>
      </w:r>
      <w:r>
        <w:rPr>
          <w:rFonts w:hint="eastAsia" w:ascii="仿宋" w:hAnsi="仿宋" w:eastAsia="仿宋" w:cs="仿宋"/>
          <w:color w:val="auto"/>
          <w:sz w:val="24"/>
          <w:szCs w:val="24"/>
          <w:highlight w:val="none"/>
          <w:lang w:val="zh-CN"/>
        </w:rPr>
        <w:t>款中扣除。</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zh-CN" w:eastAsia="zh-CN"/>
        </w:rPr>
        <w:t>因乙方违反本合同约定导致甲方扣除相应履约保证金的，乙方应当在甲方通知乙方扣除履约保证金之日起7日内将扣除部分补足，否则甲方有权自逾期之日起要求乙方按照应补足未补足部分金额的【】%/日支付滞纳金。</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val="zh-CN"/>
        </w:rPr>
        <w:t>信息采集费支付方式</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按月考核，按季支付</w:t>
      </w:r>
      <w:r>
        <w:rPr>
          <w:rFonts w:hint="eastAsia" w:ascii="仿宋" w:hAnsi="仿宋" w:eastAsia="仿宋" w:cs="仿宋"/>
          <w:snapToGrid w:val="0"/>
          <w:color w:val="auto"/>
          <w:kern w:val="0"/>
          <w:sz w:val="24"/>
          <w:szCs w:val="24"/>
          <w:highlight w:val="none"/>
          <w:lang w:eastAsia="zh-CN"/>
        </w:rPr>
        <w:t>，合同一年一签。</w:t>
      </w:r>
      <w:r>
        <w:rPr>
          <w:rFonts w:hint="eastAsia" w:ascii="仿宋" w:hAnsi="仿宋" w:eastAsia="仿宋" w:cs="仿宋"/>
          <w:snapToGrid w:val="0"/>
          <w:color w:val="auto"/>
          <w:kern w:val="0"/>
          <w:sz w:val="24"/>
          <w:szCs w:val="24"/>
          <w:highlight w:val="none"/>
          <w:lang w:val="en-US" w:eastAsia="zh-CN"/>
        </w:rPr>
        <w:t>年度评分合格的，同意签订第二年合同。</w:t>
      </w:r>
      <w:r>
        <w:rPr>
          <w:rFonts w:hint="eastAsia" w:ascii="仿宋" w:hAnsi="仿宋" w:eastAsia="仿宋" w:cs="仿宋"/>
          <w:snapToGrid w:val="0"/>
          <w:color w:val="auto"/>
          <w:kern w:val="0"/>
          <w:sz w:val="24"/>
          <w:szCs w:val="24"/>
          <w:highlight w:val="none"/>
          <w:lang w:eastAsia="zh-CN"/>
        </w:rPr>
        <w:t>第一年度：合同生效且具备实施条件后7个工作日内</w:t>
      </w:r>
      <w:r>
        <w:rPr>
          <w:rFonts w:hint="eastAsia" w:ascii="仿宋" w:hAnsi="仿宋" w:eastAsia="仿宋" w:cs="仿宋"/>
          <w:snapToGrid w:val="0"/>
          <w:color w:val="auto"/>
          <w:kern w:val="0"/>
          <w:sz w:val="24"/>
          <w:szCs w:val="24"/>
          <w:highlight w:val="none"/>
          <w:lang w:val="en-US" w:eastAsia="zh-CN"/>
        </w:rPr>
        <w:t>，支付</w:t>
      </w:r>
      <w:r>
        <w:rPr>
          <w:rFonts w:hint="eastAsia" w:ascii="仿宋" w:hAnsi="仿宋" w:eastAsia="仿宋" w:cs="仿宋"/>
          <w:snapToGrid w:val="0"/>
          <w:color w:val="auto"/>
          <w:kern w:val="0"/>
          <w:sz w:val="24"/>
          <w:szCs w:val="24"/>
          <w:highlight w:val="none"/>
          <w:lang w:eastAsia="zh-CN"/>
        </w:rPr>
        <w:t>一年合同金额的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。第二年度：</w:t>
      </w:r>
      <w:r>
        <w:rPr>
          <w:rFonts w:hint="eastAsia" w:ascii="仿宋" w:hAnsi="仿宋" w:eastAsia="仿宋" w:cs="仿宋"/>
          <w:snapToGrid w:val="0"/>
          <w:color w:val="auto"/>
          <w:kern w:val="0"/>
          <w:sz w:val="24"/>
          <w:szCs w:val="24"/>
          <w:highlight w:val="none"/>
          <w:lang w:val="en-US" w:eastAsia="zh-CN"/>
        </w:rPr>
        <w:t>合同生效且具备实施条件后7个工作日内，支付</w:t>
      </w:r>
      <w:r>
        <w:rPr>
          <w:rFonts w:hint="eastAsia" w:ascii="仿宋" w:hAnsi="仿宋" w:eastAsia="仿宋" w:cs="仿宋"/>
          <w:snapToGrid w:val="0"/>
          <w:color w:val="auto"/>
          <w:kern w:val="0"/>
          <w:sz w:val="24"/>
          <w:szCs w:val="24"/>
          <w:highlight w:val="none"/>
          <w:lang w:eastAsia="zh-CN"/>
        </w:rPr>
        <w:t>一年合同金额的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p>
    <w:p>
      <w:pPr>
        <w:snapToGrid w:val="0"/>
        <w:spacing w:line="360" w:lineRule="auto"/>
        <w:ind w:firstLine="480" w:firstLineChars="200"/>
        <w:jc w:val="left"/>
        <w:rPr>
          <w:rFonts w:hint="eastAsia"/>
          <w:color w:val="auto"/>
          <w:highlight w:val="none"/>
          <w:lang w:eastAsia="zh-CN"/>
        </w:rPr>
      </w:pPr>
      <w:r>
        <w:rPr>
          <w:rFonts w:hint="eastAsia" w:ascii="仿宋" w:hAnsi="仿宋" w:eastAsia="仿宋" w:cs="仿宋"/>
          <w:snapToGrid w:val="0"/>
          <w:color w:val="auto"/>
          <w:kern w:val="0"/>
          <w:sz w:val="24"/>
          <w:szCs w:val="24"/>
          <w:highlight w:val="none"/>
        </w:rPr>
        <w:t>甲方每次付款前，乙方应向甲方开具等额有效的增值税发票，甲方未收到发票的，有权不予支付相应款项直至乙方提供合格发票，并不承担延迟付款责任。发票认证通过是付款的必要前提之一。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七、工作方式、人员管理</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甲方应向乙方提供有关信息采集标准、工作流程以及相关设备使用的说明。</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甲方还应将属乙方管理所需要的信息无偿提供，乙方按月提出自查表，甲方每月出据考核结果。甲方除向乙方提供“信息采集器”信息采集设备外，其余设备均由乙方自行解决。</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日常工作中，乙方应及时对甲方提出需反馈的意见，在</w:t>
      </w:r>
      <w:r>
        <w:rPr>
          <w:rFonts w:hint="eastAsia" w:ascii="仿宋" w:hAnsi="仿宋" w:eastAsia="仿宋" w:cs="仿宋"/>
          <w:color w:val="auto"/>
          <w:sz w:val="24"/>
          <w:szCs w:val="24"/>
          <w:highlight w:val="none"/>
          <w:lang w:val="en-US" w:eastAsia="zh-CN"/>
        </w:rPr>
        <w:t>7日</w:t>
      </w:r>
      <w:r>
        <w:rPr>
          <w:rFonts w:hint="eastAsia" w:ascii="仿宋" w:hAnsi="仿宋" w:eastAsia="仿宋" w:cs="仿宋"/>
          <w:color w:val="auto"/>
          <w:sz w:val="24"/>
          <w:szCs w:val="24"/>
          <w:highlight w:val="none"/>
          <w:lang w:val="zh-CN"/>
        </w:rPr>
        <w:t>内做出答复。</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因工作需要需向信息采集员发送有关指令，</w:t>
      </w:r>
      <w:r>
        <w:rPr>
          <w:rFonts w:hint="eastAsia" w:ascii="仿宋" w:hAnsi="仿宋" w:eastAsia="仿宋" w:cs="仿宋"/>
          <w:color w:val="auto"/>
          <w:sz w:val="24"/>
          <w:szCs w:val="24"/>
          <w:highlight w:val="none"/>
        </w:rPr>
        <w:t>应通过数字城管监督指挥平台统一下发</w:t>
      </w:r>
      <w:r>
        <w:rPr>
          <w:rFonts w:hint="eastAsia" w:ascii="仿宋" w:hAnsi="仿宋" w:eastAsia="仿宋" w:cs="仿宋"/>
          <w:color w:val="auto"/>
          <w:sz w:val="24"/>
          <w:szCs w:val="24"/>
          <w:highlight w:val="none"/>
          <w:lang w:val="zh-CN"/>
        </w:rPr>
        <w:t>。</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甲方概不负责信息采集员的一切相关事务，</w:t>
      </w:r>
      <w:r>
        <w:rPr>
          <w:rFonts w:hint="eastAsia" w:ascii="仿宋" w:hAnsi="仿宋" w:eastAsia="仿宋" w:cs="仿宋"/>
          <w:color w:val="auto"/>
          <w:sz w:val="24"/>
          <w:szCs w:val="24"/>
          <w:highlight w:val="none"/>
          <w:lang w:val="en-US" w:eastAsia="zh-CN"/>
        </w:rPr>
        <w:t>乙方应</w:t>
      </w:r>
      <w:r>
        <w:rPr>
          <w:rFonts w:hint="eastAsia" w:ascii="仿宋" w:hAnsi="仿宋" w:eastAsia="仿宋" w:cs="仿宋"/>
          <w:color w:val="auto"/>
          <w:sz w:val="24"/>
          <w:szCs w:val="24"/>
          <w:highlight w:val="none"/>
        </w:rPr>
        <w:t>依法为项目组人员缴纳五险一金，购买意外险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项目组人员扣除“五险一金”和意外险后的月均实际收入不低于当年杭州市最低工资标准数额</w:t>
      </w:r>
      <w:r>
        <w:rPr>
          <w:rFonts w:hint="eastAsia" w:ascii="仿宋" w:hAnsi="仿宋" w:eastAsia="仿宋" w:cs="仿宋"/>
          <w:color w:val="auto"/>
          <w:sz w:val="24"/>
          <w:szCs w:val="24"/>
          <w:highlight w:val="none"/>
          <w:lang w:val="zh-CN"/>
        </w:rPr>
        <w:t>。因乙方原因导致劳资纠纷、群体性事件影响甲方声誉的，</w:t>
      </w:r>
      <w:r>
        <w:rPr>
          <w:rFonts w:hint="eastAsia" w:ascii="仿宋" w:hAnsi="仿宋" w:eastAsia="仿宋" w:cs="仿宋"/>
          <w:color w:val="auto"/>
          <w:kern w:val="2"/>
          <w:sz w:val="24"/>
          <w:szCs w:val="24"/>
          <w:highlight w:val="none"/>
        </w:rPr>
        <w:t>一切责任和费用均由乙方承担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szCs w:val="24"/>
          <w:highlight w:val="none"/>
          <w:lang w:val="en-US" w:eastAsia="zh-CN"/>
        </w:rPr>
        <w:t>乙方应当负责解决并尽可能采取补救措施防止影响扩大，</w:t>
      </w:r>
      <w:r>
        <w:rPr>
          <w:rFonts w:hint="eastAsia" w:ascii="仿宋" w:hAnsi="仿宋" w:eastAsia="仿宋" w:cs="仿宋"/>
          <w:color w:val="auto"/>
          <w:sz w:val="24"/>
          <w:szCs w:val="24"/>
          <w:highlight w:val="none"/>
          <w:lang w:val="zh-CN"/>
        </w:rPr>
        <w:t>甲方</w:t>
      </w:r>
      <w:r>
        <w:rPr>
          <w:rFonts w:hint="eastAsia" w:ascii="仿宋" w:hAnsi="仿宋" w:eastAsia="仿宋" w:cs="仿宋"/>
          <w:color w:val="auto"/>
          <w:sz w:val="24"/>
          <w:szCs w:val="24"/>
          <w:highlight w:val="none"/>
          <w:lang w:val="en-US" w:eastAsia="zh-CN"/>
        </w:rPr>
        <w:t>因此承担了</w:t>
      </w:r>
      <w:r>
        <w:rPr>
          <w:rFonts w:hint="eastAsia" w:ascii="仿宋" w:hAnsi="仿宋" w:eastAsia="仿宋" w:cs="仿宋"/>
          <w:color w:val="auto"/>
          <w:kern w:val="2"/>
          <w:sz w:val="24"/>
          <w:szCs w:val="24"/>
          <w:highlight w:val="none"/>
        </w:rPr>
        <w:t>赔偿责任的，有权向乙方足额追偿</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并有权根据情况对乙方处以10000-50000元罚款，并视情有权解除合同</w:t>
      </w:r>
      <w:r>
        <w:rPr>
          <w:rFonts w:hint="eastAsia" w:ascii="仿宋" w:hAnsi="仿宋" w:eastAsia="仿宋" w:cs="仿宋"/>
          <w:color w:val="auto"/>
          <w:sz w:val="24"/>
          <w:szCs w:val="24"/>
          <w:highlight w:val="none"/>
          <w:lang w:val="zh-CN"/>
        </w:rPr>
        <w:t>。</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2"/>
          <w:sz w:val="24"/>
          <w:szCs w:val="24"/>
          <w:highlight w:val="none"/>
          <w:lang w:val="en-US" w:eastAsia="zh-CN"/>
        </w:rPr>
        <w:t>乙方及其工作人员在信息采集过程中，应当做好安全防护措施，遵守国家法律法规的相关规定。乙方</w:t>
      </w:r>
      <w:r>
        <w:rPr>
          <w:rFonts w:hint="eastAsia" w:ascii="仿宋" w:hAnsi="仿宋" w:eastAsia="仿宋" w:cs="仿宋"/>
          <w:color w:val="auto"/>
          <w:sz w:val="24"/>
          <w:szCs w:val="24"/>
          <w:highlight w:val="none"/>
        </w:rPr>
        <w:t>对所属人员（含劳务外包人员）的工作行为负责，所有采集员、管理人员及项目负责人工作中的安全责任以及法律纠纷等均由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自行承担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rPr>
        <w:t>甲方保留追究乙方其他责任的权利。如第三方因人身财产损害向甲方主张索赔的，乙方应当负责解决；如甲方因此承担了赔偿责任的，有权向乙方足额追偿</w:t>
      </w:r>
      <w:r>
        <w:rPr>
          <w:rFonts w:hint="eastAsia" w:ascii="仿宋" w:hAnsi="仿宋" w:eastAsia="仿宋" w:cs="仿宋"/>
          <w:color w:val="auto"/>
          <w:kern w:val="2"/>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val="zh-CN"/>
        </w:rPr>
        <w:t>、“信息采集器”的领取、管理和使用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合同签订后，乙方须在五天内，按中标信息采集区域涉及的社区（工作单元），</w:t>
      </w:r>
      <w:r>
        <w:rPr>
          <w:rFonts w:hint="eastAsia" w:ascii="仿宋" w:hAnsi="仿宋" w:eastAsia="仿宋" w:cs="仿宋"/>
          <w:snapToGrid w:val="0"/>
          <w:color w:val="auto"/>
          <w:kern w:val="0"/>
          <w:sz w:val="24"/>
          <w:szCs w:val="24"/>
          <w:highlight w:val="none"/>
        </w:rPr>
        <w:t>按每名信息采集员一部的比例，</w:t>
      </w:r>
      <w:r>
        <w:rPr>
          <w:rFonts w:hint="eastAsia" w:ascii="仿宋" w:hAnsi="仿宋" w:eastAsia="仿宋" w:cs="仿宋"/>
          <w:color w:val="auto"/>
          <w:sz w:val="24"/>
          <w:szCs w:val="24"/>
          <w:highlight w:val="none"/>
          <w:lang w:val="zh-CN"/>
        </w:rPr>
        <w:t>足数领取“信息采集器”，并按1000元/部标准支付押金；信息采集器所产生的无线通信网络服务费由甲方支付。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合同终结时，乙方须如数将“信息采集器”返还，每少一部按照采购合同价95％的比例赔偿；如因使用不当造成“信息采集器”外观破损或影响功能正常使用的，将足额支付修理费用。</w:t>
      </w:r>
      <w:r>
        <w:rPr>
          <w:rFonts w:hint="eastAsia" w:ascii="仿宋" w:hAnsi="仿宋" w:eastAsia="仿宋" w:cs="仿宋"/>
          <w:color w:val="auto"/>
          <w:sz w:val="24"/>
          <w:szCs w:val="24"/>
          <w:highlight w:val="none"/>
          <w:lang w:val="en-US" w:eastAsia="zh-CN"/>
        </w:rPr>
        <w:t>甲方在乙方</w:t>
      </w:r>
      <w:r>
        <w:rPr>
          <w:rFonts w:hint="eastAsia" w:ascii="仿宋" w:hAnsi="仿宋" w:eastAsia="仿宋" w:cs="仿宋"/>
          <w:color w:val="auto"/>
          <w:sz w:val="24"/>
          <w:szCs w:val="24"/>
          <w:highlight w:val="none"/>
          <w:lang w:val="zh-CN"/>
        </w:rPr>
        <w:t>如数将“信息采集器”返还</w:t>
      </w:r>
      <w:r>
        <w:rPr>
          <w:rFonts w:hint="eastAsia" w:ascii="仿宋" w:hAnsi="仿宋" w:eastAsia="仿宋" w:cs="仿宋"/>
          <w:color w:val="auto"/>
          <w:sz w:val="24"/>
          <w:szCs w:val="24"/>
          <w:highlight w:val="none"/>
          <w:lang w:val="en-US" w:eastAsia="zh-CN"/>
        </w:rPr>
        <w:t>且经验收无短缺、损坏等情形后退还押金。若存在短缺或</w:t>
      </w:r>
      <w:r>
        <w:rPr>
          <w:rFonts w:hint="eastAsia" w:ascii="仿宋" w:hAnsi="仿宋" w:eastAsia="仿宋" w:cs="仿宋"/>
          <w:color w:val="auto"/>
          <w:sz w:val="24"/>
          <w:szCs w:val="24"/>
          <w:highlight w:val="none"/>
          <w:lang w:val="zh-CN"/>
        </w:rPr>
        <w:t>因使用不当造成“信息采集器”外观破损或影响功能正常使用</w:t>
      </w:r>
      <w:r>
        <w:rPr>
          <w:rFonts w:hint="eastAsia" w:ascii="仿宋" w:hAnsi="仿宋" w:eastAsia="仿宋" w:cs="仿宋"/>
          <w:color w:val="auto"/>
          <w:sz w:val="24"/>
          <w:szCs w:val="24"/>
          <w:highlight w:val="none"/>
          <w:lang w:val="en-US" w:eastAsia="zh-CN"/>
        </w:rPr>
        <w:t>等情形的，甲方在扣除相应的赔偿金、维修费后将剩余押金退还（如有）。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乙方应</w:t>
      </w:r>
      <w:r>
        <w:rPr>
          <w:rFonts w:hint="eastAsia" w:ascii="仿宋" w:hAnsi="仿宋" w:eastAsia="仿宋" w:cs="仿宋"/>
          <w:color w:val="auto"/>
          <w:sz w:val="24"/>
          <w:szCs w:val="24"/>
          <w:highlight w:val="none"/>
          <w:lang w:val="en-US" w:eastAsia="zh-CN"/>
        </w:rPr>
        <w:t>在本合同签订后【】日内</w:t>
      </w:r>
      <w:r>
        <w:rPr>
          <w:rFonts w:hint="eastAsia" w:ascii="仿宋" w:hAnsi="仿宋" w:eastAsia="仿宋" w:cs="仿宋"/>
          <w:color w:val="auto"/>
          <w:sz w:val="24"/>
          <w:szCs w:val="24"/>
          <w:highlight w:val="none"/>
          <w:lang w:val="zh-CN"/>
        </w:rPr>
        <w:t>制定“信息采集器”管理使用办法</w:t>
      </w:r>
      <w:r>
        <w:rPr>
          <w:rFonts w:hint="eastAsia" w:ascii="仿宋" w:hAnsi="仿宋" w:eastAsia="仿宋" w:cs="仿宋"/>
          <w:color w:val="auto"/>
          <w:sz w:val="24"/>
          <w:szCs w:val="24"/>
          <w:highlight w:val="none"/>
          <w:lang w:val="en-US" w:eastAsia="zh-CN"/>
        </w:rPr>
        <w:t>并报甲方备案</w:t>
      </w:r>
      <w:r>
        <w:rPr>
          <w:rFonts w:hint="eastAsia" w:ascii="仿宋" w:hAnsi="仿宋" w:eastAsia="仿宋" w:cs="仿宋"/>
          <w:color w:val="auto"/>
          <w:sz w:val="24"/>
          <w:szCs w:val="24"/>
          <w:highlight w:val="none"/>
          <w:lang w:val="zh-CN"/>
        </w:rPr>
        <w:t>，从制度上保证“信息采集器”的正常使用。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要按照甲方提供的“信息采集器”设定的工作区域，落实专人使用，并按正点率和全覆盖的要求，在合同签订一个月内提供各工作单位（社区）巡查行径线路。</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八、违约责任</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乙方应当在本合同约定的服务期限起始日前按照本合同、招投标文件及相关文件的规定展开工作</w:t>
      </w:r>
      <w:r>
        <w:rPr>
          <w:rFonts w:hint="eastAsia" w:ascii="仿宋" w:hAnsi="仿宋" w:eastAsia="仿宋" w:cs="仿宋"/>
          <w:color w:val="auto"/>
          <w:sz w:val="24"/>
          <w:szCs w:val="24"/>
          <w:highlight w:val="none"/>
          <w:lang w:val="zh-CN"/>
        </w:rPr>
        <w:t>，乙方</w:t>
      </w:r>
      <w:r>
        <w:rPr>
          <w:rFonts w:hint="eastAsia" w:ascii="仿宋" w:hAnsi="仿宋" w:eastAsia="仿宋" w:cs="仿宋"/>
          <w:color w:val="auto"/>
          <w:sz w:val="24"/>
          <w:szCs w:val="24"/>
          <w:highlight w:val="none"/>
          <w:lang w:val="en-US" w:eastAsia="zh-CN"/>
        </w:rPr>
        <w:t>未能在规定日期展开工作的，</w:t>
      </w:r>
      <w:r>
        <w:rPr>
          <w:rFonts w:hint="eastAsia" w:ascii="仿宋" w:hAnsi="仿宋" w:eastAsia="仿宋" w:cs="仿宋"/>
          <w:color w:val="auto"/>
          <w:sz w:val="24"/>
          <w:szCs w:val="24"/>
          <w:highlight w:val="none"/>
          <w:lang w:val="zh-CN"/>
        </w:rPr>
        <w:t>应当承担违约责任。承担方式和违约金额如下：超期30天内，每天扣合同金额的0.5‰；累计超期30天，甲方有权终止执行合同，并没收履约保证金，</w:t>
      </w:r>
      <w:r>
        <w:rPr>
          <w:rFonts w:hint="eastAsia" w:ascii="仿宋" w:hAnsi="仿宋" w:eastAsia="仿宋" w:cs="仿宋"/>
          <w:color w:val="auto"/>
          <w:sz w:val="24"/>
          <w:szCs w:val="24"/>
          <w:highlight w:val="none"/>
          <w:lang w:val="en-US" w:eastAsia="zh-CN"/>
        </w:rPr>
        <w:t>合同终止不免除乙方根据本款所应承担的违约责任</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因此给甲方造成损失的，乙方还应当赔偿甲方因此所受全部损失。</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2、本合同签订后，任何一方不得随意解除本合同，否则违约方应当承担本合同总金额30%的违约金，因此给对方造成损失的，还应当赔偿对方因此所受全部损失。</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napToGrid/>
          <w:color w:val="auto"/>
          <w:kern w:val="2"/>
          <w:sz w:val="24"/>
          <w:szCs w:val="24"/>
          <w:highlight w:val="none"/>
          <w:lang w:val="en-US" w:eastAsia="zh-CN"/>
        </w:rPr>
        <w:t>因乙方违反本合同相关规定导致甲方解除、终止本合同的，双方按实结算合同价款及违约金、赔偿金、扣款等费用，实行多退少补，结算完成后甲方预付款仍有剩余的，乙方应当在合同解除后7天内将剩余部分预付款退还给甲方，逾期未退还的，乙方应当按照应退未退部分款项的千分之二每日支付逾期违约金。</w:t>
      </w:r>
    </w:p>
    <w:p>
      <w:pPr>
        <w:pStyle w:val="519"/>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九、考核办法</w:t>
      </w:r>
    </w:p>
    <w:tbl>
      <w:tblPr>
        <w:tblStyle w:val="62"/>
        <w:tblpPr w:leftFromText="180" w:rightFromText="180" w:vertAnchor="text" w:horzAnchor="page" w:tblpX="1499" w:tblpY="382"/>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27"/>
        <w:gridCol w:w="456"/>
        <w:gridCol w:w="831"/>
        <w:gridCol w:w="1019"/>
        <w:gridCol w:w="925"/>
        <w:gridCol w:w="993"/>
        <w:gridCol w:w="97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069" w:type="dxa"/>
            <w:gridSpan w:val="9"/>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采集公司考核评价体系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指标大类</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小类</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评价内容</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评价标准</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说明</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相关要求及计扣办法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全面采集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视频巡查</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视频巡查率</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视频巡查数/案卷总数</w:t>
            </w:r>
            <w:r>
              <w:rPr>
                <w:rFonts w:hint="eastAsia" w:ascii="仿宋" w:hAnsi="仿宋" w:eastAsia="仿宋" w:cs="仿宋"/>
                <w:color w:val="auto"/>
                <w:kern w:val="0"/>
                <w:sz w:val="24"/>
                <w:szCs w:val="24"/>
                <w:highlight w:val="none"/>
              </w:rPr>
              <w:t>）×100％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不少于</w:t>
            </w:r>
            <w:r>
              <w:rPr>
                <w:rFonts w:hint="eastAsia" w:ascii="仿宋" w:hAnsi="仿宋" w:eastAsia="仿宋" w:cs="仿宋"/>
                <w:color w:val="auto"/>
                <w:kern w:val="0"/>
                <w:sz w:val="24"/>
                <w:szCs w:val="24"/>
                <w:highlight w:val="none"/>
                <w:lang w:val="en-US" w:eastAsia="zh-CN"/>
              </w:rPr>
              <w:t>8%，每少1%扣1000元。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3" w:type="dxa"/>
            <w:vMerge w:val="continue"/>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美丽杭州</w:t>
            </w:r>
            <w:r>
              <w:rPr>
                <w:rFonts w:hint="eastAsia" w:ascii="仿宋" w:hAnsi="仿宋" w:eastAsia="仿宋" w:cs="仿宋"/>
                <w:color w:val="auto"/>
                <w:kern w:val="0"/>
                <w:sz w:val="24"/>
                <w:szCs w:val="24"/>
                <w:highlight w:val="none"/>
              </w:rPr>
              <w:t>漏报率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漏报率＝（漏报数/校核基数）×100％，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839" w:type="dxa"/>
            <w:noWrap w:val="0"/>
            <w:vAlign w:val="top"/>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w:t>
            </w:r>
            <w:r>
              <w:rPr>
                <w:rFonts w:hint="eastAsia" w:ascii="仿宋" w:hAnsi="仿宋" w:eastAsia="仿宋" w:cs="仿宋"/>
                <w:color w:val="auto"/>
                <w:kern w:val="0"/>
                <w:sz w:val="24"/>
                <w:szCs w:val="24"/>
                <w:highlight w:val="none"/>
                <w:lang w:eastAsia="zh-CN"/>
              </w:rPr>
              <w:t>根据每周考核情况，</w:t>
            </w:r>
            <w:r>
              <w:rPr>
                <w:rFonts w:hint="eastAsia" w:ascii="仿宋" w:hAnsi="仿宋" w:eastAsia="仿宋" w:cs="仿宋"/>
                <w:color w:val="auto"/>
                <w:kern w:val="0"/>
                <w:sz w:val="24"/>
                <w:szCs w:val="24"/>
                <w:highlight w:val="none"/>
                <w:lang w:val="en-US" w:eastAsia="zh-CN"/>
              </w:rPr>
              <w:t>漏报率低于（含）50%的不扣。检查漏报率在50%～70%（含）的，每上升1%扣200元；检查漏报率在70%以上的，每上升1%扣400元。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漏报件</w:t>
            </w: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区级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检查</w:t>
            </w:r>
          </w:p>
        </w:tc>
        <w:tc>
          <w:tcPr>
            <w:tcW w:w="925"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等重大漏报并经确认的</w:t>
            </w: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此项按件计扣，不纳入漏报率评价</w:t>
            </w:r>
          </w:p>
        </w:tc>
        <w:tc>
          <w:tcPr>
            <w:tcW w:w="2839"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工作区域内所有事部件问题应在第一时间内上报，因不及时上报而构成漏报事实，将按以下标准计扣：由各科室、中队巡查、社区反映校核确认为的漏报，每件扣500元；领导督查、行业监管部门检查校核后确认的漏报，每件扣2000</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被上级主管部门检查校核后确认的漏报，每件扣2000元.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热线投诉、媒体漏报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普查、应急保障</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类别覆盖率=（实际覆盖事、部件类别数/事、部件类别总数）×100％，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公正采集。应严格按事、部件标准实行“全视野”采集。采集中出现明显缺项且无正当理由的，以80%为基数，每下降1%扣1000元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以80%为基数，每下降1%扣1000元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准确上报</w:t>
            </w:r>
          </w:p>
        </w:tc>
        <w:tc>
          <w:tcPr>
            <w:tcW w:w="831"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差错件</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采集差错、举手之劳等不立案案卷</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按件计扣，</w:t>
            </w:r>
            <w:r>
              <w:rPr>
                <w:rFonts w:hint="eastAsia" w:ascii="仿宋" w:hAnsi="仿宋" w:eastAsia="仿宋" w:cs="仿宋"/>
                <w:color w:val="auto"/>
                <w:kern w:val="0"/>
                <w:sz w:val="24"/>
                <w:szCs w:val="24"/>
                <w:highlight w:val="none"/>
                <w:lang w:eastAsia="zh-CN"/>
              </w:rPr>
              <w:t>纳入被市级考核的</w:t>
            </w:r>
            <w:r>
              <w:rPr>
                <w:rFonts w:hint="eastAsia" w:ascii="仿宋" w:hAnsi="仿宋" w:eastAsia="仿宋" w:cs="仿宋"/>
                <w:color w:val="auto"/>
                <w:kern w:val="0"/>
                <w:sz w:val="24"/>
                <w:szCs w:val="24"/>
                <w:highlight w:val="none"/>
              </w:rPr>
              <w:t>每件扣1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及时回复</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核查及时下发率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核查回复率＝(核查及时下发数/核查发出数)×100％</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被上级主管部门扣分每件扣2000元。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核查及时回复率＝(核查及时回复次数/核查回复数)×100％，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603" w:type="dxa"/>
            <w:vMerge w:val="restart"/>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指数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人员配置</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人，晚上</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-次日早上</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0值班人员不少于1人，值班车辆不少于1辆</w:t>
            </w:r>
            <w:r>
              <w:rPr>
                <w:rFonts w:hint="eastAsia" w:ascii="仿宋" w:hAnsi="仿宋" w:eastAsia="仿宋" w:cs="仿宋"/>
                <w:color w:val="auto"/>
                <w:kern w:val="0"/>
                <w:sz w:val="24"/>
                <w:szCs w:val="24"/>
                <w:highlight w:val="none"/>
              </w:rPr>
              <w:t>；每少1人</w:t>
            </w:r>
            <w:r>
              <w:rPr>
                <w:rFonts w:hint="eastAsia" w:ascii="仿宋" w:hAnsi="仿宋" w:eastAsia="仿宋" w:cs="仿宋"/>
                <w:color w:val="auto"/>
                <w:kern w:val="0"/>
                <w:sz w:val="24"/>
                <w:szCs w:val="24"/>
                <w:highlight w:val="none"/>
                <w:lang w:val="en-US" w:eastAsia="zh-CN"/>
              </w:rPr>
              <w:t>/辆</w:t>
            </w:r>
            <w:r>
              <w:rPr>
                <w:rFonts w:hint="eastAsia" w:ascii="仿宋" w:hAnsi="仿宋" w:eastAsia="仿宋" w:cs="仿宋"/>
                <w:color w:val="auto"/>
                <w:kern w:val="0"/>
                <w:sz w:val="24"/>
                <w:szCs w:val="24"/>
                <w:highlight w:val="none"/>
              </w:rPr>
              <w:t>扣2000元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采集员和管理员达不到甲方工作要求5个工作日内需落实替换人员，逾期每超过1个工作日扣500元。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额定人数为合同约定人数，用工应符合劳动法相关规定。</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应足额配备一定素质的采集员。采集员队伍基本素质要求：采集员必须具备高中以上学历，</w:t>
            </w:r>
            <w:r>
              <w:rPr>
                <w:rFonts w:hint="eastAsia" w:ascii="仿宋" w:hAnsi="仿宋" w:eastAsia="仿宋" w:cs="仿宋"/>
                <w:color w:val="auto"/>
                <w:kern w:val="0"/>
                <w:sz w:val="24"/>
                <w:szCs w:val="24"/>
                <w:highlight w:val="none"/>
                <w:lang w:val="en-US" w:eastAsia="zh-CN"/>
              </w:rPr>
              <w:t>管理员必须具备专科及以上学历，</w:t>
            </w:r>
            <w:r>
              <w:rPr>
                <w:rFonts w:hint="eastAsia" w:ascii="仿宋" w:hAnsi="仿宋" w:eastAsia="仿宋" w:cs="仿宋"/>
                <w:color w:val="auto"/>
                <w:kern w:val="0"/>
                <w:sz w:val="24"/>
                <w:szCs w:val="24"/>
                <w:highlight w:val="none"/>
              </w:rPr>
              <w:t>身体健康，具有较强责任心和事业心，年龄不超过法定退休年龄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管理员还需具有1年以上信息采集项目经验</w:t>
            </w:r>
            <w:r>
              <w:rPr>
                <w:rFonts w:hint="eastAsia" w:ascii="仿宋" w:hAnsi="仿宋" w:eastAsia="仿宋" w:cs="仿宋"/>
                <w:color w:val="auto"/>
                <w:kern w:val="0"/>
                <w:sz w:val="24"/>
                <w:szCs w:val="24"/>
                <w:highlight w:val="none"/>
              </w:rPr>
              <w:t>；采集员和管理员达不到甲方工作要求5个工作日内需落实替换人员。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留用应开除人员，每发生1人次扣2000元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管理。如管理层（含区域经理、项目经理及管理员等公司管理层）如需变更或暂离岗位的，中标人应提前一周以书面形式告知甲方并做好工作对接，且暂离不得超过10日。城管系统内违纪（规）被开除的人员，中标人不得录用从事信息采集相关工作，如采集员因违纪（规）被中标单位开除，该中标单位应自开除之日起3天内书面告知甲方。员工流动导致人员不足的，中标人应于员工离职之日起1天内书面告知甲方，并于15日内落实新晋人员（含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录用违规人员，每发生1人次扣5000元</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队伍稳定</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管理层擅自变更，每发生1人次扣5000元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采集公司管理层擅离或暂离超过10天,每发生1人次扣5000元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员工流动比例以6%为基数，每增加1%扣1000元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公司内部矛盾激化，员工到公司以外寻求解决办法，造成较大影响，每发生1人次扣5000元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过程控制</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制度建设</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有明确的信息采集质量管理目标、管理制度、工作程序、工作记录、人员管控和考核检查奖惩办法等，每缺1项，扣2000元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default"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现场管控</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未足额上岗、员工迟到、早退、溜岗等行为等同人员配置不到位，每少1人次扣2000元。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应按要求在不同时间段安排足额员工</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未持证上岗，每人次扣100元。</w:t>
            </w:r>
          </w:p>
        </w:tc>
        <w:tc>
          <w:tcPr>
            <w:tcW w:w="976"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采集员必须持证上岗，未经培训取得上岗资格或未持证不得从事采集工作。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巡查全覆盖：正常采集时间段内主要道路</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上下午各巡查不少于2次</w:t>
            </w:r>
            <w:r>
              <w:rPr>
                <w:rFonts w:hint="eastAsia" w:ascii="仿宋" w:hAnsi="仿宋" w:eastAsia="仿宋" w:cs="仿宋"/>
                <w:color w:val="auto"/>
                <w:kern w:val="0"/>
                <w:sz w:val="24"/>
                <w:szCs w:val="24"/>
                <w:highlight w:val="none"/>
                <w:lang w:eastAsia="zh-CN"/>
              </w:rPr>
              <w:t>（其中徒步巡查一天不少于一次）</w:t>
            </w:r>
            <w:r>
              <w:rPr>
                <w:rFonts w:hint="eastAsia" w:ascii="仿宋" w:hAnsi="仿宋" w:eastAsia="仿宋" w:cs="仿宋"/>
                <w:color w:val="auto"/>
                <w:kern w:val="0"/>
                <w:sz w:val="24"/>
                <w:szCs w:val="24"/>
                <w:highlight w:val="none"/>
              </w:rPr>
              <w:t>，次要道路</w:t>
            </w:r>
            <w:r>
              <w:rPr>
                <w:rFonts w:hint="eastAsia" w:ascii="仿宋" w:hAnsi="仿宋" w:eastAsia="仿宋" w:cs="仿宋"/>
                <w:color w:val="auto"/>
                <w:kern w:val="0"/>
                <w:sz w:val="24"/>
                <w:szCs w:val="24"/>
                <w:highlight w:val="none"/>
                <w:lang w:eastAsia="zh-CN"/>
              </w:rPr>
              <w:t>，背街小巷</w:t>
            </w:r>
            <w:r>
              <w:rPr>
                <w:rFonts w:hint="eastAsia" w:ascii="仿宋" w:hAnsi="仿宋" w:eastAsia="仿宋" w:cs="仿宋"/>
                <w:color w:val="auto"/>
                <w:kern w:val="0"/>
                <w:sz w:val="24"/>
                <w:szCs w:val="24"/>
                <w:highlight w:val="none"/>
              </w:rPr>
              <w:t>和其他道路上下午各巡查不少于1次</w:t>
            </w:r>
            <w:r>
              <w:rPr>
                <w:rFonts w:hint="eastAsia" w:ascii="仿宋" w:hAnsi="仿宋" w:eastAsia="仿宋" w:cs="仿宋"/>
                <w:color w:val="auto"/>
                <w:kern w:val="0"/>
                <w:sz w:val="24"/>
                <w:szCs w:val="24"/>
                <w:highlight w:val="none"/>
                <w:lang w:eastAsia="zh-CN"/>
              </w:rPr>
              <w:t>（徒步巡查每两天不少于</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。非正常采集时间段内全覆盖巡查不少于1次。</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不达要求每人次扣500元。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人员素质合格</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不合格人员5个工作日内整改完毕，逾期仍不合格或不整改每人次扣2000元。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异地采集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定区采集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每两月月末3个工作日内上报采集员三定表，逾期未上报每发生1次扣1000元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采集员管理、配置需符合“三定表”要求，每两月月末3个工作日内上报三定表。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指令执行</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重要普查或应急保障等执行应无条件服从</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在规定时间内完成普查任务，每次扣1000元。如遇防汛、抗雪、防灾或重大活动和重点区域保障需延长采集巡查时间，或需进行专项普查的，中标人应无条件服从。如出现不执行或执行不到位的，每次视情扣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规范使用</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工作时间内未开启或未按要求正常使用采集器的GPS功能、擅自修改配置或挪作他用的，每发生1次扣200元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人须在签订合同后五日内，足数领取“信息采集器”，合同终结时，中标人须如数将“信息采集器”返还，每少一部按照采集器采购合同价95％的比例赔偿。使用过程中要做好信息采集设备（手机）的管理，保证功能的正常发挥。如遗失将按手机实际购买价95％</w:t>
            </w:r>
            <w:r>
              <w:rPr>
                <w:rFonts w:hint="eastAsia" w:ascii="仿宋" w:hAnsi="仿宋" w:eastAsia="仿宋" w:cs="仿宋"/>
                <w:color w:val="auto"/>
                <w:kern w:val="0"/>
                <w:sz w:val="24"/>
                <w:szCs w:val="24"/>
                <w:highlight w:val="none"/>
                <w:lang w:eastAsia="zh-CN"/>
              </w:rPr>
              <w:t>的比例</w:t>
            </w:r>
            <w:r>
              <w:rPr>
                <w:rFonts w:hint="eastAsia" w:ascii="仿宋" w:hAnsi="仿宋" w:eastAsia="仿宋" w:cs="仿宋"/>
                <w:color w:val="auto"/>
                <w:kern w:val="0"/>
                <w:sz w:val="24"/>
                <w:szCs w:val="24"/>
                <w:highlight w:val="none"/>
              </w:rPr>
              <w:t>赔偿，如因使用、管理不当造成手机硬件损坏或数据丢失的，应交甲方指定维护部门统一修理，非“三包”范围产生的费用由中标单位自理。严禁私自拆解、人为损坏、私自送修、擅自修改配置、挪作他用（游戏、影音、换卡打私人电话）等。因违规使用、不及时报修导致采集器无法正常工作的，责任由中标人承担；采集员在工作时间内必须开启采集器G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规范维护</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将采集器私自拆解、人为损坏、私自到非正规维修点送修等，每发生1次扣200元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诚信指数</w:t>
            </w: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诚信管理</w:t>
            </w: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职业道德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吃拿卡要行为，每发生1次扣1000-5000元</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严禁条款。杜绝“吃、拿、卡、要”行为，杜绝虚假信息，杜绝有责纠纷，如有上述情况一经查实，每次视情扣款，第三次发生（含）上述情况，甲方有权</w:t>
            </w:r>
            <w:r>
              <w:rPr>
                <w:rFonts w:hint="eastAsia" w:ascii="仿宋" w:hAnsi="仿宋" w:eastAsia="仿宋" w:cs="仿宋"/>
                <w:color w:val="auto"/>
                <w:kern w:val="0"/>
                <w:sz w:val="24"/>
                <w:szCs w:val="24"/>
                <w:highlight w:val="none"/>
                <w:lang w:val="en-US" w:eastAsia="zh-CN"/>
              </w:rPr>
              <w:t>终</w:t>
            </w:r>
            <w:r>
              <w:rPr>
                <w:rFonts w:hint="eastAsia" w:ascii="仿宋" w:hAnsi="仿宋" w:eastAsia="仿宋" w:cs="仿宋"/>
                <w:color w:val="auto"/>
                <w:kern w:val="0"/>
                <w:sz w:val="24"/>
                <w:szCs w:val="24"/>
                <w:highlight w:val="none"/>
              </w:rPr>
              <w:t>止合同，没收履约保证金，同时取消中标人下一轮信息采集投标资格。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上传虚假信息，每发生1次扣2000元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无资格顶岗</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欺瞒采集员信息、违规使用无上岗资格人员的，每发生1人次扣2000元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队伍形象</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投诉核实</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发生</w:t>
            </w:r>
            <w:r>
              <w:rPr>
                <w:rFonts w:hint="eastAsia" w:ascii="仿宋" w:hAnsi="仿宋" w:eastAsia="仿宋" w:cs="仿宋"/>
                <w:color w:val="auto"/>
                <w:kern w:val="0"/>
                <w:sz w:val="24"/>
                <w:szCs w:val="24"/>
                <w:highlight w:val="none"/>
              </w:rPr>
              <w:t>有责投诉</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有责投诉，每发生1次扣3000元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社会评价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负面评价</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受到公众和新闻媒体负面评价，每次扣5000元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文明经营</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依法用工</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公平竞争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公司采取不正当竞争手段，影响采集市场正常运行的，每发生1次扣5000元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若出现不正当竞争行为、影响恶劣的甲方有权终止合同，没收履约保证金，并取消中标人下一轮信息采集投标资格。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宣传</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宣传</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宣传</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及时上报宣传报道任务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pageBreakBefore w:val="0"/>
              <w:kinsoku/>
              <w:wordWrap/>
              <w:overflowPunct/>
              <w:topLinePunct w:val="0"/>
              <w:bidi w:val="0"/>
              <w:spacing w:line="36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每月至少被区局、市局各录用1篇，未完成任务区级扣500元，市级扣1000元；每多录用1篇，区级奖励100元/篇，市级奖励300元/篇。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荣誉</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参加年度数字城管信息采集大比武或工作表现出色等被上级部门表扬</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keepNext/>
              <w:keepLines/>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年度比武获得荣誉，单项三等奖奖励500元，二等奖奖励1000元，一等奖奖励2000元。被区级表扬奖励500元/次；市级及以上表扬奖励1000元/次。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317" w:type="dxa"/>
            <w:gridSpan w:val="4"/>
            <w:noWrap w:val="0"/>
            <w:vAlign w:val="center"/>
          </w:tcPr>
          <w:p>
            <w:pPr>
              <w:pageBreakBefore w:val="0"/>
              <w:widowControl/>
              <w:kinsoku/>
              <w:wordWrap/>
              <w:overflowPunct/>
              <w:topLinePunct w:val="0"/>
              <w:bidi w:val="0"/>
              <w:adjustRightInd w:val="0"/>
              <w:snapToGrid w:val="0"/>
              <w:spacing w:line="360" w:lineRule="auto"/>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rPr>
              <w:t>评价</w:t>
            </w:r>
          </w:p>
        </w:tc>
        <w:tc>
          <w:tcPr>
            <w:tcW w:w="6752" w:type="dxa"/>
            <w:gridSpan w:val="5"/>
            <w:noWrap w:val="0"/>
            <w:vAlign w:val="center"/>
          </w:tcPr>
          <w:p>
            <w:pPr>
              <w:keepNext/>
              <w:keepLines/>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实行打分制。考核每扣1000元折合扣1分，按月考核（满分100分）；第一年度评分为第一年度前11个月评分加权平均数，评分达90分及以上视为合格，同意签订第二年度合同。</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、其他约定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、在甲方组织的对乙方的评价中，如出现连续两次或累计三次不合格的，乙方必须更换项目经理。在此之后如再次出现评价不合格的情况，必须由乙方法人代表或总经理出任项目经理直至</w:t>
      </w:r>
      <w:r>
        <w:rPr>
          <w:rFonts w:hint="eastAsia" w:ascii="仿宋" w:hAnsi="仿宋" w:eastAsia="仿宋" w:cs="仿宋"/>
          <w:color w:val="auto"/>
          <w:sz w:val="24"/>
          <w:szCs w:val="24"/>
          <w:highlight w:val="none"/>
          <w:lang w:val="en-US" w:eastAsia="zh-CN"/>
        </w:rPr>
        <w:t>服务期限</w:t>
      </w:r>
      <w:r>
        <w:rPr>
          <w:rFonts w:hint="eastAsia" w:ascii="仿宋" w:hAnsi="仿宋" w:eastAsia="仿宋" w:cs="仿宋"/>
          <w:color w:val="auto"/>
          <w:sz w:val="24"/>
          <w:szCs w:val="24"/>
          <w:highlight w:val="none"/>
          <w:lang w:val="zh-CN"/>
        </w:rPr>
        <w:t>结束</w:t>
      </w:r>
      <w:r>
        <w:rPr>
          <w:rFonts w:hint="eastAsia" w:ascii="仿宋" w:hAnsi="仿宋" w:eastAsia="仿宋" w:cs="仿宋"/>
          <w:color w:val="auto"/>
          <w:sz w:val="24"/>
          <w:szCs w:val="24"/>
          <w:highlight w:val="none"/>
          <w:lang w:val="en-US" w:eastAsia="zh-CN"/>
        </w:rPr>
        <w:t>并经甲方履约验收合格</w:t>
      </w:r>
      <w:r>
        <w:rPr>
          <w:rFonts w:hint="eastAsia" w:ascii="仿宋" w:hAnsi="仿宋" w:eastAsia="仿宋" w:cs="仿宋"/>
          <w:color w:val="auto"/>
          <w:sz w:val="24"/>
          <w:szCs w:val="24"/>
          <w:highlight w:val="none"/>
          <w:lang w:val="zh-CN"/>
        </w:rPr>
        <w:t>。如乙方拒不执行，甲方有权终止合同，</w:t>
      </w:r>
      <w:r>
        <w:rPr>
          <w:rFonts w:hint="eastAsia" w:ascii="仿宋" w:hAnsi="仿宋" w:eastAsia="仿宋" w:cs="仿宋"/>
          <w:color w:val="auto"/>
          <w:sz w:val="24"/>
          <w:szCs w:val="24"/>
          <w:highlight w:val="none"/>
          <w:lang w:val="en-US" w:eastAsia="zh-CN"/>
        </w:rPr>
        <w:t>并要求乙方承担本合同总价【】%的违约金</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、在项目实施过程中该数据的成果由甲方与乙方双方共享，未经对方</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lang w:val="zh-CN"/>
        </w:rPr>
        <w:t>同意，不得擅自扩散或提供给第三方使用，</w:t>
      </w:r>
      <w:r>
        <w:rPr>
          <w:rFonts w:hint="eastAsia" w:ascii="仿宋" w:hAnsi="仿宋" w:eastAsia="仿宋" w:cs="仿宋"/>
          <w:color w:val="auto"/>
          <w:sz w:val="24"/>
          <w:szCs w:val="24"/>
          <w:highlight w:val="none"/>
          <w:lang w:val="en-US" w:eastAsia="zh-CN"/>
        </w:rPr>
        <w:t>也不得用于除本合同以外的用途</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本合同服务期结束后，</w:t>
      </w:r>
      <w:r>
        <w:rPr>
          <w:rFonts w:hint="eastAsia" w:ascii="仿宋" w:hAnsi="仿宋" w:eastAsia="仿宋" w:cs="仿宋"/>
          <w:color w:val="auto"/>
          <w:sz w:val="24"/>
          <w:szCs w:val="24"/>
          <w:highlight w:val="none"/>
          <w:lang w:val="zh-CN"/>
        </w:rPr>
        <w:t>该数据的成果最终所有权归甲方所有，</w:t>
      </w:r>
      <w:r>
        <w:rPr>
          <w:rFonts w:hint="eastAsia" w:ascii="仿宋" w:hAnsi="仿宋" w:eastAsia="仿宋" w:cs="仿宋"/>
          <w:color w:val="auto"/>
          <w:sz w:val="24"/>
          <w:szCs w:val="24"/>
          <w:highlight w:val="none"/>
          <w:lang w:val="en-US" w:eastAsia="zh-CN"/>
        </w:rPr>
        <w:t>未经甲方书面同意，乙方不得</w:t>
      </w:r>
      <w:r>
        <w:rPr>
          <w:rFonts w:hint="eastAsia" w:ascii="仿宋" w:hAnsi="仿宋" w:eastAsia="仿宋" w:cs="仿宋"/>
          <w:color w:val="auto"/>
          <w:sz w:val="24"/>
          <w:szCs w:val="24"/>
          <w:highlight w:val="none"/>
          <w:lang w:val="zh-CN"/>
        </w:rPr>
        <w:t>擅自扩散或提供给第三方使用，</w:t>
      </w:r>
      <w:r>
        <w:rPr>
          <w:rFonts w:hint="eastAsia" w:ascii="仿宋" w:hAnsi="仿宋" w:eastAsia="仿宋" w:cs="仿宋"/>
          <w:color w:val="auto"/>
          <w:sz w:val="24"/>
          <w:szCs w:val="24"/>
          <w:highlight w:val="none"/>
          <w:lang w:val="en-US" w:eastAsia="zh-CN"/>
        </w:rPr>
        <w:t>也不得将</w:t>
      </w:r>
      <w:r>
        <w:rPr>
          <w:rFonts w:hint="eastAsia" w:ascii="仿宋" w:hAnsi="仿宋" w:eastAsia="仿宋" w:cs="仿宋"/>
          <w:color w:val="auto"/>
          <w:sz w:val="24"/>
          <w:szCs w:val="24"/>
          <w:highlight w:val="none"/>
          <w:lang w:val="zh-CN"/>
        </w:rPr>
        <w:t>该数据的成果</w:t>
      </w:r>
      <w:r>
        <w:rPr>
          <w:rFonts w:hint="eastAsia" w:ascii="仿宋" w:hAnsi="仿宋" w:eastAsia="仿宋" w:cs="仿宋"/>
          <w:color w:val="auto"/>
          <w:sz w:val="24"/>
          <w:szCs w:val="24"/>
          <w:highlight w:val="none"/>
          <w:lang w:val="en-US" w:eastAsia="zh-CN"/>
        </w:rPr>
        <w:t>用于除本合同以外的用途。乙方基于本款所应承担的义务不因本合同终止、解除或无效等原因而失效，乙方应承担该义务直至甲方书面通知解除。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、乙方应遵守甲方相关规章、制度等，乙方对在合同履行期间所获得的甲方的情报和资料有保密义务，泄漏秘密应承担的责任。不论本合同是否变更、解除、终止，本条款均有效。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转让和分包：未经甲方事先书面同意，乙方不得部分转让或全部转让其应履行的合同义务，否则甲方有权终止合同、</w:t>
      </w:r>
      <w:r>
        <w:rPr>
          <w:rFonts w:hint="eastAsia" w:ascii="仿宋" w:hAnsi="仿宋" w:eastAsia="仿宋" w:cs="仿宋"/>
          <w:color w:val="auto"/>
          <w:sz w:val="24"/>
          <w:szCs w:val="24"/>
          <w:highlight w:val="none"/>
          <w:lang w:val="en-US" w:eastAsia="zh-CN"/>
        </w:rPr>
        <w:t>要求乙方承担本合同总金额【】%的违约金并</w:t>
      </w:r>
      <w:r>
        <w:rPr>
          <w:rFonts w:hint="eastAsia" w:ascii="仿宋" w:hAnsi="仿宋" w:eastAsia="仿宋" w:cs="仿宋"/>
          <w:snapToGrid w:val="0"/>
          <w:color w:val="auto"/>
          <w:kern w:val="0"/>
          <w:sz w:val="24"/>
          <w:szCs w:val="24"/>
          <w:highlight w:val="none"/>
        </w:rPr>
        <w:t>取消其下一轮信息采集投标资格</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由此</w:t>
      </w:r>
      <w:r>
        <w:rPr>
          <w:rFonts w:hint="eastAsia" w:ascii="仿宋" w:hAnsi="仿宋" w:eastAsia="仿宋" w:cs="仿宋"/>
          <w:color w:val="auto"/>
          <w:sz w:val="24"/>
          <w:szCs w:val="24"/>
          <w:highlight w:val="none"/>
          <w:lang w:val="zh-CN"/>
        </w:rPr>
        <w:t>引起的一切损失由乙方负责。</w:t>
      </w:r>
    </w:p>
    <w:p>
      <w:pPr>
        <w:keepNext w:val="0"/>
        <w:keepLines w:val="0"/>
        <w:autoSpaceDE w:val="0"/>
        <w:autoSpaceDN w:val="0"/>
        <w:snapToGrid w:val="0"/>
        <w:spacing w:line="360" w:lineRule="auto"/>
        <w:ind w:firstLine="480" w:firstLineChars="200"/>
        <w:rPr>
          <w:rFonts w:hint="eastAsia" w:ascii="仿宋" w:hAnsi="仿宋" w:eastAsia="仿宋" w:cs="仿宋"/>
          <w:bCs w:val="0"/>
          <w:color w:val="auto"/>
          <w:sz w:val="24"/>
          <w:szCs w:val="24"/>
          <w:highlight w:val="none"/>
          <w:lang w:val="zh-CN" w:eastAsia="zh-CN"/>
        </w:rPr>
      </w:pPr>
      <w:r>
        <w:rPr>
          <w:rFonts w:hint="eastAsia" w:ascii="仿宋" w:hAnsi="仿宋" w:eastAsia="仿宋" w:cs="仿宋"/>
          <w:color w:val="auto"/>
          <w:sz w:val="24"/>
          <w:szCs w:val="24"/>
          <w:highlight w:val="none"/>
          <w:lang w:val="zh-CN" w:eastAsia="zh-CN"/>
        </w:rPr>
        <w:t>5、乙方</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lang w:val="zh-CN"/>
        </w:rPr>
        <w:t>按照投标文件的承诺，完成信息采集队伍的招募、培训等前期工作</w:t>
      </w:r>
      <w:r>
        <w:rPr>
          <w:rFonts w:hint="eastAsia" w:ascii="仿宋" w:hAnsi="仿宋" w:eastAsia="仿宋" w:cs="仿宋"/>
          <w:color w:val="auto"/>
          <w:sz w:val="24"/>
          <w:szCs w:val="24"/>
          <w:highlight w:val="none"/>
          <w:lang w:val="zh-CN" w:eastAsia="zh-CN"/>
        </w:rPr>
        <w:t>，并</w:t>
      </w:r>
      <w:r>
        <w:rPr>
          <w:rFonts w:hint="eastAsia" w:ascii="仿宋" w:hAnsi="仿宋" w:eastAsia="仿宋" w:cs="仿宋"/>
          <w:bCs w:val="0"/>
          <w:color w:val="auto"/>
          <w:sz w:val="24"/>
          <w:szCs w:val="24"/>
          <w:highlight w:val="none"/>
          <w:lang w:val="zh-CN"/>
        </w:rPr>
        <w:t>根据采购需求设定采集员以及信息采集器的工作区域，向采购人提供各信息采集员</w:t>
      </w:r>
      <w:r>
        <w:rPr>
          <w:rFonts w:hint="eastAsia" w:ascii="仿宋" w:hAnsi="仿宋" w:eastAsia="仿宋" w:cs="仿宋"/>
          <w:bCs w:val="0"/>
          <w:color w:val="auto"/>
          <w:sz w:val="24"/>
          <w:szCs w:val="24"/>
          <w:highlight w:val="none"/>
          <w:lang w:val="zh-CN" w:eastAsia="zh-CN"/>
        </w:rPr>
        <w:t>信息及</w:t>
      </w:r>
      <w:r>
        <w:rPr>
          <w:rFonts w:hint="eastAsia" w:ascii="仿宋" w:hAnsi="仿宋" w:eastAsia="仿宋" w:cs="仿宋"/>
          <w:bCs w:val="0"/>
          <w:color w:val="auto"/>
          <w:sz w:val="24"/>
          <w:szCs w:val="24"/>
          <w:highlight w:val="none"/>
          <w:lang w:val="zh-CN"/>
        </w:rPr>
        <w:t>巡查线路</w:t>
      </w:r>
      <w:r>
        <w:rPr>
          <w:rFonts w:hint="eastAsia" w:ascii="仿宋" w:hAnsi="仿宋" w:eastAsia="仿宋" w:cs="仿宋"/>
          <w:bCs w:val="0"/>
          <w:color w:val="auto"/>
          <w:sz w:val="24"/>
          <w:szCs w:val="24"/>
          <w:highlight w:val="none"/>
          <w:lang w:val="zh-CN" w:eastAsia="zh-CN"/>
        </w:rPr>
        <w:t>。</w:t>
      </w:r>
    </w:p>
    <w:p>
      <w:pPr>
        <w:autoSpaceDE w:val="0"/>
        <w:autoSpaceDN w:val="0"/>
        <w:snapToGrid w:val="0"/>
        <w:spacing w:line="360" w:lineRule="auto"/>
        <w:ind w:firstLine="480" w:firstLineChars="200"/>
        <w:rPr>
          <w:rFonts w:hint="eastAsia" w:ascii="仿宋" w:hAnsi="仿宋" w:eastAsia="仿宋" w:cs="仿宋"/>
          <w:bCs w:val="0"/>
          <w:color w:val="auto"/>
          <w:sz w:val="24"/>
          <w:szCs w:val="24"/>
          <w:highlight w:val="none"/>
          <w:lang w:val="zh-CN" w:eastAsia="zh-CN"/>
        </w:rPr>
      </w:pPr>
      <w:r>
        <w:rPr>
          <w:rFonts w:hint="eastAsia" w:ascii="仿宋" w:hAnsi="仿宋" w:eastAsia="仿宋" w:cs="仿宋"/>
          <w:bCs w:val="0"/>
          <w:color w:val="auto"/>
          <w:sz w:val="24"/>
          <w:szCs w:val="24"/>
          <w:highlight w:val="none"/>
          <w:lang w:val="zh-CN" w:eastAsia="zh-CN"/>
        </w:rPr>
        <w:t>6、</w:t>
      </w:r>
      <w:r>
        <w:rPr>
          <w:rFonts w:hint="eastAsia" w:ascii="仿宋" w:hAnsi="仿宋" w:eastAsia="仿宋" w:cs="仿宋"/>
          <w:bCs w:val="0"/>
          <w:color w:val="auto"/>
          <w:sz w:val="24"/>
          <w:szCs w:val="24"/>
          <w:highlight w:val="none"/>
          <w:lang w:val="zh-CN"/>
        </w:rPr>
        <w:t>如因数字城管运行实际需要，所产生的相关指标变化，</w:t>
      </w:r>
      <w:r>
        <w:rPr>
          <w:rFonts w:hint="eastAsia" w:ascii="仿宋" w:hAnsi="仿宋" w:eastAsia="仿宋" w:cs="仿宋"/>
          <w:bCs w:val="0"/>
          <w:color w:val="auto"/>
          <w:sz w:val="24"/>
          <w:szCs w:val="24"/>
          <w:highlight w:val="none"/>
          <w:lang w:val="zh-CN" w:eastAsia="zh-CN"/>
        </w:rPr>
        <w:t>乙方</w:t>
      </w:r>
      <w:r>
        <w:rPr>
          <w:rFonts w:hint="eastAsia" w:ascii="仿宋" w:hAnsi="仿宋" w:eastAsia="仿宋" w:cs="仿宋"/>
          <w:bCs w:val="0"/>
          <w:color w:val="auto"/>
          <w:sz w:val="24"/>
          <w:szCs w:val="24"/>
          <w:highlight w:val="none"/>
          <w:lang w:val="zh-CN"/>
        </w:rPr>
        <w:t>必须无条件接受</w:t>
      </w:r>
      <w:r>
        <w:rPr>
          <w:rFonts w:hint="eastAsia" w:ascii="仿宋" w:hAnsi="仿宋" w:eastAsia="仿宋" w:cs="仿宋"/>
          <w:bCs w:val="0"/>
          <w:color w:val="auto"/>
          <w:sz w:val="24"/>
          <w:szCs w:val="24"/>
          <w:highlight w:val="none"/>
          <w:lang w:val="zh-CN" w:eastAsia="zh-CN"/>
        </w:rPr>
        <w:t>。</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snapToGrid/>
          <w:color w:val="auto"/>
          <w:kern w:val="2"/>
          <w:sz w:val="24"/>
          <w:szCs w:val="24"/>
          <w:highlight w:val="none"/>
        </w:rPr>
        <w:t>如上传率（上传有效数据/上传有效数据的定量基数]）连续三个月低于96％，</w:t>
      </w:r>
      <w:r>
        <w:rPr>
          <w:rFonts w:hint="eastAsia" w:ascii="仿宋" w:hAnsi="仿宋" w:eastAsia="仿宋" w:cs="仿宋"/>
          <w:snapToGrid/>
          <w:color w:val="auto"/>
          <w:kern w:val="2"/>
          <w:sz w:val="24"/>
          <w:szCs w:val="24"/>
          <w:highlight w:val="none"/>
          <w:lang w:val="en-US" w:eastAsia="zh-CN"/>
        </w:rPr>
        <w:t>乙方</w:t>
      </w:r>
      <w:r>
        <w:rPr>
          <w:rFonts w:hint="eastAsia" w:ascii="仿宋" w:hAnsi="仿宋" w:eastAsia="仿宋" w:cs="仿宋"/>
          <w:snapToGrid/>
          <w:color w:val="auto"/>
          <w:kern w:val="2"/>
          <w:sz w:val="24"/>
          <w:szCs w:val="24"/>
          <w:highlight w:val="none"/>
        </w:rPr>
        <w:t>应说明原因。如工作时间、人员配备、巡查密度、控制漏报、及时回复、普查保障、严禁条款均未发生计扣情况，其他相关要求执行良好的，上传有效数据基数经讨论后可适做调整。（特殊保障要求，防汛抗雪等期间的人员配备、工作质量应加倍计扣）</w:t>
      </w:r>
      <w:r>
        <w:rPr>
          <w:rFonts w:hint="eastAsia" w:ascii="仿宋" w:hAnsi="仿宋" w:eastAsia="仿宋" w:cs="仿宋"/>
          <w:snapToGrid/>
          <w:color w:val="auto"/>
          <w:kern w:val="2"/>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1、本项目需根据《杭州市政府采购履约验收暂行办法》杭财采监〔2019〕10 号文，进行履约验收，验收合格报告作为项目支付的依据。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①采购文件确定的技术指标或者服务要求；②投标文件承诺、询标回复；③服务合同、甲方制定的考核标准。未进行相应约定的，应当符合国家强制性规定、政策要求、安全标准、行业或企业有关标准等。</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甲方验收不合格的，乙方应当立即进行整改直至符合甲方、本合同及招投标文件的要求，若乙方拒绝整改或整改后仍不符合要求的，甲方有权要求乙方承担本合同总金额【】%的违约金，因此给甲方造成损失的，还应当赔偿甲方因此所受全部损失。</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不可抗力：如果双方中任何一方由于战争、严重火灾、水灾、台风和地震以及其它经双方同意属于不可抗力的事故，致使合同履行受阻时，履行合同的期限应予延长，延长的期限应相当于事故所影响的时间。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3、若双方因不可抗力导致合同难以继续履行而解除或终止本合同的，双方互不因此承担违约责任。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、法律适用与争议解决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种方式解决。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lang w:val="en-US"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、合同生效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1、本合同由甲乙双方签字盖章之日起生效。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2、对本合同的任何修改和补充均应以补充合同的形式作出，由双方签字盖章后生效。本合同的附件、补充合同与本合同具有同等法律效力。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3、本合同部分无效，不影响其他部分效力的，其他部分仍然有效。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4．本合同一式</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份，甲方执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份，乙方执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5．与本合同有关的招标文件、投标文件、询价纪要、澄清回复、补充协议等与本合同同样具有法律效力。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bl>
      <w:tblPr>
        <w:tblStyle w:val="62"/>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甲方（采购单位）（盖章）：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r>
    </w:tbl>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040" w:firstLineChars="2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合同签订时间：    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月  日</w:t>
      </w:r>
      <w:r>
        <w:rPr>
          <w:rFonts w:hint="eastAsia" w:ascii="仿宋" w:hAnsi="仿宋" w:eastAsia="仿宋" w:cs="仿宋"/>
          <w:b/>
          <w:color w:val="auto"/>
          <w:sz w:val="24"/>
          <w:szCs w:val="24"/>
          <w:highlight w:val="none"/>
        </w:rPr>
        <w:t xml:space="preserve"> </w:t>
      </w:r>
    </w:p>
    <w:p>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sectPr>
          <w:footerReference r:id="rId10" w:type="default"/>
          <w:footerReference r:id="rId11" w:type="even"/>
          <w:pgSz w:w="11906" w:h="16838"/>
          <w:pgMar w:top="1588" w:right="1701" w:bottom="1588" w:left="1701" w:header="851" w:footer="992" w:gutter="0"/>
          <w:cols w:space="720" w:num="1"/>
          <w:docGrid w:type="linesAndChars" w:linePitch="380" w:charSpace="0"/>
        </w:sect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9"/>
      <w:r>
        <w:rPr>
          <w:rFonts w:hint="eastAsia" w:ascii="仿宋" w:hAnsi="仿宋" w:eastAsia="仿宋" w:cs="仿宋"/>
          <w:b/>
          <w:color w:val="auto"/>
          <w:sz w:val="36"/>
          <w:szCs w:val="20"/>
          <w:highlight w:val="none"/>
        </w:rPr>
        <w:t xml:space="preserve"> </w:t>
      </w:r>
      <w:bookmarkEnd w:id="420"/>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联合协议（如有）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），联合协议中中小企业合同金额应当达到招标公告载明的比例；如果供应商本身提供所有标的均由中小企业制造或承接的，并相应达到了前述比例要求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），分包意向协议中中小企业合同金额应当达到招标公告载明的比例；如果供应商本身提供所有标的均由中小企业制造或承接，并相应达到了前述比例要求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eastAsia="zh-CN"/>
        </w:rPr>
        <w:t>联合协议</w:t>
      </w:r>
    </w:p>
    <w:p>
      <w:pPr>
        <w:spacing w:line="360" w:lineRule="auto"/>
        <w:jc w:val="center"/>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eastAsia="zh-CN"/>
        </w:rPr>
        <w:t>（联合体投标的需提供，非联合体投标无需提供）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投标标的清单</w:t>
      </w:r>
      <w:r>
        <w:rPr>
          <w:rFonts w:hint="eastAsia" w:cs="仿宋_GB2312"/>
          <w:color w:val="auto"/>
          <w:highlight w:val="none"/>
        </w:rPr>
        <w:t>…………………………………………………………………………（页码）</w:t>
      </w:r>
    </w:p>
    <w:p>
      <w:pPr>
        <w:snapToGrid w:val="0"/>
        <w:spacing w:line="360" w:lineRule="auto"/>
        <w:ind w:left="479" w:leftChars="228"/>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拟派项目团队配备情况表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w:t>
      </w:r>
    </w:p>
    <w:p>
      <w:pPr>
        <w:snapToGrid w:val="0"/>
        <w:spacing w:line="360" w:lineRule="auto"/>
        <w:ind w:left="420" w:leftChars="200"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r>
        <w:rPr>
          <w:rFonts w:hint="eastAsia" w:ascii="仿宋_GB2312" w:hAnsi="仿宋" w:eastAsia="仿宋_GB2312" w:cs="仿宋_GB2312"/>
          <w:color w:val="auto"/>
          <w:sz w:val="24"/>
          <w:highlight w:val="none"/>
          <w:lang w:eastAsia="zh-CN"/>
        </w:rPr>
        <w:t>；</w:t>
      </w:r>
    </w:p>
    <w:p>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2.1.4联合协议</w:t>
      </w:r>
      <w:r>
        <w:rPr>
          <w:rFonts w:hint="eastAsia" w:ascii="仿宋_GB2312" w:hAnsi="仿宋" w:eastAsia="仿宋_GB2312" w:cs="仿宋_GB2312"/>
          <w:color w:val="auto"/>
          <w:sz w:val="24"/>
          <w:highlight w:val="none"/>
        </w:rPr>
        <w:t>（如果有）</w:t>
      </w:r>
      <w:r>
        <w:rPr>
          <w:rFonts w:hint="eastAsia" w:ascii="仿宋_GB2312" w:hAnsi="仿宋" w:eastAsia="仿宋_GB2312" w:cs="仿宋_GB2312"/>
          <w:color w:val="auto"/>
          <w:sz w:val="24"/>
          <w:highlight w:val="none"/>
          <w:lang w:eastAsia="zh-CN"/>
        </w:rPr>
        <w:t>。</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.2.1投标函；</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.2.2授权委托书或法定代表人（单位负责人、自然人本人）身份证明；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分包意向协议（如有）；</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rPr>
        <w:t>符合性审查资料；</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rPr>
        <w:t>评标标准相应的商务技术资料；</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pPr>
        <w:snapToGrid w:val="0"/>
        <w:spacing w:line="360" w:lineRule="auto"/>
        <w:ind w:firstLine="960" w:firstLineChars="4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拟派项目团队配备情况表</w:t>
      </w:r>
      <w:r>
        <w:rPr>
          <w:rFonts w:hint="eastAsia" w:ascii="仿宋_GB2312" w:hAnsi="仿宋" w:eastAsia="仿宋_GB2312" w:cs="仿宋_GB2312"/>
          <w:color w:val="auto"/>
          <w:sz w:val="24"/>
          <w:highlight w:val="none"/>
          <w:lang w:eastAsia="zh-CN"/>
        </w:rPr>
        <w:t>；</w:t>
      </w:r>
    </w:p>
    <w:p>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rPr>
        <w:t>商务技术偏离表；</w:t>
      </w:r>
    </w:p>
    <w:p>
      <w:pPr>
        <w:snapToGrid w:val="0"/>
        <w:spacing w:line="360" w:lineRule="auto"/>
        <w:ind w:firstLine="960" w:firstLineChars="4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7"/>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6"/>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color w:val="auto"/>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、评标标准相应的商务技术资料</w:t>
      </w:r>
    </w:p>
    <w:p>
      <w:pPr>
        <w:pStyle w:val="2"/>
        <w:rPr>
          <w:color w:val="auto"/>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numPr>
          <w:ilvl w:val="0"/>
          <w:numId w:val="0"/>
        </w:numPr>
        <w:jc w:val="center"/>
        <w:rPr>
          <w:rFonts w:hint="eastAsia" w:ascii="宋体" w:hAnsi="宋体" w:cs="宋体"/>
          <w:b/>
          <w:color w:val="auto"/>
          <w:kern w:val="0"/>
          <w:sz w:val="32"/>
          <w:szCs w:val="32"/>
          <w:highlight w:val="none"/>
          <w:lang w:eastAsia="zh-CN"/>
        </w:rPr>
      </w:pPr>
    </w:p>
    <w:p>
      <w:pPr>
        <w:numPr>
          <w:ilvl w:val="0"/>
          <w:numId w:val="0"/>
        </w:numPr>
        <w:jc w:val="center"/>
        <w:rPr>
          <w:rFonts w:hint="eastAsia" w:ascii="宋体" w:hAnsi="宋体" w:cs="宋体"/>
          <w:b/>
          <w:color w:val="auto"/>
          <w:kern w:val="0"/>
          <w:sz w:val="32"/>
          <w:szCs w:val="32"/>
          <w:highlight w:val="none"/>
          <w:lang w:eastAsia="zh-CN"/>
        </w:rPr>
      </w:pPr>
    </w:p>
    <w:p>
      <w:pPr>
        <w:numPr>
          <w:ilvl w:val="0"/>
          <w:numId w:val="0"/>
        </w:numPr>
        <w:jc w:val="center"/>
        <w:rPr>
          <w:rFonts w:hint="eastAsia" w:ascii="宋体" w:hAnsi="宋体" w:cs="宋体"/>
          <w:b/>
          <w:color w:val="auto"/>
          <w:kern w:val="0"/>
          <w:sz w:val="32"/>
          <w:szCs w:val="32"/>
          <w:highlight w:val="none"/>
          <w:lang w:eastAsia="zh-CN"/>
        </w:rPr>
      </w:pPr>
    </w:p>
    <w:p>
      <w:pPr>
        <w:numPr>
          <w:ilvl w:val="0"/>
          <w:numId w:val="0"/>
        </w:numPr>
        <w:jc w:val="center"/>
        <w:rPr>
          <w:rFonts w:hint="eastAsia" w:ascii="宋体" w:hAnsi="宋体" w:cs="宋体"/>
          <w:b/>
          <w:color w:val="auto"/>
          <w:kern w:val="0"/>
          <w:sz w:val="32"/>
          <w:szCs w:val="32"/>
          <w:highlight w:val="none"/>
          <w:lang w:eastAsia="zh-CN"/>
        </w:rPr>
      </w:pPr>
    </w:p>
    <w:p>
      <w:pPr>
        <w:numPr>
          <w:ilvl w:val="0"/>
          <w:numId w:val="0"/>
        </w:numPr>
        <w:jc w:val="center"/>
        <w:rPr>
          <w:rFonts w:hint="eastAsia" w:ascii="宋体" w:hAnsi="宋体" w:cs="宋体"/>
          <w:b/>
          <w:color w:val="auto"/>
          <w:kern w:val="0"/>
          <w:sz w:val="32"/>
          <w:szCs w:val="32"/>
          <w:highlight w:val="none"/>
          <w:lang w:eastAsia="zh-CN"/>
        </w:rPr>
      </w:pPr>
    </w:p>
    <w:p>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投标标的清单</w:t>
      </w:r>
    </w:p>
    <w:p>
      <w:pPr>
        <w:pStyle w:val="6"/>
        <w:numPr>
          <w:ilvl w:val="0"/>
          <w:numId w:val="0"/>
        </w:numPr>
        <w:ind w:leftChars="0"/>
        <w:rPr>
          <w:rFonts w:hint="eastAsia" w:ascii="仿宋" w:hAnsi="仿宋" w:eastAsia="仿宋" w:cs="仿宋"/>
          <w:color w:val="auto"/>
          <w:highlight w:val="none"/>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p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七、拟派项目团队配备情况表</w:t>
      </w:r>
    </w:p>
    <w:p>
      <w:pPr>
        <w:jc w:val="center"/>
        <w:rPr>
          <w:rFonts w:ascii="仿宋_GB2312" w:hAnsi="仿宋" w:eastAsia="仿宋_GB2312" w:cs="仿宋_GB2312"/>
          <w:b/>
          <w:color w:val="auto"/>
          <w:kern w:val="0"/>
          <w:sz w:val="32"/>
          <w:szCs w:val="32"/>
          <w:highlight w:val="none"/>
        </w:rPr>
      </w:pPr>
    </w:p>
    <w:tbl>
      <w:tblPr>
        <w:tblStyle w:val="62"/>
        <w:tblW w:w="4996" w:type="pct"/>
        <w:tblInd w:w="0" w:type="dxa"/>
        <w:tblLayout w:type="autofit"/>
        <w:tblCellMar>
          <w:top w:w="0" w:type="dxa"/>
          <w:left w:w="108" w:type="dxa"/>
          <w:bottom w:w="0" w:type="dxa"/>
          <w:right w:w="108" w:type="dxa"/>
        </w:tblCellMar>
      </w:tblPr>
      <w:tblGrid>
        <w:gridCol w:w="793"/>
        <w:gridCol w:w="847"/>
        <w:gridCol w:w="1209"/>
        <w:gridCol w:w="1324"/>
        <w:gridCol w:w="750"/>
        <w:gridCol w:w="676"/>
        <w:gridCol w:w="750"/>
        <w:gridCol w:w="700"/>
        <w:gridCol w:w="1139"/>
        <w:gridCol w:w="1091"/>
      </w:tblGrid>
      <w:tr>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65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713"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身份证号</w:t>
            </w:r>
            <w:r>
              <w:rPr>
                <w:rFonts w:hint="eastAsia" w:ascii="仿宋" w:hAnsi="仿宋" w:eastAsia="仿宋" w:cs="仿宋"/>
                <w:b/>
                <w:bCs/>
                <w:color w:val="auto"/>
                <w:sz w:val="22"/>
                <w:szCs w:val="22"/>
                <w:highlight w:val="none"/>
                <w:lang w:eastAsia="zh-CN"/>
              </w:rPr>
              <w:t>码</w:t>
            </w:r>
          </w:p>
        </w:tc>
        <w:tc>
          <w:tcPr>
            <w:tcW w:w="404"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364"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404"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377"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613"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65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3"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64"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4"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7"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13"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bl>
    <w:p>
      <w:pPr>
        <w:jc w:val="left"/>
        <w:rPr>
          <w:rFonts w:hint="eastAsia" w:ascii="仿宋_GB2312" w:hAnsi="仿宋" w:eastAsia="仿宋_GB2312" w:cs="仿宋_GB2312"/>
          <w:b/>
          <w:color w:val="auto"/>
          <w:kern w:val="0"/>
          <w:sz w:val="24"/>
          <w:szCs w:val="24"/>
          <w:highlight w:val="none"/>
          <w:lang w:eastAsia="zh-CN"/>
        </w:rPr>
      </w:pPr>
      <w:r>
        <w:rPr>
          <w:rFonts w:hint="eastAsia" w:ascii="仿宋_GB2312" w:hAnsi="仿宋" w:eastAsia="仿宋_GB2312" w:cs="仿宋_GB2312"/>
          <w:b/>
          <w:color w:val="auto"/>
          <w:kern w:val="0"/>
          <w:sz w:val="24"/>
          <w:szCs w:val="24"/>
          <w:highlight w:val="none"/>
          <w:lang w:eastAsia="zh-CN"/>
        </w:rPr>
        <w:t>注：后附社保及相关证明文件。</w:t>
      </w:r>
    </w:p>
    <w:p>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pPr>
        <w:numPr>
          <w:ilvl w:val="0"/>
          <w:numId w:val="0"/>
        </w:numPr>
        <w:ind w:leftChars="20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八、</w:t>
      </w:r>
      <w:r>
        <w:rPr>
          <w:rFonts w:hint="eastAsia" w:ascii="仿宋_GB2312" w:hAnsi="仿宋" w:eastAsia="仿宋_GB2312" w:cs="仿宋_GB2312"/>
          <w:b/>
          <w:color w:val="auto"/>
          <w:kern w:val="0"/>
          <w:sz w:val="32"/>
          <w:szCs w:val="32"/>
          <w:highlight w:val="none"/>
        </w:rPr>
        <w:t>商务技术偏离表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ind w:leftChars="200"/>
        <w:jc w:val="center"/>
        <w:textAlignment w:val="auto"/>
        <w:rPr>
          <w:rFonts w:hint="eastAsia" w:ascii="仿宋_GB2312" w:hAnsi="仿宋" w:eastAsia="仿宋_GB2312" w:cs="仿宋_GB2312"/>
          <w:b/>
          <w:snapToGrid/>
          <w:color w:val="auto"/>
          <w:kern w:val="0"/>
          <w:sz w:val="32"/>
          <w:szCs w:val="32"/>
          <w:highlight w:val="none"/>
          <w:lang w:val="en-US" w:eastAsia="zh-CN" w:bidi="ar-SA"/>
        </w:rPr>
      </w:pPr>
      <w:r>
        <w:rPr>
          <w:rFonts w:hint="eastAsia" w:ascii="仿宋_GB2312" w:hAnsi="仿宋" w:eastAsia="仿宋_GB2312" w:cs="仿宋_GB2312"/>
          <w:b/>
          <w:snapToGrid/>
          <w:color w:val="auto"/>
          <w:kern w:val="0"/>
          <w:sz w:val="32"/>
          <w:szCs w:val="32"/>
          <w:highlight w:val="none"/>
          <w:lang w:val="en-US" w:eastAsia="zh-CN" w:bidi="ar-SA"/>
        </w:rPr>
        <w:t>（一）商务偏离表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numPr>
          <w:ilvl w:val="0"/>
          <w:numId w:val="0"/>
        </w:num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（二）技术响应表</w:t>
      </w:r>
    </w:p>
    <w:p>
      <w:pPr>
        <w:pStyle w:val="61"/>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400"/>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4"/>
        <w:gridCol w:w="4367"/>
        <w:gridCol w:w="423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序号</w:t>
            </w:r>
          </w:p>
        </w:tc>
        <w:tc>
          <w:tcPr>
            <w:tcW w:w="707"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名称或内容</w:t>
            </w:r>
          </w:p>
        </w:tc>
        <w:tc>
          <w:tcPr>
            <w:tcW w:w="1503"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招标要求</w:t>
            </w:r>
          </w:p>
        </w:tc>
        <w:tc>
          <w:tcPr>
            <w:tcW w:w="1458"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投标响应</w:t>
            </w:r>
          </w:p>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（逐一对应）</w:t>
            </w:r>
          </w:p>
        </w:tc>
        <w:tc>
          <w:tcPr>
            <w:tcW w:w="1000"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32"/>
                <w:szCs w:val="32"/>
                <w:highlight w:val="none"/>
                <w:vertAlign w:val="baseline"/>
              </w:rPr>
            </w:pPr>
          </w:p>
        </w:tc>
        <w:tc>
          <w:tcPr>
            <w:tcW w:w="707" w:type="pct"/>
          </w:tcPr>
          <w:p>
            <w:pPr>
              <w:rPr>
                <w:rFonts w:hint="eastAsia" w:ascii="仿宋_GB2312" w:hAnsi="仿宋" w:eastAsia="仿宋_GB2312" w:cs="仿宋_GB2312"/>
                <w:b/>
                <w:color w:val="auto"/>
                <w:kern w:val="0"/>
                <w:sz w:val="32"/>
                <w:szCs w:val="32"/>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keepNext w:val="0"/>
              <w:keepLines w:val="0"/>
              <w:widowControl/>
              <w:suppressLineNumbers w:val="0"/>
              <w:jc w:val="left"/>
              <w:rPr>
                <w:rFonts w:hint="eastAsia" w:ascii="仿宋_GB2312" w:hAnsi="仿宋" w:eastAsia="仿宋_GB2312" w:cs="仿宋_GB2312"/>
                <w:b/>
                <w:color w:val="auto"/>
                <w:kern w:val="0"/>
                <w:sz w:val="40"/>
                <w:szCs w:val="40"/>
                <w:highlight w:val="none"/>
                <w:vertAlign w:val="baseline"/>
              </w:rPr>
            </w:pPr>
            <w:r>
              <w:rPr>
                <w:rFonts w:ascii="仿宋" w:hAnsi="仿宋" w:eastAsia="仿宋" w:cs="仿宋"/>
                <w:b/>
                <w:bCs/>
                <w:color w:val="auto"/>
                <w:kern w:val="0"/>
                <w:sz w:val="24"/>
                <w:szCs w:val="24"/>
                <w:highlight w:val="none"/>
                <w:lang w:val="en-US" w:eastAsia="zh-CN" w:bidi="ar"/>
              </w:rPr>
              <w:t>严禁完全复制粘贴招标要求</w:t>
            </w: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bl>
    <w:p>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jc w:val="left"/>
        <w:textAlignment w:val="auto"/>
        <w:rPr>
          <w:rFonts w:ascii="仿宋" w:hAnsi="仿宋" w:eastAsia="仿宋" w:cs="仿宋"/>
          <w:b/>
          <w:bCs/>
          <w:color w:val="auto"/>
          <w:kern w:val="0"/>
          <w:sz w:val="24"/>
          <w:szCs w:val="24"/>
          <w:highlight w:val="none"/>
          <w:lang w:val="en-US" w:eastAsia="zh-CN" w:bidi="ar"/>
        </w:rPr>
      </w:pPr>
      <w:r>
        <w:rPr>
          <w:rFonts w:ascii="仿宋" w:hAnsi="仿宋" w:eastAsia="仿宋" w:cs="仿宋"/>
          <w:b/>
          <w:bCs/>
          <w:color w:val="auto"/>
          <w:kern w:val="0"/>
          <w:sz w:val="24"/>
          <w:szCs w:val="24"/>
          <w:highlight w:val="none"/>
          <w:lang w:val="en-US" w:eastAsia="zh-CN" w:bidi="ar"/>
        </w:rPr>
        <w:t>备注：1、对照《第三部分 采购需求》如实填写上表，虚假应标一律按提供虚假材料处理；2、“偏离情况”栏填写：</w:t>
      </w:r>
      <w:r>
        <w:rPr>
          <w:rFonts w:hint="eastAsia" w:ascii="仿宋" w:hAnsi="仿宋" w:eastAsia="仿宋" w:cs="仿宋"/>
          <w:b/>
          <w:bCs/>
          <w:color w:val="auto"/>
          <w:kern w:val="0"/>
          <w:sz w:val="24"/>
          <w:szCs w:val="24"/>
          <w:highlight w:val="none"/>
          <w:lang w:val="en-US" w:eastAsia="zh-CN" w:bidi="ar"/>
        </w:rPr>
        <w:t>“响应”或“不响应”。3、后附相关说明材料（如有）。</w:t>
      </w: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sectPr>
          <w:pgSz w:w="16838" w:h="11906" w:orient="landscape"/>
          <w:pgMar w:top="1418" w:right="1276" w:bottom="1418" w:left="1247" w:header="851" w:footer="992" w:gutter="0"/>
          <w:pgNumType w:fmt="decimal"/>
          <w:cols w:space="720" w:num="1"/>
          <w:titlePg/>
          <w:docGrid w:linePitch="312" w:charSpace="0"/>
        </w:sectPr>
      </w:pPr>
    </w:p>
    <w:p>
      <w:pPr>
        <w:ind w:firstLine="1911" w:firstLineChars="595"/>
        <w:rPr>
          <w:rFonts w:hint="eastAsia"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
        <w:rPr>
          <w:rFonts w:hint="eastAsia"/>
          <w:color w:val="auto"/>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杭州市钱塘区综合行政执法局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钱塘区2023年-2024年数字城管服务外包项目（江东区域）（重新招标）</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color w:val="auto"/>
          <w:highlight w:val="none"/>
          <w:lang w:val="zh-CN"/>
        </w:rPr>
      </w:pPr>
      <w:r>
        <w:rPr>
          <w:rFonts w:hint="eastAsia" w:ascii="仿宋" w:hAnsi="仿宋" w:eastAsia="仿宋" w:cs="仿宋"/>
          <w:b/>
          <w:bCs w:val="0"/>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41"/>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75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3041"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采购内容</w:t>
            </w:r>
          </w:p>
        </w:tc>
        <w:tc>
          <w:tcPr>
            <w:tcW w:w="2728"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单位</w:t>
            </w:r>
          </w:p>
        </w:tc>
        <w:tc>
          <w:tcPr>
            <w:tcW w:w="157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210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4360" w:type="dxa"/>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3"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041" w:type="dxa"/>
            <w:vAlign w:val="center"/>
          </w:tcPr>
          <w:p>
            <w:pPr>
              <w:spacing w:line="360" w:lineRule="auto"/>
              <w:jc w:val="center"/>
              <w:rPr>
                <w:rFonts w:hint="eastAsia" w:ascii="仿宋_GB2312" w:hAnsi="仿宋" w:eastAsia="仿宋_GB2312" w:cs="Times New Roman"/>
                <w:b w:val="0"/>
                <w:bCs/>
                <w:color w:val="auto"/>
                <w:sz w:val="24"/>
                <w:highlight w:val="none"/>
                <w:lang w:eastAsia="zh-CN"/>
              </w:rPr>
            </w:pPr>
            <w:r>
              <w:rPr>
                <w:rFonts w:hint="eastAsia" w:ascii="仿宋" w:hAnsi="仿宋" w:eastAsia="仿宋" w:cs="仿宋"/>
                <w:color w:val="auto"/>
                <w:sz w:val="24"/>
                <w:highlight w:val="none"/>
                <w:lang w:eastAsia="zh-CN"/>
              </w:rPr>
              <w:t>钱塘区2023年-2024年数字城管服务外包项目（江东区域）（重新招标）</w:t>
            </w:r>
          </w:p>
        </w:tc>
        <w:tc>
          <w:tcPr>
            <w:tcW w:w="2728" w:type="dxa"/>
            <w:vAlign w:val="center"/>
          </w:tcPr>
          <w:p>
            <w:pPr>
              <w:snapToGrid w:val="0"/>
              <w:spacing w:line="360" w:lineRule="auto"/>
              <w:jc w:val="center"/>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项</w:t>
            </w:r>
          </w:p>
        </w:tc>
        <w:tc>
          <w:tcPr>
            <w:tcW w:w="1579" w:type="dxa"/>
            <w:vAlign w:val="center"/>
          </w:tcPr>
          <w:p>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val="en-US" w:eastAsia="zh-CN"/>
              </w:rPr>
              <w:t>小</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eastAsia="zh-CN"/>
              </w:rPr>
              <w:t>大</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26"/>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snapToGrid w:val="0"/>
          <w:color w:val="auto"/>
          <w:kern w:val="2"/>
          <w:sz w:val="24"/>
          <w:szCs w:val="21"/>
          <w:highlight w:val="none"/>
          <w:lang w:val="zh-CN" w:eastAsia="zh-CN" w:bidi="ar-SA"/>
        </w:rPr>
        <w:t>项目名称：</w:t>
      </w:r>
      <w:r>
        <w:rPr>
          <w:rFonts w:hint="eastAsia" w:ascii="仿宋" w:hAnsi="仿宋" w:eastAsia="仿宋" w:cs="仿宋"/>
          <w:snapToGrid w:val="0"/>
          <w:color w:val="auto"/>
          <w:kern w:val="2"/>
          <w:sz w:val="24"/>
          <w:szCs w:val="21"/>
          <w:highlight w:val="none"/>
          <w:lang w:val="en-US" w:eastAsia="zh-CN" w:bidi="ar-SA"/>
        </w:rPr>
        <w:t>钱塘区2023年-2024年数字城管服务外包项目（江东区域）（重新招标）</w:t>
      </w:r>
    </w:p>
    <w:p>
      <w:pPr>
        <w:pStyle w:val="2"/>
        <w:rPr>
          <w:rFonts w:hint="default" w:ascii="仿宋" w:hAnsi="仿宋" w:eastAsia="仿宋" w:cs="仿宋"/>
          <w:color w:val="auto"/>
          <w:szCs w:val="21"/>
          <w:highlight w:val="none"/>
          <w:lang w:val="en-US" w:eastAsia="zh-CN"/>
        </w:rPr>
      </w:pPr>
      <w:r>
        <w:rPr>
          <w:rFonts w:hint="eastAsia" w:ascii="仿宋" w:hAnsi="仿宋" w:eastAsia="仿宋" w:cs="仿宋"/>
          <w:snapToGrid w:val="0"/>
          <w:color w:val="auto"/>
          <w:kern w:val="2"/>
          <w:sz w:val="24"/>
          <w:szCs w:val="21"/>
          <w:highlight w:val="none"/>
          <w:lang w:val="zh-CN" w:eastAsia="zh-CN" w:bidi="ar-SA"/>
        </w:rPr>
        <w:t>采购编号：</w:t>
      </w:r>
      <w:r>
        <w:rPr>
          <w:rFonts w:hint="eastAsia" w:ascii="仿宋" w:hAnsi="仿宋" w:eastAsia="仿宋" w:cs="仿宋"/>
          <w:color w:val="auto"/>
          <w:szCs w:val="21"/>
          <w:highlight w:val="none"/>
          <w:lang w:eastAsia="zh-CN"/>
        </w:rPr>
        <w:t>QTCG-GK-2023-008（2）</w:t>
      </w:r>
    </w:p>
    <w:p>
      <w:pPr>
        <w:rPr>
          <w:rFonts w:ascii="仿宋" w:hAnsi="仿宋" w:eastAsia="仿宋" w:cs="仿宋"/>
          <w:color w:val="auto"/>
          <w:highlight w:val="none"/>
        </w:rPr>
      </w:pPr>
    </w:p>
    <w:p>
      <w:pPr>
        <w:pStyle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自拟</w:t>
      </w:r>
      <w:r>
        <w:rPr>
          <w:rFonts w:hint="eastAsia" w:ascii="仿宋" w:hAnsi="仿宋" w:eastAsia="仿宋" w:cs="仿宋"/>
          <w:color w:val="auto"/>
          <w:sz w:val="24"/>
          <w:szCs w:val="24"/>
          <w:highlight w:val="none"/>
          <w:lang w:eastAsia="zh-CN"/>
        </w:rPr>
        <w:t>）</w:t>
      </w:r>
    </w:p>
    <w:p>
      <w:pPr>
        <w:pStyle w:val="3"/>
        <w:rPr>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注：1. </w:t>
      </w:r>
      <w:r>
        <w:rPr>
          <w:rFonts w:hint="eastAsia" w:ascii="仿宋" w:hAnsi="仿宋" w:eastAsia="仿宋" w:cs="仿宋"/>
          <w:color w:val="auto"/>
          <w:sz w:val="24"/>
          <w:szCs w:val="24"/>
          <w:highlight w:val="none"/>
          <w:lang w:val="en-US" w:eastAsia="zh-CN"/>
        </w:rPr>
        <w:t>报价明细</w:t>
      </w:r>
      <w:r>
        <w:rPr>
          <w:rFonts w:hint="eastAsia" w:ascii="仿宋" w:hAnsi="仿宋" w:eastAsia="仿宋" w:cs="仿宋"/>
          <w:color w:val="auto"/>
          <w:sz w:val="24"/>
          <w:szCs w:val="24"/>
          <w:highlight w:val="none"/>
        </w:rPr>
        <w:t>内容自拟。</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2、上表所述“报价”应与“开标一览表”中的报价一致，如有矛盾，以“开标一览表”中的为准。</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3.采购人将以合同形式有偿取得货物或服务，不接受投标人给予的赠品、回扣或者与采购无关的其他商品、服务，各项明细费用请按实填写（不得出现“0元”“免费赠送”等形式的无偿报价）。</w:t>
      </w:r>
    </w:p>
    <w:p>
      <w:pPr>
        <w:adjustRightInd w:val="0"/>
        <w:spacing w:line="360" w:lineRule="auto"/>
        <w:ind w:firstLine="5160" w:firstLineChars="2150"/>
        <w:rPr>
          <w:rFonts w:ascii="仿宋" w:hAnsi="仿宋" w:eastAsia="仿宋" w:cs="仿宋"/>
          <w:color w:val="auto"/>
          <w:sz w:val="24"/>
          <w:szCs w:val="24"/>
          <w:highlight w:val="none"/>
        </w:rPr>
      </w:pPr>
    </w:p>
    <w:p>
      <w:pPr>
        <w:adjustRightInd w:val="0"/>
        <w:spacing w:line="360" w:lineRule="auto"/>
        <w:ind w:firstLine="5160" w:firstLineChars="2150"/>
        <w:rPr>
          <w:rFonts w:hint="eastAsia" w:ascii="仿宋" w:hAnsi="仿宋" w:eastAsia="仿宋" w:cs="仿宋"/>
          <w:color w:val="auto"/>
          <w:sz w:val="24"/>
          <w:szCs w:val="24"/>
          <w:highlight w:val="none"/>
        </w:rPr>
      </w:pPr>
    </w:p>
    <w:p>
      <w:pPr>
        <w:adjustRightInd w:val="0"/>
        <w:spacing w:line="360" w:lineRule="auto"/>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投标人(盖公章或电子签章)</w:t>
      </w: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spacing w:line="360" w:lineRule="auto"/>
        <w:ind w:left="5060" w:hanging="5060" w:hangingChars="2100"/>
        <w:rPr>
          <w:rFonts w:hint="eastAsia" w:ascii="仿宋" w:hAnsi="仿宋" w:eastAsia="仿宋" w:cs="仿宋"/>
          <w:b/>
          <w:bCs/>
          <w:color w:val="auto"/>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21" w:name="_Toc465665161"/>
      <w:r>
        <w:rPr>
          <w:rFonts w:hint="eastAsia" w:ascii="仿宋" w:hAnsi="仿宋" w:eastAsia="仿宋" w:cs="仿宋"/>
          <w:color w:val="auto"/>
          <w:highlight w:val="none"/>
        </w:rPr>
        <w:t>附件</w:t>
      </w:r>
      <w:bookmarkEnd w:id="42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22" w:name="OLE_LINK14"/>
      <w:bookmarkStart w:id="423" w:name="OLE_LINK13"/>
      <w:r>
        <w:rPr>
          <w:rFonts w:hint="eastAsia" w:ascii="仿宋" w:hAnsi="仿宋" w:eastAsia="仿宋" w:cs="仿宋"/>
          <w:b/>
          <w:color w:val="auto"/>
          <w:spacing w:val="6"/>
          <w:sz w:val="32"/>
          <w:szCs w:val="32"/>
          <w:highlight w:val="none"/>
        </w:rPr>
        <w:t>残疾人福利性单位声明函</w:t>
      </w:r>
      <w:bookmarkEnd w:id="422"/>
      <w:bookmarkEnd w:id="423"/>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杭州市钱塘区综合行政执法局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浙江省房地产管理咨询有限公司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钱塘区2023年-2024年数字城管服务外包项目（江东区域）（重新招标）</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钱塘区2023年-2024年数字城管服务外包项目（江东区域）（重新招标）</w:t>
      </w:r>
      <w:r>
        <w:rPr>
          <w:rFonts w:hint="eastAsia" w:ascii="仿宋" w:hAnsi="仿宋" w:eastAsia="仿宋" w:cs="仿宋"/>
          <w:color w:val="auto"/>
          <w:sz w:val="24"/>
          <w:highlight w:val="none"/>
        </w:rPr>
        <w:t xml:space="preserve">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钱塘区2023年-2024年数字城管服务外包项目（江东区域）（重新招标）</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p>
    <w:p>
      <w:pPr>
        <w:pStyle w:val="61"/>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900"/>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2"/>
        <w:rFonts w:hint="eastAsia" w:ascii="仿宋_GB2312" w:eastAsia="仿宋_GB2312"/>
        <w:sz w:val="21"/>
        <w:szCs w:val="21"/>
      </w:rPr>
    </w:pPr>
    <w:r>
      <w:rPr>
        <w:rFonts w:hint="eastAsia" w:ascii="仿宋_GB2312" w:eastAsia="仿宋_GB2312"/>
        <w:sz w:val="21"/>
        <w:szCs w:val="21"/>
      </w:rPr>
      <w:fldChar w:fldCharType="begin"/>
    </w:r>
    <w:r>
      <w:rPr>
        <w:rStyle w:val="7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72"/>
        <w:rFonts w:ascii="仿宋_GB2312" w:eastAsia="仿宋_GB2312"/>
        <w:sz w:val="21"/>
        <w:szCs w:val="21"/>
      </w:rPr>
      <w:t>27</w:t>
    </w:r>
    <w:r>
      <w:rPr>
        <w:rFonts w:hint="eastAsia" w:ascii="仿宋_GB2312" w:eastAsia="仿宋_GB2312"/>
        <w:sz w:val="21"/>
        <w:szCs w:val="21"/>
      </w:rPr>
      <w:fldChar w:fldCharType="end"/>
    </w: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2"/>
      </w:rPr>
    </w:pPr>
    <w:r>
      <w:fldChar w:fldCharType="begin"/>
    </w:r>
    <w:r>
      <w:rPr>
        <w:rStyle w:val="72"/>
      </w:rPr>
      <w:instrText xml:space="preserve">PAGE  </w:instrText>
    </w:r>
    <w:r>
      <w:fldChar w:fldCharType="separate"/>
    </w:r>
    <w:r>
      <w:rPr>
        <w:rStyle w:val="72"/>
      </w:rPr>
      <w:t>1</w:t>
    </w:r>
    <w:r>
      <w:fldChar w:fldCharType="end"/>
    </w: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rPr>
        <w:rFonts w:hint="eastAsia"/>
      </w:rPr>
      <w:t xml:space="preserve">                                                                   </w:t>
    </w:r>
  </w:p>
  <w:p>
    <w:pPr>
      <w:pStyle w:val="59"/>
      <w:tabs>
        <w:tab w:val="center" w:pos="4535"/>
        <w:tab w:val="right" w:pos="9070"/>
      </w:tabs>
      <w:spacing w:after="480"/>
      <w:ind w:firstLine="180" w:firstLineChars="100"/>
      <w:jc w:val="both"/>
      <w:rPr>
        <w:rFonts w:hint="eastAsia"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jBiYjZjMGM5ZTRmMzU0MjIzNDFkNzNiNzUzMzYifQ=="/>
    <w:docVar w:name="KSO_WPS_MARK_KEY" w:val="ebe5eaad-d0ed-40d5-9bf4-77386071503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002"/>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36A"/>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12824"/>
    <w:rsid w:val="013730A5"/>
    <w:rsid w:val="01870B13"/>
    <w:rsid w:val="019F7441"/>
    <w:rsid w:val="01AF70E0"/>
    <w:rsid w:val="01B37585"/>
    <w:rsid w:val="01D55165"/>
    <w:rsid w:val="01D94E86"/>
    <w:rsid w:val="01DF6BF8"/>
    <w:rsid w:val="01EC2C57"/>
    <w:rsid w:val="01F835E1"/>
    <w:rsid w:val="0241242E"/>
    <w:rsid w:val="026B2E25"/>
    <w:rsid w:val="02824D4D"/>
    <w:rsid w:val="029D518A"/>
    <w:rsid w:val="02DC4B10"/>
    <w:rsid w:val="02DD76CE"/>
    <w:rsid w:val="02F36323"/>
    <w:rsid w:val="02F5619C"/>
    <w:rsid w:val="03117CBA"/>
    <w:rsid w:val="0326446A"/>
    <w:rsid w:val="032D5555"/>
    <w:rsid w:val="036634D2"/>
    <w:rsid w:val="03DD35E4"/>
    <w:rsid w:val="03E20BAC"/>
    <w:rsid w:val="03EB4C46"/>
    <w:rsid w:val="04076900"/>
    <w:rsid w:val="040F2FA9"/>
    <w:rsid w:val="041A5A3B"/>
    <w:rsid w:val="041D2A27"/>
    <w:rsid w:val="042311BA"/>
    <w:rsid w:val="042B157A"/>
    <w:rsid w:val="04470A78"/>
    <w:rsid w:val="0449381C"/>
    <w:rsid w:val="048F763B"/>
    <w:rsid w:val="049F330E"/>
    <w:rsid w:val="04AA775C"/>
    <w:rsid w:val="04AF1889"/>
    <w:rsid w:val="04B01074"/>
    <w:rsid w:val="04C87956"/>
    <w:rsid w:val="04E36E88"/>
    <w:rsid w:val="04F66F48"/>
    <w:rsid w:val="05121E5F"/>
    <w:rsid w:val="051E6A56"/>
    <w:rsid w:val="05251E14"/>
    <w:rsid w:val="054160C5"/>
    <w:rsid w:val="05A16594"/>
    <w:rsid w:val="05A7762D"/>
    <w:rsid w:val="060E5941"/>
    <w:rsid w:val="06110FAF"/>
    <w:rsid w:val="061B2F96"/>
    <w:rsid w:val="06224324"/>
    <w:rsid w:val="0639166E"/>
    <w:rsid w:val="06493CA7"/>
    <w:rsid w:val="065A6178"/>
    <w:rsid w:val="066F1CF3"/>
    <w:rsid w:val="067134CC"/>
    <w:rsid w:val="06930BB8"/>
    <w:rsid w:val="06BA27AF"/>
    <w:rsid w:val="06EE6765"/>
    <w:rsid w:val="07170AD3"/>
    <w:rsid w:val="07245D42"/>
    <w:rsid w:val="07264C62"/>
    <w:rsid w:val="0733536B"/>
    <w:rsid w:val="0779354C"/>
    <w:rsid w:val="08061376"/>
    <w:rsid w:val="08070BB6"/>
    <w:rsid w:val="08452D77"/>
    <w:rsid w:val="0858227F"/>
    <w:rsid w:val="086401F8"/>
    <w:rsid w:val="086429F6"/>
    <w:rsid w:val="08751CAA"/>
    <w:rsid w:val="087E4C40"/>
    <w:rsid w:val="08AA2F76"/>
    <w:rsid w:val="08D3127C"/>
    <w:rsid w:val="08D66AD6"/>
    <w:rsid w:val="08DA33A3"/>
    <w:rsid w:val="08E80F13"/>
    <w:rsid w:val="08EE786F"/>
    <w:rsid w:val="08EE7BDA"/>
    <w:rsid w:val="09335624"/>
    <w:rsid w:val="0944690F"/>
    <w:rsid w:val="09535675"/>
    <w:rsid w:val="095F057D"/>
    <w:rsid w:val="09642282"/>
    <w:rsid w:val="09733572"/>
    <w:rsid w:val="09772C16"/>
    <w:rsid w:val="098353B5"/>
    <w:rsid w:val="09A92330"/>
    <w:rsid w:val="09B06B87"/>
    <w:rsid w:val="09B74D83"/>
    <w:rsid w:val="09C13146"/>
    <w:rsid w:val="09E04166"/>
    <w:rsid w:val="0A1B7A08"/>
    <w:rsid w:val="0A1C0718"/>
    <w:rsid w:val="0A3E7710"/>
    <w:rsid w:val="0A596C38"/>
    <w:rsid w:val="0A5A0A28"/>
    <w:rsid w:val="0A5B7E63"/>
    <w:rsid w:val="0A884FC3"/>
    <w:rsid w:val="0AA374A5"/>
    <w:rsid w:val="0AAB7649"/>
    <w:rsid w:val="0ABC5606"/>
    <w:rsid w:val="0AE24082"/>
    <w:rsid w:val="0B060953"/>
    <w:rsid w:val="0B30404E"/>
    <w:rsid w:val="0B4C6C14"/>
    <w:rsid w:val="0B631A88"/>
    <w:rsid w:val="0B683D45"/>
    <w:rsid w:val="0B7F3F11"/>
    <w:rsid w:val="0B884417"/>
    <w:rsid w:val="0B8C4068"/>
    <w:rsid w:val="0BB73761"/>
    <w:rsid w:val="0BC55E7E"/>
    <w:rsid w:val="0BDD515C"/>
    <w:rsid w:val="0BF6188C"/>
    <w:rsid w:val="0BF73C91"/>
    <w:rsid w:val="0C034F9F"/>
    <w:rsid w:val="0C170175"/>
    <w:rsid w:val="0C571A41"/>
    <w:rsid w:val="0C5C1171"/>
    <w:rsid w:val="0C5E1CBC"/>
    <w:rsid w:val="0C615B50"/>
    <w:rsid w:val="0C7E2C37"/>
    <w:rsid w:val="0C8445DA"/>
    <w:rsid w:val="0C87121B"/>
    <w:rsid w:val="0CBD298F"/>
    <w:rsid w:val="0CC007F7"/>
    <w:rsid w:val="0CD35B98"/>
    <w:rsid w:val="0CD910AD"/>
    <w:rsid w:val="0CEF15F2"/>
    <w:rsid w:val="0CFE707A"/>
    <w:rsid w:val="0D063BDA"/>
    <w:rsid w:val="0D08375F"/>
    <w:rsid w:val="0D184CFB"/>
    <w:rsid w:val="0D222E5C"/>
    <w:rsid w:val="0D241AFF"/>
    <w:rsid w:val="0D4A7419"/>
    <w:rsid w:val="0D827401"/>
    <w:rsid w:val="0D84094E"/>
    <w:rsid w:val="0D8A00E9"/>
    <w:rsid w:val="0D8D589E"/>
    <w:rsid w:val="0DA01C73"/>
    <w:rsid w:val="0DD63300"/>
    <w:rsid w:val="0DF50604"/>
    <w:rsid w:val="0DF702FE"/>
    <w:rsid w:val="0DFC36AD"/>
    <w:rsid w:val="0E060E51"/>
    <w:rsid w:val="0E5604B2"/>
    <w:rsid w:val="0E6D5D79"/>
    <w:rsid w:val="0E9D0089"/>
    <w:rsid w:val="0EB803EE"/>
    <w:rsid w:val="0EF94D4B"/>
    <w:rsid w:val="0F121970"/>
    <w:rsid w:val="0F194CA3"/>
    <w:rsid w:val="0F4958DC"/>
    <w:rsid w:val="0F4C320E"/>
    <w:rsid w:val="0F515DF7"/>
    <w:rsid w:val="0F596BA8"/>
    <w:rsid w:val="0F6248D2"/>
    <w:rsid w:val="0F693536"/>
    <w:rsid w:val="0F7B0511"/>
    <w:rsid w:val="0F7B76D9"/>
    <w:rsid w:val="0F7D315A"/>
    <w:rsid w:val="0F816ACD"/>
    <w:rsid w:val="0F9832DB"/>
    <w:rsid w:val="0FBF3FD2"/>
    <w:rsid w:val="0FBF7FF3"/>
    <w:rsid w:val="0FFE31DD"/>
    <w:rsid w:val="103C4234"/>
    <w:rsid w:val="10582CAB"/>
    <w:rsid w:val="10623B71"/>
    <w:rsid w:val="10646583"/>
    <w:rsid w:val="107D4B15"/>
    <w:rsid w:val="108A3C80"/>
    <w:rsid w:val="10B84804"/>
    <w:rsid w:val="10C26171"/>
    <w:rsid w:val="10DF6C28"/>
    <w:rsid w:val="10EF71F3"/>
    <w:rsid w:val="10F33360"/>
    <w:rsid w:val="10FC16EA"/>
    <w:rsid w:val="11001204"/>
    <w:rsid w:val="110F1D40"/>
    <w:rsid w:val="110F261A"/>
    <w:rsid w:val="11266F33"/>
    <w:rsid w:val="113A4C18"/>
    <w:rsid w:val="11873B72"/>
    <w:rsid w:val="118963A1"/>
    <w:rsid w:val="11B12A00"/>
    <w:rsid w:val="11C6522A"/>
    <w:rsid w:val="11E104CC"/>
    <w:rsid w:val="11E132E5"/>
    <w:rsid w:val="11E20309"/>
    <w:rsid w:val="121130A8"/>
    <w:rsid w:val="12255233"/>
    <w:rsid w:val="12530213"/>
    <w:rsid w:val="127723A9"/>
    <w:rsid w:val="12862074"/>
    <w:rsid w:val="12883966"/>
    <w:rsid w:val="12971BF6"/>
    <w:rsid w:val="129A03A8"/>
    <w:rsid w:val="129E45B4"/>
    <w:rsid w:val="12A204B1"/>
    <w:rsid w:val="12B91B6C"/>
    <w:rsid w:val="12D81596"/>
    <w:rsid w:val="13054DB2"/>
    <w:rsid w:val="13072A44"/>
    <w:rsid w:val="133832E8"/>
    <w:rsid w:val="135F4BE2"/>
    <w:rsid w:val="13963F63"/>
    <w:rsid w:val="139B1A0A"/>
    <w:rsid w:val="139D25C7"/>
    <w:rsid w:val="13BF3CE4"/>
    <w:rsid w:val="13F217DA"/>
    <w:rsid w:val="141008D8"/>
    <w:rsid w:val="14125FE6"/>
    <w:rsid w:val="145D1643"/>
    <w:rsid w:val="146D271E"/>
    <w:rsid w:val="14982588"/>
    <w:rsid w:val="149A5AD9"/>
    <w:rsid w:val="14A62488"/>
    <w:rsid w:val="14A7619D"/>
    <w:rsid w:val="14FD6C55"/>
    <w:rsid w:val="150536C3"/>
    <w:rsid w:val="150C1963"/>
    <w:rsid w:val="151447A0"/>
    <w:rsid w:val="151B1BCE"/>
    <w:rsid w:val="153A2F73"/>
    <w:rsid w:val="154A6454"/>
    <w:rsid w:val="156F6E5A"/>
    <w:rsid w:val="15744470"/>
    <w:rsid w:val="15762120"/>
    <w:rsid w:val="15842905"/>
    <w:rsid w:val="15E75C04"/>
    <w:rsid w:val="15FF0D74"/>
    <w:rsid w:val="165556AF"/>
    <w:rsid w:val="16A8729C"/>
    <w:rsid w:val="16B33777"/>
    <w:rsid w:val="16BC70A7"/>
    <w:rsid w:val="16BD0A63"/>
    <w:rsid w:val="16C12321"/>
    <w:rsid w:val="16C6339E"/>
    <w:rsid w:val="16D96680"/>
    <w:rsid w:val="16F807DF"/>
    <w:rsid w:val="17067369"/>
    <w:rsid w:val="172F2D79"/>
    <w:rsid w:val="173B6FF4"/>
    <w:rsid w:val="17431E8D"/>
    <w:rsid w:val="17557BEF"/>
    <w:rsid w:val="178F7340"/>
    <w:rsid w:val="17D349C1"/>
    <w:rsid w:val="17F35B20"/>
    <w:rsid w:val="1830729E"/>
    <w:rsid w:val="186B1B5B"/>
    <w:rsid w:val="1870062C"/>
    <w:rsid w:val="18817102"/>
    <w:rsid w:val="18830A15"/>
    <w:rsid w:val="18852B28"/>
    <w:rsid w:val="188B5321"/>
    <w:rsid w:val="18B57EB9"/>
    <w:rsid w:val="18F558C8"/>
    <w:rsid w:val="18FC4BD3"/>
    <w:rsid w:val="191E6BCD"/>
    <w:rsid w:val="1922234A"/>
    <w:rsid w:val="19333420"/>
    <w:rsid w:val="19362169"/>
    <w:rsid w:val="19510D51"/>
    <w:rsid w:val="19720801"/>
    <w:rsid w:val="198464BC"/>
    <w:rsid w:val="19932372"/>
    <w:rsid w:val="19A20DD5"/>
    <w:rsid w:val="19AE03F1"/>
    <w:rsid w:val="19B4687B"/>
    <w:rsid w:val="19C90789"/>
    <w:rsid w:val="19CE1487"/>
    <w:rsid w:val="19E64A97"/>
    <w:rsid w:val="1A004525"/>
    <w:rsid w:val="1A071A03"/>
    <w:rsid w:val="1A0933D9"/>
    <w:rsid w:val="1A1F16AE"/>
    <w:rsid w:val="1A3B5C77"/>
    <w:rsid w:val="1A693C87"/>
    <w:rsid w:val="1A984BAD"/>
    <w:rsid w:val="1AB8220E"/>
    <w:rsid w:val="1AE4166C"/>
    <w:rsid w:val="1AF06CFB"/>
    <w:rsid w:val="1AF11B8D"/>
    <w:rsid w:val="1B11359C"/>
    <w:rsid w:val="1B2A271F"/>
    <w:rsid w:val="1B530544"/>
    <w:rsid w:val="1B713184"/>
    <w:rsid w:val="1BA209CF"/>
    <w:rsid w:val="1BB4777D"/>
    <w:rsid w:val="1BD75AB8"/>
    <w:rsid w:val="1C0254B4"/>
    <w:rsid w:val="1C0459C2"/>
    <w:rsid w:val="1C1B3B4A"/>
    <w:rsid w:val="1C241E60"/>
    <w:rsid w:val="1C2F5932"/>
    <w:rsid w:val="1C40430A"/>
    <w:rsid w:val="1C6A2129"/>
    <w:rsid w:val="1C88086E"/>
    <w:rsid w:val="1CD23809"/>
    <w:rsid w:val="1CD35F20"/>
    <w:rsid w:val="1CF10155"/>
    <w:rsid w:val="1D266CE1"/>
    <w:rsid w:val="1D3963AF"/>
    <w:rsid w:val="1D6A673C"/>
    <w:rsid w:val="1D7B3404"/>
    <w:rsid w:val="1D9247AE"/>
    <w:rsid w:val="1DB567EC"/>
    <w:rsid w:val="1DDB4F4E"/>
    <w:rsid w:val="1DF51A98"/>
    <w:rsid w:val="1E220F0E"/>
    <w:rsid w:val="1E3D060F"/>
    <w:rsid w:val="1E3F7D2E"/>
    <w:rsid w:val="1E4134E4"/>
    <w:rsid w:val="1E430E84"/>
    <w:rsid w:val="1E5062B3"/>
    <w:rsid w:val="1E523514"/>
    <w:rsid w:val="1E714A66"/>
    <w:rsid w:val="1E731769"/>
    <w:rsid w:val="1E802593"/>
    <w:rsid w:val="1EA703CC"/>
    <w:rsid w:val="1EB7330C"/>
    <w:rsid w:val="1EC27FFB"/>
    <w:rsid w:val="1F0A0FF3"/>
    <w:rsid w:val="1F357B24"/>
    <w:rsid w:val="1F5771FF"/>
    <w:rsid w:val="1F7F5EEC"/>
    <w:rsid w:val="1FE868A9"/>
    <w:rsid w:val="1FEF5926"/>
    <w:rsid w:val="1FF40688"/>
    <w:rsid w:val="20034907"/>
    <w:rsid w:val="20173E4B"/>
    <w:rsid w:val="204E48BC"/>
    <w:rsid w:val="206A26F8"/>
    <w:rsid w:val="208921B3"/>
    <w:rsid w:val="20930F2E"/>
    <w:rsid w:val="20973DEB"/>
    <w:rsid w:val="20B26522"/>
    <w:rsid w:val="20B44310"/>
    <w:rsid w:val="20E10F60"/>
    <w:rsid w:val="20E9246E"/>
    <w:rsid w:val="20FD531A"/>
    <w:rsid w:val="211116EB"/>
    <w:rsid w:val="211A22EA"/>
    <w:rsid w:val="215C4736"/>
    <w:rsid w:val="216133FC"/>
    <w:rsid w:val="216F2CC8"/>
    <w:rsid w:val="21D56769"/>
    <w:rsid w:val="21E52EF3"/>
    <w:rsid w:val="21FB5D7B"/>
    <w:rsid w:val="220B1C3D"/>
    <w:rsid w:val="221D1D20"/>
    <w:rsid w:val="22334A87"/>
    <w:rsid w:val="22BE6801"/>
    <w:rsid w:val="22EA7B20"/>
    <w:rsid w:val="233500BF"/>
    <w:rsid w:val="23377FF7"/>
    <w:rsid w:val="23533917"/>
    <w:rsid w:val="236B425F"/>
    <w:rsid w:val="23836192"/>
    <w:rsid w:val="238C7853"/>
    <w:rsid w:val="23901F29"/>
    <w:rsid w:val="239C0061"/>
    <w:rsid w:val="23B908A4"/>
    <w:rsid w:val="23CD24BD"/>
    <w:rsid w:val="23E95BEF"/>
    <w:rsid w:val="23F12DAC"/>
    <w:rsid w:val="23FD0064"/>
    <w:rsid w:val="24066BDB"/>
    <w:rsid w:val="245375B0"/>
    <w:rsid w:val="24642C0A"/>
    <w:rsid w:val="2482431B"/>
    <w:rsid w:val="24AD2DBB"/>
    <w:rsid w:val="24B22173"/>
    <w:rsid w:val="24B95AD9"/>
    <w:rsid w:val="24BE24DA"/>
    <w:rsid w:val="24CF5825"/>
    <w:rsid w:val="24D663E6"/>
    <w:rsid w:val="24D77F2B"/>
    <w:rsid w:val="24EE179A"/>
    <w:rsid w:val="250F6B1C"/>
    <w:rsid w:val="251D6AF8"/>
    <w:rsid w:val="25381017"/>
    <w:rsid w:val="255143B7"/>
    <w:rsid w:val="2556149D"/>
    <w:rsid w:val="258B00E2"/>
    <w:rsid w:val="25A641D2"/>
    <w:rsid w:val="25A917A6"/>
    <w:rsid w:val="25BE27CC"/>
    <w:rsid w:val="25F74A5C"/>
    <w:rsid w:val="2628662C"/>
    <w:rsid w:val="262D45DE"/>
    <w:rsid w:val="265C41DF"/>
    <w:rsid w:val="26772327"/>
    <w:rsid w:val="26816DA7"/>
    <w:rsid w:val="26A53EF9"/>
    <w:rsid w:val="26A94201"/>
    <w:rsid w:val="26AC274F"/>
    <w:rsid w:val="26AF0B88"/>
    <w:rsid w:val="26B81BAE"/>
    <w:rsid w:val="26E13E82"/>
    <w:rsid w:val="27035654"/>
    <w:rsid w:val="27044A29"/>
    <w:rsid w:val="271D34C8"/>
    <w:rsid w:val="274F1A8E"/>
    <w:rsid w:val="2753038A"/>
    <w:rsid w:val="276142BF"/>
    <w:rsid w:val="2776783B"/>
    <w:rsid w:val="27783712"/>
    <w:rsid w:val="277B343D"/>
    <w:rsid w:val="278F2573"/>
    <w:rsid w:val="27907362"/>
    <w:rsid w:val="27D25752"/>
    <w:rsid w:val="28210B10"/>
    <w:rsid w:val="28292E99"/>
    <w:rsid w:val="28333E1D"/>
    <w:rsid w:val="28454BD6"/>
    <w:rsid w:val="28455253"/>
    <w:rsid w:val="28551971"/>
    <w:rsid w:val="285B1C53"/>
    <w:rsid w:val="28732366"/>
    <w:rsid w:val="289F7086"/>
    <w:rsid w:val="28BC1659"/>
    <w:rsid w:val="28C32028"/>
    <w:rsid w:val="28CC490F"/>
    <w:rsid w:val="28DE40AA"/>
    <w:rsid w:val="292D69B8"/>
    <w:rsid w:val="29345E77"/>
    <w:rsid w:val="294C32E2"/>
    <w:rsid w:val="294C65AD"/>
    <w:rsid w:val="29806583"/>
    <w:rsid w:val="298B3C4C"/>
    <w:rsid w:val="29BA1071"/>
    <w:rsid w:val="29BA109E"/>
    <w:rsid w:val="29DF48AB"/>
    <w:rsid w:val="29F26D24"/>
    <w:rsid w:val="2A15033F"/>
    <w:rsid w:val="2A1662C1"/>
    <w:rsid w:val="2A1C7367"/>
    <w:rsid w:val="2A231D86"/>
    <w:rsid w:val="2A2815FA"/>
    <w:rsid w:val="2A2B61C7"/>
    <w:rsid w:val="2A3C3234"/>
    <w:rsid w:val="2A5E32CD"/>
    <w:rsid w:val="2A6D6092"/>
    <w:rsid w:val="2A7D76B4"/>
    <w:rsid w:val="2A816FBC"/>
    <w:rsid w:val="2A88659C"/>
    <w:rsid w:val="2AAE3A07"/>
    <w:rsid w:val="2B437463"/>
    <w:rsid w:val="2B7807EE"/>
    <w:rsid w:val="2B805C8F"/>
    <w:rsid w:val="2B894FDF"/>
    <w:rsid w:val="2BBF00EC"/>
    <w:rsid w:val="2BC37CFD"/>
    <w:rsid w:val="2BD5237F"/>
    <w:rsid w:val="2BE536CE"/>
    <w:rsid w:val="2BE758D9"/>
    <w:rsid w:val="2C09049E"/>
    <w:rsid w:val="2C0A653C"/>
    <w:rsid w:val="2C191F85"/>
    <w:rsid w:val="2C804090"/>
    <w:rsid w:val="2CB2345D"/>
    <w:rsid w:val="2CD900F7"/>
    <w:rsid w:val="2CDB6B32"/>
    <w:rsid w:val="2CE82D6F"/>
    <w:rsid w:val="2D343236"/>
    <w:rsid w:val="2D3C71CA"/>
    <w:rsid w:val="2DC53663"/>
    <w:rsid w:val="2DD15014"/>
    <w:rsid w:val="2DD57B19"/>
    <w:rsid w:val="2DF72DE4"/>
    <w:rsid w:val="2E0220AF"/>
    <w:rsid w:val="2E4B082A"/>
    <w:rsid w:val="2E5D4E86"/>
    <w:rsid w:val="2E5D790B"/>
    <w:rsid w:val="2E7C6A4A"/>
    <w:rsid w:val="2E9A3C18"/>
    <w:rsid w:val="2EB2312B"/>
    <w:rsid w:val="2EBB0FEE"/>
    <w:rsid w:val="2EBD258D"/>
    <w:rsid w:val="2EC63002"/>
    <w:rsid w:val="2EE87609"/>
    <w:rsid w:val="2F0A6B38"/>
    <w:rsid w:val="2F435EC0"/>
    <w:rsid w:val="2F5F1E57"/>
    <w:rsid w:val="2F736A5D"/>
    <w:rsid w:val="2F832175"/>
    <w:rsid w:val="2F912229"/>
    <w:rsid w:val="2F946CCB"/>
    <w:rsid w:val="2FC305C0"/>
    <w:rsid w:val="2FD25781"/>
    <w:rsid w:val="2FEF49C8"/>
    <w:rsid w:val="2FFD7934"/>
    <w:rsid w:val="30176275"/>
    <w:rsid w:val="30733ACD"/>
    <w:rsid w:val="308C3862"/>
    <w:rsid w:val="309379D8"/>
    <w:rsid w:val="30A270F7"/>
    <w:rsid w:val="30B76423"/>
    <w:rsid w:val="30C45E54"/>
    <w:rsid w:val="30DF1478"/>
    <w:rsid w:val="30EC586F"/>
    <w:rsid w:val="311C7A3E"/>
    <w:rsid w:val="31655F8F"/>
    <w:rsid w:val="319C6071"/>
    <w:rsid w:val="31AC537E"/>
    <w:rsid w:val="31BA22FF"/>
    <w:rsid w:val="31BB1031"/>
    <w:rsid w:val="31DD0839"/>
    <w:rsid w:val="31E3679B"/>
    <w:rsid w:val="31E40EB3"/>
    <w:rsid w:val="31E732FD"/>
    <w:rsid w:val="32117F60"/>
    <w:rsid w:val="322023D2"/>
    <w:rsid w:val="32236062"/>
    <w:rsid w:val="322936D7"/>
    <w:rsid w:val="324C4297"/>
    <w:rsid w:val="32517576"/>
    <w:rsid w:val="328C6723"/>
    <w:rsid w:val="32917FB8"/>
    <w:rsid w:val="3295019B"/>
    <w:rsid w:val="329C6AA0"/>
    <w:rsid w:val="32BE5C2C"/>
    <w:rsid w:val="32FB6478"/>
    <w:rsid w:val="33223266"/>
    <w:rsid w:val="33263B3F"/>
    <w:rsid w:val="333F226C"/>
    <w:rsid w:val="33466FF4"/>
    <w:rsid w:val="33572FB0"/>
    <w:rsid w:val="336963EB"/>
    <w:rsid w:val="33816EEB"/>
    <w:rsid w:val="3385640C"/>
    <w:rsid w:val="33EB55CD"/>
    <w:rsid w:val="33EC4C02"/>
    <w:rsid w:val="340D2360"/>
    <w:rsid w:val="3410665D"/>
    <w:rsid w:val="34190265"/>
    <w:rsid w:val="34211214"/>
    <w:rsid w:val="342E63AB"/>
    <w:rsid w:val="3458094E"/>
    <w:rsid w:val="348139DB"/>
    <w:rsid w:val="348D63C4"/>
    <w:rsid w:val="34950E68"/>
    <w:rsid w:val="34986E94"/>
    <w:rsid w:val="34A007DF"/>
    <w:rsid w:val="34AF62C9"/>
    <w:rsid w:val="34CB4388"/>
    <w:rsid w:val="34E402F2"/>
    <w:rsid w:val="34FA6E12"/>
    <w:rsid w:val="3565547E"/>
    <w:rsid w:val="358D5588"/>
    <w:rsid w:val="35EB2851"/>
    <w:rsid w:val="363A3B40"/>
    <w:rsid w:val="3640364D"/>
    <w:rsid w:val="365302AE"/>
    <w:rsid w:val="36607A0A"/>
    <w:rsid w:val="366E227C"/>
    <w:rsid w:val="366F2E0D"/>
    <w:rsid w:val="367B0BBA"/>
    <w:rsid w:val="367B6A5C"/>
    <w:rsid w:val="36A74ADA"/>
    <w:rsid w:val="36AD60D5"/>
    <w:rsid w:val="36B224F9"/>
    <w:rsid w:val="36D02BCD"/>
    <w:rsid w:val="36EC0CC9"/>
    <w:rsid w:val="36F0646E"/>
    <w:rsid w:val="37092813"/>
    <w:rsid w:val="37206BED"/>
    <w:rsid w:val="372B2789"/>
    <w:rsid w:val="373F410B"/>
    <w:rsid w:val="37500665"/>
    <w:rsid w:val="37CB66F5"/>
    <w:rsid w:val="37EE7094"/>
    <w:rsid w:val="37FF7009"/>
    <w:rsid w:val="38126DE7"/>
    <w:rsid w:val="38296C89"/>
    <w:rsid w:val="383002EB"/>
    <w:rsid w:val="38586797"/>
    <w:rsid w:val="385F25A5"/>
    <w:rsid w:val="386271CD"/>
    <w:rsid w:val="388A7983"/>
    <w:rsid w:val="38BC0149"/>
    <w:rsid w:val="38CC0229"/>
    <w:rsid w:val="38D138B9"/>
    <w:rsid w:val="38D87D1C"/>
    <w:rsid w:val="38E2331B"/>
    <w:rsid w:val="390D6387"/>
    <w:rsid w:val="39292CF8"/>
    <w:rsid w:val="394C2E8B"/>
    <w:rsid w:val="39636459"/>
    <w:rsid w:val="396B7F6C"/>
    <w:rsid w:val="397B107A"/>
    <w:rsid w:val="39AB7BB1"/>
    <w:rsid w:val="39B417A9"/>
    <w:rsid w:val="39FC5695"/>
    <w:rsid w:val="3A006D8E"/>
    <w:rsid w:val="3A10210A"/>
    <w:rsid w:val="3A3651E5"/>
    <w:rsid w:val="3A5D2B79"/>
    <w:rsid w:val="3A744481"/>
    <w:rsid w:val="3A8C7BEF"/>
    <w:rsid w:val="3A906246"/>
    <w:rsid w:val="3ADE5C5A"/>
    <w:rsid w:val="3B181913"/>
    <w:rsid w:val="3B2349B7"/>
    <w:rsid w:val="3B616CFF"/>
    <w:rsid w:val="3B6259F6"/>
    <w:rsid w:val="3B976654"/>
    <w:rsid w:val="3BA24FE4"/>
    <w:rsid w:val="3BAD24D4"/>
    <w:rsid w:val="3BC01EFC"/>
    <w:rsid w:val="3BC817CD"/>
    <w:rsid w:val="3BCA786A"/>
    <w:rsid w:val="3BD31E2F"/>
    <w:rsid w:val="3BF15831"/>
    <w:rsid w:val="3C08753D"/>
    <w:rsid w:val="3C105946"/>
    <w:rsid w:val="3C234620"/>
    <w:rsid w:val="3C2C4053"/>
    <w:rsid w:val="3C450698"/>
    <w:rsid w:val="3C471448"/>
    <w:rsid w:val="3C5F759A"/>
    <w:rsid w:val="3C6C525A"/>
    <w:rsid w:val="3CCE23CB"/>
    <w:rsid w:val="3CD17D17"/>
    <w:rsid w:val="3CFC668C"/>
    <w:rsid w:val="3D0543A1"/>
    <w:rsid w:val="3D163594"/>
    <w:rsid w:val="3D181C2D"/>
    <w:rsid w:val="3D3C7F39"/>
    <w:rsid w:val="3D440F09"/>
    <w:rsid w:val="3D4504A0"/>
    <w:rsid w:val="3D474095"/>
    <w:rsid w:val="3D5F3D5B"/>
    <w:rsid w:val="3D8734BB"/>
    <w:rsid w:val="3D912D0A"/>
    <w:rsid w:val="3D9A11D4"/>
    <w:rsid w:val="3DA16D89"/>
    <w:rsid w:val="3DA364BE"/>
    <w:rsid w:val="3DE041CB"/>
    <w:rsid w:val="3DEE38C5"/>
    <w:rsid w:val="3E015942"/>
    <w:rsid w:val="3E0D48F6"/>
    <w:rsid w:val="3E1868B4"/>
    <w:rsid w:val="3E285379"/>
    <w:rsid w:val="3E377251"/>
    <w:rsid w:val="3E412892"/>
    <w:rsid w:val="3E42664B"/>
    <w:rsid w:val="3E5A7334"/>
    <w:rsid w:val="3E7B5D6B"/>
    <w:rsid w:val="3E843E66"/>
    <w:rsid w:val="3E8F51FE"/>
    <w:rsid w:val="3E926F87"/>
    <w:rsid w:val="3E9A59DE"/>
    <w:rsid w:val="3EAF4836"/>
    <w:rsid w:val="3EC33DFA"/>
    <w:rsid w:val="3EE54794"/>
    <w:rsid w:val="3EE871B2"/>
    <w:rsid w:val="3F004CD5"/>
    <w:rsid w:val="3F060E16"/>
    <w:rsid w:val="3F1D1096"/>
    <w:rsid w:val="3F2F0234"/>
    <w:rsid w:val="3F4A1C1A"/>
    <w:rsid w:val="3F6363FE"/>
    <w:rsid w:val="3F664136"/>
    <w:rsid w:val="3F756B8F"/>
    <w:rsid w:val="3F95482B"/>
    <w:rsid w:val="3F9E3A0C"/>
    <w:rsid w:val="3FB11C9A"/>
    <w:rsid w:val="3FD57736"/>
    <w:rsid w:val="3FE5455B"/>
    <w:rsid w:val="3FEC4A80"/>
    <w:rsid w:val="3FEE6372"/>
    <w:rsid w:val="4019356B"/>
    <w:rsid w:val="403F72A5"/>
    <w:rsid w:val="405014B2"/>
    <w:rsid w:val="40555D6E"/>
    <w:rsid w:val="40592157"/>
    <w:rsid w:val="406E1CAE"/>
    <w:rsid w:val="40956EC5"/>
    <w:rsid w:val="40970E8F"/>
    <w:rsid w:val="40A0133A"/>
    <w:rsid w:val="40C31A53"/>
    <w:rsid w:val="40E228C9"/>
    <w:rsid w:val="40F1661A"/>
    <w:rsid w:val="40FF545D"/>
    <w:rsid w:val="410067C8"/>
    <w:rsid w:val="41022C69"/>
    <w:rsid w:val="41327357"/>
    <w:rsid w:val="41520B3C"/>
    <w:rsid w:val="418F0D2A"/>
    <w:rsid w:val="41A03D74"/>
    <w:rsid w:val="41D01505"/>
    <w:rsid w:val="41DC583F"/>
    <w:rsid w:val="42474939"/>
    <w:rsid w:val="424C3C57"/>
    <w:rsid w:val="42613FF3"/>
    <w:rsid w:val="42660D96"/>
    <w:rsid w:val="426B4B87"/>
    <w:rsid w:val="428667D2"/>
    <w:rsid w:val="429873D8"/>
    <w:rsid w:val="42CD1CE0"/>
    <w:rsid w:val="42E1381E"/>
    <w:rsid w:val="42ED6459"/>
    <w:rsid w:val="42FE58DD"/>
    <w:rsid w:val="43174B3D"/>
    <w:rsid w:val="43234C5C"/>
    <w:rsid w:val="432D3ED6"/>
    <w:rsid w:val="433E3844"/>
    <w:rsid w:val="433E55F2"/>
    <w:rsid w:val="434B790E"/>
    <w:rsid w:val="434C1AB7"/>
    <w:rsid w:val="4360274F"/>
    <w:rsid w:val="43947908"/>
    <w:rsid w:val="43977AB6"/>
    <w:rsid w:val="43A3342B"/>
    <w:rsid w:val="43C7383A"/>
    <w:rsid w:val="43C77C27"/>
    <w:rsid w:val="43CC07A5"/>
    <w:rsid w:val="43D561DF"/>
    <w:rsid w:val="43DE09EE"/>
    <w:rsid w:val="43E27107"/>
    <w:rsid w:val="44002FAD"/>
    <w:rsid w:val="443B20A2"/>
    <w:rsid w:val="445300EE"/>
    <w:rsid w:val="449101DD"/>
    <w:rsid w:val="44A1584A"/>
    <w:rsid w:val="44DE1391"/>
    <w:rsid w:val="451B225C"/>
    <w:rsid w:val="452410C9"/>
    <w:rsid w:val="45317DFB"/>
    <w:rsid w:val="456D3CE4"/>
    <w:rsid w:val="4579042C"/>
    <w:rsid w:val="457F0571"/>
    <w:rsid w:val="45851176"/>
    <w:rsid w:val="45AB1D67"/>
    <w:rsid w:val="45B1654F"/>
    <w:rsid w:val="45C63B94"/>
    <w:rsid w:val="45EE77A4"/>
    <w:rsid w:val="46001285"/>
    <w:rsid w:val="460E7DA5"/>
    <w:rsid w:val="4613530C"/>
    <w:rsid w:val="46422483"/>
    <w:rsid w:val="46586D4B"/>
    <w:rsid w:val="4659254A"/>
    <w:rsid w:val="465B0637"/>
    <w:rsid w:val="465E3F0D"/>
    <w:rsid w:val="466A16E6"/>
    <w:rsid w:val="46893F2B"/>
    <w:rsid w:val="46BF2EEE"/>
    <w:rsid w:val="46C4686E"/>
    <w:rsid w:val="46CB50C4"/>
    <w:rsid w:val="472E597E"/>
    <w:rsid w:val="47451458"/>
    <w:rsid w:val="474E6ECD"/>
    <w:rsid w:val="47550F69"/>
    <w:rsid w:val="476562C5"/>
    <w:rsid w:val="477B778F"/>
    <w:rsid w:val="478203EC"/>
    <w:rsid w:val="47AE70AD"/>
    <w:rsid w:val="47B025FA"/>
    <w:rsid w:val="47EB01EC"/>
    <w:rsid w:val="47F069A1"/>
    <w:rsid w:val="480049E5"/>
    <w:rsid w:val="4809698F"/>
    <w:rsid w:val="481153EC"/>
    <w:rsid w:val="4811697D"/>
    <w:rsid w:val="487A3E25"/>
    <w:rsid w:val="487C5A2E"/>
    <w:rsid w:val="488B5503"/>
    <w:rsid w:val="48937E21"/>
    <w:rsid w:val="489A0361"/>
    <w:rsid w:val="48B94FF3"/>
    <w:rsid w:val="48E37AAB"/>
    <w:rsid w:val="48F5617E"/>
    <w:rsid w:val="48FD4B4C"/>
    <w:rsid w:val="490A68E0"/>
    <w:rsid w:val="491055FE"/>
    <w:rsid w:val="492B43F9"/>
    <w:rsid w:val="495F5B3E"/>
    <w:rsid w:val="496F77D7"/>
    <w:rsid w:val="497654FD"/>
    <w:rsid w:val="49A77509"/>
    <w:rsid w:val="49B64211"/>
    <w:rsid w:val="49E76C62"/>
    <w:rsid w:val="49F6167F"/>
    <w:rsid w:val="49FC7FB5"/>
    <w:rsid w:val="4A064FA0"/>
    <w:rsid w:val="4A16615C"/>
    <w:rsid w:val="4A3A1D79"/>
    <w:rsid w:val="4A3E412A"/>
    <w:rsid w:val="4A4424D7"/>
    <w:rsid w:val="4AB82D0F"/>
    <w:rsid w:val="4AEB7664"/>
    <w:rsid w:val="4AFD7C19"/>
    <w:rsid w:val="4B0567D1"/>
    <w:rsid w:val="4B0C175B"/>
    <w:rsid w:val="4B236AAE"/>
    <w:rsid w:val="4B335C59"/>
    <w:rsid w:val="4B707271"/>
    <w:rsid w:val="4B9739F7"/>
    <w:rsid w:val="4B9F509C"/>
    <w:rsid w:val="4BAB1236"/>
    <w:rsid w:val="4BEE2503"/>
    <w:rsid w:val="4BF7788F"/>
    <w:rsid w:val="4C0D79D9"/>
    <w:rsid w:val="4C245A30"/>
    <w:rsid w:val="4C3103EA"/>
    <w:rsid w:val="4C431ECB"/>
    <w:rsid w:val="4CB6685F"/>
    <w:rsid w:val="4CC367FE"/>
    <w:rsid w:val="4CDE48D2"/>
    <w:rsid w:val="4D077F3C"/>
    <w:rsid w:val="4D123355"/>
    <w:rsid w:val="4D2A3B31"/>
    <w:rsid w:val="4D312C52"/>
    <w:rsid w:val="4D391974"/>
    <w:rsid w:val="4D673998"/>
    <w:rsid w:val="4D8C1650"/>
    <w:rsid w:val="4D905305"/>
    <w:rsid w:val="4D964A72"/>
    <w:rsid w:val="4D987BF7"/>
    <w:rsid w:val="4D9C1254"/>
    <w:rsid w:val="4DB0533F"/>
    <w:rsid w:val="4DD43DBB"/>
    <w:rsid w:val="4DF0583A"/>
    <w:rsid w:val="4DF55A74"/>
    <w:rsid w:val="4E793892"/>
    <w:rsid w:val="4E800872"/>
    <w:rsid w:val="4EC569ED"/>
    <w:rsid w:val="4ED50EA1"/>
    <w:rsid w:val="4EEC050C"/>
    <w:rsid w:val="4F104EC3"/>
    <w:rsid w:val="4F47354A"/>
    <w:rsid w:val="4F665C23"/>
    <w:rsid w:val="4F911C54"/>
    <w:rsid w:val="4F935D1C"/>
    <w:rsid w:val="4FBE28EB"/>
    <w:rsid w:val="4FCC0231"/>
    <w:rsid w:val="4FE625E0"/>
    <w:rsid w:val="5021480F"/>
    <w:rsid w:val="5040703F"/>
    <w:rsid w:val="50962ECB"/>
    <w:rsid w:val="50A42E38"/>
    <w:rsid w:val="50A4577F"/>
    <w:rsid w:val="50B73D1F"/>
    <w:rsid w:val="50BD5BC9"/>
    <w:rsid w:val="50C11EEE"/>
    <w:rsid w:val="50D06C7D"/>
    <w:rsid w:val="50E97CFC"/>
    <w:rsid w:val="50FA4028"/>
    <w:rsid w:val="510D65B7"/>
    <w:rsid w:val="511157AB"/>
    <w:rsid w:val="51143E36"/>
    <w:rsid w:val="511E4CB5"/>
    <w:rsid w:val="5142540C"/>
    <w:rsid w:val="514C1822"/>
    <w:rsid w:val="51725301"/>
    <w:rsid w:val="5184720E"/>
    <w:rsid w:val="518832C8"/>
    <w:rsid w:val="51A0432A"/>
    <w:rsid w:val="51A86090"/>
    <w:rsid w:val="51B7396D"/>
    <w:rsid w:val="522E4CC3"/>
    <w:rsid w:val="5244713B"/>
    <w:rsid w:val="52615633"/>
    <w:rsid w:val="528B2487"/>
    <w:rsid w:val="529364A7"/>
    <w:rsid w:val="52977FD4"/>
    <w:rsid w:val="52A25790"/>
    <w:rsid w:val="52A96B6F"/>
    <w:rsid w:val="52AB5723"/>
    <w:rsid w:val="52B07B8F"/>
    <w:rsid w:val="52B45975"/>
    <w:rsid w:val="52BC7724"/>
    <w:rsid w:val="52D94AA4"/>
    <w:rsid w:val="52EA3A62"/>
    <w:rsid w:val="52EE6CEF"/>
    <w:rsid w:val="52F50BB8"/>
    <w:rsid w:val="52F670CF"/>
    <w:rsid w:val="53024DC6"/>
    <w:rsid w:val="53097272"/>
    <w:rsid w:val="533802B0"/>
    <w:rsid w:val="534D282C"/>
    <w:rsid w:val="53544462"/>
    <w:rsid w:val="53703524"/>
    <w:rsid w:val="538A2B86"/>
    <w:rsid w:val="5397158E"/>
    <w:rsid w:val="53DA7B16"/>
    <w:rsid w:val="53E0500A"/>
    <w:rsid w:val="54013861"/>
    <w:rsid w:val="540F6177"/>
    <w:rsid w:val="54186A87"/>
    <w:rsid w:val="543E6703"/>
    <w:rsid w:val="543F11CA"/>
    <w:rsid w:val="54487265"/>
    <w:rsid w:val="544D6070"/>
    <w:rsid w:val="545B74F3"/>
    <w:rsid w:val="54605E1E"/>
    <w:rsid w:val="54785248"/>
    <w:rsid w:val="54B3506A"/>
    <w:rsid w:val="54C92693"/>
    <w:rsid w:val="54CA0D16"/>
    <w:rsid w:val="54DD4057"/>
    <w:rsid w:val="54E7490F"/>
    <w:rsid w:val="54ED50CA"/>
    <w:rsid w:val="54F46459"/>
    <w:rsid w:val="550764A4"/>
    <w:rsid w:val="550B2BF6"/>
    <w:rsid w:val="551811EC"/>
    <w:rsid w:val="55214EB5"/>
    <w:rsid w:val="55240D93"/>
    <w:rsid w:val="552D6C7D"/>
    <w:rsid w:val="552F7491"/>
    <w:rsid w:val="55364EFD"/>
    <w:rsid w:val="555D4828"/>
    <w:rsid w:val="55762895"/>
    <w:rsid w:val="55766E6E"/>
    <w:rsid w:val="557A4C8B"/>
    <w:rsid w:val="558931E1"/>
    <w:rsid w:val="55923347"/>
    <w:rsid w:val="55925180"/>
    <w:rsid w:val="55983B1B"/>
    <w:rsid w:val="55A82322"/>
    <w:rsid w:val="55A82D9F"/>
    <w:rsid w:val="55A8376B"/>
    <w:rsid w:val="55DC29B6"/>
    <w:rsid w:val="55DD4241"/>
    <w:rsid w:val="563805C7"/>
    <w:rsid w:val="566B6D1E"/>
    <w:rsid w:val="56875677"/>
    <w:rsid w:val="56955A19"/>
    <w:rsid w:val="57032A2C"/>
    <w:rsid w:val="570F5219"/>
    <w:rsid w:val="575D12B5"/>
    <w:rsid w:val="575F7626"/>
    <w:rsid w:val="57610A87"/>
    <w:rsid w:val="577B1140"/>
    <w:rsid w:val="577B7F21"/>
    <w:rsid w:val="577F181B"/>
    <w:rsid w:val="57921984"/>
    <w:rsid w:val="579737F0"/>
    <w:rsid w:val="57A746B1"/>
    <w:rsid w:val="57AB7B30"/>
    <w:rsid w:val="57AF5251"/>
    <w:rsid w:val="57B26373"/>
    <w:rsid w:val="57B63F04"/>
    <w:rsid w:val="57CD20C2"/>
    <w:rsid w:val="57D37F96"/>
    <w:rsid w:val="57D675AB"/>
    <w:rsid w:val="57D95FDD"/>
    <w:rsid w:val="57E528E5"/>
    <w:rsid w:val="58424529"/>
    <w:rsid w:val="58917D2F"/>
    <w:rsid w:val="5894085C"/>
    <w:rsid w:val="58AE4F0C"/>
    <w:rsid w:val="58AE7945"/>
    <w:rsid w:val="58B85899"/>
    <w:rsid w:val="58BB3845"/>
    <w:rsid w:val="58E363A9"/>
    <w:rsid w:val="58F76517"/>
    <w:rsid w:val="59113D03"/>
    <w:rsid w:val="592A2449"/>
    <w:rsid w:val="594F01AF"/>
    <w:rsid w:val="595514C8"/>
    <w:rsid w:val="595E1678"/>
    <w:rsid w:val="596622CA"/>
    <w:rsid w:val="596D5BD4"/>
    <w:rsid w:val="59787367"/>
    <w:rsid w:val="597E3DD8"/>
    <w:rsid w:val="598525C9"/>
    <w:rsid w:val="59EE16C8"/>
    <w:rsid w:val="59F80043"/>
    <w:rsid w:val="5A09252F"/>
    <w:rsid w:val="5A0B2778"/>
    <w:rsid w:val="5A0C1B4F"/>
    <w:rsid w:val="5A2A7C7B"/>
    <w:rsid w:val="5A3E2560"/>
    <w:rsid w:val="5A4E0252"/>
    <w:rsid w:val="5A5D3B6E"/>
    <w:rsid w:val="5A637A76"/>
    <w:rsid w:val="5A676EBE"/>
    <w:rsid w:val="5A6D33BA"/>
    <w:rsid w:val="5A792B1F"/>
    <w:rsid w:val="5A874767"/>
    <w:rsid w:val="5A89319F"/>
    <w:rsid w:val="5AAD6F28"/>
    <w:rsid w:val="5AD63A24"/>
    <w:rsid w:val="5AF93AB5"/>
    <w:rsid w:val="5B17376F"/>
    <w:rsid w:val="5B2E1A1D"/>
    <w:rsid w:val="5B6B21CB"/>
    <w:rsid w:val="5B843A1C"/>
    <w:rsid w:val="5B873E3F"/>
    <w:rsid w:val="5BD53DA5"/>
    <w:rsid w:val="5C02690E"/>
    <w:rsid w:val="5C196DA7"/>
    <w:rsid w:val="5C2859B8"/>
    <w:rsid w:val="5C2A048C"/>
    <w:rsid w:val="5C3E3F26"/>
    <w:rsid w:val="5C4625CD"/>
    <w:rsid w:val="5C514191"/>
    <w:rsid w:val="5C594DF3"/>
    <w:rsid w:val="5C80234E"/>
    <w:rsid w:val="5C883B30"/>
    <w:rsid w:val="5C8A680C"/>
    <w:rsid w:val="5CBA0C56"/>
    <w:rsid w:val="5CC20BEA"/>
    <w:rsid w:val="5D0C4701"/>
    <w:rsid w:val="5D0F0395"/>
    <w:rsid w:val="5D221076"/>
    <w:rsid w:val="5D397964"/>
    <w:rsid w:val="5D460767"/>
    <w:rsid w:val="5D543F38"/>
    <w:rsid w:val="5D5A391C"/>
    <w:rsid w:val="5D5F10C0"/>
    <w:rsid w:val="5D695CA0"/>
    <w:rsid w:val="5D891B7B"/>
    <w:rsid w:val="5DA8547A"/>
    <w:rsid w:val="5DAD38EE"/>
    <w:rsid w:val="5DFF4884"/>
    <w:rsid w:val="5E006862"/>
    <w:rsid w:val="5E0207B9"/>
    <w:rsid w:val="5E1834A1"/>
    <w:rsid w:val="5E1E4546"/>
    <w:rsid w:val="5E261785"/>
    <w:rsid w:val="5E437E22"/>
    <w:rsid w:val="5E4A7017"/>
    <w:rsid w:val="5E552BBA"/>
    <w:rsid w:val="5E611C10"/>
    <w:rsid w:val="5E9D190F"/>
    <w:rsid w:val="5EE97FD2"/>
    <w:rsid w:val="5EED1A8B"/>
    <w:rsid w:val="5EF102E5"/>
    <w:rsid w:val="5EFC0BE9"/>
    <w:rsid w:val="5EFC7377"/>
    <w:rsid w:val="5F06174D"/>
    <w:rsid w:val="5F20054B"/>
    <w:rsid w:val="5F3A3602"/>
    <w:rsid w:val="5F470721"/>
    <w:rsid w:val="5F6277C6"/>
    <w:rsid w:val="5F6D0B1D"/>
    <w:rsid w:val="5F8D0B82"/>
    <w:rsid w:val="5FB629CF"/>
    <w:rsid w:val="5FCC5339"/>
    <w:rsid w:val="5FD95CFA"/>
    <w:rsid w:val="5FDF21EC"/>
    <w:rsid w:val="5FE34A5B"/>
    <w:rsid w:val="5FFE1E36"/>
    <w:rsid w:val="60192AFA"/>
    <w:rsid w:val="601E0A14"/>
    <w:rsid w:val="60232584"/>
    <w:rsid w:val="604007A4"/>
    <w:rsid w:val="604310ED"/>
    <w:rsid w:val="606C3347"/>
    <w:rsid w:val="60702699"/>
    <w:rsid w:val="607330CE"/>
    <w:rsid w:val="60825176"/>
    <w:rsid w:val="609F2AC4"/>
    <w:rsid w:val="60F4333C"/>
    <w:rsid w:val="60FA2EE8"/>
    <w:rsid w:val="61054A27"/>
    <w:rsid w:val="610A52BC"/>
    <w:rsid w:val="611D2366"/>
    <w:rsid w:val="61421856"/>
    <w:rsid w:val="614D13CA"/>
    <w:rsid w:val="615227C4"/>
    <w:rsid w:val="61654E3F"/>
    <w:rsid w:val="61697BBD"/>
    <w:rsid w:val="61736957"/>
    <w:rsid w:val="6182292A"/>
    <w:rsid w:val="619F7F92"/>
    <w:rsid w:val="61BC02FE"/>
    <w:rsid w:val="61BF1B9C"/>
    <w:rsid w:val="61DF5D9B"/>
    <w:rsid w:val="61F94C26"/>
    <w:rsid w:val="62000E56"/>
    <w:rsid w:val="62194055"/>
    <w:rsid w:val="624034C1"/>
    <w:rsid w:val="624F3E49"/>
    <w:rsid w:val="62632286"/>
    <w:rsid w:val="626C3AD2"/>
    <w:rsid w:val="62744735"/>
    <w:rsid w:val="62885958"/>
    <w:rsid w:val="62A27175"/>
    <w:rsid w:val="62A3501A"/>
    <w:rsid w:val="62F40B65"/>
    <w:rsid w:val="62F45B47"/>
    <w:rsid w:val="62FB09B2"/>
    <w:rsid w:val="62FC2CFE"/>
    <w:rsid w:val="63024505"/>
    <w:rsid w:val="630A1DE2"/>
    <w:rsid w:val="6317701F"/>
    <w:rsid w:val="63526744"/>
    <w:rsid w:val="63583DC3"/>
    <w:rsid w:val="635B1DB5"/>
    <w:rsid w:val="63711FED"/>
    <w:rsid w:val="637C7D45"/>
    <w:rsid w:val="63880DDC"/>
    <w:rsid w:val="63892ADC"/>
    <w:rsid w:val="638D750D"/>
    <w:rsid w:val="63AC6CC0"/>
    <w:rsid w:val="63E076CD"/>
    <w:rsid w:val="64055776"/>
    <w:rsid w:val="64240056"/>
    <w:rsid w:val="643E143A"/>
    <w:rsid w:val="645F28D1"/>
    <w:rsid w:val="647E5D3F"/>
    <w:rsid w:val="6483767E"/>
    <w:rsid w:val="648B6EEF"/>
    <w:rsid w:val="64C158BF"/>
    <w:rsid w:val="64CE2EAA"/>
    <w:rsid w:val="64E078AA"/>
    <w:rsid w:val="653603C7"/>
    <w:rsid w:val="653C3090"/>
    <w:rsid w:val="65826562"/>
    <w:rsid w:val="65854376"/>
    <w:rsid w:val="658767BE"/>
    <w:rsid w:val="65892531"/>
    <w:rsid w:val="65944C7D"/>
    <w:rsid w:val="659C46CE"/>
    <w:rsid w:val="65AC6F8A"/>
    <w:rsid w:val="66195831"/>
    <w:rsid w:val="662E75B1"/>
    <w:rsid w:val="66342C2E"/>
    <w:rsid w:val="663E784C"/>
    <w:rsid w:val="665E7BD6"/>
    <w:rsid w:val="668B6A45"/>
    <w:rsid w:val="67114C48"/>
    <w:rsid w:val="672F3F24"/>
    <w:rsid w:val="673E055F"/>
    <w:rsid w:val="67551CE3"/>
    <w:rsid w:val="67A22552"/>
    <w:rsid w:val="67AA28C1"/>
    <w:rsid w:val="67B22DCC"/>
    <w:rsid w:val="67BE71AA"/>
    <w:rsid w:val="67D90273"/>
    <w:rsid w:val="67DE5875"/>
    <w:rsid w:val="67E55852"/>
    <w:rsid w:val="67EB1AB4"/>
    <w:rsid w:val="67FA1285"/>
    <w:rsid w:val="68152516"/>
    <w:rsid w:val="6816363F"/>
    <w:rsid w:val="68177C84"/>
    <w:rsid w:val="68446E18"/>
    <w:rsid w:val="684613FA"/>
    <w:rsid w:val="68551F4F"/>
    <w:rsid w:val="687C10C9"/>
    <w:rsid w:val="68840C16"/>
    <w:rsid w:val="68876EFB"/>
    <w:rsid w:val="68884654"/>
    <w:rsid w:val="689254B2"/>
    <w:rsid w:val="689F444F"/>
    <w:rsid w:val="68AD274F"/>
    <w:rsid w:val="68B73708"/>
    <w:rsid w:val="68B96DBB"/>
    <w:rsid w:val="68CA2805"/>
    <w:rsid w:val="68E937A3"/>
    <w:rsid w:val="68E97798"/>
    <w:rsid w:val="693E15D3"/>
    <w:rsid w:val="69627681"/>
    <w:rsid w:val="6977531D"/>
    <w:rsid w:val="69872FA0"/>
    <w:rsid w:val="699120AA"/>
    <w:rsid w:val="6996263B"/>
    <w:rsid w:val="69CC2BFF"/>
    <w:rsid w:val="69D87020"/>
    <w:rsid w:val="69EB1E27"/>
    <w:rsid w:val="69FD55B8"/>
    <w:rsid w:val="6A087180"/>
    <w:rsid w:val="6A0B1C62"/>
    <w:rsid w:val="6A1707C7"/>
    <w:rsid w:val="6A2406C8"/>
    <w:rsid w:val="6A287F49"/>
    <w:rsid w:val="6A3A59A8"/>
    <w:rsid w:val="6A7774B8"/>
    <w:rsid w:val="6A9C6EDD"/>
    <w:rsid w:val="6AC91EBE"/>
    <w:rsid w:val="6AC975E8"/>
    <w:rsid w:val="6ADE0BD1"/>
    <w:rsid w:val="6AE96859"/>
    <w:rsid w:val="6B147746"/>
    <w:rsid w:val="6B24787C"/>
    <w:rsid w:val="6B564DC0"/>
    <w:rsid w:val="6B573233"/>
    <w:rsid w:val="6B590889"/>
    <w:rsid w:val="6B5B6274"/>
    <w:rsid w:val="6B6537B4"/>
    <w:rsid w:val="6B685053"/>
    <w:rsid w:val="6B6F4633"/>
    <w:rsid w:val="6B935D53"/>
    <w:rsid w:val="6BC02799"/>
    <w:rsid w:val="6BD2468F"/>
    <w:rsid w:val="6C196F71"/>
    <w:rsid w:val="6C226FCB"/>
    <w:rsid w:val="6C250955"/>
    <w:rsid w:val="6C31226F"/>
    <w:rsid w:val="6C552F0B"/>
    <w:rsid w:val="6C711CE5"/>
    <w:rsid w:val="6C8C67B7"/>
    <w:rsid w:val="6C9D744C"/>
    <w:rsid w:val="6D167928"/>
    <w:rsid w:val="6D24765D"/>
    <w:rsid w:val="6D26299B"/>
    <w:rsid w:val="6D2B2A93"/>
    <w:rsid w:val="6D2B6338"/>
    <w:rsid w:val="6D4772EC"/>
    <w:rsid w:val="6D9078AF"/>
    <w:rsid w:val="6DA71E62"/>
    <w:rsid w:val="6DAA3FEF"/>
    <w:rsid w:val="6DB36A59"/>
    <w:rsid w:val="6DC0172B"/>
    <w:rsid w:val="6DCB690C"/>
    <w:rsid w:val="6DCC692E"/>
    <w:rsid w:val="6DD41A5B"/>
    <w:rsid w:val="6DF43C2E"/>
    <w:rsid w:val="6DF51CA3"/>
    <w:rsid w:val="6E091601"/>
    <w:rsid w:val="6E1114AE"/>
    <w:rsid w:val="6E1B015A"/>
    <w:rsid w:val="6E34591A"/>
    <w:rsid w:val="6E5F098F"/>
    <w:rsid w:val="6E7475A2"/>
    <w:rsid w:val="6E8335BD"/>
    <w:rsid w:val="6E8E12EF"/>
    <w:rsid w:val="6E972936"/>
    <w:rsid w:val="6ED446C5"/>
    <w:rsid w:val="6EF43874"/>
    <w:rsid w:val="6F2A7D94"/>
    <w:rsid w:val="6F4D700C"/>
    <w:rsid w:val="6F8331F1"/>
    <w:rsid w:val="6FAE1A09"/>
    <w:rsid w:val="6FB16FC8"/>
    <w:rsid w:val="6FBC1352"/>
    <w:rsid w:val="6FC50CC6"/>
    <w:rsid w:val="6FD75BF8"/>
    <w:rsid w:val="6FE95DE3"/>
    <w:rsid w:val="700C41FF"/>
    <w:rsid w:val="701E4F19"/>
    <w:rsid w:val="70701516"/>
    <w:rsid w:val="707669D2"/>
    <w:rsid w:val="707723D0"/>
    <w:rsid w:val="707A4D9E"/>
    <w:rsid w:val="70814BED"/>
    <w:rsid w:val="70C9622D"/>
    <w:rsid w:val="70E86ED8"/>
    <w:rsid w:val="70ED50B2"/>
    <w:rsid w:val="70F5661B"/>
    <w:rsid w:val="7104137A"/>
    <w:rsid w:val="710F4925"/>
    <w:rsid w:val="71360107"/>
    <w:rsid w:val="713B688E"/>
    <w:rsid w:val="7146332A"/>
    <w:rsid w:val="71940648"/>
    <w:rsid w:val="71D43752"/>
    <w:rsid w:val="71F1796A"/>
    <w:rsid w:val="71F47640"/>
    <w:rsid w:val="72005FE5"/>
    <w:rsid w:val="72154626"/>
    <w:rsid w:val="72262B5D"/>
    <w:rsid w:val="72283FF7"/>
    <w:rsid w:val="722E7212"/>
    <w:rsid w:val="723A0474"/>
    <w:rsid w:val="723F6274"/>
    <w:rsid w:val="7244571C"/>
    <w:rsid w:val="725923E4"/>
    <w:rsid w:val="72864BF7"/>
    <w:rsid w:val="729023FC"/>
    <w:rsid w:val="72BB4FA1"/>
    <w:rsid w:val="73037217"/>
    <w:rsid w:val="732D1AF5"/>
    <w:rsid w:val="73555EBD"/>
    <w:rsid w:val="737234E5"/>
    <w:rsid w:val="739015EB"/>
    <w:rsid w:val="73C0646E"/>
    <w:rsid w:val="74027703"/>
    <w:rsid w:val="741714DE"/>
    <w:rsid w:val="742222F5"/>
    <w:rsid w:val="74476126"/>
    <w:rsid w:val="745C61F6"/>
    <w:rsid w:val="74706664"/>
    <w:rsid w:val="74787FD2"/>
    <w:rsid w:val="747F3682"/>
    <w:rsid w:val="749055EC"/>
    <w:rsid w:val="749C4185"/>
    <w:rsid w:val="75067759"/>
    <w:rsid w:val="752E6DCD"/>
    <w:rsid w:val="7551380D"/>
    <w:rsid w:val="75600BE5"/>
    <w:rsid w:val="7564475C"/>
    <w:rsid w:val="757F3103"/>
    <w:rsid w:val="7583797F"/>
    <w:rsid w:val="75A6438A"/>
    <w:rsid w:val="75B618B0"/>
    <w:rsid w:val="75D20F1D"/>
    <w:rsid w:val="75DA2C18"/>
    <w:rsid w:val="75DF0A95"/>
    <w:rsid w:val="75E76BF3"/>
    <w:rsid w:val="75F54412"/>
    <w:rsid w:val="761D08E0"/>
    <w:rsid w:val="765D347C"/>
    <w:rsid w:val="76826699"/>
    <w:rsid w:val="769A7EDF"/>
    <w:rsid w:val="76AF663B"/>
    <w:rsid w:val="76C87133"/>
    <w:rsid w:val="76CD08D5"/>
    <w:rsid w:val="76DB4B92"/>
    <w:rsid w:val="76FE553A"/>
    <w:rsid w:val="77012063"/>
    <w:rsid w:val="77052AA4"/>
    <w:rsid w:val="77136511"/>
    <w:rsid w:val="77340A39"/>
    <w:rsid w:val="77351FD0"/>
    <w:rsid w:val="77472422"/>
    <w:rsid w:val="777F31F2"/>
    <w:rsid w:val="77A45665"/>
    <w:rsid w:val="77AB1CE2"/>
    <w:rsid w:val="77B21B30"/>
    <w:rsid w:val="77B77FF7"/>
    <w:rsid w:val="77D1700D"/>
    <w:rsid w:val="77EC04CC"/>
    <w:rsid w:val="77EE267B"/>
    <w:rsid w:val="78244C21"/>
    <w:rsid w:val="78775729"/>
    <w:rsid w:val="78932437"/>
    <w:rsid w:val="78A42DB0"/>
    <w:rsid w:val="78A656AB"/>
    <w:rsid w:val="78B2245C"/>
    <w:rsid w:val="78CA10FB"/>
    <w:rsid w:val="78E172CC"/>
    <w:rsid w:val="78E92AD9"/>
    <w:rsid w:val="78EA1D1F"/>
    <w:rsid w:val="79003D56"/>
    <w:rsid w:val="7904172F"/>
    <w:rsid w:val="790E0FE8"/>
    <w:rsid w:val="790F7E27"/>
    <w:rsid w:val="79210E38"/>
    <w:rsid w:val="79215134"/>
    <w:rsid w:val="792A231A"/>
    <w:rsid w:val="79314CD6"/>
    <w:rsid w:val="79316829"/>
    <w:rsid w:val="797E66A9"/>
    <w:rsid w:val="797E6E81"/>
    <w:rsid w:val="79A97383"/>
    <w:rsid w:val="79AF26F8"/>
    <w:rsid w:val="79E27E8B"/>
    <w:rsid w:val="79E65AC0"/>
    <w:rsid w:val="79F77CCE"/>
    <w:rsid w:val="79F850CE"/>
    <w:rsid w:val="79FD443C"/>
    <w:rsid w:val="7A06112E"/>
    <w:rsid w:val="7A1D1975"/>
    <w:rsid w:val="7A3E5150"/>
    <w:rsid w:val="7A4670D6"/>
    <w:rsid w:val="7A534B63"/>
    <w:rsid w:val="7A615382"/>
    <w:rsid w:val="7A622A67"/>
    <w:rsid w:val="7A6578C5"/>
    <w:rsid w:val="7A67303B"/>
    <w:rsid w:val="7AA65250"/>
    <w:rsid w:val="7AAB1D04"/>
    <w:rsid w:val="7AB771C5"/>
    <w:rsid w:val="7AB93293"/>
    <w:rsid w:val="7ABA4368"/>
    <w:rsid w:val="7ABF2AA6"/>
    <w:rsid w:val="7AD05746"/>
    <w:rsid w:val="7B230961"/>
    <w:rsid w:val="7B257FFD"/>
    <w:rsid w:val="7B315461"/>
    <w:rsid w:val="7B343476"/>
    <w:rsid w:val="7B546DA3"/>
    <w:rsid w:val="7B5A2978"/>
    <w:rsid w:val="7B5A7E4C"/>
    <w:rsid w:val="7B615D46"/>
    <w:rsid w:val="7B667AF9"/>
    <w:rsid w:val="7B7468F8"/>
    <w:rsid w:val="7BDC717B"/>
    <w:rsid w:val="7BEE0103"/>
    <w:rsid w:val="7C0A0FE4"/>
    <w:rsid w:val="7C251A9E"/>
    <w:rsid w:val="7C254906"/>
    <w:rsid w:val="7C590818"/>
    <w:rsid w:val="7C7C10F6"/>
    <w:rsid w:val="7C8414A6"/>
    <w:rsid w:val="7C853BEA"/>
    <w:rsid w:val="7C881368"/>
    <w:rsid w:val="7C887C8C"/>
    <w:rsid w:val="7CC006A1"/>
    <w:rsid w:val="7CC3095C"/>
    <w:rsid w:val="7CE27788"/>
    <w:rsid w:val="7D0708B7"/>
    <w:rsid w:val="7D0C32F1"/>
    <w:rsid w:val="7D0F408D"/>
    <w:rsid w:val="7D1E3EA3"/>
    <w:rsid w:val="7D3905FD"/>
    <w:rsid w:val="7D444E7E"/>
    <w:rsid w:val="7D4551F4"/>
    <w:rsid w:val="7D491C6C"/>
    <w:rsid w:val="7D5429C0"/>
    <w:rsid w:val="7D69505D"/>
    <w:rsid w:val="7D6E6D43"/>
    <w:rsid w:val="7D8C6BBD"/>
    <w:rsid w:val="7D913F95"/>
    <w:rsid w:val="7D9D293A"/>
    <w:rsid w:val="7D9D6DDE"/>
    <w:rsid w:val="7DB57A34"/>
    <w:rsid w:val="7DBF6D54"/>
    <w:rsid w:val="7DE60973"/>
    <w:rsid w:val="7DEF0916"/>
    <w:rsid w:val="7DF2712A"/>
    <w:rsid w:val="7DFB04BA"/>
    <w:rsid w:val="7E1E5218"/>
    <w:rsid w:val="7E272129"/>
    <w:rsid w:val="7E3E3D51"/>
    <w:rsid w:val="7E3E411D"/>
    <w:rsid w:val="7E5356EF"/>
    <w:rsid w:val="7E9A4E1F"/>
    <w:rsid w:val="7EA7723A"/>
    <w:rsid w:val="7ED01F3F"/>
    <w:rsid w:val="7EDE7AA8"/>
    <w:rsid w:val="7EF56FBB"/>
    <w:rsid w:val="7F0768EB"/>
    <w:rsid w:val="7F143BEC"/>
    <w:rsid w:val="7F715AF2"/>
    <w:rsid w:val="7F886E69"/>
    <w:rsid w:val="7FB3342B"/>
    <w:rsid w:val="7FBB0433"/>
    <w:rsid w:val="BB7FA927"/>
    <w:rsid w:val="EFFF891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缩进）"/>
    <w:basedOn w:val="1"/>
    <w:qFormat/>
    <w:uiPriority w:val="0"/>
    <w:pPr>
      <w:spacing w:before="156" w:after="156"/>
      <w:ind w:firstLine="480"/>
    </w:pPr>
    <w:rPr>
      <w:rFonts w:ascii="Times New Roman" w:hAnsi="Times New Roman" w:cs="Times New Roman"/>
    </w:rPr>
  </w:style>
  <w:style w:type="character" w:customStyle="1" w:styleId="962">
    <w:name w:val="NormalCharacter"/>
    <w:link w:val="963"/>
    <w:qFormat/>
    <w:uiPriority w:val="0"/>
    <w:rPr>
      <w:rFonts w:ascii="Calibri"/>
      <w:szCs w:val="22"/>
    </w:rPr>
  </w:style>
  <w:style w:type="paragraph" w:customStyle="1" w:styleId="963">
    <w:name w:val="UserStyle_127"/>
    <w:basedOn w:val="1"/>
    <w:link w:val="962"/>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42763</Words>
  <Characters>45121</Characters>
  <Lines>287</Lines>
  <Paragraphs>81</Paragraphs>
  <TotalTime>4</TotalTime>
  <ScaleCrop>false</ScaleCrop>
  <LinksUpToDate>false</LinksUpToDate>
  <CharactersWithSpaces>50414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JC林凡</cp:lastModifiedBy>
  <cp:lastPrinted>2021-12-27T11:06:00Z</cp:lastPrinted>
  <dcterms:modified xsi:type="dcterms:W3CDTF">2023-03-17T03:17:19Z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