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44"/>
          <w:szCs w:val="44"/>
          <w:highlight w:val="none"/>
        </w:rPr>
      </w:pPr>
    </w:p>
    <w:p>
      <w:pPr>
        <w:pStyle w:val="61"/>
        <w:rPr>
          <w:rFonts w:hint="eastAsia"/>
          <w:color w:val="auto"/>
          <w:highlight w:val="none"/>
        </w:rPr>
      </w:pPr>
    </w:p>
    <w:p>
      <w:pPr>
        <w:adjustRightInd/>
        <w:spacing w:line="360" w:lineRule="auto"/>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钱塘区2023年-2024年数字城管服务外包项目</w:t>
      </w:r>
    </w:p>
    <w:p>
      <w:pPr>
        <w:adjustRightInd/>
        <w:spacing w:line="360" w:lineRule="auto"/>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（江东区域）</w:t>
      </w: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snapToGrid w:val="0"/>
        <w:spacing w:line="360" w:lineRule="auto"/>
        <w:ind w:firstLine="2700" w:firstLineChars="900"/>
        <w:jc w:val="both"/>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项目</w:t>
      </w: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 xml:space="preserve"> QTCG-GK-2023-008  </w:t>
      </w:r>
    </w:p>
    <w:p>
      <w:pPr>
        <w:adjustRightInd/>
        <w:spacing w:line="360" w:lineRule="auto"/>
        <w:rPr>
          <w:rFonts w:hint="eastAsia" w:ascii="仿宋" w:hAnsi="仿宋" w:eastAsia="仿宋" w:cs="仿宋"/>
          <w:color w:val="auto"/>
          <w:sz w:val="28"/>
          <w:szCs w:val="20"/>
          <w:highlight w:val="none"/>
        </w:rPr>
      </w:pPr>
    </w:p>
    <w:p>
      <w:pPr>
        <w:pStyle w:val="61"/>
        <w:rPr>
          <w:rFonts w:hint="eastAsia" w:ascii="仿宋" w:hAnsi="仿宋" w:eastAsia="仿宋" w:cs="仿宋"/>
          <w:color w:val="auto"/>
          <w:sz w:val="28"/>
          <w:szCs w:val="20"/>
          <w:highlight w:val="none"/>
        </w:rPr>
      </w:pPr>
    </w:p>
    <w:p>
      <w:pPr>
        <w:pStyle w:val="61"/>
        <w:rPr>
          <w:rFonts w:hint="eastAsia" w:ascii="仿宋" w:hAnsi="仿宋" w:eastAsia="仿宋" w:cs="仿宋"/>
          <w:color w:val="auto"/>
          <w:sz w:val="28"/>
          <w:szCs w:val="20"/>
          <w:highlight w:val="none"/>
        </w:rPr>
      </w:pPr>
    </w:p>
    <w:p>
      <w:pPr>
        <w:pStyle w:val="61"/>
        <w:rPr>
          <w:rFonts w:hint="eastAsia" w:ascii="仿宋" w:hAnsi="仿宋" w:eastAsia="仿宋" w:cs="仿宋"/>
          <w:color w:val="auto"/>
          <w:sz w:val="28"/>
          <w:szCs w:val="20"/>
          <w:highlight w:val="none"/>
        </w:rPr>
      </w:pPr>
    </w:p>
    <w:p>
      <w:pPr>
        <w:pStyle w:val="61"/>
        <w:rPr>
          <w:rFonts w:hint="eastAsia" w:ascii="仿宋" w:hAnsi="仿宋" w:eastAsia="仿宋" w:cs="仿宋"/>
          <w:color w:val="auto"/>
          <w:sz w:val="28"/>
          <w:szCs w:val="20"/>
          <w:highlight w:val="none"/>
        </w:rPr>
      </w:pPr>
    </w:p>
    <w:p>
      <w:pPr>
        <w:pStyle w:val="61"/>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snapToGrid w:val="0"/>
        <w:spacing w:line="360" w:lineRule="auto"/>
        <w:jc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杭州市钱塘区综合行政执法局</w:t>
      </w:r>
    </w:p>
    <w:p>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浙江省房地产管理咨询有限公司</w:t>
      </w:r>
    </w:p>
    <w:p>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二〇二三年一月二十日</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36"/>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钱塘区2023年-2024年数字城管服务外包项目（江东区域）</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color w:val="auto"/>
          <w:sz w:val="24"/>
          <w:highlight w:val="none"/>
          <w:lang w:eastAsia="zh-CN"/>
        </w:rPr>
        <w:t>QTCG-GK-2023-008</w:t>
      </w:r>
      <w:r>
        <w:rPr>
          <w:rFonts w:hint="eastAsia" w:ascii="仿宋" w:hAnsi="仿宋" w:eastAsia="仿宋" w:cs="仿宋"/>
          <w:b/>
          <w:color w:val="auto"/>
          <w:sz w:val="24"/>
          <w:highlight w:val="none"/>
          <w:lang w:val="en-US" w:eastAsia="zh-CN"/>
        </w:rPr>
        <w:t xml:space="preserve"> </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钱塘区2023年-2024年数字城管服务外包项目（江东区域）</w:t>
      </w:r>
    </w:p>
    <w:p>
      <w:pPr>
        <w:spacing w:line="360" w:lineRule="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5030000</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5030000</w:t>
      </w:r>
      <w:r>
        <w:rPr>
          <w:rFonts w:hint="eastAsia" w:ascii="仿宋" w:hAnsi="仿宋" w:eastAsia="仿宋" w:cs="仿宋"/>
          <w:color w:val="auto"/>
          <w:sz w:val="24"/>
          <w:highlight w:val="none"/>
        </w:rPr>
        <w:t xml:space="preserve">  </w:t>
      </w:r>
    </w:p>
    <w:p>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lang w:eastAsia="zh-CN"/>
        </w:rPr>
        <w:t>钱塘区2023年-2024年数字城管服务外包项目（江东区域）主要内容：根据招标人要求及管理标准，负责钱塘区江东区域（以招标人指定为准）城市事件动态问题及部件完好、变更信息的限时采集；对热线投诉和社区联系站等途径反馈问题进行核查；对所发现问题结案前进行核实；根据城市管理工作的要求，实施各类专项信息采集工作以及数字城管要求的其他相关工作。详见招标文件第三部分采购需求。供应商可点击本公告下方“浏览采购文件”查看采购需求。</w:t>
      </w:r>
    </w:p>
    <w:p>
      <w:pPr>
        <w:pStyle w:val="129"/>
        <w:keepNext w:val="0"/>
        <w:keepLines w:val="0"/>
        <w:pageBreakBefore w:val="0"/>
        <w:widowControl w:val="0"/>
        <w:kinsoku/>
        <w:wordWrap/>
        <w:overflowPunct/>
        <w:topLinePunct w:val="0"/>
        <w:autoSpaceDE/>
        <w:autoSpaceDN/>
        <w:bidi w:val="0"/>
        <w:adjustRightInd w:val="0"/>
        <w:snapToGrid/>
        <w:spacing w:before="0" w:line="360" w:lineRule="auto"/>
        <w:ind w:firstLine="482"/>
        <w:textAlignment w:val="auto"/>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bCs/>
          <w:snapToGrid/>
          <w:color w:val="auto"/>
          <w:kern w:val="2"/>
          <w:sz w:val="24"/>
          <w:szCs w:val="24"/>
          <w:highlight w:val="none"/>
          <w:lang w:val="en-US" w:eastAsia="zh-CN"/>
        </w:rPr>
        <w:t>2年。</w:t>
      </w:r>
    </w:p>
    <w:p>
      <w:pPr>
        <w:pStyle w:val="15"/>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snapToGrid w:val="0"/>
              <w:color w:val="auto"/>
              <w:kern w:val="0"/>
              <w:sz w:val="24"/>
              <w:szCs w:val="24"/>
              <w:highlight w:val="none"/>
              <w:lang w:val="en-US" w:eastAsia="zh-CN" w:bidi="ar-SA"/>
            </w:rPr>
            <w:t>þ</w:t>
          </w:r>
        </w:sdtContent>
      </w:sdt>
      <w:sdt>
        <w:sdtPr>
          <w:rPr>
            <w:rFonts w:hint="eastAsia" w:ascii="仿宋_GB2312" w:hAnsi="仿宋" w:eastAsia="仿宋_GB2312" w:cs="Arial"/>
            <w:color w:val="auto"/>
            <w:kern w:val="0"/>
            <w:sz w:val="24"/>
            <w:highlight w:val="none"/>
          </w:rPr>
          <w:id w:val="2"/>
          <w:showingPlcHdr/>
        </w:sdtPr>
        <w:sdtEndPr>
          <w:rPr>
            <w:rFonts w:hint="eastAsia" w:ascii="仿宋_GB2312" w:hAnsi="仿宋" w:eastAsia="仿宋_GB2312" w:cs="Arial"/>
            <w:color w:val="auto"/>
            <w:kern w:val="0"/>
            <w:sz w:val="24"/>
            <w:highlight w:val="none"/>
          </w:rPr>
        </w:sdtEndPr>
        <w:sdtContent/>
      </w:sdt>
      <w:sdt>
        <w:sdtPr>
          <w:rPr>
            <w:rFonts w:hint="eastAsia" w:ascii="仿宋_GB2312" w:hAnsi="仿宋" w:eastAsia="仿宋_GB2312" w:cs="Arial"/>
            <w:color w:val="auto"/>
            <w:kern w:val="0"/>
            <w:sz w:val="24"/>
            <w:highlight w:val="none"/>
          </w:rPr>
          <w:id w:val="2035453831"/>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4"/>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snapToGrid w:val="0"/>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6"/>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hint="eastAsia"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 w:hAnsi="仿宋" w:eastAsia="仿宋" w:cs="仿宋_GB2312"/>
          <w:snapToGrid w:val="0"/>
          <w:color w:val="auto"/>
          <w:kern w:val="28"/>
          <w:sz w:val="24"/>
          <w:szCs w:val="20"/>
          <w:highlight w:val="none"/>
        </w:rPr>
      </w:pPr>
      <w:r>
        <w:rPr>
          <w:rFonts w:hint="eastAsia" w:ascii="仿宋" w:hAnsi="仿宋" w:eastAsia="仿宋" w:cs="仿宋_GB2312"/>
          <w:snapToGrid w:val="0"/>
          <w:color w:val="auto"/>
          <w:kern w:val="28"/>
          <w:sz w:val="24"/>
          <w:szCs w:val="20"/>
          <w:highlight w:val="none"/>
        </w:rPr>
        <w:t>2.以联合体形式投标的，提供联合协议(本项目不接受联合体投标或者投标人不以联合体形式投标的，则不需要提供) ；</w:t>
      </w:r>
    </w:p>
    <w:p>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w:t>
      </w:r>
      <w:r>
        <w:rPr>
          <w:rFonts w:hint="eastAsia" w:ascii="仿宋" w:hAnsi="仿宋" w:eastAsia="仿宋" w:cs="仿宋_GB2312"/>
          <w:snapToGrid w:val="0"/>
          <w:color w:val="auto"/>
          <w:kern w:val="28"/>
          <w:sz w:val="24"/>
          <w:szCs w:val="20"/>
          <w:highlight w:val="none"/>
          <w:lang w:val="en-US" w:eastAsia="zh-CN"/>
        </w:rPr>
        <w:t>3</w:t>
      </w:r>
      <w:r>
        <w:rPr>
          <w:rFonts w:ascii="仿宋" w:hAnsi="仿宋" w:eastAsia="仿宋" w:cs="仿宋_GB2312"/>
          <w:snapToGrid w:val="0"/>
          <w:color w:val="auto"/>
          <w:kern w:val="28"/>
          <w:sz w:val="24"/>
          <w:szCs w:val="20"/>
          <w:highlight w:val="none"/>
        </w:rPr>
        <w:t>.</w:t>
      </w:r>
      <w:r>
        <w:rPr>
          <w:rFonts w:hint="eastAsia" w:ascii="仿宋" w:hAnsi="仿宋" w:eastAsia="仿宋" w:cs="仿宋_GB2312"/>
          <w:snapToGrid w:val="0"/>
          <w:color w:val="auto"/>
          <w:kern w:val="28"/>
          <w:sz w:val="24"/>
          <w:szCs w:val="20"/>
          <w:highlight w:val="none"/>
        </w:rPr>
        <w:t>落实政府采购政策需满足的资格要求：</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8"/>
          <w:showingPlcHdr/>
        </w:sdtPr>
        <w:sdtEndPr>
          <w:rPr>
            <w:rFonts w:hint="eastAsia" w:ascii="仿宋_GB2312" w:hAnsi="仿宋" w:eastAsia="仿宋_GB2312" w:cs="Arial"/>
            <w:color w:val="auto"/>
            <w:kern w:val="0"/>
            <w:sz w:val="24"/>
            <w:highlight w:val="none"/>
          </w:rPr>
        </w:sdtEndPr>
        <w:sdtContent/>
      </w:sdt>
      <w:sdt>
        <w:sdtPr>
          <w:rPr>
            <w:rFonts w:hint="eastAsia" w:ascii="仿宋_GB2312" w:hAnsi="仿宋" w:eastAsia="仿宋_GB2312" w:cs="Arial"/>
            <w:color w:val="auto"/>
            <w:kern w:val="0"/>
            <w:sz w:val="24"/>
            <w:highlight w:val="none"/>
          </w:rPr>
          <w:id w:val="1928616923"/>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无；</w:t>
      </w:r>
    </w:p>
    <w:p>
      <w:pPr>
        <w:spacing w:line="360" w:lineRule="auto"/>
        <w:ind w:firstLine="480" w:firstLineChars="200"/>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0"/>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szCs w:val="24"/>
              <w:highlight w:val="none"/>
              <w:lang w:val="en-US" w:eastAsia="zh-CN" w:bidi="ar-SA"/>
            </w:rPr>
            <w:t>þ</w:t>
          </w:r>
        </w:sdtContent>
      </w:sdt>
      <w:sdt>
        <w:sdtPr>
          <w:rPr>
            <w:rFonts w:hint="eastAsia" w:ascii="仿宋_GB2312" w:hAnsi="仿宋" w:eastAsia="仿宋_GB2312" w:cs="Arial"/>
            <w:color w:val="auto"/>
            <w:kern w:val="0"/>
            <w:sz w:val="24"/>
            <w:highlight w:val="none"/>
          </w:rPr>
          <w:id w:val="11"/>
          <w:showingPlcHdr/>
        </w:sdtPr>
        <w:sdtEndPr>
          <w:rPr>
            <w:rFonts w:hint="eastAsia" w:ascii="仿宋_GB2312" w:hAnsi="仿宋" w:eastAsia="仿宋_GB2312" w:cs="Arial"/>
            <w:color w:val="auto"/>
            <w:kern w:val="0"/>
            <w:sz w:val="24"/>
            <w:highlight w:val="none"/>
          </w:rPr>
        </w:sdtEndPr>
        <w:sdtContent/>
      </w:sdt>
      <w:sdt>
        <w:sdtPr>
          <w:rPr>
            <w:rFonts w:hint="eastAsia" w:ascii="仿宋_GB2312" w:hAnsi="仿宋" w:eastAsia="仿宋_GB2312" w:cs="Arial"/>
            <w:color w:val="auto"/>
            <w:kern w:val="0"/>
            <w:sz w:val="24"/>
            <w:highlight w:val="none"/>
          </w:rPr>
          <w:id w:val="12"/>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8"/>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19"/>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szCs w:val="24"/>
                  <w:highlight w:val="none"/>
                  <w:lang w:val="en-US" w:eastAsia="zh-CN" w:bidi="ar-SA"/>
                </w:rPr>
                <w:t>þ</w:t>
              </w:r>
            </w:sdtContent>
          </w:sdt>
          <w:sdt>
            <w:sdtPr>
              <w:rPr>
                <w:rFonts w:hint="eastAsia" w:ascii="仿宋_GB2312" w:hAnsi="仿宋" w:eastAsia="仿宋_GB2312" w:cs="Arial"/>
                <w:color w:val="auto"/>
                <w:kern w:val="0"/>
                <w:sz w:val="24"/>
                <w:highlight w:val="none"/>
              </w:rPr>
              <w:id w:val="20"/>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olor w:val="auto"/>
          <w:sz w:val="24"/>
          <w:highlight w:val="none"/>
        </w:rPr>
        <w:t>服务全部由符合政策要求的中小企业承接，提供中小企业声明函；</w:t>
      </w:r>
    </w:p>
    <w:p>
      <w:pPr>
        <w:spacing w:line="360" w:lineRule="auto"/>
        <w:ind w:firstLine="897" w:firstLineChars="374"/>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21"/>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22"/>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23"/>
              <w:showingPlcHdr/>
            </w:sdtPr>
            <w:sdtEndPr>
              <w:rPr>
                <w:rFonts w:hint="eastAsia" w:ascii="仿宋_GB2312" w:hAnsi="仿宋" w:eastAsia="仿宋_GB2312" w:cs="Arial"/>
                <w:color w:val="auto"/>
                <w:kern w:val="0"/>
                <w:sz w:val="24"/>
                <w:highlight w:val="none"/>
              </w:rPr>
            </w:sdtEndPr>
            <w:sdtContent/>
          </w:sdt>
        </w:sdtContent>
      </w:sdt>
      <w:r>
        <w:rPr>
          <w:rFonts w:hint="eastAsia" w:ascii="仿宋_GB2312" w:hAnsi="仿宋" w:eastAsia="仿宋_GB2312"/>
          <w:color w:val="auto"/>
          <w:sz w:val="24"/>
          <w:highlight w:val="none"/>
        </w:rPr>
        <w:t>服务全部由符合政策要求的小微企业承接，提供中小企业声明函；</w:t>
      </w:r>
    </w:p>
    <w:p>
      <w:pPr>
        <w:rPr>
          <w:color w:val="auto"/>
          <w:highlight w:val="none"/>
        </w:rPr>
      </w:pP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2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25"/>
          <w:showingPlcHdr/>
        </w:sdtPr>
        <w:sdtEndPr>
          <w:rPr>
            <w:rFonts w:hint="eastAsia" w:ascii="仿宋_GB2312" w:hAnsi="仿宋" w:eastAsia="仿宋_GB2312" w:cs="Arial"/>
            <w:color w:val="auto"/>
            <w:kern w:val="0"/>
            <w:sz w:val="24"/>
            <w:highlight w:val="none"/>
          </w:rPr>
        </w:sdtEndP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pPr>
        <w:spacing w:line="360" w:lineRule="auto"/>
        <w:ind w:firstLine="480" w:firstLineChars="200"/>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26"/>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27"/>
          <w:showingPlcHdr/>
        </w:sdtPr>
        <w:sdtEndPr>
          <w:rPr>
            <w:rFonts w:hint="eastAsia" w:ascii="仿宋_GB2312" w:hAnsi="仿宋" w:eastAsia="仿宋_GB2312" w:cs="Arial"/>
            <w:color w:val="auto"/>
            <w:kern w:val="0"/>
            <w:sz w:val="24"/>
            <w:highlight w:val="none"/>
          </w:rPr>
        </w:sdtEndP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4</w:t>
      </w:r>
      <w:r>
        <w:rPr>
          <w:rFonts w:ascii="仿宋_GB2312" w:hAnsi="仿宋" w:eastAsia="仿宋_GB2312"/>
          <w:color w:val="auto"/>
          <w:sz w:val="24"/>
          <w:highlight w:val="none"/>
        </w:rPr>
        <w:t>.本项目的特定资格要求：无</w:t>
      </w:r>
      <w:r>
        <w:rPr>
          <w:rFonts w:hint="eastAsia" w:ascii="仿宋_GB2312" w:hAnsi="仿宋" w:eastAsia="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lang w:val="en-US" w:eastAsia="zh-CN"/>
        </w:rPr>
        <w:t>5</w:t>
      </w:r>
      <w:r>
        <w:rPr>
          <w:rFonts w:ascii="仿宋_GB2312" w:hAnsi="仿宋" w:eastAsia="仿宋_GB2312"/>
          <w:color w:val="auto"/>
          <w:sz w:val="24"/>
          <w:highlight w:val="none"/>
        </w:rPr>
        <w:t>.</w:t>
      </w: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ascii="仿宋_GB2312" w:hAnsi="仿宋" w:eastAsia="仿宋_GB2312" w:cs="仿宋_GB2312"/>
          <w:color w:val="auto"/>
          <w:sz w:val="24"/>
          <w:highlight w:val="none"/>
        </w:rPr>
        <w:t>为采购项目提供整体设计、规范编制或者项目管理、监理、检测等服务后</w:t>
      </w:r>
      <w:r>
        <w:rPr>
          <w:rFonts w:hint="eastAsia" w:ascii="仿宋_GB2312" w:hAnsi="仿宋" w:eastAsia="仿宋_GB2312" w:cs="仿宋_GB2312"/>
          <w:color w:val="auto"/>
          <w:sz w:val="24"/>
          <w:highlight w:val="none"/>
        </w:rPr>
        <w:t>不得</w:t>
      </w:r>
      <w:r>
        <w:rPr>
          <w:rFonts w:ascii="仿宋_GB2312" w:hAnsi="仿宋" w:eastAsia="仿宋_GB2312" w:cs="仿宋_GB2312"/>
          <w:color w:val="auto"/>
          <w:sz w:val="24"/>
          <w:highlight w:val="none"/>
        </w:rPr>
        <w:t>再参加该采购项目的其他采购活动。</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3</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2</w:t>
      </w:r>
      <w:r>
        <w:rPr>
          <w:rFonts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13</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3</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2</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13</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rPr>
        <w:t>202</w:t>
      </w:r>
      <w:r>
        <w:rPr>
          <w:rFonts w:hint="eastAsia" w:ascii="仿宋_GB2312" w:hAnsi="仿宋" w:eastAsia="仿宋_GB2312"/>
          <w:color w:val="auto"/>
          <w:sz w:val="24"/>
          <w:highlight w:val="none"/>
          <w:u w:val="single"/>
          <w:lang w:val="en-US" w:eastAsia="zh-CN"/>
        </w:rPr>
        <w:t>3</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2</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13</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pStyle w:val="57"/>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spacing w:line="360" w:lineRule="auto"/>
        <w:rPr>
          <w:rFonts w:hint="eastAsia" w:ascii="仿宋" w:hAnsi="仿宋" w:eastAsia="仿宋" w:cs="仿宋"/>
          <w:color w:val="auto"/>
          <w:sz w:val="24"/>
          <w:highlight w:val="none"/>
        </w:rPr>
      </w:pPr>
      <w:r>
        <w:rPr>
          <w:rFonts w:ascii="仿宋_GB2312" w:hAnsi="仿宋" w:eastAsia="仿宋_GB2312"/>
          <w:color w:val="auto"/>
          <w:sz w:val="24"/>
          <w:highlight w:val="none"/>
        </w:rPr>
        <w:t xml:space="preserve">   </w:t>
      </w:r>
      <w:r>
        <w:rPr>
          <w:rFonts w:hint="eastAsia" w:ascii="仿宋" w:hAnsi="仿宋" w:eastAsia="仿宋" w:cs="仿宋"/>
          <w:color w:val="auto"/>
          <w:sz w:val="24"/>
          <w:highlight w:val="none"/>
        </w:rPr>
        <w:t xml:space="preserve"> 1.采购人信息</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eastAsia="zh-CN"/>
        </w:rPr>
        <w:t xml:space="preserve">杭州市钱塘区综合行政执法局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highlight w:val="none"/>
          <w:lang w:eastAsia="zh-CN"/>
        </w:rPr>
        <w:t>杭州钱塘区松合路369号</w:t>
      </w:r>
      <w:r>
        <w:rPr>
          <w:rFonts w:hint="eastAsia" w:ascii="仿宋" w:hAnsi="仿宋" w:eastAsia="仿宋" w:cs="仿宋"/>
          <w:color w:val="auto"/>
          <w:sz w:val="24"/>
          <w:highlight w:val="none"/>
        </w:rPr>
        <w:t xml:space="preserve">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倪成丰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0571-89898743</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质疑联系人：金海明</w:t>
      </w:r>
      <w:r>
        <w:rPr>
          <w:rFonts w:hint="eastAsia" w:ascii="仿宋" w:hAnsi="仿宋" w:eastAsia="仿宋" w:cs="仿宋"/>
          <w:color w:val="auto"/>
          <w:sz w:val="24"/>
          <w:highlight w:val="none"/>
          <w:lang w:val="en-US" w:eastAsia="zh-CN"/>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质疑联系方式：0571-86933036</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称：浙江省房地产管理咨询有限公司</w:t>
      </w:r>
    </w:p>
    <w:p>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w:t>
      </w:r>
      <w:r>
        <w:rPr>
          <w:rFonts w:hint="eastAsia" w:ascii="仿宋" w:hAnsi="仿宋" w:eastAsia="仿宋" w:cs="仿宋"/>
          <w:color w:val="auto"/>
          <w:sz w:val="24"/>
          <w:highlight w:val="none"/>
          <w:lang w:eastAsia="zh-CN"/>
        </w:rPr>
        <w:t>拱墅区</w:t>
      </w:r>
      <w:r>
        <w:rPr>
          <w:rFonts w:hint="eastAsia" w:ascii="仿宋" w:hAnsi="仿宋" w:eastAsia="仿宋" w:cs="仿宋"/>
          <w:color w:val="auto"/>
          <w:sz w:val="24"/>
          <w:highlight w:val="none"/>
        </w:rPr>
        <w:t>三立时代</w:t>
      </w:r>
      <w:r>
        <w:rPr>
          <w:rFonts w:hint="eastAsia" w:ascii="仿宋" w:hAnsi="仿宋" w:eastAsia="仿宋" w:cs="仿宋"/>
          <w:color w:val="auto"/>
          <w:sz w:val="24"/>
          <w:highlight w:val="none"/>
          <w:lang w:eastAsia="zh-CN"/>
        </w:rPr>
        <w:t>广场</w:t>
      </w:r>
      <w:r>
        <w:rPr>
          <w:rFonts w:hint="eastAsia" w:ascii="仿宋" w:hAnsi="仿宋" w:eastAsia="仿宋" w:cs="仿宋"/>
          <w:color w:val="auto"/>
          <w:sz w:val="24"/>
          <w:highlight w:val="none"/>
        </w:rPr>
        <w:t xml:space="preserve">A座1206室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真：0571-88477702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项目联系人（询问）：伍红仙         </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项目联系方式（询问）：13357106093</w:t>
      </w:r>
      <w:r>
        <w:rPr>
          <w:rFonts w:hint="eastAsia" w:ascii="仿宋" w:hAnsi="仿宋" w:eastAsia="仿宋" w:cs="仿宋"/>
          <w:color w:val="auto"/>
          <w:sz w:val="24"/>
          <w:highlight w:val="none"/>
          <w:lang w:val="en-US" w:eastAsia="zh-CN"/>
        </w:rPr>
        <w:t>/18868089351</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质疑联系人：刘宝林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质疑联系方式：0571-88023816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称：杭州市钱塘区财政局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址：杭州市钱塘区青六北路499号钱塘中心5号楼</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真：0571-89535550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联系人 ：任女士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监督投诉电话：0571-89535530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_GB2312" w:hAnsi="仿宋" w:eastAsia="仿宋_GB2312"/>
          <w:color w:val="auto"/>
          <w:sz w:val="24"/>
          <w:highlight w:val="none"/>
        </w:rPr>
      </w:pPr>
      <w:r>
        <w:rPr>
          <w:rFonts w:hint="eastAsia" w:ascii="仿宋" w:hAnsi="仿宋" w:eastAsia="仿宋" w:cs="仿宋"/>
          <w:color w:val="auto"/>
          <w:sz w:val="24"/>
          <w:highlight w:val="none"/>
        </w:rPr>
        <w:t>CA问题联系电话（人工）：汇信CA 400-888-4636；天谷CA 400-087-8198。</w:t>
      </w:r>
    </w:p>
    <w:p>
      <w:pPr>
        <w:adjustRightInd/>
        <w:spacing w:line="360" w:lineRule="auto"/>
        <w:jc w:val="center"/>
        <w:outlineLvl w:val="0"/>
        <w:rPr>
          <w:rFonts w:hint="eastAsia" w:ascii="仿宋" w:hAnsi="仿宋" w:eastAsia="仿宋" w:cs="仿宋"/>
          <w:b/>
          <w:color w:val="auto"/>
          <w:sz w:val="36"/>
          <w:szCs w:val="36"/>
          <w:highlight w:val="none"/>
        </w:rPr>
      </w:pPr>
    </w:p>
    <w:p>
      <w:pPr>
        <w:adjustRightInd/>
        <w:spacing w:line="360" w:lineRule="auto"/>
        <w:jc w:val="center"/>
        <w:outlineLvl w:val="0"/>
        <w:rPr>
          <w:rFonts w:hint="eastAsia" w:ascii="仿宋" w:hAnsi="仿宋" w:eastAsia="仿宋" w:cs="仿宋"/>
          <w:b/>
          <w:color w:val="auto"/>
          <w:sz w:val="36"/>
          <w:szCs w:val="36"/>
          <w:highlight w:val="none"/>
        </w:rPr>
      </w:pP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33"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28"/>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szCs w:val="24"/>
                    <w:highlight w:val="none"/>
                    <w:lang w:val="en-US" w:eastAsia="zh-CN" w:bidi="ar-SA"/>
                  </w:rPr>
                  <w:t>þ</w:t>
                </w:r>
              </w:sdtContent>
            </w:sdt>
            <w:sdt>
              <w:sdtPr>
                <w:rPr>
                  <w:rFonts w:hint="eastAsia" w:ascii="仿宋_GB2312" w:hAnsi="仿宋" w:eastAsia="仿宋_GB2312" w:cs="Arial"/>
                  <w:color w:val="auto"/>
                  <w:kern w:val="0"/>
                  <w:sz w:val="24"/>
                  <w:highlight w:val="none"/>
                </w:rPr>
                <w:id w:val="29"/>
                <w:showingPlcHdr/>
              </w:sdtPr>
              <w:sdtEndPr>
                <w:rPr>
                  <w:rFonts w:hint="eastAsia" w:ascii="仿宋_GB2312" w:hAnsi="仿宋" w:eastAsia="仿宋_GB2312" w:cs="Arial"/>
                  <w:color w:val="auto"/>
                  <w:kern w:val="0"/>
                  <w:sz w:val="24"/>
                  <w:highlight w:val="none"/>
                </w:rPr>
              </w:sdtEndPr>
              <w:sdtContent/>
            </w:sdt>
            <w:r>
              <w:rPr>
                <w:rFonts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同意将非主体、非关键性的</w:t>
            </w:r>
            <w:r>
              <w:rPr>
                <w:rFonts w:hint="eastAsia" w:ascii="仿宋_GB2312" w:hAnsi="仿宋" w:eastAsia="仿宋_GB2312"/>
                <w:color w:val="auto"/>
                <w:sz w:val="24"/>
                <w:highlight w:val="none"/>
                <w:u w:val="single"/>
                <w:lang w:val="en-US" w:eastAsia="zh-CN"/>
              </w:rPr>
              <w:t>人员培训</w:t>
            </w:r>
            <w:r>
              <w:rPr>
                <w:rFonts w:hint="eastAsia" w:ascii="仿宋_GB2312" w:hAnsi="仿宋" w:eastAsia="仿宋_GB2312"/>
                <w:color w:val="auto"/>
                <w:sz w:val="24"/>
                <w:highlight w:val="none"/>
              </w:rPr>
              <w:t>工作分包。</w:t>
            </w:r>
          </w:p>
          <w:p>
            <w:pPr>
              <w:spacing w:line="360" w:lineRule="auto"/>
              <w:rPr>
                <w:rFonts w:hint="eastAsia"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30"/>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3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Wingdings" w:hAnsi="Wingdings" w:eastAsia="MS Gothic" w:cs="Arial"/>
                        <w:color w:val="auto"/>
                        <w:kern w:val="0"/>
                        <w:sz w:val="24"/>
                        <w:szCs w:val="24"/>
                        <w:highlight w:val="none"/>
                        <w:lang w:val="en-US" w:eastAsia="zh-CN" w:bidi="ar-SA"/>
                      </w:rPr>
                      <w:t>þ</w:t>
                    </w:r>
                  </w:sdtContent>
                </w:sdt>
                <w:sdt>
                  <w:sdtPr>
                    <w:rPr>
                      <w:rFonts w:hint="eastAsia" w:ascii="仿宋_GB2312" w:hAnsi="仿宋" w:eastAsia="仿宋_GB2312" w:cs="Arial"/>
                      <w:color w:val="auto"/>
                      <w:kern w:val="0"/>
                      <w:sz w:val="24"/>
                      <w:highlight w:val="none"/>
                    </w:rPr>
                    <w:id w:val="32"/>
                    <w:showingPlcHdr/>
                  </w:sdtPr>
                  <w:sdtEndPr>
                    <w:rPr>
                      <w:rFonts w:hint="eastAsia" w:ascii="仿宋_GB2312" w:hAnsi="仿宋" w:eastAsia="仿宋_GB2312" w:cs="Arial"/>
                      <w:color w:val="auto"/>
                      <w:kern w:val="0"/>
                      <w:sz w:val="24"/>
                      <w:highlight w:val="none"/>
                    </w:rPr>
                  </w:sdtEndPr>
                  <w:sdtContent/>
                </w:sdt>
              </w:sdtContent>
            </w:sdt>
            <w:r>
              <w:rPr>
                <w:rFonts w:ascii="仿宋_GB2312" w:hAnsi="仿宋" w:eastAsia="仿宋_GB2312" w:cs="Arial"/>
                <w:color w:val="auto"/>
                <w:kern w:val="0"/>
                <w:sz w:val="24"/>
                <w:highlight w:val="none"/>
              </w:rPr>
              <w:t xml:space="preserve"> B</w:t>
            </w:r>
            <w:r>
              <w:rPr>
                <w:rFonts w:hint="eastAsia" w:ascii="仿宋_GB2312" w:hAnsi="仿宋" w:eastAsia="仿宋_GB2312"/>
                <w:color w:val="auto"/>
                <w:sz w:val="24"/>
                <w:highlight w:val="none"/>
              </w:rPr>
              <w:t>同意</w:t>
            </w:r>
            <w:r>
              <w:rPr>
                <w:rFonts w:hint="eastAsia" w:ascii="仿宋_GB2312" w:hAnsi="仿宋" w:eastAsia="仿宋_GB2312"/>
                <w:color w:val="auto"/>
                <w:sz w:val="24"/>
                <w:highlight w:val="none"/>
                <w:lang w:eastAsia="zh-CN"/>
              </w:rPr>
              <w:t>大型</w:t>
            </w:r>
            <w:r>
              <w:rPr>
                <w:rFonts w:hint="eastAsia" w:ascii="仿宋_GB2312" w:hAnsi="仿宋" w:eastAsia="仿宋_GB2312"/>
                <w:color w:val="auto"/>
                <w:sz w:val="24"/>
                <w:highlight w:val="none"/>
                <w:lang w:val="en-US" w:eastAsia="zh-CN"/>
              </w:rPr>
              <w:t>企业向小微企业、中型企业向小微企业、小微企业向小微企业合理分包</w:t>
            </w:r>
            <w:r>
              <w:rPr>
                <w:rFonts w:hint="eastAsia" w:ascii="仿宋_GB2312" w:hAnsi="仿宋" w:eastAsia="仿宋_GB2312"/>
                <w:color w:val="auto"/>
                <w:sz w:val="24"/>
                <w:highlight w:val="none"/>
              </w:rPr>
              <w:t>。</w:t>
            </w:r>
          </w:p>
          <w:p>
            <w:pPr>
              <w:spacing w:line="360" w:lineRule="auto"/>
              <w:rPr>
                <w:rFonts w:hint="eastAsia" w:ascii="仿宋" w:hAnsi="仿宋" w:eastAsia="仿宋" w:cs="仿宋"/>
                <w:color w:val="auto"/>
                <w:sz w:val="24"/>
                <w:highlight w:val="none"/>
              </w:rPr>
            </w:pPr>
            <w:sdt>
              <w:sdtPr>
                <w:rPr>
                  <w:rFonts w:hint="eastAsia" w:ascii="仿宋_GB2312" w:hAnsi="仿宋" w:eastAsia="仿宋_GB2312" w:cs="Arial"/>
                  <w:color w:val="auto"/>
                  <w:kern w:val="0"/>
                  <w:sz w:val="24"/>
                  <w:highlight w:val="none"/>
                </w:rPr>
                <w:id w:val="33"/>
              </w:sdtPr>
              <w:sdtEndPr>
                <w:rPr>
                  <w:rFonts w:hint="eastAsia" w:ascii="仿宋_GB2312" w:hAnsi="仿宋" w:eastAsia="仿宋_GB2312" w:cs="Arial"/>
                  <w:color w:val="auto"/>
                  <w:kern w:val="0"/>
                  <w:sz w:val="24"/>
                  <w:highlight w:val="none"/>
                </w:rPr>
              </w:sdtEndPr>
              <w:sdtContent>
                <w:sdt>
                  <w:sdtPr>
                    <w:rPr>
                      <w:rFonts w:hint="eastAsia" w:ascii="仿宋_GB2312" w:hAnsi="仿宋" w:eastAsia="仿宋_GB2312" w:cs="Arial"/>
                      <w:color w:val="auto"/>
                      <w:kern w:val="0"/>
                      <w:sz w:val="24"/>
                      <w:highlight w:val="none"/>
                    </w:rPr>
                    <w:id w:val="34"/>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hint="eastAsia" w:ascii="MS Gothic" w:hAnsi="MS Gothic" w:eastAsia="MS Gothic" w:cs="Arial"/>
                        <w:color w:val="auto"/>
                        <w:kern w:val="0"/>
                        <w:sz w:val="24"/>
                        <w:szCs w:val="24"/>
                        <w:highlight w:val="none"/>
                        <w:lang w:val="en-US" w:eastAsia="zh-CN" w:bidi="ar-SA"/>
                      </w:rPr>
                      <w:t>☐</w:t>
                    </w:r>
                  </w:sdtContent>
                </w:sdt>
                <w:sdt>
                  <w:sdtPr>
                    <w:rPr>
                      <w:rFonts w:hint="eastAsia" w:ascii="仿宋_GB2312" w:hAnsi="仿宋" w:eastAsia="仿宋_GB2312" w:cs="Arial"/>
                      <w:color w:val="auto"/>
                      <w:kern w:val="0"/>
                      <w:sz w:val="24"/>
                      <w:highlight w:val="none"/>
                    </w:rPr>
                    <w:id w:val="35"/>
                    <w:showingPlcHdr/>
                  </w:sdtPr>
                  <w:sdtEndPr>
                    <w:rPr>
                      <w:rFonts w:hint="eastAsia" w:ascii="仿宋_GB2312" w:hAnsi="仿宋" w:eastAsia="仿宋_GB2312" w:cs="Arial"/>
                      <w:color w:val="auto"/>
                      <w:kern w:val="0"/>
                      <w:sz w:val="24"/>
                      <w:highlight w:val="none"/>
                    </w:rPr>
                  </w:sdtEndPr>
                  <w:sdtContent/>
                </w:sdt>
              </w:sdtContent>
            </w:sdt>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lang w:val="en-US" w:eastAsia="zh-CN"/>
              </w:rPr>
              <w:t>C</w:t>
            </w:r>
            <w:r>
              <w:rPr>
                <w:rFonts w:hint="eastAsia" w:ascii="仿宋_GB2312" w:hAnsi="仿宋" w:eastAsia="仿宋_GB2312"/>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3"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4"/>
              <w:bidi w:val="0"/>
              <w:jc w:val="both"/>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b/>
                    <w:bCs/>
                    <w:color w:val="auto"/>
                    <w:kern w:val="0"/>
                    <w:sz w:val="24"/>
                    <w:szCs w:val="32"/>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color w:val="auto"/>
                <w:sz w:val="24"/>
                <w:highlight w:val="none"/>
              </w:rPr>
            </w:pPr>
            <w:sdt>
              <w:sdtPr>
                <w:rPr>
                  <w:rFonts w:hint="eastAsia" w:ascii="仿宋" w:hAnsi="仿宋" w:eastAsia="仿宋" w:cs="仿宋"/>
                  <w:color w:val="auto"/>
                  <w:kern w:val="0"/>
                  <w:sz w:val="24"/>
                  <w:highlight w:val="none"/>
                </w:rPr>
                <w:id w:val="3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3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3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3"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47488555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1"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rPr>
              <w:t>（1）标的：</w:t>
            </w:r>
            <w:r>
              <w:rPr>
                <w:rFonts w:hint="eastAsia" w:ascii="仿宋" w:eastAsia="仿宋" w:cs="仿宋"/>
                <w:color w:val="auto"/>
                <w:kern w:val="0"/>
                <w:sz w:val="24"/>
                <w:highlight w:val="none"/>
                <w:u w:val="single"/>
                <w:lang w:eastAsia="zh-CN"/>
              </w:rPr>
              <w:t>钱塘区2023年-2024年数字城管服务外包项目（江东区域）</w:t>
            </w:r>
            <w:r>
              <w:rPr>
                <w:rFonts w:hint="eastAsia" w:ascii="仿宋" w:hAnsi="仿宋" w:eastAsia="仿宋" w:cs="仿宋"/>
                <w:color w:val="auto"/>
                <w:kern w:val="0"/>
                <w:sz w:val="24"/>
                <w:highlight w:val="none"/>
              </w:rPr>
              <w:t>，属于</w:t>
            </w:r>
            <w:r>
              <w:rPr>
                <w:rFonts w:hint="eastAsia" w:ascii="仿宋" w:eastAsia="仿宋" w:cs="仿宋"/>
                <w:color w:val="auto"/>
                <w:kern w:val="0"/>
                <w:sz w:val="24"/>
                <w:highlight w:val="none"/>
                <w:u w:val="single"/>
                <w:lang w:val="en-US" w:eastAsia="zh-CN"/>
              </w:rPr>
              <w:t>其他未列明行业</w:t>
            </w:r>
            <w:r>
              <w:rPr>
                <w:rFonts w:hint="eastAsia" w:ascii="仿宋" w:hAnsi="仿宋" w:eastAsia="仿宋" w:cs="仿宋"/>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bottom w:val="single" w:color="auto" w:sz="4" w:space="0"/>
              <w:right w:val="single" w:color="000000" w:sz="2" w:space="0"/>
            </w:tcBorders>
          </w:tcPr>
          <w:p>
            <w:pPr>
              <w:spacing w:line="360" w:lineRule="auto"/>
              <w:ind w:firstLine="420" w:firstLineChars="200"/>
              <w:rPr>
                <w:rFonts w:hint="eastAsia" w:ascii="仿宋" w:hAnsi="仿宋" w:eastAsia="仿宋" w:cs="仿宋"/>
                <w:color w:val="auto"/>
                <w:highlight w:val="none"/>
              </w:rPr>
            </w:pPr>
          </w:p>
        </w:tc>
        <w:tc>
          <w:tcPr>
            <w:tcW w:w="1843" w:type="dxa"/>
            <w:vMerge w:val="continue"/>
            <w:tcBorders>
              <w:left w:val="single" w:color="000000" w:sz="2" w:space="0"/>
              <w:bottom w:val="single" w:color="auto" w:sz="4" w:space="0"/>
              <w:right w:val="single" w:color="000000" w:sz="8" w:space="0"/>
            </w:tcBorders>
            <w:vAlign w:val="center"/>
          </w:tcPr>
          <w:p>
            <w:pPr>
              <w:spacing w:line="360" w:lineRule="auto"/>
              <w:ind w:firstLine="420" w:firstLineChars="200"/>
              <w:rPr>
                <w:rFonts w:hint="eastAsia" w:ascii="仿宋" w:hAnsi="仿宋" w:eastAsia="仿宋" w:cs="仿宋"/>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auto" w:sz="4"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12</w:t>
            </w:r>
          </w:p>
        </w:tc>
        <w:tc>
          <w:tcPr>
            <w:tcW w:w="1843" w:type="dxa"/>
            <w:tcBorders>
              <w:top w:val="single" w:color="auto" w:sz="4" w:space="0"/>
              <w:left w:val="single" w:color="000000" w:sz="2" w:space="0"/>
              <w:bottom w:val="single" w:color="auto" w:sz="4" w:space="0"/>
              <w:right w:val="single" w:color="auto" w:sz="4" w:space="0"/>
            </w:tcBorders>
            <w:vAlign w:val="center"/>
          </w:tcPr>
          <w:p>
            <w:pPr>
              <w:spacing w:line="360" w:lineRule="auto"/>
              <w:rPr>
                <w:rFonts w:hint="eastAsia" w:ascii="仿宋" w:hAnsi="仿宋" w:eastAsia="仿宋" w:cs="仿宋"/>
                <w:color w:val="auto"/>
                <w:highlight w:val="none"/>
              </w:rPr>
            </w:pPr>
            <w:r>
              <w:rPr>
                <w:rFonts w:hint="eastAsia" w:ascii="仿宋" w:hAnsi="仿宋" w:eastAsia="仿宋" w:cs="仿宋"/>
                <w:snapToGrid w:val="0"/>
                <w:color w:val="auto"/>
                <w:kern w:val="28"/>
                <w:sz w:val="24"/>
                <w:highlight w:val="none"/>
              </w:rPr>
              <w:t>采购代理服务费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本项目的采购代理服务费由中标供应商支付。</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lang w:val="en-US" w:eastAsia="zh-CN"/>
              </w:rPr>
              <w:t>1、</w:t>
            </w:r>
            <w:r>
              <w:rPr>
                <w:rFonts w:hint="eastAsia" w:ascii="仿宋" w:hAnsi="仿宋" w:eastAsia="仿宋" w:cs="仿宋"/>
                <w:snapToGrid w:val="0"/>
                <w:color w:val="auto"/>
                <w:kern w:val="28"/>
                <w:sz w:val="24"/>
                <w:highlight w:val="none"/>
              </w:rPr>
              <w:t>计费标准按《计价格［2002］1980号》及《发改办价格［2003］857号》文件规定按服务类收费标准计算</w:t>
            </w:r>
            <w:r>
              <w:rPr>
                <w:rFonts w:hint="eastAsia" w:ascii="仿宋" w:hAnsi="仿宋" w:eastAsia="仿宋" w:cs="仿宋"/>
                <w:snapToGrid w:val="0"/>
                <w:color w:val="auto"/>
                <w:kern w:val="28"/>
                <w:sz w:val="24"/>
                <w:highlight w:val="none"/>
                <w:lang w:eastAsia="zh-CN"/>
              </w:rPr>
              <w:t>，</w:t>
            </w:r>
            <w:r>
              <w:rPr>
                <w:rFonts w:hint="eastAsia" w:ascii="仿宋" w:hAnsi="仿宋" w:eastAsia="仿宋" w:cs="仿宋"/>
                <w:snapToGrid w:val="0"/>
                <w:color w:val="auto"/>
                <w:kern w:val="28"/>
                <w:sz w:val="24"/>
                <w:highlight w:val="none"/>
                <w:lang w:val="en-US" w:eastAsia="zh-CN"/>
              </w:rPr>
              <w:t>低于捌仟元按捌仟元计算</w:t>
            </w:r>
            <w:r>
              <w:rPr>
                <w:rFonts w:hint="eastAsia" w:ascii="仿宋" w:hAnsi="仿宋" w:eastAsia="仿宋" w:cs="仿宋"/>
                <w:snapToGrid w:val="0"/>
                <w:color w:val="auto"/>
                <w:kern w:val="28"/>
                <w:sz w:val="24"/>
                <w:highlight w:val="none"/>
              </w:rPr>
              <w:t>。</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2、结算方式及时间为：在领取中标通知书时由中标供应商一次性向采购代理机构付清。中标结果公告发出后，中标供应商可按中标结果公告上的服务费金额缴纳至如下账号：</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（1）收 款 人：浙江省房地产管理咨询有限公司</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（2）开户银行：杭州银行保俶支行</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（3）账    号：7750 8100 1506 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13</w:t>
            </w:r>
          </w:p>
        </w:tc>
        <w:tc>
          <w:tcPr>
            <w:tcW w:w="1843" w:type="dxa"/>
            <w:tcBorders>
              <w:top w:val="single" w:color="auto" w:sz="4"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杭州市拱墅区绍兴路538号三立时代广场A座12层</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eastAsia="zh-CN"/>
              </w:rPr>
              <w:t>伍红仙</w:t>
            </w:r>
            <w:r>
              <w:rPr>
                <w:rFonts w:hint="eastAsia" w:ascii="仿宋" w:hAnsi="仿宋" w:eastAsia="仿宋" w:cs="仿宋"/>
                <w:color w:val="auto"/>
                <w:sz w:val="24"/>
                <w:highlight w:val="none"/>
                <w:u w:val="single"/>
                <w:lang w:val="en-US" w:eastAsia="zh-CN"/>
              </w:rPr>
              <w:t>13357106093</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bCs/>
                <w:color w:val="auto"/>
                <w:sz w:val="24"/>
                <w:szCs w:val="24"/>
                <w:highlight w:val="none"/>
              </w:rPr>
              <w:t>根据财库〔2020〕46号的相关规定，在评审时对符合本办法规定的小</w:t>
            </w:r>
            <w:r>
              <w:rPr>
                <w:rFonts w:hint="eastAsia" w:ascii="仿宋" w:hAnsi="仿宋" w:eastAsia="仿宋" w:cs="仿宋"/>
                <w:bCs/>
                <w:color w:val="auto"/>
                <w:sz w:val="24"/>
                <w:szCs w:val="24"/>
                <w:highlight w:val="none"/>
                <w:lang w:eastAsia="zh-CN"/>
              </w:rPr>
              <w:t>微</w:t>
            </w:r>
            <w:r>
              <w:rPr>
                <w:rFonts w:hint="eastAsia" w:ascii="仿宋" w:hAnsi="仿宋" w:eastAsia="仿宋" w:cs="仿宋"/>
                <w:bCs/>
                <w:color w:val="auto"/>
                <w:sz w:val="24"/>
                <w:szCs w:val="24"/>
                <w:highlight w:val="none"/>
              </w:rPr>
              <w:t>企业报价给予</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w:t>
            </w:r>
            <w:r>
              <w:rPr>
                <w:rFonts w:hint="eastAsia" w:ascii="仿宋" w:hAnsi="仿宋" w:eastAsia="仿宋" w:cs="仿宋"/>
                <w:b/>
                <w:color w:val="auto"/>
                <w:sz w:val="24"/>
                <w:szCs w:val="24"/>
                <w:highlight w:val="none"/>
                <w:u w:val="single"/>
              </w:rPr>
              <w:t xml:space="preserve"> % </w:t>
            </w:r>
            <w:r>
              <w:rPr>
                <w:rFonts w:hint="eastAsia" w:ascii="仿宋" w:hAnsi="仿宋" w:eastAsia="仿宋" w:cs="仿宋"/>
                <w:bCs/>
                <w:color w:val="auto"/>
                <w:sz w:val="24"/>
                <w:szCs w:val="24"/>
                <w:highlight w:val="none"/>
              </w:rPr>
              <w:t>的扣除，取扣除后的价格作为最终投标报价（此最终投标报价仅作为价格分计算）。中小企业参加政府采购活动，应当出具本办法规定的《中小企业声明函》，否则不得享受相关中小企业扶持政策。</w:t>
            </w:r>
          </w:p>
        </w:tc>
      </w:tr>
      <w:bookmarkEnd w:id="10"/>
    </w:tbl>
    <w:p>
      <w:pPr>
        <w:snapToGrid w:val="0"/>
        <w:spacing w:line="360" w:lineRule="auto"/>
        <w:jc w:val="center"/>
        <w:rPr>
          <w:rFonts w:hint="eastAsia" w:ascii="仿宋" w:hAnsi="仿宋" w:eastAsia="仿宋" w:cs="仿宋"/>
          <w:b/>
          <w:color w:val="auto"/>
          <w:sz w:val="32"/>
          <w:szCs w:val="20"/>
          <w:highlight w:val="none"/>
        </w:rPr>
      </w:pPr>
    </w:p>
    <w:p>
      <w:pPr>
        <w:rPr>
          <w:rFonts w:hint="eastAsia" w:ascii="仿宋" w:hAnsi="仿宋" w:eastAsia="仿宋" w:cs="仿宋"/>
          <w:b/>
          <w:color w:val="auto"/>
          <w:sz w:val="32"/>
          <w:szCs w:val="20"/>
          <w:highlight w:val="none"/>
        </w:rPr>
      </w:pPr>
      <w:bookmarkStart w:id="11" w:name="_Toc164416483"/>
      <w:bookmarkStart w:id="12" w:name="第三部分"/>
      <w:r>
        <w:rPr>
          <w:rFonts w:hint="eastAsia" w:ascii="仿宋" w:hAnsi="仿宋" w:eastAsia="仿宋" w:cs="仿宋"/>
          <w:b/>
          <w:color w:val="auto"/>
          <w:sz w:val="32"/>
          <w:szCs w:val="20"/>
          <w:highlight w:val="none"/>
        </w:rPr>
        <w:br w:type="page"/>
      </w:r>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系指实质性要求条款，“★”系产品采购项目中单一产品或核心产品，“</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_GB2312" w:hAnsi="仿宋" w:eastAsia="仿宋_GB2312"/>
          <w:color w:val="auto"/>
          <w:sz w:val="24"/>
          <w:highlight w:val="none"/>
        </w:rPr>
        <w:t>▲</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w:t>
      </w:r>
      <w:r>
        <w:rPr>
          <w:rFonts w:hint="eastAsia" w:ascii="仿宋" w:hAnsi="仿宋" w:eastAsia="仿宋" w:cs="仿宋"/>
          <w:color w:val="auto"/>
          <w:kern w:val="0"/>
          <w:sz w:val="24"/>
          <w:highlight w:val="none"/>
          <w:lang w:eastAsia="zh-CN"/>
        </w:rPr>
        <w:t>民法典</w:t>
      </w:r>
      <w:r>
        <w:rPr>
          <w:rFonts w:hint="eastAsia" w:ascii="仿宋" w:hAnsi="仿宋" w:eastAsia="仿宋" w:cs="仿宋"/>
          <w:color w:val="auto"/>
          <w:kern w:val="0"/>
          <w:sz w:val="24"/>
          <w:highlight w:val="none"/>
        </w:rPr>
        <w:t>》订立劳动合同的从业人员。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highlight w:val="none"/>
          <w:lang w:val="en-US" w:eastAsia="zh-CN"/>
        </w:rPr>
        <w:t>10%-20</w:t>
      </w:r>
      <w:r>
        <w:rPr>
          <w:rFonts w:ascii="仿宋_GB2312" w:hAnsi="仿宋" w:eastAsia="仿宋_GB2312"/>
          <w:color w:val="auto"/>
          <w:sz w:val="24"/>
          <w:highlight w:val="none"/>
        </w:rPr>
        <w:t>%的扣除，用扣除后的价格参与评审。接受大中型企业与小微企业组成联合体或者允许大中型企业向一家或者多家小微企业分包的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lang w:val="en-US" w:eastAsia="zh-CN"/>
        </w:rPr>
        <w:t>4%-6</w:t>
      </w:r>
      <w:r>
        <w:rPr>
          <w:rFonts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4.2.1提出质疑的供应商应当是参与所质疑项目采购活动的供应商。潜在供应商已依法获取其可质疑的招标文件的，可以对该文件提出质疑。</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4.2.2.1对招标文件提出质疑的，质疑期限为供应商获得招标文件之日或者招标文件公告期限届满之日起计算。</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4.2.2.2对采购过程提出质疑的，质疑期限为各采购程序环节结束之日起计算。</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4.2.2.3对采购结果提出质疑的，质疑期限自采购结果公告期限届满之日起计算。</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4.2.3供应商提出质疑应当提交质疑函和必要的证明材料。质疑函应当包括下列内容：</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质疑函范本及制作说明详见附件2。</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4.3供应商投诉</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4.3.2供应商投诉的事项不得超出已质疑事项的范围，基于质疑答复内容提出的投诉事项除外。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投诉书范本及制作说明详见附件3。</w:t>
      </w:r>
    </w:p>
    <w:p>
      <w:pPr>
        <w:pStyle w:val="129"/>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r>
        <w:rPr>
          <w:rFonts w:ascii="仿宋" w:hAnsi="仿宋" w:eastAsia="仿宋" w:cs="仿宋"/>
          <w:color w:val="auto"/>
          <w:kern w:val="0"/>
          <w:sz w:val="24"/>
          <w:highlight w:val="none"/>
        </w:rPr>
        <w:t>（如有）</w:t>
      </w:r>
      <w:r>
        <w:rPr>
          <w:rFonts w:hint="eastAsia" w:ascii="仿宋_GB2312" w:hAnsi="仿宋" w:eastAsia="仿宋_GB2312" w:cs="仿宋_GB2312"/>
          <w:color w:val="auto"/>
          <w:sz w:val="24"/>
          <w:highlight w:val="none"/>
        </w:rPr>
        <w:t>；</w:t>
      </w:r>
    </w:p>
    <w:p>
      <w:pPr>
        <w:widowControl/>
        <w:ind w:firstLine="960" w:firstLineChars="400"/>
        <w:jc w:val="left"/>
        <w:rPr>
          <w:color w:val="auto"/>
          <w:highlight w:val="none"/>
        </w:rPr>
      </w:pPr>
      <w:r>
        <w:rPr>
          <w:rFonts w:hint="eastAsia" w:ascii="仿宋_GB2312" w:hAnsi="仿宋" w:eastAsia="仿宋_GB2312" w:cs="仿宋_GB2312"/>
          <w:color w:val="auto"/>
          <w:sz w:val="24"/>
          <w:highlight w:val="none"/>
        </w:rPr>
        <w:t>11.1.4</w:t>
      </w:r>
      <w:r>
        <w:rPr>
          <w:rFonts w:ascii="仿宋" w:hAnsi="仿宋" w:eastAsia="仿宋" w:cs="仿宋"/>
          <w:color w:val="auto"/>
          <w:kern w:val="0"/>
          <w:sz w:val="24"/>
          <w:highlight w:val="none"/>
        </w:rPr>
        <w:t>联合协议（如有）</w:t>
      </w:r>
      <w:r>
        <w:rPr>
          <w:rFonts w:hint="eastAsia" w:ascii="仿宋" w:hAnsi="仿宋" w:eastAsia="仿宋" w:cs="仿宋"/>
          <w:color w:val="auto"/>
          <w:kern w:val="0"/>
          <w:sz w:val="24"/>
          <w:highlight w:val="none"/>
        </w:rPr>
        <w:t>。</w:t>
      </w:r>
    </w:p>
    <w:p>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11.2.1投标函；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r>
        <w:rPr>
          <w:rFonts w:hint="eastAsia" w:ascii="仿宋_GB2312" w:hAnsi="仿宋" w:eastAsia="仿宋_GB2312" w:cs="仿宋_GB2312"/>
          <w:color w:val="auto"/>
          <w:sz w:val="24"/>
          <w:highlight w:val="none"/>
        </w:rPr>
        <w:t>（如有）</w:t>
      </w:r>
      <w:r>
        <w:rPr>
          <w:rFonts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r>
        <w:rPr>
          <w:rFonts w:hint="eastAsia" w:ascii="仿宋_GB2312" w:hAnsi="仿宋" w:eastAsia="仿宋_GB2312" w:cs="仿宋_GB2312"/>
          <w:color w:val="auto"/>
          <w:sz w:val="24"/>
          <w:highlight w:val="none"/>
        </w:rPr>
        <w:t>（如有）</w:t>
      </w:r>
      <w:r>
        <w:rPr>
          <w:rFonts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11.2.6评标标准相应的商务技术资料；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11.2.7商务技术偏离表；</w:t>
      </w:r>
    </w:p>
    <w:p>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11.3.1开标一览表（报价表）；</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11.3.2中小企业声明函。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29"/>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29"/>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29"/>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2"/>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szCs w:val="24"/>
          <w:highlight w:val="none"/>
          <w:lang w:eastAsia="zh-CN"/>
        </w:rPr>
        <w:t>优盘或光盘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第13项规定</w:t>
      </w:r>
      <w:r>
        <w:rPr>
          <w:rFonts w:hint="eastAsia" w:ascii="仿宋" w:hAnsi="仿宋" w:eastAsia="仿宋" w:cs="仿宋"/>
          <w:color w:val="auto"/>
          <w:szCs w:val="21"/>
          <w:highlight w:val="none"/>
        </w:rPr>
        <w:t>的情形之一的，投标无效：</w:t>
      </w:r>
    </w:p>
    <w:p>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9"/>
        <w:spacing w:before="0"/>
        <w:ind w:firstLine="643"/>
        <w:rPr>
          <w:rFonts w:hint="eastAsia" w:ascii="仿宋" w:hAnsi="仿宋" w:eastAsia="仿宋" w:cs="仿宋"/>
          <w:b/>
          <w:color w:val="auto"/>
          <w:sz w:val="32"/>
          <w:highlight w:val="none"/>
        </w:rPr>
      </w:pPr>
    </w:p>
    <w:p>
      <w:pPr>
        <w:pStyle w:val="129"/>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5"/>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5"/>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129"/>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20.1信用信息查询渠道及截止时间：采购机构将通过“信用中国”网站(www.creditchina.gov.cn)、中国政府采购网(www.ccgp.gov.cn)等渠道查询投标人投标截止时间当天的信用记录。</w:t>
      </w:r>
    </w:p>
    <w:p>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29"/>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29"/>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3"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29"/>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pPr>
        <w:pStyle w:val="129"/>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采购人与中标人应当通过电子交易平台在中标通知书发出之日起</w:t>
      </w:r>
      <w:r>
        <w:rPr>
          <w:rFonts w:hint="eastAsia" w:ascii="仿宋_GB2312" w:hAnsi="仿宋" w:eastAsia="仿宋_GB2312" w:cs="Arial"/>
          <w:color w:val="auto"/>
          <w:kern w:val="0"/>
          <w:sz w:val="24"/>
          <w:highlight w:val="none"/>
          <w:lang w:val="en-US" w:eastAsia="zh-CN"/>
        </w:rPr>
        <w:t>10天</w:t>
      </w:r>
      <w:r>
        <w:rPr>
          <w:rFonts w:ascii="仿宋_GB2312" w:hAnsi="仿宋" w:eastAsia="仿宋_GB2312" w:cs="Arial"/>
          <w:color w:val="auto"/>
          <w:kern w:val="0"/>
          <w:sz w:val="24"/>
          <w:highlight w:val="none"/>
        </w:rPr>
        <w:t>内，按照招标文件确定的事项签订政府采购合同，并在</w:t>
      </w:r>
      <w:r>
        <w:rPr>
          <w:rFonts w:hint="eastAsia" w:ascii="仿宋_GB2312" w:hAnsi="仿宋" w:eastAsia="仿宋_GB2312" w:cs="Arial"/>
          <w:color w:val="auto"/>
          <w:kern w:val="0"/>
          <w:sz w:val="24"/>
          <w:highlight w:val="none"/>
        </w:rPr>
        <w:t>合同签订之日</w:t>
      </w:r>
      <w:r>
        <w:rPr>
          <w:rFonts w:hint="eastAsia" w:ascii="仿宋_GB2312" w:hAnsi="仿宋" w:eastAsia="仿宋_GB2312" w:cs="Arial"/>
          <w:color w:val="auto"/>
          <w:kern w:val="0"/>
          <w:sz w:val="24"/>
          <w:highlight w:val="none"/>
          <w:lang w:eastAsia="zh-CN"/>
        </w:rPr>
        <w:t>当天</w:t>
      </w:r>
      <w:r>
        <w:rPr>
          <w:rFonts w:ascii="仿宋_GB2312" w:hAnsi="仿宋" w:eastAsia="仿宋_GB2312" w:cs="Arial"/>
          <w:color w:val="auto"/>
          <w:kern w:val="0"/>
          <w:sz w:val="24"/>
          <w:highlight w:val="none"/>
        </w:rPr>
        <w:t>依法发布合同公告。</w:t>
      </w:r>
    </w:p>
    <w:p>
      <w:pPr>
        <w:pStyle w:val="129"/>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9"/>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仿宋_GB2312"/>
          <w:color w:val="auto"/>
          <w:sz w:val="24"/>
          <w:szCs w:val="20"/>
          <w:highlight w:val="none"/>
        </w:rPr>
        <w:t>杭州市政府采购网公布的供应商履约评价为</w:t>
      </w:r>
      <w:r>
        <w:rPr>
          <w:rFonts w:hint="eastAsia" w:ascii="仿宋_GB2312" w:hAnsi="仿宋" w:eastAsia="仿宋_GB2312" w:cs="仿宋_GB2312"/>
          <w:color w:val="auto"/>
          <w:sz w:val="24"/>
          <w:szCs w:val="20"/>
          <w:highlight w:val="none"/>
          <w:lang w:eastAsia="zh-CN"/>
        </w:rPr>
        <w:t>满</w:t>
      </w:r>
      <w:r>
        <w:rPr>
          <w:rFonts w:hint="eastAsia" w:ascii="仿宋_GB2312" w:hAnsi="仿宋" w:eastAsia="仿宋_GB2312" w:cs="仿宋_GB2312"/>
          <w:color w:val="auto"/>
          <w:sz w:val="24"/>
          <w:szCs w:val="20"/>
          <w:highlight w:val="none"/>
        </w:rPr>
        <w:t>分的免收履约保证金</w:t>
      </w:r>
      <w:r>
        <w:rPr>
          <w:rFonts w:hint="eastAsia" w:ascii="仿宋_GB2312" w:hAnsi="仿宋" w:eastAsia="仿宋_GB2312" w:cs="仿宋_GB2312"/>
          <w:color w:val="auto"/>
          <w:sz w:val="24"/>
          <w:szCs w:val="20"/>
          <w:highlight w:val="none"/>
          <w:lang w:eastAsia="zh-CN"/>
        </w:rPr>
        <w:t>。确需收取履约保证金的，</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w:t>
      </w:r>
      <w:r>
        <w:rPr>
          <w:rFonts w:hint="eastAsia" w:ascii="仿宋_GB2312" w:hAnsi="仿宋" w:eastAsia="仿宋_GB2312"/>
          <w:color w:val="auto"/>
          <w:sz w:val="24"/>
          <w:highlight w:val="none"/>
          <w:lang w:eastAsia="zh-CN"/>
        </w:rPr>
        <w:t>电子</w:t>
      </w:r>
      <w:r>
        <w:rPr>
          <w:rFonts w:hint="eastAsia" w:ascii="仿宋_GB2312" w:hAnsi="仿宋" w:eastAsia="仿宋_GB2312"/>
          <w:color w:val="auto"/>
          <w:sz w:val="24"/>
          <w:highlight w:val="none"/>
        </w:rPr>
        <w:t>保函形式提供履约保证金。</w:t>
      </w:r>
      <w:r>
        <w:rPr>
          <w:rFonts w:hint="eastAsia" w:ascii="仿宋_GB2312" w:hAnsi="仿宋" w:eastAsia="仿宋_GB2312"/>
          <w:b/>
          <w:color w:val="auto"/>
          <w:sz w:val="24"/>
          <w:highlight w:val="none"/>
        </w:rPr>
        <w:t>采购人不得拒收履约保函。</w:t>
      </w:r>
    </w:p>
    <w:p>
      <w:pPr>
        <w:tabs>
          <w:tab w:val="left" w:pos="0"/>
        </w:tabs>
        <w:spacing w:line="360" w:lineRule="auto"/>
        <w:ind w:firstLine="482"/>
        <w:rPr>
          <w:rFonts w:ascii="仿宋_GB2312" w:hAnsi="仿宋" w:eastAsia="仿宋_GB2312" w:cs="仿宋_GB2312"/>
          <w:color w:val="auto"/>
          <w:sz w:val="24"/>
          <w:szCs w:val="20"/>
          <w:highlight w:val="none"/>
        </w:rPr>
      </w:pPr>
      <w:r>
        <w:rPr>
          <w:rFonts w:hint="eastAsia" w:ascii="仿宋_GB2312" w:hAnsi="仿宋" w:eastAsia="仿宋_GB2312" w:cs="仿宋_GB2312"/>
          <w:color w:val="auto"/>
          <w:sz w:val="24"/>
          <w:szCs w:val="20"/>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2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129"/>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129"/>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p>
    <w:bookmarkEnd w:id="11"/>
    <w:bookmarkEnd w:id="12"/>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028" w:bottom="468" w:left="1418" w:header="851" w:footer="992" w:gutter="0"/>
          <w:pgNumType w:fmt="decimal"/>
          <w:cols w:space="720" w:num="1"/>
          <w:titlePg/>
          <w:docGrid w:linePitch="312" w:charSpace="0"/>
        </w:sectPr>
      </w:pPr>
      <w:bookmarkStart w:id="14" w:name="_Hlt74729768"/>
      <w:bookmarkEnd w:id="14"/>
      <w:bookmarkStart w:id="15" w:name="_Hlt75236101"/>
      <w:bookmarkEnd w:id="15"/>
      <w:bookmarkStart w:id="16" w:name="_Hlt68072990"/>
      <w:bookmarkEnd w:id="16"/>
      <w:bookmarkStart w:id="17" w:name="_Hlt68403820"/>
      <w:bookmarkEnd w:id="17"/>
      <w:bookmarkStart w:id="18" w:name="_Hlt68057669"/>
      <w:bookmarkEnd w:id="18"/>
      <w:bookmarkStart w:id="19" w:name="_Hlt74730295"/>
      <w:bookmarkEnd w:id="19"/>
      <w:bookmarkStart w:id="20" w:name="_Hlt68073093"/>
      <w:bookmarkEnd w:id="20"/>
      <w:bookmarkStart w:id="21" w:name="_Hlt74714665"/>
      <w:bookmarkEnd w:id="21"/>
      <w:bookmarkStart w:id="22" w:name="_Hlt75236290"/>
      <w:bookmarkEnd w:id="22"/>
      <w:bookmarkStart w:id="23" w:name="_Hlt75236011"/>
      <w:bookmarkEnd w:id="23"/>
      <w:bookmarkStart w:id="24" w:name="_Hlt74707468"/>
      <w:bookmarkEnd w:id="24"/>
      <w:bookmarkStart w:id="25" w:name="_Hlt68072998"/>
      <w:bookmarkEnd w:id="25"/>
    </w:p>
    <w:p>
      <w:pPr>
        <w:spacing w:line="360" w:lineRule="auto"/>
        <w:jc w:val="center"/>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采购需求</w:t>
      </w:r>
    </w:p>
    <w:p>
      <w:pPr>
        <w:snapToGrid w:val="0"/>
        <w:spacing w:line="360" w:lineRule="auto"/>
        <w:jc w:val="left"/>
        <w:rPr>
          <w:rFonts w:hint="eastAsia"/>
          <w:color w:val="auto"/>
          <w:highlight w:val="none"/>
          <w:lang w:val="en-US" w:eastAsia="zh-CN"/>
        </w:rPr>
      </w:pPr>
    </w:p>
    <w:p>
      <w:pPr>
        <w:pStyle w:val="2"/>
        <w:pageBreakBefore w:val="0"/>
        <w:kinsoku/>
        <w:wordWrap/>
        <w:overflowPunct/>
        <w:topLinePunct w:val="0"/>
        <w:bidi w:val="0"/>
        <w:snapToGrid w:val="0"/>
        <w:spacing w:line="360" w:lineRule="auto"/>
        <w:ind w:left="0"/>
        <w:textAlignment w:val="auto"/>
        <w:rPr>
          <w:rFonts w:hint="eastAsia" w:ascii="仿宋" w:hAnsi="仿宋" w:eastAsia="仿宋" w:cs="仿宋"/>
          <w:color w:val="auto"/>
          <w:sz w:val="24"/>
          <w:szCs w:val="24"/>
          <w:highlight w:val="none"/>
        </w:rPr>
      </w:pPr>
      <w:bookmarkStart w:id="27" w:name="_Toc309392650"/>
      <w:bookmarkStart w:id="28" w:name="_Toc8508"/>
      <w:r>
        <w:rPr>
          <w:rFonts w:hint="eastAsia" w:ascii="仿宋" w:hAnsi="仿宋" w:eastAsia="仿宋" w:cs="仿宋"/>
          <w:color w:val="auto"/>
          <w:sz w:val="24"/>
          <w:szCs w:val="24"/>
          <w:highlight w:val="none"/>
        </w:rPr>
        <w:t>一、项目总体目标</w:t>
      </w:r>
      <w:bookmarkEnd w:id="27"/>
      <w:bookmarkEnd w:id="28"/>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随着整个杭州市数字城市管理信息系统的建设，杭州</w:t>
      </w:r>
      <w:r>
        <w:rPr>
          <w:rFonts w:hint="eastAsia" w:ascii="仿宋" w:hAnsi="仿宋" w:eastAsia="仿宋" w:cs="仿宋"/>
          <w:snapToGrid w:val="0"/>
          <w:color w:val="auto"/>
          <w:kern w:val="0"/>
          <w:sz w:val="24"/>
          <w:szCs w:val="24"/>
          <w:highlight w:val="none"/>
          <w:lang w:eastAsia="zh-CN"/>
        </w:rPr>
        <w:t>市</w:t>
      </w:r>
      <w:r>
        <w:rPr>
          <w:rFonts w:hint="eastAsia" w:ascii="仿宋" w:hAnsi="仿宋" w:eastAsia="仿宋" w:cs="仿宋"/>
          <w:snapToGrid w:val="0"/>
          <w:color w:val="auto"/>
          <w:kern w:val="0"/>
          <w:sz w:val="24"/>
          <w:szCs w:val="24"/>
          <w:highlight w:val="none"/>
        </w:rPr>
        <w:t>钱塘区数字城市管理信息系统也同步建设起来，该系统的总目标是：依托空间信息技术、工作流技术、计算机网络技术、无线通信技术等先进技术手段，实现城市部件和事件管理的数字化、网络化和空间可视化，创新城市管理模式，再造城市管理流程，建立一套科学完善的监督评价体系，并实现政府信息化建设相关资源的共享，提高城市管理水平，构建和谐社会，提升城市品位。</w:t>
      </w:r>
    </w:p>
    <w:p>
      <w:pPr>
        <w:pStyle w:val="2"/>
        <w:pageBreakBefore w:val="0"/>
        <w:kinsoku/>
        <w:wordWrap/>
        <w:overflowPunct/>
        <w:topLinePunct w:val="0"/>
        <w:bidi w:val="0"/>
        <w:snapToGrid w:val="0"/>
        <w:spacing w:line="360" w:lineRule="auto"/>
        <w:ind w:left="0"/>
        <w:textAlignment w:val="auto"/>
        <w:rPr>
          <w:rFonts w:hint="eastAsia" w:ascii="仿宋" w:hAnsi="仿宋" w:eastAsia="仿宋" w:cs="仿宋"/>
          <w:color w:val="auto"/>
          <w:sz w:val="24"/>
          <w:szCs w:val="24"/>
          <w:highlight w:val="none"/>
        </w:rPr>
      </w:pPr>
      <w:bookmarkStart w:id="29" w:name="_Toc309392651"/>
      <w:bookmarkStart w:id="30" w:name="_Toc8133"/>
      <w:r>
        <w:rPr>
          <w:rFonts w:hint="eastAsia" w:ascii="仿宋" w:hAnsi="仿宋" w:eastAsia="仿宋" w:cs="仿宋"/>
          <w:color w:val="auto"/>
          <w:sz w:val="24"/>
          <w:szCs w:val="24"/>
          <w:highlight w:val="none"/>
        </w:rPr>
        <w:t>二、本项目工作内容</w:t>
      </w:r>
      <w:bookmarkEnd w:id="29"/>
      <w:bookmarkEnd w:id="30"/>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杭州钱塘新区数字城管城市事件和部件管理信息采集是本着信息采集“群专结合”和“政府花钱买服务”、“养事不养人”的原则，将数字城管覆盖范围内的城市事、部件委托社会具有信息采集且具有合法经营资质的公司，按照城市事、部件管理标准、巡查监管要求，并以社区为基本工作单位，进行定时、全面、公正、及时的监管和有效信息数据采集、准确传输以及核查、核实等，保证问题的及时发现和全面处置。</w:t>
      </w:r>
    </w:p>
    <w:p>
      <w:pPr>
        <w:pStyle w:val="2"/>
        <w:pageBreakBefore w:val="0"/>
        <w:kinsoku/>
        <w:wordWrap/>
        <w:overflowPunct/>
        <w:topLinePunct w:val="0"/>
        <w:bidi w:val="0"/>
        <w:snapToGrid w:val="0"/>
        <w:spacing w:line="360" w:lineRule="auto"/>
        <w:ind w:left="0"/>
        <w:textAlignment w:val="auto"/>
        <w:rPr>
          <w:rFonts w:hint="eastAsia" w:ascii="仿宋" w:hAnsi="仿宋" w:eastAsia="仿宋" w:cs="仿宋"/>
          <w:color w:val="auto"/>
          <w:sz w:val="24"/>
          <w:szCs w:val="24"/>
          <w:highlight w:val="none"/>
        </w:rPr>
      </w:pPr>
      <w:bookmarkStart w:id="31" w:name="_Toc309392652"/>
      <w:bookmarkStart w:id="32" w:name="_Toc24794"/>
      <w:r>
        <w:rPr>
          <w:rFonts w:hint="eastAsia" w:ascii="仿宋" w:hAnsi="仿宋" w:eastAsia="仿宋" w:cs="仿宋"/>
          <w:color w:val="auto"/>
          <w:sz w:val="24"/>
          <w:szCs w:val="24"/>
          <w:highlight w:val="none"/>
        </w:rPr>
        <w:t>三、</w:t>
      </w:r>
      <w:bookmarkEnd w:id="31"/>
      <w:r>
        <w:rPr>
          <w:rFonts w:hint="eastAsia" w:ascii="仿宋" w:hAnsi="仿宋" w:eastAsia="仿宋" w:cs="仿宋"/>
          <w:color w:val="auto"/>
          <w:sz w:val="24"/>
          <w:szCs w:val="24"/>
          <w:highlight w:val="none"/>
        </w:rPr>
        <w:t>基本服务标准</w:t>
      </w:r>
      <w:bookmarkEnd w:id="32"/>
    </w:p>
    <w:p>
      <w:pPr>
        <w:pageBreakBefore w:val="0"/>
        <w:kinsoku/>
        <w:wordWrap/>
        <w:overflowPunct/>
        <w:topLinePunct w:val="0"/>
        <w:bidi w:val="0"/>
        <w:adjustRightInd w:val="0"/>
        <w:snapToGrid w:val="0"/>
        <w:spacing w:line="360" w:lineRule="auto"/>
        <w:textAlignment w:val="auto"/>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w:t>
      </w:r>
      <w:r>
        <w:rPr>
          <w:rFonts w:hint="eastAsia" w:ascii="仿宋" w:hAnsi="仿宋" w:eastAsia="仿宋" w:cs="仿宋"/>
          <w:b/>
          <w:bCs/>
          <w:snapToGrid w:val="0"/>
          <w:color w:val="auto"/>
          <w:kern w:val="0"/>
          <w:sz w:val="24"/>
          <w:szCs w:val="24"/>
          <w:highlight w:val="none"/>
          <w:lang w:eastAsia="zh-CN"/>
        </w:rPr>
        <w:t>一</w:t>
      </w:r>
      <w:r>
        <w:rPr>
          <w:rFonts w:hint="eastAsia" w:ascii="仿宋" w:hAnsi="仿宋" w:eastAsia="仿宋" w:cs="仿宋"/>
          <w:b/>
          <w:bCs/>
          <w:snapToGrid w:val="0"/>
          <w:color w:val="auto"/>
          <w:kern w:val="0"/>
          <w:sz w:val="24"/>
          <w:szCs w:val="24"/>
          <w:highlight w:val="none"/>
        </w:rPr>
        <w:t>）</w:t>
      </w:r>
      <w:r>
        <w:rPr>
          <w:rFonts w:hint="eastAsia" w:ascii="仿宋" w:hAnsi="仿宋" w:eastAsia="仿宋" w:cs="仿宋"/>
          <w:b/>
          <w:bCs/>
          <w:snapToGrid w:val="0"/>
          <w:color w:val="auto"/>
          <w:kern w:val="0"/>
          <w:sz w:val="24"/>
          <w:szCs w:val="24"/>
          <w:highlight w:val="none"/>
          <w:lang w:eastAsia="zh-CN"/>
        </w:rPr>
        <w:t>工作</w:t>
      </w:r>
      <w:r>
        <w:rPr>
          <w:rFonts w:hint="eastAsia" w:ascii="仿宋" w:hAnsi="仿宋" w:eastAsia="仿宋" w:cs="仿宋"/>
          <w:b/>
          <w:bCs/>
          <w:snapToGrid w:val="0"/>
          <w:color w:val="auto"/>
          <w:kern w:val="0"/>
          <w:sz w:val="24"/>
          <w:szCs w:val="24"/>
          <w:highlight w:val="none"/>
        </w:rPr>
        <w:t>范围</w:t>
      </w:r>
    </w:p>
    <w:p>
      <w:pPr>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本项目服务范围为杭州钱塘新区江东区域，数字城管覆盖面积</w:t>
      </w:r>
      <w:r>
        <w:rPr>
          <w:rFonts w:hint="eastAsia" w:ascii="仿宋" w:hAnsi="仿宋" w:eastAsia="仿宋" w:cs="仿宋"/>
          <w:color w:val="auto"/>
          <w:sz w:val="24"/>
          <w:szCs w:val="24"/>
          <w:highlight w:val="none"/>
          <w:lang w:val="en-US" w:eastAsia="zh-CN"/>
        </w:rPr>
        <w:t>22.35</w:t>
      </w:r>
      <w:r>
        <w:rPr>
          <w:rFonts w:hint="eastAsia" w:ascii="仿宋" w:hAnsi="仿宋" w:eastAsia="仿宋" w:cs="仿宋"/>
          <w:snapToGrid w:val="0"/>
          <w:color w:val="auto"/>
          <w:kern w:val="0"/>
          <w:sz w:val="24"/>
          <w:szCs w:val="24"/>
          <w:highlight w:val="none"/>
        </w:rPr>
        <w:t>平方公里,具体范围请服从招标人安排。</w:t>
      </w:r>
    </w:p>
    <w:p>
      <w:pPr>
        <w:pageBreakBefore w:val="0"/>
        <w:kinsoku/>
        <w:wordWrap/>
        <w:overflowPunct/>
        <w:topLinePunct w:val="0"/>
        <w:bidi w:val="0"/>
        <w:adjustRightInd w:val="0"/>
        <w:snapToGrid w:val="0"/>
        <w:spacing w:line="360" w:lineRule="auto"/>
        <w:textAlignment w:val="auto"/>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w:t>
      </w:r>
      <w:r>
        <w:rPr>
          <w:rFonts w:hint="eastAsia" w:ascii="仿宋" w:hAnsi="仿宋" w:eastAsia="仿宋" w:cs="仿宋"/>
          <w:b/>
          <w:bCs/>
          <w:snapToGrid w:val="0"/>
          <w:color w:val="auto"/>
          <w:kern w:val="0"/>
          <w:sz w:val="24"/>
          <w:szCs w:val="24"/>
          <w:highlight w:val="none"/>
          <w:lang w:eastAsia="zh-CN"/>
        </w:rPr>
        <w:t>二</w:t>
      </w:r>
      <w:r>
        <w:rPr>
          <w:rFonts w:hint="eastAsia" w:ascii="仿宋" w:hAnsi="仿宋" w:eastAsia="仿宋" w:cs="仿宋"/>
          <w:b/>
          <w:bCs/>
          <w:snapToGrid w:val="0"/>
          <w:color w:val="auto"/>
          <w:kern w:val="0"/>
          <w:sz w:val="24"/>
          <w:szCs w:val="24"/>
          <w:highlight w:val="none"/>
        </w:rPr>
        <w:t>）</w:t>
      </w:r>
      <w:r>
        <w:rPr>
          <w:rFonts w:hint="eastAsia" w:ascii="仿宋" w:hAnsi="仿宋" w:eastAsia="仿宋" w:cs="仿宋"/>
          <w:b/>
          <w:bCs/>
          <w:snapToGrid w:val="0"/>
          <w:color w:val="auto"/>
          <w:kern w:val="0"/>
          <w:sz w:val="24"/>
          <w:szCs w:val="24"/>
          <w:highlight w:val="none"/>
          <w:lang w:eastAsia="zh-CN"/>
        </w:rPr>
        <w:t>工作</w:t>
      </w:r>
      <w:r>
        <w:rPr>
          <w:rFonts w:hint="eastAsia" w:ascii="仿宋" w:hAnsi="仿宋" w:eastAsia="仿宋" w:cs="仿宋"/>
          <w:b/>
          <w:bCs/>
          <w:snapToGrid w:val="0"/>
          <w:color w:val="auto"/>
          <w:kern w:val="0"/>
          <w:sz w:val="24"/>
          <w:szCs w:val="24"/>
          <w:highlight w:val="none"/>
        </w:rPr>
        <w:t>内容</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val="en-US" w:eastAsia="zh-CN"/>
        </w:rPr>
        <w:t>1、</w:t>
      </w:r>
      <w:r>
        <w:rPr>
          <w:rFonts w:hint="eastAsia" w:ascii="仿宋" w:hAnsi="仿宋" w:eastAsia="仿宋" w:cs="仿宋"/>
          <w:snapToGrid w:val="0"/>
          <w:color w:val="auto"/>
          <w:kern w:val="0"/>
          <w:sz w:val="24"/>
          <w:szCs w:val="24"/>
          <w:highlight w:val="none"/>
        </w:rPr>
        <w:t>依据管理标准，负责对城市事件动态问题及部件完好、变更信息的限时采集</w:t>
      </w:r>
      <w:r>
        <w:rPr>
          <w:rFonts w:hint="eastAsia" w:ascii="仿宋" w:hAnsi="仿宋" w:eastAsia="仿宋" w:cs="仿宋"/>
          <w:snapToGrid w:val="0"/>
          <w:color w:val="auto"/>
          <w:kern w:val="0"/>
          <w:sz w:val="24"/>
          <w:szCs w:val="24"/>
          <w:highlight w:val="none"/>
          <w:lang w:eastAsia="zh-CN"/>
        </w:rPr>
        <w:t>；</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对热线受理、投诉、社区反映及媒体曝光和社区联系站等途径反馈问题进行核实；</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rPr>
        <w:t>对所发现问题结案前进行核查；</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4、日常</w:t>
      </w:r>
      <w:r>
        <w:rPr>
          <w:rFonts w:hint="eastAsia" w:ascii="仿宋" w:hAnsi="仿宋" w:eastAsia="仿宋" w:cs="仿宋"/>
          <w:snapToGrid w:val="0"/>
          <w:color w:val="auto"/>
          <w:kern w:val="0"/>
          <w:sz w:val="24"/>
          <w:szCs w:val="24"/>
          <w:highlight w:val="none"/>
        </w:rPr>
        <w:t>普查内容</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对</w:t>
      </w:r>
      <w:r>
        <w:rPr>
          <w:rStyle w:val="962"/>
          <w:rFonts w:hint="eastAsia" w:ascii="仿宋" w:hAnsi="仿宋" w:eastAsia="仿宋" w:cs="仿宋"/>
          <w:color w:val="auto"/>
          <w:kern w:val="0"/>
          <w:sz w:val="24"/>
          <w:szCs w:val="24"/>
          <w:highlight w:val="none"/>
          <w:lang w:val="en-US" w:eastAsia="zh-CN" w:bidi="ar-SA"/>
        </w:rPr>
        <w:t>数字城管城市快车道、河道、高架立交、桥梁隧道等区域信息全面及时采集</w:t>
      </w:r>
      <w:r>
        <w:rPr>
          <w:rFonts w:hint="eastAsia" w:ascii="仿宋" w:hAnsi="仿宋" w:eastAsia="仿宋" w:cs="仿宋"/>
          <w:snapToGrid w:val="0"/>
          <w:color w:val="auto"/>
          <w:kern w:val="0"/>
          <w:sz w:val="24"/>
          <w:szCs w:val="24"/>
          <w:highlight w:val="none"/>
        </w:rPr>
        <w:t>；</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5、</w:t>
      </w:r>
      <w:r>
        <w:rPr>
          <w:rFonts w:hint="eastAsia" w:ascii="仿宋" w:hAnsi="仿宋" w:eastAsia="仿宋" w:cs="仿宋"/>
          <w:snapToGrid w:val="0"/>
          <w:color w:val="auto"/>
          <w:kern w:val="0"/>
          <w:sz w:val="24"/>
          <w:szCs w:val="24"/>
          <w:highlight w:val="none"/>
        </w:rPr>
        <w:t>重大活动、防汛防台等应急保障工作；</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lang w:val="en-US" w:eastAsia="zh-CN"/>
        </w:rPr>
        <w:t>6、</w:t>
      </w:r>
      <w:r>
        <w:rPr>
          <w:rFonts w:hint="eastAsia" w:ascii="仿宋" w:hAnsi="仿宋" w:eastAsia="仿宋" w:cs="仿宋"/>
          <w:snapToGrid w:val="0"/>
          <w:color w:val="auto"/>
          <w:kern w:val="0"/>
          <w:sz w:val="24"/>
          <w:szCs w:val="24"/>
          <w:highlight w:val="none"/>
        </w:rPr>
        <w:t>其他根据城市管理工作的需要，按采购人要求实施的各类专项信息采集工作等。</w:t>
      </w:r>
    </w:p>
    <w:p>
      <w:pPr>
        <w:pageBreakBefore w:val="0"/>
        <w:tabs>
          <w:tab w:val="left" w:pos="6300"/>
        </w:tabs>
        <w:kinsoku/>
        <w:wordWrap/>
        <w:overflowPunct/>
        <w:topLinePunct w:val="0"/>
        <w:bidi w:val="0"/>
        <w:adjustRightInd w:val="0"/>
        <w:spacing w:line="360" w:lineRule="auto"/>
        <w:ind w:lef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项目报价和相关要求</w:t>
      </w:r>
    </w:p>
    <w:p>
      <w:pPr>
        <w:pageBreakBefore w:val="0"/>
        <w:tabs>
          <w:tab w:val="left" w:pos="6300"/>
        </w:tabs>
        <w:kinsoku/>
        <w:wordWrap/>
        <w:overflowPunct/>
        <w:topLinePunct w:val="0"/>
        <w:bidi w:val="0"/>
        <w:adjustRightInd w:val="0"/>
        <w:spacing w:line="360" w:lineRule="auto"/>
        <w:ind w:left="0" w:firstLine="56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为完成本招标文件所述的服务项目内容指标所需的全部费用，即按采购人要求完工的价格，包括服务方案和规范制度编写费、调研费、设备（包括机动巡查车辆、应急办公设备等）购置维修费、方案计划评审费、培训费等须由投标单位支付的所有费用（包括各种人工费、机械使用费、管理、利润、税务费、必要的保险费用、必须的专用工具、辅助材料费及合同实施过程中不可预见的费用等）的总和。</w:t>
      </w:r>
    </w:p>
    <w:p>
      <w:pPr>
        <w:pageBreakBefore w:val="0"/>
        <w:tabs>
          <w:tab w:val="left" w:pos="6300"/>
        </w:tabs>
        <w:kinsoku/>
        <w:wordWrap/>
        <w:overflowPunct/>
        <w:topLinePunct w:val="0"/>
        <w:bidi w:val="0"/>
        <w:adjustRightInd w:val="0"/>
        <w:spacing w:line="360" w:lineRule="auto"/>
        <w:ind w:left="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（四）信息采集队伍组建相关要</w:t>
      </w:r>
      <w:r>
        <w:rPr>
          <w:rFonts w:hint="eastAsia" w:ascii="仿宋" w:hAnsi="仿宋" w:eastAsia="仿宋" w:cs="仿宋"/>
          <w:b/>
          <w:color w:val="auto"/>
          <w:sz w:val="24"/>
          <w:szCs w:val="24"/>
          <w:highlight w:val="none"/>
        </w:rPr>
        <w:t>求</w:t>
      </w:r>
    </w:p>
    <w:p>
      <w:pPr>
        <w:pStyle w:val="23"/>
        <w:keepNext w:val="0"/>
        <w:keepLines w:val="0"/>
        <w:pageBreakBefore w:val="0"/>
        <w:widowControl w:val="0"/>
        <w:kinsoku/>
        <w:wordWrap/>
        <w:overflowPunct/>
        <w:topLinePunct w:val="0"/>
        <w:autoSpaceDE/>
        <w:autoSpaceDN/>
        <w:bidi w:val="0"/>
        <w:adjustRightInd w:val="0"/>
        <w:snapToGrid w:val="0"/>
        <w:spacing w:after="0" w:afterLines="0" w:line="360" w:lineRule="auto"/>
        <w:ind w:left="0" w:firstLine="480" w:firstLineChars="20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合同签订后，中标人</w:t>
      </w:r>
      <w:r>
        <w:rPr>
          <w:rFonts w:hint="eastAsia" w:ascii="仿宋" w:hAnsi="仿宋" w:eastAsia="仿宋" w:cs="仿宋"/>
          <w:color w:val="auto"/>
          <w:sz w:val="24"/>
          <w:szCs w:val="24"/>
          <w:highlight w:val="none"/>
          <w:lang w:val="zh-CN"/>
        </w:rPr>
        <w:t>应于履行合同前7日内</w:t>
      </w:r>
      <w:r>
        <w:rPr>
          <w:rFonts w:hint="eastAsia" w:ascii="仿宋" w:hAnsi="仿宋" w:eastAsia="仿宋" w:cs="仿宋"/>
          <w:color w:val="auto"/>
          <w:sz w:val="24"/>
          <w:szCs w:val="24"/>
          <w:highlight w:val="none"/>
          <w:lang w:val="zh-CN" w:eastAsia="zh-CN"/>
        </w:rPr>
        <w:t>且</w:t>
      </w:r>
      <w:r>
        <w:rPr>
          <w:rFonts w:hint="eastAsia" w:ascii="仿宋" w:hAnsi="仿宋" w:eastAsia="仿宋" w:cs="仿宋"/>
          <w:color w:val="auto"/>
          <w:sz w:val="24"/>
          <w:highlight w:val="none"/>
          <w:lang w:val="zh-CN" w:eastAsia="zh-CN"/>
        </w:rPr>
        <w:t>定标之日起30天内</w:t>
      </w:r>
      <w:r>
        <w:rPr>
          <w:rFonts w:hint="eastAsia" w:ascii="仿宋" w:hAnsi="仿宋" w:eastAsia="仿宋" w:cs="仿宋"/>
          <w:color w:val="auto"/>
          <w:sz w:val="24"/>
          <w:szCs w:val="24"/>
          <w:highlight w:val="none"/>
        </w:rPr>
        <w:t>按照投标文件的承诺，完成信息采集队伍的招募、培训等前期工作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并</w:t>
      </w:r>
      <w:r>
        <w:rPr>
          <w:rFonts w:hint="eastAsia" w:ascii="仿宋" w:hAnsi="仿宋" w:eastAsia="仿宋" w:cs="仿宋"/>
          <w:bCs/>
          <w:color w:val="auto"/>
          <w:sz w:val="24"/>
          <w:szCs w:val="24"/>
          <w:highlight w:val="none"/>
        </w:rPr>
        <w:t>根据采购需求设定采集员以及信息采集器的工作区域，向采购人提供各信息采集员</w:t>
      </w:r>
      <w:r>
        <w:rPr>
          <w:rFonts w:hint="eastAsia" w:ascii="仿宋" w:hAnsi="仿宋" w:eastAsia="仿宋" w:cs="仿宋"/>
          <w:bCs/>
          <w:color w:val="auto"/>
          <w:sz w:val="24"/>
          <w:szCs w:val="24"/>
          <w:highlight w:val="none"/>
          <w:lang w:val="en-US" w:eastAsia="zh-CN"/>
        </w:rPr>
        <w:t>信息及</w:t>
      </w:r>
      <w:r>
        <w:rPr>
          <w:rFonts w:hint="eastAsia" w:ascii="仿宋" w:hAnsi="仿宋" w:eastAsia="仿宋" w:cs="仿宋"/>
          <w:bCs/>
          <w:color w:val="auto"/>
          <w:sz w:val="24"/>
          <w:szCs w:val="24"/>
          <w:highlight w:val="none"/>
        </w:rPr>
        <w:t>巡查线路。</w:t>
      </w:r>
    </w:p>
    <w:p>
      <w:pPr>
        <w:pStyle w:val="23"/>
        <w:keepNext w:val="0"/>
        <w:keepLines w:val="0"/>
        <w:pageBreakBefore w:val="0"/>
        <w:widowControl w:val="0"/>
        <w:kinsoku/>
        <w:wordWrap/>
        <w:overflowPunct/>
        <w:topLinePunct w:val="0"/>
        <w:autoSpaceDE/>
        <w:autoSpaceDN/>
        <w:bidi w:val="0"/>
        <w:adjustRightInd w:val="0"/>
        <w:snapToGrid w:val="0"/>
        <w:spacing w:after="0" w:afterLines="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投标时，投标文件中应能提供网格划分方案，</w:t>
      </w:r>
      <w:r>
        <w:rPr>
          <w:rStyle w:val="962"/>
          <w:rFonts w:hint="eastAsia" w:ascii="仿宋" w:hAnsi="仿宋" w:eastAsia="仿宋" w:cs="仿宋"/>
          <w:color w:val="auto"/>
          <w:kern w:val="0"/>
          <w:sz w:val="24"/>
          <w:szCs w:val="24"/>
          <w:highlight w:val="none"/>
        </w:rPr>
        <w:t>采集员交接</w:t>
      </w:r>
      <w:r>
        <w:rPr>
          <w:rStyle w:val="962"/>
          <w:rFonts w:hint="eastAsia" w:ascii="仿宋" w:hAnsi="仿宋" w:eastAsia="仿宋" w:cs="仿宋"/>
          <w:color w:val="auto"/>
          <w:kern w:val="0"/>
          <w:sz w:val="24"/>
          <w:szCs w:val="24"/>
          <w:highlight w:val="none"/>
          <w:lang w:val="en-US" w:eastAsia="zh-CN"/>
        </w:rPr>
        <w:t>方案,</w:t>
      </w:r>
      <w:r>
        <w:rPr>
          <w:rStyle w:val="962"/>
          <w:rFonts w:hint="eastAsia" w:ascii="仿宋" w:hAnsi="仿宋" w:eastAsia="仿宋" w:cs="仿宋"/>
          <w:color w:val="auto"/>
          <w:kern w:val="0"/>
          <w:sz w:val="24"/>
          <w:szCs w:val="24"/>
          <w:highlight w:val="none"/>
        </w:rPr>
        <w:t>员工上岗培训方案</w:t>
      </w:r>
      <w:r>
        <w:rPr>
          <w:rStyle w:val="962"/>
          <w:rFonts w:hint="eastAsia" w:ascii="仿宋" w:hAnsi="仿宋" w:eastAsia="仿宋" w:cs="仿宋"/>
          <w:color w:val="auto"/>
          <w:kern w:val="0"/>
          <w:sz w:val="24"/>
          <w:szCs w:val="24"/>
          <w:highlight w:val="none"/>
          <w:lang w:val="en-US" w:eastAsia="zh-CN"/>
        </w:rPr>
        <w:t>。</w:t>
      </w:r>
    </w:p>
    <w:p>
      <w:pPr>
        <w:keepNext w:val="0"/>
        <w:keepLines w:val="0"/>
        <w:pageBreakBefore w:val="0"/>
        <w:widowControl w:val="0"/>
        <w:kinsoku/>
        <w:wordWrap/>
        <w:overflowPunct/>
        <w:topLinePunct w:val="0"/>
        <w:bidi w:val="0"/>
        <w:adjustRightInd w:val="0"/>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项目负责人及团队管理人员应具备管理类专科及以上学历，且需具有1年及以上信息采集项目经验。整个项目团队人员中，应有成员</w:t>
      </w:r>
      <w:r>
        <w:rPr>
          <w:rFonts w:hint="eastAsia" w:ascii="仿宋" w:hAnsi="仿宋" w:eastAsia="仿宋" w:cs="仿宋"/>
          <w:snapToGrid w:val="0"/>
          <w:color w:val="auto"/>
          <w:kern w:val="0"/>
          <w:sz w:val="24"/>
          <w:szCs w:val="24"/>
          <w:highlight w:val="none"/>
          <w:lang w:val="zh-CN" w:eastAsia="zh-CN"/>
        </w:rPr>
        <w:t>取得国家认可证书的人力资源管理师证书。</w:t>
      </w:r>
      <w:r>
        <w:rPr>
          <w:rFonts w:hint="eastAsia" w:ascii="仿宋" w:hAnsi="仿宋" w:eastAsia="仿宋" w:cs="仿宋"/>
          <w:color w:val="auto"/>
          <w:sz w:val="24"/>
          <w:szCs w:val="24"/>
          <w:highlight w:val="none"/>
        </w:rPr>
        <w:t xml:space="preserve"> </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为实现项目需求，投标人需根据自身情况</w:t>
      </w:r>
      <w:r>
        <w:rPr>
          <w:rFonts w:hint="eastAsia" w:ascii="仿宋" w:hAnsi="仿宋" w:eastAsia="仿宋" w:cs="仿宋"/>
          <w:color w:val="auto"/>
          <w:sz w:val="24"/>
          <w:szCs w:val="24"/>
          <w:highlight w:val="none"/>
          <w:lang w:val="en-US" w:eastAsia="zh-CN"/>
        </w:rPr>
        <w:t>至少</w:t>
      </w:r>
      <w:r>
        <w:rPr>
          <w:rFonts w:hint="eastAsia" w:ascii="仿宋" w:hAnsi="仿宋" w:eastAsia="仿宋" w:cs="仿宋"/>
          <w:color w:val="auto"/>
          <w:sz w:val="24"/>
          <w:szCs w:val="24"/>
          <w:highlight w:val="none"/>
        </w:rPr>
        <w:t>配备</w:t>
      </w:r>
      <w:r>
        <w:rPr>
          <w:rFonts w:hint="eastAsia" w:ascii="仿宋" w:hAnsi="仿宋" w:eastAsia="仿宋" w:cs="仿宋"/>
          <w:color w:val="auto"/>
          <w:sz w:val="24"/>
          <w:szCs w:val="24"/>
          <w:highlight w:val="none"/>
          <w:lang w:val="en-US" w:eastAsia="zh-CN"/>
        </w:rPr>
        <w:t>2辆</w:t>
      </w:r>
      <w:r>
        <w:rPr>
          <w:rFonts w:hint="eastAsia" w:ascii="仿宋" w:hAnsi="仿宋" w:eastAsia="仿宋" w:cs="仿宋"/>
          <w:color w:val="auto"/>
          <w:sz w:val="24"/>
          <w:szCs w:val="24"/>
          <w:highlight w:val="none"/>
        </w:rPr>
        <w:t>五座（含）以上巡查车辆；</w:t>
      </w:r>
      <w:r>
        <w:rPr>
          <w:rFonts w:hint="eastAsia" w:ascii="仿宋" w:hAnsi="仿宋" w:eastAsia="仿宋" w:cs="仿宋"/>
          <w:snapToGrid w:val="0"/>
          <w:color w:val="auto"/>
          <w:kern w:val="0"/>
          <w:sz w:val="24"/>
          <w:szCs w:val="24"/>
          <w:highlight w:val="none"/>
          <w:lang w:val="en-US" w:eastAsia="zh-CN"/>
        </w:rPr>
        <w:t>自有的提供车辆行驶证，租赁的提供租赁合同及出租方的车辆行驶证，否则在评审时不予认可。</w:t>
      </w:r>
    </w:p>
    <w:p>
      <w:pPr>
        <w:keepNext w:val="0"/>
        <w:keepLines w:val="0"/>
        <w:pageBreakBefore w:val="0"/>
        <w:widowControl w:val="0"/>
        <w:kinsoku/>
        <w:wordWrap/>
        <w:overflowPunct/>
        <w:topLinePunct w:val="0"/>
        <w:bidi w:val="0"/>
        <w:adjustRightInd w:val="0"/>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依法为项目组人员缴纳五险一金，购买意外险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项目组人员扣除“五险一金”和意外险后的月均实际收入不低于当年杭州市最低工资标准数额；</w:t>
      </w:r>
    </w:p>
    <w:p>
      <w:pPr>
        <w:keepNext w:val="0"/>
        <w:keepLines w:val="0"/>
        <w:pageBreakBefore w:val="0"/>
        <w:widowControl w:val="0"/>
        <w:kinsoku/>
        <w:wordWrap/>
        <w:overflowPunct/>
        <w:topLinePunct w:val="0"/>
        <w:bidi w:val="0"/>
        <w:adjustRightInd w:val="0"/>
        <w:snapToGrid/>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5、中标后在所中标区域内设立办公场所，便于工作开展及管理；</w:t>
      </w:r>
    </w:p>
    <w:p>
      <w:pPr>
        <w:pStyle w:val="23"/>
        <w:keepNext w:val="0"/>
        <w:keepLines w:val="0"/>
        <w:pageBreakBefore w:val="0"/>
        <w:widowControl w:val="0"/>
        <w:kinsoku/>
        <w:wordWrap/>
        <w:overflowPunct/>
        <w:topLinePunct w:val="0"/>
        <w:autoSpaceDE/>
        <w:autoSpaceDN/>
        <w:bidi w:val="0"/>
        <w:adjustRightInd w:val="0"/>
        <w:snapToGrid w:val="0"/>
        <w:spacing w:after="0" w:afterLines="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6、人数</w:t>
      </w:r>
      <w:r>
        <w:rPr>
          <w:rFonts w:hint="eastAsia" w:ascii="仿宋" w:hAnsi="仿宋" w:eastAsia="仿宋" w:cs="仿宋"/>
          <w:color w:val="auto"/>
          <w:sz w:val="24"/>
          <w:szCs w:val="24"/>
          <w:highlight w:val="none"/>
          <w:lang w:val="en-US" w:eastAsia="zh-CN"/>
        </w:rPr>
        <w:t>总数</w:t>
      </w:r>
      <w:r>
        <w:rPr>
          <w:rFonts w:hint="eastAsia" w:ascii="仿宋" w:hAnsi="仿宋" w:eastAsia="仿宋" w:cs="仿宋"/>
          <w:color w:val="auto"/>
          <w:sz w:val="24"/>
          <w:szCs w:val="24"/>
          <w:highlight w:val="none"/>
        </w:rPr>
        <w:t>不少于</w:t>
      </w:r>
      <w:r>
        <w:rPr>
          <w:rFonts w:hint="eastAsia" w:ascii="仿宋" w:hAnsi="仿宋" w:eastAsia="仿宋" w:cs="仿宋"/>
          <w:color w:val="auto"/>
          <w:sz w:val="24"/>
          <w:szCs w:val="24"/>
          <w:highlight w:val="none"/>
          <w:lang w:val="en-US" w:eastAsia="zh-CN"/>
        </w:rPr>
        <w:t>42</w:t>
      </w:r>
      <w:r>
        <w:rPr>
          <w:rFonts w:hint="eastAsia" w:ascii="仿宋" w:hAnsi="仿宋" w:eastAsia="仿宋" w:cs="仿宋"/>
          <w:color w:val="auto"/>
          <w:sz w:val="24"/>
          <w:szCs w:val="24"/>
          <w:highlight w:val="none"/>
        </w:rPr>
        <w:t>人（含管理员</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人、项目负责人1人）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工作时间路面</w:t>
      </w:r>
      <w:r>
        <w:rPr>
          <w:rFonts w:hint="eastAsia" w:ascii="仿宋" w:hAnsi="仿宋" w:eastAsia="仿宋" w:cs="仿宋"/>
          <w:color w:val="auto"/>
          <w:sz w:val="24"/>
          <w:szCs w:val="24"/>
          <w:highlight w:val="none"/>
          <w:lang w:val="en-US" w:eastAsia="zh-CN"/>
        </w:rPr>
        <w:t>在岗</w:t>
      </w:r>
      <w:r>
        <w:rPr>
          <w:rFonts w:hint="eastAsia" w:ascii="仿宋" w:hAnsi="仿宋" w:eastAsia="仿宋" w:cs="仿宋"/>
          <w:color w:val="auto"/>
          <w:sz w:val="24"/>
          <w:szCs w:val="24"/>
          <w:highlight w:val="none"/>
        </w:rPr>
        <w:t>巡查人数不少于</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人（机动车巡查不少于</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辆）</w:t>
      </w:r>
      <w:r>
        <w:rPr>
          <w:rFonts w:hint="eastAsia" w:ascii="仿宋" w:hAnsi="仿宋" w:eastAsia="仿宋" w:cs="仿宋"/>
          <w:color w:val="auto"/>
          <w:sz w:val="24"/>
          <w:szCs w:val="24"/>
          <w:highlight w:val="none"/>
          <w:lang w:eastAsia="zh-CN"/>
        </w:rPr>
        <w:t>；12：00-13：30，18：00-20：30非正常采集时段，在岗人数不低于</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人。（注：</w:t>
      </w:r>
      <w:r>
        <w:rPr>
          <w:rFonts w:hint="eastAsia" w:ascii="仿宋" w:hAnsi="仿宋" w:eastAsia="仿宋" w:cs="仿宋"/>
          <w:color w:val="auto"/>
          <w:sz w:val="24"/>
          <w:szCs w:val="24"/>
          <w:highlight w:val="none"/>
          <w:lang w:val="en-US" w:eastAsia="zh-CN"/>
        </w:rPr>
        <w:t>人员依据在岗人数要求进行考核</w:t>
      </w:r>
      <w:r>
        <w:rPr>
          <w:rFonts w:hint="eastAsia" w:ascii="仿宋" w:hAnsi="仿宋" w:eastAsia="仿宋" w:cs="仿宋"/>
          <w:color w:val="auto"/>
          <w:sz w:val="24"/>
          <w:szCs w:val="24"/>
          <w:highlight w:val="none"/>
          <w:lang w:eastAsia="zh-CN"/>
        </w:rPr>
        <w:t>）。晚上</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-次日早上</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0值班人员不少于1人，值班车辆不少于1辆</w:t>
      </w:r>
      <w:r>
        <w:rPr>
          <w:rFonts w:hint="eastAsia" w:ascii="仿宋" w:hAnsi="仿宋" w:eastAsia="仿宋" w:cs="仿宋"/>
          <w:color w:val="auto"/>
          <w:sz w:val="24"/>
          <w:szCs w:val="24"/>
          <w:highlight w:val="none"/>
        </w:rPr>
        <w:t>；</w:t>
      </w:r>
    </w:p>
    <w:p>
      <w:pPr>
        <w:pStyle w:val="23"/>
        <w:keepNext w:val="0"/>
        <w:keepLines w:val="0"/>
        <w:pageBreakBefore w:val="0"/>
        <w:widowControl w:val="0"/>
        <w:kinsoku/>
        <w:wordWrap/>
        <w:overflowPunct/>
        <w:topLinePunct w:val="0"/>
        <w:autoSpaceDE/>
        <w:autoSpaceDN/>
        <w:bidi w:val="0"/>
        <w:adjustRightInd w:val="0"/>
        <w:snapToGrid w:val="0"/>
        <w:spacing w:after="0" w:afterLines="0" w:line="360" w:lineRule="auto"/>
        <w:ind w:left="0" w:firstLine="480" w:firstLineChars="200"/>
        <w:textAlignment w:val="auto"/>
        <w:outlineLvl w:val="9"/>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人员应能提供投标人为其缴纳的距投标截止时间3个月任意时间的社保证明材料，否则在评审时不予认可。</w:t>
      </w:r>
    </w:p>
    <w:p>
      <w:pPr>
        <w:keepNext w:val="0"/>
        <w:keepLines w:val="0"/>
        <w:pageBreakBefore w:val="0"/>
        <w:widowControl w:val="0"/>
        <w:kinsoku/>
        <w:wordWrap/>
        <w:overflowPunct/>
        <w:topLinePunct w:val="0"/>
        <w:bidi w:val="0"/>
        <w:adjustRightInd w:val="0"/>
        <w:snapToGrid/>
        <w:spacing w:line="360" w:lineRule="auto"/>
        <w:ind w:left="0"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、制定</w:t>
      </w:r>
      <w:r>
        <w:rPr>
          <w:rFonts w:hint="eastAsia" w:ascii="仿宋" w:hAnsi="仿宋" w:eastAsia="仿宋" w:cs="仿宋"/>
          <w:color w:val="auto"/>
          <w:sz w:val="24"/>
          <w:szCs w:val="24"/>
          <w:highlight w:val="none"/>
          <w:lang w:val="en-US" w:eastAsia="zh-CN"/>
        </w:rPr>
        <w:t>内部管理制度，实施</w:t>
      </w:r>
      <w:r>
        <w:rPr>
          <w:rFonts w:hint="eastAsia" w:ascii="仿宋" w:hAnsi="仿宋" w:eastAsia="仿宋" w:cs="仿宋"/>
          <w:color w:val="auto"/>
          <w:sz w:val="24"/>
          <w:szCs w:val="24"/>
          <w:highlight w:val="none"/>
        </w:rPr>
        <w:t>层级管理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制定详细的纪律、廉政、安全、</w:t>
      </w:r>
      <w:r>
        <w:rPr>
          <w:rFonts w:hint="eastAsia" w:ascii="仿宋" w:hAnsi="仿宋" w:eastAsia="仿宋" w:cs="仿宋"/>
          <w:color w:val="auto"/>
          <w:sz w:val="24"/>
          <w:szCs w:val="24"/>
          <w:highlight w:val="none"/>
          <w:lang w:val="en-US" w:eastAsia="zh-CN"/>
        </w:rPr>
        <w:t>文</w:t>
      </w:r>
      <w:r>
        <w:rPr>
          <w:rFonts w:hint="eastAsia" w:ascii="仿宋" w:hAnsi="仿宋" w:eastAsia="仿宋" w:cs="仿宋"/>
          <w:color w:val="auto"/>
          <w:sz w:val="24"/>
          <w:szCs w:val="24"/>
          <w:highlight w:val="none"/>
        </w:rPr>
        <w:t>档、宣传等内部管理制度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制定各岗位明确分工和职责要求并对应制定考核办法，实行末位淘汰等奖优罚劣措施、严格按照</w:t>
      </w:r>
      <w:r>
        <w:rPr>
          <w:rFonts w:hint="eastAsia" w:ascii="仿宋" w:hAnsi="仿宋" w:eastAsia="仿宋" w:cs="仿宋"/>
          <w:color w:val="auto"/>
          <w:sz w:val="24"/>
          <w:szCs w:val="24"/>
          <w:highlight w:val="none"/>
          <w:lang w:val="en-US" w:eastAsia="zh-CN"/>
        </w:rPr>
        <w:t>采购方考核要求指定人员</w:t>
      </w:r>
      <w:r>
        <w:rPr>
          <w:rFonts w:hint="eastAsia" w:ascii="仿宋" w:hAnsi="仿宋" w:eastAsia="仿宋" w:cs="仿宋"/>
          <w:color w:val="auto"/>
          <w:sz w:val="24"/>
          <w:szCs w:val="24"/>
          <w:highlight w:val="none"/>
        </w:rPr>
        <w:t>管理办法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制定</w:t>
      </w:r>
      <w:r>
        <w:rPr>
          <w:rFonts w:hint="eastAsia" w:ascii="仿宋" w:hAnsi="仿宋" w:eastAsia="仿宋" w:cs="仿宋"/>
          <w:color w:val="auto"/>
          <w:sz w:val="24"/>
          <w:szCs w:val="24"/>
          <w:highlight w:val="none"/>
          <w:lang w:val="en-US" w:eastAsia="zh-CN"/>
        </w:rPr>
        <w:t>突发事件</w:t>
      </w:r>
      <w:r>
        <w:rPr>
          <w:rFonts w:hint="eastAsia" w:ascii="仿宋" w:hAnsi="仿宋" w:eastAsia="仿宋" w:cs="仿宋"/>
          <w:color w:val="auto"/>
          <w:sz w:val="24"/>
          <w:szCs w:val="24"/>
          <w:highlight w:val="none"/>
        </w:rPr>
        <w:t>应急预案</w:t>
      </w:r>
      <w:r>
        <w:rPr>
          <w:rFonts w:hint="eastAsia" w:ascii="仿宋" w:hAnsi="仿宋" w:eastAsia="仿宋" w:cs="仿宋"/>
          <w:color w:val="auto"/>
          <w:sz w:val="24"/>
          <w:szCs w:val="24"/>
          <w:highlight w:val="none"/>
          <w:lang w:eastAsia="zh-CN"/>
        </w:rPr>
        <w:t>。</w:t>
      </w:r>
    </w:p>
    <w:p>
      <w:pPr>
        <w:pageBreakBefore w:val="0"/>
        <w:tabs>
          <w:tab w:val="left" w:pos="6300"/>
        </w:tabs>
        <w:kinsoku/>
        <w:wordWrap/>
        <w:overflowPunct/>
        <w:topLinePunct w:val="0"/>
        <w:bidi w:val="0"/>
        <w:adjustRightInd w:val="0"/>
        <w:spacing w:line="360" w:lineRule="auto"/>
        <w:ind w:left="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考核办法详见附表一，并随市对区、区对局的考核要求调整作相应调整。</w:t>
      </w:r>
    </w:p>
    <w:p>
      <w:pPr>
        <w:pStyle w:val="24"/>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如因数字城管运行实际需要，所产生的相关指标变化，中标人必须无条件接受；</w:t>
      </w:r>
    </w:p>
    <w:p>
      <w:pPr>
        <w:pStyle w:val="24"/>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特殊保障要求，防汛抗雪等期间的人员配备、工作质量应加倍计扣；</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采购人概不负责中标人所有人员有关的社保、医疗、薪酬等问题</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要对所属人员（含劳务外包人员）的工作行为负责，所有采集员、管理人员及项目负责人工作中的安全责任以及法律纠纷等均由中标采集公司自行承担</w:t>
      </w:r>
      <w:r>
        <w:rPr>
          <w:rFonts w:hint="eastAsia" w:ascii="仿宋" w:hAnsi="仿宋" w:eastAsia="仿宋" w:cs="仿宋"/>
          <w:color w:val="auto"/>
          <w:sz w:val="24"/>
          <w:szCs w:val="24"/>
          <w:highlight w:val="none"/>
          <w:lang w:eastAsia="zh-CN"/>
        </w:rPr>
        <w:t>。</w:t>
      </w:r>
    </w:p>
    <w:tbl>
      <w:tblPr>
        <w:tblStyle w:val="62"/>
        <w:tblpPr w:leftFromText="180" w:rightFromText="180" w:vertAnchor="text" w:horzAnchor="page" w:tblpX="1499" w:tblpY="382"/>
        <w:tblOverlap w:val="never"/>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482"/>
        <w:gridCol w:w="401"/>
        <w:gridCol w:w="831"/>
        <w:gridCol w:w="1019"/>
        <w:gridCol w:w="925"/>
        <w:gridCol w:w="993"/>
        <w:gridCol w:w="976"/>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trPr>
        <w:tc>
          <w:tcPr>
            <w:tcW w:w="9069" w:type="dxa"/>
            <w:gridSpan w:val="9"/>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采集公司考核评价体系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trPr>
        <w:tc>
          <w:tcPr>
            <w:tcW w:w="603"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指标大类</w:t>
            </w:r>
          </w:p>
        </w:tc>
        <w:tc>
          <w:tcPr>
            <w:tcW w:w="482"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40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小类</w:t>
            </w: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评价内容</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评价标准</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说明</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相关要求及计扣办法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trPr>
        <w:tc>
          <w:tcPr>
            <w:tcW w:w="603" w:type="dxa"/>
            <w:vMerge w:val="restart"/>
            <w:noWrap w:val="0"/>
            <w:vAlign w:val="center"/>
          </w:tcPr>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质</w:t>
            </w: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量</w:t>
            </w: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指</w:t>
            </w: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rPr>
              <w:t>数</w:t>
            </w: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质量</w:t>
            </w: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xml:space="preserve">指数      </w:t>
            </w: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c>
          <w:tcPr>
            <w:tcW w:w="482"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w:t>
            </w:r>
          </w:p>
        </w:tc>
        <w:tc>
          <w:tcPr>
            <w:tcW w:w="401"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全面采集</w:t>
            </w: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视频巡查</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视频巡查率</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视频巡查数/案卷总数</w:t>
            </w:r>
            <w:r>
              <w:rPr>
                <w:rFonts w:hint="eastAsia" w:ascii="仿宋" w:hAnsi="仿宋" w:eastAsia="仿宋" w:cs="仿宋"/>
                <w:color w:val="auto"/>
                <w:kern w:val="0"/>
                <w:sz w:val="24"/>
                <w:szCs w:val="24"/>
                <w:highlight w:val="none"/>
              </w:rPr>
              <w:t>）×100％</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不少于</w:t>
            </w:r>
            <w:r>
              <w:rPr>
                <w:rFonts w:hint="eastAsia" w:ascii="仿宋" w:hAnsi="仿宋" w:eastAsia="仿宋" w:cs="仿宋"/>
                <w:color w:val="auto"/>
                <w:kern w:val="0"/>
                <w:sz w:val="24"/>
                <w:szCs w:val="24"/>
                <w:highlight w:val="none"/>
                <w:lang w:val="en-US" w:eastAsia="zh-CN"/>
              </w:rPr>
              <w:t>8%，每少1%扣1000元。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03" w:type="dxa"/>
            <w:vMerge w:val="continue"/>
            <w:noWrap w:val="0"/>
            <w:vAlign w:val="top"/>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c>
          <w:tcPr>
            <w:tcW w:w="482"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p>
        </w:tc>
        <w:tc>
          <w:tcPr>
            <w:tcW w:w="401" w:type="dxa"/>
            <w:vMerge w:val="continue"/>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美丽杭州</w:t>
            </w:r>
            <w:r>
              <w:rPr>
                <w:rFonts w:hint="eastAsia" w:ascii="仿宋" w:hAnsi="仿宋" w:eastAsia="仿宋" w:cs="仿宋"/>
                <w:color w:val="auto"/>
                <w:kern w:val="0"/>
                <w:sz w:val="24"/>
                <w:szCs w:val="24"/>
                <w:highlight w:val="none"/>
              </w:rPr>
              <w:t>漏报率</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漏报率＝（漏报数/校核基数）×100％，</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c>
          <w:tcPr>
            <w:tcW w:w="2839" w:type="dxa"/>
            <w:noWrap w:val="0"/>
            <w:vAlign w:val="top"/>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控制漏报。</w:t>
            </w:r>
            <w:r>
              <w:rPr>
                <w:rFonts w:hint="eastAsia" w:ascii="仿宋" w:hAnsi="仿宋" w:eastAsia="仿宋" w:cs="仿宋"/>
                <w:color w:val="auto"/>
                <w:kern w:val="0"/>
                <w:sz w:val="24"/>
                <w:szCs w:val="24"/>
                <w:highlight w:val="none"/>
                <w:lang w:eastAsia="zh-CN"/>
              </w:rPr>
              <w:t>根据每周考核情况，</w:t>
            </w:r>
            <w:r>
              <w:rPr>
                <w:rFonts w:hint="eastAsia" w:ascii="仿宋" w:hAnsi="仿宋" w:eastAsia="仿宋" w:cs="仿宋"/>
                <w:color w:val="auto"/>
                <w:kern w:val="0"/>
                <w:sz w:val="24"/>
                <w:szCs w:val="24"/>
                <w:highlight w:val="none"/>
                <w:lang w:val="en-US" w:eastAsia="zh-CN"/>
              </w:rPr>
              <w:t>漏报率低于（含）50%的不扣。检查漏报率在50%～70%（含）的，每上升1%扣200元；检查漏报率在70%以上的，每上升1%扣400元。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漏报件</w:t>
            </w:r>
          </w:p>
        </w:tc>
        <w:tc>
          <w:tcPr>
            <w:tcW w:w="101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区级</w:t>
            </w: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检查</w:t>
            </w:r>
          </w:p>
        </w:tc>
        <w:tc>
          <w:tcPr>
            <w:tcW w:w="925"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等重大漏报并经确认的</w:t>
            </w:r>
          </w:p>
        </w:tc>
        <w:tc>
          <w:tcPr>
            <w:tcW w:w="993"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c>
          <w:tcPr>
            <w:tcW w:w="976"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此项按件计扣，不纳入漏报率评价</w:t>
            </w:r>
          </w:p>
        </w:tc>
        <w:tc>
          <w:tcPr>
            <w:tcW w:w="2839" w:type="dxa"/>
            <w:noWrap w:val="0"/>
            <w:vAlign w:val="center"/>
          </w:tcPr>
          <w:p>
            <w:pPr>
              <w:pageBreakBefore w:val="0"/>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控制漏报。工作区域内所有事部件问题应在第一时间内上报，因不及时上报而构成漏报事实，将按以下标准计扣：由各科室、中队巡查、社区反映校核确认为的漏报，每件扣500元；领导督查、行业监管部门检查校核后确认的漏报，每件扣2000</w:t>
            </w:r>
            <w:r>
              <w:rPr>
                <w:rFonts w:hint="eastAsia" w:ascii="仿宋" w:hAnsi="仿宋" w:eastAsia="仿宋" w:cs="仿宋"/>
                <w:color w:val="auto"/>
                <w:kern w:val="0"/>
                <w:sz w:val="24"/>
                <w:szCs w:val="24"/>
                <w:highlight w:val="none"/>
                <w:lang w:val="en-US" w:eastAsia="zh-CN"/>
              </w:rPr>
              <w:t>元</w:t>
            </w: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c>
          <w:tcPr>
            <w:tcW w:w="101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联合</w:t>
            </w: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检查</w:t>
            </w:r>
          </w:p>
        </w:tc>
        <w:tc>
          <w:tcPr>
            <w:tcW w:w="925" w:type="dxa"/>
            <w:vMerge w:val="continue"/>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c>
          <w:tcPr>
            <w:tcW w:w="993"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每件扣2000元</w:t>
            </w:r>
          </w:p>
        </w:tc>
        <w:tc>
          <w:tcPr>
            <w:tcW w:w="976" w:type="dxa"/>
            <w:vMerge w:val="continue"/>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c>
          <w:tcPr>
            <w:tcW w:w="2839" w:type="dxa"/>
            <w:vMerge w:val="restart"/>
            <w:noWrap w:val="0"/>
            <w:vAlign w:val="center"/>
          </w:tcPr>
          <w:p>
            <w:pPr>
              <w:pageBreakBefore w:val="0"/>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被上级主管部门检查校核后确认的漏报，每件扣2000元.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101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热线投诉、媒体漏报</w:t>
            </w:r>
          </w:p>
        </w:tc>
        <w:tc>
          <w:tcPr>
            <w:tcW w:w="925"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993"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每件扣2000元</w:t>
            </w:r>
          </w:p>
        </w:tc>
        <w:tc>
          <w:tcPr>
            <w:tcW w:w="97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101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普查、应急保障</w:t>
            </w:r>
          </w:p>
        </w:tc>
        <w:tc>
          <w:tcPr>
            <w:tcW w:w="925"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993"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每件扣2000元</w:t>
            </w:r>
          </w:p>
        </w:tc>
        <w:tc>
          <w:tcPr>
            <w:tcW w:w="97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类别覆盖率</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类别覆盖率=（实际覆盖事、部件类别数/事、部件类别总数）×100％，</w:t>
            </w:r>
          </w:p>
        </w:tc>
        <w:tc>
          <w:tcPr>
            <w:tcW w:w="976" w:type="dxa"/>
            <w:vMerge w:val="restart"/>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　</w:t>
            </w:r>
            <w:r>
              <w:rPr>
                <w:rFonts w:hint="eastAsia" w:ascii="仿宋" w:hAnsi="仿宋" w:eastAsia="仿宋" w:cs="仿宋"/>
                <w:color w:val="auto"/>
                <w:kern w:val="0"/>
                <w:sz w:val="24"/>
                <w:szCs w:val="24"/>
                <w:highlight w:val="none"/>
                <w:lang w:val="en-US" w:eastAsia="zh-CN"/>
              </w:rPr>
              <w:t>/</w:t>
            </w:r>
          </w:p>
        </w:tc>
        <w:tc>
          <w:tcPr>
            <w:tcW w:w="2839"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公正采集。应严格按事、部件标准实行“全视野”采集。采集中出现明显缺项且无正当理由的，以80%为基数，每下降1%扣1000元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以80%为基数，每下降1%扣1000元</w:t>
            </w:r>
          </w:p>
        </w:tc>
        <w:tc>
          <w:tcPr>
            <w:tcW w:w="97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82"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40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准确上报</w:t>
            </w:r>
          </w:p>
        </w:tc>
        <w:tc>
          <w:tcPr>
            <w:tcW w:w="831" w:type="dxa"/>
            <w:noWrap w:val="0"/>
            <w:vAlign w:val="center"/>
          </w:tcPr>
          <w:p>
            <w:pPr>
              <w:pageBreakBefore w:val="0"/>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差错件</w:t>
            </w:r>
          </w:p>
        </w:tc>
        <w:tc>
          <w:tcPr>
            <w:tcW w:w="2937" w:type="dxa"/>
            <w:gridSpan w:val="3"/>
            <w:noWrap w:val="0"/>
            <w:vAlign w:val="center"/>
          </w:tcPr>
          <w:p>
            <w:pPr>
              <w:pageBreakBefore w:val="0"/>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采集差错、举手之劳等不立案案卷</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p>
            <w:pPr>
              <w:pageBreakBefore w:val="0"/>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按件计扣，</w:t>
            </w:r>
            <w:r>
              <w:rPr>
                <w:rFonts w:hint="eastAsia" w:ascii="仿宋" w:hAnsi="仿宋" w:eastAsia="仿宋" w:cs="仿宋"/>
                <w:color w:val="auto"/>
                <w:kern w:val="0"/>
                <w:sz w:val="24"/>
                <w:szCs w:val="24"/>
                <w:highlight w:val="none"/>
                <w:lang w:eastAsia="zh-CN"/>
              </w:rPr>
              <w:t>纳入被市级考核的</w:t>
            </w:r>
            <w:r>
              <w:rPr>
                <w:rFonts w:hint="eastAsia" w:ascii="仿宋" w:hAnsi="仿宋" w:eastAsia="仿宋" w:cs="仿宋"/>
                <w:color w:val="auto"/>
                <w:kern w:val="0"/>
                <w:sz w:val="24"/>
                <w:szCs w:val="24"/>
                <w:highlight w:val="none"/>
              </w:rPr>
              <w:t>每件扣1</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82"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401"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及时回复</w:t>
            </w: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核查及时下发率</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核查回复率＝(核查及时下发数/核查发出数)×100％</w:t>
            </w:r>
          </w:p>
          <w:p>
            <w:pPr>
              <w:pageBreakBefore w:val="0"/>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以100％为基数，每下降1％扣1000元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被上级主管部门扣分每件扣2000元。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核查及时回复率</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核查及时回复率＝(核查及时回复次数/核查回复数)×100％，</w:t>
            </w:r>
          </w:p>
        </w:tc>
        <w:tc>
          <w:tcPr>
            <w:tcW w:w="976" w:type="dxa"/>
            <w:vMerge w:val="restart"/>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以100％为基数，每下降1％扣1000元</w:t>
            </w:r>
          </w:p>
        </w:tc>
        <w:tc>
          <w:tcPr>
            <w:tcW w:w="97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03" w:type="dxa"/>
            <w:vMerge w:val="restart"/>
            <w:noWrap w:val="0"/>
            <w:vAlign w:val="top"/>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管控</w:t>
            </w: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rPr>
              <w:t>指数</w:t>
            </w: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管控</w:t>
            </w: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 xml:space="preserve">指数                                                                    </w:t>
            </w:r>
          </w:p>
        </w:tc>
        <w:tc>
          <w:tcPr>
            <w:tcW w:w="482"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401"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人员管理</w:t>
            </w: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人员配置</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工作时间路面</w:t>
            </w:r>
            <w:r>
              <w:rPr>
                <w:rFonts w:hint="eastAsia" w:ascii="仿宋" w:hAnsi="仿宋" w:eastAsia="仿宋" w:cs="仿宋"/>
                <w:color w:val="auto"/>
                <w:sz w:val="24"/>
                <w:szCs w:val="24"/>
                <w:highlight w:val="none"/>
                <w:lang w:val="en-US" w:eastAsia="zh-CN"/>
              </w:rPr>
              <w:t>在岗</w:t>
            </w:r>
            <w:r>
              <w:rPr>
                <w:rFonts w:hint="eastAsia" w:ascii="仿宋" w:hAnsi="仿宋" w:eastAsia="仿宋" w:cs="仿宋"/>
                <w:color w:val="auto"/>
                <w:sz w:val="24"/>
                <w:szCs w:val="24"/>
                <w:highlight w:val="none"/>
              </w:rPr>
              <w:t>巡查人数不少于</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人（机动车巡查不少于</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辆）</w:t>
            </w:r>
            <w:r>
              <w:rPr>
                <w:rFonts w:hint="eastAsia" w:ascii="仿宋" w:hAnsi="仿宋" w:eastAsia="仿宋" w:cs="仿宋"/>
                <w:color w:val="auto"/>
                <w:sz w:val="24"/>
                <w:szCs w:val="24"/>
                <w:highlight w:val="none"/>
                <w:lang w:eastAsia="zh-CN"/>
              </w:rPr>
              <w:t>；12：00-13：30，18：00-20：30非正常采集时段，在岗人数不低于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lang w:eastAsia="zh-CN"/>
              </w:rPr>
              <w:t>人，晚上</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lang w:eastAsia="zh-CN"/>
              </w:rPr>
              <w:t>-次日早上</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0值班人员不少于1人，值班车辆不少于1辆</w:t>
            </w:r>
            <w:r>
              <w:rPr>
                <w:rFonts w:hint="eastAsia" w:ascii="仿宋" w:hAnsi="仿宋" w:eastAsia="仿宋" w:cs="仿宋"/>
                <w:color w:val="auto"/>
                <w:kern w:val="0"/>
                <w:sz w:val="24"/>
                <w:szCs w:val="24"/>
                <w:highlight w:val="none"/>
              </w:rPr>
              <w:t>；每少1人</w:t>
            </w:r>
            <w:r>
              <w:rPr>
                <w:rFonts w:hint="eastAsia" w:ascii="仿宋" w:hAnsi="仿宋" w:eastAsia="仿宋" w:cs="仿宋"/>
                <w:color w:val="auto"/>
                <w:kern w:val="0"/>
                <w:sz w:val="24"/>
                <w:szCs w:val="24"/>
                <w:highlight w:val="none"/>
                <w:lang w:val="en-US" w:eastAsia="zh-CN"/>
              </w:rPr>
              <w:t>/辆</w:t>
            </w:r>
            <w:r>
              <w:rPr>
                <w:rFonts w:hint="eastAsia" w:ascii="仿宋" w:hAnsi="仿宋" w:eastAsia="仿宋" w:cs="仿宋"/>
                <w:color w:val="auto"/>
                <w:kern w:val="0"/>
                <w:sz w:val="24"/>
                <w:szCs w:val="24"/>
                <w:highlight w:val="none"/>
              </w:rPr>
              <w:t>扣2000元</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采集员和管理员达不到甲方工作要求5个工作日内需落实替换人员，逾期每超过1个工作日扣500元。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额定人数为合同约定人数，用工应符合劳动法相关规定。</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应足额配备一定素质的采集员。采集员队伍基本素质要求：采集员必须具备高中以上学历，</w:t>
            </w:r>
            <w:r>
              <w:rPr>
                <w:rFonts w:hint="eastAsia" w:ascii="仿宋" w:hAnsi="仿宋" w:eastAsia="仿宋" w:cs="仿宋"/>
                <w:color w:val="auto"/>
                <w:kern w:val="0"/>
                <w:sz w:val="24"/>
                <w:szCs w:val="24"/>
                <w:highlight w:val="none"/>
                <w:lang w:val="en-US" w:eastAsia="zh-CN"/>
              </w:rPr>
              <w:t>管理员必须具备专科及以上学历，</w:t>
            </w:r>
            <w:r>
              <w:rPr>
                <w:rFonts w:hint="eastAsia" w:ascii="仿宋" w:hAnsi="仿宋" w:eastAsia="仿宋" w:cs="仿宋"/>
                <w:color w:val="auto"/>
                <w:kern w:val="0"/>
                <w:sz w:val="24"/>
                <w:szCs w:val="24"/>
                <w:highlight w:val="none"/>
              </w:rPr>
              <w:t>身体健康，具有较强责任心和事业心，年龄不超过法定退休年龄</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管理员还需具有1年以上信息采集项目经验</w:t>
            </w:r>
            <w:r>
              <w:rPr>
                <w:rFonts w:hint="eastAsia" w:ascii="仿宋" w:hAnsi="仿宋" w:eastAsia="仿宋" w:cs="仿宋"/>
                <w:color w:val="auto"/>
                <w:kern w:val="0"/>
                <w:sz w:val="24"/>
                <w:szCs w:val="24"/>
                <w:highlight w:val="none"/>
              </w:rPr>
              <w:t>；采集员和管理员达不到甲方工作要求5个工作日内需落实替换人员。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人员管理</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留用应开除人员，每发生1人次扣2000元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员工管理。如管理层（含区域经理、项目经理及管理员等公司管理层）如需变更或暂离岗位的，中标人应提前一周以书面形式告知甲方并做好工作对接，且暂离不得超过10日。城管系统内违纪（规）被开除的人员，中标人不得录用从事信息采集相关工作，如采集员因违纪（规）被中标单位开除，该中标单位应自开除之日起3天内书面告知甲方。员工流动导致人员不足的，中标人应于员工离职之日起1天内书面告知甲方，并于15日内落实新晋人员（含培训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937" w:type="dxa"/>
            <w:gridSpan w:val="3"/>
            <w:noWrap w:val="0"/>
            <w:vAlign w:val="center"/>
          </w:tcPr>
          <w:p>
            <w:pPr>
              <w:pageBreakBefore w:val="0"/>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录用违规人员，每发生1人次扣5000元</w:t>
            </w:r>
          </w:p>
        </w:tc>
        <w:tc>
          <w:tcPr>
            <w:tcW w:w="976" w:type="dxa"/>
            <w:noWrap w:val="0"/>
            <w:vAlign w:val="center"/>
          </w:tcPr>
          <w:p>
            <w:pPr>
              <w:pageBreakBefore w:val="0"/>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队伍稳定</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管理层擅自变更，每发生1人次扣5000元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937" w:type="dxa"/>
            <w:gridSpan w:val="3"/>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采集公司管理层擅离或暂离超过10天,每发生1人次扣5000元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937" w:type="dxa"/>
            <w:gridSpan w:val="3"/>
            <w:vMerge w:val="continue"/>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c>
          <w:tcPr>
            <w:tcW w:w="976" w:type="dxa"/>
            <w:vMerge w:val="restart"/>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员工流动比例以6%为基数，每增加1%扣1000元</w:t>
            </w:r>
          </w:p>
        </w:tc>
        <w:tc>
          <w:tcPr>
            <w:tcW w:w="97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公司内部矛盾激化，员工到公司以外寻求解决办法，造成较大影响，每发生1人次扣5000元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c>
          <w:tcPr>
            <w:tcW w:w="482"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401"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过程控制</w:t>
            </w: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制度建设</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有明确的信息采集质量管理目标、管理制度、工作程序、工作记录、人员管控和考核检查奖惩办法等，每缺1项，扣2000元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default"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现场管控</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未足额上岗、员工迟到、早退、溜岗等行为等同人员配置不到位，每少1人次扣2000元。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应按要求在不同时间段安排足额员工</w:t>
            </w:r>
          </w:p>
        </w:tc>
        <w:tc>
          <w:tcPr>
            <w:tcW w:w="2839" w:type="dxa"/>
            <w:noWrap w:val="0"/>
            <w:vAlign w:val="center"/>
          </w:tcPr>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人数</w:t>
            </w:r>
            <w:r>
              <w:rPr>
                <w:rFonts w:hint="eastAsia" w:ascii="仿宋" w:hAnsi="仿宋" w:eastAsia="仿宋" w:cs="仿宋"/>
                <w:color w:val="auto"/>
                <w:sz w:val="24"/>
                <w:szCs w:val="24"/>
                <w:highlight w:val="none"/>
                <w:lang w:val="en-US" w:eastAsia="zh-CN"/>
              </w:rPr>
              <w:t>总数</w:t>
            </w:r>
            <w:r>
              <w:rPr>
                <w:rFonts w:hint="eastAsia" w:ascii="仿宋" w:hAnsi="仿宋" w:eastAsia="仿宋" w:cs="仿宋"/>
                <w:color w:val="auto"/>
                <w:sz w:val="24"/>
                <w:szCs w:val="24"/>
                <w:highlight w:val="none"/>
              </w:rPr>
              <w:t>不少于</w:t>
            </w:r>
            <w:r>
              <w:rPr>
                <w:rFonts w:hint="eastAsia" w:ascii="仿宋" w:hAnsi="仿宋" w:eastAsia="仿宋" w:cs="仿宋"/>
                <w:color w:val="auto"/>
                <w:sz w:val="24"/>
                <w:szCs w:val="24"/>
                <w:highlight w:val="none"/>
                <w:lang w:val="en-US" w:eastAsia="zh-CN"/>
              </w:rPr>
              <w:t>42</w:t>
            </w:r>
            <w:r>
              <w:rPr>
                <w:rFonts w:hint="eastAsia" w:ascii="仿宋" w:hAnsi="仿宋" w:eastAsia="仿宋" w:cs="仿宋"/>
                <w:color w:val="auto"/>
                <w:sz w:val="24"/>
                <w:szCs w:val="24"/>
                <w:highlight w:val="none"/>
              </w:rPr>
              <w:t>人（含管理员</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人、项目负责人1人）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工作时间路面</w:t>
            </w:r>
            <w:r>
              <w:rPr>
                <w:rFonts w:hint="eastAsia" w:ascii="仿宋" w:hAnsi="仿宋" w:eastAsia="仿宋" w:cs="仿宋"/>
                <w:color w:val="auto"/>
                <w:sz w:val="24"/>
                <w:szCs w:val="24"/>
                <w:highlight w:val="none"/>
                <w:lang w:val="en-US" w:eastAsia="zh-CN"/>
              </w:rPr>
              <w:t>在岗</w:t>
            </w:r>
            <w:r>
              <w:rPr>
                <w:rFonts w:hint="eastAsia" w:ascii="仿宋" w:hAnsi="仿宋" w:eastAsia="仿宋" w:cs="仿宋"/>
                <w:color w:val="auto"/>
                <w:sz w:val="24"/>
                <w:szCs w:val="24"/>
                <w:highlight w:val="none"/>
              </w:rPr>
              <w:t>巡查人数不少于</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人（机动车巡查不少于</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辆）</w:t>
            </w:r>
            <w:r>
              <w:rPr>
                <w:rFonts w:hint="eastAsia" w:ascii="仿宋" w:hAnsi="仿宋" w:eastAsia="仿宋" w:cs="仿宋"/>
                <w:color w:val="auto"/>
                <w:sz w:val="24"/>
                <w:szCs w:val="24"/>
                <w:highlight w:val="none"/>
                <w:lang w:eastAsia="zh-CN"/>
              </w:rPr>
              <w:t>；12：00-13：30，18：00-20：30非正常采集时段，在岗人数不低于</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c>
          <w:tcPr>
            <w:tcW w:w="2937" w:type="dxa"/>
            <w:gridSpan w:val="3"/>
            <w:noWrap w:val="0"/>
            <w:vAlign w:val="center"/>
          </w:tcPr>
          <w:p>
            <w:pPr>
              <w:pageBreakBefore w:val="0"/>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未持证上岗，每人次扣100元。</w:t>
            </w:r>
          </w:p>
        </w:tc>
        <w:tc>
          <w:tcPr>
            <w:tcW w:w="976" w:type="dxa"/>
            <w:noWrap w:val="0"/>
            <w:vAlign w:val="center"/>
          </w:tcPr>
          <w:p>
            <w:pPr>
              <w:pageBreakBefore w:val="0"/>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采集员必须持证上岗，未经培训取得上岗资格或未持证不得从事采集工作。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巡查全覆盖：正常采集时间段内主要道路</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上下午各巡查不少于2次</w:t>
            </w:r>
            <w:r>
              <w:rPr>
                <w:rFonts w:hint="eastAsia" w:ascii="仿宋" w:hAnsi="仿宋" w:eastAsia="仿宋" w:cs="仿宋"/>
                <w:color w:val="auto"/>
                <w:kern w:val="0"/>
                <w:sz w:val="24"/>
                <w:szCs w:val="24"/>
                <w:highlight w:val="none"/>
                <w:lang w:eastAsia="zh-CN"/>
              </w:rPr>
              <w:t>（其中徒步巡查一天不少于一次）</w:t>
            </w:r>
            <w:r>
              <w:rPr>
                <w:rFonts w:hint="eastAsia" w:ascii="仿宋" w:hAnsi="仿宋" w:eastAsia="仿宋" w:cs="仿宋"/>
                <w:color w:val="auto"/>
                <w:kern w:val="0"/>
                <w:sz w:val="24"/>
                <w:szCs w:val="24"/>
                <w:highlight w:val="none"/>
              </w:rPr>
              <w:t>，次要道路</w:t>
            </w:r>
            <w:r>
              <w:rPr>
                <w:rFonts w:hint="eastAsia" w:ascii="仿宋" w:hAnsi="仿宋" w:eastAsia="仿宋" w:cs="仿宋"/>
                <w:color w:val="auto"/>
                <w:kern w:val="0"/>
                <w:sz w:val="24"/>
                <w:szCs w:val="24"/>
                <w:highlight w:val="none"/>
                <w:lang w:eastAsia="zh-CN"/>
              </w:rPr>
              <w:t>，背街小巷</w:t>
            </w:r>
            <w:r>
              <w:rPr>
                <w:rFonts w:hint="eastAsia" w:ascii="仿宋" w:hAnsi="仿宋" w:eastAsia="仿宋" w:cs="仿宋"/>
                <w:color w:val="auto"/>
                <w:kern w:val="0"/>
                <w:sz w:val="24"/>
                <w:szCs w:val="24"/>
                <w:highlight w:val="none"/>
              </w:rPr>
              <w:t>和其他道路上下午各巡查不少于1次</w:t>
            </w:r>
            <w:r>
              <w:rPr>
                <w:rFonts w:hint="eastAsia" w:ascii="仿宋" w:hAnsi="仿宋" w:eastAsia="仿宋" w:cs="仿宋"/>
                <w:color w:val="auto"/>
                <w:kern w:val="0"/>
                <w:sz w:val="24"/>
                <w:szCs w:val="24"/>
                <w:highlight w:val="none"/>
                <w:lang w:eastAsia="zh-CN"/>
              </w:rPr>
              <w:t>（徒步巡查每两天不少于</w:t>
            </w:r>
            <w:r>
              <w:rPr>
                <w:rFonts w:hint="eastAsia" w:ascii="仿宋" w:hAnsi="仿宋" w:eastAsia="仿宋" w:cs="仿宋"/>
                <w:color w:val="auto"/>
                <w:kern w:val="0"/>
                <w:sz w:val="24"/>
                <w:szCs w:val="24"/>
                <w:highlight w:val="none"/>
                <w:lang w:val="en-US" w:eastAsia="zh-CN"/>
              </w:rPr>
              <w:t>1次</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。非正常采集时间段内全覆盖巡查不少于1次。</w:t>
            </w:r>
          </w:p>
        </w:tc>
        <w:tc>
          <w:tcPr>
            <w:tcW w:w="976" w:type="dxa"/>
            <w:noWrap w:val="0"/>
            <w:vAlign w:val="center"/>
          </w:tcPr>
          <w:p>
            <w:pPr>
              <w:pageBreakBefore w:val="0"/>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不达要求每人次扣500元。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人员素质合格</w:t>
            </w:r>
          </w:p>
        </w:tc>
        <w:tc>
          <w:tcPr>
            <w:tcW w:w="2937" w:type="dxa"/>
            <w:gridSpan w:val="3"/>
            <w:noWrap w:val="0"/>
            <w:vAlign w:val="center"/>
          </w:tcPr>
          <w:p>
            <w:pPr>
              <w:pageBreakBefore w:val="0"/>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不合格人员5个工作日内整改完毕，逾期仍不合格或不整改每人次扣2000元。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异地采集</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为确保采集公正性，必须异地安排采集员，做到“异地采集”且定期轮岗（原则上2个月一次）。</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为确保采集公正性，必须异地安排采集员，做到“异地采集”且定期轮岗（原则上2个月一次）。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定区采集</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每两月月末3个工作日内上报采集员三定表，逾期未上报每发生1次扣1000元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采集员管理、配置需符合“三定表”要求，每两月月末3个工作日内上报三定表。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指令执行</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重要普查或应急保障等执行应无条件服从</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未在规定时间内完成普查任务，每次扣1000元。如遇防汛、抗雪、防灾或重大活动和重点区域保障需延长采集巡查时间，或需进行专项普查的，中标人应无条件服从。如出现不执行或执行不到位的，每次视情扣1000-5000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82"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401"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设备管理</w:t>
            </w: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规范使用</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工作时间内未开启或未按要求正常使用采集器的GPS功能、擅自修改配置或挪作他用的，每发生1次扣200元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人须在签订合同后五日内，足数领取“信息采集器”，合同终结时，中标人须如数将“信息采集器”返还，每少一部按照采集器采购合同价95％的比例赔偿。使用过程中要做好信息采集设备（手机）的管理，保证功能的正常发挥。如遗失将按手机实际购买价95％</w:t>
            </w:r>
            <w:r>
              <w:rPr>
                <w:rFonts w:hint="eastAsia" w:ascii="仿宋" w:hAnsi="仿宋" w:eastAsia="仿宋" w:cs="仿宋"/>
                <w:color w:val="auto"/>
                <w:kern w:val="0"/>
                <w:sz w:val="24"/>
                <w:szCs w:val="24"/>
                <w:highlight w:val="none"/>
                <w:lang w:eastAsia="zh-CN"/>
              </w:rPr>
              <w:t>的比例</w:t>
            </w:r>
            <w:r>
              <w:rPr>
                <w:rFonts w:hint="eastAsia" w:ascii="仿宋" w:hAnsi="仿宋" w:eastAsia="仿宋" w:cs="仿宋"/>
                <w:color w:val="auto"/>
                <w:kern w:val="0"/>
                <w:sz w:val="24"/>
                <w:szCs w:val="24"/>
                <w:highlight w:val="none"/>
              </w:rPr>
              <w:t>赔偿，如因使用、管理不当造成手机硬件损坏或数据丢失的，应交甲方指定维护部门统一修理，非“三包”范围产生的费用由中标单位自理。严禁私自拆解、人为损坏、私自送修、擅自修改配置、挪作他用（游戏、影音、换卡打私人电话）等。因违规使用、不及时报修导致采集器无法正常工作的，责任由中标人承担；采集员在工作时间内必须开启采集器GPS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规范维护</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将采集器私自拆解、人为损坏、私自到非正规维修点送修等，每发生1次扣200元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03"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诚信指数</w:t>
            </w:r>
          </w:p>
        </w:tc>
        <w:tc>
          <w:tcPr>
            <w:tcW w:w="482"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401"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诚信管理</w:t>
            </w:r>
          </w:p>
        </w:tc>
        <w:tc>
          <w:tcPr>
            <w:tcW w:w="831"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职业道德</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吃拿卡要行为，每发生1次扣1000-5000元</w:t>
            </w:r>
          </w:p>
        </w:tc>
        <w:tc>
          <w:tcPr>
            <w:tcW w:w="976" w:type="dxa"/>
            <w:vMerge w:val="restart"/>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839"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严禁条款。杜绝“吃、拿、卡、要”行为，杜绝虚假信息，杜绝有责纠纷，如有上述情况一经查实，每次视情扣款，第三次发生（含）上述情况，甲方有权</w:t>
            </w:r>
            <w:r>
              <w:rPr>
                <w:rFonts w:hint="eastAsia" w:ascii="仿宋" w:hAnsi="仿宋" w:eastAsia="仿宋" w:cs="仿宋"/>
                <w:color w:val="auto"/>
                <w:kern w:val="0"/>
                <w:sz w:val="24"/>
                <w:szCs w:val="24"/>
                <w:highlight w:val="none"/>
                <w:lang w:val="en-US" w:eastAsia="zh-CN"/>
              </w:rPr>
              <w:t>终</w:t>
            </w:r>
            <w:r>
              <w:rPr>
                <w:rFonts w:hint="eastAsia" w:ascii="仿宋" w:hAnsi="仿宋" w:eastAsia="仿宋" w:cs="仿宋"/>
                <w:color w:val="auto"/>
                <w:kern w:val="0"/>
                <w:sz w:val="24"/>
                <w:szCs w:val="24"/>
                <w:highlight w:val="none"/>
              </w:rPr>
              <w:t>止合同，没收履约保证金，同时取消中标人下一轮信息采集投标资格。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上传虚假信息，每发生1次扣2000元</w:t>
            </w:r>
          </w:p>
        </w:tc>
        <w:tc>
          <w:tcPr>
            <w:tcW w:w="97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无资格顶岗</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欺瞒采集员信息、违规使用无上岗资格人员</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欺瞒采集员信息、违规使用无上岗资格人员的，每发生1人次扣2000元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82"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401"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队伍形象</w:t>
            </w: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投诉核实</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发生</w:t>
            </w:r>
            <w:r>
              <w:rPr>
                <w:rFonts w:hint="eastAsia" w:ascii="仿宋" w:hAnsi="仿宋" w:eastAsia="仿宋" w:cs="仿宋"/>
                <w:color w:val="auto"/>
                <w:kern w:val="0"/>
                <w:sz w:val="24"/>
                <w:szCs w:val="24"/>
                <w:highlight w:val="none"/>
              </w:rPr>
              <w:t>有责投诉</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有责投诉，每发生1次扣3000元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社会评价</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负面评价</w:t>
            </w:r>
          </w:p>
        </w:tc>
        <w:tc>
          <w:tcPr>
            <w:tcW w:w="976" w:type="dxa"/>
            <w:noWrap w:val="0"/>
            <w:vAlign w:val="center"/>
          </w:tcPr>
          <w:p>
            <w:pPr>
              <w:pageBreakBefore w:val="0"/>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p>
            <w:pPr>
              <w:pageBreakBefore w:val="0"/>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受到公众和新闻媒体负面评价，每次扣5000元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82"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401"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文明经营</w:t>
            </w: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依法用工</w:t>
            </w:r>
          </w:p>
        </w:tc>
        <w:tc>
          <w:tcPr>
            <w:tcW w:w="2937" w:type="dxa"/>
            <w:gridSpan w:val="3"/>
            <w:noWrap w:val="0"/>
            <w:vAlign w:val="center"/>
          </w:tcPr>
          <w:p>
            <w:pPr>
              <w:pageBreakBefore w:val="0"/>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无故拖欠员工工资、克扣员工福利或其他违法经营行为</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无故拖欠员工工资、克扣员工福利或其他违法经营行为，每发生1次扣3000元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82"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0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公平竞争</w:t>
            </w:r>
          </w:p>
        </w:tc>
        <w:tc>
          <w:tcPr>
            <w:tcW w:w="2937" w:type="dxa"/>
            <w:gridSpan w:val="3"/>
            <w:noWrap w:val="0"/>
            <w:vAlign w:val="center"/>
          </w:tcPr>
          <w:p>
            <w:pPr>
              <w:pageBreakBefore w:val="0"/>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公司采取不正当竞争手段，影响采集市场正常运行的，每发生1次扣5000元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若出现不正当竞争行为、影响恶劣的甲方有权终止合同，没收履约保证金，并取消中标人下一轮信息采集投标资格。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603"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宣传</w:t>
            </w:r>
          </w:p>
        </w:tc>
        <w:tc>
          <w:tcPr>
            <w:tcW w:w="482"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401"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宣传</w:t>
            </w: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宣传</w:t>
            </w:r>
          </w:p>
        </w:tc>
        <w:tc>
          <w:tcPr>
            <w:tcW w:w="2937" w:type="dxa"/>
            <w:gridSpan w:val="3"/>
            <w:noWrap w:val="0"/>
            <w:vAlign w:val="center"/>
          </w:tcPr>
          <w:p>
            <w:pPr>
              <w:pageBreakBefore w:val="0"/>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rPr>
              <w:t>及时上报宣传报道任务</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839" w:type="dxa"/>
            <w:noWrap w:val="0"/>
            <w:vAlign w:val="center"/>
          </w:tcPr>
          <w:p>
            <w:pPr>
              <w:pageBreakBefore w:val="0"/>
              <w:kinsoku/>
              <w:wordWrap/>
              <w:overflowPunct/>
              <w:topLinePunct w:val="0"/>
              <w:bidi w:val="0"/>
              <w:spacing w:line="360" w:lineRule="auto"/>
              <w:ind w:lef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每月至少被区局、市局各录用1篇，未完成任务区级扣500元，市级扣1000元；每多录用1篇，区级奖励100元/篇，市级奖励300元/篇。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603"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荣誉</w:t>
            </w:r>
          </w:p>
        </w:tc>
        <w:tc>
          <w:tcPr>
            <w:tcW w:w="482"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401"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荣誉</w:t>
            </w: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荣誉</w:t>
            </w:r>
          </w:p>
        </w:tc>
        <w:tc>
          <w:tcPr>
            <w:tcW w:w="2937" w:type="dxa"/>
            <w:gridSpan w:val="3"/>
            <w:noWrap w:val="0"/>
            <w:vAlign w:val="center"/>
          </w:tcPr>
          <w:p>
            <w:pPr>
              <w:pageBreakBefore w:val="0"/>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参加年度数字城管信息采集大比武或工作表现出色等被上级部门表扬</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839" w:type="dxa"/>
            <w:noWrap w:val="0"/>
            <w:vAlign w:val="center"/>
          </w:tcPr>
          <w:p>
            <w:pPr>
              <w:keepNext/>
              <w:keepLines/>
              <w:pageBreakBefore w:val="0"/>
              <w:widowControl w:val="0"/>
              <w:kinsoku/>
              <w:wordWrap/>
              <w:overflowPunct/>
              <w:topLinePunct w:val="0"/>
              <w:autoSpaceDE/>
              <w:autoSpaceDN/>
              <w:bidi w:val="0"/>
              <w:adjustRightInd/>
              <w:snapToGrid/>
              <w:spacing w:line="360" w:lineRule="auto"/>
              <w:ind w:left="0"/>
              <w:textAlignment w:val="auto"/>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年度比武获得荣誉，单项三等奖奖励500元，二等奖奖励1000元，一等奖奖励2000元。被区级表扬奖励500元/次；市级及以上表扬奖励1000元/次。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317" w:type="dxa"/>
            <w:gridSpan w:val="4"/>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评价</w:t>
            </w:r>
          </w:p>
        </w:tc>
        <w:tc>
          <w:tcPr>
            <w:tcW w:w="6752" w:type="dxa"/>
            <w:gridSpan w:val="5"/>
            <w:noWrap w:val="0"/>
            <w:vAlign w:val="center"/>
          </w:tcPr>
          <w:p>
            <w:pPr>
              <w:keepNext/>
              <w:keepLines/>
              <w:pageBreakBefore w:val="0"/>
              <w:widowControl w:val="0"/>
              <w:kinsoku/>
              <w:wordWrap/>
              <w:overflowPunct/>
              <w:topLinePunct w:val="0"/>
              <w:autoSpaceDE/>
              <w:autoSpaceDN/>
              <w:bidi w:val="0"/>
              <w:adjustRightInd/>
              <w:snapToGrid/>
              <w:spacing w:line="360" w:lineRule="auto"/>
              <w:ind w:left="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实行打分制。考核每扣1000元折合扣1分，按月考核（满分100分）；第一年度评分为第一年度前11个月评分加权平均数，评分达90分及以上视为合格，同意签订第二年度合同。</w:t>
            </w:r>
          </w:p>
        </w:tc>
      </w:tr>
    </w:tbl>
    <w:p>
      <w:pPr>
        <w:pageBreakBefore w:val="0"/>
        <w:kinsoku/>
        <w:wordWrap/>
        <w:overflowPunct/>
        <w:topLinePunct w:val="0"/>
        <w:bidi w:val="0"/>
        <w:adjustRightInd w:val="0"/>
        <w:snapToGrid w:val="0"/>
        <w:spacing w:line="360" w:lineRule="auto"/>
        <w:ind w:left="0" w:firstLine="482" w:firstLineChars="200"/>
        <w:textAlignment w:val="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相关要求及计扣办法</w:t>
      </w:r>
      <w:r>
        <w:rPr>
          <w:rFonts w:hint="eastAsia" w:ascii="仿宋" w:hAnsi="仿宋" w:eastAsia="仿宋" w:cs="仿宋"/>
          <w:b/>
          <w:snapToGrid w:val="0"/>
          <w:color w:val="auto"/>
          <w:kern w:val="0"/>
          <w:sz w:val="24"/>
          <w:szCs w:val="24"/>
          <w:highlight w:val="none"/>
          <w:lang w:eastAsia="zh-CN"/>
        </w:rPr>
        <w:t>，并随市对区、区对局的考核要求调整作相应调整。</w:t>
      </w:r>
    </w:p>
    <w:p>
      <w:pPr>
        <w:pageBreakBefore w:val="0"/>
        <w:kinsoku/>
        <w:wordWrap/>
        <w:overflowPunct/>
        <w:topLinePunct w:val="0"/>
        <w:bidi w:val="0"/>
        <w:spacing w:line="360" w:lineRule="auto"/>
        <w:ind w:left="0"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备注 ：</w:t>
      </w:r>
    </w:p>
    <w:p>
      <w:pPr>
        <w:pageBreakBefore w:val="0"/>
        <w:kinsoku/>
        <w:wordWrap/>
        <w:overflowPunct/>
        <w:topLinePunct w:val="0"/>
        <w:bidi w:val="0"/>
        <w:spacing w:line="360" w:lineRule="auto"/>
        <w:ind w:left="0"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  （1）因本项目性质，</w:t>
      </w:r>
      <w:r>
        <w:rPr>
          <w:rFonts w:hint="eastAsia" w:ascii="仿宋" w:hAnsi="仿宋" w:eastAsia="仿宋" w:cs="仿宋"/>
          <w:snapToGrid w:val="0"/>
          <w:color w:val="auto"/>
          <w:kern w:val="0"/>
          <w:sz w:val="24"/>
          <w:szCs w:val="24"/>
          <w:highlight w:val="none"/>
          <w:lang w:eastAsia="zh-CN"/>
        </w:rPr>
        <w:t>中标后</w:t>
      </w:r>
      <w:r>
        <w:rPr>
          <w:rFonts w:hint="eastAsia" w:ascii="仿宋" w:hAnsi="仿宋" w:eastAsia="仿宋" w:cs="仿宋"/>
          <w:snapToGrid w:val="0"/>
          <w:color w:val="auto"/>
          <w:kern w:val="0"/>
          <w:sz w:val="24"/>
          <w:szCs w:val="24"/>
          <w:highlight w:val="none"/>
        </w:rPr>
        <w:t>必须在服务区域设立固定的办事机构，确保服务到位、政令畅通。投标前未设立的，请在投标文件中提供相应的服务方案，并承诺“如中标，服务进场前，在服务区域设立固定的办事机构，确保服务到位、政令畅通”。</w:t>
      </w:r>
    </w:p>
    <w:p>
      <w:pPr>
        <w:pageBreakBefore w:val="0"/>
        <w:kinsoku/>
        <w:wordWrap/>
        <w:overflowPunct/>
        <w:topLinePunct w:val="0"/>
        <w:bidi w:val="0"/>
        <w:spacing w:line="360" w:lineRule="auto"/>
        <w:ind w:left="0"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  （2）为体现采集数据的公正，有属地管理职责的企业或事业法人单位，必须实施异地采集。</w:t>
      </w:r>
    </w:p>
    <w:p>
      <w:pPr>
        <w:pageBreakBefore w:val="0"/>
        <w:kinsoku/>
        <w:wordWrap/>
        <w:overflowPunct/>
        <w:topLinePunct w:val="0"/>
        <w:bidi w:val="0"/>
        <w:spacing w:line="360" w:lineRule="auto"/>
        <w:ind w:left="0"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  （3）未经采购人事先书面同意，中标人不得部分或全部转让其应履行的合同义务，否则甲方有权无条件终止合同，并取消其下一轮信息采集投标资格。</w:t>
      </w:r>
    </w:p>
    <w:p>
      <w:pPr>
        <w:pageBreakBefore w:val="0"/>
        <w:kinsoku/>
        <w:wordWrap/>
        <w:overflowPunct/>
        <w:topLinePunct w:val="0"/>
        <w:bidi w:val="0"/>
        <w:spacing w:line="360" w:lineRule="auto"/>
        <w:ind w:left="0"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  （4）考核方式：每月考核，按季兑付；</w:t>
      </w:r>
    </w:p>
    <w:p>
      <w:pPr>
        <w:pageBreakBefore w:val="0"/>
        <w:kinsoku/>
        <w:wordWrap/>
        <w:overflowPunct/>
        <w:topLinePunct w:val="0"/>
        <w:bidi w:val="0"/>
        <w:spacing w:line="360" w:lineRule="auto"/>
        <w:ind w:left="0"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 xml:space="preserve">  （5）如因数字城管运行实际需要，所产生的相关指标变化，中标人必须无条件接受；</w:t>
      </w:r>
    </w:p>
    <w:p>
      <w:pPr>
        <w:pageBreakBefore w:val="0"/>
        <w:kinsoku/>
        <w:wordWrap/>
        <w:overflowPunct/>
        <w:topLinePunct w:val="0"/>
        <w:bidi w:val="0"/>
        <w:spacing w:line="360" w:lineRule="auto"/>
        <w:ind w:left="0" w:firstLine="480"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snapToGrid w:val="0"/>
          <w:color w:val="auto"/>
          <w:kern w:val="0"/>
          <w:sz w:val="24"/>
          <w:szCs w:val="24"/>
          <w:highlight w:val="none"/>
        </w:rPr>
        <w:t xml:space="preserve">  （6）如上传率（上传有效数据/上传有效数据的定量基数]）连续三个月低于96％，中标单位应说明原因。如工作时间、人员配备、巡查密度、控制漏报、及时回复、普查保障、严禁条款均未发生计扣情况，其他相关要求执行良好的，上传有效数据基数经讨论后可适做调整。（特殊保障要求，防汛抗雪等期间的人员配备、工作质量应加倍计扣）</w:t>
      </w:r>
    </w:p>
    <w:p>
      <w:pPr>
        <w:pStyle w:val="2"/>
        <w:pageBreakBefore w:val="0"/>
        <w:kinsoku/>
        <w:wordWrap/>
        <w:overflowPunct/>
        <w:topLinePunct w:val="0"/>
        <w:bidi w:val="0"/>
        <w:snapToGrid w:val="0"/>
        <w:spacing w:line="360" w:lineRule="auto"/>
        <w:ind w:left="0"/>
        <w:textAlignment w:val="auto"/>
        <w:rPr>
          <w:rFonts w:hint="eastAsia" w:ascii="仿宋" w:hAnsi="仿宋" w:eastAsia="仿宋" w:cs="仿宋"/>
          <w:color w:val="auto"/>
          <w:sz w:val="24"/>
          <w:szCs w:val="24"/>
          <w:highlight w:val="none"/>
        </w:rPr>
      </w:pPr>
      <w:bookmarkStart w:id="33" w:name="_Toc309392654"/>
      <w:bookmarkStart w:id="34" w:name="_Toc22028"/>
      <w:r>
        <w:rPr>
          <w:rFonts w:hint="eastAsia" w:ascii="仿宋" w:hAnsi="仿宋" w:eastAsia="仿宋" w:cs="仿宋"/>
          <w:color w:val="auto"/>
          <w:sz w:val="24"/>
          <w:szCs w:val="24"/>
          <w:highlight w:val="none"/>
        </w:rPr>
        <w:t>五、“信息采集器”的管理和信息采集费的支付</w:t>
      </w:r>
      <w:bookmarkEnd w:id="33"/>
      <w:bookmarkEnd w:id="34"/>
    </w:p>
    <w:p>
      <w:pPr>
        <w:pageBreakBefore w:val="0"/>
        <w:kinsoku/>
        <w:wordWrap/>
        <w:overflowPunct/>
        <w:topLinePunct w:val="0"/>
        <w:bidi w:val="0"/>
        <w:adjustRightInd w:val="0"/>
        <w:snapToGrid w:val="0"/>
        <w:spacing w:line="360" w:lineRule="auto"/>
        <w:ind w:left="0" w:firstLine="482" w:firstLineChars="200"/>
        <w:textAlignment w:val="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（一）“信息采集器”的领取、管理和使用</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1．设备配置及价格。</w:t>
      </w:r>
    </w:p>
    <w:p>
      <w:pPr>
        <w:pageBreakBefore w:val="0"/>
        <w:kinsoku/>
        <w:wordWrap/>
        <w:overflowPunct/>
        <w:topLinePunct w:val="0"/>
        <w:bidi w:val="0"/>
        <w:adjustRightInd w:val="0"/>
        <w:snapToGrid w:val="0"/>
        <w:spacing w:line="360" w:lineRule="auto"/>
        <w:ind w:left="0"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（1）合同签订后，中标人须在五天内，按每名信息采集员一部的比例，足数领取“信息采集器”。采集器必须按照实名制登记使用，同时中标人应配置1名采集器专管员。</w:t>
      </w:r>
    </w:p>
    <w:p>
      <w:pPr>
        <w:pageBreakBefore w:val="0"/>
        <w:kinsoku/>
        <w:wordWrap/>
        <w:overflowPunct/>
        <w:topLinePunct w:val="0"/>
        <w:bidi w:val="0"/>
        <w:adjustRightInd w:val="0"/>
        <w:snapToGrid w:val="0"/>
        <w:spacing w:line="360" w:lineRule="auto"/>
        <w:ind w:left="0"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（2）合同终结时，乙方须如数将“信息采集器”返还，每少一部按照采购合同价95％的比例赔偿；如因使用不当造成“信息采集器”外观破损或影响功能正常使用的，将足额支付修理费用。</w:t>
      </w:r>
    </w:p>
    <w:p>
      <w:pPr>
        <w:pageBreakBefore w:val="0"/>
        <w:kinsoku/>
        <w:wordWrap/>
        <w:overflowPunct/>
        <w:topLinePunct w:val="0"/>
        <w:bidi w:val="0"/>
        <w:adjustRightInd w:val="0"/>
        <w:snapToGrid w:val="0"/>
        <w:spacing w:line="360" w:lineRule="auto"/>
        <w:ind w:left="0"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（3）中标人应制定“信息采集器”管理使用办法，从制度上保证“信息采集器”的正常使用。</w:t>
      </w:r>
    </w:p>
    <w:p>
      <w:pPr>
        <w:pageBreakBefore w:val="0"/>
        <w:kinsoku/>
        <w:wordWrap/>
        <w:overflowPunct/>
        <w:topLinePunct w:val="0"/>
        <w:bidi w:val="0"/>
        <w:adjustRightInd w:val="0"/>
        <w:snapToGrid w:val="0"/>
        <w:spacing w:line="360" w:lineRule="auto"/>
        <w:ind w:left="0" w:firstLine="480" w:firstLineChars="200"/>
        <w:jc w:val="left"/>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（4）要按照采购人提供的“信息采集器”设定的工作区域，落实专人使用，并按正点率和全覆盖的要求，在合同签订一个月内提供各工作单位（社区）巡查行径线路。</w:t>
      </w:r>
    </w:p>
    <w:p>
      <w:pPr>
        <w:pStyle w:val="2"/>
        <w:pageBreakBefore w:val="0"/>
        <w:kinsoku/>
        <w:wordWrap/>
        <w:overflowPunct/>
        <w:topLinePunct w:val="0"/>
        <w:bidi w:val="0"/>
        <w:snapToGrid w:val="0"/>
        <w:spacing w:line="360" w:lineRule="auto"/>
        <w:ind w:left="0"/>
        <w:textAlignment w:val="auto"/>
        <w:rPr>
          <w:rFonts w:hint="eastAsia" w:ascii="仿宋" w:hAnsi="仿宋" w:eastAsia="仿宋" w:cs="仿宋"/>
          <w:color w:val="auto"/>
          <w:sz w:val="24"/>
          <w:szCs w:val="24"/>
          <w:highlight w:val="none"/>
        </w:rPr>
      </w:pPr>
      <w:bookmarkStart w:id="35" w:name="_Toc309392655"/>
      <w:bookmarkStart w:id="36" w:name="_Toc27226"/>
      <w:r>
        <w:rPr>
          <w:rFonts w:hint="eastAsia" w:ascii="仿宋" w:hAnsi="仿宋" w:eastAsia="仿宋" w:cs="仿宋"/>
          <w:color w:val="auto"/>
          <w:sz w:val="24"/>
          <w:szCs w:val="24"/>
          <w:highlight w:val="none"/>
        </w:rPr>
        <w:t>六、采集队伍的组建</w:t>
      </w:r>
      <w:bookmarkEnd w:id="35"/>
      <w:bookmarkEnd w:id="36"/>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val="zh-CN"/>
        </w:rPr>
        <w:t>应于履行合同前7日内</w:t>
      </w:r>
      <w:r>
        <w:rPr>
          <w:rFonts w:hint="eastAsia" w:ascii="仿宋" w:hAnsi="仿宋" w:eastAsia="仿宋" w:cs="仿宋"/>
          <w:color w:val="auto"/>
          <w:sz w:val="24"/>
          <w:szCs w:val="24"/>
          <w:highlight w:val="none"/>
          <w:lang w:val="zh-CN" w:eastAsia="zh-CN"/>
        </w:rPr>
        <w:t>且</w:t>
      </w:r>
      <w:r>
        <w:rPr>
          <w:rFonts w:hint="eastAsia" w:ascii="仿宋" w:hAnsi="仿宋" w:eastAsia="仿宋" w:cs="仿宋"/>
          <w:color w:val="auto"/>
          <w:sz w:val="24"/>
          <w:highlight w:val="none"/>
          <w:lang w:val="zh-CN" w:eastAsia="zh-CN"/>
        </w:rPr>
        <w:t>定标之日起30天内</w:t>
      </w:r>
      <w:r>
        <w:rPr>
          <w:rFonts w:hint="eastAsia" w:ascii="仿宋" w:hAnsi="仿宋" w:eastAsia="仿宋" w:cs="仿宋"/>
          <w:color w:val="auto"/>
          <w:sz w:val="24"/>
          <w:szCs w:val="24"/>
          <w:highlight w:val="none"/>
          <w:lang w:val="zh-CN"/>
        </w:rPr>
        <w:t>按照投标文件的承诺</w:t>
      </w:r>
      <w:r>
        <w:rPr>
          <w:rFonts w:hint="eastAsia" w:ascii="仿宋" w:hAnsi="仿宋" w:eastAsia="仿宋" w:cs="仿宋"/>
          <w:color w:val="auto"/>
          <w:sz w:val="24"/>
          <w:szCs w:val="24"/>
          <w:highlight w:val="none"/>
        </w:rPr>
        <w:t>，完成信息采集队伍人员的组建。</w:t>
      </w:r>
    </w:p>
    <w:p>
      <w:pPr>
        <w:pStyle w:val="2"/>
        <w:pageBreakBefore w:val="0"/>
        <w:kinsoku/>
        <w:wordWrap/>
        <w:overflowPunct/>
        <w:topLinePunct w:val="0"/>
        <w:bidi w:val="0"/>
        <w:snapToGrid w:val="0"/>
        <w:spacing w:line="360" w:lineRule="auto"/>
        <w:ind w:left="0"/>
        <w:textAlignment w:val="auto"/>
        <w:rPr>
          <w:rFonts w:hint="eastAsia" w:ascii="仿宋" w:hAnsi="仿宋" w:eastAsia="仿宋" w:cs="仿宋"/>
          <w:color w:val="auto"/>
          <w:sz w:val="24"/>
          <w:szCs w:val="24"/>
          <w:highlight w:val="none"/>
        </w:rPr>
      </w:pPr>
      <w:bookmarkStart w:id="37" w:name="_Toc309392656"/>
      <w:bookmarkStart w:id="38" w:name="_Toc5967"/>
      <w:r>
        <w:rPr>
          <w:rFonts w:hint="eastAsia" w:ascii="仿宋" w:hAnsi="仿宋" w:eastAsia="仿宋" w:cs="仿宋"/>
          <w:color w:val="auto"/>
          <w:sz w:val="24"/>
          <w:szCs w:val="24"/>
          <w:highlight w:val="none"/>
        </w:rPr>
        <w:t>七、区域巡查图层</w:t>
      </w:r>
      <w:bookmarkEnd w:id="37"/>
      <w:bookmarkEnd w:id="38"/>
    </w:p>
    <w:p>
      <w:pPr>
        <w:pageBreakBefore w:val="0"/>
        <w:kinsoku/>
        <w:wordWrap/>
        <w:overflowPunct/>
        <w:topLinePunct w:val="0"/>
        <w:bidi w:val="0"/>
        <w:adjustRightInd w:val="0"/>
        <w:snapToGri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采购人指定。</w:t>
      </w:r>
    </w:p>
    <w:p>
      <w:pPr>
        <w:pStyle w:val="2"/>
        <w:pageBreakBefore w:val="0"/>
        <w:kinsoku/>
        <w:wordWrap/>
        <w:overflowPunct/>
        <w:topLinePunct w:val="0"/>
        <w:bidi w:val="0"/>
        <w:snapToGrid w:val="0"/>
        <w:spacing w:line="360" w:lineRule="auto"/>
        <w:ind w:left="0"/>
        <w:textAlignment w:val="auto"/>
        <w:rPr>
          <w:rFonts w:hint="eastAsia" w:ascii="仿宋" w:hAnsi="仿宋" w:eastAsia="仿宋" w:cs="仿宋"/>
          <w:color w:val="auto"/>
          <w:sz w:val="24"/>
          <w:szCs w:val="24"/>
          <w:highlight w:val="none"/>
        </w:rPr>
      </w:pPr>
      <w:bookmarkStart w:id="39" w:name="_Toc2494"/>
      <w:r>
        <w:rPr>
          <w:rFonts w:hint="eastAsia" w:ascii="仿宋" w:hAnsi="仿宋" w:eastAsia="仿宋" w:cs="仿宋"/>
          <w:color w:val="auto"/>
          <w:sz w:val="24"/>
          <w:szCs w:val="24"/>
          <w:highlight w:val="none"/>
        </w:rPr>
        <w:t>八、商务要求</w:t>
      </w:r>
      <w:bookmarkEnd w:id="39"/>
    </w:p>
    <w:tbl>
      <w:tblPr>
        <w:tblStyle w:val="62"/>
        <w:tblW w:w="935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2"/>
        <w:gridCol w:w="76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6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服务期</w:t>
            </w:r>
          </w:p>
        </w:tc>
        <w:tc>
          <w:tcPr>
            <w:tcW w:w="76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60" w:lineRule="auto"/>
              <w:ind w:left="0"/>
              <w:textAlignment w:val="auto"/>
              <w:rPr>
                <w:rFonts w:hint="eastAsia" w:ascii="仿宋" w:hAnsi="仿宋" w:eastAsia="仿宋" w:cs="仿宋"/>
                <w:color w:val="auto"/>
                <w:spacing w:val="-6"/>
                <w:sz w:val="24"/>
                <w:szCs w:val="24"/>
                <w:highlight w:val="none"/>
              </w:rPr>
            </w:pPr>
            <w:r>
              <w:rPr>
                <w:rFonts w:hint="eastAsia" w:ascii="仿宋" w:hAnsi="仿宋" w:eastAsia="仿宋" w:cs="仿宋"/>
                <w:snapToGrid w:val="0"/>
                <w:color w:val="auto"/>
                <w:kern w:val="0"/>
                <w:sz w:val="24"/>
                <w:szCs w:val="24"/>
                <w:highlight w:val="none"/>
              </w:rPr>
              <w:t>本项目服务期为2年。具体起始时间服从采购人安排。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6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服务地点</w:t>
            </w:r>
          </w:p>
        </w:tc>
        <w:tc>
          <w:tcPr>
            <w:tcW w:w="76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60" w:lineRule="auto"/>
              <w:ind w:left="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0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60" w:lineRule="auto"/>
              <w:ind w:left="0"/>
              <w:jc w:val="center"/>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履约保证金</w:t>
            </w:r>
          </w:p>
        </w:tc>
        <w:tc>
          <w:tcPr>
            <w:tcW w:w="76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60" w:lineRule="auto"/>
              <w:ind w:left="0"/>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lang w:val="zh-CN"/>
              </w:rPr>
              <w:t>合同生效后7个工作日内，乙方应以支票、汇票、本票或者金融机构、担保机构出具的保函等非现金形式，提交合同价1%的履约保证金，待项目验收合格后无息退还（如有违约内容，则扣除相应违约款项后，无息退还）。</w:t>
            </w:r>
          </w:p>
        </w:tc>
      </w:tr>
    </w:tbl>
    <w:p>
      <w:pPr>
        <w:pageBreakBefore w:val="0"/>
        <w:kinsoku/>
        <w:wordWrap/>
        <w:overflowPunct/>
        <w:topLinePunct w:val="0"/>
        <w:bidi w:val="0"/>
        <w:spacing w:line="360" w:lineRule="auto"/>
        <w:ind w:left="0"/>
        <w:textAlignment w:val="auto"/>
        <w:rPr>
          <w:rFonts w:hint="eastAsia" w:ascii="仿宋" w:hAnsi="仿宋" w:eastAsia="仿宋" w:cs="仿宋"/>
          <w:b/>
          <w:color w:val="auto"/>
          <w:sz w:val="24"/>
          <w:szCs w:val="24"/>
          <w:highlight w:val="none"/>
        </w:rPr>
      </w:pPr>
    </w:p>
    <w:p>
      <w:pPr>
        <w:pStyle w:val="2"/>
        <w:pageBreakBefore w:val="0"/>
        <w:kinsoku/>
        <w:wordWrap/>
        <w:overflowPunct/>
        <w:topLinePunct w:val="0"/>
        <w:bidi w:val="0"/>
        <w:snapToGrid w:val="0"/>
        <w:spacing w:line="360" w:lineRule="auto"/>
        <w:ind w:left="0"/>
        <w:textAlignment w:val="auto"/>
        <w:rPr>
          <w:rFonts w:hint="eastAsia" w:ascii="仿宋" w:hAnsi="仿宋" w:eastAsia="仿宋" w:cs="仿宋"/>
          <w:color w:val="auto"/>
          <w:sz w:val="24"/>
          <w:szCs w:val="24"/>
          <w:highlight w:val="none"/>
        </w:rPr>
      </w:pPr>
      <w:bookmarkStart w:id="40" w:name="_Toc16703"/>
      <w:bookmarkStart w:id="41" w:name="_Toc25020"/>
      <w:bookmarkStart w:id="42" w:name="_Toc152411298"/>
      <w:bookmarkStart w:id="43" w:name="_Toc203558310"/>
      <w:bookmarkStart w:id="44" w:name="_Toc306304669"/>
      <w:bookmarkStart w:id="45" w:name="_Toc194983822"/>
      <w:bookmarkStart w:id="46" w:name="_Toc149969107"/>
      <w:bookmarkStart w:id="47" w:name="_Toc151438330"/>
      <w:r>
        <w:rPr>
          <w:rFonts w:hint="eastAsia" w:ascii="仿宋" w:hAnsi="仿宋" w:eastAsia="仿宋" w:cs="仿宋"/>
          <w:color w:val="auto"/>
          <w:sz w:val="24"/>
          <w:szCs w:val="24"/>
          <w:highlight w:val="none"/>
        </w:rPr>
        <w:t>九、注意事项</w:t>
      </w:r>
      <w:bookmarkEnd w:id="40"/>
      <w:bookmarkEnd w:id="41"/>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1、人员工资不得低于杭州市劳动保障有关规定，认真贯彻杭政办《浙江省人民政府办公厅关于进一步改善环卫工人工作生活条件 促进环卫事业持续健康发展的若干意见》（浙政办发〔2009〕190号）和《杭州市人民政府办公厅关于进一步解决环卫工人实际困难 保障其合法权益的意见》（〔2008〕14号）文件精神，必须落实职工劳保福利待遇，为职工缴纳社会保险费（养老保险、医疗保险、失业保险、工伤保险和生育保险）与住房公积金，保障职工休息休假权利，确保环卫工人基本权益得到保障。</w:t>
      </w:r>
      <w:bookmarkEnd w:id="42"/>
      <w:bookmarkEnd w:id="43"/>
      <w:bookmarkEnd w:id="44"/>
      <w:bookmarkEnd w:id="45"/>
      <w:bookmarkEnd w:id="46"/>
      <w:bookmarkEnd w:id="47"/>
      <w:bookmarkStart w:id="48" w:name="_Toc495389909"/>
      <w:bookmarkStart w:id="49" w:name="_Toc17988"/>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2、提倡职业道德，轻微问题做到举手之劳（劝导）。</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（1）不符合立案的小广告；</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（2）垃圾箱小门打开或盖子移位，垃圾箱外的小袋装垃圾；</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（3）井盖轻微错位，在能力范围内；</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（4）交通护拦轻微移位、脱节、侧倒（非水泥柱等）；</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（5）重大节庆活动、防台防汛抗雪等特殊任务需要时，应服从监督指挥中心的统一安排，并无偿提供人员保障；</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（6）非泊车位的停车（车主正准备停）单个现象，自行车停在泊车线外；</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（7）绿地或主干道的小木板广告类；</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（8）网络通讯交接箱门打开（设施不坏）；</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（9）主干道单个流浪乞讨；</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（10）单个影响交通及自身安全的无证商贩。</w:t>
      </w:r>
    </w:p>
    <w:p>
      <w:pPr>
        <w:pStyle w:val="2"/>
        <w:pageBreakBefore w:val="0"/>
        <w:kinsoku/>
        <w:wordWrap/>
        <w:overflowPunct/>
        <w:topLinePunct w:val="0"/>
        <w:bidi w:val="0"/>
        <w:snapToGrid w:val="0"/>
        <w:spacing w:line="360" w:lineRule="auto"/>
        <w:ind w:left="0"/>
        <w:textAlignment w:val="auto"/>
        <w:rPr>
          <w:rFonts w:hint="eastAsia" w:ascii="仿宋" w:hAnsi="仿宋" w:eastAsia="仿宋" w:cs="仿宋"/>
          <w:color w:val="auto"/>
          <w:sz w:val="24"/>
          <w:szCs w:val="24"/>
          <w:highlight w:val="none"/>
        </w:rPr>
      </w:pPr>
      <w:bookmarkStart w:id="50" w:name="_Toc14934"/>
      <w:r>
        <w:rPr>
          <w:rFonts w:hint="eastAsia" w:ascii="仿宋" w:hAnsi="仿宋" w:eastAsia="仿宋" w:cs="仿宋"/>
          <w:color w:val="auto"/>
          <w:sz w:val="24"/>
          <w:szCs w:val="24"/>
          <w:highlight w:val="none"/>
        </w:rPr>
        <w:t>十、验收</w:t>
      </w:r>
      <w:bookmarkEnd w:id="50"/>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1、本项目需根据《杭州市政府采购履约验收暂行办法》杭财采监〔2019〕10 号文，进行履约验收，验收合格报告作为项目支付的依据。</w:t>
      </w:r>
    </w:p>
    <w:p>
      <w:pPr>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验收依据：①采购文件确定的技术指标或者服务要求；②投标文件承诺、询标回复；③服务合同、甲方制定的考核标准。未进行相应约定的，应当符合国家强制性规定、政策要求、安全标准、行业或企业有关标准等。</w:t>
      </w:r>
    </w:p>
    <w:bookmarkEnd w:id="48"/>
    <w:bookmarkEnd w:id="49"/>
    <w:p>
      <w:pPr>
        <w:pStyle w:val="2"/>
        <w:pageBreakBefore w:val="0"/>
        <w:kinsoku/>
        <w:wordWrap/>
        <w:overflowPunct/>
        <w:topLinePunct w:val="0"/>
        <w:bidi w:val="0"/>
        <w:snapToGrid w:val="0"/>
        <w:spacing w:line="360" w:lineRule="auto"/>
        <w:ind w:left="0"/>
        <w:textAlignment w:val="auto"/>
        <w:rPr>
          <w:rFonts w:hint="eastAsia" w:ascii="仿宋" w:hAnsi="仿宋" w:eastAsia="仿宋" w:cs="仿宋"/>
          <w:color w:val="auto"/>
          <w:sz w:val="24"/>
          <w:szCs w:val="24"/>
          <w:highlight w:val="none"/>
        </w:rPr>
      </w:pPr>
      <w:bookmarkStart w:id="51" w:name="_Toc3651"/>
      <w:r>
        <w:rPr>
          <w:rFonts w:hint="eastAsia" w:ascii="仿宋" w:eastAsia="仿宋" w:cs="仿宋"/>
          <w:color w:val="auto"/>
          <w:sz w:val="24"/>
          <w:szCs w:val="24"/>
          <w:highlight w:val="none"/>
          <w:lang w:val="en-US" w:eastAsia="zh-CN"/>
        </w:rPr>
        <w:t>十一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投标时其他</w:t>
      </w:r>
      <w:r>
        <w:rPr>
          <w:rFonts w:hint="eastAsia" w:ascii="仿宋" w:hAnsi="仿宋" w:eastAsia="仿宋" w:cs="仿宋"/>
          <w:color w:val="auto"/>
          <w:sz w:val="24"/>
          <w:szCs w:val="24"/>
          <w:highlight w:val="none"/>
        </w:rPr>
        <w:t>事项</w:t>
      </w:r>
      <w:bookmarkEnd w:id="51"/>
    </w:p>
    <w:p>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（一）投标人要求</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Style w:val="962"/>
          <w:rFonts w:hint="eastAsia" w:ascii="仿宋" w:hAnsi="仿宋" w:eastAsia="仿宋" w:cs="仿宋"/>
          <w:color w:val="auto"/>
          <w:kern w:val="0"/>
          <w:sz w:val="24"/>
          <w:szCs w:val="24"/>
          <w:highlight w:val="none"/>
          <w:lang w:val="en-US" w:eastAsia="zh-CN" w:bidi="ar-SA"/>
        </w:rPr>
      </w:pPr>
      <w:r>
        <w:rPr>
          <w:rStyle w:val="962"/>
          <w:rFonts w:hint="eastAsia" w:ascii="仿宋" w:hAnsi="仿宋" w:eastAsia="仿宋" w:cs="仿宋"/>
          <w:color w:val="auto"/>
          <w:kern w:val="0"/>
          <w:sz w:val="24"/>
          <w:szCs w:val="24"/>
          <w:highlight w:val="none"/>
          <w:lang w:val="en-US" w:eastAsia="zh-CN" w:bidi="ar-SA"/>
        </w:rPr>
        <w:t>1、具有有效的质量体系认证，环境体系认证，职业健康安全管理体系认证证书。</w:t>
      </w:r>
    </w:p>
    <w:p>
      <w:pPr>
        <w:keepNext w:val="0"/>
        <w:keepLines w:val="0"/>
        <w:pageBreakBefore w:val="0"/>
        <w:widowControl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highlight w:val="none"/>
        </w:rPr>
      </w:pPr>
      <w:r>
        <w:rPr>
          <w:rStyle w:val="962"/>
          <w:rFonts w:hint="eastAsia" w:ascii="仿宋" w:hAnsi="仿宋" w:eastAsia="仿宋" w:cs="仿宋"/>
          <w:color w:val="auto"/>
          <w:kern w:val="0"/>
          <w:sz w:val="24"/>
          <w:szCs w:val="24"/>
          <w:highlight w:val="none"/>
          <w:lang w:val="en-US" w:eastAsia="zh-CN" w:bidi="ar-SA"/>
        </w:rPr>
        <w:t>2、投标人自2020年1月1日（按合同签订时间为准）以来，具有</w:t>
      </w:r>
      <w:r>
        <w:rPr>
          <w:rFonts w:hint="eastAsia" w:ascii="仿宋" w:hAnsi="仿宋" w:eastAsia="仿宋" w:cs="仿宋"/>
          <w:color w:val="auto"/>
          <w:sz w:val="24"/>
          <w:highlight w:val="none"/>
        </w:rPr>
        <w:t>信息采集项目</w:t>
      </w:r>
      <w:r>
        <w:rPr>
          <w:rStyle w:val="962"/>
          <w:rFonts w:hint="eastAsia" w:ascii="仿宋" w:hAnsi="仿宋" w:eastAsia="仿宋" w:cs="仿宋"/>
          <w:color w:val="auto"/>
          <w:kern w:val="0"/>
          <w:sz w:val="24"/>
          <w:szCs w:val="24"/>
          <w:highlight w:val="none"/>
          <w:lang w:val="en-US" w:eastAsia="zh-CN" w:bidi="ar-SA"/>
        </w:rPr>
        <w:t>的成功经验。</w:t>
      </w:r>
    </w:p>
    <w:p>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left="0"/>
        <w:textAlignment w:val="auto"/>
        <w:outlineLvl w:val="9"/>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（二）投标时对方案的要求</w:t>
      </w:r>
    </w:p>
    <w:p>
      <w:pPr>
        <w:pStyle w:val="24"/>
        <w:rPr>
          <w:rFonts w:hint="eastAsia" w:ascii="仿宋" w:hAnsi="仿宋" w:eastAsia="仿宋" w:cs="仿宋"/>
          <w:bCs/>
          <w:color w:val="auto"/>
          <w:highlight w:val="none"/>
        </w:rPr>
      </w:pPr>
      <w:r>
        <w:rPr>
          <w:rFonts w:hint="eastAsia" w:ascii="仿宋" w:hAnsi="仿宋" w:eastAsia="仿宋" w:cs="仿宋"/>
          <w:bCs/>
          <w:color w:val="auto"/>
          <w:highlight w:val="none"/>
        </w:rPr>
        <w:t>1、投标人需针对本项目的</w:t>
      </w:r>
      <w:r>
        <w:rPr>
          <w:rFonts w:hint="eastAsia" w:ascii="仿宋" w:hAnsi="仿宋" w:eastAsia="仿宋" w:cs="仿宋"/>
          <w:bCs/>
          <w:color w:val="auto"/>
          <w:highlight w:val="none"/>
          <w:lang w:val="en-US" w:eastAsia="zh-CN"/>
        </w:rPr>
        <w:t>总体目标、工作内容，制定项目启动实施方案</w:t>
      </w:r>
      <w:r>
        <w:rPr>
          <w:rFonts w:hint="eastAsia" w:ascii="仿宋" w:hAnsi="仿宋" w:eastAsia="仿宋" w:cs="仿宋"/>
          <w:bCs/>
          <w:color w:val="auto"/>
          <w:highlight w:val="none"/>
        </w:rPr>
        <w:t>。</w:t>
      </w:r>
    </w:p>
    <w:p>
      <w:pPr>
        <w:pStyle w:val="24"/>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rPr>
        <w:t>2、投标人需针对本项目的实际情况与需求，</w:t>
      </w:r>
      <w:r>
        <w:rPr>
          <w:rFonts w:hint="eastAsia" w:ascii="仿宋" w:hAnsi="仿宋" w:eastAsia="仿宋" w:cs="仿宋"/>
          <w:bCs/>
          <w:color w:val="auto"/>
          <w:highlight w:val="none"/>
          <w:lang w:val="en-US" w:eastAsia="zh-CN"/>
        </w:rPr>
        <w:t>就关键内容</w:t>
      </w:r>
      <w:r>
        <w:rPr>
          <w:rFonts w:hint="eastAsia" w:ascii="仿宋" w:hAnsi="仿宋" w:eastAsia="仿宋" w:cs="仿宋"/>
          <w:bCs/>
          <w:color w:val="auto"/>
          <w:highlight w:val="none"/>
        </w:rPr>
        <w:t>制定</w:t>
      </w:r>
      <w:r>
        <w:rPr>
          <w:rFonts w:hint="eastAsia" w:ascii="仿宋" w:hAnsi="仿宋" w:eastAsia="仿宋" w:cs="仿宋"/>
          <w:bCs/>
          <w:color w:val="auto"/>
          <w:highlight w:val="none"/>
          <w:lang w:val="en-US" w:eastAsia="zh-CN"/>
        </w:rPr>
        <w:t>措施方案，包括：（1）</w:t>
      </w:r>
      <w:r>
        <w:rPr>
          <w:rStyle w:val="962"/>
          <w:rFonts w:hint="eastAsia" w:ascii="仿宋" w:hAnsi="仿宋" w:eastAsia="仿宋" w:cs="仿宋"/>
          <w:color w:val="auto"/>
          <w:kern w:val="0"/>
          <w:sz w:val="24"/>
          <w:szCs w:val="24"/>
          <w:highlight w:val="none"/>
          <w:lang w:val="en-US" w:eastAsia="zh-CN" w:bidi="ar-SA"/>
        </w:rPr>
        <w:t>全面、及时、准确采集相关信息数据方案（含核实、核查）</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lang w:val="en-US" w:eastAsia="zh-CN"/>
        </w:rPr>
        <w:t>2</w:t>
      </w:r>
      <w:r>
        <w:rPr>
          <w:rFonts w:hint="eastAsia" w:ascii="仿宋" w:hAnsi="仿宋" w:eastAsia="仿宋" w:cs="仿宋"/>
          <w:bCs/>
          <w:color w:val="auto"/>
          <w:highlight w:val="none"/>
          <w:lang w:eastAsia="zh-CN"/>
        </w:rPr>
        <w:t>）</w:t>
      </w:r>
      <w:r>
        <w:rPr>
          <w:rStyle w:val="962"/>
          <w:rFonts w:hint="eastAsia" w:ascii="仿宋" w:hAnsi="仿宋" w:eastAsia="仿宋" w:cs="仿宋"/>
          <w:color w:val="auto"/>
          <w:kern w:val="0"/>
          <w:sz w:val="24"/>
          <w:szCs w:val="24"/>
          <w:highlight w:val="none"/>
          <w:lang w:val="en-US" w:eastAsia="zh-CN" w:bidi="ar-SA"/>
        </w:rPr>
        <w:t>数字城管城市快车道、河道、高架立交、桥梁隧道等区域信息采集实施方案；（3）</w:t>
      </w:r>
      <w:r>
        <w:rPr>
          <w:rStyle w:val="962"/>
          <w:rFonts w:hint="eastAsia" w:ascii="仿宋" w:hAnsi="仿宋" w:eastAsia="仿宋" w:cs="仿宋"/>
          <w:color w:val="auto"/>
          <w:kern w:val="0"/>
          <w:sz w:val="24"/>
          <w:szCs w:val="24"/>
          <w:highlight w:val="none"/>
        </w:rPr>
        <w:t>提供科学合理的网格划分方案</w:t>
      </w:r>
      <w:r>
        <w:rPr>
          <w:rStyle w:val="962"/>
          <w:rFonts w:hint="eastAsia" w:ascii="仿宋" w:hAnsi="仿宋" w:eastAsia="仿宋" w:cs="仿宋"/>
          <w:color w:val="auto"/>
          <w:kern w:val="0"/>
          <w:sz w:val="24"/>
          <w:szCs w:val="24"/>
          <w:highlight w:val="none"/>
          <w:lang w:eastAsia="zh-CN"/>
        </w:rPr>
        <w:t>；（</w:t>
      </w:r>
      <w:r>
        <w:rPr>
          <w:rStyle w:val="962"/>
          <w:rFonts w:hint="eastAsia" w:ascii="仿宋" w:hAnsi="仿宋" w:eastAsia="仿宋" w:cs="仿宋"/>
          <w:color w:val="auto"/>
          <w:kern w:val="0"/>
          <w:sz w:val="24"/>
          <w:szCs w:val="24"/>
          <w:highlight w:val="none"/>
          <w:lang w:val="en-US" w:eastAsia="zh-CN"/>
        </w:rPr>
        <w:t>4</w:t>
      </w:r>
      <w:r>
        <w:rPr>
          <w:rStyle w:val="962"/>
          <w:rFonts w:hint="eastAsia" w:ascii="仿宋" w:hAnsi="仿宋" w:eastAsia="仿宋" w:cs="仿宋"/>
          <w:color w:val="auto"/>
          <w:kern w:val="0"/>
          <w:sz w:val="24"/>
          <w:szCs w:val="24"/>
          <w:highlight w:val="none"/>
          <w:lang w:eastAsia="zh-CN"/>
        </w:rPr>
        <w:t>）</w:t>
      </w:r>
      <w:r>
        <w:rPr>
          <w:rStyle w:val="962"/>
          <w:rFonts w:hint="eastAsia" w:ascii="仿宋" w:hAnsi="仿宋" w:eastAsia="仿宋" w:cs="仿宋"/>
          <w:color w:val="auto"/>
          <w:kern w:val="0"/>
          <w:sz w:val="24"/>
          <w:szCs w:val="24"/>
          <w:highlight w:val="none"/>
        </w:rPr>
        <w:t>确保工作衔接的采集员交接</w:t>
      </w:r>
      <w:r>
        <w:rPr>
          <w:rStyle w:val="962"/>
          <w:rFonts w:hint="eastAsia" w:ascii="仿宋" w:hAnsi="仿宋" w:eastAsia="仿宋" w:cs="仿宋"/>
          <w:color w:val="auto"/>
          <w:kern w:val="0"/>
          <w:sz w:val="24"/>
          <w:szCs w:val="24"/>
          <w:highlight w:val="none"/>
          <w:lang w:val="en-US" w:eastAsia="zh-CN"/>
        </w:rPr>
        <w:t>方案；（5）</w:t>
      </w:r>
      <w:r>
        <w:rPr>
          <w:rStyle w:val="962"/>
          <w:rFonts w:hint="eastAsia" w:ascii="仿宋" w:hAnsi="仿宋" w:eastAsia="仿宋" w:cs="仿宋"/>
          <w:color w:val="auto"/>
          <w:kern w:val="0"/>
          <w:sz w:val="24"/>
          <w:szCs w:val="24"/>
          <w:highlight w:val="none"/>
        </w:rPr>
        <w:t>确保漏报、投诉等问题处置、回复、满意率均达100％的</w:t>
      </w:r>
      <w:r>
        <w:rPr>
          <w:rStyle w:val="962"/>
          <w:rFonts w:hint="eastAsia" w:ascii="仿宋" w:hAnsi="仿宋" w:eastAsia="仿宋" w:cs="仿宋"/>
          <w:color w:val="auto"/>
          <w:kern w:val="0"/>
          <w:sz w:val="24"/>
          <w:szCs w:val="24"/>
          <w:highlight w:val="none"/>
          <w:lang w:val="en-US" w:eastAsia="zh-CN"/>
        </w:rPr>
        <w:t>措施；（6）</w:t>
      </w:r>
      <w:r>
        <w:rPr>
          <w:rStyle w:val="962"/>
          <w:rFonts w:hint="eastAsia" w:ascii="仿宋" w:hAnsi="仿宋" w:eastAsia="仿宋" w:cs="仿宋"/>
          <w:color w:val="auto"/>
          <w:kern w:val="0"/>
          <w:sz w:val="24"/>
          <w:szCs w:val="24"/>
          <w:highlight w:val="none"/>
        </w:rPr>
        <w:t>落实专人或机构负责对采集员上岗、巡查、采集工作质量，实行实时监控且建立管理体系的</w:t>
      </w:r>
      <w:r>
        <w:rPr>
          <w:rStyle w:val="962"/>
          <w:rFonts w:hint="eastAsia" w:ascii="仿宋" w:hAnsi="仿宋" w:eastAsia="仿宋" w:cs="仿宋"/>
          <w:color w:val="auto"/>
          <w:kern w:val="0"/>
          <w:sz w:val="24"/>
          <w:szCs w:val="24"/>
          <w:highlight w:val="none"/>
          <w:lang w:val="en-US" w:eastAsia="zh-CN"/>
        </w:rPr>
        <w:t>措施；（7）</w:t>
      </w:r>
      <w:r>
        <w:rPr>
          <w:rStyle w:val="962"/>
          <w:rFonts w:hint="eastAsia" w:ascii="仿宋" w:hAnsi="仿宋" w:eastAsia="仿宋" w:cs="仿宋"/>
          <w:color w:val="auto"/>
          <w:kern w:val="0"/>
          <w:sz w:val="24"/>
          <w:szCs w:val="24"/>
          <w:highlight w:val="none"/>
        </w:rPr>
        <w:t>员工上岗培训方案</w:t>
      </w:r>
      <w:r>
        <w:rPr>
          <w:rStyle w:val="962"/>
          <w:rFonts w:hint="eastAsia" w:ascii="仿宋" w:hAnsi="仿宋" w:eastAsia="仿宋" w:cs="仿宋"/>
          <w:color w:val="auto"/>
          <w:kern w:val="0"/>
          <w:sz w:val="24"/>
          <w:szCs w:val="24"/>
          <w:highlight w:val="none"/>
          <w:lang w:val="en-US" w:eastAsia="zh-CN"/>
        </w:rPr>
        <w:t>,</w:t>
      </w:r>
      <w:r>
        <w:rPr>
          <w:rStyle w:val="962"/>
          <w:rFonts w:hint="eastAsia" w:ascii="仿宋" w:hAnsi="仿宋" w:eastAsia="仿宋" w:cs="仿宋"/>
          <w:color w:val="auto"/>
          <w:kern w:val="0"/>
          <w:sz w:val="24"/>
          <w:szCs w:val="24"/>
          <w:highlight w:val="none"/>
          <w:lang w:eastAsia="zh-CN"/>
        </w:rPr>
        <w:t>包括培训内容</w:t>
      </w:r>
      <w:r>
        <w:rPr>
          <w:rStyle w:val="962"/>
          <w:rFonts w:hint="eastAsia" w:ascii="仿宋" w:hAnsi="仿宋" w:eastAsia="仿宋" w:cs="仿宋"/>
          <w:color w:val="auto"/>
          <w:kern w:val="0"/>
          <w:sz w:val="24"/>
          <w:szCs w:val="24"/>
          <w:highlight w:val="none"/>
          <w:lang w:val="en-US" w:eastAsia="zh-CN"/>
        </w:rPr>
        <w:t>(</w:t>
      </w:r>
      <w:r>
        <w:rPr>
          <w:rStyle w:val="962"/>
          <w:rFonts w:hint="eastAsia" w:ascii="仿宋" w:hAnsi="仿宋" w:eastAsia="仿宋" w:cs="仿宋"/>
          <w:color w:val="auto"/>
          <w:kern w:val="0"/>
          <w:sz w:val="24"/>
          <w:szCs w:val="24"/>
          <w:highlight w:val="none"/>
          <w:lang w:eastAsia="zh-CN"/>
        </w:rPr>
        <w:t>含</w:t>
      </w:r>
      <w:r>
        <w:rPr>
          <w:rStyle w:val="962"/>
          <w:rFonts w:hint="eastAsia" w:ascii="仿宋" w:hAnsi="仿宋" w:eastAsia="仿宋" w:cs="仿宋"/>
          <w:color w:val="auto"/>
          <w:kern w:val="0"/>
          <w:sz w:val="24"/>
          <w:szCs w:val="24"/>
          <w:highlight w:val="none"/>
        </w:rPr>
        <w:t>岗位标准、专业知识、职业道德规范、应急保障</w:t>
      </w:r>
      <w:r>
        <w:rPr>
          <w:rStyle w:val="962"/>
          <w:rFonts w:hint="eastAsia" w:ascii="仿宋" w:hAnsi="仿宋" w:eastAsia="仿宋" w:cs="仿宋"/>
          <w:color w:val="auto"/>
          <w:kern w:val="0"/>
          <w:sz w:val="24"/>
          <w:szCs w:val="24"/>
          <w:highlight w:val="none"/>
          <w:lang w:eastAsia="zh-CN"/>
        </w:rPr>
        <w:t>）及针对性的培训措施；（</w:t>
      </w:r>
      <w:r>
        <w:rPr>
          <w:rStyle w:val="962"/>
          <w:rFonts w:hint="eastAsia" w:ascii="仿宋" w:hAnsi="仿宋" w:eastAsia="仿宋" w:cs="仿宋"/>
          <w:color w:val="auto"/>
          <w:kern w:val="0"/>
          <w:sz w:val="24"/>
          <w:szCs w:val="24"/>
          <w:highlight w:val="none"/>
          <w:lang w:val="en-US" w:eastAsia="zh-CN"/>
        </w:rPr>
        <w:t>8</w:t>
      </w:r>
      <w:r>
        <w:rPr>
          <w:rStyle w:val="962"/>
          <w:rFonts w:hint="eastAsia" w:ascii="仿宋" w:hAnsi="仿宋" w:eastAsia="仿宋" w:cs="仿宋"/>
          <w:color w:val="auto"/>
          <w:kern w:val="0"/>
          <w:sz w:val="24"/>
          <w:szCs w:val="24"/>
          <w:highlight w:val="none"/>
          <w:lang w:eastAsia="zh-CN"/>
        </w:rPr>
        <w:t>）</w:t>
      </w:r>
      <w:r>
        <w:rPr>
          <w:rStyle w:val="962"/>
          <w:rFonts w:hint="eastAsia" w:ascii="仿宋" w:hAnsi="仿宋" w:eastAsia="仿宋" w:cs="仿宋"/>
          <w:color w:val="auto"/>
          <w:kern w:val="0"/>
          <w:sz w:val="24"/>
          <w:szCs w:val="24"/>
          <w:highlight w:val="none"/>
        </w:rPr>
        <w:t>针对“信息采集器”管理和维护办法</w:t>
      </w:r>
      <w:r>
        <w:rPr>
          <w:rStyle w:val="962"/>
          <w:rFonts w:hint="eastAsia" w:ascii="仿宋" w:hAnsi="仿宋" w:eastAsia="仿宋" w:cs="仿宋"/>
          <w:color w:val="auto"/>
          <w:kern w:val="0"/>
          <w:sz w:val="24"/>
          <w:szCs w:val="24"/>
          <w:highlight w:val="none"/>
          <w:lang w:eastAsia="zh-CN"/>
        </w:rPr>
        <w:t>；（</w:t>
      </w:r>
      <w:r>
        <w:rPr>
          <w:rStyle w:val="962"/>
          <w:rFonts w:hint="eastAsia" w:ascii="仿宋" w:hAnsi="仿宋" w:eastAsia="仿宋" w:cs="仿宋"/>
          <w:color w:val="auto"/>
          <w:kern w:val="0"/>
          <w:sz w:val="24"/>
          <w:szCs w:val="24"/>
          <w:highlight w:val="none"/>
          <w:lang w:val="en-US" w:eastAsia="zh-CN"/>
        </w:rPr>
        <w:t>9</w:t>
      </w:r>
      <w:r>
        <w:rPr>
          <w:rStyle w:val="962"/>
          <w:rFonts w:hint="eastAsia" w:ascii="仿宋" w:hAnsi="仿宋" w:eastAsia="仿宋" w:cs="仿宋"/>
          <w:color w:val="auto"/>
          <w:kern w:val="0"/>
          <w:sz w:val="24"/>
          <w:szCs w:val="24"/>
          <w:highlight w:val="none"/>
          <w:lang w:eastAsia="zh-CN"/>
        </w:rPr>
        <w:t>）预防触碰三条高压线（防止虚假信息、防止吃拿卡要、有责投诉）的</w:t>
      </w:r>
      <w:r>
        <w:rPr>
          <w:rStyle w:val="962"/>
          <w:rFonts w:hint="eastAsia" w:ascii="仿宋" w:hAnsi="仿宋" w:eastAsia="仿宋" w:cs="仿宋"/>
          <w:color w:val="auto"/>
          <w:kern w:val="0"/>
          <w:sz w:val="24"/>
          <w:szCs w:val="24"/>
          <w:highlight w:val="none"/>
          <w:lang w:val="en-US" w:eastAsia="zh-CN"/>
        </w:rPr>
        <w:t>措施方案；（10）应急保障，含①</w:t>
      </w:r>
      <w:r>
        <w:rPr>
          <w:rStyle w:val="962"/>
          <w:rFonts w:hint="eastAsia" w:ascii="仿宋" w:hAnsi="仿宋" w:eastAsia="仿宋" w:cs="仿宋"/>
          <w:color w:val="auto"/>
          <w:kern w:val="0"/>
          <w:sz w:val="24"/>
          <w:szCs w:val="24"/>
          <w:highlight w:val="none"/>
        </w:rPr>
        <w:t>数字城管信息采集两防两抗（抗台防汛，抗雪防冻）应急保障预案</w:t>
      </w:r>
      <w:r>
        <w:rPr>
          <w:rStyle w:val="962"/>
          <w:rFonts w:hint="eastAsia" w:ascii="仿宋" w:hAnsi="仿宋" w:eastAsia="仿宋" w:cs="仿宋"/>
          <w:color w:val="auto"/>
          <w:kern w:val="0"/>
          <w:sz w:val="24"/>
          <w:szCs w:val="24"/>
          <w:highlight w:val="none"/>
          <w:lang w:eastAsia="zh-CN"/>
        </w:rPr>
        <w:t>；②</w:t>
      </w:r>
      <w:r>
        <w:rPr>
          <w:rStyle w:val="962"/>
          <w:rFonts w:hint="eastAsia" w:ascii="仿宋" w:hAnsi="仿宋" w:eastAsia="仿宋" w:cs="仿宋"/>
          <w:color w:val="auto"/>
          <w:kern w:val="0"/>
          <w:sz w:val="24"/>
          <w:szCs w:val="24"/>
          <w:highlight w:val="none"/>
        </w:rPr>
        <w:t>城市管理重点问题信息采集保障方案</w:t>
      </w:r>
      <w:r>
        <w:rPr>
          <w:rStyle w:val="962"/>
          <w:rFonts w:hint="eastAsia" w:ascii="仿宋" w:hAnsi="仿宋" w:eastAsia="仿宋" w:cs="仿宋"/>
          <w:color w:val="auto"/>
          <w:kern w:val="0"/>
          <w:sz w:val="24"/>
          <w:szCs w:val="24"/>
          <w:highlight w:val="none"/>
          <w:lang w:eastAsia="zh-CN"/>
        </w:rPr>
        <w:t>；③数字城管信息采集重大活动任务保障预案；</w:t>
      </w:r>
      <w:r>
        <w:rPr>
          <w:rStyle w:val="962"/>
          <w:rFonts w:hint="eastAsia" w:ascii="仿宋" w:hAnsi="仿宋" w:eastAsia="仿宋" w:cs="仿宋"/>
          <w:color w:val="auto"/>
          <w:kern w:val="0"/>
          <w:sz w:val="24"/>
          <w:szCs w:val="24"/>
          <w:highlight w:val="none"/>
          <w:lang w:val="zh-CN"/>
        </w:rPr>
        <w:t>④</w:t>
      </w:r>
      <w:r>
        <w:rPr>
          <w:rStyle w:val="962"/>
          <w:rFonts w:hint="eastAsia" w:ascii="仿宋" w:hAnsi="仿宋" w:eastAsia="仿宋" w:cs="仿宋"/>
          <w:color w:val="auto"/>
          <w:kern w:val="0"/>
          <w:sz w:val="24"/>
          <w:szCs w:val="24"/>
          <w:highlight w:val="none"/>
          <w:lang w:eastAsia="zh-CN"/>
        </w:rPr>
        <w:t>公共危机应急预案；（</w:t>
      </w:r>
      <w:r>
        <w:rPr>
          <w:rStyle w:val="962"/>
          <w:rFonts w:hint="eastAsia" w:ascii="仿宋" w:hAnsi="仿宋" w:eastAsia="仿宋" w:cs="仿宋"/>
          <w:color w:val="auto"/>
          <w:kern w:val="0"/>
          <w:sz w:val="24"/>
          <w:szCs w:val="24"/>
          <w:highlight w:val="none"/>
          <w:lang w:val="en-US" w:eastAsia="zh-CN"/>
        </w:rPr>
        <w:t>11</w:t>
      </w:r>
      <w:r>
        <w:rPr>
          <w:rStyle w:val="962"/>
          <w:rFonts w:hint="eastAsia" w:ascii="仿宋" w:hAnsi="仿宋" w:eastAsia="仿宋" w:cs="仿宋"/>
          <w:color w:val="auto"/>
          <w:kern w:val="0"/>
          <w:sz w:val="24"/>
          <w:szCs w:val="24"/>
          <w:highlight w:val="none"/>
          <w:lang w:eastAsia="zh-CN"/>
        </w:rPr>
        <w:t>）</w:t>
      </w:r>
      <w:r>
        <w:rPr>
          <w:rStyle w:val="962"/>
          <w:rFonts w:hint="eastAsia" w:ascii="仿宋" w:hAnsi="仿宋" w:eastAsia="仿宋" w:cs="仿宋"/>
          <w:color w:val="auto"/>
          <w:kern w:val="0"/>
          <w:sz w:val="24"/>
          <w:szCs w:val="24"/>
          <w:highlight w:val="none"/>
          <w:lang w:val="en-US" w:eastAsia="zh-CN"/>
        </w:rPr>
        <w:t>制定完善的管理制度，包括①</w:t>
      </w:r>
      <w:r>
        <w:rPr>
          <w:rStyle w:val="962"/>
          <w:rFonts w:hint="eastAsia" w:ascii="仿宋" w:hAnsi="仿宋" w:eastAsia="仿宋" w:cs="仿宋"/>
          <w:color w:val="auto"/>
          <w:kern w:val="0"/>
          <w:sz w:val="24"/>
          <w:szCs w:val="24"/>
          <w:highlight w:val="none"/>
          <w:lang w:val="zh-CN"/>
        </w:rPr>
        <w:t>制定层级管理制度，保证管理、指挥、质量控制要求在组织架构上实现；</w:t>
      </w:r>
      <w:r>
        <w:rPr>
          <w:rStyle w:val="962"/>
          <w:rFonts w:hint="eastAsia" w:ascii="仿宋" w:hAnsi="仿宋" w:eastAsia="仿宋" w:cs="仿宋"/>
          <w:color w:val="auto"/>
          <w:kern w:val="0"/>
          <w:sz w:val="24"/>
          <w:szCs w:val="24"/>
          <w:highlight w:val="none"/>
          <w:lang w:eastAsia="zh-CN"/>
        </w:rPr>
        <w:t>②</w:t>
      </w:r>
      <w:r>
        <w:rPr>
          <w:rStyle w:val="962"/>
          <w:rFonts w:hint="eastAsia" w:ascii="仿宋" w:hAnsi="仿宋" w:eastAsia="仿宋" w:cs="仿宋"/>
          <w:color w:val="auto"/>
          <w:kern w:val="0"/>
          <w:sz w:val="24"/>
          <w:szCs w:val="24"/>
          <w:highlight w:val="none"/>
          <w:lang w:val="zh-CN"/>
        </w:rPr>
        <w:t>建立规范的人力资源管理体系；</w:t>
      </w:r>
      <w:r>
        <w:rPr>
          <w:rStyle w:val="962"/>
          <w:rFonts w:hint="eastAsia" w:ascii="仿宋" w:hAnsi="仿宋" w:eastAsia="仿宋" w:cs="仿宋"/>
          <w:color w:val="auto"/>
          <w:kern w:val="0"/>
          <w:sz w:val="24"/>
          <w:szCs w:val="24"/>
          <w:highlight w:val="none"/>
          <w:lang w:eastAsia="zh-CN"/>
        </w:rPr>
        <w:t>③</w:t>
      </w:r>
      <w:r>
        <w:rPr>
          <w:rStyle w:val="962"/>
          <w:rFonts w:hint="eastAsia" w:ascii="仿宋" w:hAnsi="仿宋" w:eastAsia="仿宋" w:cs="仿宋"/>
          <w:color w:val="auto"/>
          <w:kern w:val="0"/>
          <w:sz w:val="24"/>
          <w:szCs w:val="24"/>
          <w:highlight w:val="none"/>
          <w:lang w:val="zh-CN"/>
        </w:rPr>
        <w:t>制定纪律、廉政、安全、宣传、档案管理等内部管理制度；④具有明确的分工和职责要求并对应制定考核办法；⑤实行末位淘汰等奖优罚劣措施。</w:t>
      </w:r>
    </w:p>
    <w:p>
      <w:pPr>
        <w:pStyle w:val="24"/>
        <w:rPr>
          <w:rFonts w:ascii="仿宋" w:hAnsi="仿宋" w:eastAsia="仿宋" w:cs="仿宋"/>
          <w:bCs/>
          <w:color w:val="auto"/>
          <w:highlight w:val="none"/>
        </w:rPr>
      </w:pPr>
      <w:r>
        <w:rPr>
          <w:rFonts w:hint="eastAsia" w:ascii="仿宋" w:hAnsi="仿宋" w:eastAsia="仿宋" w:cs="仿宋"/>
          <w:bCs/>
          <w:color w:val="auto"/>
          <w:highlight w:val="none"/>
        </w:rPr>
        <w:t>3、针对</w:t>
      </w:r>
      <w:r>
        <w:rPr>
          <w:rFonts w:hint="eastAsia" w:ascii="仿宋" w:hAnsi="仿宋" w:eastAsia="仿宋" w:cs="仿宋"/>
          <w:bCs/>
          <w:color w:val="auto"/>
          <w:highlight w:val="none"/>
          <w:lang w:val="en-US" w:eastAsia="zh-CN"/>
        </w:rPr>
        <w:t>数字城管</w:t>
      </w:r>
      <w:r>
        <w:rPr>
          <w:rFonts w:hint="eastAsia" w:ascii="仿宋" w:hAnsi="仿宋" w:eastAsia="仿宋" w:cs="仿宋"/>
          <w:bCs/>
          <w:color w:val="auto"/>
          <w:highlight w:val="none"/>
        </w:rPr>
        <w:t>性质及特点，投标人应能提供技术重点、难点的分析，并提供应对措施，相应的咨询服务。</w:t>
      </w:r>
    </w:p>
    <w:p>
      <w:pPr>
        <w:pStyle w:val="24"/>
        <w:rPr>
          <w:rFonts w:hint="eastAsia" w:ascii="仿宋" w:hAnsi="仿宋" w:eastAsia="仿宋" w:cs="仿宋"/>
          <w:bCs/>
          <w:color w:val="auto"/>
          <w:highlight w:val="none"/>
        </w:rPr>
      </w:pPr>
      <w:r>
        <w:rPr>
          <w:rFonts w:hint="eastAsia" w:ascii="仿宋" w:hAnsi="仿宋" w:eastAsia="仿宋" w:cs="仿宋"/>
          <w:bCs/>
          <w:color w:val="auto"/>
          <w:highlight w:val="none"/>
        </w:rPr>
        <w:t>4、</w:t>
      </w:r>
      <w:r>
        <w:rPr>
          <w:rFonts w:hint="eastAsia" w:ascii="仿宋" w:hAnsi="仿宋" w:eastAsia="仿宋" w:cs="仿宋"/>
          <w:bCs/>
          <w:color w:val="auto"/>
          <w:highlight w:val="none"/>
          <w:lang w:val="en-US" w:eastAsia="zh-CN"/>
        </w:rPr>
        <w:t>提供队伍组建方案</w:t>
      </w:r>
      <w:r>
        <w:rPr>
          <w:rFonts w:hint="eastAsia" w:ascii="仿宋" w:hAnsi="仿宋" w:eastAsia="仿宋" w:cs="仿宋"/>
          <w:bCs/>
          <w:color w:val="auto"/>
          <w:highlight w:val="none"/>
        </w:rPr>
        <w:t>。</w:t>
      </w:r>
    </w:p>
    <w:p>
      <w:pPr>
        <w:pStyle w:val="2"/>
        <w:spacing w:before="120" w:after="120" w:line="360" w:lineRule="auto"/>
        <w:rPr>
          <w:rFonts w:ascii="仿宋" w:hAnsi="仿宋" w:eastAsia="仿宋" w:cs="仿宋"/>
          <w:color w:val="auto"/>
          <w:sz w:val="24"/>
          <w:szCs w:val="24"/>
          <w:highlight w:val="none"/>
        </w:rPr>
      </w:pPr>
      <w:bookmarkStart w:id="52" w:name="_Toc11456"/>
      <w:bookmarkStart w:id="53" w:name="_Toc24129"/>
      <w:r>
        <w:rPr>
          <w:rFonts w:hint="eastAsia" w:ascii="仿宋" w:eastAsia="仿宋" w:cs="仿宋"/>
          <w:color w:val="auto"/>
          <w:sz w:val="24"/>
          <w:szCs w:val="24"/>
          <w:highlight w:val="none"/>
          <w:lang w:val="en-US" w:eastAsia="zh-CN"/>
        </w:rPr>
        <w:t>十二</w:t>
      </w:r>
      <w:r>
        <w:rPr>
          <w:rFonts w:hint="eastAsia" w:ascii="仿宋" w:hAnsi="仿宋" w:eastAsia="仿宋" w:cs="仿宋"/>
          <w:color w:val="auto"/>
          <w:sz w:val="24"/>
          <w:szCs w:val="24"/>
          <w:highlight w:val="none"/>
        </w:rPr>
        <w:t>、其他说明</w:t>
      </w:r>
      <w:bookmarkEnd w:id="52"/>
      <w:bookmarkEnd w:id="53"/>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1、投标人提供的服务、证明材料等实际情况与投标文件中所承诺或响应内容不符合，可视为虚假应标及欺诈行为，并追究相应责任。</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未尽事宜可进一步参阅合同条款、</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文件其他内容</w:t>
      </w:r>
      <w:r>
        <w:rPr>
          <w:rFonts w:hint="eastAsia" w:ascii="仿宋" w:hAnsi="仿宋" w:eastAsia="仿宋" w:cs="仿宋"/>
          <w:color w:val="auto"/>
          <w:sz w:val="24"/>
          <w:highlight w:val="none"/>
          <w:lang w:val="zh-CN"/>
        </w:rPr>
        <w:t>。</w:t>
      </w:r>
    </w:p>
    <w:p>
      <w:pPr>
        <w:rPr>
          <w:rFonts w:hint="eastAsia"/>
          <w:color w:val="auto"/>
          <w:highlight w:val="none"/>
          <w:lang w:val="en-US" w:eastAsia="zh-CN"/>
        </w:rPr>
        <w:sectPr>
          <w:headerReference r:id="rId8" w:type="default"/>
          <w:footerReference r:id="rId9" w:type="default"/>
          <w:pgSz w:w="11850" w:h="16783"/>
          <w:pgMar w:top="1247" w:right="1588" w:bottom="1089" w:left="1588" w:header="851" w:footer="992" w:gutter="0"/>
          <w:pgNumType w:fmt="decimal"/>
          <w:cols w:space="720" w:num="1"/>
          <w:docGrid w:linePitch="312" w:charSpace="0"/>
        </w:sectPr>
      </w:pPr>
    </w:p>
    <w:p>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54" w:name="_Toc184310299"/>
      <w:bookmarkEnd w:id="54"/>
      <w:bookmarkStart w:id="55" w:name="_Toc184313244"/>
      <w:bookmarkEnd w:id="55"/>
      <w:bookmarkStart w:id="56" w:name="_Toc184308051"/>
      <w:bookmarkEnd w:id="56"/>
      <w:bookmarkStart w:id="57" w:name="_Toc184313275"/>
      <w:bookmarkEnd w:id="57"/>
      <w:bookmarkStart w:id="58" w:name="_Toc184313308"/>
      <w:bookmarkEnd w:id="58"/>
      <w:bookmarkStart w:id="59" w:name="_Toc184312133"/>
      <w:bookmarkEnd w:id="59"/>
      <w:bookmarkStart w:id="60" w:name="_Toc184310330"/>
      <w:bookmarkEnd w:id="60"/>
      <w:bookmarkStart w:id="61" w:name="_Toc184314465"/>
      <w:bookmarkEnd w:id="61"/>
      <w:bookmarkStart w:id="62" w:name="_Toc184310285"/>
      <w:bookmarkEnd w:id="62"/>
      <w:bookmarkStart w:id="63" w:name="_Toc184313309"/>
      <w:bookmarkEnd w:id="63"/>
      <w:bookmarkStart w:id="64" w:name="_Toc184312075"/>
      <w:bookmarkEnd w:id="64"/>
      <w:bookmarkStart w:id="65" w:name="_Toc184308069"/>
      <w:bookmarkEnd w:id="65"/>
      <w:bookmarkStart w:id="66" w:name="_Toc184310319"/>
      <w:bookmarkEnd w:id="66"/>
      <w:bookmarkStart w:id="67" w:name="_Toc184310334"/>
      <w:bookmarkEnd w:id="67"/>
      <w:bookmarkStart w:id="68" w:name="_Toc184314444"/>
      <w:bookmarkEnd w:id="68"/>
      <w:bookmarkStart w:id="69" w:name="_Toc184310278"/>
      <w:bookmarkEnd w:id="69"/>
      <w:bookmarkStart w:id="70" w:name="_Toc184308067"/>
      <w:bookmarkEnd w:id="70"/>
      <w:bookmarkStart w:id="71" w:name="_Toc184313286"/>
      <w:bookmarkEnd w:id="71"/>
      <w:bookmarkStart w:id="72" w:name="_Toc184314475"/>
      <w:bookmarkEnd w:id="72"/>
      <w:bookmarkStart w:id="73" w:name="_Toc184314471"/>
      <w:bookmarkEnd w:id="73"/>
      <w:bookmarkStart w:id="74" w:name="_Toc184310323"/>
      <w:bookmarkEnd w:id="74"/>
      <w:bookmarkStart w:id="75" w:name="_Toc184308081"/>
      <w:bookmarkEnd w:id="75"/>
      <w:bookmarkStart w:id="76" w:name="_Toc184314431"/>
      <w:bookmarkEnd w:id="76"/>
      <w:bookmarkStart w:id="77" w:name="_Toc184313249"/>
      <w:bookmarkEnd w:id="77"/>
      <w:bookmarkStart w:id="78" w:name="_Toc184314476"/>
      <w:bookmarkEnd w:id="78"/>
      <w:bookmarkStart w:id="79" w:name="_Toc184314413"/>
      <w:bookmarkEnd w:id="79"/>
      <w:bookmarkStart w:id="80" w:name="_Toc184310321"/>
      <w:bookmarkEnd w:id="80"/>
      <w:bookmarkStart w:id="81" w:name="_Toc184314421"/>
      <w:bookmarkEnd w:id="81"/>
      <w:bookmarkStart w:id="82" w:name="_Toc184313238"/>
      <w:bookmarkEnd w:id="82"/>
      <w:bookmarkStart w:id="83" w:name="_Toc184310312"/>
      <w:bookmarkEnd w:id="83"/>
      <w:bookmarkStart w:id="84" w:name="_Toc184314472"/>
      <w:bookmarkEnd w:id="84"/>
      <w:bookmarkStart w:id="85" w:name="_Toc184312103"/>
      <w:bookmarkEnd w:id="85"/>
      <w:bookmarkStart w:id="86" w:name="_Toc184308103"/>
      <w:bookmarkEnd w:id="86"/>
      <w:bookmarkStart w:id="87" w:name="_Toc184308063"/>
      <w:bookmarkEnd w:id="87"/>
      <w:bookmarkStart w:id="88" w:name="_Toc184314412"/>
      <w:bookmarkEnd w:id="88"/>
      <w:bookmarkStart w:id="89" w:name="_Toc184313239"/>
      <w:bookmarkEnd w:id="89"/>
      <w:bookmarkStart w:id="90" w:name="_Toc184313246"/>
      <w:bookmarkEnd w:id="90"/>
      <w:bookmarkStart w:id="91" w:name="_Toc184313306"/>
      <w:bookmarkEnd w:id="91"/>
      <w:bookmarkStart w:id="92" w:name="_Toc184312098"/>
      <w:bookmarkEnd w:id="92"/>
      <w:bookmarkStart w:id="93" w:name="_Toc184314434"/>
      <w:bookmarkEnd w:id="93"/>
      <w:bookmarkStart w:id="94" w:name="_Toc184313302"/>
      <w:bookmarkEnd w:id="94"/>
      <w:bookmarkStart w:id="95" w:name="_Toc184312114"/>
      <w:bookmarkEnd w:id="95"/>
      <w:bookmarkStart w:id="96" w:name="_Toc184312074"/>
      <w:bookmarkEnd w:id="96"/>
      <w:bookmarkStart w:id="97" w:name="_Toc184314441"/>
      <w:bookmarkEnd w:id="97"/>
      <w:bookmarkStart w:id="98" w:name="_Toc184310339"/>
      <w:bookmarkEnd w:id="98"/>
      <w:bookmarkStart w:id="99" w:name="_Toc184312112"/>
      <w:bookmarkEnd w:id="99"/>
      <w:bookmarkStart w:id="100" w:name="_Toc184312127"/>
      <w:bookmarkEnd w:id="100"/>
      <w:bookmarkStart w:id="101" w:name="_Toc184310310"/>
      <w:bookmarkEnd w:id="101"/>
      <w:bookmarkStart w:id="102" w:name="_Toc184310287"/>
      <w:bookmarkEnd w:id="102"/>
      <w:bookmarkStart w:id="103" w:name="_Toc184310308"/>
      <w:bookmarkEnd w:id="103"/>
      <w:bookmarkStart w:id="104" w:name="_Toc184308072"/>
      <w:bookmarkEnd w:id="104"/>
      <w:bookmarkStart w:id="105" w:name="_Toc184314456"/>
      <w:bookmarkEnd w:id="105"/>
      <w:bookmarkStart w:id="106" w:name="_Toc184312090"/>
      <w:bookmarkEnd w:id="106"/>
      <w:bookmarkStart w:id="107" w:name="_Toc184313272"/>
      <w:bookmarkEnd w:id="107"/>
      <w:bookmarkStart w:id="108" w:name="_Toc184313247"/>
      <w:bookmarkEnd w:id="108"/>
      <w:bookmarkStart w:id="109" w:name="_Toc184310291"/>
      <w:bookmarkEnd w:id="109"/>
      <w:bookmarkStart w:id="110" w:name="_Toc184308057"/>
      <w:bookmarkEnd w:id="110"/>
      <w:bookmarkStart w:id="111" w:name="_Toc184308049"/>
      <w:bookmarkEnd w:id="111"/>
      <w:bookmarkStart w:id="112" w:name="_Toc184310337"/>
      <w:bookmarkEnd w:id="112"/>
      <w:bookmarkStart w:id="113" w:name="_Toc184308037"/>
      <w:bookmarkEnd w:id="113"/>
      <w:bookmarkStart w:id="114" w:name="_Toc184310340"/>
      <w:bookmarkEnd w:id="114"/>
      <w:bookmarkStart w:id="115" w:name="_Toc184314474"/>
      <w:bookmarkEnd w:id="115"/>
      <w:bookmarkStart w:id="116" w:name="_Toc184314480"/>
      <w:bookmarkEnd w:id="116"/>
      <w:bookmarkStart w:id="117" w:name="_Toc184314416"/>
      <w:bookmarkEnd w:id="117"/>
      <w:bookmarkStart w:id="118" w:name="_Toc184313270"/>
      <w:bookmarkEnd w:id="118"/>
      <w:bookmarkStart w:id="119" w:name="_Toc184314447"/>
      <w:bookmarkEnd w:id="119"/>
      <w:bookmarkStart w:id="120" w:name="_Toc184314415"/>
      <w:bookmarkEnd w:id="120"/>
      <w:bookmarkStart w:id="121" w:name="_Toc184310329"/>
      <w:bookmarkEnd w:id="121"/>
      <w:bookmarkStart w:id="122" w:name="_Toc184308084"/>
      <w:bookmarkEnd w:id="122"/>
      <w:bookmarkStart w:id="123" w:name="_Toc184313283"/>
      <w:bookmarkEnd w:id="123"/>
      <w:bookmarkStart w:id="124" w:name="_Toc184313269"/>
      <w:bookmarkEnd w:id="124"/>
      <w:bookmarkStart w:id="125" w:name="_Toc184310273"/>
      <w:bookmarkEnd w:id="125"/>
      <w:bookmarkStart w:id="126" w:name="_Toc184308071"/>
      <w:bookmarkEnd w:id="126"/>
      <w:bookmarkStart w:id="127" w:name="_Toc184313260"/>
      <w:bookmarkEnd w:id="127"/>
      <w:bookmarkStart w:id="128" w:name="_Toc184314462"/>
      <w:bookmarkEnd w:id="128"/>
      <w:bookmarkStart w:id="129" w:name="_Toc184314425"/>
      <w:bookmarkEnd w:id="129"/>
      <w:bookmarkStart w:id="130" w:name="_Toc184313254"/>
      <w:bookmarkEnd w:id="130"/>
      <w:bookmarkStart w:id="131" w:name="_Toc184310317"/>
      <w:bookmarkEnd w:id="131"/>
      <w:bookmarkStart w:id="132" w:name="_Toc184313259"/>
      <w:bookmarkEnd w:id="132"/>
      <w:bookmarkStart w:id="133" w:name="_Toc184313298"/>
      <w:bookmarkEnd w:id="133"/>
      <w:bookmarkStart w:id="134" w:name="_Toc184313289"/>
      <w:bookmarkEnd w:id="134"/>
      <w:bookmarkStart w:id="135" w:name="_Toc184314481"/>
      <w:bookmarkEnd w:id="135"/>
      <w:bookmarkStart w:id="136" w:name="_Toc184314417"/>
      <w:bookmarkEnd w:id="136"/>
      <w:bookmarkStart w:id="137" w:name="_Toc184312139"/>
      <w:bookmarkEnd w:id="137"/>
      <w:bookmarkStart w:id="138" w:name="_Toc184308065"/>
      <w:bookmarkEnd w:id="138"/>
      <w:bookmarkStart w:id="139" w:name="_Toc184313291"/>
      <w:bookmarkEnd w:id="139"/>
      <w:bookmarkStart w:id="140" w:name="_Toc184313251"/>
      <w:bookmarkEnd w:id="140"/>
      <w:bookmarkStart w:id="141" w:name="_Toc184308054"/>
      <w:bookmarkEnd w:id="141"/>
      <w:bookmarkStart w:id="142" w:name="_Toc184310301"/>
      <w:bookmarkEnd w:id="142"/>
      <w:bookmarkStart w:id="143" w:name="_Toc184314450"/>
      <w:bookmarkEnd w:id="143"/>
      <w:bookmarkStart w:id="144" w:name="_Toc184310272"/>
      <w:bookmarkEnd w:id="144"/>
      <w:bookmarkStart w:id="145" w:name="_Toc184310328"/>
      <w:bookmarkEnd w:id="145"/>
      <w:bookmarkStart w:id="146" w:name="_Toc184308094"/>
      <w:bookmarkEnd w:id="146"/>
      <w:bookmarkStart w:id="147" w:name="_Toc184312094"/>
      <w:bookmarkEnd w:id="147"/>
      <w:bookmarkStart w:id="148" w:name="_Toc184310295"/>
      <w:bookmarkEnd w:id="148"/>
      <w:bookmarkStart w:id="149" w:name="_Toc184308059"/>
      <w:bookmarkEnd w:id="149"/>
      <w:bookmarkStart w:id="150" w:name="_Toc184308104"/>
      <w:bookmarkEnd w:id="150"/>
      <w:bookmarkStart w:id="151" w:name="_Toc184308042"/>
      <w:bookmarkEnd w:id="151"/>
      <w:bookmarkStart w:id="152" w:name="_Toc184314432"/>
      <w:bookmarkEnd w:id="152"/>
      <w:bookmarkStart w:id="153" w:name="_Toc184308096"/>
      <w:bookmarkEnd w:id="153"/>
      <w:bookmarkStart w:id="154" w:name="_Toc184308088"/>
      <w:bookmarkEnd w:id="154"/>
      <w:bookmarkStart w:id="155" w:name="_Toc184312071"/>
      <w:bookmarkEnd w:id="155"/>
      <w:bookmarkStart w:id="156" w:name="_Toc184312131"/>
      <w:bookmarkEnd w:id="156"/>
      <w:bookmarkStart w:id="157" w:name="_Toc184310282"/>
      <w:bookmarkEnd w:id="157"/>
      <w:bookmarkStart w:id="158" w:name="_Toc184310318"/>
      <w:bookmarkEnd w:id="158"/>
      <w:bookmarkStart w:id="159" w:name="_Toc184308092"/>
      <w:bookmarkEnd w:id="159"/>
      <w:bookmarkStart w:id="160" w:name="_Toc184308038"/>
      <w:bookmarkEnd w:id="160"/>
      <w:bookmarkStart w:id="161" w:name="_Toc184313240"/>
      <w:bookmarkEnd w:id="161"/>
      <w:bookmarkStart w:id="162" w:name="_Toc184313252"/>
      <w:bookmarkEnd w:id="162"/>
      <w:bookmarkStart w:id="163" w:name="_Toc184312124"/>
      <w:bookmarkEnd w:id="163"/>
      <w:bookmarkStart w:id="164" w:name="_Toc184313258"/>
      <w:bookmarkEnd w:id="164"/>
      <w:bookmarkStart w:id="165" w:name="_Toc184312135"/>
      <w:bookmarkEnd w:id="165"/>
      <w:bookmarkStart w:id="166" w:name="_Toc184310305"/>
      <w:bookmarkEnd w:id="166"/>
      <w:bookmarkStart w:id="167" w:name="_Toc184310280"/>
      <w:bookmarkEnd w:id="167"/>
      <w:bookmarkStart w:id="168" w:name="_Toc184314433"/>
      <w:bookmarkEnd w:id="168"/>
      <w:bookmarkStart w:id="169" w:name="_Toc184314414"/>
      <w:bookmarkEnd w:id="169"/>
      <w:bookmarkStart w:id="170" w:name="_Toc184310336"/>
      <w:bookmarkEnd w:id="170"/>
      <w:bookmarkStart w:id="171" w:name="_Toc184310294"/>
      <w:bookmarkEnd w:id="171"/>
      <w:bookmarkStart w:id="172" w:name="_Toc184313256"/>
      <w:bookmarkEnd w:id="172"/>
      <w:bookmarkStart w:id="173" w:name="_Toc184310284"/>
      <w:bookmarkEnd w:id="173"/>
      <w:bookmarkStart w:id="174" w:name="_Toc184314424"/>
      <w:bookmarkEnd w:id="174"/>
      <w:bookmarkStart w:id="175" w:name="_Toc184312129"/>
      <w:bookmarkEnd w:id="175"/>
      <w:bookmarkStart w:id="176" w:name="_Toc184312110"/>
      <w:bookmarkEnd w:id="176"/>
      <w:bookmarkStart w:id="177" w:name="_Toc184308107"/>
      <w:bookmarkEnd w:id="177"/>
      <w:bookmarkStart w:id="178" w:name="_Toc184314418"/>
      <w:bookmarkEnd w:id="178"/>
      <w:bookmarkStart w:id="179" w:name="_Toc184314463"/>
      <w:bookmarkEnd w:id="179"/>
      <w:bookmarkStart w:id="180" w:name="_Toc184312125"/>
      <w:bookmarkEnd w:id="180"/>
      <w:bookmarkStart w:id="181" w:name="_Toc184308076"/>
      <w:bookmarkEnd w:id="181"/>
      <w:bookmarkStart w:id="182" w:name="_Toc184313261"/>
      <w:bookmarkEnd w:id="182"/>
      <w:bookmarkStart w:id="183" w:name="_Toc184312121"/>
      <w:bookmarkEnd w:id="183"/>
      <w:bookmarkStart w:id="184" w:name="_Toc184310286"/>
      <w:bookmarkEnd w:id="184"/>
      <w:bookmarkStart w:id="185" w:name="_Toc184310293"/>
      <w:bookmarkEnd w:id="185"/>
      <w:bookmarkStart w:id="186" w:name="_Toc184314435"/>
      <w:bookmarkEnd w:id="186"/>
      <w:bookmarkStart w:id="187" w:name="_Toc184308098"/>
      <w:bookmarkEnd w:id="187"/>
      <w:bookmarkStart w:id="188" w:name="_Toc184310314"/>
      <w:bookmarkEnd w:id="188"/>
      <w:bookmarkStart w:id="189" w:name="_Toc184312123"/>
      <w:bookmarkEnd w:id="189"/>
      <w:bookmarkStart w:id="190" w:name="_Toc184312069"/>
      <w:bookmarkEnd w:id="190"/>
      <w:bookmarkStart w:id="191" w:name="_Toc184314468"/>
      <w:bookmarkEnd w:id="191"/>
      <w:bookmarkStart w:id="192" w:name="_Toc184314419"/>
      <w:bookmarkEnd w:id="192"/>
      <w:bookmarkStart w:id="193" w:name="_Toc184310341"/>
      <w:bookmarkEnd w:id="193"/>
      <w:bookmarkStart w:id="194" w:name="_Toc184308083"/>
      <w:bookmarkEnd w:id="194"/>
      <w:bookmarkStart w:id="195" w:name="_Toc184310342"/>
      <w:bookmarkEnd w:id="195"/>
      <w:bookmarkStart w:id="196" w:name="_Toc184308070"/>
      <w:bookmarkEnd w:id="196"/>
      <w:bookmarkStart w:id="197" w:name="_Toc184310335"/>
      <w:bookmarkEnd w:id="197"/>
      <w:bookmarkStart w:id="198" w:name="_Toc184310288"/>
      <w:bookmarkEnd w:id="198"/>
      <w:bookmarkStart w:id="199" w:name="_Toc184313245"/>
      <w:bookmarkEnd w:id="199"/>
      <w:bookmarkStart w:id="200" w:name="_Toc184312137"/>
      <w:bookmarkEnd w:id="200"/>
      <w:bookmarkStart w:id="201" w:name="_Toc184312095"/>
      <w:bookmarkEnd w:id="201"/>
      <w:bookmarkStart w:id="202" w:name="_Toc184312136"/>
      <w:bookmarkEnd w:id="202"/>
      <w:bookmarkStart w:id="203" w:name="_Toc184310298"/>
      <w:bookmarkEnd w:id="203"/>
      <w:bookmarkStart w:id="204" w:name="_Toc184312126"/>
      <w:bookmarkEnd w:id="204"/>
      <w:bookmarkStart w:id="205" w:name="_Toc184314443"/>
      <w:bookmarkEnd w:id="205"/>
      <w:bookmarkStart w:id="206" w:name="_Toc184312079"/>
      <w:bookmarkEnd w:id="206"/>
      <w:bookmarkStart w:id="207" w:name="_Toc184314451"/>
      <w:bookmarkEnd w:id="207"/>
      <w:bookmarkStart w:id="208" w:name="_Toc184310331"/>
      <w:bookmarkEnd w:id="208"/>
      <w:bookmarkStart w:id="209" w:name="_Toc184312104"/>
      <w:bookmarkEnd w:id="209"/>
      <w:bookmarkStart w:id="210" w:name="_Toc184312101"/>
      <w:bookmarkEnd w:id="210"/>
      <w:bookmarkStart w:id="211" w:name="_Toc184308060"/>
      <w:bookmarkEnd w:id="211"/>
      <w:bookmarkStart w:id="212" w:name="_Toc184313296"/>
      <w:bookmarkEnd w:id="212"/>
      <w:bookmarkStart w:id="213" w:name="_Toc184314470"/>
      <w:bookmarkEnd w:id="213"/>
      <w:bookmarkStart w:id="214" w:name="_Toc184313282"/>
      <w:bookmarkEnd w:id="214"/>
      <w:bookmarkStart w:id="215" w:name="_Toc184310279"/>
      <w:bookmarkEnd w:id="215"/>
      <w:bookmarkStart w:id="216" w:name="_Toc184313287"/>
      <w:bookmarkEnd w:id="216"/>
      <w:bookmarkStart w:id="217" w:name="_Toc184312087"/>
      <w:bookmarkEnd w:id="217"/>
      <w:bookmarkStart w:id="218" w:name="_Toc184312134"/>
      <w:bookmarkEnd w:id="218"/>
      <w:bookmarkStart w:id="219" w:name="_Toc184312115"/>
      <w:bookmarkEnd w:id="219"/>
      <w:bookmarkStart w:id="220" w:name="_Toc184308053"/>
      <w:bookmarkEnd w:id="220"/>
      <w:bookmarkStart w:id="221" w:name="_Toc184312120"/>
      <w:bookmarkEnd w:id="221"/>
      <w:bookmarkStart w:id="222" w:name="_Toc184308055"/>
      <w:bookmarkEnd w:id="222"/>
      <w:bookmarkStart w:id="223" w:name="_Toc184314430"/>
      <w:bookmarkEnd w:id="223"/>
      <w:bookmarkStart w:id="224" w:name="_Toc184308061"/>
      <w:bookmarkEnd w:id="224"/>
      <w:bookmarkStart w:id="225" w:name="_Toc184312091"/>
      <w:bookmarkEnd w:id="225"/>
      <w:bookmarkStart w:id="226" w:name="_Toc184308101"/>
      <w:bookmarkEnd w:id="226"/>
      <w:bookmarkStart w:id="227" w:name="_Toc184310296"/>
      <w:bookmarkEnd w:id="227"/>
      <w:bookmarkStart w:id="228" w:name="_Toc184308089"/>
      <w:bookmarkEnd w:id="228"/>
      <w:bookmarkStart w:id="229" w:name="_Toc184312113"/>
      <w:bookmarkEnd w:id="229"/>
      <w:bookmarkStart w:id="230" w:name="_Toc184313295"/>
      <w:bookmarkEnd w:id="230"/>
      <w:bookmarkStart w:id="231" w:name="_Toc184314464"/>
      <w:bookmarkEnd w:id="231"/>
      <w:bookmarkStart w:id="232" w:name="_Toc184314459"/>
      <w:bookmarkEnd w:id="232"/>
      <w:bookmarkStart w:id="233" w:name="_Toc184313271"/>
      <w:bookmarkEnd w:id="233"/>
      <w:bookmarkStart w:id="234" w:name="_Toc184313284"/>
      <w:bookmarkEnd w:id="234"/>
      <w:bookmarkStart w:id="235" w:name="_Toc184310292"/>
      <w:bookmarkEnd w:id="235"/>
      <w:bookmarkStart w:id="236" w:name="_Toc184313273"/>
      <w:bookmarkEnd w:id="236"/>
      <w:bookmarkStart w:id="237" w:name="_Toc184308068"/>
      <w:bookmarkEnd w:id="237"/>
      <w:bookmarkStart w:id="238" w:name="_Toc184314448"/>
      <w:bookmarkEnd w:id="238"/>
      <w:bookmarkStart w:id="239" w:name="_Toc184308044"/>
      <w:bookmarkEnd w:id="239"/>
      <w:bookmarkStart w:id="240" w:name="_Toc184310315"/>
      <w:bookmarkEnd w:id="240"/>
      <w:bookmarkStart w:id="241" w:name="_Toc184308075"/>
      <w:bookmarkEnd w:id="241"/>
      <w:bookmarkStart w:id="242" w:name="_Toc184314423"/>
      <w:bookmarkEnd w:id="242"/>
      <w:bookmarkStart w:id="243" w:name="_Toc184308093"/>
      <w:bookmarkEnd w:id="243"/>
      <w:bookmarkStart w:id="244" w:name="_Toc184312093"/>
      <w:bookmarkEnd w:id="244"/>
      <w:bookmarkStart w:id="245" w:name="_Toc184310320"/>
      <w:bookmarkEnd w:id="245"/>
      <w:bookmarkStart w:id="246" w:name="_Toc184313280"/>
      <w:bookmarkEnd w:id="246"/>
      <w:bookmarkStart w:id="247" w:name="_Toc184308080"/>
      <w:bookmarkEnd w:id="247"/>
      <w:bookmarkStart w:id="248" w:name="_Toc184308046"/>
      <w:bookmarkEnd w:id="248"/>
      <w:bookmarkStart w:id="249" w:name="_Toc184308039"/>
      <w:bookmarkEnd w:id="249"/>
      <w:bookmarkStart w:id="250" w:name="_Toc184308108"/>
      <w:bookmarkEnd w:id="250"/>
      <w:bookmarkStart w:id="251" w:name="_Toc184310277"/>
      <w:bookmarkEnd w:id="251"/>
      <w:bookmarkStart w:id="252" w:name="_Toc184310313"/>
      <w:bookmarkEnd w:id="252"/>
      <w:bookmarkStart w:id="253" w:name="_Toc184308086"/>
      <w:bookmarkEnd w:id="253"/>
      <w:bookmarkStart w:id="254" w:name="_Toc184308097"/>
      <w:bookmarkEnd w:id="254"/>
      <w:bookmarkStart w:id="255" w:name="_Toc184314460"/>
      <w:bookmarkEnd w:id="255"/>
      <w:bookmarkStart w:id="256" w:name="_Toc184314420"/>
      <w:bookmarkEnd w:id="256"/>
      <w:bookmarkStart w:id="257" w:name="_Toc184312089"/>
      <w:bookmarkEnd w:id="257"/>
      <w:bookmarkStart w:id="258" w:name="_Toc184313248"/>
      <w:bookmarkEnd w:id="258"/>
      <w:bookmarkStart w:id="259" w:name="_Toc184310290"/>
      <w:bookmarkEnd w:id="259"/>
      <w:bookmarkStart w:id="260" w:name="_Toc184312088"/>
      <w:bookmarkEnd w:id="260"/>
      <w:bookmarkStart w:id="261" w:name="_Toc184314478"/>
      <w:bookmarkEnd w:id="261"/>
      <w:bookmarkStart w:id="262" w:name="_Toc184308091"/>
      <w:bookmarkEnd w:id="262"/>
      <w:bookmarkStart w:id="263" w:name="_Toc184308062"/>
      <w:bookmarkEnd w:id="263"/>
      <w:bookmarkStart w:id="264" w:name="_Toc184314437"/>
      <w:bookmarkEnd w:id="264"/>
      <w:bookmarkStart w:id="265" w:name="_Toc184308078"/>
      <w:bookmarkEnd w:id="265"/>
      <w:bookmarkStart w:id="266" w:name="_Toc184310311"/>
      <w:bookmarkEnd w:id="266"/>
      <w:bookmarkStart w:id="267" w:name="_Toc184313255"/>
      <w:bookmarkEnd w:id="267"/>
      <w:bookmarkStart w:id="268" w:name="_Toc184310316"/>
      <w:bookmarkEnd w:id="268"/>
      <w:bookmarkStart w:id="269" w:name="_Toc184308052"/>
      <w:bookmarkEnd w:id="269"/>
      <w:bookmarkStart w:id="270" w:name="_Toc184310324"/>
      <w:bookmarkEnd w:id="270"/>
      <w:bookmarkStart w:id="271" w:name="_Toc184312108"/>
      <w:bookmarkEnd w:id="271"/>
      <w:bookmarkStart w:id="272" w:name="_Toc184310326"/>
      <w:bookmarkEnd w:id="272"/>
      <w:bookmarkStart w:id="273" w:name="_Toc184313257"/>
      <w:bookmarkEnd w:id="273"/>
      <w:bookmarkStart w:id="274" w:name="_Toc184312073"/>
      <w:bookmarkEnd w:id="274"/>
      <w:bookmarkStart w:id="275" w:name="_Toc184313274"/>
      <w:bookmarkEnd w:id="275"/>
      <w:bookmarkStart w:id="276" w:name="_Toc184312070"/>
      <w:bookmarkEnd w:id="276"/>
      <w:bookmarkStart w:id="277" w:name="_Toc184312122"/>
      <w:bookmarkEnd w:id="277"/>
      <w:bookmarkStart w:id="278" w:name="_Toc184308041"/>
      <w:bookmarkEnd w:id="278"/>
      <w:bookmarkStart w:id="279" w:name="_Toc184312099"/>
      <w:bookmarkEnd w:id="279"/>
      <w:bookmarkStart w:id="280" w:name="_Toc184314438"/>
      <w:bookmarkEnd w:id="280"/>
      <w:bookmarkStart w:id="281" w:name="_Toc184313301"/>
      <w:bookmarkEnd w:id="281"/>
      <w:bookmarkStart w:id="282" w:name="_Toc184308050"/>
      <w:bookmarkEnd w:id="282"/>
      <w:bookmarkStart w:id="283" w:name="_Toc184312080"/>
      <w:bookmarkEnd w:id="283"/>
      <w:bookmarkStart w:id="284" w:name="_Toc184312109"/>
      <w:bookmarkEnd w:id="284"/>
      <w:bookmarkStart w:id="285" w:name="_Toc184313281"/>
      <w:bookmarkEnd w:id="285"/>
      <w:bookmarkStart w:id="286" w:name="_Toc184313242"/>
      <w:bookmarkEnd w:id="286"/>
      <w:bookmarkStart w:id="287" w:name="_Toc184308043"/>
      <w:bookmarkEnd w:id="287"/>
      <w:bookmarkStart w:id="288" w:name="_Toc184310332"/>
      <w:bookmarkEnd w:id="288"/>
      <w:bookmarkStart w:id="289" w:name="_Toc184314445"/>
      <w:bookmarkEnd w:id="289"/>
      <w:bookmarkStart w:id="290" w:name="_Toc184312117"/>
      <w:bookmarkEnd w:id="290"/>
      <w:bookmarkStart w:id="291" w:name="_Toc184314439"/>
      <w:bookmarkEnd w:id="291"/>
      <w:bookmarkStart w:id="292" w:name="_Toc184312068"/>
      <w:bookmarkEnd w:id="292"/>
      <w:bookmarkStart w:id="293" w:name="_Toc184314473"/>
      <w:bookmarkEnd w:id="293"/>
      <w:bookmarkStart w:id="294" w:name="_Toc184312118"/>
      <w:bookmarkEnd w:id="294"/>
      <w:bookmarkStart w:id="295" w:name="_Toc184313241"/>
      <w:bookmarkEnd w:id="295"/>
      <w:bookmarkStart w:id="296" w:name="_Toc184313305"/>
      <w:bookmarkEnd w:id="296"/>
      <w:bookmarkStart w:id="297" w:name="_Toc184308064"/>
      <w:bookmarkEnd w:id="297"/>
      <w:bookmarkStart w:id="298" w:name="_Toc184308102"/>
      <w:bookmarkEnd w:id="298"/>
      <w:bookmarkStart w:id="299" w:name="_Toc184312092"/>
      <w:bookmarkEnd w:id="299"/>
      <w:bookmarkStart w:id="300" w:name="_Toc184312107"/>
      <w:bookmarkEnd w:id="300"/>
      <w:bookmarkStart w:id="301" w:name="_Toc184313294"/>
      <w:bookmarkEnd w:id="301"/>
      <w:bookmarkStart w:id="302" w:name="_Toc184310343"/>
      <w:bookmarkEnd w:id="302"/>
      <w:bookmarkStart w:id="303" w:name="_Toc184308047"/>
      <w:bookmarkEnd w:id="303"/>
      <w:bookmarkStart w:id="304" w:name="_Toc184308074"/>
      <w:bookmarkEnd w:id="304"/>
      <w:bookmarkStart w:id="305" w:name="_Toc184310307"/>
      <w:bookmarkEnd w:id="305"/>
      <w:bookmarkStart w:id="306" w:name="_Toc184313243"/>
      <w:bookmarkEnd w:id="306"/>
      <w:bookmarkStart w:id="307" w:name="_Toc184314449"/>
      <w:bookmarkEnd w:id="307"/>
      <w:bookmarkStart w:id="308" w:name="_Toc184308056"/>
      <w:bookmarkEnd w:id="308"/>
      <w:bookmarkStart w:id="309" w:name="_Toc184308105"/>
      <w:bookmarkEnd w:id="309"/>
      <w:bookmarkStart w:id="310" w:name="_Toc184308079"/>
      <w:bookmarkEnd w:id="310"/>
      <w:bookmarkStart w:id="311" w:name="_Toc184308087"/>
      <w:bookmarkEnd w:id="311"/>
      <w:bookmarkStart w:id="312" w:name="_Toc184310338"/>
      <w:bookmarkEnd w:id="312"/>
      <w:bookmarkStart w:id="313" w:name="_Toc184314469"/>
      <w:bookmarkEnd w:id="313"/>
      <w:bookmarkStart w:id="314" w:name="_Toc184312072"/>
      <w:bookmarkEnd w:id="314"/>
      <w:bookmarkStart w:id="315" w:name="_Toc184312100"/>
      <w:bookmarkEnd w:id="315"/>
      <w:bookmarkStart w:id="316" w:name="_Toc184310327"/>
      <w:bookmarkEnd w:id="316"/>
      <w:bookmarkStart w:id="317" w:name="_Toc184312132"/>
      <w:bookmarkEnd w:id="317"/>
      <w:bookmarkStart w:id="318" w:name="_Toc184308058"/>
      <w:bookmarkEnd w:id="318"/>
      <w:bookmarkStart w:id="319" w:name="_Toc184313292"/>
      <w:bookmarkEnd w:id="319"/>
      <w:bookmarkStart w:id="320" w:name="_Toc184310304"/>
      <w:bookmarkEnd w:id="320"/>
      <w:bookmarkStart w:id="321" w:name="_Toc184312130"/>
      <w:bookmarkEnd w:id="321"/>
      <w:bookmarkStart w:id="322" w:name="_Toc184310344"/>
      <w:bookmarkEnd w:id="322"/>
      <w:bookmarkStart w:id="323" w:name="_Toc184312111"/>
      <w:bookmarkEnd w:id="323"/>
      <w:bookmarkStart w:id="324" w:name="_Toc184312106"/>
      <w:bookmarkEnd w:id="324"/>
      <w:bookmarkStart w:id="325" w:name="_Toc184314477"/>
      <w:bookmarkEnd w:id="325"/>
      <w:bookmarkStart w:id="326" w:name="_Toc184313265"/>
      <w:bookmarkEnd w:id="326"/>
      <w:bookmarkStart w:id="327" w:name="_Toc184313297"/>
      <w:bookmarkEnd w:id="327"/>
      <w:bookmarkStart w:id="328" w:name="_Toc184313276"/>
      <w:bookmarkEnd w:id="328"/>
      <w:bookmarkStart w:id="329" w:name="_Toc184308036"/>
      <w:bookmarkEnd w:id="329"/>
      <w:bookmarkStart w:id="330" w:name="_Toc184310309"/>
      <w:bookmarkEnd w:id="330"/>
      <w:bookmarkStart w:id="331" w:name="_Toc184308090"/>
      <w:bookmarkEnd w:id="331"/>
      <w:bookmarkStart w:id="332" w:name="_Toc184314479"/>
      <w:bookmarkEnd w:id="332"/>
      <w:bookmarkStart w:id="333" w:name="_Toc184312138"/>
      <w:bookmarkEnd w:id="333"/>
      <w:bookmarkStart w:id="334" w:name="_Toc184308100"/>
      <w:bookmarkEnd w:id="334"/>
      <w:bookmarkStart w:id="335" w:name="_Toc184308082"/>
      <w:bookmarkEnd w:id="335"/>
      <w:bookmarkStart w:id="336" w:name="_Toc184312078"/>
      <w:bookmarkEnd w:id="336"/>
      <w:bookmarkStart w:id="337" w:name="_Toc184312128"/>
      <w:bookmarkEnd w:id="337"/>
      <w:bookmarkStart w:id="338" w:name="_Toc184313277"/>
      <w:bookmarkEnd w:id="338"/>
      <w:bookmarkStart w:id="339" w:name="_Toc184313285"/>
      <w:bookmarkEnd w:id="339"/>
      <w:bookmarkStart w:id="340" w:name="_Toc184312119"/>
      <w:bookmarkEnd w:id="340"/>
      <w:bookmarkStart w:id="341" w:name="_Toc184310276"/>
      <w:bookmarkEnd w:id="341"/>
      <w:bookmarkStart w:id="342" w:name="_Toc184313278"/>
      <w:bookmarkEnd w:id="342"/>
      <w:bookmarkStart w:id="343" w:name="_Toc184312067"/>
      <w:bookmarkEnd w:id="343"/>
      <w:bookmarkStart w:id="344" w:name="_Toc184310306"/>
      <w:bookmarkEnd w:id="344"/>
      <w:bookmarkStart w:id="345" w:name="_Toc184314467"/>
      <w:bookmarkEnd w:id="345"/>
      <w:bookmarkStart w:id="346" w:name="_Toc184314422"/>
      <w:bookmarkEnd w:id="346"/>
      <w:bookmarkStart w:id="347" w:name="_Toc184313307"/>
      <w:bookmarkEnd w:id="347"/>
      <w:bookmarkStart w:id="348" w:name="_Toc184314453"/>
      <w:bookmarkEnd w:id="348"/>
      <w:bookmarkStart w:id="349" w:name="_Toc184313288"/>
      <w:bookmarkEnd w:id="349"/>
      <w:bookmarkStart w:id="350" w:name="_Toc184312085"/>
      <w:bookmarkEnd w:id="350"/>
      <w:bookmarkStart w:id="351" w:name="_Toc184310274"/>
      <w:bookmarkEnd w:id="351"/>
      <w:bookmarkStart w:id="352" w:name="_Toc184308045"/>
      <w:bookmarkEnd w:id="352"/>
      <w:bookmarkStart w:id="353" w:name="_Toc184312086"/>
      <w:bookmarkEnd w:id="353"/>
      <w:bookmarkStart w:id="354" w:name="_Toc184313250"/>
      <w:bookmarkEnd w:id="354"/>
      <w:bookmarkStart w:id="355" w:name="_Toc184314429"/>
      <w:bookmarkEnd w:id="355"/>
      <w:bookmarkStart w:id="356" w:name="_Toc184313290"/>
      <w:bookmarkEnd w:id="356"/>
      <w:bookmarkStart w:id="357" w:name="_Toc184314442"/>
      <w:bookmarkEnd w:id="357"/>
      <w:bookmarkStart w:id="358" w:name="_Toc184310275"/>
      <w:bookmarkEnd w:id="358"/>
      <w:bookmarkStart w:id="359" w:name="_Toc184313263"/>
      <w:bookmarkEnd w:id="359"/>
      <w:bookmarkStart w:id="360" w:name="_Toc184312082"/>
      <w:bookmarkEnd w:id="360"/>
      <w:bookmarkStart w:id="361" w:name="_Toc184314411"/>
      <w:bookmarkEnd w:id="361"/>
      <w:bookmarkStart w:id="362" w:name="_Toc184310289"/>
      <w:bookmarkEnd w:id="362"/>
      <w:bookmarkStart w:id="363" w:name="_Toc184312116"/>
      <w:bookmarkEnd w:id="363"/>
      <w:bookmarkStart w:id="364" w:name="_Toc184310302"/>
      <w:bookmarkEnd w:id="364"/>
      <w:bookmarkStart w:id="365" w:name="_Toc184314457"/>
      <w:bookmarkEnd w:id="365"/>
      <w:bookmarkStart w:id="366" w:name="_Toc184312096"/>
      <w:bookmarkEnd w:id="366"/>
      <w:bookmarkStart w:id="367" w:name="_Toc184310281"/>
      <w:bookmarkEnd w:id="367"/>
      <w:bookmarkStart w:id="368" w:name="_Toc184310325"/>
      <w:bookmarkEnd w:id="368"/>
      <w:bookmarkStart w:id="369" w:name="_Toc184310300"/>
      <w:bookmarkEnd w:id="369"/>
      <w:bookmarkStart w:id="370" w:name="_Toc184313279"/>
      <w:bookmarkEnd w:id="370"/>
      <w:bookmarkStart w:id="371" w:name="_Toc184313268"/>
      <w:bookmarkEnd w:id="371"/>
      <w:bookmarkStart w:id="372" w:name="_Toc184313266"/>
      <w:bookmarkEnd w:id="372"/>
      <w:bookmarkStart w:id="373" w:name="_Toc184313262"/>
      <w:bookmarkEnd w:id="373"/>
      <w:bookmarkStart w:id="374" w:name="_Toc184312076"/>
      <w:bookmarkEnd w:id="374"/>
      <w:bookmarkStart w:id="375" w:name="_Toc184314482"/>
      <w:bookmarkEnd w:id="375"/>
      <w:bookmarkStart w:id="376" w:name="_Toc184313303"/>
      <w:bookmarkEnd w:id="376"/>
      <w:bookmarkStart w:id="377" w:name="_Toc184313264"/>
      <w:bookmarkEnd w:id="377"/>
      <w:bookmarkStart w:id="378" w:name="_Toc184312084"/>
      <w:bookmarkEnd w:id="378"/>
      <w:bookmarkStart w:id="379" w:name="_Toc184313267"/>
      <w:bookmarkEnd w:id="379"/>
      <w:bookmarkStart w:id="380" w:name="_Toc184310297"/>
      <w:bookmarkEnd w:id="380"/>
      <w:bookmarkStart w:id="381" w:name="_Toc184314440"/>
      <w:bookmarkEnd w:id="381"/>
      <w:bookmarkStart w:id="382" w:name="_Toc184310322"/>
      <w:bookmarkEnd w:id="382"/>
      <w:bookmarkStart w:id="383" w:name="_Toc184312083"/>
      <w:bookmarkEnd w:id="383"/>
      <w:bookmarkStart w:id="384" w:name="_Toc184314455"/>
      <w:bookmarkEnd w:id="384"/>
      <w:bookmarkStart w:id="385" w:name="_Toc184308040"/>
      <w:bookmarkEnd w:id="385"/>
      <w:bookmarkStart w:id="386" w:name="_Toc184314454"/>
      <w:bookmarkEnd w:id="386"/>
      <w:bookmarkStart w:id="387" w:name="_Toc184310333"/>
      <w:bookmarkEnd w:id="387"/>
      <w:bookmarkStart w:id="388" w:name="_Toc184313299"/>
      <w:bookmarkEnd w:id="388"/>
      <w:bookmarkStart w:id="389" w:name="_Toc184313293"/>
      <w:bookmarkEnd w:id="389"/>
      <w:bookmarkStart w:id="390" w:name="_Toc184314410"/>
      <w:bookmarkEnd w:id="390"/>
      <w:bookmarkStart w:id="391" w:name="_Toc184312077"/>
      <w:bookmarkEnd w:id="391"/>
      <w:bookmarkStart w:id="392" w:name="_Toc184313310"/>
      <w:bookmarkEnd w:id="392"/>
      <w:bookmarkStart w:id="393" w:name="_Toc184308073"/>
      <w:bookmarkEnd w:id="393"/>
      <w:bookmarkStart w:id="394" w:name="_Toc184314452"/>
      <w:bookmarkEnd w:id="394"/>
      <w:bookmarkStart w:id="395" w:name="_Toc184308099"/>
      <w:bookmarkEnd w:id="395"/>
      <w:bookmarkStart w:id="396" w:name="_Toc184308106"/>
      <w:bookmarkEnd w:id="396"/>
      <w:bookmarkStart w:id="397" w:name="_Toc184314426"/>
      <w:bookmarkEnd w:id="397"/>
      <w:bookmarkStart w:id="398" w:name="_Toc184308066"/>
      <w:bookmarkEnd w:id="398"/>
      <w:bookmarkStart w:id="399" w:name="_Toc184312102"/>
      <w:bookmarkEnd w:id="399"/>
      <w:bookmarkStart w:id="400" w:name="_Toc184310303"/>
      <w:bookmarkEnd w:id="400"/>
      <w:bookmarkStart w:id="401" w:name="_Toc184314428"/>
      <w:bookmarkEnd w:id="401"/>
      <w:bookmarkStart w:id="402" w:name="_Toc184314446"/>
      <w:bookmarkEnd w:id="402"/>
      <w:bookmarkStart w:id="403" w:name="_Toc184314461"/>
      <w:bookmarkEnd w:id="403"/>
      <w:bookmarkStart w:id="404" w:name="_Toc184312097"/>
      <w:bookmarkEnd w:id="404"/>
      <w:bookmarkStart w:id="405" w:name="_Toc184308048"/>
      <w:bookmarkEnd w:id="405"/>
      <w:bookmarkStart w:id="406" w:name="_Toc184313253"/>
      <w:bookmarkEnd w:id="406"/>
      <w:bookmarkStart w:id="407" w:name="_Toc184313300"/>
      <w:bookmarkEnd w:id="407"/>
      <w:bookmarkStart w:id="408" w:name="_Toc184314427"/>
      <w:bookmarkEnd w:id="408"/>
      <w:bookmarkStart w:id="409" w:name="_Toc184308085"/>
      <w:bookmarkEnd w:id="409"/>
      <w:bookmarkStart w:id="410" w:name="_Toc184313304"/>
      <w:bookmarkEnd w:id="410"/>
      <w:bookmarkStart w:id="411" w:name="_Toc184312105"/>
      <w:bookmarkEnd w:id="411"/>
      <w:bookmarkStart w:id="412" w:name="_Toc184312081"/>
      <w:bookmarkEnd w:id="412"/>
      <w:bookmarkStart w:id="413" w:name="_Toc184314458"/>
      <w:bookmarkEnd w:id="413"/>
      <w:bookmarkStart w:id="414" w:name="_Toc184314466"/>
      <w:bookmarkEnd w:id="414"/>
      <w:bookmarkStart w:id="415" w:name="_Toc184308077"/>
      <w:bookmarkEnd w:id="415"/>
      <w:bookmarkStart w:id="416" w:name="_Toc184314436"/>
      <w:bookmarkEnd w:id="416"/>
      <w:bookmarkStart w:id="417" w:name="_Toc184308095"/>
      <w:bookmarkEnd w:id="417"/>
      <w:bookmarkStart w:id="418" w:name="_Toc184310283"/>
      <w:bookmarkEnd w:id="418"/>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5797"/>
        <w:gridCol w:w="1080"/>
        <w:gridCol w:w="79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797"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评分因素</w:t>
            </w:r>
          </w:p>
        </w:tc>
        <w:tc>
          <w:tcPr>
            <w:tcW w:w="1080"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795"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_GB2312"/>
                <w:bCs/>
                <w:color w:val="auto"/>
                <w:sz w:val="24"/>
                <w:highlight w:val="none"/>
              </w:rPr>
              <w:t>主观分/客观分属性</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_GB2312"/>
                <w:bCs/>
                <w:color w:val="auto"/>
                <w:sz w:val="24"/>
                <w:highlight w:val="none"/>
              </w:rPr>
              <w:t>投标文件中评标标准相应的商务技术资料目录</w:t>
            </w:r>
            <w:r>
              <w:rPr>
                <w:rFonts w:ascii="仿宋" w:hAnsi="仿宋" w:eastAsia="仿宋" w:cs="Arial"/>
                <w:color w:val="auto"/>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54" w:type="dxa"/>
            <w:noWrap w:val="0"/>
            <w:vAlign w:val="center"/>
          </w:tcPr>
          <w:p>
            <w:pPr>
              <w:adjustRightInd w:val="0"/>
              <w:snapToGrid w:val="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5797" w:type="dxa"/>
            <w:noWrap w:val="0"/>
            <w:vAlign w:val="center"/>
          </w:tcPr>
          <w:p>
            <w:pP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投标人资信能力评价</w:t>
            </w:r>
          </w:p>
        </w:tc>
        <w:tc>
          <w:tcPr>
            <w:tcW w:w="1080"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795" w:type="dxa"/>
            <w:noWrap w:val="0"/>
            <w:vAlign w:val="center"/>
          </w:tcPr>
          <w:p>
            <w:pPr>
              <w:adjustRightInd w:val="0"/>
              <w:snapToGrid w:val="0"/>
              <w:jc w:val="center"/>
              <w:rPr>
                <w:rFonts w:hint="eastAsia" w:ascii="仿宋" w:hAnsi="仿宋" w:eastAsia="仿宋" w:cs="仿宋"/>
                <w:color w:val="auto"/>
                <w:sz w:val="24"/>
                <w:highlight w:val="none"/>
              </w:rPr>
            </w:pPr>
          </w:p>
        </w:tc>
        <w:tc>
          <w:tcPr>
            <w:tcW w:w="1485" w:type="dxa"/>
            <w:noWrap w:val="0"/>
            <w:vAlign w:val="center"/>
          </w:tcPr>
          <w:p>
            <w:pPr>
              <w:adjustRightInd w:val="0"/>
              <w:snapToGrid w:val="0"/>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5797" w:type="dxa"/>
            <w:noWrap w:val="0"/>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投标人自</w:t>
            </w:r>
            <w:r>
              <w:rPr>
                <w:rStyle w:val="962"/>
                <w:rFonts w:hint="eastAsia" w:ascii="仿宋" w:hAnsi="仿宋" w:eastAsia="仿宋" w:cs="仿宋"/>
                <w:color w:val="auto"/>
                <w:kern w:val="0"/>
                <w:sz w:val="24"/>
                <w:szCs w:val="24"/>
                <w:highlight w:val="none"/>
                <w:lang w:val="en-US" w:eastAsia="zh-CN" w:bidi="ar-SA"/>
              </w:rPr>
              <w:t>2020年1月1日（按合同签订时间为准）以来具有同类业绩的，每一个得0.5分，最高得2分</w:t>
            </w:r>
            <w:r>
              <w:rPr>
                <w:rFonts w:hint="eastAsia" w:ascii="仿宋" w:hAnsi="仿宋" w:eastAsia="仿宋" w:cs="仿宋"/>
                <w:color w:val="auto"/>
                <w:sz w:val="24"/>
                <w:highlight w:val="none"/>
              </w:rPr>
              <w:t>；</w:t>
            </w:r>
          </w:p>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说明：业绩证明材料需提供中标通知书及合同扫描件</w:t>
            </w:r>
            <w:r>
              <w:rPr>
                <w:rFonts w:hint="eastAsia" w:ascii="仿宋" w:hAnsi="仿宋" w:eastAsia="仿宋" w:cs="仿宋"/>
                <w:color w:val="auto"/>
                <w:sz w:val="24"/>
                <w:highlight w:val="none"/>
                <w:lang w:val="en-US" w:eastAsia="zh-CN"/>
              </w:rPr>
              <w:t>加盖公章</w:t>
            </w:r>
          </w:p>
        </w:tc>
        <w:tc>
          <w:tcPr>
            <w:tcW w:w="1080"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795"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5797" w:type="dxa"/>
            <w:noWrap w:val="0"/>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具有有效的质量体系认证，环境体系认证，职业健康安全管理体系认证证书的，每个得1分，最高得3分。提供证书扫描件。</w:t>
            </w:r>
          </w:p>
        </w:tc>
        <w:tc>
          <w:tcPr>
            <w:tcW w:w="1080"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795"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797" w:type="dxa"/>
            <w:noWrap w:val="0"/>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针对本项目的总体目标、工作内容提供</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项目启动实施方案情况。</w:t>
            </w:r>
            <w:r>
              <w:rPr>
                <w:rFonts w:hint="eastAsia" w:ascii="仿宋" w:hAnsi="仿宋" w:eastAsia="仿宋" w:cs="仿宋"/>
                <w:color w:val="auto"/>
                <w:sz w:val="24"/>
                <w:highlight w:val="none"/>
                <w:lang w:val="en-US" w:eastAsia="zh-CN"/>
              </w:rPr>
              <w:t>根据方案完整性、可行性、项目匹配性进行打分。完整性、可行性、项目匹配性好</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完整性、可行性、项目匹配性较好2分；完整性、可行性、项目匹配性一般得1分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其余</w:t>
            </w:r>
            <w:r>
              <w:rPr>
                <w:rFonts w:hint="eastAsia" w:ascii="仿宋" w:hAnsi="仿宋" w:eastAsia="仿宋" w:cs="仿宋"/>
                <w:color w:val="auto"/>
                <w:sz w:val="24"/>
                <w:highlight w:val="none"/>
              </w:rPr>
              <w:t>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5797" w:type="dxa"/>
            <w:noWrap w:val="0"/>
            <w:vAlign w:val="center"/>
          </w:tcPr>
          <w:p>
            <w:pPr>
              <w:snapToGrid w:val="0"/>
              <w:rPr>
                <w:rFonts w:hint="eastAsia" w:ascii="仿宋" w:hAnsi="仿宋" w:eastAsia="仿宋" w:cs="仿宋"/>
                <w:color w:val="auto"/>
                <w:sz w:val="24"/>
                <w:highlight w:val="none"/>
              </w:rPr>
            </w:pPr>
            <w:r>
              <w:rPr>
                <w:rStyle w:val="962"/>
                <w:rFonts w:hint="eastAsia" w:ascii="仿宋" w:hAnsi="仿宋" w:eastAsia="仿宋" w:cs="仿宋"/>
                <w:color w:val="auto"/>
                <w:kern w:val="0"/>
                <w:sz w:val="24"/>
                <w:szCs w:val="24"/>
                <w:highlight w:val="none"/>
                <w:lang w:val="en-US" w:eastAsia="zh-CN" w:bidi="ar-SA"/>
              </w:rPr>
              <w:t>全面、及时、准确采集相关信息数据方案（含核实、核查）</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根据方案完整性、可行性、项目匹配性进行打分。完整性、可行性、项目匹配性好</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完整性、可行性、项目匹配性较好3分；完整性、可行性、项目匹配性一般得2分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有较大的欠缺得1分；其余</w:t>
            </w:r>
            <w:r>
              <w:rPr>
                <w:rFonts w:hint="eastAsia" w:ascii="仿宋" w:hAnsi="仿宋" w:eastAsia="仿宋" w:cs="仿宋"/>
                <w:color w:val="auto"/>
                <w:sz w:val="24"/>
                <w:highlight w:val="none"/>
              </w:rPr>
              <w:t>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5797" w:type="dxa"/>
            <w:noWrap w:val="0"/>
            <w:vAlign w:val="center"/>
          </w:tcPr>
          <w:p>
            <w:pPr>
              <w:snapToGrid w:val="0"/>
              <w:rPr>
                <w:rFonts w:hint="eastAsia" w:ascii="仿宋" w:hAnsi="仿宋" w:eastAsia="仿宋" w:cs="仿宋"/>
                <w:color w:val="auto"/>
                <w:sz w:val="24"/>
                <w:highlight w:val="none"/>
              </w:rPr>
            </w:pPr>
            <w:r>
              <w:rPr>
                <w:rStyle w:val="962"/>
                <w:rFonts w:hint="eastAsia" w:ascii="仿宋" w:hAnsi="仿宋" w:eastAsia="仿宋" w:cs="仿宋"/>
                <w:color w:val="auto"/>
                <w:kern w:val="0"/>
                <w:sz w:val="24"/>
                <w:szCs w:val="24"/>
                <w:highlight w:val="none"/>
                <w:lang w:val="en-US" w:eastAsia="zh-CN" w:bidi="ar-SA"/>
              </w:rPr>
              <w:t>数字城管城市快车道、河道、高架立交、桥梁隧道等区域信息采集实施方案</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根据方案合理性、可行性、项目匹配性进行打分。合理性、可行性、项目匹配性好</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合理性、可行性、项目匹配性较好3分；合理性、可行性、项目匹配性一般得2分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有较大欠缺得1分；其余</w:t>
            </w:r>
            <w:r>
              <w:rPr>
                <w:rFonts w:hint="eastAsia" w:ascii="仿宋" w:hAnsi="仿宋" w:eastAsia="仿宋" w:cs="仿宋"/>
                <w:color w:val="auto"/>
                <w:sz w:val="24"/>
                <w:highlight w:val="none"/>
              </w:rPr>
              <w:t>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5797" w:type="dxa"/>
            <w:noWrap w:val="0"/>
            <w:vAlign w:val="center"/>
          </w:tcPr>
          <w:p>
            <w:pPr>
              <w:snapToGrid w:val="0"/>
              <w:rPr>
                <w:rFonts w:hint="eastAsia" w:ascii="仿宋" w:hAnsi="仿宋" w:eastAsia="仿宋" w:cs="仿宋"/>
                <w:color w:val="auto"/>
                <w:sz w:val="24"/>
                <w:highlight w:val="none"/>
              </w:rPr>
            </w:pPr>
            <w:r>
              <w:rPr>
                <w:rStyle w:val="962"/>
                <w:rFonts w:hint="eastAsia" w:ascii="仿宋" w:hAnsi="仿宋" w:eastAsia="仿宋" w:cs="仿宋"/>
                <w:color w:val="auto"/>
                <w:kern w:val="0"/>
                <w:sz w:val="24"/>
                <w:szCs w:val="24"/>
                <w:highlight w:val="none"/>
              </w:rPr>
              <w:t>提供网格划分方案</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根据方案合理性、可行性、项目匹配性进行打分。合理性、可行性、项目匹配性好</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合理性、可行性、项目匹配性较好3分；合理性、可行性、项目匹配性一般得2分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有较大欠缺得1分；其余</w:t>
            </w:r>
            <w:r>
              <w:rPr>
                <w:rFonts w:hint="eastAsia" w:ascii="仿宋" w:hAnsi="仿宋" w:eastAsia="仿宋" w:cs="仿宋"/>
                <w:color w:val="auto"/>
                <w:sz w:val="24"/>
                <w:highlight w:val="none"/>
              </w:rPr>
              <w:t>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795"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提供</w:t>
            </w:r>
            <w:r>
              <w:rPr>
                <w:rStyle w:val="962"/>
                <w:rFonts w:hint="eastAsia" w:ascii="仿宋" w:hAnsi="仿宋" w:eastAsia="仿宋" w:cs="仿宋"/>
                <w:color w:val="auto"/>
                <w:kern w:val="0"/>
                <w:sz w:val="24"/>
                <w:szCs w:val="24"/>
                <w:highlight w:val="none"/>
              </w:rPr>
              <w:t>工作衔接的采集员交接班</w:t>
            </w:r>
            <w:r>
              <w:rPr>
                <w:rStyle w:val="962"/>
                <w:rFonts w:hint="eastAsia" w:ascii="仿宋" w:hAnsi="仿宋" w:eastAsia="仿宋" w:cs="仿宋"/>
                <w:color w:val="auto"/>
                <w:kern w:val="0"/>
                <w:sz w:val="24"/>
                <w:szCs w:val="24"/>
                <w:highlight w:val="none"/>
                <w:lang w:val="en-US" w:eastAsia="zh-CN"/>
              </w:rPr>
              <w:t>措施方案。</w:t>
            </w:r>
            <w:r>
              <w:rPr>
                <w:rFonts w:hint="eastAsia" w:ascii="仿宋" w:hAnsi="仿宋" w:eastAsia="仿宋" w:cs="仿宋"/>
                <w:color w:val="auto"/>
                <w:sz w:val="24"/>
                <w:highlight w:val="none"/>
                <w:lang w:val="en-US" w:eastAsia="zh-CN"/>
              </w:rPr>
              <w:t>根据方案合理性、可行性、项目匹配性进行打分。合理性、可行性、项目匹配性好</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合理性、可行性、项目匹配性一般得1分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其余</w:t>
            </w:r>
            <w:r>
              <w:rPr>
                <w:rFonts w:hint="eastAsia" w:ascii="仿宋" w:hAnsi="仿宋" w:eastAsia="仿宋" w:cs="仿宋"/>
                <w:color w:val="auto"/>
                <w:sz w:val="24"/>
                <w:highlight w:val="none"/>
              </w:rPr>
              <w:t>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795"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提供</w:t>
            </w:r>
            <w:r>
              <w:rPr>
                <w:rStyle w:val="962"/>
                <w:rFonts w:hint="eastAsia" w:ascii="仿宋" w:hAnsi="仿宋" w:eastAsia="仿宋" w:cs="仿宋"/>
                <w:color w:val="auto"/>
                <w:kern w:val="0"/>
                <w:sz w:val="24"/>
                <w:szCs w:val="24"/>
                <w:highlight w:val="none"/>
              </w:rPr>
              <w:t>确保漏报、投诉等问题处置、回复、满意率均达100％的</w:t>
            </w:r>
            <w:r>
              <w:rPr>
                <w:rStyle w:val="962"/>
                <w:rFonts w:hint="eastAsia" w:ascii="仿宋" w:hAnsi="仿宋" w:eastAsia="仿宋" w:cs="仿宋"/>
                <w:color w:val="auto"/>
                <w:kern w:val="0"/>
                <w:sz w:val="24"/>
                <w:szCs w:val="24"/>
                <w:highlight w:val="none"/>
                <w:lang w:val="en-US" w:eastAsia="zh-CN"/>
              </w:rPr>
              <w:t>措施方案。</w:t>
            </w:r>
            <w:r>
              <w:rPr>
                <w:rFonts w:hint="eastAsia" w:ascii="仿宋" w:hAnsi="仿宋" w:eastAsia="仿宋" w:cs="仿宋"/>
                <w:color w:val="auto"/>
                <w:sz w:val="24"/>
                <w:highlight w:val="none"/>
                <w:lang w:val="en-US" w:eastAsia="zh-CN"/>
              </w:rPr>
              <w:t>根据方案合理性、可行性、项目匹配性进行打分。合理性、可行性、项目匹配性好</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合理性、可行性、项目匹配性较好2分；合理性、可行性、项目匹配性一般得1分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其余</w:t>
            </w:r>
            <w:r>
              <w:rPr>
                <w:rFonts w:hint="eastAsia" w:ascii="仿宋" w:hAnsi="仿宋" w:eastAsia="仿宋" w:cs="仿宋"/>
                <w:color w:val="auto"/>
                <w:sz w:val="24"/>
                <w:highlight w:val="none"/>
              </w:rPr>
              <w:t>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5797" w:type="dxa"/>
            <w:noWrap w:val="0"/>
            <w:vAlign w:val="center"/>
          </w:tcPr>
          <w:p>
            <w:pPr>
              <w:snapToGrid w:val="0"/>
              <w:rPr>
                <w:rFonts w:hint="eastAsia" w:ascii="仿宋" w:hAnsi="仿宋" w:eastAsia="仿宋" w:cs="仿宋"/>
                <w:color w:val="auto"/>
                <w:sz w:val="24"/>
                <w:highlight w:val="none"/>
                <w:lang w:val="en-US"/>
              </w:rPr>
            </w:pPr>
            <w:r>
              <w:rPr>
                <w:rStyle w:val="962"/>
                <w:rFonts w:hint="eastAsia" w:ascii="仿宋" w:hAnsi="仿宋" w:eastAsia="仿宋" w:cs="仿宋"/>
                <w:color w:val="auto"/>
                <w:kern w:val="0"/>
                <w:sz w:val="24"/>
                <w:szCs w:val="24"/>
                <w:highlight w:val="none"/>
              </w:rPr>
              <w:t>落实专人或机构负责对采集员上岗、巡查、采集工作质量，实行实时监控且建立管理体系的</w:t>
            </w:r>
            <w:r>
              <w:rPr>
                <w:rStyle w:val="962"/>
                <w:rFonts w:hint="eastAsia" w:ascii="仿宋" w:hAnsi="仿宋" w:eastAsia="仿宋" w:cs="仿宋"/>
                <w:color w:val="auto"/>
                <w:kern w:val="0"/>
                <w:sz w:val="24"/>
                <w:szCs w:val="24"/>
                <w:highlight w:val="none"/>
                <w:lang w:val="en-US" w:eastAsia="zh-CN"/>
              </w:rPr>
              <w:t>措施方案，</w:t>
            </w:r>
            <w:r>
              <w:rPr>
                <w:rFonts w:hint="eastAsia" w:ascii="仿宋" w:hAnsi="仿宋" w:eastAsia="仿宋" w:cs="仿宋"/>
                <w:color w:val="auto"/>
                <w:sz w:val="24"/>
                <w:highlight w:val="none"/>
                <w:lang w:val="en-US" w:eastAsia="zh-CN"/>
              </w:rPr>
              <w:t>根据方案合理性、可行性、项目匹配性进行打分。合理性、可行性、项目匹配性好</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合理性、可行性、项目匹配性一般得1分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其余</w:t>
            </w:r>
            <w:r>
              <w:rPr>
                <w:rFonts w:hint="eastAsia" w:ascii="仿宋" w:hAnsi="仿宋" w:eastAsia="仿宋" w:cs="仿宋"/>
                <w:color w:val="auto"/>
                <w:sz w:val="24"/>
                <w:highlight w:val="none"/>
              </w:rPr>
              <w:t>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Style w:val="962"/>
                <w:rFonts w:hint="eastAsia" w:ascii="仿宋" w:hAnsi="仿宋" w:eastAsia="仿宋" w:cs="仿宋"/>
                <w:color w:val="auto"/>
                <w:kern w:val="0"/>
                <w:sz w:val="24"/>
                <w:szCs w:val="24"/>
                <w:highlight w:val="none"/>
                <w:lang w:val="en-US" w:eastAsia="zh-CN"/>
              </w:rPr>
              <w:t>提供</w:t>
            </w:r>
            <w:r>
              <w:rPr>
                <w:rStyle w:val="962"/>
                <w:rFonts w:hint="eastAsia" w:ascii="仿宋" w:hAnsi="仿宋" w:eastAsia="仿宋" w:cs="仿宋"/>
                <w:color w:val="auto"/>
                <w:kern w:val="0"/>
                <w:sz w:val="24"/>
                <w:szCs w:val="24"/>
                <w:highlight w:val="none"/>
              </w:rPr>
              <w:t>员工上岗培训方案</w:t>
            </w:r>
            <w:r>
              <w:rPr>
                <w:rStyle w:val="962"/>
                <w:rFonts w:hint="eastAsia" w:ascii="仿宋" w:hAnsi="仿宋" w:eastAsia="仿宋" w:cs="仿宋"/>
                <w:color w:val="auto"/>
                <w:kern w:val="0"/>
                <w:sz w:val="24"/>
                <w:szCs w:val="24"/>
                <w:highlight w:val="none"/>
                <w:lang w:val="en-US" w:eastAsia="zh-CN"/>
              </w:rPr>
              <w:t>，应</w:t>
            </w:r>
            <w:r>
              <w:rPr>
                <w:rStyle w:val="962"/>
                <w:rFonts w:hint="eastAsia" w:ascii="仿宋" w:hAnsi="仿宋" w:eastAsia="仿宋" w:cs="仿宋"/>
                <w:color w:val="auto"/>
                <w:kern w:val="0"/>
                <w:sz w:val="24"/>
                <w:szCs w:val="24"/>
                <w:highlight w:val="none"/>
                <w:lang w:eastAsia="zh-CN"/>
              </w:rPr>
              <w:t>包括培训内容</w:t>
            </w:r>
            <w:r>
              <w:rPr>
                <w:rStyle w:val="962"/>
                <w:rFonts w:hint="eastAsia" w:ascii="仿宋" w:hAnsi="仿宋" w:eastAsia="仿宋" w:cs="仿宋"/>
                <w:color w:val="auto"/>
                <w:kern w:val="0"/>
                <w:sz w:val="24"/>
                <w:szCs w:val="24"/>
                <w:highlight w:val="none"/>
                <w:lang w:val="en-US" w:eastAsia="zh-CN"/>
              </w:rPr>
              <w:t>(</w:t>
            </w:r>
            <w:r>
              <w:rPr>
                <w:rStyle w:val="962"/>
                <w:rFonts w:hint="eastAsia" w:ascii="仿宋" w:hAnsi="仿宋" w:eastAsia="仿宋" w:cs="仿宋"/>
                <w:color w:val="auto"/>
                <w:kern w:val="0"/>
                <w:sz w:val="24"/>
                <w:szCs w:val="24"/>
                <w:highlight w:val="none"/>
                <w:lang w:eastAsia="zh-CN"/>
              </w:rPr>
              <w:t>含</w:t>
            </w:r>
            <w:r>
              <w:rPr>
                <w:rStyle w:val="962"/>
                <w:rFonts w:hint="eastAsia" w:ascii="仿宋" w:hAnsi="仿宋" w:eastAsia="仿宋" w:cs="仿宋"/>
                <w:color w:val="auto"/>
                <w:kern w:val="0"/>
                <w:sz w:val="24"/>
                <w:szCs w:val="24"/>
                <w:highlight w:val="none"/>
              </w:rPr>
              <w:t>岗位标准、专业知识、职业道德规范、应急保障</w:t>
            </w:r>
            <w:r>
              <w:rPr>
                <w:rStyle w:val="962"/>
                <w:rFonts w:hint="eastAsia" w:ascii="仿宋" w:hAnsi="仿宋" w:eastAsia="仿宋" w:cs="仿宋"/>
                <w:color w:val="auto"/>
                <w:kern w:val="0"/>
                <w:sz w:val="24"/>
                <w:szCs w:val="24"/>
                <w:highlight w:val="none"/>
                <w:lang w:eastAsia="zh-CN"/>
              </w:rPr>
              <w:t>）及针对性的培训措施）。培训内容完整合理、</w:t>
            </w:r>
            <w:r>
              <w:rPr>
                <w:rStyle w:val="962"/>
                <w:rFonts w:hint="eastAsia" w:ascii="仿宋" w:hAnsi="仿宋" w:eastAsia="仿宋" w:cs="仿宋"/>
                <w:color w:val="auto"/>
                <w:kern w:val="0"/>
                <w:sz w:val="24"/>
                <w:szCs w:val="24"/>
                <w:highlight w:val="none"/>
                <w:lang w:val="en-US" w:eastAsia="zh-CN"/>
              </w:rPr>
              <w:t>措施可落实</w:t>
            </w:r>
            <w:r>
              <w:rPr>
                <w:rStyle w:val="962"/>
                <w:rFonts w:hint="eastAsia" w:ascii="仿宋" w:hAnsi="仿宋" w:eastAsia="仿宋" w:cs="仿宋"/>
                <w:color w:val="auto"/>
                <w:kern w:val="0"/>
                <w:sz w:val="24"/>
                <w:szCs w:val="24"/>
                <w:highlight w:val="none"/>
                <w:lang w:eastAsia="zh-CN"/>
              </w:rPr>
              <w:t>得</w:t>
            </w:r>
            <w:r>
              <w:rPr>
                <w:rStyle w:val="962"/>
                <w:rFonts w:hint="eastAsia" w:ascii="仿宋" w:hAnsi="仿宋" w:eastAsia="仿宋" w:cs="仿宋"/>
                <w:color w:val="auto"/>
                <w:kern w:val="0"/>
                <w:sz w:val="24"/>
                <w:szCs w:val="24"/>
                <w:highlight w:val="none"/>
                <w:lang w:val="en-US" w:eastAsia="zh-CN"/>
              </w:rPr>
              <w:t>2分；培训内容有缺失、部分合理、或措施有欠缺得1分；其余不得分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795" w:type="dxa"/>
            <w:noWrap w:val="0"/>
            <w:vAlign w:val="center"/>
          </w:tcPr>
          <w:p>
            <w:pPr>
              <w:adjustRightInd w:val="0"/>
              <w:snapToGrid w:val="0"/>
              <w:jc w:val="center"/>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Style w:val="962"/>
                <w:rFonts w:hint="eastAsia" w:ascii="仿宋" w:hAnsi="仿宋" w:eastAsia="仿宋" w:cs="仿宋"/>
                <w:color w:val="auto"/>
                <w:kern w:val="0"/>
                <w:sz w:val="24"/>
                <w:szCs w:val="24"/>
                <w:highlight w:val="none"/>
              </w:rPr>
              <w:t>针对“信息采集器”管理和维护</w:t>
            </w:r>
            <w:r>
              <w:rPr>
                <w:rStyle w:val="962"/>
                <w:rFonts w:hint="eastAsia" w:ascii="仿宋" w:hAnsi="仿宋" w:eastAsia="仿宋" w:cs="仿宋"/>
                <w:color w:val="auto"/>
                <w:kern w:val="0"/>
                <w:sz w:val="24"/>
                <w:szCs w:val="24"/>
                <w:highlight w:val="none"/>
                <w:lang w:val="en-US" w:eastAsia="zh-CN"/>
              </w:rPr>
              <w:t>措施方案。</w:t>
            </w:r>
            <w:r>
              <w:rPr>
                <w:rFonts w:hint="eastAsia" w:ascii="仿宋" w:hAnsi="仿宋" w:eastAsia="仿宋" w:cs="仿宋"/>
                <w:color w:val="auto"/>
                <w:sz w:val="24"/>
                <w:highlight w:val="none"/>
                <w:lang w:val="en-US" w:eastAsia="zh-CN"/>
              </w:rPr>
              <w:t>根据方案合理性、可行性、项目匹配性进行打分。合理性、可行性、项目匹配性好</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合理性、可行性、项目匹配性较好得3分；合理性、可行性、项目匹配性一般得2分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有较大欠缺得1分；其余</w:t>
            </w:r>
            <w:r>
              <w:rPr>
                <w:rFonts w:hint="eastAsia" w:ascii="仿宋" w:hAnsi="仿宋" w:eastAsia="仿宋" w:cs="仿宋"/>
                <w:color w:val="auto"/>
                <w:sz w:val="24"/>
                <w:highlight w:val="none"/>
              </w:rPr>
              <w:t>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5797" w:type="dxa"/>
            <w:noWrap w:val="0"/>
            <w:vAlign w:val="center"/>
          </w:tcPr>
          <w:p>
            <w:pPr>
              <w:snapToGrid w:val="0"/>
              <w:rPr>
                <w:rFonts w:hint="eastAsia" w:ascii="仿宋" w:hAnsi="仿宋" w:eastAsia="仿宋" w:cs="仿宋"/>
                <w:color w:val="auto"/>
                <w:sz w:val="24"/>
                <w:highlight w:val="none"/>
              </w:rPr>
            </w:pPr>
            <w:r>
              <w:rPr>
                <w:rStyle w:val="962"/>
                <w:rFonts w:hint="eastAsia" w:ascii="仿宋" w:hAnsi="仿宋" w:eastAsia="仿宋" w:cs="仿宋"/>
                <w:color w:val="auto"/>
                <w:kern w:val="0"/>
                <w:sz w:val="24"/>
                <w:szCs w:val="24"/>
                <w:highlight w:val="none"/>
                <w:lang w:eastAsia="zh-CN"/>
              </w:rPr>
              <w:t>预防触碰三条高压线（防止虚假信息、防止吃拿卡要、有责投诉）的</w:t>
            </w:r>
            <w:r>
              <w:rPr>
                <w:rStyle w:val="962"/>
                <w:rFonts w:hint="eastAsia" w:ascii="仿宋" w:hAnsi="仿宋" w:eastAsia="仿宋" w:cs="仿宋"/>
                <w:color w:val="auto"/>
                <w:kern w:val="0"/>
                <w:sz w:val="24"/>
                <w:szCs w:val="24"/>
                <w:highlight w:val="none"/>
                <w:lang w:val="en-US" w:eastAsia="zh-CN"/>
              </w:rPr>
              <w:t>措施方案，</w:t>
            </w:r>
            <w:r>
              <w:rPr>
                <w:rFonts w:hint="eastAsia" w:ascii="仿宋" w:hAnsi="仿宋" w:eastAsia="仿宋" w:cs="仿宋"/>
                <w:color w:val="auto"/>
                <w:sz w:val="24"/>
                <w:highlight w:val="none"/>
                <w:lang w:val="en-US" w:eastAsia="zh-CN"/>
              </w:rPr>
              <w:t>根据方案合理性、可行性、项目匹配性进行打分。合理性、可行性、项目匹配性好</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合理性、可行性、项目匹配性较好2分；合理性、可行性、项目匹配性一般得1分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其余</w:t>
            </w:r>
            <w:r>
              <w:rPr>
                <w:rFonts w:hint="eastAsia" w:ascii="仿宋" w:hAnsi="仿宋" w:eastAsia="仿宋" w:cs="仿宋"/>
                <w:color w:val="auto"/>
                <w:sz w:val="24"/>
                <w:highlight w:val="none"/>
              </w:rPr>
              <w:t>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3</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w:t>
            </w:r>
          </w:p>
        </w:tc>
        <w:tc>
          <w:tcPr>
            <w:tcW w:w="5797" w:type="dxa"/>
            <w:noWrap w:val="0"/>
            <w:vAlign w:val="center"/>
          </w:tcPr>
          <w:p>
            <w:pPr>
              <w:snapToGrid w:val="0"/>
              <w:rPr>
                <w:rFonts w:hint="eastAsia" w:ascii="仿宋" w:hAnsi="仿宋" w:eastAsia="仿宋" w:cs="仿宋"/>
                <w:color w:val="auto"/>
                <w:sz w:val="24"/>
                <w:highlight w:val="none"/>
                <w:lang w:val="en-US"/>
              </w:rPr>
            </w:pPr>
            <w:r>
              <w:rPr>
                <w:rStyle w:val="962"/>
                <w:rFonts w:hint="eastAsia" w:ascii="仿宋" w:hAnsi="仿宋" w:eastAsia="仿宋" w:cs="仿宋"/>
                <w:color w:val="auto"/>
                <w:kern w:val="0"/>
                <w:sz w:val="24"/>
                <w:szCs w:val="24"/>
                <w:highlight w:val="none"/>
                <w:lang w:val="en-US" w:eastAsia="zh-CN"/>
              </w:rPr>
              <w:t>应急保障相关措施方案</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795" w:type="dxa"/>
            <w:noWrap w:val="0"/>
            <w:vAlign w:val="center"/>
          </w:tcPr>
          <w:p>
            <w:pPr>
              <w:adjustRightInd w:val="0"/>
              <w:snapToGrid w:val="0"/>
              <w:jc w:val="center"/>
              <w:rPr>
                <w:rFonts w:hint="eastAsia" w:ascii="仿宋" w:hAnsi="仿宋" w:eastAsia="仿宋" w:cs="仿宋"/>
                <w:color w:val="auto"/>
                <w:sz w:val="24"/>
                <w:highlight w:val="none"/>
              </w:rPr>
            </w:pP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p>
        </w:tc>
        <w:tc>
          <w:tcPr>
            <w:tcW w:w="5797" w:type="dxa"/>
            <w:noWrap w:val="0"/>
            <w:vAlign w:val="center"/>
          </w:tcPr>
          <w:p>
            <w:pPr>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Style w:val="962"/>
                <w:rFonts w:hint="eastAsia" w:ascii="仿宋" w:hAnsi="仿宋" w:eastAsia="仿宋" w:cs="仿宋"/>
                <w:color w:val="auto"/>
                <w:kern w:val="0"/>
                <w:sz w:val="24"/>
                <w:szCs w:val="24"/>
                <w:highlight w:val="none"/>
              </w:rPr>
              <w:t>数字城管信息采集两防两抗（抗台防汛，抗雪防冻）应急保障预案</w:t>
            </w:r>
            <w:r>
              <w:rPr>
                <w:rStyle w:val="962"/>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sz w:val="24"/>
                <w:highlight w:val="none"/>
                <w:lang w:val="en-US" w:eastAsia="zh-CN"/>
              </w:rPr>
              <w:t>根据方案合理性、可行性、项目匹配性进行打分。合理性、可行性、项目匹配性好</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合理性、可行性、项目匹配性较好2分；合理性、可行性、项目匹配性一般得1分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其余</w:t>
            </w:r>
            <w:r>
              <w:rPr>
                <w:rFonts w:hint="eastAsia" w:ascii="仿宋" w:hAnsi="仿宋" w:eastAsia="仿宋" w:cs="仿宋"/>
                <w:color w:val="auto"/>
                <w:sz w:val="24"/>
                <w:highlight w:val="none"/>
              </w:rPr>
              <w:t>不得分</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rPr>
              <w:t>3</w:t>
            </w:r>
          </w:p>
        </w:tc>
        <w:tc>
          <w:tcPr>
            <w:tcW w:w="795" w:type="dxa"/>
            <w:noWrap w:val="0"/>
            <w:vAlign w:val="center"/>
          </w:tcPr>
          <w:p>
            <w:pPr>
              <w:adjustRightInd w:val="0"/>
              <w:snapToGrid w:val="0"/>
              <w:jc w:val="center"/>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p>
        </w:tc>
        <w:tc>
          <w:tcPr>
            <w:tcW w:w="5797" w:type="dxa"/>
            <w:noWrap w:val="0"/>
            <w:vAlign w:val="center"/>
          </w:tcPr>
          <w:p>
            <w:pPr>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Style w:val="962"/>
                <w:rFonts w:hint="eastAsia" w:ascii="仿宋" w:hAnsi="仿宋" w:eastAsia="仿宋" w:cs="仿宋"/>
                <w:color w:val="auto"/>
                <w:kern w:val="0"/>
                <w:sz w:val="24"/>
                <w:szCs w:val="24"/>
                <w:highlight w:val="none"/>
              </w:rPr>
              <w:t>城市管理重点问题信息采集保障方案</w:t>
            </w:r>
            <w:r>
              <w:rPr>
                <w:rStyle w:val="962"/>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highlight w:val="none"/>
                <w:lang w:val="en-US" w:eastAsia="zh-CN"/>
              </w:rPr>
              <w:t>根据方案合理性、可行性、项目匹配性进行打分。合理性、可行性、项目匹配性好</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合理性、可行性、项目匹配性较好2分；合理性、可行性、项目匹配性一般得1分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其余</w:t>
            </w:r>
            <w:r>
              <w:rPr>
                <w:rFonts w:hint="eastAsia" w:ascii="仿宋" w:hAnsi="仿宋" w:eastAsia="仿宋" w:cs="仿宋"/>
                <w:color w:val="auto"/>
                <w:sz w:val="24"/>
                <w:highlight w:val="none"/>
              </w:rPr>
              <w:t>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p>
        </w:tc>
        <w:tc>
          <w:tcPr>
            <w:tcW w:w="5797" w:type="dxa"/>
            <w:noWrap w:val="0"/>
            <w:vAlign w:val="center"/>
          </w:tcPr>
          <w:p>
            <w:pPr>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Style w:val="962"/>
                <w:rFonts w:hint="eastAsia" w:ascii="仿宋" w:hAnsi="仿宋" w:eastAsia="仿宋" w:cs="仿宋"/>
                <w:color w:val="auto"/>
                <w:kern w:val="0"/>
                <w:sz w:val="24"/>
                <w:szCs w:val="24"/>
                <w:highlight w:val="none"/>
                <w:lang w:eastAsia="zh-CN"/>
              </w:rPr>
              <w:t>数字城管信息采集重大活动任务保障预案</w:t>
            </w:r>
            <w:r>
              <w:rPr>
                <w:rStyle w:val="962"/>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sz w:val="24"/>
                <w:highlight w:val="none"/>
                <w:lang w:val="en-US" w:eastAsia="zh-CN"/>
              </w:rPr>
              <w:t>根据方案合理性、可行性、项目匹配性进行打分。合理性、可行性、项目匹配性好</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合理性、可行性、项目匹配性一般得1分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其余</w:t>
            </w:r>
            <w:r>
              <w:rPr>
                <w:rFonts w:hint="eastAsia" w:ascii="仿宋" w:hAnsi="仿宋" w:eastAsia="仿宋" w:cs="仿宋"/>
                <w:color w:val="auto"/>
                <w:sz w:val="24"/>
                <w:highlight w:val="none"/>
              </w:rPr>
              <w:t>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p>
        </w:tc>
        <w:tc>
          <w:tcPr>
            <w:tcW w:w="5797" w:type="dxa"/>
            <w:noWrap w:val="0"/>
            <w:vAlign w:val="center"/>
          </w:tcPr>
          <w:p>
            <w:pPr>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Style w:val="962"/>
                <w:rFonts w:hint="eastAsia" w:ascii="仿宋" w:hAnsi="仿宋" w:eastAsia="仿宋" w:cs="仿宋"/>
                <w:color w:val="auto"/>
                <w:kern w:val="0"/>
                <w:sz w:val="24"/>
                <w:szCs w:val="24"/>
                <w:highlight w:val="none"/>
                <w:lang w:eastAsia="zh-CN"/>
              </w:rPr>
              <w:t>公共危机应急预案</w:t>
            </w:r>
            <w:r>
              <w:rPr>
                <w:rStyle w:val="962"/>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sz w:val="24"/>
                <w:highlight w:val="none"/>
                <w:lang w:val="en-US" w:eastAsia="zh-CN"/>
              </w:rPr>
              <w:t>根据方案合理性、可行性、项目匹配性进行打分。合理性、可行性、项目匹配性好</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val="en-US" w:eastAsia="zh-CN"/>
              </w:rPr>
              <w:t>合理性、可行性、项目匹配性一般得1分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其余</w:t>
            </w:r>
            <w:r>
              <w:rPr>
                <w:rFonts w:hint="eastAsia" w:ascii="仿宋" w:hAnsi="仿宋" w:eastAsia="仿宋" w:cs="仿宋"/>
                <w:color w:val="auto"/>
                <w:sz w:val="24"/>
                <w:highlight w:val="none"/>
              </w:rPr>
              <w:t>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16"/>
                <w:szCs w:val="16"/>
                <w:highlight w:val="none"/>
                <w:lang w:val="en-US" w:eastAsia="zh-CN"/>
              </w:rPr>
            </w:pPr>
            <w:r>
              <w:rPr>
                <w:rFonts w:hint="eastAsia" w:ascii="仿宋" w:hAnsi="仿宋" w:eastAsia="仿宋" w:cs="仿宋"/>
                <w:color w:val="auto"/>
                <w:sz w:val="24"/>
                <w:highlight w:val="none"/>
                <w:lang w:val="en-US" w:eastAsia="zh-CN"/>
              </w:rPr>
              <w:t>13</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制定管理制度</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795" w:type="dxa"/>
            <w:noWrap w:val="0"/>
            <w:vAlign w:val="center"/>
          </w:tcPr>
          <w:p>
            <w:pPr>
              <w:adjustRightInd w:val="0"/>
              <w:snapToGrid w:val="0"/>
              <w:jc w:val="center"/>
              <w:rPr>
                <w:rFonts w:hint="eastAsia" w:ascii="仿宋" w:hAnsi="仿宋" w:eastAsia="仿宋" w:cs="仿宋"/>
                <w:color w:val="auto"/>
                <w:sz w:val="24"/>
                <w:highlight w:val="none"/>
              </w:rPr>
            </w:pP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16"/>
                <w:szCs w:val="16"/>
                <w:highlight w:val="none"/>
                <w:lang w:val="en-US" w:eastAsia="zh-CN"/>
              </w:rPr>
            </w:pP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Style w:val="962"/>
                <w:rFonts w:hint="eastAsia" w:ascii="仿宋" w:hAnsi="仿宋" w:eastAsia="仿宋" w:cs="仿宋"/>
                <w:color w:val="auto"/>
                <w:kern w:val="0"/>
                <w:sz w:val="24"/>
                <w:szCs w:val="24"/>
                <w:highlight w:val="none"/>
                <w:lang w:val="zh-CN"/>
              </w:rPr>
              <w:t>制定层级管理制度，保证管理、指挥、质量控制要求在组织架构上实现。</w:t>
            </w:r>
            <w:r>
              <w:rPr>
                <w:rStyle w:val="962"/>
                <w:rFonts w:hint="eastAsia" w:ascii="仿宋" w:hAnsi="仿宋" w:eastAsia="仿宋" w:cs="仿宋"/>
                <w:color w:val="auto"/>
                <w:kern w:val="0"/>
                <w:sz w:val="24"/>
                <w:szCs w:val="24"/>
                <w:highlight w:val="none"/>
                <w:lang w:val="en-US" w:eastAsia="zh-CN"/>
              </w:rPr>
              <w:t>满足得1分，不满足不得分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795"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16"/>
                <w:szCs w:val="16"/>
                <w:highlight w:val="none"/>
                <w:lang w:val="en-US" w:eastAsia="zh-CN"/>
              </w:rPr>
            </w:pPr>
          </w:p>
        </w:tc>
        <w:tc>
          <w:tcPr>
            <w:tcW w:w="5797" w:type="dxa"/>
            <w:noWrap w:val="0"/>
            <w:vAlign w:val="center"/>
          </w:tcPr>
          <w:p>
            <w:pPr>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Style w:val="962"/>
                <w:rFonts w:hint="eastAsia" w:ascii="仿宋" w:hAnsi="仿宋" w:eastAsia="仿宋" w:cs="仿宋"/>
                <w:color w:val="auto"/>
                <w:kern w:val="0"/>
                <w:sz w:val="24"/>
                <w:szCs w:val="24"/>
                <w:highlight w:val="none"/>
                <w:lang w:val="zh-CN"/>
              </w:rPr>
              <w:t>建立规范的人力资源管理体系。</w:t>
            </w:r>
            <w:r>
              <w:rPr>
                <w:rStyle w:val="962"/>
                <w:rFonts w:hint="eastAsia" w:ascii="仿宋" w:hAnsi="仿宋" w:eastAsia="仿宋" w:cs="仿宋"/>
                <w:color w:val="auto"/>
                <w:kern w:val="0"/>
                <w:sz w:val="24"/>
                <w:szCs w:val="24"/>
                <w:highlight w:val="none"/>
                <w:lang w:val="en-US" w:eastAsia="zh-CN"/>
              </w:rPr>
              <w:t>满足得1分，不满足不得分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795"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16"/>
                <w:szCs w:val="16"/>
                <w:highlight w:val="none"/>
                <w:lang w:val="en-US" w:eastAsia="zh-CN"/>
              </w:rPr>
            </w:pP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Style w:val="962"/>
                <w:rFonts w:hint="eastAsia" w:ascii="仿宋" w:hAnsi="仿宋" w:eastAsia="仿宋" w:cs="仿宋"/>
                <w:color w:val="auto"/>
                <w:kern w:val="0"/>
                <w:sz w:val="24"/>
                <w:szCs w:val="24"/>
                <w:highlight w:val="none"/>
                <w:lang w:val="zh-CN"/>
              </w:rPr>
              <w:t>制定纪律、廉政、安全、宣传、档案管理等内部管理制度，</w:t>
            </w:r>
            <w:r>
              <w:rPr>
                <w:rStyle w:val="962"/>
                <w:rFonts w:hint="eastAsia" w:ascii="仿宋" w:hAnsi="仿宋" w:eastAsia="仿宋" w:cs="仿宋"/>
                <w:color w:val="auto"/>
                <w:kern w:val="0"/>
                <w:sz w:val="24"/>
                <w:szCs w:val="24"/>
                <w:highlight w:val="none"/>
                <w:lang w:val="en-US" w:eastAsia="zh-CN"/>
              </w:rPr>
              <w:t>每具备一项得1分，最多5分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p>
        </w:tc>
        <w:tc>
          <w:tcPr>
            <w:tcW w:w="5797" w:type="dxa"/>
            <w:noWrap w:val="0"/>
            <w:vAlign w:val="center"/>
          </w:tcPr>
          <w:p>
            <w:pPr>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Style w:val="962"/>
                <w:rFonts w:hint="eastAsia" w:ascii="仿宋" w:hAnsi="仿宋" w:eastAsia="仿宋" w:cs="仿宋"/>
                <w:color w:val="auto"/>
                <w:kern w:val="0"/>
                <w:sz w:val="24"/>
                <w:szCs w:val="24"/>
                <w:highlight w:val="none"/>
                <w:lang w:val="zh-CN"/>
              </w:rPr>
              <w:t>具有明确的分工和职责要求并对应制定考核办法。</w:t>
            </w:r>
            <w:r>
              <w:rPr>
                <w:rStyle w:val="962"/>
                <w:rFonts w:hint="eastAsia" w:ascii="仿宋" w:hAnsi="仿宋" w:eastAsia="仿宋" w:cs="仿宋"/>
                <w:color w:val="auto"/>
                <w:kern w:val="0"/>
                <w:sz w:val="24"/>
                <w:szCs w:val="24"/>
                <w:highlight w:val="none"/>
                <w:lang w:val="en-US" w:eastAsia="zh-CN"/>
              </w:rPr>
              <w:t>满足得1分，不满足不得分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eastAsia="zh-CN"/>
              </w:rPr>
            </w:pPr>
          </w:p>
        </w:tc>
        <w:tc>
          <w:tcPr>
            <w:tcW w:w="5797" w:type="dxa"/>
            <w:noWrap w:val="0"/>
            <w:vAlign w:val="center"/>
          </w:tcPr>
          <w:p>
            <w:pPr>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w:t>
            </w:r>
            <w:r>
              <w:rPr>
                <w:rStyle w:val="962"/>
                <w:rFonts w:hint="eastAsia" w:ascii="仿宋" w:hAnsi="仿宋" w:eastAsia="仿宋" w:cs="仿宋"/>
                <w:color w:val="auto"/>
                <w:kern w:val="0"/>
                <w:sz w:val="24"/>
                <w:szCs w:val="24"/>
                <w:highlight w:val="none"/>
                <w:lang w:val="zh-CN"/>
              </w:rPr>
              <w:t>实行末位淘汰等奖优罚劣措施。</w:t>
            </w:r>
            <w:r>
              <w:rPr>
                <w:rStyle w:val="962"/>
                <w:rFonts w:hint="eastAsia" w:ascii="仿宋" w:hAnsi="仿宋" w:eastAsia="仿宋" w:cs="仿宋"/>
                <w:color w:val="auto"/>
                <w:kern w:val="0"/>
                <w:sz w:val="24"/>
                <w:szCs w:val="24"/>
                <w:highlight w:val="none"/>
                <w:lang w:val="en-US" w:eastAsia="zh-CN"/>
              </w:rPr>
              <w:t>满足得1分，不满足不得分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p>
        </w:tc>
        <w:tc>
          <w:tcPr>
            <w:tcW w:w="795"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w:t>
            </w: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信息采集队伍组建</w:t>
            </w:r>
            <w:r>
              <w:rPr>
                <w:rFonts w:hint="eastAsia" w:ascii="仿宋" w:hAnsi="仿宋" w:eastAsia="仿宋" w:cs="仿宋"/>
                <w:color w:val="auto"/>
                <w:sz w:val="24"/>
                <w:highlight w:val="none"/>
                <w:lang w:val="en-US" w:eastAsia="zh-CN"/>
              </w:rPr>
              <w:t>响应情况。</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795" w:type="dxa"/>
            <w:noWrap w:val="0"/>
            <w:vAlign w:val="center"/>
          </w:tcPr>
          <w:p>
            <w:pPr>
              <w:adjustRightInd w:val="0"/>
              <w:snapToGrid w:val="0"/>
              <w:jc w:val="center"/>
              <w:rPr>
                <w:rFonts w:hint="default" w:ascii="仿宋" w:hAnsi="仿宋" w:eastAsia="仿宋" w:cs="仿宋"/>
                <w:color w:val="auto"/>
                <w:sz w:val="24"/>
                <w:highlight w:val="none"/>
                <w:lang w:val="en-US" w:eastAsia="zh-CN"/>
              </w:rPr>
            </w:pP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eastAsia="zh-CN"/>
              </w:rPr>
              <w:t>）项目负责人学历及从业经历情况。具有3年及以上信息采集项目经理从业经验且具有管理类本科及以上学历得5分；具有2年及以上信息采集项</w:t>
            </w:r>
            <w:bookmarkStart w:id="424" w:name="_GoBack"/>
            <w:bookmarkEnd w:id="424"/>
            <w:r>
              <w:rPr>
                <w:rFonts w:hint="eastAsia" w:ascii="仿宋" w:hAnsi="仿宋" w:eastAsia="仿宋" w:cs="仿宋"/>
                <w:color w:val="auto"/>
                <w:sz w:val="24"/>
                <w:highlight w:val="none"/>
                <w:lang w:val="zh-CN" w:eastAsia="zh-CN"/>
              </w:rPr>
              <w:t>目经理从业经验且具有管理类专科及以上学历得3分；具有1年及以上信息采集项目管理员从业经验且具有管理类专科及以上学历得1分。证明材料</w:t>
            </w:r>
            <w:r>
              <w:rPr>
                <w:rFonts w:hint="eastAsia" w:ascii="仿宋" w:hAnsi="仿宋" w:eastAsia="仿宋" w:cs="仿宋"/>
                <w:color w:val="auto"/>
                <w:sz w:val="24"/>
                <w:highlight w:val="none"/>
                <w:lang w:val="en-US" w:eastAsia="zh-CN"/>
              </w:rPr>
              <w:t>:提供作为项目经理的</w:t>
            </w:r>
            <w:r>
              <w:rPr>
                <w:rFonts w:hint="eastAsia" w:ascii="仿宋" w:hAnsi="仿宋" w:eastAsia="仿宋" w:cs="仿宋"/>
                <w:color w:val="auto"/>
                <w:sz w:val="24"/>
                <w:highlight w:val="none"/>
                <w:lang w:val="zh-CN" w:eastAsia="zh-CN"/>
              </w:rPr>
              <w:t>从业经验证明资料（例如合同、业主证明或者其他能体现职位和从业经验时限的证明材料）、现有公司最近连续</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eastAsia="zh-CN"/>
              </w:rPr>
              <w:t>个月社保缴纳清单、学历证书，证明材料不全或不符合要求不得分。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795"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zh-CN" w:eastAsia="zh-CN"/>
              </w:rPr>
              <w:t>）项目管理员学历及从业经历情况：具有1年及以上信息采集从业经验且具有管理类专科及以上学历，每有</w:t>
            </w:r>
            <w:r>
              <w:rPr>
                <w:rFonts w:hint="eastAsia" w:ascii="仿宋" w:hAnsi="仿宋" w:eastAsia="仿宋" w:cs="仿宋"/>
                <w:color w:val="auto"/>
                <w:sz w:val="24"/>
                <w:highlight w:val="none"/>
                <w:lang w:val="en-US" w:eastAsia="zh-CN"/>
              </w:rPr>
              <w:t>1人得1.5分，最高得6分。</w:t>
            </w:r>
            <w:r>
              <w:rPr>
                <w:rFonts w:hint="eastAsia" w:ascii="仿宋" w:hAnsi="仿宋" w:eastAsia="仿宋" w:cs="仿宋"/>
                <w:color w:val="auto"/>
                <w:sz w:val="24"/>
                <w:highlight w:val="none"/>
                <w:lang w:val="zh-CN" w:eastAsia="zh-CN"/>
              </w:rPr>
              <w:t>需提供证明材料</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val="zh-CN" w:eastAsia="zh-CN"/>
              </w:rPr>
              <w:t>从业经验证明资料（例如合同、业主证明或者其他能体现从业经验时限的证明材料）、现有公司最近连续</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eastAsia="zh-CN"/>
              </w:rPr>
              <w:t>个月社保缴纳清单、学历证书等。证明材料不全或不符合要求的人员不得分。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eastAsia="zh-CN"/>
              </w:rPr>
            </w:pPr>
          </w:p>
        </w:tc>
        <w:tc>
          <w:tcPr>
            <w:tcW w:w="5797" w:type="dxa"/>
            <w:noWrap w:val="0"/>
            <w:vAlign w:val="center"/>
          </w:tcPr>
          <w:p>
            <w:pPr>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投标文件中已组建项目组人员数量，与采购需求比较的充足率</w:t>
            </w:r>
            <w:r>
              <w:rPr>
                <w:rFonts w:hint="eastAsia" w:ascii="仿宋" w:hAnsi="仿宋" w:eastAsia="仿宋" w:cs="仿宋"/>
                <w:color w:val="auto"/>
                <w:sz w:val="24"/>
                <w:highlight w:val="none"/>
                <w:lang w:eastAsia="zh-CN"/>
              </w:rPr>
              <w:t>（不包括中标后按</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lang w:eastAsia="zh-CN"/>
              </w:rPr>
              <w:t>文件中人员要求补足</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lang w:eastAsia="zh-CN"/>
              </w:rPr>
              <w:t>人数）：项目组人员数量达到本项目所需要求</w:t>
            </w:r>
            <w:r>
              <w:rPr>
                <w:rFonts w:hint="eastAsia" w:ascii="仿宋" w:hAnsi="仿宋" w:eastAsia="仿宋" w:cs="仿宋"/>
                <w:color w:val="auto"/>
                <w:sz w:val="24"/>
                <w:highlight w:val="none"/>
                <w:lang w:val="en-US" w:eastAsia="zh-CN"/>
              </w:rPr>
              <w:t>42人</w:t>
            </w:r>
            <w:r>
              <w:rPr>
                <w:rFonts w:hint="eastAsia" w:ascii="仿宋" w:hAnsi="仿宋" w:eastAsia="仿宋" w:cs="仿宋"/>
                <w:color w:val="auto"/>
                <w:sz w:val="24"/>
                <w:highlight w:val="none"/>
                <w:lang w:eastAsia="zh-CN"/>
              </w:rPr>
              <w:t>及以上的得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分，达到</w:t>
            </w:r>
            <w:r>
              <w:rPr>
                <w:rFonts w:hint="eastAsia" w:ascii="仿宋" w:hAnsi="仿宋" w:eastAsia="仿宋" w:cs="仿宋"/>
                <w:color w:val="auto"/>
                <w:sz w:val="24"/>
                <w:highlight w:val="none"/>
                <w:lang w:val="en-US" w:eastAsia="zh-CN"/>
              </w:rPr>
              <w:t>34人</w:t>
            </w:r>
            <w:r>
              <w:rPr>
                <w:rFonts w:hint="eastAsia" w:ascii="仿宋" w:hAnsi="仿宋" w:eastAsia="仿宋" w:cs="仿宋"/>
                <w:color w:val="auto"/>
                <w:sz w:val="24"/>
                <w:highlight w:val="none"/>
                <w:lang w:eastAsia="zh-CN"/>
              </w:rPr>
              <w:t>及以上不足</w:t>
            </w:r>
            <w:r>
              <w:rPr>
                <w:rFonts w:hint="eastAsia" w:ascii="仿宋" w:hAnsi="仿宋" w:eastAsia="仿宋" w:cs="仿宋"/>
                <w:color w:val="auto"/>
                <w:sz w:val="24"/>
                <w:highlight w:val="none"/>
                <w:lang w:val="en-US" w:eastAsia="zh-CN"/>
              </w:rPr>
              <w:t>42人</w:t>
            </w:r>
            <w:r>
              <w:rPr>
                <w:rFonts w:hint="eastAsia" w:ascii="仿宋" w:hAnsi="仿宋" w:eastAsia="仿宋" w:cs="仿宋"/>
                <w:color w:val="auto"/>
                <w:sz w:val="24"/>
                <w:highlight w:val="none"/>
                <w:lang w:eastAsia="zh-CN"/>
              </w:rPr>
              <w:t>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分，达到</w:t>
            </w:r>
            <w:r>
              <w:rPr>
                <w:rFonts w:hint="eastAsia" w:ascii="仿宋" w:hAnsi="仿宋" w:eastAsia="仿宋" w:cs="仿宋"/>
                <w:color w:val="auto"/>
                <w:sz w:val="24"/>
                <w:highlight w:val="none"/>
                <w:lang w:val="en-US" w:eastAsia="zh-CN"/>
              </w:rPr>
              <w:t>25人</w:t>
            </w:r>
            <w:r>
              <w:rPr>
                <w:rFonts w:hint="eastAsia" w:ascii="仿宋" w:hAnsi="仿宋" w:eastAsia="仿宋" w:cs="仿宋"/>
                <w:color w:val="auto"/>
                <w:sz w:val="24"/>
                <w:highlight w:val="none"/>
                <w:lang w:eastAsia="zh-CN"/>
              </w:rPr>
              <w:t>及以上不足</w:t>
            </w:r>
            <w:r>
              <w:rPr>
                <w:rFonts w:hint="eastAsia" w:ascii="仿宋" w:hAnsi="仿宋" w:eastAsia="仿宋" w:cs="仿宋"/>
                <w:color w:val="auto"/>
                <w:sz w:val="24"/>
                <w:highlight w:val="none"/>
                <w:lang w:val="en-US" w:eastAsia="zh-CN"/>
              </w:rPr>
              <w:t>34人</w:t>
            </w:r>
            <w:r>
              <w:rPr>
                <w:rFonts w:hint="eastAsia" w:ascii="仿宋" w:hAnsi="仿宋" w:eastAsia="仿宋" w:cs="仿宋"/>
                <w:color w:val="auto"/>
                <w:sz w:val="24"/>
                <w:highlight w:val="none"/>
                <w:lang w:eastAsia="zh-CN"/>
              </w:rPr>
              <w:t>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分，达到</w:t>
            </w:r>
            <w:r>
              <w:rPr>
                <w:rFonts w:hint="eastAsia" w:ascii="仿宋" w:hAnsi="仿宋" w:eastAsia="仿宋" w:cs="仿宋"/>
                <w:color w:val="auto"/>
                <w:sz w:val="24"/>
                <w:highlight w:val="none"/>
                <w:lang w:val="en-US" w:eastAsia="zh-CN"/>
              </w:rPr>
              <w:t>17人</w:t>
            </w:r>
            <w:r>
              <w:rPr>
                <w:rFonts w:hint="eastAsia" w:ascii="仿宋" w:hAnsi="仿宋" w:eastAsia="仿宋" w:cs="仿宋"/>
                <w:color w:val="auto"/>
                <w:sz w:val="24"/>
                <w:highlight w:val="none"/>
                <w:lang w:eastAsia="zh-CN"/>
              </w:rPr>
              <w:t>及以上不足</w:t>
            </w:r>
            <w:r>
              <w:rPr>
                <w:rFonts w:hint="eastAsia" w:ascii="仿宋" w:hAnsi="仿宋" w:eastAsia="仿宋" w:cs="仿宋"/>
                <w:color w:val="auto"/>
                <w:sz w:val="24"/>
                <w:highlight w:val="none"/>
                <w:lang w:val="en-US" w:eastAsia="zh-CN"/>
              </w:rPr>
              <w:t>25人</w:t>
            </w:r>
            <w:r>
              <w:rPr>
                <w:rFonts w:hint="eastAsia" w:ascii="仿宋" w:hAnsi="仿宋" w:eastAsia="仿宋" w:cs="仿宋"/>
                <w:color w:val="auto"/>
                <w:sz w:val="24"/>
                <w:highlight w:val="none"/>
                <w:lang w:eastAsia="zh-CN"/>
              </w:rPr>
              <w:t>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分，不足</w:t>
            </w:r>
            <w:r>
              <w:rPr>
                <w:rFonts w:hint="eastAsia" w:ascii="仿宋" w:hAnsi="仿宋" w:eastAsia="仿宋" w:cs="仿宋"/>
                <w:color w:val="auto"/>
                <w:sz w:val="24"/>
                <w:highlight w:val="none"/>
                <w:lang w:val="en-US" w:eastAsia="zh-CN"/>
              </w:rPr>
              <w:t>17人</w:t>
            </w:r>
            <w:r>
              <w:rPr>
                <w:rFonts w:hint="eastAsia" w:ascii="仿宋" w:hAnsi="仿宋" w:eastAsia="仿宋" w:cs="仿宋"/>
                <w:color w:val="auto"/>
                <w:sz w:val="24"/>
                <w:highlight w:val="none"/>
                <w:lang w:eastAsia="zh-CN"/>
              </w:rPr>
              <w:t>的不得分。</w:t>
            </w:r>
            <w:r>
              <w:rPr>
                <w:rStyle w:val="962"/>
                <w:rFonts w:hint="eastAsia" w:ascii="仿宋" w:hAnsi="仿宋" w:eastAsia="仿宋" w:cs="仿宋"/>
                <w:strike w:val="0"/>
                <w:dstrike w:val="0"/>
                <w:color w:val="auto"/>
                <w:sz w:val="24"/>
                <w:szCs w:val="24"/>
                <w:highlight w:val="none"/>
                <w:lang w:val="zh-CN"/>
              </w:rPr>
              <w:t>需提供证明材料【证明材料</w:t>
            </w:r>
            <w:r>
              <w:rPr>
                <w:rStyle w:val="962"/>
                <w:rFonts w:hint="eastAsia" w:ascii="仿宋" w:hAnsi="仿宋" w:eastAsia="仿宋" w:cs="仿宋"/>
                <w:strike w:val="0"/>
                <w:dstrike w:val="0"/>
                <w:color w:val="auto"/>
                <w:sz w:val="24"/>
                <w:szCs w:val="24"/>
                <w:highlight w:val="none"/>
                <w:lang w:val="en-US" w:eastAsia="zh-CN"/>
              </w:rPr>
              <w:t>：</w:t>
            </w:r>
            <w:r>
              <w:rPr>
                <w:rStyle w:val="962"/>
                <w:rFonts w:hint="eastAsia" w:ascii="仿宋" w:hAnsi="仿宋" w:eastAsia="仿宋" w:cs="仿宋"/>
                <w:strike w:val="0"/>
                <w:dstrike w:val="0"/>
                <w:color w:val="auto"/>
                <w:sz w:val="24"/>
                <w:szCs w:val="24"/>
                <w:highlight w:val="none"/>
                <w:lang w:val="zh-CN"/>
              </w:rPr>
              <w:t>现有公司为其缴纳的近</w:t>
            </w:r>
            <w:r>
              <w:rPr>
                <w:rStyle w:val="962"/>
                <w:rFonts w:hint="eastAsia" w:ascii="仿宋" w:hAnsi="仿宋" w:eastAsia="仿宋" w:cs="仿宋"/>
                <w:strike w:val="0"/>
                <w:dstrike w:val="0"/>
                <w:color w:val="auto"/>
                <w:sz w:val="24"/>
                <w:szCs w:val="24"/>
                <w:highlight w:val="none"/>
                <w:lang w:val="en-US" w:eastAsia="zh-CN"/>
              </w:rPr>
              <w:t>3个月</w:t>
            </w:r>
            <w:r>
              <w:rPr>
                <w:rStyle w:val="962"/>
                <w:rFonts w:hint="eastAsia" w:ascii="仿宋" w:hAnsi="仿宋" w:eastAsia="仿宋" w:cs="仿宋"/>
                <w:strike w:val="0"/>
                <w:dstrike w:val="0"/>
                <w:color w:val="auto"/>
                <w:sz w:val="24"/>
                <w:szCs w:val="24"/>
                <w:highlight w:val="none"/>
                <w:lang w:val="zh-CN"/>
              </w:rPr>
              <w:t>社保证明】，未提供证明材料或证明</w:t>
            </w:r>
            <w:r>
              <w:rPr>
                <w:rStyle w:val="962"/>
                <w:rFonts w:hint="eastAsia" w:ascii="仿宋" w:hAnsi="仿宋" w:eastAsia="仿宋" w:cs="仿宋"/>
                <w:color w:val="auto"/>
                <w:sz w:val="24"/>
                <w:szCs w:val="24"/>
                <w:highlight w:val="none"/>
                <w:lang w:val="zh-CN"/>
              </w:rPr>
              <w:t>材料不符合要求的人员不计入“项目组人员数量”</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p>
        </w:tc>
        <w:tc>
          <w:tcPr>
            <w:tcW w:w="5797" w:type="dxa"/>
            <w:noWrap w:val="0"/>
            <w:vAlign w:val="center"/>
          </w:tcPr>
          <w:p>
            <w:pPr>
              <w:snapToGrid w:val="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lang w:eastAsia="zh-CN"/>
              </w:rPr>
              <w:t>）</w:t>
            </w:r>
            <w:r>
              <w:rPr>
                <w:rFonts w:hint="eastAsia" w:ascii="仿宋" w:hAnsi="仿宋" w:eastAsia="仿宋" w:cs="仿宋"/>
                <w:snapToGrid w:val="0"/>
                <w:color w:val="auto"/>
                <w:kern w:val="0"/>
                <w:sz w:val="24"/>
                <w:szCs w:val="24"/>
                <w:highlight w:val="none"/>
                <w:lang w:val="en-US" w:eastAsia="zh-CN"/>
              </w:rPr>
              <w:t>整个项目团队人员中，应有成员</w:t>
            </w:r>
            <w:r>
              <w:rPr>
                <w:rFonts w:hint="eastAsia" w:ascii="仿宋" w:hAnsi="仿宋" w:eastAsia="仿宋" w:cs="仿宋"/>
                <w:snapToGrid w:val="0"/>
                <w:color w:val="auto"/>
                <w:kern w:val="0"/>
                <w:sz w:val="24"/>
                <w:szCs w:val="24"/>
                <w:highlight w:val="none"/>
                <w:lang w:val="zh-CN" w:eastAsia="zh-CN"/>
              </w:rPr>
              <w:t>取得国家认可证书的人力资源管理师证书。</w:t>
            </w:r>
            <w:r>
              <w:rPr>
                <w:rFonts w:hint="eastAsia" w:ascii="仿宋" w:hAnsi="仿宋" w:eastAsia="仿宋" w:cs="仿宋"/>
                <w:snapToGrid w:val="0"/>
                <w:color w:val="auto"/>
                <w:kern w:val="0"/>
                <w:sz w:val="24"/>
                <w:szCs w:val="24"/>
                <w:highlight w:val="none"/>
                <w:lang w:val="en-US" w:eastAsia="zh-CN"/>
              </w:rPr>
              <w:t>满足得1分，不满足不得分。</w:t>
            </w:r>
            <w:r>
              <w:rPr>
                <w:rStyle w:val="962"/>
                <w:rFonts w:hint="eastAsia" w:ascii="仿宋" w:hAnsi="仿宋" w:eastAsia="仿宋" w:cs="仿宋"/>
                <w:color w:val="auto"/>
                <w:sz w:val="24"/>
                <w:szCs w:val="24"/>
                <w:highlight w:val="none"/>
                <w:lang w:val="zh-CN"/>
              </w:rPr>
              <w:t>需提供证明材料【现有公司最近连续</w:t>
            </w:r>
            <w:r>
              <w:rPr>
                <w:rStyle w:val="962"/>
                <w:rFonts w:hint="eastAsia" w:ascii="仿宋" w:hAnsi="仿宋" w:eastAsia="仿宋" w:cs="仿宋"/>
                <w:color w:val="auto"/>
                <w:sz w:val="24"/>
                <w:szCs w:val="24"/>
                <w:highlight w:val="none"/>
              </w:rPr>
              <w:t>3</w:t>
            </w:r>
            <w:r>
              <w:rPr>
                <w:rStyle w:val="962"/>
                <w:rFonts w:hint="eastAsia" w:ascii="仿宋" w:hAnsi="仿宋" w:eastAsia="仿宋" w:cs="仿宋"/>
                <w:color w:val="auto"/>
                <w:sz w:val="24"/>
                <w:szCs w:val="24"/>
                <w:highlight w:val="none"/>
                <w:lang w:val="zh-CN"/>
              </w:rPr>
              <w:t>个月社保缴纳清单、人力资源管理师证书扫描件】，证明材料不全或不符合要求不得分。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795"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p>
        </w:tc>
        <w:tc>
          <w:tcPr>
            <w:tcW w:w="5797" w:type="dxa"/>
            <w:noWrap w:val="0"/>
            <w:vAlign w:val="center"/>
          </w:tcPr>
          <w:p>
            <w:pPr>
              <w:snapToGrid w:val="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lang w:eastAsia="zh-CN"/>
              </w:rPr>
              <w:t>）</w:t>
            </w:r>
            <w:r>
              <w:rPr>
                <w:rStyle w:val="962"/>
                <w:rFonts w:hint="eastAsia" w:ascii="仿宋" w:hAnsi="仿宋" w:eastAsia="仿宋" w:cs="仿宋"/>
                <w:color w:val="auto"/>
                <w:kern w:val="2"/>
                <w:sz w:val="24"/>
                <w:szCs w:val="24"/>
                <w:highlight w:val="none"/>
                <w:lang w:val="zh-CN" w:eastAsia="zh-CN" w:bidi="ar-SA"/>
              </w:rPr>
              <w:t>承诺项目组人员扣除“社保”和意外险后的月均实际收入不低于当年杭州市最低工资标准数额。承诺的得</w:t>
            </w:r>
            <w:r>
              <w:rPr>
                <w:rStyle w:val="962"/>
                <w:rFonts w:hint="eastAsia" w:ascii="仿宋" w:hAnsi="仿宋" w:eastAsia="仿宋" w:cs="仿宋"/>
                <w:color w:val="auto"/>
                <w:kern w:val="2"/>
                <w:sz w:val="24"/>
                <w:szCs w:val="24"/>
                <w:highlight w:val="none"/>
                <w:lang w:val="en-US" w:eastAsia="zh-CN" w:bidi="ar-SA"/>
              </w:rPr>
              <w:t>1</w:t>
            </w:r>
            <w:r>
              <w:rPr>
                <w:rStyle w:val="962"/>
                <w:rFonts w:hint="eastAsia" w:ascii="仿宋" w:hAnsi="仿宋" w:eastAsia="仿宋" w:cs="仿宋"/>
                <w:color w:val="auto"/>
                <w:kern w:val="2"/>
                <w:sz w:val="24"/>
                <w:szCs w:val="24"/>
                <w:highlight w:val="none"/>
                <w:lang w:val="zh-CN" w:eastAsia="zh-CN" w:bidi="ar-SA"/>
              </w:rPr>
              <w:t>分，未承诺不得分。在投标文件中提供承诺书等证明材料</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795" w:type="dxa"/>
            <w:noWrap w:val="0"/>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p>
        </w:tc>
        <w:tc>
          <w:tcPr>
            <w:tcW w:w="5797" w:type="dxa"/>
            <w:noWrap w:val="0"/>
            <w:vAlign w:val="center"/>
          </w:tcPr>
          <w:p>
            <w:pPr>
              <w:snapToGrid w:val="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lang w:eastAsia="zh-CN"/>
              </w:rPr>
              <w:t>）</w:t>
            </w:r>
            <w:r>
              <w:rPr>
                <w:rStyle w:val="962"/>
                <w:rFonts w:hint="eastAsia" w:ascii="仿宋" w:hAnsi="仿宋" w:eastAsia="仿宋" w:cs="仿宋"/>
                <w:color w:val="auto"/>
                <w:kern w:val="0"/>
                <w:sz w:val="24"/>
                <w:szCs w:val="24"/>
                <w:highlight w:val="none"/>
                <w:lang w:val="en-US" w:eastAsia="zh-CN" w:bidi="ar-SA"/>
              </w:rPr>
              <w:t>用于信息采集所提供的机动车车辆符合采购人的要求的得2分，不满足不得分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795"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p>
        </w:tc>
        <w:tc>
          <w:tcPr>
            <w:tcW w:w="5797" w:type="dxa"/>
            <w:noWrap w:val="0"/>
            <w:vAlign w:val="center"/>
          </w:tcPr>
          <w:p>
            <w:pPr>
              <w:snapToGrid w:val="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lang w:eastAsia="zh-CN"/>
              </w:rPr>
              <w:t>）</w:t>
            </w:r>
            <w:r>
              <w:rPr>
                <w:rFonts w:hint="eastAsia" w:ascii="仿宋" w:hAnsi="仿宋" w:eastAsia="仿宋" w:cs="仿宋"/>
                <w:snapToGrid w:val="0"/>
                <w:color w:val="auto"/>
                <w:kern w:val="0"/>
                <w:sz w:val="24"/>
                <w:szCs w:val="24"/>
                <w:highlight w:val="none"/>
                <w:lang w:val="en-US" w:eastAsia="zh-CN"/>
              </w:rPr>
              <w:t>在满足人员、车辆基本数量基础上，投标人承诺在人员配备数量、员工工资待遇保障、巡查车辆配备数量等方面提供有实质性有利于项目开展的内容。</w:t>
            </w:r>
            <w:r>
              <w:rPr>
                <w:rFonts w:hint="eastAsia" w:ascii="仿宋" w:hAnsi="仿宋" w:eastAsia="仿宋" w:cs="仿宋"/>
                <w:color w:val="auto"/>
                <w:sz w:val="24"/>
                <w:szCs w:val="24"/>
                <w:highlight w:val="none"/>
                <w:lang w:val="en-US" w:eastAsia="zh-CN"/>
              </w:rPr>
              <w:t>每项承诺得1分，没有不予计分</w:t>
            </w:r>
          </w:p>
        </w:tc>
        <w:tc>
          <w:tcPr>
            <w:tcW w:w="1080" w:type="dxa"/>
            <w:noWrap w:val="0"/>
            <w:vAlign w:val="center"/>
          </w:tcPr>
          <w:p>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w:t>
            </w:r>
          </w:p>
        </w:tc>
        <w:tc>
          <w:tcPr>
            <w:tcW w:w="795" w:type="dxa"/>
            <w:noWrap w:val="0"/>
            <w:vAlign w:val="center"/>
          </w:tcPr>
          <w:p>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5797" w:type="dxa"/>
            <w:noWrap w:val="0"/>
            <w:vAlign w:val="center"/>
          </w:tcPr>
          <w:p>
            <w:pPr>
              <w:snapToGrid w:val="0"/>
              <w:rPr>
                <w:rFonts w:hint="eastAsia" w:ascii="仿宋" w:hAnsi="仿宋" w:eastAsia="仿宋" w:cs="仿宋"/>
                <w:color w:val="auto"/>
                <w:sz w:val="24"/>
                <w:highlight w:val="none"/>
              </w:rPr>
            </w:pPr>
            <w:r>
              <w:rPr>
                <w:rFonts w:hint="eastAsia" w:ascii="仿宋" w:hAnsi="仿宋" w:eastAsia="仿宋" w:cs="仿宋"/>
                <w:snapToGrid w:val="0"/>
                <w:color w:val="auto"/>
                <w:kern w:val="0"/>
                <w:sz w:val="24"/>
                <w:szCs w:val="24"/>
                <w:highlight w:val="none"/>
                <w:lang w:val="en-US" w:eastAsia="zh-CN"/>
              </w:rPr>
              <w:t>投标人承诺中标后在所中标区域内设立固定办公场所，便于工作开展及管理。承诺</w:t>
            </w:r>
            <w:r>
              <w:rPr>
                <w:rFonts w:hint="eastAsia" w:ascii="仿宋" w:hAnsi="仿宋" w:eastAsia="仿宋" w:cs="仿宋"/>
                <w:color w:val="auto"/>
                <w:sz w:val="24"/>
                <w:highlight w:val="none"/>
              </w:rPr>
              <w:t>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分，未承诺不得分。在投标文件中提供承诺书等证明材料</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795"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bl>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0"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adjustRightInd/>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三、评标程序</w:t>
      </w:r>
    </w:p>
    <w:p>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0"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29"/>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3.4.1.5政采云平台填报的开标一览表中的价格与上传的报价响应文件中开标一览表的报价不一致的，以上传的报价响应文件中开标一览表的价格为准，修正平台上的投标报价。</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20</w:t>
      </w:r>
      <w:r>
        <w:rPr>
          <w:rFonts w:ascii="仿宋" w:hAnsi="仿宋" w:eastAsia="仿宋" w:cs="仿宋"/>
          <w:color w:val="auto"/>
          <w:kern w:val="0"/>
          <w:szCs w:val="24"/>
          <w:highlight w:val="none"/>
        </w:rPr>
        <w:t>%的扣除，用扣除后的价格参与评审。接受大中型企业与小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lang w:val="en-US" w:eastAsia="zh-CN"/>
        </w:rPr>
        <w:t>6</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0"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29"/>
        <w:spacing w:before="0"/>
        <w:ind w:firstLine="470"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3"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4.2.12投标人仅提交备份投标文件，没有在电子交易平台传输递交投标文件的，投标无效；</w:t>
      </w:r>
    </w:p>
    <w:p>
      <w:pPr>
        <w:pStyle w:val="2"/>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4"/>
        <w:snapToGrid w:val="0"/>
        <w:spacing w:line="360" w:lineRule="auto"/>
        <w:ind w:firstLine="470"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24"/>
        <w:snapToGrid w:val="0"/>
        <w:spacing w:line="360" w:lineRule="auto"/>
        <w:ind w:firstLine="588"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88"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4"/>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4"/>
        <w:snapToGrid w:val="0"/>
        <w:spacing w:line="360" w:lineRule="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bookmarkEnd w:id="26"/>
      <w:bookmarkStart w:id="419" w:name="第五部分"/>
      <w:bookmarkStart w:id="420" w:name="_Toc86217003"/>
    </w:p>
    <w:p>
      <w:pPr>
        <w:spacing w:line="360" w:lineRule="auto"/>
        <w:ind w:left="720" w:leftChars="343" w:firstLine="1080" w:firstLineChars="300"/>
        <w:outlineLvl w:val="0"/>
        <w:rPr>
          <w:rFonts w:hint="eastAsia" w:ascii="仿宋" w:hAnsi="仿宋" w:eastAsia="仿宋" w:cs="仿宋"/>
          <w:b/>
          <w:color w:val="auto"/>
          <w:sz w:val="36"/>
          <w:szCs w:val="36"/>
          <w:highlight w:val="none"/>
        </w:rPr>
      </w:pPr>
    </w:p>
    <w:p>
      <w:pPr>
        <w:spacing w:line="360" w:lineRule="auto"/>
        <w:ind w:left="720" w:leftChars="343" w:firstLine="1080" w:firstLineChars="300"/>
        <w:outlineLvl w:val="0"/>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合同将由</w:t>
      </w:r>
      <w:r>
        <w:rPr>
          <w:rFonts w:hint="eastAsia" w:ascii="仿宋" w:hAnsi="仿宋" w:eastAsia="仿宋" w:cs="仿宋"/>
          <w:snapToGrid w:val="0"/>
          <w:color w:val="auto"/>
          <w:kern w:val="0"/>
          <w:sz w:val="24"/>
          <w:szCs w:val="24"/>
          <w:highlight w:val="none"/>
          <w:lang w:eastAsia="zh-CN"/>
        </w:rPr>
        <w:t>杭州市钱塘区综合行政执法局</w:t>
      </w:r>
      <w:r>
        <w:rPr>
          <w:rFonts w:hint="eastAsia" w:ascii="仿宋" w:hAnsi="仿宋" w:eastAsia="仿宋" w:cs="仿宋"/>
          <w:snapToGrid w:val="0"/>
          <w:color w:val="auto"/>
          <w:kern w:val="0"/>
          <w:sz w:val="24"/>
          <w:szCs w:val="24"/>
          <w:highlight w:val="none"/>
        </w:rPr>
        <w:t>（以下简称甲方）与经评审最终确定的项目中标人（以下简称乙方）结合本项目具体情况协商后签订。以下为采购人提出涉及乙方的主要条款，投标人在投标文件中应对其进行确认或拒绝。如投标人在其投标文件中未做拒绝或提出修改要求的，采购人将视作认同。</w:t>
      </w:r>
    </w:p>
    <w:p>
      <w:pPr>
        <w:snapToGrid w:val="0"/>
        <w:spacing w:before="120" w:beforeLines="50" w:after="120" w:afterLines="50"/>
        <w:jc w:val="center"/>
        <w:rPr>
          <w:rFonts w:hint="eastAsia" w:ascii="仿宋" w:hAnsi="仿宋" w:eastAsia="仿宋" w:cs="仿宋"/>
          <w:b/>
          <w:color w:val="auto"/>
          <w:sz w:val="30"/>
          <w:highlight w:val="none"/>
          <w:lang w:eastAsia="zh-CN"/>
        </w:rPr>
      </w:pPr>
      <w:r>
        <w:rPr>
          <w:rFonts w:hint="eastAsia" w:ascii="仿宋" w:hAnsi="仿宋" w:eastAsia="仿宋" w:cs="仿宋"/>
          <w:b/>
          <w:color w:val="auto"/>
          <w:sz w:val="30"/>
          <w:highlight w:val="none"/>
          <w:lang w:eastAsia="zh-CN"/>
        </w:rPr>
        <w:t>2023年钱塘区数字城管服务外包项目（江东区域）</w:t>
      </w:r>
    </w:p>
    <w:p>
      <w:pPr>
        <w:snapToGrid w:val="0"/>
        <w:spacing w:before="120" w:beforeLines="50" w:after="120" w:afterLines="50"/>
        <w:jc w:val="center"/>
        <w:rPr>
          <w:rFonts w:hint="eastAsia" w:ascii="仿宋" w:hAnsi="仿宋" w:eastAsia="仿宋" w:cs="仿宋"/>
          <w:color w:val="auto"/>
          <w:highlight w:val="none"/>
          <w:lang w:eastAsia="zh-CN"/>
        </w:rPr>
      </w:pPr>
      <w:r>
        <w:rPr>
          <w:rFonts w:hint="eastAsia" w:ascii="仿宋" w:hAnsi="仿宋" w:eastAsia="仿宋" w:cs="仿宋"/>
          <w:b/>
          <w:color w:val="auto"/>
          <w:sz w:val="32"/>
          <w:szCs w:val="32"/>
          <w:highlight w:val="none"/>
        </w:rPr>
        <w:t>政府采购</w:t>
      </w:r>
      <w:r>
        <w:rPr>
          <w:rFonts w:hint="eastAsia" w:ascii="仿宋" w:hAnsi="仿宋" w:eastAsia="仿宋" w:cs="仿宋"/>
          <w:b/>
          <w:color w:val="auto"/>
          <w:sz w:val="32"/>
          <w:szCs w:val="32"/>
          <w:highlight w:val="none"/>
          <w:lang w:val="zh-CN"/>
        </w:rPr>
        <w:t>合同</w:t>
      </w:r>
    </w:p>
    <w:p>
      <w:pPr>
        <w:snapToGrid w:val="0"/>
        <w:spacing w:before="120" w:beforeLines="50" w:after="120" w:afterLines="50"/>
        <w:jc w:val="center"/>
        <w:rPr>
          <w:rFonts w:hint="eastAsia" w:ascii="仿宋" w:hAnsi="仿宋" w:eastAsia="仿宋" w:cs="仿宋"/>
          <w:b/>
          <w:color w:val="auto"/>
          <w:sz w:val="30"/>
          <w:highlight w:val="none"/>
        </w:rPr>
      </w:pPr>
      <w:r>
        <w:rPr>
          <w:rFonts w:hint="eastAsia" w:ascii="仿宋" w:hAnsi="仿宋" w:eastAsia="仿宋" w:cs="仿宋"/>
          <w:color w:val="auto"/>
          <w:spacing w:val="-6"/>
          <w:highlight w:val="none"/>
        </w:rPr>
        <w:t>（本合同为合同样稿）</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合同编号：</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签订地点：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r>
        <w:rPr>
          <w:rFonts w:hint="eastAsia" w:ascii="仿宋" w:hAnsi="仿宋" w:eastAsia="仿宋" w:cs="仿宋"/>
          <w:color w:val="auto"/>
          <w:sz w:val="24"/>
          <w:szCs w:val="24"/>
          <w:highlight w:val="none"/>
          <w:lang w:eastAsia="zh-CN"/>
        </w:rPr>
        <w:t>采购单位</w:t>
      </w:r>
      <w:r>
        <w:rPr>
          <w:rFonts w:hint="eastAsia" w:ascii="仿宋" w:hAnsi="仿宋" w:eastAsia="仿宋" w:cs="仿宋"/>
          <w:color w:val="auto"/>
          <w:sz w:val="24"/>
          <w:szCs w:val="24"/>
          <w:highlight w:val="none"/>
        </w:rPr>
        <w:t xml:space="preserve">）：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 xml:space="preserve">）：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采购单位</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双方根据</w:t>
      </w:r>
      <w:r>
        <w:rPr>
          <w:rFonts w:hint="eastAsia" w:ascii="仿宋" w:hAnsi="仿宋" w:eastAsia="仿宋" w:cs="仿宋"/>
          <w:color w:val="auto"/>
          <w:sz w:val="24"/>
          <w:szCs w:val="24"/>
          <w:highlight w:val="none"/>
          <w:u w:val="single"/>
          <w:lang w:eastAsia="zh-CN"/>
        </w:rPr>
        <w:t>2023年钱塘区数字城管服务外包项目（江东区域）</w:t>
      </w:r>
      <w:r>
        <w:rPr>
          <w:rFonts w:hint="eastAsia" w:ascii="仿宋" w:hAnsi="仿宋" w:eastAsia="仿宋" w:cs="仿宋"/>
          <w:color w:val="auto"/>
          <w:sz w:val="24"/>
          <w:szCs w:val="24"/>
          <w:highlight w:val="none"/>
        </w:rPr>
        <w:t>（采购编号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）采购结果和采购文件的要求，并经双方协调一致，订立本采购合同。</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一、合同标的</w:t>
      </w:r>
    </w:p>
    <w:p>
      <w:pPr>
        <w:pStyle w:val="5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根据甲方要求及管理标准，负责钱塘新区江东区域（以招标人指定为准）城市事件动态问题及部件完好、变更信息的限时采集；对热线投诉和社区联系站等途径反馈问题进行核查；对所发现问题结案前进行核实；根据城市管理工作的要求，实施各类专项信息采集工作以及数字城管要求的其他相关工作。</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二、合同金额</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本项目合同一年一签。</w:t>
      </w:r>
      <w:r>
        <w:rPr>
          <w:rFonts w:hint="eastAsia" w:ascii="仿宋" w:hAnsi="仿宋" w:eastAsia="仿宋" w:cs="仿宋"/>
          <w:color w:val="auto"/>
          <w:sz w:val="24"/>
          <w:szCs w:val="24"/>
          <w:highlight w:val="none"/>
        </w:rPr>
        <w:t xml:space="preserve">本合同金额为（大写）：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元（￥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元）人民币</w:t>
      </w:r>
      <w:r>
        <w:rPr>
          <w:rFonts w:hint="eastAsia" w:ascii="仿宋" w:hAnsi="仿宋" w:eastAsia="仿宋" w:cs="仿宋"/>
          <w:color w:val="auto"/>
          <w:sz w:val="24"/>
          <w:szCs w:val="24"/>
          <w:highlight w:val="none"/>
          <w:lang w:eastAsia="zh-CN"/>
        </w:rPr>
        <w:t>，其中一年合同金额为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元（￥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元）人民币。</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以上包含所有今后项目实施过程中所涉及到的一切费用。将实施而未列入报价的费用将被视为投标人优惠，甲方将不再另行支付。</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三、服务期限及基本要求</w:t>
      </w:r>
    </w:p>
    <w:p>
      <w:pPr>
        <w:pStyle w:val="5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1、本项目服务范围为杭州</w:t>
      </w:r>
      <w:r>
        <w:rPr>
          <w:rFonts w:hint="eastAsia" w:ascii="仿宋" w:hAnsi="仿宋" w:eastAsia="仿宋" w:cs="仿宋"/>
          <w:color w:val="auto"/>
          <w:sz w:val="24"/>
          <w:szCs w:val="24"/>
          <w:highlight w:val="none"/>
          <w:lang w:eastAsia="zh-CN"/>
        </w:rPr>
        <w:t>市</w:t>
      </w:r>
      <w:r>
        <w:rPr>
          <w:rFonts w:hint="eastAsia" w:ascii="仿宋" w:hAnsi="仿宋" w:eastAsia="仿宋" w:cs="仿宋"/>
          <w:color w:val="auto"/>
          <w:sz w:val="24"/>
          <w:szCs w:val="24"/>
          <w:highlight w:val="none"/>
        </w:rPr>
        <w:t>钱塘区江东区域，具体范围请服从甲方安排。</w:t>
      </w:r>
    </w:p>
    <w:p>
      <w:pPr>
        <w:pStyle w:val="5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服务期限：自     年   月   日起至     年   月   日止。</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2、投标人务必根据自身情况对实际每日具体在岗信息采集员进行配置。</w:t>
      </w:r>
      <w:r>
        <w:rPr>
          <w:rFonts w:hint="eastAsia" w:ascii="仿宋" w:hAnsi="仿宋" w:eastAsia="仿宋" w:cs="仿宋"/>
          <w:color w:val="auto"/>
          <w:sz w:val="24"/>
          <w:szCs w:val="24"/>
          <w:highlight w:val="none"/>
        </w:rPr>
        <w:t>人数</w:t>
      </w:r>
      <w:r>
        <w:rPr>
          <w:rFonts w:hint="eastAsia" w:ascii="仿宋" w:hAnsi="仿宋" w:eastAsia="仿宋" w:cs="仿宋"/>
          <w:color w:val="auto"/>
          <w:sz w:val="24"/>
          <w:szCs w:val="24"/>
          <w:highlight w:val="none"/>
          <w:lang w:val="en-US" w:eastAsia="zh-CN"/>
        </w:rPr>
        <w:t>总数</w:t>
      </w:r>
      <w:r>
        <w:rPr>
          <w:rFonts w:hint="eastAsia" w:ascii="仿宋" w:hAnsi="仿宋" w:eastAsia="仿宋" w:cs="仿宋"/>
          <w:color w:val="auto"/>
          <w:sz w:val="24"/>
          <w:szCs w:val="24"/>
          <w:highlight w:val="none"/>
        </w:rPr>
        <w:t>不少于</w:t>
      </w:r>
      <w:r>
        <w:rPr>
          <w:rFonts w:hint="eastAsia" w:ascii="仿宋" w:hAnsi="仿宋" w:eastAsia="仿宋" w:cs="仿宋"/>
          <w:color w:val="auto"/>
          <w:sz w:val="24"/>
          <w:szCs w:val="24"/>
          <w:highlight w:val="none"/>
          <w:lang w:val="en-US" w:eastAsia="zh-CN"/>
        </w:rPr>
        <w:t>42</w:t>
      </w:r>
      <w:r>
        <w:rPr>
          <w:rFonts w:hint="eastAsia" w:ascii="仿宋" w:hAnsi="仿宋" w:eastAsia="仿宋" w:cs="仿宋"/>
          <w:color w:val="auto"/>
          <w:sz w:val="24"/>
          <w:szCs w:val="24"/>
          <w:highlight w:val="none"/>
        </w:rPr>
        <w:t>人（含管理员</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人、项目负责人1人）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工作时</w:t>
      </w:r>
      <w:r>
        <w:rPr>
          <w:rFonts w:hint="eastAsia" w:ascii="仿宋" w:hAnsi="仿宋" w:eastAsia="仿宋" w:cs="仿宋"/>
          <w:snapToGrid w:val="0"/>
          <w:color w:val="auto"/>
          <w:kern w:val="0"/>
          <w:sz w:val="24"/>
          <w:szCs w:val="24"/>
          <w:highlight w:val="none"/>
        </w:rPr>
        <w:t>间路面</w:t>
      </w:r>
      <w:r>
        <w:rPr>
          <w:rFonts w:hint="eastAsia" w:ascii="仿宋" w:hAnsi="仿宋" w:eastAsia="仿宋" w:cs="仿宋"/>
          <w:snapToGrid w:val="0"/>
          <w:color w:val="auto"/>
          <w:kern w:val="0"/>
          <w:sz w:val="24"/>
          <w:szCs w:val="24"/>
          <w:highlight w:val="none"/>
          <w:lang w:val="en-US" w:eastAsia="zh-CN"/>
        </w:rPr>
        <w:t>在岗</w:t>
      </w:r>
      <w:r>
        <w:rPr>
          <w:rFonts w:hint="eastAsia" w:ascii="仿宋" w:hAnsi="仿宋" w:eastAsia="仿宋" w:cs="仿宋"/>
          <w:snapToGrid w:val="0"/>
          <w:color w:val="auto"/>
          <w:kern w:val="0"/>
          <w:sz w:val="24"/>
          <w:szCs w:val="24"/>
          <w:highlight w:val="none"/>
        </w:rPr>
        <w:t>巡查人数不少于</w:t>
      </w:r>
      <w:r>
        <w:rPr>
          <w:rFonts w:hint="eastAsia" w:ascii="仿宋" w:hAnsi="仿宋" w:eastAsia="仿宋" w:cs="仿宋"/>
          <w:snapToGrid w:val="0"/>
          <w:color w:val="auto"/>
          <w:kern w:val="0"/>
          <w:sz w:val="24"/>
          <w:szCs w:val="24"/>
          <w:highlight w:val="none"/>
          <w:lang w:val="en-US" w:eastAsia="zh-CN"/>
        </w:rPr>
        <w:t>30</w:t>
      </w:r>
      <w:r>
        <w:rPr>
          <w:rFonts w:hint="eastAsia" w:ascii="仿宋" w:hAnsi="仿宋" w:eastAsia="仿宋" w:cs="仿宋"/>
          <w:snapToGrid w:val="0"/>
          <w:color w:val="auto"/>
          <w:kern w:val="0"/>
          <w:sz w:val="24"/>
          <w:szCs w:val="24"/>
          <w:highlight w:val="none"/>
        </w:rPr>
        <w:t>人（机动车巡查不少于</w:t>
      </w:r>
      <w:r>
        <w:rPr>
          <w:rFonts w:hint="eastAsia" w:ascii="仿宋" w:hAnsi="仿宋" w:eastAsia="仿宋" w:cs="仿宋"/>
          <w:snapToGrid w:val="0"/>
          <w:color w:val="auto"/>
          <w:kern w:val="0"/>
          <w:sz w:val="24"/>
          <w:szCs w:val="24"/>
          <w:highlight w:val="none"/>
          <w:lang w:val="en-US" w:eastAsia="zh-CN"/>
        </w:rPr>
        <w:t>2</w:t>
      </w:r>
      <w:r>
        <w:rPr>
          <w:rFonts w:hint="eastAsia" w:ascii="仿宋" w:hAnsi="仿宋" w:eastAsia="仿宋" w:cs="仿宋"/>
          <w:snapToGrid w:val="0"/>
          <w:color w:val="auto"/>
          <w:kern w:val="0"/>
          <w:sz w:val="24"/>
          <w:szCs w:val="24"/>
          <w:highlight w:val="none"/>
        </w:rPr>
        <w:t>辆）</w:t>
      </w:r>
      <w:r>
        <w:rPr>
          <w:rFonts w:hint="eastAsia" w:ascii="仿宋" w:hAnsi="仿宋" w:eastAsia="仿宋" w:cs="仿宋"/>
          <w:snapToGrid w:val="0"/>
          <w:color w:val="auto"/>
          <w:kern w:val="0"/>
          <w:sz w:val="24"/>
          <w:szCs w:val="24"/>
          <w:highlight w:val="none"/>
          <w:lang w:eastAsia="zh-CN"/>
        </w:rPr>
        <w:t>；12：00-13：30，18：00-20：30非正常采集时段，在岗人数不低于</w:t>
      </w:r>
      <w:r>
        <w:rPr>
          <w:rFonts w:hint="eastAsia" w:ascii="仿宋" w:hAnsi="仿宋" w:eastAsia="仿宋" w:cs="仿宋"/>
          <w:snapToGrid w:val="0"/>
          <w:color w:val="auto"/>
          <w:kern w:val="0"/>
          <w:sz w:val="24"/>
          <w:szCs w:val="24"/>
          <w:highlight w:val="none"/>
          <w:lang w:val="en-US" w:eastAsia="zh-CN"/>
        </w:rPr>
        <w:t>10</w:t>
      </w:r>
      <w:r>
        <w:rPr>
          <w:rFonts w:hint="eastAsia" w:ascii="仿宋" w:hAnsi="仿宋" w:eastAsia="仿宋" w:cs="仿宋"/>
          <w:snapToGrid w:val="0"/>
          <w:color w:val="auto"/>
          <w:kern w:val="0"/>
          <w:sz w:val="24"/>
          <w:szCs w:val="24"/>
          <w:highlight w:val="none"/>
          <w:lang w:eastAsia="zh-CN"/>
        </w:rPr>
        <w:t>人。（注：</w:t>
      </w:r>
      <w:r>
        <w:rPr>
          <w:rFonts w:hint="eastAsia" w:ascii="仿宋" w:hAnsi="仿宋" w:eastAsia="仿宋" w:cs="仿宋"/>
          <w:snapToGrid w:val="0"/>
          <w:color w:val="auto"/>
          <w:kern w:val="0"/>
          <w:sz w:val="24"/>
          <w:szCs w:val="24"/>
          <w:highlight w:val="none"/>
          <w:lang w:val="en-US" w:eastAsia="zh-CN"/>
        </w:rPr>
        <w:t>人员依据在岗人数要求进行考核</w:t>
      </w:r>
      <w:r>
        <w:rPr>
          <w:rFonts w:hint="eastAsia" w:ascii="仿宋" w:hAnsi="仿宋" w:eastAsia="仿宋" w:cs="仿宋"/>
          <w:snapToGrid w:val="0"/>
          <w:color w:val="auto"/>
          <w:kern w:val="0"/>
          <w:sz w:val="24"/>
          <w:szCs w:val="24"/>
          <w:highlight w:val="none"/>
          <w:lang w:eastAsia="zh-CN"/>
        </w:rPr>
        <w:t>）。</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szCs w:val="24"/>
          <w:highlight w:val="none"/>
          <w:lang w:eastAsia="zh-CN"/>
        </w:rPr>
      </w:pPr>
      <w:r>
        <w:rPr>
          <w:rFonts w:hint="eastAsia" w:ascii="仿宋" w:hAnsi="仿宋" w:eastAsia="仿宋" w:cs="仿宋"/>
          <w:snapToGrid w:val="0"/>
          <w:color w:val="auto"/>
          <w:kern w:val="0"/>
          <w:sz w:val="24"/>
          <w:szCs w:val="24"/>
          <w:highlight w:val="none"/>
          <w:lang w:eastAsia="zh-CN"/>
        </w:rPr>
        <w:t>晚上</w:t>
      </w:r>
      <w:r>
        <w:rPr>
          <w:rFonts w:hint="eastAsia" w:ascii="仿宋" w:hAnsi="仿宋" w:eastAsia="仿宋" w:cs="仿宋"/>
          <w:snapToGrid w:val="0"/>
          <w:color w:val="auto"/>
          <w:kern w:val="0"/>
          <w:sz w:val="24"/>
          <w:szCs w:val="24"/>
          <w:highlight w:val="none"/>
          <w:lang w:val="en-US" w:eastAsia="zh-CN"/>
        </w:rPr>
        <w:t>20</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30</w:t>
      </w:r>
      <w:r>
        <w:rPr>
          <w:rFonts w:hint="eastAsia" w:ascii="仿宋" w:hAnsi="仿宋" w:eastAsia="仿宋" w:cs="仿宋"/>
          <w:snapToGrid w:val="0"/>
          <w:color w:val="auto"/>
          <w:kern w:val="0"/>
          <w:sz w:val="24"/>
          <w:szCs w:val="24"/>
          <w:highlight w:val="none"/>
          <w:lang w:eastAsia="zh-CN"/>
        </w:rPr>
        <w:t>-次日早上</w:t>
      </w:r>
      <w:r>
        <w:rPr>
          <w:rFonts w:hint="eastAsia" w:ascii="仿宋" w:hAnsi="仿宋" w:eastAsia="仿宋" w:cs="仿宋"/>
          <w:snapToGrid w:val="0"/>
          <w:color w:val="auto"/>
          <w:kern w:val="0"/>
          <w:sz w:val="24"/>
          <w:szCs w:val="24"/>
          <w:highlight w:val="none"/>
          <w:lang w:val="en-US" w:eastAsia="zh-CN"/>
        </w:rPr>
        <w:t>7</w:t>
      </w:r>
      <w:r>
        <w:rPr>
          <w:rFonts w:hint="eastAsia" w:ascii="仿宋" w:hAnsi="仿宋" w:eastAsia="仿宋" w:cs="仿宋"/>
          <w:snapToGrid w:val="0"/>
          <w:color w:val="auto"/>
          <w:kern w:val="0"/>
          <w:sz w:val="24"/>
          <w:szCs w:val="24"/>
          <w:highlight w:val="none"/>
          <w:lang w:eastAsia="zh-CN"/>
        </w:rPr>
        <w:t>：</w:t>
      </w:r>
      <w:r>
        <w:rPr>
          <w:rFonts w:hint="eastAsia" w:ascii="仿宋" w:hAnsi="仿宋" w:eastAsia="仿宋" w:cs="仿宋"/>
          <w:snapToGrid w:val="0"/>
          <w:color w:val="auto"/>
          <w:kern w:val="0"/>
          <w:sz w:val="24"/>
          <w:szCs w:val="24"/>
          <w:highlight w:val="none"/>
          <w:lang w:val="en-US" w:eastAsia="zh-CN"/>
        </w:rPr>
        <w:t>3</w:t>
      </w:r>
      <w:r>
        <w:rPr>
          <w:rFonts w:hint="eastAsia" w:ascii="仿宋" w:hAnsi="仿宋" w:eastAsia="仿宋" w:cs="仿宋"/>
          <w:snapToGrid w:val="0"/>
          <w:color w:val="auto"/>
          <w:kern w:val="0"/>
          <w:sz w:val="24"/>
          <w:szCs w:val="24"/>
          <w:highlight w:val="none"/>
          <w:lang w:eastAsia="zh-CN"/>
        </w:rPr>
        <w:t>0值班人员不少于1人，值班车辆不少于1辆</w:t>
      </w:r>
      <w:r>
        <w:rPr>
          <w:rFonts w:hint="eastAsia" w:ascii="仿宋" w:hAnsi="仿宋" w:eastAsia="仿宋" w:cs="仿宋"/>
          <w:snapToGrid w:val="0"/>
          <w:color w:val="auto"/>
          <w:kern w:val="0"/>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四、评价体系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参照招标需求：相关要求及计扣办法。</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五、履约保证金及预付款</w:t>
      </w:r>
    </w:p>
    <w:p>
      <w:pPr>
        <w:pStyle w:val="5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合同生效后7个工作日内，乙方应以支票、汇票、本票或者金融机构、担保机构出具的保函等非现金形式，提交合同价1%的履约保证金，待项目验收合格后无息退还（如有违约内容，则扣除相应违约款项后，无息退还）。</w:t>
      </w:r>
    </w:p>
    <w:p>
      <w:pPr>
        <w:pStyle w:val="5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strike w:val="0"/>
          <w:dstrike w:val="0"/>
          <w:color w:val="auto"/>
          <w:sz w:val="24"/>
          <w:szCs w:val="24"/>
          <w:highlight w:val="none"/>
          <w:lang w:val="zh-CN" w:eastAsia="zh-CN"/>
        </w:rPr>
        <w:t>2、</w:t>
      </w:r>
      <w:r>
        <w:rPr>
          <w:rFonts w:hint="eastAsia" w:ascii="仿宋" w:hAnsi="仿宋" w:eastAsia="仿宋" w:cs="仿宋"/>
          <w:color w:val="auto"/>
          <w:sz w:val="24"/>
          <w:szCs w:val="24"/>
          <w:highlight w:val="none"/>
          <w:lang w:val="zh-CN"/>
        </w:rPr>
        <w:t>乙方没有履行本合同项下约定的责任和义务所需承担的违约金、赔偿金、</w:t>
      </w:r>
      <w:r>
        <w:rPr>
          <w:rFonts w:hint="eastAsia" w:ascii="仿宋" w:hAnsi="仿宋" w:eastAsia="仿宋" w:cs="仿宋"/>
          <w:color w:val="auto"/>
          <w:sz w:val="24"/>
          <w:szCs w:val="24"/>
          <w:highlight w:val="none"/>
          <w:lang w:val="en-US" w:eastAsia="zh-CN"/>
        </w:rPr>
        <w:t>扣款</w:t>
      </w:r>
      <w:r>
        <w:rPr>
          <w:rFonts w:hint="eastAsia" w:ascii="仿宋" w:hAnsi="仿宋" w:eastAsia="仿宋" w:cs="仿宋"/>
          <w:color w:val="auto"/>
          <w:sz w:val="24"/>
          <w:szCs w:val="24"/>
          <w:highlight w:val="none"/>
          <w:lang w:val="zh-CN"/>
        </w:rPr>
        <w:t>及其他费用，</w:t>
      </w:r>
      <w:r>
        <w:rPr>
          <w:rFonts w:hint="eastAsia" w:ascii="仿宋" w:hAnsi="仿宋" w:eastAsia="仿宋" w:cs="仿宋"/>
          <w:color w:val="auto"/>
          <w:sz w:val="24"/>
          <w:szCs w:val="24"/>
          <w:highlight w:val="none"/>
          <w:lang w:val="zh-CN" w:eastAsia="zh-CN"/>
        </w:rPr>
        <w:t>除本合同另有约定外，甲</w:t>
      </w:r>
      <w:r>
        <w:rPr>
          <w:rFonts w:hint="eastAsia" w:ascii="仿宋" w:hAnsi="仿宋" w:eastAsia="仿宋" w:cs="仿宋"/>
          <w:color w:val="auto"/>
          <w:sz w:val="24"/>
          <w:szCs w:val="24"/>
          <w:highlight w:val="none"/>
          <w:lang w:val="zh-CN"/>
        </w:rPr>
        <w:t>方有权直接从履约保证金中扣除，履约保证金不足以扣除的，</w:t>
      </w:r>
      <w:r>
        <w:rPr>
          <w:rFonts w:hint="eastAsia" w:ascii="仿宋" w:hAnsi="仿宋" w:eastAsia="仿宋" w:cs="仿宋"/>
          <w:color w:val="auto"/>
          <w:sz w:val="24"/>
          <w:szCs w:val="24"/>
          <w:highlight w:val="none"/>
          <w:lang w:val="zh-CN" w:eastAsia="zh-CN"/>
        </w:rPr>
        <w:t>甲</w:t>
      </w:r>
      <w:r>
        <w:rPr>
          <w:rFonts w:hint="eastAsia" w:ascii="仿宋" w:hAnsi="仿宋" w:eastAsia="仿宋" w:cs="仿宋"/>
          <w:color w:val="auto"/>
          <w:sz w:val="24"/>
          <w:szCs w:val="24"/>
          <w:highlight w:val="none"/>
          <w:lang w:val="zh-CN"/>
        </w:rPr>
        <w:t>方有权从</w:t>
      </w:r>
      <w:r>
        <w:rPr>
          <w:rFonts w:hint="eastAsia" w:ascii="仿宋" w:hAnsi="仿宋" w:eastAsia="仿宋" w:cs="仿宋"/>
          <w:color w:val="auto"/>
          <w:sz w:val="24"/>
          <w:szCs w:val="24"/>
          <w:highlight w:val="none"/>
          <w:lang w:val="zh-CN" w:eastAsia="zh-CN"/>
        </w:rPr>
        <w:t>合同</w:t>
      </w:r>
      <w:r>
        <w:rPr>
          <w:rFonts w:hint="eastAsia" w:ascii="仿宋" w:hAnsi="仿宋" w:eastAsia="仿宋" w:cs="仿宋"/>
          <w:color w:val="auto"/>
          <w:sz w:val="24"/>
          <w:szCs w:val="24"/>
          <w:highlight w:val="none"/>
          <w:lang w:val="zh-CN"/>
        </w:rPr>
        <w:t>款中扣除。</w:t>
      </w:r>
    </w:p>
    <w:p>
      <w:pPr>
        <w:pStyle w:val="5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trike w:val="0"/>
          <w:dstrike w:val="0"/>
          <w:color w:val="auto"/>
          <w:sz w:val="24"/>
          <w:szCs w:val="24"/>
          <w:highlight w:val="none"/>
          <w:lang w:val="zh-CN"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highlight w:val="none"/>
          <w:lang w:val="zh-CN" w:eastAsia="zh-CN"/>
        </w:rPr>
        <w:t>因乙方违反本合同约定导致甲方扣除相应履约保证金的，乙方应当在甲方通知乙方扣除履约保证金之日起7日内将扣除部分补足，否则甲方有权自逾期之日起要求乙方按照应补足未补足部分金额的【】%/日支付滞纳金。</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六、</w:t>
      </w:r>
      <w:r>
        <w:rPr>
          <w:rFonts w:hint="eastAsia" w:ascii="仿宋" w:hAnsi="仿宋" w:eastAsia="仿宋" w:cs="仿宋"/>
          <w:b/>
          <w:bCs/>
          <w:color w:val="auto"/>
          <w:sz w:val="24"/>
          <w:szCs w:val="24"/>
          <w:highlight w:val="none"/>
          <w:lang w:val="zh-CN"/>
        </w:rPr>
        <w:t>信息采集费支付方式</w:t>
      </w:r>
    </w:p>
    <w:p>
      <w:pPr>
        <w:adjustRightInd w:val="0"/>
        <w:snapToGrid w:val="0"/>
        <w:spacing w:line="360" w:lineRule="auto"/>
        <w:ind w:firstLine="480" w:firstLineChars="200"/>
        <w:jc w:val="left"/>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rPr>
        <w:t>按月考核，按季支付</w:t>
      </w:r>
      <w:r>
        <w:rPr>
          <w:rFonts w:hint="eastAsia" w:ascii="仿宋" w:hAnsi="仿宋" w:eastAsia="仿宋" w:cs="仿宋"/>
          <w:snapToGrid w:val="0"/>
          <w:color w:val="auto"/>
          <w:kern w:val="0"/>
          <w:sz w:val="24"/>
          <w:szCs w:val="24"/>
          <w:highlight w:val="none"/>
          <w:lang w:eastAsia="zh-CN"/>
        </w:rPr>
        <w:t>，合同一年一签。</w:t>
      </w:r>
      <w:r>
        <w:rPr>
          <w:rFonts w:hint="eastAsia" w:ascii="仿宋" w:hAnsi="仿宋" w:eastAsia="仿宋" w:cs="仿宋"/>
          <w:snapToGrid w:val="0"/>
          <w:color w:val="auto"/>
          <w:kern w:val="0"/>
          <w:sz w:val="24"/>
          <w:szCs w:val="24"/>
          <w:highlight w:val="none"/>
          <w:lang w:val="en-US" w:eastAsia="zh-CN"/>
        </w:rPr>
        <w:t>年度评分合格的，同意签订第二年合同。</w:t>
      </w:r>
      <w:r>
        <w:rPr>
          <w:rFonts w:hint="eastAsia" w:ascii="仿宋" w:hAnsi="仿宋" w:eastAsia="仿宋" w:cs="仿宋"/>
          <w:snapToGrid w:val="0"/>
          <w:color w:val="auto"/>
          <w:kern w:val="0"/>
          <w:sz w:val="24"/>
          <w:szCs w:val="24"/>
          <w:highlight w:val="none"/>
          <w:lang w:eastAsia="zh-CN"/>
        </w:rPr>
        <w:t>第一年度：合同生效且具备实施条件后7个工作日内</w:t>
      </w:r>
      <w:r>
        <w:rPr>
          <w:rFonts w:hint="eastAsia" w:ascii="仿宋" w:hAnsi="仿宋" w:eastAsia="仿宋" w:cs="仿宋"/>
          <w:snapToGrid w:val="0"/>
          <w:color w:val="auto"/>
          <w:kern w:val="0"/>
          <w:sz w:val="24"/>
          <w:szCs w:val="24"/>
          <w:highlight w:val="none"/>
          <w:lang w:val="en-US" w:eastAsia="zh-CN"/>
        </w:rPr>
        <w:t>，支付</w:t>
      </w:r>
      <w:r>
        <w:rPr>
          <w:rFonts w:hint="eastAsia" w:ascii="仿宋" w:hAnsi="仿宋" w:eastAsia="仿宋" w:cs="仿宋"/>
          <w:snapToGrid w:val="0"/>
          <w:color w:val="auto"/>
          <w:kern w:val="0"/>
          <w:sz w:val="24"/>
          <w:szCs w:val="24"/>
          <w:highlight w:val="none"/>
          <w:lang w:eastAsia="zh-CN"/>
        </w:rPr>
        <w:t>一年合同金额的</w:t>
      </w:r>
      <w:r>
        <w:rPr>
          <w:rFonts w:hint="eastAsia" w:ascii="仿宋" w:hAnsi="仿宋" w:eastAsia="仿宋" w:cs="仿宋"/>
          <w:snapToGrid w:val="0"/>
          <w:color w:val="auto"/>
          <w:kern w:val="0"/>
          <w:sz w:val="24"/>
          <w:szCs w:val="24"/>
          <w:highlight w:val="none"/>
          <w:lang w:val="en-US" w:eastAsia="zh-CN"/>
        </w:rPr>
        <w:t>50%作为预付款</w:t>
      </w:r>
      <w:r>
        <w:rPr>
          <w:rFonts w:hint="eastAsia" w:ascii="仿宋" w:hAnsi="仿宋" w:eastAsia="仿宋" w:cs="仿宋"/>
          <w:snapToGrid w:val="0"/>
          <w:color w:val="auto"/>
          <w:kern w:val="0"/>
          <w:sz w:val="24"/>
          <w:szCs w:val="24"/>
          <w:highlight w:val="none"/>
          <w:lang w:eastAsia="zh-CN"/>
        </w:rPr>
        <w:t>，合同第一、二季度款项抵扣预付款，后续季度款项按照</w:t>
      </w:r>
      <w:r>
        <w:rPr>
          <w:rFonts w:hint="eastAsia" w:ascii="仿宋" w:hAnsi="仿宋" w:eastAsia="仿宋" w:cs="仿宋"/>
          <w:snapToGrid w:val="0"/>
          <w:color w:val="auto"/>
          <w:kern w:val="0"/>
          <w:sz w:val="24"/>
          <w:szCs w:val="24"/>
          <w:highlight w:val="none"/>
        </w:rPr>
        <w:t>年度基价25％</w:t>
      </w:r>
      <w:r>
        <w:rPr>
          <w:rFonts w:hint="eastAsia" w:ascii="仿宋" w:hAnsi="仿宋" w:eastAsia="仿宋" w:cs="仿宋"/>
          <w:snapToGrid w:val="0"/>
          <w:color w:val="auto"/>
          <w:kern w:val="0"/>
          <w:sz w:val="24"/>
          <w:szCs w:val="24"/>
          <w:highlight w:val="none"/>
          <w:lang w:eastAsia="zh-CN"/>
        </w:rPr>
        <w:t>经考核后</w:t>
      </w:r>
      <w:r>
        <w:rPr>
          <w:rFonts w:hint="eastAsia" w:ascii="仿宋" w:hAnsi="仿宋" w:eastAsia="仿宋" w:cs="仿宋"/>
          <w:snapToGrid w:val="0"/>
          <w:color w:val="auto"/>
          <w:kern w:val="0"/>
          <w:sz w:val="24"/>
          <w:szCs w:val="24"/>
          <w:highlight w:val="none"/>
        </w:rPr>
        <w:t>在每季度结束后30天内支付</w:t>
      </w:r>
      <w:r>
        <w:rPr>
          <w:rFonts w:hint="eastAsia" w:ascii="仿宋" w:hAnsi="仿宋" w:eastAsia="仿宋" w:cs="仿宋"/>
          <w:snapToGrid w:val="0"/>
          <w:color w:val="auto"/>
          <w:kern w:val="0"/>
          <w:sz w:val="24"/>
          <w:szCs w:val="24"/>
          <w:highlight w:val="none"/>
          <w:lang w:eastAsia="zh-CN"/>
        </w:rPr>
        <w:t>，第一二季度考核</w:t>
      </w:r>
      <w:r>
        <w:rPr>
          <w:rFonts w:hint="eastAsia" w:ascii="仿宋" w:hAnsi="仿宋" w:eastAsia="仿宋" w:cs="仿宋"/>
          <w:snapToGrid w:val="0"/>
          <w:color w:val="auto"/>
          <w:kern w:val="0"/>
          <w:sz w:val="24"/>
          <w:szCs w:val="24"/>
          <w:highlight w:val="none"/>
          <w:lang w:val="en-US" w:eastAsia="zh-CN"/>
        </w:rPr>
        <w:t>扣款</w:t>
      </w:r>
      <w:r>
        <w:rPr>
          <w:rFonts w:hint="eastAsia" w:ascii="仿宋" w:hAnsi="仿宋" w:eastAsia="仿宋" w:cs="仿宋"/>
          <w:snapToGrid w:val="0"/>
          <w:color w:val="auto"/>
          <w:kern w:val="0"/>
          <w:sz w:val="24"/>
          <w:szCs w:val="24"/>
          <w:highlight w:val="none"/>
          <w:lang w:eastAsia="zh-CN"/>
        </w:rPr>
        <w:t>合并至第三季度考核</w:t>
      </w:r>
      <w:r>
        <w:rPr>
          <w:rFonts w:hint="eastAsia" w:ascii="仿宋" w:hAnsi="仿宋" w:eastAsia="仿宋" w:cs="仿宋"/>
          <w:snapToGrid w:val="0"/>
          <w:color w:val="auto"/>
          <w:kern w:val="0"/>
          <w:sz w:val="24"/>
          <w:szCs w:val="24"/>
          <w:highlight w:val="none"/>
          <w:lang w:val="en-US" w:eastAsia="zh-CN"/>
        </w:rPr>
        <w:t>中扣除</w:t>
      </w:r>
      <w:r>
        <w:rPr>
          <w:rFonts w:hint="eastAsia" w:ascii="仿宋" w:hAnsi="仿宋" w:eastAsia="仿宋" w:cs="仿宋"/>
          <w:snapToGrid w:val="0"/>
          <w:color w:val="auto"/>
          <w:kern w:val="0"/>
          <w:sz w:val="24"/>
          <w:szCs w:val="24"/>
          <w:highlight w:val="none"/>
          <w:lang w:eastAsia="zh-CN"/>
        </w:rPr>
        <w:t>。第二年度：</w:t>
      </w:r>
      <w:r>
        <w:rPr>
          <w:rFonts w:hint="eastAsia" w:ascii="仿宋" w:hAnsi="仿宋" w:eastAsia="仿宋" w:cs="仿宋"/>
          <w:snapToGrid w:val="0"/>
          <w:color w:val="auto"/>
          <w:kern w:val="0"/>
          <w:sz w:val="24"/>
          <w:szCs w:val="24"/>
          <w:highlight w:val="none"/>
          <w:lang w:val="en-US" w:eastAsia="zh-CN"/>
        </w:rPr>
        <w:t>合同生效且具备实施条件后7个工作日内，支付</w:t>
      </w:r>
      <w:r>
        <w:rPr>
          <w:rFonts w:hint="eastAsia" w:ascii="仿宋" w:hAnsi="仿宋" w:eastAsia="仿宋" w:cs="仿宋"/>
          <w:snapToGrid w:val="0"/>
          <w:color w:val="auto"/>
          <w:kern w:val="0"/>
          <w:sz w:val="24"/>
          <w:szCs w:val="24"/>
          <w:highlight w:val="none"/>
          <w:lang w:eastAsia="zh-CN"/>
        </w:rPr>
        <w:t>一年合同金额的</w:t>
      </w:r>
      <w:r>
        <w:rPr>
          <w:rFonts w:hint="eastAsia" w:ascii="仿宋" w:hAnsi="仿宋" w:eastAsia="仿宋" w:cs="仿宋"/>
          <w:snapToGrid w:val="0"/>
          <w:color w:val="auto"/>
          <w:kern w:val="0"/>
          <w:sz w:val="24"/>
          <w:szCs w:val="24"/>
          <w:highlight w:val="none"/>
          <w:lang w:val="en-US" w:eastAsia="zh-CN"/>
        </w:rPr>
        <w:t>50%作为预付款</w:t>
      </w:r>
      <w:r>
        <w:rPr>
          <w:rFonts w:hint="eastAsia" w:ascii="仿宋" w:hAnsi="仿宋" w:eastAsia="仿宋" w:cs="仿宋"/>
          <w:snapToGrid w:val="0"/>
          <w:color w:val="auto"/>
          <w:kern w:val="0"/>
          <w:sz w:val="24"/>
          <w:szCs w:val="24"/>
          <w:highlight w:val="none"/>
          <w:lang w:eastAsia="zh-CN"/>
        </w:rPr>
        <w:t>，合同第一、二季度款项抵扣预付款，后续季度款项按照</w:t>
      </w:r>
      <w:r>
        <w:rPr>
          <w:rFonts w:hint="eastAsia" w:ascii="仿宋" w:hAnsi="仿宋" w:eastAsia="仿宋" w:cs="仿宋"/>
          <w:snapToGrid w:val="0"/>
          <w:color w:val="auto"/>
          <w:kern w:val="0"/>
          <w:sz w:val="24"/>
          <w:szCs w:val="24"/>
          <w:highlight w:val="none"/>
        </w:rPr>
        <w:t>年度基价25％</w:t>
      </w:r>
      <w:r>
        <w:rPr>
          <w:rFonts w:hint="eastAsia" w:ascii="仿宋" w:hAnsi="仿宋" w:eastAsia="仿宋" w:cs="仿宋"/>
          <w:snapToGrid w:val="0"/>
          <w:color w:val="auto"/>
          <w:kern w:val="0"/>
          <w:sz w:val="24"/>
          <w:szCs w:val="24"/>
          <w:highlight w:val="none"/>
          <w:lang w:eastAsia="zh-CN"/>
        </w:rPr>
        <w:t>经考核后</w:t>
      </w:r>
      <w:r>
        <w:rPr>
          <w:rFonts w:hint="eastAsia" w:ascii="仿宋" w:hAnsi="仿宋" w:eastAsia="仿宋" w:cs="仿宋"/>
          <w:snapToGrid w:val="0"/>
          <w:color w:val="auto"/>
          <w:kern w:val="0"/>
          <w:sz w:val="24"/>
          <w:szCs w:val="24"/>
          <w:highlight w:val="none"/>
        </w:rPr>
        <w:t>在每季度结束后30天内支付</w:t>
      </w:r>
      <w:r>
        <w:rPr>
          <w:rFonts w:hint="eastAsia" w:ascii="仿宋" w:hAnsi="仿宋" w:eastAsia="仿宋" w:cs="仿宋"/>
          <w:snapToGrid w:val="0"/>
          <w:color w:val="auto"/>
          <w:kern w:val="0"/>
          <w:sz w:val="24"/>
          <w:szCs w:val="24"/>
          <w:highlight w:val="none"/>
          <w:lang w:eastAsia="zh-CN"/>
        </w:rPr>
        <w:t>，第一二季度考核</w:t>
      </w:r>
      <w:r>
        <w:rPr>
          <w:rFonts w:hint="eastAsia" w:ascii="仿宋" w:hAnsi="仿宋" w:eastAsia="仿宋" w:cs="仿宋"/>
          <w:snapToGrid w:val="0"/>
          <w:color w:val="auto"/>
          <w:kern w:val="0"/>
          <w:sz w:val="24"/>
          <w:szCs w:val="24"/>
          <w:highlight w:val="none"/>
          <w:lang w:val="en-US" w:eastAsia="zh-CN"/>
        </w:rPr>
        <w:t>扣款</w:t>
      </w:r>
      <w:r>
        <w:rPr>
          <w:rFonts w:hint="eastAsia" w:ascii="仿宋" w:hAnsi="仿宋" w:eastAsia="仿宋" w:cs="仿宋"/>
          <w:snapToGrid w:val="0"/>
          <w:color w:val="auto"/>
          <w:kern w:val="0"/>
          <w:sz w:val="24"/>
          <w:szCs w:val="24"/>
          <w:highlight w:val="none"/>
          <w:lang w:eastAsia="zh-CN"/>
        </w:rPr>
        <w:t>合并至第三季度考核</w:t>
      </w:r>
      <w:r>
        <w:rPr>
          <w:rFonts w:hint="eastAsia" w:ascii="仿宋" w:hAnsi="仿宋" w:eastAsia="仿宋" w:cs="仿宋"/>
          <w:snapToGrid w:val="0"/>
          <w:color w:val="auto"/>
          <w:kern w:val="0"/>
          <w:sz w:val="24"/>
          <w:szCs w:val="24"/>
          <w:highlight w:val="none"/>
          <w:lang w:val="en-US" w:eastAsia="zh-CN"/>
        </w:rPr>
        <w:t>中扣除。</w:t>
      </w:r>
    </w:p>
    <w:p>
      <w:pPr>
        <w:snapToGrid w:val="0"/>
        <w:spacing w:line="360" w:lineRule="auto"/>
        <w:ind w:firstLine="480" w:firstLineChars="200"/>
        <w:jc w:val="left"/>
        <w:rPr>
          <w:rFonts w:hint="eastAsia"/>
          <w:color w:val="auto"/>
          <w:highlight w:val="none"/>
          <w:lang w:eastAsia="zh-CN"/>
        </w:rPr>
      </w:pPr>
      <w:r>
        <w:rPr>
          <w:rFonts w:hint="eastAsia" w:ascii="仿宋" w:hAnsi="仿宋" w:eastAsia="仿宋" w:cs="仿宋"/>
          <w:snapToGrid w:val="0"/>
          <w:color w:val="auto"/>
          <w:kern w:val="0"/>
          <w:sz w:val="24"/>
          <w:szCs w:val="24"/>
          <w:highlight w:val="none"/>
        </w:rPr>
        <w:t>甲方每次付款前，乙方应向甲方开具等额有效的增值税发票，甲方未收到发票的，有权不予支付相应款项直至乙方提供合格发票，并不承担延迟付款责任。发票认证通过是付款的必要前提之一。</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七、工作方式、人员管理</w:t>
      </w:r>
    </w:p>
    <w:p>
      <w:pPr>
        <w:pStyle w:val="5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甲方应向乙方提供有关信息采集标准、工作流程以及相关设备使用的说明。</w:t>
      </w:r>
    </w:p>
    <w:p>
      <w:pPr>
        <w:pStyle w:val="5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甲方还应将属乙方管理所需要的信息无偿提供，乙方按月提出自查表，甲方每月出据考核结果。甲方除向乙方提供“信息采集器”信息采集设备外，其余设备均由乙方自行解决。</w:t>
      </w:r>
    </w:p>
    <w:p>
      <w:pPr>
        <w:pStyle w:val="5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日常工作中，乙方应及时对甲方提出需反馈的意见，在</w:t>
      </w:r>
      <w:r>
        <w:rPr>
          <w:rFonts w:hint="eastAsia" w:ascii="仿宋" w:hAnsi="仿宋" w:eastAsia="仿宋" w:cs="仿宋"/>
          <w:color w:val="auto"/>
          <w:sz w:val="24"/>
          <w:szCs w:val="24"/>
          <w:highlight w:val="none"/>
          <w:lang w:val="en-US" w:eastAsia="zh-CN"/>
        </w:rPr>
        <w:t>7日</w:t>
      </w:r>
      <w:r>
        <w:rPr>
          <w:rFonts w:hint="eastAsia" w:ascii="仿宋" w:hAnsi="仿宋" w:eastAsia="仿宋" w:cs="仿宋"/>
          <w:color w:val="auto"/>
          <w:sz w:val="24"/>
          <w:szCs w:val="24"/>
          <w:highlight w:val="none"/>
          <w:lang w:val="zh-CN"/>
        </w:rPr>
        <w:t>内做出答复。</w:t>
      </w:r>
    </w:p>
    <w:p>
      <w:pPr>
        <w:pStyle w:val="5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lang w:val="zh-CN"/>
        </w:rPr>
        <w:t>因工作需要需向信息采集员发送有关指令，</w:t>
      </w:r>
      <w:r>
        <w:rPr>
          <w:rFonts w:hint="eastAsia" w:ascii="仿宋" w:hAnsi="仿宋" w:eastAsia="仿宋" w:cs="仿宋"/>
          <w:color w:val="auto"/>
          <w:sz w:val="24"/>
          <w:szCs w:val="24"/>
          <w:highlight w:val="none"/>
        </w:rPr>
        <w:t>应通过数字城管监督指挥平台统一下发</w:t>
      </w:r>
      <w:r>
        <w:rPr>
          <w:rFonts w:hint="eastAsia" w:ascii="仿宋" w:hAnsi="仿宋" w:eastAsia="仿宋" w:cs="仿宋"/>
          <w:color w:val="auto"/>
          <w:sz w:val="24"/>
          <w:szCs w:val="24"/>
          <w:highlight w:val="none"/>
          <w:lang w:val="zh-CN"/>
        </w:rPr>
        <w:t>。</w:t>
      </w:r>
    </w:p>
    <w:p>
      <w:pPr>
        <w:pStyle w:val="5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甲方概不负责信息采集员的一切相关事务，</w:t>
      </w:r>
      <w:r>
        <w:rPr>
          <w:rFonts w:hint="eastAsia" w:ascii="仿宋" w:hAnsi="仿宋" w:eastAsia="仿宋" w:cs="仿宋"/>
          <w:color w:val="auto"/>
          <w:sz w:val="24"/>
          <w:szCs w:val="24"/>
          <w:highlight w:val="none"/>
          <w:lang w:val="en-US" w:eastAsia="zh-CN"/>
        </w:rPr>
        <w:t>乙方应</w:t>
      </w:r>
      <w:r>
        <w:rPr>
          <w:rFonts w:hint="eastAsia" w:ascii="仿宋" w:hAnsi="仿宋" w:eastAsia="仿宋" w:cs="仿宋"/>
          <w:color w:val="auto"/>
          <w:sz w:val="24"/>
          <w:szCs w:val="24"/>
          <w:highlight w:val="none"/>
        </w:rPr>
        <w:t>依法为项目组人员缴纳五险一金，购买意外险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项目组人员扣除“五险一金”和意外险后的月均实际收入不低于当年杭州市最低工资标准数额</w:t>
      </w:r>
      <w:r>
        <w:rPr>
          <w:rFonts w:hint="eastAsia" w:ascii="仿宋" w:hAnsi="仿宋" w:eastAsia="仿宋" w:cs="仿宋"/>
          <w:color w:val="auto"/>
          <w:sz w:val="24"/>
          <w:szCs w:val="24"/>
          <w:highlight w:val="none"/>
          <w:lang w:val="zh-CN"/>
        </w:rPr>
        <w:t>。因乙方原因导致劳资纠纷、群体性事件影响甲方声誉的，</w:t>
      </w:r>
      <w:r>
        <w:rPr>
          <w:rFonts w:hint="eastAsia" w:ascii="仿宋" w:hAnsi="仿宋" w:eastAsia="仿宋" w:cs="仿宋"/>
          <w:color w:val="auto"/>
          <w:kern w:val="2"/>
          <w:sz w:val="24"/>
          <w:szCs w:val="24"/>
          <w:highlight w:val="none"/>
        </w:rPr>
        <w:t>一切责任和费用均由乙方承担</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szCs w:val="24"/>
          <w:highlight w:val="none"/>
          <w:lang w:val="en-US" w:eastAsia="zh-CN"/>
        </w:rPr>
        <w:t>乙方应当负责解决并尽可能采取补救措施防止影响扩大，</w:t>
      </w:r>
      <w:r>
        <w:rPr>
          <w:rFonts w:hint="eastAsia" w:ascii="仿宋" w:hAnsi="仿宋" w:eastAsia="仿宋" w:cs="仿宋"/>
          <w:color w:val="auto"/>
          <w:sz w:val="24"/>
          <w:szCs w:val="24"/>
          <w:highlight w:val="none"/>
          <w:lang w:val="zh-CN"/>
        </w:rPr>
        <w:t>甲方</w:t>
      </w:r>
      <w:r>
        <w:rPr>
          <w:rFonts w:hint="eastAsia" w:ascii="仿宋" w:hAnsi="仿宋" w:eastAsia="仿宋" w:cs="仿宋"/>
          <w:color w:val="auto"/>
          <w:sz w:val="24"/>
          <w:szCs w:val="24"/>
          <w:highlight w:val="none"/>
          <w:lang w:val="en-US" w:eastAsia="zh-CN"/>
        </w:rPr>
        <w:t>因此承担了</w:t>
      </w:r>
      <w:r>
        <w:rPr>
          <w:rFonts w:hint="eastAsia" w:ascii="仿宋" w:hAnsi="仿宋" w:eastAsia="仿宋" w:cs="仿宋"/>
          <w:color w:val="auto"/>
          <w:kern w:val="2"/>
          <w:sz w:val="24"/>
          <w:szCs w:val="24"/>
          <w:highlight w:val="none"/>
        </w:rPr>
        <w:t>赔偿责任的，有权向乙方足额追偿</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并有权根据情况对乙方处以10000-50000元罚款，并视情有权解除合同</w:t>
      </w:r>
      <w:r>
        <w:rPr>
          <w:rFonts w:hint="eastAsia" w:ascii="仿宋" w:hAnsi="仿宋" w:eastAsia="仿宋" w:cs="仿宋"/>
          <w:color w:val="auto"/>
          <w:sz w:val="24"/>
          <w:szCs w:val="24"/>
          <w:highlight w:val="none"/>
          <w:lang w:val="zh-CN"/>
        </w:rPr>
        <w:t>。</w:t>
      </w:r>
    </w:p>
    <w:p>
      <w:pPr>
        <w:pStyle w:val="5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kern w:val="2"/>
          <w:sz w:val="24"/>
          <w:szCs w:val="24"/>
          <w:highlight w:val="none"/>
          <w:lang w:val="en-US" w:eastAsia="zh-CN"/>
        </w:rPr>
        <w:t>乙方及其工作人员在信息采集过程中，应当做好安全防护措施，遵守国家法律法规的相关规定。乙方</w:t>
      </w:r>
      <w:r>
        <w:rPr>
          <w:rFonts w:hint="eastAsia" w:ascii="仿宋" w:hAnsi="仿宋" w:eastAsia="仿宋" w:cs="仿宋"/>
          <w:color w:val="auto"/>
          <w:sz w:val="24"/>
          <w:szCs w:val="24"/>
          <w:highlight w:val="none"/>
        </w:rPr>
        <w:t>对所属人员（含劳务外包人员）的工作行为负责，所有采集员、管理人员及项目负责人工作中的安全责任以及法律纠纷等均由</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自行承担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rPr>
        <w:t>甲方保留追究乙方其他责任的权利。如第三方因人身财产损害向甲方主张索赔的，乙方应当负责解决；如甲方因此承担了赔偿责任的，有权向乙方足额追偿</w:t>
      </w:r>
      <w:r>
        <w:rPr>
          <w:rFonts w:hint="eastAsia" w:ascii="仿宋" w:hAnsi="仿宋" w:eastAsia="仿宋" w:cs="仿宋"/>
          <w:color w:val="auto"/>
          <w:kern w:val="2"/>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七</w:t>
      </w:r>
      <w:r>
        <w:rPr>
          <w:rFonts w:hint="eastAsia" w:ascii="仿宋" w:hAnsi="仿宋" w:eastAsia="仿宋" w:cs="仿宋"/>
          <w:b/>
          <w:bCs/>
          <w:color w:val="auto"/>
          <w:sz w:val="24"/>
          <w:szCs w:val="24"/>
          <w:highlight w:val="none"/>
          <w:lang w:val="zh-CN"/>
        </w:rPr>
        <w:t>、“信息采集器”的领取、管理和使用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合同签订后，乙方须在五天内，按中标信息采集区域涉及的社区（工作单元），</w:t>
      </w:r>
      <w:r>
        <w:rPr>
          <w:rFonts w:hint="eastAsia" w:ascii="仿宋" w:hAnsi="仿宋" w:eastAsia="仿宋" w:cs="仿宋"/>
          <w:snapToGrid w:val="0"/>
          <w:color w:val="auto"/>
          <w:kern w:val="0"/>
          <w:sz w:val="24"/>
          <w:szCs w:val="24"/>
          <w:highlight w:val="none"/>
        </w:rPr>
        <w:t>按每名信息采集员一部的比例，</w:t>
      </w:r>
      <w:r>
        <w:rPr>
          <w:rFonts w:hint="eastAsia" w:ascii="仿宋" w:hAnsi="仿宋" w:eastAsia="仿宋" w:cs="仿宋"/>
          <w:color w:val="auto"/>
          <w:sz w:val="24"/>
          <w:szCs w:val="24"/>
          <w:highlight w:val="none"/>
          <w:lang w:val="zh-CN"/>
        </w:rPr>
        <w:t>足数领取“信息采集器”，并按1000元/部标准支付押金；信息采集器所产生的无线通信网络服务费由甲方支付。</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合同终结时，乙方须如数将“信息采集器”返还，每少一部按照采购合同价95％的比例赔偿；如因使用不当造成“信息采集器”外观破损或影响功能正常使用的，将足额支付修理费用。</w:t>
      </w:r>
      <w:r>
        <w:rPr>
          <w:rFonts w:hint="eastAsia" w:ascii="仿宋" w:hAnsi="仿宋" w:eastAsia="仿宋" w:cs="仿宋"/>
          <w:color w:val="auto"/>
          <w:sz w:val="24"/>
          <w:szCs w:val="24"/>
          <w:highlight w:val="none"/>
          <w:lang w:val="en-US" w:eastAsia="zh-CN"/>
        </w:rPr>
        <w:t>甲方在乙方</w:t>
      </w:r>
      <w:r>
        <w:rPr>
          <w:rFonts w:hint="eastAsia" w:ascii="仿宋" w:hAnsi="仿宋" w:eastAsia="仿宋" w:cs="仿宋"/>
          <w:color w:val="auto"/>
          <w:sz w:val="24"/>
          <w:szCs w:val="24"/>
          <w:highlight w:val="none"/>
          <w:lang w:val="zh-CN"/>
        </w:rPr>
        <w:t>如数将“信息采集器”返还</w:t>
      </w:r>
      <w:r>
        <w:rPr>
          <w:rFonts w:hint="eastAsia" w:ascii="仿宋" w:hAnsi="仿宋" w:eastAsia="仿宋" w:cs="仿宋"/>
          <w:color w:val="auto"/>
          <w:sz w:val="24"/>
          <w:szCs w:val="24"/>
          <w:highlight w:val="none"/>
          <w:lang w:val="en-US" w:eastAsia="zh-CN"/>
        </w:rPr>
        <w:t>且经验收无短缺、损坏等情形后退还押金。若存在短缺或</w:t>
      </w:r>
      <w:r>
        <w:rPr>
          <w:rFonts w:hint="eastAsia" w:ascii="仿宋" w:hAnsi="仿宋" w:eastAsia="仿宋" w:cs="仿宋"/>
          <w:color w:val="auto"/>
          <w:sz w:val="24"/>
          <w:szCs w:val="24"/>
          <w:highlight w:val="none"/>
          <w:lang w:val="zh-CN"/>
        </w:rPr>
        <w:t>因使用不当造成“信息采集器”外观破损或影响功能正常使用</w:t>
      </w:r>
      <w:r>
        <w:rPr>
          <w:rFonts w:hint="eastAsia" w:ascii="仿宋" w:hAnsi="仿宋" w:eastAsia="仿宋" w:cs="仿宋"/>
          <w:color w:val="auto"/>
          <w:sz w:val="24"/>
          <w:szCs w:val="24"/>
          <w:highlight w:val="none"/>
          <w:lang w:val="en-US" w:eastAsia="zh-CN"/>
        </w:rPr>
        <w:t>等情形的，甲方在扣除相应的赔偿金、维修费后将剩余押金退还（如有）。</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乙方应</w:t>
      </w:r>
      <w:r>
        <w:rPr>
          <w:rFonts w:hint="eastAsia" w:ascii="仿宋" w:hAnsi="仿宋" w:eastAsia="仿宋" w:cs="仿宋"/>
          <w:color w:val="auto"/>
          <w:sz w:val="24"/>
          <w:szCs w:val="24"/>
          <w:highlight w:val="none"/>
          <w:lang w:val="en-US" w:eastAsia="zh-CN"/>
        </w:rPr>
        <w:t>在本合同签订后【】日内</w:t>
      </w:r>
      <w:r>
        <w:rPr>
          <w:rFonts w:hint="eastAsia" w:ascii="仿宋" w:hAnsi="仿宋" w:eastAsia="仿宋" w:cs="仿宋"/>
          <w:color w:val="auto"/>
          <w:sz w:val="24"/>
          <w:szCs w:val="24"/>
          <w:highlight w:val="none"/>
          <w:lang w:val="zh-CN"/>
        </w:rPr>
        <w:t>制定“信息采集器”管理使用办法</w:t>
      </w:r>
      <w:r>
        <w:rPr>
          <w:rFonts w:hint="eastAsia" w:ascii="仿宋" w:hAnsi="仿宋" w:eastAsia="仿宋" w:cs="仿宋"/>
          <w:color w:val="auto"/>
          <w:sz w:val="24"/>
          <w:szCs w:val="24"/>
          <w:highlight w:val="none"/>
          <w:lang w:val="en-US" w:eastAsia="zh-CN"/>
        </w:rPr>
        <w:t>并报甲方备案</w:t>
      </w:r>
      <w:r>
        <w:rPr>
          <w:rFonts w:hint="eastAsia" w:ascii="仿宋" w:hAnsi="仿宋" w:eastAsia="仿宋" w:cs="仿宋"/>
          <w:color w:val="auto"/>
          <w:sz w:val="24"/>
          <w:szCs w:val="24"/>
          <w:highlight w:val="none"/>
          <w:lang w:val="zh-CN"/>
        </w:rPr>
        <w:t>，从制度上保证“信息采集器”的正常使用。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要按照甲方提供的“信息采集器”设定的工作区域，落实专人使用，并按正点率和全覆盖的要求，在合同签订一个月内提供各工作单位（社区）巡查行径线路。</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八、违约责任</w:t>
      </w:r>
    </w:p>
    <w:p>
      <w:pPr>
        <w:pStyle w:val="5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乙方应当在本合同约定的服务期限起始日前按照本合同、招投标文件及相关文件的规定展开工作</w:t>
      </w:r>
      <w:r>
        <w:rPr>
          <w:rFonts w:hint="eastAsia" w:ascii="仿宋" w:hAnsi="仿宋" w:eastAsia="仿宋" w:cs="仿宋"/>
          <w:color w:val="auto"/>
          <w:sz w:val="24"/>
          <w:szCs w:val="24"/>
          <w:highlight w:val="none"/>
          <w:lang w:val="zh-CN"/>
        </w:rPr>
        <w:t>，乙方</w:t>
      </w:r>
      <w:r>
        <w:rPr>
          <w:rFonts w:hint="eastAsia" w:ascii="仿宋" w:hAnsi="仿宋" w:eastAsia="仿宋" w:cs="仿宋"/>
          <w:color w:val="auto"/>
          <w:sz w:val="24"/>
          <w:szCs w:val="24"/>
          <w:highlight w:val="none"/>
          <w:lang w:val="en-US" w:eastAsia="zh-CN"/>
        </w:rPr>
        <w:t>未能在规定日期展开工作的，</w:t>
      </w:r>
      <w:r>
        <w:rPr>
          <w:rFonts w:hint="eastAsia" w:ascii="仿宋" w:hAnsi="仿宋" w:eastAsia="仿宋" w:cs="仿宋"/>
          <w:color w:val="auto"/>
          <w:sz w:val="24"/>
          <w:szCs w:val="24"/>
          <w:highlight w:val="none"/>
          <w:lang w:val="zh-CN"/>
        </w:rPr>
        <w:t>应当承担违约责任。承担方式和违约金额如下：超期30天内，每天扣合同金额的0.5‰；累计超期30天，甲方有权终止执行合同，并没收履约保证金，</w:t>
      </w:r>
      <w:r>
        <w:rPr>
          <w:rFonts w:hint="eastAsia" w:ascii="仿宋" w:hAnsi="仿宋" w:eastAsia="仿宋" w:cs="仿宋"/>
          <w:color w:val="auto"/>
          <w:sz w:val="24"/>
          <w:szCs w:val="24"/>
          <w:highlight w:val="none"/>
          <w:lang w:val="en-US" w:eastAsia="zh-CN"/>
        </w:rPr>
        <w:t>合同终止不免除乙方根据本款所应承担的违约责任</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因此给甲方造成损失的，乙方还应当赔偿甲方因此所受全部损失。</w:t>
      </w:r>
    </w:p>
    <w:p>
      <w:pPr>
        <w:pStyle w:val="5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2、本合同签订后，任何一方不得随意解除本合同，否则违约方应当承担本合同总金额30%的违约金，因此给对方造成损失的，还应当赔偿对方因此所受全部损失。</w:t>
      </w:r>
    </w:p>
    <w:p>
      <w:pPr>
        <w:pStyle w:val="51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snapToGrid/>
          <w:color w:val="auto"/>
          <w:kern w:val="2"/>
          <w:sz w:val="24"/>
          <w:szCs w:val="24"/>
          <w:highlight w:val="none"/>
          <w:lang w:val="en-US" w:eastAsia="zh-CN"/>
        </w:rPr>
        <w:t>因乙方违反本合同相关规定导致甲方解除、终止本合同的，双方按实结算合同价款及违约金、赔偿金、扣款等费用，实行多退少补，结算完成后甲方预付款仍有剩余的，乙方应当在合同解除后7天内将剩余部分预付款退还给甲方，逾期未退还的，乙方应当按照应退未退部分款项的千分之二每日支付逾期违约金。</w:t>
      </w:r>
    </w:p>
    <w:p>
      <w:pPr>
        <w:pStyle w:val="519"/>
        <w:keepNext w:val="0"/>
        <w:keepLines w:val="0"/>
        <w:pageBreakBefore w:val="0"/>
        <w:widowControl w:val="0"/>
        <w:kinsoku/>
        <w:wordWrap/>
        <w:overflowPunct/>
        <w:topLinePunct w:val="0"/>
        <w:bidi w:val="0"/>
        <w:adjustRightInd w:val="0"/>
        <w:snapToGrid w:val="0"/>
        <w:spacing w:line="360" w:lineRule="auto"/>
        <w:ind w:left="0" w:leftChars="0" w:firstLine="0" w:firstLineChars="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九、考核办法</w:t>
      </w:r>
    </w:p>
    <w:tbl>
      <w:tblPr>
        <w:tblStyle w:val="62"/>
        <w:tblpPr w:leftFromText="180" w:rightFromText="180" w:vertAnchor="text" w:horzAnchor="page" w:tblpX="1499" w:tblpY="382"/>
        <w:tblOverlap w:val="never"/>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427"/>
        <w:gridCol w:w="456"/>
        <w:gridCol w:w="831"/>
        <w:gridCol w:w="1019"/>
        <w:gridCol w:w="925"/>
        <w:gridCol w:w="993"/>
        <w:gridCol w:w="976"/>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trPr>
        <w:tc>
          <w:tcPr>
            <w:tcW w:w="9069" w:type="dxa"/>
            <w:gridSpan w:val="9"/>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采集公司考核评价体系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trPr>
        <w:tc>
          <w:tcPr>
            <w:tcW w:w="603"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指标大类</w:t>
            </w:r>
          </w:p>
        </w:tc>
        <w:tc>
          <w:tcPr>
            <w:tcW w:w="427"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456"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小类</w:t>
            </w: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评价内容</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评价标准</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说明</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相关要求及计扣办法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trPr>
        <w:tc>
          <w:tcPr>
            <w:tcW w:w="603" w:type="dxa"/>
            <w:vMerge w:val="restart"/>
            <w:noWrap w:val="0"/>
            <w:vAlign w:val="center"/>
          </w:tcPr>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质</w:t>
            </w: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量</w:t>
            </w: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指</w:t>
            </w: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rPr>
              <w:t>数</w:t>
            </w: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质量</w:t>
            </w: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 xml:space="preserve">指数      </w:t>
            </w: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c>
          <w:tcPr>
            <w:tcW w:w="427"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w:t>
            </w:r>
          </w:p>
        </w:tc>
        <w:tc>
          <w:tcPr>
            <w:tcW w:w="456"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全面采集</w:t>
            </w: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视频巡查</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视频巡查率</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视频巡查数/案卷总数</w:t>
            </w:r>
            <w:r>
              <w:rPr>
                <w:rFonts w:hint="eastAsia" w:ascii="仿宋" w:hAnsi="仿宋" w:eastAsia="仿宋" w:cs="仿宋"/>
                <w:color w:val="auto"/>
                <w:kern w:val="0"/>
                <w:sz w:val="24"/>
                <w:szCs w:val="24"/>
                <w:highlight w:val="none"/>
              </w:rPr>
              <w:t>）×100％</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不少于</w:t>
            </w:r>
            <w:r>
              <w:rPr>
                <w:rFonts w:hint="eastAsia" w:ascii="仿宋" w:hAnsi="仿宋" w:eastAsia="仿宋" w:cs="仿宋"/>
                <w:color w:val="auto"/>
                <w:kern w:val="0"/>
                <w:sz w:val="24"/>
                <w:szCs w:val="24"/>
                <w:highlight w:val="none"/>
                <w:lang w:val="en-US" w:eastAsia="zh-CN"/>
              </w:rPr>
              <w:t>8%，每少1%扣1000元。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603" w:type="dxa"/>
            <w:vMerge w:val="continue"/>
            <w:noWrap w:val="0"/>
            <w:vAlign w:val="top"/>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c>
          <w:tcPr>
            <w:tcW w:w="427"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美丽杭州</w:t>
            </w:r>
            <w:r>
              <w:rPr>
                <w:rFonts w:hint="eastAsia" w:ascii="仿宋" w:hAnsi="仿宋" w:eastAsia="仿宋" w:cs="仿宋"/>
                <w:color w:val="auto"/>
                <w:kern w:val="0"/>
                <w:sz w:val="24"/>
                <w:szCs w:val="24"/>
                <w:highlight w:val="none"/>
              </w:rPr>
              <w:t>漏报率</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漏报率＝（漏报数/校核基数）×100％，</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c>
          <w:tcPr>
            <w:tcW w:w="2839" w:type="dxa"/>
            <w:noWrap w:val="0"/>
            <w:vAlign w:val="top"/>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控制漏报。</w:t>
            </w:r>
            <w:r>
              <w:rPr>
                <w:rFonts w:hint="eastAsia" w:ascii="仿宋" w:hAnsi="仿宋" w:eastAsia="仿宋" w:cs="仿宋"/>
                <w:color w:val="auto"/>
                <w:kern w:val="0"/>
                <w:sz w:val="24"/>
                <w:szCs w:val="24"/>
                <w:highlight w:val="none"/>
                <w:lang w:eastAsia="zh-CN"/>
              </w:rPr>
              <w:t>根据每周考核情况，</w:t>
            </w:r>
            <w:r>
              <w:rPr>
                <w:rFonts w:hint="eastAsia" w:ascii="仿宋" w:hAnsi="仿宋" w:eastAsia="仿宋" w:cs="仿宋"/>
                <w:color w:val="auto"/>
                <w:kern w:val="0"/>
                <w:sz w:val="24"/>
                <w:szCs w:val="24"/>
                <w:highlight w:val="none"/>
                <w:lang w:val="en-US" w:eastAsia="zh-CN"/>
              </w:rPr>
              <w:t>漏报率低于（含）50%的不扣。检查漏报率在50%～70%（含）的，每上升1%扣200元；检查漏报率在70%以上的，每上升1%扣400元。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漏报件</w:t>
            </w:r>
          </w:p>
        </w:tc>
        <w:tc>
          <w:tcPr>
            <w:tcW w:w="101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区级</w:t>
            </w: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检查</w:t>
            </w:r>
          </w:p>
        </w:tc>
        <w:tc>
          <w:tcPr>
            <w:tcW w:w="925"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等重大漏报并经确认的</w:t>
            </w:r>
          </w:p>
        </w:tc>
        <w:tc>
          <w:tcPr>
            <w:tcW w:w="993"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c>
          <w:tcPr>
            <w:tcW w:w="976"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此项按件计扣，不纳入漏报率评价</w:t>
            </w:r>
          </w:p>
        </w:tc>
        <w:tc>
          <w:tcPr>
            <w:tcW w:w="2839" w:type="dxa"/>
            <w:noWrap w:val="0"/>
            <w:vAlign w:val="center"/>
          </w:tcPr>
          <w:p>
            <w:pPr>
              <w:pageBreakBefore w:val="0"/>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控制漏报。工作区域内所有事部件问题应在第一时间内上报，因不及时上报而构成漏报事实，将按以下标准计扣：由各科室、中队巡查、社区反映校核确认为的漏报，每件扣500元；领导督查、行业监管部门检查校核后确认的漏报，每件扣2000</w:t>
            </w:r>
            <w:r>
              <w:rPr>
                <w:rFonts w:hint="eastAsia" w:ascii="仿宋" w:hAnsi="仿宋" w:eastAsia="仿宋" w:cs="仿宋"/>
                <w:color w:val="auto"/>
                <w:kern w:val="0"/>
                <w:sz w:val="24"/>
                <w:szCs w:val="24"/>
                <w:highlight w:val="none"/>
                <w:lang w:val="en-US" w:eastAsia="zh-CN"/>
              </w:rPr>
              <w:t>元</w:t>
            </w:r>
            <w:r>
              <w:rPr>
                <w:rFonts w:hint="eastAsia" w:ascii="仿宋" w:hAnsi="仿宋" w:eastAsia="仿宋" w:cs="仿宋"/>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c>
          <w:tcPr>
            <w:tcW w:w="101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联合</w:t>
            </w: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检查</w:t>
            </w:r>
          </w:p>
        </w:tc>
        <w:tc>
          <w:tcPr>
            <w:tcW w:w="925" w:type="dxa"/>
            <w:vMerge w:val="continue"/>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c>
          <w:tcPr>
            <w:tcW w:w="993"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每件扣2000元</w:t>
            </w:r>
          </w:p>
        </w:tc>
        <w:tc>
          <w:tcPr>
            <w:tcW w:w="976" w:type="dxa"/>
            <w:vMerge w:val="continue"/>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c>
          <w:tcPr>
            <w:tcW w:w="2839" w:type="dxa"/>
            <w:vMerge w:val="restart"/>
            <w:noWrap w:val="0"/>
            <w:vAlign w:val="center"/>
          </w:tcPr>
          <w:p>
            <w:pPr>
              <w:pageBreakBefore w:val="0"/>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被上级主管部门检查校核后确认的漏报，每件扣2000元.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101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热线投诉、媒体漏报</w:t>
            </w:r>
          </w:p>
        </w:tc>
        <w:tc>
          <w:tcPr>
            <w:tcW w:w="925"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993"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每件扣2000元</w:t>
            </w:r>
          </w:p>
        </w:tc>
        <w:tc>
          <w:tcPr>
            <w:tcW w:w="97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101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普查、应急保障</w:t>
            </w:r>
          </w:p>
        </w:tc>
        <w:tc>
          <w:tcPr>
            <w:tcW w:w="925"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993"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每件扣2000元</w:t>
            </w:r>
          </w:p>
        </w:tc>
        <w:tc>
          <w:tcPr>
            <w:tcW w:w="97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类别覆盖率</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类别覆盖率=（实际覆盖事、部件类别数/事、部件类别总数）×100％，</w:t>
            </w:r>
          </w:p>
        </w:tc>
        <w:tc>
          <w:tcPr>
            <w:tcW w:w="976" w:type="dxa"/>
            <w:vMerge w:val="restart"/>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　</w:t>
            </w:r>
            <w:r>
              <w:rPr>
                <w:rFonts w:hint="eastAsia" w:ascii="仿宋" w:hAnsi="仿宋" w:eastAsia="仿宋" w:cs="仿宋"/>
                <w:color w:val="auto"/>
                <w:kern w:val="0"/>
                <w:sz w:val="24"/>
                <w:szCs w:val="24"/>
                <w:highlight w:val="none"/>
                <w:lang w:val="en-US" w:eastAsia="zh-CN"/>
              </w:rPr>
              <w:t>/</w:t>
            </w:r>
          </w:p>
        </w:tc>
        <w:tc>
          <w:tcPr>
            <w:tcW w:w="2839"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公正采集。应严格按事、部件标准实行“全视野”采集。采集中出现明显缺项且无正当理由的，以80%为基数，每下降1%扣1000元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以80%为基数，每下降1%扣1000元</w:t>
            </w:r>
          </w:p>
        </w:tc>
        <w:tc>
          <w:tcPr>
            <w:tcW w:w="97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456"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准确上报</w:t>
            </w:r>
          </w:p>
        </w:tc>
        <w:tc>
          <w:tcPr>
            <w:tcW w:w="831" w:type="dxa"/>
            <w:noWrap w:val="0"/>
            <w:vAlign w:val="center"/>
          </w:tcPr>
          <w:p>
            <w:pPr>
              <w:pageBreakBefore w:val="0"/>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差错件</w:t>
            </w:r>
          </w:p>
        </w:tc>
        <w:tc>
          <w:tcPr>
            <w:tcW w:w="2937" w:type="dxa"/>
            <w:gridSpan w:val="3"/>
            <w:noWrap w:val="0"/>
            <w:vAlign w:val="center"/>
          </w:tcPr>
          <w:p>
            <w:pPr>
              <w:pageBreakBefore w:val="0"/>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采集差错、举手之劳等不立案案卷</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p>
            <w:pPr>
              <w:pageBreakBefore w:val="0"/>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按件计扣，</w:t>
            </w:r>
            <w:r>
              <w:rPr>
                <w:rFonts w:hint="eastAsia" w:ascii="仿宋" w:hAnsi="仿宋" w:eastAsia="仿宋" w:cs="仿宋"/>
                <w:color w:val="auto"/>
                <w:kern w:val="0"/>
                <w:sz w:val="24"/>
                <w:szCs w:val="24"/>
                <w:highlight w:val="none"/>
                <w:lang w:eastAsia="zh-CN"/>
              </w:rPr>
              <w:t>纳入被市级考核的</w:t>
            </w:r>
            <w:r>
              <w:rPr>
                <w:rFonts w:hint="eastAsia" w:ascii="仿宋" w:hAnsi="仿宋" w:eastAsia="仿宋" w:cs="仿宋"/>
                <w:color w:val="auto"/>
                <w:kern w:val="0"/>
                <w:sz w:val="24"/>
                <w:szCs w:val="24"/>
                <w:highlight w:val="none"/>
              </w:rPr>
              <w:t>每件扣1</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456"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及时回复</w:t>
            </w: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核查及时下发率</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核查回复率＝(核查及时下发数/核查发出数)×100％</w:t>
            </w:r>
          </w:p>
          <w:p>
            <w:pPr>
              <w:pageBreakBefore w:val="0"/>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以100％为基数，每下降1％扣1000元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被上级主管部门扣分每件扣2000元。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核查及时回复率</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核查及时回复率＝(核查及时回复次数/核查回复数)×100％，</w:t>
            </w:r>
          </w:p>
        </w:tc>
        <w:tc>
          <w:tcPr>
            <w:tcW w:w="976" w:type="dxa"/>
            <w:vMerge w:val="restart"/>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以100％为基数，每下降1％扣1000元</w:t>
            </w:r>
          </w:p>
        </w:tc>
        <w:tc>
          <w:tcPr>
            <w:tcW w:w="97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trPr>
        <w:tc>
          <w:tcPr>
            <w:tcW w:w="603" w:type="dxa"/>
            <w:vMerge w:val="restart"/>
            <w:noWrap w:val="0"/>
            <w:vAlign w:val="top"/>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管控</w:t>
            </w:r>
          </w:p>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rPr>
              <w:t>指数</w:t>
            </w: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Style w:val="519"/>
              <w:pageBreakBefore w:val="0"/>
              <w:kinsoku/>
              <w:wordWrap/>
              <w:overflowPunct/>
              <w:topLinePunct w:val="0"/>
              <w:bidi w:val="0"/>
              <w:spacing w:line="360" w:lineRule="auto"/>
              <w:ind w:left="0"/>
              <w:textAlignment w:val="auto"/>
              <w:rPr>
                <w:rFonts w:hint="eastAsia" w:ascii="仿宋" w:hAnsi="仿宋" w:eastAsia="仿宋" w:cs="仿宋"/>
                <w:color w:val="auto"/>
                <w:sz w:val="24"/>
                <w:szCs w:val="24"/>
                <w:highlight w:val="none"/>
                <w:lang w:eastAsia="zh-CN"/>
              </w:rPr>
            </w:pP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管控</w:t>
            </w:r>
          </w:p>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 xml:space="preserve">指数                                                                    </w:t>
            </w:r>
          </w:p>
        </w:tc>
        <w:tc>
          <w:tcPr>
            <w:tcW w:w="427"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456"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人员管理</w:t>
            </w: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人员配置</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工作时间路面</w:t>
            </w:r>
            <w:r>
              <w:rPr>
                <w:rFonts w:hint="eastAsia" w:ascii="仿宋" w:hAnsi="仿宋" w:eastAsia="仿宋" w:cs="仿宋"/>
                <w:color w:val="auto"/>
                <w:sz w:val="24"/>
                <w:szCs w:val="24"/>
                <w:highlight w:val="none"/>
                <w:lang w:val="en-US" w:eastAsia="zh-CN"/>
              </w:rPr>
              <w:t>在岗</w:t>
            </w:r>
            <w:r>
              <w:rPr>
                <w:rFonts w:hint="eastAsia" w:ascii="仿宋" w:hAnsi="仿宋" w:eastAsia="仿宋" w:cs="仿宋"/>
                <w:color w:val="auto"/>
                <w:sz w:val="24"/>
                <w:szCs w:val="24"/>
                <w:highlight w:val="none"/>
              </w:rPr>
              <w:t>巡查人数不少于</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人（机动车巡查不少于</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辆）</w:t>
            </w:r>
            <w:r>
              <w:rPr>
                <w:rFonts w:hint="eastAsia" w:ascii="仿宋" w:hAnsi="仿宋" w:eastAsia="仿宋" w:cs="仿宋"/>
                <w:color w:val="auto"/>
                <w:sz w:val="24"/>
                <w:szCs w:val="24"/>
                <w:highlight w:val="none"/>
                <w:lang w:eastAsia="zh-CN"/>
              </w:rPr>
              <w:t>；12：00-13：30，18：00-20：30非正常采集时段，在岗人数不低于</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lang w:eastAsia="zh-CN"/>
              </w:rPr>
              <w:t>人，晚上</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30</w:t>
            </w:r>
            <w:r>
              <w:rPr>
                <w:rFonts w:hint="eastAsia" w:ascii="仿宋" w:hAnsi="仿宋" w:eastAsia="仿宋" w:cs="仿宋"/>
                <w:color w:val="auto"/>
                <w:kern w:val="0"/>
                <w:sz w:val="24"/>
                <w:szCs w:val="24"/>
                <w:highlight w:val="none"/>
                <w:lang w:eastAsia="zh-CN"/>
              </w:rPr>
              <w:t>-次日早上</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eastAsia="zh-CN"/>
              </w:rPr>
              <w:t>0值班人员不少于1人，值班车辆不少于1辆</w:t>
            </w:r>
            <w:r>
              <w:rPr>
                <w:rFonts w:hint="eastAsia" w:ascii="仿宋" w:hAnsi="仿宋" w:eastAsia="仿宋" w:cs="仿宋"/>
                <w:color w:val="auto"/>
                <w:kern w:val="0"/>
                <w:sz w:val="24"/>
                <w:szCs w:val="24"/>
                <w:highlight w:val="none"/>
              </w:rPr>
              <w:t>；每少1人</w:t>
            </w:r>
            <w:r>
              <w:rPr>
                <w:rFonts w:hint="eastAsia" w:ascii="仿宋" w:hAnsi="仿宋" w:eastAsia="仿宋" w:cs="仿宋"/>
                <w:color w:val="auto"/>
                <w:kern w:val="0"/>
                <w:sz w:val="24"/>
                <w:szCs w:val="24"/>
                <w:highlight w:val="none"/>
                <w:lang w:val="en-US" w:eastAsia="zh-CN"/>
              </w:rPr>
              <w:t>/辆</w:t>
            </w:r>
            <w:r>
              <w:rPr>
                <w:rFonts w:hint="eastAsia" w:ascii="仿宋" w:hAnsi="仿宋" w:eastAsia="仿宋" w:cs="仿宋"/>
                <w:color w:val="auto"/>
                <w:kern w:val="0"/>
                <w:sz w:val="24"/>
                <w:szCs w:val="24"/>
                <w:highlight w:val="none"/>
              </w:rPr>
              <w:t>扣2000元</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采集员和管理员达不到甲方工作要求5个工作日内需落实替换人员，逾期每超过1个工作日扣500元。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额定人数为合同约定人数，用工应符合劳动法相关规定。</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应足额配备一定素质的采集员。采集员队伍基本素质要求：采集员必须具备高中以上学历，</w:t>
            </w:r>
            <w:r>
              <w:rPr>
                <w:rFonts w:hint="eastAsia" w:ascii="仿宋" w:hAnsi="仿宋" w:eastAsia="仿宋" w:cs="仿宋"/>
                <w:color w:val="auto"/>
                <w:kern w:val="0"/>
                <w:sz w:val="24"/>
                <w:szCs w:val="24"/>
                <w:highlight w:val="none"/>
                <w:lang w:val="en-US" w:eastAsia="zh-CN"/>
              </w:rPr>
              <w:t>管理员必须具备专科及以上学历，</w:t>
            </w:r>
            <w:r>
              <w:rPr>
                <w:rFonts w:hint="eastAsia" w:ascii="仿宋" w:hAnsi="仿宋" w:eastAsia="仿宋" w:cs="仿宋"/>
                <w:color w:val="auto"/>
                <w:kern w:val="0"/>
                <w:sz w:val="24"/>
                <w:szCs w:val="24"/>
                <w:highlight w:val="none"/>
              </w:rPr>
              <w:t>身体健康，具有较强责任心和事业心，年龄不超过法定退休年龄</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管理员还需具有1年以上信息采集项目经验</w:t>
            </w:r>
            <w:r>
              <w:rPr>
                <w:rFonts w:hint="eastAsia" w:ascii="仿宋" w:hAnsi="仿宋" w:eastAsia="仿宋" w:cs="仿宋"/>
                <w:color w:val="auto"/>
                <w:kern w:val="0"/>
                <w:sz w:val="24"/>
                <w:szCs w:val="24"/>
                <w:highlight w:val="none"/>
              </w:rPr>
              <w:t>；采集员和管理员达不到甲方工作要求5个工作日内需落实替换人员。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人员管理</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留用应开除人员，每发生1人次扣2000元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员工管理。如管理层（含区域经理、项目经理及管理员等公司管理层）如需变更或暂离岗位的，中标人应提前一周以书面形式告知甲方并做好工作对接，且暂离不得超过10日。城管系统内违纪（规）被开除的人员，中标人不得录用从事信息采集相关工作，如采集员因违纪（规）被中标单位开除，该中标单位应自开除之日起3天内书面告知甲方。员工流动导致人员不足的，中标人应于员工离职之日起1天内书面告知甲方，并于15日内落实新晋人员（含培训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937" w:type="dxa"/>
            <w:gridSpan w:val="3"/>
            <w:noWrap w:val="0"/>
            <w:vAlign w:val="center"/>
          </w:tcPr>
          <w:p>
            <w:pPr>
              <w:pageBreakBefore w:val="0"/>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录用违规人员，每发生1人次扣5000元</w:t>
            </w:r>
          </w:p>
        </w:tc>
        <w:tc>
          <w:tcPr>
            <w:tcW w:w="976" w:type="dxa"/>
            <w:noWrap w:val="0"/>
            <w:vAlign w:val="center"/>
          </w:tcPr>
          <w:p>
            <w:pPr>
              <w:pageBreakBefore w:val="0"/>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队伍稳定</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管理层擅自变更，每发生1人次扣5000元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937" w:type="dxa"/>
            <w:gridSpan w:val="3"/>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采集公司管理层擅离或暂离超过10天,每发生1人次扣5000元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937" w:type="dxa"/>
            <w:gridSpan w:val="3"/>
            <w:vMerge w:val="continue"/>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c>
          <w:tcPr>
            <w:tcW w:w="976" w:type="dxa"/>
            <w:vMerge w:val="restart"/>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员工流动比例以6%为基数，每增加1%扣1000元</w:t>
            </w:r>
          </w:p>
        </w:tc>
        <w:tc>
          <w:tcPr>
            <w:tcW w:w="97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公司内部矛盾激化，员工到公司以外寻求解决办法，造成较大影响，每发生1人次扣5000元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c>
          <w:tcPr>
            <w:tcW w:w="427"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456"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过程控制</w:t>
            </w: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制度建设</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有明确的信息采集质量管理目标、管理制度、工作程序、工作记录、人员管控和考核检查奖惩办法等，每缺1项，扣2000元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default" w:ascii="仿宋" w:hAnsi="仿宋" w:eastAsia="仿宋" w:cs="仿宋"/>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现场管控</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未足额上岗、员工迟到、早退、溜岗等行为等同人员配置不到位，每少1人次扣2000元。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应按要求在不同时间段安排足额员工</w:t>
            </w:r>
          </w:p>
        </w:tc>
        <w:tc>
          <w:tcPr>
            <w:tcW w:w="2839" w:type="dxa"/>
            <w:noWrap w:val="0"/>
            <w:vAlign w:val="center"/>
          </w:tcPr>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人数</w:t>
            </w:r>
            <w:r>
              <w:rPr>
                <w:rFonts w:hint="eastAsia" w:ascii="仿宋" w:hAnsi="仿宋" w:eastAsia="仿宋" w:cs="仿宋"/>
                <w:color w:val="auto"/>
                <w:sz w:val="24"/>
                <w:szCs w:val="24"/>
                <w:highlight w:val="none"/>
                <w:lang w:val="en-US" w:eastAsia="zh-CN"/>
              </w:rPr>
              <w:t>总数</w:t>
            </w:r>
            <w:r>
              <w:rPr>
                <w:rFonts w:hint="eastAsia" w:ascii="仿宋" w:hAnsi="仿宋" w:eastAsia="仿宋" w:cs="仿宋"/>
                <w:color w:val="auto"/>
                <w:sz w:val="24"/>
                <w:szCs w:val="24"/>
                <w:highlight w:val="none"/>
              </w:rPr>
              <w:t>不少于</w:t>
            </w:r>
            <w:r>
              <w:rPr>
                <w:rFonts w:hint="eastAsia" w:ascii="仿宋" w:hAnsi="仿宋" w:eastAsia="仿宋" w:cs="仿宋"/>
                <w:color w:val="auto"/>
                <w:sz w:val="24"/>
                <w:szCs w:val="24"/>
                <w:highlight w:val="none"/>
                <w:lang w:val="en-US" w:eastAsia="zh-CN"/>
              </w:rPr>
              <w:t>42</w:t>
            </w:r>
            <w:r>
              <w:rPr>
                <w:rFonts w:hint="eastAsia" w:ascii="仿宋" w:hAnsi="仿宋" w:eastAsia="仿宋" w:cs="仿宋"/>
                <w:color w:val="auto"/>
                <w:sz w:val="24"/>
                <w:szCs w:val="24"/>
                <w:highlight w:val="none"/>
              </w:rPr>
              <w:t>人（含管理员</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人、项目负责人1人）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工作时间路面</w:t>
            </w:r>
            <w:r>
              <w:rPr>
                <w:rFonts w:hint="eastAsia" w:ascii="仿宋" w:hAnsi="仿宋" w:eastAsia="仿宋" w:cs="仿宋"/>
                <w:color w:val="auto"/>
                <w:sz w:val="24"/>
                <w:szCs w:val="24"/>
                <w:highlight w:val="none"/>
                <w:lang w:val="en-US" w:eastAsia="zh-CN"/>
              </w:rPr>
              <w:t>在岗</w:t>
            </w:r>
            <w:r>
              <w:rPr>
                <w:rFonts w:hint="eastAsia" w:ascii="仿宋" w:hAnsi="仿宋" w:eastAsia="仿宋" w:cs="仿宋"/>
                <w:color w:val="auto"/>
                <w:sz w:val="24"/>
                <w:szCs w:val="24"/>
                <w:highlight w:val="none"/>
              </w:rPr>
              <w:t>巡查人数不少于</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人（机动车巡查不少于</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辆）</w:t>
            </w:r>
            <w:r>
              <w:rPr>
                <w:rFonts w:hint="eastAsia" w:ascii="仿宋" w:hAnsi="仿宋" w:eastAsia="仿宋" w:cs="仿宋"/>
                <w:color w:val="auto"/>
                <w:sz w:val="24"/>
                <w:szCs w:val="24"/>
                <w:highlight w:val="none"/>
                <w:lang w:eastAsia="zh-CN"/>
              </w:rPr>
              <w:t>；12：00-13：30，18：00-20：30非正常采集时段，在岗人数不低于</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c>
          <w:tcPr>
            <w:tcW w:w="2937" w:type="dxa"/>
            <w:gridSpan w:val="3"/>
            <w:noWrap w:val="0"/>
            <w:vAlign w:val="center"/>
          </w:tcPr>
          <w:p>
            <w:pPr>
              <w:pageBreakBefore w:val="0"/>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未持证上岗，每人次扣100元。</w:t>
            </w:r>
          </w:p>
        </w:tc>
        <w:tc>
          <w:tcPr>
            <w:tcW w:w="976" w:type="dxa"/>
            <w:noWrap w:val="0"/>
            <w:vAlign w:val="center"/>
          </w:tcPr>
          <w:p>
            <w:pPr>
              <w:pageBreakBefore w:val="0"/>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采集员必须持证上岗，未经培训取得上岗资格或未持证不得从事采集工作。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巡查全覆盖：正常采集时间段内主要道路</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上下午各巡查不少于2次</w:t>
            </w:r>
            <w:r>
              <w:rPr>
                <w:rFonts w:hint="eastAsia" w:ascii="仿宋" w:hAnsi="仿宋" w:eastAsia="仿宋" w:cs="仿宋"/>
                <w:color w:val="auto"/>
                <w:kern w:val="0"/>
                <w:sz w:val="24"/>
                <w:szCs w:val="24"/>
                <w:highlight w:val="none"/>
                <w:lang w:eastAsia="zh-CN"/>
              </w:rPr>
              <w:t>（其中徒步巡查一天不少于一次）</w:t>
            </w:r>
            <w:r>
              <w:rPr>
                <w:rFonts w:hint="eastAsia" w:ascii="仿宋" w:hAnsi="仿宋" w:eastAsia="仿宋" w:cs="仿宋"/>
                <w:color w:val="auto"/>
                <w:kern w:val="0"/>
                <w:sz w:val="24"/>
                <w:szCs w:val="24"/>
                <w:highlight w:val="none"/>
              </w:rPr>
              <w:t>，次要道路</w:t>
            </w:r>
            <w:r>
              <w:rPr>
                <w:rFonts w:hint="eastAsia" w:ascii="仿宋" w:hAnsi="仿宋" w:eastAsia="仿宋" w:cs="仿宋"/>
                <w:color w:val="auto"/>
                <w:kern w:val="0"/>
                <w:sz w:val="24"/>
                <w:szCs w:val="24"/>
                <w:highlight w:val="none"/>
                <w:lang w:eastAsia="zh-CN"/>
              </w:rPr>
              <w:t>，背街小巷</w:t>
            </w:r>
            <w:r>
              <w:rPr>
                <w:rFonts w:hint="eastAsia" w:ascii="仿宋" w:hAnsi="仿宋" w:eastAsia="仿宋" w:cs="仿宋"/>
                <w:color w:val="auto"/>
                <w:kern w:val="0"/>
                <w:sz w:val="24"/>
                <w:szCs w:val="24"/>
                <w:highlight w:val="none"/>
              </w:rPr>
              <w:t>和其他道路上下午各巡查不少于1次</w:t>
            </w:r>
            <w:r>
              <w:rPr>
                <w:rFonts w:hint="eastAsia" w:ascii="仿宋" w:hAnsi="仿宋" w:eastAsia="仿宋" w:cs="仿宋"/>
                <w:color w:val="auto"/>
                <w:kern w:val="0"/>
                <w:sz w:val="24"/>
                <w:szCs w:val="24"/>
                <w:highlight w:val="none"/>
                <w:lang w:eastAsia="zh-CN"/>
              </w:rPr>
              <w:t>（徒步巡查每两天不少于</w:t>
            </w:r>
            <w:r>
              <w:rPr>
                <w:rFonts w:hint="eastAsia" w:ascii="仿宋" w:hAnsi="仿宋" w:eastAsia="仿宋" w:cs="仿宋"/>
                <w:color w:val="auto"/>
                <w:kern w:val="0"/>
                <w:sz w:val="24"/>
                <w:szCs w:val="24"/>
                <w:highlight w:val="none"/>
                <w:lang w:val="en-US" w:eastAsia="zh-CN"/>
              </w:rPr>
              <w:t>1次</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。非正常采集时间段内全覆盖巡查不少于1次。</w:t>
            </w:r>
          </w:p>
        </w:tc>
        <w:tc>
          <w:tcPr>
            <w:tcW w:w="976" w:type="dxa"/>
            <w:noWrap w:val="0"/>
            <w:vAlign w:val="center"/>
          </w:tcPr>
          <w:p>
            <w:pPr>
              <w:pageBreakBefore w:val="0"/>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不达要求每人次扣500元。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人员素质合格</w:t>
            </w:r>
          </w:p>
        </w:tc>
        <w:tc>
          <w:tcPr>
            <w:tcW w:w="2937" w:type="dxa"/>
            <w:gridSpan w:val="3"/>
            <w:noWrap w:val="0"/>
            <w:vAlign w:val="center"/>
          </w:tcPr>
          <w:p>
            <w:pPr>
              <w:pageBreakBefore w:val="0"/>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不合格人员5个工作日内整改完毕，逾期仍不合格或不整改每人次扣2000元。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异地采集</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为确保采集公正性，必须异地安排采集员，做到“异地采集”且定期轮岗（原则上2个月一次）。</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为确保采集公正性，必须异地安排采集员，做到“异地采集”且定期轮岗（原则上2个月一次）。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定区采集</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每两月月末3个工作日内上报采集员三定表，逾期未上报每发生1次扣1000元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采集员管理、配置需符合“三定表”要求，每两月月末3个工作日内上报三定表。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指令执行</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重要普查或应急保障等执行应无条件服从</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未在规定时间内完成普查任务，每次扣1000元。如遇防汛、抗雪、防灾或重大活动和重点区域保障需延长采集巡查时间，或需进行专项普查的，中标人应无条件服从。如出现不执行或执行不到位的，每次视情扣1000-5000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456"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设备管理</w:t>
            </w: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规范使用</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工作时间内未开启或未按要求正常使用采集器的GPS功能、擅自修改配置或挪作他用的，每发生1次扣200元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人须在签订合同后五日内，足数领取“信息采集器”，合同终结时，中标人须如数将“信息采集器”返还，每少一部按照采集器采购合同价95％的比例赔偿。使用过程中要做好信息采集设备（手机）的管理，保证功能的正常发挥。如遗失将按手机实际购买价95％</w:t>
            </w:r>
            <w:r>
              <w:rPr>
                <w:rFonts w:hint="eastAsia" w:ascii="仿宋" w:hAnsi="仿宋" w:eastAsia="仿宋" w:cs="仿宋"/>
                <w:color w:val="auto"/>
                <w:kern w:val="0"/>
                <w:sz w:val="24"/>
                <w:szCs w:val="24"/>
                <w:highlight w:val="none"/>
                <w:lang w:eastAsia="zh-CN"/>
              </w:rPr>
              <w:t>的比例</w:t>
            </w:r>
            <w:r>
              <w:rPr>
                <w:rFonts w:hint="eastAsia" w:ascii="仿宋" w:hAnsi="仿宋" w:eastAsia="仿宋" w:cs="仿宋"/>
                <w:color w:val="auto"/>
                <w:kern w:val="0"/>
                <w:sz w:val="24"/>
                <w:szCs w:val="24"/>
                <w:highlight w:val="none"/>
              </w:rPr>
              <w:t>赔偿，如因使用、管理不当造成手机硬件损坏或数据丢失的，应交甲方指定维护部门统一修理，非“三包”范围产生的费用由中标单位自理。严禁私自拆解、人为损坏、私自送修、擅自修改配置、挪作他用（游戏、影音、换卡打私人电话）等。因违规使用、不及时报修导致采集器无法正常工作的，责任由中标人承担；采集员在工作时间内必须开启采集器GPS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规范维护</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将采集器私自拆解、人为损坏、私自到非正规维修点送修等，每发生1次扣200元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03"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诚信指数</w:t>
            </w:r>
          </w:p>
        </w:tc>
        <w:tc>
          <w:tcPr>
            <w:tcW w:w="427"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456"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诚信管理</w:t>
            </w:r>
          </w:p>
        </w:tc>
        <w:tc>
          <w:tcPr>
            <w:tcW w:w="831"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职业道德</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吃拿卡要行为，每发生1次扣1000-5000元</w:t>
            </w:r>
          </w:p>
        </w:tc>
        <w:tc>
          <w:tcPr>
            <w:tcW w:w="976" w:type="dxa"/>
            <w:vMerge w:val="restart"/>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839"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严禁条款。杜绝“吃、拿、卡、要”行为，杜绝虚假信息，杜绝有责纠纷，如有上述情况一经查实，每次视情扣款，第三次发生（含）上述情况，甲方有权</w:t>
            </w:r>
            <w:r>
              <w:rPr>
                <w:rFonts w:hint="eastAsia" w:ascii="仿宋" w:hAnsi="仿宋" w:eastAsia="仿宋" w:cs="仿宋"/>
                <w:color w:val="auto"/>
                <w:kern w:val="0"/>
                <w:sz w:val="24"/>
                <w:szCs w:val="24"/>
                <w:highlight w:val="none"/>
                <w:lang w:val="en-US" w:eastAsia="zh-CN"/>
              </w:rPr>
              <w:t>终</w:t>
            </w:r>
            <w:r>
              <w:rPr>
                <w:rFonts w:hint="eastAsia" w:ascii="仿宋" w:hAnsi="仿宋" w:eastAsia="仿宋" w:cs="仿宋"/>
                <w:color w:val="auto"/>
                <w:kern w:val="0"/>
                <w:sz w:val="24"/>
                <w:szCs w:val="24"/>
                <w:highlight w:val="none"/>
              </w:rPr>
              <w:t>止合同，没收履约保证金，同时取消中标人下一轮信息采集投标资格。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上传虚假信息，每发生1次扣2000元</w:t>
            </w:r>
          </w:p>
        </w:tc>
        <w:tc>
          <w:tcPr>
            <w:tcW w:w="97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839" w:type="dxa"/>
            <w:vMerge w:val="continue"/>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无资格顶岗</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欺瞒采集员信息、违规使用无上岗资格人员</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欺瞒采集员信息、违规使用无上岗资格人员的，每发生1人次扣2000元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456"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队伍形象</w:t>
            </w: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投诉核实</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发生</w:t>
            </w:r>
            <w:r>
              <w:rPr>
                <w:rFonts w:hint="eastAsia" w:ascii="仿宋" w:hAnsi="仿宋" w:eastAsia="仿宋" w:cs="仿宋"/>
                <w:color w:val="auto"/>
                <w:kern w:val="0"/>
                <w:sz w:val="24"/>
                <w:szCs w:val="24"/>
                <w:highlight w:val="none"/>
              </w:rPr>
              <w:t>有责投诉</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有责投诉，每发生1次扣3000元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社会评价</w:t>
            </w:r>
          </w:p>
        </w:tc>
        <w:tc>
          <w:tcPr>
            <w:tcW w:w="2937" w:type="dxa"/>
            <w:gridSpan w:val="3"/>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负面评价</w:t>
            </w:r>
          </w:p>
        </w:tc>
        <w:tc>
          <w:tcPr>
            <w:tcW w:w="976" w:type="dxa"/>
            <w:noWrap w:val="0"/>
            <w:vAlign w:val="center"/>
          </w:tcPr>
          <w:p>
            <w:pPr>
              <w:pageBreakBefore w:val="0"/>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p>
            <w:pPr>
              <w:pageBreakBefore w:val="0"/>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受到公众和新闻媒体负面评价，每次扣5000元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456" w:type="dxa"/>
            <w:vMerge w:val="restart"/>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文明经营</w:t>
            </w: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依法用工</w:t>
            </w:r>
          </w:p>
        </w:tc>
        <w:tc>
          <w:tcPr>
            <w:tcW w:w="2937" w:type="dxa"/>
            <w:gridSpan w:val="3"/>
            <w:noWrap w:val="0"/>
            <w:vAlign w:val="center"/>
          </w:tcPr>
          <w:p>
            <w:pPr>
              <w:pageBreakBefore w:val="0"/>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无故拖欠员工工资、克扣员工福利或其他违法经营行为</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无故拖欠员工工资、克扣员工福利或其他违法经营行为，每发生1次扣3000元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603"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27"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456" w:type="dxa"/>
            <w:vMerge w:val="continue"/>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公平竞争</w:t>
            </w:r>
          </w:p>
        </w:tc>
        <w:tc>
          <w:tcPr>
            <w:tcW w:w="2937" w:type="dxa"/>
            <w:gridSpan w:val="3"/>
            <w:noWrap w:val="0"/>
            <w:vAlign w:val="center"/>
          </w:tcPr>
          <w:p>
            <w:pPr>
              <w:pageBreakBefore w:val="0"/>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公司采取不正当竞争手段，影响采集市场正常运行的，每发生1次扣5000元</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2839" w:type="dxa"/>
            <w:noWrap w:val="0"/>
            <w:vAlign w:val="center"/>
          </w:tcPr>
          <w:p>
            <w:pPr>
              <w:pageBreakBefore w:val="0"/>
              <w:widowControl/>
              <w:kinsoku/>
              <w:wordWrap/>
              <w:overflowPunct/>
              <w:topLinePunct w:val="0"/>
              <w:bidi w:val="0"/>
              <w:adjustRightInd w:val="0"/>
              <w:snapToGrid w:val="0"/>
              <w:spacing w:line="360" w:lineRule="auto"/>
              <w:ind w:lef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若出现不正当竞争行为、影响恶劣的甲方有权终止合同，没收履约保证金，并取消中标人下一轮信息采集投标资格。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603"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宣传</w:t>
            </w:r>
          </w:p>
        </w:tc>
        <w:tc>
          <w:tcPr>
            <w:tcW w:w="427"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45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宣传</w:t>
            </w: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宣传</w:t>
            </w:r>
          </w:p>
        </w:tc>
        <w:tc>
          <w:tcPr>
            <w:tcW w:w="2937" w:type="dxa"/>
            <w:gridSpan w:val="3"/>
            <w:noWrap w:val="0"/>
            <w:vAlign w:val="center"/>
          </w:tcPr>
          <w:p>
            <w:pPr>
              <w:pageBreakBefore w:val="0"/>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rPr>
              <w:t>及时上报宣传报道任务</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839" w:type="dxa"/>
            <w:noWrap w:val="0"/>
            <w:vAlign w:val="center"/>
          </w:tcPr>
          <w:p>
            <w:pPr>
              <w:pageBreakBefore w:val="0"/>
              <w:kinsoku/>
              <w:wordWrap/>
              <w:overflowPunct/>
              <w:topLinePunct w:val="0"/>
              <w:bidi w:val="0"/>
              <w:spacing w:line="360" w:lineRule="auto"/>
              <w:ind w:lef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每月至少被区局、市局各录用1篇，未完成任务区级扣500元，市级扣1000元；每多录用1篇，区级奖励100元/篇，市级奖励300元/篇。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603"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荣誉</w:t>
            </w:r>
          </w:p>
        </w:tc>
        <w:tc>
          <w:tcPr>
            <w:tcW w:w="427"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45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荣誉</w:t>
            </w:r>
          </w:p>
        </w:tc>
        <w:tc>
          <w:tcPr>
            <w:tcW w:w="831" w:type="dxa"/>
            <w:noWrap w:val="0"/>
            <w:vAlign w:val="center"/>
          </w:tcPr>
          <w:p>
            <w:pPr>
              <w:pageBreakBefore w:val="0"/>
              <w:widowControl/>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荣誉</w:t>
            </w:r>
          </w:p>
        </w:tc>
        <w:tc>
          <w:tcPr>
            <w:tcW w:w="2937" w:type="dxa"/>
            <w:gridSpan w:val="3"/>
            <w:noWrap w:val="0"/>
            <w:vAlign w:val="center"/>
          </w:tcPr>
          <w:p>
            <w:pPr>
              <w:pageBreakBefore w:val="0"/>
              <w:kinsoku/>
              <w:wordWrap/>
              <w:overflowPunct/>
              <w:topLinePunct w:val="0"/>
              <w:bidi w:val="0"/>
              <w:adjustRightInd w:val="0"/>
              <w:snapToGrid w:val="0"/>
              <w:spacing w:line="360" w:lineRule="auto"/>
              <w:ind w:lef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参加年度数字城管信息采集大比武或工作表现出色等被上级部门表扬</w:t>
            </w:r>
          </w:p>
        </w:tc>
        <w:tc>
          <w:tcPr>
            <w:tcW w:w="976" w:type="dxa"/>
            <w:noWrap w:val="0"/>
            <w:vAlign w:val="center"/>
          </w:tcPr>
          <w:p>
            <w:pPr>
              <w:pageBreakBefore w:val="0"/>
              <w:widowControl/>
              <w:kinsoku/>
              <w:wordWrap/>
              <w:overflowPunct/>
              <w:topLinePunct w:val="0"/>
              <w:bidi w:val="0"/>
              <w:adjustRightInd w:val="0"/>
              <w:snapToGrid w:val="0"/>
              <w:spacing w:line="360" w:lineRule="auto"/>
              <w:ind w:left="0"/>
              <w:jc w:val="left"/>
              <w:textAlignment w:val="auto"/>
              <w:rPr>
                <w:rFonts w:hint="eastAsia" w:ascii="仿宋" w:hAnsi="仿宋" w:eastAsia="仿宋" w:cs="仿宋"/>
                <w:color w:val="auto"/>
                <w:kern w:val="0"/>
                <w:sz w:val="24"/>
                <w:szCs w:val="24"/>
                <w:highlight w:val="none"/>
              </w:rPr>
            </w:pPr>
          </w:p>
        </w:tc>
        <w:tc>
          <w:tcPr>
            <w:tcW w:w="2839" w:type="dxa"/>
            <w:noWrap w:val="0"/>
            <w:vAlign w:val="center"/>
          </w:tcPr>
          <w:p>
            <w:pPr>
              <w:keepNext/>
              <w:keepLines/>
              <w:pageBreakBefore w:val="0"/>
              <w:widowControl w:val="0"/>
              <w:kinsoku/>
              <w:wordWrap/>
              <w:overflowPunct/>
              <w:topLinePunct w:val="0"/>
              <w:autoSpaceDE/>
              <w:autoSpaceDN/>
              <w:bidi w:val="0"/>
              <w:adjustRightInd/>
              <w:snapToGrid/>
              <w:spacing w:line="360" w:lineRule="auto"/>
              <w:ind w:left="0"/>
              <w:textAlignment w:val="auto"/>
              <w:outlineLvl w:val="9"/>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年度比武获得荣誉，单项三等奖奖励500元，二等奖奖励1000元，一等奖奖励2000元。被区级表扬奖励500元/次；市级及以上表扬奖励1000元/次。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317" w:type="dxa"/>
            <w:gridSpan w:val="4"/>
            <w:noWrap w:val="0"/>
            <w:vAlign w:val="center"/>
          </w:tcPr>
          <w:p>
            <w:pPr>
              <w:pageBreakBefore w:val="0"/>
              <w:widowControl/>
              <w:kinsoku/>
              <w:wordWrap/>
              <w:overflowPunct/>
              <w:topLinePunct w:val="0"/>
              <w:bidi w:val="0"/>
              <w:adjustRightInd w:val="0"/>
              <w:snapToGrid w:val="0"/>
              <w:spacing w:line="360" w:lineRule="auto"/>
              <w:ind w:left="0" w:leftChars="0"/>
              <w:jc w:val="center"/>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eastAsia="zh-CN"/>
              </w:rPr>
              <w:t>评价</w:t>
            </w:r>
          </w:p>
        </w:tc>
        <w:tc>
          <w:tcPr>
            <w:tcW w:w="6752" w:type="dxa"/>
            <w:gridSpan w:val="5"/>
            <w:noWrap w:val="0"/>
            <w:vAlign w:val="center"/>
          </w:tcPr>
          <w:p>
            <w:pPr>
              <w:keepNext/>
              <w:keepLines/>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实行打分制。考核每扣1000元折合扣1分，按月考核（满分100分）；第一年度评分为第一年度前11个月评分加权平均数，评分达90分及以上视为合格，同意签订第二年度合同。</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十</w:t>
      </w:r>
      <w:r>
        <w:rPr>
          <w:rFonts w:hint="eastAsia" w:ascii="仿宋" w:hAnsi="仿宋" w:eastAsia="仿宋" w:cs="仿宋"/>
          <w:b/>
          <w:bCs/>
          <w:color w:val="auto"/>
          <w:sz w:val="24"/>
          <w:szCs w:val="24"/>
          <w:highlight w:val="none"/>
        </w:rPr>
        <w:t>、其他约定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、在甲方组织的对乙方的评价中，如出现连续两次或累计三次不合格的，乙方必须更换项目经理。在此之后如再次出现评价不合格的情况，必须由乙方法人代表或总经理出任项目经理直至</w:t>
      </w:r>
      <w:r>
        <w:rPr>
          <w:rFonts w:hint="eastAsia" w:ascii="仿宋" w:hAnsi="仿宋" w:eastAsia="仿宋" w:cs="仿宋"/>
          <w:color w:val="auto"/>
          <w:sz w:val="24"/>
          <w:szCs w:val="24"/>
          <w:highlight w:val="none"/>
          <w:lang w:val="en-US" w:eastAsia="zh-CN"/>
        </w:rPr>
        <w:t>服务期限</w:t>
      </w:r>
      <w:r>
        <w:rPr>
          <w:rFonts w:hint="eastAsia" w:ascii="仿宋" w:hAnsi="仿宋" w:eastAsia="仿宋" w:cs="仿宋"/>
          <w:color w:val="auto"/>
          <w:sz w:val="24"/>
          <w:szCs w:val="24"/>
          <w:highlight w:val="none"/>
          <w:lang w:val="zh-CN"/>
        </w:rPr>
        <w:t>结束</w:t>
      </w:r>
      <w:r>
        <w:rPr>
          <w:rFonts w:hint="eastAsia" w:ascii="仿宋" w:hAnsi="仿宋" w:eastAsia="仿宋" w:cs="仿宋"/>
          <w:color w:val="auto"/>
          <w:sz w:val="24"/>
          <w:szCs w:val="24"/>
          <w:highlight w:val="none"/>
          <w:lang w:val="en-US" w:eastAsia="zh-CN"/>
        </w:rPr>
        <w:t>并经甲方履约验收合格</w:t>
      </w:r>
      <w:r>
        <w:rPr>
          <w:rFonts w:hint="eastAsia" w:ascii="仿宋" w:hAnsi="仿宋" w:eastAsia="仿宋" w:cs="仿宋"/>
          <w:color w:val="auto"/>
          <w:sz w:val="24"/>
          <w:szCs w:val="24"/>
          <w:highlight w:val="none"/>
          <w:lang w:val="zh-CN"/>
        </w:rPr>
        <w:t>。如乙方拒不执行，甲方有权终止合同，</w:t>
      </w:r>
      <w:r>
        <w:rPr>
          <w:rFonts w:hint="eastAsia" w:ascii="仿宋" w:hAnsi="仿宋" w:eastAsia="仿宋" w:cs="仿宋"/>
          <w:color w:val="auto"/>
          <w:sz w:val="24"/>
          <w:szCs w:val="24"/>
          <w:highlight w:val="none"/>
          <w:lang w:val="en-US" w:eastAsia="zh-CN"/>
        </w:rPr>
        <w:t>并要求乙方承担本合同总价【】%的违约金</w:t>
      </w:r>
      <w:r>
        <w:rPr>
          <w:rFonts w:hint="eastAsia" w:ascii="仿宋" w:hAnsi="仿宋" w:eastAsia="仿宋" w:cs="仿宋"/>
          <w:color w:val="auto"/>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、在项目实施过程中该数据的成果由甲方与乙方双方共享，未经对方</w:t>
      </w:r>
      <w:r>
        <w:rPr>
          <w:rFonts w:hint="eastAsia" w:ascii="仿宋" w:hAnsi="仿宋" w:eastAsia="仿宋" w:cs="仿宋"/>
          <w:color w:val="auto"/>
          <w:sz w:val="24"/>
          <w:szCs w:val="24"/>
          <w:highlight w:val="none"/>
          <w:lang w:val="en-US" w:eastAsia="zh-CN"/>
        </w:rPr>
        <w:t>书面</w:t>
      </w:r>
      <w:r>
        <w:rPr>
          <w:rFonts w:hint="eastAsia" w:ascii="仿宋" w:hAnsi="仿宋" w:eastAsia="仿宋" w:cs="仿宋"/>
          <w:color w:val="auto"/>
          <w:sz w:val="24"/>
          <w:szCs w:val="24"/>
          <w:highlight w:val="none"/>
          <w:lang w:val="zh-CN"/>
        </w:rPr>
        <w:t>同意，不得擅自扩散或提供给第三方使用，</w:t>
      </w:r>
      <w:r>
        <w:rPr>
          <w:rFonts w:hint="eastAsia" w:ascii="仿宋" w:hAnsi="仿宋" w:eastAsia="仿宋" w:cs="仿宋"/>
          <w:color w:val="auto"/>
          <w:sz w:val="24"/>
          <w:szCs w:val="24"/>
          <w:highlight w:val="none"/>
          <w:lang w:val="en-US" w:eastAsia="zh-CN"/>
        </w:rPr>
        <w:t>也不得用于除本合同以外的用途</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本合同服务期结束后，</w:t>
      </w:r>
      <w:r>
        <w:rPr>
          <w:rFonts w:hint="eastAsia" w:ascii="仿宋" w:hAnsi="仿宋" w:eastAsia="仿宋" w:cs="仿宋"/>
          <w:color w:val="auto"/>
          <w:sz w:val="24"/>
          <w:szCs w:val="24"/>
          <w:highlight w:val="none"/>
          <w:lang w:val="zh-CN"/>
        </w:rPr>
        <w:t>该数据的成果最终所有权归甲方所有，</w:t>
      </w:r>
      <w:r>
        <w:rPr>
          <w:rFonts w:hint="eastAsia" w:ascii="仿宋" w:hAnsi="仿宋" w:eastAsia="仿宋" w:cs="仿宋"/>
          <w:color w:val="auto"/>
          <w:sz w:val="24"/>
          <w:szCs w:val="24"/>
          <w:highlight w:val="none"/>
          <w:lang w:val="en-US" w:eastAsia="zh-CN"/>
        </w:rPr>
        <w:t>未经甲方书面同意，乙方不得</w:t>
      </w:r>
      <w:r>
        <w:rPr>
          <w:rFonts w:hint="eastAsia" w:ascii="仿宋" w:hAnsi="仿宋" w:eastAsia="仿宋" w:cs="仿宋"/>
          <w:color w:val="auto"/>
          <w:sz w:val="24"/>
          <w:szCs w:val="24"/>
          <w:highlight w:val="none"/>
          <w:lang w:val="zh-CN"/>
        </w:rPr>
        <w:t>擅自扩散或提供给第三方使用，</w:t>
      </w:r>
      <w:r>
        <w:rPr>
          <w:rFonts w:hint="eastAsia" w:ascii="仿宋" w:hAnsi="仿宋" w:eastAsia="仿宋" w:cs="仿宋"/>
          <w:color w:val="auto"/>
          <w:sz w:val="24"/>
          <w:szCs w:val="24"/>
          <w:highlight w:val="none"/>
          <w:lang w:val="en-US" w:eastAsia="zh-CN"/>
        </w:rPr>
        <w:t>也不得将</w:t>
      </w:r>
      <w:r>
        <w:rPr>
          <w:rFonts w:hint="eastAsia" w:ascii="仿宋" w:hAnsi="仿宋" w:eastAsia="仿宋" w:cs="仿宋"/>
          <w:color w:val="auto"/>
          <w:sz w:val="24"/>
          <w:szCs w:val="24"/>
          <w:highlight w:val="none"/>
          <w:lang w:val="zh-CN"/>
        </w:rPr>
        <w:t>该数据的成果</w:t>
      </w:r>
      <w:r>
        <w:rPr>
          <w:rFonts w:hint="eastAsia" w:ascii="仿宋" w:hAnsi="仿宋" w:eastAsia="仿宋" w:cs="仿宋"/>
          <w:color w:val="auto"/>
          <w:sz w:val="24"/>
          <w:szCs w:val="24"/>
          <w:highlight w:val="none"/>
          <w:lang w:val="en-US" w:eastAsia="zh-CN"/>
        </w:rPr>
        <w:t>用于除本合同以外的用途。乙方基于本款所应承担的义务不因本合同终止、解除或无效等原因而失效，乙方应承担该义务直至甲方书面通知解除。</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、乙方应遵守甲方相关规章、制度等，乙方对在合同履行期间所获得的甲方的情报和资料有保密义务，泄漏秘密应承担的责任。不论本合同是否变更、解除、终止，本条款均有效。</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转让和分包：未经甲方事先书面同意，乙方不得部分转让或全部转让其应履行的合同义务，否则甲方有权终止合同、</w:t>
      </w:r>
      <w:r>
        <w:rPr>
          <w:rFonts w:hint="eastAsia" w:ascii="仿宋" w:hAnsi="仿宋" w:eastAsia="仿宋" w:cs="仿宋"/>
          <w:color w:val="auto"/>
          <w:sz w:val="24"/>
          <w:szCs w:val="24"/>
          <w:highlight w:val="none"/>
          <w:lang w:val="en-US" w:eastAsia="zh-CN"/>
        </w:rPr>
        <w:t>要求乙方承担本合同总金额【】%的违约金并</w:t>
      </w:r>
      <w:r>
        <w:rPr>
          <w:rFonts w:hint="eastAsia" w:ascii="仿宋" w:hAnsi="仿宋" w:eastAsia="仿宋" w:cs="仿宋"/>
          <w:snapToGrid w:val="0"/>
          <w:color w:val="auto"/>
          <w:kern w:val="0"/>
          <w:sz w:val="24"/>
          <w:szCs w:val="24"/>
          <w:highlight w:val="none"/>
        </w:rPr>
        <w:t>取消其下一轮信息采集投标资格</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由此</w:t>
      </w:r>
      <w:r>
        <w:rPr>
          <w:rFonts w:hint="eastAsia" w:ascii="仿宋" w:hAnsi="仿宋" w:eastAsia="仿宋" w:cs="仿宋"/>
          <w:color w:val="auto"/>
          <w:sz w:val="24"/>
          <w:szCs w:val="24"/>
          <w:highlight w:val="none"/>
          <w:lang w:val="zh-CN"/>
        </w:rPr>
        <w:t>引起的一切损失由乙方负责。</w:t>
      </w:r>
    </w:p>
    <w:p>
      <w:pPr>
        <w:keepNext w:val="0"/>
        <w:keepLines w:val="0"/>
        <w:autoSpaceDE w:val="0"/>
        <w:autoSpaceDN w:val="0"/>
        <w:snapToGrid w:val="0"/>
        <w:spacing w:line="360" w:lineRule="auto"/>
        <w:ind w:firstLine="480" w:firstLineChars="200"/>
        <w:rPr>
          <w:rFonts w:hint="eastAsia" w:ascii="仿宋" w:hAnsi="仿宋" w:eastAsia="仿宋" w:cs="仿宋"/>
          <w:bCs w:val="0"/>
          <w:color w:val="auto"/>
          <w:sz w:val="24"/>
          <w:szCs w:val="24"/>
          <w:highlight w:val="none"/>
          <w:lang w:val="zh-CN" w:eastAsia="zh-CN"/>
        </w:rPr>
      </w:pPr>
      <w:r>
        <w:rPr>
          <w:rFonts w:hint="eastAsia" w:ascii="仿宋" w:hAnsi="仿宋" w:eastAsia="仿宋" w:cs="仿宋"/>
          <w:color w:val="auto"/>
          <w:sz w:val="24"/>
          <w:szCs w:val="24"/>
          <w:highlight w:val="none"/>
          <w:lang w:val="zh-CN" w:eastAsia="zh-CN"/>
        </w:rPr>
        <w:t>5、乙方</w:t>
      </w:r>
      <w:r>
        <w:rPr>
          <w:rFonts w:hint="eastAsia" w:ascii="仿宋" w:hAnsi="仿宋" w:eastAsia="仿宋" w:cs="仿宋"/>
          <w:color w:val="auto"/>
          <w:sz w:val="24"/>
          <w:szCs w:val="24"/>
          <w:highlight w:val="none"/>
          <w:lang w:val="zh-CN"/>
        </w:rPr>
        <w:t>应于履行合同前7日内</w:t>
      </w:r>
      <w:r>
        <w:rPr>
          <w:rFonts w:hint="eastAsia" w:ascii="仿宋" w:hAnsi="仿宋" w:eastAsia="仿宋" w:cs="仿宋"/>
          <w:color w:val="auto"/>
          <w:sz w:val="24"/>
          <w:szCs w:val="24"/>
          <w:highlight w:val="none"/>
          <w:lang w:val="zh-CN" w:eastAsia="zh-CN"/>
        </w:rPr>
        <w:t>且</w:t>
      </w:r>
      <w:r>
        <w:rPr>
          <w:rFonts w:hint="eastAsia" w:ascii="仿宋" w:hAnsi="仿宋" w:eastAsia="仿宋" w:cs="仿宋"/>
          <w:color w:val="auto"/>
          <w:sz w:val="24"/>
          <w:highlight w:val="none"/>
          <w:lang w:val="zh-CN" w:eastAsia="zh-CN"/>
        </w:rPr>
        <w:t>定标之日起30天内</w:t>
      </w:r>
      <w:r>
        <w:rPr>
          <w:rFonts w:hint="eastAsia" w:ascii="仿宋" w:hAnsi="仿宋" w:eastAsia="仿宋" w:cs="仿宋"/>
          <w:color w:val="auto"/>
          <w:sz w:val="24"/>
          <w:szCs w:val="24"/>
          <w:highlight w:val="none"/>
          <w:lang w:val="zh-CN"/>
        </w:rPr>
        <w:t>按照投标文件的承诺，完成信息采集队伍的招募、培训等前期工作</w:t>
      </w:r>
      <w:r>
        <w:rPr>
          <w:rFonts w:hint="eastAsia" w:ascii="仿宋" w:hAnsi="仿宋" w:eastAsia="仿宋" w:cs="仿宋"/>
          <w:color w:val="auto"/>
          <w:sz w:val="24"/>
          <w:szCs w:val="24"/>
          <w:highlight w:val="none"/>
          <w:lang w:val="zh-CN" w:eastAsia="zh-CN"/>
        </w:rPr>
        <w:t>，并</w:t>
      </w:r>
      <w:r>
        <w:rPr>
          <w:rFonts w:hint="eastAsia" w:ascii="仿宋" w:hAnsi="仿宋" w:eastAsia="仿宋" w:cs="仿宋"/>
          <w:bCs w:val="0"/>
          <w:color w:val="auto"/>
          <w:sz w:val="24"/>
          <w:szCs w:val="24"/>
          <w:highlight w:val="none"/>
          <w:lang w:val="zh-CN"/>
        </w:rPr>
        <w:t>根据采购需求设定采集员以及信息采集器的工作区域，向采购人提供各信息采集员</w:t>
      </w:r>
      <w:r>
        <w:rPr>
          <w:rFonts w:hint="eastAsia" w:ascii="仿宋" w:hAnsi="仿宋" w:eastAsia="仿宋" w:cs="仿宋"/>
          <w:bCs w:val="0"/>
          <w:color w:val="auto"/>
          <w:sz w:val="24"/>
          <w:szCs w:val="24"/>
          <w:highlight w:val="none"/>
          <w:lang w:val="zh-CN" w:eastAsia="zh-CN"/>
        </w:rPr>
        <w:t>信息及</w:t>
      </w:r>
      <w:r>
        <w:rPr>
          <w:rFonts w:hint="eastAsia" w:ascii="仿宋" w:hAnsi="仿宋" w:eastAsia="仿宋" w:cs="仿宋"/>
          <w:bCs w:val="0"/>
          <w:color w:val="auto"/>
          <w:sz w:val="24"/>
          <w:szCs w:val="24"/>
          <w:highlight w:val="none"/>
          <w:lang w:val="zh-CN"/>
        </w:rPr>
        <w:t>巡查线路</w:t>
      </w:r>
      <w:r>
        <w:rPr>
          <w:rFonts w:hint="eastAsia" w:ascii="仿宋" w:hAnsi="仿宋" w:eastAsia="仿宋" w:cs="仿宋"/>
          <w:bCs w:val="0"/>
          <w:color w:val="auto"/>
          <w:sz w:val="24"/>
          <w:szCs w:val="24"/>
          <w:highlight w:val="none"/>
          <w:lang w:val="zh-CN" w:eastAsia="zh-CN"/>
        </w:rPr>
        <w:t>。</w:t>
      </w:r>
    </w:p>
    <w:p>
      <w:pPr>
        <w:autoSpaceDE w:val="0"/>
        <w:autoSpaceDN w:val="0"/>
        <w:snapToGrid w:val="0"/>
        <w:spacing w:line="360" w:lineRule="auto"/>
        <w:ind w:firstLine="480" w:firstLineChars="200"/>
        <w:rPr>
          <w:rFonts w:hint="eastAsia" w:ascii="仿宋" w:hAnsi="仿宋" w:eastAsia="仿宋" w:cs="仿宋"/>
          <w:bCs w:val="0"/>
          <w:color w:val="auto"/>
          <w:sz w:val="24"/>
          <w:szCs w:val="24"/>
          <w:highlight w:val="none"/>
          <w:lang w:val="zh-CN" w:eastAsia="zh-CN"/>
        </w:rPr>
      </w:pPr>
      <w:r>
        <w:rPr>
          <w:rFonts w:hint="eastAsia" w:ascii="仿宋" w:hAnsi="仿宋" w:eastAsia="仿宋" w:cs="仿宋"/>
          <w:bCs w:val="0"/>
          <w:color w:val="auto"/>
          <w:sz w:val="24"/>
          <w:szCs w:val="24"/>
          <w:highlight w:val="none"/>
          <w:lang w:val="zh-CN" w:eastAsia="zh-CN"/>
        </w:rPr>
        <w:t>6、</w:t>
      </w:r>
      <w:r>
        <w:rPr>
          <w:rFonts w:hint="eastAsia" w:ascii="仿宋" w:hAnsi="仿宋" w:eastAsia="仿宋" w:cs="仿宋"/>
          <w:bCs w:val="0"/>
          <w:color w:val="auto"/>
          <w:sz w:val="24"/>
          <w:szCs w:val="24"/>
          <w:highlight w:val="none"/>
          <w:lang w:val="zh-CN"/>
        </w:rPr>
        <w:t>如因数字城管运行实际需要，所产生的相关指标变化，</w:t>
      </w:r>
      <w:r>
        <w:rPr>
          <w:rFonts w:hint="eastAsia" w:ascii="仿宋" w:hAnsi="仿宋" w:eastAsia="仿宋" w:cs="仿宋"/>
          <w:bCs w:val="0"/>
          <w:color w:val="auto"/>
          <w:sz w:val="24"/>
          <w:szCs w:val="24"/>
          <w:highlight w:val="none"/>
          <w:lang w:val="zh-CN" w:eastAsia="zh-CN"/>
        </w:rPr>
        <w:t>乙方</w:t>
      </w:r>
      <w:r>
        <w:rPr>
          <w:rFonts w:hint="eastAsia" w:ascii="仿宋" w:hAnsi="仿宋" w:eastAsia="仿宋" w:cs="仿宋"/>
          <w:bCs w:val="0"/>
          <w:color w:val="auto"/>
          <w:sz w:val="24"/>
          <w:szCs w:val="24"/>
          <w:highlight w:val="none"/>
          <w:lang w:val="zh-CN"/>
        </w:rPr>
        <w:t>必须无条件接受</w:t>
      </w:r>
      <w:r>
        <w:rPr>
          <w:rFonts w:hint="eastAsia" w:ascii="仿宋" w:hAnsi="仿宋" w:eastAsia="仿宋" w:cs="仿宋"/>
          <w:bCs w:val="0"/>
          <w:color w:val="auto"/>
          <w:sz w:val="24"/>
          <w:szCs w:val="24"/>
          <w:highlight w:val="none"/>
          <w:lang w:val="zh-CN" w:eastAsia="zh-CN"/>
        </w:rPr>
        <w:t>。</w:t>
      </w:r>
    </w:p>
    <w:p>
      <w:pPr>
        <w:keepNext w:val="0"/>
        <w:keepLines w:val="0"/>
        <w:autoSpaceDE w:val="0"/>
        <w:autoSpaceDN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bCs w:val="0"/>
          <w:color w:val="auto"/>
          <w:sz w:val="24"/>
          <w:szCs w:val="24"/>
          <w:highlight w:val="none"/>
          <w:lang w:val="en-US" w:eastAsia="zh-CN"/>
        </w:rPr>
        <w:t>7、</w:t>
      </w:r>
      <w:r>
        <w:rPr>
          <w:rFonts w:hint="eastAsia" w:ascii="仿宋" w:hAnsi="仿宋" w:eastAsia="仿宋" w:cs="仿宋"/>
          <w:snapToGrid/>
          <w:color w:val="auto"/>
          <w:kern w:val="2"/>
          <w:sz w:val="24"/>
          <w:szCs w:val="24"/>
          <w:highlight w:val="none"/>
        </w:rPr>
        <w:t>如上传率（上传有效数据/上传有效数据的定量基数]）连续三个月低于96％，</w:t>
      </w:r>
      <w:r>
        <w:rPr>
          <w:rFonts w:hint="eastAsia" w:ascii="仿宋" w:hAnsi="仿宋" w:eastAsia="仿宋" w:cs="仿宋"/>
          <w:snapToGrid/>
          <w:color w:val="auto"/>
          <w:kern w:val="2"/>
          <w:sz w:val="24"/>
          <w:szCs w:val="24"/>
          <w:highlight w:val="none"/>
          <w:lang w:val="en-US" w:eastAsia="zh-CN"/>
        </w:rPr>
        <w:t>乙方</w:t>
      </w:r>
      <w:r>
        <w:rPr>
          <w:rFonts w:hint="eastAsia" w:ascii="仿宋" w:hAnsi="仿宋" w:eastAsia="仿宋" w:cs="仿宋"/>
          <w:snapToGrid/>
          <w:color w:val="auto"/>
          <w:kern w:val="2"/>
          <w:sz w:val="24"/>
          <w:szCs w:val="24"/>
          <w:highlight w:val="none"/>
        </w:rPr>
        <w:t>应说明原因。如工作时间、人员配备、巡查密度、控制漏报、及时回复、普查保障、严禁条款均未发生计扣情况，其他相关要求执行良好的，上传有效数据基数经讨论后可适做调整。（特殊保障要求，防汛抗雪等期间的人员配备、工作质量应加倍计扣）</w:t>
      </w:r>
      <w:r>
        <w:rPr>
          <w:rFonts w:hint="eastAsia" w:ascii="仿宋" w:hAnsi="仿宋" w:eastAsia="仿宋" w:cs="仿宋"/>
          <w:snapToGrid/>
          <w:color w:val="auto"/>
          <w:kern w:val="2"/>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、验收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1、本项目需根据《杭州市政府采购履约验收暂行办法》杭财采监〔2019〕10 号文，进行履约验收，验收合格报告作为项目支付的依据。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验收依据：①采购文件确定的技术指标或者服务要求；②投标文件承诺、询标回复；③服务合同、甲方制定的考核标准。未进行相应约定的，应当符合国家强制性规定、政策要求、安全标准、行业或企业有关标准等。</w:t>
      </w:r>
    </w:p>
    <w:p>
      <w:pPr>
        <w:keepNext w:val="0"/>
        <w:keepLines w:val="0"/>
        <w:autoSpaceDE w:val="0"/>
        <w:autoSpaceDN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3、甲方验收不合格的，乙方应当立即进行整改直至符合甲方、本合同及招投标文件的要求，若乙方拒绝整改或整改后仍不符合要求的，甲方有权要求乙方承担本合同总金额【】%的违约金，因此给甲方造成损失的，还应当赔偿甲方因此所受全部损失。</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eastAsia="zh-CN"/>
        </w:rPr>
        <w:t>二</w:t>
      </w:r>
      <w:r>
        <w:rPr>
          <w:rFonts w:hint="eastAsia" w:ascii="仿宋" w:hAnsi="仿宋" w:eastAsia="仿宋" w:cs="仿宋"/>
          <w:b/>
          <w:bCs/>
          <w:color w:val="auto"/>
          <w:sz w:val="24"/>
          <w:szCs w:val="24"/>
          <w:highlight w:val="none"/>
        </w:rPr>
        <w:t>、不可抗力</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不可抗力：如果双方中任何一方由于战争、严重火灾、水灾、台风和地震以及其它经双方同意属于不可抗力的事故，致使合同履行受阻时，履行合同的期限应予延长，延长的期限应相当于事故所影响的时间。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受事故影响的一方应在不可抗力的事故发生后尽快以书面形式通知另一方，并在事故发生后14天内，将有关部门出具的证明文件送给另一方。如果不可抗力影响时间延续120天以上的，双方应通过友好协商在合理的时间内达成进一步履行合同的协议。</w:t>
      </w:r>
    </w:p>
    <w:p>
      <w:pPr>
        <w:keepNext w:val="0"/>
        <w:keepLines w:val="0"/>
        <w:autoSpaceDE w:val="0"/>
        <w:autoSpaceDN w:val="0"/>
        <w:snapToGrid w:val="0"/>
        <w:spacing w:line="360" w:lineRule="auto"/>
        <w:ind w:firstLine="480" w:firstLineChars="20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3、若双方因不可抗力导致合同难以继续履行而解除或终止本合同的，双方互不因此承担违约责任。</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eastAsia="zh-CN"/>
        </w:rPr>
        <w:t>三</w:t>
      </w:r>
      <w:r>
        <w:rPr>
          <w:rFonts w:hint="eastAsia" w:ascii="仿宋" w:hAnsi="仿宋" w:eastAsia="仿宋" w:cs="仿宋"/>
          <w:b/>
          <w:bCs/>
          <w:color w:val="auto"/>
          <w:sz w:val="24"/>
          <w:szCs w:val="24"/>
          <w:highlight w:val="none"/>
        </w:rPr>
        <w:t>、法律适用与争议解决</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因本合同引起的或与本合同有关的任何争议，合同双方应首先通过协商解决，达成书面协议，如协商不成，可选择下列第</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rPr>
        <w:t>种方式解决。</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（1）提请杭州仲裁委员会按照该会仲裁规则进行仲裁，仲裁裁决是终局的，对合同双方均有约束力。</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（2）向</w:t>
      </w:r>
      <w:r>
        <w:rPr>
          <w:rFonts w:hint="eastAsia" w:ascii="仿宋" w:hAnsi="仿宋" w:eastAsia="仿宋" w:cs="仿宋"/>
          <w:color w:val="auto"/>
          <w:sz w:val="24"/>
          <w:szCs w:val="24"/>
          <w:highlight w:val="none"/>
          <w:u w:val="single"/>
          <w:lang w:val="en-US" w:eastAsia="zh-CN"/>
        </w:rPr>
        <w:t>甲方所在地</w:t>
      </w:r>
      <w:r>
        <w:rPr>
          <w:rFonts w:hint="eastAsia" w:ascii="仿宋" w:hAnsi="仿宋" w:eastAsia="仿宋" w:cs="仿宋"/>
          <w:color w:val="auto"/>
          <w:sz w:val="24"/>
          <w:szCs w:val="24"/>
          <w:highlight w:val="none"/>
        </w:rPr>
        <w:t>人民法院提起诉讼。</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eastAsia="zh-CN"/>
        </w:rPr>
        <w:t>四</w:t>
      </w:r>
      <w:r>
        <w:rPr>
          <w:rFonts w:hint="eastAsia" w:ascii="仿宋" w:hAnsi="仿宋" w:eastAsia="仿宋" w:cs="仿宋"/>
          <w:b/>
          <w:bCs/>
          <w:color w:val="auto"/>
          <w:sz w:val="24"/>
          <w:szCs w:val="24"/>
          <w:highlight w:val="none"/>
        </w:rPr>
        <w:t>、合同生效</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1、本合同由甲乙双方签字盖章之日起生效。</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2、对本合同的任何修改和补充均应以补充合同的形式作出，由双方签字盖章后生效。本合同的附件、补充合同与本合同具有同等法律效力。</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highlight w:val="none"/>
        </w:rPr>
      </w:pPr>
      <w:r>
        <w:rPr>
          <w:rFonts w:hint="eastAsia" w:ascii="仿宋" w:hAnsi="仿宋" w:eastAsia="仿宋" w:cs="仿宋"/>
          <w:color w:val="auto"/>
          <w:sz w:val="24"/>
          <w:szCs w:val="24"/>
          <w:highlight w:val="none"/>
        </w:rPr>
        <w:t>3、本合同部分无效，不影响其他部分效力的，其他部分仍然有效。</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4．本合同一式</w:t>
      </w:r>
      <w:r>
        <w:rPr>
          <w:rFonts w:hint="eastAsia" w:ascii="仿宋" w:hAnsi="仿宋" w:eastAsia="仿宋" w:cs="仿宋"/>
          <w:snapToGrid w:val="0"/>
          <w:color w:val="auto"/>
          <w:sz w:val="24"/>
          <w:szCs w:val="24"/>
          <w:highlight w:val="none"/>
          <w:u w:val="single"/>
        </w:rPr>
        <w:t xml:space="preserve">    </w:t>
      </w:r>
      <w:r>
        <w:rPr>
          <w:rFonts w:hint="eastAsia" w:ascii="仿宋" w:hAnsi="仿宋" w:eastAsia="仿宋" w:cs="仿宋"/>
          <w:snapToGrid w:val="0"/>
          <w:color w:val="auto"/>
          <w:sz w:val="24"/>
          <w:szCs w:val="24"/>
          <w:highlight w:val="none"/>
        </w:rPr>
        <w:t>份，甲方执</w:t>
      </w:r>
      <w:r>
        <w:rPr>
          <w:rFonts w:hint="eastAsia" w:ascii="仿宋" w:hAnsi="仿宋" w:eastAsia="仿宋" w:cs="仿宋"/>
          <w:snapToGrid w:val="0"/>
          <w:color w:val="auto"/>
          <w:sz w:val="24"/>
          <w:szCs w:val="24"/>
          <w:highlight w:val="none"/>
          <w:u w:val="single"/>
        </w:rPr>
        <w:t xml:space="preserve">   </w:t>
      </w:r>
      <w:r>
        <w:rPr>
          <w:rFonts w:hint="eastAsia" w:ascii="仿宋" w:hAnsi="仿宋" w:eastAsia="仿宋" w:cs="仿宋"/>
          <w:snapToGrid w:val="0"/>
          <w:color w:val="auto"/>
          <w:sz w:val="24"/>
          <w:szCs w:val="24"/>
          <w:highlight w:val="none"/>
        </w:rPr>
        <w:t>份，乙方执</w:t>
      </w:r>
      <w:r>
        <w:rPr>
          <w:rFonts w:hint="eastAsia" w:ascii="仿宋" w:hAnsi="仿宋" w:eastAsia="仿宋" w:cs="仿宋"/>
          <w:snapToGrid w:val="0"/>
          <w:color w:val="auto"/>
          <w:sz w:val="24"/>
          <w:szCs w:val="24"/>
          <w:highlight w:val="none"/>
          <w:u w:val="single"/>
        </w:rPr>
        <w:t xml:space="preserve">  </w:t>
      </w:r>
      <w:r>
        <w:rPr>
          <w:rFonts w:hint="eastAsia" w:ascii="仿宋" w:hAnsi="仿宋" w:eastAsia="仿宋" w:cs="仿宋"/>
          <w:snapToGrid w:val="0"/>
          <w:color w:val="auto"/>
          <w:sz w:val="24"/>
          <w:szCs w:val="24"/>
          <w:highlight w:val="none"/>
        </w:rPr>
        <w:t>份。</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5．与本合同有关的招标文件、投标文件、询价纪要、澄清回复、补充协议等与本合同同样具有法律效力。</w:t>
      </w:r>
    </w:p>
    <w:p>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w:t>
      </w:r>
    </w:p>
    <w:tbl>
      <w:tblPr>
        <w:tblStyle w:val="62"/>
        <w:tblW w:w="0" w:type="auto"/>
        <w:tblCellSpacing w:w="0" w:type="dxa"/>
        <w:tblInd w:w="0" w:type="dxa"/>
        <w:tblLayout w:type="fixed"/>
        <w:tblCellMar>
          <w:top w:w="0" w:type="dxa"/>
          <w:left w:w="0" w:type="dxa"/>
          <w:bottom w:w="0" w:type="dxa"/>
          <w:right w:w="0" w:type="dxa"/>
        </w:tblCellMar>
      </w:tblPr>
      <w:tblGrid>
        <w:gridCol w:w="5160"/>
        <w:gridCol w:w="3735"/>
      </w:tblGrid>
      <w:tr>
        <w:tblPrEx>
          <w:tblCellMar>
            <w:top w:w="0" w:type="dxa"/>
            <w:left w:w="0" w:type="dxa"/>
            <w:bottom w:w="0" w:type="dxa"/>
            <w:right w:w="0" w:type="dxa"/>
          </w:tblCellMar>
        </w:tblPrEx>
        <w:trPr>
          <w:trHeight w:val="600" w:hRule="atLeast"/>
          <w:tblCellSpacing w:w="0" w:type="dxa"/>
        </w:trPr>
        <w:tc>
          <w:tcPr>
            <w:tcW w:w="5160"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甲方（采购单位）（盖章）： </w:t>
            </w:r>
          </w:p>
        </w:tc>
        <w:tc>
          <w:tcPr>
            <w:tcW w:w="3735"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乙方（供应商）（盖章）： </w:t>
            </w:r>
          </w:p>
        </w:tc>
      </w:tr>
      <w:tr>
        <w:tblPrEx>
          <w:tblCellMar>
            <w:top w:w="0" w:type="dxa"/>
            <w:left w:w="0" w:type="dxa"/>
            <w:bottom w:w="0" w:type="dxa"/>
            <w:right w:w="0" w:type="dxa"/>
          </w:tblCellMar>
        </w:tblPrEx>
        <w:trPr>
          <w:trHeight w:val="705" w:hRule="atLeast"/>
          <w:tblCellSpacing w:w="0" w:type="dxa"/>
        </w:trPr>
        <w:tc>
          <w:tcPr>
            <w:tcW w:w="5160"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法定代表人：</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或授权委托人（签字）： </w:t>
            </w:r>
          </w:p>
        </w:tc>
        <w:tc>
          <w:tcPr>
            <w:tcW w:w="3735"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法定代表人：</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或授权委托人（签字）：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联系人（签字）： </w:t>
            </w:r>
          </w:p>
        </w:tc>
        <w:tc>
          <w:tcPr>
            <w:tcW w:w="3735"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联系人（签字）：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地址： </w:t>
            </w:r>
          </w:p>
        </w:tc>
        <w:tc>
          <w:tcPr>
            <w:tcW w:w="3735"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地址：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邮编：</w:t>
            </w:r>
          </w:p>
        </w:tc>
        <w:tc>
          <w:tcPr>
            <w:tcW w:w="3735"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邮编：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电话：</w:t>
            </w:r>
          </w:p>
        </w:tc>
        <w:tc>
          <w:tcPr>
            <w:tcW w:w="3735"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电话：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传真： </w:t>
            </w:r>
          </w:p>
        </w:tc>
        <w:tc>
          <w:tcPr>
            <w:tcW w:w="3735"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传真：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开户银行： </w:t>
            </w:r>
          </w:p>
        </w:tc>
        <w:tc>
          <w:tcPr>
            <w:tcW w:w="3735"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开户银行：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帐号 ： </w:t>
            </w:r>
          </w:p>
        </w:tc>
        <w:tc>
          <w:tcPr>
            <w:tcW w:w="3735" w:type="dxa"/>
            <w:noWrap w:val="0"/>
            <w:vAlign w:val="center"/>
          </w:tcPr>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帐号 ： </w:t>
            </w:r>
          </w:p>
        </w:tc>
      </w:tr>
    </w:tbl>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仿宋" w:hAnsi="仿宋" w:eastAsia="仿宋" w:cs="仿宋"/>
          <w:color w:val="auto"/>
          <w:kern w:val="0"/>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040" w:firstLineChars="21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合同签订时间：    年</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 月  日</w:t>
      </w:r>
      <w:r>
        <w:rPr>
          <w:rFonts w:hint="eastAsia" w:ascii="仿宋" w:hAnsi="仿宋" w:eastAsia="仿宋" w:cs="仿宋"/>
          <w:b/>
          <w:color w:val="auto"/>
          <w:sz w:val="24"/>
          <w:szCs w:val="24"/>
          <w:highlight w:val="none"/>
        </w:rPr>
        <w:t xml:space="preserve"> </w:t>
      </w:r>
    </w:p>
    <w:p>
      <w:pPr>
        <w:pStyle w:val="32"/>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sectPr>
          <w:footerReference r:id="rId10" w:type="default"/>
          <w:footerReference r:id="rId11" w:type="even"/>
          <w:pgSz w:w="11906" w:h="16838"/>
          <w:pgMar w:top="1588" w:right="1701" w:bottom="1588" w:left="1701" w:header="851" w:footer="992" w:gutter="0"/>
          <w:cols w:space="720" w:num="1"/>
          <w:docGrid w:type="linesAndChars" w:linePitch="380" w:charSpace="0"/>
        </w:sectPr>
      </w:pP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19"/>
      <w:r>
        <w:rPr>
          <w:rFonts w:hint="eastAsia" w:ascii="仿宋" w:hAnsi="仿宋" w:eastAsia="仿宋" w:cs="仿宋"/>
          <w:b/>
          <w:color w:val="auto"/>
          <w:sz w:val="36"/>
          <w:szCs w:val="20"/>
          <w:highlight w:val="none"/>
        </w:rPr>
        <w:t xml:space="preserve"> </w:t>
      </w:r>
      <w:bookmarkEnd w:id="420"/>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val="en-US" w:eastAsia="zh-CN"/>
        </w:rPr>
        <w:t>4</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联合协议（如有）</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widowControl/>
        <w:spacing w:line="360" w:lineRule="auto"/>
        <w:ind w:firstLine="480"/>
        <w:jc w:val="left"/>
        <w:rPr>
          <w:rFonts w:ascii="仿宋_GB2312" w:hAnsi="宋体" w:eastAsia="仿宋_GB2312"/>
          <w:color w:val="auto"/>
          <w:sz w:val="24"/>
          <w:highlight w:val="none"/>
        </w:rPr>
      </w:pPr>
    </w:p>
    <w:p>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），联合协议中中小企业合同金额应当达到招标公告载明的比例；如果供应商本身提供所有标的均由中小企业制造或承接的，并相应达到了前述比例要求</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），分包意向协议中中小企业合同金额应当达到招标公告载明的比例；如果供应商本身提供所有标的均由中小企业制造或承接，并相应达到了前述比例要求</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2"/>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_GB2312" w:hAnsi="仿宋" w:eastAsia="仿宋_GB2312" w:cs="仿宋_GB2312"/>
          <w:b/>
          <w:color w:val="auto"/>
          <w:kern w:val="0"/>
          <w:sz w:val="32"/>
          <w:szCs w:val="32"/>
          <w:highlight w:val="none"/>
          <w:lang w:eastAsia="zh-CN"/>
        </w:rPr>
      </w:pPr>
      <w:r>
        <w:rPr>
          <w:rFonts w:hint="eastAsia" w:ascii="仿宋_GB2312" w:hAnsi="仿宋" w:eastAsia="仿宋_GB2312" w:cs="仿宋_GB2312"/>
          <w:b/>
          <w:color w:val="auto"/>
          <w:kern w:val="0"/>
          <w:sz w:val="32"/>
          <w:szCs w:val="32"/>
          <w:highlight w:val="none"/>
          <w:lang w:eastAsia="zh-CN"/>
        </w:rPr>
        <w:t>四</w:t>
      </w:r>
      <w:r>
        <w:rPr>
          <w:rFonts w:hint="eastAsia" w:ascii="仿宋_GB2312" w:hAnsi="仿宋" w:eastAsia="仿宋_GB2312" w:cs="仿宋_GB2312"/>
          <w:b/>
          <w:color w:val="auto"/>
          <w:kern w:val="0"/>
          <w:sz w:val="32"/>
          <w:szCs w:val="32"/>
          <w:highlight w:val="none"/>
        </w:rPr>
        <w:t>、</w:t>
      </w:r>
      <w:r>
        <w:rPr>
          <w:rFonts w:hint="eastAsia" w:ascii="仿宋_GB2312" w:hAnsi="仿宋" w:eastAsia="仿宋_GB2312" w:cs="仿宋_GB2312"/>
          <w:b/>
          <w:color w:val="auto"/>
          <w:kern w:val="0"/>
          <w:sz w:val="32"/>
          <w:szCs w:val="32"/>
          <w:highlight w:val="none"/>
          <w:lang w:eastAsia="zh-CN"/>
        </w:rPr>
        <w:t>联合协议</w:t>
      </w:r>
    </w:p>
    <w:p>
      <w:pPr>
        <w:spacing w:line="360" w:lineRule="auto"/>
        <w:jc w:val="center"/>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lang w:eastAsia="zh-CN"/>
        </w:rPr>
        <w:t>（联合体投标的需提供，非联合体投标无需提供）</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ind w:right="420"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3）联合协议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4）分包意向协议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5）符合性审查资料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6）评标标准相应的商务技术资料</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7）商务技术偏离表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我方参加你方组织的（项目名称）【招标编号：</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s="仿宋_GB2312"/>
          <w:color w:val="auto"/>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w:t>
      </w:r>
    </w:p>
    <w:p>
      <w:pPr>
        <w:snapToGrid w:val="0"/>
        <w:spacing w:line="360" w:lineRule="auto"/>
        <w:ind w:left="420" w:leftChars="200" w:firstLine="480" w:firstLineChars="200"/>
        <w:rPr>
          <w:rFonts w:hint="eastAsia" w:ascii="仿宋_GB2312" w:hAnsi="仿宋" w:eastAsia="仿宋_GB2312" w:cs="仿宋_GB2312"/>
          <w:color w:val="auto"/>
          <w:sz w:val="24"/>
          <w:highlight w:val="none"/>
          <w:lang w:eastAsia="zh-CN"/>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r>
        <w:rPr>
          <w:rFonts w:hint="eastAsia" w:ascii="仿宋_GB2312" w:hAnsi="仿宋" w:eastAsia="仿宋_GB2312" w:cs="仿宋_GB2312"/>
          <w:color w:val="auto"/>
          <w:sz w:val="24"/>
          <w:highlight w:val="none"/>
          <w:lang w:eastAsia="zh-CN"/>
        </w:rPr>
        <w:t>；</w:t>
      </w:r>
    </w:p>
    <w:p>
      <w:pPr>
        <w:snapToGrid w:val="0"/>
        <w:spacing w:line="360" w:lineRule="auto"/>
        <w:ind w:left="420" w:leftChars="200" w:firstLine="480" w:firstLineChars="200"/>
        <w:rPr>
          <w:rFonts w:hint="eastAsia"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2.1.4联合协议</w:t>
      </w:r>
      <w:r>
        <w:rPr>
          <w:rFonts w:hint="eastAsia" w:ascii="仿宋_GB2312" w:hAnsi="仿宋" w:eastAsia="仿宋_GB2312" w:cs="仿宋_GB2312"/>
          <w:color w:val="auto"/>
          <w:sz w:val="24"/>
          <w:highlight w:val="none"/>
        </w:rPr>
        <w:t>（如果有）</w:t>
      </w:r>
      <w:r>
        <w:rPr>
          <w:rFonts w:hint="eastAsia" w:ascii="仿宋_GB2312" w:hAnsi="仿宋" w:eastAsia="仿宋_GB2312" w:cs="仿宋_GB2312"/>
          <w:color w:val="auto"/>
          <w:sz w:val="24"/>
          <w:highlight w:val="none"/>
          <w:lang w:eastAsia="zh-CN"/>
        </w:rPr>
        <w:t>。</w:t>
      </w:r>
    </w:p>
    <w:p>
      <w:pP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4.2在签订合同时不向你方提出附加条件；</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 xml:space="preserve">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pStyle w:val="23"/>
        <w:rPr>
          <w:color w:val="auto"/>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147"/>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147"/>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highlight w:val="none"/>
          <w:lang w:val="zh-CN"/>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2"/>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hint="eastAsia"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jc w:val="center"/>
        <w:rPr>
          <w:rFonts w:ascii="仿宋_GB2312" w:hAnsi="仿宋" w:eastAsia="仿宋_GB2312" w:cs="仿宋_GB2312"/>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1</w:t>
            </w:r>
          </w:p>
        </w:tc>
        <w:tc>
          <w:tcPr>
            <w:tcW w:w="4991" w:type="dxa"/>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2</w:t>
            </w:r>
          </w:p>
        </w:tc>
        <w:tc>
          <w:tcPr>
            <w:tcW w:w="4991" w:type="dxa"/>
          </w:tcPr>
          <w:p>
            <w:pP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3</w:t>
            </w:r>
          </w:p>
        </w:tc>
        <w:tc>
          <w:tcPr>
            <w:tcW w:w="4991" w:type="dxa"/>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pStyle w:val="23"/>
        <w:rPr>
          <w:color w:val="auto"/>
          <w:highlight w:val="none"/>
        </w:rPr>
      </w:pPr>
    </w:p>
    <w:p>
      <w:pPr>
        <w:jc w:val="center"/>
        <w:rPr>
          <w:rFonts w:hint="eastAsia" w:ascii="仿宋_GB2312" w:hAnsi="仿宋" w:eastAsia="仿宋_GB2312" w:cs="仿宋_GB2312"/>
          <w:b/>
          <w:color w:val="auto"/>
          <w:kern w:val="0"/>
          <w:sz w:val="32"/>
          <w:szCs w:val="32"/>
          <w:highlight w:val="none"/>
        </w:rPr>
      </w:pPr>
    </w:p>
    <w:p>
      <w:pPr>
        <w:jc w:val="center"/>
        <w:rPr>
          <w:rFonts w:hint="eastAsia" w:ascii="仿宋_GB2312" w:hAnsi="仿宋" w:eastAsia="仿宋_GB2312" w:cs="仿宋_GB2312"/>
          <w:b/>
          <w:color w:val="auto"/>
          <w:kern w:val="0"/>
          <w:sz w:val="32"/>
          <w:szCs w:val="32"/>
          <w:highlight w:val="none"/>
        </w:rPr>
      </w:pPr>
    </w:p>
    <w:p>
      <w:pPr>
        <w:jc w:val="center"/>
        <w:rPr>
          <w:rFonts w:hint="eastAsia" w:ascii="仿宋_GB2312" w:hAnsi="仿宋" w:eastAsia="仿宋_GB2312" w:cs="仿宋_GB2312"/>
          <w:b/>
          <w:color w:val="auto"/>
          <w:kern w:val="0"/>
          <w:sz w:val="32"/>
          <w:szCs w:val="32"/>
          <w:highlight w:val="none"/>
        </w:rPr>
      </w:pPr>
    </w:p>
    <w:p>
      <w:pPr>
        <w:jc w:val="center"/>
        <w:rPr>
          <w:rFonts w:hint="eastAsia" w:ascii="仿宋_GB2312" w:hAnsi="仿宋" w:eastAsia="仿宋_GB2312" w:cs="仿宋_GB2312"/>
          <w:b/>
          <w:color w:val="auto"/>
          <w:kern w:val="0"/>
          <w:sz w:val="32"/>
          <w:szCs w:val="32"/>
          <w:highlight w:val="none"/>
        </w:rPr>
      </w:pPr>
    </w:p>
    <w:p>
      <w:pPr>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六、评标标准相应的商务技术资料</w:t>
      </w:r>
    </w:p>
    <w:p>
      <w:pPr>
        <w:pStyle w:val="23"/>
        <w:rPr>
          <w:color w:val="auto"/>
          <w:highlight w:val="none"/>
        </w:rPr>
      </w:pP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numPr>
          <w:ilvl w:val="0"/>
          <w:numId w:val="1"/>
        </w:numPr>
        <w:ind w:left="0" w:leftChars="0" w:firstLine="643" w:firstLineChars="200"/>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商务技术偏离表</w:t>
      </w:r>
    </w:p>
    <w:p>
      <w:pPr>
        <w:pStyle w:val="23"/>
        <w:numPr>
          <w:ilvl w:val="0"/>
          <w:numId w:val="0"/>
        </w:numPr>
        <w:ind w:leftChars="200"/>
        <w:rPr>
          <w:color w:val="auto"/>
          <w:highlight w:val="none"/>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jc w:val="center"/>
        <w:rPr>
          <w:rFonts w:hint="eastAsia" w:ascii="仿宋" w:hAnsi="仿宋" w:eastAsia="仿宋" w:cs="仿宋"/>
          <w:b/>
          <w:bCs/>
          <w:color w:val="auto"/>
          <w:sz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pgNumType w:fmt="decimal"/>
          <w:cols w:space="720" w:num="1"/>
          <w:titlePg/>
          <w:docGrid w:linePitch="312" w:charSpace="0"/>
        </w:sectPr>
      </w:pPr>
    </w:p>
    <w:p>
      <w:pPr>
        <w:pStyle w:val="2"/>
        <w:rPr>
          <w:rFonts w:hint="eastAsia"/>
          <w:color w:val="auto"/>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杭州市钱塘区综合行政执法局</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浙江省房地产管理咨询有限公司</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lang w:eastAsia="zh-CN"/>
        </w:rPr>
        <w:t>钱塘区2023年-2024年数字城管服务外包项目（江东区域）</w:t>
      </w:r>
      <w:r>
        <w:rPr>
          <w:rFonts w:hint="eastAsia" w:ascii="仿宋" w:hAnsi="仿宋" w:eastAsia="仿宋" w:cs="仿宋"/>
          <w:color w:val="auto"/>
          <w:kern w:val="0"/>
          <w:sz w:val="24"/>
          <w:highlight w:val="none"/>
          <w:lang w:val="zh-CN"/>
        </w:rPr>
        <w:t>【项目编号：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spacing w:line="360" w:lineRule="auto"/>
        <w:jc w:val="center"/>
        <w:rPr>
          <w:rFonts w:hint="eastAsia"/>
          <w:color w:val="auto"/>
          <w:highlight w:val="none"/>
          <w:lang w:val="zh-CN"/>
        </w:rPr>
      </w:pPr>
      <w:r>
        <w:rPr>
          <w:rFonts w:hint="eastAsia" w:ascii="仿宋" w:hAnsi="仿宋" w:eastAsia="仿宋" w:cs="仿宋"/>
          <w:b/>
          <w:bCs w:val="0"/>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41"/>
        <w:gridCol w:w="2728"/>
        <w:gridCol w:w="1579"/>
        <w:gridCol w:w="2106"/>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53"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3041" w:type="dxa"/>
            <w:vAlign w:val="center"/>
          </w:tcPr>
          <w:p>
            <w:pPr>
              <w:spacing w:line="360" w:lineRule="auto"/>
              <w:jc w:val="center"/>
              <w:rPr>
                <w:rFonts w:hint="eastAsia" w:ascii="仿宋_GB2312" w:hAnsi="仿宋" w:eastAsia="仿宋_GB2312" w:cs="仿宋_GB2312"/>
                <w:b/>
                <w:color w:val="auto"/>
                <w:sz w:val="24"/>
                <w:highlight w:val="none"/>
                <w:lang w:eastAsia="zh-CN"/>
              </w:rPr>
            </w:pPr>
            <w:r>
              <w:rPr>
                <w:rFonts w:hint="eastAsia" w:ascii="仿宋_GB2312" w:hAnsi="仿宋" w:eastAsia="仿宋_GB2312"/>
                <w:b/>
                <w:color w:val="auto"/>
                <w:sz w:val="24"/>
                <w:highlight w:val="none"/>
                <w:lang w:eastAsia="zh-CN"/>
              </w:rPr>
              <w:t>采购内容</w:t>
            </w:r>
          </w:p>
        </w:tc>
        <w:tc>
          <w:tcPr>
            <w:tcW w:w="2728" w:type="dxa"/>
            <w:vAlign w:val="center"/>
          </w:tcPr>
          <w:p>
            <w:pPr>
              <w:spacing w:line="360" w:lineRule="auto"/>
              <w:jc w:val="center"/>
              <w:rPr>
                <w:rFonts w:hint="eastAsia" w:ascii="仿宋_GB2312" w:hAnsi="仿宋" w:eastAsia="仿宋_GB2312" w:cs="仿宋_GB2312"/>
                <w:b/>
                <w:color w:val="auto"/>
                <w:sz w:val="24"/>
                <w:highlight w:val="none"/>
                <w:lang w:eastAsia="zh-CN"/>
              </w:rPr>
            </w:pPr>
            <w:r>
              <w:rPr>
                <w:rFonts w:hint="eastAsia" w:ascii="仿宋_GB2312" w:hAnsi="仿宋" w:eastAsia="仿宋_GB2312"/>
                <w:b/>
                <w:color w:val="auto"/>
                <w:sz w:val="24"/>
                <w:highlight w:val="none"/>
                <w:lang w:eastAsia="zh-CN"/>
              </w:rPr>
              <w:t>单位</w:t>
            </w:r>
          </w:p>
        </w:tc>
        <w:tc>
          <w:tcPr>
            <w:tcW w:w="1579"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2106" w:type="dxa"/>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4360" w:type="dxa"/>
            <w:vAlign w:val="center"/>
          </w:tcPr>
          <w:p>
            <w:pPr>
              <w:spacing w:line="360" w:lineRule="auto"/>
              <w:jc w:val="center"/>
              <w:rPr>
                <w:rFonts w:ascii="仿宋_GB2312" w:hAnsi="仿宋" w:eastAsia="仿宋_GB2312"/>
                <w:b/>
                <w:color w:val="auto"/>
                <w:sz w:val="24"/>
                <w:highlight w:val="none"/>
              </w:rPr>
            </w:pPr>
            <w:r>
              <w:rPr>
                <w:rFonts w:hint="eastAsia" w:ascii="仿宋_GB2312" w:hAnsi="仿宋" w:eastAsia="仿宋_GB2312"/>
                <w:b/>
                <w:color w:val="auto"/>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53" w:type="dxa"/>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3041" w:type="dxa"/>
            <w:vAlign w:val="center"/>
          </w:tcPr>
          <w:p>
            <w:pPr>
              <w:spacing w:line="360" w:lineRule="auto"/>
              <w:jc w:val="center"/>
              <w:rPr>
                <w:rFonts w:hint="eastAsia" w:ascii="仿宋_GB2312" w:hAnsi="仿宋" w:eastAsia="仿宋_GB2312" w:cs="Times New Roman"/>
                <w:b w:val="0"/>
                <w:bCs/>
                <w:color w:val="auto"/>
                <w:sz w:val="24"/>
                <w:highlight w:val="none"/>
                <w:lang w:eastAsia="zh-CN"/>
              </w:rPr>
            </w:pPr>
            <w:r>
              <w:rPr>
                <w:rFonts w:hint="eastAsia" w:ascii="仿宋" w:hAnsi="仿宋" w:eastAsia="仿宋" w:cs="仿宋"/>
                <w:color w:val="auto"/>
                <w:sz w:val="24"/>
                <w:highlight w:val="none"/>
                <w:lang w:eastAsia="zh-CN"/>
              </w:rPr>
              <w:t>钱塘区2023年-2024年数字城管服务外包项目（江东区域）</w:t>
            </w:r>
          </w:p>
        </w:tc>
        <w:tc>
          <w:tcPr>
            <w:tcW w:w="2728" w:type="dxa"/>
            <w:vAlign w:val="center"/>
          </w:tcPr>
          <w:p>
            <w:pPr>
              <w:snapToGrid w:val="0"/>
              <w:spacing w:line="360" w:lineRule="auto"/>
              <w:jc w:val="center"/>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color w:val="auto"/>
                <w:sz w:val="24"/>
                <w:highlight w:val="none"/>
                <w:lang w:eastAsia="zh-CN"/>
              </w:rPr>
              <w:t>项</w:t>
            </w:r>
          </w:p>
        </w:tc>
        <w:tc>
          <w:tcPr>
            <w:tcW w:w="1579" w:type="dxa"/>
            <w:vAlign w:val="center"/>
          </w:tcPr>
          <w:p>
            <w:pPr>
              <w:snapToGrid w:val="0"/>
              <w:spacing w:line="360" w:lineRule="auto"/>
              <w:jc w:val="center"/>
              <w:rPr>
                <w:rFonts w:hint="eastAsia"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1</w:t>
            </w:r>
          </w:p>
        </w:tc>
        <w:tc>
          <w:tcPr>
            <w:tcW w:w="2106" w:type="dxa"/>
            <w:vAlign w:val="center"/>
          </w:tcPr>
          <w:p>
            <w:pPr>
              <w:spacing w:line="360" w:lineRule="auto"/>
              <w:jc w:val="center"/>
              <w:rPr>
                <w:rFonts w:ascii="仿宋_GB2312" w:hAnsi="仿宋" w:eastAsia="仿宋_GB2312" w:cs="仿宋_GB2312"/>
                <w:color w:val="auto"/>
                <w:sz w:val="24"/>
                <w:highlight w:val="none"/>
              </w:rPr>
            </w:pPr>
          </w:p>
        </w:tc>
        <w:tc>
          <w:tcPr>
            <w:tcW w:w="4360" w:type="dxa"/>
            <w:vAlign w:val="center"/>
          </w:tcPr>
          <w:p>
            <w:pPr>
              <w:spacing w:line="360" w:lineRule="auto"/>
              <w:jc w:val="center"/>
              <w:rPr>
                <w:rFonts w:hint="eastAsia" w:ascii="仿宋_GB2312" w:hAnsi="仿宋" w:eastAsia="仿宋_GB2312" w:cs="仿宋_GB2312"/>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22" w:type="dxa"/>
            <w:gridSpan w:val="3"/>
            <w:vAlign w:val="center"/>
          </w:tcPr>
          <w:p>
            <w:pPr>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w:t>
            </w:r>
            <w:r>
              <w:rPr>
                <w:rFonts w:hint="eastAsia" w:ascii="华文仿宋" w:hAnsi="华文仿宋" w:eastAsia="华文仿宋" w:cs="仿宋_GB2312"/>
                <w:b/>
                <w:color w:val="auto"/>
                <w:sz w:val="24"/>
                <w:highlight w:val="none"/>
              </w:rPr>
              <w:t>（</w:t>
            </w:r>
            <w:r>
              <w:rPr>
                <w:rFonts w:hint="eastAsia" w:ascii="华文仿宋" w:hAnsi="华文仿宋" w:eastAsia="华文仿宋" w:cs="仿宋_GB2312"/>
                <w:b/>
                <w:color w:val="auto"/>
                <w:sz w:val="24"/>
                <w:highlight w:val="none"/>
                <w:lang w:val="en-US" w:eastAsia="zh-CN"/>
              </w:rPr>
              <w:t>小</w:t>
            </w:r>
            <w:r>
              <w:rPr>
                <w:rFonts w:hint="eastAsia" w:ascii="华文仿宋" w:hAnsi="华文仿宋" w:eastAsia="华文仿宋" w:cs="仿宋_GB2312"/>
                <w:b/>
                <w:color w:val="auto"/>
                <w:sz w:val="24"/>
                <w:highlight w:val="none"/>
              </w:rPr>
              <w:t>写）</w:t>
            </w:r>
          </w:p>
        </w:tc>
        <w:tc>
          <w:tcPr>
            <w:tcW w:w="8045" w:type="dxa"/>
            <w:gridSpan w:val="3"/>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522" w:type="dxa"/>
            <w:gridSpan w:val="3"/>
            <w:vAlign w:val="center"/>
          </w:tcPr>
          <w:p>
            <w:pPr>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w:t>
            </w:r>
            <w:r>
              <w:rPr>
                <w:rFonts w:hint="eastAsia" w:ascii="华文仿宋" w:hAnsi="华文仿宋" w:eastAsia="华文仿宋" w:cs="仿宋_GB2312"/>
                <w:b/>
                <w:color w:val="auto"/>
                <w:sz w:val="24"/>
                <w:highlight w:val="none"/>
              </w:rPr>
              <w:t>（</w:t>
            </w:r>
            <w:r>
              <w:rPr>
                <w:rFonts w:hint="eastAsia" w:ascii="华文仿宋" w:hAnsi="华文仿宋" w:eastAsia="华文仿宋" w:cs="仿宋_GB2312"/>
                <w:b/>
                <w:color w:val="auto"/>
                <w:sz w:val="24"/>
                <w:highlight w:val="none"/>
                <w:lang w:eastAsia="zh-CN"/>
              </w:rPr>
              <w:t>大</w:t>
            </w:r>
            <w:r>
              <w:rPr>
                <w:rFonts w:hint="eastAsia" w:ascii="华文仿宋" w:hAnsi="华文仿宋" w:eastAsia="华文仿宋" w:cs="仿宋_GB2312"/>
                <w:b/>
                <w:color w:val="auto"/>
                <w:sz w:val="24"/>
                <w:highlight w:val="none"/>
              </w:rPr>
              <w:t>写）</w:t>
            </w:r>
          </w:p>
        </w:tc>
        <w:tc>
          <w:tcPr>
            <w:tcW w:w="8045" w:type="dxa"/>
            <w:gridSpan w:val="3"/>
            <w:vAlign w:val="center"/>
          </w:tcPr>
          <w:p>
            <w:pPr>
              <w:spacing w:line="360" w:lineRule="auto"/>
              <w:jc w:val="center"/>
              <w:rPr>
                <w:rFonts w:ascii="仿宋_GB2312" w:hAnsi="仿宋" w:eastAsia="仿宋_GB2312" w:cs="仿宋_GB2312"/>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en-US" w:eastAsia="zh-CN"/>
        </w:rPr>
        <w:t>4</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kern w:val="0"/>
          <w:sz w:val="24"/>
          <w:highlight w:val="none"/>
        </w:rPr>
      </w:pP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pPr>
        <w:pStyle w:val="24"/>
        <w:spacing w:line="600" w:lineRule="exact"/>
        <w:ind w:firstLine="0"/>
        <w:jc w:val="center"/>
        <w:rPr>
          <w:rFonts w:ascii="仿宋" w:hAnsi="仿宋" w:eastAsia="仿宋" w:cs="仿宋"/>
          <w:b/>
          <w:bCs/>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rPr>
        <w:t>二、投标报价明细表</w:t>
      </w:r>
    </w:p>
    <w:p>
      <w:pPr>
        <w:adjustRightInd w:val="0"/>
        <w:spacing w:line="360" w:lineRule="auto"/>
        <w:jc w:val="left"/>
        <w:rPr>
          <w:rFonts w:ascii="仿宋" w:hAnsi="仿宋" w:eastAsia="仿宋" w:cs="仿宋"/>
          <w:color w:val="auto"/>
          <w:szCs w:val="21"/>
          <w:highlight w:val="none"/>
        </w:rPr>
      </w:pPr>
    </w:p>
    <w:p>
      <w:pPr>
        <w:adjustRightInd w:val="0"/>
        <w:spacing w:line="360" w:lineRule="auto"/>
        <w:rPr>
          <w:rFonts w:hint="eastAsia" w:ascii="仿宋" w:hAnsi="仿宋" w:eastAsia="仿宋" w:cs="仿宋"/>
          <w:snapToGrid w:val="0"/>
          <w:color w:val="auto"/>
          <w:kern w:val="2"/>
          <w:sz w:val="24"/>
          <w:szCs w:val="21"/>
          <w:highlight w:val="none"/>
          <w:lang w:val="zh-CN" w:eastAsia="zh-CN" w:bidi="ar-SA"/>
        </w:rPr>
      </w:pPr>
      <w:r>
        <w:rPr>
          <w:rFonts w:hint="eastAsia" w:ascii="仿宋" w:hAnsi="仿宋" w:eastAsia="仿宋" w:cs="仿宋"/>
          <w:snapToGrid w:val="0"/>
          <w:color w:val="auto"/>
          <w:kern w:val="2"/>
          <w:sz w:val="24"/>
          <w:szCs w:val="21"/>
          <w:highlight w:val="none"/>
          <w:lang w:val="zh-CN" w:eastAsia="zh-CN" w:bidi="ar-SA"/>
        </w:rPr>
        <w:t>项目名称：</w:t>
      </w:r>
      <w:r>
        <w:rPr>
          <w:rFonts w:hint="eastAsia" w:ascii="仿宋" w:hAnsi="仿宋" w:eastAsia="仿宋" w:cs="仿宋"/>
          <w:snapToGrid w:val="0"/>
          <w:color w:val="auto"/>
          <w:kern w:val="2"/>
          <w:sz w:val="24"/>
          <w:szCs w:val="21"/>
          <w:highlight w:val="none"/>
          <w:lang w:val="en-US" w:eastAsia="zh-CN" w:bidi="ar-SA"/>
        </w:rPr>
        <w:t>钱塘区2023年-2024年数字城管服务外包项目（江东区域）</w:t>
      </w:r>
    </w:p>
    <w:p>
      <w:pPr>
        <w:pStyle w:val="23"/>
        <w:rPr>
          <w:rFonts w:hint="default" w:ascii="仿宋" w:hAnsi="仿宋" w:eastAsia="仿宋" w:cs="仿宋"/>
          <w:color w:val="auto"/>
          <w:szCs w:val="21"/>
          <w:highlight w:val="none"/>
          <w:lang w:val="en-US" w:eastAsia="zh-CN"/>
        </w:rPr>
      </w:pPr>
      <w:r>
        <w:rPr>
          <w:rFonts w:hint="eastAsia" w:ascii="仿宋" w:hAnsi="仿宋" w:eastAsia="仿宋" w:cs="仿宋"/>
          <w:snapToGrid w:val="0"/>
          <w:color w:val="auto"/>
          <w:kern w:val="2"/>
          <w:sz w:val="24"/>
          <w:szCs w:val="21"/>
          <w:highlight w:val="none"/>
          <w:lang w:val="zh-CN" w:eastAsia="zh-CN" w:bidi="ar-SA"/>
        </w:rPr>
        <w:t>采购编号：</w:t>
      </w:r>
      <w:r>
        <w:rPr>
          <w:rFonts w:hint="eastAsia" w:ascii="仿宋" w:hAnsi="仿宋" w:eastAsia="仿宋" w:cs="仿宋"/>
          <w:color w:val="auto"/>
          <w:szCs w:val="21"/>
          <w:highlight w:val="none"/>
          <w:lang w:eastAsia="zh-CN"/>
        </w:rPr>
        <w:t>QTCG-GK-2023-0</w:t>
      </w:r>
      <w:r>
        <w:rPr>
          <w:rFonts w:hint="eastAsia" w:ascii="仿宋" w:hAnsi="仿宋" w:eastAsia="仿宋" w:cs="仿宋"/>
          <w:color w:val="auto"/>
          <w:szCs w:val="21"/>
          <w:highlight w:val="none"/>
          <w:lang w:val="en-US" w:eastAsia="zh-CN"/>
        </w:rPr>
        <w:t>08</w:t>
      </w:r>
    </w:p>
    <w:p>
      <w:pPr>
        <w:rPr>
          <w:rFonts w:ascii="仿宋" w:hAnsi="仿宋" w:eastAsia="仿宋" w:cs="仿宋"/>
          <w:color w:val="auto"/>
          <w:highlight w:val="none"/>
        </w:rPr>
      </w:pPr>
    </w:p>
    <w:p>
      <w:pPr>
        <w:pStyle w:val="2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自拟</w:t>
      </w:r>
      <w:r>
        <w:rPr>
          <w:rFonts w:hint="eastAsia" w:ascii="仿宋" w:hAnsi="仿宋" w:eastAsia="仿宋" w:cs="仿宋"/>
          <w:color w:val="auto"/>
          <w:sz w:val="24"/>
          <w:szCs w:val="24"/>
          <w:highlight w:val="none"/>
          <w:lang w:eastAsia="zh-CN"/>
        </w:rPr>
        <w:t>）</w:t>
      </w:r>
    </w:p>
    <w:p>
      <w:pPr>
        <w:pStyle w:val="60"/>
        <w:rPr>
          <w:color w:val="auto"/>
          <w:sz w:val="24"/>
          <w:szCs w:val="24"/>
          <w:highlight w:val="none"/>
        </w:rPr>
      </w:pP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注：1. </w:t>
      </w:r>
      <w:r>
        <w:rPr>
          <w:rFonts w:hint="eastAsia" w:ascii="仿宋" w:hAnsi="仿宋" w:eastAsia="仿宋" w:cs="仿宋"/>
          <w:color w:val="auto"/>
          <w:sz w:val="24"/>
          <w:szCs w:val="24"/>
          <w:highlight w:val="none"/>
          <w:lang w:val="en-US" w:eastAsia="zh-CN"/>
        </w:rPr>
        <w:t>报价明细</w:t>
      </w:r>
      <w:r>
        <w:rPr>
          <w:rFonts w:hint="eastAsia" w:ascii="仿宋" w:hAnsi="仿宋" w:eastAsia="仿宋" w:cs="仿宋"/>
          <w:color w:val="auto"/>
          <w:sz w:val="24"/>
          <w:szCs w:val="24"/>
          <w:highlight w:val="none"/>
        </w:rPr>
        <w:t>内容自拟。</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2、上表所述“报价”应与“开标一览表”中的报价一致，如有矛盾，以“开标一览表”中的为准。</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3.采购人将以合同形式有偿取得货物或服务，不接受投标人给予的赠品、回扣或者与采购无关的其他商品、服务，各项明细费用请按实填写（不得出现“0元”“免费赠送”等形式的无偿报价）。</w:t>
      </w:r>
    </w:p>
    <w:p>
      <w:pPr>
        <w:adjustRightInd w:val="0"/>
        <w:spacing w:line="360" w:lineRule="auto"/>
        <w:ind w:firstLine="5160" w:firstLineChars="2150"/>
        <w:rPr>
          <w:rFonts w:ascii="仿宋" w:hAnsi="仿宋" w:eastAsia="仿宋" w:cs="仿宋"/>
          <w:color w:val="auto"/>
          <w:sz w:val="24"/>
          <w:szCs w:val="24"/>
          <w:highlight w:val="none"/>
        </w:rPr>
      </w:pPr>
    </w:p>
    <w:p>
      <w:pPr>
        <w:adjustRightInd w:val="0"/>
        <w:spacing w:line="360" w:lineRule="auto"/>
        <w:ind w:firstLine="5160" w:firstLineChars="2150"/>
        <w:rPr>
          <w:rFonts w:hint="eastAsia" w:ascii="仿宋" w:hAnsi="仿宋" w:eastAsia="仿宋" w:cs="仿宋"/>
          <w:color w:val="auto"/>
          <w:sz w:val="24"/>
          <w:szCs w:val="24"/>
          <w:highlight w:val="none"/>
        </w:rPr>
      </w:pPr>
    </w:p>
    <w:p>
      <w:pPr>
        <w:adjustRightInd w:val="0"/>
        <w:spacing w:line="360" w:lineRule="auto"/>
        <w:ind w:firstLine="5160" w:firstLineChars="215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投标人(盖公章或电子签章)</w:t>
      </w:r>
    </w:p>
    <w:p>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     期：</w:t>
      </w:r>
    </w:p>
    <w:p>
      <w:pPr>
        <w:pStyle w:val="691"/>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pPr>
        <w:widowControl/>
        <w:spacing w:line="360" w:lineRule="auto"/>
        <w:ind w:firstLine="120" w:firstLineChars="5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[需提供中小企业声明函（附件5）。]</w:t>
      </w:r>
    </w:p>
    <w:p>
      <w:pPr>
        <w:pStyle w:val="691"/>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关于钱塘区政府采购支持中小企业信用融资相关事项通知</w:t>
      </w:r>
    </w:p>
    <w:p>
      <w:pPr>
        <w:spacing w:line="360" w:lineRule="auto"/>
        <w:jc w:val="center"/>
        <w:rPr>
          <w:rFonts w:ascii="宋体" w:hAnsi="宋体" w:cs="宋体"/>
          <w:b/>
          <w:color w:val="auto"/>
          <w:szCs w:val="21"/>
          <w:highlight w:val="none"/>
        </w:rPr>
      </w:pP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一、适用对象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在浙江“政采云”平台注册入库，并取得钱塘区政府采购合同的中小企业供应商。</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二、相关信息获取方式</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三、申请方式和步骤</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1、供应商若有融资意向，需先与钱塘区财政局合作的银行对接，办理相关融资前期手续；</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2、中标后，供应商应与采购单位或者采购代理机构及时联系，告知融资需求；</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3、相关合作银行联系并审核供应商及相关中标信息，办理相关融资事宜；</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rPr>
        <w:t>4</w:t>
      </w:r>
      <w:r>
        <w:rPr>
          <w:rFonts w:hint="eastAsia" w:ascii="仿宋_GB2312" w:hAnsi="仿宋" w:eastAsia="仿宋_GB2312" w:cs="仿宋_GB2312"/>
          <w:color w:val="auto"/>
          <w:kern w:val="0"/>
          <w:sz w:val="24"/>
          <w:highlight w:val="none"/>
          <w:lang w:val="zh-CN"/>
        </w:rPr>
        <w:t>、采购单位应及时将信用融资合同提交备案。</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四、注意事项</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ascii="仿宋_GB2312" w:hAnsi="仿宋" w:eastAsia="仿宋_GB2312" w:cs="仿宋_GB2312"/>
          <w:b/>
          <w:bCs/>
          <w:color w:val="auto"/>
          <w:kern w:val="0"/>
          <w:sz w:val="24"/>
          <w:highlight w:val="none"/>
          <w:lang w:val="zh-CN"/>
        </w:rPr>
      </w:pPr>
      <w:r>
        <w:rPr>
          <w:rFonts w:hint="eastAsia" w:ascii="仿宋_GB2312" w:hAnsi="仿宋" w:eastAsia="仿宋_GB2312" w:cs="仿宋_GB2312"/>
          <w:b/>
          <w:bCs/>
          <w:color w:val="auto"/>
          <w:kern w:val="0"/>
          <w:sz w:val="24"/>
          <w:highlight w:val="none"/>
          <w:lang w:val="zh-CN"/>
        </w:rPr>
        <w:t>五、合作银行及联系方式</w:t>
      </w:r>
    </w:p>
    <w:tbl>
      <w:tblPr>
        <w:tblStyle w:val="62"/>
        <w:tblW w:w="0" w:type="auto"/>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建设银行钱塘支行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张苏航</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2</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左劼</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3</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吕刚</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4</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费莎</w:t>
            </w:r>
          </w:p>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严培蓓</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13388617781</w:t>
            </w:r>
          </w:p>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5</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丁萍</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6</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中国银行钱塘支行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沈振华</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13957168926</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7</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工商银行开发区支行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李燕珍</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13735710338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8</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贾磊</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9</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王宁</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18906520030</w:t>
            </w:r>
          </w:p>
        </w:tc>
      </w:tr>
      <w:tr>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10</w:t>
            </w:r>
          </w:p>
        </w:tc>
        <w:tc>
          <w:tcPr>
            <w:tcW w:w="30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农业银行钱塘支行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王安东</w:t>
            </w:r>
          </w:p>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方若愚</w:t>
            </w:r>
          </w:p>
        </w:tc>
        <w:tc>
          <w:tcPr>
            <w:tcW w:w="3220"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15158025713</w:t>
            </w:r>
          </w:p>
          <w:p>
            <w:pPr>
              <w:widowControl/>
              <w:jc w:val="center"/>
              <w:rPr>
                <w:color w:val="auto"/>
                <w:highlight w:val="none"/>
              </w:rPr>
            </w:pPr>
            <w:r>
              <w:rPr>
                <w:rFonts w:ascii="仿宋_GB2312" w:hAnsi="仿宋_GB2312" w:eastAsia="仿宋_GB2312" w:cs="仿宋_GB2312"/>
                <w:color w:val="auto"/>
                <w:kern w:val="0"/>
                <w:sz w:val="24"/>
                <w:highlight w:val="none"/>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11</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徐伟刚</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82921293，18258888258</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12</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浦发银行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林云鹏</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18805812679</w:t>
            </w:r>
          </w:p>
        </w:tc>
      </w:tr>
    </w:tbl>
    <w:p>
      <w:pPr>
        <w:spacing w:line="360" w:lineRule="auto"/>
        <w:ind w:left="5060" w:hanging="5060" w:hangingChars="2100"/>
        <w:rPr>
          <w:rFonts w:ascii="仿宋_GB2312" w:hAnsi="仿宋" w:eastAsia="仿宋_GB2312" w:cs="仿宋_GB2312"/>
          <w:b/>
          <w:bCs/>
          <w:color w:val="auto"/>
          <w:kern w:val="0"/>
          <w:sz w:val="24"/>
          <w:highlight w:val="none"/>
        </w:rPr>
      </w:pPr>
    </w:p>
    <w:p>
      <w:pPr>
        <w:spacing w:line="360" w:lineRule="auto"/>
        <w:ind w:left="5060" w:hanging="5060" w:hangingChars="2100"/>
        <w:rPr>
          <w:rFonts w:hint="eastAsia" w:ascii="仿宋" w:hAnsi="仿宋" w:eastAsia="仿宋" w:cs="仿宋"/>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421" w:name="_Toc465665161"/>
      <w:r>
        <w:rPr>
          <w:rFonts w:hint="eastAsia" w:ascii="仿宋" w:hAnsi="仿宋" w:eastAsia="仿宋" w:cs="仿宋"/>
          <w:color w:val="auto"/>
          <w:highlight w:val="none"/>
        </w:rPr>
        <w:t>附件</w:t>
      </w:r>
      <w:bookmarkEnd w:id="421"/>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422" w:name="OLE_LINK13"/>
      <w:bookmarkStart w:id="423" w:name="OLE_LINK14"/>
      <w:r>
        <w:rPr>
          <w:rFonts w:hint="eastAsia" w:ascii="仿宋" w:hAnsi="仿宋" w:eastAsia="仿宋" w:cs="仿宋"/>
          <w:b/>
          <w:color w:val="auto"/>
          <w:spacing w:val="6"/>
          <w:sz w:val="32"/>
          <w:szCs w:val="32"/>
          <w:highlight w:val="none"/>
        </w:rPr>
        <w:t>残疾人福利性单位声明函</w:t>
      </w:r>
      <w:bookmarkEnd w:id="422"/>
      <w:bookmarkEnd w:id="423"/>
    </w:p>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single"/>
          <w:lang w:eastAsia="zh-CN"/>
        </w:rPr>
        <w:t>杭州市钱塘区综合行政执法局</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浙江省房地产管理咨询有限公司</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钱塘区2023年-2024年数字城管服务外包项目（江东区域）</w:t>
      </w: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（单位名称）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lang w:eastAsia="zh-CN"/>
        </w:rPr>
        <w:t>钱塘区2023年-2024年数字城管服务外包项目（江东区域）</w:t>
      </w:r>
      <w:r>
        <w:rPr>
          <w:rFonts w:hint="eastAsia" w:ascii="仿宋" w:hAnsi="仿宋" w:eastAsia="仿宋" w:cs="仿宋"/>
          <w:color w:val="auto"/>
          <w:sz w:val="24"/>
          <w:highlight w:val="none"/>
        </w:rPr>
        <w:t xml:space="preserve"> 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钱塘区2023年-2024年数字城管服务外包项目（江东区域）</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其他未列明行业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hint="eastAsia" w:ascii="仿宋" w:hAnsi="仿宋" w:eastAsia="仿宋" w:cs="仿宋"/>
          <w:color w:val="auto"/>
          <w:highlight w:val="none"/>
          <w:lang w:val="en-US"/>
        </w:rPr>
      </w:pPr>
    </w:p>
    <w:p>
      <w:pPr>
        <w:spacing w:line="360" w:lineRule="auto"/>
        <w:ind w:right="420"/>
        <w:rPr>
          <w:rFonts w:hint="eastAsia" w:ascii="仿宋" w:hAnsi="仿宋" w:eastAsia="仿宋" w:cs="仿宋"/>
          <w:color w:val="auto"/>
          <w:highlight w:val="none"/>
        </w:rPr>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pgNumType w:fmt="decimal"/>
          <w:cols w:space="720" w:num="1"/>
          <w:titlePg/>
          <w:docGrid w:linePitch="312" w:charSpace="0"/>
        </w:sectPr>
      </w:pPr>
    </w:p>
    <w:p>
      <w:pPr>
        <w:pStyle w:val="61"/>
        <w:rPr>
          <w:rFonts w:hint="eastAsia" w:ascii="仿宋" w:hAnsi="仿宋" w:eastAsia="仿宋" w:cs="仿宋"/>
          <w:color w:val="auto"/>
          <w:highlight w:val="none"/>
        </w:rPr>
      </w:pPr>
    </w:p>
    <w:p>
      <w:pPr>
        <w:spacing w:line="360" w:lineRule="auto"/>
        <w:rPr>
          <w:rFonts w:hint="eastAsia" w:ascii="仿宋" w:hAnsi="仿宋" w:eastAsia="仿宋" w:cs="仿宋"/>
          <w:bCs/>
          <w:color w:val="auto"/>
          <w:sz w:val="24"/>
          <w:highlight w:val="none"/>
        </w:rPr>
      </w:pPr>
      <w:r>
        <w:rPr>
          <w:rFonts w:hint="eastAsia" w:ascii="仿宋" w:hAnsi="仿宋" w:eastAsia="仿宋" w:cs="仿宋"/>
          <w:color w:val="auto"/>
          <w:highlight w:val="none"/>
        </w:rPr>
        <w:drawing>
          <wp:inline distT="0" distB="0" distL="114300" distR="114300">
            <wp:extent cx="9091295" cy="5498465"/>
            <wp:effectExtent l="0" t="0" r="14605" b="698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30"/>
                    <a:stretch>
                      <a:fillRect/>
                    </a:stretch>
                  </pic:blipFill>
                  <pic:spPr>
                    <a:xfrm>
                      <a:off x="0" y="0"/>
                      <a:ext cx="9091295" cy="5498465"/>
                    </a:xfrm>
                    <a:prstGeom prst="rect">
                      <a:avLst/>
                    </a:prstGeom>
                    <a:noFill/>
                    <a:ln>
                      <a:noFill/>
                    </a:ln>
                  </pic:spPr>
                </pic:pic>
              </a:graphicData>
            </a:graphic>
          </wp:inline>
        </w:drawing>
      </w:r>
    </w:p>
    <w:sectPr>
      <w:pgSz w:w="16838" w:h="11906" w:orient="landscape"/>
      <w:pgMar w:top="1418" w:right="1276" w:bottom="1418" w:left="124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77</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79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78</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left" w:pos="900"/>
        <w:tab w:val="clear" w:pos="4153"/>
        <w:tab w:val="clear" w:pos="8306"/>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72"/>
        <w:rFonts w:hint="eastAsia" w:ascii="仿宋_GB2312" w:eastAsia="仿宋_GB2312"/>
        <w:sz w:val="21"/>
        <w:szCs w:val="21"/>
      </w:rPr>
    </w:pPr>
    <w:r>
      <w:rPr>
        <w:rFonts w:hint="eastAsia" w:ascii="仿宋_GB2312" w:eastAsia="仿宋_GB2312"/>
        <w:sz w:val="21"/>
        <w:szCs w:val="21"/>
      </w:rPr>
      <w:fldChar w:fldCharType="begin"/>
    </w:r>
    <w:r>
      <w:rPr>
        <w:rStyle w:val="72"/>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72"/>
        <w:rFonts w:ascii="仿宋_GB2312" w:eastAsia="仿宋_GB2312"/>
        <w:sz w:val="21"/>
        <w:szCs w:val="21"/>
      </w:rPr>
      <w:t>27</w:t>
    </w:r>
    <w:r>
      <w:rPr>
        <w:rFonts w:hint="eastAsia" w:ascii="仿宋_GB2312" w:eastAsia="仿宋_GB2312"/>
        <w:sz w:val="21"/>
        <w:szCs w:val="21"/>
      </w:rPr>
      <w:fldChar w:fldCharType="end"/>
    </w:r>
  </w:p>
  <w:p>
    <w:pPr>
      <w:pStyle w:val="3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72"/>
      </w:rPr>
    </w:pPr>
    <w:r>
      <w:fldChar w:fldCharType="begin"/>
    </w:r>
    <w:r>
      <w:rPr>
        <w:rStyle w:val="72"/>
      </w:rPr>
      <w:instrText xml:space="preserve">PAGE  </w:instrText>
    </w:r>
    <w:r>
      <w:fldChar w:fldCharType="separate"/>
    </w:r>
    <w:r>
      <w:rPr>
        <w:rStyle w:val="72"/>
      </w:rPr>
      <w:t>1</w:t>
    </w:r>
    <w:r>
      <w:fldChar w:fldCharType="end"/>
    </w:r>
  </w:p>
  <w:p>
    <w:pPr>
      <w:pStyle w:val="3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9"/>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9"/>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88</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pPr>
    <w:r>
      <w:rPr>
        <w:rFonts w:hint="eastAsia"/>
      </w:rPr>
      <w:t xml:space="preserve">                                                                   </w:t>
    </w:r>
  </w:p>
  <w:p>
    <w:pPr>
      <w:pStyle w:val="58"/>
      <w:tabs>
        <w:tab w:val="center" w:pos="4535"/>
        <w:tab w:val="right" w:pos="9070"/>
      </w:tabs>
      <w:spacing w:after="480"/>
      <w:ind w:firstLine="180" w:firstLineChars="100"/>
      <w:jc w:val="both"/>
      <w:rPr>
        <w:rFonts w:hint="eastAsia"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w:t>
    </w:r>
    <w:r>
      <w:rPr>
        <w:rFonts w:hint="eastAsia"/>
      </w:rPr>
      <w:t>钱塘区</w:t>
    </w:r>
    <w: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36828D"/>
    <w:multiLevelType w:val="singleLevel"/>
    <w:tmpl w:val="4936828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ZjBiYjZjMGM5ZTRmMzU0MjIzNDFkNzNiNzUzMz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0002"/>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36A"/>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12824"/>
    <w:rsid w:val="013730A5"/>
    <w:rsid w:val="01870B13"/>
    <w:rsid w:val="019F7441"/>
    <w:rsid w:val="01AF70E0"/>
    <w:rsid w:val="01B37585"/>
    <w:rsid w:val="01D55165"/>
    <w:rsid w:val="01D94E86"/>
    <w:rsid w:val="01DF6BF8"/>
    <w:rsid w:val="01EC2C57"/>
    <w:rsid w:val="01F835E1"/>
    <w:rsid w:val="0241242E"/>
    <w:rsid w:val="026B2E25"/>
    <w:rsid w:val="02824D4D"/>
    <w:rsid w:val="029D518A"/>
    <w:rsid w:val="02DC4B10"/>
    <w:rsid w:val="02DD76CE"/>
    <w:rsid w:val="02F36323"/>
    <w:rsid w:val="02F5619C"/>
    <w:rsid w:val="0326446A"/>
    <w:rsid w:val="032D5555"/>
    <w:rsid w:val="036634D2"/>
    <w:rsid w:val="03DD35E4"/>
    <w:rsid w:val="03EB4C46"/>
    <w:rsid w:val="04076900"/>
    <w:rsid w:val="040F2FA9"/>
    <w:rsid w:val="041A5A3B"/>
    <w:rsid w:val="041D2A27"/>
    <w:rsid w:val="042311BA"/>
    <w:rsid w:val="042B157A"/>
    <w:rsid w:val="04470A78"/>
    <w:rsid w:val="0449381C"/>
    <w:rsid w:val="048F763B"/>
    <w:rsid w:val="049F330E"/>
    <w:rsid w:val="04AA775C"/>
    <w:rsid w:val="04AF1889"/>
    <w:rsid w:val="04B01074"/>
    <w:rsid w:val="04C87956"/>
    <w:rsid w:val="04F66F48"/>
    <w:rsid w:val="05121E5F"/>
    <w:rsid w:val="051E6A56"/>
    <w:rsid w:val="05251E14"/>
    <w:rsid w:val="054160C5"/>
    <w:rsid w:val="05A16594"/>
    <w:rsid w:val="05A7762D"/>
    <w:rsid w:val="060E5941"/>
    <w:rsid w:val="06110FAF"/>
    <w:rsid w:val="061B2F96"/>
    <w:rsid w:val="06224324"/>
    <w:rsid w:val="0639166E"/>
    <w:rsid w:val="06493CA7"/>
    <w:rsid w:val="065A6178"/>
    <w:rsid w:val="066F1CF3"/>
    <w:rsid w:val="067134CC"/>
    <w:rsid w:val="06930BB8"/>
    <w:rsid w:val="06BA27AF"/>
    <w:rsid w:val="06EE6765"/>
    <w:rsid w:val="07170AD3"/>
    <w:rsid w:val="07245D42"/>
    <w:rsid w:val="07264C62"/>
    <w:rsid w:val="0733536B"/>
    <w:rsid w:val="0779354C"/>
    <w:rsid w:val="08061376"/>
    <w:rsid w:val="08070BB6"/>
    <w:rsid w:val="08452D77"/>
    <w:rsid w:val="0858227F"/>
    <w:rsid w:val="086401F8"/>
    <w:rsid w:val="086429F6"/>
    <w:rsid w:val="08751CAA"/>
    <w:rsid w:val="087E4C40"/>
    <w:rsid w:val="08AA2F76"/>
    <w:rsid w:val="08D3127C"/>
    <w:rsid w:val="08D66AD6"/>
    <w:rsid w:val="08DA33A3"/>
    <w:rsid w:val="08E80F13"/>
    <w:rsid w:val="08EE786F"/>
    <w:rsid w:val="08EE7BDA"/>
    <w:rsid w:val="09335624"/>
    <w:rsid w:val="0944690F"/>
    <w:rsid w:val="09535675"/>
    <w:rsid w:val="095F057D"/>
    <w:rsid w:val="09642282"/>
    <w:rsid w:val="09733572"/>
    <w:rsid w:val="09772C16"/>
    <w:rsid w:val="098353B5"/>
    <w:rsid w:val="09A92330"/>
    <w:rsid w:val="09B06B87"/>
    <w:rsid w:val="09C13146"/>
    <w:rsid w:val="09E04166"/>
    <w:rsid w:val="0A1B7A08"/>
    <w:rsid w:val="0A1C0718"/>
    <w:rsid w:val="0A3E7710"/>
    <w:rsid w:val="0A596C38"/>
    <w:rsid w:val="0A5A0A28"/>
    <w:rsid w:val="0A5B7E63"/>
    <w:rsid w:val="0A884FC3"/>
    <w:rsid w:val="0AA374A5"/>
    <w:rsid w:val="0AAB7649"/>
    <w:rsid w:val="0ABC5606"/>
    <w:rsid w:val="0AE24082"/>
    <w:rsid w:val="0B060953"/>
    <w:rsid w:val="0B30404E"/>
    <w:rsid w:val="0B4C6C14"/>
    <w:rsid w:val="0B631A88"/>
    <w:rsid w:val="0B683D45"/>
    <w:rsid w:val="0B7F3F11"/>
    <w:rsid w:val="0B884417"/>
    <w:rsid w:val="0B8C4068"/>
    <w:rsid w:val="0BB73761"/>
    <w:rsid w:val="0BC55E7E"/>
    <w:rsid w:val="0BF6188C"/>
    <w:rsid w:val="0BF73C91"/>
    <w:rsid w:val="0C034F9F"/>
    <w:rsid w:val="0C170175"/>
    <w:rsid w:val="0C571A41"/>
    <w:rsid w:val="0C5C1171"/>
    <w:rsid w:val="0C5E1CBC"/>
    <w:rsid w:val="0C615B50"/>
    <w:rsid w:val="0C7E2C37"/>
    <w:rsid w:val="0C8445DA"/>
    <w:rsid w:val="0C87121B"/>
    <w:rsid w:val="0CBD298F"/>
    <w:rsid w:val="0CC007F7"/>
    <w:rsid w:val="0CD35B98"/>
    <w:rsid w:val="0CD910AD"/>
    <w:rsid w:val="0CEF15F2"/>
    <w:rsid w:val="0CFE707A"/>
    <w:rsid w:val="0D063BDA"/>
    <w:rsid w:val="0D08375F"/>
    <w:rsid w:val="0D184CFB"/>
    <w:rsid w:val="0D222E5C"/>
    <w:rsid w:val="0D4A7419"/>
    <w:rsid w:val="0D827401"/>
    <w:rsid w:val="0D84094E"/>
    <w:rsid w:val="0D8A00E9"/>
    <w:rsid w:val="0D8D589E"/>
    <w:rsid w:val="0DA01C73"/>
    <w:rsid w:val="0DD63300"/>
    <w:rsid w:val="0DF50604"/>
    <w:rsid w:val="0DF702FE"/>
    <w:rsid w:val="0DFC36AD"/>
    <w:rsid w:val="0E060E51"/>
    <w:rsid w:val="0E5604B2"/>
    <w:rsid w:val="0E6D5D79"/>
    <w:rsid w:val="0E9D0089"/>
    <w:rsid w:val="0EB803EE"/>
    <w:rsid w:val="0EF94D4B"/>
    <w:rsid w:val="0F121970"/>
    <w:rsid w:val="0F194CA3"/>
    <w:rsid w:val="0F4958DC"/>
    <w:rsid w:val="0F4C320E"/>
    <w:rsid w:val="0F515DF7"/>
    <w:rsid w:val="0F596BA8"/>
    <w:rsid w:val="0F6248D2"/>
    <w:rsid w:val="0F693536"/>
    <w:rsid w:val="0F7B0511"/>
    <w:rsid w:val="0F7B76D9"/>
    <w:rsid w:val="0F7D315A"/>
    <w:rsid w:val="0F816ACD"/>
    <w:rsid w:val="0F9832DB"/>
    <w:rsid w:val="0FBF3FD2"/>
    <w:rsid w:val="0FBF7FF3"/>
    <w:rsid w:val="0FFE31DD"/>
    <w:rsid w:val="103C4234"/>
    <w:rsid w:val="10582CAB"/>
    <w:rsid w:val="10623B71"/>
    <w:rsid w:val="10646583"/>
    <w:rsid w:val="107D4B15"/>
    <w:rsid w:val="108A3C80"/>
    <w:rsid w:val="10B84804"/>
    <w:rsid w:val="10C26171"/>
    <w:rsid w:val="10DF6C28"/>
    <w:rsid w:val="10EF71F3"/>
    <w:rsid w:val="10F33360"/>
    <w:rsid w:val="10FC16EA"/>
    <w:rsid w:val="11001204"/>
    <w:rsid w:val="110F1D40"/>
    <w:rsid w:val="110F261A"/>
    <w:rsid w:val="11266F33"/>
    <w:rsid w:val="113A4C18"/>
    <w:rsid w:val="11873B72"/>
    <w:rsid w:val="118963A1"/>
    <w:rsid w:val="11B12A00"/>
    <w:rsid w:val="11C6522A"/>
    <w:rsid w:val="11E104CC"/>
    <w:rsid w:val="11E132E5"/>
    <w:rsid w:val="11E20309"/>
    <w:rsid w:val="12255233"/>
    <w:rsid w:val="12530213"/>
    <w:rsid w:val="127723A9"/>
    <w:rsid w:val="12862074"/>
    <w:rsid w:val="12883966"/>
    <w:rsid w:val="12971BF6"/>
    <w:rsid w:val="129A03A8"/>
    <w:rsid w:val="129E45B4"/>
    <w:rsid w:val="12A204B1"/>
    <w:rsid w:val="12B91B6C"/>
    <w:rsid w:val="12D81596"/>
    <w:rsid w:val="13054DB2"/>
    <w:rsid w:val="13072A44"/>
    <w:rsid w:val="133832E8"/>
    <w:rsid w:val="135F4BE2"/>
    <w:rsid w:val="13963F63"/>
    <w:rsid w:val="139B1A0A"/>
    <w:rsid w:val="139D25C7"/>
    <w:rsid w:val="13BF3CE4"/>
    <w:rsid w:val="13F217DA"/>
    <w:rsid w:val="141008D8"/>
    <w:rsid w:val="14125FE6"/>
    <w:rsid w:val="145D1643"/>
    <w:rsid w:val="146D271E"/>
    <w:rsid w:val="14982588"/>
    <w:rsid w:val="149A5AD9"/>
    <w:rsid w:val="14A62488"/>
    <w:rsid w:val="14A7619D"/>
    <w:rsid w:val="14FD6C55"/>
    <w:rsid w:val="150536C3"/>
    <w:rsid w:val="150C1963"/>
    <w:rsid w:val="151447A0"/>
    <w:rsid w:val="151B1BCE"/>
    <w:rsid w:val="153A2F73"/>
    <w:rsid w:val="154A6454"/>
    <w:rsid w:val="15744470"/>
    <w:rsid w:val="15762120"/>
    <w:rsid w:val="15E75C04"/>
    <w:rsid w:val="15FF0D74"/>
    <w:rsid w:val="16A8729C"/>
    <w:rsid w:val="16B33777"/>
    <w:rsid w:val="16BC70A7"/>
    <w:rsid w:val="16BD0A63"/>
    <w:rsid w:val="16C12321"/>
    <w:rsid w:val="16C6339E"/>
    <w:rsid w:val="16D96680"/>
    <w:rsid w:val="16F807DF"/>
    <w:rsid w:val="17067369"/>
    <w:rsid w:val="172F2D79"/>
    <w:rsid w:val="173B6FF4"/>
    <w:rsid w:val="17431E8D"/>
    <w:rsid w:val="17557BEF"/>
    <w:rsid w:val="178F7340"/>
    <w:rsid w:val="17D349C1"/>
    <w:rsid w:val="17F35B20"/>
    <w:rsid w:val="1830729E"/>
    <w:rsid w:val="186B1B5B"/>
    <w:rsid w:val="1870062C"/>
    <w:rsid w:val="18817102"/>
    <w:rsid w:val="18830A15"/>
    <w:rsid w:val="18852B28"/>
    <w:rsid w:val="188B5321"/>
    <w:rsid w:val="18B57EB9"/>
    <w:rsid w:val="18F558C8"/>
    <w:rsid w:val="18FC4BD3"/>
    <w:rsid w:val="1922234A"/>
    <w:rsid w:val="19333420"/>
    <w:rsid w:val="19362169"/>
    <w:rsid w:val="19510D51"/>
    <w:rsid w:val="19720801"/>
    <w:rsid w:val="198464BC"/>
    <w:rsid w:val="19932372"/>
    <w:rsid w:val="19A20DD5"/>
    <w:rsid w:val="19AE03F1"/>
    <w:rsid w:val="19B4687B"/>
    <w:rsid w:val="19CE1487"/>
    <w:rsid w:val="19E64A97"/>
    <w:rsid w:val="1A004525"/>
    <w:rsid w:val="1A071A03"/>
    <w:rsid w:val="1A0933D9"/>
    <w:rsid w:val="1A1F16AE"/>
    <w:rsid w:val="1A3B5C77"/>
    <w:rsid w:val="1A693C87"/>
    <w:rsid w:val="1A984BAD"/>
    <w:rsid w:val="1AB8220E"/>
    <w:rsid w:val="1AE4166C"/>
    <w:rsid w:val="1AF06CFB"/>
    <w:rsid w:val="1AF11B8D"/>
    <w:rsid w:val="1B11359C"/>
    <w:rsid w:val="1B2A271F"/>
    <w:rsid w:val="1B530544"/>
    <w:rsid w:val="1B713184"/>
    <w:rsid w:val="1BA209CF"/>
    <w:rsid w:val="1BB4777D"/>
    <w:rsid w:val="1BD75AB8"/>
    <w:rsid w:val="1C0254B4"/>
    <w:rsid w:val="1C0459C2"/>
    <w:rsid w:val="1C1B3B4A"/>
    <w:rsid w:val="1C241E60"/>
    <w:rsid w:val="1C40430A"/>
    <w:rsid w:val="1C6A2129"/>
    <w:rsid w:val="1C88086E"/>
    <w:rsid w:val="1CD35F20"/>
    <w:rsid w:val="1CF10155"/>
    <w:rsid w:val="1D266CE1"/>
    <w:rsid w:val="1D3963AF"/>
    <w:rsid w:val="1D6A673C"/>
    <w:rsid w:val="1D7B3404"/>
    <w:rsid w:val="1D9247AE"/>
    <w:rsid w:val="1DB567EC"/>
    <w:rsid w:val="1DDB4F4E"/>
    <w:rsid w:val="1DF51A98"/>
    <w:rsid w:val="1E220F0E"/>
    <w:rsid w:val="1E3D060F"/>
    <w:rsid w:val="1E3F7D2E"/>
    <w:rsid w:val="1E4134E4"/>
    <w:rsid w:val="1E430E84"/>
    <w:rsid w:val="1E5062B3"/>
    <w:rsid w:val="1E523514"/>
    <w:rsid w:val="1E714A66"/>
    <w:rsid w:val="1E731769"/>
    <w:rsid w:val="1E802593"/>
    <w:rsid w:val="1EA703CC"/>
    <w:rsid w:val="1EB7330C"/>
    <w:rsid w:val="1F0A0FF3"/>
    <w:rsid w:val="1F357B24"/>
    <w:rsid w:val="1F5771FF"/>
    <w:rsid w:val="1F7F5EEC"/>
    <w:rsid w:val="1FE868A9"/>
    <w:rsid w:val="1FEF5926"/>
    <w:rsid w:val="1FF40688"/>
    <w:rsid w:val="20034907"/>
    <w:rsid w:val="20173E4B"/>
    <w:rsid w:val="204E48BC"/>
    <w:rsid w:val="208921B3"/>
    <w:rsid w:val="20930F2E"/>
    <w:rsid w:val="20973DEB"/>
    <w:rsid w:val="20B26522"/>
    <w:rsid w:val="20B44310"/>
    <w:rsid w:val="20E10F60"/>
    <w:rsid w:val="20E9246E"/>
    <w:rsid w:val="211116EB"/>
    <w:rsid w:val="211A22EA"/>
    <w:rsid w:val="215C4736"/>
    <w:rsid w:val="216133FC"/>
    <w:rsid w:val="216F2CC8"/>
    <w:rsid w:val="21D56769"/>
    <w:rsid w:val="21E52EF3"/>
    <w:rsid w:val="21FB5D7B"/>
    <w:rsid w:val="220B1C3D"/>
    <w:rsid w:val="221D1D20"/>
    <w:rsid w:val="22334A87"/>
    <w:rsid w:val="22BE6801"/>
    <w:rsid w:val="22EA7B20"/>
    <w:rsid w:val="233500BF"/>
    <w:rsid w:val="23377FF7"/>
    <w:rsid w:val="23533917"/>
    <w:rsid w:val="236B425F"/>
    <w:rsid w:val="23836192"/>
    <w:rsid w:val="238C7853"/>
    <w:rsid w:val="23901F29"/>
    <w:rsid w:val="239C0061"/>
    <w:rsid w:val="23B908A4"/>
    <w:rsid w:val="23CD24BD"/>
    <w:rsid w:val="23E95BEF"/>
    <w:rsid w:val="23F12DAC"/>
    <w:rsid w:val="23FD0064"/>
    <w:rsid w:val="24066BDB"/>
    <w:rsid w:val="245375B0"/>
    <w:rsid w:val="24642C0A"/>
    <w:rsid w:val="2482431B"/>
    <w:rsid w:val="24AD2DBB"/>
    <w:rsid w:val="24B22173"/>
    <w:rsid w:val="24B95AD9"/>
    <w:rsid w:val="24BE24DA"/>
    <w:rsid w:val="24CF5825"/>
    <w:rsid w:val="24D663E6"/>
    <w:rsid w:val="24D77F2B"/>
    <w:rsid w:val="24EE179A"/>
    <w:rsid w:val="250F6B1C"/>
    <w:rsid w:val="251D6AF8"/>
    <w:rsid w:val="25381017"/>
    <w:rsid w:val="255143B7"/>
    <w:rsid w:val="2556149D"/>
    <w:rsid w:val="258B00E2"/>
    <w:rsid w:val="25A641D2"/>
    <w:rsid w:val="25A917A6"/>
    <w:rsid w:val="25BE27CC"/>
    <w:rsid w:val="25F74A5C"/>
    <w:rsid w:val="2628662C"/>
    <w:rsid w:val="262D45DE"/>
    <w:rsid w:val="265C41DF"/>
    <w:rsid w:val="26772327"/>
    <w:rsid w:val="26816DA7"/>
    <w:rsid w:val="26A53EF9"/>
    <w:rsid w:val="26A94201"/>
    <w:rsid w:val="26AC274F"/>
    <w:rsid w:val="26AF0B88"/>
    <w:rsid w:val="26B81BAE"/>
    <w:rsid w:val="26E13E82"/>
    <w:rsid w:val="27035654"/>
    <w:rsid w:val="27044A29"/>
    <w:rsid w:val="271D34C8"/>
    <w:rsid w:val="274F1A8E"/>
    <w:rsid w:val="276142BF"/>
    <w:rsid w:val="2776783B"/>
    <w:rsid w:val="27783712"/>
    <w:rsid w:val="277B343D"/>
    <w:rsid w:val="278F2573"/>
    <w:rsid w:val="27907362"/>
    <w:rsid w:val="27D25752"/>
    <w:rsid w:val="28210B10"/>
    <w:rsid w:val="28292E99"/>
    <w:rsid w:val="28333E1D"/>
    <w:rsid w:val="28454BD6"/>
    <w:rsid w:val="28455253"/>
    <w:rsid w:val="28551971"/>
    <w:rsid w:val="285B1C53"/>
    <w:rsid w:val="28732366"/>
    <w:rsid w:val="289F7086"/>
    <w:rsid w:val="28BC1659"/>
    <w:rsid w:val="28C32028"/>
    <w:rsid w:val="28CC490F"/>
    <w:rsid w:val="28DE40AA"/>
    <w:rsid w:val="292D69B8"/>
    <w:rsid w:val="29345E77"/>
    <w:rsid w:val="294C32E2"/>
    <w:rsid w:val="294C65AD"/>
    <w:rsid w:val="29806583"/>
    <w:rsid w:val="298B3C4C"/>
    <w:rsid w:val="29BA1071"/>
    <w:rsid w:val="29BA109E"/>
    <w:rsid w:val="29DF48AB"/>
    <w:rsid w:val="29F26D24"/>
    <w:rsid w:val="2A15033F"/>
    <w:rsid w:val="2A1662C1"/>
    <w:rsid w:val="2A1C7367"/>
    <w:rsid w:val="2A231D86"/>
    <w:rsid w:val="2A2815FA"/>
    <w:rsid w:val="2A2B61C7"/>
    <w:rsid w:val="2A3C3234"/>
    <w:rsid w:val="2A5E32CD"/>
    <w:rsid w:val="2A6D6092"/>
    <w:rsid w:val="2A7D76B4"/>
    <w:rsid w:val="2A88659C"/>
    <w:rsid w:val="2B437463"/>
    <w:rsid w:val="2B7807EE"/>
    <w:rsid w:val="2B805C8F"/>
    <w:rsid w:val="2B894FDF"/>
    <w:rsid w:val="2BBF00EC"/>
    <w:rsid w:val="2BC37CFD"/>
    <w:rsid w:val="2BD5237F"/>
    <w:rsid w:val="2BE536CE"/>
    <w:rsid w:val="2BE758D9"/>
    <w:rsid w:val="2C09049E"/>
    <w:rsid w:val="2C0A653C"/>
    <w:rsid w:val="2C191F85"/>
    <w:rsid w:val="2CD900F7"/>
    <w:rsid w:val="2CDB6B32"/>
    <w:rsid w:val="2CE82D6F"/>
    <w:rsid w:val="2D343236"/>
    <w:rsid w:val="2D3C71CA"/>
    <w:rsid w:val="2DC53663"/>
    <w:rsid w:val="2DD15014"/>
    <w:rsid w:val="2DD57B19"/>
    <w:rsid w:val="2DF72DE4"/>
    <w:rsid w:val="2E0220AF"/>
    <w:rsid w:val="2E4B082A"/>
    <w:rsid w:val="2E5D4E86"/>
    <w:rsid w:val="2E5D790B"/>
    <w:rsid w:val="2E7C6A4A"/>
    <w:rsid w:val="2E9A3C18"/>
    <w:rsid w:val="2EB2312B"/>
    <w:rsid w:val="2EBB0FEE"/>
    <w:rsid w:val="2EBD258D"/>
    <w:rsid w:val="2EC63002"/>
    <w:rsid w:val="2EE87609"/>
    <w:rsid w:val="2F0A6B38"/>
    <w:rsid w:val="2F5F1E57"/>
    <w:rsid w:val="2F736A5D"/>
    <w:rsid w:val="2F832175"/>
    <w:rsid w:val="2F912229"/>
    <w:rsid w:val="2F946CCB"/>
    <w:rsid w:val="2FC305C0"/>
    <w:rsid w:val="2FD25781"/>
    <w:rsid w:val="2FEF49C8"/>
    <w:rsid w:val="2FFD7934"/>
    <w:rsid w:val="30733ACD"/>
    <w:rsid w:val="308C3862"/>
    <w:rsid w:val="309379D8"/>
    <w:rsid w:val="30A270F7"/>
    <w:rsid w:val="30B76423"/>
    <w:rsid w:val="30C45E54"/>
    <w:rsid w:val="30DF1478"/>
    <w:rsid w:val="30EC586F"/>
    <w:rsid w:val="311C7A3E"/>
    <w:rsid w:val="31655F8F"/>
    <w:rsid w:val="319C6071"/>
    <w:rsid w:val="31AC537E"/>
    <w:rsid w:val="31BA22FF"/>
    <w:rsid w:val="31BB1031"/>
    <w:rsid w:val="31DD0839"/>
    <w:rsid w:val="31E3679B"/>
    <w:rsid w:val="31E732FD"/>
    <w:rsid w:val="32117F60"/>
    <w:rsid w:val="32236062"/>
    <w:rsid w:val="322936D7"/>
    <w:rsid w:val="32517576"/>
    <w:rsid w:val="328C6723"/>
    <w:rsid w:val="32917FB8"/>
    <w:rsid w:val="3295019B"/>
    <w:rsid w:val="329C6AA0"/>
    <w:rsid w:val="32BE5C2C"/>
    <w:rsid w:val="32FB6478"/>
    <w:rsid w:val="33223266"/>
    <w:rsid w:val="33263B3F"/>
    <w:rsid w:val="333F226C"/>
    <w:rsid w:val="33572FB0"/>
    <w:rsid w:val="336963EB"/>
    <w:rsid w:val="33816EEB"/>
    <w:rsid w:val="3385640C"/>
    <w:rsid w:val="33EB55CD"/>
    <w:rsid w:val="33EC4C02"/>
    <w:rsid w:val="340D2360"/>
    <w:rsid w:val="3410665D"/>
    <w:rsid w:val="34190265"/>
    <w:rsid w:val="34211214"/>
    <w:rsid w:val="342E63AB"/>
    <w:rsid w:val="3458094E"/>
    <w:rsid w:val="348139DB"/>
    <w:rsid w:val="348D63C4"/>
    <w:rsid w:val="34950E68"/>
    <w:rsid w:val="34986E94"/>
    <w:rsid w:val="34A007DF"/>
    <w:rsid w:val="34AF62C9"/>
    <w:rsid w:val="34CB4388"/>
    <w:rsid w:val="34E402F2"/>
    <w:rsid w:val="34FA6E12"/>
    <w:rsid w:val="3565547E"/>
    <w:rsid w:val="358D5588"/>
    <w:rsid w:val="35EB2851"/>
    <w:rsid w:val="363A3B40"/>
    <w:rsid w:val="3640364D"/>
    <w:rsid w:val="365302AE"/>
    <w:rsid w:val="36607A0A"/>
    <w:rsid w:val="366E227C"/>
    <w:rsid w:val="366F2E0D"/>
    <w:rsid w:val="367B0BBA"/>
    <w:rsid w:val="367B6A5C"/>
    <w:rsid w:val="36A74ADA"/>
    <w:rsid w:val="36AD60D5"/>
    <w:rsid w:val="36B224F9"/>
    <w:rsid w:val="36D02BCD"/>
    <w:rsid w:val="36EC0CC9"/>
    <w:rsid w:val="36F0646E"/>
    <w:rsid w:val="37092813"/>
    <w:rsid w:val="37206BED"/>
    <w:rsid w:val="372B2789"/>
    <w:rsid w:val="373F410B"/>
    <w:rsid w:val="37500665"/>
    <w:rsid w:val="37EE7094"/>
    <w:rsid w:val="37FF7009"/>
    <w:rsid w:val="38126DE7"/>
    <w:rsid w:val="38296C89"/>
    <w:rsid w:val="383002EB"/>
    <w:rsid w:val="38586797"/>
    <w:rsid w:val="385F25A5"/>
    <w:rsid w:val="386271CD"/>
    <w:rsid w:val="388A7983"/>
    <w:rsid w:val="38BC0149"/>
    <w:rsid w:val="38CC0229"/>
    <w:rsid w:val="38D138B9"/>
    <w:rsid w:val="38D87D1C"/>
    <w:rsid w:val="38E2331B"/>
    <w:rsid w:val="390D6387"/>
    <w:rsid w:val="39292CF8"/>
    <w:rsid w:val="394C2E8B"/>
    <w:rsid w:val="39636459"/>
    <w:rsid w:val="396B7F6C"/>
    <w:rsid w:val="39AB7BB1"/>
    <w:rsid w:val="39B417A9"/>
    <w:rsid w:val="39FC5695"/>
    <w:rsid w:val="3A006D8E"/>
    <w:rsid w:val="3A10210A"/>
    <w:rsid w:val="3A3651E5"/>
    <w:rsid w:val="3A5D2B79"/>
    <w:rsid w:val="3A744481"/>
    <w:rsid w:val="3A8C7BEF"/>
    <w:rsid w:val="3A906246"/>
    <w:rsid w:val="3ADE5C5A"/>
    <w:rsid w:val="3B181913"/>
    <w:rsid w:val="3B2349B7"/>
    <w:rsid w:val="3B616CFF"/>
    <w:rsid w:val="3B6259F6"/>
    <w:rsid w:val="3B976654"/>
    <w:rsid w:val="3BA24FE4"/>
    <w:rsid w:val="3BAD24D4"/>
    <w:rsid w:val="3BC01EFC"/>
    <w:rsid w:val="3BC817CD"/>
    <w:rsid w:val="3BCA786A"/>
    <w:rsid w:val="3BD31E2F"/>
    <w:rsid w:val="3BF15831"/>
    <w:rsid w:val="3C105946"/>
    <w:rsid w:val="3C234620"/>
    <w:rsid w:val="3C2C4053"/>
    <w:rsid w:val="3C450698"/>
    <w:rsid w:val="3C471448"/>
    <w:rsid w:val="3C5F759A"/>
    <w:rsid w:val="3C6C525A"/>
    <w:rsid w:val="3CCE23CB"/>
    <w:rsid w:val="3CD17D17"/>
    <w:rsid w:val="3CFC668C"/>
    <w:rsid w:val="3D0543A1"/>
    <w:rsid w:val="3D163594"/>
    <w:rsid w:val="3D181C2D"/>
    <w:rsid w:val="3D3C7F39"/>
    <w:rsid w:val="3D440F09"/>
    <w:rsid w:val="3D4504A0"/>
    <w:rsid w:val="3D474095"/>
    <w:rsid w:val="3D5F3D5B"/>
    <w:rsid w:val="3D8734BB"/>
    <w:rsid w:val="3D912D0A"/>
    <w:rsid w:val="3D9A11D4"/>
    <w:rsid w:val="3DA16D89"/>
    <w:rsid w:val="3DA364BE"/>
    <w:rsid w:val="3DE041CB"/>
    <w:rsid w:val="3DEE38C5"/>
    <w:rsid w:val="3E015942"/>
    <w:rsid w:val="3E0D48F6"/>
    <w:rsid w:val="3E1868B4"/>
    <w:rsid w:val="3E285379"/>
    <w:rsid w:val="3E377251"/>
    <w:rsid w:val="3E412892"/>
    <w:rsid w:val="3E42664B"/>
    <w:rsid w:val="3E5A7334"/>
    <w:rsid w:val="3E7B5D6B"/>
    <w:rsid w:val="3E843E66"/>
    <w:rsid w:val="3E8F51FE"/>
    <w:rsid w:val="3E926F87"/>
    <w:rsid w:val="3E9A59DE"/>
    <w:rsid w:val="3EAF4836"/>
    <w:rsid w:val="3EC33DFA"/>
    <w:rsid w:val="3EE54794"/>
    <w:rsid w:val="3F004CD5"/>
    <w:rsid w:val="3F060E16"/>
    <w:rsid w:val="3F1D1096"/>
    <w:rsid w:val="3F2F0234"/>
    <w:rsid w:val="3F4A1C1A"/>
    <w:rsid w:val="3F6363FE"/>
    <w:rsid w:val="3F664136"/>
    <w:rsid w:val="3F756B8F"/>
    <w:rsid w:val="3F95482B"/>
    <w:rsid w:val="3F9E3A0C"/>
    <w:rsid w:val="3FB11C9A"/>
    <w:rsid w:val="3FD57736"/>
    <w:rsid w:val="3FEC4A80"/>
    <w:rsid w:val="3FEE6372"/>
    <w:rsid w:val="4019356B"/>
    <w:rsid w:val="403F72A5"/>
    <w:rsid w:val="405014B2"/>
    <w:rsid w:val="40555D6E"/>
    <w:rsid w:val="40592157"/>
    <w:rsid w:val="406E1CAE"/>
    <w:rsid w:val="40956EC5"/>
    <w:rsid w:val="40970E8F"/>
    <w:rsid w:val="40A0133A"/>
    <w:rsid w:val="40C31A53"/>
    <w:rsid w:val="40F1661A"/>
    <w:rsid w:val="40FF545D"/>
    <w:rsid w:val="410067C8"/>
    <w:rsid w:val="41022C69"/>
    <w:rsid w:val="41327357"/>
    <w:rsid w:val="41520B3C"/>
    <w:rsid w:val="418F0D2A"/>
    <w:rsid w:val="41A03D74"/>
    <w:rsid w:val="41D01505"/>
    <w:rsid w:val="41DC583F"/>
    <w:rsid w:val="42474939"/>
    <w:rsid w:val="424C3C57"/>
    <w:rsid w:val="42613FF3"/>
    <w:rsid w:val="42660D96"/>
    <w:rsid w:val="426B4B87"/>
    <w:rsid w:val="428667D2"/>
    <w:rsid w:val="429873D8"/>
    <w:rsid w:val="42CD1CE0"/>
    <w:rsid w:val="42E1381E"/>
    <w:rsid w:val="42ED6459"/>
    <w:rsid w:val="42FE58DD"/>
    <w:rsid w:val="43174B3D"/>
    <w:rsid w:val="43234C5C"/>
    <w:rsid w:val="432D3ED6"/>
    <w:rsid w:val="433E3844"/>
    <w:rsid w:val="434B790E"/>
    <w:rsid w:val="4360274F"/>
    <w:rsid w:val="43947908"/>
    <w:rsid w:val="43977AB6"/>
    <w:rsid w:val="43A3342B"/>
    <w:rsid w:val="43C7383A"/>
    <w:rsid w:val="43C77C27"/>
    <w:rsid w:val="43CC07A5"/>
    <w:rsid w:val="43D561DF"/>
    <w:rsid w:val="43DE09EE"/>
    <w:rsid w:val="43E27107"/>
    <w:rsid w:val="44002FAD"/>
    <w:rsid w:val="443B20A2"/>
    <w:rsid w:val="445300EE"/>
    <w:rsid w:val="449101DD"/>
    <w:rsid w:val="44A1584A"/>
    <w:rsid w:val="44DE1391"/>
    <w:rsid w:val="451B225C"/>
    <w:rsid w:val="452410C9"/>
    <w:rsid w:val="45317DFB"/>
    <w:rsid w:val="456D3CE4"/>
    <w:rsid w:val="4579042C"/>
    <w:rsid w:val="457F0571"/>
    <w:rsid w:val="45851176"/>
    <w:rsid w:val="45AB1D67"/>
    <w:rsid w:val="45C63B94"/>
    <w:rsid w:val="46001285"/>
    <w:rsid w:val="460E7DA5"/>
    <w:rsid w:val="46422483"/>
    <w:rsid w:val="46586D4B"/>
    <w:rsid w:val="4659254A"/>
    <w:rsid w:val="465B0637"/>
    <w:rsid w:val="465E3F0D"/>
    <w:rsid w:val="466A16E6"/>
    <w:rsid w:val="46893F2B"/>
    <w:rsid w:val="46BF2EEE"/>
    <w:rsid w:val="46C4686E"/>
    <w:rsid w:val="46CB50C4"/>
    <w:rsid w:val="472E597E"/>
    <w:rsid w:val="47451458"/>
    <w:rsid w:val="474E6ECD"/>
    <w:rsid w:val="47550F69"/>
    <w:rsid w:val="476562C5"/>
    <w:rsid w:val="477B778F"/>
    <w:rsid w:val="478203EC"/>
    <w:rsid w:val="47AE70AD"/>
    <w:rsid w:val="47B025FA"/>
    <w:rsid w:val="47EB01EC"/>
    <w:rsid w:val="47F069A1"/>
    <w:rsid w:val="480049E5"/>
    <w:rsid w:val="4809698F"/>
    <w:rsid w:val="481153EC"/>
    <w:rsid w:val="4811697D"/>
    <w:rsid w:val="487A3E25"/>
    <w:rsid w:val="487C5A2E"/>
    <w:rsid w:val="488B5503"/>
    <w:rsid w:val="48937E21"/>
    <w:rsid w:val="489A0361"/>
    <w:rsid w:val="48B94FF3"/>
    <w:rsid w:val="48E37AAB"/>
    <w:rsid w:val="48F5617E"/>
    <w:rsid w:val="48FD4B4C"/>
    <w:rsid w:val="490A68E0"/>
    <w:rsid w:val="491055FE"/>
    <w:rsid w:val="492B43F9"/>
    <w:rsid w:val="495F5B3E"/>
    <w:rsid w:val="496F77D7"/>
    <w:rsid w:val="497654FD"/>
    <w:rsid w:val="49B64211"/>
    <w:rsid w:val="49F6167F"/>
    <w:rsid w:val="49FC7FB5"/>
    <w:rsid w:val="4A064FA0"/>
    <w:rsid w:val="4A16615C"/>
    <w:rsid w:val="4A3A1D79"/>
    <w:rsid w:val="4A3E412A"/>
    <w:rsid w:val="4A4424D7"/>
    <w:rsid w:val="4AB82D0F"/>
    <w:rsid w:val="4AEB7664"/>
    <w:rsid w:val="4AFD7C19"/>
    <w:rsid w:val="4B0567D1"/>
    <w:rsid w:val="4B0C175B"/>
    <w:rsid w:val="4B236AAE"/>
    <w:rsid w:val="4B335C59"/>
    <w:rsid w:val="4B707271"/>
    <w:rsid w:val="4B9739F7"/>
    <w:rsid w:val="4B9F509C"/>
    <w:rsid w:val="4BAB1236"/>
    <w:rsid w:val="4BEE2503"/>
    <w:rsid w:val="4BF7788F"/>
    <w:rsid w:val="4C0D79D9"/>
    <w:rsid w:val="4C245A30"/>
    <w:rsid w:val="4C431ECB"/>
    <w:rsid w:val="4CB6685F"/>
    <w:rsid w:val="4CC367FE"/>
    <w:rsid w:val="4CDE48D2"/>
    <w:rsid w:val="4D077F3C"/>
    <w:rsid w:val="4D123355"/>
    <w:rsid w:val="4D2A3B31"/>
    <w:rsid w:val="4D312C52"/>
    <w:rsid w:val="4D391974"/>
    <w:rsid w:val="4D905305"/>
    <w:rsid w:val="4D964A72"/>
    <w:rsid w:val="4D987BF7"/>
    <w:rsid w:val="4D9C1254"/>
    <w:rsid w:val="4DB0533F"/>
    <w:rsid w:val="4DF0583A"/>
    <w:rsid w:val="4E793892"/>
    <w:rsid w:val="4E800872"/>
    <w:rsid w:val="4EC569ED"/>
    <w:rsid w:val="4ED50EA1"/>
    <w:rsid w:val="4EEC050C"/>
    <w:rsid w:val="4F104EC3"/>
    <w:rsid w:val="4F47354A"/>
    <w:rsid w:val="4F665C23"/>
    <w:rsid w:val="4F911C54"/>
    <w:rsid w:val="4F935D1C"/>
    <w:rsid w:val="4FBE28EB"/>
    <w:rsid w:val="4FCC0231"/>
    <w:rsid w:val="4FE625E0"/>
    <w:rsid w:val="5021480F"/>
    <w:rsid w:val="5040703F"/>
    <w:rsid w:val="50962ECB"/>
    <w:rsid w:val="50A42E38"/>
    <w:rsid w:val="50A4577F"/>
    <w:rsid w:val="50B73D1F"/>
    <w:rsid w:val="50BD5BC9"/>
    <w:rsid w:val="50C11EEE"/>
    <w:rsid w:val="50D06C7D"/>
    <w:rsid w:val="50E97CFC"/>
    <w:rsid w:val="50FA4028"/>
    <w:rsid w:val="510D65B7"/>
    <w:rsid w:val="511157AB"/>
    <w:rsid w:val="51143E36"/>
    <w:rsid w:val="511E4CB5"/>
    <w:rsid w:val="5142540C"/>
    <w:rsid w:val="514C1822"/>
    <w:rsid w:val="51725301"/>
    <w:rsid w:val="518832C8"/>
    <w:rsid w:val="51A0432A"/>
    <w:rsid w:val="51A86090"/>
    <w:rsid w:val="51B7396D"/>
    <w:rsid w:val="522E4CC3"/>
    <w:rsid w:val="5244713B"/>
    <w:rsid w:val="52615633"/>
    <w:rsid w:val="528B2487"/>
    <w:rsid w:val="529364A7"/>
    <w:rsid w:val="52977FD4"/>
    <w:rsid w:val="52A25790"/>
    <w:rsid w:val="52A96B6F"/>
    <w:rsid w:val="52AB5723"/>
    <w:rsid w:val="52B07B8F"/>
    <w:rsid w:val="52B45975"/>
    <w:rsid w:val="52BC7724"/>
    <w:rsid w:val="52D94AA4"/>
    <w:rsid w:val="52EA3A62"/>
    <w:rsid w:val="52EE6CEF"/>
    <w:rsid w:val="52F50BB8"/>
    <w:rsid w:val="52F670CF"/>
    <w:rsid w:val="53024DC6"/>
    <w:rsid w:val="53097272"/>
    <w:rsid w:val="533802B0"/>
    <w:rsid w:val="534D282C"/>
    <w:rsid w:val="53544462"/>
    <w:rsid w:val="53703524"/>
    <w:rsid w:val="538A2B86"/>
    <w:rsid w:val="5397158E"/>
    <w:rsid w:val="53DA7B16"/>
    <w:rsid w:val="53E0500A"/>
    <w:rsid w:val="54013861"/>
    <w:rsid w:val="540F6177"/>
    <w:rsid w:val="543E6703"/>
    <w:rsid w:val="543F11CA"/>
    <w:rsid w:val="54487265"/>
    <w:rsid w:val="544D6070"/>
    <w:rsid w:val="545B74F3"/>
    <w:rsid w:val="54605E1E"/>
    <w:rsid w:val="54785248"/>
    <w:rsid w:val="54B3506A"/>
    <w:rsid w:val="54C92693"/>
    <w:rsid w:val="54CA0D16"/>
    <w:rsid w:val="54DD4057"/>
    <w:rsid w:val="54E7490F"/>
    <w:rsid w:val="54ED50CA"/>
    <w:rsid w:val="54F46459"/>
    <w:rsid w:val="550764A4"/>
    <w:rsid w:val="550B2BF6"/>
    <w:rsid w:val="551811EC"/>
    <w:rsid w:val="55214EB5"/>
    <w:rsid w:val="552D6C7D"/>
    <w:rsid w:val="552F7491"/>
    <w:rsid w:val="55364EFD"/>
    <w:rsid w:val="555D4828"/>
    <w:rsid w:val="55762895"/>
    <w:rsid w:val="55766E6E"/>
    <w:rsid w:val="557A4C8B"/>
    <w:rsid w:val="558931E1"/>
    <w:rsid w:val="55923347"/>
    <w:rsid w:val="55925180"/>
    <w:rsid w:val="55983B1B"/>
    <w:rsid w:val="55A82322"/>
    <w:rsid w:val="55A82D9F"/>
    <w:rsid w:val="55A8376B"/>
    <w:rsid w:val="55DC29B6"/>
    <w:rsid w:val="55DD4241"/>
    <w:rsid w:val="563805C7"/>
    <w:rsid w:val="566B6D1E"/>
    <w:rsid w:val="56875677"/>
    <w:rsid w:val="56955A19"/>
    <w:rsid w:val="57032A2C"/>
    <w:rsid w:val="570F5219"/>
    <w:rsid w:val="575D12B5"/>
    <w:rsid w:val="575F7626"/>
    <w:rsid w:val="57610A87"/>
    <w:rsid w:val="577B1140"/>
    <w:rsid w:val="577B7F21"/>
    <w:rsid w:val="577F181B"/>
    <w:rsid w:val="57921984"/>
    <w:rsid w:val="579737F0"/>
    <w:rsid w:val="57A746B1"/>
    <w:rsid w:val="57AB7B30"/>
    <w:rsid w:val="57AF5251"/>
    <w:rsid w:val="57B26373"/>
    <w:rsid w:val="57B63F04"/>
    <w:rsid w:val="57CD20C2"/>
    <w:rsid w:val="57D37F96"/>
    <w:rsid w:val="57D675AB"/>
    <w:rsid w:val="57D95FDD"/>
    <w:rsid w:val="57E528E5"/>
    <w:rsid w:val="58917D2F"/>
    <w:rsid w:val="5894085C"/>
    <w:rsid w:val="58AE4F0C"/>
    <w:rsid w:val="58AE7945"/>
    <w:rsid w:val="58B85899"/>
    <w:rsid w:val="58BB3845"/>
    <w:rsid w:val="58E363A9"/>
    <w:rsid w:val="58F76517"/>
    <w:rsid w:val="59113D03"/>
    <w:rsid w:val="592A2449"/>
    <w:rsid w:val="594F01AF"/>
    <w:rsid w:val="595514C8"/>
    <w:rsid w:val="595E1678"/>
    <w:rsid w:val="596622CA"/>
    <w:rsid w:val="596D5BD4"/>
    <w:rsid w:val="59787367"/>
    <w:rsid w:val="597E3DD8"/>
    <w:rsid w:val="598525C9"/>
    <w:rsid w:val="59EE16C8"/>
    <w:rsid w:val="59F80043"/>
    <w:rsid w:val="5A09252F"/>
    <w:rsid w:val="5A0B2778"/>
    <w:rsid w:val="5A2A7C7B"/>
    <w:rsid w:val="5A3E2560"/>
    <w:rsid w:val="5A5D3B6E"/>
    <w:rsid w:val="5A637A76"/>
    <w:rsid w:val="5A676EBE"/>
    <w:rsid w:val="5A6D33BA"/>
    <w:rsid w:val="5A792B1F"/>
    <w:rsid w:val="5A874767"/>
    <w:rsid w:val="5AAD6F28"/>
    <w:rsid w:val="5AD63A24"/>
    <w:rsid w:val="5AF93AB5"/>
    <w:rsid w:val="5B17376F"/>
    <w:rsid w:val="5B2E1A1D"/>
    <w:rsid w:val="5B843A1C"/>
    <w:rsid w:val="5B873E3F"/>
    <w:rsid w:val="5BD53DA5"/>
    <w:rsid w:val="5C02690E"/>
    <w:rsid w:val="5C196DA7"/>
    <w:rsid w:val="5C2859B8"/>
    <w:rsid w:val="5C2A048C"/>
    <w:rsid w:val="5C3E3F26"/>
    <w:rsid w:val="5C4625CD"/>
    <w:rsid w:val="5C514191"/>
    <w:rsid w:val="5C594DF3"/>
    <w:rsid w:val="5C80234E"/>
    <w:rsid w:val="5C883B30"/>
    <w:rsid w:val="5C8A680C"/>
    <w:rsid w:val="5CC20BEA"/>
    <w:rsid w:val="5D0C4701"/>
    <w:rsid w:val="5D0F0395"/>
    <w:rsid w:val="5D221076"/>
    <w:rsid w:val="5D397964"/>
    <w:rsid w:val="5D543F38"/>
    <w:rsid w:val="5D5A391C"/>
    <w:rsid w:val="5D5F10C0"/>
    <w:rsid w:val="5D695CA0"/>
    <w:rsid w:val="5D891B7B"/>
    <w:rsid w:val="5DAD38EE"/>
    <w:rsid w:val="5DFF4884"/>
    <w:rsid w:val="5E006862"/>
    <w:rsid w:val="5E0207B9"/>
    <w:rsid w:val="5E1834A1"/>
    <w:rsid w:val="5E1E4546"/>
    <w:rsid w:val="5E261785"/>
    <w:rsid w:val="5E437E22"/>
    <w:rsid w:val="5E4A7017"/>
    <w:rsid w:val="5E552BBA"/>
    <w:rsid w:val="5E611C10"/>
    <w:rsid w:val="5E9D190F"/>
    <w:rsid w:val="5EE97FD2"/>
    <w:rsid w:val="5EED1A8B"/>
    <w:rsid w:val="5EF102E5"/>
    <w:rsid w:val="5EFC0BE9"/>
    <w:rsid w:val="5EFC7377"/>
    <w:rsid w:val="5F06174D"/>
    <w:rsid w:val="5F20054B"/>
    <w:rsid w:val="5F3A3602"/>
    <w:rsid w:val="5F470721"/>
    <w:rsid w:val="5F6277C6"/>
    <w:rsid w:val="5F6D0B1D"/>
    <w:rsid w:val="5F8D0B82"/>
    <w:rsid w:val="5FB629CF"/>
    <w:rsid w:val="5FCC5339"/>
    <w:rsid w:val="5FD95CFA"/>
    <w:rsid w:val="5FDF21EC"/>
    <w:rsid w:val="5FE34A5B"/>
    <w:rsid w:val="5FFE1E36"/>
    <w:rsid w:val="60192AFA"/>
    <w:rsid w:val="601E0A14"/>
    <w:rsid w:val="60232584"/>
    <w:rsid w:val="604007A4"/>
    <w:rsid w:val="604310ED"/>
    <w:rsid w:val="606C3347"/>
    <w:rsid w:val="60702699"/>
    <w:rsid w:val="607330CE"/>
    <w:rsid w:val="60825176"/>
    <w:rsid w:val="609F2AC4"/>
    <w:rsid w:val="60F4333C"/>
    <w:rsid w:val="60FA2EE8"/>
    <w:rsid w:val="61054A27"/>
    <w:rsid w:val="610A52BC"/>
    <w:rsid w:val="611D2366"/>
    <w:rsid w:val="61421856"/>
    <w:rsid w:val="614D13CA"/>
    <w:rsid w:val="615227C4"/>
    <w:rsid w:val="61654E3F"/>
    <w:rsid w:val="61736957"/>
    <w:rsid w:val="6182292A"/>
    <w:rsid w:val="619F7F92"/>
    <w:rsid w:val="61BC02FE"/>
    <w:rsid w:val="61BF1B9C"/>
    <w:rsid w:val="61DF5D9B"/>
    <w:rsid w:val="61F94C26"/>
    <w:rsid w:val="62000E56"/>
    <w:rsid w:val="62194055"/>
    <w:rsid w:val="624F3E49"/>
    <w:rsid w:val="62632286"/>
    <w:rsid w:val="626C3AD2"/>
    <w:rsid w:val="62744735"/>
    <w:rsid w:val="62885958"/>
    <w:rsid w:val="62A27175"/>
    <w:rsid w:val="62A3501A"/>
    <w:rsid w:val="62F40B65"/>
    <w:rsid w:val="62F45B47"/>
    <w:rsid w:val="62FC2CFE"/>
    <w:rsid w:val="63024505"/>
    <w:rsid w:val="630A1DE2"/>
    <w:rsid w:val="6317701F"/>
    <w:rsid w:val="63526744"/>
    <w:rsid w:val="63583DC3"/>
    <w:rsid w:val="635B1DB5"/>
    <w:rsid w:val="63711FED"/>
    <w:rsid w:val="637C7D45"/>
    <w:rsid w:val="63880DDC"/>
    <w:rsid w:val="63892ADC"/>
    <w:rsid w:val="638D750D"/>
    <w:rsid w:val="63AC6CC0"/>
    <w:rsid w:val="63E076CD"/>
    <w:rsid w:val="64055776"/>
    <w:rsid w:val="64240056"/>
    <w:rsid w:val="643E143A"/>
    <w:rsid w:val="645F28D1"/>
    <w:rsid w:val="647E5D3F"/>
    <w:rsid w:val="6483767E"/>
    <w:rsid w:val="648B6EEF"/>
    <w:rsid w:val="64C158BF"/>
    <w:rsid w:val="64CE2EAA"/>
    <w:rsid w:val="64E078AA"/>
    <w:rsid w:val="653C3090"/>
    <w:rsid w:val="65826562"/>
    <w:rsid w:val="65854376"/>
    <w:rsid w:val="658767BE"/>
    <w:rsid w:val="65892531"/>
    <w:rsid w:val="65944C7D"/>
    <w:rsid w:val="659C46CE"/>
    <w:rsid w:val="65AC6F8A"/>
    <w:rsid w:val="66195831"/>
    <w:rsid w:val="662E75B1"/>
    <w:rsid w:val="66342C2E"/>
    <w:rsid w:val="663E784C"/>
    <w:rsid w:val="665E7BD6"/>
    <w:rsid w:val="668B6A45"/>
    <w:rsid w:val="67114C48"/>
    <w:rsid w:val="672F3F24"/>
    <w:rsid w:val="673E055F"/>
    <w:rsid w:val="67551CE3"/>
    <w:rsid w:val="67A22552"/>
    <w:rsid w:val="67AA28C1"/>
    <w:rsid w:val="67B22DCC"/>
    <w:rsid w:val="67BE71AA"/>
    <w:rsid w:val="67D90273"/>
    <w:rsid w:val="67DE5875"/>
    <w:rsid w:val="67E55852"/>
    <w:rsid w:val="67EB1AB4"/>
    <w:rsid w:val="67FA1285"/>
    <w:rsid w:val="68152516"/>
    <w:rsid w:val="6816363F"/>
    <w:rsid w:val="68177C84"/>
    <w:rsid w:val="68446E18"/>
    <w:rsid w:val="684613FA"/>
    <w:rsid w:val="68551F4F"/>
    <w:rsid w:val="687C10C9"/>
    <w:rsid w:val="68840C16"/>
    <w:rsid w:val="68876EFB"/>
    <w:rsid w:val="68884654"/>
    <w:rsid w:val="689254B2"/>
    <w:rsid w:val="689F444F"/>
    <w:rsid w:val="68AD274F"/>
    <w:rsid w:val="68B73708"/>
    <w:rsid w:val="68B96DBB"/>
    <w:rsid w:val="68CA2805"/>
    <w:rsid w:val="68E937A3"/>
    <w:rsid w:val="693E15D3"/>
    <w:rsid w:val="69627681"/>
    <w:rsid w:val="6977531D"/>
    <w:rsid w:val="69872FA0"/>
    <w:rsid w:val="699120AA"/>
    <w:rsid w:val="6996263B"/>
    <w:rsid w:val="69CC2BFF"/>
    <w:rsid w:val="69D87020"/>
    <w:rsid w:val="69EB1E27"/>
    <w:rsid w:val="69FD55B8"/>
    <w:rsid w:val="6A087180"/>
    <w:rsid w:val="6A0B1C62"/>
    <w:rsid w:val="6A1707C7"/>
    <w:rsid w:val="6A2406C8"/>
    <w:rsid w:val="6A287F49"/>
    <w:rsid w:val="6A3A59A8"/>
    <w:rsid w:val="6A7774B8"/>
    <w:rsid w:val="6A9C6EDD"/>
    <w:rsid w:val="6AC91EBE"/>
    <w:rsid w:val="6AC975E8"/>
    <w:rsid w:val="6ADE0BD1"/>
    <w:rsid w:val="6AE96859"/>
    <w:rsid w:val="6B147746"/>
    <w:rsid w:val="6B24787C"/>
    <w:rsid w:val="6B564DC0"/>
    <w:rsid w:val="6B573233"/>
    <w:rsid w:val="6B590889"/>
    <w:rsid w:val="6B5B6274"/>
    <w:rsid w:val="6B6537B4"/>
    <w:rsid w:val="6B6F4633"/>
    <w:rsid w:val="6B935D53"/>
    <w:rsid w:val="6BC02799"/>
    <w:rsid w:val="6BD2468F"/>
    <w:rsid w:val="6C196F71"/>
    <w:rsid w:val="6C226FCB"/>
    <w:rsid w:val="6C250955"/>
    <w:rsid w:val="6C31226F"/>
    <w:rsid w:val="6C552F0B"/>
    <w:rsid w:val="6C711CE5"/>
    <w:rsid w:val="6C8C67B7"/>
    <w:rsid w:val="6C9D744C"/>
    <w:rsid w:val="6D167928"/>
    <w:rsid w:val="6D24765D"/>
    <w:rsid w:val="6D26299B"/>
    <w:rsid w:val="6D2B2A93"/>
    <w:rsid w:val="6D2B6338"/>
    <w:rsid w:val="6D4772EC"/>
    <w:rsid w:val="6D9078AF"/>
    <w:rsid w:val="6DA71E62"/>
    <w:rsid w:val="6DAA3FEF"/>
    <w:rsid w:val="6DB36A59"/>
    <w:rsid w:val="6DC0172B"/>
    <w:rsid w:val="6DCB690C"/>
    <w:rsid w:val="6DCC692E"/>
    <w:rsid w:val="6DD41A5B"/>
    <w:rsid w:val="6DF43C2E"/>
    <w:rsid w:val="6DF51CA3"/>
    <w:rsid w:val="6E091601"/>
    <w:rsid w:val="6E1114AE"/>
    <w:rsid w:val="6E5F098F"/>
    <w:rsid w:val="6E7475A2"/>
    <w:rsid w:val="6E8335BD"/>
    <w:rsid w:val="6E8E12EF"/>
    <w:rsid w:val="6E972936"/>
    <w:rsid w:val="6ED446C5"/>
    <w:rsid w:val="6EF43874"/>
    <w:rsid w:val="6F2A7D94"/>
    <w:rsid w:val="6F4D700C"/>
    <w:rsid w:val="6F8331F1"/>
    <w:rsid w:val="6FAE1A09"/>
    <w:rsid w:val="6FB16FC8"/>
    <w:rsid w:val="6FBC1352"/>
    <w:rsid w:val="6FD75BF8"/>
    <w:rsid w:val="6FE95DE3"/>
    <w:rsid w:val="700C41FF"/>
    <w:rsid w:val="701E4F19"/>
    <w:rsid w:val="70701516"/>
    <w:rsid w:val="707669D2"/>
    <w:rsid w:val="707723D0"/>
    <w:rsid w:val="707A4D9E"/>
    <w:rsid w:val="70814BED"/>
    <w:rsid w:val="70C9622D"/>
    <w:rsid w:val="70E86ED8"/>
    <w:rsid w:val="70F5661B"/>
    <w:rsid w:val="7104137A"/>
    <w:rsid w:val="710F4925"/>
    <w:rsid w:val="71360107"/>
    <w:rsid w:val="713B688E"/>
    <w:rsid w:val="7146332A"/>
    <w:rsid w:val="71940648"/>
    <w:rsid w:val="71D43752"/>
    <w:rsid w:val="71F1796A"/>
    <w:rsid w:val="71F47640"/>
    <w:rsid w:val="72005FE5"/>
    <w:rsid w:val="72154626"/>
    <w:rsid w:val="72262B5D"/>
    <w:rsid w:val="72283FF7"/>
    <w:rsid w:val="722E7212"/>
    <w:rsid w:val="723A0474"/>
    <w:rsid w:val="723F6274"/>
    <w:rsid w:val="725923E4"/>
    <w:rsid w:val="72864BF7"/>
    <w:rsid w:val="729023FC"/>
    <w:rsid w:val="72BB4FA1"/>
    <w:rsid w:val="73037217"/>
    <w:rsid w:val="73555EBD"/>
    <w:rsid w:val="737234E5"/>
    <w:rsid w:val="739015EB"/>
    <w:rsid w:val="73C0646E"/>
    <w:rsid w:val="742222F5"/>
    <w:rsid w:val="74476126"/>
    <w:rsid w:val="745C61F6"/>
    <w:rsid w:val="74706664"/>
    <w:rsid w:val="74787FD2"/>
    <w:rsid w:val="747F3682"/>
    <w:rsid w:val="749055EC"/>
    <w:rsid w:val="749C4185"/>
    <w:rsid w:val="75067759"/>
    <w:rsid w:val="752E6DCD"/>
    <w:rsid w:val="7551380D"/>
    <w:rsid w:val="75600BE5"/>
    <w:rsid w:val="7564475C"/>
    <w:rsid w:val="757F3103"/>
    <w:rsid w:val="7583797F"/>
    <w:rsid w:val="75A6438A"/>
    <w:rsid w:val="75B618B0"/>
    <w:rsid w:val="75D20F1D"/>
    <w:rsid w:val="75DA2C18"/>
    <w:rsid w:val="75DF0A95"/>
    <w:rsid w:val="75E76BF3"/>
    <w:rsid w:val="75F54412"/>
    <w:rsid w:val="761D08E0"/>
    <w:rsid w:val="765D347C"/>
    <w:rsid w:val="76826699"/>
    <w:rsid w:val="769A7EDF"/>
    <w:rsid w:val="76AF663B"/>
    <w:rsid w:val="76C87133"/>
    <w:rsid w:val="76CD08D5"/>
    <w:rsid w:val="76DB4B92"/>
    <w:rsid w:val="76FE553A"/>
    <w:rsid w:val="77012063"/>
    <w:rsid w:val="77052AA4"/>
    <w:rsid w:val="77136511"/>
    <w:rsid w:val="77340A39"/>
    <w:rsid w:val="77351FD0"/>
    <w:rsid w:val="77472422"/>
    <w:rsid w:val="777F31F2"/>
    <w:rsid w:val="77A45665"/>
    <w:rsid w:val="77AB1CE2"/>
    <w:rsid w:val="77B21B30"/>
    <w:rsid w:val="77B77FF7"/>
    <w:rsid w:val="77D1700D"/>
    <w:rsid w:val="77EC04CC"/>
    <w:rsid w:val="77EE267B"/>
    <w:rsid w:val="78244C21"/>
    <w:rsid w:val="78775729"/>
    <w:rsid w:val="78932437"/>
    <w:rsid w:val="78A42DB0"/>
    <w:rsid w:val="78A656AB"/>
    <w:rsid w:val="78B2245C"/>
    <w:rsid w:val="78CA10FB"/>
    <w:rsid w:val="78E172CC"/>
    <w:rsid w:val="78EA1D1F"/>
    <w:rsid w:val="79003D56"/>
    <w:rsid w:val="7904172F"/>
    <w:rsid w:val="790F7E27"/>
    <w:rsid w:val="79215134"/>
    <w:rsid w:val="792A231A"/>
    <w:rsid w:val="79314CD6"/>
    <w:rsid w:val="79316829"/>
    <w:rsid w:val="797E66A9"/>
    <w:rsid w:val="797E6E81"/>
    <w:rsid w:val="79A97383"/>
    <w:rsid w:val="79AF26F8"/>
    <w:rsid w:val="79E27E8B"/>
    <w:rsid w:val="79E65AC0"/>
    <w:rsid w:val="79F77CCE"/>
    <w:rsid w:val="79F850CE"/>
    <w:rsid w:val="79FD443C"/>
    <w:rsid w:val="7A06112E"/>
    <w:rsid w:val="7A1D1975"/>
    <w:rsid w:val="7A3E5150"/>
    <w:rsid w:val="7A4670D6"/>
    <w:rsid w:val="7A534B63"/>
    <w:rsid w:val="7A615382"/>
    <w:rsid w:val="7A6578C5"/>
    <w:rsid w:val="7A67303B"/>
    <w:rsid w:val="7AAB1D04"/>
    <w:rsid w:val="7AB771C5"/>
    <w:rsid w:val="7AB93293"/>
    <w:rsid w:val="7ABA4368"/>
    <w:rsid w:val="7ABF2AA6"/>
    <w:rsid w:val="7AD05746"/>
    <w:rsid w:val="7B230961"/>
    <w:rsid w:val="7B257FFD"/>
    <w:rsid w:val="7B315461"/>
    <w:rsid w:val="7B343476"/>
    <w:rsid w:val="7B546DA3"/>
    <w:rsid w:val="7B5A2978"/>
    <w:rsid w:val="7B5A7E4C"/>
    <w:rsid w:val="7B615D46"/>
    <w:rsid w:val="7B667AF9"/>
    <w:rsid w:val="7B7468F8"/>
    <w:rsid w:val="7BDC717B"/>
    <w:rsid w:val="7BEE0103"/>
    <w:rsid w:val="7C0A0FE4"/>
    <w:rsid w:val="7C254906"/>
    <w:rsid w:val="7C590818"/>
    <w:rsid w:val="7C7C10F6"/>
    <w:rsid w:val="7C8414A6"/>
    <w:rsid w:val="7C853BEA"/>
    <w:rsid w:val="7C881368"/>
    <w:rsid w:val="7C887C8C"/>
    <w:rsid w:val="7CC006A1"/>
    <w:rsid w:val="7CC3095C"/>
    <w:rsid w:val="7CE27788"/>
    <w:rsid w:val="7D0708B7"/>
    <w:rsid w:val="7D0C32F1"/>
    <w:rsid w:val="7D0F408D"/>
    <w:rsid w:val="7D1E3EA3"/>
    <w:rsid w:val="7D444E7E"/>
    <w:rsid w:val="7D4551F4"/>
    <w:rsid w:val="7D491C6C"/>
    <w:rsid w:val="7D5429C0"/>
    <w:rsid w:val="7D69505D"/>
    <w:rsid w:val="7D6E6D43"/>
    <w:rsid w:val="7D8C6BBD"/>
    <w:rsid w:val="7D913F95"/>
    <w:rsid w:val="7D9D6DDE"/>
    <w:rsid w:val="7DB57A34"/>
    <w:rsid w:val="7DBF6D54"/>
    <w:rsid w:val="7DE60973"/>
    <w:rsid w:val="7DEF0916"/>
    <w:rsid w:val="7DF2712A"/>
    <w:rsid w:val="7DFB04BA"/>
    <w:rsid w:val="7E1E5218"/>
    <w:rsid w:val="7E272129"/>
    <w:rsid w:val="7E3E3D51"/>
    <w:rsid w:val="7E5356EF"/>
    <w:rsid w:val="7E9A4E1F"/>
    <w:rsid w:val="7EA7723A"/>
    <w:rsid w:val="7ED01F3F"/>
    <w:rsid w:val="7EF56FBB"/>
    <w:rsid w:val="7F0768EB"/>
    <w:rsid w:val="7F143BEC"/>
    <w:rsid w:val="7F715AF2"/>
    <w:rsid w:val="7F886E69"/>
    <w:rsid w:val="7FB3342B"/>
    <w:rsid w:val="7FBB0433"/>
    <w:rsid w:val="BB7FA927"/>
    <w:rsid w:val="EFFF8914"/>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3"/>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9"/>
    <w:qFormat/>
    <w:uiPriority w:val="0"/>
    <w:pPr>
      <w:ind w:left="100" w:leftChars="2500"/>
    </w:pPr>
    <w:rPr>
      <w:rFonts w:ascii="宋体"/>
      <w:sz w:val="24"/>
      <w:szCs w:val="21"/>
      <w:lang w:val="zh-CN"/>
    </w:r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next w:val="50"/>
    <w:link w:val="319"/>
    <w:qFormat/>
    <w:uiPriority w:val="0"/>
    <w:pPr>
      <w:ind w:firstLine="420"/>
    </w:pPr>
    <w:rPr>
      <w:rFonts w:hAnsi="Calibri" w:cs="Times New Roman"/>
      <w:snapToGrid/>
      <w:szCs w:val="20"/>
    </w:rPr>
  </w:style>
  <w:style w:type="paragraph" w:styleId="61">
    <w:name w:val="Body Text First Indent 2"/>
    <w:basedOn w:val="24"/>
    <w:link w:val="119"/>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首行缩进"/>
    <w:basedOn w:val="1"/>
    <w:qFormat/>
    <w:uiPriority w:val="0"/>
    <w:pPr>
      <w:spacing w:line="360" w:lineRule="auto"/>
      <w:ind w:firstLine="480" w:firstLineChars="200"/>
    </w:pPr>
    <w:rPr>
      <w:rFonts w:ascii="宋体"/>
      <w:sz w:val="24"/>
      <w:szCs w:val="20"/>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5"/>
    <w:qFormat/>
    <w:uiPriority w:val="0"/>
    <w:rPr>
      <w:rFonts w:ascii="宋体"/>
      <w:kern w:val="2"/>
      <w:sz w:val="24"/>
      <w:szCs w:val="21"/>
      <w:lang w:val="zh-CN"/>
    </w:rPr>
  </w:style>
  <w:style w:type="character" w:customStyle="1" w:styleId="180">
    <w:name w:val="标题 9 Char"/>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6"/>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55"/>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8"/>
    <w:qFormat/>
    <w:uiPriority w:val="0"/>
    <w:rPr>
      <w:b/>
      <w:bCs/>
      <w:kern w:val="2"/>
      <w:sz w:val="24"/>
      <w:szCs w:val="24"/>
    </w:rPr>
  </w:style>
  <w:style w:type="character" w:customStyle="1" w:styleId="306">
    <w:name w:val="正文文本缩进 2 Char"/>
    <w:link w:val="36"/>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49"/>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5"/>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1"/>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8"/>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正文（缩进）"/>
    <w:basedOn w:val="1"/>
    <w:qFormat/>
    <w:uiPriority w:val="0"/>
    <w:pPr>
      <w:spacing w:before="156" w:after="156"/>
      <w:ind w:firstLine="480"/>
    </w:pPr>
    <w:rPr>
      <w:rFonts w:ascii="Times New Roman" w:hAnsi="Times New Roman" w:cs="Times New Roman"/>
    </w:rPr>
  </w:style>
  <w:style w:type="character" w:customStyle="1" w:styleId="962">
    <w:name w:val="NormalCharacter"/>
    <w:link w:val="963"/>
    <w:qFormat/>
    <w:uiPriority w:val="0"/>
    <w:rPr>
      <w:rFonts w:ascii="Calibri"/>
      <w:szCs w:val="22"/>
    </w:rPr>
  </w:style>
  <w:style w:type="paragraph" w:customStyle="1" w:styleId="963">
    <w:name w:val="UserStyle_127"/>
    <w:basedOn w:val="1"/>
    <w:link w:val="962"/>
    <w:qFormat/>
    <w:uiPriority w:val="0"/>
    <w:pPr>
      <w:spacing w:after="160" w:line="240" w:lineRule="exact"/>
      <w:jc w:val="left"/>
    </w:pPr>
    <w:rPr>
      <w:rFonts w:asci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png"/><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91</Pages>
  <Words>42420</Words>
  <Characters>44760</Characters>
  <Lines>287</Lines>
  <Paragraphs>81</Paragraphs>
  <TotalTime>7</TotalTime>
  <ScaleCrop>false</ScaleCrop>
  <LinksUpToDate>false</LinksUpToDate>
  <CharactersWithSpaces>50085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伍伍</cp:lastModifiedBy>
  <cp:lastPrinted>2021-12-27T11:06:00Z</cp:lastPrinted>
  <dcterms:modified xsi:type="dcterms:W3CDTF">2023-01-20T08:13:02Z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