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杭州市钱塘区星河幼儿园有机更新整修工程</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w:t>
      </w:r>
      <w:r>
        <w:rPr>
          <w:rFonts w:hint="eastAsia" w:ascii="仿宋" w:hAnsi="仿宋" w:eastAsia="仿宋" w:cs="仿宋"/>
          <w:color w:val="auto"/>
          <w:sz w:val="48"/>
          <w:szCs w:val="48"/>
          <w:highlight w:val="none"/>
        </w:rPr>
        <w:t>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编号: </w:t>
      </w:r>
      <w:r>
        <w:rPr>
          <w:rFonts w:hint="eastAsia" w:ascii="仿宋" w:hAnsi="仿宋" w:eastAsia="仿宋" w:cs="仿宋"/>
          <w:color w:val="auto"/>
          <w:sz w:val="30"/>
          <w:szCs w:val="30"/>
          <w:highlight w:val="none"/>
          <w:lang w:eastAsia="zh-CN"/>
        </w:rPr>
        <w:t>QTCG-CS-2022-017</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p>
    <w:p>
      <w:pPr>
        <w:pStyle w:val="2"/>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4"/>
          <w:szCs w:val="44"/>
          <w:highlight w:val="none"/>
          <w:lang w:eastAsia="zh-CN"/>
        </w:rPr>
      </w:pPr>
    </w:p>
    <w:p>
      <w:pPr>
        <w:pStyle w:val="2"/>
        <w:rPr>
          <w:rFonts w:hint="eastAsia" w:ascii="仿宋" w:hAnsi="仿宋" w:eastAsia="仿宋" w:cs="仿宋"/>
          <w:color w:val="auto"/>
          <w:highlight w:val="none"/>
          <w:lang w:eastAsia="zh-CN"/>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杭州市钱塘区星河幼儿园</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浙江省房地产管理咨询有限公司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二〇二二年</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rPr>
        <w:t>月二十</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1280" w:firstLineChars="400"/>
        <w:rPr>
          <w:rFonts w:hint="eastAsia" w:ascii="仿宋" w:hAnsi="仿宋" w:eastAsia="仿宋" w:cs="仿宋"/>
          <w:color w:val="auto"/>
          <w:sz w:val="32"/>
          <w:szCs w:val="32"/>
          <w:highlight w:val="none"/>
        </w:rPr>
      </w:pP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bookmarkStart w:id="1206" w:name="_GoBack"/>
      <w:bookmarkEnd w:id="1206"/>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杭州市钱塘区星河幼儿园有机更新整修工程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QTCG-CS-2022-017</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杭州市钱塘区星河幼儿园有机更新整修工程</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1200000</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1200000</w:t>
      </w:r>
    </w:p>
    <w:p>
      <w:pPr>
        <w:pStyle w:val="5"/>
        <w:spacing w:line="360" w:lineRule="auto"/>
        <w:ind w:firstLine="482" w:firstLineChars="20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杭州市钱塘区星河幼儿园有机更新整修工程</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杭州市钱塘区星河幼儿园有机更新整修工程</w:t>
      </w:r>
      <w:r>
        <w:rPr>
          <w:rFonts w:hint="eastAsia" w:ascii="仿宋" w:hAnsi="仿宋" w:eastAsia="仿宋" w:cs="仿宋"/>
          <w:bCs/>
          <w:snapToGrid/>
          <w:color w:val="auto"/>
          <w:kern w:val="2"/>
          <w:sz w:val="24"/>
          <w:szCs w:val="24"/>
          <w:highlight w:val="none"/>
        </w:rPr>
        <w:t>的竞争性磋商文件、工程量清单及施工图范围内的所有内容。详见采购文件第三部分采购需求。</w:t>
      </w:r>
    </w:p>
    <w:p>
      <w:pPr>
        <w:pStyle w:val="130"/>
        <w:snapToGrid w:val="0"/>
        <w:spacing w:before="0"/>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0日历天</w:t>
      </w:r>
    </w:p>
    <w:p>
      <w:pPr>
        <w:pStyle w:val="5"/>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8771690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pStyle w:val="130"/>
        <w:snapToGrid w:val="0"/>
        <w:spacing w:before="0"/>
        <w:ind w:firstLine="482"/>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w:t>
      </w:r>
      <w:r>
        <w:rPr>
          <w:rFonts w:hint="eastAsia" w:ascii="仿宋" w:hAnsi="仿宋" w:eastAsia="仿宋" w:cs="仿宋"/>
          <w:snapToGrid w:val="0"/>
          <w:color w:val="auto"/>
          <w:kern w:val="28"/>
          <w:sz w:val="24"/>
          <w:szCs w:val="20"/>
          <w:highlight w:val="none"/>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工程全部由符合政策要求的中小企业承建，提供中小企业声明函；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工程全部由符合政策要求的小微企业承建，提供中小企业声明函；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pacing w:val="8"/>
          <w:kern w:val="0"/>
          <w:sz w:val="24"/>
          <w:highlight w:val="none"/>
        </w:rPr>
        <w:t>（1）、专业承包企业建筑装修装饰工程(新)二级及以上资质，并具有安全生产许可证的独立法人；（2）、项目负责人为建筑工程专业贰级及以上注册建造师，同时具有“三类人员”B类证书。（3）、具有有效的企业《营业执照》、企业《资质证书》、企业《安全生产许可证》。（4）、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点30分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点30分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w:t>
      </w:r>
      <w:r>
        <w:rPr>
          <w:rFonts w:hint="eastAsia" w:ascii="仿宋" w:hAnsi="仿宋" w:eastAsia="仿宋" w:cs="仿宋"/>
          <w:color w:val="auto"/>
          <w:sz w:val="24"/>
          <w:highlight w:val="none"/>
        </w:rPr>
        <w:t>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杭州市钱塘区星河幼儿园</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杭州市钱塘区学源街1336号</w:t>
      </w:r>
      <w:r>
        <w:rPr>
          <w:rFonts w:hint="eastAsia" w:ascii="仿宋" w:hAnsi="仿宋" w:eastAsia="仿宋" w:cs="仿宋"/>
          <w:color w:val="auto"/>
          <w:sz w:val="24"/>
          <w:highlight w:val="none"/>
          <w:lang w:val="en-US" w:eastAsia="zh-CN"/>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w:t>
      </w:r>
      <w:r>
        <w:rPr>
          <w:rFonts w:hint="eastAsia" w:ascii="仿宋" w:hAnsi="仿宋" w:eastAsia="仿宋" w:cs="仿宋"/>
          <w:color w:val="auto"/>
          <w:sz w:val="24"/>
          <w:highlight w:val="none"/>
        </w:rPr>
        <w:t xml:space="preserve">    真：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朱丽斌</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rPr>
        <w:t>15857121712</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杨薇薇</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 xml:space="preserve"> 13588262553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浙江省房地产管理咨询有限公司</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地址：杭州市拱墅区绍兴路538号三立时代广场A座1206室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伍红仙</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13357106093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刘宝林</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0571-88023816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rPr>
        <w:t xml:space="preserve">杭州市钱塘区财政局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rPr>
        <w:t>杭州市钱塘区青六北路499号钱塘中心5号楼</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真：0571-82988295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：任女士</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监督投诉电话：0571-82987260</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rPr>
        <w:t>https://www.zcygov.cn/），点击右侧咨询小采，获取采小蜜智能服务管家帮助，或拨打政</w:t>
      </w:r>
      <w:r>
        <w:rPr>
          <w:rFonts w:hint="eastAsia" w:ascii="仿宋" w:hAnsi="仿宋" w:eastAsia="仿宋" w:cs="仿宋"/>
          <w:color w:val="auto"/>
          <w:sz w:val="24"/>
          <w:highlight w:val="none"/>
        </w:rPr>
        <w:t>采云服务热线</w:t>
      </w:r>
      <w:r>
        <w:rPr>
          <w:rFonts w:hint="eastAsia" w:ascii="仿宋" w:hAnsi="仿宋" w:eastAsia="仿宋" w:cs="仿宋"/>
          <w:color w:val="auto"/>
          <w:sz w:val="24"/>
          <w:highlight w:val="none"/>
        </w:rPr>
        <w:t>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w:t>
      </w:r>
      <w:r>
        <w:rPr>
          <w:rFonts w:hint="eastAsia" w:ascii="仿宋" w:hAnsi="仿宋" w:eastAsia="仿宋" w:cs="仿宋"/>
          <w:color w:val="auto"/>
          <w:sz w:val="24"/>
          <w:highlight w:val="none"/>
        </w:rPr>
        <w:t>汇信</w:t>
      </w:r>
      <w:r>
        <w:rPr>
          <w:rFonts w:hint="eastAsia" w:ascii="仿宋" w:hAnsi="仿宋" w:eastAsia="仿宋" w:cs="仿宋"/>
          <w:color w:val="auto"/>
          <w:sz w:val="24"/>
          <w:highlight w:val="none"/>
        </w:rPr>
        <w:t>CA 400-888-4636；天谷CA 400-087-8198。</w:t>
      </w:r>
    </w:p>
    <w:p>
      <w:pPr>
        <w:pStyle w:val="33"/>
        <w:spacing w:line="360" w:lineRule="auto"/>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8"/>
      <w:r>
        <w:rPr>
          <w:rFonts w:hint="eastAsia" w:ascii="仿宋" w:hAnsi="仿宋" w:eastAsia="仿宋" w:cs="仿宋"/>
          <w:b/>
          <w:snapToGrid/>
          <w:color w:val="auto"/>
          <w:sz w:val="36"/>
          <w:szCs w:val="20"/>
          <w:highlight w:val="none"/>
        </w:rPr>
        <w:t xml:space="preserve"> 供应商须知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7"/>
        <w:gridCol w:w="2107"/>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558"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558"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558" w:type="pct"/>
            <w:vAlign w:val="center"/>
          </w:tcPr>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color w:val="auto"/>
                <w:sz w:val="24"/>
                <w:highlight w:val="none"/>
                <w:u w:val="single"/>
                <w:lang w:eastAsia="zh-CN"/>
              </w:rPr>
              <w:t>星河幼儿园有机更新整修工程</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建筑业</w:t>
            </w:r>
            <w:r>
              <w:rPr>
                <w:rFonts w:hint="eastAsia" w:ascii="仿宋" w:hAnsi="仿宋" w:eastAsia="仿宋" w:cs="仿宋"/>
                <w:color w:val="auto"/>
                <w:kern w:val="0"/>
                <w:sz w:val="24"/>
                <w:highlight w:val="none"/>
              </w:rPr>
              <w:t>行业；</w:t>
            </w:r>
          </w:p>
          <w:p>
            <w:pPr>
              <w:pStyle w:val="2"/>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558" w:type="pct"/>
            <w:vAlign w:val="center"/>
          </w:tcPr>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8406485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4523870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558" w:type="pct"/>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84523870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138807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3558" w:type="pct"/>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558" w:type="pct"/>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075" w:type="pct"/>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558" w:type="pct"/>
            <w:vAlign w:val="center"/>
          </w:tcPr>
          <w:p>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restar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075" w:type="pct"/>
            <w:vMerge w:val="restar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558"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continue"/>
            <w:vAlign w:val="center"/>
          </w:tcPr>
          <w:p>
            <w:pPr>
              <w:snapToGrid w:val="0"/>
              <w:spacing w:line="360" w:lineRule="auto"/>
              <w:jc w:val="center"/>
              <w:rPr>
                <w:rFonts w:hint="eastAsia" w:ascii="仿宋" w:hAnsi="仿宋" w:eastAsia="仿宋" w:cs="仿宋"/>
                <w:color w:val="auto"/>
                <w:sz w:val="24"/>
                <w:highlight w:val="none"/>
              </w:rPr>
            </w:pPr>
          </w:p>
        </w:tc>
        <w:tc>
          <w:tcPr>
            <w:tcW w:w="1075" w:type="pct"/>
            <w:vMerge w:val="continue"/>
            <w:vAlign w:val="center"/>
          </w:tcPr>
          <w:p>
            <w:pPr>
              <w:snapToGrid w:val="0"/>
              <w:spacing w:line="360" w:lineRule="auto"/>
              <w:jc w:val="center"/>
              <w:rPr>
                <w:rFonts w:hint="eastAsia" w:ascii="仿宋" w:hAnsi="仿宋" w:eastAsia="仿宋" w:cs="仿宋"/>
                <w:b/>
                <w:color w:val="auto"/>
                <w:sz w:val="24"/>
                <w:highlight w:val="none"/>
              </w:rPr>
            </w:pPr>
          </w:p>
        </w:tc>
        <w:tc>
          <w:tcPr>
            <w:tcW w:w="3558" w:type="pct"/>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558" w:type="pct"/>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558" w:type="pct"/>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restar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75" w:type="pct"/>
            <w:vMerge w:val="restar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558" w:type="pct"/>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Merge w:val="continue"/>
            <w:vAlign w:val="center"/>
          </w:tcPr>
          <w:p>
            <w:pPr>
              <w:spacing w:line="360" w:lineRule="auto"/>
              <w:ind w:firstLine="420" w:firstLineChars="200"/>
              <w:jc w:val="center"/>
              <w:rPr>
                <w:rFonts w:hint="eastAsia" w:ascii="仿宋" w:hAnsi="仿宋" w:eastAsia="仿宋" w:cs="仿宋"/>
                <w:color w:val="auto"/>
                <w:highlight w:val="none"/>
              </w:rPr>
            </w:pPr>
          </w:p>
        </w:tc>
        <w:tc>
          <w:tcPr>
            <w:tcW w:w="1075" w:type="pct"/>
            <w:vMerge w:val="continue"/>
            <w:vAlign w:val="center"/>
          </w:tcPr>
          <w:p>
            <w:pPr>
              <w:snapToGrid w:val="0"/>
              <w:spacing w:line="360" w:lineRule="auto"/>
              <w:jc w:val="center"/>
              <w:rPr>
                <w:rFonts w:hint="eastAsia" w:ascii="仿宋" w:hAnsi="仿宋" w:eastAsia="仿宋" w:cs="仿宋"/>
                <w:color w:val="auto"/>
                <w:highlight w:val="none"/>
              </w:rPr>
            </w:pPr>
          </w:p>
        </w:tc>
        <w:tc>
          <w:tcPr>
            <w:tcW w:w="3558" w:type="pct"/>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558" w:type="pct"/>
            <w:vAlign w:val="center"/>
          </w:tcPr>
          <w:p>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u w:val="single"/>
                <w:lang w:val="en-US" w:eastAsia="zh-CN"/>
              </w:rPr>
              <w:t xml:space="preserve"> 杭州市拱墅区绍兴路538号三立时代广场1206室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伍红仙13357106093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磋商费用</w:t>
            </w:r>
          </w:p>
        </w:tc>
        <w:tc>
          <w:tcPr>
            <w:tcW w:w="3558" w:type="pct"/>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1.不论磋商结果如何，</w:t>
            </w:r>
            <w:r>
              <w:rPr>
                <w:rFonts w:hint="eastAsia" w:ascii="仿宋" w:hAnsi="仿宋" w:eastAsia="仿宋" w:cs="仿宋"/>
                <w:snapToGrid w:val="0"/>
                <w:color w:val="auto"/>
                <w:kern w:val="28"/>
                <w:sz w:val="24"/>
                <w:highlight w:val="none"/>
                <w:lang w:eastAsia="zh-CN"/>
              </w:rPr>
              <w:t>投标人</w:t>
            </w:r>
            <w:r>
              <w:rPr>
                <w:rFonts w:hint="eastAsia" w:ascii="仿宋" w:hAnsi="仿宋" w:eastAsia="仿宋" w:cs="仿宋"/>
                <w:snapToGrid w:val="0"/>
                <w:color w:val="auto"/>
                <w:kern w:val="28"/>
                <w:sz w:val="24"/>
                <w:highlight w:val="none"/>
              </w:rPr>
              <w:t>均应自行承担所有与磋商有关的全部费用；</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中标人</w:t>
            </w:r>
            <w:r>
              <w:rPr>
                <w:rFonts w:hint="eastAsia" w:ascii="仿宋" w:hAnsi="仿宋" w:eastAsia="仿宋" w:cs="仿宋"/>
                <w:snapToGrid w:val="0"/>
                <w:color w:val="auto"/>
                <w:kern w:val="28"/>
                <w:sz w:val="24"/>
                <w:highlight w:val="none"/>
              </w:rPr>
              <w:t>在成交通知书发出之日起七个工作日内，向采购代理机构交纳代理服务费；</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中标人</w:t>
            </w:r>
            <w:r>
              <w:rPr>
                <w:rFonts w:hint="eastAsia" w:ascii="仿宋" w:hAnsi="仿宋" w:eastAsia="仿宋" w:cs="仿宋"/>
                <w:snapToGrid w:val="0"/>
                <w:color w:val="auto"/>
                <w:kern w:val="28"/>
                <w:sz w:val="24"/>
                <w:highlight w:val="none"/>
              </w:rPr>
              <w:t>逾期支付代理服务费，须承担代理服务费每日百分之三的违约金，逾期十日未支付的，采购代理机构有权向杭州仲裁委员会对</w:t>
            </w:r>
            <w:r>
              <w:rPr>
                <w:rFonts w:hint="eastAsia" w:ascii="仿宋" w:hAnsi="仿宋" w:eastAsia="仿宋" w:cs="仿宋"/>
                <w:snapToGrid w:val="0"/>
                <w:color w:val="auto"/>
                <w:kern w:val="28"/>
                <w:sz w:val="24"/>
                <w:highlight w:val="none"/>
                <w:lang w:eastAsia="zh-CN"/>
              </w:rPr>
              <w:t>中标人</w:t>
            </w:r>
            <w:r>
              <w:rPr>
                <w:rFonts w:hint="eastAsia" w:ascii="仿宋" w:hAnsi="仿宋" w:eastAsia="仿宋" w:cs="仿宋"/>
                <w:snapToGrid w:val="0"/>
                <w:color w:val="auto"/>
                <w:kern w:val="28"/>
                <w:sz w:val="24"/>
                <w:highlight w:val="none"/>
              </w:rPr>
              <w:t>提起仲裁，仲裁费用（包括仲裁受理费和仲裁处理费）均由</w:t>
            </w:r>
            <w:r>
              <w:rPr>
                <w:rFonts w:hint="eastAsia" w:ascii="仿宋" w:hAnsi="仿宋" w:eastAsia="仿宋" w:cs="仿宋"/>
                <w:snapToGrid w:val="0"/>
                <w:color w:val="auto"/>
                <w:kern w:val="28"/>
                <w:sz w:val="24"/>
                <w:highlight w:val="none"/>
                <w:lang w:eastAsia="zh-CN"/>
              </w:rPr>
              <w:t>中标人</w:t>
            </w:r>
            <w:r>
              <w:rPr>
                <w:rFonts w:hint="eastAsia" w:ascii="仿宋" w:hAnsi="仿宋" w:eastAsia="仿宋" w:cs="仿宋"/>
                <w:snapToGrid w:val="0"/>
                <w:color w:val="auto"/>
                <w:kern w:val="28"/>
                <w:sz w:val="24"/>
                <w:highlight w:val="none"/>
              </w:rPr>
              <w:t>承担。</w:t>
            </w:r>
          </w:p>
          <w:p>
            <w:pPr>
              <w:spacing w:line="360" w:lineRule="auto"/>
              <w:rPr>
                <w:rFonts w:hint="eastAsia" w:ascii="仿宋" w:hAnsi="仿宋" w:eastAsia="仿宋" w:cs="仿宋"/>
                <w:color w:val="auto"/>
                <w:kern w:val="28"/>
                <w:sz w:val="24"/>
                <w:szCs w:val="24"/>
                <w:highlight w:val="none"/>
              </w:rPr>
            </w:pPr>
            <w:r>
              <w:rPr>
                <w:rFonts w:hint="eastAsia" w:ascii="仿宋" w:hAnsi="仿宋" w:eastAsia="仿宋" w:cs="仿宋"/>
                <w:snapToGrid w:val="0"/>
                <w:color w:val="auto"/>
                <w:kern w:val="28"/>
                <w:sz w:val="24"/>
                <w:highlight w:val="none"/>
              </w:rPr>
              <w:t>4.代理服务费</w:t>
            </w:r>
            <w:r>
              <w:rPr>
                <w:rFonts w:hint="eastAsia" w:ascii="仿宋" w:hAnsi="仿宋" w:eastAsia="仿宋" w:cs="仿宋"/>
                <w:snapToGrid w:val="0"/>
                <w:color w:val="auto"/>
                <w:kern w:val="28"/>
                <w:sz w:val="24"/>
                <w:highlight w:val="none"/>
                <w:lang w:val="en-US" w:eastAsia="zh-CN"/>
              </w:rPr>
              <w:t>：依据2002【1980】</w:t>
            </w:r>
            <w:r>
              <w:rPr>
                <w:rFonts w:hint="eastAsia" w:ascii="仿宋" w:hAnsi="仿宋" w:eastAsia="仿宋" w:cs="仿宋"/>
                <w:snapToGrid w:val="0"/>
                <w:color w:val="auto"/>
                <w:kern w:val="28"/>
                <w:sz w:val="24"/>
                <w:highlight w:val="none"/>
                <w:lang w:val="en-US" w:eastAsia="zh-CN"/>
              </w:rPr>
              <w:t>号文和浙价服【2009】84号文。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66" w:type="pct"/>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075" w:type="pc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3558" w:type="pct"/>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bl>
    <w:p>
      <w:pPr>
        <w:snapToGrid w:val="0"/>
        <w:spacing w:line="360" w:lineRule="auto"/>
        <w:jc w:val="center"/>
        <w:rPr>
          <w:rFonts w:hint="eastAsia" w:ascii="仿宋" w:hAnsi="仿宋" w:eastAsia="仿宋" w:cs="仿宋"/>
          <w:b/>
          <w:color w:val="auto"/>
          <w:sz w:val="32"/>
          <w:szCs w:val="20"/>
          <w:highlight w:val="none"/>
        </w:rPr>
      </w:pPr>
    </w:p>
    <w:bookmarkEnd w:id="10"/>
    <w:p>
      <w:pPr>
        <w:snapToGrid w:val="0"/>
        <w:spacing w:line="360" w:lineRule="auto"/>
        <w:jc w:val="center"/>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5"/>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rPr>
        <w:t>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平等对待内外资企业和符合条件的破产重整企业：</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pPr>
        <w:pStyle w:val="33"/>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4.2.2.2对采购过程提出质疑的，质疑期限为各采购程序环节结束之日起计算。4.2.2.3对采购结果提出质疑的，质疑期限自采购结果公告期限届满之日起计算。</w:t>
      </w:r>
    </w:p>
    <w:p>
      <w:pPr>
        <w:pStyle w:val="33"/>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33"/>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pPr>
        <w:pStyle w:val="888"/>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仿宋" w:hAnsi="仿宋" w:eastAsia="仿宋" w:cs="仿宋"/>
          <w:color w:val="auto"/>
          <w:sz w:val="18"/>
          <w:szCs w:val="18"/>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3"/>
        <w:rPr>
          <w:rFonts w:hint="eastAsia" w:ascii="仿宋" w:hAnsi="仿宋" w:eastAsia="仿宋" w:cs="仿宋"/>
          <w:color w:val="auto"/>
          <w:sz w:val="18"/>
          <w:szCs w:val="18"/>
          <w:highlight w:val="none"/>
          <w:lang w:val="en-US"/>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t>1.1.2</w:t>
      </w:r>
      <w:bookmarkStart w:id="16" w:name="_Hlk101259339"/>
      <w:r>
        <w:rPr>
          <w:rFonts w:hint="eastAsia" w:ascii="仿宋" w:hAnsi="仿宋" w:eastAsia="仿宋" w:cs="仿宋"/>
          <w:snapToGrid w:val="0"/>
          <w:color w:val="auto"/>
          <w:kern w:val="28"/>
          <w:sz w:val="24"/>
          <w:szCs w:val="20"/>
          <w:highlight w:val="none"/>
        </w:rPr>
        <w:t>联合协议</w:t>
      </w:r>
      <w:bookmarkStart w:id="17" w:name="_Hlk101257010"/>
      <w:r>
        <w:rPr>
          <w:rFonts w:hint="eastAsia" w:ascii="仿宋" w:hAnsi="仿宋" w:eastAsia="仿宋" w:cs="仿宋"/>
          <w:snapToGrid w:val="0"/>
          <w:color w:val="auto"/>
          <w:kern w:val="28"/>
          <w:sz w:val="24"/>
          <w:szCs w:val="20"/>
          <w:highlight w:val="none"/>
        </w:rPr>
        <w:t>（如果有)</w:t>
      </w:r>
      <w:bookmarkEnd w:id="16"/>
      <w:bookmarkEnd w:id="17"/>
      <w:r>
        <w:rPr>
          <w:rFonts w:hint="eastAsia" w:ascii="仿宋" w:hAnsi="仿宋" w:eastAsia="仿宋" w:cs="仿宋"/>
          <w:snapToGrid w:val="0"/>
          <w:color w:val="auto"/>
          <w:kern w:val="28"/>
          <w:sz w:val="24"/>
          <w:szCs w:val="20"/>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11.3.2已标价工程量清单；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3"/>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pPr>
        <w:pStyle w:val="33"/>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0"/>
        <w:spacing w:before="0"/>
        <w:ind w:firstLine="643"/>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pPr>
        <w:pStyle w:val="55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pPr>
        <w:pStyle w:val="556"/>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19.1响应文件开启后，采购人或采购机构将依法对供应商的资格进行审查。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采购人或采购机构依据法律法规和采购文件的规定，对供应商的资格进行审查。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pPr>
        <w:pStyle w:val="24"/>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w:t>
      </w:r>
      <w:r>
        <w:rPr>
          <w:rFonts w:hint="eastAsia" w:ascii="仿宋" w:hAnsi="仿宋" w:eastAsia="仿宋" w:cs="仿宋"/>
          <w:color w:val="auto"/>
          <w:kern w:val="0"/>
          <w:sz w:val="24"/>
          <w:highlight w:val="none"/>
          <w:lang w:val="en-US" w:eastAsia="zh-CN"/>
        </w:rPr>
        <w:t>起</w:t>
      </w:r>
      <w:r>
        <w:rPr>
          <w:rFonts w:hint="eastAsia" w:ascii="仿宋" w:hAnsi="仿宋" w:eastAsia="仿宋" w:cs="仿宋"/>
          <w:color w:val="auto"/>
          <w:kern w:val="0"/>
          <w:sz w:val="24"/>
          <w:highlight w:val="none"/>
          <w:lang w:val="en-US" w:eastAsia="zh-CN"/>
        </w:rPr>
        <w:t>十个工作日内</w:t>
      </w:r>
      <w:r>
        <w:rPr>
          <w:rFonts w:hint="eastAsia" w:ascii="仿宋" w:hAnsi="仿宋" w:eastAsia="仿宋" w:cs="仿宋"/>
          <w:color w:val="auto"/>
          <w:kern w:val="0"/>
          <w:sz w:val="24"/>
          <w:highlight w:val="none"/>
        </w:rPr>
        <w:t>，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pPr>
        <w:pStyle w:val="24"/>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。履约保证金的数额不得超过政府采购合同金额的2.5%。鼓励和支持供应商以银行、保险公司出具的保函形式提供履约保证金。采购人不得拒收履约保函，项目验收结束后应及时退还，</w:t>
      </w:r>
      <w:r>
        <w:rPr>
          <w:rFonts w:hint="eastAsia" w:ascii="仿宋" w:hAnsi="仿宋" w:eastAsia="仿宋" w:cs="仿宋"/>
          <w:color w:val="auto"/>
          <w:sz w:val="24"/>
          <w:highlight w:val="none"/>
        </w:rPr>
        <w:t>延迟退还的，应当按照合同约定和法律规定承担相应的赔偿责任</w:t>
      </w:r>
      <w:r>
        <w:rPr>
          <w:rFonts w:hint="eastAsia" w:ascii="仿宋" w:hAnsi="仿宋" w:eastAsia="仿宋" w:cs="仿宋"/>
          <w:color w:val="auto"/>
          <w:sz w:val="24"/>
          <w:highlight w:val="none"/>
        </w:rPr>
        <w:t>。</w:t>
      </w:r>
    </w:p>
    <w:p>
      <w:pPr>
        <w:tabs>
          <w:tab w:val="left" w:pos="0"/>
        </w:tabs>
        <w:snapToGrid w:val="0"/>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2"/>
        <w:snapToGrid w:val="0"/>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9" w:name="_Hlt68403820"/>
      <w:bookmarkEnd w:id="19"/>
      <w:bookmarkStart w:id="20" w:name="_Hlt75236101"/>
      <w:bookmarkEnd w:id="20"/>
      <w:bookmarkStart w:id="21" w:name="_Hlt74707468"/>
      <w:bookmarkEnd w:id="21"/>
      <w:bookmarkStart w:id="22" w:name="_Hlt74714665"/>
      <w:bookmarkEnd w:id="22"/>
      <w:bookmarkStart w:id="23" w:name="_Hlt75236011"/>
      <w:bookmarkEnd w:id="23"/>
      <w:bookmarkStart w:id="24" w:name="_Hlt74729768"/>
      <w:bookmarkEnd w:id="24"/>
      <w:bookmarkStart w:id="25" w:name="_Hlt68072990"/>
      <w:bookmarkEnd w:id="25"/>
      <w:bookmarkStart w:id="26" w:name="_Hlt68057669"/>
      <w:bookmarkEnd w:id="26"/>
      <w:bookmarkStart w:id="27" w:name="_Hlt68073093"/>
      <w:bookmarkEnd w:id="27"/>
      <w:bookmarkStart w:id="28" w:name="_Hlt75236290"/>
      <w:bookmarkEnd w:id="28"/>
      <w:bookmarkStart w:id="29" w:name="_Hlt68072998"/>
      <w:bookmarkEnd w:id="29"/>
      <w:bookmarkStart w:id="30" w:name="_Hlt74730295"/>
      <w:bookmarkEnd w:id="30"/>
    </w:p>
    <w:bookmarkEnd w:id="13"/>
    <w:bookmarkEnd w:id="14"/>
    <w:p>
      <w:pPr>
        <w:pStyle w:val="33"/>
        <w:spacing w:line="360" w:lineRule="auto"/>
        <w:jc w:val="center"/>
        <w:rPr>
          <w:rFonts w:hint="eastAsia" w:ascii="仿宋" w:hAnsi="仿宋" w:eastAsia="仿宋" w:cs="仿宋"/>
          <w:b/>
          <w:snapToGrid/>
          <w:color w:val="auto"/>
          <w:sz w:val="36"/>
          <w:szCs w:val="20"/>
          <w:highlight w:val="none"/>
        </w:rPr>
      </w:pPr>
      <w:bookmarkStart w:id="31" w:name="第四部分"/>
      <w:r>
        <w:rPr>
          <w:rFonts w:hint="eastAsia" w:ascii="仿宋" w:hAnsi="仿宋" w:eastAsia="仿宋" w:cs="仿宋"/>
          <w:b/>
          <w:snapToGrid/>
          <w:color w:val="auto"/>
          <w:sz w:val="36"/>
          <w:szCs w:val="20"/>
          <w:highlight w:val="none"/>
        </w:rPr>
        <w:t>第三部分 采购需求</w:t>
      </w:r>
    </w:p>
    <w:p>
      <w:pPr>
        <w:spacing w:line="360" w:lineRule="auto"/>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1.本技术规范要求提出的是最低限度的基本技术要求，并未对所有技术细节作出规定，供应商应提供符合本技术要求和国家标准、行业标准的优质施工。</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3.技术要求及标准的执行</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供应商须按国家有关规定及标准完成本项目所需做的所有施工。</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二、项目概况</w:t>
      </w:r>
    </w:p>
    <w:p>
      <w:pPr>
        <w:spacing w:line="360" w:lineRule="auto"/>
        <w:ind w:firstLine="600" w:firstLineChars="2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采购项目：</w:t>
      </w:r>
      <w:r>
        <w:rPr>
          <w:rFonts w:hint="eastAsia" w:ascii="仿宋" w:hAnsi="仿宋" w:eastAsia="仿宋" w:cs="仿宋"/>
          <w:color w:val="auto"/>
          <w:sz w:val="24"/>
          <w:highlight w:val="none"/>
          <w:lang w:eastAsia="zh-CN"/>
        </w:rPr>
        <w:t>杭州市钱塘区星河幼儿园有机更新整修工程</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▲采购预算：人民币</w:t>
      </w:r>
      <w:r>
        <w:rPr>
          <w:rFonts w:hint="eastAsia" w:ascii="仿宋" w:hAnsi="仿宋" w:eastAsia="仿宋" w:cs="仿宋"/>
          <w:b/>
          <w:color w:val="auto"/>
          <w:sz w:val="24"/>
          <w:highlight w:val="none"/>
          <w:lang w:eastAsia="zh-CN"/>
        </w:rPr>
        <w:t>1200000</w:t>
      </w:r>
      <w:r>
        <w:rPr>
          <w:rFonts w:hint="eastAsia" w:ascii="仿宋" w:hAnsi="仿宋" w:eastAsia="仿宋" w:cs="仿宋"/>
          <w:color w:val="auto"/>
          <w:sz w:val="24"/>
          <w:highlight w:val="none"/>
        </w:rPr>
        <w:t>元整</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▲最高限价：人民币</w:t>
      </w:r>
      <w:r>
        <w:rPr>
          <w:rFonts w:hint="eastAsia" w:ascii="仿宋" w:hAnsi="仿宋" w:eastAsia="仿宋" w:cs="仿宋"/>
          <w:b/>
          <w:color w:val="auto"/>
          <w:sz w:val="24"/>
          <w:highlight w:val="none"/>
          <w:lang w:eastAsia="zh-CN"/>
        </w:rPr>
        <w:t>1200000</w:t>
      </w:r>
      <w:r>
        <w:rPr>
          <w:rFonts w:hint="eastAsia" w:ascii="仿宋" w:hAnsi="仿宋" w:eastAsia="仿宋" w:cs="仿宋"/>
          <w:color w:val="auto"/>
          <w:sz w:val="24"/>
          <w:highlight w:val="none"/>
        </w:rPr>
        <w:t>元整</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 日历天</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▲质量目标：合格</w:t>
      </w:r>
    </w:p>
    <w:p>
      <w:pPr>
        <w:spacing w:line="360" w:lineRule="auto"/>
        <w:ind w:firstLine="600" w:firstLineChars="2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质保期：2年</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三、采购范围及要求</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1.采购范围：本工程为</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，主要工作内容为</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的竞争性磋商文件、工程量清单及施工图范围内的所有内容。</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2．采购要求：实行包工、包料、包质量、包工期、包安全文明施工总承包。</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3.质量要求：符合现行国家有关工程施工验收规范和标准的合格要求。</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四、其他</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1.现行国家、省、市有关工程设计规范，强制性标准；</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2.与本工程有关的资料和供应商现场踏勘后的实际情况和业主要求。</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3.供应商应按第七章“工程量清单”的要求填写相应表格。</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4.计价方法统一以《建设工程工程量清单计价规范》（GB50500—2013）规定的项目编码、项目名称、计量单位、工程量计算规则为依据，并根据《浙江省建设工程计价规则》（2018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6.措施项目（包括施工技术措施和施工组织措施）是为完成工程项目施工，发生于该工程施工前和施工过程中技术、生活、安全等方面的非工程实体项目。</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7.供应商应对所有的措施项目按“措施项目分析表”进行报价分析，措施费用为包干费用。</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8.规费是指国家及地方政府规定必须交纳的费用，包括工程排污费、社会保障费、住房公积金、危险作业意外伤害保险费等。</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9.合同价格采用固定单价承包。</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10.供应商需充分考虑以下影响因素，由此产生的费用计入磋商报价中：</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(3)供应商需充分考虑以下影响因素，由此所产生的所有费用由各供应商自行测算，在磋商报价的综合单价中综合考虑所需要的全部费用，工程结算时,不作调整。具体内容如下：</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1、供应商需购置人脸识别机，用于现场对供应商管理班子的日常考勤工作，考勤机由发包人管理，购置费用列入措施费中，发包人不再另行支付。</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投标报价应包括施工过程中所需的全部费用（包括且不限于定额规定的全部费用，管理部门各项规费、勘察现场费用、工程保险费及所有相关劳保、环卫、市容、消防、环保、治安保卫、交通设施、卫生防疫、计划生育及与周边单位和人员协调等一切费用）。公共费用（如交通、市容、环保、噪音、排污、治安等费用）由供应商自行调研作为单项费用计入措施项目费中，否则视作优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施工中采取的必要技术措施及组织措施，如：场地排水、降水、停电时自发电、二次搬运、施工场地不足、成品保护、冬雨季施工等所需措施的一切费用和工期，以及其他各种可能因素影响施工所增加的费用均应含在投标报价中。对施工组织设计的内容未在投标报价中体现的均视同优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供应商对完成本工程所需要的施工组织技术措施，包括但不仅限于：施工用水、用电申请、接通及场内组织、现场施工场地平整、现场施工便道及进场通道（进场通道由投标单位自行踏勘现场确定并报价）、开设临时道口、开设临时道口范围的树木迁移、路基处理、管道开挖降水及支护费用、工程施工范围内涉及的现有道路、水渠、水管的临时沟通费用（方案须经建设单位认可，并确保质量）、道路沿线的建筑物、构筑物、管线（包括高压电线、铁塔）的保护和防护等主管部门按相关规定需缴纳的费用、施工需要及手续办理引起的需缴纳押金或费用），由供应商自行调研作为单项费用计入措施项目费中，否则视作优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5、施工用水、用电接入点由供应商自理，场地内水电线路架设及用水用电产生的费用由供应商承担。施工期间因供应商管理不善造成水、电总计量表损坏导致无法抄表的，由供应商无条件承担所有费用及责任。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6、施工期间由于供应商原因造成施工方案的更改，所增加的工程费用及工期一概不予调整，属施工技术组织措施失误造成的费用及延误工期均由供应商承担。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7、供应商有责任为发包人、监理单位、质监单位和设计单位等进行工程检查时提供安全保护用具和各种设施的方便，该项费用在投标时应考虑。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8、本工程与其他工程施工将有可能同时交叉进行，为配合其他工程施工而产生的施工配合费， 供应商应在投标报价中充分考虑，招标人不另支付。</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9、供应商应在投标报价中综合考虑该工程实施过程中配套管线实施、照明、交通设施等配套工程的配合协调费用，配套工程的配合协调包括但不仅限于：配合做好电力、通信、给水、热力、 燃气、路灯、交通设施等施工协调（包括提供便道、电源、水源、做好路基处理等），同时必须对配套工程施工的回填做好密实处理，不得向配套工程实施单位收取配合费用。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10、供应商应做好大风、暴雨季节施工安排，确保大风、暴雨季节施工现场安全工作；做好防台防汛期间的施工安排，确保施工现场安全，相关费用在投标报价中综合考虑。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应自行踏勘现场做好施工方案，充分考虑施工期间的各种因素，方案周全措施到位，相应费用计入报价内，一旦因供应商措施未到位而导致安全事故发生，一切责任由供应商承担并负责赔偿。如应在本工程各出入口、周边道路等部位采取足够的防护措施以确保在施工期间行人安全和正常出入等。</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工程施工中所有土方、泥浆、材料、及施工废料的内外运输，必须遵守政府有关交通、环卫、安全、防噪声等行业管理法规的规定，行业管理部门要求办理的渣土准运证、渣土消纳场所和交通通行证等所有手续均应办理，并由供应商自行办理解决。承担渣土运输的企业必须是具备资质且信誉良好的专业运输企业。供应商施工中因违反本市有关规定，引起政府职能部门罚款和停工整改，其发生的费用与损失由供应商自行承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本招标工程所有垃圾供应商必须自行联系政府规定合法垃圾处置点，从工地清运出去，涉及运输距离远近、垃圾处置点费用和运输过程中发生的环保费、城市卫生费等开支，供应商在报价时充分考虑，结算时不另增加费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本工程实施范围可能存在各类管线，供应商应充分踏勘现场，施工前应仔细核对及调查，必要时进行物探，同时在施工中应小心拆除，特别对原有预埋管线，更应谨慎核实，必须确保在不被破坏的前提下再进行施工作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本工程出入口交通（疏解）便道的施工及施工期间的维护由供应商负责实施，道路面层均采用硬化路面。交通组织（含交通便道，交通设施等）方案按照交通疏解方案细化后经交管部门审批后实施。交通便道的费用应包括（但不限于）便道开挖、基层、面层等，并考虑工期内的日常维修、养护费用（甲方特别要求的除外），所需费用由供应商在报价中综合考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16、因供应商施工造成的相关现有市政、农用混凝土道路设施及绿化损坏，由中标人自行修复及修筑便道，施工及运输引起的道路尘土，由供应商自行清洁，上述相关的费用考虑在投标报价中。</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对施工车辆、尤其是大型设备运输车辆沿线经过的桥梁及道路，供应商应对相关桥梁、道路最大载重吨位的限载量和强度进行调查和验算，并向有关管理部门办理手续，确保桥梁和道路安全畅通。因工程供应商的原因造成损坏，则由工程供应商负责按原样无偿修复或承担修复所需的所有费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18、工程开工前，中标人须按政府部门要求，与拟建工程周边道路保洁、养护管理单位签订保洁协议，相关费用自行计入报价并包干。</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19、生活污水、生产污水必须严格遵守省、市、集聚区及建设集团公司工地环境整治相关行动要求。</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20、工程临时设施搭建临时用地占用手续办理及办理产生的相关费用自行计入报价并包干。</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21、临时设施建筑构件的燃烧性能等级应为 A 级。当采用金属夹芯板材时，其芯材的燃烧性能等级应为 A 级。</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22、本工程供应商搭设的所有临时设施，在本工程竣工验收合格后，必须在发包人规定的期限内自行拆除清运完毕，否则发包人有权委托他人处理，但供应商应承担相应的费用。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应严格按已确认的施工技术方案实施，并应接受发包人委托的工程监理单位对施工质量安全、质量、进度、文明施工及投资等的管理，服从发包人在工程管理中根据工程实际情况和需要制定的工程相关管理办法和处罚措施。</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24、所用的管材、检查井盖、砼等主要材料须经监理单位及发包人认可方可用于工程。</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25、根据《关于进一步加强预拌砂浆使用管理的通知》（杭建工发〔2017〕496号）关于使用预拌砂浆的要求，供应商应将使用预拌砂浆的费用计入投标报价范围。</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26、施工期间，承包方应严格遵守业主单位相关工程管理制度，所有费用由承包方承担，发包人有权视情节轻重对承包方按相关制度处以违约金。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并将之考虑在报价中，今后专款专用，如未报足，视为优惠。若发包人在进行巡查时发现“扬尘整治目标”达不到要求，第一次给予供应商警告并责令整改，二次发现供应商应立即整改并向发包人支付壹万元人民币的违约金，三次或以上被发现或被上级部门通报批评或被新闻媒体曝光者，供应商按每次人民币伍万元向发包人支付违约金。</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施工范围的出入口应设置冲洗装置，所有施工车辆必须冲洗后才能驶出施工范围，否则将视为不文明施工，扣除部分文明施工费用给予处罚，供应商必须成立专门的文明施工队伍，按“门前三包”的要求，保证围挡及周边道路畅通和清洁。</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供应商对施工场地周边一定范围环境负有责任，如：施工中不得随意排放浑浊废弃物，不得随意抛掷各类垃圾、建筑材料等杂物；运输建筑材料、垃圾和工程渣土的车辆应采取有效措施保证行驶途中不污染道路和环境等。</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供应商在投标文件中承诺的管理人员（项目经理、技术负责人、施工员、资料员、安全员、质检员、材料员）配备数量应满足本工程管理的需要和相应规范、文件要求，且必须到位，本工程将对工程项目管理人员采用（人脸识别方式，具体根据招标人要求）考勤。项目经理、项目管理人员及民工身份资料需建档备案，民工上班需纳入实名制考勤，进工地上岗需统一佩带证件。供应商需对管理人员的出勤(项目经理和技术负责人出勤要求每月不低于25日历天，其他项目管理人员出勤每月要求不低于27日历天)做出承诺。若相关人员出勤率不足承诺，按合同规定进行处罚。发包人有权要求供应商撤换工作不负责任、管理不力、贻误工期和造成严重的安全事故和工程质量事故、违法乱纪的专业技术管理人员或项目经理，直至发包人满意为止。</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在投标文件中的承诺的管理人员未经招标人同意，供应商不得调换和撤离，并按工程进度及时到位。招标人有权要求施工单位撤换工作不负责任、管理不力、贻误工期和造成严重的安全事故和工程质量事故、违法乱纪的专业技术、管理人员直至技术负责人，直至招标人满意为止。如相应资质的专业技术人员未按要求到位，视作违约，招标人有权单方面终止合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进场项目班子应是供应商企业内的，挂靠供应商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供应商应在一个工作周内作出更换，并报发包人批准，不得拒绝和拖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33、供应商提交的竣工资料形式要求：按JGJ／T185-2009、GB/T 50328-2014、杭建办发〔2013〕153号、杭州市城建档案馆、相关部门及发包人资料归档要求（包括但不仅限于电子存档等），费用由供应商承担；若需档案馆重新整理，费用由供应商承担。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本工程应设置《钱塘新区建筑业农民工维权告示牌》，设置位置应包括：工地主要出入口、生活区、办公区等三处。告示牌样板参照《关于施工现场设置建筑业农民工维权告示牌的通知》（大江东规土建[2018]25号）文件设置，相关费用由供应商自行承担，包含在投标总价中。</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35、根据杭州市建委《关于落实建设工程农民工工伤保险费用计价的通知》的有关规定：供应商的投标报价中应包含农民工工伤保险费。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36、民工工资必须按时支付，否则发包人有权暂扣工程款直到供应商付清民工工资为止，并根据上级主管部门的相关规定进行处罚。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37、本项目须按《关于印发杭州市建设领域农民工“无欠薪”管理实施细则（试行）的通知》（杭建市【2018】161号文件执行。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1）本项目合同签订后一个月内，发包人、供应商及劳务分包单位三方需签订《建设项目工资款和其他工程款分账管理协议》；</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2）工资性工程款由工资性工程预付款及工资性工程进度款组成，工资性工程预付款按合同价的1%。</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根据《建设工程质量监测管理办法》（建设部令141号）、浙江省建设工程质量检测管理实施办法及杭州市、区有关文件要求，工程质量检测费包含在投标报价中，由供应商支付，工程质量检测及试验单位确定前经招标人确认。</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39、本工程发包范围内的工程项目，未经招标人同意一律不得分包。一经发现立即取消承包资格，作违约处理，并承担由此引起的一切经济损失。</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40、供应商应严格按已确认设计图纸和施工技术方案组织施工，并无条件地接受招标人委托的监理单位对施工质量的监督和管理。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41、安全文明施工要求：</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41.1、供应商中标后应与当地政府有关部门签订《治安责任承包协议书》服从地方社会治安、综合治理、计划生育、交通管理、环境保护等管理规定。供应商应设有专职人员负责上述条款的执行。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41.2、供应商应有详细的工程安全措施和安全组织及配备专职安全负责人的说明和承诺，以确保安全施工。</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41.3、供应商在工程施工全过程中要认真做好产品保护。因失窃或失火造成的损失均由承包方负责，凡由此而损及发包人利益时，发包人将向供应商索赔。</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41.4、施工扬尘控制：（1）工地运输渣土、建筑材料车辆必须密闭化，严禁跑冒滴漏，装卸时严禁凌空抛撒。（2）生活垃圾应设置垃圾箱或容器，提倡分类收集；弃土、建筑垃圾和材料应归类堆放,并有遮盖或喷洒覆盖剂的措施；建筑垃圾、散件物料必须及时清理，做到工完场清；工地路面必须经常清扫、洒水。（3）现场应按规定使用商品混凝土，使用混凝土砂浆拌和机的，应采取水泥桶围挡封闭等措施，控制扬尘。（4）建筑工地食堂炉灶一律采用清洁燃料，不得燃用煤、木料和竹片等，并安装油烟净化装置；工地严禁焚烧垃圾和废物料（油毡、塑料等），防止废气和烟尘污染。</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41.5、施工噪声控制：施工现场应科学安排作业时间，确因工艺需要，必须办理《夜间作业许可证》。市区建筑工地禁用柴油冲击桩，严禁敲打导管和钻杆及人为的敲打作业，其他机械作业必须采取有效降噪措施。在靠居民较近处，在有条件的情况下，采取设立活动隔声罩（屏），以减少对居民的影响。</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42、竣工验收前，供应商须提供空气质量检测报告，相关费用供应商综合考虑在投标总价中，招标人不再另行支付。</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生活设施要求：（1）工地“五小设施”（办公室、食堂、宿舍、厕所、浴室）应符合卫生、通风、照明等要求，并建立卫生管理制度，落实专人清扫。（2）食堂应符合《食品卫生法》的要求，冷热、生熟食品分开储藏，防蝇、防鼠等设施齐全有效；卫生许可证，炊事人员健康证悬挂上墙。（3）厕所应设专人负责冲洗打扫，保持清洁，无异味，无蛆孳生。浴室应设置更衣处，室内照明应设防潮灯具，并做到文明沐浴。（4）工地宿舍应采用活动房。凡采取砖砌搭建临时用房的，须内外粉刷，并设吊顶或粉刷平顶。室内设置统一的钢质床和储物柜；门窗不破损并做到窗明洁净；被褥保持干净且叠放整齐；鞋类、服装等生活用品应有专用箱（袋）集中存放；毛巾脸盆和漱具要制作脸盆架摆放。室内保持通风、整洁，禁止摆放作业工（用）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供应商进场后必须无条件的服从发包人对本工程整体上的施工安排，服从总包质量、进度、安全文明施工等各项管理。供应商对派驻现场的施工人员必须严格管理，不得扰乱其他施工单位的正常施工，不得偷窃、滋扰、闹事，不得影响其他单位施工现场的安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45、供应商工程款支付须通过监理的审批。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46、本工程结算造价以审计结果为准。供应商必须保证施工签证的真实性、合理性和合法性并不得与合同约定相违背，否则有权予以调整。</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47、项目变更按《杭州钱塘新区政府投资项目工程变更管理办法（试行）》（钱塘管办发[2019]42号）、《杭州钱塘新区政府投资项目建设单位工程变更内控管理暂行规定》（钱塘管办发[2020]16号）等为准。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48、本工程将结合关于全力做好疫情防控支持建筑业发展的通知（杭建研发（2020）41号）文件及钱塘新区等相关文件精神最终执行。</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49、本工程需严格执行《关于进一步加强“22688”交通工程建设项目施工工地工程车辆安全管理的通知》萧推进办[2019]3号文，费用由供应商自行考虑，包含在投标报价内。</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50、招标文件内的技术规范、附件、标准、设计图纸内明确的相应技术规范要求、需要检测的费用等的相关费用应包括在投标报价中，否则视作投标优惠。</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因重大会议或其它特殊情况，政府部门以任何形式发布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停工工期予以顺延。</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52、鼓励供应商使用本地企业的优质建筑材料。鼓励使用本地建筑劳务企业或在本地注册劳务公司，鼓励外地企业在本地设立独立核算的分公司。</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53、由承包方采购的主要建筑材料，当供应商选定的产品质量达不到设计要求和预期质量目标时，业主保留更换的权利，且中标价不予调整。 </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54、材料进场前须经发包人选样，同意后方可进场施工，供应商所提供的材料品牌禁止贴牌，所有材料不得以次充好。</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55、供应商收到设计单位下发的设计联系单后，需在一周内向监理单位上报施工联系单，若供应商未在规定时间内上报施工联系单，则此联系单产生的相关费用由供应商自行承担，结算时不作调整。</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56、供应商副总及以上职级人员，每月必须到项目现场参加月度会议。</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57、已完工程成品保护的特殊要求及费用承担：本工程在交付使用前，原有已完工程及承包范围内的已完成工程，由供应商负责采取措施保护。保护费用由供应商负担。</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58、工程量清单项目特征中没有描述或描述不明确的，但又是完成该分项工程必须的工作内容，其报价已包含在综合单价内（即综合单价已包含施工图纸及施工规范所要求的工作内容）。</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59、本工程材料见证取样检测费、第三方服务费用由供应商承担并包括在投标报价中。供应商需对本项目进行档案管理工作，费用包含在投标总价中。</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60、当工程进度无法满足要求时，供应商必须无条件根据发包人要求在技术力量和设备上给予补充，直至满足进度要求为止，相关的费用已含在合同总价中。</w:t>
      </w:r>
    </w:p>
    <w:p>
      <w:pPr>
        <w:pStyle w:val="43"/>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61、供应商中标后，拟派本工程项目管理班子成员不得在其他项目上进行兼职或作为项目管理班子成员参与其他项目投标，供应商须在技术标中进行承诺。</w:t>
      </w:r>
    </w:p>
    <w:p>
      <w:pPr>
        <w:snapToGrid w:val="0"/>
        <w:spacing w:line="360" w:lineRule="auto"/>
        <w:ind w:firstLine="480" w:firstLineChars="200"/>
        <w:outlineLvl w:val="0"/>
        <w:rPr>
          <w:rFonts w:hint="eastAsia" w:ascii="仿宋" w:hAnsi="仿宋" w:eastAsia="仿宋" w:cs="仿宋"/>
          <w:color w:val="auto"/>
          <w:sz w:val="24"/>
          <w:highlight w:val="none"/>
        </w:rPr>
      </w:pPr>
      <w:bookmarkStart w:id="32" w:name="_Toc32749"/>
      <w:r>
        <w:rPr>
          <w:rFonts w:hint="eastAsia" w:ascii="仿宋" w:hAnsi="仿宋" w:eastAsia="仿宋" w:cs="仿宋"/>
          <w:color w:val="auto"/>
          <w:sz w:val="24"/>
          <w:highlight w:val="none"/>
        </w:rPr>
        <w:t>62、项目实施过程中，因地砖、地板等样式、铺贴方式及拼花方案等发生调整，供应商不得增加相应费用，风险请供应商自行考虑。</w:t>
      </w:r>
      <w:bookmarkEnd w:id="32"/>
    </w:p>
    <w:p>
      <w:pPr>
        <w:snapToGrid w:val="0"/>
        <w:spacing w:line="360" w:lineRule="auto"/>
        <w:ind w:firstLine="480" w:firstLineChars="200"/>
        <w:outlineLvl w:val="0"/>
        <w:rPr>
          <w:rFonts w:hint="eastAsia" w:ascii="仿宋" w:hAnsi="仿宋" w:eastAsia="仿宋" w:cs="仿宋"/>
          <w:color w:val="auto"/>
          <w:sz w:val="24"/>
          <w:highlight w:val="none"/>
        </w:rPr>
      </w:pPr>
      <w:bookmarkStart w:id="33" w:name="_Toc20818"/>
      <w:r>
        <w:rPr>
          <w:rFonts w:hint="eastAsia" w:ascii="仿宋" w:hAnsi="仿宋" w:eastAsia="仿宋" w:cs="仿宋"/>
          <w:color w:val="auto"/>
          <w:sz w:val="24"/>
          <w:highlight w:val="none"/>
        </w:rPr>
        <w:t>63、供应商进场施工前，需对现有已完成工作进行验收确认，并且在后续施工过程中不得因相关工作的质量等原因暂停或拖延施工，否则将承担影响进度和交付的违约责任。</w:t>
      </w:r>
      <w:bookmarkEnd w:id="33"/>
    </w:p>
    <w:p>
      <w:pPr>
        <w:snapToGrid w:val="0"/>
        <w:spacing w:line="360" w:lineRule="auto"/>
        <w:ind w:firstLine="480" w:firstLineChars="200"/>
        <w:outlineLvl w:val="0"/>
        <w:rPr>
          <w:rFonts w:hint="eastAsia" w:ascii="仿宋" w:hAnsi="仿宋" w:eastAsia="仿宋" w:cs="仿宋"/>
          <w:color w:val="auto"/>
          <w:sz w:val="24"/>
          <w:highlight w:val="none"/>
        </w:rPr>
      </w:pPr>
      <w:bookmarkStart w:id="34" w:name="_Toc11351"/>
      <w:r>
        <w:rPr>
          <w:rFonts w:hint="eastAsia" w:ascii="仿宋" w:hAnsi="仿宋" w:eastAsia="仿宋" w:cs="仿宋"/>
          <w:color w:val="auto"/>
          <w:sz w:val="24"/>
          <w:highlight w:val="none"/>
        </w:rPr>
        <w:t>64、招标人</w:t>
      </w:r>
      <w:r>
        <w:rPr>
          <w:rFonts w:hint="eastAsia" w:ascii="仿宋" w:hAnsi="仿宋" w:eastAsia="仿宋" w:cs="仿宋"/>
          <w:color w:val="auto"/>
          <w:sz w:val="24"/>
          <w:highlight w:val="none"/>
          <w:lang w:val="en-US" w:eastAsia="zh-CN"/>
        </w:rPr>
        <w:t>推荐</w:t>
      </w:r>
      <w:r>
        <w:rPr>
          <w:rFonts w:hint="eastAsia" w:ascii="仿宋" w:hAnsi="仿宋" w:eastAsia="仿宋" w:cs="仿宋"/>
          <w:color w:val="auto"/>
          <w:sz w:val="24"/>
          <w:highlight w:val="none"/>
        </w:rPr>
        <w:t>主要设备材料品牌一览表</w:t>
      </w:r>
      <w:bookmarkEnd w:id="34"/>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主要材料（设备）推荐品牌（厂家）及技术要求表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45"/>
        <w:gridCol w:w="439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材料、设备名称</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推荐品牌或厂家</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乳胶漆、</w:t>
            </w:r>
            <w:r>
              <w:rPr>
                <w:rFonts w:hint="eastAsia" w:ascii="仿宋" w:hAnsi="仿宋" w:eastAsia="仿宋" w:cs="仿宋"/>
                <w:color w:val="auto"/>
                <w:kern w:val="0"/>
                <w:sz w:val="21"/>
                <w:szCs w:val="21"/>
                <w:highlight w:val="none"/>
                <w:lang w:val="en-US" w:eastAsia="zh-CN"/>
              </w:rPr>
              <w:t>无机</w:t>
            </w:r>
            <w:r>
              <w:rPr>
                <w:rFonts w:hint="eastAsia" w:ascii="仿宋" w:hAnsi="仿宋" w:eastAsia="仿宋" w:cs="仿宋"/>
                <w:color w:val="auto"/>
                <w:kern w:val="0"/>
                <w:sz w:val="21"/>
                <w:szCs w:val="21"/>
                <w:highlight w:val="none"/>
              </w:rPr>
              <w:t>涂料</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多乐士、华润、立邦、江门嘉宝莉或相当于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油漆</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立邦、多乐士、大师、江门嘉宝莉或相当于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石膏板（防水石膏板）</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龙牌、拉法基、可耐福或相当于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轻钢龙骨</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龙牌、拉法基、可耐福或相当于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玻璃原片品牌</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南玻、台玻、金晶</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rPr>
              <w:t>耀皮或相当于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铝合金门窗五金配件</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广东坚朗五金制品股份有限公司（坚朗）、广东合和建筑五金制品有限公司（合和）、春光五金有限公司（春光）或相当于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铝合金门窗密封胶</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广州市白云化工实业有限公司(白云）、陶氏化学（中国）投资有限公司（陶熙、道康宁）、杭州之江有机硅化工有限公司（金鼠）、成都硅宝科技股份有限公司（硅宝）或相当于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8</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铝合金门窗密封胶条</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广州市白云化工实业有限公司(白云）、杭州之江有机硅化工有限公司（金鼠）、成都硅宝科技股份有限公司（硅宝）、广东合和建筑五金制品有限公司（合和）、宁波新安东橡塑制品有限公司（新安东）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9</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照明灯具</w:t>
            </w:r>
          </w:p>
        </w:tc>
        <w:tc>
          <w:tcPr>
            <w:tcW w:w="4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飞利浦、雷士、欧普、三雄极光或相当于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10</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开关、插座</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西门子、松下、ABB或相当于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11</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智能灯光控制模块</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施耐德、ABB、快思聪或相当于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12</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强电电线、电缆</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杭州中策电缆有限公司（中策）、杭州电缆股份有限公司（永通）、杭州富通电线电缆有限公司（富通）、浙江元通线缆制造有限公司（元世通）或相当于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13</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PVC、PE、PPR、HDPE塑料管</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浙江伟星新型建材股份有限公司（伟星）、</w:t>
            </w:r>
          </w:p>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浙江中财管道科技股份有限公司（中财）、</w:t>
            </w:r>
          </w:p>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永高股份有限公司（公元）或相当于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14</w:t>
            </w:r>
          </w:p>
        </w:tc>
        <w:tc>
          <w:tcPr>
            <w:tcW w:w="18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铝板</w:t>
            </w:r>
          </w:p>
        </w:tc>
        <w:tc>
          <w:tcPr>
            <w:tcW w:w="4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坚美、兴发、凤铝或相当于</w:t>
            </w:r>
          </w:p>
        </w:tc>
        <w:tc>
          <w:tcPr>
            <w:tcW w:w="21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15</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UHPC</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安徽亿筑新材料科技有限公司、南京艺百装饰工艺有限公司、珠海山泰新实业有限公司或相当于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16</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片石</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SKK、久石、墙立美</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1"/>
                <w:szCs w:val="21"/>
                <w:highlight w:val="none"/>
              </w:rPr>
            </w:pPr>
          </w:p>
        </w:tc>
      </w:tr>
    </w:tbl>
    <w:p>
      <w:pPr>
        <w:rPr>
          <w:rFonts w:hint="eastAsia" w:ascii="仿宋" w:hAnsi="仿宋" w:eastAsia="仿宋" w:cs="仿宋"/>
          <w:color w:val="auto"/>
          <w:highlight w:val="none"/>
        </w:rPr>
      </w:pPr>
    </w:p>
    <w:p>
      <w:pPr>
        <w:spacing w:line="360" w:lineRule="auto"/>
        <w:ind w:left="-210" w:leftChars="-100" w:right="-97" w:rightChars="-46"/>
        <w:rPr>
          <w:rFonts w:hint="eastAsia" w:ascii="仿宋" w:hAnsi="仿宋" w:eastAsia="仿宋" w:cs="仿宋"/>
          <w:color w:val="auto"/>
          <w:highlight w:val="none"/>
        </w:rPr>
      </w:pPr>
      <w:r>
        <w:rPr>
          <w:rFonts w:hint="eastAsia" w:ascii="仿宋" w:hAnsi="仿宋" w:eastAsia="仿宋" w:cs="仿宋"/>
          <w:color w:val="auto"/>
          <w:highlight w:val="none"/>
        </w:rPr>
        <w:t>注：</w:t>
      </w:r>
    </w:p>
    <w:p>
      <w:pPr>
        <w:spacing w:line="360" w:lineRule="auto"/>
        <w:ind w:left="-210" w:leftChars="-100" w:right="-97" w:rightChars="-46"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1、投标人在投标报价时，招标人提供推荐品牌的产品，投标人</w:t>
      </w:r>
      <w:r>
        <w:rPr>
          <w:rFonts w:hint="eastAsia" w:ascii="仿宋" w:hAnsi="仿宋" w:eastAsia="仿宋" w:cs="仿宋"/>
          <w:color w:val="auto"/>
          <w:highlight w:val="none"/>
          <w:lang w:val="en-US" w:eastAsia="zh-CN"/>
        </w:rPr>
        <w:t>可以选用</w:t>
      </w:r>
      <w:r>
        <w:rPr>
          <w:rFonts w:hint="eastAsia" w:ascii="仿宋" w:hAnsi="仿宋" w:eastAsia="仿宋" w:cs="仿宋"/>
          <w:color w:val="auto"/>
          <w:highlight w:val="none"/>
        </w:rPr>
        <w:t>推荐品牌或相当于推荐品牌的产品；若选用了招标人推荐品牌外的产品，应同时提供相当于推荐品牌产品的证明材料。如投标人在范围内多选或未注明品牌则视为投标人同意招标人在其多选的范围或推荐品牌范围内任意选定某一品牌，投标报价不作调整。投标人须在“主要材料价格表”备注栏中注明所选用的材料、设备生产厂家及品牌。上述材料、设备的生产厂家、品牌及价格一经填报以后不再作调整。所有设备系统含软件。</w:t>
      </w:r>
    </w:p>
    <w:p>
      <w:pPr>
        <w:spacing w:line="360" w:lineRule="auto"/>
        <w:ind w:left="-210" w:leftChars="-100" w:right="-97" w:rightChars="-46"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2、招标人对材料、设备的品牌、规格、型号没有规定的，由投标人按招标文件及施工图的要求进行投标报价，并在</w:t>
      </w:r>
      <w:r>
        <w:rPr>
          <w:rFonts w:hint="eastAsia" w:ascii="仿宋" w:hAnsi="仿宋" w:eastAsia="仿宋" w:cs="仿宋"/>
          <w:color w:val="auto"/>
          <w:highlight w:val="none"/>
          <w:lang w:val="en-US" w:eastAsia="zh-CN"/>
        </w:rPr>
        <w:t>在投标文件中</w:t>
      </w:r>
      <w:r>
        <w:rPr>
          <w:rFonts w:hint="eastAsia" w:ascii="仿宋" w:hAnsi="仿宋" w:eastAsia="仿宋" w:cs="仿宋"/>
          <w:color w:val="auto"/>
          <w:highlight w:val="none"/>
        </w:rPr>
        <w:t>注明所选材料、设备的品牌、规格、型号，所选材料、设备必须达到业内普遍认同的中高档以上品牌和系列，且不低于所在系统其他材料、设备的品牌档次。</w:t>
      </w:r>
    </w:p>
    <w:p>
      <w:pPr>
        <w:spacing w:line="360" w:lineRule="auto"/>
        <w:ind w:left="-210" w:leftChars="-100" w:right="-97" w:rightChars="-46"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3、招标人有权对材料、设备品牌进行变更，中标人应服从并做好配合工作。</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、商务要求</w:t>
      </w:r>
    </w:p>
    <w:p>
      <w:pPr>
        <w:pStyle w:val="23"/>
        <w:rPr>
          <w:rFonts w:hint="eastAsia"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其它详见合同条款格式部分</w:t>
      </w:r>
    </w:p>
    <w:p>
      <w:pP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、其他要求</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1.本磋商文件中带“▲”的条款内容，为本次磋商的实质性内容，供应商必须全部响应，否则将作无效标处理。“★”的条款内容为重要性条款。</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2.磋商响应供应商认为优于磋商需求的其他相关证明材料。</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3.磋商报价要求：总报价指包括为完成本项目服务所支付的人工费、材料费、机械费、制作标书费、税费及其他一切费用。</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4.文件中所提的是基本服务要求，供应商应根据相关法律法规及采购人机构特点，提供更为完善的服务。</w:t>
      </w: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5" w:name="_Toc184314462"/>
      <w:bookmarkEnd w:id="35"/>
      <w:bookmarkStart w:id="36" w:name="_Toc184308051"/>
      <w:bookmarkEnd w:id="36"/>
      <w:bookmarkStart w:id="37" w:name="_Toc184314418"/>
      <w:bookmarkEnd w:id="37"/>
      <w:bookmarkStart w:id="38" w:name="_Toc184312095"/>
      <w:bookmarkEnd w:id="38"/>
      <w:bookmarkStart w:id="39" w:name="_Toc184313255"/>
      <w:bookmarkEnd w:id="39"/>
      <w:bookmarkStart w:id="40" w:name="_Toc184314479"/>
      <w:bookmarkEnd w:id="40"/>
      <w:bookmarkStart w:id="41" w:name="_Toc184312081"/>
      <w:bookmarkEnd w:id="41"/>
      <w:bookmarkStart w:id="42" w:name="_Toc184314429"/>
      <w:bookmarkEnd w:id="42"/>
      <w:bookmarkStart w:id="43" w:name="_Toc184308108"/>
      <w:bookmarkEnd w:id="43"/>
      <w:bookmarkStart w:id="44" w:name="_Toc184312091"/>
      <w:bookmarkEnd w:id="44"/>
      <w:bookmarkStart w:id="45" w:name="_Toc184308063"/>
      <w:bookmarkEnd w:id="45"/>
      <w:bookmarkStart w:id="46" w:name="_Toc184313244"/>
      <w:bookmarkEnd w:id="46"/>
      <w:bookmarkStart w:id="47" w:name="_Toc184310285"/>
      <w:bookmarkEnd w:id="47"/>
      <w:bookmarkStart w:id="48" w:name="_Toc184310314"/>
      <w:bookmarkEnd w:id="48"/>
      <w:bookmarkStart w:id="49" w:name="_Toc184314432"/>
      <w:bookmarkEnd w:id="49"/>
      <w:bookmarkStart w:id="50" w:name="_Toc184310339"/>
      <w:bookmarkEnd w:id="50"/>
      <w:bookmarkStart w:id="51" w:name="_Toc184314449"/>
      <w:bookmarkEnd w:id="51"/>
      <w:bookmarkStart w:id="52" w:name="_Toc184314472"/>
      <w:bookmarkEnd w:id="52"/>
      <w:bookmarkStart w:id="53" w:name="_Toc184310284"/>
      <w:bookmarkEnd w:id="53"/>
      <w:bookmarkStart w:id="54" w:name="_Toc184313277"/>
      <w:bookmarkEnd w:id="54"/>
      <w:bookmarkStart w:id="55" w:name="_Toc184313295"/>
      <w:bookmarkEnd w:id="55"/>
      <w:bookmarkStart w:id="56" w:name="_Toc184313310"/>
      <w:bookmarkEnd w:id="56"/>
      <w:bookmarkStart w:id="57" w:name="_Toc184313264"/>
      <w:bookmarkEnd w:id="57"/>
      <w:bookmarkStart w:id="58" w:name="_Toc184312073"/>
      <w:bookmarkEnd w:id="58"/>
      <w:bookmarkStart w:id="59" w:name="_Toc184314428"/>
      <w:bookmarkEnd w:id="59"/>
      <w:bookmarkStart w:id="60" w:name="_Toc184312079"/>
      <w:bookmarkEnd w:id="60"/>
      <w:bookmarkStart w:id="61" w:name="_Toc184314420"/>
      <w:bookmarkEnd w:id="61"/>
      <w:bookmarkStart w:id="62" w:name="_Toc184310304"/>
      <w:bookmarkEnd w:id="62"/>
      <w:bookmarkStart w:id="63" w:name="_Toc184312101"/>
      <w:bookmarkEnd w:id="63"/>
      <w:bookmarkStart w:id="64" w:name="_Toc184308096"/>
      <w:bookmarkEnd w:id="64"/>
      <w:bookmarkStart w:id="65" w:name="_Toc184308039"/>
      <w:bookmarkEnd w:id="65"/>
      <w:bookmarkStart w:id="66" w:name="_Toc184314427"/>
      <w:bookmarkEnd w:id="66"/>
      <w:bookmarkStart w:id="67" w:name="_Toc184310335"/>
      <w:bookmarkEnd w:id="67"/>
      <w:bookmarkStart w:id="68" w:name="_Toc184313266"/>
      <w:bookmarkEnd w:id="68"/>
      <w:bookmarkStart w:id="69" w:name="_Toc184308071"/>
      <w:bookmarkEnd w:id="69"/>
      <w:bookmarkStart w:id="70" w:name="_Toc184310279"/>
      <w:bookmarkEnd w:id="70"/>
      <w:bookmarkStart w:id="71" w:name="_Toc184313261"/>
      <w:bookmarkEnd w:id="71"/>
      <w:bookmarkStart w:id="72" w:name="_Toc184310272"/>
      <w:bookmarkEnd w:id="72"/>
      <w:bookmarkStart w:id="73" w:name="_Toc184312071"/>
      <w:bookmarkEnd w:id="73"/>
      <w:bookmarkStart w:id="74" w:name="_Toc184310344"/>
      <w:bookmarkEnd w:id="74"/>
      <w:bookmarkStart w:id="75" w:name="_Toc184313260"/>
      <w:bookmarkEnd w:id="75"/>
      <w:bookmarkStart w:id="76" w:name="_Toc184310328"/>
      <w:bookmarkEnd w:id="76"/>
      <w:bookmarkStart w:id="77" w:name="_Toc184310326"/>
      <w:bookmarkEnd w:id="77"/>
      <w:bookmarkStart w:id="78" w:name="_Toc184310274"/>
      <w:bookmarkEnd w:id="78"/>
      <w:bookmarkStart w:id="79" w:name="_Toc184314433"/>
      <w:bookmarkEnd w:id="79"/>
      <w:bookmarkStart w:id="80" w:name="_Toc184308065"/>
      <w:bookmarkEnd w:id="80"/>
      <w:bookmarkStart w:id="81" w:name="_Toc184308103"/>
      <w:bookmarkEnd w:id="81"/>
      <w:bookmarkStart w:id="82" w:name="_Toc184313301"/>
      <w:bookmarkEnd w:id="82"/>
      <w:bookmarkStart w:id="83" w:name="_Toc184308091"/>
      <w:bookmarkEnd w:id="83"/>
      <w:bookmarkStart w:id="84" w:name="_Toc184308094"/>
      <w:bookmarkEnd w:id="84"/>
      <w:bookmarkStart w:id="85" w:name="_Toc184314434"/>
      <w:bookmarkEnd w:id="85"/>
      <w:bookmarkStart w:id="86" w:name="_Toc184313272"/>
      <w:bookmarkEnd w:id="86"/>
      <w:bookmarkStart w:id="87" w:name="_Toc184310308"/>
      <w:bookmarkEnd w:id="87"/>
      <w:bookmarkStart w:id="88" w:name="_Toc184314431"/>
      <w:bookmarkEnd w:id="88"/>
      <w:bookmarkStart w:id="89" w:name="_Toc184314453"/>
      <w:bookmarkEnd w:id="89"/>
      <w:bookmarkStart w:id="90" w:name="_Toc184312106"/>
      <w:bookmarkEnd w:id="90"/>
      <w:bookmarkStart w:id="91" w:name="_Toc184313254"/>
      <w:bookmarkEnd w:id="91"/>
      <w:bookmarkStart w:id="92" w:name="_Toc184308089"/>
      <w:bookmarkEnd w:id="92"/>
      <w:bookmarkStart w:id="93" w:name="_Toc184312078"/>
      <w:bookmarkEnd w:id="93"/>
      <w:bookmarkStart w:id="94" w:name="_Toc184314417"/>
      <w:bookmarkEnd w:id="94"/>
      <w:bookmarkStart w:id="95" w:name="_Toc184310341"/>
      <w:bookmarkEnd w:id="95"/>
      <w:bookmarkStart w:id="96" w:name="_Toc184308038"/>
      <w:bookmarkEnd w:id="96"/>
      <w:bookmarkStart w:id="97" w:name="_Toc184310297"/>
      <w:bookmarkEnd w:id="97"/>
      <w:bookmarkStart w:id="98" w:name="_Toc184314447"/>
      <w:bookmarkEnd w:id="98"/>
      <w:bookmarkStart w:id="99" w:name="_Toc184312086"/>
      <w:bookmarkEnd w:id="99"/>
      <w:bookmarkStart w:id="100" w:name="_Toc184310333"/>
      <w:bookmarkEnd w:id="100"/>
      <w:bookmarkStart w:id="101" w:name="_Toc184312072"/>
      <w:bookmarkEnd w:id="101"/>
      <w:bookmarkStart w:id="102" w:name="_Toc184314477"/>
      <w:bookmarkEnd w:id="102"/>
      <w:bookmarkStart w:id="103" w:name="_Toc184308059"/>
      <w:bookmarkEnd w:id="103"/>
      <w:bookmarkStart w:id="104" w:name="_Toc184313259"/>
      <w:bookmarkEnd w:id="104"/>
      <w:bookmarkStart w:id="105" w:name="_Toc184312100"/>
      <w:bookmarkEnd w:id="105"/>
      <w:bookmarkStart w:id="106" w:name="_Toc184308057"/>
      <w:bookmarkEnd w:id="106"/>
      <w:bookmarkStart w:id="107" w:name="_Toc184314458"/>
      <w:bookmarkEnd w:id="107"/>
      <w:bookmarkStart w:id="108" w:name="_Toc184314461"/>
      <w:bookmarkEnd w:id="108"/>
      <w:bookmarkStart w:id="109" w:name="_Toc184308105"/>
      <w:bookmarkEnd w:id="109"/>
      <w:bookmarkStart w:id="110" w:name="_Toc184313245"/>
      <w:bookmarkEnd w:id="110"/>
      <w:bookmarkStart w:id="111" w:name="_Toc184308062"/>
      <w:bookmarkEnd w:id="111"/>
      <w:bookmarkStart w:id="112" w:name="_Toc184308087"/>
      <w:bookmarkEnd w:id="112"/>
      <w:bookmarkStart w:id="113" w:name="_Toc184308048"/>
      <w:bookmarkEnd w:id="113"/>
      <w:bookmarkStart w:id="114" w:name="_Toc184310277"/>
      <w:bookmarkEnd w:id="114"/>
      <w:bookmarkStart w:id="115" w:name="_Toc184313243"/>
      <w:bookmarkEnd w:id="115"/>
      <w:bookmarkStart w:id="116" w:name="_Toc184314470"/>
      <w:bookmarkEnd w:id="116"/>
      <w:bookmarkStart w:id="117" w:name="_Toc184314411"/>
      <w:bookmarkEnd w:id="117"/>
      <w:bookmarkStart w:id="118" w:name="_Toc184308106"/>
      <w:bookmarkEnd w:id="118"/>
      <w:bookmarkStart w:id="119" w:name="_Toc184312082"/>
      <w:bookmarkEnd w:id="119"/>
      <w:bookmarkStart w:id="120" w:name="_Toc184312111"/>
      <w:bookmarkEnd w:id="120"/>
      <w:bookmarkStart w:id="121" w:name="_Toc184313267"/>
      <w:bookmarkEnd w:id="121"/>
      <w:bookmarkStart w:id="122" w:name="_Toc184312089"/>
      <w:bookmarkEnd w:id="122"/>
      <w:bookmarkStart w:id="123" w:name="_Toc184313246"/>
      <w:bookmarkEnd w:id="123"/>
      <w:bookmarkStart w:id="124" w:name="_Toc184310342"/>
      <w:bookmarkEnd w:id="124"/>
      <w:bookmarkStart w:id="125" w:name="_Toc184313248"/>
      <w:bookmarkEnd w:id="125"/>
      <w:bookmarkStart w:id="126" w:name="_Toc184312121"/>
      <w:bookmarkEnd w:id="126"/>
      <w:bookmarkStart w:id="127" w:name="_Toc184314463"/>
      <w:bookmarkEnd w:id="127"/>
      <w:bookmarkStart w:id="128" w:name="_Toc184310276"/>
      <w:bookmarkEnd w:id="128"/>
      <w:bookmarkStart w:id="129" w:name="_Toc184308037"/>
      <w:bookmarkEnd w:id="129"/>
      <w:bookmarkStart w:id="130" w:name="_Toc184314467"/>
      <w:bookmarkEnd w:id="130"/>
      <w:bookmarkStart w:id="131" w:name="_Toc184313273"/>
      <w:bookmarkEnd w:id="131"/>
      <w:bookmarkStart w:id="132" w:name="_Toc184314474"/>
      <w:bookmarkEnd w:id="132"/>
      <w:bookmarkStart w:id="133" w:name="_Toc184312077"/>
      <w:bookmarkEnd w:id="133"/>
      <w:bookmarkStart w:id="134" w:name="_Toc184310303"/>
      <w:bookmarkEnd w:id="134"/>
      <w:bookmarkStart w:id="135" w:name="_Toc184313294"/>
      <w:bookmarkEnd w:id="135"/>
      <w:bookmarkStart w:id="136" w:name="_Toc184314416"/>
      <w:bookmarkEnd w:id="136"/>
      <w:bookmarkStart w:id="137" w:name="_Toc184310337"/>
      <w:bookmarkEnd w:id="137"/>
      <w:bookmarkStart w:id="138" w:name="_Toc184313292"/>
      <w:bookmarkEnd w:id="138"/>
      <w:bookmarkStart w:id="139" w:name="_Toc184312123"/>
      <w:bookmarkEnd w:id="139"/>
      <w:bookmarkStart w:id="140" w:name="_Toc184313308"/>
      <w:bookmarkEnd w:id="140"/>
      <w:bookmarkStart w:id="141" w:name="_Toc184314459"/>
      <w:bookmarkEnd w:id="141"/>
      <w:bookmarkStart w:id="142" w:name="_Toc184313239"/>
      <w:bookmarkEnd w:id="142"/>
      <w:bookmarkStart w:id="143" w:name="_Toc184313299"/>
      <w:bookmarkEnd w:id="143"/>
      <w:bookmarkStart w:id="144" w:name="_Toc184312093"/>
      <w:bookmarkEnd w:id="144"/>
      <w:bookmarkStart w:id="145" w:name="_Toc184312084"/>
      <w:bookmarkEnd w:id="145"/>
      <w:bookmarkStart w:id="146" w:name="_Toc184313300"/>
      <w:bookmarkEnd w:id="146"/>
      <w:bookmarkStart w:id="147" w:name="_Toc184314480"/>
      <w:bookmarkEnd w:id="147"/>
      <w:bookmarkStart w:id="148" w:name="_Toc184308046"/>
      <w:bookmarkEnd w:id="148"/>
      <w:bookmarkStart w:id="149" w:name="_Toc184312127"/>
      <w:bookmarkEnd w:id="149"/>
      <w:bookmarkStart w:id="150" w:name="_Toc184312109"/>
      <w:bookmarkEnd w:id="150"/>
      <w:bookmarkStart w:id="151" w:name="_Toc184308104"/>
      <w:bookmarkEnd w:id="151"/>
      <w:bookmarkStart w:id="152" w:name="_Toc184312068"/>
      <w:bookmarkEnd w:id="152"/>
      <w:bookmarkStart w:id="153" w:name="_Toc184308100"/>
      <w:bookmarkEnd w:id="153"/>
      <w:bookmarkStart w:id="154" w:name="_Toc184314439"/>
      <w:bookmarkEnd w:id="154"/>
      <w:bookmarkStart w:id="155" w:name="_Toc184314466"/>
      <w:bookmarkEnd w:id="155"/>
      <w:bookmarkStart w:id="156" w:name="_Toc184310317"/>
      <w:bookmarkEnd w:id="156"/>
      <w:bookmarkStart w:id="157" w:name="_Toc184312112"/>
      <w:bookmarkEnd w:id="157"/>
      <w:bookmarkStart w:id="158" w:name="_Toc184312114"/>
      <w:bookmarkEnd w:id="158"/>
      <w:bookmarkStart w:id="159" w:name="_Toc184310278"/>
      <w:bookmarkEnd w:id="159"/>
      <w:bookmarkStart w:id="160" w:name="_Toc184308083"/>
      <w:bookmarkEnd w:id="160"/>
      <w:bookmarkStart w:id="161" w:name="_Toc184313287"/>
      <w:bookmarkEnd w:id="161"/>
      <w:bookmarkStart w:id="162" w:name="_Toc184312113"/>
      <w:bookmarkEnd w:id="162"/>
      <w:bookmarkStart w:id="163" w:name="_Toc184310325"/>
      <w:bookmarkEnd w:id="163"/>
      <w:bookmarkStart w:id="164" w:name="_Toc184312116"/>
      <w:bookmarkEnd w:id="164"/>
      <w:bookmarkStart w:id="165" w:name="_Toc184313241"/>
      <w:bookmarkEnd w:id="165"/>
      <w:bookmarkStart w:id="166" w:name="_Toc184312108"/>
      <w:bookmarkEnd w:id="166"/>
      <w:bookmarkStart w:id="167" w:name="_Toc184310336"/>
      <w:bookmarkEnd w:id="167"/>
      <w:bookmarkStart w:id="168" w:name="_Toc184310329"/>
      <w:bookmarkEnd w:id="168"/>
      <w:bookmarkStart w:id="169" w:name="_Toc184312120"/>
      <w:bookmarkEnd w:id="169"/>
      <w:bookmarkStart w:id="170" w:name="_Toc184308050"/>
      <w:bookmarkEnd w:id="170"/>
      <w:bookmarkStart w:id="171" w:name="_Toc184314443"/>
      <w:bookmarkEnd w:id="171"/>
      <w:bookmarkStart w:id="172" w:name="_Toc184310291"/>
      <w:bookmarkEnd w:id="172"/>
      <w:bookmarkStart w:id="173" w:name="_Toc184308043"/>
      <w:bookmarkEnd w:id="173"/>
      <w:bookmarkStart w:id="174" w:name="_Toc184314465"/>
      <w:bookmarkEnd w:id="174"/>
      <w:bookmarkStart w:id="175" w:name="_Toc184312119"/>
      <w:bookmarkEnd w:id="175"/>
      <w:bookmarkStart w:id="176" w:name="_Toc184314425"/>
      <w:bookmarkEnd w:id="176"/>
      <w:bookmarkStart w:id="177" w:name="_Toc184314423"/>
      <w:bookmarkEnd w:id="177"/>
      <w:bookmarkStart w:id="178" w:name="_Toc184308049"/>
      <w:bookmarkEnd w:id="178"/>
      <w:bookmarkStart w:id="179" w:name="_Toc184314438"/>
      <w:bookmarkEnd w:id="179"/>
      <w:bookmarkStart w:id="180" w:name="_Toc184308085"/>
      <w:bookmarkEnd w:id="180"/>
      <w:bookmarkStart w:id="181" w:name="_Toc184313257"/>
      <w:bookmarkEnd w:id="181"/>
      <w:bookmarkStart w:id="182" w:name="_Toc184312088"/>
      <w:bookmarkEnd w:id="182"/>
      <w:bookmarkStart w:id="183" w:name="_Toc184308082"/>
      <w:bookmarkEnd w:id="183"/>
      <w:bookmarkStart w:id="184" w:name="_Toc184308075"/>
      <w:bookmarkEnd w:id="184"/>
      <w:bookmarkStart w:id="185" w:name="_Toc184312132"/>
      <w:bookmarkEnd w:id="185"/>
      <w:bookmarkStart w:id="186" w:name="_Toc184308084"/>
      <w:bookmarkEnd w:id="186"/>
      <w:bookmarkStart w:id="187" w:name="_Toc184314419"/>
      <w:bookmarkEnd w:id="187"/>
      <w:bookmarkStart w:id="188" w:name="_Toc184313281"/>
      <w:bookmarkEnd w:id="188"/>
      <w:bookmarkStart w:id="189" w:name="_Toc184312098"/>
      <w:bookmarkEnd w:id="189"/>
      <w:bookmarkStart w:id="190" w:name="_Toc184308073"/>
      <w:bookmarkEnd w:id="190"/>
      <w:bookmarkStart w:id="191" w:name="_Toc184312134"/>
      <w:bookmarkEnd w:id="191"/>
      <w:bookmarkStart w:id="192" w:name="_Toc184308061"/>
      <w:bookmarkEnd w:id="192"/>
      <w:bookmarkStart w:id="193" w:name="_Toc184310331"/>
      <w:bookmarkEnd w:id="193"/>
      <w:bookmarkStart w:id="194" w:name="_Toc184313298"/>
      <w:bookmarkEnd w:id="194"/>
      <w:bookmarkStart w:id="195" w:name="_Toc184308042"/>
      <w:bookmarkEnd w:id="195"/>
      <w:bookmarkStart w:id="196" w:name="_Toc184308074"/>
      <w:bookmarkEnd w:id="196"/>
      <w:bookmarkStart w:id="197" w:name="_Toc184308040"/>
      <w:bookmarkEnd w:id="197"/>
      <w:bookmarkStart w:id="198" w:name="_Toc184312069"/>
      <w:bookmarkEnd w:id="198"/>
      <w:bookmarkStart w:id="199" w:name="_Toc184310275"/>
      <w:bookmarkEnd w:id="199"/>
      <w:bookmarkStart w:id="200" w:name="_Toc184313303"/>
      <w:bookmarkEnd w:id="200"/>
      <w:bookmarkStart w:id="201" w:name="_Toc184314412"/>
      <w:bookmarkEnd w:id="201"/>
      <w:bookmarkStart w:id="202" w:name="_Toc184312096"/>
      <w:bookmarkEnd w:id="202"/>
      <w:bookmarkStart w:id="203" w:name="_Toc184312117"/>
      <w:bookmarkEnd w:id="203"/>
      <w:bookmarkStart w:id="204" w:name="_Toc184312115"/>
      <w:bookmarkEnd w:id="204"/>
      <w:bookmarkStart w:id="205" w:name="_Toc184314476"/>
      <w:bookmarkEnd w:id="205"/>
      <w:bookmarkStart w:id="206" w:name="_Toc184313304"/>
      <w:bookmarkEnd w:id="206"/>
      <w:bookmarkStart w:id="207" w:name="_Toc184312092"/>
      <w:bookmarkEnd w:id="207"/>
      <w:bookmarkStart w:id="208" w:name="_Toc184310288"/>
      <w:bookmarkEnd w:id="208"/>
      <w:bookmarkStart w:id="209" w:name="_Toc184308090"/>
      <w:bookmarkEnd w:id="209"/>
      <w:bookmarkStart w:id="210" w:name="_Toc184308068"/>
      <w:bookmarkEnd w:id="210"/>
      <w:bookmarkStart w:id="211" w:name="_Toc184314441"/>
      <w:bookmarkEnd w:id="211"/>
      <w:bookmarkStart w:id="212" w:name="_Toc184312125"/>
      <w:bookmarkEnd w:id="212"/>
      <w:bookmarkStart w:id="213" w:name="_Toc184310290"/>
      <w:bookmarkEnd w:id="213"/>
      <w:bookmarkStart w:id="214" w:name="_Toc184308054"/>
      <w:bookmarkEnd w:id="214"/>
      <w:bookmarkStart w:id="215" w:name="_Toc184312094"/>
      <w:bookmarkEnd w:id="215"/>
      <w:bookmarkStart w:id="216" w:name="_Toc184310273"/>
      <w:bookmarkEnd w:id="216"/>
      <w:bookmarkStart w:id="217" w:name="_Toc184308081"/>
      <w:bookmarkEnd w:id="217"/>
      <w:bookmarkStart w:id="218" w:name="_Toc184312097"/>
      <w:bookmarkEnd w:id="218"/>
      <w:bookmarkStart w:id="219" w:name="_Toc184313293"/>
      <w:bookmarkEnd w:id="219"/>
      <w:bookmarkStart w:id="220" w:name="_Toc184312122"/>
      <w:bookmarkEnd w:id="220"/>
      <w:bookmarkStart w:id="221" w:name="_Toc184312083"/>
      <w:bookmarkEnd w:id="221"/>
      <w:bookmarkStart w:id="222" w:name="_Toc184308036"/>
      <w:bookmarkEnd w:id="222"/>
      <w:bookmarkStart w:id="223" w:name="_Toc184308055"/>
      <w:bookmarkEnd w:id="223"/>
      <w:bookmarkStart w:id="224" w:name="_Toc184310334"/>
      <w:bookmarkEnd w:id="224"/>
      <w:bookmarkStart w:id="225" w:name="_Toc184312130"/>
      <w:bookmarkEnd w:id="225"/>
      <w:bookmarkStart w:id="226" w:name="_Toc184310286"/>
      <w:bookmarkEnd w:id="226"/>
      <w:bookmarkStart w:id="227" w:name="_Toc184308099"/>
      <w:bookmarkEnd w:id="227"/>
      <w:bookmarkStart w:id="228" w:name="_Toc184310340"/>
      <w:bookmarkEnd w:id="228"/>
      <w:bookmarkStart w:id="229" w:name="_Toc184310302"/>
      <w:bookmarkEnd w:id="229"/>
      <w:bookmarkStart w:id="230" w:name="_Toc184313290"/>
      <w:bookmarkEnd w:id="230"/>
      <w:bookmarkStart w:id="231" w:name="_Toc184313253"/>
      <w:bookmarkEnd w:id="231"/>
      <w:bookmarkStart w:id="232" w:name="_Toc184310301"/>
      <w:bookmarkEnd w:id="232"/>
      <w:bookmarkStart w:id="233" w:name="_Toc184314475"/>
      <w:bookmarkEnd w:id="233"/>
      <w:bookmarkStart w:id="234" w:name="_Toc184314440"/>
      <w:bookmarkEnd w:id="234"/>
      <w:bookmarkStart w:id="235" w:name="_Toc184312087"/>
      <w:bookmarkEnd w:id="235"/>
      <w:bookmarkStart w:id="236" w:name="_Toc184310305"/>
      <w:bookmarkEnd w:id="236"/>
      <w:bookmarkStart w:id="237" w:name="_Toc184308088"/>
      <w:bookmarkEnd w:id="237"/>
      <w:bookmarkStart w:id="238" w:name="_Toc184314468"/>
      <w:bookmarkEnd w:id="238"/>
      <w:bookmarkStart w:id="239" w:name="_Toc184312137"/>
      <w:bookmarkEnd w:id="239"/>
      <w:bookmarkStart w:id="240" w:name="_Toc184310309"/>
      <w:bookmarkEnd w:id="240"/>
      <w:bookmarkStart w:id="241" w:name="_Toc184308069"/>
      <w:bookmarkEnd w:id="241"/>
      <w:bookmarkStart w:id="242" w:name="_Toc184312136"/>
      <w:bookmarkEnd w:id="242"/>
      <w:bookmarkStart w:id="243" w:name="_Toc184313284"/>
      <w:bookmarkEnd w:id="243"/>
      <w:bookmarkStart w:id="244" w:name="_Toc184312110"/>
      <w:bookmarkEnd w:id="244"/>
      <w:bookmarkStart w:id="245" w:name="_Toc184314436"/>
      <w:bookmarkEnd w:id="245"/>
      <w:bookmarkStart w:id="246" w:name="_Toc184313258"/>
      <w:bookmarkEnd w:id="246"/>
      <w:bookmarkStart w:id="247" w:name="_Toc184314413"/>
      <w:bookmarkEnd w:id="247"/>
      <w:bookmarkStart w:id="248" w:name="_Toc184313280"/>
      <w:bookmarkEnd w:id="248"/>
      <w:bookmarkStart w:id="249" w:name="_Toc184308077"/>
      <w:bookmarkEnd w:id="249"/>
      <w:bookmarkStart w:id="250" w:name="_Toc184308064"/>
      <w:bookmarkEnd w:id="250"/>
      <w:bookmarkStart w:id="251" w:name="_Toc184308107"/>
      <w:bookmarkEnd w:id="251"/>
      <w:bookmarkStart w:id="252" w:name="_Toc184312131"/>
      <w:bookmarkEnd w:id="252"/>
      <w:bookmarkStart w:id="253" w:name="_Toc184313289"/>
      <w:bookmarkEnd w:id="253"/>
      <w:bookmarkStart w:id="254" w:name="_Toc184313305"/>
      <w:bookmarkEnd w:id="254"/>
      <w:bookmarkStart w:id="255" w:name="_Toc184313251"/>
      <w:bookmarkEnd w:id="255"/>
      <w:bookmarkStart w:id="256" w:name="_Toc184310307"/>
      <w:bookmarkEnd w:id="256"/>
      <w:bookmarkStart w:id="257" w:name="_Toc184310315"/>
      <w:bookmarkEnd w:id="257"/>
      <w:bookmarkStart w:id="258" w:name="_Toc184308072"/>
      <w:bookmarkEnd w:id="258"/>
      <w:bookmarkStart w:id="259" w:name="_Toc184313240"/>
      <w:bookmarkEnd w:id="259"/>
      <w:bookmarkStart w:id="260" w:name="_Toc184310322"/>
      <w:bookmarkEnd w:id="260"/>
      <w:bookmarkStart w:id="261" w:name="_Toc184312076"/>
      <w:bookmarkEnd w:id="261"/>
      <w:bookmarkStart w:id="262" w:name="_Toc184312118"/>
      <w:bookmarkEnd w:id="262"/>
      <w:bookmarkStart w:id="263" w:name="_Toc184312126"/>
      <w:bookmarkEnd w:id="263"/>
      <w:bookmarkStart w:id="264" w:name="_Toc184308056"/>
      <w:bookmarkEnd w:id="264"/>
      <w:bookmarkStart w:id="265" w:name="_Toc184308102"/>
      <w:bookmarkEnd w:id="265"/>
      <w:bookmarkStart w:id="266" w:name="_Toc184314426"/>
      <w:bookmarkEnd w:id="266"/>
      <w:bookmarkStart w:id="267" w:name="_Toc184308098"/>
      <w:bookmarkEnd w:id="267"/>
      <w:bookmarkStart w:id="268" w:name="_Toc184312128"/>
      <w:bookmarkEnd w:id="268"/>
      <w:bookmarkStart w:id="269" w:name="_Toc184310280"/>
      <w:bookmarkEnd w:id="269"/>
      <w:bookmarkStart w:id="270" w:name="_Toc184314422"/>
      <w:bookmarkEnd w:id="270"/>
      <w:bookmarkStart w:id="271" w:name="_Toc184313291"/>
      <w:bookmarkEnd w:id="271"/>
      <w:bookmarkStart w:id="272" w:name="_Toc184313285"/>
      <w:bookmarkEnd w:id="272"/>
      <w:bookmarkStart w:id="273" w:name="_Toc184308078"/>
      <w:bookmarkEnd w:id="273"/>
      <w:bookmarkStart w:id="274" w:name="_Toc184310294"/>
      <w:bookmarkEnd w:id="274"/>
      <w:bookmarkStart w:id="275" w:name="_Toc184312090"/>
      <w:bookmarkEnd w:id="275"/>
      <w:bookmarkStart w:id="276" w:name="_Toc184312070"/>
      <w:bookmarkEnd w:id="276"/>
      <w:bookmarkStart w:id="277" w:name="_Toc184308060"/>
      <w:bookmarkEnd w:id="277"/>
      <w:bookmarkStart w:id="278" w:name="_Toc184313279"/>
      <w:bookmarkEnd w:id="278"/>
      <w:bookmarkStart w:id="279" w:name="_Toc184310338"/>
      <w:bookmarkEnd w:id="279"/>
      <w:bookmarkStart w:id="280" w:name="_Toc184314452"/>
      <w:bookmarkEnd w:id="280"/>
      <w:bookmarkStart w:id="281" w:name="_Toc184314410"/>
      <w:bookmarkEnd w:id="281"/>
      <w:bookmarkStart w:id="282" w:name="_Toc184313286"/>
      <w:bookmarkEnd w:id="282"/>
      <w:bookmarkStart w:id="283" w:name="_Toc184313302"/>
      <w:bookmarkEnd w:id="283"/>
      <w:bookmarkStart w:id="284" w:name="_Toc184310306"/>
      <w:bookmarkEnd w:id="284"/>
      <w:bookmarkStart w:id="285" w:name="_Toc184310296"/>
      <w:bookmarkEnd w:id="285"/>
      <w:bookmarkStart w:id="286" w:name="_Toc184313288"/>
      <w:bookmarkEnd w:id="286"/>
      <w:bookmarkStart w:id="287" w:name="_Toc184313307"/>
      <w:bookmarkEnd w:id="287"/>
      <w:bookmarkStart w:id="288" w:name="_Toc184313306"/>
      <w:bookmarkEnd w:id="288"/>
      <w:bookmarkStart w:id="289" w:name="_Toc184314464"/>
      <w:bookmarkEnd w:id="289"/>
      <w:bookmarkStart w:id="290" w:name="_Toc184313247"/>
      <w:bookmarkEnd w:id="290"/>
      <w:bookmarkStart w:id="291" w:name="_Toc184308095"/>
      <w:bookmarkEnd w:id="291"/>
      <w:bookmarkStart w:id="292" w:name="_Toc184314456"/>
      <w:bookmarkEnd w:id="292"/>
      <w:bookmarkStart w:id="293" w:name="_Toc184313275"/>
      <w:bookmarkEnd w:id="293"/>
      <w:bookmarkStart w:id="294" w:name="_Toc184313242"/>
      <w:bookmarkEnd w:id="294"/>
      <w:bookmarkStart w:id="295" w:name="_Toc184313250"/>
      <w:bookmarkEnd w:id="295"/>
      <w:bookmarkStart w:id="296" w:name="_Toc184308058"/>
      <w:bookmarkEnd w:id="296"/>
      <w:bookmarkStart w:id="297" w:name="_Toc184313263"/>
      <w:bookmarkEnd w:id="297"/>
      <w:bookmarkStart w:id="298" w:name="_Toc184308076"/>
      <w:bookmarkEnd w:id="298"/>
      <w:bookmarkStart w:id="299" w:name="_Toc184314454"/>
      <w:bookmarkEnd w:id="299"/>
      <w:bookmarkStart w:id="300" w:name="_Toc184310282"/>
      <w:bookmarkEnd w:id="300"/>
      <w:bookmarkStart w:id="301" w:name="_Toc184314446"/>
      <w:bookmarkEnd w:id="301"/>
      <w:bookmarkStart w:id="302" w:name="_Toc184313268"/>
      <w:bookmarkEnd w:id="302"/>
      <w:bookmarkStart w:id="303" w:name="_Toc184314435"/>
      <w:bookmarkEnd w:id="303"/>
      <w:bookmarkStart w:id="304" w:name="_Toc184310343"/>
      <w:bookmarkEnd w:id="304"/>
      <w:bookmarkStart w:id="305" w:name="_Toc184308093"/>
      <w:bookmarkEnd w:id="305"/>
      <w:bookmarkStart w:id="306" w:name="_Toc184310300"/>
      <w:bookmarkEnd w:id="306"/>
      <w:bookmarkStart w:id="307" w:name="_Toc184308101"/>
      <w:bookmarkEnd w:id="307"/>
      <w:bookmarkStart w:id="308" w:name="_Toc184314481"/>
      <w:bookmarkEnd w:id="308"/>
      <w:bookmarkStart w:id="309" w:name="_Toc184313309"/>
      <w:bookmarkEnd w:id="309"/>
      <w:bookmarkStart w:id="310" w:name="_Toc184310323"/>
      <w:bookmarkEnd w:id="310"/>
      <w:bookmarkStart w:id="311" w:name="_Toc184313249"/>
      <w:bookmarkEnd w:id="311"/>
      <w:bookmarkStart w:id="312" w:name="_Toc184313278"/>
      <w:bookmarkEnd w:id="312"/>
      <w:bookmarkStart w:id="313" w:name="_Toc184312133"/>
      <w:bookmarkEnd w:id="313"/>
      <w:bookmarkStart w:id="314" w:name="_Toc184308052"/>
      <w:bookmarkEnd w:id="314"/>
      <w:bookmarkStart w:id="315" w:name="_Toc184310298"/>
      <w:bookmarkEnd w:id="315"/>
      <w:bookmarkStart w:id="316" w:name="_Toc184314430"/>
      <w:bookmarkEnd w:id="316"/>
      <w:bookmarkStart w:id="317" w:name="_Toc184313296"/>
      <w:bookmarkEnd w:id="317"/>
      <w:bookmarkStart w:id="318" w:name="_Toc184310295"/>
      <w:bookmarkEnd w:id="318"/>
      <w:bookmarkStart w:id="319" w:name="_Toc184313282"/>
      <w:bookmarkEnd w:id="319"/>
      <w:bookmarkStart w:id="320" w:name="_Toc184308053"/>
      <w:bookmarkEnd w:id="320"/>
      <w:bookmarkStart w:id="321" w:name="_Toc184310318"/>
      <w:bookmarkEnd w:id="321"/>
      <w:bookmarkStart w:id="322" w:name="_Toc184310327"/>
      <w:bookmarkEnd w:id="322"/>
      <w:bookmarkStart w:id="323" w:name="_Toc184313269"/>
      <w:bookmarkEnd w:id="323"/>
      <w:bookmarkStart w:id="324" w:name="_Toc184308079"/>
      <w:bookmarkEnd w:id="324"/>
      <w:bookmarkStart w:id="325" w:name="_Toc184312124"/>
      <w:bookmarkEnd w:id="325"/>
      <w:bookmarkStart w:id="326" w:name="_Toc184313274"/>
      <w:bookmarkEnd w:id="326"/>
      <w:bookmarkStart w:id="327" w:name="_Toc184310293"/>
      <w:bookmarkEnd w:id="327"/>
      <w:bookmarkStart w:id="328" w:name="_Toc184308041"/>
      <w:bookmarkEnd w:id="328"/>
      <w:bookmarkStart w:id="329" w:name="_Toc184310332"/>
      <w:bookmarkEnd w:id="329"/>
      <w:bookmarkStart w:id="330" w:name="_Toc184314451"/>
      <w:bookmarkEnd w:id="330"/>
      <w:bookmarkStart w:id="331" w:name="_Toc184312103"/>
      <w:bookmarkEnd w:id="331"/>
      <w:bookmarkStart w:id="332" w:name="_Toc184310320"/>
      <w:bookmarkEnd w:id="332"/>
      <w:bookmarkStart w:id="333" w:name="_Toc184313283"/>
      <w:bookmarkEnd w:id="333"/>
      <w:bookmarkStart w:id="334" w:name="_Toc184310330"/>
      <w:bookmarkEnd w:id="334"/>
      <w:bookmarkStart w:id="335" w:name="_Toc184314482"/>
      <w:bookmarkEnd w:id="335"/>
      <w:bookmarkStart w:id="336" w:name="_Toc184308045"/>
      <w:bookmarkEnd w:id="336"/>
      <w:bookmarkStart w:id="337" w:name="_Toc184308047"/>
      <w:bookmarkEnd w:id="337"/>
      <w:bookmarkStart w:id="338" w:name="_Toc184308092"/>
      <w:bookmarkEnd w:id="338"/>
      <w:bookmarkStart w:id="339" w:name="_Toc184310310"/>
      <w:bookmarkEnd w:id="339"/>
      <w:bookmarkStart w:id="340" w:name="_Toc184314448"/>
      <w:bookmarkEnd w:id="340"/>
      <w:bookmarkStart w:id="341" w:name="_Toc184313297"/>
      <w:bookmarkEnd w:id="341"/>
      <w:bookmarkStart w:id="342" w:name="_Toc184314469"/>
      <w:bookmarkEnd w:id="342"/>
      <w:bookmarkStart w:id="343" w:name="_Toc184310283"/>
      <w:bookmarkEnd w:id="343"/>
      <w:bookmarkStart w:id="344" w:name="_Toc184313265"/>
      <w:bookmarkEnd w:id="344"/>
      <w:bookmarkStart w:id="345" w:name="_Toc184314471"/>
      <w:bookmarkEnd w:id="345"/>
      <w:bookmarkStart w:id="346" w:name="_Toc184310299"/>
      <w:bookmarkEnd w:id="346"/>
      <w:bookmarkStart w:id="347" w:name="_Toc184313238"/>
      <w:bookmarkEnd w:id="347"/>
      <w:bookmarkStart w:id="348" w:name="_Toc184308066"/>
      <w:bookmarkEnd w:id="348"/>
      <w:bookmarkStart w:id="349" w:name="_Toc184313276"/>
      <w:bookmarkEnd w:id="349"/>
      <w:bookmarkStart w:id="350" w:name="_Toc184314455"/>
      <w:bookmarkEnd w:id="350"/>
      <w:bookmarkStart w:id="351" w:name="_Toc184313271"/>
      <w:bookmarkEnd w:id="351"/>
      <w:bookmarkStart w:id="352" w:name="_Toc184308070"/>
      <w:bookmarkEnd w:id="352"/>
      <w:bookmarkStart w:id="353" w:name="_Toc184314437"/>
      <w:bookmarkEnd w:id="353"/>
      <w:bookmarkStart w:id="354" w:name="_Toc184308086"/>
      <w:bookmarkEnd w:id="354"/>
      <w:bookmarkStart w:id="355" w:name="_Toc184310316"/>
      <w:bookmarkEnd w:id="355"/>
      <w:bookmarkStart w:id="356" w:name="_Toc184313262"/>
      <w:bookmarkEnd w:id="356"/>
      <w:bookmarkStart w:id="357" w:name="_Toc184310321"/>
      <w:bookmarkEnd w:id="357"/>
      <w:bookmarkStart w:id="358" w:name="_Toc184312107"/>
      <w:bookmarkEnd w:id="358"/>
      <w:bookmarkStart w:id="359" w:name="_Toc184314421"/>
      <w:bookmarkEnd w:id="359"/>
      <w:bookmarkStart w:id="360" w:name="_Toc184314478"/>
      <w:bookmarkEnd w:id="360"/>
      <w:bookmarkStart w:id="361" w:name="_Toc184314450"/>
      <w:bookmarkEnd w:id="361"/>
      <w:bookmarkStart w:id="362" w:name="_Toc184312075"/>
      <w:bookmarkEnd w:id="362"/>
      <w:bookmarkStart w:id="363" w:name="_Toc184308044"/>
      <w:bookmarkEnd w:id="363"/>
      <w:bookmarkStart w:id="364" w:name="_Toc184312104"/>
      <w:bookmarkEnd w:id="364"/>
      <w:bookmarkStart w:id="365" w:name="_Toc184310281"/>
      <w:bookmarkEnd w:id="365"/>
      <w:bookmarkStart w:id="366" w:name="_Toc184310324"/>
      <w:bookmarkEnd w:id="366"/>
      <w:bookmarkStart w:id="367" w:name="_Toc184308097"/>
      <w:bookmarkEnd w:id="367"/>
      <w:bookmarkStart w:id="368" w:name="_Toc184312085"/>
      <w:bookmarkEnd w:id="368"/>
      <w:bookmarkStart w:id="369" w:name="_Toc184312105"/>
      <w:bookmarkEnd w:id="369"/>
      <w:bookmarkStart w:id="370" w:name="_Toc184312099"/>
      <w:bookmarkEnd w:id="370"/>
      <w:bookmarkStart w:id="371" w:name="_Toc184310311"/>
      <w:bookmarkEnd w:id="371"/>
      <w:bookmarkStart w:id="372" w:name="_Toc184312067"/>
      <w:bookmarkEnd w:id="372"/>
      <w:bookmarkStart w:id="373" w:name="_Toc184314414"/>
      <w:bookmarkEnd w:id="373"/>
      <w:bookmarkStart w:id="374" w:name="_Toc184314473"/>
      <w:bookmarkEnd w:id="374"/>
      <w:bookmarkStart w:id="375" w:name="_Toc184312138"/>
      <w:bookmarkEnd w:id="375"/>
      <w:bookmarkStart w:id="376" w:name="_Toc184308080"/>
      <w:bookmarkEnd w:id="376"/>
      <w:bookmarkStart w:id="377" w:name="_Toc184310289"/>
      <w:bookmarkEnd w:id="377"/>
      <w:bookmarkStart w:id="378" w:name="_Toc184312080"/>
      <w:bookmarkEnd w:id="378"/>
      <w:bookmarkStart w:id="379" w:name="_Toc184313270"/>
      <w:bookmarkEnd w:id="379"/>
      <w:bookmarkStart w:id="380" w:name="_Toc184310313"/>
      <w:bookmarkEnd w:id="380"/>
      <w:bookmarkStart w:id="381" w:name="_Toc184310319"/>
      <w:bookmarkEnd w:id="381"/>
      <w:bookmarkStart w:id="382" w:name="_Toc184314415"/>
      <w:bookmarkEnd w:id="382"/>
      <w:bookmarkStart w:id="383" w:name="_Toc184314457"/>
      <w:bookmarkEnd w:id="383"/>
      <w:bookmarkStart w:id="384" w:name="_Toc184310287"/>
      <w:bookmarkEnd w:id="384"/>
      <w:bookmarkStart w:id="385" w:name="_Toc184310312"/>
      <w:bookmarkEnd w:id="385"/>
      <w:bookmarkStart w:id="386" w:name="_Toc184314442"/>
      <w:bookmarkEnd w:id="386"/>
      <w:bookmarkStart w:id="387" w:name="_Toc184308067"/>
      <w:bookmarkEnd w:id="387"/>
      <w:bookmarkStart w:id="388" w:name="_Toc184314424"/>
      <w:bookmarkEnd w:id="388"/>
      <w:bookmarkStart w:id="389" w:name="_Toc184313256"/>
      <w:bookmarkEnd w:id="389"/>
      <w:bookmarkStart w:id="390" w:name="_Toc184312102"/>
      <w:bookmarkEnd w:id="390"/>
      <w:bookmarkStart w:id="391" w:name="_Toc184312074"/>
      <w:bookmarkEnd w:id="391"/>
      <w:bookmarkStart w:id="392" w:name="_Toc184314445"/>
      <w:bookmarkEnd w:id="392"/>
      <w:bookmarkStart w:id="393" w:name="_Toc184314460"/>
      <w:bookmarkEnd w:id="393"/>
      <w:bookmarkStart w:id="394" w:name="_Toc184310292"/>
      <w:bookmarkEnd w:id="394"/>
      <w:bookmarkStart w:id="395" w:name="_Toc184312139"/>
      <w:bookmarkEnd w:id="395"/>
      <w:bookmarkStart w:id="396" w:name="_Toc184313252"/>
      <w:bookmarkEnd w:id="396"/>
      <w:bookmarkStart w:id="397" w:name="_Toc184312129"/>
      <w:bookmarkEnd w:id="397"/>
      <w:bookmarkStart w:id="398" w:name="_Toc184314444"/>
      <w:bookmarkEnd w:id="398"/>
      <w:bookmarkStart w:id="399" w:name="_Toc184312135"/>
      <w:bookmarkEnd w:id="399"/>
      <w:r>
        <w:rPr>
          <w:rFonts w:hint="eastAsia" w:ascii="仿宋" w:hAnsi="仿宋" w:eastAsia="仿宋" w:cs="仿宋"/>
          <w:b/>
          <w:color w:val="auto"/>
          <w:sz w:val="36"/>
          <w:szCs w:val="20"/>
          <w:highlight w:val="none"/>
        </w:rPr>
        <w:t xml:space="preserve"> 评审办法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3"/>
        <w:tblpPr w:leftFromText="180" w:rightFromText="180" w:vertAnchor="text" w:horzAnchor="page" w:tblpX="1031" w:tblpY="126"/>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5759"/>
        <w:gridCol w:w="7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67"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028" w:type="pct"/>
            <w:vAlign w:val="center"/>
          </w:tcPr>
          <w:p>
            <w:pPr>
              <w:spacing w:line="360" w:lineRule="auto"/>
              <w:ind w:firstLine="2640" w:firstLineChars="1100"/>
              <w:jc w:val="both"/>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408" w:type="pct"/>
            <w:vAlign w:val="center"/>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1095" w:type="pct"/>
          </w:tcPr>
          <w:p>
            <w:pP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r>
              <w:rPr>
                <w:rFonts w:hint="eastAsia" w:ascii="仿宋" w:hAnsi="仿宋" w:eastAsia="仿宋" w:cs="仿宋"/>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7"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w:t>
            </w:r>
          </w:p>
        </w:tc>
        <w:tc>
          <w:tcPr>
            <w:tcW w:w="3028" w:type="pct"/>
            <w:vAlign w:val="center"/>
          </w:tcPr>
          <w:p>
            <w:pPr>
              <w:spacing w:line="36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技术分</w:t>
            </w:r>
          </w:p>
        </w:tc>
        <w:tc>
          <w:tcPr>
            <w:tcW w:w="408" w:type="pct"/>
            <w:vAlign w:val="center"/>
          </w:tcPr>
          <w:p>
            <w:pPr>
              <w:spacing w:line="360" w:lineRule="auto"/>
              <w:jc w:val="center"/>
              <w:outlineLvl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7</w:t>
            </w:r>
          </w:p>
        </w:tc>
        <w:tc>
          <w:tcPr>
            <w:tcW w:w="1095" w:type="pct"/>
          </w:tcPr>
          <w:p>
            <w:pPr>
              <w:spacing w:line="360" w:lineRule="auto"/>
              <w:ind w:firstLine="1560" w:firstLineChars="650"/>
              <w:jc w:val="left"/>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028" w:type="pct"/>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拟派驻现场的项目组管理人员的组织分工、专业配置以及各专业工种配置和劳动力投入方案的评价。评价因素包括项目组管理人员的组织分工方案（0-1分）；专业配置以及各专业工种配置（0-3分）；劳动力投入方案（0-1分）。</w:t>
            </w:r>
          </w:p>
          <w:p>
            <w:pPr>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（证明材料 ：项目组人员须提供资质证书</w:t>
            </w:r>
            <w:r>
              <w:rPr>
                <w:rFonts w:hint="eastAsia" w:ascii="仿宋" w:hAnsi="仿宋" w:eastAsia="仿宋" w:cs="仿宋"/>
                <w:color w:val="auto"/>
                <w:sz w:val="24"/>
                <w:highlight w:val="none"/>
                <w:lang w:eastAsia="zh-CN"/>
              </w:rPr>
              <w:t>扫描</w:t>
            </w:r>
            <w:r>
              <w:rPr>
                <w:rFonts w:hint="eastAsia" w:ascii="仿宋" w:hAnsi="仿宋" w:eastAsia="仿宋" w:cs="仿宋"/>
                <w:color w:val="auto"/>
                <w:sz w:val="24"/>
                <w:highlight w:val="none"/>
              </w:rPr>
              <w:t xml:space="preserve">件）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项目人员方案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028" w:type="pct"/>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磋商供应商施工方案的评价。评价因素包括施工难点部位清单（0-1分）；施工安全性措施（0-2分）；质量控制标准（0-1分）；成品保护方案（0-1分）。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028" w:type="pct"/>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磋商供应商针对本项目的项目施工组织管理制度和施工组织措施的完整性、合理性评价。评价因素包括项目施工组织管理制度的完整性、合理性（0-2分）；施工组织措施的完整性、合理性（0-3分）。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施工组织管理制度和组织措施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磋商供应商质量管理体系的完善程度及确保本项目施工质量方案的评价。评价因素包括磋商供应商质量管理体系的完善程度措施内容（0-2分）；确保本项目施工质量方案措施内容（0-3分）。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质量管理体系</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施工质量方案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028" w:type="pct"/>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磋商供应商工期承诺和进度控制措施方案的评价，评价因素包括工期承诺（0-2）；进度计划满足程度与计划完善性的保证措施可行性（0-3）。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工期承诺和进度控制措施方案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在施工过程中采取的降尘、降噪、建筑垃圾处置及保证施工场地周边空气质量等环保创新措施的比较与评价。评价因素包括采取的降尘与降噪措施（0-2）；建筑垃圾处置的保证措施可行性（0-2）；采取的施工场地周边空气质量保证措施（0-1）。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环保创新措施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安全文明施工措施的完整性、合理性评价,包括对施工现场的材料堆场、施工通道的安排，对消防安全的保证措施等。评价因素包括施工现场的材料堆场措施方案（0-2）；施工通道的安排的措施保证（0-1）；消防安全的保证措施（0-2）。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安全文明施工措施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主要材料品牌选用及施工机械选用情况的评价。评价因素包括供应商选用的施工材料是否完全响应采购需求的（完全响应得3分，基本响应[材料品牌存在负偏离内容不多于2项]得2分，不能满足采购需求的[材料品牌存在负偏离内容不多于3项]，得0分）；施工机械选用及各阶段投入安排的保证性措施（0-2）。</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主要材料品牌选用及施工机械选用情况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磋商供应商主要改造措施与</w:t>
            </w:r>
            <w:r>
              <w:rPr>
                <w:rFonts w:hint="eastAsia" w:ascii="仿宋" w:hAnsi="仿宋" w:eastAsia="仿宋" w:cs="仿宋"/>
                <w:color w:val="auto"/>
                <w:sz w:val="24"/>
                <w:highlight w:val="none"/>
                <w:lang w:val="en-US" w:eastAsia="zh-CN"/>
              </w:rPr>
              <w:t>外墙</w:t>
            </w:r>
            <w:r>
              <w:rPr>
                <w:rFonts w:hint="eastAsia" w:ascii="仿宋" w:hAnsi="仿宋" w:eastAsia="仿宋" w:cs="仿宋"/>
                <w:color w:val="auto"/>
                <w:sz w:val="24"/>
                <w:highlight w:val="none"/>
              </w:rPr>
              <w:t>面装饰部位的施工措施完整性、合理性评价，评价因素包括</w:t>
            </w:r>
            <w:r>
              <w:rPr>
                <w:rFonts w:hint="eastAsia" w:ascii="仿宋" w:hAnsi="仿宋" w:eastAsia="仿宋" w:cs="仿宋"/>
                <w:color w:val="auto"/>
                <w:sz w:val="24"/>
                <w:highlight w:val="none"/>
                <w:lang w:val="en-US" w:eastAsia="zh-CN"/>
              </w:rPr>
              <w:t>外墙</w:t>
            </w:r>
            <w:r>
              <w:rPr>
                <w:rFonts w:hint="eastAsia" w:ascii="仿宋" w:hAnsi="仿宋" w:eastAsia="仿宋" w:cs="仿宋"/>
                <w:color w:val="auto"/>
                <w:sz w:val="24"/>
                <w:highlight w:val="none"/>
              </w:rPr>
              <w:t>面改造措施（0-3）；</w:t>
            </w:r>
            <w:r>
              <w:rPr>
                <w:rFonts w:hint="eastAsia" w:ascii="仿宋" w:hAnsi="仿宋" w:eastAsia="仿宋" w:cs="仿宋"/>
                <w:color w:val="auto"/>
                <w:sz w:val="24"/>
                <w:highlight w:val="none"/>
                <w:lang w:val="en-US" w:eastAsia="zh-CN"/>
              </w:rPr>
              <w:t>外墙</w:t>
            </w:r>
            <w:r>
              <w:rPr>
                <w:rFonts w:hint="eastAsia" w:ascii="仿宋" w:hAnsi="仿宋" w:eastAsia="仿宋" w:cs="仿宋"/>
                <w:color w:val="auto"/>
                <w:sz w:val="24"/>
                <w:highlight w:val="none"/>
              </w:rPr>
              <w:t xml:space="preserve">面装饰部位的施工保证措施（0-2）。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改造措施</w:t>
            </w:r>
            <w:r>
              <w:rPr>
                <w:rFonts w:hint="eastAsia" w:ascii="仿宋" w:hAnsi="仿宋" w:eastAsia="仿宋" w:cs="仿宋"/>
                <w:color w:val="auto"/>
                <w:sz w:val="24"/>
                <w:highlight w:val="none"/>
                <w:lang w:eastAsia="zh-CN"/>
              </w:rPr>
              <w:t>与</w:t>
            </w:r>
            <w:r>
              <w:rPr>
                <w:rFonts w:hint="eastAsia" w:ascii="仿宋" w:hAnsi="仿宋" w:eastAsia="仿宋" w:cs="仿宋"/>
                <w:color w:val="auto"/>
                <w:sz w:val="24"/>
                <w:highlight w:val="none"/>
                <w:lang w:val="en-US" w:eastAsia="zh-CN"/>
              </w:rPr>
              <w:t>外墙</w:t>
            </w:r>
            <w:r>
              <w:rPr>
                <w:rFonts w:hint="eastAsia" w:ascii="仿宋" w:hAnsi="仿宋" w:eastAsia="仿宋" w:cs="仿宋"/>
                <w:color w:val="auto"/>
                <w:sz w:val="24"/>
                <w:highlight w:val="none"/>
              </w:rPr>
              <w:t>面装饰部位的施工措施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磋商供应商对施工过程中突发事件的处理预案及承诺的紧急响应时间的评价。评价因素包括突发事件的处理预案（0-2）；响应时间（0-1）、投入人员力量及人员安排方案（0-2）。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突发事件的处理预案及承诺的紧急响应时间的评价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磋商供应商售后服务承诺的范围和完善程度的评价，评价因素包括保修范围与保修内容（0-2）；人员配备（0-1）；故障响应修复时间方式（0-1）；服务承诺保障措施（0-1）。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售后服务承诺的范围和完善程度的评价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磋商供应商施工平面布置、现场临设安排的合理情况；评价因素包括根据施工的总体方案及各阶段的施工划分设置施工平面（0-2）；现场临设安排设置方案（0-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p>
        </w:tc>
        <w:tc>
          <w:tcPr>
            <w:tcW w:w="408" w:type="pct"/>
            <w:vAlign w:val="center"/>
          </w:tcPr>
          <w:p>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095" w:type="pct"/>
            <w:vAlign w:val="center"/>
          </w:tcPr>
          <w:p>
            <w:pP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color w:val="auto"/>
                <w:sz w:val="24"/>
                <w:highlight w:val="none"/>
              </w:rPr>
              <w:t>施工平面布置、现场临设安排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磋商供应商对疫情防控措施的评价。评价因素包括施工现场的疫情防控措施（0-2）；人员管理及进出场管理措施（0-2）；响应地方的疫情防控承诺（0-1）。 </w:t>
            </w:r>
          </w:p>
        </w:tc>
        <w:tc>
          <w:tcPr>
            <w:tcW w:w="408" w:type="pct"/>
            <w:vAlign w:val="center"/>
          </w:tcPr>
          <w:p>
            <w:pPr>
              <w:spacing w:line="27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095" w:type="pct"/>
            <w:vAlign w:val="center"/>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疫情防控措施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3028" w:type="pct"/>
            <w:vAlign w:val="center"/>
          </w:tcPr>
          <w:p>
            <w:pPr>
              <w:spacing w:line="288"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磋商供应商施工资料的管理计划的评价，资料台账及时，有序。（0-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）磋商供应商决算资料编制时间的评价，决算资料编制时间的承诺符合采购人要求。（0-1）</w:t>
            </w:r>
          </w:p>
        </w:tc>
        <w:tc>
          <w:tcPr>
            <w:tcW w:w="408" w:type="pct"/>
            <w:vAlign w:val="center"/>
          </w:tcPr>
          <w:p>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095" w:type="pct"/>
            <w:vAlign w:val="center"/>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施工资料的管理计划</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决算资料编制时间</w:t>
            </w:r>
            <w:r>
              <w:rPr>
                <w:rFonts w:hint="eastAsia" w:ascii="仿宋" w:hAnsi="仿宋" w:eastAsia="仿宋" w:cs="仿宋"/>
                <w:color w:val="auto"/>
                <w:sz w:val="24"/>
                <w:highlight w:val="none"/>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二</w:t>
            </w:r>
          </w:p>
        </w:tc>
        <w:tc>
          <w:tcPr>
            <w:tcW w:w="3028" w:type="pct"/>
            <w:vAlign w:val="center"/>
          </w:tcPr>
          <w:p>
            <w:pPr>
              <w:spacing w:line="36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资信及商务分</w:t>
            </w:r>
          </w:p>
        </w:tc>
        <w:tc>
          <w:tcPr>
            <w:tcW w:w="408" w:type="pct"/>
          </w:tcPr>
          <w:p>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095" w:type="pct"/>
            <w:vAlign w:val="center"/>
          </w:tcPr>
          <w:p>
            <w:pPr>
              <w:spacing w:line="360" w:lineRule="auto"/>
              <w:ind w:firstLine="1560" w:firstLineChars="650"/>
              <w:jc w:val="center"/>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028" w:type="pct"/>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根据供应商提供近三年以来（2019 年 1 月 1 日至今）同类项目进行评定：供应商提供的同类业绩（装修工程）的合同复印件及竣工验收证明材料加盖单位公章，每 1 个得 </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 xml:space="preserve">分，最多得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408" w:type="pct"/>
          </w:tcPr>
          <w:p>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095" w:type="pct"/>
            <w:vAlign w:val="center"/>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7" w:type="pct"/>
            <w:vAlign w:val="center"/>
          </w:tcPr>
          <w:p>
            <w:pPr>
              <w:spacing w:line="360" w:lineRule="auto"/>
              <w:ind w:firstLine="360" w:firstLineChars="15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028" w:type="pct"/>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供应商拟派项目经理具有建筑行业相关的中级及以上职称的得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（提供职称证书扫描件）</w:t>
            </w:r>
          </w:p>
        </w:tc>
        <w:tc>
          <w:tcPr>
            <w:tcW w:w="408" w:type="pct"/>
          </w:tcPr>
          <w:p>
            <w:pPr>
              <w:spacing w:line="27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1095" w:type="pct"/>
          </w:tcPr>
          <w:p>
            <w:pPr>
              <w:spacing w:line="360" w:lineRule="auto"/>
              <w:jc w:val="center"/>
              <w:outlineLvl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拟派项目经理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67" w:type="pct"/>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三</w:t>
            </w:r>
          </w:p>
        </w:tc>
        <w:tc>
          <w:tcPr>
            <w:tcW w:w="3028" w:type="pct"/>
            <w:vAlign w:val="center"/>
          </w:tcPr>
          <w:p>
            <w:pPr>
              <w:spacing w:line="360" w:lineRule="auto"/>
              <w:jc w:val="lef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报价分</w:t>
            </w:r>
          </w:p>
        </w:tc>
        <w:tc>
          <w:tcPr>
            <w:tcW w:w="408" w:type="pct"/>
          </w:tcPr>
          <w:p>
            <w:pPr>
              <w:spacing w:line="276"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w:t>
            </w:r>
          </w:p>
        </w:tc>
        <w:tc>
          <w:tcPr>
            <w:tcW w:w="1095" w:type="pct"/>
          </w:tcPr>
          <w:p>
            <w:pPr>
              <w:spacing w:line="360" w:lineRule="auto"/>
              <w:ind w:firstLine="1560" w:firstLineChars="650"/>
              <w:jc w:val="left"/>
              <w:outlineLvl w:val="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467" w:type="pct"/>
            <w:vAlign w:val="center"/>
          </w:tcPr>
          <w:p>
            <w:pPr>
              <w:spacing w:line="360" w:lineRule="auto"/>
              <w:ind w:firstLine="240" w:firstLineChars="1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p>
        </w:tc>
        <w:tc>
          <w:tcPr>
            <w:tcW w:w="3028" w:type="pct"/>
          </w:tcPr>
          <w:p>
            <w:pPr>
              <w:spacing w:line="24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有效投标报价的最低价作为评标基准价，其最低报价为满分；按［投标报价得分=（评标基准价/投标最后报价）*30］的计算公式计算。</w:t>
            </w:r>
          </w:p>
          <w:p>
            <w:pPr>
              <w:spacing w:line="24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24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408" w:type="pct"/>
            <w:vAlign w:val="center"/>
          </w:tcPr>
          <w:p>
            <w:pPr>
              <w:spacing w:line="360" w:lineRule="auto"/>
              <w:ind w:firstLine="120" w:firstLineChars="5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1095" w:type="pct"/>
            <w:vAlign w:val="center"/>
          </w:tcPr>
          <w:p>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r>
        <w:rPr>
          <w:rFonts w:hint="eastAsia" w:ascii="仿宋" w:hAnsi="仿宋" w:eastAsia="仿宋" w:cs="仿宋"/>
          <w:b/>
          <w:color w:val="auto"/>
          <w:sz w:val="24"/>
          <w:highlight w:val="none"/>
          <w:u w:val="single"/>
        </w:rPr>
        <w:t>（本项目磋商轮次为二轮报价即为最终报价）</w:t>
      </w:r>
      <w:r>
        <w:rPr>
          <w:rFonts w:hint="eastAsia" w:ascii="仿宋" w:hAnsi="仿宋" w:eastAsia="仿宋" w:cs="仿宋"/>
          <w:b/>
          <w:color w:val="auto"/>
          <w:sz w:val="24"/>
          <w:highlight w:val="none"/>
        </w:rPr>
        <w:t>。</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3.3.3 符合《政府采购竞争性磋商采购方式管理暂行办法》第三条第四项情形及财库〔2015〕124号文件规定情形的，提交最后报价的供应商可以为2家 </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3.3.4 已提交响应文件的供应商，在提交最后报价之前，可以根据磋商情况退出磋商</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4"/>
        <w:snapToGrid w:val="0"/>
        <w:spacing w:line="360" w:lineRule="auto"/>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1"/>
    <w:p>
      <w:pPr>
        <w:spacing w:line="360" w:lineRule="auto"/>
        <w:jc w:val="center"/>
        <w:outlineLvl w:val="0"/>
        <w:rPr>
          <w:rFonts w:hint="eastAsia" w:ascii="仿宋" w:hAnsi="仿宋" w:eastAsia="仿宋" w:cs="仿宋"/>
          <w:b/>
          <w:color w:val="auto"/>
          <w:sz w:val="36"/>
          <w:szCs w:val="36"/>
          <w:highlight w:val="none"/>
        </w:rPr>
      </w:pPr>
      <w:bookmarkStart w:id="400" w:name="_Toc86217003"/>
      <w:bookmarkStart w:id="401" w:name="第五部分"/>
      <w:r>
        <w:rPr>
          <w:rFonts w:hint="eastAsia" w:ascii="仿宋" w:hAnsi="仿宋" w:eastAsia="仿宋" w:cs="仿宋"/>
          <w:b/>
          <w:color w:val="auto"/>
          <w:sz w:val="36"/>
          <w:szCs w:val="36"/>
          <w:highlight w:val="none"/>
        </w:rPr>
        <w:t>第五部分 拟签订的合同文本</w:t>
      </w:r>
    </w:p>
    <w:p>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杭州市钱塘区星河幼儿园</w:t>
      </w:r>
    </w:p>
    <w:p>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根据《中华人民共和国合同法》、《中华人民共和国建筑法》及有关法律规定，遵循平等、自愿、公平和诚实信用的原则，双方就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杭州市钱塘区星河幼儿园有机更新整修工程</w:t>
      </w:r>
      <w:r>
        <w:rPr>
          <w:rFonts w:hint="eastAsia" w:ascii="仿宋" w:hAnsi="仿宋" w:eastAsia="仿宋" w:cs="仿宋"/>
          <w:iCs/>
          <w:color w:val="auto"/>
          <w:szCs w:val="21"/>
          <w:highlight w:val="none"/>
        </w:rPr>
        <w:t>施工及有关事项协商一致，共同达成如下协议：</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杭州市钱塘区星河幼儿园有机更新整修工程</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2.工程地点：。 </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群体工程应附《承包人承揽工程项目一览表》（附件1）。</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计划开工日期：年月日，具体开工时间以甲方签发的开工报告时间为准。 </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计划竣工日期：年月日。</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4</w:t>
      </w:r>
      <w:r>
        <w:rPr>
          <w:rFonts w:hint="eastAsia" w:ascii="仿宋" w:hAnsi="仿宋" w:eastAsia="仿宋" w:cs="仿宋"/>
          <w:iCs/>
          <w:color w:val="auto"/>
          <w:szCs w:val="21"/>
          <w:highlight w:val="none"/>
          <w:u w:val="single"/>
        </w:rPr>
        <w:t>0</w:t>
      </w:r>
      <w:r>
        <w:rPr>
          <w:rFonts w:hint="eastAsia" w:ascii="仿宋" w:hAnsi="仿宋" w:eastAsia="仿宋" w:cs="仿宋"/>
          <w:iCs/>
          <w:color w:val="auto"/>
          <w:szCs w:val="21"/>
          <w:highlight w:val="none"/>
        </w:rPr>
        <w:t>日历天。工期总日历天数与根据前述计划开竣工日期计算的工期天数不一致的，以工期总日历天数为准。</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pPr>
        <w:spacing w:line="360" w:lineRule="auto"/>
        <w:ind w:firstLine="420" w:firstLineChars="200"/>
        <w:rPr>
          <w:rStyle w:val="376"/>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元)；(其中：不含税金额：￥元，增值税额：￥元（增值税税率：%）)。</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元)；</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元)；</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元)；</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rPr>
        <w:t>元)。</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（8）其他合同文件。</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pPr>
        <w:snapToGrid w:val="0"/>
        <w:spacing w:line="360" w:lineRule="auto"/>
        <w:outlineLvl w:val="0"/>
        <w:rPr>
          <w:rFonts w:hint="eastAsia" w:ascii="仿宋" w:hAnsi="仿宋" w:eastAsia="仿宋" w:cs="仿宋"/>
          <w:bCs/>
          <w:color w:val="auto"/>
          <w:szCs w:val="21"/>
          <w:highlight w:val="none"/>
        </w:rPr>
      </w:pPr>
      <w:bookmarkStart w:id="402" w:name="_Toc25836"/>
      <w:bookmarkStart w:id="403" w:name="_Toc21303"/>
      <w:r>
        <w:rPr>
          <w:rFonts w:hint="eastAsia" w:ascii="仿宋" w:hAnsi="仿宋" w:eastAsia="仿宋" w:cs="仿宋"/>
          <w:bCs/>
          <w:color w:val="auto"/>
          <w:szCs w:val="21"/>
          <w:highlight w:val="none"/>
        </w:rPr>
        <w:t>八、词语含义</w:t>
      </w:r>
      <w:bookmarkEnd w:id="402"/>
      <w:bookmarkEnd w:id="403"/>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本合同于年月日签订。</w:t>
      </w:r>
    </w:p>
    <w:p>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  </w:t>
      </w:r>
      <w:r>
        <w:rPr>
          <w:rFonts w:hint="eastAsia" w:ascii="仿宋" w:hAnsi="仿宋" w:eastAsia="仿宋" w:cs="仿宋"/>
          <w:bCs/>
          <w:color w:val="auto"/>
          <w:szCs w:val="21"/>
          <w:highlight w:val="none"/>
        </w:rPr>
        <w:t>签订。</w:t>
      </w:r>
    </w:p>
    <w:p>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 xml:space="preserve">  双方</w:t>
      </w:r>
      <w:r>
        <w:rPr>
          <w:rFonts w:hint="eastAsia" w:ascii="仿宋" w:hAnsi="仿宋" w:eastAsia="仿宋" w:cs="仿宋"/>
          <w:bCs/>
          <w:color w:val="auto"/>
          <w:szCs w:val="21"/>
          <w:highlight w:val="none"/>
        </w:rPr>
        <w:t>法定</w:t>
      </w:r>
      <w:r>
        <w:rPr>
          <w:rFonts w:hint="eastAsia" w:ascii="仿宋" w:hAnsi="仿宋" w:eastAsia="仿宋" w:cs="仿宋"/>
          <w:color w:val="auto"/>
          <w:szCs w:val="21"/>
          <w:highlight w:val="none"/>
          <w:u w:val="single"/>
        </w:rPr>
        <w:t>代表人或其委托代理人签字并经双方盖章且承包人已向发包人提交履约担保之日</w:t>
      </w:r>
      <w:r>
        <w:rPr>
          <w:rFonts w:hint="eastAsia" w:ascii="仿宋" w:hAnsi="仿宋" w:eastAsia="仿宋" w:cs="仿宋"/>
          <w:bCs/>
          <w:color w:val="auto"/>
          <w:szCs w:val="21"/>
          <w:highlight w:val="none"/>
        </w:rPr>
        <w:t>生效。</w:t>
      </w:r>
    </w:p>
    <w:p>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pPr>
        <w:pStyle w:val="257"/>
        <w:ind w:left="6000" w:firstLine="420"/>
        <w:rPr>
          <w:rFonts w:hint="eastAsia" w:ascii="仿宋" w:hAnsi="仿宋" w:eastAsia="仿宋" w:cs="仿宋"/>
          <w:color w:val="auto"/>
          <w:sz w:val="21"/>
          <w:szCs w:val="21"/>
          <w:highlight w:val="none"/>
        </w:rPr>
      </w:pP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  (公章)             承包人：  (公章)</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（签字）                    （签字）</w:t>
      </w:r>
    </w:p>
    <w:p>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组织机构代码：  组织机构代码：</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  地  址：</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  邮政编码：</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  委托代理人：</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  电  话：</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  传  真：</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  电子信箱：</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号：账  号：</w:t>
      </w:r>
    </w:p>
    <w:p>
      <w:pPr>
        <w:widowControl/>
        <w:spacing w:after="100" w:line="259" w:lineRule="auto"/>
        <w:rPr>
          <w:rFonts w:hint="eastAsia" w:ascii="仿宋" w:hAnsi="仿宋" w:eastAsia="仿宋" w:cs="仿宋"/>
          <w:color w:val="auto"/>
          <w:szCs w:val="21"/>
          <w:highlight w:val="none"/>
        </w:rPr>
      </w:pPr>
    </w:p>
    <w:p>
      <w:pPr>
        <w:pageBreakBefore/>
        <w:spacing w:before="260" w:after="260"/>
        <w:jc w:val="center"/>
        <w:rPr>
          <w:rFonts w:hint="eastAsia" w:ascii="仿宋" w:hAnsi="仿宋" w:eastAsia="仿宋" w:cs="仿宋"/>
          <w:b/>
          <w:bCs/>
          <w:color w:val="auto"/>
          <w:szCs w:val="21"/>
          <w:highlight w:val="none"/>
        </w:rPr>
      </w:pPr>
      <w:bookmarkStart w:id="404" w:name="_Toc1373"/>
      <w:bookmarkStart w:id="405" w:name="_Toc25991"/>
      <w:bookmarkStart w:id="406" w:name="_Toc14566"/>
      <w:bookmarkStart w:id="407" w:name="_Toc2044"/>
      <w:bookmarkStart w:id="408" w:name="_Toc1071"/>
      <w:r>
        <w:rPr>
          <w:rFonts w:hint="eastAsia" w:ascii="仿宋" w:hAnsi="仿宋" w:eastAsia="仿宋" w:cs="仿宋"/>
          <w:b/>
          <w:bCs/>
          <w:color w:val="auto"/>
          <w:szCs w:val="21"/>
          <w:highlight w:val="none"/>
        </w:rPr>
        <w:t>第二部分  通用条款（略)</w:t>
      </w:r>
    </w:p>
    <w:p>
      <w:pPr>
        <w:keepNext/>
        <w:keepLines/>
        <w:spacing w:before="260" w:after="260"/>
        <w:jc w:val="center"/>
        <w:rPr>
          <w:rFonts w:hint="eastAsia" w:ascii="仿宋" w:hAnsi="仿宋" w:eastAsia="仿宋" w:cs="仿宋"/>
          <w:b/>
          <w:bCs/>
          <w:color w:val="auto"/>
          <w:szCs w:val="21"/>
          <w:highlight w:val="none"/>
        </w:rPr>
      </w:pPr>
    </w:p>
    <w:p>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pPr>
        <w:rPr>
          <w:rFonts w:hint="eastAsia" w:ascii="仿宋" w:hAnsi="仿宋" w:eastAsia="仿宋" w:cs="仿宋"/>
          <w:color w:val="auto"/>
          <w:szCs w:val="21"/>
          <w:highlight w:val="none"/>
        </w:rPr>
      </w:pPr>
    </w:p>
    <w:bookmarkEnd w:id="404"/>
    <w:bookmarkEnd w:id="405"/>
    <w:bookmarkEnd w:id="406"/>
    <w:bookmarkEnd w:id="407"/>
    <w:bookmarkEnd w:id="408"/>
    <w:p>
      <w:pPr>
        <w:keepNext/>
        <w:keepLines/>
        <w:spacing w:before="260" w:after="260"/>
        <w:jc w:val="center"/>
        <w:outlineLvl w:val="2"/>
        <w:rPr>
          <w:rFonts w:hint="eastAsia" w:ascii="仿宋" w:hAnsi="仿宋" w:eastAsia="仿宋" w:cs="仿宋"/>
          <w:b/>
          <w:bCs/>
          <w:color w:val="auto"/>
          <w:sz w:val="32"/>
          <w:szCs w:val="32"/>
          <w:highlight w:val="none"/>
        </w:rPr>
      </w:pPr>
      <w:bookmarkStart w:id="409" w:name="_Toc23872"/>
      <w:bookmarkStart w:id="410" w:name="_Toc1852"/>
      <w:r>
        <w:rPr>
          <w:rFonts w:hint="eastAsia" w:ascii="仿宋" w:hAnsi="仿宋" w:eastAsia="仿宋" w:cs="仿宋"/>
          <w:b/>
          <w:bCs/>
          <w:color w:val="auto"/>
          <w:sz w:val="32"/>
          <w:szCs w:val="32"/>
          <w:highlight w:val="none"/>
        </w:rPr>
        <w:t>第三部分 专用合同条款</w:t>
      </w:r>
      <w:bookmarkEnd w:id="409"/>
      <w:bookmarkEnd w:id="410"/>
    </w:p>
    <w:p>
      <w:pPr>
        <w:keepNext/>
        <w:keepLines/>
        <w:adjustRightInd/>
        <w:spacing w:line="400" w:lineRule="exact"/>
        <w:outlineLvl w:val="3"/>
        <w:rPr>
          <w:rFonts w:hint="eastAsia" w:ascii="仿宋" w:hAnsi="仿宋" w:eastAsia="仿宋" w:cs="仿宋"/>
          <w:bCs/>
          <w:color w:val="auto"/>
          <w:szCs w:val="21"/>
          <w:highlight w:val="none"/>
        </w:rPr>
      </w:pPr>
      <w:bookmarkStart w:id="411" w:name="_Toc351203633"/>
      <w:r>
        <w:rPr>
          <w:rFonts w:hint="eastAsia" w:ascii="仿宋" w:hAnsi="仿宋" w:eastAsia="仿宋" w:cs="仿宋"/>
          <w:bCs/>
          <w:color w:val="auto"/>
          <w:szCs w:val="21"/>
          <w:highlight w:val="none"/>
        </w:rPr>
        <w:t>1</w:t>
      </w:r>
      <w:bookmarkStart w:id="412" w:name="_Toc296346657"/>
      <w:bookmarkStart w:id="413" w:name="_Toc296503156"/>
      <w:bookmarkStart w:id="414" w:name="_Toc296944495"/>
      <w:bookmarkStart w:id="415" w:name="_Toc297048342"/>
      <w:bookmarkStart w:id="416" w:name="_Toc296891196"/>
      <w:bookmarkStart w:id="417" w:name="_Toc297120456"/>
      <w:bookmarkStart w:id="418" w:name="_Toc292559866"/>
      <w:bookmarkStart w:id="419" w:name="_Toc296890984"/>
      <w:bookmarkStart w:id="420" w:name="_Toc296347155"/>
      <w:bookmarkStart w:id="421" w:name="_Toc292559361"/>
      <w:r>
        <w:rPr>
          <w:rFonts w:hint="eastAsia" w:ascii="仿宋" w:hAnsi="仿宋" w:eastAsia="仿宋" w:cs="仿宋"/>
          <w:bCs/>
          <w:color w:val="auto"/>
          <w:szCs w:val="21"/>
          <w:highlight w:val="none"/>
        </w:rPr>
        <w:t>. 一般约定</w:t>
      </w:r>
      <w:bookmarkEnd w:id="411"/>
    </w:p>
    <w:bookmarkEnd w:id="412"/>
    <w:bookmarkEnd w:id="413"/>
    <w:bookmarkEnd w:id="414"/>
    <w:bookmarkEnd w:id="415"/>
    <w:bookmarkEnd w:id="416"/>
    <w:bookmarkEnd w:id="417"/>
    <w:bookmarkEnd w:id="418"/>
    <w:bookmarkEnd w:id="419"/>
    <w:bookmarkEnd w:id="420"/>
    <w:bookmarkEnd w:id="421"/>
    <w:p>
      <w:pPr>
        <w:adjustRightInd/>
        <w:spacing w:line="400" w:lineRule="exact"/>
        <w:ind w:firstLine="420" w:firstLineChars="200"/>
        <w:outlineLvl w:val="0"/>
        <w:rPr>
          <w:rFonts w:hint="eastAsia" w:ascii="仿宋" w:hAnsi="仿宋" w:eastAsia="仿宋" w:cs="仿宋"/>
          <w:color w:val="auto"/>
          <w:szCs w:val="21"/>
          <w:highlight w:val="none"/>
        </w:rPr>
      </w:pPr>
      <w:bookmarkStart w:id="422" w:name="_Toc8862"/>
      <w:bookmarkStart w:id="423" w:name="_Toc32354"/>
      <w:bookmarkStart w:id="424" w:name="_Toc506"/>
      <w:bookmarkStart w:id="425" w:name="_Toc25744"/>
      <w:bookmarkStart w:id="426" w:name="_Toc8994"/>
      <w:bookmarkStart w:id="427" w:name="_Toc32240"/>
      <w:r>
        <w:rPr>
          <w:rFonts w:hint="eastAsia" w:ascii="仿宋" w:hAnsi="仿宋" w:eastAsia="仿宋" w:cs="仿宋"/>
          <w:color w:val="auto"/>
          <w:szCs w:val="21"/>
          <w:highlight w:val="none"/>
        </w:rPr>
        <w:t>1.1 词语定义</w:t>
      </w:r>
      <w:bookmarkEnd w:id="422"/>
      <w:bookmarkEnd w:id="423"/>
      <w:bookmarkEnd w:id="424"/>
      <w:bookmarkEnd w:id="425"/>
      <w:bookmarkEnd w:id="426"/>
      <w:bookmarkEnd w:id="427"/>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建筑法》《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（8）其他：国家现行的法律法规及浙江省、杭州市相关的法律法规、钱塘新区及建设单位的适用于工程的相关文件，包括在合同期内不时更新后的文件。</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428" w:name="_Toc14848"/>
      <w:bookmarkStart w:id="429" w:name="_Toc24499"/>
      <w:bookmarkStart w:id="430" w:name="_Toc8012"/>
      <w:bookmarkStart w:id="431" w:name="_Toc11242"/>
      <w:bookmarkStart w:id="432" w:name="_Toc21239"/>
      <w:bookmarkStart w:id="433" w:name="_Toc6062"/>
      <w:r>
        <w:rPr>
          <w:rFonts w:hint="eastAsia" w:ascii="仿宋" w:hAnsi="仿宋" w:eastAsia="仿宋" w:cs="仿宋"/>
          <w:color w:val="auto"/>
          <w:szCs w:val="21"/>
          <w:highlight w:val="none"/>
        </w:rPr>
        <w:t>1.5 合同文件的优先顺序</w:t>
      </w:r>
      <w:bookmarkEnd w:id="428"/>
      <w:bookmarkEnd w:id="429"/>
      <w:bookmarkEnd w:id="430"/>
      <w:bookmarkEnd w:id="431"/>
      <w:bookmarkEnd w:id="432"/>
      <w:bookmarkEnd w:id="433"/>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（3）投标文件。</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p>
    <w:p>
      <w:pPr>
        <w:adjustRightInd/>
        <w:spacing w:line="400" w:lineRule="exact"/>
        <w:ind w:firstLine="420" w:firstLineChars="200"/>
        <w:outlineLvl w:val="0"/>
        <w:rPr>
          <w:rFonts w:hint="eastAsia" w:ascii="仿宋" w:hAnsi="仿宋" w:eastAsia="仿宋" w:cs="仿宋"/>
          <w:color w:val="auto"/>
          <w:szCs w:val="21"/>
          <w:highlight w:val="none"/>
        </w:rPr>
      </w:pPr>
      <w:bookmarkStart w:id="434" w:name="_Toc9230"/>
      <w:bookmarkStart w:id="435" w:name="_Toc12132"/>
      <w:bookmarkStart w:id="436" w:name="_Toc2890"/>
      <w:bookmarkStart w:id="437" w:name="_Toc15225"/>
      <w:bookmarkStart w:id="438" w:name="_Toc12400"/>
      <w:bookmarkStart w:id="439" w:name="_Toc17574"/>
      <w:r>
        <w:rPr>
          <w:rFonts w:hint="eastAsia" w:ascii="仿宋" w:hAnsi="仿宋" w:eastAsia="仿宋" w:cs="仿宋"/>
          <w:color w:val="auto"/>
          <w:szCs w:val="21"/>
          <w:highlight w:val="none"/>
        </w:rPr>
        <w:t>1.6 图纸和承包人文件</w:t>
      </w:r>
      <w:bookmarkEnd w:id="434"/>
      <w:bookmarkEnd w:id="435"/>
      <w:bookmarkEnd w:id="436"/>
      <w:bookmarkEnd w:id="437"/>
      <w:bookmarkEnd w:id="438"/>
      <w:bookmarkEnd w:id="439"/>
      <w:r>
        <w:rPr>
          <w:rFonts w:hint="eastAsia" w:ascii="仿宋" w:hAnsi="仿宋" w:eastAsia="仿宋" w:cs="仿宋"/>
          <w:color w:val="auto"/>
          <w:szCs w:val="21"/>
          <w:highlight w:val="none"/>
        </w:rPr>
        <w:tab/>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。承包人未经发包人许可不得泄露，并不能用于本合同项目以外的工程。</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440" w:name="_Toc29844"/>
      <w:bookmarkStart w:id="441" w:name="_Toc18983"/>
      <w:bookmarkStart w:id="442" w:name="_Toc11801"/>
      <w:bookmarkStart w:id="443" w:name="_Toc23445"/>
      <w:bookmarkStart w:id="444" w:name="_Toc15589"/>
      <w:bookmarkStart w:id="445" w:name="_Toc27250"/>
      <w:r>
        <w:rPr>
          <w:rFonts w:hint="eastAsia" w:ascii="仿宋" w:hAnsi="仿宋" w:eastAsia="仿宋" w:cs="仿宋"/>
          <w:color w:val="auto"/>
          <w:szCs w:val="21"/>
          <w:highlight w:val="none"/>
        </w:rPr>
        <w:t>1.7 联络</w:t>
      </w:r>
      <w:bookmarkEnd w:id="440"/>
      <w:bookmarkEnd w:id="441"/>
      <w:bookmarkEnd w:id="442"/>
      <w:bookmarkEnd w:id="443"/>
      <w:bookmarkEnd w:id="444"/>
      <w:bookmarkEnd w:id="445"/>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446" w:name="_Toc22177"/>
      <w:bookmarkStart w:id="447" w:name="_Toc28537"/>
      <w:bookmarkStart w:id="448" w:name="_Toc9812"/>
      <w:bookmarkStart w:id="449" w:name="_Toc21968"/>
      <w:bookmarkStart w:id="450" w:name="_Toc27894"/>
      <w:r>
        <w:rPr>
          <w:rFonts w:hint="eastAsia" w:ascii="仿宋" w:hAnsi="仿宋" w:eastAsia="仿宋" w:cs="仿宋"/>
          <w:color w:val="auto"/>
          <w:szCs w:val="21"/>
          <w:highlight w:val="none"/>
        </w:rPr>
        <w:t>1.10 交通运输</w:t>
      </w:r>
      <w:bookmarkEnd w:id="446"/>
      <w:bookmarkEnd w:id="447"/>
      <w:bookmarkEnd w:id="448"/>
      <w:bookmarkEnd w:id="449"/>
      <w:bookmarkEnd w:id="450"/>
    </w:p>
    <w:p>
      <w:pPr>
        <w:adjustRightInd/>
        <w:spacing w:line="400" w:lineRule="exact"/>
        <w:ind w:firstLine="420" w:firstLineChars="200"/>
        <w:outlineLvl w:val="0"/>
        <w:rPr>
          <w:rFonts w:hint="eastAsia" w:ascii="仿宋" w:hAnsi="仿宋" w:eastAsia="仿宋" w:cs="仿宋"/>
          <w:color w:val="auto"/>
          <w:szCs w:val="21"/>
          <w:highlight w:val="none"/>
        </w:rPr>
      </w:pPr>
      <w:bookmarkStart w:id="451" w:name="_Toc12880"/>
      <w:bookmarkStart w:id="452" w:name="_Toc11125"/>
      <w:bookmarkStart w:id="453" w:name="_Toc14115"/>
      <w:bookmarkStart w:id="454" w:name="_Toc1357"/>
      <w:bookmarkStart w:id="455" w:name="_Toc19724"/>
      <w:bookmarkStart w:id="456" w:name="_Toc26516"/>
      <w:r>
        <w:rPr>
          <w:rFonts w:hint="eastAsia" w:ascii="仿宋" w:hAnsi="仿宋" w:eastAsia="仿宋" w:cs="仿宋"/>
          <w:color w:val="auto"/>
          <w:szCs w:val="21"/>
          <w:highlight w:val="none"/>
        </w:rPr>
        <w:t>1</w:t>
      </w:r>
      <w:bookmarkStart w:id="457" w:name="_Toc303539100"/>
      <w:bookmarkStart w:id="458" w:name="_Toc304295521"/>
      <w:bookmarkStart w:id="459" w:name="_Toc300934943"/>
      <w:bookmarkStart w:id="460" w:name="_Toc312677986"/>
      <w:bookmarkStart w:id="461" w:name="_Toc318581155"/>
      <w:r>
        <w:rPr>
          <w:rFonts w:hint="eastAsia" w:ascii="仿宋" w:hAnsi="仿宋" w:eastAsia="仿宋" w:cs="仿宋"/>
          <w:color w:val="auto"/>
          <w:szCs w:val="21"/>
          <w:highlight w:val="none"/>
        </w:rPr>
        <w:t>.10.1 出入现场的权利</w:t>
      </w:r>
      <w:bookmarkEnd w:id="451"/>
      <w:bookmarkEnd w:id="452"/>
      <w:bookmarkEnd w:id="453"/>
      <w:bookmarkEnd w:id="454"/>
      <w:bookmarkEnd w:id="455"/>
      <w:bookmarkEnd w:id="456"/>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7"/>
    <w:bookmarkEnd w:id="458"/>
    <w:bookmarkEnd w:id="459"/>
    <w:bookmarkEnd w:id="460"/>
    <w:bookmarkEnd w:id="461"/>
    <w:p>
      <w:pPr>
        <w:adjustRightInd/>
        <w:spacing w:line="400" w:lineRule="exact"/>
        <w:ind w:firstLine="420" w:firstLineChars="200"/>
        <w:outlineLvl w:val="0"/>
        <w:rPr>
          <w:rFonts w:hint="eastAsia" w:ascii="仿宋" w:hAnsi="仿宋" w:eastAsia="仿宋" w:cs="仿宋"/>
          <w:color w:val="auto"/>
          <w:szCs w:val="21"/>
          <w:highlight w:val="none"/>
        </w:rPr>
      </w:pPr>
      <w:bookmarkStart w:id="462" w:name="_Toc5563"/>
      <w:bookmarkStart w:id="463" w:name="_Toc32641"/>
      <w:bookmarkStart w:id="464" w:name="_Toc12053"/>
      <w:bookmarkStart w:id="465" w:name="_Toc19291"/>
      <w:bookmarkStart w:id="466" w:name="_Toc3509"/>
      <w:bookmarkStart w:id="467" w:name="_Toc10120"/>
      <w:r>
        <w:rPr>
          <w:rFonts w:hint="eastAsia" w:ascii="仿宋" w:hAnsi="仿宋" w:eastAsia="仿宋" w:cs="仿宋"/>
          <w:color w:val="auto"/>
          <w:szCs w:val="21"/>
          <w:highlight w:val="none"/>
        </w:rPr>
        <w:t>1</w:t>
      </w:r>
      <w:bookmarkStart w:id="468" w:name="_Toc303539101"/>
      <w:bookmarkStart w:id="469" w:name="_Toc312677987"/>
      <w:bookmarkStart w:id="470" w:name="_Toc318581156"/>
      <w:bookmarkStart w:id="471" w:name="_Toc300934944"/>
      <w:bookmarkStart w:id="472" w:name="_Toc304295522"/>
      <w:r>
        <w:rPr>
          <w:rFonts w:hint="eastAsia" w:ascii="仿宋" w:hAnsi="仿宋" w:eastAsia="仿宋" w:cs="仿宋"/>
          <w:color w:val="auto"/>
          <w:szCs w:val="21"/>
          <w:highlight w:val="none"/>
        </w:rPr>
        <w:t>.10.3 场内交通</w:t>
      </w:r>
      <w:bookmarkEnd w:id="462"/>
      <w:bookmarkEnd w:id="463"/>
      <w:bookmarkEnd w:id="464"/>
      <w:bookmarkEnd w:id="465"/>
      <w:bookmarkEnd w:id="466"/>
      <w:bookmarkEnd w:id="467"/>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8"/>
      <w:bookmarkEnd w:id="469"/>
      <w:bookmarkEnd w:id="470"/>
      <w:bookmarkEnd w:id="471"/>
      <w:bookmarkEnd w:id="472"/>
      <w:bookmarkStart w:id="473" w:name="_Toc318581157"/>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3"/>
    <w:p>
      <w:pPr>
        <w:adjustRightInd/>
        <w:spacing w:line="400" w:lineRule="exact"/>
        <w:ind w:firstLine="420" w:firstLineChars="200"/>
        <w:outlineLvl w:val="0"/>
        <w:rPr>
          <w:rFonts w:hint="eastAsia" w:ascii="仿宋" w:hAnsi="仿宋" w:eastAsia="仿宋" w:cs="仿宋"/>
          <w:color w:val="auto"/>
          <w:szCs w:val="21"/>
          <w:highlight w:val="none"/>
        </w:rPr>
      </w:pPr>
      <w:bookmarkStart w:id="474" w:name="_Toc6135"/>
      <w:bookmarkStart w:id="475" w:name="_Toc30240"/>
      <w:bookmarkStart w:id="476" w:name="_Toc20663"/>
      <w:bookmarkStart w:id="477" w:name="_Toc10508"/>
      <w:bookmarkStart w:id="478" w:name="_Toc13086"/>
      <w:bookmarkStart w:id="479" w:name="_Toc12609"/>
      <w:r>
        <w:rPr>
          <w:rFonts w:hint="eastAsia" w:ascii="仿宋" w:hAnsi="仿宋" w:eastAsia="仿宋" w:cs="仿宋"/>
          <w:color w:val="auto"/>
          <w:szCs w:val="21"/>
          <w:highlight w:val="none"/>
        </w:rPr>
        <w:t>1.11 知识产权</w:t>
      </w:r>
      <w:bookmarkEnd w:id="474"/>
      <w:bookmarkEnd w:id="475"/>
      <w:bookmarkEnd w:id="476"/>
      <w:bookmarkEnd w:id="477"/>
      <w:bookmarkEnd w:id="478"/>
      <w:bookmarkEnd w:id="479"/>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rPr>
        <w:t xml:space="preserve"> 未经发包人同意，不得用于其他工程</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480" w:name="_Toc20939"/>
      <w:bookmarkStart w:id="481" w:name="_Toc14008"/>
      <w:bookmarkStart w:id="482" w:name="_Toc19984"/>
      <w:bookmarkStart w:id="483" w:name="_Toc2022"/>
      <w:bookmarkStart w:id="484" w:name="_Toc3928"/>
      <w:bookmarkStart w:id="485" w:name="_Toc27901"/>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eastAsia" w:ascii="仿宋" w:hAnsi="仿宋" w:eastAsia="仿宋" w:cs="仿宋"/>
          <w:color w:val="auto"/>
          <w:szCs w:val="21"/>
          <w:highlight w:val="none"/>
        </w:rPr>
        <w:t>。</w:t>
      </w:r>
      <w:bookmarkEnd w:id="480"/>
      <w:bookmarkEnd w:id="481"/>
      <w:bookmarkEnd w:id="482"/>
      <w:bookmarkEnd w:id="483"/>
      <w:bookmarkEnd w:id="484"/>
      <w:bookmarkEnd w:id="485"/>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固定单价合同的工程量在结算时按实结算，调整的原则参照10.4变更估价。（2）调整合同价格的修正时间：在竣工结算时经财政审核后调整 </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486" w:name="_Toc351203634"/>
      <w:r>
        <w:rPr>
          <w:rFonts w:hint="eastAsia" w:ascii="仿宋" w:hAnsi="仿宋" w:eastAsia="仿宋" w:cs="仿宋"/>
          <w:bCs/>
          <w:color w:val="auto"/>
          <w:szCs w:val="21"/>
          <w:highlight w:val="none"/>
        </w:rPr>
        <w:t>2</w:t>
      </w:r>
      <w:bookmarkStart w:id="487" w:name="_Toc297120457"/>
      <w:bookmarkStart w:id="488" w:name="_Toc296890985"/>
      <w:bookmarkStart w:id="489" w:name="_Toc296503157"/>
      <w:bookmarkStart w:id="490" w:name="_Toc296891197"/>
      <w:bookmarkStart w:id="491" w:name="_Toc296346658"/>
      <w:bookmarkStart w:id="492" w:name="_Toc292559867"/>
      <w:bookmarkStart w:id="493" w:name="_Toc296944496"/>
      <w:bookmarkStart w:id="494" w:name="_Toc297048343"/>
      <w:bookmarkStart w:id="495" w:name="_Toc292559362"/>
      <w:bookmarkStart w:id="496" w:name="_Toc296347156"/>
      <w:r>
        <w:rPr>
          <w:rFonts w:hint="eastAsia" w:ascii="仿宋" w:hAnsi="仿宋" w:eastAsia="仿宋" w:cs="仿宋"/>
          <w:bCs/>
          <w:color w:val="auto"/>
          <w:szCs w:val="21"/>
          <w:highlight w:val="none"/>
        </w:rPr>
        <w:t>. 发包人</w:t>
      </w:r>
      <w:bookmarkEnd w:id="486"/>
    </w:p>
    <w:bookmarkEnd w:id="487"/>
    <w:bookmarkEnd w:id="488"/>
    <w:bookmarkEnd w:id="489"/>
    <w:bookmarkEnd w:id="490"/>
    <w:bookmarkEnd w:id="491"/>
    <w:bookmarkEnd w:id="492"/>
    <w:bookmarkEnd w:id="493"/>
    <w:bookmarkEnd w:id="494"/>
    <w:bookmarkEnd w:id="495"/>
    <w:bookmarkEnd w:id="496"/>
    <w:p>
      <w:pPr>
        <w:adjustRightInd/>
        <w:spacing w:line="400" w:lineRule="exact"/>
        <w:ind w:firstLine="420" w:firstLineChars="200"/>
        <w:outlineLvl w:val="0"/>
        <w:rPr>
          <w:rFonts w:hint="eastAsia" w:ascii="仿宋" w:hAnsi="仿宋" w:eastAsia="仿宋" w:cs="仿宋"/>
          <w:color w:val="auto"/>
          <w:szCs w:val="21"/>
          <w:highlight w:val="none"/>
        </w:rPr>
      </w:pPr>
      <w:bookmarkStart w:id="497" w:name="_Toc2698"/>
      <w:bookmarkStart w:id="498" w:name="_Toc28237"/>
      <w:bookmarkStart w:id="499" w:name="_Toc12738"/>
      <w:bookmarkStart w:id="500" w:name="_Toc2439"/>
      <w:bookmarkStart w:id="501" w:name="_Toc18299"/>
      <w:bookmarkStart w:id="502" w:name="_Toc2298"/>
      <w:r>
        <w:rPr>
          <w:rFonts w:hint="eastAsia" w:ascii="仿宋" w:hAnsi="仿宋" w:eastAsia="仿宋" w:cs="仿宋"/>
          <w:color w:val="auto"/>
          <w:szCs w:val="21"/>
          <w:highlight w:val="none"/>
        </w:rPr>
        <w:t>2.2 发包人代表</w:t>
      </w:r>
      <w:bookmarkEnd w:id="497"/>
      <w:bookmarkEnd w:id="498"/>
      <w:bookmarkEnd w:id="499"/>
      <w:bookmarkEnd w:id="500"/>
      <w:bookmarkEnd w:id="501"/>
      <w:bookmarkEnd w:id="502"/>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pPr>
        <w:adjustRightInd/>
        <w:spacing w:line="400" w:lineRule="exact"/>
        <w:ind w:firstLine="420" w:firstLineChars="200"/>
        <w:outlineLvl w:val="0"/>
        <w:rPr>
          <w:rFonts w:hint="eastAsia" w:ascii="仿宋" w:hAnsi="仿宋" w:eastAsia="仿宋" w:cs="仿宋"/>
          <w:color w:val="auto"/>
          <w:szCs w:val="21"/>
          <w:highlight w:val="none"/>
        </w:rPr>
      </w:pPr>
      <w:bookmarkStart w:id="503" w:name="_Toc22156"/>
      <w:bookmarkStart w:id="504" w:name="_Toc23588"/>
      <w:bookmarkStart w:id="505" w:name="_Toc13428"/>
      <w:bookmarkStart w:id="506" w:name="_Toc32311"/>
      <w:bookmarkStart w:id="507" w:name="_Toc10089"/>
      <w:bookmarkStart w:id="508" w:name="_Toc12804"/>
      <w:r>
        <w:rPr>
          <w:rFonts w:hint="eastAsia" w:ascii="仿宋" w:hAnsi="仿宋" w:eastAsia="仿宋" w:cs="仿宋"/>
          <w:color w:val="auto"/>
          <w:szCs w:val="21"/>
          <w:highlight w:val="none"/>
        </w:rPr>
        <w:t>2.4 施工现场、施工条件和基础资料的提供</w:t>
      </w:r>
      <w:bookmarkEnd w:id="503"/>
      <w:bookmarkEnd w:id="504"/>
      <w:bookmarkEnd w:id="505"/>
      <w:bookmarkEnd w:id="506"/>
      <w:bookmarkEnd w:id="507"/>
      <w:bookmarkEnd w:id="508"/>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509" w:name="_Toc8543"/>
      <w:bookmarkStart w:id="510" w:name="_Toc13044"/>
      <w:bookmarkStart w:id="511" w:name="_Toc25543"/>
      <w:bookmarkStart w:id="512" w:name="_Toc21675"/>
      <w:bookmarkStart w:id="513" w:name="_Toc3066"/>
      <w:bookmarkStart w:id="514" w:name="_Toc2162"/>
      <w:r>
        <w:rPr>
          <w:rFonts w:hint="eastAsia" w:ascii="仿宋" w:hAnsi="仿宋" w:eastAsia="仿宋" w:cs="仿宋"/>
          <w:color w:val="auto"/>
          <w:szCs w:val="21"/>
          <w:highlight w:val="none"/>
        </w:rPr>
        <w:t>2.5 资金来源证明及支付担保</w:t>
      </w:r>
      <w:bookmarkEnd w:id="509"/>
      <w:bookmarkEnd w:id="510"/>
      <w:bookmarkEnd w:id="511"/>
      <w:bookmarkEnd w:id="512"/>
      <w:bookmarkEnd w:id="513"/>
      <w:bookmarkEnd w:id="514"/>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5" w:name="_Hlk33896154"/>
      <w:r>
        <w:rPr>
          <w:rFonts w:hint="eastAsia" w:ascii="仿宋" w:hAnsi="仿宋" w:eastAsia="仿宋" w:cs="仿宋"/>
          <w:color w:val="auto"/>
          <w:szCs w:val="21"/>
          <w:highlight w:val="none"/>
          <w:u w:val="single"/>
        </w:rPr>
        <w:t>发包人不提供资金证明，无提供资金证明的期限要求</w:t>
      </w:r>
      <w:bookmarkEnd w:id="515"/>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r>
        <w:rPr>
          <w:rFonts w:hint="eastAsia" w:ascii="仿宋" w:hAnsi="仿宋" w:eastAsia="仿宋" w:cs="仿宋"/>
          <w:color w:val="auto"/>
          <w:szCs w:val="21"/>
          <w:highlight w:val="none"/>
          <w:u w:val="single"/>
        </w:rPr>
        <w:t></w:t>
      </w:r>
      <w:bookmarkStart w:id="516" w:name="_Hlk33896161"/>
      <w:r>
        <w:rPr>
          <w:rFonts w:hint="eastAsia" w:ascii="仿宋" w:hAnsi="仿宋" w:eastAsia="仿宋" w:cs="仿宋"/>
          <w:color w:val="auto"/>
          <w:szCs w:val="21"/>
          <w:highlight w:val="none"/>
          <w:u w:val="single"/>
        </w:rPr>
        <w:t>是</w:t>
      </w:r>
      <w:bookmarkEnd w:id="516"/>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7" w:name="_Hlk33896168"/>
      <w:r>
        <w:rPr>
          <w:rFonts w:hint="eastAsia" w:ascii="仿宋" w:hAnsi="仿宋" w:eastAsia="仿宋" w:cs="仿宋"/>
          <w:color w:val="auto"/>
          <w:szCs w:val="21"/>
          <w:highlight w:val="none"/>
          <w:u w:val="single"/>
        </w:rPr>
        <w:t>现金、支票、汇票、转账、银行保函或者保险公司保函</w:t>
      </w:r>
      <w:bookmarkEnd w:id="517"/>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518" w:name="_Toc351203635"/>
      <w:r>
        <w:rPr>
          <w:rFonts w:hint="eastAsia" w:ascii="仿宋" w:hAnsi="仿宋" w:eastAsia="仿宋" w:cs="仿宋"/>
          <w:bCs/>
          <w:color w:val="auto"/>
          <w:szCs w:val="21"/>
          <w:highlight w:val="none"/>
        </w:rPr>
        <w:t>3</w:t>
      </w:r>
      <w:bookmarkStart w:id="519" w:name="_Toc297048344"/>
      <w:bookmarkStart w:id="520" w:name="_Toc296890986"/>
      <w:bookmarkStart w:id="521" w:name="_Toc296503158"/>
      <w:bookmarkStart w:id="522" w:name="_Toc297120458"/>
      <w:bookmarkStart w:id="523" w:name="_Toc292559363"/>
      <w:bookmarkStart w:id="524" w:name="_Toc296346659"/>
      <w:bookmarkStart w:id="525" w:name="_Toc296347157"/>
      <w:bookmarkStart w:id="526" w:name="_Toc292559868"/>
      <w:bookmarkStart w:id="527" w:name="_Toc296891198"/>
      <w:bookmarkStart w:id="528" w:name="_Toc296944497"/>
      <w:r>
        <w:rPr>
          <w:rFonts w:hint="eastAsia" w:ascii="仿宋" w:hAnsi="仿宋" w:eastAsia="仿宋" w:cs="仿宋"/>
          <w:bCs/>
          <w:color w:val="auto"/>
          <w:szCs w:val="21"/>
          <w:highlight w:val="none"/>
        </w:rPr>
        <w:t>. 承包人</w:t>
      </w:r>
      <w:bookmarkEnd w:id="518"/>
    </w:p>
    <w:bookmarkEnd w:id="519"/>
    <w:bookmarkEnd w:id="520"/>
    <w:bookmarkEnd w:id="521"/>
    <w:bookmarkEnd w:id="522"/>
    <w:bookmarkEnd w:id="523"/>
    <w:bookmarkEnd w:id="524"/>
    <w:bookmarkEnd w:id="525"/>
    <w:bookmarkEnd w:id="526"/>
    <w:bookmarkEnd w:id="527"/>
    <w:bookmarkEnd w:id="528"/>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c、向发包人提供的办公和生活房屋及设施的要求：免费提供【1】间面积【20平方】的发包人代表及监理单位办公用房（包括相应的空调，办公家具），不收取房屋租金及水电费用。</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h、按期支付工人工资的要求：承包人应当按照国家法律法规的要求每月按期足额向其全体施工工人发放工资，为其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pPr>
        <w:pStyle w:val="43"/>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 一次带班检查工地。若发现不到会议、未带班检查情况，每次处以施工合同价的0.1%作为违约金（每人次上限5万元）。</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继任项目经理注册执业资格、管理经验不得低于前任项目经理，并经发包人同意</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承包人在施工期间不准擅自更换项目经理。承包人擅自更换项目经理的将被视为承包人违约，处以合同价的2%（每起上限200万元）的违约金，情节严重的发包人有权解除合同</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的或能力不能满足工作需要的，发包人书面通知承包人进行更换项目经理，承包人在两个星期内未做出更换项目经理的，处以合同价的1.5%（不低于5万元）的违约金，情节严重的发包人有权解除合同</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因需要更换项目经理的，应当办理书面更换手续，更换后的项目经理必须同样满足执业资格、业绩等要求，项目经理每更换一次处以施工合同价的1%作为违约金（每起上限100万元）。</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w:t>
      </w:r>
      <w:r>
        <w:rPr>
          <w:rFonts w:hint="eastAsia" w:ascii="仿宋" w:hAnsi="仿宋" w:eastAsia="仿宋" w:cs="仿宋"/>
          <w:color w:val="auto"/>
          <w:szCs w:val="21"/>
          <w:highlight w:val="none"/>
          <w:u w:val="single"/>
        </w:rPr>
        <w:t>5000元/人</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解除合同。</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主要施工管理人员擅自离开施工现场的违约责任：项目经理无故三次以上不到位的处以违约金20000元/人.次；其他主要管理人员无故三次以上不到位的处以违约金3000元/人.次，情节严重的发包人有权解除合同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9" w:name="_Toc303539102"/>
      <w:bookmarkStart w:id="530" w:name="_Toc296944498"/>
      <w:bookmarkStart w:id="531" w:name="_Toc300934945"/>
      <w:bookmarkStart w:id="532" w:name="_Toc297048345"/>
      <w:bookmarkStart w:id="533" w:name="_Toc296347158"/>
      <w:bookmarkStart w:id="534" w:name="_Toc304295523"/>
      <w:bookmarkStart w:id="535" w:name="_Toc296890987"/>
      <w:bookmarkStart w:id="536" w:name="_Toc297216151"/>
      <w:bookmarkStart w:id="537" w:name="_Toc297123492"/>
      <w:bookmarkStart w:id="538" w:name="_Toc312677988"/>
      <w:bookmarkStart w:id="539" w:name="_Toc292559869"/>
      <w:bookmarkStart w:id="540" w:name="_Toc296346660"/>
      <w:bookmarkStart w:id="541" w:name="_Toc297120459"/>
      <w:bookmarkStart w:id="542" w:name="_Toc296503159"/>
      <w:bookmarkStart w:id="543" w:name="_Toc292559364"/>
      <w:bookmarkStart w:id="544" w:name="_Toc296891199"/>
      <w:r>
        <w:rPr>
          <w:rFonts w:hint="eastAsia" w:ascii="仿宋" w:hAnsi="仿宋" w:eastAsia="仿宋" w:cs="仿宋"/>
          <w:color w:val="auto"/>
          <w:szCs w:val="21"/>
          <w:highlight w:val="none"/>
        </w:rPr>
        <w:t>.5 分包</w:t>
      </w: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5" w:name="_Toc297216152"/>
      <w:bookmarkStart w:id="546" w:name="_Toc303539103"/>
      <w:bookmarkStart w:id="547" w:name="_Toc296347159"/>
      <w:bookmarkStart w:id="548" w:name="_Toc297123493"/>
      <w:bookmarkStart w:id="549" w:name="_Toc297048346"/>
      <w:bookmarkStart w:id="550" w:name="_Toc296944499"/>
      <w:bookmarkStart w:id="551" w:name="_Toc296346661"/>
      <w:bookmarkStart w:id="552" w:name="_Toc292559870"/>
      <w:bookmarkStart w:id="553" w:name="_Toc292559365"/>
      <w:bookmarkStart w:id="554" w:name="_Toc304295524"/>
      <w:bookmarkStart w:id="555" w:name="_Toc296890988"/>
      <w:bookmarkStart w:id="556" w:name="_Toc296503160"/>
      <w:bookmarkStart w:id="557" w:name="_Toc300934946"/>
      <w:bookmarkStart w:id="558" w:name="_Toc296891200"/>
      <w:bookmarkStart w:id="559" w:name="_Toc297120460"/>
      <w:bookmarkStart w:id="560" w:name="_Toc318581158"/>
      <w:bookmarkStart w:id="561" w:name="_Toc312677989"/>
      <w:r>
        <w:rPr>
          <w:rFonts w:hint="eastAsia" w:ascii="仿宋" w:hAnsi="仿宋" w:eastAsia="仿宋" w:cs="仿宋"/>
          <w:color w:val="auto"/>
          <w:szCs w:val="21"/>
          <w:highlight w:val="none"/>
        </w:rPr>
        <w:t>.5.1 分包的一般约定</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Start w:id="562" w:name="_Toc304295525"/>
      <w:bookmarkStart w:id="563" w:name="_Toc296891201"/>
      <w:bookmarkStart w:id="564" w:name="_Toc297123494"/>
      <w:bookmarkStart w:id="565" w:name="_Toc296944500"/>
      <w:bookmarkStart w:id="566" w:name="_Toc296503161"/>
      <w:bookmarkStart w:id="567" w:name="_Toc297216153"/>
      <w:bookmarkStart w:id="568" w:name="_Toc297120461"/>
      <w:bookmarkStart w:id="569" w:name="_Toc297048347"/>
      <w:bookmarkStart w:id="570" w:name="_Toc296890989"/>
      <w:bookmarkStart w:id="571" w:name="_Toc303539104"/>
      <w:bookmarkStart w:id="572" w:name="_Toc300934947"/>
      <w:bookmarkStart w:id="573" w:name="_Toc296346662"/>
      <w:bookmarkStart w:id="574" w:name="_Toc296347160"/>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5" w:name="_Toc312677990"/>
      <w:bookmarkStart w:id="576" w:name="_Toc318581159"/>
      <w:r>
        <w:rPr>
          <w:rFonts w:hint="eastAsia" w:ascii="仿宋" w:hAnsi="仿宋" w:eastAsia="仿宋" w:cs="仿宋"/>
          <w:color w:val="auto"/>
          <w:szCs w:val="21"/>
          <w:highlight w:val="none"/>
        </w:rPr>
        <w:t>.5.2分包的确定</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如发生转包的或非法分包的，发包人将上报建设行政主管部门依法处置并扣缴其履约担保。在合同执行过程中，若发现存在下列情况的视作转包或非法分包：</w:t>
      </w:r>
    </w:p>
    <w:p>
      <w:pPr>
        <w:adjustRightInd/>
        <w:spacing w:line="400" w:lineRule="exact"/>
        <w:rPr>
          <w:rFonts w:hint="eastAsia" w:ascii="仿宋" w:hAnsi="仿宋" w:eastAsia="仿宋" w:cs="仿宋"/>
          <w:color w:val="auto"/>
          <w:szCs w:val="21"/>
          <w:highlight w:val="none"/>
          <w:u w:val="single"/>
        </w:rPr>
      </w:pPr>
      <w:bookmarkStart w:id="577" w:name="_Toc384745511"/>
      <w:bookmarkStart w:id="578"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7"/>
      <w:bookmarkEnd w:id="578"/>
    </w:p>
    <w:p>
      <w:pPr>
        <w:adjustRightInd/>
        <w:spacing w:line="400" w:lineRule="exact"/>
        <w:rPr>
          <w:rFonts w:hint="eastAsia" w:ascii="仿宋" w:hAnsi="仿宋" w:eastAsia="仿宋" w:cs="仿宋"/>
          <w:color w:val="auto"/>
          <w:szCs w:val="21"/>
          <w:highlight w:val="none"/>
          <w:u w:val="single"/>
        </w:rPr>
      </w:pPr>
      <w:bookmarkStart w:id="579" w:name="_Toc384745512"/>
      <w:bookmarkStart w:id="580" w:name="_Toc384726608"/>
      <w:r>
        <w:rPr>
          <w:rFonts w:hint="eastAsia" w:ascii="仿宋" w:hAnsi="仿宋" w:eastAsia="仿宋" w:cs="仿宋"/>
          <w:color w:val="auto"/>
          <w:szCs w:val="21"/>
          <w:highlight w:val="none"/>
          <w:u w:val="single"/>
        </w:rPr>
        <w:t>2）承包人将其承包的全部建设工程肢解后，以分包名义转给他人承包的。</w:t>
      </w:r>
      <w:bookmarkEnd w:id="579"/>
      <w:bookmarkEnd w:id="580"/>
    </w:p>
    <w:p>
      <w:pPr>
        <w:adjustRightInd/>
        <w:spacing w:line="400" w:lineRule="exact"/>
        <w:rPr>
          <w:rFonts w:hint="eastAsia" w:ascii="仿宋" w:hAnsi="仿宋" w:eastAsia="仿宋" w:cs="仿宋"/>
          <w:color w:val="auto"/>
          <w:szCs w:val="21"/>
          <w:highlight w:val="none"/>
          <w:u w:val="single"/>
        </w:rPr>
      </w:pPr>
      <w:bookmarkStart w:id="581" w:name="_Toc384745513"/>
      <w:bookmarkStart w:id="582" w:name="_Toc384726609"/>
      <w:r>
        <w:rPr>
          <w:rFonts w:hint="eastAsia" w:ascii="仿宋" w:hAnsi="仿宋" w:eastAsia="仿宋" w:cs="仿宋"/>
          <w:color w:val="auto"/>
          <w:szCs w:val="21"/>
          <w:highlight w:val="none"/>
          <w:u w:val="single"/>
        </w:rPr>
        <w:t>3）承包人将主体结构工程转给他人承包的。</w:t>
      </w:r>
      <w:bookmarkEnd w:id="581"/>
      <w:bookmarkEnd w:id="582"/>
    </w:p>
    <w:p>
      <w:pPr>
        <w:adjustRightInd/>
        <w:spacing w:line="400" w:lineRule="exact"/>
        <w:rPr>
          <w:rFonts w:hint="eastAsia" w:ascii="仿宋" w:hAnsi="仿宋" w:eastAsia="仿宋" w:cs="仿宋"/>
          <w:color w:val="auto"/>
          <w:szCs w:val="21"/>
          <w:highlight w:val="none"/>
          <w:u w:val="single"/>
        </w:rPr>
      </w:pPr>
      <w:bookmarkStart w:id="583" w:name="_Toc384745514"/>
      <w:bookmarkStart w:id="584" w:name="_Toc384726610"/>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3"/>
      <w:bookmarkEnd w:id="584"/>
    </w:p>
    <w:p>
      <w:pPr>
        <w:adjustRightInd/>
        <w:spacing w:line="400" w:lineRule="exact"/>
        <w:rPr>
          <w:rFonts w:hint="eastAsia" w:ascii="仿宋" w:hAnsi="仿宋" w:eastAsia="仿宋" w:cs="仿宋"/>
          <w:color w:val="auto"/>
          <w:szCs w:val="21"/>
          <w:highlight w:val="none"/>
          <w:u w:val="single"/>
        </w:rPr>
      </w:pPr>
      <w:bookmarkStart w:id="585" w:name="_Toc384726611"/>
      <w:bookmarkStart w:id="586" w:name="_Toc384745515"/>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5"/>
      <w:bookmarkEnd w:id="586"/>
    </w:p>
    <w:p>
      <w:pPr>
        <w:adjustRightInd/>
        <w:spacing w:line="400" w:lineRule="exact"/>
        <w:rPr>
          <w:rFonts w:hint="eastAsia" w:ascii="仿宋" w:hAnsi="仿宋" w:eastAsia="仿宋" w:cs="仿宋"/>
          <w:color w:val="auto"/>
          <w:szCs w:val="21"/>
          <w:highlight w:val="none"/>
          <w:u w:val="single"/>
        </w:rPr>
      </w:pPr>
      <w:bookmarkStart w:id="587" w:name="_Toc384726612"/>
      <w:bookmarkStart w:id="588" w:name="_Toc384745516"/>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7"/>
      <w:bookmarkEnd w:id="588"/>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5"/>
    <w:bookmarkEnd w:id="576"/>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（3）竣工日后到按补充协议确定的工程移交日前，竣工工程（包括附属设备、设施），由承包人负责保管并负担保管费用。</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依据补充协议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本工程要求承包人提供的履约担保金额为合同总价的2%（采用支票、汇票、转帐、银行保函、保险机构保证保险保单或融资担保公司保函等）；</w:t>
      </w:r>
      <w:bookmarkStart w:id="589" w:name="OLE_LINK26"/>
      <w:r>
        <w:rPr>
          <w:rFonts w:hint="eastAsia" w:ascii="仿宋" w:hAnsi="仿宋" w:eastAsia="仿宋" w:cs="仿宋"/>
          <w:color w:val="auto"/>
          <w:szCs w:val="21"/>
          <w:highlight w:val="none"/>
          <w:u w:val="single"/>
        </w:rPr>
        <w:t>在合同签订后14天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9"/>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承包人完成全部合同约定内容，合同履约期间无违约行为，一次性竣工验收合格的，则在工程竣工验收合格后10日内，发包人退还履约担保（无息）。</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pPr>
        <w:keepNext/>
        <w:keepLines/>
        <w:adjustRightInd/>
        <w:spacing w:line="400" w:lineRule="exact"/>
        <w:outlineLvl w:val="3"/>
        <w:rPr>
          <w:rFonts w:hint="eastAsia" w:ascii="仿宋" w:hAnsi="仿宋" w:eastAsia="仿宋" w:cs="仿宋"/>
          <w:bCs/>
          <w:color w:val="auto"/>
          <w:szCs w:val="21"/>
          <w:highlight w:val="none"/>
        </w:rPr>
      </w:pPr>
      <w:bookmarkStart w:id="590" w:name="_Toc351203636"/>
      <w:r>
        <w:rPr>
          <w:rFonts w:hint="eastAsia" w:ascii="仿宋" w:hAnsi="仿宋" w:eastAsia="仿宋" w:cs="仿宋"/>
          <w:bCs/>
          <w:color w:val="auto"/>
          <w:szCs w:val="21"/>
          <w:highlight w:val="none"/>
        </w:rPr>
        <w:t>4</w:t>
      </w:r>
      <w:bookmarkStart w:id="591" w:name="_Toc267251413"/>
      <w:bookmarkStart w:id="592" w:name="_Toc296503162"/>
      <w:bookmarkStart w:id="593" w:name="_Toc296346663"/>
      <w:bookmarkStart w:id="594" w:name="_Toc296890990"/>
      <w:bookmarkStart w:id="595" w:name="_Toc297048348"/>
      <w:bookmarkStart w:id="596" w:name="_Toc296944501"/>
      <w:bookmarkStart w:id="597" w:name="_Toc297120462"/>
      <w:bookmarkStart w:id="598" w:name="_Toc292559871"/>
      <w:bookmarkStart w:id="599" w:name="_Toc296347161"/>
      <w:bookmarkStart w:id="600" w:name="_Toc292559366"/>
      <w:bookmarkStart w:id="601" w:name="_Toc296891202"/>
      <w:r>
        <w:rPr>
          <w:rFonts w:hint="eastAsia" w:ascii="仿宋" w:hAnsi="仿宋" w:eastAsia="仿宋" w:cs="仿宋"/>
          <w:bCs/>
          <w:color w:val="auto"/>
          <w:szCs w:val="21"/>
          <w:highlight w:val="none"/>
        </w:rPr>
        <w:t>. 监</w:t>
      </w:r>
      <w:bookmarkEnd w:id="591"/>
      <w:bookmarkEnd w:id="592"/>
      <w:bookmarkEnd w:id="593"/>
      <w:bookmarkEnd w:id="594"/>
      <w:bookmarkEnd w:id="595"/>
      <w:bookmarkEnd w:id="596"/>
      <w:bookmarkEnd w:id="597"/>
      <w:bookmarkEnd w:id="598"/>
      <w:bookmarkEnd w:id="599"/>
      <w:bookmarkEnd w:id="600"/>
      <w:bookmarkEnd w:id="601"/>
      <w:r>
        <w:rPr>
          <w:rFonts w:hint="eastAsia" w:ascii="仿宋" w:hAnsi="仿宋" w:eastAsia="仿宋" w:cs="仿宋"/>
          <w:bCs/>
          <w:color w:val="auto"/>
          <w:szCs w:val="21"/>
          <w:highlight w:val="none"/>
        </w:rPr>
        <w:t>理人</w:t>
      </w:r>
      <w:bookmarkEnd w:id="590"/>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pPr>
        <w:adjustRightInd/>
        <w:spacing w:line="400" w:lineRule="exact"/>
        <w:ind w:firstLine="420" w:firstLineChars="200"/>
        <w:rPr>
          <w:rFonts w:hint="eastAsia" w:ascii="仿宋" w:hAnsi="仿宋" w:eastAsia="仿宋" w:cs="仿宋"/>
          <w:color w:val="auto"/>
          <w:szCs w:val="21"/>
          <w:highlight w:val="none"/>
        </w:rPr>
      </w:pPr>
      <w:bookmarkStart w:id="602"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603" w:name="_Toc351203637"/>
      <w:r>
        <w:rPr>
          <w:rFonts w:hint="eastAsia" w:ascii="仿宋" w:hAnsi="仿宋" w:eastAsia="仿宋" w:cs="仿宋"/>
          <w:bCs/>
          <w:color w:val="auto"/>
          <w:szCs w:val="21"/>
          <w:highlight w:val="none"/>
        </w:rPr>
        <w:t>5</w:t>
      </w:r>
      <w:bookmarkEnd w:id="602"/>
      <w:bookmarkStart w:id="604" w:name="_Toc292559872"/>
      <w:bookmarkStart w:id="605" w:name="_Toc292559367"/>
      <w:bookmarkStart w:id="606" w:name="_Toc296891203"/>
      <w:bookmarkStart w:id="607" w:name="_Toc297120463"/>
      <w:bookmarkStart w:id="608" w:name="_Toc296347162"/>
      <w:bookmarkStart w:id="609" w:name="_Toc296503163"/>
      <w:bookmarkStart w:id="610" w:name="_Toc296890991"/>
      <w:bookmarkStart w:id="611" w:name="_Toc297048349"/>
      <w:bookmarkStart w:id="612" w:name="_Toc296944502"/>
      <w:bookmarkStart w:id="613" w:name="_Toc296346664"/>
      <w:r>
        <w:rPr>
          <w:rFonts w:hint="eastAsia" w:ascii="仿宋" w:hAnsi="仿宋" w:eastAsia="仿宋" w:cs="仿宋"/>
          <w:bCs/>
          <w:color w:val="auto"/>
          <w:szCs w:val="21"/>
          <w:highlight w:val="none"/>
        </w:rPr>
        <w:t>. 工程质量</w:t>
      </w:r>
      <w:bookmarkEnd w:id="603"/>
    </w:p>
    <w:p>
      <w:pPr>
        <w:adjustRightInd/>
        <w:spacing w:line="400" w:lineRule="exact"/>
        <w:ind w:firstLine="420" w:firstLineChars="200"/>
        <w:outlineLvl w:val="0"/>
        <w:rPr>
          <w:rFonts w:hint="eastAsia" w:ascii="仿宋" w:hAnsi="仿宋" w:eastAsia="仿宋" w:cs="仿宋"/>
          <w:color w:val="auto"/>
          <w:szCs w:val="21"/>
          <w:highlight w:val="none"/>
        </w:rPr>
      </w:pPr>
      <w:bookmarkStart w:id="614" w:name="_Toc23350"/>
      <w:bookmarkStart w:id="615" w:name="_Toc4020"/>
      <w:bookmarkStart w:id="616" w:name="_Toc4026"/>
      <w:bookmarkStart w:id="617" w:name="_Toc15287"/>
      <w:bookmarkStart w:id="618" w:name="_Toc30439"/>
      <w:bookmarkStart w:id="619" w:name="_Toc29387"/>
      <w:r>
        <w:rPr>
          <w:rFonts w:hint="eastAsia" w:ascii="仿宋" w:hAnsi="仿宋" w:eastAsia="仿宋" w:cs="仿宋"/>
          <w:color w:val="auto"/>
          <w:szCs w:val="21"/>
          <w:highlight w:val="none"/>
        </w:rPr>
        <w:t>5.1 质量要求</w:t>
      </w:r>
      <w:bookmarkEnd w:id="614"/>
      <w:bookmarkEnd w:id="615"/>
      <w:bookmarkEnd w:id="616"/>
      <w:bookmarkEnd w:id="617"/>
      <w:bookmarkEnd w:id="618"/>
      <w:bookmarkEnd w:id="619"/>
    </w:p>
    <w:p>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20" w:name="_Toc304295527"/>
      <w:bookmarkStart w:id="621" w:name="_Toc318581164"/>
      <w:bookmarkStart w:id="622" w:name="_Toc303539106"/>
      <w:bookmarkStart w:id="623" w:name="_Toc312677997"/>
      <w:bookmarkStart w:id="624" w:name="_Toc297216155"/>
      <w:bookmarkStart w:id="625" w:name="_Toc297123496"/>
      <w:bookmarkStart w:id="626" w:name="_Toc300934949"/>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pPr>
        <w:adjustRightInd/>
        <w:spacing w:line="400" w:lineRule="exact"/>
        <w:ind w:firstLine="420" w:firstLineChars="200"/>
        <w:outlineLvl w:val="0"/>
        <w:rPr>
          <w:rFonts w:hint="eastAsia" w:ascii="仿宋" w:hAnsi="仿宋" w:eastAsia="仿宋" w:cs="仿宋"/>
          <w:color w:val="auto"/>
          <w:szCs w:val="21"/>
          <w:highlight w:val="none"/>
        </w:rPr>
      </w:pPr>
      <w:bookmarkStart w:id="627" w:name="_Toc20752"/>
      <w:bookmarkStart w:id="628" w:name="_Toc29586"/>
      <w:bookmarkStart w:id="629" w:name="_Toc4135"/>
      <w:bookmarkStart w:id="630" w:name="_Toc29840"/>
      <w:bookmarkStart w:id="631" w:name="_Toc23574"/>
      <w:bookmarkStart w:id="632" w:name="_Toc113"/>
      <w:r>
        <w:rPr>
          <w:rFonts w:hint="eastAsia" w:ascii="仿宋" w:hAnsi="仿宋" w:eastAsia="仿宋" w:cs="仿宋"/>
          <w:color w:val="auto"/>
          <w:szCs w:val="21"/>
          <w:highlight w:val="none"/>
        </w:rPr>
        <w:t>5.3 隐蔽工程检查</w:t>
      </w:r>
      <w:bookmarkEnd w:id="627"/>
      <w:bookmarkEnd w:id="628"/>
      <w:bookmarkEnd w:id="629"/>
      <w:bookmarkEnd w:id="630"/>
      <w:bookmarkEnd w:id="631"/>
      <w:bookmarkEnd w:id="632"/>
    </w:p>
    <w:p>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建设集团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5.4.2 因发包人原因造成工程不合格的，由此增加的费用和（或）延误的工期由发包人承担，但不包括承包人的利润损失。</w:t>
      </w:r>
    </w:p>
    <w:p>
      <w:pPr>
        <w:keepNext/>
        <w:keepLines/>
        <w:adjustRightInd/>
        <w:spacing w:line="400" w:lineRule="exact"/>
        <w:outlineLvl w:val="3"/>
        <w:rPr>
          <w:rFonts w:hint="eastAsia" w:ascii="仿宋" w:hAnsi="仿宋" w:eastAsia="仿宋" w:cs="仿宋"/>
          <w:bCs/>
          <w:color w:val="auto"/>
          <w:szCs w:val="21"/>
          <w:highlight w:val="none"/>
        </w:rPr>
      </w:pPr>
      <w:bookmarkStart w:id="633" w:name="_Toc351203638"/>
      <w:r>
        <w:rPr>
          <w:rFonts w:hint="eastAsia" w:ascii="仿宋" w:hAnsi="仿宋" w:eastAsia="仿宋" w:cs="仿宋"/>
          <w:bCs/>
          <w:color w:val="auto"/>
          <w:szCs w:val="21"/>
          <w:highlight w:val="none"/>
        </w:rPr>
        <w:t>6. 安全文明施工与环境保护</w:t>
      </w:r>
      <w:bookmarkEnd w:id="633"/>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彼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   由承包人自行承担，在结算时不予调整</w:t>
      </w:r>
      <w:r>
        <w:rPr>
          <w:rFonts w:hint="eastAsia" w:ascii="仿宋" w:hAnsi="仿宋" w:eastAsia="仿宋" w:cs="仿宋"/>
          <w:color w:val="auto"/>
          <w:szCs w:val="21"/>
          <w:highlight w:val="none"/>
        </w:rPr>
        <w:t xml:space="preserve">。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20"/>
    <w:bookmarkEnd w:id="621"/>
    <w:bookmarkEnd w:id="622"/>
    <w:bookmarkEnd w:id="623"/>
    <w:bookmarkEnd w:id="624"/>
    <w:bookmarkEnd w:id="625"/>
    <w:bookmarkEnd w:id="626"/>
    <w:p>
      <w:pPr>
        <w:keepNext/>
        <w:keepLines/>
        <w:adjustRightInd/>
        <w:spacing w:line="400" w:lineRule="exact"/>
        <w:outlineLvl w:val="3"/>
        <w:rPr>
          <w:rFonts w:hint="eastAsia" w:ascii="仿宋" w:hAnsi="仿宋" w:eastAsia="仿宋" w:cs="仿宋"/>
          <w:bCs/>
          <w:color w:val="auto"/>
          <w:szCs w:val="21"/>
          <w:highlight w:val="none"/>
        </w:rPr>
      </w:pPr>
      <w:bookmarkStart w:id="634" w:name="_Toc351203639"/>
      <w:r>
        <w:rPr>
          <w:rFonts w:hint="eastAsia" w:ascii="仿宋" w:hAnsi="仿宋" w:eastAsia="仿宋" w:cs="仿宋"/>
          <w:bCs/>
          <w:color w:val="auto"/>
          <w:szCs w:val="21"/>
          <w:highlight w:val="none"/>
        </w:rPr>
        <w:t>7. 工期和进度</w:t>
      </w:r>
      <w:bookmarkEnd w:id="634"/>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5" w:name="_Toc304295541"/>
      <w:bookmarkStart w:id="636" w:name="_Toc303539123"/>
      <w:bookmarkStart w:id="637" w:name="_Toc312677479"/>
      <w:bookmarkStart w:id="638" w:name="_Toc300934966"/>
      <w:bookmarkStart w:id="639" w:name="_Toc297216173"/>
      <w:bookmarkStart w:id="640" w:name="_Toc312678005"/>
      <w:bookmarkStart w:id="641" w:name="_Toc297123514"/>
      <w:r>
        <w:rPr>
          <w:rFonts w:hint="eastAsia" w:ascii="仿宋" w:hAnsi="仿宋" w:eastAsia="仿宋" w:cs="仿宋"/>
          <w:color w:val="auto"/>
          <w:szCs w:val="21"/>
          <w:highlight w:val="none"/>
        </w:rPr>
        <w:t>.2 施工进度计划</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5"/>
    <w:bookmarkEnd w:id="636"/>
    <w:bookmarkEnd w:id="637"/>
    <w:bookmarkEnd w:id="638"/>
    <w:bookmarkEnd w:id="639"/>
    <w:bookmarkEnd w:id="640"/>
    <w:bookmarkEnd w:id="641"/>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2" w:name="_Toc300934968"/>
      <w:bookmarkStart w:id="643" w:name="_Toc312678010"/>
      <w:bookmarkStart w:id="644" w:name="_Toc304295546"/>
      <w:bookmarkStart w:id="645" w:name="_Toc297123516"/>
      <w:bookmarkStart w:id="646" w:name="_Toc297216175"/>
      <w:bookmarkStart w:id="647" w:name="_Toc312677484"/>
      <w:bookmarkStart w:id="648" w:name="_Toc303539125"/>
      <w:r>
        <w:rPr>
          <w:rFonts w:hint="eastAsia" w:ascii="仿宋" w:hAnsi="仿宋" w:eastAsia="仿宋" w:cs="仿宋"/>
          <w:color w:val="auto"/>
          <w:szCs w:val="21"/>
          <w:highlight w:val="none"/>
        </w:rPr>
        <w:t>.5 工期延误</w:t>
      </w:r>
    </w:p>
    <w:bookmarkEnd w:id="642"/>
    <w:bookmarkEnd w:id="643"/>
    <w:bookmarkEnd w:id="644"/>
    <w:bookmarkEnd w:id="645"/>
    <w:bookmarkEnd w:id="646"/>
    <w:bookmarkEnd w:id="647"/>
    <w:bookmarkEnd w:id="648"/>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9" w:name="_Toc318581169"/>
      <w:bookmarkStart w:id="650" w:name="_Toc312677486"/>
      <w:bookmarkStart w:id="651" w:name="_Toc312678012"/>
      <w:bookmarkStart w:id="652" w:name="_Toc304295548"/>
      <w:bookmarkStart w:id="653" w:name="_Toc300934970"/>
      <w:bookmarkStart w:id="654" w:name="_Toc303539127"/>
      <w:bookmarkStart w:id="655" w:name="_Toc297123518"/>
      <w:bookmarkStart w:id="656" w:name="_Toc297216177"/>
      <w:r>
        <w:rPr>
          <w:rFonts w:hint="eastAsia" w:ascii="仿宋" w:hAnsi="仿宋" w:eastAsia="仿宋" w:cs="仿宋"/>
          <w:color w:val="auto"/>
          <w:szCs w:val="21"/>
          <w:highlight w:val="none"/>
        </w:rPr>
        <w:t>.5.2 因承包人原因导致工期延误</w:t>
      </w:r>
      <w:bookmarkEnd w:id="649"/>
      <w:bookmarkEnd w:id="650"/>
      <w:bookmarkEnd w:id="651"/>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7" w:name="_Toc312678013"/>
      <w:bookmarkStart w:id="658" w:name="_Toc312677487"/>
      <w:bookmarkStart w:id="659" w:name="_Toc318581170"/>
      <w:r>
        <w:rPr>
          <w:rFonts w:hint="eastAsia" w:ascii="仿宋" w:hAnsi="仿宋" w:eastAsia="仿宋" w:cs="仿宋"/>
          <w:color w:val="auto"/>
          <w:szCs w:val="21"/>
          <w:highlight w:val="none"/>
        </w:rPr>
        <w:t>承包人原因造成工期延误，逾期竣工违约金的计算方法为：</w:t>
      </w:r>
      <w:bookmarkEnd w:id="652"/>
      <w:bookmarkEnd w:id="653"/>
      <w:bookmarkEnd w:id="654"/>
      <w:bookmarkEnd w:id="655"/>
      <w:bookmarkEnd w:id="656"/>
      <w:bookmarkEnd w:id="657"/>
      <w:bookmarkEnd w:id="658"/>
      <w:r>
        <w:rPr>
          <w:rFonts w:hint="eastAsia" w:ascii="仿宋" w:hAnsi="仿宋" w:eastAsia="仿宋" w:cs="仿宋"/>
          <w:color w:val="auto"/>
          <w:szCs w:val="21"/>
          <w:highlight w:val="none"/>
          <w:u w:val="single"/>
        </w:rPr>
        <w:t>工期每拖延一天处以违约金为签约合同价的万分之二, 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w:t>
      </w:r>
      <w:bookmarkEnd w:id="659"/>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60" w:name="_Toc318581171"/>
      <w:bookmarkStart w:id="661" w:name="_Toc312678014"/>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  </w:t>
      </w:r>
      <w:r>
        <w:rPr>
          <w:rFonts w:hint="eastAsia" w:ascii="仿宋" w:hAnsi="仿宋" w:eastAsia="仿宋" w:cs="仿宋"/>
          <w:color w:val="auto"/>
          <w:szCs w:val="21"/>
          <w:highlight w:val="none"/>
        </w:rPr>
        <w:t>。</w:t>
      </w:r>
    </w:p>
    <w:p>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60"/>
    <w:bookmarkEnd w:id="661"/>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62" w:name="_Toc297216178"/>
      <w:bookmarkStart w:id="663" w:name="_Toc303539128"/>
      <w:bookmarkStart w:id="664" w:name="_Toc300934971"/>
      <w:bookmarkStart w:id="665" w:name="_Toc304295549"/>
      <w:bookmarkStart w:id="666" w:name="_Toc312678015"/>
      <w:bookmarkStart w:id="667" w:name="_Toc297123519"/>
      <w:r>
        <w:rPr>
          <w:rFonts w:hint="eastAsia" w:ascii="仿宋" w:hAnsi="仿宋" w:eastAsia="仿宋" w:cs="仿宋"/>
          <w:color w:val="auto"/>
          <w:szCs w:val="21"/>
          <w:highlight w:val="none"/>
        </w:rPr>
        <w:t>.6 不</w:t>
      </w:r>
      <w:bookmarkEnd w:id="662"/>
      <w:bookmarkEnd w:id="663"/>
      <w:bookmarkEnd w:id="664"/>
      <w:bookmarkEnd w:id="665"/>
      <w:bookmarkEnd w:id="666"/>
      <w:bookmarkEnd w:id="667"/>
      <w:r>
        <w:rPr>
          <w:rFonts w:hint="eastAsia" w:ascii="仿宋" w:hAnsi="仿宋" w:eastAsia="仿宋" w:cs="仿宋"/>
          <w:color w:val="auto"/>
          <w:szCs w:val="21"/>
          <w:highlight w:val="none"/>
        </w:rPr>
        <w:t>利物质条件</w:t>
      </w:r>
      <w:bookmarkStart w:id="668" w:name="_Toc300934972"/>
      <w:bookmarkStart w:id="669" w:name="_Toc318581172"/>
      <w:bookmarkStart w:id="670" w:name="_Toc304295550"/>
      <w:bookmarkStart w:id="671" w:name="_Toc297216179"/>
      <w:bookmarkStart w:id="672" w:name="_Toc312678016"/>
      <w:bookmarkStart w:id="673" w:name="_Toc303539129"/>
      <w:bookmarkStart w:id="674" w:name="_Toc297123520"/>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8"/>
    <w:bookmarkEnd w:id="669"/>
    <w:bookmarkEnd w:id="670"/>
    <w:bookmarkEnd w:id="671"/>
    <w:bookmarkEnd w:id="672"/>
    <w:bookmarkEnd w:id="673"/>
    <w:bookmarkEnd w:id="674"/>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5" w:name="_Toc297123521"/>
      <w:bookmarkStart w:id="676" w:name="_Toc297216180"/>
      <w:bookmarkStart w:id="677" w:name="_Toc304295551"/>
      <w:bookmarkStart w:id="678" w:name="_Toc312678017"/>
      <w:bookmarkStart w:id="679" w:name="_Toc303539130"/>
      <w:bookmarkStart w:id="680" w:name="_Toc300934973"/>
      <w:r>
        <w:rPr>
          <w:rFonts w:hint="eastAsia" w:ascii="仿宋" w:hAnsi="仿宋" w:eastAsia="仿宋" w:cs="仿宋"/>
          <w:color w:val="auto"/>
          <w:szCs w:val="21"/>
          <w:highlight w:val="none"/>
        </w:rPr>
        <w:t>.7异常恶劣的气候条件</w:t>
      </w:r>
    </w:p>
    <w:bookmarkEnd w:id="675"/>
    <w:bookmarkEnd w:id="676"/>
    <w:bookmarkEnd w:id="677"/>
    <w:bookmarkEnd w:id="678"/>
    <w:bookmarkEnd w:id="679"/>
    <w:bookmarkEnd w:id="680"/>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pPr>
        <w:adjustRightInd/>
        <w:spacing w:line="400" w:lineRule="exact"/>
        <w:ind w:firstLine="420" w:firstLineChars="200"/>
        <w:outlineLvl w:val="0"/>
        <w:rPr>
          <w:rFonts w:hint="eastAsia" w:ascii="仿宋" w:hAnsi="仿宋" w:eastAsia="仿宋" w:cs="仿宋"/>
          <w:color w:val="auto"/>
          <w:szCs w:val="21"/>
          <w:highlight w:val="none"/>
        </w:rPr>
      </w:pPr>
      <w:bookmarkStart w:id="681" w:name="_Toc31872"/>
      <w:bookmarkStart w:id="682" w:name="_Toc19780"/>
      <w:bookmarkStart w:id="683" w:name="_Toc20500"/>
      <w:bookmarkStart w:id="684" w:name="_Toc8513"/>
      <w:bookmarkStart w:id="685" w:name="_Toc2424"/>
      <w:bookmarkStart w:id="686" w:name="_Toc27338"/>
      <w:r>
        <w:rPr>
          <w:rFonts w:hint="eastAsia" w:ascii="仿宋" w:hAnsi="仿宋" w:eastAsia="仿宋" w:cs="仿宋"/>
          <w:color w:val="auto"/>
          <w:szCs w:val="21"/>
          <w:highlight w:val="none"/>
        </w:rPr>
        <w:t>7.9 提前竣工的奖励</w:t>
      </w:r>
      <w:bookmarkEnd w:id="681"/>
      <w:bookmarkEnd w:id="682"/>
      <w:bookmarkEnd w:id="683"/>
      <w:bookmarkEnd w:id="684"/>
      <w:bookmarkEnd w:id="685"/>
      <w:bookmarkEnd w:id="686"/>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687" w:name="_Toc351203640"/>
      <w:r>
        <w:rPr>
          <w:rFonts w:hint="eastAsia" w:ascii="仿宋" w:hAnsi="仿宋" w:eastAsia="仿宋" w:cs="仿宋"/>
          <w:bCs/>
          <w:color w:val="auto"/>
          <w:szCs w:val="21"/>
          <w:highlight w:val="none"/>
        </w:rPr>
        <w:t>8. 材料与设备</w:t>
      </w:r>
      <w:bookmarkEnd w:id="687"/>
    </w:p>
    <w:bookmarkEnd w:id="604"/>
    <w:bookmarkEnd w:id="605"/>
    <w:bookmarkEnd w:id="606"/>
    <w:bookmarkEnd w:id="607"/>
    <w:bookmarkEnd w:id="608"/>
    <w:bookmarkEnd w:id="609"/>
    <w:bookmarkEnd w:id="610"/>
    <w:bookmarkEnd w:id="611"/>
    <w:bookmarkEnd w:id="612"/>
    <w:bookmarkEnd w:id="613"/>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8" w:name="_Toc296503167"/>
      <w:bookmarkStart w:id="689" w:name="_Toc297123527"/>
      <w:bookmarkStart w:id="690" w:name="_Toc297048353"/>
      <w:bookmarkStart w:id="691" w:name="_Toc296346668"/>
      <w:bookmarkStart w:id="692" w:name="_Toc292559372"/>
      <w:bookmarkStart w:id="693" w:name="_Toc312677493"/>
      <w:bookmarkStart w:id="694" w:name="_Toc304295556"/>
      <w:bookmarkStart w:id="695" w:name="_Toc296347166"/>
      <w:bookmarkStart w:id="696" w:name="_Toc297120467"/>
      <w:bookmarkStart w:id="697" w:name="_Toc292559877"/>
      <w:bookmarkStart w:id="698" w:name="_Toc312678019"/>
      <w:bookmarkStart w:id="699" w:name="_Toc280868654"/>
      <w:bookmarkStart w:id="700" w:name="_Toc296944506"/>
      <w:bookmarkStart w:id="701" w:name="_Toc297216186"/>
      <w:bookmarkStart w:id="702" w:name="_Toc300934979"/>
      <w:bookmarkStart w:id="703" w:name="_Toc303539136"/>
      <w:bookmarkStart w:id="704" w:name="_Toc296891207"/>
      <w:bookmarkStart w:id="705" w:name="_Toc296890995"/>
      <w:bookmarkStart w:id="706" w:name="_Toc280868656"/>
      <w:bookmarkStart w:id="707" w:name="_Toc280868655"/>
      <w:bookmarkStart w:id="708" w:name="_Toc267251424"/>
      <w:r>
        <w:rPr>
          <w:rFonts w:hint="eastAsia" w:ascii="仿宋" w:hAnsi="仿宋" w:eastAsia="仿宋" w:cs="仿宋"/>
          <w:color w:val="auto"/>
          <w:szCs w:val="21"/>
          <w:highlight w:val="none"/>
        </w:rPr>
        <w:t>.4材料与工程设备的保管与使用</w:t>
      </w:r>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9" w:name="_Toc292559373"/>
      <w:bookmarkStart w:id="710" w:name="_Toc292559878"/>
      <w:bookmarkStart w:id="711" w:name="_Toc318581173"/>
      <w:bookmarkStart w:id="712" w:name="_Toc296891208"/>
      <w:bookmarkStart w:id="713" w:name="_Toc312678020"/>
      <w:bookmarkStart w:id="714" w:name="_Toc300934980"/>
      <w:bookmarkStart w:id="715" w:name="_Toc296944507"/>
      <w:bookmarkStart w:id="716" w:name="_Toc312677494"/>
      <w:bookmarkStart w:id="717" w:name="_Toc297123528"/>
      <w:bookmarkStart w:id="718" w:name="_Toc304295557"/>
      <w:bookmarkStart w:id="719" w:name="_Toc296347167"/>
      <w:bookmarkStart w:id="720" w:name="_Toc296890996"/>
      <w:bookmarkStart w:id="721" w:name="_Toc297048354"/>
      <w:bookmarkStart w:id="722" w:name="_Toc296346669"/>
      <w:bookmarkStart w:id="723" w:name="_Toc297216187"/>
      <w:bookmarkStart w:id="724" w:name="_Toc297120468"/>
      <w:bookmarkStart w:id="725" w:name="_Toc303539137"/>
      <w:bookmarkStart w:id="726" w:name="_Toc296503168"/>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9"/>
      <w:bookmarkEnd w:id="710"/>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727" w:name="_Toc15717"/>
      <w:bookmarkStart w:id="728" w:name="_Toc26492"/>
      <w:bookmarkStart w:id="729" w:name="_Toc16897"/>
      <w:bookmarkStart w:id="730" w:name="_Toc18241"/>
      <w:bookmarkStart w:id="731" w:name="_Toc1742"/>
      <w:bookmarkStart w:id="732" w:name="_Toc9896"/>
      <w:r>
        <w:rPr>
          <w:rFonts w:hint="eastAsia" w:ascii="仿宋" w:hAnsi="仿宋" w:eastAsia="仿宋" w:cs="仿宋"/>
          <w:color w:val="auto"/>
          <w:szCs w:val="21"/>
          <w:highlight w:val="none"/>
        </w:rPr>
        <w:t>8.6 样品</w:t>
      </w:r>
      <w:bookmarkEnd w:id="727"/>
      <w:bookmarkEnd w:id="728"/>
      <w:bookmarkEnd w:id="729"/>
      <w:bookmarkEnd w:id="730"/>
      <w:bookmarkEnd w:id="731"/>
      <w:bookmarkEnd w:id="732"/>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733" w:name="_Toc13868"/>
      <w:bookmarkStart w:id="734" w:name="_Toc32690"/>
      <w:bookmarkStart w:id="735" w:name="_Toc27408"/>
      <w:bookmarkStart w:id="736" w:name="_Toc9251"/>
      <w:bookmarkStart w:id="737" w:name="_Toc22514"/>
      <w:bookmarkStart w:id="738" w:name="_Toc4843"/>
      <w:r>
        <w:rPr>
          <w:rFonts w:hint="eastAsia" w:ascii="仿宋" w:hAnsi="仿宋" w:eastAsia="仿宋" w:cs="仿宋"/>
          <w:color w:val="auto"/>
          <w:szCs w:val="21"/>
          <w:highlight w:val="none"/>
        </w:rPr>
        <w:t>8.8 施工设备和临时设施</w:t>
      </w:r>
      <w:bookmarkEnd w:id="733"/>
      <w:bookmarkEnd w:id="734"/>
      <w:bookmarkEnd w:id="735"/>
      <w:bookmarkEnd w:id="736"/>
      <w:bookmarkEnd w:id="737"/>
      <w:bookmarkEnd w:id="738"/>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keepNext/>
        <w:keepLines/>
        <w:adjustRightInd/>
        <w:spacing w:line="360" w:lineRule="auto"/>
        <w:outlineLvl w:val="3"/>
        <w:rPr>
          <w:rFonts w:hint="eastAsia" w:ascii="仿宋" w:hAnsi="仿宋" w:eastAsia="仿宋" w:cs="仿宋"/>
          <w:bCs/>
          <w:color w:val="auto"/>
          <w:szCs w:val="21"/>
          <w:highlight w:val="none"/>
        </w:rPr>
      </w:pPr>
      <w:bookmarkStart w:id="739" w:name="_Toc351203641"/>
      <w:r>
        <w:rPr>
          <w:rFonts w:hint="eastAsia" w:ascii="仿宋" w:hAnsi="仿宋" w:eastAsia="仿宋" w:cs="仿宋"/>
          <w:bCs/>
          <w:color w:val="auto"/>
          <w:szCs w:val="21"/>
          <w:highlight w:val="none"/>
        </w:rPr>
        <w:t>9</w:t>
      </w:r>
      <w:bookmarkEnd w:id="706"/>
      <w:bookmarkEnd w:id="707"/>
      <w:bookmarkEnd w:id="708"/>
      <w:bookmarkStart w:id="740" w:name="_Toc312678021"/>
      <w:bookmarkStart w:id="741" w:name="_Toc300934982"/>
      <w:bookmarkStart w:id="742" w:name="_Toc297123533"/>
      <w:bookmarkStart w:id="743" w:name="_Toc303539139"/>
      <w:bookmarkStart w:id="744" w:name="_Toc312677495"/>
      <w:bookmarkStart w:id="745" w:name="_Toc297216192"/>
      <w:bookmarkStart w:id="746" w:name="_Toc304295559"/>
      <w:bookmarkStart w:id="747" w:name="_Toc267251428"/>
      <w:bookmarkStart w:id="748" w:name="_Toc296503173"/>
      <w:bookmarkStart w:id="749" w:name="_Toc296346674"/>
      <w:bookmarkStart w:id="750" w:name="_Toc297120473"/>
      <w:bookmarkStart w:id="751" w:name="_Toc296891213"/>
      <w:bookmarkStart w:id="752" w:name="_Toc296944512"/>
      <w:bookmarkStart w:id="753" w:name="_Toc267251427"/>
      <w:bookmarkStart w:id="754" w:name="_Toc292559378"/>
      <w:bookmarkStart w:id="755" w:name="_Toc292559883"/>
      <w:bookmarkStart w:id="756" w:name="_Toc296891001"/>
      <w:bookmarkStart w:id="757" w:name="_Toc297048359"/>
      <w:bookmarkStart w:id="758" w:name="_Toc296347172"/>
      <w:r>
        <w:rPr>
          <w:rFonts w:hint="eastAsia" w:ascii="仿宋" w:hAnsi="仿宋" w:eastAsia="仿宋" w:cs="仿宋"/>
          <w:bCs/>
          <w:color w:val="auto"/>
          <w:szCs w:val="21"/>
          <w:highlight w:val="none"/>
        </w:rPr>
        <w:t>. 试验与检验</w:t>
      </w:r>
      <w:bookmarkEnd w:id="739"/>
    </w:p>
    <w:bookmarkEnd w:id="740"/>
    <w:bookmarkEnd w:id="741"/>
    <w:bookmarkEnd w:id="742"/>
    <w:bookmarkEnd w:id="743"/>
    <w:bookmarkEnd w:id="744"/>
    <w:bookmarkEnd w:id="745"/>
    <w:bookmarkEnd w:id="746"/>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9" w:name="_Toc312677496"/>
      <w:bookmarkStart w:id="760" w:name="_Toc304295560"/>
      <w:bookmarkStart w:id="761" w:name="_Toc312678022"/>
      <w:bookmarkStart w:id="762" w:name="_Toc300934983"/>
      <w:bookmarkStart w:id="763" w:name="_Toc297216193"/>
      <w:bookmarkStart w:id="764" w:name="_Toc297123534"/>
      <w:bookmarkStart w:id="765" w:name="_Toc303539140"/>
      <w:r>
        <w:rPr>
          <w:rFonts w:hint="eastAsia" w:ascii="仿宋" w:hAnsi="仿宋" w:eastAsia="仿宋" w:cs="仿宋"/>
          <w:color w:val="auto"/>
          <w:szCs w:val="21"/>
          <w:highlight w:val="none"/>
        </w:rPr>
        <w:t>.1试验设备与试验人员</w:t>
      </w:r>
    </w:p>
    <w:bookmarkEnd w:id="759"/>
    <w:bookmarkEnd w:id="760"/>
    <w:bookmarkEnd w:id="761"/>
    <w:bookmarkEnd w:id="762"/>
    <w:bookmarkEnd w:id="763"/>
    <w:bookmarkEnd w:id="764"/>
    <w:bookmarkEnd w:id="765"/>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6" w:name="_Toc312677497"/>
      <w:bookmarkStart w:id="767" w:name="_Toc297216194"/>
      <w:bookmarkStart w:id="768" w:name="_Toc312678023"/>
      <w:bookmarkStart w:id="769" w:name="_Toc304295561"/>
      <w:bookmarkStart w:id="770" w:name="_Toc300934984"/>
      <w:bookmarkStart w:id="771" w:name="_Toc303539141"/>
      <w:bookmarkStart w:id="772" w:name="_Toc297123535"/>
      <w:bookmarkStart w:id="773" w:name="_Toc318581174"/>
      <w:r>
        <w:rPr>
          <w:rFonts w:hint="eastAsia" w:ascii="仿宋" w:hAnsi="仿宋" w:eastAsia="仿宋" w:cs="仿宋"/>
          <w:color w:val="auto"/>
          <w:szCs w:val="21"/>
          <w:highlight w:val="none"/>
        </w:rPr>
        <w:t>.1.2 试验设备</w:t>
      </w:r>
    </w:p>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6"/>
      <w:bookmarkEnd w:id="767"/>
      <w:bookmarkEnd w:id="768"/>
      <w:bookmarkEnd w:id="769"/>
      <w:bookmarkEnd w:id="770"/>
      <w:bookmarkEnd w:id="771"/>
      <w:bookmarkEnd w:id="772"/>
      <w:bookmarkStart w:id="774" w:name="_Toc300934985"/>
      <w:bookmarkStart w:id="775" w:name="_Toc304295562"/>
      <w:bookmarkStart w:id="776" w:name="_Toc312678024"/>
      <w:bookmarkStart w:id="777" w:name="_Toc303539142"/>
      <w:bookmarkStart w:id="778" w:name="_Toc297216195"/>
      <w:bookmarkStart w:id="779" w:name="_Toc312677498"/>
      <w:bookmarkStart w:id="780" w:name="_Toc297123536"/>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如不合格，则由施工单位支付。</w:t>
      </w:r>
    </w:p>
    <w:p>
      <w:pPr>
        <w:adjustRightInd/>
        <w:spacing w:line="400" w:lineRule="exact"/>
        <w:ind w:firstLine="420" w:firstLineChars="200"/>
        <w:outlineLvl w:val="0"/>
        <w:rPr>
          <w:rFonts w:hint="eastAsia" w:ascii="仿宋" w:hAnsi="仿宋" w:eastAsia="仿宋" w:cs="仿宋"/>
          <w:color w:val="auto"/>
          <w:szCs w:val="21"/>
          <w:highlight w:val="none"/>
        </w:rPr>
      </w:pPr>
      <w:bookmarkStart w:id="781" w:name="_Toc8402"/>
      <w:bookmarkStart w:id="782" w:name="_Toc18684"/>
      <w:bookmarkStart w:id="783" w:name="_Toc22320"/>
      <w:bookmarkStart w:id="784" w:name="_Toc32061"/>
      <w:bookmarkStart w:id="785" w:name="_Toc9472"/>
      <w:bookmarkStart w:id="786" w:name="_Toc11066"/>
      <w:r>
        <w:rPr>
          <w:rFonts w:hint="eastAsia" w:ascii="仿宋" w:hAnsi="仿宋" w:eastAsia="仿宋" w:cs="仿宋"/>
          <w:color w:val="auto"/>
          <w:szCs w:val="21"/>
          <w:highlight w:val="none"/>
        </w:rPr>
        <w:t>9.4 现场工艺试验</w:t>
      </w:r>
      <w:bookmarkEnd w:id="781"/>
      <w:bookmarkEnd w:id="782"/>
      <w:bookmarkEnd w:id="783"/>
      <w:bookmarkEnd w:id="784"/>
      <w:bookmarkEnd w:id="785"/>
      <w:bookmarkEnd w:id="786"/>
    </w:p>
    <w:p>
      <w:pPr>
        <w:adjustRightInd/>
        <w:spacing w:line="400" w:lineRule="exact"/>
        <w:ind w:firstLine="420" w:firstLineChars="200"/>
        <w:outlineLvl w:val="0"/>
        <w:rPr>
          <w:rFonts w:hint="eastAsia" w:ascii="仿宋" w:hAnsi="仿宋" w:eastAsia="仿宋" w:cs="仿宋"/>
          <w:color w:val="auto"/>
          <w:szCs w:val="21"/>
          <w:highlight w:val="none"/>
        </w:rPr>
      </w:pPr>
      <w:bookmarkStart w:id="787" w:name="_Toc8425"/>
      <w:bookmarkStart w:id="788" w:name="_Toc1747"/>
      <w:bookmarkStart w:id="789" w:name="_Toc4246"/>
      <w:bookmarkStart w:id="790" w:name="_Toc19892"/>
      <w:bookmarkStart w:id="791" w:name="_Toc23413"/>
      <w:bookmarkStart w:id="792" w:name="_Toc19192"/>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7"/>
      <w:bookmarkEnd w:id="788"/>
      <w:bookmarkEnd w:id="789"/>
      <w:bookmarkEnd w:id="790"/>
      <w:bookmarkEnd w:id="791"/>
      <w:bookmarkEnd w:id="792"/>
    </w:p>
    <w:bookmarkEnd w:id="773"/>
    <w:bookmarkEnd w:id="774"/>
    <w:bookmarkEnd w:id="775"/>
    <w:bookmarkEnd w:id="776"/>
    <w:bookmarkEnd w:id="777"/>
    <w:bookmarkEnd w:id="778"/>
    <w:bookmarkEnd w:id="779"/>
    <w:bookmarkEnd w:id="780"/>
    <w:p>
      <w:pPr>
        <w:keepNext/>
        <w:keepLines/>
        <w:adjustRightInd/>
        <w:spacing w:line="400" w:lineRule="exact"/>
        <w:outlineLvl w:val="3"/>
        <w:rPr>
          <w:rFonts w:hint="eastAsia" w:ascii="仿宋" w:hAnsi="仿宋" w:eastAsia="仿宋" w:cs="仿宋"/>
          <w:bCs/>
          <w:color w:val="auto"/>
          <w:szCs w:val="21"/>
          <w:highlight w:val="none"/>
        </w:rPr>
      </w:pPr>
      <w:bookmarkStart w:id="793" w:name="_Toc351203642"/>
      <w:r>
        <w:rPr>
          <w:rFonts w:hint="eastAsia" w:ascii="仿宋" w:hAnsi="仿宋" w:eastAsia="仿宋" w:cs="仿宋"/>
          <w:bCs/>
          <w:color w:val="auto"/>
          <w:szCs w:val="21"/>
          <w:highlight w:val="none"/>
        </w:rPr>
        <w:t>1</w:t>
      </w:r>
      <w:bookmarkEnd w:id="747"/>
      <w:bookmarkEnd w:id="748"/>
      <w:bookmarkEnd w:id="749"/>
      <w:bookmarkEnd w:id="750"/>
      <w:bookmarkEnd w:id="751"/>
      <w:bookmarkEnd w:id="752"/>
      <w:bookmarkEnd w:id="753"/>
      <w:bookmarkEnd w:id="754"/>
      <w:bookmarkEnd w:id="755"/>
      <w:bookmarkEnd w:id="756"/>
      <w:bookmarkEnd w:id="757"/>
      <w:bookmarkEnd w:id="758"/>
      <w:bookmarkStart w:id="794" w:name="_Toc296346694"/>
      <w:bookmarkStart w:id="795" w:name="_Toc292559903"/>
      <w:bookmarkStart w:id="796" w:name="_Toc297216199"/>
      <w:bookmarkStart w:id="797" w:name="_Toc296891021"/>
      <w:bookmarkStart w:id="798" w:name="_Toc300934989"/>
      <w:bookmarkStart w:id="799" w:name="_Toc296891233"/>
      <w:bookmarkStart w:id="800" w:name="_Toc292559398"/>
      <w:bookmarkStart w:id="801" w:name="_Toc304295566"/>
      <w:bookmarkStart w:id="802" w:name="_Toc297123540"/>
      <w:bookmarkStart w:id="803" w:name="_Toc303539146"/>
      <w:bookmarkStart w:id="804" w:name="_Toc297048379"/>
      <w:bookmarkStart w:id="805" w:name="_Toc296347192"/>
      <w:bookmarkStart w:id="806" w:name="_Toc297120493"/>
      <w:bookmarkStart w:id="807" w:name="_Toc296944532"/>
      <w:bookmarkStart w:id="808" w:name="_Toc296503193"/>
      <w:bookmarkStart w:id="809" w:name="_Toc312677499"/>
      <w:bookmarkStart w:id="810" w:name="_Toc312678025"/>
      <w:bookmarkStart w:id="811" w:name="_Toc267251439"/>
      <w:bookmarkStart w:id="812" w:name="_Toc267251441"/>
      <w:bookmarkStart w:id="813" w:name="_Toc267251440"/>
      <w:bookmarkStart w:id="814" w:name="_Toc267251433"/>
      <w:bookmarkStart w:id="815" w:name="_Toc267251435"/>
      <w:bookmarkStart w:id="816" w:name="_Toc267251437"/>
      <w:r>
        <w:rPr>
          <w:rFonts w:hint="eastAsia" w:ascii="仿宋" w:hAnsi="仿宋" w:eastAsia="仿宋" w:cs="仿宋"/>
          <w:bCs/>
          <w:color w:val="auto"/>
          <w:szCs w:val="21"/>
          <w:highlight w:val="none"/>
        </w:rPr>
        <w:t>0. 变更</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bookmarkEnd w:id="809"/>
    <w:bookmarkEnd w:id="810"/>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7" w:name="_Toc296891022"/>
      <w:bookmarkStart w:id="818" w:name="_Toc304295567"/>
      <w:bookmarkStart w:id="819" w:name="_Toc312677500"/>
      <w:bookmarkStart w:id="820" w:name="_Toc292559904"/>
      <w:bookmarkStart w:id="821" w:name="_Toc303539147"/>
      <w:bookmarkStart w:id="822" w:name="_Toc296891234"/>
      <w:bookmarkStart w:id="823" w:name="_Toc297123541"/>
      <w:bookmarkStart w:id="824" w:name="_Toc297120494"/>
      <w:bookmarkStart w:id="825" w:name="_Toc296944533"/>
      <w:bookmarkStart w:id="826" w:name="_Toc296346695"/>
      <w:bookmarkStart w:id="827" w:name="_Toc297048380"/>
      <w:bookmarkStart w:id="828" w:name="_Toc296347193"/>
      <w:bookmarkStart w:id="829" w:name="_Toc300934990"/>
      <w:bookmarkStart w:id="830" w:name="_Toc292559399"/>
      <w:bookmarkStart w:id="831" w:name="_Toc312678026"/>
      <w:bookmarkStart w:id="832" w:name="_Toc296503194"/>
      <w:bookmarkStart w:id="833" w:name="_Toc297216200"/>
      <w:r>
        <w:rPr>
          <w:rFonts w:hint="eastAsia" w:ascii="仿宋" w:hAnsi="仿宋" w:eastAsia="仿宋" w:cs="仿宋"/>
          <w:color w:val="auto"/>
          <w:szCs w:val="21"/>
          <w:highlight w:val="none"/>
        </w:rPr>
        <w:t>0.1变更的范围</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10.1.3施工中承包人不得对原工程设计进行变更。因承包人擅自变更设计发生的费用和由此导致发包人的直接损失，由承包人承担，延误的工期不予顺延。</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pPr>
        <w:adjustRightInd/>
        <w:spacing w:line="400" w:lineRule="exact"/>
        <w:ind w:firstLine="420" w:firstLineChars="200"/>
        <w:outlineLvl w:val="0"/>
        <w:rPr>
          <w:rFonts w:hint="eastAsia" w:ascii="仿宋" w:hAnsi="仿宋" w:eastAsia="仿宋" w:cs="仿宋"/>
          <w:color w:val="auto"/>
          <w:szCs w:val="21"/>
          <w:highlight w:val="none"/>
        </w:rPr>
      </w:pPr>
      <w:bookmarkStart w:id="834" w:name="_Toc32184"/>
      <w:bookmarkStart w:id="835" w:name="_Toc789"/>
      <w:bookmarkStart w:id="836" w:name="_Toc20596"/>
      <w:bookmarkStart w:id="837" w:name="_Toc9300"/>
      <w:bookmarkStart w:id="838" w:name="_Toc353"/>
      <w:bookmarkStart w:id="839" w:name="_Toc19048"/>
      <w:r>
        <w:rPr>
          <w:rFonts w:hint="eastAsia" w:ascii="仿宋" w:hAnsi="仿宋" w:eastAsia="仿宋" w:cs="仿宋"/>
          <w:color w:val="auto"/>
          <w:szCs w:val="21"/>
          <w:highlight w:val="none"/>
        </w:rPr>
        <w:t>10.4 变更估价</w:t>
      </w:r>
      <w:bookmarkEnd w:id="834"/>
      <w:bookmarkEnd w:id="835"/>
      <w:bookmarkEnd w:id="836"/>
      <w:bookmarkEnd w:id="837"/>
      <w:bookmarkEnd w:id="838"/>
      <w:bookmarkEnd w:id="839"/>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pPr>
        <w:pStyle w:val="43"/>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Start w:id="840" w:name="_Toc292559402"/>
      <w:bookmarkStart w:id="841" w:name="_Toc297120497"/>
      <w:bookmarkStart w:id="842" w:name="_Toc296944536"/>
      <w:bookmarkStart w:id="843" w:name="_Toc292559907"/>
      <w:bookmarkStart w:id="844" w:name="_Toc296891025"/>
      <w:bookmarkStart w:id="845" w:name="_Toc300934993"/>
      <w:bookmarkStart w:id="846" w:name="_Toc296347196"/>
      <w:bookmarkStart w:id="847" w:name="_Toc297048383"/>
      <w:bookmarkStart w:id="848" w:name="_Toc303539150"/>
      <w:bookmarkStart w:id="849" w:name="_Toc297123544"/>
      <w:bookmarkStart w:id="850" w:name="_Toc296891237"/>
      <w:bookmarkStart w:id="851" w:name="_Toc297216203"/>
      <w:bookmarkStart w:id="852" w:name="_Toc296346698"/>
      <w:bookmarkStart w:id="853" w:name="_Toc296503197"/>
      <w:bookmarkStart w:id="854" w:name="_Toc304295570"/>
      <w:bookmarkStart w:id="855" w:name="_Toc312678029"/>
      <w:bookmarkStart w:id="856" w:name="_Toc312677503"/>
      <w:r>
        <w:rPr>
          <w:rFonts w:hint="eastAsia" w:ascii="仿宋" w:hAnsi="仿宋" w:eastAsia="仿宋" w:cs="仿宋"/>
          <w:color w:val="auto"/>
          <w:szCs w:val="21"/>
          <w:highlight w:val="none"/>
        </w:rPr>
        <w:t>0.5承</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Start w:id="857" w:name="_Toc296503203"/>
      <w:bookmarkStart w:id="858" w:name="_Toc296346704"/>
      <w:bookmarkStart w:id="859" w:name="_Toc296891243"/>
      <w:bookmarkStart w:id="860" w:name="_Toc297048389"/>
      <w:bookmarkStart w:id="861" w:name="_Toc296944542"/>
      <w:bookmarkStart w:id="862" w:name="_Toc297123545"/>
      <w:bookmarkStart w:id="863" w:name="_Toc292559913"/>
      <w:bookmarkStart w:id="864" w:name="_Toc292559408"/>
      <w:bookmarkStart w:id="865" w:name="_Toc297216204"/>
      <w:bookmarkStart w:id="866" w:name="_Toc303539151"/>
      <w:bookmarkStart w:id="867" w:name="_Toc297120503"/>
      <w:bookmarkStart w:id="868" w:name="_Toc300934994"/>
      <w:bookmarkStart w:id="869" w:name="_Toc296891031"/>
      <w:bookmarkStart w:id="870" w:name="_Toc296347202"/>
      <w:r>
        <w:rPr>
          <w:rFonts w:hint="eastAsia" w:ascii="仿宋" w:hAnsi="仿宋" w:eastAsia="仿宋" w:cs="仿宋"/>
          <w:color w:val="auto"/>
          <w:szCs w:val="21"/>
          <w:highlight w:val="none"/>
        </w:rPr>
        <w:t>包人的合理化建议</w:t>
      </w:r>
    </w:p>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71" w:name="_Toc297048390"/>
      <w:bookmarkStart w:id="872" w:name="_Toc297120504"/>
      <w:bookmarkStart w:id="873" w:name="_Toc296944543"/>
      <w:bookmarkStart w:id="874" w:name="_Toc297123546"/>
      <w:bookmarkStart w:id="875" w:name="_Toc296347203"/>
      <w:bookmarkStart w:id="876" w:name="_Toc304295571"/>
      <w:bookmarkStart w:id="877" w:name="_Toc292559409"/>
      <w:bookmarkStart w:id="878" w:name="_Toc296891032"/>
      <w:bookmarkStart w:id="879" w:name="_Toc303539152"/>
      <w:bookmarkStart w:id="880" w:name="_Toc318581175"/>
      <w:bookmarkStart w:id="881" w:name="_Toc312677504"/>
      <w:bookmarkStart w:id="882" w:name="_Toc292559914"/>
      <w:bookmarkStart w:id="883" w:name="_Toc296503204"/>
      <w:bookmarkStart w:id="884" w:name="_Toc312678030"/>
      <w:bookmarkStart w:id="885" w:name="_Toc296346705"/>
      <w:bookmarkStart w:id="886" w:name="_Toc300934995"/>
      <w:bookmarkStart w:id="887" w:name="_Toc297216205"/>
      <w:bookmarkStart w:id="888" w:name="_Toc296891244"/>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Pr>
        <w:adjustRightInd/>
        <w:spacing w:line="400" w:lineRule="exact"/>
        <w:ind w:firstLine="420" w:firstLineChars="200"/>
        <w:outlineLvl w:val="0"/>
        <w:rPr>
          <w:rFonts w:hint="eastAsia" w:ascii="仿宋" w:hAnsi="仿宋" w:eastAsia="仿宋" w:cs="仿宋"/>
          <w:color w:val="auto"/>
          <w:szCs w:val="21"/>
          <w:highlight w:val="none"/>
        </w:rPr>
      </w:pPr>
      <w:bookmarkStart w:id="889" w:name="_Toc7636"/>
      <w:bookmarkStart w:id="890" w:name="_Toc10600"/>
      <w:bookmarkStart w:id="891" w:name="_Toc21345"/>
      <w:bookmarkStart w:id="892" w:name="_Toc12094"/>
      <w:bookmarkStart w:id="893" w:name="_Toc28127"/>
      <w:bookmarkStart w:id="894" w:name="_Toc11085"/>
      <w:r>
        <w:rPr>
          <w:rFonts w:hint="eastAsia" w:ascii="仿宋" w:hAnsi="仿宋" w:eastAsia="仿宋" w:cs="仿宋"/>
          <w:color w:val="auto"/>
          <w:szCs w:val="21"/>
          <w:highlight w:val="none"/>
        </w:rPr>
        <w:t>1</w:t>
      </w:r>
      <w:bookmarkStart w:id="895" w:name="_Toc297216207"/>
      <w:bookmarkStart w:id="896" w:name="_Toc296346700"/>
      <w:bookmarkStart w:id="897" w:name="_Toc300934997"/>
      <w:bookmarkStart w:id="898" w:name="_Toc296347198"/>
      <w:bookmarkStart w:id="899" w:name="_Toc312678033"/>
      <w:bookmarkStart w:id="900" w:name="_Toc297120499"/>
      <w:bookmarkStart w:id="901" w:name="_Toc303539154"/>
      <w:bookmarkStart w:id="902" w:name="_Toc304295574"/>
      <w:bookmarkStart w:id="903" w:name="_Toc296891027"/>
      <w:bookmarkStart w:id="904" w:name="_Toc297048385"/>
      <w:bookmarkStart w:id="905" w:name="_Toc312677507"/>
      <w:bookmarkStart w:id="906" w:name="_Toc296944538"/>
      <w:bookmarkStart w:id="907" w:name="_Toc292559404"/>
      <w:bookmarkStart w:id="908" w:name="_Toc296503199"/>
      <w:bookmarkStart w:id="909" w:name="_Toc296891239"/>
      <w:bookmarkStart w:id="910" w:name="_Toc297123548"/>
      <w:bookmarkStart w:id="911" w:name="_Toc292559909"/>
      <w:r>
        <w:rPr>
          <w:rFonts w:hint="eastAsia" w:ascii="仿宋" w:hAnsi="仿宋" w:eastAsia="仿宋" w:cs="仿宋"/>
          <w:color w:val="auto"/>
          <w:szCs w:val="21"/>
          <w:highlight w:val="none"/>
        </w:rPr>
        <w:t>0.7 暂估价</w:t>
      </w:r>
      <w:bookmarkEnd w:id="889"/>
      <w:bookmarkEnd w:id="890"/>
      <w:bookmarkEnd w:id="891"/>
      <w:bookmarkEnd w:id="892"/>
      <w:bookmarkEnd w:id="893"/>
      <w:bookmarkEnd w:id="894"/>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12" w:name="_Toc318581176"/>
      <w:bookmarkStart w:id="913" w:name="_Toc312677508"/>
      <w:bookmarkStart w:id="914" w:name="_Toc312678034"/>
      <w:r>
        <w:rPr>
          <w:rFonts w:hint="eastAsia" w:ascii="仿宋" w:hAnsi="仿宋" w:eastAsia="仿宋" w:cs="仿宋"/>
          <w:color w:val="auto"/>
          <w:szCs w:val="21"/>
          <w:highlight w:val="none"/>
        </w:rPr>
        <w:t>估价材料和工程设备的明细详见附件11：《暂估价一览表》。</w:t>
      </w:r>
    </w:p>
    <w:bookmarkEnd w:id="912"/>
    <w:bookmarkEnd w:id="913"/>
    <w:bookmarkEnd w:id="914"/>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5" w:name="_Toc312678035"/>
      <w:bookmarkStart w:id="916" w:name="_Toc312677509"/>
      <w:bookmarkStart w:id="917" w:name="_Toc318581177"/>
      <w:r>
        <w:rPr>
          <w:rFonts w:hint="eastAsia" w:ascii="仿宋" w:hAnsi="仿宋" w:eastAsia="仿宋" w:cs="仿宋"/>
          <w:color w:val="auto"/>
          <w:szCs w:val="21"/>
          <w:highlight w:val="none"/>
        </w:rPr>
        <w:t>0.7.1 依法必须招标的暂估价项目</w:t>
      </w:r>
    </w:p>
    <w:bookmarkEnd w:id="915"/>
    <w:bookmarkEnd w:id="916"/>
    <w:bookmarkEnd w:id="917"/>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918" w:name="_Toc351203643"/>
      <w:r>
        <w:rPr>
          <w:rFonts w:hint="eastAsia" w:ascii="仿宋" w:hAnsi="仿宋" w:eastAsia="仿宋" w:cs="仿宋"/>
          <w:bCs/>
          <w:color w:val="auto"/>
          <w:szCs w:val="21"/>
          <w:highlight w:val="none"/>
        </w:rPr>
        <w:t>11. 价格调整</w:t>
      </w:r>
      <w:bookmarkEnd w:id="918"/>
    </w:p>
    <w:p>
      <w:pPr>
        <w:adjustRightInd/>
        <w:spacing w:line="400" w:lineRule="exact"/>
        <w:ind w:firstLine="420" w:firstLineChars="200"/>
        <w:rPr>
          <w:rFonts w:hint="eastAsia" w:ascii="仿宋" w:hAnsi="仿宋" w:eastAsia="仿宋" w:cs="仿宋"/>
          <w:color w:val="auto"/>
          <w:szCs w:val="21"/>
          <w:highlight w:val="none"/>
        </w:rPr>
      </w:pPr>
      <w:bookmarkStart w:id="919" w:name="_Toc303539157"/>
      <w:bookmarkStart w:id="920" w:name="_Toc312678039"/>
      <w:bookmarkStart w:id="921" w:name="_Toc297123550"/>
      <w:bookmarkStart w:id="922" w:name="_Toc296503201"/>
      <w:bookmarkStart w:id="923" w:name="_Toc292559406"/>
      <w:bookmarkStart w:id="924" w:name="_Toc304295577"/>
      <w:bookmarkStart w:id="925" w:name="_Toc297120501"/>
      <w:bookmarkStart w:id="926" w:name="_Toc296891241"/>
      <w:bookmarkStart w:id="927" w:name="_Toc296944540"/>
      <w:bookmarkStart w:id="928" w:name="_Toc297048387"/>
      <w:bookmarkStart w:id="929" w:name="_Toc292559911"/>
      <w:bookmarkStart w:id="930" w:name="_Toc300935000"/>
      <w:bookmarkStart w:id="931" w:name="_Toc296346702"/>
      <w:bookmarkStart w:id="932" w:name="_Toc297216209"/>
      <w:bookmarkStart w:id="933" w:name="_Toc296891029"/>
      <w:bookmarkStart w:id="934" w:name="_Toc296347200"/>
      <w:r>
        <w:rPr>
          <w:rFonts w:hint="eastAsia" w:ascii="仿宋" w:hAnsi="仿宋" w:eastAsia="仿宋" w:cs="仿宋"/>
          <w:color w:val="auto"/>
          <w:szCs w:val="21"/>
          <w:highlight w:val="none"/>
        </w:rPr>
        <w:t>11.1 市场价格波动引起的调整</w:t>
      </w:r>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11"/>
    <w:bookmarkEnd w:id="812"/>
    <w:bookmarkEnd w:id="813"/>
    <w:bookmarkEnd w:id="814"/>
    <w:bookmarkEnd w:id="815"/>
    <w:bookmarkEnd w:id="816"/>
    <w:p>
      <w:pPr>
        <w:adjustRightInd/>
        <w:spacing w:line="360" w:lineRule="auto"/>
        <w:rPr>
          <w:rFonts w:hint="eastAsia" w:ascii="仿宋" w:hAnsi="仿宋" w:eastAsia="仿宋" w:cs="仿宋"/>
          <w:color w:val="auto"/>
          <w:szCs w:val="21"/>
          <w:highlight w:val="none"/>
          <w:u w:val="single"/>
        </w:rPr>
      </w:pPr>
      <w:bookmarkStart w:id="935" w:name="_Toc297120505"/>
      <w:bookmarkStart w:id="936" w:name="_Toc296944544"/>
      <w:bookmarkStart w:id="937" w:name="_Toc296346706"/>
      <w:bookmarkStart w:id="938" w:name="_Toc296891245"/>
      <w:bookmarkStart w:id="939" w:name="_Toc297048391"/>
      <w:bookmarkStart w:id="940" w:name="_Toc296347204"/>
      <w:bookmarkStart w:id="941" w:name="_Toc296503205"/>
      <w:bookmarkStart w:id="942" w:name="_Toc296891033"/>
      <w:bookmarkStart w:id="943" w:name="_Toc292559410"/>
      <w:bookmarkStart w:id="944" w:name="_Toc292559915"/>
      <w:bookmarkStart w:id="945" w:name="_Toc351203644"/>
      <w:bookmarkStart w:id="946" w:name="_Toc304295579"/>
      <w:bookmarkStart w:id="947" w:name="_Toc312678040"/>
      <w:bookmarkStart w:id="948" w:name="_Toc303539159"/>
      <w:bookmarkStart w:id="949" w:name="_Toc297216211"/>
      <w:bookmarkStart w:id="950" w:name="_Toc297123552"/>
      <w:bookmarkStart w:id="951" w:name="_Toc300935002"/>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5、若杭州市、钱塘新区有新的调价文件按新的调价文件执行。</w:t>
      </w:r>
    </w:p>
    <w:p>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5"/>
      <w:bookmarkEnd w:id="936"/>
      <w:bookmarkEnd w:id="937"/>
      <w:bookmarkEnd w:id="938"/>
      <w:bookmarkEnd w:id="939"/>
      <w:bookmarkEnd w:id="940"/>
      <w:bookmarkEnd w:id="941"/>
      <w:bookmarkEnd w:id="942"/>
      <w:bookmarkEnd w:id="943"/>
      <w:bookmarkEnd w:id="944"/>
      <w:r>
        <w:rPr>
          <w:rFonts w:hint="eastAsia" w:ascii="仿宋" w:hAnsi="仿宋" w:eastAsia="仿宋" w:cs="仿宋"/>
          <w:bCs/>
          <w:color w:val="auto"/>
          <w:szCs w:val="21"/>
          <w:highlight w:val="none"/>
        </w:rPr>
        <w:t>合同价格、计量与支付</w:t>
      </w:r>
      <w:bookmarkEnd w:id="945"/>
    </w:p>
    <w:bookmarkEnd w:id="946"/>
    <w:bookmarkEnd w:id="947"/>
    <w:bookmarkEnd w:id="948"/>
    <w:bookmarkEnd w:id="949"/>
    <w:bookmarkEnd w:id="950"/>
    <w:bookmarkEnd w:id="951"/>
    <w:p>
      <w:pPr>
        <w:adjustRightInd/>
        <w:spacing w:line="400" w:lineRule="exact"/>
        <w:ind w:firstLine="420" w:firstLineChars="200"/>
        <w:rPr>
          <w:rFonts w:hint="eastAsia" w:ascii="仿宋" w:hAnsi="仿宋" w:eastAsia="仿宋" w:cs="仿宋"/>
          <w:color w:val="auto"/>
          <w:szCs w:val="21"/>
          <w:highlight w:val="none"/>
        </w:rPr>
      </w:pPr>
      <w:bookmarkStart w:id="952" w:name="_Toc292559916"/>
      <w:bookmarkStart w:id="953" w:name="_Toc292559411"/>
      <w:bookmarkStart w:id="954" w:name="_Toc267251461"/>
      <w:bookmarkStart w:id="955" w:name="_Toc296503206"/>
      <w:bookmarkStart w:id="956" w:name="_Toc296944545"/>
      <w:bookmarkStart w:id="957" w:name="_Toc296891034"/>
      <w:bookmarkStart w:id="958" w:name="_Toc296347205"/>
      <w:bookmarkStart w:id="959" w:name="_Toc296346707"/>
      <w:bookmarkStart w:id="960" w:name="_Toc297120506"/>
      <w:bookmarkStart w:id="961" w:name="_Toc297048392"/>
      <w:bookmarkStart w:id="962" w:name="_Toc296891246"/>
      <w:bookmarkStart w:id="963" w:name="_Toc304295580"/>
      <w:bookmarkStart w:id="964" w:name="_Toc300935003"/>
      <w:bookmarkStart w:id="965" w:name="_Toc303539160"/>
      <w:bookmarkStart w:id="966" w:name="_Toc312678041"/>
      <w:bookmarkStart w:id="967" w:name="_Toc297216212"/>
      <w:bookmarkStart w:id="968" w:name="_Toc297123553"/>
      <w:r>
        <w:rPr>
          <w:rFonts w:hint="eastAsia" w:ascii="仿宋" w:hAnsi="仿宋" w:eastAsia="仿宋" w:cs="仿宋"/>
          <w:color w:val="auto"/>
          <w:szCs w:val="21"/>
          <w:highlight w:val="none"/>
        </w:rPr>
        <w:t>12.1 合</w:t>
      </w:r>
      <w:bookmarkEnd w:id="952"/>
      <w:bookmarkEnd w:id="953"/>
      <w:bookmarkEnd w:id="954"/>
      <w:r>
        <w:rPr>
          <w:rFonts w:hint="eastAsia" w:ascii="仿宋" w:hAnsi="仿宋" w:eastAsia="仿宋" w:cs="仿宋"/>
          <w:color w:val="auto"/>
          <w:szCs w:val="21"/>
          <w:highlight w:val="none"/>
        </w:rPr>
        <w:t>同价</w:t>
      </w:r>
      <w:bookmarkEnd w:id="955"/>
      <w:bookmarkEnd w:id="956"/>
      <w:bookmarkEnd w:id="957"/>
      <w:bookmarkEnd w:id="958"/>
      <w:bookmarkEnd w:id="959"/>
      <w:bookmarkEnd w:id="960"/>
      <w:bookmarkEnd w:id="961"/>
      <w:bookmarkEnd w:id="962"/>
      <w:r>
        <w:rPr>
          <w:rFonts w:hint="eastAsia" w:ascii="仿宋" w:hAnsi="仿宋" w:eastAsia="仿宋" w:cs="仿宋"/>
          <w:color w:val="auto"/>
          <w:szCs w:val="21"/>
          <w:highlight w:val="none"/>
        </w:rPr>
        <w:t>格形式</w:t>
      </w:r>
    </w:p>
    <w:bookmarkEnd w:id="963"/>
    <w:bookmarkEnd w:id="964"/>
    <w:bookmarkEnd w:id="965"/>
    <w:bookmarkEnd w:id="966"/>
    <w:bookmarkEnd w:id="967"/>
    <w:bookmarkEnd w:id="968"/>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bookmarkStart w:id="969" w:name="_Toc312678042"/>
      <w:bookmarkStart w:id="970" w:name="_Toc303539161"/>
      <w:bookmarkStart w:id="971" w:name="_Toc300935004"/>
      <w:bookmarkStart w:id="972" w:name="_Toc297123554"/>
      <w:bookmarkStart w:id="973" w:name="_Toc297216213"/>
      <w:bookmarkStart w:id="974" w:name="_Toc304295581"/>
      <w:bookmarkStart w:id="975" w:name="_Toc296891247"/>
      <w:bookmarkStart w:id="976" w:name="_Toc292559917"/>
      <w:bookmarkStart w:id="977" w:name="_Toc296944546"/>
      <w:bookmarkStart w:id="978" w:name="_Toc296891035"/>
      <w:bookmarkStart w:id="979" w:name="_Toc292559412"/>
      <w:bookmarkStart w:id="980" w:name="_Toc296347206"/>
      <w:bookmarkStart w:id="981" w:name="_Toc297048393"/>
      <w:bookmarkStart w:id="982" w:name="_Toc296503207"/>
      <w:bookmarkStart w:id="983" w:name="_Toc297120507"/>
      <w:bookmarkStart w:id="984" w:name="_Toc296346708"/>
      <w:r>
        <w:rPr>
          <w:rFonts w:hint="eastAsia" w:ascii="仿宋" w:hAnsi="仿宋" w:eastAsia="仿宋" w:cs="仿宋"/>
          <w:color w:val="auto"/>
          <w:szCs w:val="21"/>
          <w:highlight w:val="none"/>
        </w:rPr>
        <w:t>12.2 预付款</w:t>
      </w:r>
    </w:p>
    <w:bookmarkEnd w:id="969"/>
    <w:bookmarkEnd w:id="970"/>
    <w:bookmarkEnd w:id="971"/>
    <w:bookmarkEnd w:id="972"/>
    <w:bookmarkEnd w:id="973"/>
    <w:bookmarkEnd w:id="974"/>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w:t>
      </w:r>
      <w:r>
        <w:rPr>
          <w:rFonts w:hint="eastAsia" w:ascii="仿宋" w:hAnsi="仿宋" w:eastAsia="仿宋" w:cs="仿宋"/>
          <w:color w:val="auto"/>
          <w:szCs w:val="21"/>
          <w:highlight w:val="none"/>
          <w:u w:val="single"/>
        </w:rPr>
        <w:t>合同</w:t>
      </w:r>
      <w:r>
        <w:rPr>
          <w:rFonts w:hint="eastAsia" w:ascii="仿宋" w:hAnsi="仿宋" w:eastAsia="仿宋" w:cs="仿宋"/>
          <w:color w:val="auto"/>
          <w:szCs w:val="21"/>
          <w:highlight w:val="none"/>
          <w:u w:val="single"/>
        </w:rPr>
        <w:t>价</w:t>
      </w:r>
      <w:r>
        <w:rPr>
          <w:rFonts w:hint="eastAsia" w:ascii="仿宋" w:hAnsi="仿宋" w:eastAsia="仿宋" w:cs="仿宋"/>
          <w:color w:val="auto"/>
          <w:szCs w:val="21"/>
          <w:highlight w:val="none"/>
          <w:u w:val="single"/>
        </w:rPr>
        <w:t>(不含暂列金)的</w:t>
      </w:r>
      <w:r>
        <w:rPr>
          <w:rFonts w:hint="eastAsia" w:ascii="仿宋" w:hAnsi="仿宋" w:eastAsia="仿宋" w:cs="仿宋"/>
          <w:color w:val="auto"/>
          <w:szCs w:val="21"/>
          <w:highlight w:val="none"/>
          <w:u w:val="single"/>
        </w:rPr>
        <w:t>40</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合同签订、承包人递交预付款担保后，且承包人施工队伍主要管理人员、主要施工机械进场后</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u w:val="single"/>
        </w:rPr>
        <w:t>天内，发包人向承包人预付合同金额(不含暂列金)的</w:t>
      </w:r>
      <w:r>
        <w:rPr>
          <w:rFonts w:hint="eastAsia" w:ascii="仿宋" w:hAnsi="仿宋" w:eastAsia="仿宋" w:cs="仿宋"/>
          <w:color w:val="auto"/>
          <w:szCs w:val="21"/>
          <w:highlight w:val="none"/>
          <w:u w:val="single"/>
        </w:rPr>
        <w:t>40</w:t>
      </w:r>
      <w:r>
        <w:rPr>
          <w:rFonts w:hint="eastAsia" w:ascii="仿宋" w:hAnsi="仿宋" w:eastAsia="仿宋" w:cs="仿宋"/>
          <w:color w:val="auto"/>
          <w:szCs w:val="21"/>
          <w:highlight w:val="none"/>
          <w:u w:val="single"/>
        </w:rPr>
        <w:t>%作为工程预付款</w:t>
      </w:r>
      <w:r>
        <w:rPr>
          <w:rFonts w:hint="eastAsia" w:ascii="仿宋" w:hAnsi="仿宋" w:eastAsia="仿宋" w:cs="仿宋"/>
          <w:color w:val="auto"/>
          <w:szCs w:val="21"/>
          <w:highlight w:val="none"/>
        </w:rPr>
        <w:t>。</w:t>
      </w:r>
    </w:p>
    <w:p>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w:t>
      </w:r>
      <w:r>
        <w:rPr>
          <w:rFonts w:hint="eastAsia" w:ascii="仿宋" w:hAnsi="仿宋" w:eastAsia="仿宋" w:cs="仿宋"/>
          <w:color w:val="auto"/>
          <w:szCs w:val="21"/>
          <w:highlight w:val="none"/>
          <w:u w:val="single"/>
        </w:rPr>
        <w:t>工程预付款</w:t>
      </w:r>
      <w:r>
        <w:rPr>
          <w:rFonts w:hint="eastAsia" w:ascii="仿宋" w:hAnsi="仿宋" w:eastAsia="仿宋" w:cs="仿宋"/>
          <w:color w:val="auto"/>
          <w:szCs w:val="21"/>
          <w:highlight w:val="none"/>
          <w:u w:val="single"/>
        </w:rPr>
        <w:t>在第一期进度款中扣回，如第一期进度款不足，则在第二期进度款中继续。</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5"/>
    <w:bookmarkEnd w:id="976"/>
    <w:bookmarkEnd w:id="977"/>
    <w:bookmarkEnd w:id="978"/>
    <w:bookmarkEnd w:id="979"/>
    <w:bookmarkEnd w:id="980"/>
    <w:bookmarkEnd w:id="981"/>
    <w:bookmarkEnd w:id="982"/>
    <w:bookmarkEnd w:id="983"/>
    <w:bookmarkEnd w:id="984"/>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u w:val="single"/>
        </w:rPr>
        <w:t>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  承包人应于每月22日前向监理人报送上月20日至当月19日已完成的工程量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pPr>
        <w:adjustRightInd/>
        <w:spacing w:line="400" w:lineRule="exact"/>
        <w:ind w:firstLine="420" w:firstLineChars="200"/>
        <w:rPr>
          <w:rFonts w:hint="eastAsia" w:ascii="仿宋" w:hAnsi="仿宋" w:eastAsia="仿宋" w:cs="仿宋"/>
          <w:color w:val="auto"/>
          <w:szCs w:val="21"/>
          <w:highlight w:val="none"/>
        </w:rPr>
      </w:pPr>
      <w:bookmarkStart w:id="985" w:name="_Toc297120511"/>
      <w:bookmarkStart w:id="986" w:name="_Toc296347210"/>
      <w:bookmarkStart w:id="987" w:name="_Toc300935006"/>
      <w:bookmarkStart w:id="988" w:name="_Toc296891251"/>
      <w:bookmarkStart w:id="989" w:name="_Toc296944550"/>
      <w:bookmarkStart w:id="990" w:name="_Toc303539163"/>
      <w:bookmarkStart w:id="991" w:name="_Toc296891039"/>
      <w:bookmarkStart w:id="992" w:name="_Toc292559416"/>
      <w:bookmarkStart w:id="993" w:name="_Toc297216215"/>
      <w:bookmarkStart w:id="994" w:name="_Toc296503211"/>
      <w:bookmarkStart w:id="995" w:name="_Toc297123556"/>
      <w:bookmarkStart w:id="996" w:name="_Toc292559921"/>
      <w:bookmarkStart w:id="997" w:name="_Toc296346712"/>
      <w:bookmarkStart w:id="998" w:name="_Toc297048397"/>
      <w:r>
        <w:rPr>
          <w:rFonts w:hint="eastAsia" w:ascii="仿宋" w:hAnsi="仿宋" w:eastAsia="仿宋" w:cs="仿宋"/>
          <w:color w:val="auto"/>
          <w:szCs w:val="21"/>
          <w:highlight w:val="none"/>
        </w:rPr>
        <w:t>12.4.1 付款周期</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r>
        <w:rPr>
          <w:rFonts w:hint="eastAsia" w:ascii="仿宋" w:hAnsi="仿宋" w:eastAsia="仿宋" w:cs="仿宋"/>
          <w:color w:val="auto"/>
          <w:szCs w:val="21"/>
          <w:highlight w:val="none"/>
          <w:u w:val="single"/>
        </w:rPr>
        <w:t>须在承包人履约担保提交后，工程进度款按月支付，本工程依据监理工程师确认和发包方负责人审核的完成工程量报表作为支付工程进度款的依据；</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工程进度款按每月进度报表由监理及发包人审核后支付，工程进度款支付额度为每月合同范围内实际完成量的70%（含工资性工程进度款）。竣工验收合格、符合竣工退场要求，并且提交完整的相关竣工结算审核资料，经发包人或发包人委托的审计单位认可后支付至该工程合同范围内实际完成工程量的80％（水电费等扣款在进度款中同步扣除），待财政审计</w:t>
      </w:r>
      <w:r>
        <w:rPr>
          <w:rFonts w:hint="eastAsia" w:ascii="仿宋" w:hAnsi="仿宋" w:eastAsia="仿宋" w:cs="仿宋"/>
          <w:i/>
          <w:iCs/>
          <w:color w:val="auto"/>
          <w:szCs w:val="21"/>
          <w:highlight w:val="none"/>
          <w:u w:val="single"/>
        </w:rPr>
        <w:t>（发包人或发包人委托的审计单位审计）</w:t>
      </w:r>
      <w:r>
        <w:rPr>
          <w:rFonts w:hint="eastAsia" w:ascii="仿宋" w:hAnsi="仿宋" w:eastAsia="仿宋" w:cs="仿宋"/>
          <w:color w:val="auto"/>
          <w:szCs w:val="21"/>
          <w:highlight w:val="none"/>
          <w:u w:val="single"/>
        </w:rPr>
        <w:t>完成且完整的资料归档后支付至结算价的</w:t>
      </w:r>
      <w:r>
        <w:rPr>
          <w:rFonts w:hint="eastAsia" w:ascii="仿宋" w:hAnsi="仿宋" w:eastAsia="仿宋" w:cs="仿宋"/>
          <w:color w:val="auto"/>
          <w:szCs w:val="21"/>
          <w:highlight w:val="none"/>
          <w:u w:val="single"/>
          <w:lang w:val="en-US" w:eastAsia="zh-CN"/>
        </w:rPr>
        <w:t>100</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1.5%作为工程质量保证金</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r>
        <w:rPr>
          <w:rFonts w:hint="eastAsia" w:ascii="仿宋" w:hAnsi="仿宋" w:eastAsia="仿宋" w:cs="仿宋"/>
          <w:color w:val="auto"/>
          <w:szCs w:val="21"/>
          <w:highlight w:val="none"/>
          <w:u w:val="single"/>
        </w:rPr>
        <w:t>，承包人收取每期工程款时应开具正式发票。</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在发包人支付至工程结算审定价的98.5%包人应向发包人提供工程结算款的全额工程款发票，否则，发包人有权拒绝支付工程款。</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rFonts w:hint="eastAsia" w:ascii="仿宋" w:hAnsi="仿宋" w:eastAsia="仿宋" w:cs="仿宋"/>
          <w:color w:val="auto"/>
          <w:szCs w:val="21"/>
          <w:highlight w:val="none"/>
        </w:rPr>
        <w:t>2.4.3 进度付款申请单的提交</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按照第12.3.3项〔单价合同的计量〕约定的时间向监理人提交，并附上已完成工程量报表和有关资料</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 xml:space="preserve">  监理人应在收到承包人进度付款申请单以及相关资料后2天内完成审查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999" w:name="_Toc351203645"/>
      <w:bookmarkStart w:id="1000" w:name="_Toc296346720"/>
      <w:bookmarkStart w:id="1001" w:name="_Toc292559424"/>
      <w:bookmarkStart w:id="1002" w:name="_Toc296944558"/>
      <w:bookmarkStart w:id="1003" w:name="_Toc296347218"/>
      <w:bookmarkStart w:id="1004" w:name="_Toc297120519"/>
      <w:bookmarkStart w:id="1005" w:name="_Toc304295593"/>
      <w:bookmarkStart w:id="1006" w:name="_Toc300935015"/>
      <w:bookmarkStart w:id="1007" w:name="_Toc297216223"/>
      <w:bookmarkStart w:id="1008" w:name="_Toc296503219"/>
      <w:bookmarkStart w:id="1009" w:name="_Toc303539172"/>
      <w:bookmarkStart w:id="1010" w:name="_Toc297123564"/>
      <w:bookmarkStart w:id="1011" w:name="_Toc312678053"/>
      <w:bookmarkStart w:id="1012" w:name="_Toc296891259"/>
      <w:bookmarkStart w:id="1013" w:name="_Toc297048405"/>
      <w:bookmarkStart w:id="1014" w:name="_Toc296891047"/>
      <w:bookmarkStart w:id="1015" w:name="_Toc292559929"/>
      <w:r>
        <w:rPr>
          <w:rFonts w:hint="eastAsia" w:ascii="仿宋" w:hAnsi="仿宋" w:eastAsia="仿宋" w:cs="仿宋"/>
          <w:bCs/>
          <w:color w:val="auto"/>
          <w:szCs w:val="21"/>
          <w:highlight w:val="none"/>
        </w:rPr>
        <w:t>13. 验收和工程试车</w:t>
      </w:r>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pPr>
        <w:adjustRightInd/>
        <w:spacing w:line="400" w:lineRule="exact"/>
        <w:ind w:firstLine="420" w:firstLineChars="200"/>
        <w:rPr>
          <w:rFonts w:hint="eastAsia" w:ascii="仿宋" w:hAnsi="仿宋" w:eastAsia="仿宋" w:cs="仿宋"/>
          <w:color w:val="auto"/>
          <w:szCs w:val="21"/>
          <w:highlight w:val="none"/>
        </w:rPr>
      </w:pPr>
      <w:bookmarkStart w:id="1016" w:name="_Toc304295596"/>
      <w:bookmarkStart w:id="1017" w:name="_Toc297120523"/>
      <w:bookmarkStart w:id="1018" w:name="_Toc297216224"/>
      <w:bookmarkStart w:id="1019" w:name="_Toc296347222"/>
      <w:bookmarkStart w:id="1020" w:name="_Toc300935016"/>
      <w:bookmarkStart w:id="1021" w:name="_Toc296346724"/>
      <w:bookmarkStart w:id="1022" w:name="_Toc296503223"/>
      <w:bookmarkStart w:id="1023" w:name="_Toc296891263"/>
      <w:bookmarkStart w:id="1024" w:name="_Toc303539173"/>
      <w:bookmarkStart w:id="1025" w:name="_Toc297048409"/>
      <w:bookmarkStart w:id="1026" w:name="_Toc292559933"/>
      <w:bookmarkStart w:id="1027" w:name="_Toc296891051"/>
      <w:bookmarkStart w:id="1028" w:name="_Toc312678056"/>
      <w:bookmarkStart w:id="1029" w:name="_Toc292559428"/>
      <w:bookmarkStart w:id="1030" w:name="_Toc296944562"/>
      <w:bookmarkStart w:id="1031" w:name="_Toc297123565"/>
      <w:bookmarkStart w:id="1032" w:name="_Toc267251473"/>
      <w:bookmarkStart w:id="1033" w:name="_Toc267251476"/>
      <w:bookmarkStart w:id="1034" w:name="_Toc267251471"/>
      <w:bookmarkStart w:id="1035" w:name="_Toc267251474"/>
      <w:bookmarkStart w:id="1036" w:name="_Toc267251470"/>
      <w:bookmarkStart w:id="1037" w:name="_Toc267251475"/>
      <w:bookmarkStart w:id="1038" w:name="_Toc267251472"/>
      <w:r>
        <w:rPr>
          <w:rFonts w:hint="eastAsia" w:ascii="仿宋" w:hAnsi="仿宋" w:eastAsia="仿宋" w:cs="仿宋"/>
          <w:color w:val="auto"/>
          <w:szCs w:val="21"/>
          <w:highlight w:val="none"/>
        </w:rPr>
        <w:t>13.2 竣工验收</w:t>
      </w:r>
    </w:p>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Pr>
        <w:adjustRightInd/>
        <w:spacing w:line="400" w:lineRule="exact"/>
        <w:ind w:firstLine="420" w:firstLineChars="200"/>
        <w:rPr>
          <w:rFonts w:hint="eastAsia" w:ascii="仿宋" w:hAnsi="仿宋" w:eastAsia="仿宋" w:cs="仿宋"/>
          <w:color w:val="auto"/>
          <w:szCs w:val="21"/>
          <w:highlight w:val="none"/>
        </w:rPr>
      </w:pPr>
      <w:bookmarkStart w:id="1039" w:name="_Toc280868704"/>
      <w:bookmarkStart w:id="1040" w:name="_Toc280868705"/>
      <w:bookmarkStart w:id="1041" w:name="_Toc280868706"/>
      <w:bookmarkStart w:id="1042" w:name="_Toc280868707"/>
      <w:bookmarkStart w:id="1043" w:name="_Toc280868708"/>
      <w:bookmarkStart w:id="1044" w:name="_Toc280868709"/>
      <w:r>
        <w:rPr>
          <w:rFonts w:hint="eastAsia" w:ascii="仿宋" w:hAnsi="仿宋" w:eastAsia="仿宋" w:cs="仿宋"/>
          <w:color w:val="auto"/>
          <w:szCs w:val="21"/>
          <w:highlight w:val="none"/>
        </w:rPr>
        <w:t>13.2.2竣工验收程序</w:t>
      </w:r>
    </w:p>
    <w:bookmarkEnd w:id="1039"/>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本专用条款第21.2条约定的竣工日期届满日前工程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40"/>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41"/>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42"/>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3"/>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045" w:name="_Toc18523"/>
      <w:bookmarkStart w:id="1046" w:name="_Toc23795"/>
      <w:bookmarkStart w:id="1047" w:name="_Toc894"/>
      <w:bookmarkStart w:id="1048" w:name="_Toc24397"/>
      <w:bookmarkStart w:id="1049" w:name="_Toc14409"/>
      <w:bookmarkStart w:id="1050" w:name="_Toc5399"/>
      <w:r>
        <w:rPr>
          <w:rFonts w:hint="eastAsia" w:ascii="仿宋" w:hAnsi="仿宋" w:eastAsia="仿宋" w:cs="仿宋"/>
          <w:color w:val="auto"/>
          <w:szCs w:val="21"/>
          <w:highlight w:val="none"/>
        </w:rPr>
        <w:t>13.6 竣工退场</w:t>
      </w:r>
      <w:bookmarkEnd w:id="1045"/>
      <w:bookmarkEnd w:id="1046"/>
      <w:bookmarkEnd w:id="1047"/>
      <w:bookmarkEnd w:id="1048"/>
      <w:bookmarkEnd w:id="1049"/>
      <w:bookmarkEnd w:id="1050"/>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1051" w:name="_Toc351203646"/>
      <w:r>
        <w:rPr>
          <w:rFonts w:hint="eastAsia" w:ascii="仿宋" w:hAnsi="仿宋" w:eastAsia="仿宋" w:cs="仿宋"/>
          <w:bCs/>
          <w:color w:val="auto"/>
          <w:szCs w:val="21"/>
          <w:highlight w:val="none"/>
        </w:rPr>
        <w:t>14. 竣工结算</w:t>
      </w:r>
      <w:bookmarkEnd w:id="1051"/>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同时发包人有权按补充条款的约定进行处罚。</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52" w:name="_Hlk59719221"/>
      <w:bookmarkStart w:id="1053" w:name="_Hlk59719067"/>
      <w:r>
        <w:rPr>
          <w:rFonts w:hint="eastAsia" w:ascii="仿宋" w:hAnsi="仿宋" w:eastAsia="仿宋" w:cs="仿宋"/>
          <w:color w:val="auto"/>
          <w:szCs w:val="21"/>
          <w:highlight w:val="none"/>
          <w:u w:val="single"/>
        </w:rPr>
        <w:t>财政部门审定或委托审定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52"/>
      <w:r>
        <w:rPr>
          <w:rFonts w:hint="eastAsia" w:ascii="仿宋" w:hAnsi="仿宋" w:eastAsia="仿宋" w:cs="仿宋"/>
          <w:color w:val="auto"/>
          <w:szCs w:val="21"/>
          <w:highlight w:val="none"/>
          <w:u w:val="single"/>
        </w:rPr>
        <w:t>工程结算价</w:t>
      </w:r>
      <w:bookmarkEnd w:id="1053"/>
      <w:r>
        <w:rPr>
          <w:rFonts w:hint="eastAsia" w:ascii="仿宋" w:hAnsi="仿宋" w:eastAsia="仿宋" w:cs="仿宋"/>
          <w:color w:val="auto"/>
          <w:szCs w:val="21"/>
          <w:highlight w:val="none"/>
          <w:u w:val="single"/>
        </w:rPr>
        <w:t>为准，与承包人办理最终价款结算手续。</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（2）若财政或审计部门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4" w:name="_Hlk59718295"/>
      <w:r>
        <w:rPr>
          <w:rFonts w:hint="eastAsia" w:ascii="仿宋" w:hAnsi="仿宋" w:eastAsia="仿宋" w:cs="仿宋"/>
          <w:color w:val="auto"/>
          <w:szCs w:val="21"/>
          <w:highlight w:val="none"/>
          <w:u w:val="single"/>
        </w:rPr>
        <w:t>由</w:t>
      </w:r>
      <w:bookmarkEnd w:id="1054"/>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055" w:name="_Toc2587"/>
      <w:bookmarkStart w:id="1056" w:name="_Toc12011"/>
      <w:bookmarkStart w:id="1057" w:name="_Toc31055"/>
      <w:bookmarkStart w:id="1058" w:name="_Toc11186"/>
      <w:bookmarkStart w:id="1059" w:name="_Toc17429"/>
      <w:bookmarkStart w:id="1060" w:name="_Toc27610"/>
      <w:r>
        <w:rPr>
          <w:rFonts w:hint="eastAsia" w:ascii="仿宋" w:hAnsi="仿宋" w:eastAsia="仿宋" w:cs="仿宋"/>
          <w:color w:val="auto"/>
          <w:szCs w:val="21"/>
          <w:highlight w:val="none"/>
        </w:rPr>
        <w:t>14.2 竣工结算审核</w:t>
      </w:r>
      <w:bookmarkEnd w:id="1055"/>
      <w:bookmarkEnd w:id="1056"/>
      <w:bookmarkEnd w:id="1057"/>
      <w:bookmarkEnd w:id="1058"/>
      <w:bookmarkEnd w:id="1059"/>
      <w:bookmarkEnd w:id="1060"/>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32"/>
    <w:bookmarkEnd w:id="1033"/>
    <w:bookmarkEnd w:id="1034"/>
    <w:bookmarkEnd w:id="1035"/>
    <w:bookmarkEnd w:id="1036"/>
    <w:bookmarkEnd w:id="1037"/>
    <w:bookmarkEnd w:id="1038"/>
    <w:bookmarkEnd w:id="1044"/>
    <w:p>
      <w:pPr>
        <w:keepNext/>
        <w:keepLines/>
        <w:adjustRightInd/>
        <w:spacing w:line="400" w:lineRule="exact"/>
        <w:outlineLvl w:val="3"/>
        <w:rPr>
          <w:rFonts w:hint="eastAsia" w:ascii="仿宋" w:hAnsi="仿宋" w:eastAsia="仿宋" w:cs="仿宋"/>
          <w:bCs/>
          <w:color w:val="auto"/>
          <w:szCs w:val="21"/>
          <w:highlight w:val="none"/>
        </w:rPr>
      </w:pPr>
      <w:bookmarkStart w:id="1061" w:name="_Toc351203647"/>
      <w:bookmarkStart w:id="1062" w:name="_Toc267251483"/>
      <w:bookmarkStart w:id="1063" w:name="_Toc267251484"/>
      <w:bookmarkStart w:id="1064" w:name="_Toc267251482"/>
      <w:bookmarkStart w:id="1065" w:name="_Toc267251485"/>
      <w:bookmarkStart w:id="1066" w:name="_Toc267251486"/>
      <w:bookmarkStart w:id="1067" w:name="_Toc267251489"/>
      <w:bookmarkStart w:id="1068" w:name="_Toc267251490"/>
      <w:bookmarkStart w:id="1069" w:name="_Toc267251488"/>
      <w:bookmarkStart w:id="1070" w:name="_Toc267251502"/>
      <w:bookmarkStart w:id="1071" w:name="_Toc267251494"/>
      <w:bookmarkStart w:id="1072" w:name="_Toc267251492"/>
      <w:bookmarkStart w:id="1073" w:name="_Toc267251499"/>
      <w:bookmarkStart w:id="1074" w:name="_Toc267251497"/>
      <w:bookmarkStart w:id="1075" w:name="_Toc267251493"/>
      <w:bookmarkStart w:id="1076" w:name="_Toc267251491"/>
      <w:bookmarkStart w:id="1077" w:name="_Toc267251501"/>
      <w:bookmarkStart w:id="1078" w:name="_Toc267251503"/>
      <w:bookmarkStart w:id="1079" w:name="_Toc267251495"/>
      <w:bookmarkStart w:id="1080" w:name="_Toc267251496"/>
      <w:bookmarkStart w:id="1081" w:name="_Toc267251498"/>
      <w:bookmarkStart w:id="1082" w:name="_Toc267251506"/>
      <w:bookmarkStart w:id="1083" w:name="_Toc267251504"/>
      <w:bookmarkStart w:id="1084" w:name="_Toc267251507"/>
      <w:bookmarkStart w:id="1085" w:name="_Toc267251508"/>
      <w:bookmarkStart w:id="1086" w:name="_Toc267251511"/>
      <w:bookmarkStart w:id="1087" w:name="_Toc267251509"/>
      <w:bookmarkStart w:id="1088" w:name="_Toc267251510"/>
      <w:bookmarkStart w:id="1089" w:name="_Toc267251514"/>
      <w:bookmarkStart w:id="1090" w:name="_Toc267251515"/>
      <w:bookmarkStart w:id="1091" w:name="_Toc267251513"/>
      <w:r>
        <w:rPr>
          <w:rFonts w:hint="eastAsia" w:ascii="仿宋" w:hAnsi="仿宋" w:eastAsia="仿宋" w:cs="仿宋"/>
          <w:bCs/>
          <w:color w:val="auto"/>
          <w:szCs w:val="21"/>
          <w:highlight w:val="none"/>
        </w:rPr>
        <w:t>15. 缺陷责任期与保修</w:t>
      </w:r>
      <w:bookmarkEnd w:id="1061"/>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62"/>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 xml:space="preserve">详附件3 工程质量保修书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092" w:name="_Toc30453"/>
      <w:bookmarkStart w:id="1093" w:name="_Toc30279"/>
      <w:bookmarkStart w:id="1094" w:name="_Toc5231"/>
      <w:bookmarkStart w:id="1095" w:name="_Toc21231"/>
      <w:bookmarkStart w:id="1096" w:name="_Toc30991"/>
      <w:bookmarkStart w:id="1097" w:name="_Toc9467"/>
      <w:r>
        <w:rPr>
          <w:rFonts w:hint="eastAsia" w:ascii="仿宋" w:hAnsi="仿宋" w:eastAsia="仿宋" w:cs="仿宋"/>
          <w:color w:val="auto"/>
          <w:szCs w:val="21"/>
          <w:highlight w:val="none"/>
        </w:rPr>
        <w:t>15.3 质量保证金</w:t>
      </w:r>
      <w:bookmarkEnd w:id="1092"/>
      <w:bookmarkEnd w:id="1093"/>
      <w:bookmarkEnd w:id="1094"/>
      <w:bookmarkEnd w:id="1095"/>
      <w:bookmarkEnd w:id="1096"/>
      <w:bookmarkEnd w:id="1097"/>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pPr>
        <w:adjustRightInd/>
        <w:spacing w:line="400" w:lineRule="exact"/>
        <w:ind w:firstLine="420" w:firstLineChars="200"/>
        <w:outlineLvl w:val="0"/>
        <w:rPr>
          <w:rFonts w:hint="eastAsia" w:ascii="仿宋" w:hAnsi="仿宋" w:eastAsia="仿宋" w:cs="仿宋"/>
          <w:color w:val="auto"/>
          <w:szCs w:val="21"/>
          <w:highlight w:val="none"/>
        </w:rPr>
      </w:pPr>
      <w:bookmarkStart w:id="1098" w:name="_Toc11788"/>
      <w:bookmarkStart w:id="1099" w:name="_Toc20470"/>
      <w:bookmarkStart w:id="1100" w:name="_Toc3756"/>
      <w:bookmarkStart w:id="1101" w:name="_Toc32079"/>
      <w:bookmarkStart w:id="1102" w:name="_Toc15137"/>
      <w:bookmarkStart w:id="1103" w:name="_Toc7204"/>
      <w:r>
        <w:rPr>
          <w:rFonts w:hint="eastAsia" w:ascii="仿宋" w:hAnsi="仿宋" w:eastAsia="仿宋" w:cs="仿宋"/>
          <w:color w:val="auto"/>
          <w:szCs w:val="21"/>
          <w:highlight w:val="none"/>
        </w:rPr>
        <w:t>15.3.1 承包人提供质量保证金的方式</w:t>
      </w:r>
      <w:bookmarkEnd w:id="1098"/>
      <w:bookmarkEnd w:id="1099"/>
      <w:bookmarkEnd w:id="1100"/>
      <w:bookmarkEnd w:id="1101"/>
      <w:bookmarkEnd w:id="1102"/>
      <w:bookmarkEnd w:id="1103"/>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 xml:space="preserve">留结算审定价的1.5%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104" w:name="_Toc754"/>
      <w:bookmarkStart w:id="1105" w:name="_Toc29761"/>
      <w:bookmarkStart w:id="1106" w:name="_Toc11622"/>
      <w:bookmarkStart w:id="1107" w:name="_Toc16932"/>
      <w:bookmarkStart w:id="1108" w:name="_Toc26314"/>
      <w:bookmarkStart w:id="1109" w:name="_Toc7298"/>
      <w:r>
        <w:rPr>
          <w:rFonts w:hint="eastAsia" w:ascii="仿宋" w:hAnsi="仿宋" w:eastAsia="仿宋" w:cs="仿宋"/>
          <w:color w:val="auto"/>
          <w:szCs w:val="21"/>
          <w:highlight w:val="none"/>
        </w:rPr>
        <w:t>15.3.2 质量保证金的扣留</w:t>
      </w:r>
      <w:bookmarkEnd w:id="1104"/>
      <w:bookmarkEnd w:id="1105"/>
      <w:bookmarkEnd w:id="1106"/>
      <w:bookmarkEnd w:id="1107"/>
      <w:bookmarkEnd w:id="1108"/>
      <w:bookmarkEnd w:id="1109"/>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pPr>
        <w:spacing w:line="400" w:lineRule="exact"/>
        <w:ind w:firstLine="420" w:firstLineChars="200"/>
        <w:outlineLvl w:val="0"/>
        <w:rPr>
          <w:rFonts w:hint="eastAsia" w:ascii="仿宋" w:hAnsi="仿宋" w:eastAsia="仿宋" w:cs="仿宋"/>
          <w:color w:val="auto"/>
          <w:szCs w:val="21"/>
          <w:highlight w:val="none"/>
        </w:rPr>
      </w:pPr>
      <w:bookmarkStart w:id="1110" w:name="_Toc24375"/>
      <w:bookmarkStart w:id="1111" w:name="_Toc2746"/>
      <w:bookmarkStart w:id="1112" w:name="_Toc20963"/>
      <w:bookmarkStart w:id="1113" w:name="_Toc10978"/>
      <w:bookmarkStart w:id="1114" w:name="_Toc92"/>
      <w:bookmarkStart w:id="1115" w:name="_Toc27361"/>
      <w:r>
        <w:rPr>
          <w:rFonts w:hint="eastAsia" w:ascii="仿宋" w:hAnsi="仿宋" w:eastAsia="仿宋" w:cs="仿宋"/>
          <w:color w:val="auto"/>
          <w:szCs w:val="21"/>
          <w:highlight w:val="none"/>
        </w:rPr>
        <w:t>（2）工程竣工结算时一次性扣留质量保证金；</w:t>
      </w:r>
      <w:bookmarkEnd w:id="1110"/>
      <w:bookmarkEnd w:id="1111"/>
      <w:bookmarkEnd w:id="1112"/>
      <w:bookmarkEnd w:id="1113"/>
      <w:bookmarkEnd w:id="1114"/>
      <w:bookmarkEnd w:id="1115"/>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3"/>
    <w:bookmarkEnd w:id="1064"/>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5"/>
    <w:p>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详见工程质量保修书（附件3） </w:t>
      </w:r>
      <w:r>
        <w:rPr>
          <w:rFonts w:hint="eastAsia" w:ascii="仿宋" w:hAnsi="仿宋" w:eastAsia="仿宋" w:cs="仿宋"/>
          <w:color w:val="auto"/>
          <w:szCs w:val="21"/>
          <w:highlight w:val="none"/>
        </w:rPr>
        <w:t>。</w:t>
      </w:r>
    </w:p>
    <w:p>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6"/>
    <w:bookmarkEnd w:id="1067"/>
    <w:bookmarkEnd w:id="1068"/>
    <w:bookmarkEnd w:id="1069"/>
    <w:p>
      <w:pPr>
        <w:keepNext/>
        <w:keepLines/>
        <w:adjustRightInd/>
        <w:spacing w:line="400" w:lineRule="exact"/>
        <w:outlineLvl w:val="3"/>
        <w:rPr>
          <w:rFonts w:hint="eastAsia" w:ascii="仿宋" w:hAnsi="仿宋" w:eastAsia="仿宋" w:cs="仿宋"/>
          <w:bCs/>
          <w:color w:val="auto"/>
          <w:szCs w:val="21"/>
          <w:highlight w:val="none"/>
        </w:rPr>
      </w:pPr>
      <w:bookmarkStart w:id="1116" w:name="_Toc351203648"/>
      <w:bookmarkStart w:id="1117" w:name="_Toc280868717"/>
      <w:bookmarkStart w:id="1118" w:name="_Toc280868718"/>
      <w:r>
        <w:rPr>
          <w:rFonts w:hint="eastAsia" w:ascii="仿宋" w:hAnsi="仿宋" w:eastAsia="仿宋" w:cs="仿宋"/>
          <w:bCs/>
          <w:color w:val="auto"/>
          <w:szCs w:val="21"/>
          <w:highlight w:val="none"/>
        </w:rPr>
        <w:t>16. 违约</w:t>
      </w:r>
      <w:bookmarkEnd w:id="1116"/>
    </w:p>
    <w:p>
      <w:pPr>
        <w:adjustRightInd/>
        <w:spacing w:line="400" w:lineRule="exact"/>
        <w:ind w:firstLine="420" w:firstLineChars="200"/>
        <w:outlineLvl w:val="0"/>
        <w:rPr>
          <w:rFonts w:hint="eastAsia" w:ascii="仿宋" w:hAnsi="仿宋" w:eastAsia="仿宋" w:cs="仿宋"/>
          <w:color w:val="auto"/>
          <w:szCs w:val="21"/>
          <w:highlight w:val="none"/>
        </w:rPr>
      </w:pPr>
      <w:bookmarkStart w:id="1119" w:name="_Toc20226"/>
      <w:bookmarkStart w:id="1120" w:name="_Toc18269"/>
      <w:bookmarkStart w:id="1121" w:name="_Toc29612"/>
      <w:bookmarkStart w:id="1122" w:name="_Toc24774"/>
      <w:bookmarkStart w:id="1123" w:name="_Toc4901"/>
      <w:bookmarkStart w:id="1124" w:name="_Toc5424"/>
      <w:r>
        <w:rPr>
          <w:rFonts w:hint="eastAsia" w:ascii="仿宋" w:hAnsi="仿宋" w:eastAsia="仿宋" w:cs="仿宋"/>
          <w:color w:val="auto"/>
          <w:szCs w:val="21"/>
          <w:highlight w:val="none"/>
        </w:rPr>
        <w:t>16.1 发包人违约</w:t>
      </w:r>
      <w:bookmarkEnd w:id="1119"/>
      <w:bookmarkEnd w:id="1120"/>
      <w:bookmarkEnd w:id="1121"/>
      <w:bookmarkEnd w:id="1122"/>
      <w:bookmarkEnd w:id="1123"/>
      <w:bookmarkEnd w:id="1124"/>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pPr>
        <w:adjustRightInd/>
        <w:spacing w:line="400" w:lineRule="exact"/>
        <w:ind w:firstLine="420" w:firstLineChars="200"/>
        <w:outlineLvl w:val="0"/>
        <w:rPr>
          <w:rFonts w:hint="eastAsia" w:ascii="仿宋" w:hAnsi="仿宋" w:eastAsia="仿宋" w:cs="仿宋"/>
          <w:color w:val="auto"/>
          <w:szCs w:val="21"/>
          <w:highlight w:val="none"/>
        </w:rPr>
      </w:pPr>
      <w:bookmarkStart w:id="1125" w:name="_Toc2763"/>
      <w:bookmarkStart w:id="1126" w:name="_Toc17026"/>
      <w:bookmarkStart w:id="1127" w:name="_Toc11360"/>
      <w:bookmarkStart w:id="1128" w:name="_Toc21495"/>
      <w:bookmarkStart w:id="1129" w:name="_Toc3527"/>
      <w:bookmarkStart w:id="1130" w:name="_Toc2679"/>
      <w:r>
        <w:rPr>
          <w:rFonts w:hint="eastAsia" w:ascii="仿宋" w:hAnsi="仿宋" w:eastAsia="仿宋" w:cs="仿宋"/>
          <w:color w:val="auto"/>
          <w:szCs w:val="21"/>
          <w:highlight w:val="none"/>
        </w:rPr>
        <w:t>16.2 承包人违约</w:t>
      </w:r>
      <w:bookmarkEnd w:id="1125"/>
      <w:bookmarkEnd w:id="1126"/>
      <w:bookmarkEnd w:id="1127"/>
      <w:bookmarkEnd w:id="1128"/>
      <w:bookmarkEnd w:id="1129"/>
      <w:bookmarkEnd w:id="1130"/>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处以违约金为签约合同价的万分之二，延期超过一个月的，每拖延一天处以违约金为签约合同价的万分之四。如因承包人自身原因造成工期严重滞后，又无明显改进措施的，发包人有权要求承包人无条件退场，并承担由此产生的一切损失，同时，发包人也有权安排其他施工队伍进场施工，费用经审计机构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因承包人原因造成工期延误，逾期竣工违约金的上限：  不超过工程签约合同的2%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keepNext/>
        <w:keepLines/>
        <w:adjustRightInd/>
        <w:spacing w:line="400" w:lineRule="exact"/>
        <w:outlineLvl w:val="3"/>
        <w:rPr>
          <w:rFonts w:hint="eastAsia" w:ascii="仿宋" w:hAnsi="仿宋" w:eastAsia="仿宋" w:cs="仿宋"/>
          <w:bCs/>
          <w:color w:val="auto"/>
          <w:szCs w:val="21"/>
          <w:highlight w:val="none"/>
        </w:rPr>
      </w:pPr>
      <w:bookmarkStart w:id="1131" w:name="_Toc351203649"/>
      <w:r>
        <w:rPr>
          <w:rFonts w:hint="eastAsia" w:ascii="仿宋" w:hAnsi="仿宋" w:eastAsia="仿宋" w:cs="仿宋"/>
          <w:bCs/>
          <w:color w:val="auto"/>
          <w:szCs w:val="21"/>
          <w:highlight w:val="none"/>
        </w:rPr>
        <w:t>17. 不可抗力</w:t>
      </w:r>
      <w:bookmarkEnd w:id="1117"/>
      <w:bookmarkEnd w:id="1131"/>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指定分包人在不可抗力事件发生后14天内，就延误的工期以书面形式向总包人、工程师提出报告。工程师在收到报告后28天内予以确认，逾期不予确认也不提出修改意见，视为同意顺延工期</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132" w:name="_Toc18254"/>
      <w:bookmarkStart w:id="1133" w:name="_Toc7191"/>
      <w:bookmarkStart w:id="1134" w:name="_Toc13471"/>
      <w:bookmarkStart w:id="1135" w:name="_Toc12655"/>
      <w:bookmarkStart w:id="1136" w:name="_Toc6041"/>
      <w:bookmarkStart w:id="1137" w:name="_Toc17985"/>
      <w:r>
        <w:rPr>
          <w:rFonts w:hint="eastAsia" w:ascii="仿宋" w:hAnsi="仿宋" w:eastAsia="仿宋" w:cs="仿宋"/>
          <w:color w:val="auto"/>
          <w:szCs w:val="21"/>
          <w:highlight w:val="none"/>
        </w:rPr>
        <w:t>17.4 因不可抗力解除合同</w:t>
      </w:r>
      <w:bookmarkEnd w:id="1132"/>
      <w:bookmarkEnd w:id="1133"/>
      <w:bookmarkEnd w:id="1134"/>
      <w:bookmarkEnd w:id="1135"/>
      <w:bookmarkEnd w:id="1136"/>
      <w:bookmarkEnd w:id="1137"/>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pPr>
        <w:keepNext/>
        <w:keepLines/>
        <w:adjustRightInd/>
        <w:spacing w:line="400" w:lineRule="exact"/>
        <w:outlineLvl w:val="3"/>
        <w:rPr>
          <w:rFonts w:hint="eastAsia" w:ascii="仿宋" w:hAnsi="仿宋" w:eastAsia="仿宋" w:cs="仿宋"/>
          <w:bCs/>
          <w:color w:val="auto"/>
          <w:szCs w:val="21"/>
          <w:highlight w:val="none"/>
        </w:rPr>
      </w:pPr>
      <w:bookmarkStart w:id="1138" w:name="_Toc351203650"/>
      <w:r>
        <w:rPr>
          <w:rFonts w:hint="eastAsia" w:ascii="仿宋" w:hAnsi="仿宋" w:eastAsia="仿宋" w:cs="仿宋"/>
          <w:bCs/>
          <w:color w:val="auto"/>
          <w:szCs w:val="21"/>
          <w:highlight w:val="none"/>
        </w:rPr>
        <w:t>18. 保险</w:t>
      </w:r>
      <w:bookmarkEnd w:id="1138"/>
    </w:p>
    <w:bookmarkEnd w:id="1118"/>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139" w:name="_Toc29077"/>
      <w:bookmarkStart w:id="1140" w:name="_Toc6543"/>
      <w:bookmarkStart w:id="1141" w:name="_Toc573"/>
      <w:bookmarkStart w:id="1142" w:name="_Toc30980"/>
      <w:bookmarkStart w:id="1143" w:name="_Toc25210"/>
      <w:bookmarkStart w:id="1144" w:name="_Toc22388"/>
      <w:r>
        <w:rPr>
          <w:rFonts w:hint="eastAsia" w:ascii="仿宋" w:hAnsi="仿宋" w:eastAsia="仿宋" w:cs="仿宋"/>
          <w:color w:val="auto"/>
          <w:szCs w:val="21"/>
          <w:highlight w:val="none"/>
        </w:rPr>
        <w:t>18.3 其他保险</w:t>
      </w:r>
      <w:bookmarkEnd w:id="1139"/>
      <w:bookmarkEnd w:id="1140"/>
      <w:bookmarkEnd w:id="1141"/>
      <w:bookmarkEnd w:id="1142"/>
      <w:bookmarkEnd w:id="1143"/>
      <w:bookmarkEnd w:id="1144"/>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70"/>
    <w:bookmarkEnd w:id="1071"/>
    <w:bookmarkEnd w:id="1072"/>
    <w:bookmarkEnd w:id="1073"/>
    <w:bookmarkEnd w:id="1074"/>
    <w:bookmarkEnd w:id="1075"/>
    <w:bookmarkEnd w:id="1076"/>
    <w:bookmarkEnd w:id="1077"/>
    <w:bookmarkEnd w:id="1078"/>
    <w:bookmarkEnd w:id="1079"/>
    <w:bookmarkEnd w:id="1080"/>
    <w:bookmarkEnd w:id="1081"/>
    <w:p>
      <w:pPr>
        <w:keepNext/>
        <w:keepLines/>
        <w:adjustRightInd/>
        <w:spacing w:line="400" w:lineRule="exact"/>
        <w:outlineLvl w:val="3"/>
        <w:rPr>
          <w:rFonts w:hint="eastAsia" w:ascii="仿宋" w:hAnsi="仿宋" w:eastAsia="仿宋" w:cs="仿宋"/>
          <w:bCs/>
          <w:color w:val="auto"/>
          <w:szCs w:val="21"/>
          <w:highlight w:val="none"/>
        </w:rPr>
      </w:pPr>
      <w:bookmarkStart w:id="1145" w:name="_Toc351203651"/>
      <w:r>
        <w:rPr>
          <w:rFonts w:hint="eastAsia" w:ascii="仿宋" w:hAnsi="仿宋" w:eastAsia="仿宋" w:cs="仿宋"/>
          <w:bCs/>
          <w:color w:val="auto"/>
          <w:szCs w:val="21"/>
          <w:highlight w:val="none"/>
        </w:rPr>
        <w:t>20. 争议解决</w:t>
      </w:r>
      <w:bookmarkEnd w:id="1145"/>
    </w:p>
    <w:bookmarkEnd w:id="1082"/>
    <w:bookmarkEnd w:id="1083"/>
    <w:p>
      <w:pPr>
        <w:adjustRightInd/>
        <w:spacing w:line="400" w:lineRule="exact"/>
        <w:ind w:firstLine="420" w:firstLineChars="200"/>
        <w:outlineLvl w:val="0"/>
        <w:rPr>
          <w:rFonts w:hint="eastAsia" w:ascii="仿宋" w:hAnsi="仿宋" w:eastAsia="仿宋" w:cs="仿宋"/>
          <w:color w:val="auto"/>
          <w:szCs w:val="21"/>
          <w:highlight w:val="none"/>
        </w:rPr>
      </w:pPr>
      <w:bookmarkStart w:id="1146" w:name="_Toc9313"/>
      <w:bookmarkStart w:id="1147" w:name="_Toc11977"/>
      <w:bookmarkStart w:id="1148" w:name="_Toc20437"/>
      <w:bookmarkStart w:id="1149" w:name="_Toc32728"/>
      <w:bookmarkStart w:id="1150" w:name="_Toc13495"/>
      <w:bookmarkStart w:id="1151" w:name="_Toc26480"/>
      <w:r>
        <w:rPr>
          <w:rFonts w:hint="eastAsia" w:ascii="仿宋" w:hAnsi="仿宋" w:eastAsia="仿宋" w:cs="仿宋"/>
          <w:color w:val="auto"/>
          <w:szCs w:val="21"/>
          <w:highlight w:val="none"/>
        </w:rPr>
        <w:t>20.3 争</w:t>
      </w:r>
      <w:bookmarkEnd w:id="1084"/>
      <w:r>
        <w:rPr>
          <w:rFonts w:hint="eastAsia" w:ascii="仿宋" w:hAnsi="仿宋" w:eastAsia="仿宋" w:cs="仿宋"/>
          <w:color w:val="auto"/>
          <w:szCs w:val="21"/>
          <w:highlight w:val="none"/>
        </w:rPr>
        <w:t>议评审</w:t>
      </w:r>
      <w:bookmarkEnd w:id="1146"/>
      <w:bookmarkEnd w:id="1147"/>
      <w:bookmarkEnd w:id="1148"/>
      <w:bookmarkEnd w:id="1149"/>
      <w:bookmarkEnd w:id="1150"/>
      <w:bookmarkEnd w:id="1151"/>
    </w:p>
    <w:p>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pPr>
        <w:adjustRightInd/>
        <w:spacing w:line="400" w:lineRule="exact"/>
        <w:ind w:firstLine="420" w:firstLineChars="200"/>
        <w:outlineLvl w:val="0"/>
        <w:rPr>
          <w:rFonts w:hint="eastAsia" w:ascii="仿宋" w:hAnsi="仿宋" w:eastAsia="仿宋" w:cs="仿宋"/>
          <w:color w:val="auto"/>
          <w:szCs w:val="21"/>
          <w:highlight w:val="none"/>
        </w:rPr>
      </w:pPr>
      <w:bookmarkStart w:id="1152" w:name="_Toc13753"/>
      <w:bookmarkStart w:id="1153" w:name="_Toc30750"/>
      <w:bookmarkStart w:id="1154" w:name="_Toc19421"/>
      <w:bookmarkStart w:id="1155" w:name="_Toc20525"/>
      <w:bookmarkStart w:id="1156" w:name="_Toc22693"/>
      <w:bookmarkStart w:id="1157" w:name="_Toc7776"/>
      <w:r>
        <w:rPr>
          <w:rFonts w:hint="eastAsia" w:ascii="仿宋" w:hAnsi="仿宋" w:eastAsia="仿宋" w:cs="仿宋"/>
          <w:color w:val="auto"/>
          <w:szCs w:val="21"/>
          <w:highlight w:val="none"/>
        </w:rPr>
        <w:t>20.3.1 争议评审小组的确定</w:t>
      </w:r>
      <w:bookmarkEnd w:id="1152"/>
      <w:bookmarkEnd w:id="1153"/>
      <w:bookmarkEnd w:id="1154"/>
      <w:bookmarkEnd w:id="1155"/>
      <w:bookmarkEnd w:id="1156"/>
      <w:bookmarkEnd w:id="1157"/>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400" w:lineRule="exact"/>
        <w:ind w:firstLine="420" w:firstLineChars="200"/>
        <w:outlineLvl w:val="0"/>
        <w:rPr>
          <w:rFonts w:hint="eastAsia" w:ascii="仿宋" w:hAnsi="仿宋" w:eastAsia="仿宋" w:cs="仿宋"/>
          <w:color w:val="auto"/>
          <w:szCs w:val="21"/>
          <w:highlight w:val="none"/>
        </w:rPr>
      </w:pPr>
      <w:bookmarkStart w:id="1158" w:name="_Toc10018"/>
      <w:bookmarkStart w:id="1159" w:name="_Toc24100"/>
      <w:bookmarkStart w:id="1160" w:name="_Toc12133"/>
      <w:bookmarkStart w:id="1161" w:name="_Toc15185"/>
      <w:bookmarkStart w:id="1162" w:name="_Toc12666"/>
      <w:bookmarkStart w:id="1163" w:name="_Toc3737"/>
      <w:r>
        <w:rPr>
          <w:rFonts w:hint="eastAsia" w:ascii="仿宋" w:hAnsi="仿宋" w:eastAsia="仿宋" w:cs="仿宋"/>
          <w:color w:val="auto"/>
          <w:szCs w:val="21"/>
          <w:highlight w:val="none"/>
        </w:rPr>
        <w:t>20.3.2 争议评审小组的决定</w:t>
      </w:r>
      <w:bookmarkEnd w:id="1158"/>
      <w:bookmarkEnd w:id="1159"/>
      <w:bookmarkEnd w:id="1160"/>
      <w:bookmarkEnd w:id="1161"/>
      <w:bookmarkEnd w:id="1162"/>
      <w:bookmarkEnd w:id="1163"/>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adjustRightInd/>
        <w:spacing w:line="400" w:lineRule="exact"/>
        <w:ind w:firstLine="420" w:firstLineChars="200"/>
        <w:outlineLvl w:val="0"/>
        <w:rPr>
          <w:rFonts w:hint="eastAsia" w:ascii="仿宋" w:hAnsi="仿宋" w:eastAsia="仿宋" w:cs="仿宋"/>
          <w:color w:val="auto"/>
          <w:szCs w:val="21"/>
          <w:highlight w:val="none"/>
        </w:rPr>
      </w:pPr>
      <w:bookmarkStart w:id="1164" w:name="_Toc16653"/>
      <w:bookmarkStart w:id="1165" w:name="_Toc1571"/>
      <w:bookmarkStart w:id="1166" w:name="_Toc32105"/>
      <w:bookmarkStart w:id="1167" w:name="_Toc22889"/>
      <w:bookmarkStart w:id="1168" w:name="_Toc15348"/>
      <w:bookmarkStart w:id="1169" w:name="_Toc24098"/>
      <w:r>
        <w:rPr>
          <w:rFonts w:hint="eastAsia" w:ascii="仿宋" w:hAnsi="仿宋" w:eastAsia="仿宋" w:cs="仿宋"/>
          <w:color w:val="auto"/>
          <w:szCs w:val="21"/>
          <w:highlight w:val="none"/>
        </w:rPr>
        <w:t>20.4仲裁或诉讼</w:t>
      </w:r>
      <w:bookmarkEnd w:id="1085"/>
      <w:bookmarkEnd w:id="1164"/>
      <w:bookmarkEnd w:id="1165"/>
      <w:bookmarkEnd w:id="1166"/>
      <w:bookmarkEnd w:id="1167"/>
      <w:bookmarkEnd w:id="1168"/>
      <w:bookmarkEnd w:id="1169"/>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6"/>
      <w:bookmarkEnd w:id="1087"/>
      <w:bookmarkEnd w:id="1088"/>
      <w:bookmarkEnd w:id="1089"/>
      <w:bookmarkEnd w:id="1090"/>
      <w:bookmarkEnd w:id="1091"/>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pPr>
        <w:pStyle w:val="43"/>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21.3承包人应确保民工工资的及时支付，如不及时支付，视作违约，发包人有权代承包人支付民工工资，并在工程款中扣除。 </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21.6承包人在中标后不得随意提出材料品种和规格的变更，除非发包人和设计的同意，均不得以采购困难等理由延误工期，否则发包人可自行组织采购，视为甲供材料，费用从承包人工程款中扣除。</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21.9招标文件“10.  需要补充的其他内容” 的相关内容作为合同的补充条款，承包人在合同执行过程中必须遵守执行。</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21.10因发包人代付水电费产生的税率差额由承包人承担。</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21.12如有移交要求，工程款支付至合同范围内实际完成工程量的80%（之前需按照发包人要求移交完整资料给城管执法局相应科室。</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21.14本合同所涉及到的包括但不仅限于安全、质量、进度、人员等由于承包人原因受到发包人处罚的，同时上报上级主管部门,包括但不仅限于处以信用等级相关处罚。</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21.16.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21.17项目若发生质量、安全事故视作施工机构不履职违约情况，若发生一般（有伤亡）、一般以上事故，每起处以施工合同价的2%作为违约金（每起上限150万元）；发生一般（未伤亡）事故，每起处以施工合同价的0.5%作为违约金（每起上限50万元）。</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21.18项目若因质量、安全、环境隐患问题发生媒体曝光、政府部门通报、政府部门约谈、3人及以上群体信访、造成社会影响事件情况，视作施工机构不履职违约，每起处以施工合同价的0.05%作为违约金（每次每项上限5万元）。</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21.19由施工单位原因导致实际进度滞后于要求计划进度时，造成工期延误情况，视作施工机构不履职违约，并处以事件延误每天合同价的0.02%作为违约金（每起上限500万元）。</w:t>
      </w:r>
    </w:p>
    <w:p>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21.20如中标单位发生在中标项目发生欠薪（包括分包欠薪）行为造成不良影响的，将上报上级主管部门纳入钱塘区黑名单。</w:t>
      </w:r>
    </w:p>
    <w:p>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21.21本合同所涉及到的违约金等需在当期工程费支付前由承包人基本户缴纳。</w:t>
      </w:r>
    </w:p>
    <w:p>
      <w:pPr>
        <w:adjustRightInd/>
        <w:ind w:firstLine="371" w:firstLineChars="177"/>
        <w:jc w:val="left"/>
        <w:rPr>
          <w:rFonts w:hint="eastAsia" w:ascii="仿宋" w:hAnsi="仿宋" w:eastAsia="仿宋" w:cs="仿宋"/>
          <w:snapToGrid w:val="0"/>
          <w:color w:val="auto"/>
          <w:kern w:val="0"/>
          <w:szCs w:val="21"/>
          <w:highlight w:val="none"/>
        </w:rPr>
      </w:pPr>
    </w:p>
    <w:p>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bookmarkStart w:id="1170" w:name="_Toc534620509"/>
      <w:bookmarkStart w:id="1171" w:name="_Toc249091536"/>
      <w:r>
        <w:rPr>
          <w:rFonts w:hint="eastAsia" w:ascii="仿宋" w:hAnsi="仿宋" w:eastAsia="仿宋" w:cs="仿宋"/>
          <w:b/>
          <w:bCs/>
          <w:color w:val="auto"/>
          <w:sz w:val="24"/>
          <w:highlight w:val="none"/>
        </w:rPr>
        <w:t>附件1:</w:t>
      </w:r>
    </w:p>
    <w:bookmarkEnd w:id="1170"/>
    <w:bookmarkEnd w:id="1171"/>
    <w:p>
      <w:pPr>
        <w:adjustRightInd/>
        <w:spacing w:before="120" w:beforeLines="50" w:after="120" w:afterLines="50" w:line="288" w:lineRule="auto"/>
        <w:jc w:val="center"/>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w:t>
      </w:r>
    </w:p>
    <w:p>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杭州市钱塘区星河幼儿园</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72" w:name="SOA_zyht_zlbxcbr"/>
      <w:bookmarkEnd w:id="1172"/>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73" w:name="SOA_zyht_gcqc"/>
      <w:bookmarkEnd w:id="1173"/>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杭州市钱塘区星河幼儿园有机更新整修工程</w:t>
      </w:r>
      <w:r>
        <w:rPr>
          <w:rFonts w:hint="eastAsia" w:ascii="仿宋" w:hAnsi="仿宋" w:eastAsia="仿宋" w:cs="仿宋"/>
          <w:snapToGrid w:val="0"/>
          <w:color w:val="auto"/>
          <w:kern w:val="0"/>
          <w:szCs w:val="21"/>
          <w:highlight w:val="none"/>
        </w:rPr>
        <w:t>）签订工程质量保修书。</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74"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74"/>
      <w:r>
        <w:rPr>
          <w:rFonts w:hint="eastAsia" w:ascii="仿宋" w:hAnsi="仿宋" w:eastAsia="仿宋" w:cs="仿宋"/>
          <w:snapToGrid w:val="0"/>
          <w:color w:val="auto"/>
          <w:kern w:val="0"/>
          <w:szCs w:val="21"/>
          <w:highlight w:val="none"/>
        </w:rPr>
        <w:t>。</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auto"/>
          <w:kern w:val="0"/>
          <w:szCs w:val="21"/>
          <w:highlight w:val="none"/>
        </w:rPr>
        <w:t>屋面防水工程、有防水要求的卫生间、房间和外墙面的防渗</w:t>
      </w:r>
      <w:r>
        <w:rPr>
          <w:rFonts w:hint="eastAsia" w:ascii="仿宋" w:hAnsi="仿宋" w:eastAsia="仿宋" w:cs="仿宋"/>
          <w:snapToGrid w:val="0"/>
          <w:color w:val="auto"/>
          <w:kern w:val="0"/>
          <w:szCs w:val="21"/>
          <w:highlight w:val="none"/>
        </w:rPr>
        <w:t>为</w:t>
      </w:r>
      <w:r>
        <w:rPr>
          <w:rFonts w:hint="eastAsia" w:ascii="仿宋" w:hAnsi="仿宋" w:eastAsia="仿宋" w:cs="仿宋"/>
          <w:snapToGrid w:val="0"/>
          <w:color w:val="auto"/>
          <w:kern w:val="0"/>
          <w:szCs w:val="21"/>
          <w:highlight w:val="none"/>
          <w:u w:val="single"/>
        </w:rPr>
        <w:t xml:space="preserve"> 5 </w:t>
      </w:r>
      <w:r>
        <w:rPr>
          <w:rFonts w:hint="eastAsia" w:ascii="仿宋" w:hAnsi="仿宋" w:eastAsia="仿宋" w:cs="仿宋"/>
          <w:snapToGrid w:val="0"/>
          <w:color w:val="auto"/>
          <w:kern w:val="0"/>
          <w:szCs w:val="21"/>
          <w:highlight w:val="none"/>
        </w:rPr>
        <w:t>年；</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w:t>
      </w:r>
      <w:r>
        <w:rPr>
          <w:rFonts w:hint="eastAsia" w:ascii="仿宋" w:hAnsi="仿宋" w:eastAsia="仿宋" w:cs="仿宋"/>
          <w:snapToGrid w:val="0"/>
          <w:color w:val="auto"/>
          <w:kern w:val="0"/>
          <w:szCs w:val="21"/>
          <w:highlight w:val="none"/>
        </w:rPr>
        <w:t>装修工程为</w:t>
      </w:r>
      <w:r>
        <w:rPr>
          <w:rFonts w:hint="eastAsia" w:ascii="仿宋" w:hAnsi="仿宋" w:eastAsia="仿宋" w:cs="仿宋"/>
          <w:snapToGrid w:val="0"/>
          <w:color w:val="auto"/>
          <w:kern w:val="0"/>
          <w:szCs w:val="21"/>
          <w:highlight w:val="none"/>
          <w:u w:val="single"/>
        </w:rPr>
        <w:t xml:space="preserve">2 </w:t>
      </w:r>
      <w:r>
        <w:rPr>
          <w:rFonts w:hint="eastAsia" w:ascii="仿宋" w:hAnsi="仿宋" w:eastAsia="仿宋" w:cs="仿宋"/>
          <w:snapToGrid w:val="0"/>
          <w:color w:val="auto"/>
          <w:kern w:val="0"/>
          <w:szCs w:val="21"/>
          <w:highlight w:val="none"/>
        </w:rPr>
        <w:t>年；</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w:t>
      </w:r>
      <w:r>
        <w:rPr>
          <w:rFonts w:hint="eastAsia" w:ascii="仿宋" w:hAnsi="仿宋" w:eastAsia="仿宋" w:cs="仿宋"/>
          <w:snapToGrid w:val="0"/>
          <w:color w:val="auto"/>
          <w:kern w:val="0"/>
          <w:szCs w:val="21"/>
          <w:highlight w:val="none"/>
        </w:rPr>
        <w:t>电气管线、给排水管道、设备安装工程为</w:t>
      </w:r>
      <w:bookmarkStart w:id="1175" w:name="SOA_zyht_azbxnx"/>
      <w:bookmarkEnd w:id="1175"/>
      <w:r>
        <w:rPr>
          <w:rFonts w:hint="eastAsia" w:ascii="仿宋" w:hAnsi="仿宋" w:eastAsia="仿宋" w:cs="仿宋"/>
          <w:snapToGrid w:val="0"/>
          <w:color w:val="auto"/>
          <w:kern w:val="0"/>
          <w:szCs w:val="21"/>
          <w:highlight w:val="none"/>
          <w:u w:val="single"/>
        </w:rPr>
        <w:t>2</w:t>
      </w:r>
      <w:r>
        <w:rPr>
          <w:rFonts w:hint="eastAsia" w:ascii="仿宋" w:hAnsi="仿宋" w:eastAsia="仿宋" w:cs="仿宋"/>
          <w:snapToGrid w:val="0"/>
          <w:color w:val="auto"/>
          <w:kern w:val="0"/>
          <w:szCs w:val="21"/>
          <w:highlight w:val="none"/>
        </w:rPr>
        <w:t>年；</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w:t>
      </w:r>
      <w:r>
        <w:rPr>
          <w:rFonts w:hint="eastAsia" w:ascii="仿宋" w:hAnsi="仿宋" w:eastAsia="仿宋" w:cs="仿宋"/>
          <w:snapToGrid w:val="0"/>
          <w:color w:val="auto"/>
          <w:kern w:val="0"/>
          <w:szCs w:val="21"/>
          <w:highlight w:val="none"/>
        </w:rPr>
        <w:t>供热与供冷系统为</w:t>
      </w:r>
      <w:bookmarkStart w:id="1176" w:name="SOA_zyht_grbxnx"/>
      <w:r>
        <w:rPr>
          <w:rFonts w:hint="eastAsia" w:ascii="仿宋" w:hAnsi="仿宋" w:eastAsia="仿宋" w:cs="仿宋"/>
          <w:snapToGrid w:val="0"/>
          <w:color w:val="auto"/>
          <w:kern w:val="0"/>
          <w:szCs w:val="21"/>
          <w:highlight w:val="none"/>
          <w:u w:val="single"/>
        </w:rPr>
        <w:t>2</w:t>
      </w:r>
      <w:bookmarkEnd w:id="1176"/>
      <w:r>
        <w:rPr>
          <w:rFonts w:hint="eastAsia" w:ascii="仿宋" w:hAnsi="仿宋" w:eastAsia="仿宋" w:cs="仿宋"/>
          <w:snapToGrid w:val="0"/>
          <w:color w:val="auto"/>
          <w:kern w:val="0"/>
          <w:szCs w:val="21"/>
          <w:highlight w:val="none"/>
        </w:rPr>
        <w:t>个采暖期、供冷期；</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w:t>
      </w:r>
      <w:r>
        <w:rPr>
          <w:rFonts w:hint="eastAsia" w:ascii="仿宋" w:hAnsi="仿宋" w:eastAsia="仿宋" w:cs="仿宋"/>
          <w:snapToGrid w:val="0"/>
          <w:color w:val="auto"/>
          <w:kern w:val="0"/>
          <w:szCs w:val="21"/>
          <w:highlight w:val="none"/>
        </w:rPr>
        <w:t>住宅小区内的给排水设施、道路等配套工程为</w:t>
      </w:r>
      <w:r>
        <w:rPr>
          <w:rFonts w:hint="eastAsia" w:ascii="仿宋" w:hAnsi="仿宋" w:eastAsia="仿宋" w:cs="仿宋"/>
          <w:snapToGrid w:val="0"/>
          <w:color w:val="auto"/>
          <w:kern w:val="0"/>
          <w:szCs w:val="21"/>
          <w:highlight w:val="none"/>
          <w:u w:val="single"/>
        </w:rPr>
        <w:t>2</w:t>
      </w:r>
      <w:r>
        <w:rPr>
          <w:rFonts w:hint="eastAsia" w:ascii="仿宋" w:hAnsi="仿宋" w:eastAsia="仿宋" w:cs="仿宋"/>
          <w:snapToGrid w:val="0"/>
          <w:color w:val="auto"/>
          <w:kern w:val="0"/>
          <w:szCs w:val="21"/>
          <w:highlight w:val="none"/>
        </w:rPr>
        <w:t>年；</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7．</w:t>
      </w:r>
      <w:r>
        <w:rPr>
          <w:rFonts w:hint="eastAsia" w:ascii="仿宋" w:hAnsi="仿宋" w:eastAsia="仿宋" w:cs="仿宋"/>
          <w:snapToGrid w:val="0"/>
          <w:color w:val="auto"/>
          <w:kern w:val="0"/>
          <w:szCs w:val="21"/>
          <w:highlight w:val="none"/>
        </w:rPr>
        <w:t>其他项目保修期限约定如下：。</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7" w:name="SOA_zyht_gcqxq"/>
      <w:r>
        <w:rPr>
          <w:rFonts w:hint="eastAsia" w:ascii="仿宋" w:hAnsi="仿宋" w:eastAsia="仿宋" w:cs="仿宋"/>
          <w:snapToGrid w:val="0"/>
          <w:color w:val="auto"/>
          <w:kern w:val="0"/>
          <w:szCs w:val="21"/>
          <w:highlight w:val="none"/>
          <w:u w:val="single"/>
        </w:rPr>
        <w:t xml:space="preserve">24 </w:t>
      </w:r>
      <w:bookmarkEnd w:id="1177"/>
      <w:r>
        <w:rPr>
          <w:rFonts w:hint="eastAsia" w:ascii="仿宋" w:hAnsi="仿宋" w:eastAsia="仿宋" w:cs="仿宋"/>
          <w:snapToGrid w:val="0"/>
          <w:color w:val="auto"/>
          <w:kern w:val="0"/>
          <w:szCs w:val="21"/>
          <w:highlight w:val="none"/>
        </w:rPr>
        <w:t>个月，缺陷责任期自</w:t>
      </w:r>
      <w:r>
        <w:rPr>
          <w:rFonts w:hint="eastAsia" w:ascii="仿宋" w:hAnsi="仿宋" w:eastAsia="仿宋" w:cs="仿宋"/>
          <w:snapToGrid w:val="0"/>
          <w:color w:val="auto"/>
          <w:kern w:val="0"/>
          <w:szCs w:val="21"/>
          <w:highlight w:val="none"/>
        </w:rPr>
        <w:t>工程通过竣工验收合格之日</w:t>
      </w:r>
      <w:r>
        <w:rPr>
          <w:rFonts w:hint="eastAsia" w:ascii="仿宋" w:hAnsi="仿宋" w:eastAsia="仿宋" w:cs="仿宋"/>
          <w:snapToGrid w:val="0"/>
          <w:color w:val="auto"/>
          <w:kern w:val="0"/>
          <w:szCs w:val="21"/>
          <w:highlight w:val="none"/>
        </w:rPr>
        <w:t>起计算。单位工程先于全部工程进行验收，单位工程缺陷责任期自单位工程</w:t>
      </w:r>
      <w:r>
        <w:rPr>
          <w:rFonts w:hint="eastAsia" w:ascii="仿宋" w:hAnsi="仿宋" w:eastAsia="仿宋" w:cs="仿宋"/>
          <w:snapToGrid w:val="0"/>
          <w:color w:val="auto"/>
          <w:kern w:val="0"/>
          <w:szCs w:val="21"/>
          <w:highlight w:val="none"/>
        </w:rPr>
        <w:t>验收合格之日</w:t>
      </w:r>
      <w:r>
        <w:rPr>
          <w:rFonts w:hint="eastAsia" w:ascii="仿宋" w:hAnsi="仿宋" w:eastAsia="仿宋" w:cs="仿宋"/>
          <w:snapToGrid w:val="0"/>
          <w:color w:val="auto"/>
          <w:kern w:val="0"/>
          <w:szCs w:val="21"/>
          <w:highlight w:val="none"/>
        </w:rPr>
        <w:t>起</w:t>
      </w:r>
      <w:r>
        <w:rPr>
          <w:rFonts w:hint="eastAsia" w:ascii="仿宋" w:hAnsi="仿宋" w:eastAsia="仿宋" w:cs="仿宋"/>
          <w:snapToGrid w:val="0"/>
          <w:color w:val="auto"/>
          <w:kern w:val="0"/>
          <w:szCs w:val="21"/>
          <w:highlight w:val="none"/>
        </w:rPr>
        <w:t>计</w:t>
      </w:r>
      <w:r>
        <w:rPr>
          <w:rFonts w:hint="eastAsia" w:ascii="仿宋" w:hAnsi="仿宋" w:eastAsia="仿宋" w:cs="仿宋"/>
          <w:snapToGrid w:val="0"/>
          <w:color w:val="auto"/>
          <w:kern w:val="0"/>
          <w:szCs w:val="21"/>
          <w:highlight w:val="none"/>
        </w:rPr>
        <w:t>算。</w:t>
      </w:r>
    </w:p>
    <w:p>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w:t>
      </w:r>
      <w:r>
        <w:rPr>
          <w:rFonts w:hint="eastAsia" w:ascii="仿宋" w:hAnsi="仿宋" w:eastAsia="仿宋" w:cs="仿宋"/>
          <w:snapToGrid w:val="0"/>
          <w:color w:val="auto"/>
          <w:kern w:val="0"/>
          <w:szCs w:val="21"/>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auto"/>
          <w:kern w:val="0"/>
          <w:szCs w:val="21"/>
          <w:highlight w:val="none"/>
        </w:rPr>
        <w:t>发生紧急事故需抢修的，承包人在接到事故通知后，应当立即到达事故现场抢修。</w:t>
      </w:r>
    </w:p>
    <w:p>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w:t>
      </w:r>
      <w:r>
        <w:rPr>
          <w:rFonts w:hint="eastAsia" w:ascii="仿宋" w:hAnsi="仿宋" w:eastAsia="仿宋" w:cs="仿宋"/>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w:t>
      </w:r>
      <w:r>
        <w:rPr>
          <w:rFonts w:hint="eastAsia" w:ascii="仿宋" w:hAnsi="仿宋" w:eastAsia="仿宋" w:cs="仿宋"/>
          <w:snapToGrid w:val="0"/>
          <w:color w:val="auto"/>
          <w:kern w:val="0"/>
          <w:szCs w:val="21"/>
          <w:highlight w:val="none"/>
        </w:rPr>
        <w:t>质量保修完成后，由发包人组织验收。</w:t>
      </w:r>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u w:val="single"/>
        </w:rPr>
        <w:t>本工程约定的工程质量保修金为工程结算审定总造价的1.5%</w:t>
      </w:r>
      <w:r>
        <w:rPr>
          <w:rFonts w:hint="eastAsia" w:ascii="仿宋" w:hAnsi="仿宋" w:eastAsia="仿宋" w:cs="仿宋"/>
          <w:snapToGrid w:val="0"/>
          <w:color w:val="auto"/>
          <w:kern w:val="0"/>
          <w:szCs w:val="21"/>
          <w:highlight w:val="none"/>
          <w:u w:val="single"/>
        </w:rPr>
        <w:t>，保修金退款方式：工程竣工两年后通过工程质量回访合格后返还保修金，扣除维修费用等（若发生）。</w:t>
      </w:r>
    </w:p>
    <w:p>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8" w:name="SOA_zyht_fbr"/>
      <w:bookmarkEnd w:id="1178"/>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9" w:name="SOA_zyht_cbr"/>
      <w:bookmarkEnd w:id="1179"/>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80" w:name="SOA_zyht_fbrdz"/>
      <w:bookmarkEnd w:id="1180"/>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81" w:name="SOA_zyht_cbrdz"/>
      <w:bookmarkEnd w:id="1181"/>
      <w:r>
        <w:rPr>
          <w:rFonts w:hint="eastAsia" w:ascii="仿宋" w:hAnsi="仿宋" w:eastAsia="仿宋" w:cs="仿宋"/>
          <w:snapToGrid w:val="0"/>
          <w:color w:val="auto"/>
          <w:kern w:val="0"/>
          <w:szCs w:val="21"/>
          <w:highlight w:val="none"/>
          <w:u w:val="single"/>
        </w:rPr>
        <w:t></w:t>
      </w:r>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82" w:name="SOA_zyht_fddbr1"/>
      <w:bookmarkEnd w:id="1182"/>
      <w:r>
        <w:rPr>
          <w:rFonts w:hint="eastAsia" w:ascii="仿宋" w:hAnsi="仿宋" w:eastAsia="仿宋" w:cs="仿宋"/>
          <w:snapToGrid w:val="0"/>
          <w:color w:val="auto"/>
          <w:kern w:val="0"/>
          <w:szCs w:val="21"/>
          <w:highlight w:val="none"/>
        </w:rPr>
        <w:t>法定代表人(签字)：</w:t>
      </w:r>
      <w:bookmarkStart w:id="1183" w:name="SOA_zyht_fddbr2"/>
      <w:bookmarkEnd w:id="1183"/>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84" w:name="SOA_zyht_wtdlr1"/>
      <w:bookmarkEnd w:id="1184"/>
      <w:r>
        <w:rPr>
          <w:rFonts w:hint="eastAsia" w:ascii="仿宋" w:hAnsi="仿宋" w:eastAsia="仿宋" w:cs="仿宋"/>
          <w:snapToGrid w:val="0"/>
          <w:color w:val="auto"/>
          <w:kern w:val="0"/>
          <w:szCs w:val="21"/>
          <w:highlight w:val="none"/>
        </w:rPr>
        <w:t>委托代理人(签字)：</w:t>
      </w:r>
      <w:bookmarkStart w:id="1185" w:name="SOA_zyht_wtdlr2"/>
      <w:bookmarkEnd w:id="1185"/>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6" w:name="SOA_zyht_fbrdh1"/>
      <w:bookmarkEnd w:id="1186"/>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7" w:name="SOA_zyht_cbrdh"/>
      <w:bookmarkEnd w:id="1187"/>
      <w:r>
        <w:rPr>
          <w:rFonts w:hint="eastAsia" w:ascii="仿宋" w:hAnsi="仿宋" w:eastAsia="仿宋" w:cs="仿宋"/>
          <w:snapToGrid w:val="0"/>
          <w:color w:val="auto"/>
          <w:kern w:val="0"/>
          <w:szCs w:val="21"/>
          <w:highlight w:val="none"/>
          <w:u w:val="single"/>
        </w:rPr>
        <w:t xml:space="preserve"> </w:t>
      </w:r>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传  真：</w:t>
      </w:r>
      <w:bookmarkStart w:id="1188" w:name="SOA_zyht_fbrcz"/>
      <w:bookmarkEnd w:id="1188"/>
      <w:r>
        <w:rPr>
          <w:rFonts w:hint="eastAsia" w:ascii="仿宋" w:hAnsi="仿宋" w:eastAsia="仿宋" w:cs="仿宋"/>
          <w:snapToGrid w:val="0"/>
          <w:color w:val="auto"/>
          <w:kern w:val="0"/>
          <w:szCs w:val="21"/>
          <w:highlight w:val="none"/>
        </w:rPr>
        <w:t>传  真：</w:t>
      </w:r>
      <w:r>
        <w:rPr>
          <w:rFonts w:hint="eastAsia" w:ascii="仿宋" w:hAnsi="仿宋" w:eastAsia="仿宋" w:cs="仿宋"/>
          <w:snapToGrid w:val="0"/>
          <w:color w:val="auto"/>
          <w:kern w:val="0"/>
          <w:szCs w:val="21"/>
          <w:highlight w:val="none"/>
          <w:u w:val="single"/>
        </w:rPr>
        <w:t></w:t>
      </w:r>
      <w:bookmarkStart w:id="1189" w:name="SOA_zyht_cbrcz"/>
      <w:bookmarkEnd w:id="1189"/>
      <w:r>
        <w:rPr>
          <w:rFonts w:hint="eastAsia" w:ascii="仿宋" w:hAnsi="仿宋" w:eastAsia="仿宋" w:cs="仿宋"/>
          <w:snapToGrid w:val="0"/>
          <w:color w:val="auto"/>
          <w:kern w:val="0"/>
          <w:szCs w:val="21"/>
          <w:highlight w:val="none"/>
          <w:u w:val="single"/>
        </w:rPr>
        <w:t></w:t>
      </w:r>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90" w:name="SOA_zyht_fbrkhyh"/>
      <w:bookmarkEnd w:id="1190"/>
      <w:r>
        <w:rPr>
          <w:rFonts w:hint="eastAsia" w:ascii="仿宋" w:hAnsi="仿宋" w:eastAsia="仿宋" w:cs="仿宋"/>
          <w:snapToGrid w:val="0"/>
          <w:color w:val="auto"/>
          <w:kern w:val="0"/>
          <w:szCs w:val="21"/>
          <w:highlight w:val="none"/>
        </w:rPr>
        <w:t>开户银行：</w:t>
      </w:r>
      <w:bookmarkStart w:id="1191" w:name="SOA_zyht_cbrkhyh"/>
      <w:bookmarkEnd w:id="1191"/>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92" w:name="SOA_zyht_fbrzh"/>
      <w:bookmarkEnd w:id="1192"/>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93" w:name="SOA_zyht_cbrzh"/>
      <w:bookmarkEnd w:id="1193"/>
    </w:p>
    <w:p>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94" w:name="SOA_zyht_fbryb"/>
      <w:bookmarkEnd w:id="1194"/>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95" w:name="SOA_zyht_cbryb"/>
      <w:bookmarkEnd w:id="1195"/>
    </w:p>
    <w:p>
      <w:pPr>
        <w:spacing w:line="480" w:lineRule="auto"/>
        <w:jc w:val="center"/>
        <w:rPr>
          <w:rFonts w:hint="eastAsia" w:ascii="仿宋" w:hAnsi="仿宋" w:eastAsia="仿宋" w:cs="仿宋"/>
          <w:b/>
          <w:color w:val="auto"/>
          <w:sz w:val="28"/>
          <w:szCs w:val="28"/>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0"/>
      <w:bookmarkEnd w:id="401"/>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杭州市钱塘区星河幼儿园</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.专门面向中小企业，工程全部由符合政策要求的中小企业（或小微企业）承建的，提供相应的中小企业声明函（附件</w:t>
      </w: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 xml:space="preserve">）。 </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2"/>
        <w:rPr>
          <w:rFonts w:hint="eastAsia" w:ascii="仿宋" w:hAnsi="仿宋" w:eastAsia="仿宋" w:cs="仿宋"/>
          <w:b w:val="0"/>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杭州市钱塘区星河幼儿园</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】采购的有关活动，并对此项目提交响应文件及报价。为此：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t>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t>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评审标准相应的商务技术资料；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杭州市钱塘区星河幼儿园</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pPr>
        <w:widowControl/>
        <w:spacing w:line="360" w:lineRule="auto"/>
        <w:ind w:firstLine="120" w:firstLineChars="50"/>
        <w:jc w:val="left"/>
        <w:rPr>
          <w:rFonts w:hint="eastAsia" w:ascii="仿宋" w:hAnsi="仿宋" w:eastAsia="仿宋" w:cs="仿宋"/>
          <w:color w:val="auto"/>
          <w:sz w:val="24"/>
          <w:highlight w:val="none"/>
        </w:rPr>
      </w:pPr>
      <w:bookmarkStart w:id="119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t>；采购人不同意分包或者供应商成交后不以分包方式履行合同的，则不需要提供。</w:t>
      </w:r>
      <w:r>
        <w:rPr>
          <w:rFonts w:hint="eastAsia" w:ascii="仿宋" w:hAnsi="仿宋" w:eastAsia="仿宋" w:cs="仿宋"/>
          <w:color w:val="auto"/>
          <w:sz w:val="24"/>
          <w:highlight w:val="none"/>
        </w:rPr>
        <w:t>]</w:t>
      </w:r>
    </w:p>
    <w:bookmarkEnd w:id="1196"/>
    <w:p>
      <w:pPr>
        <w:snapToGrid w:val="0"/>
        <w:spacing w:line="360" w:lineRule="auto"/>
        <w:rPr>
          <w:rFonts w:hint="eastAsia" w:ascii="仿宋" w:hAnsi="仿宋" w:eastAsia="仿宋" w:cs="仿宋"/>
          <w:color w:val="auto"/>
          <w:kern w:val="0"/>
          <w:sz w:val="24"/>
          <w:highlight w:val="none"/>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pStyle w:val="2"/>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pP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杭州市钱塘区星河幼儿园</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（1）报价单…………………………………………………………………………（页码）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（2）已标价工程量清单……………………………………………………………（页码）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杭州市钱塘区星河幼儿园</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552"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执业证书信息</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2552"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7655" w:type="dxa"/>
            <w:gridSpan w:val="3"/>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7655" w:type="dxa"/>
            <w:gridSpan w:val="3"/>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w:t>
      </w:r>
      <w:r>
        <w:rPr>
          <w:rFonts w:hint="eastAsia" w:ascii="仿宋" w:hAnsi="仿宋" w:eastAsia="仿宋" w:cs="仿宋"/>
          <w:color w:val="auto"/>
          <w:kern w:val="0"/>
          <w:sz w:val="24"/>
          <w:highlight w:val="none"/>
          <w:lang w:val="zh-CN"/>
        </w:rPr>
        <w:t>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3、特别提示：采购机构将对项目名称和项目编号，成交供应商名称、地址和成交金额，主要成交标的名称、品牌（如果有）、规格型号、数量、单价等予以公示。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二、已标价工程量清单</w:t>
      </w:r>
    </w:p>
    <w:p>
      <w:pPr>
        <w:ind w:right="420"/>
        <w:rPr>
          <w:rFonts w:hint="eastAsia" w:ascii="仿宋" w:hAnsi="仿宋" w:eastAsia="仿宋" w:cs="仿宋"/>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注：按采购文件工程量清单编制</w:t>
      </w: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关于钱塘区政府采购支持中小企业信用融资相关事项通知</w:t>
      </w:r>
    </w:p>
    <w:p>
      <w:pPr>
        <w:spacing w:line="360" w:lineRule="auto"/>
        <w:jc w:val="center"/>
        <w:rPr>
          <w:rFonts w:hint="eastAsia" w:ascii="仿宋" w:hAnsi="仿宋" w:eastAsia="仿宋" w:cs="仿宋"/>
          <w:b/>
          <w:color w:val="auto"/>
          <w:szCs w:val="21"/>
          <w:highlight w:val="none"/>
        </w:rPr>
      </w:pP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3"/>
        <w:tblW w:w="0" w:type="auto"/>
        <w:jc w:val="center"/>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jc w:val="center"/>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1197" w:name="_Toc465665161"/>
      <w:r>
        <w:rPr>
          <w:rFonts w:hint="eastAsia" w:ascii="仿宋" w:hAnsi="仿宋" w:eastAsia="仿宋" w:cs="仿宋"/>
          <w:color w:val="auto"/>
          <w:highlight w:val="none"/>
        </w:rPr>
        <w:t>附件</w:t>
      </w:r>
      <w:bookmarkEnd w:id="1197"/>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1198" w:name="OLE_LINK13"/>
      <w:bookmarkStart w:id="1199" w:name="OLE_LINK14"/>
      <w:r>
        <w:rPr>
          <w:rFonts w:hint="eastAsia" w:ascii="仿宋" w:hAnsi="仿宋" w:eastAsia="仿宋" w:cs="仿宋"/>
          <w:b/>
          <w:color w:val="auto"/>
          <w:spacing w:val="6"/>
          <w:sz w:val="32"/>
          <w:szCs w:val="32"/>
          <w:highlight w:val="none"/>
        </w:rPr>
        <w:t>残疾人福利性单位声明函</w:t>
      </w:r>
    </w:p>
    <w:bookmarkEnd w:id="1198"/>
    <w:bookmarkEnd w:id="1199"/>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hint="eastAsia" w:ascii="仿宋" w:hAnsi="仿宋" w:eastAsia="仿宋" w:cs="仿宋"/>
          <w:color w:val="auto"/>
          <w:sz w:val="24"/>
          <w:highlight w:val="none"/>
          <w:u w:val="dotted"/>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hint="eastAsia" w:ascii="仿宋" w:hAnsi="仿宋" w:eastAsia="仿宋" w:cs="仿宋"/>
          <w:color w:val="auto"/>
          <w:sz w:val="24"/>
          <w:highlight w:val="none"/>
          <w:u w:val="dotted"/>
        </w:rPr>
      </w:pP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杭州市钱塘区星河幼儿园</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浙江省房地产管理咨询有限公司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仿宋" w:hAnsi="仿宋" w:eastAsia="仿宋" w:cs="仿宋"/>
          <w:b/>
          <w:bCs/>
          <w:color w:val="auto"/>
          <w:sz w:val="24"/>
          <w:highlight w:val="none"/>
        </w:rPr>
        <w:pict>
          <v:rect id="Rectangle 16" o:spid="_x0000_s3074"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bookmarkStart w:id="120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hint="eastAsia"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1200"/>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w:t>
      </w:r>
      <w:r>
        <w:rPr>
          <w:rFonts w:hint="eastAsia"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提供的全部工程由小微企业承建，其合同份额占到合同总金额%以上；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杭州市钱塘区星河幼儿园有机更新整修工程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QTCG-CS-2022-017</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w:t>
      </w:r>
      <w:r>
        <w:rPr>
          <w:rFonts w:hint="eastAsia" w:ascii="仿宋" w:hAnsi="仿宋" w:eastAsia="仿宋" w:cs="仿宋"/>
          <w:color w:val="auto"/>
          <w:kern w:val="0"/>
          <w:sz w:val="24"/>
          <w:highlight w:val="none"/>
          <w:lang w:val="zh-CN"/>
        </w:rPr>
        <w:t>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rPr>
        <w:t>……）提供的工程全部由小微企业承建，</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201"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1201"/>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rPr>
        <w:t>7</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杭州市钱塘区星河幼儿园</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杭州市钱塘区星河幼儿园有机更新整修工程</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w:t>
      </w:r>
      <w:r>
        <w:rPr>
          <w:rFonts w:hint="eastAsia" w:ascii="仿宋" w:hAnsi="仿宋" w:eastAsia="仿宋" w:cs="仿宋"/>
          <w:color w:val="auto"/>
          <w:sz w:val="24"/>
          <w:highlight w:val="none"/>
        </w:rPr>
        <w:t>的指引，逐一</w:t>
      </w:r>
      <w:r>
        <w:rPr>
          <w:rFonts w:hint="eastAsia" w:ascii="仿宋" w:hAnsi="仿宋" w:eastAsia="仿宋" w:cs="仿宋"/>
          <w:color w:val="auto"/>
          <w:sz w:val="24"/>
          <w:highlight w:val="none"/>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pPr>
        <w:spacing w:line="360" w:lineRule="auto"/>
        <w:rPr>
          <w:rFonts w:hint="eastAsia" w:ascii="仿宋" w:hAnsi="仿宋" w:eastAsia="仿宋" w:cs="仿宋"/>
          <w:b/>
          <w:color w:val="auto"/>
          <w:spacing w:val="6"/>
          <w:sz w:val="32"/>
          <w:szCs w:val="32"/>
          <w:highlight w:val="none"/>
        </w:rPr>
      </w:pP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pPr>
        <w:pStyle w:val="24"/>
        <w:rPr>
          <w:rFonts w:hint="eastAsia" w:ascii="仿宋" w:hAnsi="仿宋" w:eastAsia="仿宋" w:cs="仿宋"/>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1202" w:name="_Toc36110187"/>
    <w:bookmarkStart w:id="1203" w:name="_Toc91899912"/>
    <w:bookmarkStart w:id="1204" w:name="_Toc131845147"/>
    <w:bookmarkStart w:id="1205" w:name="_Toc164085800"/>
    <w:r>
      <w:rPr>
        <w:rFonts w:hint="eastAsia" w:ascii="仿宋_GB2312" w:eastAsia="仿宋_GB2312"/>
        <w:kern w:val="0"/>
        <w:szCs w:val="21"/>
      </w:rPr>
      <w:t xml:space="preserve"> 页</w:t>
    </w:r>
    <w:bookmarkEnd w:id="1202"/>
    <w:bookmarkEnd w:id="1203"/>
    <w:bookmarkEnd w:id="1204"/>
    <w:bookmarkEnd w:id="12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82532"/>
    <w:multiLevelType w:val="singleLevel"/>
    <w:tmpl w:val="F1A82532"/>
    <w:lvl w:ilvl="0" w:tentative="0">
      <w:start w:val="1"/>
      <w:numFmt w:val="decimal"/>
      <w:pStyle w:val="1071"/>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mZjBiYjZjMGM5ZTRmMzU0MjIzNDFkNzNiNzUz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3E4"/>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64"/>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44E"/>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65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AC0"/>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5B77"/>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1E5"/>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80C"/>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0A"/>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E1"/>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A06"/>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5E3"/>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5E"/>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B51"/>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52"/>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C8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0F3B34"/>
    <w:rsid w:val="041A5A3B"/>
    <w:rsid w:val="042311BA"/>
    <w:rsid w:val="042B157A"/>
    <w:rsid w:val="048F763B"/>
    <w:rsid w:val="049F330E"/>
    <w:rsid w:val="04AA775C"/>
    <w:rsid w:val="04AF1889"/>
    <w:rsid w:val="04C64E6C"/>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830FD"/>
    <w:rsid w:val="08A871D0"/>
    <w:rsid w:val="08D66AD6"/>
    <w:rsid w:val="08DA33A3"/>
    <w:rsid w:val="08E80F13"/>
    <w:rsid w:val="09335624"/>
    <w:rsid w:val="0944690F"/>
    <w:rsid w:val="09451C5C"/>
    <w:rsid w:val="09535675"/>
    <w:rsid w:val="095F057D"/>
    <w:rsid w:val="09642282"/>
    <w:rsid w:val="09733572"/>
    <w:rsid w:val="09772C16"/>
    <w:rsid w:val="098353B5"/>
    <w:rsid w:val="098E5B5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80EA7"/>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F20F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72495"/>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5C77C17"/>
    <w:rsid w:val="1698189E"/>
    <w:rsid w:val="16A8729C"/>
    <w:rsid w:val="16B33777"/>
    <w:rsid w:val="16BC70A7"/>
    <w:rsid w:val="16C6339E"/>
    <w:rsid w:val="172F2D79"/>
    <w:rsid w:val="17557BEF"/>
    <w:rsid w:val="17D349C1"/>
    <w:rsid w:val="17E7091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80B90"/>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45B61"/>
    <w:rsid w:val="1F0A0FF3"/>
    <w:rsid w:val="1F5771FF"/>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63B1D"/>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B7CDD"/>
    <w:rsid w:val="30DF1478"/>
    <w:rsid w:val="30EC586F"/>
    <w:rsid w:val="319C6071"/>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336D9F"/>
    <w:rsid w:val="416176D3"/>
    <w:rsid w:val="4189431C"/>
    <w:rsid w:val="418F0D2A"/>
    <w:rsid w:val="41D01505"/>
    <w:rsid w:val="42474939"/>
    <w:rsid w:val="424C3C57"/>
    <w:rsid w:val="42613FF3"/>
    <w:rsid w:val="42660D96"/>
    <w:rsid w:val="42832809"/>
    <w:rsid w:val="428667D2"/>
    <w:rsid w:val="42CD1CE0"/>
    <w:rsid w:val="42E1381E"/>
    <w:rsid w:val="42ED6459"/>
    <w:rsid w:val="42FE58DD"/>
    <w:rsid w:val="43174B3D"/>
    <w:rsid w:val="434B790E"/>
    <w:rsid w:val="4360274F"/>
    <w:rsid w:val="43977AB6"/>
    <w:rsid w:val="43A3342B"/>
    <w:rsid w:val="43C77C27"/>
    <w:rsid w:val="43D84760"/>
    <w:rsid w:val="43DE09EE"/>
    <w:rsid w:val="44002FAD"/>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67A47"/>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4B75A0"/>
    <w:rsid w:val="505C301C"/>
    <w:rsid w:val="50607A8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E1A40"/>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05D0B"/>
    <w:rsid w:val="585257D0"/>
    <w:rsid w:val="5858120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C6707F"/>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C62EF"/>
    <w:rsid w:val="64C158BF"/>
    <w:rsid w:val="64CE2EAA"/>
    <w:rsid w:val="653C3090"/>
    <w:rsid w:val="65854376"/>
    <w:rsid w:val="658767BE"/>
    <w:rsid w:val="65892531"/>
    <w:rsid w:val="65F239B5"/>
    <w:rsid w:val="66195831"/>
    <w:rsid w:val="662E75B1"/>
    <w:rsid w:val="66342C2E"/>
    <w:rsid w:val="663E784C"/>
    <w:rsid w:val="666078E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0349D"/>
    <w:rsid w:val="693E15D3"/>
    <w:rsid w:val="69627681"/>
    <w:rsid w:val="6977531D"/>
    <w:rsid w:val="69AF0748"/>
    <w:rsid w:val="69CC2BFF"/>
    <w:rsid w:val="69FD55B8"/>
    <w:rsid w:val="6A0B1C62"/>
    <w:rsid w:val="6A2406C8"/>
    <w:rsid w:val="6ADE0BD1"/>
    <w:rsid w:val="6AE96859"/>
    <w:rsid w:val="6B147746"/>
    <w:rsid w:val="6B24787C"/>
    <w:rsid w:val="6B573233"/>
    <w:rsid w:val="6B5B6274"/>
    <w:rsid w:val="6B935D53"/>
    <w:rsid w:val="6BDB7448"/>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C7E4F"/>
    <w:rsid w:val="70F5661B"/>
    <w:rsid w:val="71360107"/>
    <w:rsid w:val="713B688E"/>
    <w:rsid w:val="7148279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417FD3"/>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592352"/>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B47F9"/>
    <w:rsid w:val="7F886E69"/>
    <w:rsid w:val="7FB2285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index 4"/>
    <w:basedOn w:val="1"/>
    <w:next w:val="1"/>
    <w:qFormat/>
    <w:uiPriority w:val="0"/>
    <w:pPr>
      <w:adjustRightInd/>
      <w:ind w:left="600" w:leftChars="600"/>
    </w:pPr>
  </w:style>
  <w:style w:type="paragraph" w:styleId="31">
    <w:name w:val="toc 5"/>
    <w:basedOn w:val="1"/>
    <w:next w:val="1"/>
    <w:qFormat/>
    <w:uiPriority w:val="0"/>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99"/>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20"/>
    <w:qFormat/>
    <w:uiPriority w:val="0"/>
    <w:pPr>
      <w:ind w:firstLine="420"/>
    </w:pPr>
    <w:rPr>
      <w:rFonts w:hAnsi="Calibri" w:cs="Times New Roman"/>
      <w:snapToGrid/>
      <w:szCs w:val="20"/>
    </w:rPr>
  </w:style>
  <w:style w:type="paragraph" w:styleId="62">
    <w:name w:val="Body Text First Indent 2"/>
    <w:basedOn w:val="24"/>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styleId="80">
    <w:name w:val="HTML Cite"/>
    <w:unhideWhenUsed/>
    <w:qFormat/>
    <w:uiPriority w:val="99"/>
    <w:rPr>
      <w:color w:val="00800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99"/>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0"/>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0"/>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0"/>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1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0"/>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0"/>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99"/>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0"/>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0"/>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0"/>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11"/>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99"/>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0"/>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0"/>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0"/>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0"/>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0"/>
    <w:rPr>
      <w:rFonts w:ascii="Cambria" w:hAnsi="Cambria" w:eastAsia="宋体" w:cs="Times New Roman"/>
      <w:b/>
      <w:bCs/>
      <w:kern w:val="2"/>
      <w:sz w:val="28"/>
      <w:szCs w:val="28"/>
    </w:rPr>
  </w:style>
  <w:style w:type="character" w:customStyle="1" w:styleId="269">
    <w:name w:val="批注文字 Char2"/>
    <w:qFormat/>
    <w:uiPriority w:val="0"/>
    <w:rPr>
      <w:rFonts w:ascii="Times New Roman" w:hAnsi="Times New Roman" w:eastAsia="宋体" w:cs="Times New Roman"/>
      <w:snapToGrid w:val="0"/>
      <w:kern w:val="0"/>
      <w:szCs w:val="24"/>
    </w:rPr>
  </w:style>
  <w:style w:type="character" w:customStyle="1" w:styleId="270">
    <w:name w:val="正文文本 2 Char"/>
    <w:qFormat/>
    <w:uiPriority w:val="99"/>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0"/>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0"/>
    <w:rPr>
      <w:rFonts w:ascii="宋体" w:hAnsi="Courier New" w:eastAsia="宋体" w:cs="Courier New"/>
    </w:rPr>
  </w:style>
  <w:style w:type="character" w:customStyle="1" w:styleId="276">
    <w:name w:val="Char Char25"/>
    <w:qFormat/>
    <w:uiPriority w:val="0"/>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0"/>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0"/>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99"/>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0"/>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99"/>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0"/>
    <w:rPr>
      <w:rFonts w:eastAsia="仿宋_GB2312"/>
      <w:sz w:val="24"/>
    </w:rPr>
  </w:style>
  <w:style w:type="character" w:customStyle="1" w:styleId="347">
    <w:name w:val="标题 4 字符"/>
    <w:qFormat/>
    <w:uiPriority w:val="0"/>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0"/>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99"/>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0"/>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0"/>
    <w:rPr>
      <w:rFonts w:ascii="Times New Roman" w:hAnsi="Times New Roman" w:eastAsia="宋体" w:cs="Times New Roman"/>
      <w:szCs w:val="24"/>
    </w:rPr>
  </w:style>
  <w:style w:type="character" w:customStyle="1" w:styleId="376">
    <w:name w:val="页眉 字符"/>
    <w:qFormat/>
    <w:uiPriority w:val="0"/>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99"/>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0"/>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0"/>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99"/>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0"/>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0"/>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99"/>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link w:val="109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99"/>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99"/>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0"/>
    <w:rPr>
      <w:kern w:val="2"/>
      <w:sz w:val="18"/>
      <w:szCs w:val="18"/>
    </w:rPr>
  </w:style>
  <w:style w:type="character" w:customStyle="1" w:styleId="930">
    <w:name w:val="页眉 字符1"/>
    <w:qFormat/>
    <w:uiPriority w:val="0"/>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2"/>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character" w:customStyle="1" w:styleId="965">
    <w:name w:val="标题 3 Char"/>
    <w:link w:val="4"/>
    <w:qFormat/>
    <w:locked/>
    <w:uiPriority w:val="0"/>
    <w:rPr>
      <w:b/>
      <w:bCs/>
      <w:kern w:val="2"/>
      <w:sz w:val="32"/>
      <w:szCs w:val="32"/>
    </w:rPr>
  </w:style>
  <w:style w:type="character" w:customStyle="1" w:styleId="966">
    <w:name w:val="标题 9 Char1"/>
    <w:qFormat/>
    <w:locked/>
    <w:uiPriority w:val="0"/>
    <w:rPr>
      <w:rFonts w:ascii="Cambria" w:hAnsi="Cambria" w:eastAsia="宋体" w:cs="Times New Roman"/>
      <w:kern w:val="0"/>
    </w:rPr>
  </w:style>
  <w:style w:type="character" w:customStyle="1" w:styleId="967">
    <w:name w:val="明显参考1"/>
    <w:qFormat/>
    <w:uiPriority w:val="0"/>
    <w:rPr>
      <w:b/>
      <w:bCs/>
      <w:smallCaps/>
      <w:color w:val="C0504D"/>
      <w:spacing w:val="5"/>
      <w:u w:val="single"/>
    </w:rPr>
  </w:style>
  <w:style w:type="character" w:customStyle="1" w:styleId="968">
    <w:name w:val="文档结构图 Char4"/>
    <w:qFormat/>
    <w:uiPriority w:val="0"/>
    <w:rPr>
      <w:rFonts w:ascii="宋体"/>
      <w:sz w:val="18"/>
      <w:szCs w:val="18"/>
    </w:rPr>
  </w:style>
  <w:style w:type="character" w:customStyle="1" w:styleId="969">
    <w:name w:val="标题4 Char Char"/>
    <w:link w:val="970"/>
    <w:qFormat/>
    <w:uiPriority w:val="0"/>
    <w:rPr>
      <w:rFonts w:ascii="Arial" w:hAnsi="Arial"/>
      <w:b/>
      <w:bCs/>
      <w:sz w:val="24"/>
      <w:szCs w:val="32"/>
    </w:rPr>
  </w:style>
  <w:style w:type="paragraph" w:customStyle="1" w:styleId="970">
    <w:name w:val="标题4"/>
    <w:basedOn w:val="2"/>
    <w:next w:val="30"/>
    <w:link w:val="969"/>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71">
    <w:name w:val="不明显强调1"/>
    <w:qFormat/>
    <w:uiPriority w:val="0"/>
    <w:rPr>
      <w:i/>
      <w:iCs/>
      <w:color w:val="808080"/>
    </w:rPr>
  </w:style>
  <w:style w:type="character" w:customStyle="1" w:styleId="972">
    <w:name w:val="标题 字符1"/>
    <w:qFormat/>
    <w:uiPriority w:val="10"/>
    <w:rPr>
      <w:rFonts w:ascii="等线 Light" w:hAnsi="等线 Light" w:cs="Times New Roman"/>
      <w:b/>
      <w:bCs/>
      <w:sz w:val="32"/>
      <w:szCs w:val="32"/>
    </w:rPr>
  </w:style>
  <w:style w:type="character" w:customStyle="1" w:styleId="973">
    <w:name w:val="副标题 Char3"/>
    <w:qFormat/>
    <w:uiPriority w:val="11"/>
    <w:rPr>
      <w:rFonts w:ascii="Cambria" w:hAnsi="Cambria" w:cs="Times New Roman"/>
      <w:b/>
      <w:bCs/>
      <w:kern w:val="28"/>
      <w:sz w:val="32"/>
      <w:szCs w:val="32"/>
    </w:rPr>
  </w:style>
  <w:style w:type="character" w:customStyle="1" w:styleId="974">
    <w:name w:val="个人答复风格"/>
    <w:qFormat/>
    <w:uiPriority w:val="0"/>
    <w:rPr>
      <w:rFonts w:ascii="Arial" w:hAnsi="Arial" w:eastAsia="宋体" w:cs="Arial"/>
      <w:color w:val="auto"/>
      <w:sz w:val="20"/>
    </w:rPr>
  </w:style>
  <w:style w:type="character" w:customStyle="1" w:styleId="975">
    <w:name w:val="ca-341"/>
    <w:qFormat/>
    <w:uiPriority w:val="0"/>
    <w:rPr>
      <w:rFonts w:hint="eastAsia" w:ascii="宋体" w:hAnsi="宋体" w:eastAsia="宋体"/>
      <w:color w:val="000000"/>
      <w:sz w:val="20"/>
      <w:szCs w:val="20"/>
    </w:rPr>
  </w:style>
  <w:style w:type="character" w:customStyle="1" w:styleId="976">
    <w:name w:val="日期 字符1"/>
    <w:qFormat/>
    <w:uiPriority w:val="99"/>
    <w:rPr>
      <w:sz w:val="24"/>
      <w:szCs w:val="24"/>
    </w:rPr>
  </w:style>
  <w:style w:type="character" w:customStyle="1" w:styleId="977">
    <w:name w:val="批注主题 Char2"/>
    <w:qFormat/>
    <w:uiPriority w:val="0"/>
    <w:rPr>
      <w:b/>
      <w:bCs/>
      <w:sz w:val="24"/>
      <w:szCs w:val="24"/>
    </w:rPr>
  </w:style>
  <w:style w:type="character" w:customStyle="1" w:styleId="978">
    <w:name w:val="文档结构图 字符2"/>
    <w:qFormat/>
    <w:uiPriority w:val="99"/>
    <w:rPr>
      <w:rFonts w:ascii="Microsoft YaHei UI" w:eastAsia="Microsoft YaHei UI"/>
      <w:sz w:val="18"/>
      <w:szCs w:val="18"/>
    </w:rPr>
  </w:style>
  <w:style w:type="character" w:customStyle="1" w:styleId="979">
    <w:name w:val="书籍标题1"/>
    <w:qFormat/>
    <w:uiPriority w:val="0"/>
    <w:rPr>
      <w:b/>
      <w:bCs/>
      <w:smallCaps/>
      <w:spacing w:val="5"/>
    </w:rPr>
  </w:style>
  <w:style w:type="character" w:customStyle="1" w:styleId="980">
    <w:name w:val="引用 Char1"/>
    <w:qFormat/>
    <w:uiPriority w:val="29"/>
    <w:rPr>
      <w:rFonts w:ascii="宋体"/>
      <w:i/>
      <w:iCs/>
      <w:color w:val="000000"/>
      <w:kern w:val="2"/>
      <w:sz w:val="28"/>
    </w:rPr>
  </w:style>
  <w:style w:type="character" w:customStyle="1" w:styleId="981">
    <w:name w:val="不明显参考1"/>
    <w:qFormat/>
    <w:uiPriority w:val="0"/>
    <w:rPr>
      <w:smallCaps/>
      <w:color w:val="C0504D"/>
      <w:u w:val="single"/>
    </w:rPr>
  </w:style>
  <w:style w:type="character" w:customStyle="1" w:styleId="982">
    <w:name w:val="明显引用 字符2"/>
    <w:qFormat/>
    <w:uiPriority w:val="30"/>
    <w:rPr>
      <w:i/>
      <w:iCs/>
      <w:color w:val="4472C4"/>
    </w:rPr>
  </w:style>
  <w:style w:type="character" w:customStyle="1" w:styleId="983">
    <w:name w:val="日期 字符2"/>
    <w:qFormat/>
    <w:uiPriority w:val="99"/>
  </w:style>
  <w:style w:type="character" w:customStyle="1" w:styleId="984">
    <w:name w:val="Unresolved Mention"/>
    <w:unhideWhenUsed/>
    <w:qFormat/>
    <w:uiPriority w:val="99"/>
    <w:rPr>
      <w:color w:val="605E5C"/>
      <w:shd w:val="clear" w:color="auto" w:fill="E1DFDD"/>
    </w:rPr>
  </w:style>
  <w:style w:type="character" w:customStyle="1" w:styleId="985">
    <w:name w:val="批注文字 字符1"/>
    <w:qFormat/>
    <w:uiPriority w:val="99"/>
    <w:rPr>
      <w:rFonts w:ascii="宋体" w:hAnsi="Times New Roman" w:eastAsia="宋体" w:cs="Times New Roman"/>
      <w:sz w:val="28"/>
      <w:szCs w:val="20"/>
    </w:rPr>
  </w:style>
  <w:style w:type="character" w:customStyle="1" w:styleId="986">
    <w:name w:val="正文文本缩进 2 字符1"/>
    <w:qFormat/>
    <w:uiPriority w:val="99"/>
    <w:rPr>
      <w:sz w:val="24"/>
      <w:szCs w:val="24"/>
    </w:rPr>
  </w:style>
  <w:style w:type="character" w:customStyle="1" w:styleId="987">
    <w:name w:val="s3"/>
    <w:qFormat/>
    <w:uiPriority w:val="0"/>
  </w:style>
  <w:style w:type="character" w:customStyle="1" w:styleId="988">
    <w:name w:val="ca-111"/>
    <w:qFormat/>
    <w:uiPriority w:val="0"/>
    <w:rPr>
      <w:rFonts w:hint="default" w:ascii="Times New Roman" w:hAnsi="Times New Roman" w:cs="Times New Roman"/>
      <w:color w:val="000000"/>
      <w:sz w:val="30"/>
      <w:szCs w:val="30"/>
    </w:rPr>
  </w:style>
  <w:style w:type="character" w:customStyle="1" w:styleId="989">
    <w:name w:val="文档结构图 Char3"/>
    <w:qFormat/>
    <w:uiPriority w:val="0"/>
    <w:rPr>
      <w:rFonts w:ascii="宋体"/>
      <w:sz w:val="18"/>
      <w:szCs w:val="18"/>
    </w:rPr>
  </w:style>
  <w:style w:type="character" w:customStyle="1" w:styleId="990">
    <w:name w:val="明显引用 Char2"/>
    <w:qFormat/>
    <w:uiPriority w:val="99"/>
    <w:rPr>
      <w:b/>
      <w:bCs/>
      <w:i/>
      <w:iCs/>
      <w:color w:val="4F81BD"/>
      <w:sz w:val="24"/>
      <w:szCs w:val="24"/>
    </w:rPr>
  </w:style>
  <w:style w:type="character" w:customStyle="1" w:styleId="991">
    <w:name w:val="正文文本缩进 3 字符1"/>
    <w:qFormat/>
    <w:uiPriority w:val="99"/>
    <w:rPr>
      <w:sz w:val="16"/>
      <w:szCs w:val="16"/>
    </w:rPr>
  </w:style>
  <w:style w:type="character" w:customStyle="1" w:styleId="992">
    <w:name w:val="引用 字符1"/>
    <w:qFormat/>
    <w:uiPriority w:val="29"/>
    <w:rPr>
      <w:i/>
      <w:iCs/>
      <w:color w:val="404040"/>
      <w:sz w:val="24"/>
      <w:szCs w:val="24"/>
    </w:rPr>
  </w:style>
  <w:style w:type="character" w:customStyle="1" w:styleId="993">
    <w:name w:val="fontstyle01"/>
    <w:qFormat/>
    <w:uiPriority w:val="0"/>
    <w:rPr>
      <w:rFonts w:hint="eastAsia" w:ascii="宋体" w:hAnsi="宋体" w:eastAsia="宋体"/>
      <w:color w:val="000000"/>
      <w:sz w:val="22"/>
      <w:szCs w:val="22"/>
    </w:rPr>
  </w:style>
  <w:style w:type="character" w:customStyle="1" w:styleId="994">
    <w:name w:val="批注框文本 Char2"/>
    <w:qFormat/>
    <w:uiPriority w:val="0"/>
    <w:rPr>
      <w:sz w:val="18"/>
      <w:szCs w:val="18"/>
    </w:rPr>
  </w:style>
  <w:style w:type="character" w:customStyle="1" w:styleId="995">
    <w:name w:val="明显引用 字符1"/>
    <w:qFormat/>
    <w:uiPriority w:val="30"/>
    <w:rPr>
      <w:i/>
      <w:iCs/>
      <w:color w:val="4472C4"/>
      <w:sz w:val="24"/>
      <w:szCs w:val="24"/>
    </w:rPr>
  </w:style>
  <w:style w:type="character" w:customStyle="1" w:styleId="996">
    <w:name w:val="正文文本 字符"/>
    <w:qFormat/>
    <w:uiPriority w:val="0"/>
  </w:style>
  <w:style w:type="character" w:customStyle="1" w:styleId="997">
    <w:name w:val="textcontents"/>
    <w:qFormat/>
    <w:uiPriority w:val="0"/>
    <w:rPr>
      <w:rFonts w:cs="Times New Roman"/>
    </w:rPr>
  </w:style>
  <w:style w:type="character" w:customStyle="1" w:styleId="998">
    <w:name w:val="不明显参考2"/>
    <w:qFormat/>
    <w:uiPriority w:val="0"/>
    <w:rPr>
      <w:smallCaps/>
      <w:color w:val="C0504D"/>
      <w:u w:val="single"/>
    </w:rPr>
  </w:style>
  <w:style w:type="character" w:customStyle="1" w:styleId="999">
    <w:name w:val="文档结构图 Char2"/>
    <w:qFormat/>
    <w:uiPriority w:val="99"/>
    <w:rPr>
      <w:rFonts w:ascii="宋体"/>
      <w:kern w:val="2"/>
      <w:sz w:val="18"/>
      <w:szCs w:val="18"/>
    </w:rPr>
  </w:style>
  <w:style w:type="character" w:customStyle="1" w:styleId="1000">
    <w:name w:val="标题 Char3"/>
    <w:qFormat/>
    <w:uiPriority w:val="10"/>
    <w:rPr>
      <w:rFonts w:ascii="Cambria" w:hAnsi="Cambria" w:cs="Times New Roman"/>
      <w:b/>
      <w:bCs/>
      <w:sz w:val="32"/>
      <w:szCs w:val="32"/>
    </w:rPr>
  </w:style>
  <w:style w:type="character" w:customStyle="1" w:styleId="1001">
    <w:name w:val="正文文本缩进 2 Char2"/>
    <w:qFormat/>
    <w:uiPriority w:val="0"/>
    <w:rPr>
      <w:sz w:val="24"/>
      <w:szCs w:val="24"/>
    </w:rPr>
  </w:style>
  <w:style w:type="character" w:customStyle="1" w:styleId="1002">
    <w:name w:val="未处理的提及"/>
    <w:unhideWhenUsed/>
    <w:qFormat/>
    <w:uiPriority w:val="99"/>
    <w:rPr>
      <w:color w:val="605E5C"/>
      <w:shd w:val="clear" w:color="auto" w:fill="E1DFDD"/>
    </w:rPr>
  </w:style>
  <w:style w:type="character" w:customStyle="1" w:styleId="1003">
    <w:name w:val="个人撰写风格"/>
    <w:qFormat/>
    <w:uiPriority w:val="0"/>
    <w:rPr>
      <w:rFonts w:ascii="Arial" w:hAnsi="Arial" w:eastAsia="宋体" w:cs="Arial"/>
      <w:color w:val="auto"/>
      <w:sz w:val="20"/>
    </w:rPr>
  </w:style>
  <w:style w:type="character" w:customStyle="1" w:styleId="1004">
    <w:name w:val="批注主题 字符1"/>
    <w:qFormat/>
    <w:uiPriority w:val="99"/>
    <w:rPr>
      <w:b/>
      <w:bCs/>
    </w:rPr>
  </w:style>
  <w:style w:type="character" w:customStyle="1" w:styleId="1005">
    <w:name w:val="日期 Char3"/>
    <w:qFormat/>
    <w:uiPriority w:val="0"/>
    <w:rPr>
      <w:sz w:val="24"/>
      <w:szCs w:val="24"/>
    </w:rPr>
  </w:style>
  <w:style w:type="character" w:customStyle="1" w:styleId="1006">
    <w:name w:val="ca-241"/>
    <w:qFormat/>
    <w:uiPriority w:val="0"/>
    <w:rPr>
      <w:rFonts w:hint="eastAsia" w:ascii="宋体" w:hAnsi="宋体" w:eastAsia="宋体"/>
      <w:sz w:val="24"/>
      <w:szCs w:val="24"/>
    </w:rPr>
  </w:style>
  <w:style w:type="character" w:customStyle="1" w:styleId="1007">
    <w:name w:val="正文文本缩进 2 字符2"/>
    <w:qFormat/>
    <w:uiPriority w:val="99"/>
  </w:style>
  <w:style w:type="character" w:customStyle="1" w:styleId="1008">
    <w:name w:val="明显引用 Char1"/>
    <w:qFormat/>
    <w:uiPriority w:val="30"/>
    <w:rPr>
      <w:rFonts w:ascii="宋体"/>
      <w:b/>
      <w:bCs/>
      <w:i/>
      <w:iCs/>
      <w:color w:val="4F81BD"/>
      <w:kern w:val="2"/>
      <w:sz w:val="28"/>
    </w:rPr>
  </w:style>
  <w:style w:type="character" w:customStyle="1" w:styleId="1009">
    <w:name w:val="日期 Char2"/>
    <w:qFormat/>
    <w:uiPriority w:val="0"/>
    <w:rPr>
      <w:sz w:val="24"/>
      <w:szCs w:val="24"/>
    </w:rPr>
  </w:style>
  <w:style w:type="character" w:customStyle="1" w:styleId="1010">
    <w:name w:val="副标题 字符1"/>
    <w:qFormat/>
    <w:uiPriority w:val="11"/>
    <w:rPr>
      <w:rFonts w:ascii="等线 Light" w:hAnsi="等线 Light" w:cs="Times New Roman"/>
      <w:b/>
      <w:bCs/>
      <w:kern w:val="28"/>
      <w:sz w:val="32"/>
      <w:szCs w:val="32"/>
    </w:rPr>
  </w:style>
  <w:style w:type="character" w:customStyle="1" w:styleId="1011">
    <w:name w:val="正文文本 3 字符1"/>
    <w:qFormat/>
    <w:uiPriority w:val="99"/>
    <w:rPr>
      <w:sz w:val="16"/>
      <w:szCs w:val="16"/>
    </w:rPr>
  </w:style>
  <w:style w:type="character" w:customStyle="1" w:styleId="1012">
    <w:name w:val="样式 正文文本 Char"/>
    <w:link w:val="1013"/>
    <w:qFormat/>
    <w:uiPriority w:val="0"/>
    <w:rPr>
      <w:rFonts w:ascii="Arial" w:hAnsi="Arial"/>
      <w:color w:val="000000"/>
      <w:kern w:val="2"/>
      <w:sz w:val="21"/>
    </w:rPr>
  </w:style>
  <w:style w:type="paragraph" w:customStyle="1" w:styleId="1013">
    <w:name w:val="样式 正文文本"/>
    <w:basedOn w:val="1"/>
    <w:link w:val="1012"/>
    <w:qFormat/>
    <w:uiPriority w:val="0"/>
    <w:pPr>
      <w:snapToGrid w:val="0"/>
      <w:spacing w:line="400" w:lineRule="exact"/>
    </w:pPr>
    <w:rPr>
      <w:rFonts w:ascii="Arial" w:hAnsi="Arial"/>
      <w:color w:val="000000"/>
      <w:szCs w:val="20"/>
    </w:rPr>
  </w:style>
  <w:style w:type="character" w:customStyle="1" w:styleId="1014">
    <w:name w:val="批注框文本 Char3"/>
    <w:qFormat/>
    <w:uiPriority w:val="0"/>
    <w:rPr>
      <w:sz w:val="18"/>
      <w:szCs w:val="18"/>
    </w:rPr>
  </w:style>
  <w:style w:type="character" w:customStyle="1" w:styleId="1015">
    <w:name w:val="引用 字符2"/>
    <w:qFormat/>
    <w:uiPriority w:val="29"/>
    <w:rPr>
      <w:i/>
      <w:iCs/>
      <w:color w:val="404040"/>
    </w:rPr>
  </w:style>
  <w:style w:type="character" w:customStyle="1" w:styleId="1016">
    <w:name w:val="批注主题 Char3"/>
    <w:semiHidden/>
    <w:qFormat/>
    <w:uiPriority w:val="0"/>
    <w:rPr>
      <w:b/>
      <w:bCs/>
      <w:sz w:val="24"/>
      <w:szCs w:val="24"/>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4"/>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副标题 字符2"/>
    <w:qFormat/>
    <w:uiPriority w:val="11"/>
    <w:rPr>
      <w:b/>
      <w:bCs/>
      <w:kern w:val="28"/>
      <w:sz w:val="32"/>
      <w:szCs w:val="32"/>
    </w:rPr>
  </w:style>
  <w:style w:type="character" w:customStyle="1" w:styleId="1020">
    <w:name w:val="htd01"/>
    <w:qFormat/>
    <w:uiPriority w:val="0"/>
  </w:style>
  <w:style w:type="character" w:customStyle="1" w:styleId="1021">
    <w:name w:val="正文文本缩进 字符1"/>
    <w:qFormat/>
    <w:uiPriority w:val="99"/>
    <w:rPr>
      <w:sz w:val="24"/>
      <w:szCs w:val="24"/>
    </w:rPr>
  </w:style>
  <w:style w:type="character" w:customStyle="1" w:styleId="1022">
    <w:name w:val="明显引用 Char"/>
    <w:link w:val="1023"/>
    <w:qFormat/>
    <w:uiPriority w:val="0"/>
    <w:rPr>
      <w:b/>
      <w:bCs/>
      <w:i/>
      <w:iCs/>
      <w:color w:val="4F81BD"/>
    </w:rPr>
  </w:style>
  <w:style w:type="paragraph" w:styleId="1023">
    <w:name w:val="Intense Quote"/>
    <w:basedOn w:val="1"/>
    <w:next w:val="1"/>
    <w:link w:val="1022"/>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024">
    <w:name w:val="明显引用 Char3"/>
    <w:basedOn w:val="70"/>
    <w:qFormat/>
    <w:uiPriority w:val="0"/>
    <w:rPr>
      <w:b/>
      <w:bCs/>
      <w:i/>
      <w:iCs/>
      <w:color w:val="4F81BD" w:themeColor="accent1"/>
      <w:kern w:val="2"/>
      <w:sz w:val="21"/>
      <w:szCs w:val="24"/>
    </w:rPr>
  </w:style>
  <w:style w:type="character" w:customStyle="1" w:styleId="1025">
    <w:name w:val="引用 Char"/>
    <w:link w:val="1026"/>
    <w:qFormat/>
    <w:uiPriority w:val="0"/>
    <w:rPr>
      <w:i/>
      <w:iCs/>
      <w:color w:val="000000"/>
    </w:rPr>
  </w:style>
  <w:style w:type="paragraph" w:styleId="1026">
    <w:name w:val="Quote"/>
    <w:basedOn w:val="1"/>
    <w:next w:val="1"/>
    <w:link w:val="1025"/>
    <w:qFormat/>
    <w:uiPriority w:val="0"/>
    <w:pPr>
      <w:adjustRightInd/>
    </w:pPr>
    <w:rPr>
      <w:i/>
      <w:iCs/>
      <w:color w:val="000000"/>
      <w:kern w:val="0"/>
      <w:sz w:val="20"/>
      <w:szCs w:val="20"/>
    </w:rPr>
  </w:style>
  <w:style w:type="character" w:customStyle="1" w:styleId="1027">
    <w:name w:val="引用 Char2"/>
    <w:basedOn w:val="70"/>
    <w:qFormat/>
    <w:uiPriority w:val="99"/>
    <w:rPr>
      <w:i/>
      <w:iCs/>
      <w:color w:val="000000" w:themeColor="text1"/>
      <w:kern w:val="2"/>
      <w:sz w:val="21"/>
      <w:szCs w:val="24"/>
    </w:rPr>
  </w:style>
  <w:style w:type="character" w:customStyle="1" w:styleId="1028">
    <w:name w:val="明显强调1"/>
    <w:qFormat/>
    <w:uiPriority w:val="0"/>
    <w:rPr>
      <w:b/>
      <w:bCs/>
      <w:i/>
      <w:iCs/>
      <w:color w:val="4F81BD"/>
    </w:rPr>
  </w:style>
  <w:style w:type="character" w:customStyle="1" w:styleId="1029">
    <w:name w:val="批注文字 Char3"/>
    <w:semiHidden/>
    <w:qFormat/>
    <w:uiPriority w:val="0"/>
    <w:rPr>
      <w:sz w:val="24"/>
      <w:szCs w:val="24"/>
    </w:rPr>
  </w:style>
  <w:style w:type="character" w:customStyle="1" w:styleId="1030">
    <w:name w:val="引用 Char3"/>
    <w:qFormat/>
    <w:uiPriority w:val="0"/>
    <w:rPr>
      <w:i/>
      <w:iCs/>
      <w:color w:val="000000"/>
      <w:sz w:val="24"/>
      <w:szCs w:val="24"/>
    </w:rPr>
  </w:style>
  <w:style w:type="character" w:customStyle="1" w:styleId="1031">
    <w:name w:val="正文文本缩进 3 Char2"/>
    <w:qFormat/>
    <w:uiPriority w:val="0"/>
    <w:rPr>
      <w:sz w:val="16"/>
      <w:szCs w:val="16"/>
    </w:rPr>
  </w:style>
  <w:style w:type="character" w:customStyle="1" w:styleId="1032">
    <w:name w:val="纯文本 字符1"/>
    <w:qFormat/>
    <w:uiPriority w:val="99"/>
    <w:rPr>
      <w:rFonts w:ascii="宋体" w:hAnsi="Courier New" w:eastAsia="宋体" w:cs="Courier New"/>
      <w:kern w:val="0"/>
    </w:rPr>
  </w:style>
  <w:style w:type="character" w:customStyle="1" w:styleId="1033">
    <w:name w:val="批注文字 Char Char"/>
    <w:qFormat/>
    <w:uiPriority w:val="0"/>
    <w:rPr>
      <w:rFonts w:ascii="宋体" w:hAnsi="Times New Roman" w:eastAsia="宋体" w:cs="Times New Roman"/>
      <w:sz w:val="28"/>
      <w:szCs w:val="20"/>
    </w:rPr>
  </w:style>
  <w:style w:type="character" w:customStyle="1" w:styleId="1034">
    <w:name w:val="书籍标题2"/>
    <w:qFormat/>
    <w:uiPriority w:val="0"/>
    <w:rPr>
      <w:b/>
      <w:bCs/>
      <w:smallCaps/>
      <w:spacing w:val="5"/>
    </w:rPr>
  </w:style>
  <w:style w:type="character" w:customStyle="1" w:styleId="1035">
    <w:name w:val="批注框文本 字符1"/>
    <w:qFormat/>
    <w:uiPriority w:val="99"/>
    <w:rPr>
      <w:sz w:val="18"/>
      <w:szCs w:val="18"/>
    </w:rPr>
  </w:style>
  <w:style w:type="character" w:customStyle="1" w:styleId="1036">
    <w:name w:val="纯文本 字符3"/>
    <w:qFormat/>
    <w:uiPriority w:val="99"/>
    <w:rPr>
      <w:rFonts w:ascii="等线" w:hAnsi="Courier New" w:cs="Courier New"/>
    </w:rPr>
  </w:style>
  <w:style w:type="character" w:customStyle="1" w:styleId="1037">
    <w:name w:val="标题 字符2"/>
    <w:qFormat/>
    <w:uiPriority w:val="10"/>
    <w:rPr>
      <w:rFonts w:ascii="等线 Light" w:hAnsi="等线 Light" w:eastAsia="等线 Light" w:cs="Times New Roman"/>
      <w:b/>
      <w:bCs/>
      <w:sz w:val="32"/>
      <w:szCs w:val="32"/>
    </w:rPr>
  </w:style>
  <w:style w:type="character" w:customStyle="1" w:styleId="1038">
    <w:name w:val="ca-521"/>
    <w:qFormat/>
    <w:uiPriority w:val="0"/>
    <w:rPr>
      <w:rFonts w:ascii="宋体" w:hAnsi="宋体" w:eastAsia="宋体"/>
      <w:b/>
      <w:spacing w:val="-20"/>
      <w:sz w:val="36"/>
    </w:rPr>
  </w:style>
  <w:style w:type="character" w:customStyle="1" w:styleId="1039">
    <w:name w:val="正文文本缩进 3 字符2"/>
    <w:qFormat/>
    <w:uiPriority w:val="99"/>
    <w:rPr>
      <w:sz w:val="16"/>
      <w:szCs w:val="16"/>
    </w:rPr>
  </w:style>
  <w:style w:type="paragraph" w:customStyle="1" w:styleId="1040">
    <w:name w:val="TOC 标题2"/>
    <w:basedOn w:val="3"/>
    <w:next w:val="1"/>
    <w:qFormat/>
    <w:uiPriority w:val="39"/>
    <w:pPr>
      <w:widowControl/>
      <w:tabs>
        <w:tab w:val="clear" w:pos="432"/>
      </w:tabs>
      <w:adjustRightInd/>
      <w:spacing w:before="240" w:after="0" w:line="259" w:lineRule="auto"/>
      <w:ind w:left="0" w:firstLine="0"/>
      <w:jc w:val="left"/>
      <w:outlineLvl w:val="9"/>
    </w:pPr>
    <w:rPr>
      <w:rFonts w:ascii="等线 Light" w:hAnsi="等线 Light" w:eastAsia="等线 Light"/>
      <w:b w:val="0"/>
      <w:bCs w:val="0"/>
      <w:color w:val="2F5496"/>
      <w:sz w:val="32"/>
      <w:szCs w:val="32"/>
    </w:rPr>
  </w:style>
  <w:style w:type="paragraph" w:customStyle="1" w:styleId="1041">
    <w:name w:val="_Style 4"/>
    <w:basedOn w:val="3"/>
    <w:next w:val="1"/>
    <w:qFormat/>
    <w:uiPriority w:val="0"/>
    <w:pPr>
      <w:keepNext w:val="0"/>
      <w:keepLines w:val="0"/>
      <w:widowControl/>
      <w:tabs>
        <w:tab w:val="clear" w:pos="432"/>
      </w:tabs>
      <w:autoSpaceDE w:val="0"/>
      <w:autoSpaceDN w:val="0"/>
      <w:spacing w:before="480" w:after="0" w:line="276" w:lineRule="auto"/>
      <w:ind w:left="3" w:firstLine="0"/>
      <w:jc w:val="left"/>
      <w:outlineLvl w:val="9"/>
    </w:pPr>
    <w:rPr>
      <w:rFonts w:ascii="Cambria" w:hAnsi="Cambria"/>
      <w:color w:val="365F91"/>
      <w:kern w:val="0"/>
      <w:sz w:val="28"/>
      <w:szCs w:val="28"/>
    </w:rPr>
  </w:style>
  <w:style w:type="paragraph" w:customStyle="1" w:styleId="1042">
    <w:name w:val="1"/>
    <w:basedOn w:val="1"/>
    <w:qFormat/>
    <w:uiPriority w:val="0"/>
    <w:pPr>
      <w:adjustRightInd/>
      <w:spacing w:line="480" w:lineRule="exact"/>
      <w:ind w:firstLine="480"/>
    </w:pPr>
    <w:rPr>
      <w:rFonts w:ascii="宋体"/>
      <w:sz w:val="24"/>
      <w:szCs w:val="20"/>
    </w:rPr>
  </w:style>
  <w:style w:type="paragraph" w:customStyle="1" w:styleId="1043">
    <w:name w:val="CM44"/>
    <w:basedOn w:val="234"/>
    <w:next w:val="234"/>
    <w:qFormat/>
    <w:uiPriority w:val="0"/>
    <w:pPr>
      <w:spacing w:line="440" w:lineRule="atLeast"/>
    </w:pPr>
    <w:rPr>
      <w:rFonts w:ascii="宋体" w:eastAsia="宋体" w:cs="宋体"/>
      <w:color w:val="auto"/>
    </w:rPr>
  </w:style>
  <w:style w:type="paragraph" w:customStyle="1" w:styleId="1044">
    <w:name w:val="样式 标题 3 + (中文) 黑体 小四 非加粗 段前: 7.8 磅 段后: 0 磅 行距: 固定值 20 磅"/>
    <w:basedOn w:val="4"/>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45">
    <w:name w:val="正文缩进二"/>
    <w:basedOn w:val="1"/>
    <w:qFormat/>
    <w:uiPriority w:val="0"/>
    <w:pPr>
      <w:autoSpaceDE w:val="0"/>
      <w:autoSpaceDN w:val="0"/>
      <w:snapToGrid w:val="0"/>
      <w:spacing w:line="360" w:lineRule="auto"/>
      <w:ind w:firstLine="567"/>
      <w:jc w:val="left"/>
    </w:pPr>
    <w:rPr>
      <w:kern w:val="0"/>
      <w:sz w:val="28"/>
      <w:szCs w:val="20"/>
    </w:rPr>
  </w:style>
  <w:style w:type="paragraph" w:customStyle="1" w:styleId="1046">
    <w:name w:val="修订4"/>
    <w:unhideWhenUsed/>
    <w:qFormat/>
    <w:uiPriority w:val="0"/>
    <w:rPr>
      <w:rFonts w:ascii="Times New Roman" w:hAnsi="Times New Roman" w:eastAsia="宋体" w:cs="Times New Roman"/>
      <w:sz w:val="24"/>
      <w:szCs w:val="24"/>
      <w:lang w:val="en-US" w:eastAsia="zh-CN" w:bidi="ar-SA"/>
    </w:rPr>
  </w:style>
  <w:style w:type="paragraph" w:customStyle="1" w:styleId="1047">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48">
    <w:name w:val="CM25"/>
    <w:basedOn w:val="234"/>
    <w:next w:val="234"/>
    <w:qFormat/>
    <w:uiPriority w:val="0"/>
    <w:pPr>
      <w:spacing w:line="440" w:lineRule="atLeast"/>
    </w:pPr>
    <w:rPr>
      <w:rFonts w:ascii="宋体" w:eastAsia="宋体" w:cs="宋体"/>
      <w:color w:val="auto"/>
    </w:rPr>
  </w:style>
  <w:style w:type="paragraph" w:customStyle="1" w:styleId="1049">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50">
    <w:name w:val="CM24"/>
    <w:basedOn w:val="234"/>
    <w:next w:val="234"/>
    <w:qFormat/>
    <w:uiPriority w:val="0"/>
    <w:pPr>
      <w:spacing w:line="440" w:lineRule="atLeast"/>
    </w:pPr>
    <w:rPr>
      <w:rFonts w:ascii="宋体" w:eastAsia="宋体" w:cs="宋体"/>
      <w:color w:val="auto"/>
    </w:rPr>
  </w:style>
  <w:style w:type="paragraph" w:customStyle="1" w:styleId="105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52">
    <w:name w:val="List Paragraph2"/>
    <w:basedOn w:val="1"/>
    <w:qFormat/>
    <w:uiPriority w:val="0"/>
    <w:pPr>
      <w:autoSpaceDE w:val="0"/>
      <w:autoSpaceDN w:val="0"/>
      <w:jc w:val="left"/>
    </w:pPr>
    <w:rPr>
      <w:rFonts w:ascii="Calibri" w:hAnsi="Calibri" w:eastAsia="微软雅黑"/>
      <w:kern w:val="0"/>
      <w:sz w:val="24"/>
    </w:rPr>
  </w:style>
  <w:style w:type="paragraph" w:customStyle="1" w:styleId="1053">
    <w:name w:val="[Normal]"/>
    <w:qFormat/>
    <w:uiPriority w:val="0"/>
    <w:rPr>
      <w:rFonts w:ascii="宋体" w:hAnsi="宋体" w:eastAsia="宋体" w:cs="Times New Roman"/>
      <w:sz w:val="24"/>
      <w:szCs w:val="22"/>
      <w:lang w:val="zh-CN" w:eastAsia="zh-CN" w:bidi="ar-SA"/>
    </w:rPr>
  </w:style>
  <w:style w:type="paragraph" w:customStyle="1" w:styleId="1054">
    <w:name w:val="CM99"/>
    <w:basedOn w:val="234"/>
    <w:next w:val="234"/>
    <w:qFormat/>
    <w:uiPriority w:val="0"/>
    <w:rPr>
      <w:rFonts w:ascii="宋体" w:eastAsia="宋体" w:cs="宋体"/>
      <w:color w:val="auto"/>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段前: 7.8 磅"/>
    <w:basedOn w:val="4"/>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table" w:customStyle="1" w:styleId="1057">
    <w:name w:val="网格型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8">
    <w:name w:val="WPSOffice手动目录 1"/>
    <w:qFormat/>
    <w:uiPriority w:val="0"/>
    <w:rPr>
      <w:rFonts w:ascii="Times New Roman" w:hAnsi="Times New Roman" w:eastAsia="宋体" w:cs="Times New Roman"/>
      <w:lang w:val="en-US" w:eastAsia="zh-CN" w:bidi="ar-SA"/>
    </w:rPr>
  </w:style>
  <w:style w:type="character" w:customStyle="1" w:styleId="1059">
    <w:name w:val="time"/>
    <w:qFormat/>
    <w:uiPriority w:val="0"/>
    <w:rPr>
      <w:color w:val="769199"/>
    </w:rPr>
  </w:style>
  <w:style w:type="character" w:customStyle="1" w:styleId="1060">
    <w:name w:val="more"/>
    <w:qFormat/>
    <w:uiPriority w:val="0"/>
  </w:style>
  <w:style w:type="character" w:customStyle="1" w:styleId="1061">
    <w:name w:val="pubtime"/>
    <w:qFormat/>
    <w:uiPriority w:val="0"/>
    <w:rPr>
      <w:color w:val="000000"/>
      <w:sz w:val="18"/>
      <w:szCs w:val="18"/>
    </w:rPr>
  </w:style>
  <w:style w:type="paragraph" w:customStyle="1" w:styleId="1062">
    <w:name w:val="z-窗体底端1"/>
    <w:basedOn w:val="1"/>
    <w:next w:val="1"/>
    <w:link w:val="1063"/>
    <w:qFormat/>
    <w:uiPriority w:val="0"/>
    <w:pPr>
      <w:pBdr>
        <w:top w:val="single" w:color="auto" w:sz="6" w:space="1"/>
      </w:pBdr>
      <w:adjustRightInd/>
      <w:jc w:val="center"/>
    </w:pPr>
    <w:rPr>
      <w:rFonts w:ascii="Arial"/>
      <w:vanish/>
      <w:sz w:val="16"/>
    </w:rPr>
  </w:style>
  <w:style w:type="character" w:customStyle="1" w:styleId="1063">
    <w:name w:val="z-窗体底端 Char"/>
    <w:basedOn w:val="70"/>
    <w:link w:val="1062"/>
    <w:qFormat/>
    <w:uiPriority w:val="0"/>
    <w:rPr>
      <w:rFonts w:ascii="Arial"/>
      <w:vanish/>
      <w:kern w:val="2"/>
      <w:sz w:val="16"/>
      <w:szCs w:val="24"/>
    </w:rPr>
  </w:style>
  <w:style w:type="paragraph" w:customStyle="1" w:styleId="1064">
    <w:name w:val="z-窗体顶端1"/>
    <w:basedOn w:val="1"/>
    <w:next w:val="1"/>
    <w:link w:val="1065"/>
    <w:qFormat/>
    <w:uiPriority w:val="0"/>
    <w:pPr>
      <w:pBdr>
        <w:bottom w:val="single" w:color="auto" w:sz="6" w:space="1"/>
      </w:pBdr>
      <w:adjustRightInd/>
      <w:jc w:val="center"/>
    </w:pPr>
    <w:rPr>
      <w:rFonts w:ascii="Arial"/>
      <w:vanish/>
      <w:sz w:val="16"/>
    </w:rPr>
  </w:style>
  <w:style w:type="character" w:customStyle="1" w:styleId="1065">
    <w:name w:val="z-窗体顶端 Char"/>
    <w:basedOn w:val="70"/>
    <w:link w:val="1064"/>
    <w:qFormat/>
    <w:uiPriority w:val="0"/>
    <w:rPr>
      <w:rFonts w:ascii="Arial"/>
      <w:vanish/>
      <w:kern w:val="2"/>
      <w:sz w:val="16"/>
      <w:szCs w:val="24"/>
    </w:rPr>
  </w:style>
  <w:style w:type="character" w:customStyle="1" w:styleId="1066">
    <w:name w:val="hover26"/>
    <w:qFormat/>
    <w:uiPriority w:val="0"/>
  </w:style>
  <w:style w:type="character" w:customStyle="1" w:styleId="1067">
    <w:name w:val="c-icon"/>
    <w:qFormat/>
    <w:uiPriority w:val="0"/>
  </w:style>
  <w:style w:type="character" w:customStyle="1" w:styleId="1068">
    <w:name w:val="标题 3 字符1"/>
    <w:qFormat/>
    <w:locked/>
    <w:uiPriority w:val="0"/>
    <w:rPr>
      <w:rFonts w:ascii="Times New Roman" w:hAnsi="Times New Roman" w:cs="Times New Roman"/>
      <w:b/>
      <w:bCs/>
      <w:kern w:val="0"/>
      <w:sz w:val="32"/>
      <w:szCs w:val="32"/>
    </w:rPr>
  </w:style>
  <w:style w:type="character" w:customStyle="1" w:styleId="1069">
    <w:name w:val="jsaker"/>
    <w:qFormat/>
    <w:uiPriority w:val="0"/>
  </w:style>
  <w:style w:type="character" w:customStyle="1" w:styleId="1070">
    <w:name w:val="招标公告 字符"/>
    <w:link w:val="1071"/>
    <w:qFormat/>
    <w:uiPriority w:val="1"/>
    <w:rPr>
      <w:rFonts w:ascii="宋体" w:hAnsi="宋体"/>
      <w:b/>
      <w:bCs/>
      <w:sz w:val="32"/>
      <w:szCs w:val="32"/>
    </w:rPr>
  </w:style>
  <w:style w:type="paragraph" w:customStyle="1" w:styleId="1071">
    <w:name w:val="招标公告"/>
    <w:basedOn w:val="4"/>
    <w:link w:val="1070"/>
    <w:qFormat/>
    <w:uiPriority w:val="1"/>
    <w:pPr>
      <w:keepNext w:val="0"/>
      <w:keepLines w:val="0"/>
      <w:numPr>
        <w:ilvl w:val="0"/>
        <w:numId w:val="1"/>
      </w:numPr>
      <w:tabs>
        <w:tab w:val="clear" w:pos="900"/>
      </w:tabs>
      <w:kinsoku w:val="0"/>
      <w:autoSpaceDE w:val="0"/>
      <w:autoSpaceDN w:val="0"/>
      <w:spacing w:before="0" w:after="0" w:line="360" w:lineRule="auto"/>
      <w:ind w:left="100" w:firstLine="0"/>
      <w:jc w:val="left"/>
    </w:pPr>
    <w:rPr>
      <w:rFonts w:ascii="宋体" w:hAnsi="宋体"/>
      <w:kern w:val="0"/>
    </w:rPr>
  </w:style>
  <w:style w:type="character" w:customStyle="1" w:styleId="1072">
    <w:name w:val="hover27"/>
    <w:qFormat/>
    <w:uiPriority w:val="0"/>
    <w:rPr>
      <w:color w:val="315EFB"/>
    </w:rPr>
  </w:style>
  <w:style w:type="character" w:customStyle="1" w:styleId="1073">
    <w:name w:val="znkcfl3"/>
    <w:qFormat/>
    <w:uiPriority w:val="0"/>
  </w:style>
  <w:style w:type="paragraph" w:customStyle="1" w:styleId="107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7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76">
    <w:name w:val="pa-4"/>
    <w:basedOn w:val="1"/>
    <w:qFormat/>
    <w:uiPriority w:val="0"/>
    <w:pPr>
      <w:widowControl/>
      <w:adjustRightInd/>
      <w:spacing w:line="360" w:lineRule="atLeast"/>
      <w:jc w:val="center"/>
    </w:pPr>
    <w:rPr>
      <w:rFonts w:ascii="宋体" w:hAnsi="宋体" w:cs="宋体"/>
      <w:kern w:val="0"/>
      <w:sz w:val="24"/>
    </w:rPr>
  </w:style>
  <w:style w:type="paragraph" w:customStyle="1" w:styleId="1077">
    <w:name w:val="内文正文"/>
    <w:qFormat/>
    <w:uiPriority w:val="99"/>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1078">
    <w:name w:val="文档结构图 字符"/>
    <w:qFormat/>
    <w:uiPriority w:val="0"/>
    <w:rPr>
      <w:szCs w:val="24"/>
      <w:shd w:val="clear" w:color="auto" w:fill="000080"/>
    </w:rPr>
  </w:style>
  <w:style w:type="character" w:customStyle="1" w:styleId="1079">
    <w:name w:val="标题 7 字符"/>
    <w:qFormat/>
    <w:uiPriority w:val="0"/>
    <w:rPr>
      <w:rFonts w:hint="default" w:ascii="Arial" w:hAnsi="Arial" w:cs="Arial"/>
      <w:b/>
      <w:bCs/>
      <w:kern w:val="2"/>
      <w:sz w:val="24"/>
      <w:szCs w:val="24"/>
    </w:rPr>
  </w:style>
  <w:style w:type="character" w:customStyle="1" w:styleId="1080">
    <w:name w:val="纯文本 Char4"/>
    <w:semiHidden/>
    <w:qFormat/>
    <w:uiPriority w:val="99"/>
    <w:rPr>
      <w:rFonts w:hint="eastAsia" w:ascii="宋体" w:hAnsi="Courier New" w:eastAsia="宋体" w:cs="Courier New"/>
      <w:kern w:val="2"/>
      <w:sz w:val="21"/>
      <w:szCs w:val="21"/>
    </w:rPr>
  </w:style>
  <w:style w:type="character" w:customStyle="1" w:styleId="1081">
    <w:name w:val="bulletintext"/>
    <w:qFormat/>
    <w:uiPriority w:val="0"/>
    <w:rPr>
      <w:rFonts w:hint="default" w:ascii="Calibri" w:hAnsi="Calibri"/>
      <w:szCs w:val="22"/>
    </w:rPr>
  </w:style>
  <w:style w:type="character" w:customStyle="1" w:styleId="1082">
    <w:name w:val="正文文本 Char5"/>
    <w:qFormat/>
    <w:uiPriority w:val="0"/>
    <w:rPr>
      <w:kern w:val="2"/>
      <w:sz w:val="21"/>
      <w:szCs w:val="22"/>
    </w:rPr>
  </w:style>
  <w:style w:type="character" w:customStyle="1" w:styleId="1083">
    <w:name w:val="正文文本缩进 3 字符"/>
    <w:qFormat/>
    <w:uiPriority w:val="0"/>
    <w:rPr>
      <w:rFonts w:hint="eastAsia" w:ascii="宋体" w:hAnsi="宋体" w:eastAsia="宋体"/>
      <w:sz w:val="16"/>
      <w:szCs w:val="16"/>
    </w:rPr>
  </w:style>
  <w:style w:type="character" w:customStyle="1" w:styleId="1084">
    <w:name w:val="正文文本缩进 2 字符"/>
    <w:qFormat/>
    <w:uiPriority w:val="0"/>
    <w:rPr>
      <w:rFonts w:hint="eastAsia" w:ascii="宋体" w:hAnsi="宋体" w:eastAsia="宋体"/>
      <w:sz w:val="24"/>
      <w:szCs w:val="28"/>
    </w:rPr>
  </w:style>
  <w:style w:type="character" w:customStyle="1" w:styleId="1085">
    <w:name w:val="标题 5 字符"/>
    <w:qFormat/>
    <w:uiPriority w:val="0"/>
    <w:rPr>
      <w:rFonts w:hint="default" w:ascii="Arial" w:hAnsi="Arial" w:cs="Arial"/>
      <w:b/>
      <w:bCs/>
      <w:kern w:val="2"/>
      <w:sz w:val="28"/>
      <w:szCs w:val="28"/>
    </w:rPr>
  </w:style>
  <w:style w:type="character" w:customStyle="1" w:styleId="1086">
    <w:name w:val="正文文本 3 字符"/>
    <w:qFormat/>
    <w:locked/>
    <w:uiPriority w:val="99"/>
    <w:rPr>
      <w:rFonts w:hint="default" w:ascii="Times New Roman" w:hAnsi="Times New Roman" w:cs="Times New Roman"/>
      <w:kern w:val="0"/>
      <w:sz w:val="16"/>
      <w:szCs w:val="16"/>
    </w:rPr>
  </w:style>
  <w:style w:type="character" w:customStyle="1" w:styleId="1087">
    <w:name w:val="标题 1 Char1"/>
    <w:qFormat/>
    <w:locked/>
    <w:uiPriority w:val="0"/>
    <w:rPr>
      <w:rFonts w:ascii="Times New Roman" w:hAnsi="Times New Roman" w:eastAsia="宋体" w:cs="Times New Roman"/>
      <w:b/>
      <w:bCs/>
      <w:kern w:val="44"/>
      <w:sz w:val="44"/>
      <w:szCs w:val="44"/>
    </w:rPr>
  </w:style>
  <w:style w:type="character" w:customStyle="1" w:styleId="1088">
    <w:name w:val="批注主题 字符"/>
    <w:qFormat/>
    <w:uiPriority w:val="0"/>
    <w:rPr>
      <w:b/>
      <w:bCs/>
      <w:sz w:val="24"/>
      <w:szCs w:val="24"/>
    </w:rPr>
  </w:style>
  <w:style w:type="character" w:customStyle="1" w:styleId="1089">
    <w:name w:val="正文文本 2 Char4"/>
    <w:semiHidden/>
    <w:qFormat/>
    <w:uiPriority w:val="99"/>
    <w:rPr>
      <w:rFonts w:hint="default" w:ascii="Times New Roman" w:hAnsi="Times New Roman" w:cs="Times New Roman"/>
      <w:sz w:val="24"/>
      <w:szCs w:val="24"/>
    </w:rPr>
  </w:style>
  <w:style w:type="character" w:customStyle="1" w:styleId="1090">
    <w:name w:val="标题 7 Char1"/>
    <w:qFormat/>
    <w:locked/>
    <w:uiPriority w:val="0"/>
    <w:rPr>
      <w:rFonts w:ascii="Calibri" w:hAnsi="Calibri" w:eastAsia="宋体" w:cs="Times New Roman"/>
      <w:b/>
      <w:bCs/>
      <w:sz w:val="24"/>
      <w:szCs w:val="24"/>
    </w:rPr>
  </w:style>
  <w:style w:type="character" w:customStyle="1" w:styleId="1091">
    <w:name w:val="标题 8 Char1"/>
    <w:qFormat/>
    <w:locked/>
    <w:uiPriority w:val="0"/>
    <w:rPr>
      <w:rFonts w:ascii="Cambria" w:hAnsi="Cambria" w:eastAsia="宋体" w:cs="Times New Roman"/>
      <w:sz w:val="24"/>
      <w:szCs w:val="24"/>
    </w:rPr>
  </w:style>
  <w:style w:type="character" w:customStyle="1" w:styleId="1092">
    <w:name w:val="正文文本 2 Char3"/>
    <w:semiHidden/>
    <w:qFormat/>
    <w:uiPriority w:val="99"/>
    <w:rPr>
      <w:rFonts w:hint="eastAsia" w:ascii="等线" w:hAnsi="等线" w:eastAsia="等线"/>
      <w:kern w:val="2"/>
      <w:sz w:val="21"/>
      <w:szCs w:val="22"/>
    </w:rPr>
  </w:style>
  <w:style w:type="character" w:customStyle="1" w:styleId="1093">
    <w:name w:val="正文文本 2 Char2"/>
    <w:qFormat/>
    <w:uiPriority w:val="0"/>
    <w:rPr>
      <w:rFonts w:hint="default" w:ascii="Calibri" w:hAnsi="Calibri"/>
      <w:kern w:val="2"/>
      <w:sz w:val="21"/>
      <w:szCs w:val="22"/>
    </w:rPr>
  </w:style>
  <w:style w:type="character" w:customStyle="1" w:styleId="1094">
    <w:name w:val="正文文本 3 Char2"/>
    <w:qFormat/>
    <w:uiPriority w:val="0"/>
    <w:rPr>
      <w:rFonts w:hint="default" w:ascii="Calibri" w:hAnsi="Calibri"/>
      <w:kern w:val="2"/>
      <w:sz w:val="16"/>
      <w:szCs w:val="16"/>
    </w:rPr>
  </w:style>
  <w:style w:type="character" w:customStyle="1" w:styleId="1095">
    <w:name w:val="NormalCharacter"/>
    <w:semiHidden/>
    <w:qFormat/>
    <w:uiPriority w:val="0"/>
    <w:rPr>
      <w:kern w:val="2"/>
      <w:sz w:val="21"/>
      <w:szCs w:val="24"/>
      <w:lang w:val="en-US" w:eastAsia="zh-CN" w:bidi="ar-SA"/>
    </w:rPr>
  </w:style>
  <w:style w:type="character" w:customStyle="1" w:styleId="1096">
    <w:name w:val="标题 2 字符1"/>
    <w:qFormat/>
    <w:uiPriority w:val="0"/>
    <w:rPr>
      <w:rFonts w:hint="default" w:ascii="Cambria" w:hAnsi="Cambria" w:eastAsia="宋体" w:cs="Times New Roman"/>
      <w:b/>
      <w:bCs/>
      <w:sz w:val="32"/>
      <w:szCs w:val="32"/>
    </w:rPr>
  </w:style>
  <w:style w:type="character" w:customStyle="1" w:styleId="1097">
    <w:name w:val="样式1 Char Char"/>
    <w:link w:val="723"/>
    <w:qFormat/>
    <w:locked/>
    <w:uiPriority w:val="0"/>
    <w:rPr>
      <w:rFonts w:ascii="宋体" w:hAnsi="宋体"/>
      <w:sz w:val="24"/>
    </w:rPr>
  </w:style>
  <w:style w:type="character" w:customStyle="1" w:styleId="1098">
    <w:name w:val="浅色底纹 - 强调文字颜色 2 Char"/>
    <w:link w:val="1099"/>
    <w:qFormat/>
    <w:uiPriority w:val="0"/>
    <w:rPr>
      <w:b/>
      <w:bCs/>
      <w:i/>
      <w:iCs/>
      <w:color w:val="4F81BD"/>
    </w:rPr>
  </w:style>
  <w:style w:type="paragraph" w:customStyle="1" w:styleId="1099">
    <w:name w:val="浅色底纹 - 强调文字颜色 21"/>
    <w:basedOn w:val="1"/>
    <w:next w:val="1"/>
    <w:link w:val="1098"/>
    <w:qFormat/>
    <w:uiPriority w:val="0"/>
    <w:pPr>
      <w:pBdr>
        <w:bottom w:val="single" w:color="4F81BD" w:sz="4" w:space="4"/>
      </w:pBdr>
      <w:adjustRightInd/>
      <w:spacing w:before="200" w:after="280"/>
      <w:ind w:left="936" w:right="936"/>
    </w:pPr>
    <w:rPr>
      <w:b/>
      <w:bCs/>
      <w:i/>
      <w:iCs/>
      <w:color w:val="4F81BD"/>
      <w:kern w:val="0"/>
      <w:sz w:val="20"/>
      <w:szCs w:val="20"/>
    </w:rPr>
  </w:style>
  <w:style w:type="character" w:customStyle="1" w:styleId="1100">
    <w:name w:val="标题 1 字符1"/>
    <w:qFormat/>
    <w:uiPriority w:val="0"/>
    <w:rPr>
      <w:rFonts w:hint="default" w:ascii="Calibri" w:hAnsi="Calibri" w:eastAsia="宋体" w:cs="Times New Roman"/>
      <w:b/>
      <w:bCs/>
      <w:kern w:val="44"/>
      <w:sz w:val="44"/>
      <w:szCs w:val="44"/>
    </w:rPr>
  </w:style>
  <w:style w:type="character" w:customStyle="1" w:styleId="1101">
    <w:name w:val="日期 字符"/>
    <w:qFormat/>
    <w:uiPriority w:val="0"/>
    <w:rPr>
      <w:szCs w:val="24"/>
    </w:rPr>
  </w:style>
  <w:style w:type="character" w:customStyle="1" w:styleId="1102">
    <w:name w:val="标题 4 字符1"/>
    <w:qFormat/>
    <w:uiPriority w:val="0"/>
    <w:rPr>
      <w:rFonts w:hint="default" w:ascii="Cambria" w:hAnsi="Cambria" w:eastAsia="宋体" w:cs="Times New Roman"/>
      <w:b/>
      <w:bCs/>
      <w:sz w:val="28"/>
      <w:szCs w:val="28"/>
    </w:rPr>
  </w:style>
  <w:style w:type="character" w:customStyle="1" w:styleId="1103">
    <w:name w:val="正文文本首行缩进 2 字符"/>
    <w:link w:val="1104"/>
    <w:qFormat/>
    <w:uiPriority w:val="0"/>
    <w:rPr>
      <w:rFonts w:ascii="宋体" w:hAnsi="宋体"/>
      <w:sz w:val="24"/>
      <w:szCs w:val="24"/>
    </w:rPr>
  </w:style>
  <w:style w:type="paragraph" w:customStyle="1" w:styleId="1104">
    <w:name w:val="_Style 125"/>
    <w:basedOn w:val="1"/>
    <w:next w:val="257"/>
    <w:link w:val="1103"/>
    <w:qFormat/>
    <w:uiPriority w:val="0"/>
    <w:pPr>
      <w:autoSpaceDE w:val="0"/>
      <w:autoSpaceDN w:val="0"/>
      <w:jc w:val="left"/>
    </w:pPr>
    <w:rPr>
      <w:rFonts w:ascii="宋体" w:hAnsi="宋体"/>
      <w:kern w:val="0"/>
      <w:sz w:val="24"/>
    </w:rPr>
  </w:style>
  <w:style w:type="character" w:customStyle="1" w:styleId="1105">
    <w:name w:val="标题 8 字符"/>
    <w:qFormat/>
    <w:uiPriority w:val="0"/>
    <w:rPr>
      <w:rFonts w:hint="eastAsia" w:ascii="等线 Light" w:hAnsi="等线 Light" w:eastAsia="等线 Light" w:cs="Times New Roman"/>
      <w:kern w:val="2"/>
      <w:sz w:val="24"/>
      <w:szCs w:val="24"/>
    </w:rPr>
  </w:style>
  <w:style w:type="character" w:customStyle="1" w:styleId="1106">
    <w:name w:val="明显引用 字符"/>
    <w:qFormat/>
    <w:uiPriority w:val="0"/>
    <w:rPr>
      <w:b/>
      <w:bCs/>
      <w:i/>
      <w:iCs/>
      <w:color w:val="4F81BD"/>
    </w:rPr>
  </w:style>
  <w:style w:type="character" w:customStyle="1" w:styleId="1107">
    <w:name w:val="标题 2 Char1"/>
    <w:qFormat/>
    <w:locked/>
    <w:uiPriority w:val="0"/>
    <w:rPr>
      <w:rFonts w:ascii="Cambria" w:hAnsi="Cambria" w:eastAsia="宋体" w:cs="宋体"/>
      <w:b/>
      <w:bCs/>
      <w:kern w:val="0"/>
      <w:sz w:val="32"/>
      <w:szCs w:val="32"/>
    </w:rPr>
  </w:style>
  <w:style w:type="character" w:customStyle="1" w:styleId="1108">
    <w:name w:val="正文文本 Char4"/>
    <w:semiHidden/>
    <w:qFormat/>
    <w:uiPriority w:val="99"/>
    <w:rPr>
      <w:rFonts w:hint="default" w:ascii="Arial" w:hAnsi="Arial" w:cs="Arial"/>
      <w:kern w:val="2"/>
      <w:sz w:val="21"/>
      <w:szCs w:val="22"/>
    </w:rPr>
  </w:style>
  <w:style w:type="character" w:customStyle="1" w:styleId="1109">
    <w:name w:val="标题 6 字符"/>
    <w:qFormat/>
    <w:uiPriority w:val="0"/>
    <w:rPr>
      <w:rFonts w:hint="eastAsia" w:ascii="等线 Light" w:hAnsi="等线 Light" w:eastAsia="等线 Light" w:cs="Times New Roman"/>
      <w:b/>
      <w:bCs/>
      <w:kern w:val="2"/>
      <w:sz w:val="24"/>
      <w:szCs w:val="24"/>
    </w:rPr>
  </w:style>
  <w:style w:type="character" w:customStyle="1" w:styleId="1110">
    <w:name w:val="副标题 字符"/>
    <w:qFormat/>
    <w:uiPriority w:val="11"/>
    <w:rPr>
      <w:rFonts w:hint="default" w:ascii="Cambria" w:hAnsi="Cambria"/>
      <w:b/>
      <w:bCs/>
      <w:kern w:val="28"/>
      <w:sz w:val="32"/>
      <w:szCs w:val="32"/>
    </w:rPr>
  </w:style>
  <w:style w:type="character" w:customStyle="1" w:styleId="1111">
    <w:name w:val="标题 9 字符"/>
    <w:qFormat/>
    <w:uiPriority w:val="0"/>
    <w:rPr>
      <w:rFonts w:hint="eastAsia" w:ascii="等线 Light" w:hAnsi="等线 Light" w:eastAsia="等线 Light" w:cs="Times New Roman"/>
      <w:kern w:val="2"/>
      <w:sz w:val="21"/>
      <w:szCs w:val="21"/>
    </w:rPr>
  </w:style>
  <w:style w:type="character" w:customStyle="1" w:styleId="1112">
    <w:name w:val="已访问的超链接1"/>
    <w:qFormat/>
    <w:uiPriority w:val="99"/>
    <w:rPr>
      <w:color w:val="954F72"/>
      <w:u w:val="single"/>
    </w:rPr>
  </w:style>
  <w:style w:type="character" w:customStyle="1" w:styleId="1113">
    <w:name w:val="纯文本 Char3"/>
    <w:qFormat/>
    <w:uiPriority w:val="0"/>
    <w:rPr>
      <w:rFonts w:hint="eastAsia" w:ascii="宋体" w:hAnsi="宋体" w:eastAsia="宋体" w:cs="Lucida Sans"/>
      <w:kern w:val="2"/>
      <w:sz w:val="21"/>
    </w:rPr>
  </w:style>
  <w:style w:type="character" w:customStyle="1" w:styleId="1114">
    <w:name w:val="纯文本 Char5"/>
    <w:qFormat/>
    <w:uiPriority w:val="0"/>
    <w:rPr>
      <w:rFonts w:hint="eastAsia" w:ascii="宋体" w:hAnsi="Courier New" w:eastAsia="宋体" w:cs="Courier New"/>
      <w:kern w:val="2"/>
      <w:sz w:val="21"/>
      <w:szCs w:val="21"/>
    </w:rPr>
  </w:style>
  <w:style w:type="character" w:customStyle="1" w:styleId="1115">
    <w:name w:val="批注文字 字符2"/>
    <w:qFormat/>
    <w:uiPriority w:val="99"/>
  </w:style>
  <w:style w:type="character" w:customStyle="1" w:styleId="1116">
    <w:name w:val="正文文本 Char3"/>
    <w:qFormat/>
    <w:uiPriority w:val="0"/>
    <w:rPr>
      <w:rFonts w:hint="default" w:ascii="Arial" w:hAnsi="Arial" w:cs="Arial"/>
      <w:kern w:val="2"/>
      <w:sz w:val="21"/>
      <w:szCs w:val="22"/>
    </w:rPr>
  </w:style>
  <w:style w:type="character" w:customStyle="1" w:styleId="1117">
    <w:name w:val="引用 字符"/>
    <w:qFormat/>
    <w:uiPriority w:val="0"/>
    <w:rPr>
      <w:i/>
      <w:iCs/>
      <w:color w:val="000000"/>
    </w:rPr>
  </w:style>
  <w:style w:type="character" w:customStyle="1" w:styleId="1118">
    <w:name w:val="标题 5 Char1"/>
    <w:qFormat/>
    <w:locked/>
    <w:uiPriority w:val="0"/>
    <w:rPr>
      <w:rFonts w:ascii="Times New Roman" w:hAnsi="Times New Roman" w:eastAsia="宋体" w:cs="Times New Roman"/>
      <w:b/>
      <w:bCs/>
      <w:kern w:val="0"/>
      <w:sz w:val="28"/>
      <w:szCs w:val="28"/>
    </w:rPr>
  </w:style>
  <w:style w:type="character" w:customStyle="1" w:styleId="1119">
    <w:name w:val="纯文本 字符2"/>
    <w:qFormat/>
    <w:locked/>
    <w:uiPriority w:val="0"/>
    <w:rPr>
      <w:rFonts w:hint="eastAsia" w:ascii="宋体" w:hAnsi="Courier New" w:eastAsia="宋体"/>
    </w:rPr>
  </w:style>
  <w:style w:type="character" w:customStyle="1" w:styleId="1120">
    <w:name w:val="标题 字符"/>
    <w:qFormat/>
    <w:uiPriority w:val="10"/>
    <w:rPr>
      <w:rFonts w:hint="default" w:ascii="Cambria" w:hAnsi="Cambria"/>
      <w:b/>
      <w:bCs/>
      <w:sz w:val="32"/>
      <w:szCs w:val="32"/>
    </w:rPr>
  </w:style>
  <w:style w:type="character" w:customStyle="1" w:styleId="1121">
    <w:name w:val="彩色网格 - 强调文字颜色 1 Char"/>
    <w:link w:val="1122"/>
    <w:qFormat/>
    <w:uiPriority w:val="0"/>
    <w:rPr>
      <w:i/>
      <w:iCs/>
      <w:color w:val="000000"/>
    </w:rPr>
  </w:style>
  <w:style w:type="paragraph" w:customStyle="1" w:styleId="1122">
    <w:name w:val="彩色网格 - 强调文字颜色 11"/>
    <w:basedOn w:val="1"/>
    <w:next w:val="1"/>
    <w:link w:val="1121"/>
    <w:qFormat/>
    <w:uiPriority w:val="0"/>
    <w:pPr>
      <w:adjustRightInd/>
    </w:pPr>
    <w:rPr>
      <w:i/>
      <w:iCs/>
      <w:color w:val="000000"/>
      <w:kern w:val="0"/>
      <w:sz w:val="20"/>
      <w:szCs w:val="20"/>
    </w:rPr>
  </w:style>
  <w:style w:type="character" w:customStyle="1" w:styleId="1123">
    <w:name w:val="正文文本 2 Char5"/>
    <w:qFormat/>
    <w:uiPriority w:val="99"/>
    <w:rPr>
      <w:sz w:val="24"/>
      <w:szCs w:val="24"/>
    </w:rPr>
  </w:style>
  <w:style w:type="paragraph" w:customStyle="1" w:styleId="1124">
    <w:name w:val="样式 正文文本 + 宋体"/>
    <w:basedOn w:val="23"/>
    <w:qFormat/>
    <w:uiPriority w:val="99"/>
    <w:pPr>
      <w:autoSpaceDE/>
      <w:autoSpaceDN/>
      <w:adjustRightInd/>
      <w:spacing w:line="480" w:lineRule="exact"/>
    </w:pPr>
    <w:rPr>
      <w:rFonts w:hAnsi="宋体" w:cs="Times New Roman"/>
      <w:snapToGrid/>
      <w:kern w:val="0"/>
      <w:szCs w:val="20"/>
      <w:lang w:val="en-US"/>
    </w:rPr>
  </w:style>
  <w:style w:type="paragraph" w:customStyle="1" w:styleId="1125">
    <w:name w:val="标题二"/>
    <w:basedOn w:val="2"/>
    <w:qFormat/>
    <w:uiPriority w:val="99"/>
    <w:pPr>
      <w:tabs>
        <w:tab w:val="clear" w:pos="432"/>
      </w:tabs>
      <w:adjustRightInd w:val="0"/>
      <w:snapToGrid w:val="0"/>
      <w:spacing w:after="120" w:line="240" w:lineRule="auto"/>
      <w:ind w:left="0" w:firstLine="0"/>
      <w:jc w:val="center"/>
    </w:pPr>
    <w:rPr>
      <w:rFonts w:ascii="宋体" w:hAnsi="宋体" w:eastAsia="宋体"/>
      <w:bCs w:val="0"/>
      <w:color w:val="000000"/>
      <w:sz w:val="30"/>
      <w:szCs w:val="20"/>
      <w:lang w:val="en-US"/>
    </w:rPr>
  </w:style>
  <w:style w:type="paragraph" w:customStyle="1" w:styleId="1126">
    <w:name w:val="样式 居中 段前: 6 磅 段后: 6 磅"/>
    <w:basedOn w:val="1"/>
    <w:qFormat/>
    <w:uiPriority w:val="99"/>
    <w:pPr>
      <w:adjustRightInd/>
      <w:spacing w:before="120" w:after="120" w:line="440" w:lineRule="exact"/>
      <w:jc w:val="center"/>
    </w:pPr>
    <w:rPr>
      <w:sz w:val="24"/>
      <w:szCs w:val="20"/>
    </w:rPr>
  </w:style>
  <w:style w:type="paragraph" w:customStyle="1" w:styleId="1127">
    <w:name w:val="内文"/>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paragraph" w:customStyle="1" w:styleId="1128">
    <w:name w:val="样式 表格 +4"/>
    <w:basedOn w:val="627"/>
    <w:qFormat/>
    <w:uiPriority w:val="99"/>
    <w:pPr>
      <w:adjustRightInd/>
      <w:spacing w:line="240" w:lineRule="atLeast"/>
      <w:ind w:firstLine="0" w:firstLineChars="0"/>
      <w:jc w:val="center"/>
    </w:pPr>
    <w:rPr>
      <w:spacing w:val="14"/>
      <w:kern w:val="2"/>
      <w:sz w:val="21"/>
    </w:rPr>
  </w:style>
  <w:style w:type="paragraph" w:customStyle="1" w:styleId="1129">
    <w:name w:val="样式 表格 +"/>
    <w:basedOn w:val="627"/>
    <w:qFormat/>
    <w:uiPriority w:val="99"/>
    <w:pPr>
      <w:adjustRightInd/>
      <w:spacing w:line="240" w:lineRule="atLeast"/>
      <w:ind w:firstLine="0" w:firstLineChars="0"/>
      <w:jc w:val="center"/>
    </w:pPr>
    <w:rPr>
      <w:spacing w:val="14"/>
      <w:kern w:val="2"/>
      <w:sz w:val="21"/>
    </w:rPr>
  </w:style>
  <w:style w:type="paragraph" w:customStyle="1" w:styleId="1130">
    <w:name w:val="第一节"/>
    <w:basedOn w:val="4"/>
    <w:qFormat/>
    <w:uiPriority w:val="99"/>
    <w:pPr>
      <w:tabs>
        <w:tab w:val="clear" w:pos="900"/>
      </w:tabs>
      <w:autoSpaceDE w:val="0"/>
      <w:autoSpaceDN w:val="0"/>
      <w:snapToGrid w:val="0"/>
      <w:spacing w:before="0" w:after="0" w:line="480" w:lineRule="auto"/>
      <w:ind w:left="0" w:firstLine="0"/>
      <w:jc w:val="center"/>
    </w:pPr>
    <w:rPr>
      <w:rFonts w:ascii="TimesNewRomanPSMT" w:hAnsi="TimesNewRomanPSMT"/>
      <w:bCs w:val="0"/>
      <w:kern w:val="0"/>
      <w:sz w:val="30"/>
      <w:szCs w:val="20"/>
    </w:rPr>
  </w:style>
  <w:style w:type="paragraph" w:customStyle="1" w:styleId="1131">
    <w:name w:val="样式 标题 3 +"/>
    <w:basedOn w:val="4"/>
    <w:qFormat/>
    <w:uiPriority w:val="99"/>
    <w:pPr>
      <w:tabs>
        <w:tab w:val="clear" w:pos="900"/>
      </w:tabs>
      <w:snapToGrid w:val="0"/>
      <w:spacing w:before="0" w:after="0" w:line="360" w:lineRule="auto"/>
      <w:ind w:left="0" w:firstLine="0"/>
      <w:jc w:val="left"/>
    </w:pPr>
    <w:rPr>
      <w:rFonts w:ascii="Arial" w:hAnsi="Arial"/>
      <w:bCs w:val="0"/>
      <w:kern w:val="0"/>
      <w:sz w:val="21"/>
      <w:szCs w:val="20"/>
    </w:rPr>
  </w:style>
  <w:style w:type="paragraph" w:customStyle="1" w:styleId="1132">
    <w:name w:val="样式 样式 标题 3 + + 段前: 0.5 行 段后: 0.5 行"/>
    <w:basedOn w:val="1131"/>
    <w:qFormat/>
    <w:uiPriority w:val="99"/>
    <w:pPr>
      <w:spacing w:before="120" w:after="120"/>
    </w:pPr>
  </w:style>
  <w:style w:type="paragraph" w:customStyle="1" w:styleId="1133">
    <w:name w:val="样式 表格 + 行距: 固定值 25 磅"/>
    <w:basedOn w:val="627"/>
    <w:qFormat/>
    <w:uiPriority w:val="99"/>
    <w:pPr>
      <w:adjustRightInd/>
      <w:spacing w:line="240" w:lineRule="atLeast"/>
      <w:ind w:firstLine="0" w:firstLineChars="0"/>
      <w:jc w:val="center"/>
    </w:pPr>
    <w:rPr>
      <w:spacing w:val="14"/>
      <w:kern w:val="2"/>
      <w:sz w:val="21"/>
    </w:rPr>
  </w:style>
  <w:style w:type="paragraph" w:customStyle="1" w:styleId="1134">
    <w:name w:val="招标文件标题3 一"/>
    <w:basedOn w:val="4"/>
    <w:qFormat/>
    <w:uiPriority w:val="99"/>
    <w:pPr>
      <w:tabs>
        <w:tab w:val="left" w:pos="420"/>
        <w:tab w:val="left" w:pos="851"/>
        <w:tab w:val="clear" w:pos="900"/>
      </w:tabs>
      <w:snapToGrid w:val="0"/>
      <w:spacing w:before="0" w:after="0" w:line="360" w:lineRule="auto"/>
      <w:ind w:left="100" w:firstLine="0"/>
      <w:jc w:val="center"/>
    </w:pPr>
    <w:rPr>
      <w:rFonts w:ascii="Arial" w:hAnsi="Arial"/>
      <w:bCs w:val="0"/>
      <w:kern w:val="0"/>
      <w:sz w:val="30"/>
      <w:szCs w:val="20"/>
    </w:rPr>
  </w:style>
  <w:style w:type="paragraph" w:customStyle="1" w:styleId="1135">
    <w:name w:val="标题一"/>
    <w:basedOn w:val="3"/>
    <w:qFormat/>
    <w:uiPriority w:val="99"/>
    <w:pPr>
      <w:tabs>
        <w:tab w:val="clear" w:pos="432"/>
      </w:tabs>
      <w:adjustRightInd/>
      <w:snapToGrid w:val="0"/>
      <w:spacing w:before="240" w:after="240" w:line="240" w:lineRule="auto"/>
      <w:ind w:left="0" w:firstLine="0"/>
      <w:jc w:val="center"/>
    </w:pPr>
    <w:rPr>
      <w:rFonts w:ascii="宋体" w:hAnsi="Arial"/>
      <w:bCs w:val="0"/>
      <w:color w:val="000000"/>
      <w:sz w:val="32"/>
      <w:szCs w:val="20"/>
    </w:rPr>
  </w:style>
  <w:style w:type="paragraph" w:customStyle="1" w:styleId="1136">
    <w:name w:val="样式 正文文本 2 + 段后: 0 磅 行距: 1.5 倍行距"/>
    <w:basedOn w:val="56"/>
    <w:qFormat/>
    <w:uiPriority w:val="99"/>
    <w:pPr>
      <w:adjustRightInd/>
      <w:spacing w:after="0" w:line="360" w:lineRule="auto"/>
      <w:ind w:firstLine="480" w:firstLineChars="200"/>
    </w:pPr>
    <w:rPr>
      <w:rFonts w:ascii="Calibri" w:hAnsi="Calibri"/>
      <w:kern w:val="0"/>
      <w:sz w:val="24"/>
      <w:szCs w:val="20"/>
    </w:rPr>
  </w:style>
  <w:style w:type="paragraph" w:customStyle="1" w:styleId="1137">
    <w:name w:val="第一章"/>
    <w:basedOn w:val="2"/>
    <w:qFormat/>
    <w:uiPriority w:val="99"/>
    <w:pPr>
      <w:tabs>
        <w:tab w:val="left" w:pos="4095"/>
        <w:tab w:val="clear" w:pos="432"/>
      </w:tabs>
      <w:autoSpaceDE w:val="0"/>
      <w:autoSpaceDN w:val="0"/>
      <w:adjustRightInd w:val="0"/>
      <w:snapToGrid w:val="0"/>
      <w:spacing w:line="600" w:lineRule="auto"/>
      <w:ind w:left="0" w:firstLine="0"/>
      <w:jc w:val="center"/>
    </w:pPr>
    <w:rPr>
      <w:rFonts w:ascii="TimesNewRomanPSMT" w:hAnsi="TimesNewRomanPSMT" w:eastAsia="宋体"/>
      <w:bCs w:val="0"/>
      <w:kern w:val="0"/>
      <w:sz w:val="28"/>
      <w:szCs w:val="20"/>
      <w:lang w:val="en-US"/>
    </w:rPr>
  </w:style>
  <w:style w:type="paragraph" w:customStyle="1" w:styleId="1138">
    <w:name w:val="contentarticle"/>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139">
    <w:name w:val="招标文件标题1章"/>
    <w:basedOn w:val="3"/>
    <w:next w:val="1140"/>
    <w:qFormat/>
    <w:uiPriority w:val="99"/>
    <w:pPr>
      <w:tabs>
        <w:tab w:val="left" w:pos="1418"/>
        <w:tab w:val="clear" w:pos="432"/>
      </w:tabs>
      <w:adjustRightInd/>
      <w:snapToGrid w:val="0"/>
      <w:spacing w:before="0" w:after="0" w:line="360" w:lineRule="auto"/>
      <w:ind w:left="3" w:firstLine="0"/>
      <w:jc w:val="center"/>
    </w:pPr>
    <w:rPr>
      <w:rFonts w:ascii="Arial" w:hAnsi="Arial"/>
      <w:bCs w:val="0"/>
      <w:sz w:val="32"/>
      <w:szCs w:val="20"/>
    </w:rPr>
  </w:style>
  <w:style w:type="paragraph" w:customStyle="1" w:styleId="1140">
    <w:name w:val="招标文件标题2节"/>
    <w:basedOn w:val="2"/>
    <w:next w:val="1134"/>
    <w:qFormat/>
    <w:uiPriority w:val="99"/>
    <w:pPr>
      <w:tabs>
        <w:tab w:val="left" w:pos="1134"/>
        <w:tab w:val="clear" w:pos="432"/>
      </w:tabs>
      <w:adjustRightInd w:val="0"/>
      <w:snapToGrid w:val="0"/>
      <w:ind w:left="3" w:firstLine="0"/>
      <w:jc w:val="center"/>
    </w:pPr>
    <w:rPr>
      <w:rFonts w:ascii="Arial" w:hAnsi="Arial" w:eastAsia="宋体"/>
      <w:bCs w:val="0"/>
      <w:sz w:val="28"/>
      <w:szCs w:val="20"/>
      <w:lang w:val="en-US"/>
    </w:rPr>
  </w:style>
  <w:style w:type="paragraph" w:customStyle="1" w:styleId="1141">
    <w:name w:val="样式 标题 2节标题 1.1 + 段前: 1 行 段后: 0.5 行"/>
    <w:basedOn w:val="2"/>
    <w:qFormat/>
    <w:uiPriority w:val="99"/>
    <w:pPr>
      <w:tabs>
        <w:tab w:val="clear" w:pos="432"/>
      </w:tabs>
      <w:adjustRightInd w:val="0"/>
      <w:snapToGrid w:val="0"/>
      <w:spacing w:before="240" w:after="120"/>
      <w:ind w:left="0" w:firstLine="0"/>
      <w:jc w:val="center"/>
    </w:pPr>
    <w:rPr>
      <w:rFonts w:ascii="Arial" w:hAnsi="Arial" w:eastAsia="宋体"/>
      <w:bCs w:val="0"/>
      <w:sz w:val="24"/>
      <w:szCs w:val="20"/>
      <w:lang w:val="en-US"/>
    </w:rPr>
  </w:style>
  <w:style w:type="paragraph" w:customStyle="1" w:styleId="1142">
    <w:name w:val="样式 表格 +1"/>
    <w:basedOn w:val="627"/>
    <w:qFormat/>
    <w:uiPriority w:val="99"/>
    <w:pPr>
      <w:adjustRightInd/>
      <w:spacing w:line="240" w:lineRule="atLeast"/>
      <w:ind w:firstLine="0" w:firstLineChars="0"/>
      <w:jc w:val="center"/>
    </w:pPr>
    <w:rPr>
      <w:spacing w:val="14"/>
      <w:kern w:val="2"/>
      <w:sz w:val="21"/>
    </w:rPr>
  </w:style>
  <w:style w:type="paragraph" w:customStyle="1" w:styleId="1143">
    <w:name w:val="样式 表格 + 行距: 2 倍行距"/>
    <w:basedOn w:val="627"/>
    <w:qFormat/>
    <w:uiPriority w:val="99"/>
    <w:pPr>
      <w:adjustRightInd/>
      <w:spacing w:line="240" w:lineRule="atLeast"/>
      <w:ind w:firstLine="0" w:firstLineChars="0"/>
      <w:jc w:val="center"/>
    </w:pPr>
    <w:rPr>
      <w:spacing w:val="14"/>
      <w:kern w:val="2"/>
      <w:sz w:val="21"/>
    </w:rPr>
  </w:style>
  <w:style w:type="paragraph" w:customStyle="1" w:styleId="1144">
    <w:name w:val="样式 表格 + 行距: 固定值 23 磅"/>
    <w:basedOn w:val="627"/>
    <w:qFormat/>
    <w:uiPriority w:val="99"/>
    <w:pPr>
      <w:adjustRightInd/>
      <w:spacing w:line="240" w:lineRule="atLeast"/>
      <w:ind w:firstLine="0" w:firstLineChars="0"/>
      <w:jc w:val="center"/>
    </w:pPr>
    <w:rPr>
      <w:spacing w:val="14"/>
      <w:kern w:val="2"/>
      <w:sz w:val="21"/>
    </w:rPr>
  </w:style>
  <w:style w:type="paragraph" w:customStyle="1" w:styleId="1145">
    <w:name w:val="标题三"/>
    <w:basedOn w:val="4"/>
    <w:qFormat/>
    <w:uiPriority w:val="99"/>
    <w:pPr>
      <w:tabs>
        <w:tab w:val="clear" w:pos="900"/>
      </w:tabs>
      <w:snapToGrid w:val="0"/>
      <w:spacing w:before="0" w:after="0" w:line="360" w:lineRule="auto"/>
      <w:ind w:left="0" w:firstLine="403"/>
    </w:pPr>
    <w:rPr>
      <w:rFonts w:ascii="宋体" w:hAnsi="Arial"/>
      <w:bCs w:val="0"/>
      <w:color w:val="000000"/>
      <w:kern w:val="0"/>
      <w:sz w:val="24"/>
      <w:szCs w:val="20"/>
    </w:rPr>
  </w:style>
  <w:style w:type="paragraph" w:customStyle="1" w:styleId="1146">
    <w:name w:val="_Style 73"/>
    <w:next w:val="1"/>
    <w:qFormat/>
    <w:uiPriority w:val="99"/>
    <w:pPr>
      <w:widowControl w:val="0"/>
      <w:jc w:val="both"/>
    </w:pPr>
    <w:rPr>
      <w:rFonts w:ascii="等线" w:hAnsi="等线" w:eastAsia="等线" w:cs="Times New Roman"/>
      <w:kern w:val="2"/>
      <w:sz w:val="21"/>
      <w:szCs w:val="22"/>
      <w:lang w:val="en-US" w:eastAsia="zh-CN" w:bidi="ar-SA"/>
    </w:rPr>
  </w:style>
  <w:style w:type="paragraph" w:customStyle="1" w:styleId="1147">
    <w:name w:val="第一巻"/>
    <w:basedOn w:val="3"/>
    <w:qFormat/>
    <w:uiPriority w:val="99"/>
    <w:pPr>
      <w:tabs>
        <w:tab w:val="clear" w:pos="432"/>
      </w:tabs>
      <w:autoSpaceDE w:val="0"/>
      <w:autoSpaceDN w:val="0"/>
      <w:snapToGrid w:val="0"/>
      <w:spacing w:before="0" w:after="0" w:line="720" w:lineRule="auto"/>
      <w:ind w:left="0" w:firstLine="0"/>
      <w:jc w:val="center"/>
    </w:pPr>
    <w:rPr>
      <w:rFonts w:ascii="TimesNewRomanPSMT" w:hAnsi="TimesNewRomanPSMT"/>
      <w:bCs w:val="0"/>
      <w:kern w:val="0"/>
      <w:sz w:val="84"/>
      <w:szCs w:val="20"/>
    </w:rPr>
  </w:style>
  <w:style w:type="paragraph" w:customStyle="1" w:styleId="1148">
    <w:name w:val="样式 表格 +3"/>
    <w:basedOn w:val="627"/>
    <w:qFormat/>
    <w:uiPriority w:val="99"/>
    <w:pPr>
      <w:adjustRightInd/>
      <w:spacing w:line="240" w:lineRule="atLeast"/>
      <w:ind w:firstLine="0" w:firstLineChars="0"/>
      <w:jc w:val="center"/>
    </w:pPr>
    <w:rPr>
      <w:spacing w:val="14"/>
      <w:kern w:val="2"/>
      <w:sz w:val="21"/>
    </w:rPr>
  </w:style>
  <w:style w:type="paragraph" w:customStyle="1" w:styleId="1149">
    <w:name w:val="样式 表格 +2"/>
    <w:basedOn w:val="627"/>
    <w:qFormat/>
    <w:uiPriority w:val="99"/>
    <w:pPr>
      <w:adjustRightInd/>
      <w:spacing w:line="240" w:lineRule="atLeast"/>
      <w:ind w:firstLine="0" w:firstLineChars="0"/>
      <w:jc w:val="center"/>
    </w:pPr>
    <w:rPr>
      <w:spacing w:val="14"/>
      <w:kern w:val="2"/>
      <w:sz w:val="21"/>
    </w:rPr>
  </w:style>
  <w:style w:type="paragraph" w:customStyle="1" w:styleId="1150">
    <w:name w:val="样式 (符号) 宋体 二号 加粗 居中 左侧:  0.85 厘米 首行缩进:  1.56 厘米 行距: 固定值 23..."/>
    <w:basedOn w:val="1"/>
    <w:qFormat/>
    <w:uiPriority w:val="99"/>
    <w:pPr>
      <w:adjustRightInd/>
      <w:spacing w:line="460" w:lineRule="exact"/>
      <w:ind w:left="480" w:firstLine="883"/>
      <w:jc w:val="center"/>
    </w:pPr>
    <w:rPr>
      <w:rFonts w:hAnsi="宋体"/>
      <w:b/>
      <w:sz w:val="44"/>
      <w:szCs w:val="20"/>
    </w:rPr>
  </w:style>
  <w:style w:type="paragraph" w:customStyle="1" w:styleId="1151">
    <w:name w:val="Char Char Char Char Char Char2 Char Char Char Char"/>
    <w:basedOn w:val="1"/>
    <w:qFormat/>
    <w:uiPriority w:val="99"/>
    <w:pPr>
      <w:snapToGrid w:val="0"/>
      <w:spacing w:line="360" w:lineRule="auto"/>
    </w:pPr>
    <w:rPr>
      <w:rFonts w:hAnsi="Arial"/>
      <w:szCs w:val="22"/>
    </w:rPr>
  </w:style>
  <w:style w:type="paragraph" w:customStyle="1" w:styleId="1152">
    <w:name w:val="样式 宋体 黑色 居中 段前: 5 磅 段后: 5 磅 行距: 1.5 倍行距"/>
    <w:basedOn w:val="1"/>
    <w:qFormat/>
    <w:uiPriority w:val="99"/>
    <w:pPr>
      <w:adjustRightInd/>
      <w:spacing w:before="100" w:after="100" w:line="360" w:lineRule="auto"/>
      <w:jc w:val="center"/>
    </w:pPr>
    <w:rPr>
      <w:rFonts w:ascii="宋体" w:hAnsi="宋体"/>
      <w:color w:val="000000"/>
      <w:kern w:val="0"/>
      <w:sz w:val="24"/>
      <w:szCs w:val="20"/>
    </w:rPr>
  </w:style>
  <w:style w:type="paragraph" w:customStyle="1" w:styleId="1153">
    <w:name w:val="第四标题"/>
    <w:basedOn w:val="1"/>
    <w:next w:val="6"/>
    <w:qFormat/>
    <w:uiPriority w:val="99"/>
    <w:pPr>
      <w:autoSpaceDE w:val="0"/>
      <w:autoSpaceDN w:val="0"/>
      <w:spacing w:line="360" w:lineRule="auto"/>
      <w:jc w:val="left"/>
    </w:pPr>
    <w:rPr>
      <w:rFonts w:ascii="TimesNewRomanPSMT" w:hAnsi="TimesNewRomanPSMT"/>
      <w:kern w:val="0"/>
      <w:sz w:val="28"/>
      <w:szCs w:val="20"/>
    </w:rPr>
  </w:style>
  <w:style w:type="paragraph" w:customStyle="1" w:styleId="1154">
    <w:name w:val="lm"/>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1155">
    <w:name w:val="网格型12"/>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网格型2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15"/>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31"/>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网格型23"/>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121"/>
    <w:basedOn w:val="6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1">
    <w:name w:val="网格型211"/>
    <w:basedOn w:val="63"/>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2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14"/>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112"/>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网格型11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网格型24"/>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网格型25"/>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网格型1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0">
    <w:name w:val="_Style 390"/>
    <w:unhideWhenUsed/>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71">
    <w:name w:val="文档结构图 Char5"/>
    <w:semiHidden/>
    <w:qFormat/>
    <w:uiPriority w:val="99"/>
    <w:rPr>
      <w:rFonts w:ascii="宋体"/>
      <w:kern w:val="2"/>
      <w:sz w:val="18"/>
      <w:szCs w:val="18"/>
    </w:rPr>
  </w:style>
  <w:style w:type="character" w:customStyle="1" w:styleId="1172">
    <w:name w:val="副标题 Char4"/>
    <w:qFormat/>
    <w:uiPriority w:val="11"/>
    <w:rPr>
      <w:rFonts w:ascii="Cambria" w:hAnsi="Cambria" w:cs="Times New Roman"/>
      <w:b/>
      <w:bCs/>
      <w:kern w:val="28"/>
      <w:sz w:val="32"/>
      <w:szCs w:val="32"/>
    </w:rPr>
  </w:style>
  <w:style w:type="character" w:customStyle="1" w:styleId="1173">
    <w:name w:val="正文文本 Char6"/>
    <w:semiHidden/>
    <w:qFormat/>
    <w:uiPriority w:val="99"/>
    <w:rPr>
      <w:kern w:val="2"/>
      <w:sz w:val="21"/>
      <w:szCs w:val="22"/>
    </w:rPr>
  </w:style>
  <w:style w:type="character" w:customStyle="1" w:styleId="1174">
    <w:name w:val="标题 Char4"/>
    <w:qFormat/>
    <w:uiPriority w:val="10"/>
    <w:rPr>
      <w:rFonts w:ascii="Cambria" w:hAnsi="Cambria" w:cs="Times New Roman"/>
      <w:b/>
      <w:bCs/>
      <w:kern w:val="2"/>
      <w:sz w:val="32"/>
      <w:szCs w:val="32"/>
    </w:rPr>
  </w:style>
  <w:style w:type="character" w:customStyle="1" w:styleId="1175">
    <w:name w:val="正文文本缩进 3 Char3"/>
    <w:semiHidden/>
    <w:qFormat/>
    <w:uiPriority w:val="99"/>
    <w:rPr>
      <w:kern w:val="2"/>
      <w:sz w:val="16"/>
      <w:szCs w:val="16"/>
    </w:rPr>
  </w:style>
  <w:style w:type="character" w:customStyle="1" w:styleId="1176">
    <w:name w:val="批注框文本 Char4"/>
    <w:semiHidden/>
    <w:qFormat/>
    <w:uiPriority w:val="99"/>
    <w:rPr>
      <w:kern w:val="2"/>
      <w:sz w:val="18"/>
      <w:szCs w:val="18"/>
    </w:rPr>
  </w:style>
  <w:style w:type="character" w:customStyle="1" w:styleId="1177">
    <w:name w:val="正文文本缩进 2 Char3"/>
    <w:semiHidden/>
    <w:qFormat/>
    <w:uiPriority w:val="99"/>
    <w:rPr>
      <w:kern w:val="2"/>
      <w:sz w:val="21"/>
      <w:szCs w:val="22"/>
    </w:rPr>
  </w:style>
  <w:style w:type="character" w:customStyle="1" w:styleId="1178">
    <w:name w:val="批注文字 Char4"/>
    <w:semiHidden/>
    <w:qFormat/>
    <w:uiPriority w:val="99"/>
    <w:rPr>
      <w:kern w:val="2"/>
      <w:sz w:val="21"/>
      <w:szCs w:val="22"/>
    </w:rPr>
  </w:style>
  <w:style w:type="character" w:customStyle="1" w:styleId="1179">
    <w:name w:val="正文文本 3 Char3"/>
    <w:semiHidden/>
    <w:qFormat/>
    <w:uiPriority w:val="99"/>
    <w:rPr>
      <w:kern w:val="2"/>
      <w:sz w:val="16"/>
      <w:szCs w:val="16"/>
    </w:rPr>
  </w:style>
  <w:style w:type="character" w:customStyle="1" w:styleId="1180">
    <w:name w:val="纯文本 Char6"/>
    <w:semiHidden/>
    <w:qFormat/>
    <w:uiPriority w:val="99"/>
    <w:rPr>
      <w:rFonts w:ascii="宋体" w:hAnsi="Courier New" w:cs="Courier New"/>
      <w:kern w:val="2"/>
      <w:sz w:val="21"/>
      <w:szCs w:val="21"/>
    </w:rPr>
  </w:style>
  <w:style w:type="character" w:customStyle="1" w:styleId="1181">
    <w:name w:val="批注主题 Char4"/>
    <w:semiHidden/>
    <w:qFormat/>
    <w:uiPriority w:val="99"/>
    <w:rPr>
      <w:b/>
      <w:bCs/>
      <w:kern w:val="2"/>
      <w:sz w:val="21"/>
      <w:szCs w:val="22"/>
    </w:rPr>
  </w:style>
  <w:style w:type="character" w:customStyle="1" w:styleId="1182">
    <w:name w:val="日期 Char4"/>
    <w:semiHidden/>
    <w:qFormat/>
    <w:uiPriority w:val="99"/>
    <w:rPr>
      <w:kern w:val="2"/>
      <w:sz w:val="21"/>
      <w:szCs w:val="22"/>
    </w:rPr>
  </w:style>
  <w:style w:type="character" w:customStyle="1" w:styleId="1183">
    <w:name w:val="明显引用 Char4"/>
    <w:qFormat/>
    <w:uiPriority w:val="30"/>
    <w:rPr>
      <w:b/>
      <w:bCs/>
      <w:i/>
      <w:iCs/>
      <w:color w:val="4F81BD"/>
      <w:kern w:val="2"/>
      <w:sz w:val="21"/>
      <w:szCs w:val="22"/>
    </w:rPr>
  </w:style>
  <w:style w:type="character" w:customStyle="1" w:styleId="1184">
    <w:name w:val="引用 Char4"/>
    <w:qFormat/>
    <w:uiPriority w:val="29"/>
    <w:rPr>
      <w:i/>
      <w:iCs/>
      <w:color w:val="000000"/>
      <w:kern w:val="2"/>
      <w:sz w:val="21"/>
      <w:szCs w:val="22"/>
    </w:rPr>
  </w:style>
  <w:style w:type="table" w:customStyle="1" w:styleId="1185">
    <w:name w:val="网格型113"/>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网格型17"/>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网格型212"/>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网格型26"/>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网格型122"/>
    <w:basedOn w:val="6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90">
    <w:name w:val="网格型2111"/>
    <w:basedOn w:val="63"/>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1">
    <w:name w:val="10"/>
    <w:qFormat/>
    <w:uiPriority w:val="0"/>
    <w:rPr>
      <w:rFonts w:hint="default" w:ascii="Times New Roman" w:hAnsi="Times New Roman" w:cs="Times New Roman"/>
    </w:rPr>
  </w:style>
  <w:style w:type="character" w:customStyle="1" w:styleId="1192">
    <w:name w:val="明显强调2"/>
    <w:qFormat/>
    <w:uiPriority w:val="0"/>
    <w:rPr>
      <w:b/>
      <w:bCs/>
      <w:i/>
      <w:iCs/>
      <w:color w:val="4F81BD"/>
    </w:rPr>
  </w:style>
  <w:style w:type="character" w:customStyle="1" w:styleId="1193">
    <w:name w:val="明显参考2"/>
    <w:qFormat/>
    <w:uiPriority w:val="0"/>
    <w:rPr>
      <w:b/>
      <w:bCs/>
      <w:smallCaps/>
      <w:color w:val="C0504D"/>
      <w:spacing w:val="5"/>
      <w:u w:val="single"/>
    </w:rPr>
  </w:style>
  <w:style w:type="character" w:customStyle="1" w:styleId="1194">
    <w:name w:val="不明显强调2"/>
    <w:qFormat/>
    <w:uiPriority w:val="0"/>
    <w:rPr>
      <w:i/>
      <w:iCs/>
      <w:color w:val="808080"/>
    </w:rPr>
  </w:style>
  <w:style w:type="paragraph" w:customStyle="1" w:styleId="1195">
    <w:name w:val="TOC 标题3"/>
    <w:basedOn w:val="3"/>
    <w:next w:val="1"/>
    <w:qFormat/>
    <w:uiPriority w:val="0"/>
    <w:pPr>
      <w:widowControl/>
      <w:tabs>
        <w:tab w:val="clear" w:pos="432"/>
      </w:tabs>
      <w:adjustRightInd/>
      <w:spacing w:before="240" w:after="0" w:line="256" w:lineRule="auto"/>
      <w:ind w:left="0" w:firstLine="0"/>
      <w:jc w:val="left"/>
      <w:outlineLvl w:val="9"/>
    </w:pPr>
    <w:rPr>
      <w:rFonts w:ascii="等线 Light" w:hAnsi="等线 Light" w:eastAsia="等线 Light"/>
      <w:b w:val="0"/>
      <w:bCs w:val="0"/>
      <w:color w:val="2F5496"/>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4D6EE-5A02-4E88-93EC-D6BE63BC804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66679</Words>
  <Characters>70106</Characters>
  <Lines>549</Lines>
  <Paragraphs>154</Paragraphs>
  <TotalTime>26</TotalTime>
  <ScaleCrop>false</ScaleCrop>
  <LinksUpToDate>false</LinksUpToDate>
  <CharactersWithSpaces>73184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伍伍</cp:lastModifiedBy>
  <cp:lastPrinted>2021-12-27T03:06:00Z</cp:lastPrinted>
  <dcterms:modified xsi:type="dcterms:W3CDTF">2022-06-23T14:15:20Z</dcterms:modified>
  <dc:title>杭州市市民卡扩大发卡工程</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17E9AEBB6FAB4ED5A0F54A0795402D42</vt:lpwstr>
  </property>
  <property fmtid="{D5CDD505-2E9C-101B-9397-08002B2CF9AE}" pid="5" name="commondata">
    <vt:lpwstr>eyJoZGlkIjoiNGNlMmFkMDQ1NDY0ZmRiM2Q0NjY4NTFjN2IwMTllYjMifQ==</vt:lpwstr>
  </property>
</Properties>
</file>