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
          <w:b/>
          <w:color w:val="auto"/>
          <w:sz w:val="44"/>
          <w:szCs w:val="44"/>
          <w:highlight w:val="none"/>
        </w:rPr>
      </w:pPr>
    </w:p>
    <w:p>
      <w:pPr>
        <w:adjustRightInd/>
        <w:spacing w:line="360" w:lineRule="auto"/>
        <w:jc w:val="center"/>
        <w:rPr>
          <w:rFonts w:hint="eastAsia" w:ascii="仿宋" w:hAnsi="仿宋" w:eastAsia="仿宋" w:cs="仿宋"/>
          <w:color w:val="auto"/>
          <w:sz w:val="44"/>
          <w:szCs w:val="44"/>
          <w:highlight w:val="none"/>
          <w:lang w:eastAsia="zh-CN"/>
        </w:rPr>
      </w:pPr>
      <w:r>
        <w:rPr>
          <w:rFonts w:hint="eastAsia" w:ascii="仿宋" w:hAnsi="仿宋" w:eastAsia="仿宋" w:cs="仿宋"/>
          <w:color w:val="auto"/>
          <w:sz w:val="44"/>
          <w:szCs w:val="44"/>
          <w:highlight w:val="none"/>
          <w:lang w:eastAsia="zh-CN"/>
        </w:rPr>
        <w:t>杭州市上城区住房和城市建设局2022年度施工图审查服务项目（重新招标）</w:t>
      </w:r>
    </w:p>
    <w:p>
      <w:pPr>
        <w:adjustRightInd/>
        <w:spacing w:line="360" w:lineRule="auto"/>
        <w:jc w:val="center"/>
        <w:rPr>
          <w:rFonts w:hint="eastAsia" w:ascii="仿宋" w:hAnsi="仿宋" w:eastAsia="仿宋" w:cs="仿宋"/>
          <w:color w:val="auto"/>
          <w:sz w:val="48"/>
          <w:szCs w:val="48"/>
          <w:highlight w:val="none"/>
          <w:lang w:eastAsia="zh-CN"/>
        </w:rPr>
      </w:pPr>
      <w:bookmarkStart w:id="408" w:name="_GoBack"/>
      <w:bookmarkEnd w:id="408"/>
      <w:r>
        <w:rPr>
          <w:rFonts w:hint="eastAsia" w:ascii="仿宋" w:hAnsi="仿宋" w:eastAsia="仿宋" w:cs="仿宋"/>
          <w:color w:val="auto"/>
          <w:sz w:val="96"/>
          <w:szCs w:val="96"/>
          <w:highlight w:val="none"/>
        </w:rPr>
        <w:t>招标文件</w:t>
      </w:r>
      <w:r>
        <w:rPr>
          <w:rFonts w:hint="eastAsia" w:ascii="仿宋" w:hAnsi="仿宋" w:eastAsia="仿宋" w:cs="仿宋"/>
          <w:color w:val="auto"/>
          <w:sz w:val="48"/>
          <w:szCs w:val="48"/>
          <w:highlight w:val="none"/>
          <w:lang w:val="en-US" w:eastAsia="zh-CN"/>
        </w:rPr>
        <w:t xml:space="preserve">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snapToGrid w:val="0"/>
        <w:spacing w:line="360" w:lineRule="auto"/>
        <w:ind w:firstLine="2700" w:firstLineChars="900"/>
        <w:jc w:val="both"/>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项目</w:t>
      </w:r>
      <w:r>
        <w:rPr>
          <w:rFonts w:hint="eastAsia" w:ascii="仿宋" w:hAnsi="仿宋" w:eastAsia="仿宋" w:cs="仿宋"/>
          <w:color w:val="auto"/>
          <w:sz w:val="30"/>
          <w:szCs w:val="30"/>
          <w:highlight w:val="none"/>
        </w:rPr>
        <w:t>编号:</w:t>
      </w:r>
      <w:r>
        <w:rPr>
          <w:rFonts w:hint="eastAsia" w:ascii="仿宋" w:hAnsi="仿宋" w:eastAsia="仿宋" w:cs="仿宋"/>
          <w:color w:val="auto"/>
          <w:sz w:val="30"/>
          <w:szCs w:val="30"/>
          <w:highlight w:val="none"/>
          <w:lang w:val="en-US" w:eastAsia="zh-CN"/>
        </w:rPr>
        <w:t>上城政采分-2022-00099（2）</w:t>
      </w: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pStyle w:val="2"/>
        <w:rPr>
          <w:rFonts w:hint="eastAsia" w:ascii="仿宋" w:hAnsi="仿宋" w:eastAsia="仿宋" w:cs="仿宋"/>
          <w:b/>
          <w:color w:val="auto"/>
          <w:sz w:val="44"/>
          <w:szCs w:val="44"/>
          <w:highlight w:val="none"/>
        </w:rPr>
      </w:pPr>
    </w:p>
    <w:p>
      <w:pPr>
        <w:pStyle w:val="2"/>
        <w:rPr>
          <w:rFonts w:hint="eastAsia"/>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snapToGrid w:val="0"/>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杭州市上城区住房和城市建设局</w:t>
      </w:r>
    </w:p>
    <w:p>
      <w:pPr>
        <w:spacing w:line="360" w:lineRule="auto"/>
        <w:jc w:val="center"/>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浙江省房地产管理咨询有限公司</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eastAsia="zh-CN"/>
        </w:rPr>
        <w:t>二</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eastAsia="zh-CN"/>
        </w:rPr>
        <w:t>四</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eastAsia="zh-CN"/>
        </w:rPr>
        <w:t>二十五</w:t>
      </w:r>
      <w:r>
        <w:rPr>
          <w:rFonts w:hint="eastAsia" w:ascii="仿宋" w:hAnsi="仿宋" w:eastAsia="仿宋" w:cs="仿宋"/>
          <w:bCs/>
          <w:color w:val="auto"/>
          <w:sz w:val="32"/>
          <w:szCs w:val="32"/>
          <w:highlight w:val="none"/>
        </w:rPr>
        <w:t>日</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杭州市上城区住房和城市建设局2022年度施工图审查服务项目（重新招标）</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"https://www.zcygov.cn/）获取（下载）招标文件，并于2021年" </w:instrText>
      </w:r>
      <w:r>
        <w:rPr>
          <w:rFonts w:hint="eastAsia" w:ascii="仿宋" w:hAnsi="仿宋" w:eastAsia="仿宋" w:cs="仿宋"/>
          <w:color w:val="auto"/>
          <w:highlight w:val="none"/>
        </w:rPr>
        <w:fldChar w:fldCharType="separate"/>
      </w:r>
      <w:r>
        <w:rPr>
          <w:rStyle w:val="76"/>
          <w:rFonts w:hint="eastAsia" w:ascii="仿宋" w:hAnsi="仿宋" w:eastAsia="仿宋" w:cs="仿宋"/>
          <w:snapToGrid/>
          <w:color w:val="auto"/>
          <w:kern w:val="2"/>
          <w:sz w:val="24"/>
          <w:szCs w:val="24"/>
          <w:highlight w:val="none"/>
        </w:rPr>
        <w:t>https://www.zcygov.cn/）获取（下载）招标文件，并于</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16</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13</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00秒</w:t>
      </w:r>
      <w:r>
        <w:rPr>
          <w:rFonts w:hint="eastAsia" w:ascii="仿宋" w:hAnsi="仿宋" w:eastAsia="仿宋" w:cs="仿宋"/>
          <w:bCs/>
          <w:color w:val="auto"/>
          <w:sz w:val="24"/>
          <w:highlight w:val="none"/>
          <w:u w:val="singl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b/>
          <w:color w:val="auto"/>
          <w:sz w:val="24"/>
          <w:highlight w:val="none"/>
          <w:lang w:eastAsia="zh-CN"/>
        </w:rPr>
        <w:t>上城政采分-2022-00099（2）</w:t>
      </w:r>
      <w:r>
        <w:rPr>
          <w:rFonts w:hint="eastAsia" w:ascii="仿宋" w:hAnsi="仿宋" w:eastAsia="仿宋" w:cs="仿宋"/>
          <w:color w:val="auto"/>
          <w:sz w:val="24"/>
          <w:highlight w:val="none"/>
          <w:lang w:val="en-US" w:eastAsia="zh-CN"/>
        </w:rPr>
        <w:t xml:space="preserve"> </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项目名称：</w:t>
      </w:r>
      <w:r>
        <w:rPr>
          <w:rFonts w:hint="eastAsia" w:ascii="仿宋" w:hAnsi="仿宋" w:eastAsia="仿宋" w:cs="仿宋"/>
          <w:color w:val="auto"/>
          <w:sz w:val="24"/>
          <w:highlight w:val="none"/>
          <w:lang w:eastAsia="zh-CN"/>
        </w:rPr>
        <w:t>杭州市上城区住房和城市建设局2022年度施工图审查服务项目（重新招标）</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b/>
          <w:color w:val="auto"/>
          <w:sz w:val="24"/>
          <w:highlight w:val="none"/>
          <w:lang w:val="en-US" w:eastAsia="zh-CN"/>
        </w:rPr>
        <w:t>9000000</w:t>
      </w:r>
      <w:r>
        <w:rPr>
          <w:rFonts w:hint="eastAsia" w:ascii="仿宋" w:hAnsi="仿宋" w:eastAsia="仿宋" w:cs="仿宋"/>
          <w:color w:val="auto"/>
          <w:sz w:val="24"/>
          <w:highlight w:val="none"/>
        </w:rPr>
        <w:t xml:space="preserve">  </w:t>
      </w:r>
    </w:p>
    <w:p>
      <w:pPr>
        <w:spacing w:line="360" w:lineRule="auto"/>
        <w:ind w:firstLine="480"/>
        <w:rPr>
          <w:rFonts w:hint="default" w:ascii="仿宋" w:hAnsi="仿宋" w:eastAsia="仿宋" w:cs="仿宋"/>
          <w:color w:val="auto"/>
          <w:sz w:val="24"/>
          <w:highlight w:val="none"/>
          <w:lang w:val="en-US"/>
        </w:rPr>
      </w:pPr>
      <w:r>
        <w:rPr>
          <w:rFonts w:hint="eastAsia" w:ascii="仿宋" w:hAnsi="仿宋" w:eastAsia="仿宋" w:cs="仿宋"/>
          <w:b/>
          <w:color w:val="auto"/>
          <w:sz w:val="24"/>
          <w:highlight w:val="none"/>
        </w:rPr>
        <w:t>最高限价（元）：</w:t>
      </w:r>
      <w:r>
        <w:rPr>
          <w:rFonts w:hint="eastAsia" w:ascii="仿宋" w:hAnsi="仿宋" w:eastAsia="仿宋" w:cs="仿宋"/>
          <w:color w:val="auto"/>
          <w:sz w:val="24"/>
          <w:highlight w:val="none"/>
          <w:lang w:val="en-US" w:eastAsia="zh-CN"/>
        </w:rPr>
        <w:t>4300000</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4300000</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400000</w:t>
      </w:r>
    </w:p>
    <w:p>
      <w:pPr>
        <w:pStyle w:val="5"/>
        <w:spacing w:line="360" w:lineRule="auto"/>
        <w:ind w:firstLine="48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采购需求：</w:t>
      </w:r>
    </w:p>
    <w:p>
      <w:pPr>
        <w:spacing w:line="360" w:lineRule="auto"/>
        <w:ind w:firstLine="480"/>
        <w:rPr>
          <w:rFonts w:hint="eastAsia" w:ascii="仿宋" w:hAnsi="仿宋" w:eastAsia="仿宋" w:cs="仿宋"/>
          <w:snapToGrid w:val="0"/>
          <w:color w:val="auto"/>
          <w:kern w:val="28"/>
          <w:sz w:val="24"/>
          <w:szCs w:val="20"/>
          <w:highlight w:val="none"/>
        </w:rPr>
      </w:pP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标项一：</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标项名称：房建类</w:t>
      </w:r>
      <w:r>
        <w:rPr>
          <w:rFonts w:hint="eastAsia" w:ascii="仿宋" w:hAnsi="仿宋" w:eastAsia="仿宋" w:cs="仿宋"/>
          <w:snapToGrid w:val="0"/>
          <w:color w:val="auto"/>
          <w:kern w:val="28"/>
          <w:sz w:val="24"/>
          <w:szCs w:val="20"/>
          <w:highlight w:val="none"/>
          <w:lang w:val="en-US" w:eastAsia="zh-CN"/>
        </w:rPr>
        <w:t>[原上城区和江干区的采荷街道和四季青街道范围]</w:t>
      </w:r>
      <w:r>
        <w:rPr>
          <w:rFonts w:hint="eastAsia" w:ascii="仿宋" w:hAnsi="仿宋" w:eastAsia="仿宋" w:cs="仿宋"/>
          <w:snapToGrid w:val="0"/>
          <w:color w:val="auto"/>
          <w:kern w:val="28"/>
          <w:sz w:val="24"/>
          <w:szCs w:val="20"/>
          <w:highlight w:val="none"/>
        </w:rPr>
        <w:t>（一）</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数量：1</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预算金额（元）：</w:t>
      </w:r>
      <w:r>
        <w:rPr>
          <w:rFonts w:hint="eastAsia" w:ascii="仿宋" w:hAnsi="仿宋" w:eastAsia="仿宋" w:cs="仿宋"/>
          <w:snapToGrid w:val="0"/>
          <w:color w:val="auto"/>
          <w:kern w:val="28"/>
          <w:sz w:val="24"/>
          <w:szCs w:val="20"/>
          <w:highlight w:val="none"/>
          <w:lang w:val="en-US" w:eastAsia="zh-CN"/>
        </w:rPr>
        <w:t>430</w:t>
      </w:r>
      <w:r>
        <w:rPr>
          <w:rFonts w:hint="eastAsia" w:ascii="仿宋" w:hAnsi="仿宋" w:eastAsia="仿宋" w:cs="仿宋"/>
          <w:snapToGrid w:val="0"/>
          <w:color w:val="auto"/>
          <w:kern w:val="28"/>
          <w:sz w:val="24"/>
          <w:szCs w:val="20"/>
          <w:highlight w:val="none"/>
        </w:rPr>
        <w:t>0000</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简要规格描述或项目基本概况介绍、用途：</w:t>
      </w:r>
      <w:r>
        <w:rPr>
          <w:rFonts w:hint="eastAsia" w:ascii="仿宋" w:hAnsi="仿宋" w:eastAsia="仿宋" w:cs="仿宋"/>
          <w:snapToGrid w:val="0"/>
          <w:color w:val="auto"/>
          <w:kern w:val="28"/>
          <w:sz w:val="24"/>
          <w:szCs w:val="20"/>
          <w:highlight w:val="none"/>
          <w:lang w:val="en-US" w:eastAsia="zh-CN"/>
        </w:rPr>
        <w:t>对原上城区和江干区的采荷街道和四季青街道范围内</w:t>
      </w:r>
      <w:r>
        <w:rPr>
          <w:rFonts w:hint="eastAsia" w:ascii="仿宋" w:hAnsi="仿宋" w:eastAsia="仿宋" w:cs="仿宋"/>
          <w:snapToGrid w:val="0"/>
          <w:color w:val="auto"/>
          <w:kern w:val="28"/>
          <w:sz w:val="24"/>
          <w:szCs w:val="20"/>
          <w:highlight w:val="none"/>
        </w:rPr>
        <w:t>房建类项目进行施工图审查服务。</w:t>
      </w:r>
    </w:p>
    <w:p>
      <w:pPr>
        <w:spacing w:line="360" w:lineRule="auto"/>
        <w:ind w:firstLine="480"/>
        <w:rPr>
          <w:rFonts w:hint="eastAsia" w:ascii="仿宋" w:hAnsi="仿宋" w:eastAsia="仿宋" w:cs="仿宋"/>
          <w:snapToGrid w:val="0"/>
          <w:color w:val="auto"/>
          <w:kern w:val="28"/>
          <w:sz w:val="24"/>
          <w:szCs w:val="20"/>
          <w:highlight w:val="none"/>
          <w:lang w:eastAsia="zh-CN"/>
        </w:rPr>
      </w:pPr>
      <w:r>
        <w:rPr>
          <w:rFonts w:hint="eastAsia" w:ascii="仿宋" w:hAnsi="仿宋" w:eastAsia="仿宋" w:cs="仿宋"/>
          <w:snapToGrid w:val="0"/>
          <w:color w:val="auto"/>
          <w:kern w:val="28"/>
          <w:sz w:val="24"/>
          <w:szCs w:val="20"/>
          <w:highlight w:val="none"/>
        </w:rPr>
        <w:t>备注：</w:t>
      </w:r>
      <w:r>
        <w:rPr>
          <w:rFonts w:hint="eastAsia" w:ascii="仿宋" w:hAnsi="仿宋" w:eastAsia="仿宋" w:cs="仿宋"/>
          <w:snapToGrid w:val="0"/>
          <w:color w:val="auto"/>
          <w:kern w:val="28"/>
          <w:sz w:val="24"/>
          <w:szCs w:val="20"/>
          <w:highlight w:val="none"/>
          <w:lang w:eastAsia="zh-CN"/>
        </w:rPr>
        <w:t>无。</w:t>
      </w:r>
    </w:p>
    <w:p>
      <w:pPr>
        <w:pStyle w:val="25"/>
        <w:rPr>
          <w:rFonts w:hint="eastAsia"/>
          <w:color w:val="auto"/>
          <w:highlight w:val="none"/>
          <w:lang w:eastAsia="zh-CN"/>
        </w:rPr>
      </w:pP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标项</w:t>
      </w:r>
      <w:r>
        <w:rPr>
          <w:rFonts w:hint="eastAsia" w:ascii="仿宋" w:hAnsi="仿宋" w:eastAsia="仿宋" w:cs="仿宋"/>
          <w:snapToGrid w:val="0"/>
          <w:color w:val="auto"/>
          <w:kern w:val="28"/>
          <w:sz w:val="24"/>
          <w:szCs w:val="20"/>
          <w:highlight w:val="none"/>
          <w:lang w:eastAsia="zh-CN"/>
        </w:rPr>
        <w:t>二</w:t>
      </w:r>
      <w:r>
        <w:rPr>
          <w:rFonts w:hint="eastAsia" w:ascii="仿宋" w:hAnsi="仿宋" w:eastAsia="仿宋" w:cs="仿宋"/>
          <w:snapToGrid w:val="0"/>
          <w:color w:val="auto"/>
          <w:kern w:val="28"/>
          <w:sz w:val="24"/>
          <w:szCs w:val="20"/>
          <w:highlight w:val="none"/>
        </w:rPr>
        <w:t>：</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标项名称：房建类</w:t>
      </w:r>
      <w:r>
        <w:rPr>
          <w:rFonts w:hint="eastAsia" w:ascii="仿宋" w:hAnsi="仿宋" w:eastAsia="仿宋" w:cs="仿宋"/>
          <w:snapToGrid w:val="0"/>
          <w:color w:val="auto"/>
          <w:kern w:val="28"/>
          <w:sz w:val="24"/>
          <w:szCs w:val="20"/>
          <w:highlight w:val="none"/>
          <w:lang w:val="en-US" w:eastAsia="zh-CN"/>
        </w:rPr>
        <w:t>[原江干区除去采荷街道和四季青街道范围]</w:t>
      </w:r>
      <w:r>
        <w:rPr>
          <w:rFonts w:hint="eastAsia" w:ascii="仿宋" w:hAnsi="仿宋" w:eastAsia="仿宋" w:cs="仿宋"/>
          <w:snapToGrid w:val="0"/>
          <w:color w:val="auto"/>
          <w:kern w:val="28"/>
          <w:sz w:val="24"/>
          <w:szCs w:val="20"/>
          <w:highlight w:val="none"/>
        </w:rPr>
        <w:t>（</w:t>
      </w:r>
      <w:r>
        <w:rPr>
          <w:rFonts w:hint="eastAsia" w:ascii="仿宋" w:hAnsi="仿宋" w:eastAsia="仿宋" w:cs="仿宋"/>
          <w:snapToGrid w:val="0"/>
          <w:color w:val="auto"/>
          <w:kern w:val="28"/>
          <w:sz w:val="24"/>
          <w:szCs w:val="20"/>
          <w:highlight w:val="none"/>
          <w:lang w:val="en-US" w:eastAsia="zh-CN"/>
        </w:rPr>
        <w:t>二</w:t>
      </w:r>
      <w:r>
        <w:rPr>
          <w:rFonts w:hint="eastAsia" w:ascii="仿宋" w:hAnsi="仿宋" w:eastAsia="仿宋" w:cs="仿宋"/>
          <w:snapToGrid w:val="0"/>
          <w:color w:val="auto"/>
          <w:kern w:val="28"/>
          <w:sz w:val="24"/>
          <w:szCs w:val="20"/>
          <w:highlight w:val="none"/>
        </w:rPr>
        <w:t>）</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数量：1</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预算金额（元）：</w:t>
      </w:r>
      <w:r>
        <w:rPr>
          <w:rFonts w:hint="eastAsia" w:ascii="仿宋" w:hAnsi="仿宋" w:eastAsia="仿宋" w:cs="仿宋"/>
          <w:snapToGrid w:val="0"/>
          <w:color w:val="auto"/>
          <w:kern w:val="28"/>
          <w:sz w:val="24"/>
          <w:szCs w:val="20"/>
          <w:highlight w:val="none"/>
          <w:lang w:val="en-US" w:eastAsia="zh-CN"/>
        </w:rPr>
        <w:t>430</w:t>
      </w:r>
      <w:r>
        <w:rPr>
          <w:rFonts w:hint="eastAsia" w:ascii="仿宋" w:hAnsi="仿宋" w:eastAsia="仿宋" w:cs="仿宋"/>
          <w:snapToGrid w:val="0"/>
          <w:color w:val="auto"/>
          <w:kern w:val="28"/>
          <w:sz w:val="24"/>
          <w:szCs w:val="20"/>
          <w:highlight w:val="none"/>
        </w:rPr>
        <w:t>0000</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简要规格描述或项目基本概况介绍、用途：对</w:t>
      </w:r>
      <w:r>
        <w:rPr>
          <w:rFonts w:hint="eastAsia" w:ascii="仿宋" w:hAnsi="仿宋" w:eastAsia="仿宋" w:cs="仿宋"/>
          <w:snapToGrid w:val="0"/>
          <w:color w:val="auto"/>
          <w:kern w:val="28"/>
          <w:sz w:val="24"/>
          <w:szCs w:val="20"/>
          <w:highlight w:val="none"/>
          <w:lang w:val="en-US" w:eastAsia="zh-CN"/>
        </w:rPr>
        <w:t>原江干区除去采荷街道和四季青街道范围</w:t>
      </w:r>
      <w:r>
        <w:rPr>
          <w:rFonts w:hint="eastAsia" w:ascii="仿宋" w:hAnsi="仿宋" w:eastAsia="仿宋" w:cs="仿宋"/>
          <w:snapToGrid w:val="0"/>
          <w:color w:val="auto"/>
          <w:kern w:val="28"/>
          <w:sz w:val="24"/>
          <w:szCs w:val="20"/>
          <w:highlight w:val="none"/>
        </w:rPr>
        <w:t>房建类项目进行施工图审查服务。</w:t>
      </w:r>
    </w:p>
    <w:p>
      <w:pPr>
        <w:spacing w:line="360" w:lineRule="auto"/>
        <w:ind w:firstLine="480"/>
        <w:rPr>
          <w:rFonts w:hint="eastAsia" w:ascii="仿宋" w:hAnsi="仿宋" w:eastAsia="仿宋" w:cs="仿宋"/>
          <w:snapToGrid w:val="0"/>
          <w:color w:val="auto"/>
          <w:kern w:val="28"/>
          <w:sz w:val="24"/>
          <w:szCs w:val="20"/>
          <w:highlight w:val="none"/>
          <w:lang w:eastAsia="zh-CN"/>
        </w:rPr>
      </w:pPr>
      <w:r>
        <w:rPr>
          <w:rFonts w:hint="eastAsia" w:ascii="仿宋" w:hAnsi="仿宋" w:eastAsia="仿宋" w:cs="仿宋"/>
          <w:snapToGrid w:val="0"/>
          <w:color w:val="auto"/>
          <w:kern w:val="28"/>
          <w:sz w:val="24"/>
          <w:szCs w:val="20"/>
          <w:highlight w:val="none"/>
        </w:rPr>
        <w:t>备注：</w:t>
      </w:r>
      <w:r>
        <w:rPr>
          <w:rFonts w:hint="eastAsia" w:ascii="仿宋" w:hAnsi="仿宋" w:eastAsia="仿宋" w:cs="仿宋"/>
          <w:snapToGrid w:val="0"/>
          <w:color w:val="auto"/>
          <w:kern w:val="28"/>
          <w:sz w:val="24"/>
          <w:szCs w:val="20"/>
          <w:highlight w:val="none"/>
          <w:lang w:eastAsia="zh-CN"/>
        </w:rPr>
        <w:t>无。</w:t>
      </w:r>
    </w:p>
    <w:p>
      <w:pPr>
        <w:spacing w:line="360" w:lineRule="auto"/>
        <w:ind w:firstLine="480"/>
        <w:rPr>
          <w:rFonts w:hint="eastAsia" w:ascii="仿宋" w:hAnsi="仿宋" w:eastAsia="仿宋" w:cs="仿宋"/>
          <w:snapToGrid w:val="0"/>
          <w:color w:val="auto"/>
          <w:kern w:val="28"/>
          <w:sz w:val="24"/>
          <w:szCs w:val="20"/>
          <w:highlight w:val="none"/>
        </w:rPr>
      </w:pP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标项</w:t>
      </w:r>
      <w:r>
        <w:rPr>
          <w:rFonts w:hint="eastAsia" w:ascii="仿宋" w:hAnsi="仿宋" w:eastAsia="仿宋" w:cs="仿宋"/>
          <w:snapToGrid w:val="0"/>
          <w:color w:val="auto"/>
          <w:kern w:val="28"/>
          <w:sz w:val="24"/>
          <w:szCs w:val="20"/>
          <w:highlight w:val="none"/>
          <w:lang w:eastAsia="zh-CN"/>
        </w:rPr>
        <w:t>三</w:t>
      </w:r>
      <w:r>
        <w:rPr>
          <w:rFonts w:hint="eastAsia" w:ascii="仿宋" w:hAnsi="仿宋" w:eastAsia="仿宋" w:cs="仿宋"/>
          <w:snapToGrid w:val="0"/>
          <w:color w:val="auto"/>
          <w:kern w:val="28"/>
          <w:sz w:val="24"/>
          <w:szCs w:val="20"/>
          <w:highlight w:val="none"/>
        </w:rPr>
        <w:t>：</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标项名称：</w:t>
      </w:r>
      <w:r>
        <w:rPr>
          <w:rFonts w:hint="eastAsia" w:ascii="仿宋" w:hAnsi="仿宋" w:eastAsia="仿宋" w:cs="仿宋"/>
          <w:snapToGrid w:val="0"/>
          <w:color w:val="auto"/>
          <w:kern w:val="28"/>
          <w:sz w:val="24"/>
          <w:szCs w:val="20"/>
          <w:highlight w:val="none"/>
          <w:lang w:val="en-US" w:eastAsia="zh-CN"/>
        </w:rPr>
        <w:t>市政</w:t>
      </w:r>
      <w:r>
        <w:rPr>
          <w:rFonts w:hint="eastAsia" w:ascii="仿宋" w:hAnsi="仿宋" w:eastAsia="仿宋" w:cs="仿宋"/>
          <w:snapToGrid w:val="0"/>
          <w:color w:val="auto"/>
          <w:kern w:val="28"/>
          <w:sz w:val="24"/>
          <w:szCs w:val="20"/>
          <w:highlight w:val="none"/>
        </w:rPr>
        <w:t>类（</w:t>
      </w:r>
      <w:r>
        <w:rPr>
          <w:rFonts w:hint="eastAsia" w:ascii="仿宋" w:hAnsi="仿宋" w:eastAsia="仿宋" w:cs="仿宋"/>
          <w:snapToGrid w:val="0"/>
          <w:color w:val="auto"/>
          <w:kern w:val="28"/>
          <w:sz w:val="24"/>
          <w:szCs w:val="20"/>
          <w:highlight w:val="none"/>
          <w:lang w:eastAsia="zh-CN"/>
        </w:rPr>
        <w:t>三</w:t>
      </w:r>
      <w:r>
        <w:rPr>
          <w:rFonts w:hint="eastAsia" w:ascii="仿宋" w:hAnsi="仿宋" w:eastAsia="仿宋" w:cs="仿宋"/>
          <w:snapToGrid w:val="0"/>
          <w:color w:val="auto"/>
          <w:kern w:val="28"/>
          <w:sz w:val="24"/>
          <w:szCs w:val="20"/>
          <w:highlight w:val="none"/>
        </w:rPr>
        <w:t>）</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数量：1</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预算金额（元）：</w:t>
      </w:r>
      <w:r>
        <w:rPr>
          <w:rFonts w:hint="eastAsia" w:ascii="仿宋" w:hAnsi="仿宋" w:eastAsia="仿宋" w:cs="仿宋"/>
          <w:snapToGrid w:val="0"/>
          <w:color w:val="auto"/>
          <w:kern w:val="28"/>
          <w:sz w:val="24"/>
          <w:szCs w:val="20"/>
          <w:highlight w:val="none"/>
          <w:lang w:val="en-US" w:eastAsia="zh-CN"/>
        </w:rPr>
        <w:t>400</w:t>
      </w:r>
      <w:r>
        <w:rPr>
          <w:rFonts w:hint="eastAsia" w:ascii="仿宋" w:hAnsi="仿宋" w:eastAsia="仿宋" w:cs="仿宋"/>
          <w:snapToGrid w:val="0"/>
          <w:color w:val="auto"/>
          <w:kern w:val="28"/>
          <w:sz w:val="24"/>
          <w:szCs w:val="20"/>
          <w:highlight w:val="none"/>
        </w:rPr>
        <w:t>000</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简要规格描述或项目基本概况介绍、用途：对</w:t>
      </w:r>
      <w:r>
        <w:rPr>
          <w:rFonts w:hint="eastAsia" w:ascii="仿宋" w:hAnsi="仿宋" w:eastAsia="仿宋" w:cs="仿宋"/>
          <w:snapToGrid w:val="0"/>
          <w:color w:val="auto"/>
          <w:kern w:val="28"/>
          <w:sz w:val="24"/>
          <w:szCs w:val="20"/>
          <w:highlight w:val="none"/>
          <w:lang w:val="en-US" w:eastAsia="zh-CN"/>
        </w:rPr>
        <w:t>原上城区和江干区范围内</w:t>
      </w:r>
      <w:r>
        <w:rPr>
          <w:rFonts w:hint="eastAsia" w:ascii="仿宋" w:hAnsi="仿宋" w:eastAsia="仿宋" w:cs="仿宋"/>
          <w:snapToGrid w:val="0"/>
          <w:color w:val="auto"/>
          <w:kern w:val="28"/>
          <w:sz w:val="24"/>
          <w:szCs w:val="20"/>
          <w:highlight w:val="none"/>
        </w:rPr>
        <w:t>市政项目进行施工图审查服务。</w:t>
      </w:r>
    </w:p>
    <w:p>
      <w:pPr>
        <w:spacing w:line="360" w:lineRule="auto"/>
        <w:ind w:firstLine="480"/>
        <w:rPr>
          <w:rFonts w:hint="eastAsia" w:ascii="仿宋" w:hAnsi="仿宋" w:eastAsia="仿宋" w:cs="仿宋"/>
          <w:snapToGrid w:val="0"/>
          <w:color w:val="auto"/>
          <w:kern w:val="28"/>
          <w:sz w:val="24"/>
          <w:szCs w:val="20"/>
          <w:highlight w:val="none"/>
          <w:lang w:eastAsia="zh-CN"/>
        </w:rPr>
      </w:pPr>
      <w:r>
        <w:rPr>
          <w:rFonts w:hint="eastAsia" w:ascii="仿宋" w:hAnsi="仿宋" w:eastAsia="仿宋" w:cs="仿宋"/>
          <w:snapToGrid w:val="0"/>
          <w:color w:val="auto"/>
          <w:kern w:val="28"/>
          <w:sz w:val="24"/>
          <w:szCs w:val="20"/>
          <w:highlight w:val="none"/>
        </w:rPr>
        <w:t>备注：</w:t>
      </w:r>
      <w:r>
        <w:rPr>
          <w:rFonts w:hint="eastAsia" w:ascii="仿宋" w:hAnsi="仿宋" w:eastAsia="仿宋" w:cs="仿宋"/>
          <w:snapToGrid w:val="0"/>
          <w:color w:val="auto"/>
          <w:kern w:val="28"/>
          <w:sz w:val="24"/>
          <w:szCs w:val="20"/>
          <w:highlight w:val="none"/>
          <w:lang w:eastAsia="zh-CN"/>
        </w:rPr>
        <w:t>无。</w:t>
      </w:r>
    </w:p>
    <w:p>
      <w:pPr>
        <w:pStyle w:val="128"/>
        <w:ind w:firstLine="482"/>
        <w:outlineLvl w:val="2"/>
        <w:rPr>
          <w:rFonts w:hint="eastAsia" w:ascii="仿宋" w:hAnsi="仿宋" w:eastAsia="仿宋" w:cs="仿宋"/>
          <w:color w:val="auto"/>
          <w:highlight w:val="none"/>
        </w:rPr>
      </w:pPr>
      <w:r>
        <w:rPr>
          <w:rFonts w:hint="eastAsia" w:ascii="仿宋" w:hAnsi="仿宋" w:eastAsia="仿宋" w:cs="仿宋"/>
          <w:b/>
          <w:color w:val="auto"/>
          <w:highlight w:val="none"/>
        </w:rPr>
        <w:t>合同履约期限：</w:t>
      </w:r>
      <w:r>
        <w:rPr>
          <w:rFonts w:hint="eastAsia" w:ascii="仿宋" w:hAnsi="仿宋" w:eastAsia="仿宋" w:cs="仿宋"/>
          <w:bCs/>
          <w:snapToGrid/>
          <w:color w:val="auto"/>
          <w:kern w:val="2"/>
          <w:sz w:val="24"/>
          <w:szCs w:val="24"/>
          <w:highlight w:val="none"/>
          <w:lang w:eastAsia="zh-CN"/>
        </w:rPr>
        <w:t>标项</w:t>
      </w:r>
      <w:r>
        <w:rPr>
          <w:rFonts w:hint="eastAsia" w:ascii="仿宋" w:hAnsi="仿宋" w:eastAsia="仿宋" w:cs="仿宋"/>
          <w:bCs/>
          <w:snapToGrid/>
          <w:color w:val="auto"/>
          <w:kern w:val="2"/>
          <w:sz w:val="24"/>
          <w:szCs w:val="24"/>
          <w:highlight w:val="none"/>
          <w:lang w:val="en-US" w:eastAsia="zh-CN"/>
        </w:rPr>
        <w:t>1、2、3,</w:t>
      </w:r>
      <w:r>
        <w:rPr>
          <w:rFonts w:hint="eastAsia" w:ascii="仿宋" w:hAnsi="仿宋" w:eastAsia="仿宋" w:cs="仿宋"/>
          <w:bCs/>
          <w:snapToGrid/>
          <w:color w:val="auto"/>
          <w:kern w:val="2"/>
          <w:sz w:val="24"/>
          <w:szCs w:val="24"/>
          <w:highlight w:val="none"/>
        </w:rPr>
        <w:t>详见招标文件第三部分采购需求。</w:t>
      </w:r>
    </w:p>
    <w:p>
      <w:pPr>
        <w:pStyle w:val="5"/>
        <w:spacing w:line="360" w:lineRule="auto"/>
        <w:ind w:firstLine="48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否</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rPr>
        <w:t>接受联合体投标</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eastAsia="仿宋"/>
          <w:sz w:val="24"/>
          <w:highlight w:val="none"/>
        </w:rPr>
      </w:pPr>
      <w:r>
        <w:rPr>
          <w:rFonts w:hint="eastAsia" w:ascii="仿宋" w:hAnsi="仿宋" w:eastAsia="仿宋" w:cs="仿宋"/>
          <w:snapToGrid w:val="0"/>
          <w:color w:val="auto"/>
          <w:kern w:val="28"/>
          <w:sz w:val="24"/>
          <w:szCs w:val="20"/>
          <w:highlight w:val="none"/>
        </w:rPr>
        <w:t>2.落实政府采购政策需满足的资格要求：</w:t>
      </w:r>
      <w:r>
        <w:rPr>
          <w:rFonts w:hint="eastAsia" w:ascii="仿宋" w:hAnsi="仿宋" w:eastAsia="仿宋" w:cs="仿宋"/>
          <w:bCs/>
          <w:snapToGrid/>
          <w:color w:val="auto"/>
          <w:kern w:val="2"/>
          <w:sz w:val="24"/>
          <w:szCs w:val="24"/>
          <w:highlight w:val="none"/>
          <w:lang w:eastAsia="zh-CN"/>
        </w:rPr>
        <w:t>标项</w:t>
      </w:r>
      <w:r>
        <w:rPr>
          <w:rFonts w:hint="eastAsia" w:ascii="仿宋" w:hAnsi="仿宋" w:eastAsia="仿宋" w:cs="仿宋"/>
          <w:bCs/>
          <w:snapToGrid/>
          <w:color w:val="auto"/>
          <w:kern w:val="2"/>
          <w:sz w:val="24"/>
          <w:szCs w:val="24"/>
          <w:highlight w:val="none"/>
          <w:lang w:val="en-US" w:eastAsia="zh-CN"/>
        </w:rPr>
        <w:t>1、2、3，</w:t>
      </w:r>
      <w:r>
        <w:rPr>
          <w:rFonts w:hint="eastAsia" w:ascii="仿宋" w:hAnsi="仿宋" w:eastAsia="仿宋" w:cs="仿宋_GB2312"/>
          <w:snapToGrid w:val="0"/>
          <w:color w:val="auto"/>
          <w:kern w:val="28"/>
          <w:sz w:val="24"/>
          <w:szCs w:val="20"/>
          <w:highlight w:val="none"/>
        </w:rPr>
        <w:t>供应商为中小企业/小微企业</w:t>
      </w:r>
      <w:r>
        <w:rPr>
          <w:rFonts w:hint="eastAsia" w:ascii="仿宋" w:hAnsi="仿宋" w:eastAsia="仿宋" w:cs="仿宋"/>
          <w:bCs/>
          <w:snapToGrid/>
          <w:color w:val="auto"/>
          <w:kern w:val="2"/>
          <w:sz w:val="24"/>
          <w:szCs w:val="24"/>
          <w:highlight w:val="none"/>
          <w:lang w:val="en-US" w:eastAsia="zh-CN"/>
        </w:rPr>
        <w:t>；</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w:t>
      </w:r>
      <w:r>
        <w:rPr>
          <w:rFonts w:hint="eastAsia" w:ascii="仿宋" w:hAnsi="仿宋" w:eastAsia="仿宋" w:cs="仿宋"/>
          <w:bCs/>
          <w:snapToGrid/>
          <w:color w:val="auto"/>
          <w:kern w:val="2"/>
          <w:sz w:val="24"/>
          <w:szCs w:val="24"/>
          <w:highlight w:val="none"/>
          <w:lang w:eastAsia="zh-CN"/>
        </w:rPr>
        <w:t>标项</w:t>
      </w:r>
      <w:r>
        <w:rPr>
          <w:rFonts w:hint="eastAsia" w:ascii="仿宋" w:hAnsi="仿宋" w:eastAsia="仿宋" w:cs="仿宋"/>
          <w:bCs/>
          <w:snapToGrid/>
          <w:color w:val="auto"/>
          <w:kern w:val="2"/>
          <w:sz w:val="24"/>
          <w:szCs w:val="24"/>
          <w:highlight w:val="none"/>
          <w:lang w:val="en-US" w:eastAsia="zh-CN"/>
        </w:rPr>
        <w:t>1、2、3，无。</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16</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16</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13</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16</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13</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highlight w:val="none"/>
        </w:rPr>
      </w:pPr>
      <w:r>
        <w:rPr>
          <w:rFonts w:hint="eastAsia" w:ascii="仿宋_GB2312" w:hAnsi="仿宋" w:eastAsia="仿宋_GB2312"/>
          <w:sz w:val="24"/>
          <w:highlight w:val="none"/>
        </w:rPr>
        <w:t>2.其他事项：（1）需要落实的政府采购政策：包括节约资源、保护环境、支持创新、促进中小企业发展等。详见招标文件的第二部分总则。（2）</w:t>
      </w:r>
      <w:r>
        <w:rPr>
          <w:rFonts w:ascii="仿宋_GB2312" w:hAnsi="仿宋" w:eastAsia="仿宋_GB2312"/>
          <w:sz w:val="24"/>
          <w:highlight w:val="none"/>
        </w:rPr>
        <w:t>电子招投标的说明：</w:t>
      </w:r>
      <w:r>
        <w:rPr>
          <w:rFonts w:hint="eastAsia" w:ascii="仿宋_GB2312" w:hAnsi="仿宋" w:eastAsia="仿宋_GB2312" w:cs="仿宋_GB2312"/>
          <w:sz w:val="24"/>
          <w:highlight w:val="none"/>
        </w:rPr>
        <w:t>①</w:t>
      </w:r>
      <w:r>
        <w:rPr>
          <w:rFonts w:ascii="仿宋_GB2312" w:hAnsi="仿宋" w:eastAsia="仿宋_GB2312" w:cs="仿宋_GB2312"/>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sz w:val="24"/>
          <w:highlight w:val="none"/>
        </w:rPr>
        <w:t>；②</w:t>
      </w:r>
      <w:r>
        <w:rPr>
          <w:rFonts w:ascii="仿宋_GB2312" w:hAnsi="仿宋" w:eastAsia="仿宋_GB2312" w:cs="仿宋_GB2312"/>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highlight w:val="none"/>
        </w:rPr>
        <w:t>采云电子交易客户端”</w:t>
      </w:r>
      <w:r>
        <w:rPr>
          <w:rFonts w:ascii="仿宋_GB2312" w:hAnsi="仿宋" w:eastAsia="仿宋_GB2312" w:cs="仿宋_GB2312"/>
          <w:sz w:val="24"/>
          <w:highlight w:val="none"/>
        </w:rPr>
        <w:t>----前往“浙江政府采购网-下载专区-电子交易客户端”进行下载并安装</w:t>
      </w:r>
      <w:r>
        <w:rPr>
          <w:rFonts w:hint="eastAsia" w:ascii="仿宋_GB2312" w:hAnsi="仿宋" w:eastAsia="仿宋_GB2312" w:cs="仿宋_GB2312"/>
          <w:sz w:val="24"/>
          <w:highlight w:val="none"/>
        </w:rPr>
        <w:t>；③</w:t>
      </w:r>
      <w:r>
        <w:rPr>
          <w:rFonts w:ascii="仿宋_GB2312" w:hAnsi="仿宋" w:eastAsia="仿宋_GB2312" w:cs="仿宋_GB2312"/>
          <w:sz w:val="24"/>
          <w:highlight w:val="none"/>
        </w:rPr>
        <w:t>招标文件的获取：使用账号登录或者使用CA登录政</w:t>
      </w:r>
      <w:r>
        <w:rPr>
          <w:rFonts w:hint="eastAsia" w:ascii="仿宋_GB2312" w:hAnsi="仿宋" w:eastAsia="仿宋_GB2312" w:cs="仿宋_GB2312"/>
          <w:sz w:val="24"/>
          <w:highlight w:val="none"/>
        </w:rPr>
        <w:t>采云平台；进入“项目采购”应用，在获取采购文件菜单中选择项目，获取招标文件；④</w:t>
      </w:r>
      <w:r>
        <w:rPr>
          <w:rFonts w:ascii="仿宋_GB2312" w:hAnsi="仿宋" w:eastAsia="仿宋_GB2312" w:cs="仿宋_GB2312"/>
          <w:sz w:val="24"/>
          <w:highlight w:val="none"/>
        </w:rPr>
        <w:t>投标文件的制作：在“政</w:t>
      </w:r>
      <w:r>
        <w:rPr>
          <w:rFonts w:hint="eastAsia" w:ascii="仿宋_GB2312" w:hAnsi="仿宋" w:eastAsia="仿宋_GB2312" w:cs="仿宋_GB2312"/>
          <w:sz w:val="24"/>
          <w:highlight w:val="none"/>
        </w:rPr>
        <w:t>采云电子交易客户端”中完成“填写基本信息”、“导入投标文件”、“标书关联”、“标书检查”、“电子签名”、“生成电子标书”等操作；</w:t>
      </w:r>
      <w:r>
        <w:rPr>
          <w:rFonts w:hint="eastAsia" w:ascii="仿宋_GB2312" w:hAnsi="仿宋" w:eastAsia="仿宋_GB2312"/>
          <w:sz w:val="24"/>
          <w:highlight w:val="none"/>
        </w:rPr>
        <w:t>⑤</w:t>
      </w:r>
      <w:r>
        <w:rPr>
          <w:rFonts w:ascii="仿宋_GB2312" w:hAnsi="仿宋" w:eastAsia="仿宋_GB2312"/>
          <w:sz w:val="24"/>
          <w:highlight w:val="none"/>
        </w:rPr>
        <w:t>采购人、采购机构将依托政</w:t>
      </w:r>
      <w:r>
        <w:rPr>
          <w:rFonts w:hint="eastAsia" w:ascii="仿宋_GB2312" w:hAnsi="仿宋" w:eastAsia="仿宋_GB2312"/>
          <w:sz w:val="24"/>
          <w:highlight w:val="none"/>
        </w:rPr>
        <w:t>采云平台完成本项目的电子交易活动，平台不接受未按上述方式获取招标文件的供应商进行投标活动；</w:t>
      </w:r>
      <w:r>
        <w:rPr>
          <w:rFonts w:ascii="仿宋_GB2312" w:hAnsi="仿宋" w:eastAsia="仿宋_GB2312"/>
          <w:sz w:val="24"/>
          <w:highlight w:val="none"/>
        </w:rPr>
        <w:t xml:space="preserve"> </w:t>
      </w:r>
      <w:r>
        <w:rPr>
          <w:rFonts w:hint="eastAsia" w:ascii="仿宋_GB2312" w:hAnsi="仿宋" w:eastAsia="仿宋_GB2312"/>
          <w:sz w:val="24"/>
          <w:highlight w:val="none"/>
        </w:rPr>
        <w:t>⑥</w:t>
      </w:r>
      <w:r>
        <w:rPr>
          <w:rFonts w:ascii="仿宋_GB2312" w:hAnsi="仿宋" w:eastAsia="仿宋_GB2312"/>
          <w:sz w:val="24"/>
          <w:highlight w:val="none"/>
        </w:rPr>
        <w:t>对未按上述方式获取招标文件的供应商对该文件提出的质疑，采购人或采购代理机构将</w:t>
      </w:r>
      <w:r>
        <w:rPr>
          <w:rFonts w:hint="eastAsia" w:ascii="仿宋_GB2312" w:hAnsi="仿宋" w:eastAsia="仿宋_GB2312"/>
          <w:sz w:val="24"/>
          <w:highlight w:val="none"/>
        </w:rPr>
        <w:t>不予处理；⑦</w:t>
      </w:r>
      <w:r>
        <w:rPr>
          <w:rFonts w:ascii="仿宋_GB2312" w:hAnsi="仿宋" w:eastAsia="仿宋_GB2312"/>
          <w:sz w:val="24"/>
          <w:highlight w:val="none"/>
        </w:rPr>
        <w:t>不提供招标文件纸质版</w:t>
      </w:r>
      <w:r>
        <w:rPr>
          <w:rFonts w:hint="eastAsia" w:ascii="仿宋_GB2312" w:hAnsi="仿宋" w:eastAsia="仿宋_GB2312"/>
          <w:sz w:val="24"/>
          <w:highlight w:val="none"/>
        </w:rPr>
        <w:t>；</w:t>
      </w:r>
      <w:r>
        <w:rPr>
          <w:rFonts w:hint="eastAsia" w:ascii="仿宋_GB2312" w:hAnsi="仿宋" w:eastAsia="仿宋_GB2312" w:cs="仿宋_GB2312"/>
          <w:sz w:val="24"/>
          <w:highlight w:val="none"/>
        </w:rPr>
        <w:t>⑧</w:t>
      </w:r>
      <w:r>
        <w:rPr>
          <w:rFonts w:ascii="仿宋_GB2312" w:hAnsi="仿宋" w:eastAsia="仿宋_GB2312" w:cs="仿宋_GB2312"/>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highlight w:val="none"/>
        </w:rPr>
        <w:t>；</w:t>
      </w:r>
      <w:r>
        <w:rPr>
          <w:rFonts w:hint="eastAsia" w:ascii="仿宋_GB2312" w:hAnsi="仿宋" w:eastAsia="仿宋_GB2312"/>
          <w:sz w:val="24"/>
          <w:highlight w:val="none"/>
        </w:rPr>
        <w:t>⑨</w:t>
      </w:r>
      <w:r>
        <w:rPr>
          <w:rFonts w:hint="eastAsia" w:ascii="仿宋_GB2312" w:hAnsi="仿宋" w:eastAsia="仿宋_GB2312" w:cs="仿宋_GB2312"/>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highlight w:val="none"/>
        </w:rPr>
        <w:t>具体操作指南：详见政</w:t>
      </w:r>
      <w:r>
        <w:rPr>
          <w:rFonts w:hint="eastAsia" w:ascii="仿宋_GB2312" w:hAnsi="仿宋" w:eastAsia="仿宋_GB2312" w:cs="仿宋_GB2312"/>
          <w:sz w:val="24"/>
          <w:highlight w:val="none"/>
        </w:rPr>
        <w:t>采云平台“服务中心</w:t>
      </w:r>
      <w:r>
        <w:rPr>
          <w:rFonts w:ascii="仿宋_GB2312" w:hAnsi="仿宋" w:eastAsia="仿宋_GB2312" w:cs="仿宋_GB2312"/>
          <w:sz w:val="24"/>
          <w:highlight w:val="none"/>
        </w:rPr>
        <w:t>-帮助文档-项目采购-操作流程-电子招投标-政府采购项目电子交易管理操作指南-供应商”。</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名    称：</w:t>
      </w:r>
      <w:r>
        <w:rPr>
          <w:rFonts w:hint="eastAsia" w:ascii="仿宋" w:hAnsi="仿宋" w:eastAsia="仿宋" w:cs="仿宋"/>
          <w:color w:val="auto"/>
          <w:sz w:val="24"/>
          <w:highlight w:val="none"/>
          <w:lang w:eastAsia="zh-CN"/>
        </w:rPr>
        <w:t>杭州市上城区住房和城市建设局</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w:t>
      </w:r>
      <w:r>
        <w:rPr>
          <w:rFonts w:hint="eastAsia" w:ascii="仿宋" w:hAnsi="仿宋" w:eastAsia="仿宋" w:cs="仿宋"/>
          <w:color w:val="auto"/>
          <w:sz w:val="24"/>
          <w:highlight w:val="none"/>
          <w:lang w:eastAsia="zh-CN"/>
        </w:rPr>
        <w:t>上城区</w:t>
      </w:r>
      <w:r>
        <w:rPr>
          <w:rFonts w:hint="eastAsia" w:ascii="仿宋" w:hAnsi="仿宋" w:eastAsia="仿宋" w:cs="仿宋"/>
          <w:color w:val="auto"/>
          <w:sz w:val="24"/>
          <w:highlight w:val="none"/>
        </w:rPr>
        <w:t xml:space="preserve">望潮路77号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项目联系人（询问）：常</w:t>
      </w:r>
      <w:r>
        <w:rPr>
          <w:rFonts w:hint="eastAsia" w:ascii="仿宋" w:hAnsi="仿宋" w:eastAsia="仿宋" w:cs="仿宋"/>
          <w:color w:val="auto"/>
          <w:sz w:val="24"/>
          <w:highlight w:val="none"/>
          <w:lang w:eastAsia="zh-CN"/>
        </w:rPr>
        <w:t>工</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项目联系方式（询问）：</w:t>
      </w:r>
      <w:r>
        <w:rPr>
          <w:rFonts w:hint="eastAsia" w:ascii="仿宋" w:hAnsi="仿宋" w:eastAsia="仿宋" w:cs="仿宋"/>
          <w:color w:val="auto"/>
          <w:sz w:val="24"/>
          <w:highlight w:val="none"/>
          <w:lang w:val="en-US" w:eastAsia="zh-CN"/>
        </w:rPr>
        <w:t>0571-</w:t>
      </w:r>
      <w:r>
        <w:rPr>
          <w:rFonts w:hint="eastAsia" w:ascii="仿宋" w:hAnsi="仿宋" w:eastAsia="仿宋" w:cs="仿宋"/>
          <w:color w:val="auto"/>
          <w:sz w:val="24"/>
          <w:highlight w:val="none"/>
        </w:rPr>
        <w:t xml:space="preserve">87654218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质疑联系人：傅林萍</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质疑联系方式：</w:t>
      </w:r>
      <w:r>
        <w:rPr>
          <w:rFonts w:hint="eastAsia" w:ascii="仿宋" w:hAnsi="仿宋" w:eastAsia="仿宋" w:cs="仿宋"/>
          <w:color w:val="auto"/>
          <w:sz w:val="24"/>
          <w:highlight w:val="none"/>
          <w:lang w:val="en-US" w:eastAsia="zh-CN"/>
        </w:rPr>
        <w:t>0571-</w:t>
      </w:r>
      <w:r>
        <w:rPr>
          <w:rFonts w:hint="eastAsia" w:ascii="仿宋" w:hAnsi="仿宋" w:eastAsia="仿宋" w:cs="仿宋"/>
          <w:color w:val="auto"/>
          <w:sz w:val="24"/>
          <w:highlight w:val="none"/>
        </w:rPr>
        <w:t xml:space="preserve">87654217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名称：浙江省房地产管理咨询有限公司</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地址：杭州市</w:t>
      </w:r>
      <w:r>
        <w:rPr>
          <w:rFonts w:hint="eastAsia" w:ascii="仿宋" w:hAnsi="仿宋" w:eastAsia="仿宋" w:cs="仿宋"/>
          <w:color w:val="auto"/>
          <w:sz w:val="24"/>
          <w:szCs w:val="24"/>
          <w:highlight w:val="none"/>
          <w:lang w:eastAsia="zh-CN"/>
        </w:rPr>
        <w:t>拱墅区杭州三立时代广场</w:t>
      </w:r>
      <w:r>
        <w:rPr>
          <w:rFonts w:hint="eastAsia" w:ascii="仿宋" w:hAnsi="仿宋" w:eastAsia="仿宋" w:cs="仿宋"/>
          <w:color w:val="auto"/>
          <w:sz w:val="24"/>
          <w:szCs w:val="24"/>
          <w:highlight w:val="none"/>
          <w:lang w:val="en-US" w:eastAsia="zh-CN"/>
        </w:rPr>
        <w:t>A座1206室</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p>
    <w:p>
      <w:pPr>
        <w:adjustRightInd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项目联系人（询问）：</w:t>
      </w:r>
      <w:r>
        <w:rPr>
          <w:rFonts w:hint="eastAsia" w:ascii="仿宋" w:hAnsi="仿宋" w:eastAsia="仿宋" w:cs="仿宋"/>
          <w:color w:val="auto"/>
          <w:sz w:val="24"/>
          <w:szCs w:val="24"/>
          <w:highlight w:val="none"/>
          <w:lang w:eastAsia="zh-CN"/>
        </w:rPr>
        <w:t>伍红仙</w:t>
      </w:r>
    </w:p>
    <w:p>
      <w:pPr>
        <w:adjustRightInd w:val="0"/>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联系电话（询问）：13</w:t>
      </w:r>
      <w:r>
        <w:rPr>
          <w:rFonts w:hint="eastAsia" w:ascii="仿宋" w:hAnsi="仿宋" w:eastAsia="仿宋" w:cs="仿宋"/>
          <w:color w:val="auto"/>
          <w:sz w:val="24"/>
          <w:szCs w:val="24"/>
          <w:highlight w:val="none"/>
          <w:lang w:val="en-US" w:eastAsia="zh-CN"/>
        </w:rPr>
        <w:t>357106093  13357182638</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质疑联系人：刘宝林</w:t>
      </w:r>
    </w:p>
    <w:p>
      <w:pPr>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质疑联系方式：0571-88023816</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名    称：杭州市上城区财政局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址：杭州市上城区望潮路77号   </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传    真：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联系人 ：刘工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监督投诉电话：0571-87242073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 xml:space="preserve">                              </w:t>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53"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spacing w:line="360" w:lineRule="auto"/>
              <w:ind w:firstLine="241" w:firstLineChars="100"/>
              <w:rPr>
                <w:rFonts w:hint="eastAsia" w:ascii="仿宋" w:hAnsi="仿宋" w:eastAsia="仿宋" w:cs="仿宋"/>
                <w:color w:val="auto"/>
                <w:sz w:val="24"/>
                <w:highlight w:val="none"/>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sdt>
              <w:sdtPr>
                <w:rPr>
                  <w:rFonts w:hint="eastAsia" w:ascii="仿宋_GB2312" w:hAnsi="仿宋" w:eastAsia="仿宋_GB2312" w:cs="Arial"/>
                  <w:kern w:val="0"/>
                  <w:sz w:val="24"/>
                  <w:highlight w:val="none"/>
                </w:rPr>
                <w:id w:val="-1477286927"/>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szCs w:val="24"/>
                    <w:highlight w:val="none"/>
                    <w:lang w:val="en-US" w:eastAsia="zh-CN" w:bidi="ar-SA"/>
                  </w:rPr>
                  <w:t>þ</w:t>
                </w:r>
              </w:sdtContent>
            </w:sdt>
            <w:r>
              <w:rPr>
                <w:rFonts w:ascii="仿宋_GB2312" w:hAnsi="仿宋" w:eastAsia="仿宋_GB2312" w:cs="Arial"/>
                <w:kern w:val="0"/>
                <w:sz w:val="24"/>
                <w:highlight w:val="none"/>
              </w:rPr>
              <w:t xml:space="preserve"> </w:t>
            </w:r>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0"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360" w:lineRule="auto"/>
              <w:rPr>
                <w:rFonts w:hint="eastAsia"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4"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3"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0"/>
                <w:highlight w:val="none"/>
              </w:rPr>
            </w:pPr>
            <w:sdt>
              <w:sdtPr>
                <w:rPr>
                  <w:rFonts w:hint="eastAsia" w:ascii="仿宋" w:hAnsi="仿宋" w:eastAsia="仿宋" w:cs="仿宋"/>
                  <w:color w:val="auto"/>
                  <w:kern w:val="0"/>
                  <w:sz w:val="24"/>
                  <w:highlight w:val="none"/>
                </w:rPr>
                <w:id w:val="-21296641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color w:val="auto"/>
                <w:sz w:val="24"/>
                <w:highlight w:val="none"/>
              </w:rPr>
            </w:pPr>
            <w:sdt>
              <w:sdtPr>
                <w:rPr>
                  <w:rFonts w:hint="eastAsia" w:ascii="仿宋" w:hAnsi="仿宋" w:eastAsia="仿宋" w:cs="仿宋"/>
                  <w:color w:val="auto"/>
                  <w:kern w:val="0"/>
                  <w:sz w:val="24"/>
                  <w:highlight w:val="none"/>
                </w:rPr>
                <w:id w:val="-163994648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b/>
                <w:color w:val="auto"/>
                <w:kern w:val="0"/>
                <w:sz w:val="24"/>
                <w:highlight w:val="none"/>
                <w:lang w:val="zh-CN"/>
              </w:rPr>
            </w:pPr>
            <w:sdt>
              <w:sdtPr>
                <w:rPr>
                  <w:rFonts w:hint="eastAsia" w:ascii="仿宋" w:hAnsi="仿宋" w:eastAsia="仿宋" w:cs="仿宋"/>
                  <w:color w:val="auto"/>
                  <w:kern w:val="0"/>
                  <w:sz w:val="24"/>
                  <w:highlight w:val="none"/>
                </w:rPr>
                <w:id w:val="-185934854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highlight w:val="none"/>
              </w:rPr>
            </w:pPr>
            <w:sdt>
              <w:sdtPr>
                <w:rPr>
                  <w:rFonts w:hint="eastAsia" w:ascii="仿宋" w:hAnsi="仿宋" w:eastAsia="仿宋" w:cs="仿宋"/>
                  <w:color w:val="auto"/>
                  <w:kern w:val="0"/>
                  <w:sz w:val="24"/>
                  <w:highlight w:val="none"/>
                </w:rPr>
                <w:id w:val="-182842570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8"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47488555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标的：</w:t>
            </w:r>
            <w:r>
              <w:rPr>
                <w:rFonts w:hint="eastAsia" w:ascii="仿宋" w:hAnsi="仿宋" w:eastAsia="仿宋" w:cs="仿宋"/>
                <w:color w:val="auto"/>
                <w:kern w:val="0"/>
                <w:sz w:val="24"/>
                <w:highlight w:val="none"/>
                <w:u w:val="single"/>
              </w:rPr>
              <w:t>房建类[原上城区和江干区的采荷街道和四季青街道范围]（一）</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lang w:eastAsia="zh-CN"/>
              </w:rPr>
              <w:t>其他未列明</w:t>
            </w:r>
            <w:r>
              <w:rPr>
                <w:rFonts w:hint="eastAsia" w:ascii="仿宋" w:hAnsi="仿宋" w:eastAsia="仿宋" w:cs="仿宋"/>
                <w:color w:val="auto"/>
                <w:kern w:val="0"/>
                <w:sz w:val="24"/>
                <w:highlight w:val="none"/>
              </w:rPr>
              <w:t>行业；</w:t>
            </w:r>
          </w:p>
          <w:p>
            <w:pPr>
              <w:numPr>
                <w:ilvl w:val="0"/>
                <w:numId w:val="1"/>
              </w:numPr>
              <w:snapToGrid w:val="0"/>
              <w:spacing w:line="360" w:lineRule="auto"/>
              <w:ind w:left="0" w:leftChars="0" w:firstLine="0" w:firstLineChars="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标的：</w:t>
            </w:r>
            <w:r>
              <w:rPr>
                <w:rFonts w:hint="eastAsia" w:ascii="仿宋" w:hAnsi="仿宋" w:eastAsia="仿宋" w:cs="仿宋"/>
                <w:color w:val="auto"/>
                <w:kern w:val="0"/>
                <w:sz w:val="24"/>
                <w:highlight w:val="none"/>
                <w:u w:val="single"/>
              </w:rPr>
              <w:t>房建类[原江干区除去采荷街道和四季青街道范围]（</w:t>
            </w:r>
            <w:r>
              <w:rPr>
                <w:rFonts w:hint="eastAsia" w:ascii="仿宋" w:hAnsi="仿宋" w:eastAsia="仿宋" w:cs="仿宋"/>
                <w:color w:val="auto"/>
                <w:kern w:val="0"/>
                <w:sz w:val="24"/>
                <w:highlight w:val="none"/>
                <w:u w:val="single"/>
                <w:lang w:eastAsia="zh-CN"/>
              </w:rPr>
              <w:t>二</w:t>
            </w:r>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lang w:eastAsia="zh-CN"/>
              </w:rPr>
              <w:t>其他未列明</w:t>
            </w:r>
            <w:r>
              <w:rPr>
                <w:rFonts w:hint="eastAsia" w:ascii="仿宋" w:hAnsi="仿宋" w:eastAsia="仿宋" w:cs="仿宋"/>
                <w:color w:val="auto"/>
                <w:kern w:val="0"/>
                <w:sz w:val="24"/>
                <w:highlight w:val="none"/>
              </w:rPr>
              <w:t>行业；</w:t>
            </w:r>
          </w:p>
          <w:p>
            <w:pPr>
              <w:numPr>
                <w:ilvl w:val="0"/>
                <w:numId w:val="1"/>
              </w:numPr>
              <w:snapToGrid w:val="0"/>
              <w:spacing w:line="360" w:lineRule="auto"/>
              <w:ind w:left="0" w:leftChars="0" w:firstLine="0" w:firstLineChars="0"/>
              <w:rPr>
                <w:rFonts w:hint="eastAsia" w:ascii="仿宋" w:hAnsi="仿宋" w:eastAsia="仿宋" w:cs="仿宋"/>
                <w:color w:val="auto"/>
                <w:highlight w:val="none"/>
                <w:lang w:val="en-US"/>
              </w:rPr>
            </w:pPr>
            <w:r>
              <w:rPr>
                <w:rFonts w:hint="eastAsia" w:ascii="仿宋" w:hAnsi="仿宋" w:eastAsia="仿宋" w:cs="仿宋"/>
                <w:color w:val="auto"/>
                <w:kern w:val="0"/>
                <w:sz w:val="24"/>
                <w:highlight w:val="none"/>
              </w:rPr>
              <w:t>标的：</w:t>
            </w:r>
            <w:r>
              <w:rPr>
                <w:rFonts w:hint="eastAsia" w:ascii="仿宋" w:hAnsi="仿宋" w:eastAsia="仿宋" w:cs="仿宋"/>
                <w:color w:val="auto"/>
                <w:kern w:val="0"/>
                <w:sz w:val="24"/>
                <w:highlight w:val="none"/>
                <w:u w:val="single"/>
              </w:rPr>
              <w:t>市政类[原上城区和原江干区]（三）</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lang w:eastAsia="zh-CN"/>
              </w:rPr>
              <w:t>其他未列明</w:t>
            </w:r>
            <w:r>
              <w:rPr>
                <w:rFonts w:hint="eastAsia" w:ascii="仿宋" w:hAnsi="仿宋" w:eastAsia="仿宋" w:cs="仿宋"/>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 w:hAnsi="仿宋" w:eastAsia="仿宋" w:cs="仿宋"/>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tcBorders>
              <w:left w:val="single" w:color="000000" w:sz="8"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pStyle w:val="2"/>
              <w:rPr>
                <w:rFonts w:hint="eastAsia"/>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highlight w:val="none"/>
              </w:rPr>
            </w:pPr>
            <w:r>
              <w:rPr>
                <w:rFonts w:hint="eastAsia" w:ascii="仿宋" w:hAnsi="仿宋" w:eastAsia="仿宋" w:cs="仿宋"/>
                <w:color w:val="auto"/>
                <w:sz w:val="24"/>
                <w:highlight w:val="none"/>
              </w:rPr>
              <w:t>12</w:t>
            </w:r>
          </w:p>
        </w:tc>
        <w:tc>
          <w:tcPr>
            <w:tcW w:w="1843" w:type="dxa"/>
            <w:tcBorders>
              <w:left w:val="single" w:color="000000" w:sz="2" w:space="0"/>
              <w:right w:val="single" w:color="000000" w:sz="8" w:space="0"/>
            </w:tcBorders>
            <w:vAlign w:val="center"/>
          </w:tcPr>
          <w:p>
            <w:pPr>
              <w:spacing w:line="360" w:lineRule="auto"/>
              <w:rPr>
                <w:rFonts w:hint="eastAsia" w:ascii="仿宋" w:hAnsi="仿宋" w:eastAsia="仿宋" w:cs="仿宋"/>
                <w:color w:val="auto"/>
                <w:highlight w:val="none"/>
              </w:rPr>
            </w:pPr>
            <w:r>
              <w:rPr>
                <w:rFonts w:hint="eastAsia" w:ascii="仿宋" w:hAnsi="仿宋" w:eastAsia="仿宋" w:cs="仿宋"/>
                <w:snapToGrid w:val="0"/>
                <w:color w:val="auto"/>
                <w:kern w:val="28"/>
                <w:sz w:val="24"/>
                <w:highlight w:val="none"/>
              </w:rPr>
              <w:t>采购代理服务费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本项目的采购代理服务费由中标供应商支付。</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lang w:val="en-US" w:eastAsia="zh-CN"/>
              </w:rPr>
              <w:t>1、</w:t>
            </w:r>
            <w:r>
              <w:rPr>
                <w:rFonts w:hint="eastAsia" w:ascii="仿宋" w:hAnsi="仿宋" w:eastAsia="仿宋" w:cs="仿宋"/>
                <w:snapToGrid w:val="0"/>
                <w:color w:val="auto"/>
                <w:kern w:val="28"/>
                <w:sz w:val="24"/>
                <w:highlight w:val="none"/>
              </w:rPr>
              <w:t>计费标准按《计价格［2002］1980号》及《发改办价格［2003］857号》文件规定按服务类收费标准计算</w:t>
            </w:r>
            <w:r>
              <w:rPr>
                <w:rFonts w:hint="eastAsia" w:ascii="仿宋" w:hAnsi="仿宋" w:eastAsia="仿宋" w:cs="仿宋"/>
                <w:snapToGrid w:val="0"/>
                <w:color w:val="auto"/>
                <w:kern w:val="28"/>
                <w:sz w:val="24"/>
                <w:highlight w:val="none"/>
                <w:lang w:eastAsia="zh-CN"/>
              </w:rPr>
              <w:t>，</w:t>
            </w:r>
            <w:r>
              <w:rPr>
                <w:rFonts w:hint="eastAsia" w:ascii="仿宋" w:hAnsi="仿宋" w:eastAsia="仿宋" w:cs="仿宋"/>
                <w:snapToGrid w:val="0"/>
                <w:color w:val="auto"/>
                <w:kern w:val="28"/>
                <w:sz w:val="24"/>
                <w:highlight w:val="none"/>
                <w:lang w:val="en-US" w:eastAsia="zh-CN"/>
              </w:rPr>
              <w:t>低于捌仟元按捌仟元计算</w:t>
            </w:r>
            <w:r>
              <w:rPr>
                <w:rFonts w:hint="eastAsia" w:ascii="仿宋" w:hAnsi="仿宋" w:eastAsia="仿宋" w:cs="仿宋"/>
                <w:snapToGrid w:val="0"/>
                <w:color w:val="auto"/>
                <w:kern w:val="28"/>
                <w:sz w:val="24"/>
                <w:highlight w:val="none"/>
              </w:rPr>
              <w:t>。</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2、结算方式及时间为：在领取中标通知书时由中标供应商一次性向采购代理机构付清。中标结果公告发出后，中标供应商可按中标结果公告上的服务费金额缴纳至如下账号：</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（1）收 款 人：浙江省房地产管理咨询有限公司</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（2）开户银行：杭州银行保俶支行</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（3）账    号：7750 8100 1506 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int="eastAsia" w:ascii="仿宋" w:hAnsi="仿宋" w:eastAsia="仿宋" w:cs="仿宋"/>
                <w:color w:val="auto"/>
                <w:kern w:val="28"/>
                <w:sz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sz w:val="24"/>
                <w:highlight w:val="none"/>
                <w:u w:val="single"/>
              </w:rPr>
              <w:t>杭州市拱墅区绍兴路538号三立时代广场A座12</w:t>
            </w:r>
            <w:r>
              <w:rPr>
                <w:rFonts w:hint="eastAsia" w:ascii="仿宋" w:hAnsi="仿宋" w:eastAsia="仿宋" w:cs="仿宋"/>
                <w:color w:val="auto"/>
                <w:sz w:val="24"/>
                <w:highlight w:val="none"/>
                <w:u w:val="single"/>
                <w:lang w:val="en-US" w:eastAsia="zh-CN"/>
              </w:rPr>
              <w:t>06</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highlight w:val="none"/>
                <w:u w:val="single"/>
                <w:lang w:eastAsia="zh-CN"/>
              </w:rPr>
              <w:t>伍红仙</w:t>
            </w:r>
            <w:r>
              <w:rPr>
                <w:rFonts w:hint="eastAsia" w:ascii="仿宋" w:hAnsi="仿宋" w:eastAsia="仿宋" w:cs="仿宋"/>
                <w:color w:val="auto"/>
                <w:sz w:val="24"/>
                <w:highlight w:val="none"/>
                <w:u w:val="single"/>
                <w:lang w:val="en-US" w:eastAsia="zh-CN"/>
              </w:rPr>
              <w:t>13357106093</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numPr>
                <w:ilvl w:val="0"/>
                <w:numId w:val="2"/>
              </w:numPr>
              <w:spacing w:line="360" w:lineRule="auto"/>
              <w:rPr>
                <w:rFonts w:hint="default"/>
                <w:color w:val="auto"/>
                <w:highlight w:val="none"/>
                <w:lang w:val="en-US" w:eastAsia="zh-TW"/>
              </w:rPr>
            </w:pPr>
            <w:r>
              <w:rPr>
                <w:rFonts w:hint="eastAsia" w:ascii="仿宋" w:hAnsi="仿宋" w:eastAsia="仿宋" w:cs="仿宋"/>
                <w:b/>
                <w:bCs/>
                <w:i/>
                <w:color w:val="auto"/>
                <w:sz w:val="24"/>
                <w:highlight w:val="none"/>
                <w:lang w:eastAsia="zh-TW"/>
              </w:rPr>
              <w:t>本项目共分</w:t>
            </w:r>
            <w:r>
              <w:rPr>
                <w:rFonts w:hint="eastAsia" w:ascii="仿宋" w:hAnsi="仿宋" w:eastAsia="仿宋" w:cs="仿宋"/>
                <w:b/>
                <w:bCs/>
                <w:i/>
                <w:color w:val="auto"/>
                <w:sz w:val="24"/>
                <w:highlight w:val="none"/>
                <w:lang w:eastAsia="zh-CN"/>
              </w:rPr>
              <w:t>三</w:t>
            </w:r>
            <w:r>
              <w:rPr>
                <w:rFonts w:hint="eastAsia" w:ascii="仿宋" w:hAnsi="仿宋" w:eastAsia="仿宋" w:cs="仿宋"/>
                <w:b/>
                <w:bCs/>
                <w:i/>
                <w:color w:val="auto"/>
                <w:sz w:val="24"/>
                <w:highlight w:val="none"/>
                <w:lang w:eastAsia="zh-TW"/>
              </w:rPr>
              <w:t>个标</w:t>
            </w:r>
            <w:r>
              <w:rPr>
                <w:rFonts w:hint="eastAsia" w:ascii="仿宋" w:hAnsi="仿宋" w:eastAsia="仿宋" w:cs="仿宋"/>
                <w:b/>
                <w:bCs/>
                <w:i/>
                <w:color w:val="auto"/>
                <w:sz w:val="24"/>
                <w:highlight w:val="none"/>
              </w:rPr>
              <w:t>项</w:t>
            </w:r>
            <w:r>
              <w:rPr>
                <w:rFonts w:hint="eastAsia" w:ascii="仿宋" w:hAnsi="仿宋" w:eastAsia="仿宋" w:cs="仿宋"/>
                <w:b/>
                <w:bCs/>
                <w:i/>
                <w:color w:val="auto"/>
                <w:sz w:val="24"/>
                <w:highlight w:val="none"/>
                <w:lang w:eastAsia="zh-TW"/>
              </w:rPr>
              <w:t>，</w:t>
            </w:r>
            <w:r>
              <w:rPr>
                <w:rFonts w:hint="eastAsia" w:ascii="仿宋" w:hAnsi="仿宋" w:eastAsia="仿宋" w:cs="仿宋"/>
                <w:b/>
                <w:bCs/>
                <w:i/>
                <w:color w:val="auto"/>
                <w:sz w:val="24"/>
                <w:highlight w:val="none"/>
              </w:rPr>
              <w:t>不同标项需分别制作投标文件，所有投标人可同时参加</w:t>
            </w:r>
            <w:r>
              <w:rPr>
                <w:rFonts w:hint="eastAsia" w:ascii="仿宋" w:hAnsi="仿宋" w:eastAsia="仿宋" w:cs="仿宋"/>
                <w:b/>
                <w:bCs/>
                <w:i/>
                <w:color w:val="auto"/>
                <w:sz w:val="24"/>
                <w:highlight w:val="none"/>
                <w:lang w:eastAsia="zh-CN"/>
              </w:rPr>
              <w:t>三</w:t>
            </w:r>
            <w:r>
              <w:rPr>
                <w:rFonts w:hint="eastAsia" w:ascii="仿宋" w:hAnsi="仿宋" w:eastAsia="仿宋" w:cs="仿宋"/>
                <w:b/>
                <w:bCs/>
                <w:i/>
                <w:color w:val="auto"/>
                <w:sz w:val="24"/>
                <w:highlight w:val="none"/>
              </w:rPr>
              <w:t>个标项的投标。评审小组按标项一、二</w:t>
            </w:r>
            <w:r>
              <w:rPr>
                <w:rFonts w:hint="eastAsia" w:ascii="仿宋" w:hAnsi="仿宋" w:eastAsia="仿宋" w:cs="仿宋"/>
                <w:b/>
                <w:bCs/>
                <w:i/>
                <w:color w:val="auto"/>
                <w:sz w:val="24"/>
                <w:highlight w:val="none"/>
                <w:lang w:eastAsia="zh-CN"/>
              </w:rPr>
              <w:t>、三顺序</w:t>
            </w:r>
            <w:r>
              <w:rPr>
                <w:rFonts w:hint="eastAsia" w:ascii="仿宋" w:hAnsi="仿宋" w:eastAsia="仿宋" w:cs="仿宋"/>
                <w:b/>
                <w:bCs/>
                <w:i/>
                <w:color w:val="auto"/>
                <w:sz w:val="24"/>
                <w:highlight w:val="none"/>
              </w:rPr>
              <w:t>依次分别评审。</w:t>
            </w:r>
            <w:r>
              <w:rPr>
                <w:rFonts w:hint="eastAsia" w:ascii="仿宋" w:hAnsi="仿宋" w:eastAsia="仿宋" w:cs="仿宋"/>
                <w:b/>
                <w:bCs/>
                <w:i/>
                <w:color w:val="auto"/>
                <w:sz w:val="24"/>
                <w:highlight w:val="none"/>
                <w:lang w:val="en-US" w:eastAsia="zh-CN"/>
              </w:rPr>
              <w:t>标项一和标项二不可为同一中标候选人，</w:t>
            </w:r>
            <w:r>
              <w:rPr>
                <w:rFonts w:hint="eastAsia" w:ascii="仿宋" w:hAnsi="仿宋" w:eastAsia="仿宋" w:cs="仿宋"/>
                <w:b/>
                <w:bCs/>
                <w:i/>
                <w:color w:val="auto"/>
                <w:sz w:val="24"/>
                <w:highlight w:val="none"/>
              </w:rPr>
              <w:t>即某投标人被评审推荐为第</w:t>
            </w:r>
            <w:r>
              <w:rPr>
                <w:rFonts w:hint="eastAsia" w:ascii="仿宋" w:hAnsi="仿宋" w:eastAsia="仿宋" w:cs="仿宋"/>
                <w:b/>
                <w:bCs/>
                <w:i/>
                <w:color w:val="auto"/>
                <w:sz w:val="24"/>
                <w:highlight w:val="none"/>
                <w:lang w:eastAsia="zh-CN"/>
              </w:rPr>
              <w:t>一</w:t>
            </w:r>
            <w:r>
              <w:rPr>
                <w:rFonts w:hint="eastAsia" w:ascii="仿宋" w:hAnsi="仿宋" w:eastAsia="仿宋" w:cs="仿宋"/>
                <w:b/>
                <w:bCs/>
                <w:i/>
                <w:color w:val="auto"/>
                <w:sz w:val="24"/>
                <w:highlight w:val="none"/>
              </w:rPr>
              <w:t>标项的第一中标候选人时，第</w:t>
            </w:r>
            <w:r>
              <w:rPr>
                <w:rFonts w:hint="eastAsia" w:ascii="仿宋" w:hAnsi="仿宋" w:eastAsia="仿宋" w:cs="仿宋"/>
                <w:b/>
                <w:bCs/>
                <w:i/>
                <w:color w:val="auto"/>
                <w:sz w:val="24"/>
                <w:highlight w:val="none"/>
                <w:lang w:eastAsia="zh-CN"/>
              </w:rPr>
              <w:t>二</w:t>
            </w:r>
            <w:r>
              <w:rPr>
                <w:rFonts w:hint="eastAsia" w:ascii="仿宋" w:hAnsi="仿宋" w:eastAsia="仿宋" w:cs="仿宋"/>
                <w:b/>
                <w:bCs/>
                <w:i/>
                <w:color w:val="auto"/>
                <w:sz w:val="24"/>
                <w:highlight w:val="none"/>
              </w:rPr>
              <w:t>标项不得作为第一中标候选人推荐，仅适用于第</w:t>
            </w:r>
            <w:r>
              <w:rPr>
                <w:rFonts w:hint="eastAsia" w:ascii="仿宋" w:hAnsi="仿宋" w:eastAsia="仿宋" w:cs="仿宋"/>
                <w:b/>
                <w:bCs/>
                <w:i/>
                <w:color w:val="auto"/>
                <w:sz w:val="24"/>
                <w:highlight w:val="none"/>
                <w:lang w:eastAsia="zh-CN"/>
              </w:rPr>
              <w:t>一</w:t>
            </w:r>
            <w:r>
              <w:rPr>
                <w:rFonts w:hint="eastAsia" w:ascii="仿宋" w:hAnsi="仿宋" w:eastAsia="仿宋" w:cs="仿宋"/>
                <w:b/>
                <w:bCs/>
                <w:i/>
                <w:color w:val="auto"/>
                <w:sz w:val="24"/>
                <w:highlight w:val="none"/>
              </w:rPr>
              <w:t>、</w:t>
            </w:r>
            <w:r>
              <w:rPr>
                <w:rFonts w:hint="eastAsia" w:ascii="仿宋" w:hAnsi="仿宋" w:eastAsia="仿宋" w:cs="仿宋"/>
                <w:b/>
                <w:bCs/>
                <w:i/>
                <w:color w:val="auto"/>
                <w:sz w:val="24"/>
                <w:highlight w:val="none"/>
                <w:lang w:eastAsia="zh-CN"/>
              </w:rPr>
              <w:t>二</w:t>
            </w:r>
            <w:r>
              <w:rPr>
                <w:rFonts w:hint="eastAsia" w:ascii="仿宋" w:hAnsi="仿宋" w:eastAsia="仿宋" w:cs="仿宋"/>
                <w:b/>
                <w:bCs/>
                <w:i/>
                <w:color w:val="auto"/>
                <w:sz w:val="24"/>
                <w:highlight w:val="none"/>
              </w:rPr>
              <w:t>标项。</w:t>
            </w:r>
          </w:p>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bCs/>
                <w:color w:val="auto"/>
                <w:sz w:val="24"/>
                <w:szCs w:val="24"/>
                <w:highlight w:val="none"/>
              </w:rPr>
              <w:t>根据财库〔2020〕46号的相关规定，在评审时对符合本办法规定的中小企业报价给予</w:t>
            </w:r>
            <w:r>
              <w:rPr>
                <w:rFonts w:hint="eastAsia" w:ascii="仿宋" w:hAnsi="仿宋" w:eastAsia="仿宋" w:cs="仿宋"/>
                <w:b/>
                <w:color w:val="auto"/>
                <w:sz w:val="24"/>
                <w:szCs w:val="24"/>
                <w:highlight w:val="none"/>
                <w:u w:val="single"/>
              </w:rPr>
              <w:t xml:space="preserve"> </w:t>
            </w:r>
            <w:r>
              <w:rPr>
                <w:rFonts w:hint="eastAsia" w:ascii="仿宋" w:hAnsi="仿宋" w:eastAsia="仿宋" w:cs="仿宋"/>
                <w:b/>
                <w:color w:val="auto"/>
                <w:sz w:val="24"/>
                <w:szCs w:val="24"/>
                <w:highlight w:val="none"/>
                <w:u w:val="single"/>
                <w:lang w:val="en-US" w:eastAsia="zh-CN"/>
              </w:rPr>
              <w:t>/</w:t>
            </w:r>
            <w:r>
              <w:rPr>
                <w:rFonts w:hint="eastAsia" w:ascii="仿宋" w:hAnsi="仿宋" w:eastAsia="仿宋" w:cs="仿宋"/>
                <w:b/>
                <w:color w:val="auto"/>
                <w:sz w:val="24"/>
                <w:szCs w:val="24"/>
                <w:highlight w:val="none"/>
                <w:u w:val="single"/>
              </w:rPr>
              <w:t xml:space="preserve"> % </w:t>
            </w:r>
            <w:r>
              <w:rPr>
                <w:rFonts w:hint="eastAsia" w:ascii="仿宋" w:hAnsi="仿宋" w:eastAsia="仿宋" w:cs="仿宋"/>
                <w:bCs/>
                <w:color w:val="auto"/>
                <w:sz w:val="24"/>
                <w:szCs w:val="24"/>
                <w:highlight w:val="none"/>
              </w:rPr>
              <w:t>的扣除，取扣除后的价格作为最终投标报价（此最终投标报价仅作为价格分计算）。中小企业参加政府采购活动，应当出具本办法规定的《中小企业声明函》，否则不得享受相关中小企业扶持政策。</w:t>
            </w:r>
          </w:p>
        </w:tc>
      </w:tr>
    </w:tbl>
    <w:p>
      <w:pPr>
        <w:snapToGrid w:val="0"/>
        <w:spacing w:line="360" w:lineRule="auto"/>
        <w:jc w:val="center"/>
        <w:rPr>
          <w:rFonts w:hint="eastAsia" w:ascii="仿宋" w:hAnsi="仿宋" w:eastAsia="仿宋" w:cs="仿宋"/>
          <w:b/>
          <w:color w:val="auto"/>
          <w:sz w:val="32"/>
          <w:szCs w:val="20"/>
          <w:highlight w:val="none"/>
        </w:rPr>
      </w:pPr>
    </w:p>
    <w:bookmarkEnd w:id="10"/>
    <w:p>
      <w:pPr>
        <w:rPr>
          <w:rFonts w:hint="eastAsia" w:ascii="仿宋" w:hAnsi="仿宋" w:eastAsia="仿宋" w:cs="仿宋"/>
          <w:b/>
          <w:color w:val="auto"/>
          <w:sz w:val="32"/>
          <w:szCs w:val="20"/>
          <w:highlight w:val="none"/>
        </w:rPr>
      </w:pPr>
      <w:bookmarkStart w:id="11" w:name="第三部分"/>
      <w:bookmarkStart w:id="12" w:name="_Toc164416483"/>
      <w:r>
        <w:rPr>
          <w:rFonts w:hint="eastAsia" w:ascii="仿宋" w:hAnsi="仿宋" w:eastAsia="仿宋" w:cs="仿宋"/>
          <w:b/>
          <w:color w:val="auto"/>
          <w:sz w:val="32"/>
          <w:szCs w:val="20"/>
          <w:highlight w:val="none"/>
        </w:rPr>
        <w:br w:type="page"/>
      </w: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系指实质性要求条款，“★”系产品采购项目中单一产品或核心产品，“</w:t>
      </w:r>
      <w:sdt>
        <w:sdtPr>
          <w:rPr>
            <w:rFonts w:hint="eastAsia" w:ascii="仿宋" w:hAnsi="仿宋" w:eastAsia="仿宋" w:cs="仿宋"/>
            <w:color w:val="auto"/>
            <w:kern w:val="0"/>
            <w:sz w:val="24"/>
            <w:highlight w:val="none"/>
          </w:rPr>
          <w:id w:val="51297023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 系指适用本项目的要求，“</w:t>
      </w:r>
      <w:sdt>
        <w:sdtPr>
          <w:rPr>
            <w:rFonts w:hint="eastAsia" w:ascii="仿宋" w:hAnsi="仿宋" w:eastAsia="仿宋" w:cs="仿宋"/>
            <w:color w:val="auto"/>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4.2.2.1对招标文件提出质疑的，质疑期限为供应商获得招标文件之日或者招标文件公告期限届满之日起计算。</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34"/>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4.3供应商投诉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128"/>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5"/>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w:t>
      </w:r>
      <w:r>
        <w:rPr>
          <w:rFonts w:hint="eastAsia" w:ascii="仿宋" w:hAnsi="仿宋" w:eastAsia="仿宋" w:cs="仿宋"/>
          <w:color w:val="auto"/>
          <w:sz w:val="24"/>
          <w:highlight w:val="none"/>
          <w:lang w:eastAsia="zh-CN"/>
        </w:rPr>
        <w:t>（如有）</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评标标准相应的商务技术资料；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128"/>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28"/>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28"/>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128"/>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4"/>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但采购人、采购机构不强制或变相强制投标人提交备份投标文件。</w:t>
      </w:r>
    </w:p>
    <w:p>
      <w:pPr>
        <w:pStyle w:val="34"/>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lang w:eastAsia="zh-CN"/>
        </w:rPr>
        <w:t>优盘或</w:t>
      </w:r>
      <w:r>
        <w:rPr>
          <w:rFonts w:hint="eastAsia" w:ascii="仿宋" w:hAnsi="仿宋" w:eastAsia="仿宋" w:cs="仿宋"/>
          <w:color w:val="auto"/>
          <w:sz w:val="24"/>
          <w:highlight w:val="none"/>
        </w:rPr>
        <w:t>光盘</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15.5投标人仅提交备份投标文件，没有在电子交易平台传输递交投标文件的，投标无效。</w:t>
      </w:r>
    </w:p>
    <w:p>
      <w:pPr>
        <w:pStyle w:val="128"/>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5"/>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rPr>
        <w:t>第13项规定</w:t>
      </w:r>
      <w:r>
        <w:rPr>
          <w:rFonts w:hint="eastAsia" w:ascii="仿宋" w:hAnsi="仿宋" w:eastAsia="仿宋" w:cs="仿宋"/>
          <w:color w:val="auto"/>
          <w:szCs w:val="21"/>
          <w:highlight w:val="none"/>
        </w:rPr>
        <w:t>的情形之一的，投标无效：</w:t>
      </w:r>
    </w:p>
    <w:p>
      <w:pPr>
        <w:pStyle w:val="128"/>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hint="eastAsia" w:ascii="仿宋" w:hAnsi="仿宋" w:eastAsia="仿宋" w:cs="仿宋"/>
          <w:b/>
          <w:color w:val="auto"/>
          <w:sz w:val="32"/>
          <w:highlight w:val="none"/>
        </w:rPr>
      </w:pPr>
    </w:p>
    <w:p>
      <w:pPr>
        <w:pStyle w:val="128"/>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4"/>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554"/>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128"/>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128"/>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128"/>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bookmarkStart w:id="13"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128"/>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采购人将自收到评审报告之日起5个工作日内通过电子交易平台在评审报告推荐的中标候选人中按顺序确定中标供应商。</w:t>
      </w:r>
    </w:p>
    <w:p>
      <w:pPr>
        <w:pStyle w:val="128"/>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ascii="仿宋_GB2312" w:hAnsi="仿宋" w:eastAsia="仿宋_GB2312" w:cs="Arial"/>
          <w:kern w:val="0"/>
          <w:sz w:val="24"/>
          <w:highlight w:val="none"/>
        </w:rPr>
      </w:pPr>
      <w:r>
        <w:rPr>
          <w:rFonts w:ascii="仿宋_GB2312" w:hAnsi="仿宋" w:eastAsia="仿宋_GB2312" w:cs="仿宋_GB2312"/>
          <w:sz w:val="24"/>
          <w:highlight w:val="none"/>
        </w:rPr>
        <w:t>25.1</w:t>
      </w:r>
      <w:r>
        <w:rPr>
          <w:rFonts w:ascii="仿宋_GB2312" w:hAnsi="仿宋" w:eastAsia="仿宋_GB2312" w:cs="Arial"/>
          <w:kern w:val="0"/>
          <w:sz w:val="24"/>
          <w:highlight w:val="none"/>
        </w:rPr>
        <w:t xml:space="preserve"> 采购人与中标人应当通过电子交易平台在中标通知书发出之日</w:t>
      </w:r>
      <w:r>
        <w:rPr>
          <w:rFonts w:hint="eastAsia" w:ascii="仿宋_GB2312" w:hAnsi="仿宋" w:eastAsia="仿宋_GB2312" w:cs="Arial"/>
          <w:kern w:val="0"/>
          <w:sz w:val="24"/>
          <w:highlight w:val="none"/>
          <w:lang w:val="en-US" w:eastAsia="zh-CN"/>
        </w:rPr>
        <w:t>10个工作日</w:t>
      </w:r>
      <w:r>
        <w:rPr>
          <w:rFonts w:ascii="仿宋_GB2312" w:hAnsi="仿宋" w:eastAsia="仿宋_GB2312" w:cs="Arial"/>
          <w:kern w:val="0"/>
          <w:sz w:val="24"/>
          <w:highlight w:val="none"/>
        </w:rPr>
        <w:t>内，按照招标文件确定的事项签订政府采购合同，并在</w:t>
      </w:r>
      <w:r>
        <w:rPr>
          <w:rFonts w:hint="eastAsia" w:ascii="仿宋_GB2312" w:hAnsi="仿宋" w:eastAsia="仿宋_GB2312" w:cs="Arial"/>
          <w:kern w:val="0"/>
          <w:sz w:val="24"/>
          <w:highlight w:val="none"/>
        </w:rPr>
        <w:t>合同签订之日</w:t>
      </w:r>
      <w:r>
        <w:rPr>
          <w:rFonts w:hint="eastAsia" w:ascii="仿宋_GB2312" w:hAnsi="仿宋" w:eastAsia="仿宋_GB2312" w:cs="Arial"/>
          <w:kern w:val="0"/>
          <w:sz w:val="24"/>
          <w:highlight w:val="none"/>
          <w:lang w:eastAsia="zh-CN"/>
        </w:rPr>
        <w:t>当天</w:t>
      </w:r>
      <w:r>
        <w:rPr>
          <w:rFonts w:ascii="仿宋_GB2312" w:hAnsi="仿宋" w:eastAsia="仿宋_GB2312" w:cs="Arial"/>
          <w:kern w:val="0"/>
          <w:sz w:val="24"/>
          <w:highlight w:val="none"/>
        </w:rPr>
        <w:t>依法发布合同公告。</w:t>
      </w:r>
    </w:p>
    <w:p>
      <w:pPr>
        <w:pStyle w:val="128"/>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w:t>
      </w:r>
      <w:r>
        <w:rPr>
          <w:rFonts w:hint="eastAsia" w:ascii="仿宋" w:hAnsi="仿宋" w:eastAsia="仿宋" w:cs="仿宋"/>
          <w:color w:val="auto"/>
          <w:sz w:val="24"/>
          <w:highlight w:val="none"/>
          <w:lang w:val="en-US" w:eastAsia="zh-CN"/>
        </w:rPr>
        <w:t>2.5</w:t>
      </w:r>
      <w:r>
        <w:rPr>
          <w:rFonts w:hint="eastAsia" w:ascii="仿宋" w:hAnsi="仿宋" w:eastAsia="仿宋" w:cs="仿宋"/>
          <w:color w:val="auto"/>
          <w:sz w:val="24"/>
          <w:highlight w:val="none"/>
        </w:rPr>
        <w:t>%。鼓励和支持供应商以银行、保险公司出具的保函形式提供履约保证金。</w:t>
      </w:r>
      <w:r>
        <w:rPr>
          <w:rFonts w:hint="eastAsia" w:ascii="仿宋" w:hAnsi="仿宋" w:eastAsia="仿宋" w:cs="仿宋"/>
          <w:b/>
          <w:color w:val="auto"/>
          <w:sz w:val="24"/>
          <w:highlight w:val="none"/>
        </w:rPr>
        <w:t>采购人不得拒收履约保函。</w:t>
      </w:r>
    </w:p>
    <w:p>
      <w:pPr>
        <w:tabs>
          <w:tab w:val="left" w:pos="0"/>
        </w:tabs>
        <w:spacing w:line="360" w:lineRule="auto"/>
        <w:ind w:firstLine="482"/>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 w:hAnsi="仿宋" w:eastAsia="仿宋" w:cs="仿宋"/>
          <w:color w:val="auto"/>
          <w:sz w:val="24"/>
          <w:szCs w:val="20"/>
          <w:highlight w:val="none"/>
          <w:lang w:val="en-US" w:eastAsia="zh-CN"/>
        </w:rPr>
        <w:t>2.5</w:t>
      </w:r>
      <w:r>
        <w:rPr>
          <w:rFonts w:hint="eastAsia" w:ascii="仿宋" w:hAnsi="仿宋" w:eastAsia="仿宋" w:cs="仿宋"/>
          <w:color w:val="auto"/>
          <w:sz w:val="24"/>
          <w:szCs w:val="20"/>
          <w:highlight w:val="none"/>
        </w:rPr>
        <w:t>%。</w:t>
      </w:r>
    </w:p>
    <w:p>
      <w:pPr>
        <w:pStyle w:val="2"/>
        <w:ind w:left="0" w:firstLine="480" w:firstLineChars="200"/>
        <w:rPr>
          <w:rFonts w:hint="eastAsia" w:ascii="仿宋" w:hAnsi="仿宋" w:eastAsia="仿宋" w:cs="仿宋"/>
          <w:color w:val="auto"/>
          <w:highlight w:val="none"/>
          <w:lang w:val="en-US"/>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28"/>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128"/>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5"/>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72998"/>
      <w:bookmarkEnd w:id="14"/>
      <w:bookmarkStart w:id="15" w:name="_Hlt74730295"/>
      <w:bookmarkEnd w:id="15"/>
      <w:bookmarkStart w:id="16" w:name="_Hlt74729768"/>
      <w:bookmarkEnd w:id="16"/>
      <w:bookmarkStart w:id="17" w:name="_Hlt75236101"/>
      <w:bookmarkEnd w:id="17"/>
      <w:bookmarkStart w:id="18" w:name="_Hlt68403820"/>
      <w:bookmarkEnd w:id="18"/>
      <w:bookmarkStart w:id="19" w:name="_Hlt75236011"/>
      <w:bookmarkEnd w:id="19"/>
      <w:bookmarkStart w:id="20" w:name="_Hlt74707468"/>
      <w:bookmarkEnd w:id="20"/>
      <w:bookmarkStart w:id="21" w:name="_Hlt68073093"/>
      <w:bookmarkEnd w:id="21"/>
      <w:bookmarkStart w:id="22" w:name="_Hlt68072990"/>
      <w:bookmarkEnd w:id="22"/>
      <w:bookmarkStart w:id="23" w:name="_Hlt68057669"/>
      <w:bookmarkEnd w:id="23"/>
      <w:bookmarkStart w:id="24" w:name="_Hlt74714665"/>
      <w:bookmarkEnd w:id="24"/>
      <w:bookmarkStart w:id="25" w:name="_Hlt75236290"/>
      <w:bookmarkEnd w:id="25"/>
    </w:p>
    <w:bookmarkEnd w:id="11"/>
    <w:bookmarkEnd w:id="12"/>
    <w:p>
      <w:pPr>
        <w:spacing w:line="360" w:lineRule="auto"/>
        <w:jc w:val="center"/>
        <w:outlineLvl w:val="0"/>
        <w:rPr>
          <w:rFonts w:hint="eastAsia" w:ascii="仿宋" w:hAnsi="仿宋" w:eastAsia="仿宋" w:cs="仿宋"/>
          <w:b/>
          <w:color w:val="auto"/>
          <w:sz w:val="36"/>
          <w:szCs w:val="36"/>
          <w:highlight w:val="none"/>
        </w:rPr>
      </w:pPr>
      <w:bookmarkStart w:id="26" w:name="第四部分"/>
      <w:r>
        <w:rPr>
          <w:rFonts w:hint="eastAsia" w:ascii="仿宋" w:hAnsi="仿宋" w:eastAsia="仿宋" w:cs="仿宋"/>
          <w:b/>
          <w:color w:val="auto"/>
          <w:sz w:val="36"/>
          <w:szCs w:val="36"/>
          <w:highlight w:val="none"/>
        </w:rPr>
        <w:t>第三部分   采购需求</w:t>
      </w:r>
    </w:p>
    <w:p>
      <w:pPr>
        <w:adjustRightInd w:val="0"/>
        <w:snapToGrid w:val="0"/>
        <w:spacing w:line="360" w:lineRule="auto"/>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一、项目名称：</w:t>
      </w:r>
    </w:p>
    <w:p>
      <w:pPr>
        <w:adjustRightInd w:val="0"/>
        <w:snapToGrid w:val="0"/>
        <w:spacing w:line="360" w:lineRule="auto"/>
        <w:ind w:firstLine="480" w:firstLineChars="200"/>
        <w:rPr>
          <w:rFonts w:hint="eastAsia" w:ascii="仿宋" w:hAnsi="仿宋" w:eastAsia="仿宋" w:cs="仿宋"/>
          <w:color w:val="auto"/>
          <w:sz w:val="24"/>
          <w:szCs w:val="24"/>
          <w:highlight w:val="none"/>
          <w:shd w:val="clear" w:color="auto" w:fill="auto"/>
          <w:lang w:eastAsia="zh-CN"/>
        </w:rPr>
      </w:pPr>
      <w:r>
        <w:rPr>
          <w:rFonts w:hint="eastAsia" w:ascii="仿宋" w:hAnsi="仿宋" w:eastAsia="仿宋" w:cs="仿宋"/>
          <w:color w:val="auto"/>
          <w:sz w:val="24"/>
          <w:szCs w:val="24"/>
          <w:highlight w:val="none"/>
          <w:shd w:val="clear" w:color="auto" w:fill="auto"/>
          <w:lang w:eastAsia="zh-CN"/>
        </w:rPr>
        <w:t>杭州市上城区住房和城市建设局2022年度施工图审查服务项目（重新招标）</w:t>
      </w:r>
    </w:p>
    <w:p>
      <w:pPr>
        <w:adjustRightInd w:val="0"/>
        <w:snapToGrid w:val="0"/>
        <w:spacing w:line="360" w:lineRule="auto"/>
        <w:rPr>
          <w:rFonts w:hint="eastAsia" w:ascii="仿宋" w:hAnsi="仿宋" w:eastAsia="仿宋" w:cs="仿宋"/>
          <w:b/>
          <w:color w:val="auto"/>
          <w:sz w:val="24"/>
          <w:szCs w:val="24"/>
          <w:highlight w:val="none"/>
          <w:shd w:val="clear" w:color="auto" w:fill="auto"/>
        </w:rPr>
      </w:pPr>
      <w:bookmarkStart w:id="27" w:name="_Toc151354173"/>
      <w:r>
        <w:rPr>
          <w:rFonts w:hint="eastAsia" w:ascii="仿宋" w:hAnsi="仿宋" w:eastAsia="仿宋" w:cs="仿宋"/>
          <w:b/>
          <w:color w:val="auto"/>
          <w:sz w:val="24"/>
          <w:szCs w:val="24"/>
          <w:highlight w:val="none"/>
          <w:shd w:val="clear" w:color="auto" w:fill="auto"/>
        </w:rPr>
        <w:t>二、项目预算：</w:t>
      </w:r>
    </w:p>
    <w:p>
      <w:pPr>
        <w:snapToGrid w:val="0"/>
        <w:spacing w:line="360" w:lineRule="auto"/>
        <w:ind w:firstLine="480" w:firstLineChars="200"/>
        <w:rPr>
          <w:rFonts w:hint="eastAsia" w:ascii="仿宋" w:hAnsi="仿宋" w:eastAsia="仿宋" w:cs="仿宋"/>
          <w:b/>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项目总预算为</w:t>
      </w:r>
      <w:r>
        <w:rPr>
          <w:rFonts w:hint="eastAsia" w:ascii="仿宋" w:hAnsi="仿宋" w:eastAsia="仿宋" w:cs="仿宋"/>
          <w:color w:val="auto"/>
          <w:sz w:val="24"/>
          <w:szCs w:val="24"/>
          <w:highlight w:val="none"/>
          <w:shd w:val="clear" w:color="auto" w:fill="auto"/>
          <w:lang w:val="en-US" w:eastAsia="zh-CN"/>
        </w:rPr>
        <w:t>900</w:t>
      </w:r>
      <w:r>
        <w:rPr>
          <w:rFonts w:hint="eastAsia" w:ascii="仿宋" w:hAnsi="仿宋" w:eastAsia="仿宋" w:cs="仿宋"/>
          <w:color w:val="auto"/>
          <w:sz w:val="24"/>
          <w:szCs w:val="24"/>
          <w:highlight w:val="none"/>
          <w:shd w:val="clear" w:color="auto" w:fill="auto"/>
        </w:rPr>
        <w:t>万元。</w:t>
      </w:r>
    </w:p>
    <w:p>
      <w:pPr>
        <w:snapToGrid w:val="0"/>
        <w:spacing w:line="360" w:lineRule="auto"/>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三、招标项目工作内容及要求：</w:t>
      </w:r>
    </w:p>
    <w:bookmarkEnd w:id="27"/>
    <w:p>
      <w:pPr>
        <w:snapToGrid w:val="0"/>
        <w:spacing w:line="360" w:lineRule="auto"/>
        <w:ind w:firstLine="470" w:firstLineChars="196"/>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1、标项设置情况：</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6796"/>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930" w:type="dxa"/>
            <w:noWrap w:val="0"/>
            <w:vAlign w:val="center"/>
          </w:tcPr>
          <w:p>
            <w:pPr>
              <w:pStyle w:val="781"/>
              <w:widowControl w:val="0"/>
              <w:snapToGrid w:val="0"/>
              <w:spacing w:line="360" w:lineRule="auto"/>
              <w:jc w:val="center"/>
              <w:rPr>
                <w:rFonts w:hint="eastAsia" w:ascii="仿宋" w:hAnsi="仿宋" w:eastAsia="仿宋" w:cs="仿宋"/>
                <w:b/>
                <w:bCs/>
                <w:color w:val="auto"/>
                <w:sz w:val="24"/>
                <w:szCs w:val="24"/>
                <w:highlight w:val="none"/>
                <w:shd w:val="clear" w:color="auto" w:fill="auto"/>
              </w:rPr>
            </w:pPr>
            <w:r>
              <w:rPr>
                <w:rFonts w:hint="eastAsia" w:ascii="仿宋" w:hAnsi="仿宋" w:eastAsia="仿宋" w:cs="仿宋"/>
                <w:b/>
                <w:bCs/>
                <w:color w:val="auto"/>
                <w:sz w:val="24"/>
                <w:szCs w:val="24"/>
                <w:highlight w:val="none"/>
                <w:shd w:val="clear" w:color="auto" w:fill="auto"/>
              </w:rPr>
              <w:t>标项</w:t>
            </w:r>
          </w:p>
        </w:tc>
        <w:tc>
          <w:tcPr>
            <w:tcW w:w="6796" w:type="dxa"/>
            <w:noWrap w:val="0"/>
            <w:vAlign w:val="center"/>
          </w:tcPr>
          <w:p>
            <w:pPr>
              <w:pStyle w:val="781"/>
              <w:widowControl w:val="0"/>
              <w:snapToGrid w:val="0"/>
              <w:spacing w:line="360" w:lineRule="auto"/>
              <w:jc w:val="center"/>
              <w:rPr>
                <w:rFonts w:hint="eastAsia" w:ascii="仿宋" w:hAnsi="仿宋" w:eastAsia="仿宋" w:cs="仿宋"/>
                <w:b/>
                <w:bCs/>
                <w:color w:val="auto"/>
                <w:sz w:val="24"/>
                <w:szCs w:val="24"/>
                <w:highlight w:val="none"/>
                <w:shd w:val="clear" w:color="auto" w:fill="auto"/>
              </w:rPr>
            </w:pPr>
            <w:r>
              <w:rPr>
                <w:rFonts w:hint="eastAsia" w:ascii="仿宋" w:hAnsi="仿宋" w:eastAsia="仿宋" w:cs="仿宋"/>
                <w:b/>
                <w:bCs/>
                <w:color w:val="auto"/>
                <w:sz w:val="24"/>
                <w:szCs w:val="24"/>
                <w:highlight w:val="none"/>
                <w:shd w:val="clear" w:color="auto" w:fill="auto"/>
              </w:rPr>
              <w:t>标项名称</w:t>
            </w:r>
          </w:p>
        </w:tc>
        <w:tc>
          <w:tcPr>
            <w:tcW w:w="1125" w:type="dxa"/>
            <w:noWrap w:val="0"/>
            <w:vAlign w:val="center"/>
          </w:tcPr>
          <w:p>
            <w:pPr>
              <w:pStyle w:val="781"/>
              <w:widowControl w:val="0"/>
              <w:snapToGrid w:val="0"/>
              <w:spacing w:line="360" w:lineRule="auto"/>
              <w:jc w:val="center"/>
              <w:rPr>
                <w:rFonts w:hint="eastAsia" w:ascii="仿宋" w:hAnsi="仿宋" w:eastAsia="仿宋" w:cs="仿宋"/>
                <w:b/>
                <w:bCs/>
                <w:color w:val="auto"/>
                <w:sz w:val="24"/>
                <w:szCs w:val="24"/>
                <w:highlight w:val="none"/>
                <w:shd w:val="clear" w:color="auto" w:fill="auto"/>
              </w:rPr>
            </w:pPr>
            <w:r>
              <w:rPr>
                <w:rFonts w:hint="eastAsia" w:ascii="仿宋" w:hAnsi="仿宋" w:eastAsia="仿宋" w:cs="仿宋"/>
                <w:b/>
                <w:bCs/>
                <w:color w:val="auto"/>
                <w:sz w:val="24"/>
                <w:szCs w:val="24"/>
                <w:highlight w:val="none"/>
                <w:shd w:val="clear" w:color="auto" w:fill="auto"/>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pStyle w:val="781"/>
              <w:widowControl w:val="0"/>
              <w:snapToGrid w:val="0"/>
              <w:spacing w:line="360" w:lineRule="auto"/>
              <w:jc w:val="center"/>
              <w:rPr>
                <w:rFonts w:hint="eastAsia" w:ascii="仿宋" w:hAnsi="仿宋" w:eastAsia="仿宋" w:cs="仿宋"/>
                <w:b/>
                <w:bCs/>
                <w:color w:val="auto"/>
                <w:sz w:val="24"/>
                <w:szCs w:val="24"/>
                <w:highlight w:val="none"/>
                <w:shd w:val="clear" w:color="auto" w:fill="auto"/>
              </w:rPr>
            </w:pPr>
            <w:r>
              <w:rPr>
                <w:rFonts w:hint="eastAsia" w:ascii="仿宋" w:hAnsi="仿宋" w:eastAsia="仿宋" w:cs="仿宋"/>
                <w:b/>
                <w:bCs/>
                <w:color w:val="auto"/>
                <w:sz w:val="24"/>
                <w:szCs w:val="24"/>
                <w:highlight w:val="none"/>
                <w:shd w:val="clear" w:color="auto" w:fill="auto"/>
              </w:rPr>
              <w:t>一</w:t>
            </w:r>
          </w:p>
        </w:tc>
        <w:tc>
          <w:tcPr>
            <w:tcW w:w="6796" w:type="dxa"/>
            <w:noWrap w:val="0"/>
            <w:vAlign w:val="center"/>
          </w:tcPr>
          <w:p>
            <w:pPr>
              <w:pStyle w:val="781"/>
              <w:widowControl w:val="0"/>
              <w:snapToGrid w:val="0"/>
              <w:spacing w:line="360" w:lineRule="auto"/>
              <w:jc w:val="center"/>
              <w:rPr>
                <w:rFonts w:hint="eastAsia" w:ascii="仿宋" w:hAnsi="仿宋" w:eastAsia="仿宋" w:cs="仿宋"/>
                <w:b w:val="0"/>
                <w:bCs w:val="0"/>
                <w:color w:val="auto"/>
                <w:kern w:val="0"/>
                <w:sz w:val="24"/>
                <w:szCs w:val="24"/>
                <w:highlight w:val="none"/>
                <w:shd w:val="clear" w:color="auto" w:fill="auto"/>
                <w:lang w:val="en-US" w:eastAsia="zh-CN" w:bidi="ar-SA"/>
              </w:rPr>
            </w:pPr>
            <w:r>
              <w:rPr>
                <w:rFonts w:hint="eastAsia" w:ascii="仿宋" w:hAnsi="仿宋" w:eastAsia="仿宋" w:cs="仿宋"/>
                <w:b w:val="0"/>
                <w:bCs w:val="0"/>
                <w:color w:val="auto"/>
                <w:kern w:val="0"/>
                <w:sz w:val="24"/>
                <w:szCs w:val="24"/>
                <w:highlight w:val="none"/>
                <w:shd w:val="clear" w:color="auto" w:fill="auto"/>
                <w:lang w:val="en-US" w:eastAsia="zh-CN" w:bidi="ar-SA"/>
              </w:rPr>
              <w:t>房建类[原上城区和江干区的采荷街道和四季青街道范围]（一）</w:t>
            </w:r>
          </w:p>
        </w:tc>
        <w:tc>
          <w:tcPr>
            <w:tcW w:w="1125" w:type="dxa"/>
            <w:noWrap w:val="0"/>
            <w:vAlign w:val="center"/>
          </w:tcPr>
          <w:p>
            <w:pPr>
              <w:pStyle w:val="781"/>
              <w:widowControl w:val="0"/>
              <w:snapToGrid w:val="0"/>
              <w:spacing w:line="360" w:lineRule="auto"/>
              <w:jc w:val="center"/>
              <w:rPr>
                <w:rFonts w:hint="eastAsia" w:ascii="仿宋" w:hAnsi="仿宋" w:eastAsia="仿宋" w:cs="仿宋"/>
                <w:b/>
                <w:bCs/>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lang w:val="en-US" w:eastAsia="zh-CN"/>
              </w:rPr>
              <w:t>430</w:t>
            </w:r>
            <w:r>
              <w:rPr>
                <w:rFonts w:hint="eastAsia" w:ascii="仿宋" w:hAnsi="仿宋" w:eastAsia="仿宋" w:cs="仿宋"/>
                <w:color w:val="auto"/>
                <w:sz w:val="24"/>
                <w:szCs w:val="24"/>
                <w:highlight w:val="none"/>
                <w:shd w:val="clear" w:color="auto" w:fil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30" w:type="dxa"/>
            <w:noWrap w:val="0"/>
            <w:vAlign w:val="center"/>
          </w:tcPr>
          <w:p>
            <w:pPr>
              <w:pStyle w:val="781"/>
              <w:widowControl w:val="0"/>
              <w:snapToGrid w:val="0"/>
              <w:spacing w:line="360" w:lineRule="auto"/>
              <w:jc w:val="center"/>
              <w:rPr>
                <w:rFonts w:hint="eastAsia" w:ascii="仿宋" w:hAnsi="仿宋" w:eastAsia="仿宋" w:cs="仿宋"/>
                <w:b/>
                <w:bCs/>
                <w:color w:val="auto"/>
                <w:kern w:val="0"/>
                <w:sz w:val="24"/>
                <w:szCs w:val="24"/>
                <w:highlight w:val="none"/>
                <w:shd w:val="clear" w:color="auto" w:fill="auto"/>
                <w:lang w:val="en-US" w:eastAsia="zh-CN" w:bidi="ar-SA"/>
              </w:rPr>
            </w:pPr>
            <w:r>
              <w:rPr>
                <w:rFonts w:hint="eastAsia" w:ascii="仿宋" w:hAnsi="仿宋" w:eastAsia="仿宋" w:cs="仿宋"/>
                <w:b/>
                <w:bCs/>
                <w:color w:val="auto"/>
                <w:sz w:val="24"/>
                <w:szCs w:val="24"/>
                <w:highlight w:val="none"/>
                <w:shd w:val="clear" w:color="auto" w:fill="auto"/>
                <w:lang w:eastAsia="zh-CN"/>
              </w:rPr>
              <w:t>二</w:t>
            </w:r>
          </w:p>
        </w:tc>
        <w:tc>
          <w:tcPr>
            <w:tcW w:w="6796" w:type="dxa"/>
            <w:noWrap w:val="0"/>
            <w:vAlign w:val="center"/>
          </w:tcPr>
          <w:p>
            <w:pPr>
              <w:snapToGrid w:val="0"/>
              <w:spacing w:line="360" w:lineRule="auto"/>
              <w:jc w:val="center"/>
              <w:rPr>
                <w:rFonts w:hint="eastAsia" w:ascii="仿宋" w:hAnsi="仿宋" w:eastAsia="仿宋" w:cs="仿宋"/>
                <w:b w:val="0"/>
                <w:bCs w:val="0"/>
                <w:color w:val="auto"/>
                <w:kern w:val="0"/>
                <w:sz w:val="24"/>
                <w:szCs w:val="24"/>
                <w:highlight w:val="none"/>
                <w:shd w:val="clear" w:color="auto" w:fill="auto"/>
                <w:lang w:val="en-US" w:eastAsia="zh-CN" w:bidi="ar-SA"/>
              </w:rPr>
            </w:pPr>
            <w:r>
              <w:rPr>
                <w:rFonts w:hint="eastAsia" w:ascii="仿宋" w:hAnsi="仿宋" w:eastAsia="仿宋" w:cs="仿宋"/>
                <w:b w:val="0"/>
                <w:bCs w:val="0"/>
                <w:color w:val="auto"/>
                <w:kern w:val="0"/>
                <w:sz w:val="24"/>
                <w:szCs w:val="24"/>
                <w:highlight w:val="none"/>
                <w:shd w:val="clear" w:color="auto" w:fill="auto"/>
                <w:lang w:val="en-US" w:eastAsia="zh-CN" w:bidi="ar-SA"/>
              </w:rPr>
              <w:t>房建类[原江干区除去采荷街道和四季青街道范围]（二）</w:t>
            </w:r>
          </w:p>
        </w:tc>
        <w:tc>
          <w:tcPr>
            <w:tcW w:w="1125" w:type="dxa"/>
            <w:noWrap w:val="0"/>
            <w:vAlign w:val="center"/>
          </w:tcPr>
          <w:p>
            <w:pPr>
              <w:snapToGrid w:val="0"/>
              <w:spacing w:line="360" w:lineRule="auto"/>
              <w:jc w:val="center"/>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val="en-US" w:eastAsia="zh-CN"/>
              </w:rPr>
              <w:t>430</w:t>
            </w:r>
            <w:r>
              <w:rPr>
                <w:rFonts w:hint="eastAsia" w:ascii="仿宋" w:hAnsi="仿宋" w:eastAsia="仿宋" w:cs="仿宋"/>
                <w:color w:val="auto"/>
                <w:sz w:val="24"/>
                <w:szCs w:val="24"/>
                <w:highlight w:val="none"/>
                <w:shd w:val="clear" w:color="auto" w:fil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pStyle w:val="781"/>
              <w:widowControl w:val="0"/>
              <w:snapToGrid w:val="0"/>
              <w:spacing w:line="360" w:lineRule="auto"/>
              <w:jc w:val="center"/>
              <w:rPr>
                <w:rFonts w:hint="eastAsia" w:ascii="仿宋" w:hAnsi="仿宋" w:eastAsia="仿宋" w:cs="仿宋"/>
                <w:b/>
                <w:bCs/>
                <w:color w:val="auto"/>
                <w:sz w:val="24"/>
                <w:szCs w:val="24"/>
                <w:highlight w:val="none"/>
                <w:shd w:val="clear" w:color="auto" w:fill="auto"/>
                <w:lang w:eastAsia="zh-CN"/>
              </w:rPr>
            </w:pPr>
            <w:r>
              <w:rPr>
                <w:rFonts w:hint="eastAsia" w:ascii="仿宋" w:hAnsi="仿宋" w:eastAsia="仿宋" w:cs="仿宋"/>
                <w:b/>
                <w:bCs/>
                <w:color w:val="auto"/>
                <w:sz w:val="24"/>
                <w:szCs w:val="24"/>
                <w:highlight w:val="none"/>
                <w:shd w:val="clear" w:color="auto" w:fill="auto"/>
                <w:lang w:eastAsia="zh-CN"/>
              </w:rPr>
              <w:t>三</w:t>
            </w:r>
          </w:p>
        </w:tc>
        <w:tc>
          <w:tcPr>
            <w:tcW w:w="6796" w:type="dxa"/>
            <w:noWrap w:val="0"/>
            <w:vAlign w:val="center"/>
          </w:tcPr>
          <w:p>
            <w:pPr>
              <w:snapToGrid w:val="0"/>
              <w:spacing w:line="360" w:lineRule="auto"/>
              <w:jc w:val="center"/>
              <w:rPr>
                <w:rFonts w:hint="eastAsia" w:ascii="仿宋" w:hAnsi="仿宋" w:eastAsia="仿宋" w:cs="仿宋"/>
                <w:b w:val="0"/>
                <w:bCs w:val="0"/>
                <w:color w:val="auto"/>
                <w:kern w:val="0"/>
                <w:sz w:val="24"/>
                <w:szCs w:val="24"/>
                <w:highlight w:val="none"/>
                <w:shd w:val="clear" w:color="auto" w:fill="auto"/>
                <w:lang w:val="en-US" w:eastAsia="zh-CN" w:bidi="ar-SA"/>
              </w:rPr>
            </w:pPr>
            <w:r>
              <w:rPr>
                <w:rFonts w:hint="eastAsia" w:ascii="仿宋" w:hAnsi="仿宋" w:eastAsia="仿宋" w:cs="仿宋"/>
                <w:snapToGrid w:val="0"/>
                <w:color w:val="auto"/>
                <w:kern w:val="28"/>
                <w:sz w:val="24"/>
                <w:szCs w:val="20"/>
                <w:highlight w:val="none"/>
                <w:lang w:val="en-US" w:eastAsia="zh-CN"/>
              </w:rPr>
              <w:t>市政</w:t>
            </w:r>
            <w:r>
              <w:rPr>
                <w:rFonts w:hint="eastAsia" w:ascii="仿宋" w:hAnsi="仿宋" w:eastAsia="仿宋" w:cs="仿宋"/>
                <w:snapToGrid w:val="0"/>
                <w:color w:val="auto"/>
                <w:kern w:val="28"/>
                <w:sz w:val="24"/>
                <w:szCs w:val="20"/>
                <w:highlight w:val="none"/>
              </w:rPr>
              <w:t>类（</w:t>
            </w:r>
            <w:r>
              <w:rPr>
                <w:rFonts w:hint="eastAsia" w:ascii="仿宋" w:hAnsi="仿宋" w:eastAsia="仿宋" w:cs="仿宋"/>
                <w:snapToGrid w:val="0"/>
                <w:color w:val="auto"/>
                <w:kern w:val="28"/>
                <w:sz w:val="24"/>
                <w:szCs w:val="20"/>
                <w:highlight w:val="none"/>
                <w:lang w:eastAsia="zh-CN"/>
              </w:rPr>
              <w:t>三</w:t>
            </w:r>
            <w:r>
              <w:rPr>
                <w:rFonts w:hint="eastAsia" w:ascii="仿宋" w:hAnsi="仿宋" w:eastAsia="仿宋" w:cs="仿宋"/>
                <w:snapToGrid w:val="0"/>
                <w:color w:val="auto"/>
                <w:kern w:val="28"/>
                <w:sz w:val="24"/>
                <w:szCs w:val="20"/>
                <w:highlight w:val="none"/>
              </w:rPr>
              <w:t>）</w:t>
            </w:r>
          </w:p>
        </w:tc>
        <w:tc>
          <w:tcPr>
            <w:tcW w:w="1125" w:type="dxa"/>
            <w:noWrap w:val="0"/>
            <w:vAlign w:val="center"/>
          </w:tcPr>
          <w:p>
            <w:pPr>
              <w:snapToGrid w:val="0"/>
              <w:spacing w:line="360" w:lineRule="auto"/>
              <w:jc w:val="center"/>
              <w:rPr>
                <w:rFonts w:hint="default"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val="en-US" w:eastAsia="zh-CN"/>
              </w:rPr>
              <w:t>40万元</w:t>
            </w:r>
          </w:p>
        </w:tc>
      </w:tr>
    </w:tbl>
    <w:p>
      <w:pPr>
        <w:numPr>
          <w:ilvl w:val="0"/>
          <w:numId w:val="2"/>
        </w:numPr>
        <w:spacing w:line="360" w:lineRule="auto"/>
        <w:rPr>
          <w:rFonts w:hint="eastAsia" w:ascii="仿宋" w:hAnsi="仿宋" w:eastAsia="仿宋" w:cs="仿宋"/>
          <w:b/>
          <w:bCs/>
          <w:color w:val="auto"/>
          <w:sz w:val="24"/>
          <w:szCs w:val="24"/>
          <w:highlight w:val="none"/>
          <w:shd w:val="clear" w:color="auto" w:fill="auto"/>
        </w:rPr>
      </w:pPr>
      <w:r>
        <w:rPr>
          <w:rFonts w:hint="eastAsia" w:ascii="仿宋" w:hAnsi="仿宋" w:eastAsia="仿宋" w:cs="仿宋"/>
          <w:b/>
          <w:bCs/>
          <w:color w:val="auto"/>
          <w:sz w:val="24"/>
          <w:szCs w:val="24"/>
          <w:highlight w:val="none"/>
          <w:shd w:val="clear" w:color="auto" w:fill="auto"/>
        </w:rPr>
        <w:t>说明：参与本项目的投标人可对本项目的1个或多个进行投标，</w:t>
      </w:r>
      <w:r>
        <w:rPr>
          <w:rFonts w:hint="eastAsia" w:ascii="仿宋" w:hAnsi="仿宋" w:eastAsia="仿宋" w:cs="仿宋"/>
          <w:b/>
          <w:bCs/>
          <w:i/>
          <w:color w:val="auto"/>
          <w:sz w:val="24"/>
          <w:highlight w:val="none"/>
          <w:lang w:eastAsia="zh-TW"/>
        </w:rPr>
        <w:t>本项目共分</w:t>
      </w:r>
      <w:r>
        <w:rPr>
          <w:rFonts w:hint="eastAsia" w:ascii="仿宋" w:hAnsi="仿宋" w:eastAsia="仿宋" w:cs="仿宋"/>
          <w:b/>
          <w:bCs/>
          <w:i/>
          <w:color w:val="auto"/>
          <w:sz w:val="24"/>
          <w:highlight w:val="none"/>
          <w:lang w:eastAsia="zh-CN"/>
        </w:rPr>
        <w:t>三</w:t>
      </w:r>
      <w:r>
        <w:rPr>
          <w:rFonts w:hint="eastAsia" w:ascii="仿宋" w:hAnsi="仿宋" w:eastAsia="仿宋" w:cs="仿宋"/>
          <w:b/>
          <w:bCs/>
          <w:i/>
          <w:color w:val="auto"/>
          <w:sz w:val="24"/>
          <w:highlight w:val="none"/>
          <w:lang w:eastAsia="zh-TW"/>
        </w:rPr>
        <w:t>个标</w:t>
      </w:r>
      <w:r>
        <w:rPr>
          <w:rFonts w:hint="eastAsia" w:ascii="仿宋" w:hAnsi="仿宋" w:eastAsia="仿宋" w:cs="仿宋"/>
          <w:b/>
          <w:bCs/>
          <w:i/>
          <w:color w:val="auto"/>
          <w:sz w:val="24"/>
          <w:highlight w:val="none"/>
        </w:rPr>
        <w:t>项</w:t>
      </w:r>
      <w:r>
        <w:rPr>
          <w:rFonts w:hint="eastAsia" w:ascii="仿宋" w:hAnsi="仿宋" w:eastAsia="仿宋" w:cs="仿宋"/>
          <w:b/>
          <w:bCs/>
          <w:i/>
          <w:color w:val="auto"/>
          <w:sz w:val="24"/>
          <w:highlight w:val="none"/>
          <w:lang w:eastAsia="zh-TW"/>
        </w:rPr>
        <w:t>，</w:t>
      </w:r>
      <w:r>
        <w:rPr>
          <w:rFonts w:hint="eastAsia" w:ascii="仿宋" w:hAnsi="仿宋" w:eastAsia="仿宋" w:cs="仿宋"/>
          <w:b/>
          <w:bCs/>
          <w:i/>
          <w:color w:val="auto"/>
          <w:sz w:val="24"/>
          <w:highlight w:val="none"/>
        </w:rPr>
        <w:t>不同标项需分别制作投标文件，所有投标人可同时参加</w:t>
      </w:r>
      <w:r>
        <w:rPr>
          <w:rFonts w:hint="eastAsia" w:ascii="仿宋" w:hAnsi="仿宋" w:eastAsia="仿宋" w:cs="仿宋"/>
          <w:b/>
          <w:bCs/>
          <w:i/>
          <w:color w:val="auto"/>
          <w:sz w:val="24"/>
          <w:highlight w:val="none"/>
          <w:lang w:eastAsia="zh-CN"/>
        </w:rPr>
        <w:t>三</w:t>
      </w:r>
      <w:r>
        <w:rPr>
          <w:rFonts w:hint="eastAsia" w:ascii="仿宋" w:hAnsi="仿宋" w:eastAsia="仿宋" w:cs="仿宋"/>
          <w:b/>
          <w:bCs/>
          <w:i/>
          <w:color w:val="auto"/>
          <w:sz w:val="24"/>
          <w:highlight w:val="none"/>
        </w:rPr>
        <w:t>个标项的投标。评审小组按标项一、二</w:t>
      </w:r>
      <w:r>
        <w:rPr>
          <w:rFonts w:hint="eastAsia" w:ascii="仿宋" w:hAnsi="仿宋" w:eastAsia="仿宋" w:cs="仿宋"/>
          <w:b/>
          <w:bCs/>
          <w:i/>
          <w:color w:val="auto"/>
          <w:sz w:val="24"/>
          <w:highlight w:val="none"/>
          <w:lang w:eastAsia="zh-CN"/>
        </w:rPr>
        <w:t>、三顺序</w:t>
      </w:r>
      <w:r>
        <w:rPr>
          <w:rFonts w:hint="eastAsia" w:ascii="仿宋" w:hAnsi="仿宋" w:eastAsia="仿宋" w:cs="仿宋"/>
          <w:b/>
          <w:bCs/>
          <w:i/>
          <w:color w:val="auto"/>
          <w:sz w:val="24"/>
          <w:highlight w:val="none"/>
        </w:rPr>
        <w:t>依次分别评审。</w:t>
      </w:r>
      <w:r>
        <w:rPr>
          <w:rFonts w:hint="eastAsia" w:ascii="仿宋" w:hAnsi="仿宋" w:eastAsia="仿宋" w:cs="仿宋"/>
          <w:b/>
          <w:bCs/>
          <w:i/>
          <w:color w:val="auto"/>
          <w:sz w:val="24"/>
          <w:highlight w:val="none"/>
          <w:lang w:val="en-US" w:eastAsia="zh-CN"/>
        </w:rPr>
        <w:t>标项一和标项二不可为同一中标候选人，</w:t>
      </w:r>
      <w:r>
        <w:rPr>
          <w:rFonts w:hint="eastAsia" w:ascii="仿宋" w:hAnsi="仿宋" w:eastAsia="仿宋" w:cs="仿宋"/>
          <w:b/>
          <w:bCs/>
          <w:i/>
          <w:color w:val="auto"/>
          <w:sz w:val="24"/>
          <w:highlight w:val="none"/>
        </w:rPr>
        <w:t>即某投标人被评审推荐为第</w:t>
      </w:r>
      <w:r>
        <w:rPr>
          <w:rFonts w:hint="eastAsia" w:ascii="仿宋" w:hAnsi="仿宋" w:eastAsia="仿宋" w:cs="仿宋"/>
          <w:b/>
          <w:bCs/>
          <w:i/>
          <w:color w:val="auto"/>
          <w:sz w:val="24"/>
          <w:highlight w:val="none"/>
          <w:lang w:eastAsia="zh-CN"/>
        </w:rPr>
        <w:t>一</w:t>
      </w:r>
      <w:r>
        <w:rPr>
          <w:rFonts w:hint="eastAsia" w:ascii="仿宋" w:hAnsi="仿宋" w:eastAsia="仿宋" w:cs="仿宋"/>
          <w:b/>
          <w:bCs/>
          <w:i/>
          <w:color w:val="auto"/>
          <w:sz w:val="24"/>
          <w:highlight w:val="none"/>
        </w:rPr>
        <w:t>标项的第一中标候选人时，第</w:t>
      </w:r>
      <w:r>
        <w:rPr>
          <w:rFonts w:hint="eastAsia" w:ascii="仿宋" w:hAnsi="仿宋" w:eastAsia="仿宋" w:cs="仿宋"/>
          <w:b/>
          <w:bCs/>
          <w:i/>
          <w:color w:val="auto"/>
          <w:sz w:val="24"/>
          <w:highlight w:val="none"/>
          <w:lang w:eastAsia="zh-CN"/>
        </w:rPr>
        <w:t>二</w:t>
      </w:r>
      <w:r>
        <w:rPr>
          <w:rFonts w:hint="eastAsia" w:ascii="仿宋" w:hAnsi="仿宋" w:eastAsia="仿宋" w:cs="仿宋"/>
          <w:b/>
          <w:bCs/>
          <w:i/>
          <w:color w:val="auto"/>
          <w:sz w:val="24"/>
          <w:highlight w:val="none"/>
        </w:rPr>
        <w:t>标项不得作为第一中标候选人推荐，仅适用于第</w:t>
      </w:r>
      <w:r>
        <w:rPr>
          <w:rFonts w:hint="eastAsia" w:ascii="仿宋" w:hAnsi="仿宋" w:eastAsia="仿宋" w:cs="仿宋"/>
          <w:b/>
          <w:bCs/>
          <w:i/>
          <w:color w:val="auto"/>
          <w:sz w:val="24"/>
          <w:highlight w:val="none"/>
          <w:lang w:eastAsia="zh-CN"/>
        </w:rPr>
        <w:t>一</w:t>
      </w:r>
      <w:r>
        <w:rPr>
          <w:rFonts w:hint="eastAsia" w:ascii="仿宋" w:hAnsi="仿宋" w:eastAsia="仿宋" w:cs="仿宋"/>
          <w:b/>
          <w:bCs/>
          <w:i/>
          <w:color w:val="auto"/>
          <w:sz w:val="24"/>
          <w:highlight w:val="none"/>
        </w:rPr>
        <w:t>、</w:t>
      </w:r>
      <w:r>
        <w:rPr>
          <w:rFonts w:hint="eastAsia" w:ascii="仿宋" w:hAnsi="仿宋" w:eastAsia="仿宋" w:cs="仿宋"/>
          <w:b/>
          <w:bCs/>
          <w:i/>
          <w:color w:val="auto"/>
          <w:sz w:val="24"/>
          <w:highlight w:val="none"/>
          <w:lang w:eastAsia="zh-CN"/>
        </w:rPr>
        <w:t>二</w:t>
      </w:r>
      <w:r>
        <w:rPr>
          <w:rFonts w:hint="eastAsia" w:ascii="仿宋" w:hAnsi="仿宋" w:eastAsia="仿宋" w:cs="仿宋"/>
          <w:b/>
          <w:bCs/>
          <w:i/>
          <w:color w:val="auto"/>
          <w:sz w:val="24"/>
          <w:highlight w:val="none"/>
        </w:rPr>
        <w:t>标项</w:t>
      </w:r>
      <w:r>
        <w:rPr>
          <w:rFonts w:hint="eastAsia" w:ascii="仿宋" w:hAnsi="仿宋" w:eastAsia="仿宋" w:cs="仿宋"/>
          <w:b/>
          <w:bCs/>
          <w:i/>
          <w:color w:val="auto"/>
          <w:sz w:val="24"/>
          <w:highlight w:val="none"/>
          <w:lang w:eastAsia="zh-CN"/>
        </w:rPr>
        <w:t>。</w:t>
      </w:r>
      <w:r>
        <w:rPr>
          <w:rFonts w:hint="eastAsia" w:ascii="仿宋" w:hAnsi="仿宋" w:eastAsia="仿宋" w:cs="仿宋"/>
          <w:b/>
          <w:bCs/>
          <w:color w:val="auto"/>
          <w:sz w:val="24"/>
          <w:szCs w:val="24"/>
          <w:highlight w:val="none"/>
          <w:shd w:val="clear" w:color="auto" w:fill="auto"/>
        </w:rPr>
        <w:t>投递多个标项的供应商需按照标项分别上传投标文件。</w:t>
      </w:r>
    </w:p>
    <w:p>
      <w:pPr>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2、施工图审查工作主要内容（包括但不限于）</w:t>
      </w:r>
    </w:p>
    <w:p>
      <w:pPr>
        <w:adjustRightInd w:val="0"/>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按照《房屋建筑和市政基础设施工程施工图设计文件审查管理办法》（建设部第13号令）等国家现行的有关法律、法规和规章、规定以及批文和批复意见等作为依据，对项目的施工图设计文件进行审查，对审查合格的，出具审查合格书。主要服务内容包括：</w:t>
      </w:r>
    </w:p>
    <w:p>
      <w:pPr>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（一）是否符合工程建设强制性标准；</w:t>
      </w:r>
    </w:p>
    <w:p>
      <w:pPr>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（二）地基基础和主体结构的安全性；</w:t>
      </w:r>
    </w:p>
    <w:p>
      <w:pPr>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（三）消防安全性；</w:t>
      </w:r>
    </w:p>
    <w:p>
      <w:pPr>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（四）人防工程（不含人防指挥工程）防护安全性；</w:t>
      </w:r>
    </w:p>
    <w:p>
      <w:pPr>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（五）是否符合民用建筑节能强制性标准，对执行绿色建筑标准的项目，还应当审查是否符合绿色建筑标准；</w:t>
      </w:r>
    </w:p>
    <w:p>
      <w:pPr>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（六）勘察设计企业和注册执业人员以及相关人员是否按规定在施工图上加盖相应的图章和签字；</w:t>
      </w:r>
    </w:p>
    <w:p>
      <w:pPr>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（七）法律、法规、规章规定必须审查的其他内容。</w:t>
      </w:r>
    </w:p>
    <w:p>
      <w:pPr>
        <w:tabs>
          <w:tab w:val="left" w:pos="3870"/>
          <w:tab w:val="left" w:pos="4085"/>
        </w:tabs>
        <w:autoSpaceDE w:val="0"/>
        <w:autoSpaceDN w:val="0"/>
        <w:adjustRightInd w:val="0"/>
        <w:snapToGrid w:val="0"/>
        <w:spacing w:line="360" w:lineRule="auto"/>
        <w:ind w:firstLine="482" w:firstLineChars="200"/>
        <w:jc w:val="left"/>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四、其他</w:t>
      </w:r>
    </w:p>
    <w:p>
      <w:pPr>
        <w:tabs>
          <w:tab w:val="left" w:pos="3870"/>
          <w:tab w:val="left" w:pos="4085"/>
        </w:tabs>
        <w:autoSpaceDE w:val="0"/>
        <w:autoSpaceDN w:val="0"/>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1、施工图设计文件审查机构失去审查资格或出现严重失职导致重大质量安全事故的情况，暂停参与委托业务，直至条件具备。</w:t>
      </w:r>
    </w:p>
    <w:p>
      <w:pPr>
        <w:tabs>
          <w:tab w:val="left" w:pos="3870"/>
          <w:tab w:val="left" w:pos="4085"/>
        </w:tabs>
        <w:autoSpaceDE w:val="0"/>
        <w:autoSpaceDN w:val="0"/>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2、服务地点：杭州市地区。</w:t>
      </w:r>
    </w:p>
    <w:p>
      <w:pPr>
        <w:tabs>
          <w:tab w:val="left" w:pos="3870"/>
          <w:tab w:val="left" w:pos="4085"/>
        </w:tabs>
        <w:autoSpaceDE w:val="0"/>
        <w:autoSpaceDN w:val="0"/>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3、服务期限：</w:t>
      </w:r>
      <w:r>
        <w:rPr>
          <w:rFonts w:hint="eastAsia" w:ascii="仿宋" w:hAnsi="仿宋" w:eastAsia="仿宋" w:cs="仿宋"/>
          <w:color w:val="auto"/>
          <w:sz w:val="24"/>
          <w:szCs w:val="24"/>
          <w:highlight w:val="none"/>
          <w:shd w:val="clear" w:color="auto" w:fill="auto"/>
          <w:lang w:val="en-US" w:eastAsia="zh-CN"/>
        </w:rPr>
        <w:t>自</w:t>
      </w:r>
      <w:r>
        <w:rPr>
          <w:rFonts w:hint="eastAsia" w:ascii="仿宋" w:hAnsi="仿宋" w:eastAsia="仿宋" w:cs="仿宋"/>
          <w:color w:val="auto"/>
          <w:sz w:val="24"/>
          <w:szCs w:val="24"/>
          <w:highlight w:val="none"/>
          <w:shd w:val="clear" w:color="auto" w:fill="auto"/>
        </w:rPr>
        <w:t>合同签订之日</w:t>
      </w:r>
      <w:r>
        <w:rPr>
          <w:rFonts w:hint="eastAsia" w:ascii="仿宋" w:hAnsi="仿宋" w:eastAsia="仿宋" w:cs="仿宋"/>
          <w:color w:val="auto"/>
          <w:sz w:val="24"/>
          <w:szCs w:val="24"/>
          <w:highlight w:val="none"/>
          <w:shd w:val="clear" w:color="auto" w:fill="auto"/>
          <w:lang w:val="en-US" w:eastAsia="zh-CN"/>
        </w:rPr>
        <w:t>一年</w:t>
      </w:r>
      <w:r>
        <w:rPr>
          <w:rFonts w:hint="eastAsia" w:ascii="仿宋" w:hAnsi="仿宋" w:eastAsia="仿宋" w:cs="仿宋"/>
          <w:color w:val="auto"/>
          <w:sz w:val="24"/>
          <w:szCs w:val="24"/>
          <w:highlight w:val="none"/>
          <w:shd w:val="clear" w:color="auto" w:fill="auto"/>
        </w:rPr>
        <w:t>。</w:t>
      </w:r>
    </w:p>
    <w:p>
      <w:pPr>
        <w:tabs>
          <w:tab w:val="left" w:pos="3870"/>
          <w:tab w:val="left" w:pos="4085"/>
        </w:tabs>
        <w:autoSpaceDE w:val="0"/>
        <w:autoSpaceDN w:val="0"/>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如中标供应商在服务期内违反合同约定或经考核不合格，采购单位有权提前终止合同，并给予网上通报，给采购人造成损失的，中标供应商须承担赔偿责任，同时根据相关国家规定及约定承担其他民事责任。</w:t>
      </w:r>
    </w:p>
    <w:p>
      <w:pPr>
        <w:numPr>
          <w:ilvl w:val="0"/>
          <w:numId w:val="3"/>
        </w:numPr>
        <w:tabs>
          <w:tab w:val="left" w:pos="3870"/>
          <w:tab w:val="left" w:pos="4085"/>
        </w:tabs>
        <w:autoSpaceDE w:val="0"/>
        <w:autoSpaceDN w:val="0"/>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保障合同履行的措施及其他需要说明的事项：因项目性质特殊，今年已产生的施工图审费用，按本次中标价结算给相关单位。</w:t>
      </w:r>
    </w:p>
    <w:p>
      <w:pPr>
        <w:numPr>
          <w:ilvl w:val="0"/>
          <w:numId w:val="3"/>
        </w:numPr>
        <w:tabs>
          <w:tab w:val="left" w:pos="3870"/>
          <w:tab w:val="left" w:pos="4085"/>
        </w:tabs>
        <w:autoSpaceDE w:val="0"/>
        <w:autoSpaceDN w:val="0"/>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lang w:val="en-US" w:eastAsia="zh-CN"/>
        </w:rPr>
        <w:t>中标单位的审查范围若不能包含</w:t>
      </w:r>
      <w:r>
        <w:rPr>
          <w:rFonts w:hint="eastAsia" w:ascii="仿宋" w:hAnsi="仿宋" w:eastAsia="仿宋" w:cs="仿宋"/>
          <w:color w:val="auto"/>
          <w:sz w:val="24"/>
          <w:szCs w:val="24"/>
          <w:highlight w:val="none"/>
          <w:shd w:val="clear" w:color="auto" w:fill="auto"/>
          <w:lang w:eastAsia="zh-CN"/>
        </w:rPr>
        <w:t>超限高层类、石油化工、市政（燃气工程）</w:t>
      </w:r>
      <w:r>
        <w:rPr>
          <w:rFonts w:hint="eastAsia" w:ascii="仿宋" w:hAnsi="仿宋" w:eastAsia="仿宋" w:cs="仿宋"/>
          <w:color w:val="auto"/>
          <w:sz w:val="24"/>
          <w:szCs w:val="24"/>
          <w:highlight w:val="none"/>
          <w:shd w:val="clear" w:color="auto" w:fill="auto"/>
          <w:lang w:val="en-US" w:eastAsia="zh-CN"/>
        </w:rPr>
        <w:t xml:space="preserve">等，则由采购人另行委托发包 </w:t>
      </w:r>
      <w:r>
        <w:rPr>
          <w:rFonts w:hint="eastAsia" w:ascii="仿宋" w:hAnsi="仿宋" w:eastAsia="仿宋" w:cs="仿宋"/>
          <w:color w:val="auto"/>
          <w:sz w:val="24"/>
          <w:szCs w:val="24"/>
          <w:highlight w:val="none"/>
          <w:shd w:val="clear" w:color="auto" w:fill="auto"/>
          <w:lang w:eastAsia="zh-CN"/>
        </w:rPr>
        <w:t>。</w:t>
      </w:r>
    </w:p>
    <w:p>
      <w:pPr>
        <w:numPr>
          <w:ilvl w:val="0"/>
          <w:numId w:val="3"/>
        </w:numPr>
        <w:tabs>
          <w:tab w:val="left" w:pos="3870"/>
          <w:tab w:val="left" w:pos="4085"/>
        </w:tabs>
        <w:autoSpaceDE w:val="0"/>
        <w:autoSpaceDN w:val="0"/>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审查期限：施工图联合审查原则上不超过下列时限：</w:t>
      </w:r>
    </w:p>
    <w:p>
      <w:pPr>
        <w:tabs>
          <w:tab w:val="left" w:pos="3870"/>
          <w:tab w:val="left" w:pos="4085"/>
        </w:tabs>
        <w:autoSpaceDE w:val="0"/>
        <w:autoSpaceDN w:val="0"/>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施工图审查机构须在十二个工作日内完成施工图审查，并根据审查情况作出审查结论：</w:t>
      </w:r>
    </w:p>
    <w:p>
      <w:pPr>
        <w:tabs>
          <w:tab w:val="left" w:pos="3870"/>
          <w:tab w:val="left" w:pos="4085"/>
        </w:tabs>
        <w:autoSpaceDE w:val="0"/>
        <w:autoSpaceDN w:val="0"/>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(一）审查合格的，施工图审查机构应当出具审查合格书，并在全套施工图上加盖审查专用章。</w:t>
      </w:r>
    </w:p>
    <w:p>
      <w:pPr>
        <w:tabs>
          <w:tab w:val="left" w:pos="3870"/>
          <w:tab w:val="left" w:pos="4085"/>
        </w:tabs>
        <w:autoSpaceDE w:val="0"/>
        <w:autoSpaceDN w:val="0"/>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(二）审查不合格的，施工图审查机构应当出具本次施工图审查不予通过的结论，并说明不合格原因。</w:t>
      </w:r>
    </w:p>
    <w:p>
      <w:pPr>
        <w:widowControl/>
        <w:adjustRightInd w:val="0"/>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备注：审查时限存在变化的可能性，按相关要求执行。</w:t>
      </w:r>
    </w:p>
    <w:p>
      <w:pPr>
        <w:adjustRightInd w:val="0"/>
        <w:snapToGrid w:val="0"/>
        <w:spacing w:line="360" w:lineRule="auto"/>
        <w:ind w:firstLine="482" w:firstLineChars="200"/>
        <w:rPr>
          <w:rFonts w:hint="eastAsia" w:ascii="仿宋" w:hAnsi="仿宋" w:eastAsia="仿宋" w:cs="仿宋"/>
          <w:b/>
          <w:bCs/>
          <w:color w:val="auto"/>
          <w:sz w:val="24"/>
          <w:szCs w:val="24"/>
          <w:highlight w:val="none"/>
          <w:shd w:val="clear" w:color="auto" w:fill="auto"/>
        </w:rPr>
      </w:pPr>
      <w:r>
        <w:rPr>
          <w:rFonts w:hint="eastAsia" w:ascii="仿宋" w:hAnsi="仿宋" w:eastAsia="仿宋" w:cs="仿宋"/>
          <w:b/>
          <w:bCs/>
          <w:color w:val="auto"/>
          <w:sz w:val="24"/>
          <w:szCs w:val="24"/>
          <w:highlight w:val="none"/>
          <w:shd w:val="clear" w:color="auto" w:fill="auto"/>
        </w:rPr>
        <w:t>▲</w:t>
      </w:r>
      <w:r>
        <w:rPr>
          <w:rFonts w:hint="eastAsia" w:ascii="仿宋" w:hAnsi="仿宋" w:eastAsia="仿宋" w:cs="仿宋"/>
          <w:b/>
          <w:bCs/>
          <w:color w:val="auto"/>
          <w:sz w:val="24"/>
          <w:szCs w:val="24"/>
          <w:highlight w:val="none"/>
          <w:shd w:val="clear" w:color="auto" w:fill="auto"/>
          <w:lang w:val="en-US" w:eastAsia="zh-CN"/>
        </w:rPr>
        <w:t>7</w:t>
      </w:r>
      <w:r>
        <w:rPr>
          <w:rFonts w:hint="eastAsia" w:ascii="仿宋" w:hAnsi="仿宋" w:eastAsia="仿宋" w:cs="仿宋"/>
          <w:b/>
          <w:bCs/>
          <w:color w:val="auto"/>
          <w:sz w:val="24"/>
          <w:szCs w:val="24"/>
          <w:highlight w:val="none"/>
          <w:shd w:val="clear" w:color="auto" w:fill="auto"/>
        </w:rPr>
        <w:t>、报价要求：本项目按报价标准的折扣率进行报价，即折扣率=图审费/报价标准。折扣率须≤100%。（报价标准：浙江省八部门联合发文（浙建[2017]6号文）附件</w:t>
      </w:r>
      <w:r>
        <w:rPr>
          <w:rFonts w:hint="eastAsia" w:ascii="仿宋" w:hAnsi="仿宋" w:eastAsia="仿宋" w:cs="仿宋"/>
          <w:b/>
          <w:bCs/>
          <w:color w:val="auto"/>
          <w:sz w:val="24"/>
          <w:szCs w:val="24"/>
          <w:highlight w:val="none"/>
          <w:shd w:val="clear" w:color="auto" w:fill="auto"/>
          <w:lang w:eastAsia="zh-CN"/>
        </w:rPr>
        <w:t>：</w:t>
      </w:r>
      <w:r>
        <w:rPr>
          <w:rFonts w:hint="eastAsia" w:ascii="仿宋" w:hAnsi="仿宋" w:eastAsia="仿宋" w:cs="仿宋"/>
          <w:b/>
          <w:bCs/>
          <w:color w:val="auto"/>
          <w:sz w:val="24"/>
          <w:szCs w:val="24"/>
          <w:highlight w:val="none"/>
          <w:shd w:val="clear" w:color="auto" w:fill="auto"/>
        </w:rPr>
        <w:t>浙江省施工图联合审查结算标准及杭州市结算细则）</w:t>
      </w:r>
    </w:p>
    <w:p>
      <w:pPr>
        <w:numPr>
          <w:ilvl w:val="0"/>
          <w:numId w:val="0"/>
        </w:numPr>
        <w:autoSpaceDE w:val="0"/>
        <w:spacing w:line="360" w:lineRule="auto"/>
        <w:ind w:firstLine="480" w:firstLineChars="200"/>
        <w:jc w:val="left"/>
        <w:rPr>
          <w:rFonts w:hint="eastAsia" w:ascii="仿宋" w:hAnsi="仿宋" w:eastAsia="仿宋" w:cs="仿宋"/>
          <w:b/>
          <w:color w:val="auto"/>
          <w:sz w:val="36"/>
          <w:szCs w:val="36"/>
          <w:highlight w:val="none"/>
        </w:rPr>
      </w:pPr>
      <w:r>
        <w:rPr>
          <w:rFonts w:hint="eastAsia" w:ascii="仿宋" w:hAnsi="仿宋" w:eastAsia="仿宋" w:cs="仿宋"/>
          <w:color w:val="auto"/>
          <w:sz w:val="24"/>
          <w:szCs w:val="24"/>
          <w:highlight w:val="none"/>
          <w:shd w:val="clear" w:color="auto" w:fill="auto"/>
          <w:lang w:val="en-US" w:eastAsia="zh-CN" w:bidi="ar"/>
        </w:rPr>
        <w:t>8、验收标准</w:t>
      </w:r>
      <w:r>
        <w:rPr>
          <w:rFonts w:hint="eastAsia" w:ascii="仿宋" w:hAnsi="仿宋" w:eastAsia="仿宋" w:cs="仿宋"/>
          <w:color w:val="auto"/>
          <w:sz w:val="24"/>
          <w:szCs w:val="24"/>
          <w:highlight w:val="none"/>
          <w:shd w:val="clear" w:color="auto" w:fill="auto"/>
          <w:lang w:bidi="ar"/>
        </w:rPr>
        <w:t>：</w:t>
      </w:r>
      <w:r>
        <w:rPr>
          <w:rFonts w:hint="eastAsia" w:ascii="仿宋" w:hAnsi="仿宋" w:eastAsia="仿宋" w:cs="仿宋"/>
          <w:color w:val="auto"/>
          <w:sz w:val="24"/>
          <w:szCs w:val="24"/>
          <w:highlight w:val="none"/>
          <w:shd w:val="clear" w:color="auto" w:fill="auto"/>
          <w:lang w:val="en-US" w:eastAsia="zh-CN" w:bidi="ar"/>
        </w:rPr>
        <w:t>以通过主管部门备案为验收标准。</w:t>
      </w:r>
      <w:r>
        <w:rPr>
          <w:rFonts w:hint="eastAsia" w:ascii="仿宋" w:hAnsi="仿宋" w:eastAsia="仿宋" w:cs="仿宋"/>
          <w:color w:val="auto"/>
          <w:sz w:val="24"/>
          <w:szCs w:val="24"/>
          <w:highlight w:val="none"/>
          <w:shd w:val="clear" w:color="auto" w:fill="auto"/>
          <w:lang w:bidi="ar"/>
        </w:rPr>
        <w:t>单个项目的合格书备案作为验收方式，</w:t>
      </w:r>
      <w:r>
        <w:rPr>
          <w:rFonts w:hint="eastAsia" w:ascii="仿宋" w:hAnsi="仿宋" w:eastAsia="仿宋" w:cs="仿宋"/>
          <w:color w:val="auto"/>
          <w:sz w:val="24"/>
          <w:szCs w:val="24"/>
          <w:highlight w:val="none"/>
          <w:shd w:val="clear" w:color="auto" w:fill="auto"/>
          <w:lang w:val="en-US" w:eastAsia="zh-CN" w:bidi="ar"/>
        </w:rPr>
        <w:t>经主管部门</w:t>
      </w:r>
      <w:r>
        <w:rPr>
          <w:rFonts w:hint="eastAsia" w:ascii="仿宋" w:hAnsi="仿宋" w:eastAsia="仿宋" w:cs="仿宋"/>
          <w:color w:val="auto"/>
          <w:sz w:val="24"/>
          <w:szCs w:val="24"/>
          <w:highlight w:val="none"/>
          <w:shd w:val="clear" w:color="auto" w:fill="auto"/>
          <w:lang w:bidi="ar"/>
        </w:rPr>
        <w:t>备案通过即验收合格。</w:t>
      </w:r>
    </w:p>
    <w:p>
      <w:pPr>
        <w:spacing w:line="360" w:lineRule="auto"/>
        <w:rPr>
          <w:rFonts w:hint="eastAsia" w:ascii="仿宋" w:hAnsi="仿宋" w:eastAsia="仿宋" w:cs="仿宋"/>
          <w:color w:val="auto"/>
          <w:sz w:val="24"/>
          <w:highlight w:val="none"/>
        </w:rPr>
      </w:pPr>
    </w:p>
    <w:p>
      <w:pPr>
        <w:widowControl/>
        <w:ind w:firstLine="720" w:firstLineChars="300"/>
        <w:jc w:val="left"/>
        <w:rPr>
          <w:rFonts w:hint="eastAsia" w:ascii="仿宋" w:hAnsi="仿宋" w:eastAsia="仿宋" w:cs="仿宋"/>
          <w:bCs/>
          <w:color w:val="auto"/>
          <w:sz w:val="24"/>
          <w:highlight w:val="none"/>
        </w:rPr>
      </w:pPr>
    </w:p>
    <w:p>
      <w:pPr>
        <w:rPr>
          <w:rFonts w:hint="eastAsia" w:ascii="仿宋" w:hAnsi="仿宋" w:eastAsia="仿宋" w:cs="仿宋"/>
          <w:snapToGrid w:val="0"/>
          <w:color w:val="auto"/>
          <w:kern w:val="0"/>
          <w:sz w:val="24"/>
          <w:highlight w:val="none"/>
        </w:rPr>
      </w:pPr>
    </w:p>
    <w:p>
      <w:pPr>
        <w:snapToGrid w:val="0"/>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36"/>
          <w:szCs w:val="36"/>
          <w:highlight w:val="none"/>
        </w:rPr>
        <w:t xml:space="preserve">第四部分   </w:t>
      </w:r>
      <w:bookmarkStart w:id="28" w:name="_Toc184312124"/>
      <w:bookmarkEnd w:id="28"/>
      <w:bookmarkStart w:id="29" w:name="_Toc184314474"/>
      <w:bookmarkEnd w:id="29"/>
      <w:bookmarkStart w:id="30" w:name="_Toc184308062"/>
      <w:bookmarkEnd w:id="30"/>
      <w:bookmarkStart w:id="31" w:name="_Toc184314415"/>
      <w:bookmarkEnd w:id="31"/>
      <w:bookmarkStart w:id="32" w:name="_Toc184314410"/>
      <w:bookmarkEnd w:id="32"/>
      <w:bookmarkStart w:id="33" w:name="_Toc184313261"/>
      <w:bookmarkEnd w:id="33"/>
      <w:bookmarkStart w:id="34" w:name="_Toc184313244"/>
      <w:bookmarkEnd w:id="34"/>
      <w:bookmarkStart w:id="35" w:name="_Toc184312078"/>
      <w:bookmarkEnd w:id="35"/>
      <w:bookmarkStart w:id="36" w:name="_Toc184313279"/>
      <w:bookmarkEnd w:id="36"/>
      <w:bookmarkStart w:id="37" w:name="_Toc184312092"/>
      <w:bookmarkEnd w:id="37"/>
      <w:bookmarkStart w:id="38" w:name="_Toc184312121"/>
      <w:bookmarkEnd w:id="38"/>
      <w:bookmarkStart w:id="39" w:name="_Toc184312072"/>
      <w:bookmarkEnd w:id="39"/>
      <w:bookmarkStart w:id="40" w:name="_Toc184310309"/>
      <w:bookmarkEnd w:id="40"/>
      <w:bookmarkStart w:id="41" w:name="_Toc184314453"/>
      <w:bookmarkEnd w:id="41"/>
      <w:bookmarkStart w:id="42" w:name="_Toc184308065"/>
      <w:bookmarkEnd w:id="42"/>
      <w:bookmarkStart w:id="43" w:name="_Toc184314479"/>
      <w:bookmarkEnd w:id="43"/>
      <w:bookmarkStart w:id="44" w:name="_Toc184313276"/>
      <w:bookmarkEnd w:id="44"/>
      <w:bookmarkStart w:id="45" w:name="_Toc184314448"/>
      <w:bookmarkEnd w:id="45"/>
      <w:bookmarkStart w:id="46" w:name="_Toc184313293"/>
      <w:bookmarkEnd w:id="46"/>
      <w:bookmarkStart w:id="47" w:name="_Toc184310319"/>
      <w:bookmarkEnd w:id="47"/>
      <w:bookmarkStart w:id="48" w:name="_Toc184312134"/>
      <w:bookmarkEnd w:id="48"/>
      <w:bookmarkStart w:id="49" w:name="_Toc184310283"/>
      <w:bookmarkEnd w:id="49"/>
      <w:bookmarkStart w:id="50" w:name="_Toc184310344"/>
      <w:bookmarkEnd w:id="50"/>
      <w:bookmarkStart w:id="51" w:name="_Toc184308051"/>
      <w:bookmarkEnd w:id="51"/>
      <w:bookmarkStart w:id="52" w:name="_Toc184314444"/>
      <w:bookmarkEnd w:id="52"/>
      <w:bookmarkStart w:id="53" w:name="_Toc184308086"/>
      <w:bookmarkEnd w:id="53"/>
      <w:bookmarkStart w:id="54" w:name="_Toc184312077"/>
      <w:bookmarkEnd w:id="54"/>
      <w:bookmarkStart w:id="55" w:name="_Toc184314464"/>
      <w:bookmarkEnd w:id="55"/>
      <w:bookmarkStart w:id="56" w:name="_Toc184312126"/>
      <w:bookmarkEnd w:id="56"/>
      <w:bookmarkStart w:id="57" w:name="_Toc184313247"/>
      <w:bookmarkEnd w:id="57"/>
      <w:bookmarkStart w:id="58" w:name="_Toc184310306"/>
      <w:bookmarkEnd w:id="58"/>
      <w:bookmarkStart w:id="59" w:name="_Toc184310274"/>
      <w:bookmarkEnd w:id="59"/>
      <w:bookmarkStart w:id="60" w:name="_Toc184308059"/>
      <w:bookmarkEnd w:id="60"/>
      <w:bookmarkStart w:id="61" w:name="_Toc184313282"/>
      <w:bookmarkEnd w:id="61"/>
      <w:bookmarkStart w:id="62" w:name="_Toc184312074"/>
      <w:bookmarkEnd w:id="62"/>
      <w:bookmarkStart w:id="63" w:name="_Toc184313271"/>
      <w:bookmarkEnd w:id="63"/>
      <w:bookmarkStart w:id="64" w:name="_Toc184314445"/>
      <w:bookmarkEnd w:id="64"/>
      <w:bookmarkStart w:id="65" w:name="_Toc184313302"/>
      <w:bookmarkEnd w:id="65"/>
      <w:bookmarkStart w:id="66" w:name="_Toc184312071"/>
      <w:bookmarkEnd w:id="66"/>
      <w:bookmarkStart w:id="67" w:name="_Toc184313249"/>
      <w:bookmarkEnd w:id="67"/>
      <w:bookmarkStart w:id="68" w:name="_Toc184308079"/>
      <w:bookmarkEnd w:id="68"/>
      <w:bookmarkStart w:id="69" w:name="_Toc184310291"/>
      <w:bookmarkEnd w:id="69"/>
      <w:bookmarkStart w:id="70" w:name="_Toc184310308"/>
      <w:bookmarkEnd w:id="70"/>
      <w:bookmarkStart w:id="71" w:name="_Toc184314425"/>
      <w:bookmarkEnd w:id="71"/>
      <w:bookmarkStart w:id="72" w:name="_Toc184313283"/>
      <w:bookmarkEnd w:id="72"/>
      <w:bookmarkStart w:id="73" w:name="_Toc184313295"/>
      <w:bookmarkEnd w:id="73"/>
      <w:bookmarkStart w:id="74" w:name="_Toc184312076"/>
      <w:bookmarkEnd w:id="74"/>
      <w:bookmarkStart w:id="75" w:name="_Toc184310316"/>
      <w:bookmarkEnd w:id="75"/>
      <w:bookmarkStart w:id="76" w:name="_Toc184308099"/>
      <w:bookmarkEnd w:id="76"/>
      <w:bookmarkStart w:id="77" w:name="_Toc184310342"/>
      <w:bookmarkEnd w:id="77"/>
      <w:bookmarkStart w:id="78" w:name="_Toc184313260"/>
      <w:bookmarkEnd w:id="78"/>
      <w:bookmarkStart w:id="79" w:name="_Toc184313246"/>
      <w:bookmarkEnd w:id="79"/>
      <w:bookmarkStart w:id="80" w:name="_Toc184314435"/>
      <w:bookmarkEnd w:id="80"/>
      <w:bookmarkStart w:id="81" w:name="_Toc184308084"/>
      <w:bookmarkEnd w:id="81"/>
      <w:bookmarkStart w:id="82" w:name="_Toc184314441"/>
      <w:bookmarkEnd w:id="82"/>
      <w:bookmarkStart w:id="83" w:name="_Toc184308071"/>
      <w:bookmarkEnd w:id="83"/>
      <w:bookmarkStart w:id="84" w:name="_Toc184314424"/>
      <w:bookmarkEnd w:id="84"/>
      <w:bookmarkStart w:id="85" w:name="_Toc184314417"/>
      <w:bookmarkEnd w:id="85"/>
      <w:bookmarkStart w:id="86" w:name="_Toc184308043"/>
      <w:bookmarkEnd w:id="86"/>
      <w:bookmarkStart w:id="87" w:name="_Toc184314411"/>
      <w:bookmarkEnd w:id="87"/>
      <w:bookmarkStart w:id="88" w:name="_Toc184310284"/>
      <w:bookmarkEnd w:id="88"/>
      <w:bookmarkStart w:id="89" w:name="_Toc184312068"/>
      <w:bookmarkEnd w:id="89"/>
      <w:bookmarkStart w:id="90" w:name="_Toc184313273"/>
      <w:bookmarkEnd w:id="90"/>
      <w:bookmarkStart w:id="91" w:name="_Toc184310318"/>
      <w:bookmarkEnd w:id="91"/>
      <w:bookmarkStart w:id="92" w:name="_Toc184310281"/>
      <w:bookmarkEnd w:id="92"/>
      <w:bookmarkStart w:id="93" w:name="_Toc184312131"/>
      <w:bookmarkEnd w:id="93"/>
      <w:bookmarkStart w:id="94" w:name="_Toc184310339"/>
      <w:bookmarkEnd w:id="94"/>
      <w:bookmarkStart w:id="95" w:name="_Toc184312099"/>
      <w:bookmarkEnd w:id="95"/>
      <w:bookmarkStart w:id="96" w:name="_Toc184314419"/>
      <w:bookmarkEnd w:id="96"/>
      <w:bookmarkStart w:id="97" w:name="_Toc184314482"/>
      <w:bookmarkEnd w:id="97"/>
      <w:bookmarkStart w:id="98" w:name="_Toc184313255"/>
      <w:bookmarkEnd w:id="98"/>
      <w:bookmarkStart w:id="99" w:name="_Toc184310282"/>
      <w:bookmarkEnd w:id="99"/>
      <w:bookmarkStart w:id="100" w:name="_Toc184312101"/>
      <w:bookmarkEnd w:id="100"/>
      <w:bookmarkStart w:id="101" w:name="_Toc184308105"/>
      <w:bookmarkEnd w:id="101"/>
      <w:bookmarkStart w:id="102" w:name="_Toc184310337"/>
      <w:bookmarkEnd w:id="102"/>
      <w:bookmarkStart w:id="103" w:name="_Toc184313269"/>
      <w:bookmarkEnd w:id="103"/>
      <w:bookmarkStart w:id="104" w:name="_Toc184310305"/>
      <w:bookmarkEnd w:id="104"/>
      <w:bookmarkStart w:id="105" w:name="_Toc184310312"/>
      <w:bookmarkEnd w:id="105"/>
      <w:bookmarkStart w:id="106" w:name="_Toc184308083"/>
      <w:bookmarkEnd w:id="106"/>
      <w:bookmarkStart w:id="107" w:name="_Toc184308104"/>
      <w:bookmarkEnd w:id="107"/>
      <w:bookmarkStart w:id="108" w:name="_Toc184314429"/>
      <w:bookmarkEnd w:id="108"/>
      <w:bookmarkStart w:id="109" w:name="_Toc184310277"/>
      <w:bookmarkEnd w:id="109"/>
      <w:bookmarkStart w:id="110" w:name="_Toc184314420"/>
      <w:bookmarkEnd w:id="110"/>
      <w:bookmarkStart w:id="111" w:name="_Toc184310335"/>
      <w:bookmarkEnd w:id="111"/>
      <w:bookmarkStart w:id="112" w:name="_Toc184310307"/>
      <w:bookmarkEnd w:id="112"/>
      <w:bookmarkStart w:id="113" w:name="_Toc184312139"/>
      <w:bookmarkEnd w:id="113"/>
      <w:bookmarkStart w:id="114" w:name="_Toc184312096"/>
      <w:bookmarkEnd w:id="114"/>
      <w:bookmarkStart w:id="115" w:name="_Toc184310276"/>
      <w:bookmarkEnd w:id="115"/>
      <w:bookmarkStart w:id="116" w:name="_Toc184313239"/>
      <w:bookmarkEnd w:id="116"/>
      <w:bookmarkStart w:id="117" w:name="_Toc184314418"/>
      <w:bookmarkEnd w:id="117"/>
      <w:bookmarkStart w:id="118" w:name="_Toc184314477"/>
      <w:bookmarkEnd w:id="118"/>
      <w:bookmarkStart w:id="119" w:name="_Toc184308100"/>
      <w:bookmarkEnd w:id="119"/>
      <w:bookmarkStart w:id="120" w:name="_Toc184310343"/>
      <w:bookmarkEnd w:id="120"/>
      <w:bookmarkStart w:id="121" w:name="_Toc184313310"/>
      <w:bookmarkEnd w:id="121"/>
      <w:bookmarkStart w:id="122" w:name="_Toc184314442"/>
      <w:bookmarkEnd w:id="122"/>
      <w:bookmarkStart w:id="123" w:name="_Toc184310300"/>
      <w:bookmarkEnd w:id="123"/>
      <w:bookmarkStart w:id="124" w:name="_Toc184308096"/>
      <w:bookmarkEnd w:id="124"/>
      <w:bookmarkStart w:id="125" w:name="_Toc184312112"/>
      <w:bookmarkEnd w:id="125"/>
      <w:bookmarkStart w:id="126" w:name="_Toc184314481"/>
      <w:bookmarkEnd w:id="126"/>
      <w:bookmarkStart w:id="127" w:name="_Toc184312118"/>
      <w:bookmarkEnd w:id="127"/>
      <w:bookmarkStart w:id="128" w:name="_Toc184310298"/>
      <w:bookmarkEnd w:id="128"/>
      <w:bookmarkStart w:id="129" w:name="_Toc184314434"/>
      <w:bookmarkEnd w:id="129"/>
      <w:bookmarkStart w:id="130" w:name="_Toc184308049"/>
      <w:bookmarkEnd w:id="130"/>
      <w:bookmarkStart w:id="131" w:name="_Toc184310341"/>
      <w:bookmarkEnd w:id="131"/>
      <w:bookmarkStart w:id="132" w:name="_Toc184310320"/>
      <w:bookmarkEnd w:id="132"/>
      <w:bookmarkStart w:id="133" w:name="_Toc184308087"/>
      <w:bookmarkEnd w:id="133"/>
      <w:bookmarkStart w:id="134" w:name="_Toc184308081"/>
      <w:bookmarkEnd w:id="134"/>
      <w:bookmarkStart w:id="135" w:name="_Toc184310288"/>
      <w:bookmarkEnd w:id="135"/>
      <w:bookmarkStart w:id="136" w:name="_Toc184313266"/>
      <w:bookmarkEnd w:id="136"/>
      <w:bookmarkStart w:id="137" w:name="_Toc184313265"/>
      <w:bookmarkEnd w:id="137"/>
      <w:bookmarkStart w:id="138" w:name="_Toc184312129"/>
      <w:bookmarkEnd w:id="138"/>
      <w:bookmarkStart w:id="139" w:name="_Toc184314439"/>
      <w:bookmarkEnd w:id="139"/>
      <w:bookmarkStart w:id="140" w:name="_Toc184314475"/>
      <w:bookmarkEnd w:id="140"/>
      <w:bookmarkStart w:id="141" w:name="_Toc184312108"/>
      <w:bookmarkEnd w:id="141"/>
      <w:bookmarkStart w:id="142" w:name="_Toc184312084"/>
      <w:bookmarkEnd w:id="142"/>
      <w:bookmarkStart w:id="143" w:name="_Toc184314465"/>
      <w:bookmarkEnd w:id="143"/>
      <w:bookmarkStart w:id="144" w:name="_Toc184313297"/>
      <w:bookmarkEnd w:id="144"/>
      <w:bookmarkStart w:id="145" w:name="_Toc184312088"/>
      <w:bookmarkEnd w:id="145"/>
      <w:bookmarkStart w:id="146" w:name="_Toc184314431"/>
      <w:bookmarkEnd w:id="146"/>
      <w:bookmarkStart w:id="147" w:name="_Toc184312080"/>
      <w:bookmarkEnd w:id="147"/>
      <w:bookmarkStart w:id="148" w:name="_Toc184313245"/>
      <w:bookmarkEnd w:id="148"/>
      <w:bookmarkStart w:id="149" w:name="_Toc184308067"/>
      <w:bookmarkEnd w:id="149"/>
      <w:bookmarkStart w:id="150" w:name="_Toc184314438"/>
      <w:bookmarkEnd w:id="150"/>
      <w:bookmarkStart w:id="151" w:name="_Toc184313301"/>
      <w:bookmarkEnd w:id="151"/>
      <w:bookmarkStart w:id="152" w:name="_Toc184310275"/>
      <w:bookmarkEnd w:id="152"/>
      <w:bookmarkStart w:id="153" w:name="_Toc184308057"/>
      <w:bookmarkEnd w:id="153"/>
      <w:bookmarkStart w:id="154" w:name="_Toc184308088"/>
      <w:bookmarkEnd w:id="154"/>
      <w:bookmarkStart w:id="155" w:name="_Toc184310332"/>
      <w:bookmarkEnd w:id="155"/>
      <w:bookmarkStart w:id="156" w:name="_Toc184313307"/>
      <w:bookmarkEnd w:id="156"/>
      <w:bookmarkStart w:id="157" w:name="_Toc184313248"/>
      <w:bookmarkEnd w:id="157"/>
      <w:bookmarkStart w:id="158" w:name="_Toc184312069"/>
      <w:bookmarkEnd w:id="158"/>
      <w:bookmarkStart w:id="159" w:name="_Toc184313250"/>
      <w:bookmarkEnd w:id="159"/>
      <w:bookmarkStart w:id="160" w:name="_Toc184310304"/>
      <w:bookmarkEnd w:id="160"/>
      <w:bookmarkStart w:id="161" w:name="_Toc184313275"/>
      <w:bookmarkEnd w:id="161"/>
      <w:bookmarkStart w:id="162" w:name="_Toc184308097"/>
      <w:bookmarkEnd w:id="162"/>
      <w:bookmarkStart w:id="163" w:name="_Toc184312123"/>
      <w:bookmarkEnd w:id="163"/>
      <w:bookmarkStart w:id="164" w:name="_Toc184312091"/>
      <w:bookmarkEnd w:id="164"/>
      <w:bookmarkStart w:id="165" w:name="_Toc184314469"/>
      <w:bookmarkEnd w:id="165"/>
      <w:bookmarkStart w:id="166" w:name="_Toc184308064"/>
      <w:bookmarkEnd w:id="166"/>
      <w:bookmarkStart w:id="167" w:name="_Toc184313296"/>
      <w:bookmarkEnd w:id="167"/>
      <w:bookmarkStart w:id="168" w:name="_Toc184312133"/>
      <w:bookmarkEnd w:id="168"/>
      <w:bookmarkStart w:id="169" w:name="_Toc184312089"/>
      <w:bookmarkEnd w:id="169"/>
      <w:bookmarkStart w:id="170" w:name="_Toc184313263"/>
      <w:bookmarkEnd w:id="170"/>
      <w:bookmarkStart w:id="171" w:name="_Toc184314413"/>
      <w:bookmarkEnd w:id="171"/>
      <w:bookmarkStart w:id="172" w:name="_Toc184312100"/>
      <w:bookmarkEnd w:id="172"/>
      <w:bookmarkStart w:id="173" w:name="_Toc184312070"/>
      <w:bookmarkEnd w:id="173"/>
      <w:bookmarkStart w:id="174" w:name="_Toc184312095"/>
      <w:bookmarkEnd w:id="174"/>
      <w:bookmarkStart w:id="175" w:name="_Toc184308070"/>
      <w:bookmarkEnd w:id="175"/>
      <w:bookmarkStart w:id="176" w:name="_Toc184314458"/>
      <w:bookmarkEnd w:id="176"/>
      <w:bookmarkStart w:id="177" w:name="_Toc184314427"/>
      <w:bookmarkEnd w:id="177"/>
      <w:bookmarkStart w:id="178" w:name="_Toc184308041"/>
      <w:bookmarkEnd w:id="178"/>
      <w:bookmarkStart w:id="179" w:name="_Toc184314423"/>
      <w:bookmarkEnd w:id="179"/>
      <w:bookmarkStart w:id="180" w:name="_Toc184312122"/>
      <w:bookmarkEnd w:id="180"/>
      <w:bookmarkStart w:id="181" w:name="_Toc184314470"/>
      <w:bookmarkEnd w:id="181"/>
      <w:bookmarkStart w:id="182" w:name="_Toc184313253"/>
      <w:bookmarkEnd w:id="182"/>
      <w:bookmarkStart w:id="183" w:name="_Toc184313257"/>
      <w:bookmarkEnd w:id="183"/>
      <w:bookmarkStart w:id="184" w:name="_Toc184310292"/>
      <w:bookmarkEnd w:id="184"/>
      <w:bookmarkStart w:id="185" w:name="_Toc184313270"/>
      <w:bookmarkEnd w:id="185"/>
      <w:bookmarkStart w:id="186" w:name="_Toc184314432"/>
      <w:bookmarkEnd w:id="186"/>
      <w:bookmarkStart w:id="187" w:name="_Toc184308091"/>
      <w:bookmarkEnd w:id="187"/>
      <w:bookmarkStart w:id="188" w:name="_Toc184312128"/>
      <w:bookmarkEnd w:id="188"/>
      <w:bookmarkStart w:id="189" w:name="_Toc184308046"/>
      <w:bookmarkEnd w:id="189"/>
      <w:bookmarkStart w:id="190" w:name="_Toc184308047"/>
      <w:bookmarkEnd w:id="190"/>
      <w:bookmarkStart w:id="191" w:name="_Toc184310310"/>
      <w:bookmarkEnd w:id="191"/>
      <w:bookmarkStart w:id="192" w:name="_Toc184310278"/>
      <w:bookmarkEnd w:id="192"/>
      <w:bookmarkStart w:id="193" w:name="_Toc184313291"/>
      <w:bookmarkEnd w:id="193"/>
      <w:bookmarkStart w:id="194" w:name="_Toc184313284"/>
      <w:bookmarkEnd w:id="194"/>
      <w:bookmarkStart w:id="195" w:name="_Toc184313280"/>
      <w:bookmarkEnd w:id="195"/>
      <w:bookmarkStart w:id="196" w:name="_Toc184310303"/>
      <w:bookmarkEnd w:id="196"/>
      <w:bookmarkStart w:id="197" w:name="_Toc184310322"/>
      <w:bookmarkEnd w:id="197"/>
      <w:bookmarkStart w:id="198" w:name="_Toc184310273"/>
      <w:bookmarkEnd w:id="198"/>
      <w:bookmarkStart w:id="199" w:name="_Toc184308075"/>
      <w:bookmarkEnd w:id="199"/>
      <w:bookmarkStart w:id="200" w:name="_Toc184310338"/>
      <w:bookmarkEnd w:id="200"/>
      <w:bookmarkStart w:id="201" w:name="_Toc184314428"/>
      <w:bookmarkEnd w:id="201"/>
      <w:bookmarkStart w:id="202" w:name="_Toc184313304"/>
      <w:bookmarkEnd w:id="202"/>
      <w:bookmarkStart w:id="203" w:name="_Toc184313286"/>
      <w:bookmarkEnd w:id="203"/>
      <w:bookmarkStart w:id="204" w:name="_Toc184313262"/>
      <w:bookmarkEnd w:id="204"/>
      <w:bookmarkStart w:id="205" w:name="_Toc184312135"/>
      <w:bookmarkEnd w:id="205"/>
      <w:bookmarkStart w:id="206" w:name="_Toc184308056"/>
      <w:bookmarkEnd w:id="206"/>
      <w:bookmarkStart w:id="207" w:name="_Toc184313264"/>
      <w:bookmarkEnd w:id="207"/>
      <w:bookmarkStart w:id="208" w:name="_Toc184308077"/>
      <w:bookmarkEnd w:id="208"/>
      <w:bookmarkStart w:id="209" w:name="_Toc184313238"/>
      <w:bookmarkEnd w:id="209"/>
      <w:bookmarkStart w:id="210" w:name="_Toc184314446"/>
      <w:bookmarkEnd w:id="210"/>
      <w:bookmarkStart w:id="211" w:name="_Toc184314461"/>
      <w:bookmarkEnd w:id="211"/>
      <w:bookmarkStart w:id="212" w:name="_Toc184314467"/>
      <w:bookmarkEnd w:id="212"/>
      <w:bookmarkStart w:id="213" w:name="_Toc184310326"/>
      <w:bookmarkEnd w:id="213"/>
      <w:bookmarkStart w:id="214" w:name="_Toc184308052"/>
      <w:bookmarkEnd w:id="214"/>
      <w:bookmarkStart w:id="215" w:name="_Toc184313305"/>
      <w:bookmarkEnd w:id="215"/>
      <w:bookmarkStart w:id="216" w:name="_Toc184308036"/>
      <w:bookmarkEnd w:id="216"/>
      <w:bookmarkStart w:id="217" w:name="_Toc184310323"/>
      <w:bookmarkEnd w:id="217"/>
      <w:bookmarkStart w:id="218" w:name="_Toc184310289"/>
      <w:bookmarkEnd w:id="218"/>
      <w:bookmarkStart w:id="219" w:name="_Toc184310287"/>
      <w:bookmarkEnd w:id="219"/>
      <w:bookmarkStart w:id="220" w:name="_Toc184312136"/>
      <w:bookmarkEnd w:id="220"/>
      <w:bookmarkStart w:id="221" w:name="_Toc184310313"/>
      <w:bookmarkEnd w:id="221"/>
      <w:bookmarkStart w:id="222" w:name="_Toc184313294"/>
      <w:bookmarkEnd w:id="222"/>
      <w:bookmarkStart w:id="223" w:name="_Toc184308042"/>
      <w:bookmarkEnd w:id="223"/>
      <w:bookmarkStart w:id="224" w:name="_Toc184310279"/>
      <w:bookmarkEnd w:id="224"/>
      <w:bookmarkStart w:id="225" w:name="_Toc184314476"/>
      <w:bookmarkEnd w:id="225"/>
      <w:bookmarkStart w:id="226" w:name="_Toc184308045"/>
      <w:bookmarkEnd w:id="226"/>
      <w:bookmarkStart w:id="227" w:name="_Toc184313289"/>
      <w:bookmarkEnd w:id="227"/>
      <w:bookmarkStart w:id="228" w:name="_Toc184308093"/>
      <w:bookmarkEnd w:id="228"/>
      <w:bookmarkStart w:id="229" w:name="_Toc184308103"/>
      <w:bookmarkEnd w:id="229"/>
      <w:bookmarkStart w:id="230" w:name="_Toc184314421"/>
      <w:bookmarkEnd w:id="230"/>
      <w:bookmarkStart w:id="231" w:name="_Toc184310272"/>
      <w:bookmarkEnd w:id="231"/>
      <w:bookmarkStart w:id="232" w:name="_Toc184314468"/>
      <w:bookmarkEnd w:id="232"/>
      <w:bookmarkStart w:id="233" w:name="_Toc184308078"/>
      <w:bookmarkEnd w:id="233"/>
      <w:bookmarkStart w:id="234" w:name="_Toc184314412"/>
      <w:bookmarkEnd w:id="234"/>
      <w:bookmarkStart w:id="235" w:name="_Toc184312109"/>
      <w:bookmarkEnd w:id="235"/>
      <w:bookmarkStart w:id="236" w:name="_Toc184312138"/>
      <w:bookmarkEnd w:id="236"/>
      <w:bookmarkStart w:id="237" w:name="_Toc184312113"/>
      <w:bookmarkEnd w:id="237"/>
      <w:bookmarkStart w:id="238" w:name="_Toc184310340"/>
      <w:bookmarkEnd w:id="238"/>
      <w:bookmarkStart w:id="239" w:name="_Toc184308072"/>
      <w:bookmarkEnd w:id="239"/>
      <w:bookmarkStart w:id="240" w:name="_Toc184312130"/>
      <w:bookmarkEnd w:id="240"/>
      <w:bookmarkStart w:id="241" w:name="_Toc184312067"/>
      <w:bookmarkEnd w:id="241"/>
      <w:bookmarkStart w:id="242" w:name="_Toc184310314"/>
      <w:bookmarkEnd w:id="242"/>
      <w:bookmarkStart w:id="243" w:name="_Toc184310336"/>
      <w:bookmarkEnd w:id="243"/>
      <w:bookmarkStart w:id="244" w:name="_Toc184310330"/>
      <w:bookmarkEnd w:id="244"/>
      <w:bookmarkStart w:id="245" w:name="_Toc184308037"/>
      <w:bookmarkEnd w:id="245"/>
      <w:bookmarkStart w:id="246" w:name="_Toc184310297"/>
      <w:bookmarkEnd w:id="246"/>
      <w:bookmarkStart w:id="247" w:name="_Toc184312093"/>
      <w:bookmarkEnd w:id="247"/>
      <w:bookmarkStart w:id="248" w:name="_Toc184314460"/>
      <w:bookmarkEnd w:id="248"/>
      <w:bookmarkStart w:id="249" w:name="_Toc184308044"/>
      <w:bookmarkEnd w:id="249"/>
      <w:bookmarkStart w:id="250" w:name="_Toc184314437"/>
      <w:bookmarkEnd w:id="250"/>
      <w:bookmarkStart w:id="251" w:name="_Toc184313288"/>
      <w:bookmarkEnd w:id="251"/>
      <w:bookmarkStart w:id="252" w:name="_Toc184312090"/>
      <w:bookmarkEnd w:id="252"/>
      <w:bookmarkStart w:id="253" w:name="_Toc184312111"/>
      <w:bookmarkEnd w:id="253"/>
      <w:bookmarkStart w:id="254" w:name="_Toc184308060"/>
      <w:bookmarkEnd w:id="254"/>
      <w:bookmarkStart w:id="255" w:name="_Toc184312079"/>
      <w:bookmarkEnd w:id="255"/>
      <w:bookmarkStart w:id="256" w:name="_Toc184312114"/>
      <w:bookmarkEnd w:id="256"/>
      <w:bookmarkStart w:id="257" w:name="_Toc184312097"/>
      <w:bookmarkEnd w:id="257"/>
      <w:bookmarkStart w:id="258" w:name="_Toc184310317"/>
      <w:bookmarkEnd w:id="258"/>
      <w:bookmarkStart w:id="259" w:name="_Toc184308106"/>
      <w:bookmarkEnd w:id="259"/>
      <w:bookmarkStart w:id="260" w:name="_Toc184314456"/>
      <w:bookmarkEnd w:id="260"/>
      <w:bookmarkStart w:id="261" w:name="_Toc184314436"/>
      <w:bookmarkEnd w:id="261"/>
      <w:bookmarkStart w:id="262" w:name="_Toc184312104"/>
      <w:bookmarkEnd w:id="262"/>
      <w:bookmarkStart w:id="263" w:name="_Toc184314414"/>
      <w:bookmarkEnd w:id="263"/>
      <w:bookmarkStart w:id="264" w:name="_Toc184310327"/>
      <w:bookmarkEnd w:id="264"/>
      <w:bookmarkStart w:id="265" w:name="_Toc184310328"/>
      <w:bookmarkEnd w:id="265"/>
      <w:bookmarkStart w:id="266" w:name="_Toc184314480"/>
      <w:bookmarkEnd w:id="266"/>
      <w:bookmarkStart w:id="267" w:name="_Toc184310333"/>
      <w:bookmarkEnd w:id="267"/>
      <w:bookmarkStart w:id="268" w:name="_Toc184312073"/>
      <w:bookmarkEnd w:id="268"/>
      <w:bookmarkStart w:id="269" w:name="_Toc184312119"/>
      <w:bookmarkEnd w:id="269"/>
      <w:bookmarkStart w:id="270" w:name="_Toc184314451"/>
      <w:bookmarkEnd w:id="270"/>
      <w:bookmarkStart w:id="271" w:name="_Toc184310334"/>
      <w:bookmarkEnd w:id="271"/>
      <w:bookmarkStart w:id="272" w:name="_Toc184308098"/>
      <w:bookmarkEnd w:id="272"/>
      <w:bookmarkStart w:id="273" w:name="_Toc184312127"/>
      <w:bookmarkEnd w:id="273"/>
      <w:bookmarkStart w:id="274" w:name="_Toc184314449"/>
      <w:bookmarkEnd w:id="274"/>
      <w:bookmarkStart w:id="275" w:name="_Toc184310280"/>
      <w:bookmarkEnd w:id="275"/>
      <w:bookmarkStart w:id="276" w:name="_Toc184308108"/>
      <w:bookmarkEnd w:id="276"/>
      <w:bookmarkStart w:id="277" w:name="_Toc184314416"/>
      <w:bookmarkEnd w:id="277"/>
      <w:bookmarkStart w:id="278" w:name="_Toc184312075"/>
      <w:bookmarkEnd w:id="278"/>
      <w:bookmarkStart w:id="279" w:name="_Toc184308090"/>
      <w:bookmarkEnd w:id="279"/>
      <w:bookmarkStart w:id="280" w:name="_Toc184308073"/>
      <w:bookmarkEnd w:id="280"/>
      <w:bookmarkStart w:id="281" w:name="_Toc184312085"/>
      <w:bookmarkEnd w:id="281"/>
      <w:bookmarkStart w:id="282" w:name="_Toc184308089"/>
      <w:bookmarkEnd w:id="282"/>
      <w:bookmarkStart w:id="283" w:name="_Toc184314472"/>
      <w:bookmarkEnd w:id="283"/>
      <w:bookmarkStart w:id="284" w:name="_Toc184312132"/>
      <w:bookmarkEnd w:id="284"/>
      <w:bookmarkStart w:id="285" w:name="_Toc184308085"/>
      <w:bookmarkEnd w:id="285"/>
      <w:bookmarkStart w:id="286" w:name="_Toc184313278"/>
      <w:bookmarkEnd w:id="286"/>
      <w:bookmarkStart w:id="287" w:name="_Toc184314471"/>
      <w:bookmarkEnd w:id="287"/>
      <w:bookmarkStart w:id="288" w:name="_Toc184313274"/>
      <w:bookmarkEnd w:id="288"/>
      <w:bookmarkStart w:id="289" w:name="_Toc184308061"/>
      <w:bookmarkEnd w:id="289"/>
      <w:bookmarkStart w:id="290" w:name="_Toc184308054"/>
      <w:bookmarkEnd w:id="290"/>
      <w:bookmarkStart w:id="291" w:name="_Toc184308050"/>
      <w:bookmarkEnd w:id="291"/>
      <w:bookmarkStart w:id="292" w:name="_Toc184312098"/>
      <w:bookmarkEnd w:id="292"/>
      <w:bookmarkStart w:id="293" w:name="_Toc184314462"/>
      <w:bookmarkEnd w:id="293"/>
      <w:bookmarkStart w:id="294" w:name="_Toc184310294"/>
      <w:bookmarkEnd w:id="294"/>
      <w:bookmarkStart w:id="295" w:name="_Toc184312107"/>
      <w:bookmarkEnd w:id="295"/>
      <w:bookmarkStart w:id="296" w:name="_Toc184308094"/>
      <w:bookmarkEnd w:id="296"/>
      <w:bookmarkStart w:id="297" w:name="_Toc184312082"/>
      <w:bookmarkEnd w:id="297"/>
      <w:bookmarkStart w:id="298" w:name="_Toc184310286"/>
      <w:bookmarkEnd w:id="298"/>
      <w:bookmarkStart w:id="299" w:name="_Toc184313300"/>
      <w:bookmarkEnd w:id="299"/>
      <w:bookmarkStart w:id="300" w:name="_Toc184310331"/>
      <w:bookmarkEnd w:id="300"/>
      <w:bookmarkStart w:id="301" w:name="_Toc184312110"/>
      <w:bookmarkEnd w:id="301"/>
      <w:bookmarkStart w:id="302" w:name="_Toc184308095"/>
      <w:bookmarkEnd w:id="302"/>
      <w:bookmarkStart w:id="303" w:name="_Toc184313272"/>
      <w:bookmarkEnd w:id="303"/>
      <w:bookmarkStart w:id="304" w:name="_Toc184314450"/>
      <w:bookmarkEnd w:id="304"/>
      <w:bookmarkStart w:id="305" w:name="_Toc184308101"/>
      <w:bookmarkEnd w:id="305"/>
      <w:bookmarkStart w:id="306" w:name="_Toc184308053"/>
      <w:bookmarkEnd w:id="306"/>
      <w:bookmarkStart w:id="307" w:name="_Toc184314457"/>
      <w:bookmarkEnd w:id="307"/>
      <w:bookmarkStart w:id="308" w:name="_Toc184313285"/>
      <w:bookmarkEnd w:id="308"/>
      <w:bookmarkStart w:id="309" w:name="_Toc184314454"/>
      <w:bookmarkEnd w:id="309"/>
      <w:bookmarkStart w:id="310" w:name="_Toc184310299"/>
      <w:bookmarkEnd w:id="310"/>
      <w:bookmarkStart w:id="311" w:name="_Toc184314466"/>
      <w:bookmarkEnd w:id="311"/>
      <w:bookmarkStart w:id="312" w:name="_Toc184312087"/>
      <w:bookmarkEnd w:id="312"/>
      <w:bookmarkStart w:id="313" w:name="_Toc184310290"/>
      <w:bookmarkEnd w:id="313"/>
      <w:bookmarkStart w:id="314" w:name="_Toc184312115"/>
      <w:bookmarkEnd w:id="314"/>
      <w:bookmarkStart w:id="315" w:name="_Toc184310315"/>
      <w:bookmarkEnd w:id="315"/>
      <w:bookmarkStart w:id="316" w:name="_Toc184312105"/>
      <w:bookmarkEnd w:id="316"/>
      <w:bookmarkStart w:id="317" w:name="_Toc184314455"/>
      <w:bookmarkEnd w:id="317"/>
      <w:bookmarkStart w:id="318" w:name="_Toc184312081"/>
      <w:bookmarkEnd w:id="318"/>
      <w:bookmarkStart w:id="319" w:name="_Toc184310293"/>
      <w:bookmarkEnd w:id="319"/>
      <w:bookmarkStart w:id="320" w:name="_Toc184313277"/>
      <w:bookmarkEnd w:id="320"/>
      <w:bookmarkStart w:id="321" w:name="_Toc184312086"/>
      <w:bookmarkEnd w:id="321"/>
      <w:bookmarkStart w:id="322" w:name="_Toc184312137"/>
      <w:bookmarkEnd w:id="322"/>
      <w:bookmarkStart w:id="323" w:name="_Toc184310329"/>
      <w:bookmarkEnd w:id="323"/>
      <w:bookmarkStart w:id="324" w:name="_Toc184313243"/>
      <w:bookmarkEnd w:id="324"/>
      <w:bookmarkStart w:id="325" w:name="_Toc184308068"/>
      <w:bookmarkEnd w:id="325"/>
      <w:bookmarkStart w:id="326" w:name="_Toc184308039"/>
      <w:bookmarkEnd w:id="326"/>
      <w:bookmarkStart w:id="327" w:name="_Toc184314430"/>
      <w:bookmarkEnd w:id="327"/>
      <w:bookmarkStart w:id="328" w:name="_Toc184314478"/>
      <w:bookmarkEnd w:id="328"/>
      <w:bookmarkStart w:id="329" w:name="_Toc184313268"/>
      <w:bookmarkEnd w:id="329"/>
      <w:bookmarkStart w:id="330" w:name="_Toc184312120"/>
      <w:bookmarkEnd w:id="330"/>
      <w:bookmarkStart w:id="331" w:name="_Toc184314452"/>
      <w:bookmarkEnd w:id="331"/>
      <w:bookmarkStart w:id="332" w:name="_Toc184308102"/>
      <w:bookmarkEnd w:id="332"/>
      <w:bookmarkStart w:id="333" w:name="_Toc184308055"/>
      <w:bookmarkEnd w:id="333"/>
      <w:bookmarkStart w:id="334" w:name="_Toc184310311"/>
      <w:bookmarkEnd w:id="334"/>
      <w:bookmarkStart w:id="335" w:name="_Toc184314463"/>
      <w:bookmarkEnd w:id="335"/>
      <w:bookmarkStart w:id="336" w:name="_Toc184314447"/>
      <w:bookmarkEnd w:id="336"/>
      <w:bookmarkStart w:id="337" w:name="_Toc184314443"/>
      <w:bookmarkEnd w:id="337"/>
      <w:bookmarkStart w:id="338" w:name="_Toc184314473"/>
      <w:bookmarkEnd w:id="338"/>
      <w:bookmarkStart w:id="339" w:name="_Toc184313241"/>
      <w:bookmarkEnd w:id="339"/>
      <w:bookmarkStart w:id="340" w:name="_Toc184308038"/>
      <w:bookmarkEnd w:id="340"/>
      <w:bookmarkStart w:id="341" w:name="_Toc184313303"/>
      <w:bookmarkEnd w:id="341"/>
      <w:bookmarkStart w:id="342" w:name="_Toc184314426"/>
      <w:bookmarkEnd w:id="342"/>
      <w:bookmarkStart w:id="343" w:name="_Toc184308076"/>
      <w:bookmarkEnd w:id="343"/>
      <w:bookmarkStart w:id="344" w:name="_Toc184313252"/>
      <w:bookmarkEnd w:id="344"/>
      <w:bookmarkStart w:id="345" w:name="_Toc184313309"/>
      <w:bookmarkEnd w:id="345"/>
      <w:bookmarkStart w:id="346" w:name="_Toc184308080"/>
      <w:bookmarkEnd w:id="346"/>
      <w:bookmarkStart w:id="347" w:name="_Toc184314433"/>
      <w:bookmarkEnd w:id="347"/>
      <w:bookmarkStart w:id="348" w:name="_Toc184310302"/>
      <w:bookmarkEnd w:id="348"/>
      <w:bookmarkStart w:id="349" w:name="_Toc184310296"/>
      <w:bookmarkEnd w:id="349"/>
      <w:bookmarkStart w:id="350" w:name="_Toc184312125"/>
      <w:bookmarkEnd w:id="350"/>
      <w:bookmarkStart w:id="351" w:name="_Toc184313256"/>
      <w:bookmarkEnd w:id="351"/>
      <w:bookmarkStart w:id="352" w:name="_Toc184308074"/>
      <w:bookmarkEnd w:id="352"/>
      <w:bookmarkStart w:id="353" w:name="_Toc184310285"/>
      <w:bookmarkEnd w:id="353"/>
      <w:bookmarkStart w:id="354" w:name="_Toc184313267"/>
      <w:bookmarkEnd w:id="354"/>
      <w:bookmarkStart w:id="355" w:name="_Toc184308040"/>
      <w:bookmarkEnd w:id="355"/>
      <w:bookmarkStart w:id="356" w:name="_Toc184312083"/>
      <w:bookmarkEnd w:id="356"/>
      <w:bookmarkStart w:id="357" w:name="_Toc184313242"/>
      <w:bookmarkEnd w:id="357"/>
      <w:bookmarkStart w:id="358" w:name="_Toc184313292"/>
      <w:bookmarkEnd w:id="358"/>
      <w:bookmarkStart w:id="359" w:name="_Toc184308066"/>
      <w:bookmarkEnd w:id="359"/>
      <w:bookmarkStart w:id="360" w:name="_Toc184310295"/>
      <w:bookmarkEnd w:id="360"/>
      <w:bookmarkStart w:id="361" w:name="_Toc184313281"/>
      <w:bookmarkEnd w:id="361"/>
      <w:bookmarkStart w:id="362" w:name="_Toc184313254"/>
      <w:bookmarkEnd w:id="362"/>
      <w:bookmarkStart w:id="363" w:name="_Toc184313299"/>
      <w:bookmarkEnd w:id="363"/>
      <w:bookmarkStart w:id="364" w:name="_Toc184308048"/>
      <w:bookmarkEnd w:id="364"/>
      <w:bookmarkStart w:id="365" w:name="_Toc184308058"/>
      <w:bookmarkEnd w:id="365"/>
      <w:bookmarkStart w:id="366" w:name="_Toc184313308"/>
      <w:bookmarkEnd w:id="366"/>
      <w:bookmarkStart w:id="367" w:name="_Toc184313258"/>
      <w:bookmarkEnd w:id="367"/>
      <w:bookmarkStart w:id="368" w:name="_Toc184310325"/>
      <w:bookmarkEnd w:id="368"/>
      <w:bookmarkStart w:id="369" w:name="_Toc184312103"/>
      <w:bookmarkEnd w:id="369"/>
      <w:bookmarkStart w:id="370" w:name="_Toc184312117"/>
      <w:bookmarkEnd w:id="370"/>
      <w:bookmarkStart w:id="371" w:name="_Toc184312116"/>
      <w:bookmarkEnd w:id="371"/>
      <w:bookmarkStart w:id="372" w:name="_Toc184308069"/>
      <w:bookmarkEnd w:id="372"/>
      <w:bookmarkStart w:id="373" w:name="_Toc184313287"/>
      <w:bookmarkEnd w:id="373"/>
      <w:bookmarkStart w:id="374" w:name="_Toc184308082"/>
      <w:bookmarkEnd w:id="374"/>
      <w:bookmarkStart w:id="375" w:name="_Toc184308107"/>
      <w:bookmarkEnd w:id="375"/>
      <w:bookmarkStart w:id="376" w:name="_Toc184312106"/>
      <w:bookmarkEnd w:id="376"/>
      <w:bookmarkStart w:id="377" w:name="_Toc184314422"/>
      <w:bookmarkEnd w:id="377"/>
      <w:bookmarkStart w:id="378" w:name="_Toc184308063"/>
      <w:bookmarkEnd w:id="378"/>
      <w:bookmarkStart w:id="379" w:name="_Toc184308092"/>
      <w:bookmarkEnd w:id="379"/>
      <w:bookmarkStart w:id="380" w:name="_Toc184313290"/>
      <w:bookmarkEnd w:id="380"/>
      <w:bookmarkStart w:id="381" w:name="_Toc184313259"/>
      <w:bookmarkEnd w:id="381"/>
      <w:bookmarkStart w:id="382" w:name="_Toc184313240"/>
      <w:bookmarkEnd w:id="382"/>
      <w:bookmarkStart w:id="383" w:name="_Toc184314440"/>
      <w:bookmarkEnd w:id="383"/>
      <w:bookmarkStart w:id="384" w:name="_Toc184312094"/>
      <w:bookmarkEnd w:id="384"/>
      <w:bookmarkStart w:id="385" w:name="_Toc184313298"/>
      <w:bookmarkEnd w:id="385"/>
      <w:bookmarkStart w:id="386" w:name="_Toc184313306"/>
      <w:bookmarkEnd w:id="386"/>
      <w:bookmarkStart w:id="387" w:name="_Toc184313251"/>
      <w:bookmarkEnd w:id="387"/>
      <w:bookmarkStart w:id="388" w:name="_Toc184310301"/>
      <w:bookmarkEnd w:id="388"/>
      <w:bookmarkStart w:id="389" w:name="_Toc184310321"/>
      <w:bookmarkEnd w:id="389"/>
      <w:bookmarkStart w:id="390" w:name="_Toc184312102"/>
      <w:bookmarkEnd w:id="390"/>
      <w:bookmarkStart w:id="391" w:name="_Toc184314459"/>
      <w:bookmarkEnd w:id="391"/>
      <w:bookmarkStart w:id="392" w:name="_Toc184310324"/>
      <w:bookmarkEnd w:id="392"/>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tbl>
      <w:tblPr>
        <w:tblStyle w:val="62"/>
        <w:tblpPr w:leftFromText="180" w:rightFromText="180" w:vertAnchor="text" w:horzAnchor="page" w:tblpX="1405" w:tblpY="126"/>
        <w:tblW w:w="52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5943"/>
        <w:gridCol w:w="902"/>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640" w:type="pct"/>
            <w:vAlign w:val="center"/>
          </w:tcPr>
          <w:p>
            <w:pPr>
              <w:spacing w:line="360" w:lineRule="auto"/>
              <w:jc w:val="center"/>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序号</w:t>
            </w:r>
          </w:p>
        </w:tc>
        <w:tc>
          <w:tcPr>
            <w:tcW w:w="3072" w:type="pct"/>
            <w:vAlign w:val="center"/>
          </w:tcPr>
          <w:p>
            <w:pPr>
              <w:spacing w:line="360" w:lineRule="auto"/>
              <w:ind w:firstLine="1560" w:firstLineChars="650"/>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评标标准</w:t>
            </w:r>
          </w:p>
        </w:tc>
        <w:tc>
          <w:tcPr>
            <w:tcW w:w="466" w:type="pct"/>
            <w:vAlign w:val="center"/>
          </w:tcPr>
          <w:p>
            <w:pPr>
              <w:spacing w:line="360" w:lineRule="auto"/>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权重</w:t>
            </w:r>
          </w:p>
        </w:tc>
        <w:tc>
          <w:tcPr>
            <w:tcW w:w="820" w:type="pct"/>
          </w:tcPr>
          <w:p>
            <w:pPr>
              <w:spacing w:line="360" w:lineRule="auto"/>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投标文件中评标标准相应的商务技术资料目录</w:t>
            </w:r>
            <w:r>
              <w:rPr>
                <w:rFonts w:hint="eastAsia" w:ascii="仿宋" w:hAnsi="仿宋" w:eastAsia="仿宋" w:cs="仿宋"/>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640" w:type="pct"/>
            <w:vAlign w:val="center"/>
          </w:tcPr>
          <w:p>
            <w:pPr>
              <w:spacing w:line="360" w:lineRule="auto"/>
              <w:ind w:firstLine="600" w:firstLineChars="250"/>
              <w:jc w:val="left"/>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3072" w:type="pct"/>
            <w:vAlign w:val="center"/>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对项目背景把握透彻；（3分）</w:t>
            </w:r>
          </w:p>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对项目现状分析到位。（2分）</w:t>
            </w:r>
          </w:p>
        </w:tc>
        <w:tc>
          <w:tcPr>
            <w:tcW w:w="466" w:type="pct"/>
          </w:tcPr>
          <w:p>
            <w:pPr>
              <w:spacing w:line="360" w:lineRule="auto"/>
              <w:jc w:val="center"/>
              <w:outlineLvl w:val="0"/>
              <w:rPr>
                <w:rFonts w:hint="eastAsia" w:ascii="仿宋" w:hAnsi="仿宋" w:eastAsia="仿宋" w:cs="仿宋"/>
                <w:color w:val="auto"/>
                <w:sz w:val="24"/>
                <w:highlight w:val="none"/>
              </w:rPr>
            </w:pPr>
          </w:p>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820" w:type="pct"/>
            <w:vMerge w:val="restart"/>
            <w:vAlign w:val="center"/>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对项目理解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640" w:type="pct"/>
            <w:vAlign w:val="center"/>
          </w:tcPr>
          <w:p>
            <w:pPr>
              <w:spacing w:line="360" w:lineRule="auto"/>
              <w:ind w:firstLine="600" w:firstLineChars="250"/>
              <w:jc w:val="left"/>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3072" w:type="pct"/>
            <w:vAlign w:val="center"/>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对项目的目标任务定位准确；（3分）</w:t>
            </w:r>
          </w:p>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对项目任务罗列清晰。（2分）</w:t>
            </w:r>
          </w:p>
        </w:tc>
        <w:tc>
          <w:tcPr>
            <w:tcW w:w="466" w:type="pct"/>
          </w:tcPr>
          <w:p>
            <w:pPr>
              <w:spacing w:line="360" w:lineRule="auto"/>
              <w:jc w:val="center"/>
              <w:outlineLvl w:val="0"/>
              <w:rPr>
                <w:rFonts w:hint="eastAsia" w:ascii="仿宋" w:hAnsi="仿宋" w:eastAsia="仿宋" w:cs="仿宋"/>
                <w:color w:val="auto"/>
                <w:sz w:val="24"/>
                <w:highlight w:val="none"/>
              </w:rPr>
            </w:pPr>
          </w:p>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820" w:type="pct"/>
            <w:vMerge w:val="continue"/>
          </w:tcPr>
          <w:p>
            <w:pPr>
              <w:spacing w:line="360" w:lineRule="auto"/>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640" w:type="pct"/>
            <w:vAlign w:val="center"/>
          </w:tcPr>
          <w:p>
            <w:pPr>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3072" w:type="pct"/>
            <w:vAlign w:val="center"/>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对项目的内容分析到位；（3分）</w:t>
            </w:r>
          </w:p>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对项目实施思路理解清晰。（2分）</w:t>
            </w:r>
          </w:p>
        </w:tc>
        <w:tc>
          <w:tcPr>
            <w:tcW w:w="466" w:type="pct"/>
          </w:tcPr>
          <w:p>
            <w:pPr>
              <w:spacing w:line="360" w:lineRule="auto"/>
              <w:jc w:val="center"/>
              <w:outlineLvl w:val="0"/>
              <w:rPr>
                <w:rFonts w:hint="eastAsia" w:ascii="仿宋" w:hAnsi="仿宋" w:eastAsia="仿宋" w:cs="仿宋"/>
                <w:color w:val="auto"/>
                <w:sz w:val="24"/>
                <w:highlight w:val="none"/>
              </w:rPr>
            </w:pPr>
          </w:p>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820" w:type="pct"/>
            <w:vMerge w:val="continue"/>
          </w:tcPr>
          <w:p>
            <w:pPr>
              <w:spacing w:line="360" w:lineRule="auto"/>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40" w:type="pct"/>
            <w:vAlign w:val="center"/>
          </w:tcPr>
          <w:p>
            <w:pPr>
              <w:spacing w:line="360" w:lineRule="auto"/>
              <w:ind w:firstLine="480" w:firstLineChars="20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c>
          <w:tcPr>
            <w:tcW w:w="3072" w:type="pct"/>
            <w:vAlign w:val="center"/>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实施方案科学完整；（</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w:t>
            </w:r>
          </w:p>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实施方案流程清晰，可操作强；（</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w:t>
            </w:r>
          </w:p>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与浙江省综合图审改革（浙建[2017]6号文）相结合，方案中体现较高的服务效率和服务水平。（</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w:t>
            </w:r>
          </w:p>
        </w:tc>
        <w:tc>
          <w:tcPr>
            <w:tcW w:w="466" w:type="pct"/>
            <w:vAlign w:val="center"/>
          </w:tcPr>
          <w:p>
            <w:pPr>
              <w:spacing w:line="360" w:lineRule="auto"/>
              <w:ind w:firstLine="240" w:firstLineChars="100"/>
              <w:jc w:val="both"/>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w:t>
            </w:r>
          </w:p>
        </w:tc>
        <w:tc>
          <w:tcPr>
            <w:tcW w:w="820" w:type="pct"/>
          </w:tcPr>
          <w:p>
            <w:pPr>
              <w:spacing w:line="360" w:lineRule="auto"/>
              <w:jc w:val="center"/>
              <w:outlineLvl w:val="0"/>
              <w:rPr>
                <w:rFonts w:hint="eastAsia" w:ascii="仿宋" w:hAnsi="仿宋" w:eastAsia="仿宋" w:cs="仿宋"/>
                <w:color w:val="auto"/>
                <w:sz w:val="24"/>
                <w:highlight w:val="none"/>
              </w:rPr>
            </w:pPr>
          </w:p>
          <w:p>
            <w:pPr>
              <w:spacing w:line="360" w:lineRule="auto"/>
              <w:jc w:val="center"/>
              <w:outlineLvl w:val="0"/>
              <w:rPr>
                <w:rFonts w:hint="eastAsia" w:ascii="仿宋" w:hAnsi="仿宋" w:eastAsia="仿宋" w:cs="仿宋"/>
                <w:color w:val="auto"/>
                <w:sz w:val="24"/>
                <w:highlight w:val="none"/>
              </w:rPr>
            </w:pPr>
          </w:p>
          <w:p>
            <w:pPr>
              <w:spacing w:line="360" w:lineRule="auto"/>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40" w:type="pct"/>
            <w:vAlign w:val="center"/>
          </w:tcPr>
          <w:p>
            <w:pPr>
              <w:ind w:firstLine="42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w:t>
            </w:r>
          </w:p>
        </w:tc>
        <w:tc>
          <w:tcPr>
            <w:tcW w:w="3072" w:type="pct"/>
            <w:vAlign w:val="center"/>
          </w:tcPr>
          <w:p>
            <w:pPr>
              <w:spacing w:line="360" w:lineRule="auto"/>
              <w:jc w:val="left"/>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具有针对本项目完整的风险控制预案。（</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w:t>
            </w:r>
          </w:p>
          <w:p>
            <w:pPr>
              <w:spacing w:line="360" w:lineRule="auto"/>
              <w:jc w:val="left"/>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风险控制预案能确项目目标按时达成，具有完善的保障措施。（</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w:t>
            </w:r>
          </w:p>
        </w:tc>
        <w:tc>
          <w:tcPr>
            <w:tcW w:w="466" w:type="pct"/>
            <w:vAlign w:val="center"/>
          </w:tcPr>
          <w:p>
            <w:pPr>
              <w:spacing w:line="360" w:lineRule="auto"/>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820" w:type="pct"/>
            <w:vAlign w:val="center"/>
          </w:tcPr>
          <w:p>
            <w:pPr>
              <w:spacing w:line="360" w:lineRule="auto"/>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风险防控方案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40" w:type="pct"/>
            <w:vAlign w:val="center"/>
          </w:tcPr>
          <w:p>
            <w:pPr>
              <w:jc w:val="center"/>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6</w:t>
            </w:r>
          </w:p>
        </w:tc>
        <w:tc>
          <w:tcPr>
            <w:tcW w:w="3072" w:type="pct"/>
            <w:vAlign w:val="center"/>
          </w:tcPr>
          <w:p>
            <w:pPr>
              <w:spacing w:line="360" w:lineRule="auto"/>
              <w:jc w:val="left"/>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根据图审服务特点，就如何做好定期统计汇报、上报相关行业管理部门统计信息，并针对存在的图纸设计质量问题就如何提高设计质量等方面提出的合理化意见建议。每有1条可行的合理化建议得1分，最多加5分。</w:t>
            </w:r>
          </w:p>
        </w:tc>
        <w:tc>
          <w:tcPr>
            <w:tcW w:w="466" w:type="pct"/>
            <w:vAlign w:val="center"/>
          </w:tcPr>
          <w:p>
            <w:pPr>
              <w:jc w:val="center"/>
              <w:rPr>
                <w:rFonts w:hint="eastAsia" w:ascii="仿宋" w:hAnsi="仿宋" w:eastAsia="仿宋" w:cs="仿宋"/>
                <w:color w:val="auto"/>
                <w:highlight w:val="none"/>
              </w:rPr>
            </w:pPr>
          </w:p>
          <w:p>
            <w:pPr>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w:t>
            </w:r>
          </w:p>
        </w:tc>
        <w:tc>
          <w:tcPr>
            <w:tcW w:w="820" w:type="pct"/>
            <w:vAlign w:val="center"/>
          </w:tcPr>
          <w:p>
            <w:pPr>
              <w:spacing w:line="360" w:lineRule="auto"/>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40" w:type="pct"/>
            <w:vAlign w:val="center"/>
          </w:tcPr>
          <w:p>
            <w:pPr>
              <w:spacing w:line="360" w:lineRule="auto"/>
              <w:ind w:firstLine="240" w:firstLineChars="10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p>
        </w:tc>
        <w:tc>
          <w:tcPr>
            <w:tcW w:w="3072" w:type="pct"/>
            <w:vAlign w:val="center"/>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施工图审查机构须在十二个工作日内完成施工图审查，并根据审查情况作出审查结论：</w:t>
            </w:r>
          </w:p>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(一）审查合格的，施工图审查机构应当出具审查合格书，并在全套施工图上加盖审查专用章。</w:t>
            </w:r>
          </w:p>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(二）审查不合格的，施工图审查机构应当出具本次施工图审查不予通过的结论，并说明不合格原因。审查时限存在变化的可能性，按相关要求执行。</w:t>
            </w:r>
          </w:p>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以上二条内容</w:t>
            </w:r>
            <w:r>
              <w:rPr>
                <w:rFonts w:hint="eastAsia" w:ascii="仿宋" w:hAnsi="仿宋" w:eastAsia="仿宋" w:cs="仿宋"/>
                <w:color w:val="auto"/>
                <w:sz w:val="24"/>
                <w:highlight w:val="none"/>
              </w:rPr>
              <w:t>承诺</w:t>
            </w:r>
            <w:r>
              <w:rPr>
                <w:rFonts w:hint="eastAsia" w:ascii="仿宋" w:hAnsi="仿宋" w:eastAsia="仿宋" w:cs="仿宋"/>
                <w:color w:val="auto"/>
                <w:sz w:val="24"/>
                <w:highlight w:val="none"/>
                <w:lang w:val="en-US" w:eastAsia="zh-CN"/>
              </w:rPr>
              <w:t>1条</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最高得8分，</w:t>
            </w:r>
            <w:r>
              <w:rPr>
                <w:rFonts w:hint="eastAsia" w:ascii="仿宋" w:hAnsi="仿宋" w:eastAsia="仿宋" w:cs="仿宋"/>
                <w:color w:val="auto"/>
                <w:sz w:val="24"/>
                <w:highlight w:val="none"/>
              </w:rPr>
              <w:t>不承诺得0分。</w:t>
            </w:r>
          </w:p>
          <w:p>
            <w:pPr>
              <w:spacing w:line="360" w:lineRule="auto"/>
              <w:outlineLvl w:val="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（提供承诺函，格式自拟）</w:t>
            </w:r>
          </w:p>
        </w:tc>
        <w:tc>
          <w:tcPr>
            <w:tcW w:w="466" w:type="pct"/>
          </w:tcPr>
          <w:p>
            <w:pPr>
              <w:spacing w:line="360" w:lineRule="auto"/>
              <w:outlineLvl w:val="0"/>
              <w:rPr>
                <w:rFonts w:hint="eastAsia" w:ascii="仿宋" w:hAnsi="仿宋" w:eastAsia="仿宋" w:cs="仿宋"/>
                <w:color w:val="auto"/>
                <w:sz w:val="24"/>
                <w:highlight w:val="none"/>
                <w:lang w:val="en-US" w:eastAsia="zh-CN"/>
              </w:rPr>
            </w:pPr>
          </w:p>
          <w:p>
            <w:pPr>
              <w:spacing w:line="360" w:lineRule="auto"/>
              <w:outlineLvl w:val="0"/>
              <w:rPr>
                <w:rFonts w:hint="eastAsia" w:ascii="仿宋" w:hAnsi="仿宋" w:eastAsia="仿宋" w:cs="仿宋"/>
                <w:color w:val="auto"/>
                <w:sz w:val="24"/>
                <w:highlight w:val="none"/>
                <w:lang w:val="en-US" w:eastAsia="zh-CN"/>
              </w:rPr>
            </w:pPr>
          </w:p>
          <w:p>
            <w:pPr>
              <w:spacing w:line="360" w:lineRule="auto"/>
              <w:outlineLvl w:val="0"/>
              <w:rPr>
                <w:rFonts w:hint="eastAsia" w:ascii="仿宋" w:hAnsi="仿宋" w:eastAsia="仿宋" w:cs="仿宋"/>
                <w:color w:val="auto"/>
                <w:sz w:val="24"/>
                <w:highlight w:val="none"/>
                <w:lang w:val="en-US" w:eastAsia="zh-CN"/>
              </w:rPr>
            </w:pPr>
          </w:p>
          <w:p>
            <w:pPr>
              <w:spacing w:line="360" w:lineRule="auto"/>
              <w:outlineLvl w:val="0"/>
              <w:rPr>
                <w:rFonts w:hint="eastAsia" w:ascii="仿宋" w:hAnsi="仿宋" w:eastAsia="仿宋" w:cs="仿宋"/>
                <w:color w:val="auto"/>
                <w:sz w:val="24"/>
                <w:highlight w:val="none"/>
                <w:lang w:val="en-US" w:eastAsia="zh-CN"/>
              </w:rPr>
            </w:pPr>
          </w:p>
          <w:p>
            <w:pPr>
              <w:spacing w:line="360" w:lineRule="auto"/>
              <w:outlineLvl w:val="0"/>
              <w:rPr>
                <w:rFonts w:hint="eastAsia" w:ascii="仿宋" w:hAnsi="仿宋" w:eastAsia="仿宋" w:cs="仿宋"/>
                <w:color w:val="auto"/>
                <w:sz w:val="24"/>
                <w:highlight w:val="none"/>
                <w:lang w:val="en-US" w:eastAsia="zh-CN"/>
              </w:rPr>
            </w:pPr>
          </w:p>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820" w:type="pct"/>
            <w:vAlign w:val="center"/>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图审服务时间承诺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40" w:type="pct"/>
            <w:vAlign w:val="center"/>
          </w:tcPr>
          <w:p>
            <w:pPr>
              <w:spacing w:line="360" w:lineRule="auto"/>
              <w:ind w:firstLine="240" w:firstLineChars="10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3072" w:type="pct"/>
            <w:vAlign w:val="center"/>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拟投入的施工图审人员数量充足（3分），专业分布合理（3分），具有丰富的施工图审工作经历（1分），熟悉当地图审程序（5分）。</w:t>
            </w:r>
          </w:p>
          <w:p>
            <w:pPr>
              <w:spacing w:line="360" w:lineRule="auto"/>
              <w:outlineLvl w:val="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（提供人员清单，证书</w:t>
            </w:r>
            <w:r>
              <w:rPr>
                <w:rFonts w:hint="eastAsia" w:ascii="仿宋" w:hAnsi="仿宋" w:eastAsia="仿宋" w:cs="仿宋"/>
                <w:b/>
                <w:bCs/>
                <w:color w:val="auto"/>
                <w:sz w:val="24"/>
                <w:highlight w:val="none"/>
                <w:lang w:eastAsia="zh-CN"/>
              </w:rPr>
              <w:t>扫描</w:t>
            </w:r>
            <w:r>
              <w:rPr>
                <w:rFonts w:hint="eastAsia" w:ascii="仿宋" w:hAnsi="仿宋" w:eastAsia="仿宋" w:cs="仿宋"/>
                <w:b/>
                <w:bCs/>
                <w:color w:val="auto"/>
                <w:sz w:val="24"/>
                <w:highlight w:val="none"/>
              </w:rPr>
              <w:t>件，工作证明等证明材料）</w:t>
            </w:r>
          </w:p>
        </w:tc>
        <w:tc>
          <w:tcPr>
            <w:tcW w:w="466" w:type="pct"/>
          </w:tcPr>
          <w:p>
            <w:pPr>
              <w:spacing w:line="360" w:lineRule="auto"/>
              <w:outlineLvl w:val="0"/>
              <w:rPr>
                <w:rFonts w:hint="eastAsia" w:ascii="仿宋" w:hAnsi="仿宋" w:eastAsia="仿宋" w:cs="仿宋"/>
                <w:color w:val="auto"/>
                <w:sz w:val="24"/>
                <w:highlight w:val="none"/>
                <w:lang w:val="en-US" w:eastAsia="zh-CN"/>
              </w:rPr>
            </w:pPr>
          </w:p>
          <w:p>
            <w:pPr>
              <w:spacing w:line="360" w:lineRule="auto"/>
              <w:outlineLvl w:val="0"/>
              <w:rPr>
                <w:rFonts w:hint="eastAsia" w:ascii="仿宋" w:hAnsi="仿宋" w:eastAsia="仿宋" w:cs="仿宋"/>
                <w:color w:val="auto"/>
                <w:sz w:val="24"/>
                <w:highlight w:val="none"/>
                <w:lang w:val="en-US" w:eastAsia="zh-CN"/>
              </w:rPr>
            </w:pPr>
          </w:p>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w:t>
            </w:r>
          </w:p>
        </w:tc>
        <w:tc>
          <w:tcPr>
            <w:tcW w:w="820" w:type="pct"/>
            <w:vAlign w:val="center"/>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工作组情况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40" w:type="pct"/>
            <w:vAlign w:val="center"/>
          </w:tcPr>
          <w:p>
            <w:pPr>
              <w:spacing w:line="360" w:lineRule="auto"/>
              <w:ind w:firstLine="240" w:firstLineChars="10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p>
        </w:tc>
        <w:tc>
          <w:tcPr>
            <w:tcW w:w="3072" w:type="pct"/>
            <w:vAlign w:val="center"/>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质量保证体系完备，措施具体、有效，可行性强。（</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w:t>
            </w:r>
          </w:p>
        </w:tc>
        <w:tc>
          <w:tcPr>
            <w:tcW w:w="466" w:type="pct"/>
          </w:tcPr>
          <w:p>
            <w:pPr>
              <w:spacing w:line="360" w:lineRule="auto"/>
              <w:outlineLvl w:val="0"/>
              <w:rPr>
                <w:rFonts w:hint="eastAsia" w:ascii="仿宋" w:hAnsi="仿宋" w:eastAsia="仿宋" w:cs="仿宋"/>
                <w:color w:val="auto"/>
                <w:sz w:val="24"/>
                <w:highlight w:val="none"/>
                <w:lang w:val="en-US" w:eastAsia="zh-CN"/>
              </w:rPr>
            </w:pPr>
          </w:p>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820" w:type="pct"/>
            <w:vAlign w:val="center"/>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40" w:type="pct"/>
            <w:vAlign w:val="center"/>
          </w:tcPr>
          <w:p>
            <w:pPr>
              <w:spacing w:line="360" w:lineRule="auto"/>
              <w:ind w:firstLine="240" w:firstLineChars="10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3072" w:type="pct"/>
            <w:vAlign w:val="center"/>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接到采购人或建设单位通知：承诺半天&lt;响应时间≤一天内且有具体明确的措施可以保障响应时间得3分；承诺响应时间≤半天且有具体明确的措施可以保障响应时间得</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分。其它时间或不承诺的不得分。</w:t>
            </w:r>
          </w:p>
        </w:tc>
        <w:tc>
          <w:tcPr>
            <w:tcW w:w="466" w:type="pct"/>
          </w:tcPr>
          <w:p>
            <w:pPr>
              <w:spacing w:line="360" w:lineRule="auto"/>
              <w:jc w:val="center"/>
              <w:outlineLvl w:val="0"/>
              <w:rPr>
                <w:rFonts w:hint="eastAsia" w:ascii="仿宋" w:hAnsi="仿宋" w:eastAsia="仿宋" w:cs="仿宋"/>
                <w:color w:val="auto"/>
                <w:sz w:val="24"/>
                <w:highlight w:val="none"/>
                <w:lang w:val="en-US" w:eastAsia="zh-CN"/>
              </w:rPr>
            </w:pPr>
          </w:p>
          <w:p>
            <w:pPr>
              <w:spacing w:line="360" w:lineRule="auto"/>
              <w:jc w:val="center"/>
              <w:outlineLvl w:val="0"/>
              <w:rPr>
                <w:rFonts w:hint="eastAsia" w:ascii="仿宋" w:hAnsi="仿宋" w:eastAsia="仿宋" w:cs="仿宋"/>
                <w:color w:val="auto"/>
                <w:sz w:val="24"/>
                <w:highlight w:val="none"/>
                <w:lang w:val="en-US" w:eastAsia="zh-CN"/>
              </w:rPr>
            </w:pPr>
          </w:p>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820" w:type="pct"/>
            <w:vMerge w:val="restart"/>
            <w:vAlign w:val="center"/>
          </w:tcPr>
          <w:p>
            <w:pPr>
              <w:widowControl/>
              <w:spacing w:line="460" w:lineRule="exact"/>
              <w:jc w:val="center"/>
              <w:rPr>
                <w:rFonts w:hint="eastAsia" w:ascii="仿宋" w:hAnsi="仿宋" w:eastAsia="仿宋" w:cs="仿宋"/>
                <w:color w:val="auto"/>
                <w:kern w:val="2"/>
                <w:sz w:val="21"/>
                <w:szCs w:val="21"/>
                <w:highlight w:val="none"/>
                <w:shd w:val="clear" w:color="auto" w:fill="auto"/>
                <w:lang w:val="en-US" w:eastAsia="zh-CN" w:bidi="ar-SA"/>
              </w:rPr>
            </w:pPr>
            <w:r>
              <w:rPr>
                <w:rFonts w:hint="eastAsia" w:ascii="仿宋" w:hAnsi="仿宋" w:eastAsia="仿宋" w:cs="仿宋"/>
                <w:color w:val="auto"/>
                <w:sz w:val="24"/>
                <w:highlight w:val="none"/>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40" w:type="pct"/>
            <w:vAlign w:val="center"/>
          </w:tcPr>
          <w:p>
            <w:pPr>
              <w:spacing w:line="360" w:lineRule="auto"/>
              <w:ind w:firstLine="240" w:firstLineChars="10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w:t>
            </w:r>
          </w:p>
        </w:tc>
        <w:tc>
          <w:tcPr>
            <w:tcW w:w="3072" w:type="pct"/>
            <w:vAlign w:val="center"/>
          </w:tcPr>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中标后承诺在项目实施地区配备相关图审人员的，每人得1分，</w:t>
            </w:r>
            <w:r>
              <w:rPr>
                <w:rFonts w:hint="eastAsia" w:ascii="仿宋" w:hAnsi="仿宋" w:eastAsia="仿宋" w:cs="仿宋"/>
                <w:color w:val="auto"/>
                <w:sz w:val="24"/>
                <w:highlight w:val="none"/>
                <w:lang w:val="en-US" w:eastAsia="zh-CN"/>
              </w:rPr>
              <w:t>最高为5分，若人员为中级及以上职称的，每人加1分，</w:t>
            </w:r>
            <w:r>
              <w:rPr>
                <w:rFonts w:hint="eastAsia" w:ascii="仿宋" w:hAnsi="仿宋" w:eastAsia="仿宋" w:cs="仿宋"/>
                <w:color w:val="auto"/>
                <w:sz w:val="24"/>
                <w:highlight w:val="none"/>
              </w:rPr>
              <w:t>最高得</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w:t>
            </w:r>
          </w:p>
          <w:p>
            <w:pPr>
              <w:spacing w:line="360" w:lineRule="auto"/>
              <w:outlineLvl w:val="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（提供承诺函及人员清单，承诺函格式自拟）</w:t>
            </w:r>
          </w:p>
        </w:tc>
        <w:tc>
          <w:tcPr>
            <w:tcW w:w="466" w:type="pct"/>
          </w:tcPr>
          <w:p>
            <w:pPr>
              <w:spacing w:line="360" w:lineRule="auto"/>
              <w:jc w:val="center"/>
              <w:outlineLvl w:val="0"/>
              <w:rPr>
                <w:rFonts w:hint="eastAsia" w:ascii="仿宋" w:hAnsi="仿宋" w:eastAsia="仿宋" w:cs="仿宋"/>
                <w:color w:val="auto"/>
                <w:sz w:val="24"/>
                <w:highlight w:val="none"/>
                <w:lang w:val="en-US" w:eastAsia="zh-CN"/>
              </w:rPr>
            </w:pPr>
          </w:p>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820" w:type="pct"/>
            <w:vMerge w:val="continue"/>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40" w:type="pct"/>
            <w:vAlign w:val="center"/>
          </w:tcPr>
          <w:p>
            <w:pPr>
              <w:spacing w:line="360" w:lineRule="auto"/>
              <w:ind w:firstLine="240" w:firstLineChars="10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w:t>
            </w:r>
          </w:p>
        </w:tc>
        <w:tc>
          <w:tcPr>
            <w:tcW w:w="3072" w:type="pct"/>
            <w:vAlign w:val="center"/>
          </w:tcPr>
          <w:p>
            <w:pPr>
              <w:pStyle w:val="25"/>
              <w:ind w:left="0" w:leftChars="0" w:firstLine="0" w:firstLineChars="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投标人具有的图审资质：</w:t>
            </w:r>
          </w:p>
          <w:p>
            <w:pPr>
              <w:pStyle w:val="25"/>
              <w:ind w:left="0" w:leftChars="0" w:firstLine="0" w:firstLineChars="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标项一和标项二：房建一类得5分，房建二类得2分。</w:t>
            </w:r>
          </w:p>
          <w:p>
            <w:pPr>
              <w:pStyle w:val="25"/>
              <w:ind w:left="0" w:leftChars="0" w:firstLine="0" w:firstLineChars="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标项三：市政道桥、给排水二类及以上得5分。最高得5分。</w:t>
            </w:r>
          </w:p>
          <w:p>
            <w:pPr>
              <w:spacing w:line="360" w:lineRule="auto"/>
              <w:outlineLvl w:val="0"/>
              <w:rPr>
                <w:rFonts w:hint="eastAsia" w:ascii="仿宋" w:hAnsi="仿宋" w:eastAsia="仿宋" w:cs="仿宋"/>
                <w:color w:val="auto"/>
                <w:highlight w:val="none"/>
              </w:rPr>
            </w:pPr>
            <w:r>
              <w:rPr>
                <w:rFonts w:hint="eastAsia" w:ascii="仿宋" w:hAnsi="仿宋" w:eastAsia="仿宋" w:cs="仿宋"/>
                <w:b/>
                <w:bCs/>
                <w:color w:val="auto"/>
                <w:sz w:val="24"/>
                <w:highlight w:val="none"/>
                <w:lang w:val="en-US" w:eastAsia="zh-CN"/>
              </w:rPr>
              <w:t>（</w:t>
            </w:r>
            <w:r>
              <w:rPr>
                <w:rFonts w:hint="eastAsia" w:ascii="仿宋" w:hAnsi="仿宋" w:eastAsia="仿宋" w:cs="仿宋"/>
                <w:b/>
                <w:bCs/>
                <w:color w:val="auto"/>
                <w:sz w:val="24"/>
                <w:highlight w:val="none"/>
              </w:rPr>
              <w:t>提供有效证书或文件的</w:t>
            </w:r>
            <w:r>
              <w:rPr>
                <w:rFonts w:hint="eastAsia" w:ascii="仿宋" w:hAnsi="仿宋" w:eastAsia="仿宋" w:cs="仿宋"/>
                <w:b/>
                <w:bCs/>
                <w:color w:val="auto"/>
                <w:sz w:val="24"/>
                <w:highlight w:val="none"/>
                <w:lang w:val="en-US" w:eastAsia="zh-CN"/>
              </w:rPr>
              <w:t>扫描件</w:t>
            </w:r>
            <w:r>
              <w:rPr>
                <w:rFonts w:hint="eastAsia" w:ascii="仿宋" w:hAnsi="仿宋" w:eastAsia="仿宋" w:cs="仿宋"/>
                <w:b/>
                <w:bCs/>
                <w:color w:val="auto"/>
                <w:sz w:val="24"/>
                <w:highlight w:val="none"/>
              </w:rPr>
              <w:t>）</w:t>
            </w:r>
          </w:p>
        </w:tc>
        <w:tc>
          <w:tcPr>
            <w:tcW w:w="466" w:type="pct"/>
          </w:tcPr>
          <w:p>
            <w:pPr>
              <w:spacing w:line="360" w:lineRule="auto"/>
              <w:jc w:val="center"/>
              <w:outlineLvl w:val="0"/>
              <w:rPr>
                <w:rFonts w:hint="eastAsia" w:ascii="仿宋" w:hAnsi="仿宋" w:eastAsia="仿宋" w:cs="仿宋"/>
                <w:color w:val="auto"/>
                <w:sz w:val="24"/>
                <w:highlight w:val="none"/>
                <w:lang w:val="en-US" w:eastAsia="zh-CN"/>
              </w:rPr>
            </w:pPr>
          </w:p>
          <w:p>
            <w:pPr>
              <w:spacing w:line="360" w:lineRule="auto"/>
              <w:jc w:val="center"/>
              <w:outlineLvl w:val="0"/>
              <w:rPr>
                <w:rFonts w:hint="eastAsia" w:ascii="仿宋" w:hAnsi="仿宋" w:eastAsia="仿宋" w:cs="仿宋"/>
                <w:color w:val="auto"/>
                <w:sz w:val="24"/>
                <w:highlight w:val="none"/>
                <w:lang w:val="en-US" w:eastAsia="zh-CN"/>
              </w:rPr>
            </w:pPr>
          </w:p>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820" w:type="pct"/>
          </w:tcPr>
          <w:p>
            <w:pPr>
              <w:spacing w:line="360" w:lineRule="auto"/>
              <w:jc w:val="center"/>
              <w:outlineLvl w:val="0"/>
              <w:rPr>
                <w:rFonts w:hint="eastAsia" w:ascii="仿宋" w:hAnsi="仿宋" w:eastAsia="仿宋" w:cs="仿宋"/>
                <w:color w:val="auto"/>
                <w:sz w:val="24"/>
                <w:highlight w:val="none"/>
                <w:lang w:val="en-US" w:eastAsia="zh-CN"/>
              </w:rPr>
            </w:pPr>
          </w:p>
          <w:p>
            <w:pPr>
              <w:spacing w:line="360" w:lineRule="auto"/>
              <w:jc w:val="center"/>
              <w:outlineLvl w:val="0"/>
              <w:rPr>
                <w:rFonts w:hint="eastAsia" w:ascii="仿宋" w:hAnsi="仿宋" w:eastAsia="仿宋" w:cs="仿宋"/>
                <w:color w:val="auto"/>
                <w:sz w:val="24"/>
                <w:highlight w:val="none"/>
                <w:lang w:val="en-US" w:eastAsia="zh-CN"/>
              </w:rPr>
            </w:pPr>
          </w:p>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资信情况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trPr>
        <w:tc>
          <w:tcPr>
            <w:tcW w:w="640" w:type="pct"/>
            <w:vAlign w:val="center"/>
          </w:tcPr>
          <w:p>
            <w:pPr>
              <w:spacing w:line="360" w:lineRule="auto"/>
              <w:ind w:firstLine="240" w:firstLineChars="100"/>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13</w:t>
            </w:r>
          </w:p>
        </w:tc>
        <w:tc>
          <w:tcPr>
            <w:tcW w:w="3072" w:type="pct"/>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有效投标报价的最低价作为评标基准价，其最低报价为满分；按［投标报价得分=（评标基准价/投标报价）*</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0］的计算公式计算。</w:t>
            </w:r>
          </w:p>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评标过程中，不得去掉报价中的最高报价和最低报价。</w:t>
            </w:r>
          </w:p>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因落实政府采购政策需要进行价格调整的，以调整后的价格计算评标基准价和投标报价。</w:t>
            </w:r>
          </w:p>
        </w:tc>
        <w:tc>
          <w:tcPr>
            <w:tcW w:w="466" w:type="pct"/>
            <w:vAlign w:val="center"/>
          </w:tcPr>
          <w:p>
            <w:pPr>
              <w:spacing w:line="360" w:lineRule="auto"/>
              <w:ind w:firstLine="120" w:firstLineChars="5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0</w:t>
            </w:r>
          </w:p>
        </w:tc>
        <w:tc>
          <w:tcPr>
            <w:tcW w:w="820" w:type="pct"/>
            <w:vAlign w:val="center"/>
          </w:tcPr>
          <w:p>
            <w:pPr>
              <w:spacing w:line="360" w:lineRule="auto"/>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r>
    </w:tbl>
    <w:p>
      <w:pPr>
        <w:snapToGrid w:val="0"/>
        <w:spacing w:line="360" w:lineRule="auto"/>
        <w:rPr>
          <w:rFonts w:hint="eastAsia" w:ascii="仿宋" w:hAnsi="仿宋" w:eastAsia="仿宋" w:cs="仿宋"/>
          <w:color w:val="auto"/>
          <w:sz w:val="20"/>
          <w:szCs w:val="20"/>
          <w:highlight w:val="none"/>
          <w:shd w:val="clear" w:color="auto" w:fill="FFFFFF"/>
        </w:rPr>
      </w:pP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28"/>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3.4.1.5政采云平台填报的开标一览表中的价格与上传的报价响应文件中开标一览表的报价不一致的，以上传的报价响应文件中开标一览表的价格为准，修正平台上的投标报价。</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w:t>
      </w: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lang w:eastAsia="zh-CN"/>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若投标人被评审推荐为第</w:t>
      </w:r>
      <w:r>
        <w:rPr>
          <w:rFonts w:hint="eastAsia" w:ascii="仿宋" w:hAnsi="仿宋" w:eastAsia="仿宋" w:cs="仿宋"/>
          <w:color w:val="auto"/>
          <w:kern w:val="0"/>
          <w:sz w:val="24"/>
          <w:highlight w:val="none"/>
          <w:lang w:eastAsia="zh-CN"/>
        </w:rPr>
        <w:t>一</w:t>
      </w:r>
      <w:r>
        <w:rPr>
          <w:rFonts w:hint="eastAsia" w:ascii="仿宋" w:hAnsi="仿宋" w:eastAsia="仿宋" w:cs="仿宋"/>
          <w:color w:val="auto"/>
          <w:kern w:val="0"/>
          <w:sz w:val="24"/>
          <w:highlight w:val="none"/>
        </w:rPr>
        <w:t>标项的第一中标候选人时，第</w:t>
      </w:r>
      <w:r>
        <w:rPr>
          <w:rFonts w:hint="eastAsia" w:ascii="仿宋" w:hAnsi="仿宋" w:eastAsia="仿宋" w:cs="仿宋"/>
          <w:color w:val="auto"/>
          <w:kern w:val="0"/>
          <w:sz w:val="24"/>
          <w:highlight w:val="none"/>
          <w:lang w:eastAsia="zh-CN"/>
        </w:rPr>
        <w:t>二</w:t>
      </w:r>
      <w:r>
        <w:rPr>
          <w:rFonts w:hint="eastAsia" w:ascii="仿宋" w:hAnsi="仿宋" w:eastAsia="仿宋" w:cs="仿宋"/>
          <w:color w:val="auto"/>
          <w:kern w:val="0"/>
          <w:sz w:val="24"/>
          <w:highlight w:val="none"/>
        </w:rPr>
        <w:t>标项不得作为第一中标候选人推荐，仅适用于第</w:t>
      </w:r>
      <w:r>
        <w:rPr>
          <w:rFonts w:hint="eastAsia" w:ascii="仿宋" w:hAnsi="仿宋" w:eastAsia="仿宋" w:cs="仿宋"/>
          <w:color w:val="auto"/>
          <w:kern w:val="0"/>
          <w:sz w:val="24"/>
          <w:highlight w:val="none"/>
          <w:lang w:eastAsia="zh-CN"/>
        </w:rPr>
        <w:t>一</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二</w:t>
      </w:r>
      <w:r>
        <w:rPr>
          <w:rFonts w:hint="eastAsia" w:ascii="仿宋" w:hAnsi="仿宋" w:eastAsia="仿宋" w:cs="仿宋"/>
          <w:color w:val="auto"/>
          <w:kern w:val="0"/>
          <w:sz w:val="24"/>
          <w:highlight w:val="none"/>
        </w:rPr>
        <w:t>标项</w:t>
      </w:r>
      <w:r>
        <w:rPr>
          <w:rFonts w:hint="eastAsia" w:ascii="仿宋" w:hAnsi="仿宋" w:eastAsia="仿宋" w:cs="仿宋"/>
          <w:color w:val="auto"/>
          <w:kern w:val="0"/>
          <w:sz w:val="24"/>
          <w:highlight w:val="none"/>
          <w:lang w:eastAsia="zh-CN"/>
        </w:rPr>
        <w:t>。</w:t>
      </w:r>
    </w:p>
    <w:p>
      <w:pPr>
        <w:spacing w:line="360" w:lineRule="auto"/>
        <w:ind w:firstLine="480" w:firstLineChars="200"/>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128"/>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4.2.12投标人仅提交备份投标文件，没有在电子交易平台传输递交投标文件的，投标无效；</w:t>
      </w:r>
    </w:p>
    <w:p>
      <w:pPr>
        <w:spacing w:line="360" w:lineRule="auto"/>
        <w:ind w:left="479" w:leftChars="228" w:firstLine="0" w:firstLineChars="0"/>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4.2.13 投标文件不满足招标文件的其它实质性要求的；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w:t>
      </w:r>
      <w:r>
        <w:rPr>
          <w:rFonts w:hint="eastAsia" w:ascii="仿宋" w:hAnsi="仿宋" w:eastAsia="仿宋" w:cs="仿宋"/>
          <w:color w:val="auto"/>
          <w:kern w:val="0"/>
          <w:sz w:val="24"/>
          <w:highlight w:val="none"/>
          <w:lang w:val="en-US" w:eastAsia="zh-CN"/>
        </w:rPr>
        <w:t>4</w:t>
      </w:r>
      <w:r>
        <w:rPr>
          <w:rFonts w:hint="eastAsia" w:ascii="仿宋" w:hAnsi="仿宋" w:eastAsia="仿宋" w:cs="仿宋"/>
          <w:color w:val="auto"/>
          <w:kern w:val="0"/>
          <w:sz w:val="24"/>
          <w:highlight w:val="none"/>
        </w:rPr>
        <w:t>法律、法规、规章（适用本市的）及省级以上规范性文件（适用本市的）规定的其他无效情形。</w:t>
      </w:r>
    </w:p>
    <w:p>
      <w:pPr>
        <w:pStyle w:val="25"/>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25"/>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25"/>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p>
      <w:pPr>
        <w:pStyle w:val="25"/>
        <w:snapToGrid w:val="0"/>
        <w:spacing w:line="360" w:lineRule="auto"/>
        <w:ind w:firstLine="0" w:firstLineChars="0"/>
        <w:rPr>
          <w:rFonts w:hint="eastAsia" w:ascii="仿宋" w:hAnsi="仿宋" w:eastAsia="仿宋" w:cs="仿宋"/>
          <w:color w:val="auto"/>
          <w:highlight w:val="none"/>
        </w:rPr>
      </w:pPr>
    </w:p>
    <w:bookmarkEnd w:id="26"/>
    <w:p>
      <w:pPr>
        <w:spacing w:line="360" w:lineRule="auto"/>
        <w:ind w:left="720" w:leftChars="343" w:firstLine="1084" w:firstLineChars="300"/>
        <w:outlineLvl w:val="0"/>
        <w:rPr>
          <w:rFonts w:hint="eastAsia" w:ascii="仿宋" w:hAnsi="仿宋" w:eastAsia="仿宋" w:cs="仿宋"/>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360" w:lineRule="auto"/>
        <w:ind w:left="720" w:leftChars="343" w:firstLine="1084" w:firstLineChars="300"/>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snapToGrid w:val="0"/>
        <w:spacing w:line="360" w:lineRule="auto"/>
        <w:rPr>
          <w:rFonts w:hint="eastAsia" w:ascii="仿宋" w:hAnsi="仿宋" w:eastAsia="仿宋" w:cs="仿宋"/>
          <w:color w:val="auto"/>
          <w:sz w:val="24"/>
          <w:szCs w:val="24"/>
          <w:highlight w:val="none"/>
          <w:shd w:val="clear" w:color="auto" w:fill="auto"/>
          <w:lang w:eastAsia="zh-CN"/>
        </w:rPr>
      </w:pPr>
      <w:r>
        <w:rPr>
          <w:rFonts w:hint="eastAsia" w:ascii="仿宋" w:hAnsi="仿宋" w:eastAsia="仿宋" w:cs="仿宋"/>
          <w:color w:val="auto"/>
          <w:sz w:val="24"/>
          <w:szCs w:val="24"/>
          <w:highlight w:val="none"/>
          <w:shd w:val="clear" w:color="auto" w:fill="auto"/>
        </w:rPr>
        <w:t>合同编号</w:t>
      </w:r>
      <w:r>
        <w:rPr>
          <w:rFonts w:hint="eastAsia" w:ascii="仿宋" w:hAnsi="仿宋" w:eastAsia="仿宋" w:cs="仿宋"/>
          <w:color w:val="auto"/>
          <w:sz w:val="24"/>
          <w:szCs w:val="24"/>
          <w:highlight w:val="none"/>
          <w:shd w:val="clear" w:color="auto" w:fill="auto"/>
          <w:lang w:eastAsia="zh-CN"/>
        </w:rPr>
        <w:t>：</w:t>
      </w:r>
    </w:p>
    <w:p>
      <w:pPr>
        <w:snapToGrid w:val="0"/>
        <w:spacing w:line="360" w:lineRule="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采购编号：</w:t>
      </w:r>
    </w:p>
    <w:p>
      <w:pPr>
        <w:snapToGrid w:val="0"/>
        <w:spacing w:line="360" w:lineRule="auto"/>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rPr>
        <w:t>委托方（以下简称甲方）：杭州市上城区住房和城市建设局</w:t>
      </w:r>
      <w:r>
        <w:rPr>
          <w:rFonts w:hint="eastAsia" w:ascii="仿宋" w:hAnsi="仿宋" w:eastAsia="仿宋" w:cs="仿宋"/>
          <w:color w:val="auto"/>
          <w:sz w:val="24"/>
          <w:szCs w:val="24"/>
          <w:highlight w:val="none"/>
          <w:shd w:val="clear" w:color="auto" w:fill="auto"/>
          <w:lang w:val="en-US" w:eastAsia="zh-CN"/>
        </w:rPr>
        <w:t xml:space="preserve"> </w:t>
      </w:r>
    </w:p>
    <w:p>
      <w:pPr>
        <w:snapToGrid w:val="0"/>
        <w:spacing w:line="360" w:lineRule="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受委托方（以下简称乙方）：</w:t>
      </w:r>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经过公开招标，甲方将乙方作为杭州市上城区住房和城市建设局2022年度施工图审查</w:t>
      </w:r>
      <w:r>
        <w:rPr>
          <w:rFonts w:hint="eastAsia" w:ascii="仿宋" w:hAnsi="仿宋" w:eastAsia="仿宋" w:cs="仿宋"/>
          <w:color w:val="auto"/>
          <w:sz w:val="24"/>
          <w:szCs w:val="24"/>
          <w:highlight w:val="none"/>
          <w:shd w:val="clear" w:color="auto" w:fill="auto"/>
          <w:lang w:eastAsia="zh-CN"/>
        </w:rPr>
        <w:t>的</w:t>
      </w:r>
      <w:r>
        <w:rPr>
          <w:rFonts w:hint="eastAsia" w:ascii="仿宋" w:hAnsi="仿宋" w:eastAsia="仿宋" w:cs="仿宋"/>
          <w:color w:val="auto"/>
          <w:sz w:val="24"/>
          <w:szCs w:val="24"/>
          <w:highlight w:val="none"/>
          <w:shd w:val="clear" w:color="auto" w:fill="auto"/>
        </w:rPr>
        <w:t>服务机构。甲方将杭州市上城区住房和城市建设局2022年度施工图审查委托乙方实施，乙方接受甲方委托，按照省、市有关规定，在甲方委托事宜范围内依法组织开展施工图审查工作，并出具审查意见。经甲乙双方协商一致，签订如下合同:</w:t>
      </w:r>
    </w:p>
    <w:p>
      <w:pPr>
        <w:snapToGrid w:val="0"/>
        <w:spacing w:line="360" w:lineRule="auto"/>
        <w:rPr>
          <w:rFonts w:hint="eastAsia" w:ascii="仿宋" w:hAnsi="仿宋" w:eastAsia="仿宋" w:cs="仿宋"/>
          <w:b/>
          <w:color w:val="auto"/>
          <w:sz w:val="24"/>
          <w:szCs w:val="24"/>
          <w:highlight w:val="none"/>
          <w:shd w:val="clear" w:color="auto" w:fill="auto"/>
        </w:rPr>
      </w:pPr>
      <w:bookmarkStart w:id="395" w:name="_Toc393791425"/>
      <w:r>
        <w:rPr>
          <w:rFonts w:hint="eastAsia" w:ascii="仿宋" w:hAnsi="仿宋" w:eastAsia="仿宋" w:cs="仿宋"/>
          <w:b/>
          <w:color w:val="auto"/>
          <w:sz w:val="24"/>
          <w:szCs w:val="24"/>
          <w:highlight w:val="none"/>
          <w:shd w:val="clear" w:color="auto" w:fill="auto"/>
        </w:rPr>
        <w:t>一、基本情况</w:t>
      </w:r>
      <w:bookmarkEnd w:id="395"/>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（一）协议事项：杭州市上城区住房和城市建设局2022年度施工图审查。</w:t>
      </w:r>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（二）资金来源：财政资金</w:t>
      </w:r>
    </w:p>
    <w:p>
      <w:pPr>
        <w:snapToGrid w:val="0"/>
        <w:spacing w:line="360" w:lineRule="auto"/>
        <w:ind w:firstLine="480" w:firstLineChars="200"/>
        <w:rPr>
          <w:rFonts w:hint="eastAsia" w:ascii="仿宋" w:hAnsi="仿宋" w:eastAsia="仿宋" w:cs="仿宋"/>
          <w:bCs/>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（三）有效期限：</w:t>
      </w:r>
      <w:r>
        <w:rPr>
          <w:rFonts w:hint="eastAsia" w:ascii="仿宋" w:hAnsi="仿宋" w:eastAsia="仿宋" w:cs="仿宋"/>
          <w:bCs/>
          <w:color w:val="auto"/>
          <w:sz w:val="24"/>
          <w:szCs w:val="24"/>
          <w:highlight w:val="none"/>
          <w:shd w:val="clear" w:color="auto" w:fill="auto"/>
        </w:rPr>
        <w:t>合同签订之日至202</w:t>
      </w:r>
      <w:r>
        <w:rPr>
          <w:rFonts w:hint="eastAsia" w:ascii="仿宋" w:hAnsi="仿宋" w:eastAsia="仿宋" w:cs="仿宋"/>
          <w:bCs/>
          <w:color w:val="auto"/>
          <w:sz w:val="24"/>
          <w:szCs w:val="24"/>
          <w:highlight w:val="none"/>
          <w:shd w:val="clear" w:color="auto" w:fill="auto"/>
          <w:lang w:val="en-US" w:eastAsia="zh-CN"/>
        </w:rPr>
        <w:t xml:space="preserve"> </w:t>
      </w:r>
      <w:r>
        <w:rPr>
          <w:rFonts w:hint="eastAsia" w:ascii="仿宋" w:hAnsi="仿宋" w:eastAsia="仿宋" w:cs="仿宋"/>
          <w:bCs/>
          <w:color w:val="auto"/>
          <w:sz w:val="24"/>
          <w:szCs w:val="24"/>
          <w:highlight w:val="none"/>
          <w:shd w:val="clear" w:color="auto" w:fill="auto"/>
        </w:rPr>
        <w:t>年</w:t>
      </w:r>
      <w:r>
        <w:rPr>
          <w:rFonts w:hint="eastAsia" w:ascii="仿宋" w:hAnsi="仿宋" w:eastAsia="仿宋" w:cs="仿宋"/>
          <w:bCs/>
          <w:color w:val="auto"/>
          <w:sz w:val="24"/>
          <w:szCs w:val="24"/>
          <w:highlight w:val="none"/>
          <w:shd w:val="clear" w:color="auto" w:fill="auto"/>
          <w:lang w:val="en-US" w:eastAsia="zh-CN"/>
        </w:rPr>
        <w:t xml:space="preserve"> </w:t>
      </w:r>
      <w:r>
        <w:rPr>
          <w:rFonts w:hint="eastAsia" w:ascii="仿宋" w:hAnsi="仿宋" w:eastAsia="仿宋" w:cs="仿宋"/>
          <w:bCs/>
          <w:color w:val="auto"/>
          <w:sz w:val="24"/>
          <w:szCs w:val="24"/>
          <w:highlight w:val="none"/>
          <w:shd w:val="clear" w:color="auto" w:fill="auto"/>
        </w:rPr>
        <w:t>月</w:t>
      </w:r>
      <w:r>
        <w:rPr>
          <w:rFonts w:hint="eastAsia" w:ascii="仿宋" w:hAnsi="仿宋" w:eastAsia="仿宋" w:cs="仿宋"/>
          <w:bCs/>
          <w:color w:val="auto"/>
          <w:sz w:val="24"/>
          <w:szCs w:val="24"/>
          <w:highlight w:val="none"/>
          <w:shd w:val="clear" w:color="auto" w:fill="auto"/>
          <w:lang w:val="en-US" w:eastAsia="zh-CN"/>
        </w:rPr>
        <w:t xml:space="preserve"> </w:t>
      </w:r>
      <w:r>
        <w:rPr>
          <w:rFonts w:hint="eastAsia" w:ascii="仿宋" w:hAnsi="仿宋" w:eastAsia="仿宋" w:cs="仿宋"/>
          <w:bCs/>
          <w:color w:val="auto"/>
          <w:sz w:val="24"/>
          <w:szCs w:val="24"/>
          <w:highlight w:val="none"/>
          <w:shd w:val="clear" w:color="auto" w:fill="auto"/>
        </w:rPr>
        <w:t>日。若合同到期，采购人还未产生新一轮中标单位前，原中标单位须根据采购人要求继续履行施工图审查工作，</w:t>
      </w:r>
      <w:r>
        <w:rPr>
          <w:rFonts w:hint="eastAsia" w:ascii="仿宋" w:hAnsi="仿宋" w:eastAsia="仿宋" w:cs="仿宋"/>
          <w:bCs/>
          <w:color w:val="auto"/>
          <w:sz w:val="24"/>
          <w:szCs w:val="24"/>
          <w:highlight w:val="none"/>
          <w:shd w:val="clear" w:color="auto" w:fill="auto"/>
          <w:lang w:val="en-US" w:eastAsia="zh-CN"/>
        </w:rPr>
        <w:t>相关费用另行协商</w:t>
      </w:r>
      <w:r>
        <w:rPr>
          <w:rFonts w:hint="eastAsia" w:ascii="仿宋" w:hAnsi="仿宋" w:eastAsia="仿宋" w:cs="仿宋"/>
          <w:bCs/>
          <w:color w:val="auto"/>
          <w:sz w:val="24"/>
          <w:szCs w:val="24"/>
          <w:highlight w:val="none"/>
          <w:shd w:val="clear" w:color="auto" w:fill="auto"/>
        </w:rPr>
        <w:t>。</w:t>
      </w:r>
    </w:p>
    <w:p>
      <w:pPr>
        <w:pStyle w:val="23"/>
        <w:ind w:firstLine="480" w:firstLineChars="200"/>
        <w:rPr>
          <w:rFonts w:hint="eastAsia" w:ascii="仿宋" w:hAnsi="仿宋" w:eastAsia="仿宋" w:cs="仿宋"/>
          <w:color w:val="auto"/>
          <w:sz w:val="24"/>
          <w:szCs w:val="24"/>
          <w:highlight w:val="none"/>
          <w:u w:val="single"/>
          <w:shd w:val="clear" w:color="auto" w:fill="auto"/>
          <w:lang w:val="en-US"/>
        </w:rPr>
      </w:pPr>
      <w:r>
        <w:rPr>
          <w:rFonts w:hint="eastAsia" w:ascii="仿宋" w:hAnsi="仿宋" w:eastAsia="仿宋" w:cs="仿宋"/>
          <w:color w:val="auto"/>
          <w:sz w:val="24"/>
          <w:szCs w:val="24"/>
          <w:highlight w:val="none"/>
          <w:shd w:val="clear" w:color="auto" w:fill="auto"/>
          <w:lang w:val="en-US"/>
        </w:rPr>
        <w:t>（四）合同金额：</w:t>
      </w:r>
      <w:r>
        <w:rPr>
          <w:rFonts w:hint="eastAsia" w:ascii="仿宋" w:hAnsi="仿宋" w:eastAsia="仿宋" w:cs="仿宋"/>
          <w:color w:val="auto"/>
          <w:sz w:val="24"/>
          <w:szCs w:val="24"/>
          <w:highlight w:val="none"/>
          <w:u w:val="single"/>
          <w:shd w:val="clear" w:color="auto" w:fill="auto"/>
          <w:lang w:val="en-US"/>
        </w:rPr>
        <w:t xml:space="preserve">＿＿＿＿＿ </w:t>
      </w:r>
    </w:p>
    <w:p>
      <w:pPr>
        <w:pStyle w:val="23"/>
        <w:ind w:firstLine="480" w:firstLineChars="200"/>
        <w:rPr>
          <w:rFonts w:hint="eastAsia" w:ascii="仿宋" w:hAnsi="仿宋" w:eastAsia="仿宋" w:cs="仿宋"/>
          <w:color w:val="auto"/>
          <w:sz w:val="24"/>
          <w:szCs w:val="24"/>
          <w:highlight w:val="none"/>
          <w:u w:val="single"/>
          <w:shd w:val="clear" w:color="auto" w:fill="auto"/>
          <w:lang w:val="en-US"/>
        </w:rPr>
      </w:pPr>
      <w:r>
        <w:rPr>
          <w:rFonts w:hint="eastAsia" w:ascii="仿宋" w:hAnsi="仿宋" w:eastAsia="仿宋" w:cs="仿宋"/>
          <w:color w:val="auto"/>
          <w:sz w:val="24"/>
          <w:szCs w:val="24"/>
          <w:highlight w:val="none"/>
          <w:shd w:val="clear" w:color="auto" w:fill="auto"/>
          <w:lang w:val="en-US"/>
        </w:rPr>
        <w:t>（五）项目实施地点：</w:t>
      </w:r>
      <w:r>
        <w:rPr>
          <w:rFonts w:hint="eastAsia" w:ascii="仿宋" w:hAnsi="仿宋" w:eastAsia="仿宋" w:cs="仿宋"/>
          <w:color w:val="auto"/>
          <w:sz w:val="24"/>
          <w:szCs w:val="24"/>
          <w:highlight w:val="none"/>
          <w:u w:val="single"/>
          <w:shd w:val="clear" w:color="auto" w:fill="auto"/>
          <w:lang w:val="en-US"/>
        </w:rPr>
        <w:t>杭州</w:t>
      </w:r>
    </w:p>
    <w:p>
      <w:pPr>
        <w:snapToGrid w:val="0"/>
        <w:spacing w:line="360" w:lineRule="auto"/>
        <w:rPr>
          <w:rFonts w:hint="eastAsia" w:ascii="仿宋" w:hAnsi="仿宋" w:eastAsia="仿宋" w:cs="仿宋"/>
          <w:b/>
          <w:color w:val="auto"/>
          <w:sz w:val="24"/>
          <w:szCs w:val="24"/>
          <w:highlight w:val="none"/>
          <w:shd w:val="clear" w:color="auto" w:fill="auto"/>
        </w:rPr>
      </w:pPr>
      <w:bookmarkStart w:id="396" w:name="_Toc393791426"/>
      <w:r>
        <w:rPr>
          <w:rFonts w:hint="eastAsia" w:ascii="仿宋" w:hAnsi="仿宋" w:eastAsia="仿宋" w:cs="仿宋"/>
          <w:b/>
          <w:color w:val="auto"/>
          <w:sz w:val="24"/>
          <w:szCs w:val="24"/>
          <w:highlight w:val="none"/>
          <w:shd w:val="clear" w:color="auto" w:fill="auto"/>
        </w:rPr>
        <w:t>二、验收标准和方式</w:t>
      </w:r>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u w:val="single"/>
          <w:shd w:val="clear" w:color="auto" w:fill="auto"/>
        </w:rPr>
        <w:t>（一）验收方式：采购人将以单个项目的合格书备案作为验收方式，备案通过即验收合格。</w:t>
      </w:r>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（二）甲方在乙方提供服务的过程中，有权不定期对服务内容和质量进行考核。乙方应当配合进行。</w:t>
      </w:r>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（三）乙方在提供服务过程中如存在违反合同相关约定情况的，甲方有权要求乙方立即整改，乙方未按甲方要求整改的，甲方有权拒绝验收，并可中止合同履行，乙方承担因此发生的一切损失、费用及延误责任。</w:t>
      </w:r>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四）经验收后，乙方服务成果不合格的（或未通过评审的），甲方有权要求乙方进行整改，相关费用由乙方承担；如整改后仍不合格的，甲方有权解除合同，并可以拒绝支付未支付的款项，乙方已经收取的款项应退还给甲方。</w:t>
      </w:r>
    </w:p>
    <w:p>
      <w:pPr>
        <w:snapToGrid w:val="0"/>
        <w:spacing w:line="360" w:lineRule="auto"/>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三、甲方委托乙方的具体事项</w:t>
      </w:r>
      <w:bookmarkEnd w:id="396"/>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（一）按照审查规定执行。</w:t>
      </w:r>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*审查政策、工作要求如根据相关规定发生变化，应按相关要求执行。</w:t>
      </w:r>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（二）甲方根据相关规定要求乙方提供的其他服务。</w:t>
      </w:r>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*审查时限如根据相关规定发生变化，应按相关要求执行。</w:t>
      </w:r>
    </w:p>
    <w:p>
      <w:pPr>
        <w:snapToGrid w:val="0"/>
        <w:spacing w:line="360" w:lineRule="auto"/>
        <w:rPr>
          <w:rFonts w:hint="eastAsia" w:ascii="仿宋" w:hAnsi="仿宋" w:eastAsia="仿宋" w:cs="仿宋"/>
          <w:b/>
          <w:color w:val="auto"/>
          <w:sz w:val="24"/>
          <w:szCs w:val="24"/>
          <w:highlight w:val="none"/>
          <w:shd w:val="clear" w:color="auto" w:fill="auto"/>
        </w:rPr>
      </w:pPr>
      <w:bookmarkStart w:id="397" w:name="_Toc393791427"/>
      <w:r>
        <w:rPr>
          <w:rFonts w:hint="eastAsia" w:ascii="仿宋" w:hAnsi="仿宋" w:eastAsia="仿宋" w:cs="仿宋"/>
          <w:b/>
          <w:color w:val="auto"/>
          <w:sz w:val="24"/>
          <w:szCs w:val="24"/>
          <w:highlight w:val="none"/>
          <w:shd w:val="clear" w:color="auto" w:fill="auto"/>
        </w:rPr>
        <w:t>四、甲方的权利和义务</w:t>
      </w:r>
      <w:bookmarkEnd w:id="397"/>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（一）甲方承担项目施工图审查费用。</w:t>
      </w:r>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二）由于政府原因导致审查合格后的施工图设计文件修改，需要重新进行审查的，涉及向审查方支付重新审查费用的，根据审查方所需实际工作量，甲方有权酌情确定并签订补充协议。由于建设单位自身的原因导致重新审查的项目，费用由建设单位自行承担。</w:t>
      </w:r>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（三）审查方完成相应的审查工作，出具审查合格书并完成备案的，甲方应及时办理支付审查费用手续。</w:t>
      </w:r>
    </w:p>
    <w:p>
      <w:pPr>
        <w:snapToGrid w:val="0"/>
        <w:spacing w:line="360" w:lineRule="auto"/>
        <w:rPr>
          <w:rFonts w:hint="eastAsia" w:ascii="仿宋" w:hAnsi="仿宋" w:eastAsia="仿宋" w:cs="仿宋"/>
          <w:b/>
          <w:color w:val="auto"/>
          <w:sz w:val="24"/>
          <w:szCs w:val="24"/>
          <w:highlight w:val="none"/>
          <w:shd w:val="clear" w:color="auto" w:fill="auto"/>
        </w:rPr>
      </w:pPr>
      <w:bookmarkStart w:id="398" w:name="_Toc393791428"/>
      <w:r>
        <w:rPr>
          <w:rFonts w:hint="eastAsia" w:ascii="仿宋" w:hAnsi="仿宋" w:eastAsia="仿宋" w:cs="仿宋"/>
          <w:b/>
          <w:color w:val="auto"/>
          <w:sz w:val="24"/>
          <w:szCs w:val="24"/>
          <w:highlight w:val="none"/>
          <w:shd w:val="clear" w:color="auto" w:fill="auto"/>
        </w:rPr>
        <w:t>五、乙方的权利和义务</w:t>
      </w:r>
      <w:bookmarkEnd w:id="398"/>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（一）乙方应安排符合要求的图审人员从事审查工作；</w:t>
      </w:r>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（二）乙方应协助建设单位督促勘察设计单位填报项目人员信息、反馈修改意见；</w:t>
      </w:r>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（三）在受理时发现委托的项目超出审查机构的业务范围时，应终止审查并向甲方报告；</w:t>
      </w:r>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（四）乙方出具的审查成果应符合省市相关要求。</w:t>
      </w:r>
    </w:p>
    <w:p>
      <w:pPr>
        <w:snapToGrid w:val="0"/>
        <w:spacing w:line="360" w:lineRule="auto"/>
        <w:rPr>
          <w:rFonts w:hint="eastAsia" w:ascii="仿宋" w:hAnsi="仿宋" w:eastAsia="仿宋" w:cs="仿宋"/>
          <w:b/>
          <w:color w:val="auto"/>
          <w:sz w:val="24"/>
          <w:szCs w:val="24"/>
          <w:highlight w:val="none"/>
          <w:shd w:val="clear" w:color="auto" w:fill="auto"/>
        </w:rPr>
      </w:pPr>
      <w:bookmarkStart w:id="399" w:name="_Toc393791429"/>
      <w:r>
        <w:rPr>
          <w:rFonts w:hint="eastAsia" w:ascii="仿宋" w:hAnsi="仿宋" w:eastAsia="仿宋" w:cs="仿宋"/>
          <w:b/>
          <w:color w:val="auto"/>
          <w:sz w:val="24"/>
          <w:szCs w:val="24"/>
          <w:highlight w:val="none"/>
          <w:shd w:val="clear" w:color="auto" w:fill="auto"/>
        </w:rPr>
        <w:t>六、有关费用</w:t>
      </w:r>
      <w:bookmarkEnd w:id="399"/>
    </w:p>
    <w:p>
      <w:pPr>
        <w:snapToGrid w:val="0"/>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shd w:val="clear" w:color="auto" w:fill="auto"/>
        </w:rPr>
        <w:t>（一）</w:t>
      </w:r>
      <w:r>
        <w:rPr>
          <w:rFonts w:hint="eastAsia" w:ascii="仿宋" w:hAnsi="仿宋" w:eastAsia="仿宋" w:cs="仿宋"/>
          <w:color w:val="auto"/>
          <w:kern w:val="2"/>
          <w:sz w:val="24"/>
          <w:szCs w:val="24"/>
          <w:highlight w:val="none"/>
          <w:lang w:val="en-US" w:eastAsia="zh-CN" w:bidi="ar-SA"/>
        </w:rPr>
        <w:t>费用结算：合同签订7个工作日甲方支付合同额的20%作为预付款（签订合同时，乙方明确表示无需预付款或者主动要求降低预付款比例的，甲方可不适用前述规定），结算按照浙江省八部门联合发文（浙建[2017]6号文）附件的浙江省施工图联合审查结算标准及杭州市结算细则*投标报价折扣率，若结算价款满合同限额（预算价）后则提前自动解除，时间及金额两者以先达到为准。本项目折扣率为</w:t>
      </w:r>
      <w:r>
        <w:rPr>
          <w:rFonts w:hint="eastAsia" w:ascii="仿宋" w:hAnsi="仿宋" w:eastAsia="仿宋" w:cs="仿宋"/>
          <w:color w:val="auto"/>
          <w:kern w:val="2"/>
          <w:sz w:val="24"/>
          <w:szCs w:val="24"/>
          <w:highlight w:val="none"/>
          <w:u w:val="single"/>
          <w:lang w:val="en-US" w:eastAsia="zh-CN" w:bidi="ar-SA"/>
        </w:rPr>
        <w:t xml:space="preserve">             </w:t>
      </w:r>
      <w:r>
        <w:rPr>
          <w:rFonts w:hint="eastAsia" w:ascii="仿宋" w:hAnsi="仿宋" w:eastAsia="仿宋" w:cs="仿宋"/>
          <w:color w:val="auto"/>
          <w:kern w:val="2"/>
          <w:sz w:val="24"/>
          <w:szCs w:val="24"/>
          <w:highlight w:val="none"/>
          <w:lang w:val="en-US" w:eastAsia="zh-CN" w:bidi="ar-SA"/>
        </w:rPr>
        <w:t>。</w:t>
      </w:r>
    </w:p>
    <w:p>
      <w:pPr>
        <w:adjustRightInd w:val="0"/>
        <w:snapToGrid w:val="0"/>
        <w:spacing w:line="360" w:lineRule="auto"/>
        <w:ind w:firstLine="480" w:firstLineChars="200"/>
        <w:rPr>
          <w:rFonts w:hint="eastAsia" w:ascii="仿宋" w:hAnsi="仿宋" w:eastAsia="仿宋" w:cs="仿宋"/>
          <w:bCs/>
          <w:color w:val="auto"/>
          <w:sz w:val="24"/>
          <w:szCs w:val="24"/>
          <w:highlight w:val="none"/>
          <w:shd w:val="clear" w:color="auto" w:fill="auto"/>
        </w:rPr>
      </w:pPr>
      <w:r>
        <w:rPr>
          <w:rFonts w:hint="eastAsia" w:ascii="仿宋" w:hAnsi="仿宋" w:eastAsia="仿宋" w:cs="仿宋"/>
          <w:bCs/>
          <w:color w:val="auto"/>
          <w:sz w:val="24"/>
          <w:szCs w:val="24"/>
          <w:highlight w:val="none"/>
          <w:shd w:val="clear" w:color="auto" w:fill="auto"/>
        </w:rPr>
        <w:t>（二）特别说明：因项目性质特殊，今年已产生的施工图审费用，按本次中标价结算给相关单位。</w:t>
      </w:r>
    </w:p>
    <w:p>
      <w:pPr>
        <w:snapToGrid w:val="0"/>
        <w:spacing w:line="360" w:lineRule="auto"/>
        <w:rPr>
          <w:rFonts w:hint="eastAsia" w:ascii="仿宋" w:hAnsi="仿宋" w:eastAsia="仿宋" w:cs="仿宋"/>
          <w:b/>
          <w:color w:val="auto"/>
          <w:sz w:val="24"/>
          <w:szCs w:val="24"/>
          <w:highlight w:val="none"/>
          <w:shd w:val="clear" w:color="auto" w:fill="auto"/>
        </w:rPr>
      </w:pPr>
      <w:bookmarkStart w:id="400" w:name="_Toc393791430"/>
      <w:r>
        <w:rPr>
          <w:rFonts w:hint="eastAsia" w:ascii="仿宋" w:hAnsi="仿宋" w:eastAsia="仿宋" w:cs="仿宋"/>
          <w:b/>
          <w:color w:val="auto"/>
          <w:sz w:val="24"/>
          <w:szCs w:val="24"/>
          <w:highlight w:val="none"/>
          <w:shd w:val="clear" w:color="auto" w:fill="auto"/>
        </w:rPr>
        <w:t>七、违约责任及处理</w:t>
      </w:r>
      <w:bookmarkEnd w:id="400"/>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甲乙双方应遵守法律法规、技术规范和本协议有关规定，否则，将承担相应的违约责任。甲方应如期支付相关审查费用。乙方应按协议如期施工图审查服务工作，未按协议规定开展工作的或考核不合格，乙方承担违约责任。</w:t>
      </w:r>
    </w:p>
    <w:p>
      <w:pPr>
        <w:snapToGrid w:val="0"/>
        <w:spacing w:line="360" w:lineRule="auto"/>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八、争议处理</w:t>
      </w:r>
    </w:p>
    <w:p>
      <w:pPr>
        <w:tabs>
          <w:tab w:val="left" w:pos="425"/>
        </w:tabs>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（一）协议在履行过程中发生争议时，甲方与乙方及时协商解决。协商不成时，提请杭州仲裁委员会根据仲裁规则仲裁。</w:t>
      </w:r>
    </w:p>
    <w:p>
      <w:pPr>
        <w:tabs>
          <w:tab w:val="left" w:pos="425"/>
        </w:tabs>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（二）对于因违反或终止协议而引起的损失、损害的赔偿，由甲方与乙方友好协商解决，经协商仍未能达成一致的，提交杭州仲裁委员会仲裁。</w:t>
      </w:r>
    </w:p>
    <w:p>
      <w:pPr>
        <w:tabs>
          <w:tab w:val="left" w:pos="425"/>
        </w:tabs>
        <w:snapToGrid w:val="0"/>
        <w:spacing w:line="360" w:lineRule="auto"/>
        <w:rPr>
          <w:rFonts w:hint="eastAsia" w:ascii="仿宋" w:hAnsi="仿宋" w:eastAsia="仿宋" w:cs="仿宋"/>
          <w:b/>
          <w:bCs/>
          <w:color w:val="auto"/>
          <w:sz w:val="24"/>
          <w:szCs w:val="24"/>
          <w:highlight w:val="none"/>
          <w:shd w:val="clear" w:color="auto" w:fill="auto"/>
        </w:rPr>
      </w:pPr>
      <w:r>
        <w:rPr>
          <w:rFonts w:hint="eastAsia" w:ascii="仿宋" w:hAnsi="仿宋" w:eastAsia="仿宋" w:cs="仿宋"/>
          <w:b/>
          <w:bCs/>
          <w:color w:val="auto"/>
          <w:sz w:val="24"/>
          <w:szCs w:val="24"/>
          <w:highlight w:val="none"/>
          <w:shd w:val="clear" w:color="auto" w:fill="auto"/>
        </w:rPr>
        <w:t>九、其他</w:t>
      </w:r>
    </w:p>
    <w:p>
      <w:pPr>
        <w:tabs>
          <w:tab w:val="left" w:pos="425"/>
        </w:tabs>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（一）本协议文件、中标通知书、招标文件及其补充文件、投标文件、技术标准和要求、合同补充条款或说明（如有）构成本合同的组成部分。</w:t>
      </w:r>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（二）本协议自甲乙双方签字盖章之日起生效。</w:t>
      </w:r>
    </w:p>
    <w:p>
      <w:pPr>
        <w:snapToGrid w:val="0"/>
        <w:spacing w:line="360" w:lineRule="auto"/>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（三）本合同一式</w:t>
      </w:r>
      <w:r>
        <w:rPr>
          <w:rFonts w:hint="eastAsia" w:ascii="仿宋" w:hAnsi="仿宋" w:eastAsia="仿宋" w:cs="仿宋"/>
          <w:color w:val="auto"/>
          <w:sz w:val="24"/>
          <w:szCs w:val="24"/>
          <w:highlight w:val="none"/>
          <w:shd w:val="clear" w:color="auto" w:fill="auto"/>
          <w:lang w:eastAsia="zh-CN"/>
        </w:rPr>
        <w:t>肆</w:t>
      </w:r>
      <w:r>
        <w:rPr>
          <w:rFonts w:hint="eastAsia" w:ascii="仿宋" w:hAnsi="仿宋" w:eastAsia="仿宋" w:cs="仿宋"/>
          <w:color w:val="auto"/>
          <w:sz w:val="24"/>
          <w:szCs w:val="24"/>
          <w:highlight w:val="none"/>
          <w:shd w:val="clear" w:color="auto" w:fill="auto"/>
        </w:rPr>
        <w:t>份，甲方执二份，乙方执二份。</w:t>
      </w:r>
    </w:p>
    <w:p>
      <w:pPr>
        <w:spacing w:line="520" w:lineRule="exact"/>
        <w:rPr>
          <w:rFonts w:hint="eastAsia" w:ascii="仿宋" w:hAnsi="仿宋" w:eastAsia="仿宋" w:cs="仿宋"/>
          <w:color w:val="auto"/>
          <w:sz w:val="24"/>
          <w:szCs w:val="24"/>
          <w:highlight w:val="none"/>
          <w:shd w:val="clear" w:color="auto" w:fill="auto"/>
        </w:rPr>
      </w:pPr>
    </w:p>
    <w:p>
      <w:pPr>
        <w:spacing w:line="520" w:lineRule="exact"/>
        <w:rPr>
          <w:rFonts w:hint="eastAsia" w:ascii="仿宋" w:hAnsi="仿宋" w:eastAsia="仿宋" w:cs="仿宋"/>
          <w:color w:val="auto"/>
          <w:sz w:val="24"/>
          <w:szCs w:val="24"/>
          <w:highlight w:val="none"/>
          <w:shd w:val="clear" w:color="auto" w:fill="auto"/>
        </w:rPr>
      </w:pPr>
    </w:p>
    <w:p>
      <w:pPr>
        <w:spacing w:line="520" w:lineRule="exact"/>
        <w:ind w:firstLine="720" w:firstLineChars="3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甲方：（公章）                                   乙方：（公章）</w:t>
      </w:r>
    </w:p>
    <w:p>
      <w:pPr>
        <w:spacing w:line="520" w:lineRule="exact"/>
        <w:ind w:firstLine="720" w:firstLineChars="3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负责人签字：                                     负责人签字：</w:t>
      </w:r>
    </w:p>
    <w:p>
      <w:pPr>
        <w:spacing w:line="520" w:lineRule="exact"/>
        <w:ind w:firstLine="720" w:firstLineChars="3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地址：                                           地址：</w:t>
      </w:r>
    </w:p>
    <w:p>
      <w:pPr>
        <w:spacing w:line="520" w:lineRule="exact"/>
        <w:ind w:firstLine="720" w:firstLineChars="3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联系电话：                                       联系电话：</w:t>
      </w:r>
    </w:p>
    <w:p>
      <w:pPr>
        <w:spacing w:line="520" w:lineRule="exact"/>
        <w:ind w:firstLine="480" w:firstLineChars="20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年   月   日                                     年   月   日</w:t>
      </w:r>
    </w:p>
    <w:p>
      <w:pPr>
        <w:spacing w:line="360" w:lineRule="auto"/>
        <w:ind w:left="-420" w:leftChars="-200" w:right="-420" w:rightChars="-200" w:firstLine="480" w:firstLineChars="200"/>
        <w:rPr>
          <w:rFonts w:hint="eastAsia" w:ascii="仿宋" w:hAnsi="仿宋" w:eastAsia="仿宋" w:cs="仿宋"/>
          <w:color w:val="auto"/>
          <w:sz w:val="24"/>
          <w:highlight w:val="none"/>
        </w:rPr>
      </w:pPr>
    </w:p>
    <w:p>
      <w:pPr>
        <w:spacing w:line="360" w:lineRule="auto"/>
        <w:ind w:left="-420" w:leftChars="-200" w:right="-420" w:rightChars="-200"/>
        <w:rPr>
          <w:rFonts w:hint="eastAsia" w:ascii="仿宋" w:hAnsi="仿宋" w:eastAsia="仿宋" w:cs="仿宋"/>
          <w:color w:val="auto"/>
          <w:sz w:val="24"/>
          <w:highlight w:val="none"/>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spacing w:line="360" w:lineRule="auto"/>
        <w:ind w:left="720" w:firstLine="723" w:firstLineChars="200"/>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3"/>
      <w:r>
        <w:rPr>
          <w:rFonts w:hint="eastAsia" w:ascii="仿宋" w:hAnsi="仿宋" w:eastAsia="仿宋" w:cs="仿宋"/>
          <w:b/>
          <w:color w:val="auto"/>
          <w:sz w:val="36"/>
          <w:szCs w:val="20"/>
          <w:highlight w:val="none"/>
        </w:rPr>
        <w:t xml:space="preserve"> </w:t>
      </w:r>
      <w:bookmarkEnd w:id="394"/>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杭州市上城区住房和城市建设局</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浙江省房地产管理咨询有限公司</w:t>
      </w:r>
      <w:r>
        <w:rPr>
          <w:rFonts w:hint="eastAsia" w:ascii="仿宋" w:hAnsi="仿宋" w:eastAsia="仿宋" w:cs="仿宋"/>
          <w:color w:val="auto"/>
          <w:sz w:val="24"/>
          <w:highlight w:val="none"/>
        </w:rPr>
        <w:t>：</w:t>
      </w:r>
    </w:p>
    <w:p>
      <w:pPr>
        <w:snapToGrid w:val="0"/>
        <w:spacing w:line="360" w:lineRule="auto"/>
        <w:ind w:left="239" w:leftChars="114"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w:t>
      </w:r>
      <w:r>
        <w:rPr>
          <w:rFonts w:hint="eastAsia" w:ascii="仿宋" w:hAnsi="仿宋" w:eastAsia="仿宋" w:cs="仿宋"/>
          <w:color w:val="auto"/>
          <w:sz w:val="24"/>
          <w:highlight w:val="none"/>
          <w:lang w:eastAsia="zh-CN"/>
        </w:rPr>
        <w:t>杭州市上城区住房和城市建设局2022年度施工图审查服务项目（重新招标）（标项一</w:t>
      </w:r>
      <w:r>
        <w:rPr>
          <w:rFonts w:hint="eastAsia" w:ascii="仿宋" w:hAnsi="仿宋" w:eastAsia="仿宋" w:cs="仿宋"/>
          <w:color w:val="auto"/>
          <w:sz w:val="24"/>
          <w:highlight w:val="none"/>
          <w:lang w:val="en-US" w:eastAsia="zh-CN"/>
        </w:rPr>
        <w:t>/标项二/标项三）</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numPr>
          <w:ilvl w:val="0"/>
          <w:numId w:val="4"/>
        </w:numPr>
        <w:rPr>
          <w:rFonts w:ascii="仿宋_GB2312" w:hAnsi="仿宋" w:eastAsia="仿宋_GB2312" w:cs="仿宋_GB2312"/>
          <w:sz w:val="24"/>
          <w:highlight w:val="none"/>
        </w:rPr>
      </w:pPr>
      <w:r>
        <w:rPr>
          <w:rFonts w:hint="eastAsia" w:ascii="仿宋_GB2312" w:hAnsi="仿宋" w:eastAsia="仿宋_GB2312" w:cs="仿宋_GB2312"/>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 xml:space="preserve"> </w:t>
      </w:r>
    </w:p>
    <w:p>
      <w:pPr>
        <w:pStyle w:val="2"/>
        <w:keepNext/>
        <w:keepLines/>
        <w:widowControl w:val="0"/>
        <w:numPr>
          <w:ilvl w:val="0"/>
          <w:numId w:val="0"/>
        </w:numPr>
        <w:adjustRightInd/>
        <w:spacing w:line="360" w:lineRule="auto"/>
        <w:jc w:val="left"/>
        <w:outlineLvl w:val="1"/>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numPr>
          <w:ilvl w:val="0"/>
          <w:numId w:val="5"/>
        </w:numPr>
        <w:snapToGrid w:val="0"/>
        <w:spacing w:line="360" w:lineRule="auto"/>
        <w:ind w:left="479" w:leftChars="228"/>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（页码）</w:t>
      </w:r>
    </w:p>
    <w:p>
      <w:pPr>
        <w:numPr>
          <w:ilvl w:val="0"/>
          <w:numId w:val="5"/>
        </w:numPr>
        <w:snapToGrid w:val="0"/>
        <w:spacing w:line="360" w:lineRule="auto"/>
        <w:ind w:left="479" w:leftChars="228"/>
        <w:rPr>
          <w:rFonts w:hint="eastAsia" w:ascii="仿宋" w:hAnsi="仿宋" w:eastAsia="仿宋" w:cs="仿宋"/>
          <w:color w:val="auto"/>
          <w:sz w:val="24"/>
          <w:highlight w:val="none"/>
        </w:rPr>
      </w:pPr>
      <w:r>
        <w:rPr>
          <w:rFonts w:hint="eastAsia" w:ascii="仿宋" w:hAnsi="仿宋" w:eastAsia="仿宋" w:cs="仿宋"/>
          <w:color w:val="auto"/>
          <w:sz w:val="24"/>
          <w:highlight w:val="none"/>
        </w:rPr>
        <w:t>授权委托书或法定代表人（单位负责人、自然人本人）身份证明……（页码）</w:t>
      </w:r>
    </w:p>
    <w:p>
      <w:pPr>
        <w:snapToGrid w:val="0"/>
        <w:spacing w:line="360" w:lineRule="auto"/>
        <w:ind w:left="479" w:leftChars="228"/>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）符合性审查资料……………………………………………………………（页码）</w:t>
      </w:r>
    </w:p>
    <w:p>
      <w:pPr>
        <w:snapToGrid w:val="0"/>
        <w:spacing w:line="360" w:lineRule="auto"/>
        <w:ind w:left="479" w:leftChars="228"/>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）评标标准相应的商务技术资料……………………………………………（页码）</w:t>
      </w:r>
    </w:p>
    <w:p>
      <w:pPr>
        <w:snapToGrid w:val="0"/>
        <w:spacing w:line="360" w:lineRule="auto"/>
        <w:ind w:left="479" w:leftChars="228"/>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）商务技术偏离表……………………………………………………………（页码）</w:t>
      </w:r>
    </w:p>
    <w:p>
      <w:pPr>
        <w:snapToGrid w:val="0"/>
        <w:spacing w:line="360" w:lineRule="auto"/>
        <w:ind w:left="479" w:leftChars="228"/>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sz w:val="24"/>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0"/>
        <w:rPr>
          <w:rFonts w:hint="eastAsia" w:ascii="仿宋" w:hAnsi="仿宋" w:eastAsia="仿宋" w:cs="仿宋"/>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0"/>
        <w:rPr>
          <w:rFonts w:hint="eastAsia" w:ascii="仿宋" w:hAnsi="仿宋" w:eastAsia="仿宋" w:cs="仿宋"/>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杭州市上城区住房和城市建设局</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浙江省房地产管理咨询有限公司</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w:t>
      </w:r>
      <w:r>
        <w:rPr>
          <w:rFonts w:hint="eastAsia" w:ascii="仿宋" w:hAnsi="仿宋" w:eastAsia="仿宋" w:cs="仿宋"/>
          <w:color w:val="auto"/>
          <w:sz w:val="24"/>
          <w:highlight w:val="none"/>
          <w:lang w:eastAsia="zh-CN"/>
        </w:rPr>
        <w:t>杭州市上城区住房和城市建设局2022年度施工图审查服务项目（重新招标）（标项一</w:t>
      </w:r>
      <w:r>
        <w:rPr>
          <w:rFonts w:hint="eastAsia" w:ascii="仿宋" w:hAnsi="仿宋" w:eastAsia="仿宋" w:cs="仿宋"/>
          <w:color w:val="auto"/>
          <w:sz w:val="24"/>
          <w:highlight w:val="none"/>
          <w:lang w:val="en-US" w:eastAsia="zh-CN"/>
        </w:rPr>
        <w:t>/标项二/标项三）</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2.1.1</w:t>
      </w:r>
      <w:r>
        <w:rPr>
          <w:rFonts w:hint="eastAsia" w:ascii="仿宋_GB2312" w:hAnsi="仿宋" w:eastAsia="仿宋_GB2312" w:cs="仿宋_GB2312"/>
          <w:sz w:val="24"/>
          <w:highlight w:val="none"/>
        </w:rPr>
        <w:t>承诺函；</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2.1.2落实政府采购政策需满足的资格要求</w:t>
      </w:r>
      <w:r>
        <w:rPr>
          <w:rFonts w:hint="eastAsia" w:ascii="仿宋_GB2312" w:hAnsi="仿宋" w:eastAsia="仿宋_GB2312" w:cs="仿宋_GB2312"/>
          <w:sz w:val="24"/>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2.1.3本项目的特定资格要求</w:t>
      </w:r>
      <w:r>
        <w:rPr>
          <w:rFonts w:hint="eastAsia" w:ascii="仿宋_GB2312" w:hAnsi="仿宋" w:eastAsia="仿宋_GB2312" w:cs="仿宋_GB2312"/>
          <w:sz w:val="24"/>
          <w:highlight w:val="none"/>
        </w:rPr>
        <w:t>（如果有）。</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2.2.1投标函；</w:t>
      </w:r>
      <w:r>
        <w:rPr>
          <w:rFonts w:ascii="仿宋_GB2312" w:hAnsi="仿宋" w:eastAsia="仿宋_GB2312" w:cs="仿宋_GB2312"/>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w:t>
      </w:r>
      <w:r>
        <w:rPr>
          <w:rFonts w:hint="eastAsia" w:ascii="仿宋_GB2312" w:hAnsi="仿宋" w:eastAsia="仿宋_GB2312" w:cs="仿宋_GB2312"/>
          <w:sz w:val="24"/>
          <w:highlight w:val="none"/>
          <w:lang w:val="en-US" w:eastAsia="zh-CN"/>
        </w:rPr>
        <w:t>3</w:t>
      </w:r>
      <w:r>
        <w:rPr>
          <w:rFonts w:ascii="仿宋_GB2312" w:hAnsi="仿宋" w:eastAsia="仿宋_GB2312" w:cs="仿宋_GB2312"/>
          <w:sz w:val="24"/>
          <w:highlight w:val="none"/>
        </w:rPr>
        <w:t>符合性审查资料；</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w:t>
      </w:r>
      <w:r>
        <w:rPr>
          <w:rFonts w:hint="eastAsia" w:ascii="仿宋_GB2312" w:hAnsi="仿宋" w:eastAsia="仿宋_GB2312" w:cs="仿宋_GB2312"/>
          <w:sz w:val="24"/>
          <w:highlight w:val="none"/>
          <w:lang w:val="en-US" w:eastAsia="zh-CN"/>
        </w:rPr>
        <w:t>4</w:t>
      </w:r>
      <w:r>
        <w:rPr>
          <w:rFonts w:ascii="仿宋_GB2312" w:hAnsi="仿宋" w:eastAsia="仿宋_GB2312" w:cs="仿宋_GB2312"/>
          <w:sz w:val="24"/>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w:t>
      </w:r>
      <w:r>
        <w:rPr>
          <w:rFonts w:hint="eastAsia" w:ascii="仿宋_GB2312" w:hAnsi="仿宋" w:eastAsia="仿宋_GB2312" w:cs="仿宋_GB2312"/>
          <w:sz w:val="24"/>
          <w:highlight w:val="none"/>
          <w:lang w:val="en-US" w:eastAsia="zh-CN"/>
        </w:rPr>
        <w:t>5</w:t>
      </w:r>
      <w:r>
        <w:rPr>
          <w:rFonts w:ascii="仿宋_GB2312" w:hAnsi="仿宋" w:eastAsia="仿宋_GB2312" w:cs="仿宋_GB2312"/>
          <w:sz w:val="24"/>
          <w:highlight w:val="none"/>
        </w:rPr>
        <w:t>商务技术偏离表；</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highlight w:val="none"/>
          <w:lang w:val="zh-CN"/>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hint="eastAsia" w:ascii="仿宋_GB2312" w:hAnsi="仿宋" w:eastAsia="仿宋_GB2312" w:cs="仿宋_GB2312"/>
          <w:sz w:val="24"/>
          <w:highlight w:val="none"/>
          <w:lang w:val="en-US" w:eastAsia="zh-CN"/>
        </w:rPr>
        <w:t>6</w:t>
      </w:r>
      <w:r>
        <w:rPr>
          <w:rFonts w:hint="eastAsia" w:ascii="仿宋_GB2312" w:hAnsi="仿宋" w:eastAsia="仿宋_GB2312" w:cs="仿宋_GB2312"/>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adjustRightInd w:val="0"/>
        <w:spacing w:line="440" w:lineRule="exact"/>
        <w:ind w:firstLine="3600" w:firstLineChars="15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br w:type="page"/>
      </w: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eastAsia="zh-CN"/>
        </w:rPr>
        <w:t>杭州市上城区住房和城市建设局</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浙江省房地产管理咨询有限公司</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lang w:eastAsia="zh-CN"/>
        </w:rPr>
        <w:t>杭州市上城区住房和城市建设局2022年度施工图审查服务项目（重新招标）（标项一</w:t>
      </w:r>
      <w:r>
        <w:rPr>
          <w:rFonts w:hint="eastAsia" w:ascii="仿宋" w:hAnsi="仿宋" w:eastAsia="仿宋" w:cs="仿宋"/>
          <w:color w:val="auto"/>
          <w:sz w:val="24"/>
          <w:highlight w:val="none"/>
          <w:lang w:val="en-US" w:eastAsia="zh-CN"/>
        </w:rPr>
        <w:t>/标项二/标项三）</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146"/>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jc w:val="center"/>
        </w:trPr>
        <w:tc>
          <w:tcPr>
            <w:tcW w:w="9207" w:type="dxa"/>
          </w:tcPr>
          <w:p>
            <w:pPr>
              <w:pStyle w:val="146"/>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46"/>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eastAsia="zh-CN"/>
        </w:rPr>
        <w:t>三</w:t>
      </w:r>
      <w:r>
        <w:rPr>
          <w:rFonts w:hint="eastAsia" w:ascii="仿宋" w:hAnsi="仿宋" w:eastAsia="仿宋" w:cs="仿宋"/>
          <w:b/>
          <w:color w:val="auto"/>
          <w:kern w:val="0"/>
          <w:sz w:val="32"/>
          <w:szCs w:val="32"/>
          <w:highlight w:val="none"/>
        </w:rPr>
        <w:t>、符合性审查资料</w:t>
      </w:r>
    </w:p>
    <w:p>
      <w:pPr>
        <w:jc w:val="center"/>
        <w:rPr>
          <w:rFonts w:hint="eastAsia" w:ascii="仿宋" w:hAnsi="仿宋" w:eastAsia="仿宋" w:cs="仿宋"/>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25"/>
        <w:rPr>
          <w:rFonts w:hint="eastAsia" w:ascii="仿宋" w:hAnsi="仿宋" w:eastAsia="仿宋" w:cs="仿宋"/>
          <w:b/>
          <w:color w:val="auto"/>
          <w:kern w:val="0"/>
          <w:sz w:val="32"/>
          <w:szCs w:val="32"/>
          <w:highlight w:val="none"/>
        </w:rPr>
      </w:pPr>
    </w:p>
    <w:p>
      <w:pPr>
        <w:pStyle w:val="26"/>
        <w:rPr>
          <w:rFonts w:hint="eastAsia" w:ascii="仿宋" w:hAnsi="仿宋" w:eastAsia="仿宋" w:cs="仿宋"/>
          <w:b/>
          <w:color w:val="auto"/>
          <w:kern w:val="0"/>
          <w:sz w:val="32"/>
          <w:szCs w:val="32"/>
          <w:highlight w:val="none"/>
        </w:rPr>
      </w:pPr>
    </w:p>
    <w:p>
      <w:pPr>
        <w:pStyle w:val="26"/>
        <w:rPr>
          <w:rFonts w:hint="eastAsia" w:ascii="仿宋" w:hAnsi="仿宋" w:eastAsia="仿宋" w:cs="仿宋"/>
          <w:b/>
          <w:color w:val="auto"/>
          <w:kern w:val="0"/>
          <w:sz w:val="32"/>
          <w:szCs w:val="32"/>
          <w:highlight w:val="none"/>
        </w:rPr>
      </w:pPr>
    </w:p>
    <w:p>
      <w:pPr>
        <w:pStyle w:val="26"/>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eastAsia="zh-CN"/>
        </w:rPr>
        <w:t>四</w:t>
      </w:r>
      <w:r>
        <w:rPr>
          <w:rFonts w:hint="eastAsia" w:ascii="仿宋" w:hAnsi="仿宋" w:eastAsia="仿宋" w:cs="仿宋"/>
          <w:b/>
          <w:color w:val="auto"/>
          <w:kern w:val="0"/>
          <w:sz w:val="32"/>
          <w:szCs w:val="32"/>
          <w:highlight w:val="none"/>
        </w:rPr>
        <w:t>、评标标准相应的商务技术资料</w:t>
      </w:r>
    </w:p>
    <w:p>
      <w:pPr>
        <w:snapToGrid w:val="0"/>
        <w:spacing w:line="360" w:lineRule="auto"/>
        <w:jc w:val="left"/>
        <w:rPr>
          <w:rFonts w:hint="eastAsia" w:ascii="仿宋" w:hAnsi="仿宋" w:eastAsia="仿宋" w:cs="仿宋"/>
          <w:b/>
          <w:color w:val="auto"/>
          <w:sz w:val="24"/>
          <w:highlight w:val="none"/>
        </w:rPr>
      </w:pP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eastAsia="zh-CN"/>
        </w:rPr>
        <w:t>五</w:t>
      </w:r>
      <w:r>
        <w:rPr>
          <w:rFonts w:hint="eastAsia" w:ascii="仿宋" w:hAnsi="仿宋" w:eastAsia="仿宋" w:cs="仿宋"/>
          <w:b/>
          <w:color w:val="auto"/>
          <w:kern w:val="0"/>
          <w:sz w:val="32"/>
          <w:szCs w:val="32"/>
          <w:highlight w:val="none"/>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pStyle w:val="2"/>
        <w:rPr>
          <w:rFonts w:hint="eastAsia"/>
          <w:highlight w:val="none"/>
        </w:rPr>
      </w:pPr>
    </w:p>
    <w:p>
      <w:pPr>
        <w:ind w:firstLine="2891" w:firstLineChars="900"/>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eastAsia="zh-CN"/>
        </w:rPr>
        <w:t>六</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eastAsia="zh-CN"/>
        </w:rPr>
        <w:t>杭州市上城区住房和城市建设局</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浙江省房地产管理咨询有限公司</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jc w:val="center"/>
        <w:rPr>
          <w:rFonts w:hint="eastAsia" w:ascii="仿宋" w:hAnsi="仿宋" w:eastAsia="仿宋" w:cs="仿宋"/>
          <w:b/>
          <w:bCs/>
          <w:color w:val="auto"/>
          <w:sz w:val="24"/>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line="240" w:lineRule="auto"/>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24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eastAsia="zh-CN"/>
        </w:rPr>
        <w:t>杭州市上城区住房和城市建设局</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浙江省房地产管理咨询有限公司</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lang w:eastAsia="zh-CN"/>
        </w:rPr>
        <w:t>杭州市上城区住房和城市建设局2022年度施工图审查服务项目（重新招标）（标项一</w:t>
      </w:r>
      <w:r>
        <w:rPr>
          <w:rFonts w:hint="eastAsia" w:ascii="仿宋" w:hAnsi="仿宋" w:eastAsia="仿宋" w:cs="仿宋"/>
          <w:color w:val="auto"/>
          <w:sz w:val="24"/>
          <w:highlight w:val="none"/>
          <w:lang w:val="en-US" w:eastAsia="zh-CN"/>
        </w:rPr>
        <w:t>/标项二/标项三）</w:t>
      </w:r>
      <w:r>
        <w:rPr>
          <w:rFonts w:hint="eastAsia" w:ascii="仿宋" w:hAnsi="仿宋" w:eastAsia="仿宋" w:cs="仿宋"/>
          <w:color w:val="auto"/>
          <w:kern w:val="0"/>
          <w:sz w:val="24"/>
          <w:highlight w:val="none"/>
          <w:lang w:val="zh-CN"/>
        </w:rPr>
        <w:t>【项目编号：</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7"/>
        <w:gridCol w:w="3665"/>
        <w:gridCol w:w="6940"/>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725" w:type="pct"/>
            <w:noWrap w:val="0"/>
            <w:vAlign w:val="center"/>
          </w:tcPr>
          <w:p>
            <w:pPr>
              <w:tabs>
                <w:tab w:val="left" w:pos="2670"/>
              </w:tabs>
              <w:adjustRightInd w:val="0"/>
              <w:spacing w:line="460" w:lineRule="exact"/>
              <w:jc w:val="center"/>
              <w:rPr>
                <w:rFonts w:hint="eastAsia" w:ascii="仿宋" w:hAnsi="仿宋" w:eastAsia="仿宋" w:cs="仿宋"/>
                <w:b/>
                <w:bCs/>
                <w:color w:val="auto"/>
                <w:sz w:val="24"/>
                <w:szCs w:val="24"/>
                <w:highlight w:val="none"/>
                <w:shd w:val="clear" w:color="auto" w:fill="auto"/>
              </w:rPr>
            </w:pPr>
            <w:r>
              <w:rPr>
                <w:rFonts w:hint="eastAsia" w:ascii="仿宋" w:hAnsi="仿宋" w:eastAsia="仿宋" w:cs="仿宋"/>
                <w:b/>
                <w:bCs/>
                <w:color w:val="auto"/>
                <w:sz w:val="24"/>
                <w:szCs w:val="24"/>
                <w:highlight w:val="none"/>
                <w:shd w:val="clear" w:color="auto" w:fill="auto"/>
                <w:lang w:val="zh-CN"/>
              </w:rPr>
              <w:t>标项</w:t>
            </w:r>
          </w:p>
        </w:tc>
        <w:tc>
          <w:tcPr>
            <w:tcW w:w="1261" w:type="pct"/>
            <w:noWrap w:val="0"/>
            <w:vAlign w:val="center"/>
          </w:tcPr>
          <w:p>
            <w:pPr>
              <w:tabs>
                <w:tab w:val="left" w:pos="2670"/>
              </w:tabs>
              <w:adjustRightInd w:val="0"/>
              <w:spacing w:line="460" w:lineRule="exact"/>
              <w:jc w:val="center"/>
              <w:rPr>
                <w:rFonts w:hint="eastAsia" w:ascii="仿宋" w:hAnsi="仿宋" w:eastAsia="仿宋" w:cs="仿宋"/>
                <w:b/>
                <w:bCs/>
                <w:color w:val="auto"/>
                <w:sz w:val="24"/>
                <w:szCs w:val="24"/>
                <w:highlight w:val="none"/>
                <w:shd w:val="clear" w:color="auto" w:fill="auto"/>
                <w:lang w:val="zh-CN"/>
              </w:rPr>
            </w:pPr>
            <w:r>
              <w:rPr>
                <w:rFonts w:hint="eastAsia" w:ascii="仿宋" w:hAnsi="仿宋" w:eastAsia="仿宋" w:cs="仿宋"/>
                <w:b/>
                <w:bCs/>
                <w:color w:val="auto"/>
                <w:sz w:val="24"/>
                <w:szCs w:val="24"/>
                <w:highlight w:val="none"/>
                <w:shd w:val="clear" w:color="auto" w:fill="auto"/>
              </w:rPr>
              <w:t>标项</w:t>
            </w:r>
            <w:r>
              <w:rPr>
                <w:rFonts w:hint="eastAsia" w:ascii="仿宋" w:hAnsi="仿宋" w:eastAsia="仿宋" w:cs="仿宋"/>
                <w:b/>
                <w:bCs/>
                <w:color w:val="auto"/>
                <w:sz w:val="24"/>
                <w:szCs w:val="24"/>
                <w:highlight w:val="none"/>
                <w:shd w:val="clear" w:color="auto" w:fill="auto"/>
                <w:lang w:val="zh-CN"/>
              </w:rPr>
              <w:t>名称</w:t>
            </w:r>
          </w:p>
        </w:tc>
        <w:tc>
          <w:tcPr>
            <w:tcW w:w="2388" w:type="pct"/>
            <w:noWrap w:val="0"/>
            <w:vAlign w:val="center"/>
          </w:tcPr>
          <w:p>
            <w:pPr>
              <w:tabs>
                <w:tab w:val="left" w:pos="2670"/>
              </w:tabs>
              <w:adjustRightInd w:val="0"/>
              <w:spacing w:line="460" w:lineRule="exact"/>
              <w:jc w:val="center"/>
              <w:rPr>
                <w:rFonts w:hint="eastAsia" w:ascii="仿宋" w:hAnsi="仿宋" w:eastAsia="仿宋" w:cs="仿宋"/>
                <w:b/>
                <w:bCs/>
                <w:color w:val="auto"/>
                <w:sz w:val="24"/>
                <w:szCs w:val="24"/>
                <w:highlight w:val="none"/>
                <w:shd w:val="clear" w:color="auto" w:fill="auto"/>
                <w:lang w:val="zh-CN"/>
              </w:rPr>
            </w:pPr>
            <w:r>
              <w:rPr>
                <w:rFonts w:hint="eastAsia" w:ascii="仿宋" w:hAnsi="仿宋" w:eastAsia="仿宋" w:cs="仿宋"/>
                <w:b/>
                <w:bCs/>
                <w:color w:val="auto"/>
                <w:sz w:val="24"/>
                <w:szCs w:val="24"/>
                <w:highlight w:val="none"/>
                <w:shd w:val="clear" w:color="auto" w:fill="auto"/>
                <w:lang w:val="zh-CN"/>
              </w:rPr>
              <w:t>报价（</w:t>
            </w:r>
            <w:r>
              <w:rPr>
                <w:rFonts w:hint="eastAsia" w:ascii="仿宋" w:hAnsi="仿宋" w:eastAsia="仿宋" w:cs="仿宋"/>
                <w:b/>
                <w:bCs/>
                <w:color w:val="auto"/>
                <w:sz w:val="24"/>
                <w:szCs w:val="24"/>
                <w:highlight w:val="none"/>
                <w:shd w:val="clear" w:color="auto" w:fill="auto"/>
              </w:rPr>
              <w:t>折扣率</w:t>
            </w:r>
            <w:r>
              <w:rPr>
                <w:rFonts w:hint="eastAsia" w:ascii="仿宋" w:hAnsi="仿宋" w:eastAsia="仿宋" w:cs="仿宋"/>
                <w:b/>
                <w:bCs/>
                <w:color w:val="auto"/>
                <w:sz w:val="24"/>
                <w:szCs w:val="24"/>
                <w:highlight w:val="none"/>
                <w:shd w:val="clear" w:color="auto" w:fill="auto"/>
                <w:lang w:val="zh-CN"/>
              </w:rPr>
              <w:t>）</w:t>
            </w:r>
          </w:p>
        </w:tc>
        <w:tc>
          <w:tcPr>
            <w:tcW w:w="625" w:type="pct"/>
            <w:noWrap w:val="0"/>
            <w:vAlign w:val="center"/>
          </w:tcPr>
          <w:p>
            <w:pPr>
              <w:tabs>
                <w:tab w:val="left" w:pos="2670"/>
              </w:tabs>
              <w:adjustRightInd w:val="0"/>
              <w:spacing w:line="460" w:lineRule="exact"/>
              <w:jc w:val="center"/>
              <w:rPr>
                <w:rFonts w:hint="eastAsia" w:ascii="仿宋" w:hAnsi="仿宋" w:eastAsia="仿宋" w:cs="仿宋"/>
                <w:b/>
                <w:bCs/>
                <w:color w:val="auto"/>
                <w:sz w:val="24"/>
                <w:szCs w:val="24"/>
                <w:highlight w:val="none"/>
                <w:shd w:val="clear" w:color="auto" w:fill="auto"/>
                <w:lang w:val="zh-CN"/>
              </w:rPr>
            </w:pPr>
            <w:r>
              <w:rPr>
                <w:rFonts w:hint="eastAsia" w:ascii="仿宋" w:hAnsi="仿宋" w:eastAsia="仿宋" w:cs="仿宋"/>
                <w:b/>
                <w:bCs/>
                <w:color w:val="auto"/>
                <w:sz w:val="24"/>
                <w:szCs w:val="24"/>
                <w:highlight w:val="none"/>
                <w:shd w:val="clear" w:color="auto" w:fill="auto"/>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725" w:type="pct"/>
            <w:noWrap w:val="0"/>
            <w:vAlign w:val="center"/>
          </w:tcPr>
          <w:p>
            <w:pPr>
              <w:tabs>
                <w:tab w:val="left" w:pos="2670"/>
              </w:tabs>
              <w:adjustRightInd w:val="0"/>
              <w:spacing w:line="460" w:lineRule="exact"/>
              <w:jc w:val="center"/>
              <w:rPr>
                <w:rFonts w:hint="eastAsia" w:ascii="仿宋" w:hAnsi="仿宋" w:eastAsia="仿宋" w:cs="仿宋"/>
                <w:color w:val="auto"/>
                <w:sz w:val="24"/>
                <w:szCs w:val="24"/>
                <w:highlight w:val="none"/>
                <w:shd w:val="clear" w:color="auto" w:fill="auto"/>
              </w:rPr>
            </w:pPr>
          </w:p>
        </w:tc>
        <w:tc>
          <w:tcPr>
            <w:tcW w:w="1261" w:type="pct"/>
            <w:noWrap w:val="0"/>
            <w:vAlign w:val="center"/>
          </w:tcPr>
          <w:p>
            <w:pPr>
              <w:tabs>
                <w:tab w:val="left" w:pos="2670"/>
              </w:tabs>
              <w:adjustRightInd w:val="0"/>
              <w:spacing w:line="460" w:lineRule="exact"/>
              <w:jc w:val="center"/>
              <w:rPr>
                <w:rFonts w:hint="eastAsia" w:ascii="仿宋" w:hAnsi="仿宋" w:eastAsia="仿宋" w:cs="仿宋"/>
                <w:bCs/>
                <w:color w:val="auto"/>
                <w:sz w:val="24"/>
                <w:szCs w:val="24"/>
                <w:highlight w:val="none"/>
                <w:shd w:val="clear" w:color="auto" w:fill="auto"/>
                <w:lang w:val="zh-CN"/>
              </w:rPr>
            </w:pPr>
          </w:p>
        </w:tc>
        <w:tc>
          <w:tcPr>
            <w:tcW w:w="2388" w:type="pct"/>
            <w:noWrap w:val="0"/>
            <w:vAlign w:val="center"/>
          </w:tcPr>
          <w:p>
            <w:pPr>
              <w:tabs>
                <w:tab w:val="left" w:pos="2670"/>
              </w:tabs>
              <w:adjustRightInd w:val="0"/>
              <w:spacing w:line="460" w:lineRule="exact"/>
              <w:ind w:firstLine="2640" w:firstLineChars="1100"/>
              <w:rPr>
                <w:rFonts w:hint="eastAsia" w:ascii="仿宋" w:hAnsi="仿宋" w:eastAsia="仿宋" w:cs="仿宋"/>
                <w:bCs/>
                <w:color w:val="auto"/>
                <w:sz w:val="24"/>
                <w:szCs w:val="24"/>
                <w:highlight w:val="none"/>
                <w:u w:val="single"/>
                <w:shd w:val="clear" w:color="auto" w:fill="auto"/>
              </w:rPr>
            </w:pPr>
            <w:r>
              <w:rPr>
                <w:rFonts w:hint="eastAsia" w:ascii="仿宋" w:hAnsi="仿宋" w:eastAsia="仿宋" w:cs="仿宋"/>
                <w:bCs/>
                <w:color w:val="auto"/>
                <w:sz w:val="24"/>
                <w:szCs w:val="24"/>
                <w:highlight w:val="none"/>
                <w:u w:val="single"/>
                <w:shd w:val="clear" w:color="auto" w:fill="auto"/>
              </w:rPr>
              <w:t xml:space="preserve">        </w:t>
            </w:r>
            <w:r>
              <w:rPr>
                <w:rFonts w:hint="eastAsia" w:ascii="仿宋" w:hAnsi="仿宋" w:eastAsia="仿宋" w:cs="仿宋"/>
                <w:bCs/>
                <w:color w:val="auto"/>
                <w:sz w:val="24"/>
                <w:szCs w:val="24"/>
                <w:highlight w:val="none"/>
                <w:u w:val="none"/>
                <w:shd w:val="clear" w:color="auto" w:fill="auto"/>
              </w:rPr>
              <w:t>%</w:t>
            </w:r>
          </w:p>
        </w:tc>
        <w:tc>
          <w:tcPr>
            <w:tcW w:w="625" w:type="pct"/>
            <w:noWrap w:val="0"/>
            <w:vAlign w:val="center"/>
          </w:tcPr>
          <w:p>
            <w:pPr>
              <w:tabs>
                <w:tab w:val="left" w:pos="2670"/>
              </w:tabs>
              <w:adjustRightInd w:val="0"/>
              <w:spacing w:line="460" w:lineRule="exact"/>
              <w:ind w:firstLine="470" w:firstLineChars="196"/>
              <w:jc w:val="center"/>
              <w:rPr>
                <w:rFonts w:hint="eastAsia" w:ascii="仿宋" w:hAnsi="仿宋" w:eastAsia="仿宋" w:cs="仿宋"/>
                <w:bCs/>
                <w:color w:val="auto"/>
                <w:sz w:val="24"/>
                <w:szCs w:val="24"/>
                <w:highlight w:val="none"/>
                <w:shd w:val="clear" w:color="auto" w:fill="auto"/>
                <w:lang w:val="zh-CN"/>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left="480"/>
        <w:textAlignment w:val="auto"/>
        <w:rPr>
          <w:rFonts w:hint="eastAsia" w:ascii="仿宋" w:hAnsi="仿宋" w:eastAsia="仿宋" w:cs="仿宋"/>
          <w:b/>
          <w:bCs/>
          <w:color w:val="auto"/>
          <w:kern w:val="0"/>
          <w:sz w:val="24"/>
          <w:szCs w:val="32"/>
          <w:highlight w:val="none"/>
          <w:shd w:val="clear" w:color="auto" w:fill="auto"/>
          <w:lang w:val="zh-CN"/>
        </w:rPr>
      </w:pPr>
      <w:r>
        <w:rPr>
          <w:rFonts w:hint="eastAsia" w:ascii="仿宋" w:hAnsi="仿宋" w:eastAsia="仿宋" w:cs="仿宋"/>
          <w:b/>
          <w:bCs/>
          <w:color w:val="auto"/>
          <w:kern w:val="0"/>
          <w:sz w:val="24"/>
          <w:szCs w:val="32"/>
          <w:highlight w:val="none"/>
          <w:shd w:val="clear" w:color="auto" w:fill="auto"/>
          <w:lang w:val="zh-CN"/>
        </w:rPr>
        <w:t>▲报价要求：本项目按报价标准的折扣率进行报价，即折扣率=图审费/报价标准。折扣率须≤100%。（报价标准：浙江省八部门联合发文（浙建[2017]6号文）附件：浙江省施工图联合审查结算标准及杭州市结算细则）</w:t>
      </w:r>
    </w:p>
    <w:p>
      <w:pPr>
        <w:keepNext w:val="0"/>
        <w:keepLines w:val="0"/>
        <w:pageBreakBefore w:val="0"/>
        <w:widowControl w:val="0"/>
        <w:kinsoku/>
        <w:wordWrap/>
        <w:overflowPunct/>
        <w:topLinePunct w:val="0"/>
        <w:autoSpaceDE/>
        <w:autoSpaceDN/>
        <w:bidi w:val="0"/>
        <w:adjustRightInd w:val="0"/>
        <w:snapToGrid w:val="0"/>
        <w:spacing w:line="400" w:lineRule="exact"/>
        <w:ind w:left="480"/>
        <w:textAlignment w:val="auto"/>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keepNext w:val="0"/>
        <w:keepLines w:val="0"/>
        <w:pageBreakBefore w:val="0"/>
        <w:widowControl w:val="0"/>
        <w:kinsoku/>
        <w:wordWrap/>
        <w:overflowPunct/>
        <w:topLinePunct w:val="0"/>
        <w:autoSpaceDE/>
        <w:autoSpaceDN/>
        <w:bidi w:val="0"/>
        <w:adjustRightInd w:val="0"/>
        <w:spacing w:line="400" w:lineRule="exact"/>
        <w:ind w:left="-2" w:leftChars="-1"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1、投标人需按本表格式填写，不得自行更改。</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en-US" w:eastAsia="zh-CN"/>
        </w:rPr>
        <w:t>3</w:t>
      </w:r>
      <w:r>
        <w:rPr>
          <w:rFonts w:hint="eastAsia" w:ascii="仿宋" w:hAnsi="仿宋" w:eastAsia="仿宋" w:cs="仿宋"/>
          <w:color w:val="auto"/>
          <w:kern w:val="0"/>
          <w:sz w:val="24"/>
          <w:szCs w:val="22"/>
          <w:highlight w:val="none"/>
          <w:lang w:val="zh-CN"/>
        </w:rPr>
        <w:t>、</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kern w:val="0"/>
          <w:sz w:val="24"/>
          <w:highlight w:val="none"/>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政府采购支持中小企业信用融资相关事项通知</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一、适用对象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二、相关信息获取方式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　政府采购信用融资操作流程：</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（一）线上融资模式：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4.审批通过后，在线办理放贷手续。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（二）线下融资模式：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4.审批通过后，合作银行应按照合作备忘录中约定的审批放款期限和优惠利率及时予以放款。</w:t>
      </w:r>
    </w:p>
    <w:p>
      <w:pPr>
        <w:pStyle w:val="2"/>
        <w:numPr>
          <w:ilvl w:val="255"/>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（三）杭州e融平台申请融资</w:t>
      </w:r>
    </w:p>
    <w:p>
      <w:pPr>
        <w:pStyle w:val="2"/>
        <w:numPr>
          <w:ilvl w:val="255"/>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四、注意事项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kern w:val="0"/>
          <w:sz w:val="24"/>
          <w:highlight w:val="none"/>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bookmarkStart w:id="401" w:name="_Toc465665161"/>
      <w:r>
        <w:rPr>
          <w:rFonts w:hint="eastAsia" w:ascii="仿宋" w:hAnsi="仿宋" w:eastAsia="仿宋" w:cs="仿宋"/>
          <w:color w:val="auto"/>
          <w:highlight w:val="none"/>
        </w:rPr>
        <w:t>附件</w:t>
      </w:r>
      <w:bookmarkEnd w:id="401"/>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402" w:name="OLE_LINK13"/>
      <w:bookmarkStart w:id="403" w:name="OLE_LINK14"/>
      <w:r>
        <w:rPr>
          <w:rFonts w:hint="eastAsia" w:ascii="仿宋" w:hAnsi="仿宋" w:eastAsia="仿宋" w:cs="仿宋"/>
          <w:b/>
          <w:color w:val="auto"/>
          <w:spacing w:val="6"/>
          <w:sz w:val="32"/>
          <w:szCs w:val="32"/>
          <w:highlight w:val="none"/>
        </w:rPr>
        <w:t>残疾人福利性单位声明函</w:t>
      </w:r>
    </w:p>
    <w:bookmarkEnd w:id="402"/>
    <w:bookmarkEnd w:id="403"/>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u w:val="single"/>
          <w:lang w:eastAsia="zh-CN"/>
        </w:rPr>
        <w:t>杭州市上城区住房和城市建设局</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浙江省房地产管理咨询有限公司</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w:t>
      </w:r>
      <w:r>
        <w:rPr>
          <w:rFonts w:hint="eastAsia" w:ascii="仿宋" w:hAnsi="仿宋" w:eastAsia="仿宋" w:cs="仿宋"/>
          <w:color w:val="auto"/>
          <w:sz w:val="24"/>
          <w:highlight w:val="none"/>
          <w:lang w:eastAsia="zh-CN"/>
        </w:rPr>
        <w:t>杭州市上城区住房和城市建设局2022年度施工图审查服务项目（重新招标）</w:t>
      </w:r>
      <w:r>
        <w:rPr>
          <w:rFonts w:hint="eastAsia" w:ascii="仿宋" w:hAnsi="仿宋" w:eastAsia="仿宋" w:cs="仿宋"/>
          <w:color w:val="auto"/>
          <w:sz w:val="24"/>
          <w:highlight w:val="none"/>
        </w:rPr>
        <w:t>项目【</w:t>
      </w:r>
      <w:r>
        <w:rPr>
          <w:rFonts w:hint="eastAsia" w:ascii="仿宋" w:hAnsi="仿宋" w:eastAsia="仿宋" w:cs="仿宋"/>
          <w:color w:val="auto"/>
          <w:sz w:val="24"/>
          <w:highlight w:val="none"/>
          <w:lang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中小企业声明函（服务）</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（单位名称） 的 </w:t>
      </w:r>
      <w:r>
        <w:rPr>
          <w:rFonts w:hint="eastAsia" w:ascii="仿宋" w:hAnsi="仿宋" w:eastAsia="仿宋" w:cs="仿宋"/>
          <w:color w:val="auto"/>
          <w:sz w:val="24"/>
          <w:highlight w:val="none"/>
          <w:lang w:eastAsia="zh-CN"/>
        </w:rPr>
        <w:t>杭州市上城区住房和城市建设局2022年度施工图审查服务项目（重新招标）</w:t>
      </w:r>
      <w:r>
        <w:rPr>
          <w:rFonts w:hint="eastAsia" w:ascii="仿宋" w:hAnsi="仿宋" w:eastAsia="仿宋" w:cs="仿宋"/>
          <w:color w:val="auto"/>
          <w:sz w:val="24"/>
          <w:highlight w:val="none"/>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cols w:space="720" w:num="1"/>
          <w:titlePg/>
          <w:docGrid w:linePitch="312" w:charSpace="0"/>
        </w:sect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int="eastAsia" w:ascii="仿宋" w:hAnsi="仿宋" w:eastAsia="仿宋" w:cs="仿宋"/>
          <w:bCs/>
          <w:color w:val="auto"/>
          <w:sz w:val="24"/>
          <w:highlight w:val="none"/>
        </w:rPr>
      </w:pPr>
      <w:r>
        <w:rPr>
          <w:rFonts w:hint="eastAsia" w:ascii="仿宋" w:hAnsi="仿宋" w:eastAsia="仿宋" w:cs="仿宋"/>
          <w:color w:val="auto"/>
          <w:highlight w:val="none"/>
        </w:rPr>
        <w:drawing>
          <wp:inline distT="0" distB="0" distL="114300" distR="114300">
            <wp:extent cx="9091295" cy="5498465"/>
            <wp:effectExtent l="0" t="0" r="14605" b="698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22"/>
                    <a:stretch>
                      <a:fillRect/>
                    </a:stretch>
                  </pic:blipFill>
                  <pic:spPr>
                    <a:xfrm>
                      <a:off x="0" y="0"/>
                      <a:ext cx="9091295" cy="5498465"/>
                    </a:xfrm>
                    <a:prstGeom prst="rect">
                      <a:avLst/>
                    </a:prstGeom>
                    <a:noFill/>
                    <a:ln>
                      <a:noFill/>
                    </a:ln>
                  </pic:spPr>
                </pic:pic>
              </a:graphicData>
            </a:graphic>
          </wp:inline>
        </w:drawing>
      </w:r>
    </w:p>
    <w:sectPr>
      <w:pgSz w:w="16838" w:h="11906" w:orient="landscape"/>
      <w:pgMar w:top="1418" w:right="1276" w:bottom="1418" w:left="124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4" w:name="_Toc36110187"/>
    <w:bookmarkStart w:id="405" w:name="_Toc164085800"/>
    <w:bookmarkStart w:id="406" w:name="_Toc131845147"/>
    <w:bookmarkStart w:id="407" w:name="_Toc91899912"/>
    <w:r>
      <w:rPr>
        <w:rFonts w:hint="eastAsia" w:ascii="仿宋_GB2312" w:eastAsia="仿宋_GB2312"/>
        <w:kern w:val="0"/>
        <w:szCs w:val="21"/>
      </w:rPr>
      <w:t xml:space="preserve"> 页</w:t>
    </w:r>
    <w:bookmarkEnd w:id="404"/>
    <w:bookmarkEnd w:id="405"/>
    <w:bookmarkEnd w:id="406"/>
    <w:bookmarkEnd w:id="40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110F2"/>
    <w:multiLevelType w:val="singleLevel"/>
    <w:tmpl w:val="845110F2"/>
    <w:lvl w:ilvl="0" w:tentative="0">
      <w:start w:val="4"/>
      <w:numFmt w:val="decimal"/>
      <w:suff w:val="nothing"/>
      <w:lvlText w:val="%1、"/>
      <w:lvlJc w:val="left"/>
    </w:lvl>
  </w:abstractNum>
  <w:abstractNum w:abstractNumId="1">
    <w:nsid w:val="15F70A66"/>
    <w:multiLevelType w:val="singleLevel"/>
    <w:tmpl w:val="15F70A66"/>
    <w:lvl w:ilvl="0" w:tentative="0">
      <w:start w:val="1"/>
      <w:numFmt w:val="decimal"/>
      <w:suff w:val="nothing"/>
      <w:lvlText w:val="（%1）"/>
      <w:lvlJc w:val="left"/>
    </w:lvl>
  </w:abstractNum>
  <w:abstractNum w:abstractNumId="2">
    <w:nsid w:val="184672C1"/>
    <w:multiLevelType w:val="singleLevel"/>
    <w:tmpl w:val="184672C1"/>
    <w:lvl w:ilvl="0" w:tentative="0">
      <w:start w:val="1"/>
      <w:numFmt w:val="upperLetter"/>
      <w:lvlText w:val="%1."/>
      <w:lvlJc w:val="left"/>
      <w:pPr>
        <w:tabs>
          <w:tab w:val="left" w:pos="312"/>
        </w:tabs>
      </w:pPr>
    </w:lvl>
  </w:abstractNum>
  <w:abstractNum w:abstractNumId="3">
    <w:nsid w:val="5F2EE645"/>
    <w:multiLevelType w:val="singleLevel"/>
    <w:tmpl w:val="5F2EE645"/>
    <w:lvl w:ilvl="0" w:tentative="0">
      <w:start w:val="1"/>
      <w:numFmt w:val="decimal"/>
      <w:suff w:val="nothing"/>
      <w:lvlText w:val="（%1）"/>
      <w:lvlJc w:val="left"/>
    </w:lvl>
  </w:abstractNum>
  <w:abstractNum w:abstractNumId="4">
    <w:nsid w:val="66A22B5B"/>
    <w:multiLevelType w:val="singleLevel"/>
    <w:tmpl w:val="66A22B5B"/>
    <w:lvl w:ilvl="0" w:tentative="0">
      <w:start w:val="1"/>
      <w:numFmt w:val="decimal"/>
      <w:suff w:val="nothing"/>
      <w:lvlText w:val="%1、"/>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E43"/>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A6752C"/>
    <w:rsid w:val="01B37585"/>
    <w:rsid w:val="01D55165"/>
    <w:rsid w:val="01DF6BF8"/>
    <w:rsid w:val="01EC2C57"/>
    <w:rsid w:val="01F52641"/>
    <w:rsid w:val="024A5288"/>
    <w:rsid w:val="026B2E25"/>
    <w:rsid w:val="02824D4D"/>
    <w:rsid w:val="02DC4B10"/>
    <w:rsid w:val="02DD76CE"/>
    <w:rsid w:val="02F36323"/>
    <w:rsid w:val="02F5619C"/>
    <w:rsid w:val="0326446A"/>
    <w:rsid w:val="032D5555"/>
    <w:rsid w:val="036634D2"/>
    <w:rsid w:val="03DD35E4"/>
    <w:rsid w:val="03F076E3"/>
    <w:rsid w:val="04076900"/>
    <w:rsid w:val="041A5A3B"/>
    <w:rsid w:val="042311BA"/>
    <w:rsid w:val="042B157A"/>
    <w:rsid w:val="048F763B"/>
    <w:rsid w:val="04902B53"/>
    <w:rsid w:val="049F330E"/>
    <w:rsid w:val="04AA775C"/>
    <w:rsid w:val="04AF1889"/>
    <w:rsid w:val="04F66F48"/>
    <w:rsid w:val="05251E14"/>
    <w:rsid w:val="052A46FE"/>
    <w:rsid w:val="05A16594"/>
    <w:rsid w:val="05A7762D"/>
    <w:rsid w:val="060E5941"/>
    <w:rsid w:val="06110FAF"/>
    <w:rsid w:val="06493CA7"/>
    <w:rsid w:val="065A6178"/>
    <w:rsid w:val="066F1CF3"/>
    <w:rsid w:val="06930BB8"/>
    <w:rsid w:val="07245D42"/>
    <w:rsid w:val="07264C62"/>
    <w:rsid w:val="0779354C"/>
    <w:rsid w:val="07C35827"/>
    <w:rsid w:val="08061376"/>
    <w:rsid w:val="08452D77"/>
    <w:rsid w:val="086401F8"/>
    <w:rsid w:val="08751CAA"/>
    <w:rsid w:val="087E4C40"/>
    <w:rsid w:val="08D66AD6"/>
    <w:rsid w:val="08DA33A3"/>
    <w:rsid w:val="08E80F13"/>
    <w:rsid w:val="090D12BC"/>
    <w:rsid w:val="09335624"/>
    <w:rsid w:val="0944690F"/>
    <w:rsid w:val="09535675"/>
    <w:rsid w:val="095F057D"/>
    <w:rsid w:val="09642282"/>
    <w:rsid w:val="09733572"/>
    <w:rsid w:val="09772C16"/>
    <w:rsid w:val="097A59A7"/>
    <w:rsid w:val="098353B5"/>
    <w:rsid w:val="09997FFE"/>
    <w:rsid w:val="09A92330"/>
    <w:rsid w:val="09B06B87"/>
    <w:rsid w:val="09C13146"/>
    <w:rsid w:val="09CF4E96"/>
    <w:rsid w:val="09E04166"/>
    <w:rsid w:val="09F606DD"/>
    <w:rsid w:val="0A1C0718"/>
    <w:rsid w:val="0A2A53FD"/>
    <w:rsid w:val="0A3E7710"/>
    <w:rsid w:val="0A5B7E63"/>
    <w:rsid w:val="0AA374A5"/>
    <w:rsid w:val="0AAB7649"/>
    <w:rsid w:val="0ABC5606"/>
    <w:rsid w:val="0AF361D4"/>
    <w:rsid w:val="0B30404E"/>
    <w:rsid w:val="0B446815"/>
    <w:rsid w:val="0B4C6C14"/>
    <w:rsid w:val="0B631A88"/>
    <w:rsid w:val="0B683D45"/>
    <w:rsid w:val="0B7F3F11"/>
    <w:rsid w:val="0B884417"/>
    <w:rsid w:val="0BE429B8"/>
    <w:rsid w:val="0BF6188C"/>
    <w:rsid w:val="0BF73C91"/>
    <w:rsid w:val="0BF95B27"/>
    <w:rsid w:val="0C170175"/>
    <w:rsid w:val="0C46185E"/>
    <w:rsid w:val="0C571A41"/>
    <w:rsid w:val="0C5C1171"/>
    <w:rsid w:val="0C5E1CBC"/>
    <w:rsid w:val="0C615B50"/>
    <w:rsid w:val="0C8445DA"/>
    <w:rsid w:val="0C87121B"/>
    <w:rsid w:val="0CC007F7"/>
    <w:rsid w:val="0CFE707A"/>
    <w:rsid w:val="0D063BDA"/>
    <w:rsid w:val="0D08375F"/>
    <w:rsid w:val="0D1442E7"/>
    <w:rsid w:val="0D184CFB"/>
    <w:rsid w:val="0D4A7419"/>
    <w:rsid w:val="0D827401"/>
    <w:rsid w:val="0D84094E"/>
    <w:rsid w:val="0D8A00E9"/>
    <w:rsid w:val="0D8D589E"/>
    <w:rsid w:val="0DA01C73"/>
    <w:rsid w:val="0DB54553"/>
    <w:rsid w:val="0DD63300"/>
    <w:rsid w:val="0DF50604"/>
    <w:rsid w:val="0DF702FE"/>
    <w:rsid w:val="0E060E51"/>
    <w:rsid w:val="0E2824D4"/>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FD1825"/>
    <w:rsid w:val="10646583"/>
    <w:rsid w:val="107D4B15"/>
    <w:rsid w:val="108A3C80"/>
    <w:rsid w:val="10C26171"/>
    <w:rsid w:val="10F33360"/>
    <w:rsid w:val="10FC16EA"/>
    <w:rsid w:val="110F1D40"/>
    <w:rsid w:val="11266F33"/>
    <w:rsid w:val="116A0C37"/>
    <w:rsid w:val="118963A1"/>
    <w:rsid w:val="11C6522A"/>
    <w:rsid w:val="11D51B29"/>
    <w:rsid w:val="11E104CC"/>
    <w:rsid w:val="11E20309"/>
    <w:rsid w:val="12255233"/>
    <w:rsid w:val="12530213"/>
    <w:rsid w:val="127723A9"/>
    <w:rsid w:val="12862074"/>
    <w:rsid w:val="12883966"/>
    <w:rsid w:val="129E45B4"/>
    <w:rsid w:val="12D81596"/>
    <w:rsid w:val="13072A44"/>
    <w:rsid w:val="135F4BE2"/>
    <w:rsid w:val="13911BA9"/>
    <w:rsid w:val="139B1A0A"/>
    <w:rsid w:val="139D25C7"/>
    <w:rsid w:val="13BF3CE4"/>
    <w:rsid w:val="141008D8"/>
    <w:rsid w:val="14125FE6"/>
    <w:rsid w:val="146D271E"/>
    <w:rsid w:val="1477384E"/>
    <w:rsid w:val="14982588"/>
    <w:rsid w:val="149A5AD9"/>
    <w:rsid w:val="14A7619D"/>
    <w:rsid w:val="150536C3"/>
    <w:rsid w:val="150C1963"/>
    <w:rsid w:val="151447A0"/>
    <w:rsid w:val="154A6454"/>
    <w:rsid w:val="15762120"/>
    <w:rsid w:val="160F5AE8"/>
    <w:rsid w:val="16A8729C"/>
    <w:rsid w:val="16B33777"/>
    <w:rsid w:val="16BC70A7"/>
    <w:rsid w:val="16C6339E"/>
    <w:rsid w:val="172F2D79"/>
    <w:rsid w:val="17557BEF"/>
    <w:rsid w:val="179B3E0F"/>
    <w:rsid w:val="17D349C1"/>
    <w:rsid w:val="1830729E"/>
    <w:rsid w:val="1870062C"/>
    <w:rsid w:val="18817102"/>
    <w:rsid w:val="18830A15"/>
    <w:rsid w:val="18852B28"/>
    <w:rsid w:val="188B5321"/>
    <w:rsid w:val="18910979"/>
    <w:rsid w:val="18B31DB5"/>
    <w:rsid w:val="18DF42F7"/>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BDC6E89"/>
    <w:rsid w:val="1C0459C2"/>
    <w:rsid w:val="1C1B3B4A"/>
    <w:rsid w:val="1C275E99"/>
    <w:rsid w:val="1C3D7D93"/>
    <w:rsid w:val="1C88086E"/>
    <w:rsid w:val="1CD656FC"/>
    <w:rsid w:val="1D266CE1"/>
    <w:rsid w:val="1D3963AF"/>
    <w:rsid w:val="1D6A673C"/>
    <w:rsid w:val="1D9247AE"/>
    <w:rsid w:val="1DB567EC"/>
    <w:rsid w:val="1DE610FD"/>
    <w:rsid w:val="1DEF2001"/>
    <w:rsid w:val="1DF51A98"/>
    <w:rsid w:val="1E3D060F"/>
    <w:rsid w:val="1E3F7D2E"/>
    <w:rsid w:val="1E4134E4"/>
    <w:rsid w:val="1E5062B3"/>
    <w:rsid w:val="1E523514"/>
    <w:rsid w:val="1E714A66"/>
    <w:rsid w:val="1E802593"/>
    <w:rsid w:val="1EA703CC"/>
    <w:rsid w:val="1EB7330C"/>
    <w:rsid w:val="1EFB255E"/>
    <w:rsid w:val="1F0A0FF3"/>
    <w:rsid w:val="1F5771FF"/>
    <w:rsid w:val="1F775289"/>
    <w:rsid w:val="1FB10A59"/>
    <w:rsid w:val="1FE868A9"/>
    <w:rsid w:val="20034907"/>
    <w:rsid w:val="20173E4B"/>
    <w:rsid w:val="20302944"/>
    <w:rsid w:val="204E48BC"/>
    <w:rsid w:val="208921B3"/>
    <w:rsid w:val="20973DEB"/>
    <w:rsid w:val="20B26522"/>
    <w:rsid w:val="20B44310"/>
    <w:rsid w:val="20F07577"/>
    <w:rsid w:val="211116EB"/>
    <w:rsid w:val="216133FC"/>
    <w:rsid w:val="21D56769"/>
    <w:rsid w:val="21E52EF3"/>
    <w:rsid w:val="21E63BE3"/>
    <w:rsid w:val="21FB5D7B"/>
    <w:rsid w:val="220B1C3D"/>
    <w:rsid w:val="221D1D20"/>
    <w:rsid w:val="22334A87"/>
    <w:rsid w:val="22BE6801"/>
    <w:rsid w:val="23141106"/>
    <w:rsid w:val="233500BF"/>
    <w:rsid w:val="23377FF7"/>
    <w:rsid w:val="233E2A3B"/>
    <w:rsid w:val="235C0612"/>
    <w:rsid w:val="236B425F"/>
    <w:rsid w:val="23836192"/>
    <w:rsid w:val="23901F29"/>
    <w:rsid w:val="239C0061"/>
    <w:rsid w:val="23B908A4"/>
    <w:rsid w:val="23D0531A"/>
    <w:rsid w:val="23E95BEF"/>
    <w:rsid w:val="23FD0064"/>
    <w:rsid w:val="245375B0"/>
    <w:rsid w:val="24642C0A"/>
    <w:rsid w:val="249C7F87"/>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7D25752"/>
    <w:rsid w:val="2829733C"/>
    <w:rsid w:val="28333E1D"/>
    <w:rsid w:val="283F2DBB"/>
    <w:rsid w:val="28454BD6"/>
    <w:rsid w:val="28455253"/>
    <w:rsid w:val="28551971"/>
    <w:rsid w:val="285B1C53"/>
    <w:rsid w:val="28982403"/>
    <w:rsid w:val="289F7086"/>
    <w:rsid w:val="28C32028"/>
    <w:rsid w:val="28CC490F"/>
    <w:rsid w:val="28DE40AA"/>
    <w:rsid w:val="292E6667"/>
    <w:rsid w:val="29345E77"/>
    <w:rsid w:val="294C65AD"/>
    <w:rsid w:val="29806583"/>
    <w:rsid w:val="298B3C4C"/>
    <w:rsid w:val="299771D2"/>
    <w:rsid w:val="29F26D24"/>
    <w:rsid w:val="29F74A95"/>
    <w:rsid w:val="2A15033F"/>
    <w:rsid w:val="2A1662C1"/>
    <w:rsid w:val="2A1C7367"/>
    <w:rsid w:val="2A2815FA"/>
    <w:rsid w:val="2A2F2BEF"/>
    <w:rsid w:val="2A6D6092"/>
    <w:rsid w:val="2A7D76B4"/>
    <w:rsid w:val="2B437463"/>
    <w:rsid w:val="2B7807EE"/>
    <w:rsid w:val="2BBF00EC"/>
    <w:rsid w:val="2BC37CFD"/>
    <w:rsid w:val="2BD5237F"/>
    <w:rsid w:val="2BE536CE"/>
    <w:rsid w:val="2BE758D9"/>
    <w:rsid w:val="2C09049E"/>
    <w:rsid w:val="2C0A653C"/>
    <w:rsid w:val="2C0F4ED4"/>
    <w:rsid w:val="2C191F85"/>
    <w:rsid w:val="2C906965"/>
    <w:rsid w:val="2CE82D6F"/>
    <w:rsid w:val="2D343236"/>
    <w:rsid w:val="2DD15014"/>
    <w:rsid w:val="2DF72DE4"/>
    <w:rsid w:val="2E0220AF"/>
    <w:rsid w:val="2E4B082A"/>
    <w:rsid w:val="2E5D4E86"/>
    <w:rsid w:val="2E5D790B"/>
    <w:rsid w:val="2E9A3C18"/>
    <w:rsid w:val="2EBB0FEE"/>
    <w:rsid w:val="2EC63002"/>
    <w:rsid w:val="2F0A6B38"/>
    <w:rsid w:val="2F946CCB"/>
    <w:rsid w:val="2FA979B0"/>
    <w:rsid w:val="2FD25781"/>
    <w:rsid w:val="2FFD7934"/>
    <w:rsid w:val="30733ACD"/>
    <w:rsid w:val="308C3862"/>
    <w:rsid w:val="309379D8"/>
    <w:rsid w:val="30A270F7"/>
    <w:rsid w:val="30C52820"/>
    <w:rsid w:val="30DF1478"/>
    <w:rsid w:val="30EC586F"/>
    <w:rsid w:val="319C6071"/>
    <w:rsid w:val="31AC537E"/>
    <w:rsid w:val="31E3679B"/>
    <w:rsid w:val="31E732FD"/>
    <w:rsid w:val="32517576"/>
    <w:rsid w:val="32742691"/>
    <w:rsid w:val="32792A85"/>
    <w:rsid w:val="32B35AEB"/>
    <w:rsid w:val="32BE5C2C"/>
    <w:rsid w:val="32FB6478"/>
    <w:rsid w:val="33263B3F"/>
    <w:rsid w:val="33525B29"/>
    <w:rsid w:val="336963EB"/>
    <w:rsid w:val="33816EEB"/>
    <w:rsid w:val="33A24057"/>
    <w:rsid w:val="33CA5C8F"/>
    <w:rsid w:val="33EB55CD"/>
    <w:rsid w:val="33EC4C02"/>
    <w:rsid w:val="340D2360"/>
    <w:rsid w:val="3410665D"/>
    <w:rsid w:val="34211214"/>
    <w:rsid w:val="342E63AB"/>
    <w:rsid w:val="34714662"/>
    <w:rsid w:val="34950E68"/>
    <w:rsid w:val="34986E94"/>
    <w:rsid w:val="34AF62C9"/>
    <w:rsid w:val="34CB4388"/>
    <w:rsid w:val="34FA6E12"/>
    <w:rsid w:val="352068A9"/>
    <w:rsid w:val="355754E9"/>
    <w:rsid w:val="358D5588"/>
    <w:rsid w:val="363A3B40"/>
    <w:rsid w:val="365302AE"/>
    <w:rsid w:val="36607A0A"/>
    <w:rsid w:val="366E227C"/>
    <w:rsid w:val="366F2E0D"/>
    <w:rsid w:val="367B6A5C"/>
    <w:rsid w:val="36A4475E"/>
    <w:rsid w:val="36A74ADA"/>
    <w:rsid w:val="36AD60D5"/>
    <w:rsid w:val="36B224F9"/>
    <w:rsid w:val="36EC0CC9"/>
    <w:rsid w:val="373F410B"/>
    <w:rsid w:val="37EE7094"/>
    <w:rsid w:val="38296C89"/>
    <w:rsid w:val="383002EB"/>
    <w:rsid w:val="38457AE6"/>
    <w:rsid w:val="38586797"/>
    <w:rsid w:val="38BC0149"/>
    <w:rsid w:val="38D87D1C"/>
    <w:rsid w:val="38E2331B"/>
    <w:rsid w:val="39636459"/>
    <w:rsid w:val="396B7F6C"/>
    <w:rsid w:val="399C171C"/>
    <w:rsid w:val="39A719D2"/>
    <w:rsid w:val="39B417A9"/>
    <w:rsid w:val="39FC5695"/>
    <w:rsid w:val="3A006D8E"/>
    <w:rsid w:val="3A3651E5"/>
    <w:rsid w:val="3A744481"/>
    <w:rsid w:val="3A8C7BEF"/>
    <w:rsid w:val="3A906246"/>
    <w:rsid w:val="3B2349B7"/>
    <w:rsid w:val="3B616CFF"/>
    <w:rsid w:val="3B6259F6"/>
    <w:rsid w:val="3B976654"/>
    <w:rsid w:val="3BC01EFC"/>
    <w:rsid w:val="3BCA786A"/>
    <w:rsid w:val="3BD31E2F"/>
    <w:rsid w:val="3BD655E6"/>
    <w:rsid w:val="3BF15831"/>
    <w:rsid w:val="3C105946"/>
    <w:rsid w:val="3C471448"/>
    <w:rsid w:val="3C5F759A"/>
    <w:rsid w:val="3C6C525A"/>
    <w:rsid w:val="3C922F8F"/>
    <w:rsid w:val="3CCE23CB"/>
    <w:rsid w:val="3CD17D17"/>
    <w:rsid w:val="3D3C7F39"/>
    <w:rsid w:val="3D440F09"/>
    <w:rsid w:val="3D4504A0"/>
    <w:rsid w:val="3D8734BB"/>
    <w:rsid w:val="3D9A11D4"/>
    <w:rsid w:val="3DA16D89"/>
    <w:rsid w:val="3DA364BE"/>
    <w:rsid w:val="3DCD4A53"/>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886024"/>
    <w:rsid w:val="3F95482B"/>
    <w:rsid w:val="3FF26D69"/>
    <w:rsid w:val="4019356B"/>
    <w:rsid w:val="40590703"/>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BC3ED5"/>
    <w:rsid w:val="44DE1391"/>
    <w:rsid w:val="451B225C"/>
    <w:rsid w:val="452410C9"/>
    <w:rsid w:val="45317DFB"/>
    <w:rsid w:val="456D3CE4"/>
    <w:rsid w:val="4579042C"/>
    <w:rsid w:val="457F0571"/>
    <w:rsid w:val="45851176"/>
    <w:rsid w:val="45C63B94"/>
    <w:rsid w:val="460E7DA5"/>
    <w:rsid w:val="463501E5"/>
    <w:rsid w:val="46422483"/>
    <w:rsid w:val="4659254A"/>
    <w:rsid w:val="465B0637"/>
    <w:rsid w:val="465E3F0D"/>
    <w:rsid w:val="466A16E6"/>
    <w:rsid w:val="46893F2B"/>
    <w:rsid w:val="46BE1D90"/>
    <w:rsid w:val="46C4686E"/>
    <w:rsid w:val="477B778F"/>
    <w:rsid w:val="478203EC"/>
    <w:rsid w:val="47926A0C"/>
    <w:rsid w:val="47B025FA"/>
    <w:rsid w:val="4809698F"/>
    <w:rsid w:val="4811697D"/>
    <w:rsid w:val="487A3E25"/>
    <w:rsid w:val="48830FF3"/>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777FAC"/>
    <w:rsid w:val="4AB82D0F"/>
    <w:rsid w:val="4AEB7664"/>
    <w:rsid w:val="4AFD7C19"/>
    <w:rsid w:val="4B0567D1"/>
    <w:rsid w:val="4B236AAE"/>
    <w:rsid w:val="4B707271"/>
    <w:rsid w:val="4B9739F7"/>
    <w:rsid w:val="4BEE2503"/>
    <w:rsid w:val="4C245A30"/>
    <w:rsid w:val="4C9815BE"/>
    <w:rsid w:val="4CB6685F"/>
    <w:rsid w:val="4CC367FE"/>
    <w:rsid w:val="4D077F3C"/>
    <w:rsid w:val="4D123355"/>
    <w:rsid w:val="4D2A3B31"/>
    <w:rsid w:val="4D312C52"/>
    <w:rsid w:val="4D905305"/>
    <w:rsid w:val="4D964A72"/>
    <w:rsid w:val="4D9C1254"/>
    <w:rsid w:val="4E793892"/>
    <w:rsid w:val="4E800872"/>
    <w:rsid w:val="4EC569ED"/>
    <w:rsid w:val="4ED50EA1"/>
    <w:rsid w:val="4EE07EA5"/>
    <w:rsid w:val="4EEC050C"/>
    <w:rsid w:val="4F104EC3"/>
    <w:rsid w:val="4F47354A"/>
    <w:rsid w:val="4F911C54"/>
    <w:rsid w:val="4FE625E0"/>
    <w:rsid w:val="4FE943CD"/>
    <w:rsid w:val="500656EA"/>
    <w:rsid w:val="5021480F"/>
    <w:rsid w:val="506D1720"/>
    <w:rsid w:val="50962ECB"/>
    <w:rsid w:val="50A42E38"/>
    <w:rsid w:val="50A4577F"/>
    <w:rsid w:val="50B73D1F"/>
    <w:rsid w:val="50BD5BC9"/>
    <w:rsid w:val="50C11EEE"/>
    <w:rsid w:val="50E66EC9"/>
    <w:rsid w:val="50E97CFC"/>
    <w:rsid w:val="50FA4028"/>
    <w:rsid w:val="510D65B7"/>
    <w:rsid w:val="511157AB"/>
    <w:rsid w:val="5142540C"/>
    <w:rsid w:val="516341ED"/>
    <w:rsid w:val="51835151"/>
    <w:rsid w:val="518832C8"/>
    <w:rsid w:val="51A0432A"/>
    <w:rsid w:val="51A86090"/>
    <w:rsid w:val="51B7396D"/>
    <w:rsid w:val="521376AF"/>
    <w:rsid w:val="522E4CC3"/>
    <w:rsid w:val="5244713B"/>
    <w:rsid w:val="525534F3"/>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925BE8"/>
    <w:rsid w:val="54B3506A"/>
    <w:rsid w:val="54CA0D16"/>
    <w:rsid w:val="54DD4057"/>
    <w:rsid w:val="54E7490F"/>
    <w:rsid w:val="550764A4"/>
    <w:rsid w:val="550B2BF6"/>
    <w:rsid w:val="55214EB5"/>
    <w:rsid w:val="55364EFD"/>
    <w:rsid w:val="55391D84"/>
    <w:rsid w:val="554B07A0"/>
    <w:rsid w:val="555D4828"/>
    <w:rsid w:val="557A4C8B"/>
    <w:rsid w:val="558931E1"/>
    <w:rsid w:val="55923347"/>
    <w:rsid w:val="55925180"/>
    <w:rsid w:val="55983B1B"/>
    <w:rsid w:val="55A8376B"/>
    <w:rsid w:val="55DC29B6"/>
    <w:rsid w:val="55DD4241"/>
    <w:rsid w:val="565F3DA6"/>
    <w:rsid w:val="566B6D1E"/>
    <w:rsid w:val="56E16569"/>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272B54"/>
    <w:rsid w:val="58476FD9"/>
    <w:rsid w:val="58917D2F"/>
    <w:rsid w:val="58920B42"/>
    <w:rsid w:val="5894085C"/>
    <w:rsid w:val="58AE4F0C"/>
    <w:rsid w:val="58B85899"/>
    <w:rsid w:val="58E363A9"/>
    <w:rsid w:val="595A1FC1"/>
    <w:rsid w:val="595E1678"/>
    <w:rsid w:val="596D5BD4"/>
    <w:rsid w:val="597E3DD8"/>
    <w:rsid w:val="59F80043"/>
    <w:rsid w:val="5A09252F"/>
    <w:rsid w:val="5A0B2778"/>
    <w:rsid w:val="5A2A7C7B"/>
    <w:rsid w:val="5A3E2560"/>
    <w:rsid w:val="5A405AE0"/>
    <w:rsid w:val="5A5D3B6E"/>
    <w:rsid w:val="5A637A76"/>
    <w:rsid w:val="5A6D33BA"/>
    <w:rsid w:val="5A792B1F"/>
    <w:rsid w:val="5A874767"/>
    <w:rsid w:val="5AAD6F28"/>
    <w:rsid w:val="5AD63A24"/>
    <w:rsid w:val="5B2E1A1D"/>
    <w:rsid w:val="5B393387"/>
    <w:rsid w:val="5B843A1C"/>
    <w:rsid w:val="5B873E3F"/>
    <w:rsid w:val="5B9B762E"/>
    <w:rsid w:val="5C02690E"/>
    <w:rsid w:val="5C196DA7"/>
    <w:rsid w:val="5C2A048C"/>
    <w:rsid w:val="5C80234E"/>
    <w:rsid w:val="5C8A680C"/>
    <w:rsid w:val="5CB6239D"/>
    <w:rsid w:val="5D0C4701"/>
    <w:rsid w:val="5D0F0395"/>
    <w:rsid w:val="5D221076"/>
    <w:rsid w:val="5D397964"/>
    <w:rsid w:val="5D5A391C"/>
    <w:rsid w:val="5D5F10C0"/>
    <w:rsid w:val="5D891B7B"/>
    <w:rsid w:val="5DAD38EE"/>
    <w:rsid w:val="5DC1336F"/>
    <w:rsid w:val="5E006862"/>
    <w:rsid w:val="5E0207B9"/>
    <w:rsid w:val="5E1834A1"/>
    <w:rsid w:val="5E261785"/>
    <w:rsid w:val="5E4A7017"/>
    <w:rsid w:val="5E552BBA"/>
    <w:rsid w:val="5E611C10"/>
    <w:rsid w:val="5EFC7377"/>
    <w:rsid w:val="5F06174D"/>
    <w:rsid w:val="5F1220FB"/>
    <w:rsid w:val="5F13452C"/>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232385"/>
    <w:rsid w:val="624F3E49"/>
    <w:rsid w:val="62632286"/>
    <w:rsid w:val="62885958"/>
    <w:rsid w:val="62F40B65"/>
    <w:rsid w:val="62FC2CFE"/>
    <w:rsid w:val="63024505"/>
    <w:rsid w:val="635B1DB5"/>
    <w:rsid w:val="63711FED"/>
    <w:rsid w:val="63880DDC"/>
    <w:rsid w:val="638D750D"/>
    <w:rsid w:val="63AC6CC0"/>
    <w:rsid w:val="64055776"/>
    <w:rsid w:val="64240056"/>
    <w:rsid w:val="643E143A"/>
    <w:rsid w:val="64766365"/>
    <w:rsid w:val="648B6EEF"/>
    <w:rsid w:val="64C158BF"/>
    <w:rsid w:val="64CE2EAA"/>
    <w:rsid w:val="64EC520E"/>
    <w:rsid w:val="653C3090"/>
    <w:rsid w:val="65615E7B"/>
    <w:rsid w:val="657D4C0B"/>
    <w:rsid w:val="65854376"/>
    <w:rsid w:val="658767BE"/>
    <w:rsid w:val="65892531"/>
    <w:rsid w:val="66195831"/>
    <w:rsid w:val="662E75B1"/>
    <w:rsid w:val="66342C2E"/>
    <w:rsid w:val="663E784C"/>
    <w:rsid w:val="668B6A45"/>
    <w:rsid w:val="672F3F24"/>
    <w:rsid w:val="673E055F"/>
    <w:rsid w:val="674C6225"/>
    <w:rsid w:val="67551CE3"/>
    <w:rsid w:val="67A22552"/>
    <w:rsid w:val="67B22DCC"/>
    <w:rsid w:val="67BE71AA"/>
    <w:rsid w:val="67D269DA"/>
    <w:rsid w:val="67D90273"/>
    <w:rsid w:val="67DE5875"/>
    <w:rsid w:val="67E55852"/>
    <w:rsid w:val="67EB1AB4"/>
    <w:rsid w:val="67FA1285"/>
    <w:rsid w:val="68551F4F"/>
    <w:rsid w:val="687C10C9"/>
    <w:rsid w:val="68840C16"/>
    <w:rsid w:val="68876EFB"/>
    <w:rsid w:val="68884654"/>
    <w:rsid w:val="689A5757"/>
    <w:rsid w:val="689F444F"/>
    <w:rsid w:val="68B96DBB"/>
    <w:rsid w:val="68CA2805"/>
    <w:rsid w:val="68E937A3"/>
    <w:rsid w:val="693E15D3"/>
    <w:rsid w:val="695060F9"/>
    <w:rsid w:val="69627681"/>
    <w:rsid w:val="6977531D"/>
    <w:rsid w:val="69CC2BFF"/>
    <w:rsid w:val="69FD55B8"/>
    <w:rsid w:val="6A0B1C62"/>
    <w:rsid w:val="6A2406C8"/>
    <w:rsid w:val="6A2762EB"/>
    <w:rsid w:val="6ADB1653"/>
    <w:rsid w:val="6ADE0BD1"/>
    <w:rsid w:val="6AE96859"/>
    <w:rsid w:val="6AFF4A0C"/>
    <w:rsid w:val="6B147746"/>
    <w:rsid w:val="6B24787C"/>
    <w:rsid w:val="6B573233"/>
    <w:rsid w:val="6B5B6274"/>
    <w:rsid w:val="6B935D53"/>
    <w:rsid w:val="6B987D56"/>
    <w:rsid w:val="6C196F71"/>
    <w:rsid w:val="6C226FCB"/>
    <w:rsid w:val="6C31226F"/>
    <w:rsid w:val="6C552F0B"/>
    <w:rsid w:val="6C8C67B7"/>
    <w:rsid w:val="6C9D744C"/>
    <w:rsid w:val="6CA50A39"/>
    <w:rsid w:val="6D167928"/>
    <w:rsid w:val="6D26299B"/>
    <w:rsid w:val="6D3A2387"/>
    <w:rsid w:val="6D4772EC"/>
    <w:rsid w:val="6D9078AF"/>
    <w:rsid w:val="6DAA3FEF"/>
    <w:rsid w:val="6DC0172B"/>
    <w:rsid w:val="6DCB690C"/>
    <w:rsid w:val="6DD41A5B"/>
    <w:rsid w:val="6DF43C2E"/>
    <w:rsid w:val="6DF51CA3"/>
    <w:rsid w:val="6E8335BD"/>
    <w:rsid w:val="6E8403F6"/>
    <w:rsid w:val="6E8E12EF"/>
    <w:rsid w:val="6E972936"/>
    <w:rsid w:val="6EA830D9"/>
    <w:rsid w:val="6ED446C5"/>
    <w:rsid w:val="6F2A7D94"/>
    <w:rsid w:val="6F8331F1"/>
    <w:rsid w:val="6FAE1A09"/>
    <w:rsid w:val="6FD75BF8"/>
    <w:rsid w:val="70096E04"/>
    <w:rsid w:val="70334013"/>
    <w:rsid w:val="707723D0"/>
    <w:rsid w:val="70F5661B"/>
    <w:rsid w:val="71360107"/>
    <w:rsid w:val="713B688E"/>
    <w:rsid w:val="71D43752"/>
    <w:rsid w:val="71E43845"/>
    <w:rsid w:val="71F1796A"/>
    <w:rsid w:val="72154626"/>
    <w:rsid w:val="72262B5D"/>
    <w:rsid w:val="72283FF7"/>
    <w:rsid w:val="722E7212"/>
    <w:rsid w:val="723A0474"/>
    <w:rsid w:val="725923E4"/>
    <w:rsid w:val="72864BF7"/>
    <w:rsid w:val="729023FC"/>
    <w:rsid w:val="733C7B66"/>
    <w:rsid w:val="73C0646E"/>
    <w:rsid w:val="73C95365"/>
    <w:rsid w:val="73D24A15"/>
    <w:rsid w:val="742222F5"/>
    <w:rsid w:val="74476126"/>
    <w:rsid w:val="74706664"/>
    <w:rsid w:val="747F3682"/>
    <w:rsid w:val="749C4185"/>
    <w:rsid w:val="74FC1B1B"/>
    <w:rsid w:val="75067759"/>
    <w:rsid w:val="752E6DCD"/>
    <w:rsid w:val="7551380D"/>
    <w:rsid w:val="75600BE5"/>
    <w:rsid w:val="7564475C"/>
    <w:rsid w:val="7583797F"/>
    <w:rsid w:val="75B25848"/>
    <w:rsid w:val="75D20F1D"/>
    <w:rsid w:val="75DA2C18"/>
    <w:rsid w:val="75F54412"/>
    <w:rsid w:val="761D08E0"/>
    <w:rsid w:val="765D347C"/>
    <w:rsid w:val="76826699"/>
    <w:rsid w:val="76C87133"/>
    <w:rsid w:val="76CD08D5"/>
    <w:rsid w:val="76DB4B92"/>
    <w:rsid w:val="76DE4A7D"/>
    <w:rsid w:val="77052AA4"/>
    <w:rsid w:val="77136511"/>
    <w:rsid w:val="77340A39"/>
    <w:rsid w:val="77351FD0"/>
    <w:rsid w:val="77472422"/>
    <w:rsid w:val="777F31F2"/>
    <w:rsid w:val="77D1700D"/>
    <w:rsid w:val="77EC04CC"/>
    <w:rsid w:val="786C7F30"/>
    <w:rsid w:val="78745037"/>
    <w:rsid w:val="78775729"/>
    <w:rsid w:val="78A42DB0"/>
    <w:rsid w:val="78A656AB"/>
    <w:rsid w:val="78B2245C"/>
    <w:rsid w:val="78E172CC"/>
    <w:rsid w:val="78EA1D1F"/>
    <w:rsid w:val="7904172F"/>
    <w:rsid w:val="790F7E27"/>
    <w:rsid w:val="792A231A"/>
    <w:rsid w:val="79316829"/>
    <w:rsid w:val="7966102B"/>
    <w:rsid w:val="797E66A9"/>
    <w:rsid w:val="79A97383"/>
    <w:rsid w:val="79E27E8B"/>
    <w:rsid w:val="79F850CE"/>
    <w:rsid w:val="79FD443C"/>
    <w:rsid w:val="7A1D1975"/>
    <w:rsid w:val="7A3E5150"/>
    <w:rsid w:val="7A4670D6"/>
    <w:rsid w:val="7A534B63"/>
    <w:rsid w:val="7A615382"/>
    <w:rsid w:val="7A656CAF"/>
    <w:rsid w:val="7A67303B"/>
    <w:rsid w:val="7AAB1D04"/>
    <w:rsid w:val="7ABA4368"/>
    <w:rsid w:val="7AD05746"/>
    <w:rsid w:val="7B257FFD"/>
    <w:rsid w:val="7B343476"/>
    <w:rsid w:val="7B587C9E"/>
    <w:rsid w:val="7B5A2978"/>
    <w:rsid w:val="7B5A7E4C"/>
    <w:rsid w:val="7B667AF9"/>
    <w:rsid w:val="7B7468F8"/>
    <w:rsid w:val="7BDA38BC"/>
    <w:rsid w:val="7BEE0103"/>
    <w:rsid w:val="7C0A0FE4"/>
    <w:rsid w:val="7C254906"/>
    <w:rsid w:val="7C590818"/>
    <w:rsid w:val="7C61694E"/>
    <w:rsid w:val="7C7C10F6"/>
    <w:rsid w:val="7C853BEA"/>
    <w:rsid w:val="7C881368"/>
    <w:rsid w:val="7CE27788"/>
    <w:rsid w:val="7D0C32F1"/>
    <w:rsid w:val="7D0F408D"/>
    <w:rsid w:val="7D4237F9"/>
    <w:rsid w:val="7D491C6C"/>
    <w:rsid w:val="7D5429C0"/>
    <w:rsid w:val="7D6E6D43"/>
    <w:rsid w:val="7D781BBB"/>
    <w:rsid w:val="7DB57A34"/>
    <w:rsid w:val="7DD1194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18"/>
    <w:qFormat/>
    <w:uiPriority w:val="0"/>
    <w:pPr>
      <w:ind w:firstLine="420"/>
    </w:pPr>
    <w:rPr>
      <w:rFonts w:hAnsi="Calibri" w:cs="Times New Roman"/>
      <w:snapToGrid/>
      <w:szCs w:val="20"/>
    </w:rPr>
  </w:style>
  <w:style w:type="paragraph" w:styleId="25">
    <w:name w:val="Body Text Indent"/>
    <w:basedOn w:val="1"/>
    <w:next w:val="26"/>
    <w:link w:val="262"/>
    <w:qFormat/>
    <w:uiPriority w:val="0"/>
    <w:pPr>
      <w:spacing w:line="480" w:lineRule="exact"/>
      <w:ind w:firstLine="480" w:firstLineChars="200"/>
    </w:pPr>
    <w:rPr>
      <w:rFonts w:ascii="宋体" w:hAnsi="宋体"/>
      <w:sz w:val="24"/>
    </w:rPr>
  </w:style>
  <w:style w:type="paragraph" w:styleId="26">
    <w:name w:val="Body Text First Indent 2"/>
    <w:basedOn w:val="25"/>
    <w:link w:val="118"/>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26"/>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8"/>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7"/>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8"/>
    <w:qFormat/>
    <w:uiPriority w:val="0"/>
    <w:rPr>
      <w:rFonts w:ascii="黑体" w:hAnsi="Courier New" w:eastAsia="黑体"/>
    </w:rPr>
  </w:style>
  <w:style w:type="character" w:customStyle="1" w:styleId="299">
    <w:name w:val="正文文本 2 Char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9"/>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57</Pages>
  <Words>26120</Words>
  <Characters>27587</Characters>
  <Lines>287</Lines>
  <Paragraphs>81</Paragraphs>
  <TotalTime>80</TotalTime>
  <ScaleCrop>false</ScaleCrop>
  <LinksUpToDate>false</LinksUpToDate>
  <CharactersWithSpaces>31222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伍伍</cp:lastModifiedBy>
  <cp:lastPrinted>2021-12-27T03:06:00Z</cp:lastPrinted>
  <dcterms:modified xsi:type="dcterms:W3CDTF">2022-04-24T12:02:27Z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commondata">
    <vt:lpwstr>eyJoZGlkIjoiMTJmZjBiYjZjMGM5ZTRmMzU0MjIzNDFkNzNiNzUzMzYifQ==</vt:lpwstr>
  </property>
</Properties>
</file>