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rPr>
          <w:rFonts w:ascii="仿宋" w:hAnsi="仿宋" w:eastAsia="仿宋" w:cs="仿宋"/>
          <w:color w:val="auto"/>
        </w:rPr>
      </w:pPr>
    </w:p>
    <w:p>
      <w:pPr>
        <w:pStyle w:val="32"/>
        <w:rPr>
          <w:rFonts w:ascii="仿宋" w:hAnsi="仿宋" w:eastAsia="仿宋" w:cs="仿宋"/>
          <w:color w:val="auto"/>
        </w:rPr>
      </w:pPr>
    </w:p>
    <w:p>
      <w:pPr>
        <w:pStyle w:val="3"/>
        <w:keepNext w:val="0"/>
        <w:widowControl/>
        <w:spacing w:line="600" w:lineRule="exact"/>
        <w:rPr>
          <w:rFonts w:ascii="仿宋" w:hAnsi="仿宋" w:eastAsia="仿宋" w:cs="宋体"/>
          <w:bCs/>
          <w:kern w:val="0"/>
          <w:sz w:val="48"/>
          <w:szCs w:val="48"/>
          <w:lang w:val="zh-CN"/>
        </w:rPr>
      </w:pPr>
      <w:bookmarkStart w:id="0" w:name="_Toc30396"/>
      <w:bookmarkStart w:id="1" w:name="_Toc18177"/>
      <w:bookmarkStart w:id="2" w:name="_Toc1218"/>
      <w:r>
        <w:rPr>
          <w:rFonts w:hint="eastAsia" w:ascii="仿宋" w:hAnsi="仿宋" w:eastAsia="仿宋" w:cs="宋体"/>
          <w:bCs/>
          <w:kern w:val="0"/>
          <w:sz w:val="48"/>
          <w:szCs w:val="48"/>
          <w:lang w:val="zh-CN"/>
        </w:rPr>
        <w:t>雨污水管网维护及应急处置项目</w:t>
      </w:r>
      <w:bookmarkEnd w:id="0"/>
      <w:bookmarkEnd w:id="1"/>
      <w:bookmarkEnd w:id="2"/>
    </w:p>
    <w:p>
      <w:pPr>
        <w:pStyle w:val="32"/>
        <w:jc w:val="center"/>
        <w:rPr>
          <w:rFonts w:ascii="仿宋" w:hAnsi="仿宋" w:eastAsia="仿宋" w:cs="仿宋"/>
          <w:color w:val="auto"/>
          <w:sz w:val="30"/>
          <w:szCs w:val="30"/>
        </w:rPr>
      </w:pPr>
    </w:p>
    <w:p>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rPr>
        <w:t>（财政审批编号:</w:t>
      </w:r>
      <w:r>
        <w:rPr>
          <w:rFonts w:hint="eastAsia" w:ascii="仿宋" w:hAnsi="仿宋" w:eastAsia="仿宋" w:cs="仿宋"/>
          <w:sz w:val="30"/>
          <w:szCs w:val="30"/>
          <w:lang w:eastAsia="zh-CN"/>
        </w:rPr>
        <w:t>临[2023]892号</w:t>
      </w:r>
      <w:r>
        <w:rPr>
          <w:rFonts w:hint="eastAsia" w:ascii="仿宋" w:hAnsi="仿宋" w:eastAsia="仿宋" w:cs="仿宋"/>
          <w:sz w:val="30"/>
          <w:szCs w:val="30"/>
        </w:rPr>
        <w:t>）</w:t>
      </w:r>
    </w:p>
    <w:p>
      <w:pPr>
        <w:pStyle w:val="32"/>
        <w:jc w:val="center"/>
        <w:rPr>
          <w:rFonts w:ascii="仿宋" w:hAnsi="仿宋" w:eastAsia="仿宋" w:cs="仿宋"/>
          <w:color w:val="auto"/>
          <w:sz w:val="72"/>
          <w:szCs w:val="72"/>
        </w:rPr>
      </w:pPr>
    </w:p>
    <w:p>
      <w:pPr>
        <w:pStyle w:val="32"/>
        <w:jc w:val="center"/>
        <w:rPr>
          <w:rFonts w:ascii="仿宋" w:hAnsi="仿宋" w:eastAsia="仿宋" w:cs="仿宋"/>
          <w:color w:val="auto"/>
          <w:sz w:val="72"/>
          <w:szCs w:val="72"/>
        </w:rPr>
      </w:pPr>
      <w:r>
        <w:rPr>
          <w:rFonts w:hint="eastAsia" w:ascii="仿宋" w:hAnsi="仿宋" w:eastAsia="仿宋" w:cs="仿宋"/>
          <w:color w:val="auto"/>
          <w:sz w:val="72"/>
          <w:szCs w:val="72"/>
        </w:rPr>
        <w:t>公开招标文件</w:t>
      </w:r>
    </w:p>
    <w:p>
      <w:pPr>
        <w:pStyle w:val="32"/>
        <w:jc w:val="center"/>
        <w:rPr>
          <w:rFonts w:ascii="仿宋" w:hAnsi="仿宋" w:eastAsia="仿宋"/>
          <w:b/>
          <w:snapToGrid w:val="0"/>
          <w:color w:val="auto"/>
          <w:sz w:val="44"/>
          <w:szCs w:val="44"/>
          <w:lang w:val="zh-CN"/>
        </w:rPr>
      </w:pPr>
    </w:p>
    <w:p>
      <w:pPr>
        <w:pStyle w:val="32"/>
        <w:jc w:val="center"/>
        <w:rPr>
          <w:rFonts w:ascii="仿宋" w:hAnsi="仿宋" w:eastAsia="仿宋"/>
          <w:b/>
          <w:snapToGrid w:val="0"/>
          <w:color w:val="auto"/>
          <w:sz w:val="44"/>
          <w:szCs w:val="44"/>
          <w:lang w:val="zh-CN"/>
        </w:rPr>
      </w:pPr>
      <w:r>
        <w:rPr>
          <w:rFonts w:hint="eastAsia" w:ascii="仿宋" w:hAnsi="仿宋" w:eastAsia="仿宋"/>
          <w:b/>
          <w:snapToGrid w:val="0"/>
          <w:color w:val="auto"/>
          <w:sz w:val="44"/>
          <w:szCs w:val="44"/>
          <w:lang w:val="zh-CN"/>
        </w:rPr>
        <w:t>（全流程电子）</w:t>
      </w:r>
    </w:p>
    <w:p>
      <w:pPr>
        <w:pStyle w:val="32"/>
        <w:jc w:val="both"/>
        <w:rPr>
          <w:rFonts w:ascii="仿宋" w:hAnsi="仿宋" w:eastAsia="仿宋" w:cs="仿宋"/>
          <w:color w:val="auto"/>
          <w:sz w:val="72"/>
          <w:szCs w:val="72"/>
        </w:rPr>
      </w:pPr>
    </w:p>
    <w:p>
      <w:pPr>
        <w:pStyle w:val="32"/>
        <w:jc w:val="both"/>
        <w:rPr>
          <w:rFonts w:ascii="仿宋" w:hAnsi="仿宋" w:eastAsia="仿宋" w:cs="仿宋"/>
          <w:color w:val="auto"/>
          <w:sz w:val="72"/>
          <w:szCs w:val="72"/>
        </w:rPr>
      </w:pPr>
    </w:p>
    <w:p>
      <w:pPr>
        <w:pStyle w:val="32"/>
        <w:spacing w:line="360" w:lineRule="auto"/>
        <w:rPr>
          <w:rFonts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JYFGS2023-003 </w:t>
      </w:r>
    </w:p>
    <w:p>
      <w:pPr>
        <w:pStyle w:val="32"/>
        <w:spacing w:line="360" w:lineRule="auto"/>
        <w:rPr>
          <w:rFonts w:ascii="仿宋" w:hAnsi="仿宋" w:eastAsia="仿宋" w:cs="仿宋"/>
          <w:color w:val="auto"/>
          <w:sz w:val="30"/>
          <w:szCs w:val="30"/>
        </w:rPr>
      </w:pPr>
    </w:p>
    <w:p>
      <w:pPr>
        <w:pStyle w:val="32"/>
        <w:jc w:val="both"/>
        <w:rPr>
          <w:rFonts w:ascii="仿宋" w:hAnsi="仿宋" w:eastAsia="仿宋" w:cs="仿宋"/>
          <w:b/>
          <w:color w:val="auto"/>
          <w:kern w:val="2"/>
          <w:sz w:val="36"/>
          <w:szCs w:val="36"/>
          <w:u w:val="single"/>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u w:val="single"/>
        </w:rPr>
        <w:t>雨污水管网维护及应急处置项目</w:t>
      </w:r>
    </w:p>
    <w:p>
      <w:pPr>
        <w:pStyle w:val="32"/>
        <w:spacing w:line="360" w:lineRule="auto"/>
        <w:rPr>
          <w:rFonts w:ascii="仿宋" w:hAnsi="仿宋" w:eastAsia="仿宋" w:cs="仿宋"/>
          <w:color w:val="auto"/>
          <w:sz w:val="30"/>
          <w:szCs w:val="30"/>
        </w:rPr>
      </w:pPr>
    </w:p>
    <w:p>
      <w:pPr>
        <w:pStyle w:val="32"/>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采 购 人：</w:t>
      </w:r>
      <w:r>
        <w:rPr>
          <w:rFonts w:hint="eastAsia" w:ascii="仿宋" w:hAnsi="仿宋" w:eastAsia="仿宋" w:cs="仿宋"/>
          <w:color w:val="auto"/>
          <w:sz w:val="30"/>
          <w:szCs w:val="30"/>
          <w:u w:val="single"/>
        </w:rPr>
        <w:t>湖州市吴兴区公用事业管理中心</w:t>
      </w:r>
    </w:p>
    <w:p>
      <w:pPr>
        <w:pStyle w:val="32"/>
        <w:spacing w:line="360" w:lineRule="auto"/>
        <w:rPr>
          <w:rFonts w:ascii="仿宋" w:hAnsi="仿宋" w:eastAsia="仿宋" w:cs="仿宋"/>
          <w:color w:val="auto"/>
          <w:sz w:val="30"/>
          <w:szCs w:val="30"/>
          <w:u w:val="single"/>
        </w:rPr>
      </w:pPr>
    </w:p>
    <w:p>
      <w:pPr>
        <w:pStyle w:val="32"/>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u w:val="single"/>
        </w:rPr>
        <w:t>杭州建业造价工程师事务所有限公司</w:t>
      </w: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二○二三年二月</w:t>
      </w:r>
    </w:p>
    <w:p>
      <w:pPr>
        <w:rPr>
          <w:rFonts w:ascii="仿宋" w:hAnsi="仿宋" w:eastAsia="仿宋" w:cs="宋体"/>
          <w:b/>
          <w:bCs/>
          <w:kern w:val="0"/>
          <w:sz w:val="48"/>
          <w:szCs w:val="48"/>
          <w:lang w:val="zh-CN"/>
        </w:rPr>
      </w:pPr>
    </w:p>
    <w:p>
      <w:pPr>
        <w:rPr>
          <w:rFonts w:ascii="仿宋" w:hAnsi="仿宋" w:eastAsia="仿宋" w:cs="宋体"/>
          <w:b/>
          <w:bCs/>
          <w:kern w:val="0"/>
          <w:sz w:val="48"/>
          <w:szCs w:val="48"/>
          <w:lang w:val="zh-CN"/>
        </w:rPr>
      </w:pPr>
      <w:r>
        <w:rPr>
          <w:rFonts w:hint="eastAsia" w:ascii="仿宋" w:hAnsi="仿宋" w:eastAsia="仿宋" w:cs="宋体"/>
          <w:b/>
          <w:bCs/>
          <w:kern w:val="0"/>
          <w:sz w:val="48"/>
          <w:szCs w:val="48"/>
          <w:lang w:val="zh-CN"/>
        </w:rPr>
        <w:br w:type="page"/>
      </w:r>
    </w:p>
    <w:p>
      <w:pPr>
        <w:pStyle w:val="3"/>
        <w:keepNext w:val="0"/>
        <w:widowControl/>
        <w:spacing w:line="600" w:lineRule="exact"/>
        <w:rPr>
          <w:rFonts w:ascii="仿宋" w:hAnsi="仿宋" w:eastAsia="仿宋" w:cs="宋体"/>
          <w:bCs/>
          <w:kern w:val="0"/>
          <w:sz w:val="48"/>
          <w:szCs w:val="48"/>
          <w:lang w:val="zh-CN"/>
        </w:rPr>
      </w:pPr>
    </w:p>
    <w:p>
      <w:pPr>
        <w:rPr>
          <w:lang w:val="zh-CN"/>
        </w:rPr>
      </w:pPr>
    </w:p>
    <w:p>
      <w:pPr>
        <w:pStyle w:val="3"/>
        <w:keepNext w:val="0"/>
        <w:widowControl/>
        <w:spacing w:line="600" w:lineRule="exact"/>
        <w:rPr>
          <w:rFonts w:ascii="仿宋" w:hAnsi="仿宋" w:eastAsia="仿宋" w:cs="宋体"/>
          <w:bCs/>
          <w:kern w:val="0"/>
          <w:sz w:val="48"/>
          <w:szCs w:val="48"/>
          <w:lang w:val="zh-CN"/>
        </w:rPr>
      </w:pPr>
      <w:bookmarkStart w:id="3" w:name="_Toc4861"/>
      <w:bookmarkStart w:id="4" w:name="_Toc21696"/>
      <w:bookmarkStart w:id="5" w:name="_Toc25113"/>
      <w:r>
        <w:rPr>
          <w:rFonts w:hint="eastAsia" w:ascii="仿宋" w:hAnsi="仿宋" w:eastAsia="仿宋" w:cs="宋体"/>
          <w:bCs/>
          <w:kern w:val="0"/>
          <w:sz w:val="48"/>
          <w:szCs w:val="48"/>
          <w:lang w:val="zh-CN"/>
        </w:rPr>
        <w:t>雨污水管网维护及应急处置项目</w:t>
      </w:r>
      <w:bookmarkEnd w:id="3"/>
      <w:bookmarkEnd w:id="4"/>
      <w:bookmarkEnd w:id="5"/>
    </w:p>
    <w:p>
      <w:pPr>
        <w:pStyle w:val="32"/>
        <w:jc w:val="center"/>
        <w:rPr>
          <w:rFonts w:ascii="仿宋" w:hAnsi="仿宋" w:eastAsia="仿宋" w:cs="仿宋"/>
          <w:color w:val="auto"/>
          <w:sz w:val="30"/>
          <w:szCs w:val="30"/>
        </w:rPr>
      </w:pPr>
    </w:p>
    <w:p>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rPr>
        <w:t>（财政审批编号:</w:t>
      </w:r>
      <w:r>
        <w:rPr>
          <w:rFonts w:hint="eastAsia" w:ascii="仿宋" w:hAnsi="仿宋" w:eastAsia="仿宋" w:cs="仿宋"/>
          <w:sz w:val="30"/>
          <w:szCs w:val="30"/>
          <w:lang w:eastAsia="zh-CN"/>
        </w:rPr>
        <w:t>临[2023]892号</w:t>
      </w:r>
      <w:r>
        <w:rPr>
          <w:rFonts w:hint="eastAsia" w:ascii="仿宋" w:hAnsi="仿宋" w:eastAsia="仿宋" w:cs="仿宋"/>
          <w:sz w:val="30"/>
          <w:szCs w:val="30"/>
        </w:rPr>
        <w:t>）</w:t>
      </w:r>
    </w:p>
    <w:p>
      <w:pPr>
        <w:pStyle w:val="32"/>
        <w:jc w:val="center"/>
        <w:rPr>
          <w:rFonts w:ascii="仿宋" w:hAnsi="仿宋" w:eastAsia="仿宋" w:cs="仿宋"/>
          <w:color w:val="auto"/>
          <w:sz w:val="72"/>
          <w:szCs w:val="72"/>
        </w:rPr>
      </w:pPr>
    </w:p>
    <w:p>
      <w:pPr>
        <w:pStyle w:val="32"/>
        <w:jc w:val="center"/>
        <w:rPr>
          <w:rFonts w:ascii="仿宋" w:hAnsi="仿宋" w:eastAsia="仿宋" w:cs="仿宋"/>
          <w:color w:val="auto"/>
          <w:sz w:val="72"/>
          <w:szCs w:val="72"/>
        </w:rPr>
      </w:pPr>
      <w:r>
        <w:rPr>
          <w:rFonts w:hint="eastAsia" w:ascii="仿宋" w:hAnsi="仿宋" w:eastAsia="仿宋" w:cs="仿宋"/>
          <w:color w:val="auto"/>
          <w:sz w:val="72"/>
          <w:szCs w:val="72"/>
        </w:rPr>
        <w:t>公开招标文件</w:t>
      </w:r>
    </w:p>
    <w:p>
      <w:pPr>
        <w:pStyle w:val="32"/>
        <w:jc w:val="center"/>
        <w:rPr>
          <w:rFonts w:ascii="仿宋" w:hAnsi="仿宋" w:eastAsia="仿宋"/>
          <w:b/>
          <w:snapToGrid w:val="0"/>
          <w:color w:val="auto"/>
          <w:sz w:val="44"/>
          <w:szCs w:val="44"/>
          <w:lang w:val="zh-CN"/>
        </w:rPr>
      </w:pPr>
    </w:p>
    <w:p>
      <w:pPr>
        <w:pStyle w:val="32"/>
        <w:jc w:val="center"/>
        <w:rPr>
          <w:rFonts w:ascii="仿宋" w:hAnsi="仿宋" w:eastAsia="仿宋"/>
          <w:b/>
          <w:snapToGrid w:val="0"/>
          <w:color w:val="auto"/>
          <w:sz w:val="44"/>
          <w:szCs w:val="44"/>
          <w:lang w:val="zh-CN"/>
        </w:rPr>
      </w:pPr>
      <w:r>
        <w:rPr>
          <w:rFonts w:hint="eastAsia" w:ascii="仿宋" w:hAnsi="仿宋" w:eastAsia="仿宋"/>
          <w:b/>
          <w:snapToGrid w:val="0"/>
          <w:color w:val="auto"/>
          <w:sz w:val="44"/>
          <w:szCs w:val="44"/>
          <w:lang w:val="zh-CN"/>
        </w:rPr>
        <w:t>（全流程电子）</w:t>
      </w:r>
    </w:p>
    <w:p>
      <w:pPr>
        <w:pStyle w:val="32"/>
        <w:jc w:val="both"/>
        <w:rPr>
          <w:rFonts w:ascii="仿宋" w:hAnsi="仿宋" w:eastAsia="仿宋" w:cs="仿宋"/>
          <w:color w:val="auto"/>
          <w:sz w:val="72"/>
          <w:szCs w:val="72"/>
        </w:rPr>
      </w:pPr>
    </w:p>
    <w:p>
      <w:pPr>
        <w:pStyle w:val="32"/>
        <w:jc w:val="both"/>
        <w:rPr>
          <w:rFonts w:ascii="仿宋" w:hAnsi="仿宋" w:eastAsia="仿宋" w:cs="仿宋"/>
          <w:color w:val="auto"/>
          <w:sz w:val="72"/>
          <w:szCs w:val="72"/>
        </w:rPr>
      </w:pPr>
    </w:p>
    <w:p>
      <w:pPr>
        <w:pStyle w:val="32"/>
        <w:spacing w:line="360" w:lineRule="auto"/>
        <w:rPr>
          <w:rFonts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JYFGS2023-003 </w:t>
      </w:r>
    </w:p>
    <w:p>
      <w:pPr>
        <w:pStyle w:val="32"/>
        <w:spacing w:line="360" w:lineRule="auto"/>
        <w:rPr>
          <w:rFonts w:ascii="仿宋" w:hAnsi="仿宋" w:eastAsia="仿宋" w:cs="仿宋"/>
          <w:color w:val="auto"/>
          <w:sz w:val="30"/>
          <w:szCs w:val="30"/>
        </w:rPr>
      </w:pPr>
    </w:p>
    <w:p>
      <w:pPr>
        <w:pStyle w:val="32"/>
        <w:jc w:val="both"/>
        <w:rPr>
          <w:rFonts w:ascii="仿宋" w:hAnsi="仿宋" w:eastAsia="仿宋" w:cs="仿宋"/>
          <w:b/>
          <w:color w:val="auto"/>
          <w:kern w:val="2"/>
          <w:sz w:val="36"/>
          <w:szCs w:val="36"/>
          <w:u w:val="single"/>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u w:val="single"/>
        </w:rPr>
        <w:t>雨污水管网维护及应急处置项目</w:t>
      </w:r>
    </w:p>
    <w:p>
      <w:pPr>
        <w:pStyle w:val="32"/>
        <w:spacing w:line="360" w:lineRule="auto"/>
        <w:rPr>
          <w:rFonts w:ascii="仿宋" w:hAnsi="仿宋" w:eastAsia="仿宋" w:cs="仿宋"/>
          <w:color w:val="auto"/>
          <w:sz w:val="30"/>
          <w:szCs w:val="30"/>
        </w:rPr>
      </w:pPr>
    </w:p>
    <w:p>
      <w:pPr>
        <w:pStyle w:val="32"/>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采 购 人：</w:t>
      </w:r>
      <w:r>
        <w:rPr>
          <w:rFonts w:hint="eastAsia" w:ascii="仿宋" w:hAnsi="仿宋" w:eastAsia="仿宋" w:cs="仿宋"/>
          <w:color w:val="auto"/>
          <w:sz w:val="30"/>
          <w:szCs w:val="30"/>
          <w:u w:val="single"/>
        </w:rPr>
        <w:t>湖州市吴兴区公用事业管理中心（盖章）</w:t>
      </w:r>
    </w:p>
    <w:p>
      <w:pPr>
        <w:pStyle w:val="32"/>
        <w:spacing w:line="360" w:lineRule="auto"/>
        <w:rPr>
          <w:rFonts w:ascii="仿宋" w:hAnsi="仿宋" w:eastAsia="仿宋" w:cs="仿宋"/>
          <w:color w:val="auto"/>
          <w:sz w:val="30"/>
          <w:szCs w:val="30"/>
          <w:u w:val="single"/>
        </w:rPr>
      </w:pPr>
    </w:p>
    <w:p>
      <w:pPr>
        <w:pStyle w:val="32"/>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u w:val="single"/>
        </w:rPr>
        <w:t>杭州建业造价工程师事务所有限公司（盖章）</w:t>
      </w: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p>
    <w:p>
      <w:pPr>
        <w:pStyle w:val="32"/>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二○二三年二月</w:t>
      </w:r>
    </w:p>
    <w:p>
      <w:pPr>
        <w:pStyle w:val="32"/>
        <w:spacing w:line="360" w:lineRule="auto"/>
        <w:jc w:val="center"/>
        <w:rPr>
          <w:rFonts w:ascii="仿宋" w:hAnsi="仿宋" w:eastAsia="仿宋" w:cs="仿宋"/>
          <w:color w:val="auto"/>
          <w:sz w:val="28"/>
          <w:szCs w:val="28"/>
        </w:rPr>
      </w:pPr>
    </w:p>
    <w:sdt>
      <w:sdtPr>
        <w:rPr>
          <w:rFonts w:hint="eastAsia" w:ascii="仿宋" w:hAnsi="仿宋" w:eastAsia="仿宋" w:cs="仿宋"/>
          <w:sz w:val="32"/>
          <w:szCs w:val="32"/>
        </w:rPr>
        <w:id w:val="147459969"/>
        <w:docPartObj>
          <w:docPartGallery w:val="Table of Contents"/>
          <w:docPartUnique/>
        </w:docPartObj>
      </w:sdtPr>
      <w:sdtEndPr>
        <w:rPr>
          <w:rFonts w:hint="eastAsia" w:ascii="Times New Roman" w:hAnsi="Times New Roman" w:eastAsia="楷体_GB2312" w:cs="Times New Roman"/>
          <w:sz w:val="21"/>
          <w:szCs w:val="24"/>
        </w:rPr>
      </w:sdtEndPr>
      <w:sdtContent>
        <w:p>
          <w:pPr>
            <w:jc w:val="center"/>
            <w:rPr>
              <w:rFonts w:ascii="仿宋" w:hAnsi="仿宋" w:eastAsia="仿宋" w:cs="仿宋"/>
              <w:sz w:val="32"/>
              <w:szCs w:val="32"/>
            </w:rPr>
          </w:pPr>
          <w:bookmarkStart w:id="6" w:name="_Toc738"/>
          <w:bookmarkStart w:id="7" w:name="_Toc18432"/>
          <w:bookmarkStart w:id="8" w:name="_Toc510462676"/>
          <w:bookmarkStart w:id="9" w:name="_Toc11724"/>
        </w:p>
        <w:p>
          <w:pPr>
            <w:jc w:val="center"/>
            <w:rPr>
              <w:rFonts w:ascii="仿宋" w:hAnsi="仿宋" w:eastAsia="仿宋" w:cs="仿宋"/>
              <w:sz w:val="32"/>
              <w:szCs w:val="32"/>
            </w:rPr>
          </w:pPr>
          <w:r>
            <w:rPr>
              <w:rFonts w:hint="eastAsia" w:ascii="仿宋" w:hAnsi="仿宋" w:eastAsia="仿宋" w:cs="仿宋"/>
              <w:sz w:val="32"/>
              <w:szCs w:val="32"/>
            </w:rPr>
            <w:t>目录</w:t>
          </w:r>
        </w:p>
        <w:p>
          <w:pPr>
            <w:pStyle w:val="49"/>
            <w:tabs>
              <w:tab w:val="right" w:leader="dot" w:pos="9412"/>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"_Toc4546" </w:instrText>
          </w:r>
          <w:r>
            <w:fldChar w:fldCharType="separate"/>
          </w:r>
          <w:r>
            <w:rPr>
              <w:rFonts w:hint="eastAsia" w:ascii="仿宋" w:hAnsi="仿宋" w:eastAsia="仿宋" w:cs="仿宋"/>
              <w:sz w:val="24"/>
              <w:szCs w:val="24"/>
            </w:rPr>
            <w:t>第一章  公开招标公告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_Toc4546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"_Toc24776" </w:instrText>
          </w:r>
          <w:r>
            <w:fldChar w:fldCharType="separate"/>
          </w:r>
          <w:r>
            <w:rPr>
              <w:rFonts w:hint="eastAsia" w:ascii="仿宋" w:hAnsi="仿宋" w:eastAsia="仿宋" w:cs="仿宋"/>
              <w:sz w:val="24"/>
              <w:szCs w:val="24"/>
            </w:rPr>
            <w:t>第二章  招标需求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_Toc24776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"_Toc27233" </w:instrText>
          </w:r>
          <w:r>
            <w:fldChar w:fldCharType="separate"/>
          </w:r>
          <w:r>
            <w:rPr>
              <w:rFonts w:hint="eastAsia" w:ascii="仿宋" w:hAnsi="仿宋" w:eastAsia="仿宋" w:cs="仿宋"/>
              <w:sz w:val="24"/>
              <w:szCs w:val="24"/>
            </w:rPr>
            <w:t>第三章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_Toc27233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"_Toc5189" </w:instrText>
          </w:r>
          <w:r>
            <w:fldChar w:fldCharType="separate"/>
          </w:r>
          <w:r>
            <w:rPr>
              <w:rFonts w:hint="eastAsia" w:ascii="仿宋" w:hAnsi="仿宋" w:eastAsia="仿宋" w:cs="仿宋"/>
              <w:sz w:val="24"/>
              <w:szCs w:val="24"/>
            </w:rPr>
            <w:t>第四章 评标办法及评分标准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_Toc5189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"_Toc635" </w:instrText>
          </w:r>
          <w: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_Toc635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spacing w:line="360" w:lineRule="auto"/>
            <w:rPr>
              <w:rFonts w:ascii="仿宋" w:hAnsi="仿宋" w:eastAsia="仿宋" w:cs="仿宋"/>
              <w:sz w:val="24"/>
              <w:szCs w:val="24"/>
            </w:rPr>
          </w:pPr>
          <w:r>
            <w:fldChar w:fldCharType="begin"/>
          </w:r>
          <w:r>
            <w:instrText xml:space="preserve"> HYPERLINK \l "_Toc29795" </w:instrText>
          </w:r>
          <w:r>
            <w:fldChar w:fldCharType="separate"/>
          </w:r>
          <w:r>
            <w:rPr>
              <w:rFonts w:hint="eastAsia" w:ascii="仿宋" w:hAnsi="仿宋" w:eastAsia="仿宋" w:cs="仿宋"/>
              <w:sz w:val="24"/>
              <w:szCs w:val="24"/>
            </w:rPr>
            <w:t>第六章 投标格式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_Toc29795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9"/>
            <w:tabs>
              <w:tab w:val="right" w:leader="dot" w:pos="9412"/>
            </w:tabs>
            <w:rPr>
              <w:rFonts w:ascii="仿宋" w:hAnsi="仿宋" w:eastAsia="仿宋" w:cs="仿宋"/>
              <w:sz w:val="24"/>
              <w:szCs w:val="24"/>
            </w:rPr>
          </w:pPr>
        </w:p>
        <w:p>
          <w:pPr>
            <w:pStyle w:val="12"/>
            <w:ind w:firstLine="480"/>
          </w:pPr>
          <w:r>
            <w:rPr>
              <w:rFonts w:hint="eastAsia" w:ascii="仿宋" w:hAnsi="仿宋" w:eastAsia="仿宋" w:cs="仿宋"/>
              <w:sz w:val="24"/>
            </w:rPr>
            <w:fldChar w:fldCharType="end"/>
          </w:r>
        </w:p>
      </w:sdtContent>
    </w:sdt>
    <w:p>
      <w:pPr>
        <w:pStyle w:val="3"/>
        <w:spacing w:line="360" w:lineRule="auto"/>
        <w:rPr>
          <w:rFonts w:ascii="仿宋" w:hAnsi="仿宋" w:eastAsia="仿宋" w:cs="仿宋"/>
          <w:sz w:val="32"/>
        </w:rPr>
        <w:sectPr>
          <w:headerReference r:id="rId4" w:type="first"/>
          <w:headerReference r:id="rId3" w:type="default"/>
          <w:footerReference r:id="rId5" w:type="default"/>
          <w:pgSz w:w="11906" w:h="16838"/>
          <w:pgMar w:top="1134" w:right="1247" w:bottom="1134" w:left="1247" w:header="1134" w:footer="851" w:gutter="0"/>
          <w:pgNumType w:fmt="numberInDash" w:start="1"/>
          <w:cols w:space="720" w:num="1"/>
          <w:titlePg/>
          <w:docGrid w:linePitch="312" w:charSpace="0"/>
        </w:sectPr>
      </w:pPr>
      <w:bookmarkStart w:id="10" w:name="_Toc4546"/>
    </w:p>
    <w:p>
      <w:pPr>
        <w:pStyle w:val="3"/>
        <w:spacing w:line="360" w:lineRule="auto"/>
        <w:rPr>
          <w:rFonts w:ascii="仿宋" w:hAnsi="仿宋" w:eastAsia="仿宋" w:cs="仿宋"/>
          <w:sz w:val="32"/>
        </w:rPr>
      </w:pPr>
      <w:r>
        <w:rPr>
          <w:rFonts w:hint="eastAsia" w:ascii="仿宋" w:hAnsi="仿宋" w:eastAsia="仿宋" w:cs="仿宋"/>
          <w:sz w:val="32"/>
        </w:rPr>
        <w:t>第一章   公开招标公告</w:t>
      </w:r>
      <w:bookmarkEnd w:id="6"/>
      <w:bookmarkEnd w:id="7"/>
      <w:bookmarkEnd w:id="8"/>
      <w:bookmarkEnd w:id="9"/>
      <w:bookmarkEnd w:id="10"/>
    </w:p>
    <w:p>
      <w:pPr>
        <w:pStyle w:val="32"/>
        <w:spacing w:beforeLines="50" w:afterLines="50" w:line="360" w:lineRule="auto"/>
        <w:ind w:firstLine="480" w:firstLineChars="200"/>
        <w:rPr>
          <w:rFonts w:ascii="仿宋" w:hAnsi="仿宋" w:eastAsia="仿宋" w:cs="仿宋"/>
          <w:color w:val="auto"/>
        </w:rPr>
      </w:pPr>
      <w:r>
        <w:rPr>
          <w:rFonts w:hint="eastAsia" w:ascii="仿宋" w:hAnsi="仿宋" w:eastAsia="仿宋" w:cs="仿宋"/>
          <w:color w:val="auto"/>
        </w:rPr>
        <w:t>根据《中华人民共和国政府采购法》《政府采购货物和服务招标投标管理办法》及相关法律、法规等规定，经湖州市吴兴区财政局(财政审批号：</w:t>
      </w:r>
      <w:r>
        <w:rPr>
          <w:rFonts w:hint="eastAsia" w:ascii="仿宋" w:hAnsi="仿宋" w:eastAsia="仿宋" w:cs="仿宋"/>
          <w:color w:val="auto"/>
          <w:lang w:eastAsia="zh-CN"/>
        </w:rPr>
        <w:t>临[2023]892号</w:t>
      </w:r>
      <w:r>
        <w:rPr>
          <w:rFonts w:hint="eastAsia" w:ascii="仿宋" w:hAnsi="仿宋" w:eastAsia="仿宋" w:cs="仿宋"/>
          <w:color w:val="auto"/>
        </w:rPr>
        <w:t>)批准，</w:t>
      </w:r>
      <w:r>
        <w:rPr>
          <w:rFonts w:hint="eastAsia" w:ascii="仿宋" w:hAnsi="仿宋" w:eastAsia="仿宋" w:cs="仿宋"/>
          <w:color w:val="auto"/>
          <w:u w:val="single"/>
        </w:rPr>
        <w:t>杭州建业造价工程师事务所有限公司</w:t>
      </w:r>
      <w:r>
        <w:rPr>
          <w:rFonts w:hint="eastAsia" w:ascii="仿宋" w:hAnsi="仿宋" w:eastAsia="仿宋" w:cs="仿宋"/>
          <w:color w:val="auto"/>
        </w:rPr>
        <w:t>受</w:t>
      </w:r>
      <w:r>
        <w:rPr>
          <w:rFonts w:hint="eastAsia" w:ascii="仿宋" w:hAnsi="仿宋" w:eastAsia="仿宋" w:cs="仿宋"/>
          <w:color w:val="auto"/>
          <w:u w:val="single"/>
        </w:rPr>
        <w:t>湖州市吴兴区公用事业管理中心</w:t>
      </w:r>
      <w:r>
        <w:rPr>
          <w:rFonts w:hint="eastAsia" w:ascii="仿宋" w:hAnsi="仿宋" w:eastAsia="仿宋" w:cs="仿宋"/>
          <w:color w:val="auto"/>
        </w:rPr>
        <w:t>委托，现就</w:t>
      </w:r>
      <w:r>
        <w:rPr>
          <w:rFonts w:hint="eastAsia" w:ascii="仿宋" w:hAnsi="仿宋" w:eastAsia="仿宋" w:cs="仿宋"/>
          <w:color w:val="auto"/>
          <w:u w:val="single"/>
        </w:rPr>
        <w:t>雨污水管网维护及应急处置项目</w:t>
      </w:r>
      <w:r>
        <w:rPr>
          <w:rFonts w:hint="eastAsia" w:ascii="仿宋" w:hAnsi="仿宋" w:eastAsia="仿宋" w:cs="仿宋"/>
          <w:color w:val="auto"/>
        </w:rPr>
        <w:t>进行公开招标采购，欢迎中华人民共和国境内的合格投标人前来参加投标。</w:t>
      </w:r>
    </w:p>
    <w:p>
      <w:pPr>
        <w:numPr>
          <w:ilvl w:val="0"/>
          <w:numId w:val="1"/>
        </w:num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JYFGS2023-003</w:t>
      </w:r>
    </w:p>
    <w:p>
      <w:pPr>
        <w:numPr>
          <w:ilvl w:val="0"/>
          <w:numId w:val="1"/>
        </w:numPr>
        <w:spacing w:line="360" w:lineRule="auto"/>
        <w:ind w:firstLine="482" w:firstLineChars="200"/>
        <w:rPr>
          <w:rFonts w:ascii="仿宋" w:hAnsi="仿宋" w:eastAsia="仿宋" w:cs="仿宋"/>
          <w:sz w:val="24"/>
        </w:rPr>
      </w:pPr>
      <w:r>
        <w:rPr>
          <w:rFonts w:hint="eastAsia" w:ascii="仿宋" w:hAnsi="仿宋" w:eastAsia="仿宋" w:cs="仿宋"/>
          <w:b/>
          <w:sz w:val="24"/>
        </w:rPr>
        <w:t>采购组织类型：</w:t>
      </w:r>
      <w:r>
        <w:rPr>
          <w:rFonts w:hint="eastAsia" w:ascii="仿宋" w:hAnsi="仿宋" w:eastAsia="仿宋" w:cs="仿宋"/>
          <w:sz w:val="24"/>
        </w:rPr>
        <w:t>分散采购委托代理</w:t>
      </w:r>
    </w:p>
    <w:p>
      <w:pPr>
        <w:spacing w:line="360" w:lineRule="auto"/>
        <w:ind w:firstLine="482" w:firstLineChars="200"/>
        <w:rPr>
          <w:rFonts w:ascii="仿宋" w:hAnsi="仿宋" w:eastAsia="仿宋" w:cs="仿宋"/>
          <w:sz w:val="24"/>
        </w:rPr>
      </w:pPr>
      <w:r>
        <w:rPr>
          <w:rFonts w:hint="eastAsia" w:ascii="仿宋" w:hAnsi="仿宋" w:eastAsia="仿宋" w:cs="仿宋"/>
          <w:b/>
          <w:sz w:val="24"/>
        </w:rPr>
        <w:t>三、采购方式：</w:t>
      </w:r>
      <w:r>
        <w:rPr>
          <w:rFonts w:hint="eastAsia" w:ascii="仿宋" w:hAnsi="仿宋" w:eastAsia="仿宋" w:cs="仿宋"/>
          <w:sz w:val="24"/>
        </w:rPr>
        <w:t>公开招标</w:t>
      </w:r>
    </w:p>
    <w:p>
      <w:pPr>
        <w:spacing w:line="360" w:lineRule="auto"/>
        <w:ind w:firstLine="482" w:firstLineChars="200"/>
        <w:rPr>
          <w:rFonts w:ascii="仿宋" w:hAnsi="仿宋" w:eastAsia="仿宋" w:cs="仿宋"/>
          <w:sz w:val="24"/>
        </w:rPr>
      </w:pPr>
      <w:r>
        <w:rPr>
          <w:rFonts w:hint="eastAsia" w:ascii="仿宋" w:hAnsi="仿宋" w:eastAsia="仿宋" w:cs="仿宋"/>
          <w:b/>
          <w:sz w:val="24"/>
        </w:rPr>
        <w:t>四、招标项目概况</w:t>
      </w:r>
      <w:r>
        <w:rPr>
          <w:rFonts w:hint="eastAsia" w:ascii="仿宋" w:hAnsi="仿宋" w:eastAsia="仿宋" w:cs="仿宋"/>
          <w:sz w:val="24"/>
        </w:rPr>
        <w:t>（内容、数量等）:</w:t>
      </w:r>
    </w:p>
    <w:tbl>
      <w:tblPr>
        <w:tblStyle w:val="22"/>
        <w:tblW w:w="9576" w:type="dxa"/>
        <w:jc w:val="center"/>
        <w:tblLayout w:type="autofit"/>
        <w:tblCellMar>
          <w:top w:w="0" w:type="dxa"/>
          <w:left w:w="10" w:type="dxa"/>
          <w:bottom w:w="0" w:type="dxa"/>
          <w:right w:w="10" w:type="dxa"/>
        </w:tblCellMar>
      </w:tblPr>
      <w:tblGrid>
        <w:gridCol w:w="604"/>
        <w:gridCol w:w="3164"/>
        <w:gridCol w:w="749"/>
        <w:gridCol w:w="1895"/>
        <w:gridCol w:w="1965"/>
        <w:gridCol w:w="1199"/>
      </w:tblGrid>
      <w:tr>
        <w:tblPrEx>
          <w:tblCellMar>
            <w:top w:w="0" w:type="dxa"/>
            <w:left w:w="10" w:type="dxa"/>
            <w:bottom w:w="0" w:type="dxa"/>
            <w:right w:w="10" w:type="dxa"/>
          </w:tblCellMar>
        </w:tblPrEx>
        <w:trPr>
          <w:trHeight w:val="889"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序号</w:t>
            </w:r>
          </w:p>
        </w:tc>
        <w:tc>
          <w:tcPr>
            <w:tcW w:w="3164"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项目名称</w:t>
            </w:r>
          </w:p>
        </w:tc>
        <w:tc>
          <w:tcPr>
            <w:tcW w:w="749"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数量</w:t>
            </w:r>
          </w:p>
        </w:tc>
        <w:tc>
          <w:tcPr>
            <w:tcW w:w="0" w:type="auto"/>
            <w:tcBorders>
              <w:top w:val="single" w:color="auto" w:sz="6" w:space="0"/>
              <w:left w:val="single" w:color="auto" w:sz="6" w:space="0"/>
              <w:bottom w:val="single" w:color="auto" w:sz="4" w:space="0"/>
              <w:right w:val="single" w:color="auto" w:sz="4"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内容</w:t>
            </w:r>
          </w:p>
        </w:tc>
        <w:tc>
          <w:tcPr>
            <w:tcW w:w="0" w:type="auto"/>
            <w:tcBorders>
              <w:top w:val="single" w:color="auto" w:sz="6"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预算金额（万元）</w:t>
            </w:r>
          </w:p>
        </w:tc>
        <w:tc>
          <w:tcPr>
            <w:tcW w:w="1199" w:type="dxa"/>
            <w:tcBorders>
              <w:top w:val="single" w:color="auto" w:sz="6"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服务期限</w:t>
            </w:r>
          </w:p>
        </w:tc>
      </w:tr>
      <w:tr>
        <w:tblPrEx>
          <w:tblCellMar>
            <w:top w:w="0" w:type="dxa"/>
            <w:left w:w="10" w:type="dxa"/>
            <w:bottom w:w="0" w:type="dxa"/>
            <w:right w:w="10" w:type="dxa"/>
          </w:tblCellMar>
        </w:tblPrEx>
        <w:trPr>
          <w:trHeight w:val="1071"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sz w:val="24"/>
              </w:rPr>
            </w:pPr>
            <w:r>
              <w:rPr>
                <w:rFonts w:ascii="仿宋" w:hAnsi="仿宋" w:eastAsia="仿宋"/>
                <w:sz w:val="24"/>
              </w:rPr>
              <w:t>1</w:t>
            </w:r>
          </w:p>
        </w:tc>
        <w:tc>
          <w:tcPr>
            <w:tcW w:w="3164"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2"/>
              <w:jc w:val="center"/>
              <w:rPr>
                <w:rFonts w:ascii="仿宋" w:hAnsi="仿宋" w:eastAsia="仿宋"/>
                <w:sz w:val="24"/>
              </w:rPr>
            </w:pPr>
            <w:r>
              <w:rPr>
                <w:rFonts w:hint="eastAsia" w:ascii="仿宋" w:hAnsi="仿宋" w:eastAsia="仿宋"/>
                <w:b/>
                <w:sz w:val="24"/>
                <w:u w:val="single"/>
              </w:rPr>
              <w:t>雨污水管网维护及应急处置项目</w:t>
            </w:r>
          </w:p>
        </w:tc>
        <w:tc>
          <w:tcPr>
            <w:tcW w:w="7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right="62"/>
              <w:jc w:val="center"/>
              <w:rPr>
                <w:rFonts w:ascii="仿宋" w:hAnsi="仿宋" w:eastAsia="仿宋"/>
                <w:sz w:val="24"/>
              </w:rPr>
            </w:pPr>
            <w:r>
              <w:rPr>
                <w:rFonts w:hint="eastAsia" w:ascii="仿宋" w:hAnsi="仿宋" w:eastAsia="仿宋"/>
                <w:sz w:val="24"/>
              </w:rPr>
              <w:t>1项</w:t>
            </w:r>
          </w:p>
        </w:tc>
        <w:tc>
          <w:tcPr>
            <w:tcW w:w="0" w:type="auto"/>
            <w:tcBorders>
              <w:top w:val="single" w:color="auto" w:sz="6" w:space="0"/>
              <w:left w:val="single" w:color="auto" w:sz="6" w:space="0"/>
              <w:bottom w:val="single" w:color="auto" w:sz="6" w:space="0"/>
              <w:right w:val="single" w:color="auto" w:sz="4" w:space="0"/>
            </w:tcBorders>
            <w:vAlign w:val="center"/>
          </w:tcPr>
          <w:p>
            <w:pPr>
              <w:widowControl/>
              <w:spacing w:line="360" w:lineRule="auto"/>
              <w:ind w:right="62"/>
              <w:jc w:val="center"/>
              <w:rPr>
                <w:rFonts w:ascii="仿宋" w:hAnsi="仿宋" w:eastAsia="仿宋"/>
                <w:sz w:val="24"/>
              </w:rPr>
            </w:pPr>
            <w:r>
              <w:rPr>
                <w:rFonts w:hint="eastAsia" w:ascii="仿宋" w:hAnsi="仿宋" w:eastAsia="仿宋"/>
                <w:sz w:val="24"/>
              </w:rPr>
              <w:t>详见招标文件要求</w:t>
            </w:r>
          </w:p>
        </w:tc>
        <w:tc>
          <w:tcPr>
            <w:tcW w:w="0" w:type="auto"/>
            <w:tcBorders>
              <w:top w:val="single" w:color="auto" w:sz="6" w:space="0"/>
              <w:left w:val="single" w:color="auto" w:sz="4" w:space="0"/>
              <w:bottom w:val="single" w:color="auto" w:sz="6" w:space="0"/>
              <w:right w:val="single" w:color="auto" w:sz="4" w:space="0"/>
            </w:tcBorders>
            <w:vAlign w:val="center"/>
          </w:tcPr>
          <w:p>
            <w:pPr>
              <w:spacing w:line="360" w:lineRule="auto"/>
              <w:ind w:right="62"/>
              <w:jc w:val="center"/>
              <w:rPr>
                <w:rFonts w:ascii="仿宋" w:hAnsi="仿宋" w:eastAsia="仿宋"/>
                <w:sz w:val="24"/>
              </w:rPr>
            </w:pPr>
            <w:r>
              <w:rPr>
                <w:rFonts w:hint="eastAsia" w:ascii="仿宋" w:hAnsi="仿宋" w:eastAsia="仿宋"/>
                <w:sz w:val="24"/>
              </w:rPr>
              <w:t>500万元</w:t>
            </w:r>
          </w:p>
        </w:tc>
        <w:tc>
          <w:tcPr>
            <w:tcW w:w="1199" w:type="dxa"/>
            <w:tcBorders>
              <w:top w:val="single" w:color="auto" w:sz="6" w:space="0"/>
              <w:left w:val="single" w:color="auto" w:sz="4" w:space="0"/>
              <w:bottom w:val="single" w:color="auto" w:sz="6" w:space="0"/>
              <w:right w:val="single" w:color="auto" w:sz="4" w:space="0"/>
            </w:tcBorders>
            <w:vAlign w:val="center"/>
          </w:tcPr>
          <w:p>
            <w:pPr>
              <w:spacing w:line="360" w:lineRule="auto"/>
              <w:ind w:right="62"/>
              <w:jc w:val="center"/>
              <w:rPr>
                <w:rFonts w:ascii="仿宋" w:hAnsi="仿宋" w:eastAsia="仿宋"/>
                <w:sz w:val="24"/>
              </w:rPr>
            </w:pPr>
            <w:r>
              <w:rPr>
                <w:rFonts w:hint="eastAsia" w:ascii="仿宋" w:hAnsi="仿宋" w:eastAsia="仿宋"/>
                <w:sz w:val="24"/>
              </w:rPr>
              <w:t>2年</w:t>
            </w:r>
          </w:p>
        </w:tc>
      </w:tr>
    </w:tbl>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outlineLvl w:val="1"/>
        <w:rPr>
          <w:rFonts w:ascii="仿宋" w:hAnsi="仿宋" w:eastAsia="仿宋" w:cs="仿宋"/>
          <w:color w:val="auto"/>
          <w:sz w:val="24"/>
        </w:rPr>
      </w:pPr>
      <w:bookmarkStart w:id="11" w:name="_Toc25785"/>
      <w:r>
        <w:rPr>
          <w:rFonts w:hint="eastAsia" w:ascii="仿宋" w:hAnsi="仿宋" w:eastAsia="仿宋" w:cs="仿宋"/>
          <w:color w:val="auto"/>
          <w:sz w:val="24"/>
        </w:rPr>
        <w:t>2、本项目接受联合体投标，联合体成员总数不得超过2家且联合体各方不得再单独参</w:t>
      </w:r>
    </w:p>
    <w:p>
      <w:pPr>
        <w:spacing w:line="360" w:lineRule="auto"/>
        <w:outlineLvl w:val="1"/>
        <w:rPr>
          <w:rFonts w:ascii="仿宋" w:hAnsi="仿宋" w:eastAsia="仿宋" w:cs="仿宋"/>
          <w:color w:val="auto"/>
          <w:sz w:val="24"/>
        </w:rPr>
      </w:pPr>
      <w:r>
        <w:rPr>
          <w:rFonts w:hint="eastAsia" w:ascii="仿宋" w:hAnsi="仿宋" w:eastAsia="仿宋" w:cs="仿宋"/>
          <w:color w:val="auto"/>
          <w:sz w:val="24"/>
        </w:rPr>
        <w:t>加或者与其他供应商另外组成联合体参加本项目采购活动，联合体协议中由供应商自行约定联合体牵头人及联合体成员单位。</w:t>
      </w:r>
      <w:bookmarkEnd w:id="11"/>
    </w:p>
    <w:p>
      <w:pPr>
        <w:widowControl/>
        <w:autoSpaceDE w:val="0"/>
        <w:autoSpaceDN w:val="0"/>
        <w:spacing w:before="75" w:after="75" w:line="360" w:lineRule="auto"/>
        <w:ind w:firstLine="480" w:firstLineChars="200"/>
        <w:rPr>
          <w:rFonts w:ascii="仿宋" w:hAnsi="仿宋" w:eastAsia="仿宋" w:cs="仿宋"/>
          <w:sz w:val="24"/>
        </w:rPr>
      </w:pPr>
      <w:r>
        <w:rPr>
          <w:rFonts w:hint="eastAsia" w:ascii="仿宋" w:hAnsi="仿宋" w:eastAsia="仿宋" w:cs="仿宋"/>
          <w:sz w:val="24"/>
        </w:rPr>
        <w:t>投标人特别条件：</w:t>
      </w:r>
    </w:p>
    <w:p>
      <w:pPr>
        <w:widowControl/>
        <w:numPr>
          <w:ilvl w:val="0"/>
          <w:numId w:val="2"/>
        </w:numPr>
        <w:autoSpaceDE w:val="0"/>
        <w:autoSpaceDN w:val="0"/>
        <w:spacing w:before="75" w:after="75" w:line="360" w:lineRule="auto"/>
        <w:ind w:firstLine="480"/>
        <w:rPr>
          <w:rFonts w:ascii="仿宋" w:hAnsi="仿宋" w:eastAsia="仿宋"/>
          <w:sz w:val="24"/>
        </w:rPr>
      </w:pPr>
      <w:r>
        <w:rPr>
          <w:rFonts w:hint="eastAsia" w:ascii="仿宋" w:hAnsi="仿宋" w:eastAsia="仿宋"/>
          <w:sz w:val="24"/>
        </w:rPr>
        <w:t>投标人须具有市政公用工程施工总承包三级及以上资质并具备完成地下管道</w:t>
      </w:r>
      <w:r>
        <w:rPr>
          <w:rFonts w:hint="eastAsia" w:ascii="仿宋" w:hAnsi="仿宋" w:eastAsia="仿宋"/>
          <w:sz w:val="24"/>
          <w:highlight w:val="none"/>
        </w:rPr>
        <w:t>检测修复</w:t>
      </w:r>
      <w:r>
        <w:rPr>
          <w:rFonts w:hint="eastAsia" w:ascii="仿宋" w:hAnsi="仿宋" w:eastAsia="仿宋"/>
          <w:sz w:val="24"/>
        </w:rPr>
        <w:t>服务的能力(提供相应的证书或证明材料并加盖公章)。(浙江省外企业须提供有效的进浙备案证明)</w:t>
      </w:r>
    </w:p>
    <w:p>
      <w:pPr>
        <w:widowControl/>
        <w:numPr>
          <w:ilvl w:val="0"/>
          <w:numId w:val="2"/>
        </w:numPr>
        <w:autoSpaceDE w:val="0"/>
        <w:autoSpaceDN w:val="0"/>
        <w:spacing w:before="75" w:after="75" w:line="360" w:lineRule="auto"/>
        <w:ind w:firstLine="480"/>
        <w:rPr>
          <w:rFonts w:ascii="仿宋" w:hAnsi="仿宋" w:eastAsia="仿宋" w:cs="仿宋"/>
          <w:b/>
          <w:sz w:val="24"/>
        </w:rPr>
      </w:pPr>
      <w:r>
        <w:rPr>
          <w:rFonts w:hint="eastAsia" w:ascii="仿宋" w:hAnsi="仿宋" w:eastAsia="仿宋"/>
          <w:sz w:val="24"/>
        </w:rPr>
        <w:t>本项目专门面向中小企业采购，供应商需提供符合《政府采购促进中小企业发展管理办法》（财库【2020】46号）和本采购文件规定的《中小企业声明函》。</w:t>
      </w:r>
    </w:p>
    <w:p>
      <w:pPr>
        <w:widowControl/>
        <w:autoSpaceDE w:val="0"/>
        <w:autoSpaceDN w:val="0"/>
        <w:spacing w:before="75" w:after="75" w:line="360" w:lineRule="auto"/>
        <w:ind w:firstLine="241" w:firstLineChars="100"/>
        <w:rPr>
          <w:rFonts w:ascii="仿宋" w:hAnsi="仿宋" w:eastAsia="仿宋" w:cs="仿宋"/>
          <w:b/>
          <w:sz w:val="24"/>
        </w:rPr>
      </w:pPr>
      <w:r>
        <w:rPr>
          <w:rFonts w:hint="eastAsia" w:ascii="仿宋" w:hAnsi="仿宋" w:eastAsia="仿宋" w:cs="仿宋"/>
          <w:b/>
          <w:sz w:val="24"/>
        </w:rPr>
        <w:t xml:space="preserve">六、招标文件的获取: </w:t>
      </w:r>
    </w:p>
    <w:p>
      <w:pPr>
        <w:spacing w:line="360" w:lineRule="auto"/>
        <w:ind w:firstLine="480" w:firstLineChars="200"/>
        <w:rPr>
          <w:rFonts w:ascii="仿宋" w:hAnsi="仿宋" w:eastAsia="仿宋" w:cs="仿宋"/>
          <w:sz w:val="24"/>
        </w:rPr>
      </w:pPr>
      <w:bookmarkStart w:id="12" w:name="_Toc130094905"/>
      <w:bookmarkStart w:id="13" w:name="_Toc8034"/>
      <w:bookmarkStart w:id="14" w:name="_Toc98731748"/>
      <w:r>
        <w:rPr>
          <w:rFonts w:hint="eastAsia" w:ascii="仿宋" w:hAnsi="仿宋" w:eastAsia="仿宋" w:cs="仿宋"/>
          <w:sz w:val="24"/>
        </w:rPr>
        <w:t>1、获取招标文件时间：</w:t>
      </w:r>
      <w:r>
        <w:rPr>
          <w:rFonts w:hint="eastAsia" w:ascii="仿宋" w:hAnsi="仿宋" w:eastAsia="仿宋" w:cs="仿宋"/>
          <w:sz w:val="24"/>
          <w:highlight w:val="none"/>
        </w:rPr>
        <w:t>/至2023年</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日</w:t>
      </w:r>
      <w:r>
        <w:rPr>
          <w:rFonts w:hint="eastAsia" w:ascii="仿宋" w:hAnsi="仿宋" w:eastAsia="仿宋" w:cs="仿宋"/>
          <w:sz w:val="24"/>
        </w:rPr>
        <w:t>(潜在投标人获取采购文件前应当在电子交易平台上注册账号并登录，截止时间后不再接受潜在投标人获取采购文件)。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本项目招标文件实行网上获取，不在接受投标人现场报名。投标人登录浙江政府采购网（http://zfcg.czt.zj.gov.cn/)进入政采云系统“项目采购”模块“获取采购文件”菜单，进行网上获取招标文件。（“政采云”注册账号、密码登录系统后获取采购文件）。</w:t>
      </w:r>
    </w:p>
    <w:p>
      <w:pPr>
        <w:spacing w:line="360" w:lineRule="auto"/>
        <w:ind w:firstLine="480" w:firstLineChars="200"/>
        <w:rPr>
          <w:rFonts w:ascii="仿宋" w:hAnsi="仿宋" w:eastAsia="仿宋" w:cs="仿宋"/>
          <w:sz w:val="24"/>
        </w:rPr>
      </w:pPr>
      <w:r>
        <w:rPr>
          <w:rFonts w:hint="eastAsia" w:ascii="仿宋" w:hAnsi="仿宋" w:eastAsia="仿宋" w:cs="仿宋"/>
          <w:sz w:val="24"/>
        </w:rPr>
        <w:t>3、免费注册网址：浙江政府采购网（投标人注册页面）:https://middle.zcygov.cn/“政采云”，咨询电话：400-881-7190。已经注册成功的投标人无需重复注册。</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rPr>
        <w:t>七、投标文件的递交及相关事宜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1、投标文件递交的截止时间（投标截止时间，下同）为2023年</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0时（北京时间）。</w:t>
      </w:r>
    </w:p>
    <w:p>
      <w:pPr>
        <w:spacing w:line="360" w:lineRule="auto"/>
        <w:ind w:firstLine="480" w:firstLineChars="200"/>
        <w:jc w:val="left"/>
        <w:outlineLvl w:val="1"/>
        <w:rPr>
          <w:rFonts w:ascii="仿宋" w:hAnsi="仿宋" w:eastAsia="仿宋" w:cs="仿宋"/>
          <w:sz w:val="24"/>
          <w:highlight w:val="none"/>
        </w:rPr>
      </w:pPr>
      <w:bookmarkStart w:id="15" w:name="_Toc26366"/>
      <w:r>
        <w:rPr>
          <w:rFonts w:hint="eastAsia" w:ascii="仿宋" w:hAnsi="仿宋" w:eastAsia="仿宋" w:cs="仿宋"/>
          <w:sz w:val="24"/>
          <w:highlight w:val="none"/>
        </w:rPr>
        <w:t>2、投标文件递交方式：</w:t>
      </w:r>
      <w:bookmarkEnd w:id="15"/>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(1)电子投标文件：按政采云平台项目采购-电子交易操作指南及本招标文件要求递交。投标人应于2023年</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0时(北京时间）前将加密的电子版投标文件上传到政采云系统中（不准时上传视为不参加）。</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kern w:val="0"/>
          <w:sz w:val="24"/>
        </w:rPr>
        <w:t>递交方式：</w:t>
      </w:r>
      <w:r>
        <w:rPr>
          <w:rFonts w:hint="eastAsia" w:ascii="仿宋" w:hAnsi="仿宋" w:eastAsia="仿宋" w:cs="仿宋"/>
          <w:kern w:val="0"/>
          <w:sz w:val="24"/>
        </w:rPr>
        <w:t>因疫情原因，数据电子备份投标文件（U盘）应通过邮寄快递方式送达，邮寄地址为：杭州建业造价工程师事务所有限公司[</w:t>
      </w:r>
      <w:r>
        <w:rPr>
          <w:rFonts w:hint="eastAsia" w:ascii="仿宋" w:hAnsi="仿宋" w:eastAsia="仿宋" w:cs="仿宋"/>
          <w:sz w:val="24"/>
        </w:rPr>
        <w:t>湖州市清远路409号华成时代大厦4层405</w:t>
      </w:r>
      <w:r>
        <w:rPr>
          <w:rFonts w:hint="eastAsia" w:ascii="仿宋" w:hAnsi="仿宋" w:eastAsia="仿宋" w:cs="仿宋"/>
          <w:kern w:val="0"/>
          <w:sz w:val="24"/>
        </w:rPr>
        <w:t>]，联系人：杨中成，联系电话：15868280407。邮寄截止时间：投标人应于2023年</w:t>
      </w:r>
      <w:r>
        <w:rPr>
          <w:rFonts w:hint="eastAsia" w:ascii="仿宋" w:hAnsi="仿宋" w:eastAsia="仿宋" w:cs="仿宋"/>
          <w:kern w:val="0"/>
          <w:sz w:val="24"/>
          <w:lang w:val="en-US" w:eastAsia="zh-CN"/>
        </w:rPr>
        <w:t>3</w:t>
      </w:r>
      <w:r>
        <w:rPr>
          <w:rFonts w:hint="eastAsia" w:ascii="仿宋" w:hAnsi="仿宋" w:eastAsia="仿宋" w:cs="仿宋"/>
          <w:kern w:val="0"/>
          <w:sz w:val="24"/>
        </w:rPr>
        <w:t>月</w:t>
      </w:r>
      <w:r>
        <w:rPr>
          <w:rFonts w:hint="eastAsia" w:ascii="仿宋" w:hAnsi="仿宋" w:eastAsia="仿宋" w:cs="仿宋"/>
          <w:kern w:val="0"/>
          <w:sz w:val="24"/>
          <w:lang w:val="en-US" w:eastAsia="zh-CN"/>
        </w:rPr>
        <w:t>8</w:t>
      </w:r>
      <w:r>
        <w:rPr>
          <w:rFonts w:hint="eastAsia" w:ascii="仿宋" w:hAnsi="仿宋" w:eastAsia="仿宋" w:cs="仿宋"/>
          <w:kern w:val="0"/>
          <w:sz w:val="24"/>
        </w:rPr>
        <w:t>日1</w:t>
      </w:r>
      <w:r>
        <w:rPr>
          <w:rFonts w:hint="eastAsia" w:ascii="仿宋" w:hAnsi="仿宋" w:eastAsia="仿宋" w:cs="仿宋"/>
          <w:kern w:val="0"/>
          <w:sz w:val="24"/>
          <w:lang w:val="en-US" w:eastAsia="zh-CN"/>
        </w:rPr>
        <w:t>7</w:t>
      </w:r>
      <w:r>
        <w:rPr>
          <w:rFonts w:hint="eastAsia" w:ascii="仿宋" w:hAnsi="仿宋" w:eastAsia="仿宋" w:cs="仿宋"/>
          <w:kern w:val="0"/>
          <w:sz w:val="24"/>
        </w:rPr>
        <w:t>:00时前准时送达。投标人须留足投标文件邮寄时间,确保数据电子备份投标文件（U盘）于规定的时间前送达指定地点，未按时送达的，均按未提供处理。</w:t>
      </w:r>
    </w:p>
    <w:p>
      <w:pPr>
        <w:widowControl/>
        <w:spacing w:line="360" w:lineRule="auto"/>
        <w:ind w:left="44" w:leftChars="21" w:right="60" w:firstLine="482" w:firstLineChars="200"/>
        <w:jc w:val="left"/>
        <w:rPr>
          <w:rFonts w:ascii="仿宋" w:hAnsi="仿宋" w:eastAsia="仿宋" w:cs="仿宋"/>
          <w:kern w:val="0"/>
          <w:sz w:val="24"/>
        </w:rPr>
      </w:pPr>
      <w:r>
        <w:rPr>
          <w:rFonts w:hint="eastAsia" w:ascii="仿宋" w:hAnsi="仿宋" w:eastAsia="仿宋" w:cs="仿宋"/>
          <w:b/>
          <w:kern w:val="0"/>
          <w:sz w:val="24"/>
        </w:rPr>
        <w:t>注：（1）投标人应权衡利弊考虑是否提供数据电子备份投标文件（U盘），采购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p>
      <w:pPr>
        <w:spacing w:line="360" w:lineRule="auto"/>
        <w:ind w:firstLine="480" w:firstLineChars="200"/>
        <w:rPr>
          <w:rFonts w:ascii="仿宋" w:hAnsi="仿宋" w:eastAsia="仿宋" w:cs="仿宋"/>
          <w:sz w:val="24"/>
        </w:rPr>
      </w:pPr>
      <w:r>
        <w:rPr>
          <w:rFonts w:hint="eastAsia" w:ascii="仿宋" w:hAnsi="仿宋" w:eastAsia="仿宋" w:cs="仿宋"/>
          <w:sz w:val="24"/>
        </w:rPr>
        <w:t>3、CA锁解密时间为开标当日投标截止时间后</w:t>
      </w:r>
      <w:r>
        <w:rPr>
          <w:rFonts w:hint="eastAsia" w:ascii="仿宋" w:hAnsi="仿宋" w:eastAsia="仿宋" w:cs="仿宋"/>
          <w:sz w:val="24"/>
          <w:shd w:val="pct10" w:color="auto" w:fill="FFFFFF"/>
        </w:rPr>
        <w:t>30分钟内</w:t>
      </w:r>
      <w:r>
        <w:rPr>
          <w:rFonts w:hint="eastAsia" w:ascii="仿宋" w:hAnsi="仿宋" w:eastAsia="仿宋" w:cs="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pPr>
        <w:spacing w:line="360" w:lineRule="auto"/>
        <w:ind w:firstLine="480" w:firstLineChars="200"/>
        <w:rPr>
          <w:rFonts w:ascii="仿宋" w:hAnsi="仿宋" w:eastAsia="仿宋" w:cs="仿宋"/>
          <w:sz w:val="24"/>
        </w:rPr>
      </w:pPr>
      <w:r>
        <w:rPr>
          <w:rFonts w:hint="eastAsia" w:ascii="仿宋" w:hAnsi="仿宋" w:eastAsia="仿宋" w:cs="仿宋"/>
          <w:sz w:val="24"/>
        </w:rPr>
        <w:t>4、投标人须在线获取CA数字证书（完成CA数字证书办理预计一周左右，建议各投标人自行把握时间）,办理流程详见https://service.zcygov.cn/，并登陆“浙江省政府采购网”（http://zfcg.czt.zj.gov.cn/),进入“下载专区”下载“电子交易客户端”，制作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5、投标人将加密的电子版投标文件于投标截止时间前上传到政采云系统中。</w:t>
      </w:r>
    </w:p>
    <w:p>
      <w:pPr>
        <w:spacing w:line="360" w:lineRule="auto"/>
        <w:ind w:firstLine="480" w:firstLineChars="200"/>
        <w:rPr>
          <w:rFonts w:ascii="仿宋" w:hAnsi="仿宋" w:eastAsia="仿宋" w:cs="仿宋"/>
          <w:sz w:val="24"/>
        </w:rPr>
      </w:pPr>
      <w:r>
        <w:rPr>
          <w:rFonts w:hint="eastAsia" w:ascii="仿宋" w:hAnsi="仿宋" w:eastAsia="仿宋" w:cs="仿宋"/>
          <w:sz w:val="24"/>
        </w:rPr>
        <w:t>6、具体的投标文件加密上传等操作详见政采云平台操作指南。（下载网址：https://service.zcygov.cn）</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八、投标地址：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1、本项目通过“政府采购云平台（www.zcygov.cn）”实行在线投标响应（电子投 </w:t>
      </w:r>
    </w:p>
    <w:p>
      <w:pPr>
        <w:spacing w:line="360" w:lineRule="auto"/>
        <w:rPr>
          <w:rFonts w:ascii="仿宋" w:hAnsi="仿宋" w:eastAsia="仿宋" w:cs="仿宋"/>
          <w:sz w:val="24"/>
        </w:rPr>
      </w:pPr>
      <w:r>
        <w:rPr>
          <w:rFonts w:hint="eastAsia" w:ascii="仿宋" w:hAnsi="仿宋" w:eastAsia="仿宋" w:cs="仿宋"/>
          <w:sz w:val="24"/>
        </w:rPr>
        <w:t xml:space="preserve">标）。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2、投标人应当在投标截止时间前，将生成的文件格式“.jmbs”的“电子加密投标 </w:t>
      </w:r>
    </w:p>
    <w:p>
      <w:pPr>
        <w:spacing w:line="360" w:lineRule="auto"/>
        <w:rPr>
          <w:rFonts w:ascii="仿宋" w:hAnsi="仿宋" w:eastAsia="仿宋" w:cs="仿宋"/>
          <w:sz w:val="24"/>
        </w:rPr>
      </w:pPr>
      <w:r>
        <w:rPr>
          <w:rFonts w:hint="eastAsia" w:ascii="仿宋" w:hAnsi="仿宋" w:eastAsia="仿宋" w:cs="仿宋"/>
          <w:sz w:val="24"/>
        </w:rPr>
        <w:t xml:space="preserve">文件”上传递交至“政府采购云平台”实行在线投标响应。投标截止时间以后上传递交 </w:t>
      </w:r>
    </w:p>
    <w:p>
      <w:pPr>
        <w:spacing w:line="360" w:lineRule="auto"/>
        <w:rPr>
          <w:rFonts w:ascii="仿宋" w:hAnsi="仿宋" w:eastAsia="仿宋" w:cs="仿宋"/>
          <w:sz w:val="24"/>
          <w:highlight w:val="none"/>
        </w:rPr>
      </w:pPr>
      <w:r>
        <w:rPr>
          <w:rFonts w:hint="eastAsia" w:ascii="仿宋" w:hAnsi="仿宋" w:eastAsia="仿宋" w:cs="仿宋"/>
          <w:sz w:val="24"/>
        </w:rPr>
        <w:t>的投标文件将被“政</w:t>
      </w:r>
      <w:r>
        <w:rPr>
          <w:rFonts w:hint="eastAsia" w:ascii="仿宋" w:hAnsi="仿宋" w:eastAsia="仿宋" w:cs="仿宋"/>
          <w:sz w:val="24"/>
          <w:highlight w:val="none"/>
        </w:rPr>
        <w:t xml:space="preserve">府采购云平台”拒收，作未递交投标文件处理。 </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九、开标时间：2023年</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月</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日</w:t>
      </w:r>
      <w:r>
        <w:rPr>
          <w:rFonts w:hint="eastAsia" w:ascii="仿宋" w:hAnsi="仿宋" w:eastAsia="仿宋" w:cs="仿宋"/>
          <w:b/>
          <w:sz w:val="24"/>
          <w:highlight w:val="none"/>
          <w:lang w:val="en-US" w:eastAsia="zh-CN"/>
        </w:rPr>
        <w:t>13</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0时整</w:t>
      </w:r>
    </w:p>
    <w:p>
      <w:pPr>
        <w:spacing w:line="360" w:lineRule="auto"/>
        <w:ind w:firstLine="482" w:firstLineChars="200"/>
        <w:rPr>
          <w:rFonts w:ascii="仿宋" w:hAnsi="仿宋" w:eastAsia="仿宋" w:cs="仿宋"/>
          <w:sz w:val="24"/>
        </w:rPr>
      </w:pPr>
      <w:r>
        <w:rPr>
          <w:rFonts w:hint="eastAsia" w:ascii="仿宋" w:hAnsi="仿宋" w:eastAsia="仿宋" w:cs="仿宋"/>
          <w:b/>
          <w:sz w:val="24"/>
          <w:highlight w:val="none"/>
        </w:rPr>
        <w:t>十、开标地址：</w:t>
      </w:r>
      <w:r>
        <w:rPr>
          <w:rFonts w:hint="eastAsia" w:ascii="仿宋" w:hAnsi="仿宋" w:eastAsia="仿宋" w:cs="仿宋"/>
          <w:bCs/>
          <w:sz w:val="24"/>
          <w:highlight w:val="none"/>
        </w:rPr>
        <w:t>湖州市吴兴区公共资源交易中心</w:t>
      </w:r>
      <w:r>
        <w:rPr>
          <w:rFonts w:hint="eastAsia" w:ascii="仿宋" w:hAnsi="仿宋" w:eastAsia="仿宋" w:cs="仿宋"/>
          <w:bCs/>
          <w:sz w:val="24"/>
          <w:highlight w:val="none"/>
          <w:lang w:val="en-US" w:eastAsia="zh-CN"/>
        </w:rPr>
        <w:t>3号</w:t>
      </w:r>
      <w:r>
        <w:rPr>
          <w:rFonts w:hint="eastAsia" w:ascii="仿宋" w:hAnsi="仿宋" w:eastAsia="仿宋" w:cs="仿宋"/>
          <w:bCs/>
          <w:sz w:val="24"/>
          <w:highlight w:val="none"/>
        </w:rPr>
        <w:t>开标室（</w:t>
      </w:r>
      <w:r>
        <w:rPr>
          <w:rFonts w:hint="eastAsia" w:ascii="仿宋" w:hAnsi="仿宋" w:eastAsia="仿宋" w:cs="仿宋"/>
          <w:bCs/>
          <w:sz w:val="24"/>
        </w:rPr>
        <w:t>湖州市吴兴区区府路1188号总部自由港E幢）</w:t>
      </w:r>
      <w:r>
        <w:rPr>
          <w:rFonts w:hint="eastAsia" w:ascii="仿宋" w:hAnsi="仿宋" w:eastAsia="仿宋" w:cs="仿宋"/>
          <w:sz w:val="24"/>
        </w:rPr>
        <w:t xml:space="preserve"> ，投标人应在投标截止时间前登入“政府采购云平台（www.zcygov.cn）”在线参与开标，并完成 CA 锁在线解密投标文件等相关工作。 </w:t>
      </w:r>
    </w:p>
    <w:p>
      <w:pPr>
        <w:spacing w:line="360" w:lineRule="auto"/>
        <w:ind w:firstLine="482" w:firstLineChars="200"/>
        <w:rPr>
          <w:rFonts w:ascii="仿宋" w:hAnsi="仿宋" w:eastAsia="仿宋" w:cs="仿宋"/>
          <w:sz w:val="24"/>
        </w:rPr>
      </w:pPr>
      <w:r>
        <w:rPr>
          <w:rFonts w:hint="eastAsia" w:ascii="仿宋" w:hAnsi="仿宋" w:eastAsia="仿宋" w:cs="仿宋"/>
          <w:b/>
          <w:sz w:val="24"/>
        </w:rPr>
        <w:t>十一、其他事项：</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锁，投标人在使用系统进行投标的过程中遇到涉及平台使用的任何问题，可致电政采云平台技术支持热线咨询，联系方式：400-881-7190。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3、潜在投标人已依法获取其可质疑的招标文件，可以对该文件提出质疑。未按照规定方式依法获取招标文件的，不得对招标文件提起质疑投诉。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4、答疑内容是招标文件的组成部分，并将在网上发布补充（答疑、澄清）文件，潜在投标人应自行关注网站公告，采购人不再一一通知，投标人因自身贻误行为导致投标失效的，责任自负。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7、本项目是否专门面向中小企业采购：是。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8、本项目公告发布网站：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浙江政府采购网：http://zfcg.czt.zj.gov.cn/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湖州市公共资源交易网：http://ggzyjy.huzhou.gov.cn/</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十二、联系方式：</w:t>
      </w:r>
    </w:p>
    <w:p>
      <w:pPr>
        <w:spacing w:line="360" w:lineRule="auto"/>
        <w:ind w:firstLine="480" w:firstLineChars="200"/>
        <w:outlineLvl w:val="1"/>
        <w:rPr>
          <w:rFonts w:ascii="仿宋" w:hAnsi="仿宋" w:eastAsia="仿宋" w:cs="仿宋"/>
          <w:sz w:val="24"/>
        </w:rPr>
      </w:pPr>
      <w:bookmarkStart w:id="16" w:name="_Toc23042"/>
      <w:r>
        <w:rPr>
          <w:rFonts w:hint="eastAsia" w:ascii="仿宋" w:hAnsi="仿宋" w:eastAsia="仿宋" w:cs="仿宋"/>
          <w:sz w:val="24"/>
        </w:rPr>
        <w:t>1、采购代理机构名称：</w:t>
      </w:r>
      <w:bookmarkEnd w:id="16"/>
      <w:r>
        <w:rPr>
          <w:rFonts w:hint="eastAsia" w:ascii="仿宋" w:hAnsi="仿宋" w:eastAsia="仿宋" w:cs="仿宋"/>
          <w:sz w:val="24"/>
        </w:rPr>
        <w:t>杭州建业造价工程师事务所有限公司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联系人：王文阁</w:t>
      </w:r>
      <w:r>
        <w:rPr>
          <w:rFonts w:hint="eastAsia" w:ascii="仿宋" w:hAnsi="仿宋" w:eastAsia="仿宋" w:cs="仿宋"/>
          <w:sz w:val="24"/>
          <w:lang w:val="en-US" w:eastAsia="zh-CN"/>
        </w:rPr>
        <w:t xml:space="preserve"> </w:t>
      </w:r>
      <w:r>
        <w:rPr>
          <w:rFonts w:hint="eastAsia" w:ascii="仿宋" w:hAnsi="仿宋" w:eastAsia="仿宋" w:cs="仿宋"/>
          <w:sz w:val="24"/>
        </w:rPr>
        <w:t>杨中成  联系电话：15868280407</w:t>
      </w:r>
    </w:p>
    <w:p>
      <w:pPr>
        <w:spacing w:line="360" w:lineRule="auto"/>
        <w:ind w:firstLine="480" w:firstLineChars="200"/>
        <w:rPr>
          <w:rFonts w:ascii="仿宋" w:hAnsi="仿宋" w:eastAsia="仿宋" w:cs="仿宋"/>
          <w:sz w:val="24"/>
        </w:rPr>
      </w:pPr>
      <w:r>
        <w:rPr>
          <w:rFonts w:hint="eastAsia" w:ascii="仿宋" w:hAnsi="仿宋" w:eastAsia="仿宋" w:cs="仿宋"/>
          <w:sz w:val="24"/>
        </w:rPr>
        <w:t>质疑函接收人：张工      联系电话：</w:t>
      </w:r>
      <w:r>
        <w:rPr>
          <w:rFonts w:ascii="仿宋" w:hAnsi="仿宋" w:eastAsia="仿宋" w:cs="仿宋"/>
          <w:sz w:val="24"/>
        </w:rPr>
        <w:t>0572-2059829</w:t>
      </w:r>
    </w:p>
    <w:p>
      <w:pPr>
        <w:spacing w:line="360" w:lineRule="auto"/>
        <w:ind w:firstLine="480" w:firstLineChars="200"/>
        <w:rPr>
          <w:rFonts w:ascii="仿宋" w:hAnsi="仿宋" w:eastAsia="仿宋" w:cs="仿宋"/>
          <w:sz w:val="24"/>
          <w:shd w:val="clear" w:color="auto" w:fill="FFFF00"/>
        </w:rPr>
      </w:pPr>
      <w:r>
        <w:rPr>
          <w:rFonts w:hint="eastAsia" w:ascii="仿宋" w:hAnsi="仿宋" w:eastAsia="仿宋" w:cs="仿宋"/>
          <w:sz w:val="24"/>
        </w:rPr>
        <w:t>地址：湖州市清远路409号华成时代大厦4层405</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2、采购人名称：湖州市吴兴区公用事业管理中心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联系人：陈先生     联系电话：18767285025</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3、政府采购行政监管及投诉受理部门：湖州市吴兴区财政局政府采购监管科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联系人：沈先生       联系电话：0572-2289702</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地址：湖州市吴兴区吴兴大道1号</w:t>
      </w:r>
    </w:p>
    <w:p>
      <w:pPr>
        <w:snapToGrid w:val="0"/>
        <w:spacing w:line="360" w:lineRule="auto"/>
        <w:ind w:left="238" w:right="480"/>
        <w:jc w:val="right"/>
        <w:rPr>
          <w:rFonts w:ascii="仿宋" w:hAnsi="仿宋" w:eastAsia="仿宋" w:cs="仿宋"/>
          <w:sz w:val="24"/>
        </w:rPr>
      </w:pPr>
    </w:p>
    <w:p>
      <w:pPr>
        <w:snapToGrid w:val="0"/>
        <w:spacing w:line="360" w:lineRule="auto"/>
        <w:ind w:right="480"/>
        <w:jc w:val="right"/>
        <w:rPr>
          <w:rFonts w:ascii="仿宋" w:hAnsi="仿宋" w:eastAsia="仿宋" w:cs="仿宋"/>
          <w:bCs/>
          <w:sz w:val="24"/>
        </w:rPr>
      </w:pPr>
      <w:r>
        <w:rPr>
          <w:rFonts w:hint="eastAsia" w:ascii="仿宋" w:hAnsi="仿宋" w:eastAsia="仿宋" w:cs="仿宋"/>
          <w:sz w:val="24"/>
        </w:rPr>
        <w:t>湖州市吴兴区公用事业管理中心</w:t>
      </w:r>
    </w:p>
    <w:p>
      <w:pPr>
        <w:snapToGrid w:val="0"/>
        <w:spacing w:line="360" w:lineRule="auto"/>
        <w:ind w:left="238" w:right="480"/>
        <w:jc w:val="right"/>
        <w:rPr>
          <w:rFonts w:ascii="仿宋" w:hAnsi="仿宋" w:eastAsia="仿宋" w:cs="仿宋"/>
          <w:bCs/>
          <w:sz w:val="24"/>
        </w:rPr>
      </w:pPr>
      <w:r>
        <w:rPr>
          <w:rFonts w:hint="eastAsia" w:ascii="仿宋" w:hAnsi="仿宋" w:eastAsia="仿宋" w:cs="仿宋"/>
          <w:bCs/>
          <w:sz w:val="24"/>
        </w:rPr>
        <w:t>杭州建业造价工程师事务所有限公司</w:t>
      </w:r>
    </w:p>
    <w:p>
      <w:pPr>
        <w:wordWrap w:val="0"/>
        <w:snapToGrid w:val="0"/>
        <w:spacing w:line="360" w:lineRule="auto"/>
        <w:ind w:left="238" w:right="480"/>
        <w:jc w:val="right"/>
        <w:rPr>
          <w:rFonts w:ascii="仿宋" w:hAnsi="仿宋" w:eastAsia="仿宋" w:cs="仿宋"/>
          <w:bCs/>
          <w:sz w:val="30"/>
          <w:szCs w:val="30"/>
        </w:rPr>
        <w:sectPr>
          <w:footerReference r:id="rId7" w:type="first"/>
          <w:footerReference r:id="rId6" w:type="default"/>
          <w:pgSz w:w="11906" w:h="16838"/>
          <w:pgMar w:top="1134" w:right="1247" w:bottom="1134" w:left="1247" w:header="1134" w:footer="851" w:gutter="0"/>
          <w:pgNumType w:start="1"/>
          <w:cols w:space="720" w:num="1"/>
          <w:docGrid w:linePitch="312" w:charSpace="0"/>
        </w:sectPr>
      </w:pPr>
      <w:r>
        <w:rPr>
          <w:rFonts w:hint="eastAsia" w:ascii="仿宋" w:hAnsi="仿宋" w:eastAsia="仿宋" w:cs="仿宋"/>
          <w:bCs/>
          <w:sz w:val="24"/>
        </w:rPr>
        <w:t>2023年2月</w:t>
      </w:r>
      <w:r>
        <w:rPr>
          <w:rFonts w:hint="eastAsia" w:ascii="仿宋" w:hAnsi="仿宋" w:eastAsia="仿宋" w:cs="仿宋"/>
          <w:bCs/>
          <w:sz w:val="24"/>
          <w:lang w:val="en-US" w:eastAsia="zh-CN"/>
        </w:rPr>
        <w:t>17</w:t>
      </w:r>
      <w:r>
        <w:rPr>
          <w:rFonts w:hint="eastAsia" w:ascii="仿宋" w:hAnsi="仿宋" w:eastAsia="仿宋" w:cs="仿宋"/>
          <w:bCs/>
          <w:sz w:val="24"/>
        </w:rPr>
        <w:t>日</w:t>
      </w:r>
    </w:p>
    <w:p>
      <w:pPr>
        <w:pStyle w:val="3"/>
        <w:keepNext w:val="0"/>
        <w:pageBreakBefore/>
        <w:spacing w:line="360" w:lineRule="auto"/>
        <w:rPr>
          <w:rFonts w:ascii="仿宋" w:hAnsi="仿宋" w:eastAsia="仿宋" w:cs="仿宋"/>
          <w:sz w:val="32"/>
        </w:rPr>
      </w:pPr>
      <w:bookmarkStart w:id="17" w:name="_Toc1536"/>
      <w:bookmarkStart w:id="18" w:name="_Toc24776"/>
      <w:bookmarkStart w:id="19" w:name="_Toc32756"/>
      <w:r>
        <w:rPr>
          <w:rFonts w:hint="eastAsia" w:ascii="仿宋" w:hAnsi="仿宋" w:eastAsia="仿宋" w:cs="仿宋"/>
          <w:sz w:val="32"/>
        </w:rPr>
        <w:t>第二章  招标</w:t>
      </w:r>
      <w:bookmarkEnd w:id="12"/>
      <w:bookmarkEnd w:id="13"/>
      <w:bookmarkEnd w:id="14"/>
      <w:r>
        <w:rPr>
          <w:rFonts w:hint="eastAsia" w:ascii="仿宋" w:hAnsi="仿宋" w:eastAsia="仿宋" w:cs="仿宋"/>
          <w:sz w:val="32"/>
        </w:rPr>
        <w:t>需求</w:t>
      </w:r>
      <w:bookmarkEnd w:id="17"/>
      <w:bookmarkEnd w:id="18"/>
      <w:bookmarkEnd w:id="19"/>
    </w:p>
    <w:p>
      <w:pPr>
        <w:spacing w:line="360" w:lineRule="auto"/>
        <w:ind w:firstLine="240" w:firstLineChars="100"/>
        <w:outlineLvl w:val="1"/>
        <w:rPr>
          <w:rFonts w:ascii="仿宋" w:hAnsi="仿宋" w:eastAsia="仿宋" w:cs="仿宋"/>
          <w:sz w:val="24"/>
        </w:rPr>
      </w:pPr>
      <w:bookmarkStart w:id="20" w:name="_Toc3023"/>
      <w:bookmarkStart w:id="21" w:name="_Toc9632"/>
      <w:r>
        <w:rPr>
          <w:rFonts w:hint="eastAsia" w:ascii="仿宋" w:hAnsi="仿宋" w:eastAsia="仿宋" w:cs="仿宋"/>
          <w:sz w:val="24"/>
        </w:rPr>
        <w:t>一、项目编号：JYFGS2023-003</w:t>
      </w:r>
      <w:bookmarkEnd w:id="20"/>
    </w:p>
    <w:p>
      <w:pPr>
        <w:spacing w:line="360" w:lineRule="auto"/>
        <w:ind w:firstLine="240" w:firstLineChars="100"/>
        <w:outlineLvl w:val="1"/>
        <w:rPr>
          <w:rFonts w:ascii="仿宋" w:hAnsi="仿宋" w:eastAsia="仿宋" w:cs="仿宋"/>
          <w:sz w:val="24"/>
        </w:rPr>
      </w:pPr>
      <w:bookmarkStart w:id="22" w:name="_Toc16150"/>
      <w:r>
        <w:rPr>
          <w:rFonts w:hint="eastAsia" w:ascii="仿宋" w:hAnsi="仿宋" w:eastAsia="仿宋" w:cs="仿宋"/>
          <w:sz w:val="24"/>
        </w:rPr>
        <w:t>二、采购单位名称：湖州市吴兴区公用事业管理中心</w:t>
      </w:r>
      <w:bookmarkEnd w:id="22"/>
    </w:p>
    <w:p>
      <w:pPr>
        <w:spacing w:line="360" w:lineRule="auto"/>
        <w:ind w:firstLine="240" w:firstLineChars="100"/>
        <w:outlineLvl w:val="1"/>
        <w:rPr>
          <w:rFonts w:ascii="仿宋" w:hAnsi="仿宋" w:eastAsia="仿宋" w:cs="仿宋"/>
          <w:sz w:val="24"/>
        </w:rPr>
      </w:pPr>
      <w:bookmarkStart w:id="23" w:name="_Toc28909"/>
      <w:r>
        <w:rPr>
          <w:rFonts w:hint="eastAsia" w:ascii="仿宋" w:hAnsi="仿宋" w:eastAsia="仿宋" w:cs="仿宋"/>
          <w:sz w:val="24"/>
        </w:rPr>
        <w:t>三、采购项目：</w:t>
      </w:r>
      <w:r>
        <w:rPr>
          <w:rFonts w:hint="eastAsia" w:ascii="仿宋" w:hAnsi="仿宋" w:eastAsia="仿宋" w:cs="仿宋"/>
          <w:sz w:val="24"/>
          <w:shd w:val="clear" w:color="auto" w:fill="FFFFFF" w:themeFill="background1"/>
        </w:rPr>
        <w:t>雨污水管网维护及应急处置项目</w:t>
      </w:r>
      <w:bookmarkEnd w:id="23"/>
    </w:p>
    <w:p>
      <w:pPr>
        <w:spacing w:line="360" w:lineRule="auto"/>
        <w:ind w:firstLine="241" w:firstLineChars="100"/>
        <w:outlineLvl w:val="1"/>
        <w:rPr>
          <w:rFonts w:ascii="仿宋" w:hAnsi="仿宋" w:eastAsia="仿宋" w:cs="仿宋"/>
          <w:b/>
          <w:bCs/>
          <w:sz w:val="24"/>
        </w:rPr>
      </w:pPr>
      <w:bookmarkStart w:id="24" w:name="_Toc18385"/>
      <w:r>
        <w:rPr>
          <w:rFonts w:hint="eastAsia" w:ascii="仿宋" w:hAnsi="仿宋" w:eastAsia="仿宋" w:cs="仿宋"/>
          <w:b/>
          <w:bCs/>
          <w:sz w:val="24"/>
        </w:rPr>
        <w:t>四、项目概况：</w:t>
      </w:r>
      <w:bookmarkEnd w:id="24"/>
    </w:p>
    <w:p>
      <w:pPr>
        <w:spacing w:line="360" w:lineRule="auto"/>
        <w:ind w:firstLine="720" w:firstLineChars="300"/>
        <w:outlineLvl w:val="1"/>
        <w:rPr>
          <w:rFonts w:ascii="仿宋" w:hAnsi="仿宋" w:eastAsia="仿宋"/>
          <w:sz w:val="24"/>
        </w:rPr>
      </w:pPr>
      <w:bookmarkStart w:id="25" w:name="_Toc20378"/>
      <w:r>
        <w:rPr>
          <w:rFonts w:hint="eastAsia" w:ascii="仿宋" w:hAnsi="仿宋" w:eastAsia="仿宋" w:cs="仿宋"/>
          <w:sz w:val="24"/>
        </w:rPr>
        <w:t>本项目</w:t>
      </w:r>
      <w:r>
        <w:rPr>
          <w:rFonts w:hint="eastAsia" w:ascii="仿宋" w:hAnsi="仿宋" w:eastAsia="仿宋"/>
          <w:b/>
          <w:sz w:val="24"/>
        </w:rPr>
        <w:t>雨污水管网维护及应急处置项目</w:t>
      </w:r>
      <w:r>
        <w:rPr>
          <w:rFonts w:hint="eastAsia" w:ascii="仿宋" w:hAnsi="仿宋" w:eastAsia="仿宋"/>
          <w:sz w:val="24"/>
        </w:rPr>
        <w:t>。主要采购需求如下：</w:t>
      </w:r>
      <w:bookmarkEnd w:id="25"/>
    </w:p>
    <w:tbl>
      <w:tblPr>
        <w:tblStyle w:val="22"/>
        <w:tblW w:w="8657" w:type="dxa"/>
        <w:jc w:val="center"/>
        <w:tblLayout w:type="autofit"/>
        <w:tblCellMar>
          <w:top w:w="0" w:type="dxa"/>
          <w:left w:w="10" w:type="dxa"/>
          <w:bottom w:w="0" w:type="dxa"/>
          <w:right w:w="10" w:type="dxa"/>
        </w:tblCellMar>
      </w:tblPr>
      <w:tblGrid>
        <w:gridCol w:w="678"/>
        <w:gridCol w:w="3605"/>
        <w:gridCol w:w="919"/>
        <w:gridCol w:w="2252"/>
        <w:gridCol w:w="1203"/>
      </w:tblGrid>
      <w:tr>
        <w:tblPrEx>
          <w:tblCellMar>
            <w:top w:w="0" w:type="dxa"/>
            <w:left w:w="10" w:type="dxa"/>
            <w:bottom w:w="0" w:type="dxa"/>
            <w:right w:w="10" w:type="dxa"/>
          </w:tblCellMar>
        </w:tblPrEx>
        <w:trPr>
          <w:trHeight w:val="89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序号</w:t>
            </w:r>
          </w:p>
        </w:tc>
        <w:tc>
          <w:tcPr>
            <w:tcW w:w="3605"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项目名称</w:t>
            </w:r>
          </w:p>
        </w:tc>
        <w:tc>
          <w:tcPr>
            <w:tcW w:w="919"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数量</w:t>
            </w:r>
          </w:p>
        </w:tc>
        <w:tc>
          <w:tcPr>
            <w:tcW w:w="0" w:type="auto"/>
            <w:tcBorders>
              <w:top w:val="single" w:color="auto" w:sz="6"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预算金额（万元）</w:t>
            </w:r>
          </w:p>
        </w:tc>
        <w:tc>
          <w:tcPr>
            <w:tcW w:w="0" w:type="auto"/>
            <w:tcBorders>
              <w:top w:val="single" w:color="auto" w:sz="6"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仿宋" w:hAnsi="仿宋" w:eastAsia="仿宋"/>
                <w:sz w:val="24"/>
              </w:rPr>
            </w:pPr>
            <w:r>
              <w:rPr>
                <w:rFonts w:hint="eastAsia" w:ascii="仿宋" w:hAnsi="仿宋" w:eastAsia="仿宋"/>
                <w:sz w:val="24"/>
              </w:rPr>
              <w:t>服务期限</w:t>
            </w:r>
          </w:p>
        </w:tc>
      </w:tr>
      <w:tr>
        <w:tblPrEx>
          <w:tblCellMar>
            <w:top w:w="0" w:type="dxa"/>
            <w:left w:w="10" w:type="dxa"/>
            <w:bottom w:w="0" w:type="dxa"/>
            <w:right w:w="10" w:type="dxa"/>
          </w:tblCellMar>
        </w:tblPrEx>
        <w:trPr>
          <w:trHeight w:val="948"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0"/>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3605"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left="60" w:right="62"/>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雨污水管网维护及应急处置项目</w:t>
            </w:r>
          </w:p>
        </w:tc>
        <w:tc>
          <w:tcPr>
            <w:tcW w:w="919"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right="6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1项</w:t>
            </w:r>
          </w:p>
        </w:tc>
        <w:tc>
          <w:tcPr>
            <w:tcW w:w="0" w:type="auto"/>
            <w:tcBorders>
              <w:top w:val="single" w:color="auto" w:sz="6" w:space="0"/>
              <w:left w:val="single" w:color="auto" w:sz="4" w:space="0"/>
              <w:bottom w:val="single" w:color="auto" w:sz="6" w:space="0"/>
              <w:right w:val="single" w:color="auto" w:sz="4" w:space="0"/>
            </w:tcBorders>
            <w:vAlign w:val="center"/>
          </w:tcPr>
          <w:p>
            <w:pPr>
              <w:spacing w:line="360" w:lineRule="auto"/>
              <w:ind w:right="6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500万元</w:t>
            </w:r>
          </w:p>
        </w:tc>
        <w:tc>
          <w:tcPr>
            <w:tcW w:w="0" w:type="auto"/>
            <w:tcBorders>
              <w:top w:val="single" w:color="auto" w:sz="6" w:space="0"/>
              <w:left w:val="single" w:color="auto" w:sz="4" w:space="0"/>
              <w:bottom w:val="single" w:color="auto" w:sz="6" w:space="0"/>
              <w:right w:val="single" w:color="auto" w:sz="4" w:space="0"/>
            </w:tcBorders>
            <w:vAlign w:val="center"/>
          </w:tcPr>
          <w:p>
            <w:pPr>
              <w:spacing w:line="360" w:lineRule="auto"/>
              <w:ind w:right="6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2年</w:t>
            </w:r>
          </w:p>
        </w:tc>
      </w:tr>
    </w:tbl>
    <w:p>
      <w:pPr>
        <w:numPr>
          <w:ilvl w:val="0"/>
          <w:numId w:val="3"/>
        </w:numPr>
        <w:spacing w:line="360" w:lineRule="auto"/>
        <w:ind w:firstLine="482" w:firstLineChars="200"/>
        <w:rPr>
          <w:rFonts w:ascii="仿宋" w:hAnsi="仿宋" w:eastAsia="仿宋" w:cs="仿宋"/>
          <w:b/>
          <w:bCs/>
          <w:sz w:val="24"/>
        </w:rPr>
      </w:pPr>
      <w:r>
        <w:rPr>
          <w:rFonts w:hint="eastAsia" w:ascii="仿宋" w:hAnsi="仿宋" w:eastAsia="仿宋" w:cs="仿宋"/>
          <w:b/>
          <w:bCs/>
          <w:color w:val="000000" w:themeColor="text1"/>
          <w:sz w:val="24"/>
          <w14:textFill>
            <w14:solidFill>
              <w14:schemeClr w14:val="tx1"/>
            </w14:solidFill>
          </w14:textFill>
        </w:rPr>
        <w:t>服务范围</w:t>
      </w:r>
    </w:p>
    <w:p>
      <w:pPr>
        <w:numPr>
          <w:ilvl w:val="1"/>
          <w:numId w:val="4"/>
        </w:numPr>
        <w:spacing w:line="360" w:lineRule="auto"/>
        <w:ind w:firstLine="480" w:firstLineChars="200"/>
      </w:pPr>
      <w:r>
        <w:rPr>
          <w:rFonts w:hint="eastAsia" w:ascii="仿宋" w:hAnsi="仿宋" w:eastAsia="仿宋" w:cs="仿宋"/>
          <w:sz w:val="24"/>
        </w:rPr>
        <w:t>现管养：湖东西区（东至三环东路，西至陆王路，南至三里桥路，北至清远路，以上合围区域范围内部分市政道路）污水管网，港西路（二环南路-紫金北路），紫金北路（三环东路-港西路）的雨污水管网。</w:t>
      </w:r>
    </w:p>
    <w:p>
      <w:pPr>
        <w:numPr>
          <w:ilvl w:val="1"/>
          <w:numId w:val="4"/>
        </w:numPr>
        <w:spacing w:line="360" w:lineRule="auto"/>
        <w:ind w:firstLine="480" w:firstLineChars="200"/>
      </w:pPr>
      <w:r>
        <w:rPr>
          <w:rFonts w:hint="eastAsia" w:ascii="仿宋" w:hAnsi="仿宋" w:eastAsia="仿宋" w:cs="仿宋"/>
          <w:sz w:val="24"/>
        </w:rPr>
        <w:t>待移交</w:t>
      </w:r>
      <w:r>
        <w:rPr>
          <w:rFonts w:hint="eastAsia" w:ascii="仿宋" w:hAnsi="仿宋" w:eastAsia="仿宋" w:cs="仿宋"/>
          <w:b/>
          <w:bCs/>
          <w:sz w:val="24"/>
        </w:rPr>
        <w:t>:</w:t>
      </w:r>
      <w:r>
        <w:rPr>
          <w:rFonts w:hint="eastAsia" w:ascii="仿宋" w:hAnsi="仿宋" w:eastAsia="仿宋" w:cs="仿宋"/>
          <w:sz w:val="24"/>
        </w:rPr>
        <w:t>湖山大道（二里桥路-浮玉花园），湖浔大道（三环东路-南浔界）的雨污水管网。</w:t>
      </w:r>
    </w:p>
    <w:p>
      <w:pPr>
        <w:numPr>
          <w:ilvl w:val="1"/>
          <w:numId w:val="4"/>
        </w:numPr>
        <w:spacing w:line="360" w:lineRule="auto"/>
        <w:ind w:firstLine="480" w:firstLineChars="200"/>
        <w:rPr>
          <w:highlight w:val="none"/>
        </w:rPr>
      </w:pPr>
      <w:r>
        <w:rPr>
          <w:rFonts w:hint="eastAsia" w:ascii="仿宋" w:hAnsi="仿宋" w:eastAsia="仿宋" w:cs="仿宋"/>
          <w:sz w:val="24"/>
          <w:highlight w:val="none"/>
        </w:rPr>
        <w:t>具体服务范围以实际为准。</w:t>
      </w:r>
    </w:p>
    <w:p>
      <w:pPr>
        <w:spacing w:line="360" w:lineRule="auto"/>
        <w:outlineLvl w:val="1"/>
        <w:rPr>
          <w:rFonts w:ascii="仿宋" w:hAnsi="仿宋" w:eastAsia="仿宋" w:cs="仿宋"/>
          <w:b/>
          <w:bCs/>
          <w:sz w:val="24"/>
        </w:rPr>
      </w:pPr>
      <w:bookmarkStart w:id="26" w:name="_Toc24013"/>
      <w:r>
        <w:rPr>
          <w:rFonts w:hint="eastAsia" w:ascii="仿宋" w:hAnsi="仿宋" w:eastAsia="仿宋" w:cs="仿宋"/>
          <w:b/>
          <w:bCs/>
          <w:sz w:val="24"/>
        </w:rPr>
        <w:t>五、项目内容</w:t>
      </w:r>
      <w:bookmarkEnd w:id="26"/>
    </w:p>
    <w:p>
      <w:pPr>
        <w:spacing w:line="360" w:lineRule="auto"/>
        <w:ind w:firstLine="480" w:firstLineChars="200"/>
        <w:rPr>
          <w:rFonts w:ascii="仿宋" w:hAnsi="仿宋" w:eastAsia="仿宋" w:cs="仿宋"/>
          <w:sz w:val="24"/>
        </w:rPr>
      </w:pPr>
      <w:r>
        <w:rPr>
          <w:rFonts w:hint="eastAsia" w:ascii="仿宋" w:hAnsi="仿宋" w:eastAsia="仿宋" w:cs="仿宋"/>
          <w:sz w:val="24"/>
        </w:rPr>
        <w:t>1、地下管道及其附属设施的日常巡查、日常维修、管理养护、隐患排查、应急抢险及值班备勤等；</w:t>
      </w:r>
    </w:p>
    <w:p>
      <w:pPr>
        <w:spacing w:line="360" w:lineRule="auto"/>
        <w:ind w:firstLine="480" w:firstLineChars="200"/>
        <w:rPr>
          <w:rFonts w:ascii="仿宋" w:hAnsi="仿宋" w:eastAsia="仿宋" w:cs="仿宋"/>
          <w:sz w:val="24"/>
        </w:rPr>
      </w:pPr>
      <w:r>
        <w:rPr>
          <w:rFonts w:hint="eastAsia" w:ascii="仿宋" w:hAnsi="仿宋" w:eastAsia="仿宋" w:cs="仿宋"/>
          <w:sz w:val="24"/>
        </w:rPr>
        <w:t>2、地下管道CCTV检测服务，出具CCTV检测成果报告及影像资料等。</w:t>
      </w:r>
    </w:p>
    <w:p>
      <w:pPr>
        <w:rPr>
          <w:rFonts w:ascii="仿宋" w:hAnsi="仿宋" w:eastAsia="仿宋" w:cs="仿宋"/>
          <w:sz w:val="24"/>
        </w:rPr>
      </w:pPr>
      <w:r>
        <w:rPr>
          <w:rFonts w:hint="eastAsia" w:ascii="仿宋" w:hAnsi="仿宋" w:eastAsia="仿宋" w:cs="仿宋"/>
          <w:sz w:val="24"/>
        </w:rPr>
        <w:br w:type="page"/>
      </w:r>
    </w:p>
    <w:p>
      <w:pPr>
        <w:spacing w:line="360" w:lineRule="auto"/>
        <w:ind w:firstLine="480" w:firstLineChars="200"/>
        <w:rPr>
          <w:rFonts w:ascii="仿宋" w:hAnsi="仿宋" w:eastAsia="仿宋" w:cs="仿宋"/>
          <w:sz w:val="24"/>
        </w:rPr>
      </w:pPr>
      <w:r>
        <w:rPr>
          <w:rFonts w:hint="eastAsia" w:ascii="仿宋" w:hAnsi="仿宋" w:eastAsia="仿宋" w:cs="仿宋"/>
          <w:sz w:val="24"/>
        </w:rPr>
        <w:t>工作内容详见下表：</w:t>
      </w:r>
    </w:p>
    <w:tbl>
      <w:tblPr>
        <w:tblStyle w:val="22"/>
        <w:tblW w:w="4998" w:type="pct"/>
        <w:tblInd w:w="0" w:type="dxa"/>
        <w:tblLayout w:type="autofit"/>
        <w:tblCellMar>
          <w:top w:w="0" w:type="dxa"/>
          <w:left w:w="108" w:type="dxa"/>
          <w:bottom w:w="0" w:type="dxa"/>
          <w:right w:w="108" w:type="dxa"/>
        </w:tblCellMar>
      </w:tblPr>
      <w:tblGrid>
        <w:gridCol w:w="386"/>
        <w:gridCol w:w="571"/>
        <w:gridCol w:w="6525"/>
        <w:gridCol w:w="422"/>
        <w:gridCol w:w="817"/>
      </w:tblGrid>
      <w:tr>
        <w:tblPrEx>
          <w:tblCellMar>
            <w:top w:w="0" w:type="dxa"/>
            <w:left w:w="108" w:type="dxa"/>
            <w:bottom w:w="0" w:type="dxa"/>
            <w:right w:w="108" w:type="dxa"/>
          </w:tblCellMar>
        </w:tblPrEx>
        <w:trPr>
          <w:trHeight w:val="673" w:hRule="atLeast"/>
        </w:trPr>
        <w:tc>
          <w:tcPr>
            <w:tcW w:w="438" w:type="pct"/>
            <w:tcBorders>
              <w:top w:val="single" w:color="000000" w:sz="4" w:space="0"/>
              <w:left w:val="single" w:color="000000" w:sz="4" w:space="0"/>
              <w:bottom w:val="nil"/>
              <w:right w:val="single" w:color="auto" w:sz="4" w:space="0"/>
            </w:tcBorders>
            <w:shd w:val="clear" w:color="auto" w:fill="auto"/>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779" w:type="pct"/>
            <w:tcBorders>
              <w:top w:val="single" w:color="000000" w:sz="4" w:space="0"/>
              <w:left w:val="single" w:color="auto" w:sz="4" w:space="0"/>
              <w:bottom w:val="nil"/>
              <w:right w:val="nil"/>
            </w:tcBorders>
            <w:shd w:val="clear" w:color="auto" w:fill="auto"/>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项目类型</w:t>
            </w:r>
          </w:p>
        </w:tc>
        <w:tc>
          <w:tcPr>
            <w:tcW w:w="2091" w:type="pct"/>
            <w:tcBorders>
              <w:top w:val="single" w:color="000000" w:sz="4" w:space="0"/>
              <w:left w:val="single" w:color="000000" w:sz="4" w:space="0"/>
              <w:bottom w:val="nil"/>
              <w:right w:val="nil"/>
            </w:tcBorders>
            <w:shd w:val="clear" w:color="auto" w:fill="auto"/>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项目内容</w:t>
            </w:r>
          </w:p>
        </w:tc>
        <w:tc>
          <w:tcPr>
            <w:tcW w:w="504" w:type="pct"/>
            <w:tcBorders>
              <w:top w:val="single" w:color="000000" w:sz="4" w:space="0"/>
              <w:left w:val="single" w:color="000000" w:sz="4" w:space="0"/>
              <w:bottom w:val="nil"/>
              <w:right w:val="nil"/>
            </w:tcBorders>
            <w:shd w:val="clear" w:color="auto" w:fill="auto"/>
            <w:noWrap/>
            <w:vAlign w:val="center"/>
          </w:tcPr>
          <w:p>
            <w:pPr>
              <w:spacing w:line="360" w:lineRule="auto"/>
              <w:rPr>
                <w:rFonts w:ascii="仿宋" w:hAnsi="仿宋" w:eastAsia="仿宋" w:cs="仿宋"/>
                <w:b/>
                <w:sz w:val="24"/>
              </w:rPr>
            </w:pPr>
            <w:r>
              <w:rPr>
                <w:rFonts w:hint="eastAsia" w:ascii="仿宋" w:hAnsi="仿宋" w:eastAsia="仿宋" w:cs="仿宋"/>
                <w:b/>
                <w:sz w:val="24"/>
              </w:rPr>
              <w:t>单位</w:t>
            </w:r>
          </w:p>
        </w:tc>
        <w:tc>
          <w:tcPr>
            <w:tcW w:w="1186" w:type="pct"/>
            <w:tcBorders>
              <w:top w:val="single" w:color="000000" w:sz="4" w:space="0"/>
              <w:left w:val="single" w:color="000000" w:sz="4" w:space="0"/>
              <w:bottom w:val="nil"/>
              <w:right w:val="single" w:color="auto" w:sz="4" w:space="0"/>
            </w:tcBorders>
            <w:shd w:val="clear" w:color="auto" w:fill="auto"/>
            <w:noWrap/>
            <w:vAlign w:val="center"/>
          </w:tcPr>
          <w:p>
            <w:pPr>
              <w:spacing w:line="360" w:lineRule="auto"/>
              <w:jc w:val="center"/>
              <w:rPr>
                <w:rFonts w:ascii="仿宋" w:hAnsi="仿宋" w:eastAsia="仿宋" w:cs="仿宋"/>
                <w:b/>
                <w:sz w:val="24"/>
              </w:rPr>
            </w:pPr>
            <w:r>
              <w:rPr>
                <w:rFonts w:hint="eastAsia" w:ascii="仿宋" w:hAnsi="仿宋" w:eastAsia="仿宋" w:cs="仿宋"/>
                <w:b/>
                <w:sz w:val="24"/>
                <w:highlight w:val="none"/>
              </w:rPr>
              <w:t>固定单价</w:t>
            </w:r>
          </w:p>
        </w:tc>
      </w:tr>
      <w:tr>
        <w:tblPrEx>
          <w:tblCellMar>
            <w:top w:w="0" w:type="dxa"/>
            <w:left w:w="108" w:type="dxa"/>
            <w:bottom w:w="0" w:type="dxa"/>
            <w:right w:w="108" w:type="dxa"/>
          </w:tblCellMar>
        </w:tblPrEx>
        <w:trPr>
          <w:trHeight w:val="2528" w:hRule="atLeast"/>
        </w:trPr>
        <w:tc>
          <w:tcPr>
            <w:tcW w:w="438"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779"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rPr>
                <w:rFonts w:ascii="仿宋" w:hAnsi="仿宋" w:eastAsia="仿宋" w:cs="仿宋"/>
                <w:sz w:val="24"/>
              </w:rPr>
            </w:pPr>
            <w:r>
              <w:rPr>
                <w:rFonts w:hint="eastAsia" w:ascii="仿宋" w:hAnsi="仿宋" w:eastAsia="仿宋" w:cs="仿宋"/>
                <w:b/>
                <w:bCs/>
                <w:color w:val="000000"/>
                <w:sz w:val="24"/>
              </w:rPr>
              <w:t>常规巡检</w:t>
            </w:r>
          </w:p>
        </w:tc>
        <w:tc>
          <w:tcPr>
            <w:tcW w:w="2091"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包括但不限于地下管道及其附属设施的</w:t>
            </w:r>
            <w:r>
              <w:rPr>
                <w:rFonts w:hint="eastAsia" w:ascii="仿宋" w:hAnsi="仿宋" w:eastAsia="仿宋" w:cs="仿宋"/>
                <w:color w:val="000000"/>
                <w:sz w:val="24"/>
                <w:highlight w:val="none"/>
                <w:lang w:eastAsia="zh-CN"/>
              </w:rPr>
              <w:t>每日巡查</w:t>
            </w:r>
            <w:r>
              <w:rPr>
                <w:rFonts w:hint="eastAsia" w:ascii="仿宋" w:hAnsi="仿宋" w:eastAsia="仿宋" w:cs="仿宋"/>
                <w:color w:val="000000"/>
                <w:sz w:val="24"/>
                <w:highlight w:val="none"/>
              </w:rPr>
              <w:t>、隐患排查</w:t>
            </w:r>
            <w:r>
              <w:rPr>
                <w:rFonts w:hint="eastAsia" w:ascii="仿宋" w:hAnsi="仿宋" w:eastAsia="仿宋" w:cs="仿宋"/>
                <w:color w:val="000000"/>
                <w:sz w:val="24"/>
                <w:highlight w:val="none"/>
                <w:lang w:eastAsia="zh-CN"/>
              </w:rPr>
              <w:t>、备勤</w:t>
            </w:r>
            <w:r>
              <w:rPr>
                <w:rFonts w:hint="eastAsia" w:ascii="仿宋" w:hAnsi="仿宋" w:eastAsia="仿宋" w:cs="仿宋"/>
                <w:color w:val="000000"/>
                <w:sz w:val="24"/>
                <w:highlight w:val="none"/>
              </w:rPr>
              <w:t>等。采用固定总价报价。</w:t>
            </w:r>
            <w:r>
              <w:rPr>
                <w:rFonts w:hint="eastAsia" w:ascii="仿宋" w:hAnsi="仿宋" w:eastAsia="仿宋" w:cs="仿宋"/>
                <w:b/>
                <w:bCs/>
                <w:color w:val="000000"/>
                <w:sz w:val="24"/>
                <w:highlight w:val="none"/>
              </w:rPr>
              <w:t>服务期：2年。</w:t>
            </w:r>
          </w:p>
        </w:tc>
        <w:tc>
          <w:tcPr>
            <w:tcW w:w="504"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年</w:t>
            </w:r>
          </w:p>
        </w:tc>
        <w:tc>
          <w:tcPr>
            <w:tcW w:w="1186"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color w:val="000000"/>
                <w:sz w:val="24"/>
              </w:rPr>
            </w:pPr>
            <w:r>
              <w:rPr>
                <w:rFonts w:hint="eastAsia" w:ascii="仿宋" w:hAnsi="仿宋" w:eastAsia="仿宋" w:cs="仿宋"/>
                <w:b/>
                <w:bCs/>
                <w:color w:val="000000"/>
                <w:sz w:val="24"/>
              </w:rPr>
              <w:t>12.5万元</w:t>
            </w:r>
          </w:p>
        </w:tc>
      </w:tr>
      <w:tr>
        <w:tblPrEx>
          <w:tblCellMar>
            <w:top w:w="0" w:type="dxa"/>
            <w:left w:w="108" w:type="dxa"/>
            <w:bottom w:w="0" w:type="dxa"/>
            <w:right w:w="108" w:type="dxa"/>
          </w:tblCellMar>
        </w:tblPrEx>
        <w:trPr>
          <w:trHeight w:val="1080" w:hRule="atLeast"/>
        </w:trPr>
        <w:tc>
          <w:tcPr>
            <w:tcW w:w="764"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highlight w:val="red"/>
              </w:rPr>
            </w:pPr>
            <w:r>
              <w:rPr>
                <w:rFonts w:hint="eastAsia" w:ascii="仿宋" w:hAnsi="仿宋" w:eastAsia="仿宋" w:cs="仿宋"/>
                <w:b/>
                <w:sz w:val="24"/>
              </w:rPr>
              <w:t>序号</w:t>
            </w:r>
          </w:p>
        </w:tc>
        <w:tc>
          <w:tcPr>
            <w:tcW w:w="1358" w:type="dxa"/>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highlight w:val="red"/>
              </w:rPr>
            </w:pPr>
            <w:r>
              <w:rPr>
                <w:rFonts w:hint="eastAsia" w:ascii="仿宋" w:hAnsi="仿宋" w:eastAsia="仿宋" w:cs="仿宋"/>
                <w:b/>
                <w:sz w:val="24"/>
              </w:rPr>
              <w:t>项目类型</w:t>
            </w:r>
          </w:p>
        </w:tc>
        <w:tc>
          <w:tcPr>
            <w:tcW w:w="3646" w:type="dxa"/>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sz w:val="24"/>
                <w:highlight w:val="none"/>
              </w:rPr>
            </w:pPr>
            <w:r>
              <w:rPr>
                <w:rFonts w:hint="eastAsia" w:ascii="仿宋" w:hAnsi="仿宋" w:eastAsia="仿宋" w:cs="仿宋"/>
                <w:b/>
                <w:sz w:val="24"/>
                <w:highlight w:val="none"/>
              </w:rPr>
              <w:t>项目内容</w:t>
            </w:r>
          </w:p>
        </w:tc>
        <w:tc>
          <w:tcPr>
            <w:tcW w:w="879" w:type="dxa"/>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rPr>
                <w:rFonts w:ascii="仿宋" w:hAnsi="仿宋" w:eastAsia="仿宋" w:cs="仿宋"/>
                <w:sz w:val="24"/>
                <w:highlight w:val="red"/>
              </w:rPr>
            </w:pPr>
            <w:r>
              <w:rPr>
                <w:rFonts w:hint="eastAsia" w:ascii="仿宋" w:hAnsi="仿宋" w:eastAsia="仿宋" w:cs="仿宋"/>
                <w:b/>
                <w:sz w:val="24"/>
              </w:rPr>
              <w:t>单位</w:t>
            </w:r>
          </w:p>
        </w:tc>
        <w:tc>
          <w:tcPr>
            <w:tcW w:w="1186"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highlight w:val="red"/>
              </w:rPr>
            </w:pPr>
            <w:r>
              <w:rPr>
                <w:rFonts w:hint="eastAsia" w:ascii="仿宋" w:hAnsi="仿宋" w:eastAsia="仿宋" w:cs="仿宋"/>
                <w:b/>
                <w:bCs/>
                <w:sz w:val="24"/>
              </w:rPr>
              <w:t>综合单价最高限价</w:t>
            </w:r>
          </w:p>
        </w:tc>
      </w:tr>
      <w:tr>
        <w:trPr>
          <w:trHeight w:val="1080" w:hRule="atLeast"/>
        </w:trPr>
        <w:tc>
          <w:tcPr>
            <w:tcW w:w="438"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779"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rPr>
                <w:rFonts w:ascii="仿宋" w:hAnsi="仿宋" w:eastAsia="仿宋" w:cs="仿宋"/>
                <w:b/>
                <w:bCs/>
                <w:sz w:val="24"/>
              </w:rPr>
            </w:pPr>
            <w:r>
              <w:rPr>
                <w:rFonts w:hint="eastAsia" w:ascii="仿宋" w:hAnsi="仿宋" w:eastAsia="仿宋" w:cs="仿宋"/>
                <w:b/>
                <w:bCs/>
                <w:sz w:val="24"/>
              </w:rPr>
              <w:t>维修处置</w:t>
            </w:r>
          </w:p>
        </w:tc>
        <w:tc>
          <w:tcPr>
            <w:tcW w:w="2091" w:type="pct"/>
            <w:tcBorders>
              <w:top w:val="single" w:color="auto" w:sz="4" w:space="0"/>
              <w:left w:val="single" w:color="auto" w:sz="4" w:space="0"/>
              <w:bottom w:val="single" w:color="000000" w:sz="4" w:space="0"/>
              <w:right w:val="single" w:color="auto" w:sz="4" w:space="0"/>
            </w:tcBorders>
            <w:shd w:val="clear" w:color="auto" w:fill="auto"/>
            <w:noWrap/>
            <w:vAlign w:val="center"/>
          </w:tcPr>
          <w:p>
            <w:pPr>
              <w:autoSpaceDE w:val="0"/>
              <w:autoSpaceDN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包括但不限于管网设施的日常维修、疏通维护、抢修处置、污染物处置、</w:t>
            </w:r>
            <w:r>
              <w:rPr>
                <w:rFonts w:hint="eastAsia" w:ascii="仿宋" w:hAnsi="仿宋" w:eastAsia="仿宋" w:cs="仿宋"/>
                <w:bCs/>
                <w:sz w:val="24"/>
                <w:highlight w:val="none"/>
              </w:rPr>
              <w:t>抽水、气囊封堵</w:t>
            </w:r>
            <w:r>
              <w:rPr>
                <w:rFonts w:hint="eastAsia" w:ascii="仿宋" w:hAnsi="仿宋" w:eastAsia="仿宋" w:cs="仿宋"/>
                <w:bCs/>
                <w:sz w:val="24"/>
                <w:highlight w:val="none"/>
                <w:lang w:eastAsia="zh-CN"/>
              </w:rPr>
              <w:t>、</w:t>
            </w:r>
            <w:r>
              <w:rPr>
                <w:rFonts w:hint="eastAsia" w:ascii="仿宋" w:hAnsi="仿宋" w:eastAsia="仿宋" w:cs="仿宋"/>
                <w:sz w:val="24"/>
                <w:highlight w:val="none"/>
              </w:rPr>
              <w:t>排涝抢险</w:t>
            </w:r>
            <w:r>
              <w:rPr>
                <w:rFonts w:hint="eastAsia" w:ascii="仿宋" w:hAnsi="仿宋" w:eastAsia="仿宋" w:cs="仿宋"/>
                <w:sz w:val="24"/>
                <w:highlight w:val="none"/>
                <w:lang w:eastAsia="zh-CN"/>
              </w:rPr>
              <w:t>、现场值班</w:t>
            </w:r>
            <w:r>
              <w:rPr>
                <w:rFonts w:hint="eastAsia" w:ascii="仿宋" w:hAnsi="仿宋" w:eastAsia="仿宋" w:cs="仿宋"/>
                <w:sz w:val="24"/>
                <w:highlight w:val="none"/>
              </w:rPr>
              <w:t>等。采取折扣报价，套用当月信息价，第三方审计。</w:t>
            </w:r>
          </w:p>
        </w:tc>
        <w:tc>
          <w:tcPr>
            <w:tcW w:w="504"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86" w:type="pc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r>
      <w:tr>
        <w:trPr>
          <w:trHeight w:val="1070"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 xml:space="preserve">3   </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b/>
                <w:bCs/>
                <w:sz w:val="24"/>
              </w:rPr>
              <w:t>管道检测</w:t>
            </w:r>
          </w:p>
        </w:tc>
        <w:tc>
          <w:tcPr>
            <w:tcW w:w="2091" w:type="pct"/>
            <w:tcBorders>
              <w:top w:val="single" w:color="000000" w:sz="4" w:space="0"/>
              <w:left w:val="single" w:color="auto" w:sz="4" w:space="0"/>
              <w:bottom w:val="single" w:color="000000" w:sz="4" w:space="0"/>
              <w:right w:val="nil"/>
            </w:tcBorders>
            <w:shd w:val="clear" w:color="auto" w:fill="auto"/>
            <w:noWrap/>
            <w:vAlign w:val="center"/>
          </w:tcPr>
          <w:p>
            <w:pPr>
              <w:spacing w:line="360" w:lineRule="auto"/>
              <w:rPr>
                <w:rFonts w:ascii="仿宋" w:hAnsi="仿宋" w:eastAsia="仿宋" w:cs="仿宋"/>
                <w:sz w:val="24"/>
              </w:rPr>
            </w:pPr>
            <w:r>
              <w:rPr>
                <w:rFonts w:hint="eastAsia" w:ascii="仿宋" w:hAnsi="仿宋" w:eastAsia="仿宋" w:cs="仿宋"/>
                <w:sz w:val="24"/>
              </w:rPr>
              <w:t>包括但不限于管道CCTV检测（不分管径大小），要求全段360度影像，特别对于管道破损的节点全方位清晰反映破损情况。最终向发包人提供管道检测书面报告及存档影像资料。</w:t>
            </w:r>
            <w:r>
              <w:rPr>
                <w:rFonts w:hint="eastAsia" w:ascii="仿宋" w:hAnsi="仿宋" w:eastAsia="仿宋" w:cs="仿宋"/>
                <w:color w:val="000000"/>
                <w:sz w:val="24"/>
              </w:rPr>
              <w:t>第三方审计，</w:t>
            </w:r>
          </w:p>
        </w:tc>
        <w:tc>
          <w:tcPr>
            <w:tcW w:w="504" w:type="pct"/>
            <w:tcBorders>
              <w:top w:val="single" w:color="000000" w:sz="4" w:space="0"/>
              <w:left w:val="single" w:color="000000" w:sz="4" w:space="0"/>
              <w:bottom w:val="single" w:color="000000" w:sz="4" w:space="0"/>
              <w:right w:val="nil"/>
            </w:tcBorders>
            <w:shd w:val="clear" w:color="auto" w:fill="auto"/>
            <w:noWrap/>
            <w:vAlign w:val="center"/>
          </w:tcPr>
          <w:p>
            <w:pPr>
              <w:spacing w:line="360" w:lineRule="auto"/>
              <w:jc w:val="center"/>
              <w:rPr>
                <w:rFonts w:ascii="仿宋" w:hAnsi="仿宋" w:eastAsia="仿宋" w:cs="仿宋"/>
                <w:sz w:val="24"/>
              </w:rPr>
            </w:pPr>
            <w:r>
              <w:rPr>
                <w:rFonts w:hint="eastAsia" w:ascii="仿宋" w:hAnsi="仿宋" w:eastAsia="仿宋" w:cs="仿宋"/>
                <w:sz w:val="24"/>
              </w:rPr>
              <w:t>m</w:t>
            </w:r>
          </w:p>
        </w:tc>
        <w:tc>
          <w:tcPr>
            <w:tcW w:w="118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10元/米</w:t>
            </w:r>
          </w:p>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107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left"/>
              <w:rPr>
                <w:rFonts w:ascii="仿宋" w:hAnsi="仿宋" w:eastAsia="仿宋" w:cs="仿宋"/>
                <w:b/>
                <w:bCs/>
                <w:sz w:val="24"/>
                <w:highlight w:val="none"/>
              </w:rPr>
            </w:pPr>
            <w:bookmarkStart w:id="27" w:name="_Toc8635"/>
            <w:r>
              <w:rPr>
                <w:rFonts w:hint="eastAsia" w:ascii="仿宋" w:hAnsi="仿宋" w:eastAsia="仿宋" w:cs="仿宋"/>
                <w:b/>
                <w:bCs/>
                <w:sz w:val="24"/>
                <w:highlight w:val="none"/>
              </w:rPr>
              <w:t>注：1、本次采购项目中维修处置及管道检测为统一折扣报价，参与报价评分中，最高折扣率为100%超过最高折扣率或者出现2个及以上的折扣率报价作无效报价处理。</w:t>
            </w:r>
          </w:p>
          <w:p>
            <w:pPr>
              <w:spacing w:line="360" w:lineRule="auto"/>
              <w:ind w:firstLine="482" w:firstLineChars="200"/>
              <w:rPr>
                <w:rFonts w:ascii="仿宋" w:hAnsi="仿宋" w:eastAsia="仿宋" w:cs="仿宋"/>
                <w:sz w:val="24"/>
                <w:highlight w:val="red"/>
              </w:rPr>
            </w:pPr>
            <w:r>
              <w:rPr>
                <w:rFonts w:hint="eastAsia" w:ascii="仿宋" w:hAnsi="仿宋" w:eastAsia="仿宋" w:cs="仿宋"/>
                <w:b/>
                <w:bCs/>
                <w:sz w:val="24"/>
                <w:highlight w:val="none"/>
              </w:rPr>
              <w:t>2、常规巡检为固定单价12.5万元/年，不参与报价评分。</w:t>
            </w:r>
          </w:p>
        </w:tc>
      </w:tr>
    </w:tbl>
    <w:p>
      <w:pPr>
        <w:spacing w:line="360" w:lineRule="auto"/>
        <w:ind w:firstLine="241" w:firstLineChars="100"/>
        <w:outlineLvl w:val="1"/>
        <w:rPr>
          <w:rFonts w:ascii="仿宋" w:hAnsi="仿宋" w:eastAsia="仿宋" w:cs="仿宋"/>
          <w:b/>
          <w:bCs/>
          <w:sz w:val="24"/>
          <w:lang w:val="zh-CN"/>
        </w:rPr>
      </w:pPr>
      <w:r>
        <w:rPr>
          <w:rFonts w:hint="eastAsia" w:ascii="仿宋" w:hAnsi="仿宋" w:eastAsia="仿宋" w:cs="仿宋"/>
          <w:b/>
          <w:bCs/>
          <w:sz w:val="24"/>
        </w:rPr>
        <w:t>六、排水管检测标准</w:t>
      </w:r>
      <w:r>
        <w:rPr>
          <w:rFonts w:hint="eastAsia" w:ascii="仿宋" w:hAnsi="仿宋" w:eastAsia="仿宋" w:cs="仿宋"/>
          <w:b/>
          <w:bCs/>
          <w:sz w:val="24"/>
          <w:lang w:val="zh-CN"/>
        </w:rPr>
        <w:t>：</w:t>
      </w:r>
      <w:bookmarkEnd w:id="27"/>
    </w:p>
    <w:p>
      <w:pPr>
        <w:spacing w:line="360" w:lineRule="auto"/>
        <w:ind w:firstLine="480" w:firstLineChars="200"/>
        <w:rPr>
          <w:rFonts w:ascii="仿宋" w:hAnsi="仿宋" w:eastAsia="仿宋" w:cs="仿宋"/>
          <w:sz w:val="24"/>
        </w:rPr>
      </w:pPr>
      <w:r>
        <w:rPr>
          <w:rFonts w:hint="eastAsia" w:ascii="仿宋" w:hAnsi="仿宋" w:eastAsia="仿宋" w:cs="仿宋"/>
          <w:sz w:val="24"/>
        </w:rPr>
        <w:t>排水管道检测需要遵循以下各项要求：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1、《城乡排水工程项目规范》GB 55027-2022；</w:t>
      </w:r>
    </w:p>
    <w:p>
      <w:pPr>
        <w:spacing w:line="360" w:lineRule="auto"/>
        <w:ind w:firstLine="480" w:firstLineChars="200"/>
        <w:rPr>
          <w:rFonts w:ascii="仿宋" w:hAnsi="仿宋" w:eastAsia="仿宋" w:cs="仿宋"/>
          <w:sz w:val="24"/>
        </w:rPr>
      </w:pPr>
      <w:r>
        <w:rPr>
          <w:rFonts w:hint="eastAsia" w:ascii="仿宋" w:hAnsi="仿宋" w:eastAsia="仿宋" w:cs="仿宋"/>
          <w:sz w:val="24"/>
        </w:rPr>
        <w:t>2、《城镇排水管道非开挖修复更新工程技术规程》CJJ/T 210-2014；</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3、《城镇排水管渠与泵站运行、维护及安全技术规程》CJJ68-2016；</w:t>
      </w:r>
    </w:p>
    <w:p>
      <w:pPr>
        <w:spacing w:line="360" w:lineRule="auto"/>
        <w:ind w:firstLine="480" w:firstLineChars="200"/>
        <w:rPr>
          <w:rFonts w:ascii="仿宋" w:hAnsi="仿宋" w:eastAsia="仿宋" w:cs="仿宋"/>
          <w:sz w:val="24"/>
        </w:rPr>
      </w:pPr>
      <w:r>
        <w:rPr>
          <w:rFonts w:hint="eastAsia" w:ascii="仿宋" w:hAnsi="仿宋" w:eastAsia="仿宋" w:cs="仿宋"/>
          <w:sz w:val="24"/>
        </w:rPr>
        <w:t>4、《中华人民共和国道路交通安全法》；</w:t>
      </w:r>
    </w:p>
    <w:p>
      <w:pPr>
        <w:spacing w:line="360" w:lineRule="auto"/>
        <w:ind w:firstLine="480" w:firstLineChars="200"/>
        <w:rPr>
          <w:rFonts w:ascii="仿宋" w:hAnsi="仿宋" w:eastAsia="仿宋" w:cs="仿宋"/>
          <w:sz w:val="24"/>
        </w:rPr>
      </w:pPr>
      <w:r>
        <w:rPr>
          <w:rFonts w:hint="eastAsia" w:ascii="仿宋" w:hAnsi="仿宋" w:eastAsia="仿宋" w:cs="仿宋"/>
          <w:sz w:val="24"/>
        </w:rPr>
        <w:t>5、其它相关的行业、地方、或者厂矿单位的法规、规程、规定及要求；</w:t>
      </w:r>
    </w:p>
    <w:p>
      <w:pPr>
        <w:spacing w:line="360" w:lineRule="auto"/>
        <w:ind w:firstLine="241" w:firstLineChars="100"/>
        <w:outlineLvl w:val="1"/>
        <w:rPr>
          <w:rFonts w:ascii="仿宋" w:hAnsi="仿宋" w:eastAsia="仿宋" w:cs="仿宋"/>
          <w:b/>
          <w:sz w:val="24"/>
        </w:rPr>
      </w:pPr>
      <w:bookmarkStart w:id="28" w:name="_Toc11473"/>
      <w:r>
        <w:rPr>
          <w:rFonts w:hint="eastAsia" w:ascii="仿宋" w:hAnsi="仿宋" w:eastAsia="仿宋" w:cs="仿宋"/>
          <w:b/>
          <w:sz w:val="24"/>
        </w:rPr>
        <w:t>七、 具体要求</w:t>
      </w:r>
      <w:bookmarkEnd w:id="28"/>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1、管道CCTV检测工作范围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1.1 进行环境保护的污水泄漏检测；</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1.2 不明污水处渗入来源检测；</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1.3 管路淤积、排水不畅等原因的调查；</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1.4 可直接排放污水与须处理污水的合流情况检测；</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1.5 管道的腐蚀、破损、接口错位、淤积、结垢等运行状况的检测；</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1.6 查找因排水系统或基建施工而找不到的检修井或去向不明管段；</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2、管道CCTV检测要求</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 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检测任务较简单及工作量较小时，上述程序可酌情简化。</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 管道检测前应搜集如下资料：</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2.2.1 已有排水管线图；</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2.2.2 管道的竣工图或施工图等技术资料；</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2.2.3 已有管道检测资料；</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2.2.4 评估所需的相关资料。</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 现场踏勘应包括下列内容：</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2.3.1 察看测区的地物、地貌、交通和管道分布情况；</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2.3.2 开井目视检查管道的水位、淤泥和井内构造等情况；</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2.3.3 核对所搜集资料中的人井位置、管位、管径、材质等。</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 技术检测方案应包括下列内容：</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2.4.1 检测任务的委托方、施工方，检测任务、目的和工期要求；</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2.4.2 管道概况、现场交通条件及对已有资料的分析；</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2.4.3 技术方案(包括管道检测及预处理)；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2.4.4 作业质量、健康、安全、交通组织、环保等保证体系与具体措施；</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2.4.5 可能存在的问题和对策；</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2.4.6 工作量估算及工作进度计划；</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2.4.7 人员组织、设备、材料计划；</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2.4.8 拟提交的成果资料。</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2.5 现场管道检测应包括下列内容：</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2.5.1 设立施工现场围栏和安全标志，必要时须按道路交通管理部门的指示封闭道路后再作业；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2.5.2 管道预处理，如封堵、吸污、清洗、抽水等；</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2.5.3 仪器设备自检；</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2.5.4 管道实地检测与初步判读。对发现的重大缺陷问题应及时报知委托方或委托方指定的现场监理；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2.5.5 检测完成后应及时清理现场，保养设备。</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 缺陷分布图的编绘应符合下列要求：</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2.6.2 管道缺陷图上必须注明的缺陷要素包括：录像文件（带）编号、检测方向、缺陷位置、代码及照片编号、管径和相对距离等；</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2.6.3 图上的代码和颜色应按本规程规定执行。</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 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 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 管道检测成果资料应按档案管理中统一载体、装订规格的要求，分为文字、表、图和光盘（录象带）四大类进行编号和组卷。</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 管道检测成果可置入数字市政系统，并建立动态管理机制。</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2.11 管道检测现场施工必须执行现行的行业标准《排水管道检测与修复安全技术规程》CJJ6的有关规定。</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2.12  普查类检测项目的质量控制宜采用监理模式，现场监理应全程见证现场检测过程，并及时确认管道的重大缺陷。</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2.13 检测设备的技术要求</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2.13.1 摄像头高度可自由调整；爬行器的车轮直径大小或者轴间距可根据被检测管道的大小进行更换或调整；灯光强度能调节。</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2.13.2 闭路电视系统和手持式电视检测系统的技术要求应符合下表的规定。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闭路电视检测系统摄像镜头主要技术指标要求</w:t>
      </w:r>
    </w:p>
    <w:tbl>
      <w:tblPr>
        <w:tblStyle w:val="22"/>
        <w:tblW w:w="0" w:type="auto"/>
        <w:jc w:val="center"/>
        <w:tblLayout w:type="fixed"/>
        <w:tblCellMar>
          <w:top w:w="0" w:type="dxa"/>
          <w:left w:w="108" w:type="dxa"/>
          <w:bottom w:w="0" w:type="dxa"/>
          <w:right w:w="108" w:type="dxa"/>
        </w:tblCellMar>
      </w:tblPr>
      <w:tblGrid>
        <w:gridCol w:w="1740"/>
        <w:gridCol w:w="3600"/>
        <w:gridCol w:w="3195"/>
      </w:tblGrid>
      <w:tr>
        <w:tblPrEx>
          <w:tblCellMar>
            <w:top w:w="0" w:type="dxa"/>
            <w:left w:w="108" w:type="dxa"/>
            <w:bottom w:w="0" w:type="dxa"/>
            <w:right w:w="108" w:type="dxa"/>
          </w:tblCellMar>
        </w:tblPrEx>
        <w:trPr>
          <w:trHeight w:val="90"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项  目</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技 术 指 标</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镜头种类</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直视</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扫视与旋转</w:t>
            </w:r>
          </w:p>
        </w:tc>
      </w:tr>
      <w:tr>
        <w:tblPrEx>
          <w:tblCellMar>
            <w:top w:w="0" w:type="dxa"/>
            <w:left w:w="108" w:type="dxa"/>
            <w:bottom w:w="0" w:type="dxa"/>
            <w:right w:w="108" w:type="dxa"/>
          </w:tblCellMar>
        </w:tblPrEx>
        <w:trPr>
          <w:trHeight w:val="306"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成像单元</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肌 CCD</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肌 CCD</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分辨率</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像素512 x 492，水平≥330 TVL</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像素512 x 492，水平≥400 TVL</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灵敏度（最低感光度）</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≤1勒克斯（lux）</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≤1勒克斯（lux）</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视角</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≥45度</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≥45度</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 </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 </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扫视：210º，旋转：355º</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防水性能</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水下4bar</w:t>
            </w:r>
          </w:p>
        </w:tc>
        <w:tc>
          <w:tcPr>
            <w:tcW w:w="3195"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水下1bar</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监视器</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图像变形</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≤±5%</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屏幕</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≥250mm（对角线）真彩色</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灯光</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≥1500坎德拉（cd）</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影象记录模式</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录像带或DVD光盘</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电缆抗拉强度</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≥200千克力</w:t>
            </w:r>
          </w:p>
        </w:tc>
      </w:tr>
      <w:tr>
        <w:tblPrEx>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电缆长度</w:t>
            </w:r>
          </w:p>
        </w:tc>
        <w:tc>
          <w:tcPr>
            <w:tcW w:w="6795" w:type="dxa"/>
            <w:gridSpan w:val="2"/>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both"/>
              <w:rPr>
                <w:rFonts w:ascii="仿宋" w:hAnsi="仿宋" w:eastAsia="仿宋" w:cs="仿宋"/>
                <w:sz w:val="24"/>
                <w:szCs w:val="24"/>
              </w:rPr>
            </w:pPr>
            <w:r>
              <w:rPr>
                <w:rFonts w:hint="eastAsia" w:ascii="仿宋" w:hAnsi="仿宋" w:eastAsia="仿宋" w:cs="仿宋"/>
                <w:sz w:val="24"/>
                <w:szCs w:val="24"/>
              </w:rPr>
              <w:t>推杆式≥30米，爬行器式≥120米</w:t>
            </w:r>
          </w:p>
        </w:tc>
      </w:tr>
    </w:tbl>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2.13.3 检测设备结构坚固，密封良好，能在-10°C至+50°C的气温条件下和潮湿的环境中正常工作，宜配有防爆系统和防水系统。</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2.13.4 实施管道结构性检测的摄像头宜具备旋转/仰俯功能，以满足侧向摄影要求。</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2.13.5 检测设备须具备距离计数功能，电缆计数测量仪最低计量单位为0.1m，精度误差不大于0.3m或±1%。</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2.13.6 电缆长度120米时，爬行器的爬坡能力应大于5度。</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2.13.7 检测设备应符合现行的国家标准《爆炸性气体环境用电气设备》GB3836的有关规定。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2.13.8 对新购置的或经过大修及长期停用后重新启用的设备，应按说明书的要求进行检查和校正。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2.14 影像资料要求：</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2.14.1 缺陷的类型和代码宜在现场确认并记录。现场检测完毕后，应由第二者根据录象复核。</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2.14.2 缺陷的几何尺寸应比照管径或相关物体的尺寸判定。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2.14.3 对无法确定的缺陷类型或等级必须在评估报告中加以说明。</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2.14.4 缺陷图片应采用现场抓取最佳角度和最清晰图片的方式，特殊情况下也可采用观看录像抓取图片方式。</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3.管道疏通要求</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通过对排水管道进行疏通养护，可有效的避免污水漫溢及道路积水，确保人们的正常的生产和生活，同时对城市的雨季抗洪提供重要的基础条件。</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3.1排水管道疏通方法</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排水管道疏通就是清除排水管道内的垃圾和沉积积泥等物体，保障管道排水畅通。其根据疏通方式不同可分为机械疏通、水力疏通以及人工疏通等方法。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3.1.1推杆和转杆疏通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推杆疏通就是用人力将竹片、钢条等工具推入管道内清除堵塞的疏通方法；钻杆疏通就是是采用旋转疏通杆的方式来清除管道堵塞的疏通方法，又称为软轴疏通或弹簧疏通。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转杆疏通机按动力不同可分为手动、电动和内燃机几种，目前我国生产的只有手动和电动二种，电动疏通机在室外使用时供电比较麻烦。转杆机配有不同功能的钻头，用以疏通树根、泥沙、布条等不同堵塞物，其效果比推杆疏通更好。</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通沟钢条 转杆疏通机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3.1.2射水疏通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射水疏通是指采用高压射水清通管道的疏通方法。其效率高、疏通质量好，近20年来在我国许多城市已逐步被采用。射水疏通在支管等小型管中效果特别好。在非满管的情况下能彻底清除管壁油垢和管道污泥。如果装上一种带旋转链条的特殊喷头，还可以清除管内固结的水泥浆。联合吸污车在射水 可清除水泥浆的射水喷头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3.1.3绞车疏通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绞车疏通是许多城市的排水管道主要疏通方法。其主要设备包括绞车、滑轮架和通沟牛。绞车可分为手动和机动二种；其主要原理为通过沟牛在管道内的来回移动，将积泥清理至检查井内，然后将积泥捞出，运送至垃圾填埋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3.1.4水力疏通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水力疏通就是采用提高管渠上下游水位差，加大流速来疏通管渠的一种方法。其要求管道疏通必须达到0.7m/s左右的自清流速。对于目前城 绞车、滑轮架和通沟牛 沈阳的机动绞车 不同通的沟牛市的排水管道来说，除靠近泵站的少数管道外，大部分管道内水流无法达到此流速，因此无法进行管道的水力疏通。</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3.1.5人工疏通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人工疏通就是由作业人员直接进入管道内进行管道清理作业的方法，其主要适用于大型管道（管道直径不小于800mm）的疏通作业。人工疏通效果好，但存在安全隐患。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3.2排水管道疏通方法的选择</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对于管道疏通方法的选择需考虑各种因素，包括管径、管内的沉积深度以及沉积性质，还包括一些外部的环境等。但我们在管道疏通过程中可根据管道内部实际沉积状况和实际条件，遵循水力疏通—射水疏通—绞车疏通—推杆和转杆疏通—人工疏通的先后顺序选择疏通方法。也可以根据现实情况在上述方法中进行组合选择，确保选择最省时、省力和费用最低的方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3.3排水管道疏通施工</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3.3.1施工流程</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收集原有管线资料和施工现场查勘：由养护人员根据收集到的管线资料，对施工现场进行勘探并且记录，为施工准备工程计划及施工现场安全维护</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为保障现场施工安全，在进行管道疏通施工前，需对施工现场进行全封闭的安全维护。由于施工现场为一般的临时性维护，因此所采用的安全维护装备主要为施工护栏、三角护锥以及警戒带等，现场安全维护方式如下：</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3.3.2管道封堵及排水施工：</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按照排水管道封堵技术要求，对于需要清淤的管道采用橡皮管塞或砖墙进行临时封堵，封堵遵循先上游后下游的封堵方式进行施工。待管道封堵完成后，使用水泵将封堵范围内管道内部的积水临时排至下游管网内。</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3.3.3窖井清捞：</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将窖井内的垃圾和石头等杂物捞出外运；</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3.3.4管道清洗疏通：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使用高压射水车，通过高压射水的强大压力，通过高压射水头在管道内的来回移动，使高压水流不断冲洗管壁，将管道内部的淤泥清理至检查井内，从而达到彻底清理管壁的效果，确保清洗后管壁无残留物，高压射水车的工作原理如下：高压射水清洗：另外管道堵点在清洗后达到水流畅通，对于管道堵塞严重的点，必要时配合绞车或人工疏通进行。其中对于一些大型管道（包括特大型管道），由于其管径较大，因此高压射水疏通堵点达不到预期的效果，对于此类型的管道堵点疏通采用绞车疏通方式进行。绞车疏通：在管道两端分别设臵绞车，管道内放臵通沟牛，通过绞车在管道两段来回牵引通沟牛，将管道内的淤泥分别清理至管道两端的检查井内，在管道内淤泥基本清理完成后，再使用高压射水车将管道内壁清洗干净。</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3.3.5淤泥外运：</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当管道清洗完成后，在检查井内气体符合安全要求后，由施工人员佩戴自供气式呼吸面具进入检查井，先使用高压射水对检查井井壁进行仔细清洗，然后将检查井内原有的以及由排水管道内清理出的垃圾、淤泥等杂物捞出至地面，确保检查井干净、见底、无残留物。所有淤泥垃圾必须装袋并转运至建设方制定的淤泥堆放地点；</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3.3.6拆封通水：</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管道疏通完成后，将管道封堵拆除，保持水流畅通。</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4.管道疏通可达到的质量要求</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管道畅通无阻，每次清淤疏通后管内积淤深度不能超过1/5管径；</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窨井内无硬块杂物，井内四壁清洁；</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窨井盖框平稳不动摇、无缺损、无安全隐患、无渗漏。</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下水道疏通清理一般遵循由下而上的原则，即清理从排水流向的下游开始，逐渐向上游推进。管道和窨井的疏通、清捞、调换窨井盖及清淤时产生的污泥进行装车、输送到指定处理厂或填埋点。管道的清洗疏通按照施工流程进行操作，以保障施工的质量。管道疏通完成后，采用新科技、新设备对疏通管段进行质量检查，如采用声纳或CCTV对管道进行质量检查，确保工程质量达标。</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4.1特殊工程施工措施</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4.1.1管道封堵：</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由专业潜水员对管道实施封堵，封堵的顺序为先对管道上游实施封堵，再对管道下游进行封堵，必要时还需对沿线排水支管进行临时封堵。</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4.1.2管道清洗疏通：</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在管道清洗疏通过程中，结合管道内部情况，对于硬质水泥结块等射水疏通无法清理的，辅以人工进行疏通。</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4.1.3淤泥外运：</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为保障环境整洁，所有疏通淤泥必须清运至垃圾填埋场，且保证在运输过程中路面无散落。拟采用罐式运输车进行淤泥外运。</w:t>
      </w:r>
      <w:bookmarkStart w:id="29" w:name="_Toc24483"/>
    </w:p>
    <w:p>
      <w:pPr>
        <w:autoSpaceDE w:val="0"/>
        <w:autoSpaceDN w:val="0"/>
        <w:spacing w:line="360" w:lineRule="auto"/>
        <w:ind w:firstLine="241" w:firstLineChars="100"/>
        <w:rPr>
          <w:rFonts w:ascii="仿宋" w:hAnsi="仿宋" w:eastAsia="仿宋" w:cs="仿宋"/>
          <w:b/>
          <w:sz w:val="24"/>
        </w:rPr>
      </w:pPr>
      <w:r>
        <w:rPr>
          <w:rFonts w:hint="eastAsia" w:ascii="仿宋" w:hAnsi="仿宋" w:eastAsia="仿宋" w:cs="仿宋"/>
          <w:b/>
          <w:sz w:val="24"/>
        </w:rPr>
        <w:t>八、项目成果</w:t>
      </w:r>
      <w:bookmarkEnd w:id="29"/>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完成本项目的实施后，根据采购人的要求，提供书面及电子版本的成果文件。在项目实施过程中，要求投标单位每完成一个区域的检测后，即时出具本区域的成果报告，以便采购人安排其他工作的开展。在项目全部实施完成后，出具完整的最终成果报告，成果报告包括应包括成果表数据、检测录像数据、 缺陷照片数据、 缺陷分布图数据、技术设计书、检测报告书等。书面资料数量：一式陆份。  </w:t>
      </w:r>
    </w:p>
    <w:p>
      <w:pPr>
        <w:autoSpaceDE w:val="0"/>
        <w:autoSpaceDN w:val="0"/>
        <w:spacing w:line="360" w:lineRule="auto"/>
        <w:ind w:firstLine="241" w:firstLineChars="100"/>
        <w:outlineLvl w:val="1"/>
        <w:rPr>
          <w:rFonts w:ascii="仿宋" w:hAnsi="仿宋" w:eastAsia="仿宋" w:cs="仿宋"/>
          <w:b/>
          <w:sz w:val="24"/>
        </w:rPr>
      </w:pPr>
      <w:bookmarkStart w:id="30" w:name="_Toc222"/>
      <w:r>
        <w:rPr>
          <w:rFonts w:hint="eastAsia" w:ascii="仿宋" w:hAnsi="仿宋" w:eastAsia="仿宋" w:cs="仿宋"/>
          <w:b/>
          <w:sz w:val="24"/>
        </w:rPr>
        <w:t>九、检测及维修处置进度要求</w:t>
      </w:r>
      <w:bookmarkEnd w:id="30"/>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投标单位须安排人员，在任务单规定时间内完成所有项目的检测，在完成检测后10个工作日内出具相应的成果报告及影像资料等。根据检测报告和任务单及时安排维修施工作业，待修复完成后再行安排CCTV复检，直至合格。（同一故障点的CCTV复检不另行计费，复检须出具相应的成果报告及影像资料等）</w:t>
      </w:r>
    </w:p>
    <w:p>
      <w:pPr>
        <w:rPr>
          <w:rFonts w:ascii="仿宋" w:hAnsi="仿宋" w:eastAsia="仿宋" w:cs="仿宋"/>
          <w:b/>
          <w:sz w:val="24"/>
        </w:rPr>
      </w:pPr>
      <w:r>
        <w:rPr>
          <w:rFonts w:hint="eastAsia" w:ascii="仿宋" w:hAnsi="仿宋" w:eastAsia="仿宋" w:cs="仿宋"/>
          <w:b/>
          <w:sz w:val="24"/>
        </w:rPr>
        <w:br w:type="page"/>
      </w:r>
    </w:p>
    <w:p>
      <w:pPr>
        <w:pStyle w:val="51"/>
        <w:spacing w:line="360" w:lineRule="auto"/>
        <w:ind w:firstLine="241"/>
        <w:rPr>
          <w:b w:val="0"/>
          <w:bCs/>
          <w:highlight w:val="none"/>
        </w:rPr>
      </w:pPr>
      <w:r>
        <w:rPr>
          <w:rFonts w:hint="eastAsia" w:ascii="仿宋" w:hAnsi="仿宋" w:eastAsia="仿宋" w:cs="仿宋"/>
          <w:b/>
          <w:sz w:val="24"/>
          <w:szCs w:val="24"/>
          <w:highlight w:val="none"/>
        </w:rPr>
        <w:t>十、考核标准：</w:t>
      </w:r>
      <w:r>
        <w:rPr>
          <w:rFonts w:hint="eastAsia" w:ascii="仿宋" w:hAnsi="仿宋" w:eastAsia="仿宋" w:cs="仿宋"/>
          <w:bCs/>
          <w:kern w:val="2"/>
          <w:sz w:val="24"/>
          <w:szCs w:val="24"/>
          <w:lang w:val="en-US" w:eastAsia="zh-CN" w:bidi="ar-SA"/>
        </w:rPr>
        <w:t>按照《吴兴区公用事业管理中心市政养护管理考核办法》(最新版)执行，如后期相关作业标准和考核有新要求，乙方应无条件服从。</w:t>
      </w:r>
    </w:p>
    <w:p>
      <w:pPr>
        <w:autoSpaceDE w:val="0"/>
        <w:autoSpaceDN w:val="0"/>
        <w:spacing w:line="360" w:lineRule="auto"/>
        <w:ind w:firstLine="241" w:firstLineChars="100"/>
        <w:outlineLvl w:val="1"/>
        <w:rPr>
          <w:rFonts w:ascii="仿宋" w:hAnsi="仿宋" w:eastAsia="仿宋" w:cs="仿宋"/>
          <w:b/>
          <w:sz w:val="24"/>
        </w:rPr>
      </w:pPr>
      <w:bookmarkStart w:id="31" w:name="_Toc3656"/>
      <w:r>
        <w:rPr>
          <w:rFonts w:hint="eastAsia" w:ascii="仿宋" w:hAnsi="仿宋" w:eastAsia="仿宋" w:cs="仿宋"/>
          <w:b/>
          <w:sz w:val="24"/>
        </w:rPr>
        <w:t>十一、其他要求</w:t>
      </w:r>
      <w:bookmarkEnd w:id="31"/>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1、如招标人有任务安排或需处理的事宜，投标单位须在承诺时间内到达现场配合招标人工作，如未在承诺时间内响应并到达，则每次扣款5000元。</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2、未尽事宜以招投标文件和最终签订的合同约定为准。</w:t>
      </w:r>
    </w:p>
    <w:p>
      <w:pPr>
        <w:autoSpaceDE w:val="0"/>
        <w:autoSpaceDN w:val="0"/>
        <w:spacing w:line="360" w:lineRule="auto"/>
        <w:ind w:firstLine="241" w:firstLineChars="100"/>
        <w:outlineLvl w:val="1"/>
        <w:rPr>
          <w:rFonts w:ascii="仿宋" w:hAnsi="仿宋" w:eastAsia="仿宋" w:cs="仿宋"/>
          <w:b/>
          <w:sz w:val="24"/>
        </w:rPr>
      </w:pPr>
      <w:bookmarkStart w:id="32" w:name="_Toc30763"/>
      <w:r>
        <w:rPr>
          <w:rFonts w:hint="eastAsia" w:ascii="仿宋" w:hAnsi="仿宋" w:eastAsia="仿宋" w:cs="仿宋"/>
          <w:b/>
          <w:sz w:val="24"/>
        </w:rPr>
        <w:t>十二、项目服务周期</w:t>
      </w:r>
      <w:bookmarkEnd w:id="32"/>
    </w:p>
    <w:p>
      <w:pPr>
        <w:autoSpaceDE w:val="0"/>
        <w:autoSpaceDN w:val="0"/>
        <w:spacing w:line="360" w:lineRule="auto"/>
        <w:ind w:firstLine="480" w:firstLineChars="200"/>
        <w:outlineLvl w:val="1"/>
        <w:rPr>
          <w:rFonts w:ascii="仿宋" w:hAnsi="仿宋" w:eastAsia="仿宋" w:cs="仿宋"/>
          <w:bCs/>
          <w:sz w:val="24"/>
        </w:rPr>
      </w:pPr>
      <w:r>
        <w:rPr>
          <w:rFonts w:hint="eastAsia" w:ascii="仿宋" w:hAnsi="仿宋" w:eastAsia="仿宋" w:cs="仿宋"/>
          <w:bCs/>
          <w:sz w:val="24"/>
        </w:rPr>
        <w:t>自合同签订生效之日起计算，服务期达到2年或者中标人实施实际产生的费用达到500万元时终止本项目合同。</w:t>
      </w:r>
    </w:p>
    <w:p>
      <w:pPr>
        <w:autoSpaceDE w:val="0"/>
        <w:autoSpaceDN w:val="0"/>
        <w:spacing w:line="360" w:lineRule="auto"/>
        <w:ind w:firstLine="241" w:firstLineChars="100"/>
        <w:outlineLvl w:val="1"/>
        <w:rPr>
          <w:rFonts w:ascii="仿宋" w:hAnsi="仿宋" w:eastAsia="仿宋" w:cs="仿宋"/>
          <w:b/>
          <w:sz w:val="24"/>
        </w:rPr>
      </w:pPr>
      <w:bookmarkStart w:id="33" w:name="_Toc5074"/>
      <w:r>
        <w:rPr>
          <w:rFonts w:hint="eastAsia" w:ascii="仿宋" w:hAnsi="仿宋" w:eastAsia="仿宋" w:cs="仿宋"/>
          <w:b/>
          <w:sz w:val="24"/>
        </w:rPr>
        <w:t>十三、结算方式</w:t>
      </w:r>
      <w:bookmarkEnd w:id="33"/>
    </w:p>
    <w:p>
      <w:pPr>
        <w:autoSpaceDE w:val="0"/>
        <w:autoSpaceDN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本项目中维修处置及检测等结算按以下两种方式执行。（结算费用=下浮前总价*中标折扣，最终结算以审计为准）</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（一）套用定额计价方式：</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1、有关定额、规范等依据：</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（1）《浙江省市政设施养护维修预算定额》（2018版）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（2）《建设工程工程量清单计价规范》（GB50500-2013）及建设工程工程量计算规范（2013）浙江省补充规定</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（3）《市政工程工程量计算规范》（GB50857-2013）</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（4）《浙江省市政工程预算定额》（2018版）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（5）《浙江省建设工程计价规则》（2018版）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2、取费标准：</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（1）本项目按市政工程取费。</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（2）企业管理费、利润根据《浙江省建设工程计价规则》（2018版）规定，按照控制价编制口径，以中间值计取。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（3）施工组织措施项目费根据《浙江省建设工程计价规则》（2018版）规定的市政土建工程中间值计取，其中安全文本施工基本费按非市区工程计取。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（4）规费：其费率根据《浙江省建设工程计价规则》（2018版）规定计取。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（5）税金按增值税（按一般计税方法）计取，根据浙建建发[2019]92号规定费率按9%计取。税率政策有调整的按实计取。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（6）标化工地增加费及其他项目费（优质工程增加费及施工总承包服务费）不计。</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3、造价信息：</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材料价格参照《湖州市建设工程造价信息》（施工期当月或跨月取平均）及同期《浙江造价信息》，人工价格参照《湖州市建设工程造价信息》（施工期当月或跨月取平均）。基本原则为参照《湖州市建设工程造价信息》中湖州市区栏，湖州市区栏没有的参照同期《浙江造价信息》。</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（二）无法套用定额的计价方式：按实际发生的人工、材料、机械计取，工程量按监理、业主签证为准，人工、材料、机械按当月信息价计，没有信息价的按市场价计，该费用只计取税金。</w:t>
      </w:r>
    </w:p>
    <w:p>
      <w:pPr>
        <w:autoSpaceDE w:val="0"/>
        <w:autoSpaceDN w:val="0"/>
        <w:spacing w:line="360" w:lineRule="auto"/>
        <w:rPr>
          <w:rFonts w:ascii="仿宋" w:hAnsi="仿宋" w:eastAsia="仿宋" w:cs="仿宋"/>
          <w:bCs/>
          <w:sz w:val="24"/>
          <w:highlight w:val="none"/>
        </w:rPr>
      </w:pPr>
      <w:r>
        <w:rPr>
          <w:rFonts w:hint="eastAsia" w:ascii="仿宋" w:hAnsi="仿宋" w:eastAsia="仿宋" w:cs="仿宋"/>
          <w:bCs/>
          <w:sz w:val="24"/>
          <w:highlight w:val="none"/>
        </w:rPr>
        <w:t>注：1.运输各类人员至现场施工的车辆不计台班。</w:t>
      </w:r>
    </w:p>
    <w:p>
      <w:pPr>
        <w:pStyle w:val="29"/>
        <w:ind w:firstLine="480"/>
        <w:rPr>
          <w:highlight w:val="none"/>
        </w:rPr>
      </w:pPr>
      <w:r>
        <w:rPr>
          <w:rFonts w:hint="eastAsia" w:ascii="仿宋" w:hAnsi="仿宋" w:eastAsia="仿宋" w:cs="仿宋"/>
          <w:bCs/>
          <w:sz w:val="24"/>
          <w:szCs w:val="24"/>
          <w:highlight w:val="none"/>
        </w:rPr>
        <w:t>2.实际完成工程量由施工方上报甲方、监理、审计，经三方审核确认为准。</w:t>
      </w:r>
    </w:p>
    <w:p>
      <w:pPr>
        <w:autoSpaceDE w:val="0"/>
        <w:autoSpaceDN w:val="0"/>
        <w:spacing w:line="360" w:lineRule="auto"/>
        <w:ind w:firstLine="241" w:firstLineChars="100"/>
        <w:outlineLvl w:val="1"/>
        <w:rPr>
          <w:rFonts w:ascii="仿宋" w:hAnsi="仿宋" w:eastAsia="仿宋" w:cs="仿宋"/>
          <w:b/>
          <w:sz w:val="24"/>
        </w:rPr>
      </w:pPr>
      <w:bookmarkStart w:id="34" w:name="_Toc17885"/>
      <w:r>
        <w:rPr>
          <w:rFonts w:hint="eastAsia" w:ascii="仿宋" w:hAnsi="仿宋" w:eastAsia="仿宋" w:cs="仿宋"/>
          <w:b/>
          <w:sz w:val="24"/>
        </w:rPr>
        <w:t>十四、商务响应表</w:t>
      </w:r>
      <w:bookmarkEnd w:id="34"/>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4"/>
        <w:gridCol w:w="7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服务期限</w:t>
            </w:r>
          </w:p>
        </w:tc>
        <w:tc>
          <w:tcPr>
            <w:tcW w:w="7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2年（自合同签订生效之日起2年止）</w:t>
            </w:r>
            <w:r>
              <w:rPr>
                <w:rFonts w:hint="eastAsia" w:ascii="仿宋" w:hAnsi="仿宋" w:eastAsia="仿宋" w:cs="仿宋"/>
                <w:sz w:val="24"/>
                <w:lang w:val="en-US" w:eastAsia="zh-CN"/>
              </w:rPr>
              <w:t>或</w:t>
            </w:r>
            <w:r>
              <w:rPr>
                <w:rFonts w:hint="eastAsia" w:ascii="仿宋" w:hAnsi="仿宋" w:eastAsia="仿宋" w:cs="仿宋"/>
                <w:color w:val="000000"/>
                <w:sz w:val="24"/>
                <w:szCs w:val="24"/>
                <w:highlight w:val="none"/>
              </w:rPr>
              <w:t>乙方实施实际产生的费用达到500万元时终止本合同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73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r>
              <w:rPr>
                <w:rFonts w:hint="eastAsia" w:ascii="仿宋" w:hAnsi="仿宋" w:eastAsia="仿宋" w:cs="仿宋"/>
                <w:sz w:val="24"/>
              </w:rPr>
              <w:t>服务地点</w:t>
            </w:r>
          </w:p>
        </w:tc>
        <w:tc>
          <w:tcPr>
            <w:tcW w:w="781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r>
              <w:rPr>
                <w:rFonts w:hint="eastAsia"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付款条件</w:t>
            </w:r>
          </w:p>
        </w:tc>
        <w:tc>
          <w:tcPr>
            <w:tcW w:w="7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合同总价分为三部分：常规巡检、维修处置、管道检测。</w:t>
            </w:r>
          </w:p>
          <w:p>
            <w:pPr>
              <w:spacing w:line="360" w:lineRule="auto"/>
              <w:rPr>
                <w:rFonts w:ascii="仿宋" w:hAnsi="仿宋" w:eastAsia="仿宋"/>
                <w:sz w:val="24"/>
                <w:highlight w:val="none"/>
              </w:rPr>
            </w:pPr>
            <w:r>
              <w:rPr>
                <w:rFonts w:hint="eastAsia" w:ascii="仿宋" w:hAnsi="仿宋" w:eastAsia="仿宋"/>
                <w:sz w:val="24"/>
                <w:highlight w:val="none"/>
              </w:rPr>
              <w:t>每满6个月进行审计，结合考核扣款情况，支付维修处置、管道检测部分审定价的80%及当期常规巡检费，剩余款项待合同期满后付清。（预付款在第一期付款中一次性扣回。）</w:t>
            </w:r>
          </w:p>
          <w:p>
            <w:pPr>
              <w:spacing w:line="360" w:lineRule="auto"/>
              <w:rPr>
                <w:rFonts w:ascii="仿宋" w:hAnsi="仿宋" w:eastAsia="仿宋" w:cs="仿宋"/>
                <w:b/>
                <w:bCs/>
                <w:sz w:val="24"/>
              </w:rPr>
            </w:pPr>
            <w:r>
              <w:rPr>
                <w:rFonts w:hint="eastAsia" w:ascii="仿宋" w:hAnsi="仿宋" w:eastAsia="仿宋"/>
                <w:sz w:val="24"/>
                <w:highlight w:val="none"/>
              </w:rPr>
              <w:t>注：其中常规巡检为固定总价25万,签订合同乙方进场后，甲方向乙方支付预付款，预付款为合同总价中常规巡检部分的40%，即10万元。如签订合同时中标方明确表示无需预付款或者主动要求降低预付款比例的可不适用前述规定。</w:t>
            </w:r>
          </w:p>
        </w:tc>
      </w:tr>
    </w:tbl>
    <w:p>
      <w:pPr>
        <w:spacing w:line="360" w:lineRule="auto"/>
        <w:jc w:val="center"/>
      </w:pPr>
    </w:p>
    <w:p>
      <w:pPr>
        <w:spacing w:line="360" w:lineRule="auto"/>
        <w:rPr>
          <w:rFonts w:ascii="仿宋" w:hAnsi="仿宋" w:eastAsia="仿宋"/>
          <w:sz w:val="24"/>
        </w:rPr>
      </w:pPr>
      <w:r>
        <w:rPr>
          <w:rFonts w:hint="eastAsia" w:ascii="仿宋" w:hAnsi="仿宋" w:eastAsia="仿宋"/>
          <w:sz w:val="24"/>
        </w:rPr>
        <w:t xml:space="preserve">注：扶持政策说明： </w:t>
      </w:r>
    </w:p>
    <w:p>
      <w:pPr>
        <w:spacing w:line="360" w:lineRule="auto"/>
        <w:rPr>
          <w:rFonts w:ascii="仿宋" w:hAnsi="仿宋" w:eastAsia="仿宋"/>
          <w:sz w:val="24"/>
        </w:rPr>
      </w:pPr>
      <w:r>
        <w:rPr>
          <w:rFonts w:hint="eastAsia" w:ascii="仿宋" w:hAnsi="仿宋" w:eastAsia="仿宋"/>
          <w:sz w:val="24"/>
        </w:rPr>
        <w:t>1、本项目采购标的对应的中小企业划分标准所属行业为</w:t>
      </w:r>
      <w:r>
        <w:rPr>
          <w:rFonts w:hint="eastAsia" w:ascii="仿宋" w:hAnsi="仿宋" w:eastAsia="仿宋"/>
          <w:sz w:val="24"/>
          <w:u w:val="single"/>
        </w:rPr>
        <w:t>其他未列明行业</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2、依据《政府采购促进中小企业发展管理办法》（财库【2020】46号）规定享受扶持政策获得政府采购合同的，小微企业不得将合同分包给大中型企业，中型企业不得将合同分包给大型企业。</w:t>
      </w:r>
    </w:p>
    <w:p>
      <w:pPr>
        <w:spacing w:line="360" w:lineRule="auto"/>
        <w:rPr>
          <w:rFonts w:ascii="仿宋" w:hAnsi="仿宋" w:eastAsia="仿宋"/>
          <w:sz w:val="24"/>
        </w:rPr>
      </w:pPr>
      <w:r>
        <w:rPr>
          <w:rFonts w:hint="eastAsia" w:ascii="仿宋" w:hAnsi="仿宋" w:eastAsia="仿宋"/>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仿宋" w:hAnsi="仿宋" w:eastAsia="仿宋"/>
          <w:sz w:val="24"/>
        </w:rPr>
      </w:pPr>
      <w:r>
        <w:rPr>
          <w:rFonts w:hint="eastAsia" w:ascii="仿宋" w:hAnsi="仿宋" w:eastAsia="仿宋"/>
          <w:sz w:val="24"/>
        </w:rPr>
        <w:t>4、符合中小企业划分标准的个体工商户，在政府采购活动中视同中小企业。</w:t>
      </w:r>
    </w:p>
    <w:p>
      <w:pPr>
        <w:spacing w:line="360" w:lineRule="auto"/>
        <w:rPr>
          <w:rFonts w:ascii="仿宋" w:hAnsi="仿宋" w:eastAsia="仿宋"/>
          <w:sz w:val="24"/>
        </w:rPr>
      </w:pPr>
      <w:r>
        <w:rPr>
          <w:rFonts w:hint="eastAsia" w:ascii="仿宋" w:hAnsi="仿宋" w:eastAsia="仿宋"/>
          <w:sz w:val="24"/>
        </w:rPr>
        <w:t>5、在政府采购活动中，供应商提供的货物、工程或者服务符合下列情形的，享受本办法规定的中小企业扶持政策：</w:t>
      </w:r>
    </w:p>
    <w:p>
      <w:pPr>
        <w:spacing w:line="360" w:lineRule="auto"/>
        <w:rPr>
          <w:rFonts w:ascii="仿宋" w:hAnsi="仿宋" w:eastAsia="仿宋"/>
          <w:sz w:val="24"/>
        </w:rPr>
      </w:pPr>
      <w:r>
        <w:rPr>
          <w:rFonts w:hint="eastAsia" w:ascii="仿宋" w:hAnsi="仿宋" w:eastAsia="仿宋"/>
          <w:sz w:val="24"/>
        </w:rPr>
        <w:t>6、在货物采购项目中，货物由中小企业制造，即货物由中小企业生产且使用该中小企业商号或者注册商标；</w:t>
      </w:r>
    </w:p>
    <w:p>
      <w:pPr>
        <w:spacing w:line="360" w:lineRule="auto"/>
        <w:rPr>
          <w:rFonts w:ascii="仿宋" w:hAnsi="仿宋" w:eastAsia="仿宋"/>
          <w:sz w:val="24"/>
        </w:rPr>
      </w:pPr>
      <w:r>
        <w:rPr>
          <w:rFonts w:hint="eastAsia" w:ascii="仿宋" w:hAnsi="仿宋" w:eastAsia="仿宋"/>
          <w:sz w:val="24"/>
        </w:rPr>
        <w:t>7、在工程采购项目中，工程由中小企业承建，即工程施工单位为中小企业；</w:t>
      </w:r>
    </w:p>
    <w:p>
      <w:pPr>
        <w:spacing w:line="360" w:lineRule="auto"/>
        <w:rPr>
          <w:rFonts w:ascii="仿宋" w:hAnsi="仿宋" w:eastAsia="仿宋"/>
          <w:sz w:val="24"/>
        </w:rPr>
      </w:pPr>
      <w:r>
        <w:rPr>
          <w:rFonts w:hint="eastAsia" w:ascii="仿宋" w:hAnsi="仿宋" w:eastAsia="仿宋"/>
          <w:sz w:val="24"/>
        </w:rPr>
        <w:t>8、在服务采购项目中，服务由中小企业承接，即提供服务的人员为中小企业依照《中华人民共和国劳动合同法》订立劳动合同的从业人员。</w:t>
      </w:r>
    </w:p>
    <w:p>
      <w:pPr>
        <w:spacing w:line="360" w:lineRule="auto"/>
        <w:rPr>
          <w:rFonts w:ascii="仿宋" w:hAnsi="仿宋" w:eastAsia="仿宋"/>
          <w:sz w:val="24"/>
        </w:rPr>
      </w:pPr>
      <w:r>
        <w:rPr>
          <w:rFonts w:hint="eastAsia" w:ascii="仿宋" w:hAnsi="仿宋" w:eastAsia="仿宋"/>
          <w:sz w:val="24"/>
        </w:rPr>
        <w:t>9、在货物采购项目中，供应商提供的货物既有中小企业制造货物，也有大型企业制造货物的，不享受本办法规定的中小企业扶持政策。</w:t>
      </w:r>
    </w:p>
    <w:p>
      <w:pPr>
        <w:spacing w:line="360" w:lineRule="auto"/>
        <w:rPr>
          <w:rFonts w:ascii="仿宋" w:hAnsi="仿宋" w:eastAsia="仿宋"/>
          <w:sz w:val="24"/>
        </w:rPr>
      </w:pPr>
      <w:r>
        <w:rPr>
          <w:rFonts w:hint="eastAsia" w:ascii="仿宋" w:hAnsi="仿宋" w:eastAsia="仿宋"/>
          <w:sz w:val="24"/>
        </w:rPr>
        <w:t>10、以联合体形式参加政府采购活动，联合体各方均为中小企业的，联合体视同中小企业。其中，联合体各方均为小微企业的，联合体视同小微企业。</w:t>
      </w:r>
    </w:p>
    <w:p>
      <w:pPr>
        <w:spacing w:line="360" w:lineRule="auto"/>
        <w:rPr>
          <w:rFonts w:ascii="仿宋" w:hAnsi="仿宋" w:eastAsia="仿宋"/>
          <w:sz w:val="24"/>
        </w:rPr>
      </w:pPr>
      <w:r>
        <w:rPr>
          <w:rFonts w:hint="eastAsia" w:ascii="仿宋" w:hAnsi="仿宋" w:eastAsia="仿宋"/>
          <w:sz w:val="24"/>
        </w:rPr>
        <w:t>11、监狱企业参加政府采购提供《监狱企业声明函》（见附件）及其相关的充分的证明材料的，视为小型、微型企业，享受小微企业政策扶持；监狱企业属于小型、微型企业的，不重复享受政策。</w:t>
      </w:r>
    </w:p>
    <w:p>
      <w:pPr>
        <w:spacing w:line="360" w:lineRule="auto"/>
        <w:rPr>
          <w:rFonts w:ascii="仿宋" w:hAnsi="仿宋" w:eastAsia="仿宋"/>
          <w:sz w:val="24"/>
        </w:rPr>
      </w:pPr>
      <w:r>
        <w:rPr>
          <w:rFonts w:hint="eastAsia" w:ascii="仿宋" w:hAnsi="仿宋" w:eastAsia="仿宋"/>
          <w:sz w:val="24"/>
        </w:rPr>
        <w:t>12、残疾人福利性单位参加政府采购提供《残疾人福利性单位声明函》（格式见附件），视为小型、微型企业，享受小微企业政策扶持；残疾人福利性单位属于小型、微型企业的，不重复享受政策。</w:t>
      </w:r>
    </w:p>
    <w:p>
      <w:pPr>
        <w:pStyle w:val="12"/>
        <w:spacing w:line="360" w:lineRule="auto"/>
        <w:ind w:left="0" w:leftChars="0" w:firstLine="0" w:firstLineChars="0"/>
      </w:pPr>
      <w:r>
        <w:rPr>
          <w:rFonts w:hint="eastAsia" w:ascii="仿宋" w:hAnsi="仿宋" w:eastAsia="仿宋"/>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bookmarkEnd w:id="21"/>
    <w:p>
      <w:pPr>
        <w:pStyle w:val="3"/>
        <w:keepNext w:val="0"/>
        <w:pageBreakBefore/>
        <w:spacing w:line="360" w:lineRule="auto"/>
        <w:rPr>
          <w:rFonts w:ascii="仿宋" w:hAnsi="仿宋" w:eastAsia="仿宋" w:cs="仿宋"/>
          <w:bCs/>
          <w:szCs w:val="30"/>
        </w:rPr>
      </w:pPr>
      <w:bookmarkStart w:id="35" w:name="_Toc22678"/>
      <w:bookmarkStart w:id="36" w:name="_Toc27233"/>
      <w:bookmarkStart w:id="37" w:name="_Toc11750"/>
      <w:r>
        <w:rPr>
          <w:rFonts w:hint="eastAsia" w:ascii="仿宋" w:hAnsi="仿宋" w:eastAsia="仿宋" w:cs="仿宋"/>
          <w:sz w:val="32"/>
        </w:rPr>
        <w:t>第三章  投标人须知</w:t>
      </w:r>
      <w:bookmarkEnd w:id="35"/>
      <w:bookmarkEnd w:id="36"/>
      <w:bookmarkEnd w:id="37"/>
      <w:bookmarkStart w:id="38" w:name="_Toc98731777"/>
      <w:bookmarkStart w:id="39" w:name="_Toc130094928"/>
      <w:bookmarkStart w:id="40" w:name="_Toc98731756"/>
      <w:bookmarkStart w:id="41" w:name="_Toc130094913"/>
    </w:p>
    <w:p>
      <w:pPr>
        <w:jc w:val="center"/>
      </w:pPr>
      <w:r>
        <w:rPr>
          <w:rFonts w:hint="eastAsia" w:ascii="仿宋" w:hAnsi="仿宋" w:eastAsia="仿宋" w:cs="仿宋"/>
          <w:b/>
          <w:bCs/>
          <w:sz w:val="30"/>
          <w:szCs w:val="30"/>
        </w:rPr>
        <w:t>前附表</w:t>
      </w:r>
    </w:p>
    <w:tbl>
      <w:tblPr>
        <w:tblStyle w:val="22"/>
        <w:tblW w:w="926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序号</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w:t>
            </w:r>
          </w:p>
        </w:tc>
        <w:tc>
          <w:tcPr>
            <w:tcW w:w="8523"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cs="仿宋"/>
                <w:spacing w:val="-14"/>
                <w:sz w:val="24"/>
              </w:rPr>
            </w:pPr>
            <w:r>
              <w:rPr>
                <w:rFonts w:hint="eastAsia" w:ascii="仿宋" w:hAnsi="仿宋" w:eastAsia="仿宋" w:cs="仿宋"/>
                <w:sz w:val="24"/>
                <w:shd w:val="clear" w:color="auto" w:fill="FFFFFF" w:themeFill="background1"/>
              </w:rPr>
              <w:t>项目名称：雨污水管网维护及应急处置项目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2</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3</w:t>
            </w:r>
          </w:p>
        </w:tc>
        <w:tc>
          <w:tcPr>
            <w:tcW w:w="8523"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cs="仿宋"/>
                <w:sz w:val="24"/>
              </w:rPr>
            </w:pPr>
            <w:r>
              <w:rPr>
                <w:rFonts w:hint="eastAsia" w:ascii="仿宋" w:hAnsi="仿宋" w:eastAsia="仿宋" w:cs="仿宋"/>
                <w:sz w:val="24"/>
              </w:rPr>
              <w:t>投标报价及费用：本项目投标应以人民币报价；2、不论投标结果如何，投标人均应自行承担所有与投标有关的全部费用。</w:t>
            </w:r>
            <w:r>
              <w:rPr>
                <w:rFonts w:hint="eastAsia" w:ascii="仿宋" w:hAnsi="仿宋" w:eastAsia="仿宋"/>
                <w:sz w:val="24"/>
              </w:rPr>
              <w:t>本项目代理服务费</w:t>
            </w:r>
            <w:r>
              <w:rPr>
                <w:rFonts w:hint="eastAsia" w:ascii="仿宋" w:hAnsi="仿宋" w:eastAsia="仿宋" w:cs="仿宋"/>
                <w:b/>
                <w:sz w:val="24"/>
                <w:highlight w:val="none"/>
                <w:u w:val="single"/>
              </w:rPr>
              <w:t>36000</w:t>
            </w:r>
            <w:r>
              <w:rPr>
                <w:rFonts w:hint="eastAsia" w:ascii="仿宋" w:hAnsi="仿宋" w:eastAsia="仿宋"/>
                <w:sz w:val="24"/>
                <w:u w:val="single"/>
              </w:rPr>
              <w:t>元</w:t>
            </w:r>
            <w:r>
              <w:rPr>
                <w:rFonts w:hint="eastAsia" w:ascii="仿宋" w:hAnsi="仿宋" w:eastAsia="仿宋"/>
                <w:sz w:val="24"/>
              </w:rPr>
              <w:t>由相应中标人支付。在确定中标人后，领取中标通知书</w:t>
            </w:r>
            <w:r>
              <w:rPr>
                <w:rFonts w:hint="eastAsia" w:ascii="仿宋" w:hAnsi="仿宋" w:eastAsia="仿宋" w:cs="宋体"/>
                <w:sz w:val="24"/>
              </w:rPr>
              <w:t>的当天一次性结清</w:t>
            </w:r>
            <w:r>
              <w:rPr>
                <w:rFonts w:hint="eastAsia" w:ascii="仿宋" w:hAnsi="仿宋" w:eastAsia="仿宋"/>
                <w:sz w:val="24"/>
              </w:rPr>
              <w:t>，请各投标人自行考虑计入投标报价中。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4</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5</w:t>
            </w:r>
          </w:p>
        </w:tc>
        <w:tc>
          <w:tcPr>
            <w:tcW w:w="8523" w:type="dxa"/>
            <w:tcBorders>
              <w:top w:val="single" w:color="auto" w:sz="4" w:space="0"/>
              <w:left w:val="nil"/>
              <w:bottom w:val="single" w:color="auto" w:sz="4" w:space="0"/>
              <w:right w:val="single" w:color="auto" w:sz="4" w:space="0"/>
            </w:tcBorders>
            <w:vAlign w:val="center"/>
          </w:tcPr>
          <w:p>
            <w:pPr>
              <w:snapToGrid w:val="0"/>
              <w:spacing w:line="500" w:lineRule="exact"/>
              <w:rPr>
                <w:rFonts w:ascii="仿宋" w:hAnsi="仿宋" w:eastAsia="仿宋" w:cs="仿宋"/>
                <w:b/>
                <w:sz w:val="24"/>
              </w:rPr>
            </w:pPr>
            <w:r>
              <w:rPr>
                <w:rFonts w:hint="eastAsia" w:ascii="仿宋" w:hAnsi="仿宋" w:eastAsia="仿宋" w:cs="仿宋"/>
                <w:sz w:val="24"/>
                <w:shd w:val="clear" w:color="auto" w:fill="FFFFFF" w:themeFill="background1"/>
              </w:rPr>
              <w:t>采购预算：500万元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6</w:t>
            </w:r>
          </w:p>
        </w:tc>
        <w:tc>
          <w:tcPr>
            <w:tcW w:w="8523"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1、投标文件的制作：本项目实行电子招投标。</w:t>
            </w:r>
          </w:p>
          <w:p>
            <w:pPr>
              <w:snapToGrid w:val="0"/>
              <w:spacing w:line="273" w:lineRule="auto"/>
              <w:rPr>
                <w:rFonts w:ascii="仿宋" w:hAnsi="仿宋" w:eastAsia="仿宋" w:cs="仿宋"/>
                <w:sz w:val="24"/>
              </w:rPr>
            </w:pPr>
            <w:r>
              <w:rPr>
                <w:rFonts w:hint="eastAsia" w:ascii="仿宋" w:hAnsi="仿宋" w:eastAsia="仿宋" w:cs="仿宋"/>
                <w:sz w:val="24"/>
              </w:rPr>
              <w:t>2、投标人应按要求提供电子投标文件及数据电子备份投标文件（U盘），具体内容如下：</w:t>
            </w:r>
          </w:p>
          <w:p>
            <w:pPr>
              <w:snapToGrid w:val="0"/>
              <w:spacing w:line="273" w:lineRule="auto"/>
              <w:rPr>
                <w:rFonts w:ascii="仿宋" w:hAnsi="仿宋" w:eastAsia="仿宋" w:cs="仿宋"/>
                <w:sz w:val="24"/>
              </w:rPr>
            </w:pPr>
            <w:r>
              <w:rPr>
                <w:rFonts w:hint="eastAsia" w:ascii="仿宋" w:hAnsi="仿宋" w:eastAsia="仿宋" w:cs="仿宋"/>
                <w:sz w:val="24"/>
              </w:rPr>
              <w:t>（1）电子投标文件：按政采云平台项目采购-电子交易操作指南及本招标文件要求制作、加密并递交，超过上传时间的视为放弃投标资格，作未递交投标文件处理；</w:t>
            </w:r>
          </w:p>
          <w:p>
            <w:pPr>
              <w:snapToGrid w:val="0"/>
              <w:spacing w:line="273" w:lineRule="auto"/>
              <w:rPr>
                <w:rFonts w:ascii="仿宋" w:hAnsi="仿宋" w:eastAsia="仿宋" w:cs="仿宋"/>
                <w:sz w:val="24"/>
              </w:rPr>
            </w:pPr>
            <w:r>
              <w:rPr>
                <w:rFonts w:hint="eastAsia" w:ascii="仿宋" w:hAnsi="仿宋" w:eastAsia="仿宋" w:cs="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7</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shd w:val="pct10" w:color="auto" w:fill="FFFFFF"/>
              </w:rPr>
            </w:pPr>
            <w:r>
              <w:rPr>
                <w:rFonts w:hint="eastAsia" w:ascii="仿宋" w:hAnsi="仿宋" w:eastAsia="仿宋" w:cs="仿宋"/>
                <w:sz w:val="24"/>
              </w:rPr>
              <w:t>投标截止时间：</w:t>
            </w:r>
            <w:r>
              <w:rPr>
                <w:rFonts w:hint="eastAsia" w:ascii="仿宋" w:hAnsi="仿宋" w:eastAsia="仿宋" w:cs="仿宋"/>
                <w:sz w:val="24"/>
                <w:highlight w:val="none"/>
                <w:shd w:val="pct10" w:color="auto" w:fill="FFFFFF"/>
              </w:rPr>
              <w:t>2023年</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月</w:t>
            </w:r>
            <w:r>
              <w:rPr>
                <w:rFonts w:hint="eastAsia" w:ascii="仿宋" w:hAnsi="仿宋" w:eastAsia="仿宋" w:cs="仿宋"/>
                <w:sz w:val="24"/>
                <w:highlight w:val="none"/>
                <w:shd w:val="pct10" w:color="auto" w:fill="FFFFFF"/>
                <w:lang w:val="en-US" w:eastAsia="zh-CN"/>
              </w:rPr>
              <w:t>9</w:t>
            </w:r>
            <w:r>
              <w:rPr>
                <w:rFonts w:hint="eastAsia" w:ascii="仿宋" w:hAnsi="仿宋" w:eastAsia="仿宋" w:cs="仿宋"/>
                <w:sz w:val="24"/>
                <w:highlight w:val="none"/>
                <w:shd w:val="pct10" w:color="auto" w:fill="FFFFFF"/>
              </w:rPr>
              <w:t>日</w:t>
            </w:r>
            <w:r>
              <w:rPr>
                <w:rFonts w:hint="eastAsia" w:ascii="仿宋" w:hAnsi="仿宋" w:eastAsia="仿宋" w:cs="仿宋"/>
                <w:sz w:val="24"/>
                <w:highlight w:val="none"/>
                <w:shd w:val="pct10" w:color="auto" w:fill="FFFFFF"/>
                <w:lang w:val="en-US" w:eastAsia="zh-CN"/>
              </w:rPr>
              <w:t>13</w:t>
            </w:r>
            <w:r>
              <w:rPr>
                <w:rFonts w:hint="eastAsia" w:ascii="仿宋" w:hAnsi="仿宋" w:eastAsia="仿宋" w:cs="仿宋"/>
                <w:sz w:val="24"/>
                <w:highlight w:val="none"/>
                <w:shd w:val="pct10" w:color="auto" w:fill="FFFFFF"/>
              </w:rPr>
              <w:t>:</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0时；</w:t>
            </w:r>
          </w:p>
          <w:p>
            <w:pPr>
              <w:snapToGrid w:val="0"/>
              <w:spacing w:line="273" w:lineRule="auto"/>
              <w:rPr>
                <w:rFonts w:ascii="仿宋" w:hAnsi="仿宋" w:eastAsia="仿宋" w:cs="仿宋"/>
                <w:sz w:val="24"/>
              </w:rPr>
            </w:pPr>
            <w:r>
              <w:rPr>
                <w:rFonts w:hint="eastAsia" w:ascii="仿宋" w:hAnsi="仿宋" w:eastAsia="仿宋" w:cs="仿宋"/>
                <w:sz w:val="24"/>
              </w:rPr>
              <w:t>投标地点：（1）本项目通过“政府采购云平台（www.zcygov.cn）”实行在线投标响应（电子投标）；</w:t>
            </w:r>
          </w:p>
          <w:p>
            <w:pPr>
              <w:snapToGrid w:val="0"/>
              <w:spacing w:line="273" w:lineRule="auto"/>
              <w:rPr>
                <w:rFonts w:ascii="仿宋" w:hAnsi="仿宋" w:eastAsia="仿宋" w:cs="仿宋"/>
                <w:sz w:val="24"/>
              </w:rPr>
            </w:pPr>
            <w:r>
              <w:rPr>
                <w:rFonts w:hint="eastAsia" w:ascii="仿宋" w:hAnsi="仿宋" w:eastAsia="仿宋" w:cs="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8</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开标时间：</w:t>
            </w:r>
            <w:r>
              <w:rPr>
                <w:rFonts w:hint="eastAsia" w:ascii="仿宋" w:hAnsi="仿宋" w:eastAsia="仿宋" w:cs="仿宋"/>
                <w:sz w:val="24"/>
                <w:highlight w:val="none"/>
                <w:shd w:val="pct10" w:color="auto" w:fill="FFFFFF"/>
              </w:rPr>
              <w:t>2023年</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月</w:t>
            </w:r>
            <w:r>
              <w:rPr>
                <w:rFonts w:hint="eastAsia" w:ascii="仿宋" w:hAnsi="仿宋" w:eastAsia="仿宋" w:cs="仿宋"/>
                <w:sz w:val="24"/>
                <w:highlight w:val="none"/>
                <w:shd w:val="pct10" w:color="auto" w:fill="FFFFFF"/>
                <w:lang w:val="en-US" w:eastAsia="zh-CN"/>
              </w:rPr>
              <w:t>9</w:t>
            </w:r>
            <w:r>
              <w:rPr>
                <w:rFonts w:hint="eastAsia" w:ascii="仿宋" w:hAnsi="仿宋" w:eastAsia="仿宋" w:cs="仿宋"/>
                <w:sz w:val="24"/>
                <w:highlight w:val="none"/>
                <w:shd w:val="pct10" w:color="auto" w:fill="FFFFFF"/>
              </w:rPr>
              <w:t>日</w:t>
            </w:r>
            <w:r>
              <w:rPr>
                <w:rFonts w:hint="eastAsia" w:ascii="仿宋" w:hAnsi="仿宋" w:eastAsia="仿宋" w:cs="仿宋"/>
                <w:sz w:val="24"/>
                <w:highlight w:val="none"/>
                <w:shd w:val="pct10" w:color="auto" w:fill="FFFFFF"/>
                <w:lang w:val="en-US" w:eastAsia="zh-CN"/>
              </w:rPr>
              <w:t>13</w:t>
            </w:r>
            <w:r>
              <w:rPr>
                <w:rFonts w:hint="eastAsia" w:ascii="仿宋" w:hAnsi="仿宋" w:eastAsia="仿宋" w:cs="仿宋"/>
                <w:sz w:val="24"/>
                <w:highlight w:val="none"/>
                <w:shd w:val="pct10" w:color="auto" w:fill="FFFFFF"/>
              </w:rPr>
              <w:t>:</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0时；</w:t>
            </w:r>
          </w:p>
          <w:p>
            <w:pPr>
              <w:snapToGrid w:val="0"/>
              <w:spacing w:line="273" w:lineRule="auto"/>
              <w:rPr>
                <w:rFonts w:ascii="仿宋" w:hAnsi="仿宋" w:eastAsia="仿宋" w:cs="仿宋"/>
                <w:sz w:val="24"/>
              </w:rPr>
            </w:pPr>
            <w:r>
              <w:rPr>
                <w:rFonts w:hint="eastAsia" w:ascii="仿宋" w:hAnsi="仿宋" w:eastAsia="仿宋" w:cs="仿宋"/>
                <w:sz w:val="24"/>
              </w:rPr>
              <w:t>地点：湖州市吴兴区公共资源交易中心（湖州市吴兴区区府路1188号总部自由港E幢4楼）。</w:t>
            </w:r>
          </w:p>
          <w:p>
            <w:pPr>
              <w:snapToGrid w:val="0"/>
              <w:spacing w:line="273" w:lineRule="auto"/>
              <w:ind w:firstLine="480" w:firstLineChars="200"/>
              <w:rPr>
                <w:rFonts w:ascii="仿宋" w:hAnsi="仿宋" w:eastAsia="仿宋" w:cs="仿宋"/>
                <w:sz w:val="24"/>
              </w:rPr>
            </w:pPr>
            <w:r>
              <w:rPr>
                <w:rFonts w:hint="eastAsia" w:ascii="仿宋" w:hAnsi="仿宋" w:eastAsia="仿宋" w:cs="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pPr>
              <w:snapToGrid w:val="0"/>
              <w:spacing w:line="273" w:lineRule="auto"/>
              <w:ind w:firstLine="480" w:firstLineChars="200"/>
              <w:rPr>
                <w:rFonts w:ascii="仿宋" w:hAnsi="仿宋" w:eastAsia="仿宋" w:cs="仿宋"/>
                <w:sz w:val="24"/>
              </w:rPr>
            </w:pPr>
            <w:r>
              <w:rPr>
                <w:rFonts w:hint="eastAsia" w:ascii="仿宋" w:hAnsi="仿宋" w:eastAsia="仿宋" w:cs="仿宋"/>
                <w:sz w:val="24"/>
              </w:rPr>
              <w:t>2、数据电子备份投标文件（U 盘）：以 U 盘形式提供的数据电子备份投标文件格式及内容须与政采云平台项目采购-电子交易操作指南中制作、加密并递交的电子投标文件格式及内容一致。递交方式：</w:t>
            </w:r>
          </w:p>
          <w:p>
            <w:pPr>
              <w:snapToGrid w:val="0"/>
              <w:spacing w:line="273" w:lineRule="auto"/>
              <w:ind w:firstLine="480" w:firstLineChars="200"/>
              <w:rPr>
                <w:rFonts w:ascii="仿宋" w:hAnsi="仿宋" w:eastAsia="仿宋" w:cs="仿宋"/>
                <w:sz w:val="24"/>
              </w:rPr>
            </w:pPr>
            <w:r>
              <w:rPr>
                <w:rFonts w:hint="eastAsia" w:ascii="仿宋" w:hAnsi="仿宋" w:eastAsia="仿宋" w:cs="仿宋"/>
                <w:sz w:val="24"/>
              </w:rPr>
              <w:t>因疫情原因，数据电子备份投标文件（U盘）应通过邮寄快递方式送达，邮寄地址为：杭州建业造价工程师事务所有限公司[湖州市清远路409号华成时代大</w:t>
            </w:r>
            <w:r>
              <w:rPr>
                <w:rFonts w:hint="eastAsia" w:ascii="仿宋" w:hAnsi="仿宋" w:eastAsia="仿宋" w:cs="仿宋"/>
                <w:sz w:val="24"/>
                <w:highlight w:val="none"/>
              </w:rPr>
              <w:t>厦4层405]，联系人：杨中成，联系电话： 15868280407。邮寄截止时间：投标人应于2023年</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:00时</w:t>
            </w:r>
            <w:r>
              <w:rPr>
                <w:rFonts w:hint="eastAsia" w:ascii="仿宋" w:hAnsi="仿宋" w:eastAsia="仿宋" w:cs="仿宋"/>
                <w:sz w:val="24"/>
              </w:rPr>
              <w:t xml:space="preserve">前准时送达，逾期不予受理。投标人须留足投标文件邮寄时间,确保数据电子备份投标文件（U盘）于规定的时间前送达指定地点，未按时送达的，均按未提供处理。    </w:t>
            </w:r>
          </w:p>
          <w:p>
            <w:pPr>
              <w:snapToGrid w:val="0"/>
              <w:spacing w:line="273" w:lineRule="auto"/>
              <w:ind w:firstLine="480" w:firstLineChars="200"/>
              <w:rPr>
                <w:rFonts w:ascii="仿宋" w:hAnsi="仿宋" w:eastAsia="仿宋" w:cs="仿宋"/>
                <w:sz w:val="24"/>
              </w:rPr>
            </w:pPr>
            <w:r>
              <w:rPr>
                <w:rFonts w:hint="eastAsia" w:ascii="仿宋" w:hAnsi="仿宋" w:eastAsia="仿宋" w:cs="仿宋"/>
                <w:sz w:val="24"/>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9</w:t>
            </w:r>
          </w:p>
        </w:tc>
        <w:tc>
          <w:tcPr>
            <w:tcW w:w="8523"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10</w:t>
            </w:r>
          </w:p>
        </w:tc>
        <w:tc>
          <w:tcPr>
            <w:tcW w:w="852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中标结果公告：采购人依法确定中标后 2 个工作日内，公告发布网址如下：</w:t>
            </w:r>
          </w:p>
          <w:p>
            <w:pPr>
              <w:spacing w:line="360" w:lineRule="auto"/>
              <w:rPr>
                <w:rFonts w:ascii="仿宋" w:hAnsi="仿宋" w:eastAsia="仿宋" w:cs="仿宋"/>
                <w:sz w:val="24"/>
              </w:rPr>
            </w:pPr>
            <w:r>
              <w:rPr>
                <w:rFonts w:hint="eastAsia" w:ascii="仿宋" w:hAnsi="仿宋" w:eastAsia="仿宋" w:cs="仿宋"/>
                <w:sz w:val="24"/>
              </w:rPr>
              <w:t>浙江政府采购网：http://zfcg.czt.zj.gov.cn/；</w:t>
            </w:r>
          </w:p>
          <w:p>
            <w:pPr>
              <w:spacing w:line="360" w:lineRule="auto"/>
              <w:jc w:val="left"/>
              <w:rPr>
                <w:rFonts w:ascii="仿宋" w:hAnsi="仿宋" w:eastAsia="仿宋" w:cs="仿宋"/>
                <w:sz w:val="24"/>
              </w:rPr>
            </w:pPr>
            <w:r>
              <w:rPr>
                <w:rFonts w:hint="eastAsia" w:ascii="仿宋" w:hAnsi="仿宋" w:eastAsia="仿宋" w:cs="仿宋"/>
                <w:sz w:val="24"/>
              </w:rPr>
              <w:t>湖州市公共资源交易网：http://ggzyjy.huzhou.gov.cn/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11</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中标通知书：在发布中标结果公告的同时，向中标人发中标通知书。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12</w:t>
            </w:r>
          </w:p>
        </w:tc>
        <w:tc>
          <w:tcPr>
            <w:tcW w:w="8523"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13</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履约保证金的收取及退还：</w:t>
            </w:r>
            <w:r>
              <w:rPr>
                <w:rFonts w:hint="eastAsia" w:ascii="仿宋" w:hAnsi="仿宋" w:eastAsia="仿宋"/>
                <w:color w:val="000000"/>
                <w:sz w:val="24"/>
              </w:rPr>
              <w:t>按采购预算的1%收取，合同履行完毕后无质量问题7个工作日内一次性无息退还。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14</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招标代理服务费：</w:t>
            </w:r>
            <w:r>
              <w:rPr>
                <w:rFonts w:hint="eastAsia" w:ascii="仿宋" w:hAnsi="仿宋" w:eastAsia="仿宋" w:cs="仿宋"/>
                <w:b/>
                <w:sz w:val="24"/>
                <w:highlight w:val="none"/>
                <w:u w:val="single"/>
              </w:rPr>
              <w:t>36000</w:t>
            </w:r>
            <w:r>
              <w:rPr>
                <w:rFonts w:hint="eastAsia" w:ascii="仿宋" w:hAnsi="仿宋" w:eastAsia="仿宋" w:cs="仿宋"/>
                <w:b/>
                <w:sz w:val="24"/>
                <w:u w:val="singl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15</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16</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解释：本招标文件的解释权属于招标人。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17</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在确定中标人后，签订合同前，中标人须提供叁份完整的纸质投标文件给采购人，纸质投标文件须与电子投标文件格式及内容一致。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s="仿宋"/>
                <w:sz w:val="24"/>
              </w:rPr>
            </w:pPr>
            <w:r>
              <w:rPr>
                <w:rFonts w:hint="eastAsia" w:ascii="仿宋" w:hAnsi="仿宋" w:eastAsia="仿宋" w:cs="仿宋"/>
                <w:sz w:val="24"/>
              </w:rPr>
              <w:t>18</w:t>
            </w:r>
          </w:p>
        </w:tc>
        <w:tc>
          <w:tcPr>
            <w:tcW w:w="8523"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s="仿宋"/>
                <w:sz w:val="24"/>
              </w:rPr>
            </w:pPr>
            <w:r>
              <w:rPr>
                <w:rFonts w:hint="eastAsia" w:ascii="仿宋" w:hAnsi="仿宋" w:eastAsia="仿宋" w:cs="仿宋"/>
                <w:sz w:val="24"/>
              </w:rPr>
              <w:t>特别说明：政采云公司如对电子化开标及评审程序有调整的，应按调整的程序操作。</w:t>
            </w:r>
          </w:p>
        </w:tc>
      </w:tr>
      <w:bookmarkEnd w:id="38"/>
      <w:bookmarkEnd w:id="39"/>
    </w:tbl>
    <w:p/>
    <w:p/>
    <w:p>
      <w:pPr>
        <w:pStyle w:val="12"/>
      </w:pPr>
    </w:p>
    <w:p>
      <w:pPr>
        <w:pStyle w:val="32"/>
        <w:outlineLvl w:val="1"/>
        <w:rPr>
          <w:rFonts w:ascii="仿宋" w:hAnsi="仿宋" w:eastAsia="仿宋" w:cs="仿宋"/>
          <w:b/>
          <w:color w:val="auto"/>
        </w:rPr>
      </w:pPr>
      <w:bookmarkStart w:id="42" w:name="_Toc5049"/>
      <w:r>
        <w:rPr>
          <w:rFonts w:hint="eastAsia" w:ascii="仿宋" w:hAnsi="仿宋" w:eastAsia="仿宋" w:cs="仿宋"/>
          <w:b/>
          <w:color w:val="auto"/>
        </w:rPr>
        <w:t>一、总 则</w:t>
      </w:r>
      <w:bookmarkEnd w:id="42"/>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（一）适用范围 </w:t>
      </w:r>
    </w:p>
    <w:p>
      <w:pPr>
        <w:spacing w:line="460" w:lineRule="exact"/>
        <w:ind w:firstLine="480" w:firstLineChars="200"/>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sz w:val="24"/>
          <w:u w:val="single"/>
          <w:shd w:val="clear" w:color="auto" w:fill="FFFFFF" w:themeFill="background1"/>
        </w:rPr>
        <w:t>雨污水管网维护及应急处置项目</w:t>
      </w:r>
      <w:r>
        <w:rPr>
          <w:rFonts w:hint="eastAsia" w:ascii="仿宋" w:hAnsi="仿宋" w:eastAsia="仿宋" w:cs="仿宋"/>
          <w:sz w:val="24"/>
        </w:rPr>
        <w:t xml:space="preserve">的招标、投标、评标、定标、验收、合同履约、付款等行为（法律、法规另有规定的，从其规定）。 </w:t>
      </w:r>
    </w:p>
    <w:p>
      <w:pPr>
        <w:pStyle w:val="32"/>
        <w:spacing w:line="460" w:lineRule="exact"/>
        <w:ind w:firstLine="480" w:firstLineChars="200"/>
        <w:rPr>
          <w:rFonts w:ascii="仿宋" w:hAnsi="仿宋" w:eastAsia="仿宋" w:cs="仿宋"/>
          <w:color w:val="auto"/>
          <w:shd w:val="pct10" w:color="auto" w:fill="FFFFFF"/>
        </w:rPr>
      </w:pPr>
      <w:r>
        <w:rPr>
          <w:rFonts w:hint="eastAsia" w:ascii="仿宋" w:hAnsi="仿宋" w:eastAsia="仿宋" w:cs="仿宋"/>
          <w:color w:val="auto"/>
        </w:rPr>
        <w:t>（二）采购预算：500万元。</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（三）定义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1. 采购人系指组织本次项目采购的</w:t>
      </w:r>
      <w:r>
        <w:rPr>
          <w:rFonts w:hint="eastAsia" w:ascii="仿宋" w:hAnsi="仿宋" w:eastAsia="仿宋" w:cs="仿宋"/>
          <w:b/>
          <w:bCs/>
          <w:color w:val="auto"/>
          <w:u w:val="single"/>
        </w:rPr>
        <w:t>湖州市吴兴区公用事业管理中心；</w:t>
      </w:r>
      <w:r>
        <w:rPr>
          <w:rFonts w:hint="eastAsia" w:ascii="仿宋" w:hAnsi="仿宋" w:eastAsia="仿宋" w:cs="仿宋"/>
          <w:color w:val="auto"/>
        </w:rPr>
        <w:t>采购代理机构系指采购人授权委托代理本项目招标程序的</w:t>
      </w:r>
      <w:r>
        <w:rPr>
          <w:rFonts w:hint="eastAsia" w:ascii="仿宋" w:hAnsi="仿宋" w:eastAsia="仿宋" w:cs="仿宋"/>
          <w:b/>
          <w:color w:val="auto"/>
          <w:u w:val="single"/>
        </w:rPr>
        <w:t>杭州建业造价工程师事务所有限公司</w:t>
      </w:r>
      <w:r>
        <w:rPr>
          <w:rFonts w:hint="eastAsia" w:ascii="仿宋" w:hAnsi="仿宋" w:eastAsia="仿宋" w:cs="仿宋"/>
          <w:color w:val="auto"/>
        </w:rPr>
        <w:t xml:space="preserve">。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2.“投标人”指向采购人提交投标文件的单位。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3. “产品”系指供方按招标文件规定，须向采购人提供的一切产品、保险、税金、备品备件、工具、手册及其它有关技术资料和材料。</w:t>
      </w:r>
    </w:p>
    <w:p>
      <w:pPr>
        <w:pStyle w:val="32"/>
        <w:spacing w:line="460" w:lineRule="exact"/>
        <w:ind w:firstLine="480" w:firstLineChars="200"/>
        <w:rPr>
          <w:rFonts w:ascii="仿宋" w:hAnsi="仿宋" w:eastAsia="仿宋" w:cs="仿宋"/>
          <w:color w:val="auto"/>
          <w:szCs w:val="20"/>
        </w:rPr>
      </w:pPr>
      <w:r>
        <w:rPr>
          <w:rFonts w:hint="eastAsia" w:ascii="仿宋" w:hAnsi="仿宋" w:eastAsia="仿宋" w:cs="仿宋"/>
          <w:color w:val="auto"/>
        </w:rPr>
        <w:t>4.“服务”系指招标文件规定投标人须承担的安装、调试、技术协助、校准、培训、技术指导以及其他类似的义务。</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5.“项目”系指投标人按招标文件规定向采购人提供的服务。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6.“书面形式”包括信函、传真、电报等。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7.“</w:t>
      </w:r>
      <w:r>
        <w:rPr>
          <w:rFonts w:hint="eastAsia" w:ascii="仿宋" w:hAnsi="仿宋" w:eastAsia="仿宋" w:cs="仿宋"/>
        </w:rPr>
        <w:t>▲</w:t>
      </w:r>
      <w:r>
        <w:rPr>
          <w:rFonts w:hint="eastAsia" w:ascii="仿宋" w:hAnsi="仿宋" w:eastAsia="仿宋" w:cs="仿宋"/>
          <w:color w:val="auto"/>
        </w:rPr>
        <w:t xml:space="preserve">”系指实质性要求条款。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（四）采购方式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本次招标采用公开招标方式进行。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（五）投标费用</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投标人应自行承担投标过程中的所有相关费用，不论中标与否，采购人在任何情况下不承担有关费用。</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（六）联合体投标</w:t>
      </w:r>
    </w:p>
    <w:p>
      <w:pPr>
        <w:spacing w:line="460" w:lineRule="exact"/>
        <w:ind w:firstLine="482" w:firstLineChars="200"/>
        <w:jc w:val="left"/>
        <w:rPr>
          <w:rFonts w:ascii="仿宋" w:hAnsi="仿宋" w:eastAsia="仿宋" w:cs="仿宋"/>
          <w:b/>
          <w:kern w:val="0"/>
          <w:sz w:val="24"/>
        </w:rPr>
      </w:pPr>
      <w:r>
        <w:rPr>
          <w:rFonts w:hint="eastAsia" w:ascii="仿宋" w:hAnsi="仿宋" w:eastAsia="仿宋" w:cs="仿宋"/>
          <w:b/>
          <w:sz w:val="24"/>
        </w:rPr>
        <w:t>本项目接受联合体投标，联合体成员总数不得超过2家且联合体各方不得再单独参加或者与其他供应商另外组成联合体参加本项目采购活动，联合体协议中由供应商自行约定联合体牵头人及联合体成员单位。</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（七）转包与分包</w:t>
      </w:r>
    </w:p>
    <w:p>
      <w:pPr>
        <w:spacing w:line="46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本项目不允许转包与分包。</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特别说明：</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1.投标人投标所使用的资格、信誉、荣誉、业绩与企业认证必须为本法人所拥有。投标人投标所使用的采购项目实施人员必须为本法人员工。</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2.投标人应仔细阅读招标文件的所有内容，按照招标文件的要求提交投标文件，并对所提供的全部资料的真实性承担法律责任。</w:t>
      </w:r>
    </w:p>
    <w:p>
      <w:pPr>
        <w:widowControl/>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（八）质疑和投诉</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根据《中华人民共和国财政部令第 94 号-政府采购质疑和投诉办法》第二章规定。</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提出质疑的投标人（以下简称质疑投标人）应当是参与所质疑项目采购活动的投标人。潜在投标人已依法获取其可质疑的招标文件的，可以对该文件提出质疑。对招标文件提出质疑的，应当在获取招标文件或者招标文件公告期限届满之日起 7 个工作日内提出。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 投标人提出质疑应当提交质疑函和必要的证明材料。质疑函应当包括下列内容: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（1）投标人的姓名或者名称、地址、邮编、联系人及联系电话；</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（2）质疑项目的名称、编号；</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（3）具体、明确的质疑事项和与质疑事项相关的请求；</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（4）事实依据；</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（5）必要的法律依据；</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（6）提出质疑的日期。</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投标人为自然人的，应当由本人签字；投标人为法人或者其他组织的，应当由法定代表人、主要负责人，或者其授权代理人签字或者盖章，并加盖公章。</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4.采购人、采购代理机构不得拒收质疑投标人在法定质疑期内发出的质疑函，应当在收到质疑函后 7 个工作日内作出答复，并以书面形式通知质疑投标人和其他有关投标人。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 投标人对评审过程、中标或者中标结果提出质疑的，采购人、采购代理机构可以组织原评标委员会、竞争性谈判小组、询价小组或者竞争性评审小组协助答复质疑。</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6.质疑答复应当包括下列内容：</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（1）质疑投标人的姓名或者名称；</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（2）收到质疑函的日期、质疑项目名称及编号；</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（3）质疑事项、质疑答复的具体内容、事实依据和法律依据；</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（4）告知质疑投标人依法投诉的权利；</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（5）质疑答复人名称；</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（6）答复质疑的日期。</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质疑答复的内容不得涉及商业秘密。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（1）对招标文件提出的质疑，依法通过澄清或者修改可以继续开展采购活动的，澄清或者修改招标文件后继续开展采购活动；否则应当修改招标文件后重新开展采购活动。</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pPr>
        <w:pStyle w:val="32"/>
        <w:outlineLvl w:val="1"/>
        <w:rPr>
          <w:rFonts w:ascii="仿宋" w:hAnsi="仿宋" w:eastAsia="仿宋" w:cs="仿宋"/>
          <w:b/>
          <w:color w:val="auto"/>
        </w:rPr>
      </w:pPr>
      <w:bookmarkStart w:id="43" w:name="_Toc32550"/>
      <w:r>
        <w:rPr>
          <w:rFonts w:hint="eastAsia" w:ascii="仿宋" w:hAnsi="仿宋" w:eastAsia="仿宋" w:cs="仿宋"/>
          <w:b/>
          <w:color w:val="auto"/>
        </w:rPr>
        <w:t>二、招标文件</w:t>
      </w:r>
      <w:bookmarkEnd w:id="43"/>
    </w:p>
    <w:p>
      <w:pPr>
        <w:spacing w:line="460" w:lineRule="exact"/>
        <w:ind w:firstLine="482" w:firstLineChars="200"/>
        <w:rPr>
          <w:rFonts w:ascii="仿宋" w:hAnsi="仿宋" w:eastAsia="仿宋" w:cs="仿宋"/>
          <w:kern w:val="0"/>
          <w:sz w:val="24"/>
        </w:rPr>
      </w:pPr>
      <w:r>
        <w:rPr>
          <w:rFonts w:hint="eastAsia" w:ascii="仿宋" w:hAnsi="仿宋" w:eastAsia="仿宋" w:cs="仿宋"/>
          <w:b/>
          <w:kern w:val="0"/>
          <w:sz w:val="24"/>
        </w:rPr>
        <w:t>（一） 招标文件的构成。本招标文件由以下部分组成：</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1.公开招标公告</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2.招标需求</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3.投标人须知</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4.评标办法及标准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5.合同主要条款</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6.投标格式</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7.本项目招标文件的澄清、答复、修改、补充的内容</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（二）投标人的风险</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投标人没有按照招标文件要求提供全部资料，或者投标人没有对招标文件在各方面作出实质性响应是投标人的风险，并可能导致其投标被拒绝。</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（三）招标文件的澄清与修改</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3.招标文件澄清、答复、修改、补充的内容为招标文件的组成部分。当招标文件与招标文件的答复、澄清、修改、补充通知就同一内容的表述不一致时，以最后发出的书面文件为准。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4.招标文件的澄清、答复、修改或补充都应该通过本采购代理机构以法定形式发布，采购人非通过本采购代理机构，不得擅自澄清、答复、修改或补充招标文件。</w:t>
      </w:r>
    </w:p>
    <w:p>
      <w:pPr>
        <w:pStyle w:val="32"/>
        <w:outlineLvl w:val="1"/>
        <w:rPr>
          <w:rFonts w:ascii="仿宋" w:hAnsi="仿宋" w:eastAsia="仿宋" w:cs="Times New Roman"/>
          <w:b/>
          <w:color w:val="auto"/>
        </w:rPr>
      </w:pPr>
      <w:bookmarkStart w:id="44" w:name="_Toc16925"/>
      <w:r>
        <w:rPr>
          <w:rFonts w:hint="eastAsia" w:ascii="仿宋" w:hAnsi="仿宋" w:eastAsia="仿宋" w:cs="Times New Roman"/>
          <w:b/>
          <w:color w:val="auto"/>
        </w:rPr>
        <w:t>三、投标文件的编制要求</w:t>
      </w:r>
      <w:bookmarkEnd w:id="44"/>
    </w:p>
    <w:p>
      <w:pPr>
        <w:spacing w:line="460" w:lineRule="exact"/>
        <w:rPr>
          <w:rFonts w:ascii="仿宋" w:hAnsi="仿宋" w:eastAsia="仿宋" w:cs="仿宋"/>
          <w:b/>
          <w:kern w:val="0"/>
          <w:sz w:val="24"/>
        </w:rPr>
      </w:pPr>
      <w:r>
        <w:rPr>
          <w:rFonts w:hint="eastAsia" w:ascii="仿宋" w:hAnsi="仿宋" w:eastAsia="仿宋" w:cs="仿宋"/>
          <w:b/>
          <w:kern w:val="0"/>
          <w:sz w:val="24"/>
        </w:rPr>
        <w:t>（一）投标文件的组成（如无格式、格式自拟。）</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投标文件由《资格文件》《技术、商务、资信及其他文件》《报价文件》三部分组成。</w:t>
      </w:r>
    </w:p>
    <w:p>
      <w:pPr>
        <w:spacing w:line="460" w:lineRule="exact"/>
        <w:ind w:firstLine="241" w:firstLineChars="100"/>
        <w:rPr>
          <w:rFonts w:ascii="仿宋" w:hAnsi="仿宋" w:eastAsia="仿宋" w:cs="仿宋"/>
          <w:b/>
          <w:kern w:val="0"/>
          <w:sz w:val="24"/>
        </w:rPr>
      </w:pPr>
      <w:bookmarkStart w:id="45" w:name="_Hlk69641401"/>
      <w:r>
        <w:rPr>
          <w:rFonts w:hint="eastAsia" w:ascii="仿宋" w:hAnsi="仿宋" w:eastAsia="仿宋" w:cs="仿宋"/>
          <w:b/>
          <w:kern w:val="0"/>
          <w:sz w:val="24"/>
        </w:rPr>
        <w:t>1.资格文件主要包括下列内容：</w:t>
      </w:r>
    </w:p>
    <w:p>
      <w:pPr>
        <w:spacing w:line="460" w:lineRule="exact"/>
        <w:ind w:firstLine="235" w:firstLineChars="98"/>
        <w:rPr>
          <w:rFonts w:ascii="仿宋" w:hAnsi="仿宋" w:eastAsia="仿宋" w:cs="仿宋"/>
          <w:b/>
          <w:bCs/>
          <w:kern w:val="0"/>
          <w:sz w:val="24"/>
        </w:rPr>
      </w:pPr>
      <w:r>
        <w:rPr>
          <w:rFonts w:hint="eastAsia" w:ascii="仿宋" w:hAnsi="仿宋" w:eastAsia="仿宋" w:cs="仿宋"/>
          <w:kern w:val="0"/>
          <w:sz w:val="24"/>
        </w:rPr>
        <w:t>①</w:t>
      </w:r>
      <w:r>
        <w:rPr>
          <w:rFonts w:ascii="仿宋" w:hAnsi="仿宋" w:eastAsia="仿宋"/>
          <w:sz w:val="24"/>
        </w:rPr>
        <w:t>有效的营业执照、税务登记证、组织机构代码证或“三证合一”的营业执照或“五证合一”的营业执照；</w:t>
      </w:r>
      <w:r>
        <w:rPr>
          <w:rFonts w:hint="eastAsia" w:ascii="仿宋" w:hAnsi="仿宋" w:eastAsia="仿宋"/>
          <w:b/>
          <w:bCs/>
          <w:sz w:val="24"/>
        </w:rPr>
        <w:t>（资格审查条款，联合体投标的双方均提供）</w:t>
      </w:r>
    </w:p>
    <w:p>
      <w:pPr>
        <w:spacing w:line="460" w:lineRule="exact"/>
        <w:ind w:firstLine="240" w:firstLineChars="100"/>
        <w:rPr>
          <w:rFonts w:ascii="仿宋" w:hAnsi="仿宋" w:eastAsia="仿宋" w:cs="仿宋"/>
          <w:kern w:val="0"/>
          <w:sz w:val="24"/>
        </w:rPr>
      </w:pPr>
      <w:r>
        <w:rPr>
          <w:rFonts w:hint="eastAsia" w:ascii="仿宋" w:hAnsi="仿宋" w:eastAsia="仿宋" w:cs="仿宋"/>
          <w:kern w:val="0"/>
          <w:sz w:val="24"/>
        </w:rPr>
        <w:t>②</w:t>
      </w:r>
      <w:r>
        <w:rPr>
          <w:rFonts w:ascii="仿宋" w:hAnsi="仿宋" w:eastAsia="仿宋"/>
          <w:sz w:val="24"/>
        </w:rPr>
        <w:t>法定代表人有效身份证明书及身份证或法定代表人授权书及授权人身份证；</w:t>
      </w:r>
      <w:r>
        <w:rPr>
          <w:rFonts w:hint="eastAsia" w:ascii="仿宋" w:hAnsi="仿宋" w:eastAsia="仿宋"/>
          <w:b/>
          <w:bCs/>
          <w:sz w:val="24"/>
        </w:rPr>
        <w:t>（资格审查条款，联合体投标的由牵头人提供）</w:t>
      </w:r>
    </w:p>
    <w:p>
      <w:pPr>
        <w:spacing w:line="460" w:lineRule="exact"/>
        <w:ind w:firstLine="240" w:firstLineChars="100"/>
        <w:rPr>
          <w:rFonts w:ascii="仿宋" w:hAnsi="仿宋" w:eastAsia="仿宋" w:cs="仿宋"/>
          <w:kern w:val="0"/>
          <w:sz w:val="24"/>
        </w:rPr>
      </w:pPr>
      <w:r>
        <w:rPr>
          <w:rFonts w:hint="eastAsia" w:ascii="仿宋" w:hAnsi="仿宋" w:eastAsia="仿宋" w:cs="仿宋"/>
          <w:kern w:val="0"/>
          <w:sz w:val="24"/>
        </w:rPr>
        <w:t>③</w:t>
      </w:r>
      <w:r>
        <w:rPr>
          <w:rFonts w:ascii="仿宋" w:hAnsi="仿宋" w:eastAsia="仿宋"/>
          <w:sz w:val="24"/>
        </w:rPr>
        <w:t>授权代理人最近</w:t>
      </w:r>
      <w:r>
        <w:rPr>
          <w:rFonts w:hint="eastAsia" w:ascii="仿宋" w:hAnsi="仿宋" w:eastAsia="仿宋"/>
          <w:bCs/>
          <w:sz w:val="24"/>
        </w:rPr>
        <w:t>三个月中任意一个月</w:t>
      </w:r>
      <w:r>
        <w:rPr>
          <w:rFonts w:ascii="仿宋" w:hAnsi="仿宋" w:eastAsia="仿宋"/>
          <w:sz w:val="24"/>
        </w:rPr>
        <w:t>个人社保缴纳证明文件；</w:t>
      </w:r>
      <w:r>
        <w:rPr>
          <w:rFonts w:hint="eastAsia" w:ascii="仿宋" w:hAnsi="仿宋" w:eastAsia="仿宋"/>
          <w:b/>
          <w:bCs/>
          <w:sz w:val="24"/>
        </w:rPr>
        <w:t>（资格审查条款，联合体投标的由牵头人提供）</w:t>
      </w:r>
    </w:p>
    <w:p>
      <w:pPr>
        <w:spacing w:line="460" w:lineRule="exact"/>
        <w:ind w:firstLine="240" w:firstLineChars="100"/>
        <w:rPr>
          <w:rFonts w:ascii="仿宋" w:hAnsi="仿宋" w:eastAsia="仿宋" w:cs="仿宋"/>
          <w:kern w:val="0"/>
          <w:sz w:val="24"/>
        </w:rPr>
      </w:pPr>
    </w:p>
    <w:p>
      <w:pPr>
        <w:spacing w:line="460" w:lineRule="exact"/>
        <w:ind w:firstLine="235" w:firstLineChars="98"/>
        <w:rPr>
          <w:rFonts w:ascii="仿宋" w:hAnsi="仿宋" w:eastAsia="仿宋" w:cs="仿宋"/>
          <w:kern w:val="0"/>
          <w:sz w:val="24"/>
        </w:rPr>
      </w:pPr>
      <w:r>
        <w:rPr>
          <w:rFonts w:hint="eastAsia" w:ascii="仿宋" w:hAnsi="仿宋" w:eastAsia="仿宋" w:cs="仿宋"/>
          <w:kern w:val="0"/>
          <w:sz w:val="24"/>
        </w:rPr>
        <w:t>④</w:t>
      </w:r>
      <w:r>
        <w:rPr>
          <w:rFonts w:hint="eastAsia" w:ascii="仿宋" w:hAnsi="仿宋" w:eastAsia="仿宋"/>
          <w:bCs/>
          <w:sz w:val="24"/>
        </w:rPr>
        <w:t>资格</w:t>
      </w:r>
      <w:r>
        <w:rPr>
          <w:rFonts w:ascii="仿宋" w:hAnsi="仿宋" w:eastAsia="仿宋"/>
          <w:sz w:val="24"/>
        </w:rPr>
        <w:t>承诺书；</w:t>
      </w:r>
      <w:r>
        <w:rPr>
          <w:rFonts w:hint="eastAsia" w:ascii="仿宋" w:hAnsi="仿宋" w:eastAsia="仿宋"/>
          <w:b/>
          <w:bCs/>
          <w:sz w:val="24"/>
        </w:rPr>
        <w:t>（资格审查条款，联合体投标的双方均提供）</w:t>
      </w:r>
    </w:p>
    <w:p>
      <w:pPr>
        <w:spacing w:line="460" w:lineRule="exact"/>
        <w:ind w:firstLine="240" w:firstLineChars="100"/>
        <w:rPr>
          <w:rFonts w:ascii="仿宋" w:hAnsi="仿宋" w:eastAsia="仿宋" w:cs="仿宋"/>
          <w:kern w:val="0"/>
          <w:sz w:val="24"/>
        </w:rPr>
      </w:pPr>
      <w:r>
        <w:rPr>
          <w:rFonts w:hint="eastAsia" w:ascii="仿宋" w:hAnsi="仿宋" w:eastAsia="仿宋" w:cs="仿宋"/>
          <w:kern w:val="0"/>
          <w:sz w:val="24"/>
        </w:rPr>
        <w:t>⑤</w:t>
      </w:r>
      <w:r>
        <w:rPr>
          <w:rFonts w:ascii="仿宋" w:hAnsi="仿宋" w:eastAsia="仿宋"/>
          <w:sz w:val="24"/>
        </w:rPr>
        <w:t>信用承诺书；</w:t>
      </w:r>
      <w:r>
        <w:rPr>
          <w:rFonts w:hint="eastAsia" w:ascii="仿宋" w:hAnsi="仿宋" w:eastAsia="仿宋"/>
          <w:b/>
          <w:bCs/>
          <w:sz w:val="24"/>
        </w:rPr>
        <w:t>（资格审查条款，联合体投标的双方均提供）</w:t>
      </w:r>
    </w:p>
    <w:p>
      <w:pPr>
        <w:spacing w:line="460" w:lineRule="exact"/>
        <w:ind w:firstLine="240" w:firstLineChars="100"/>
        <w:rPr>
          <w:rFonts w:ascii="仿宋" w:hAnsi="仿宋" w:eastAsia="仿宋"/>
          <w:b/>
          <w:bCs/>
          <w:sz w:val="24"/>
        </w:rPr>
      </w:pPr>
      <w:r>
        <w:rPr>
          <w:rFonts w:hint="eastAsia" w:ascii="仿宋" w:hAnsi="仿宋" w:eastAsia="仿宋" w:cs="仿宋"/>
          <w:color w:val="auto"/>
          <w:kern w:val="0"/>
          <w:sz w:val="24"/>
          <w:highlight w:val="none"/>
        </w:rPr>
        <w:t>⑥</w:t>
      </w:r>
      <w:r>
        <w:rPr>
          <w:rFonts w:hint="eastAsia" w:ascii="仿宋" w:hAnsi="仿宋" w:eastAsia="仿宋" w:cs="仿宋"/>
          <w:bCs/>
          <w:color w:val="auto"/>
          <w:sz w:val="24"/>
          <w:highlight w:val="none"/>
        </w:rPr>
        <w:t>企业资质证书【市政公用工程施工总承包三级及以上资质（浙江省外企业须提供有效的进浙备案证明）、具备完成地下管道检测修复服务的能力(提供相应的证书或证明材料并加盖公章)】如是联合体单位请提供联合体协议；</w:t>
      </w:r>
      <w:r>
        <w:rPr>
          <w:rFonts w:hint="eastAsia" w:ascii="仿宋" w:hAnsi="仿宋" w:eastAsia="仿宋"/>
          <w:b/>
          <w:bCs/>
          <w:color w:val="auto"/>
          <w:sz w:val="24"/>
          <w:highlight w:val="none"/>
        </w:rPr>
        <w:t>（</w:t>
      </w:r>
      <w:r>
        <w:rPr>
          <w:rFonts w:hint="eastAsia" w:ascii="仿宋" w:hAnsi="仿宋" w:eastAsia="仿宋"/>
          <w:b/>
          <w:bCs/>
          <w:sz w:val="24"/>
        </w:rPr>
        <w:t>资格审查条款，联合体投标的任意一方提供均认可）</w:t>
      </w:r>
    </w:p>
    <w:p>
      <w:pPr>
        <w:spacing w:line="460" w:lineRule="exact"/>
        <w:ind w:firstLine="240" w:firstLineChars="100"/>
        <w:rPr>
          <w:rFonts w:eastAsia="仿宋"/>
        </w:rPr>
      </w:pPr>
      <w:r>
        <w:rPr>
          <w:rFonts w:hint="eastAsia" w:ascii="仿宋" w:hAnsi="仿宋" w:eastAsia="仿宋" w:cs="仿宋"/>
          <w:kern w:val="0"/>
          <w:sz w:val="24"/>
        </w:rPr>
        <w:t>⑦</w:t>
      </w:r>
      <w:r>
        <w:rPr>
          <w:rFonts w:hint="eastAsia" w:ascii="仿宋" w:hAnsi="仿宋" w:eastAsia="仿宋" w:cs="仿宋"/>
          <w:bCs/>
          <w:sz w:val="24"/>
        </w:rPr>
        <w:t>联合体协议（如有）；</w:t>
      </w:r>
      <w:r>
        <w:rPr>
          <w:rFonts w:hint="eastAsia" w:ascii="仿宋" w:hAnsi="仿宋" w:eastAsia="仿宋"/>
          <w:b/>
          <w:bCs/>
          <w:sz w:val="24"/>
        </w:rPr>
        <w:t>（资格审查条款，非联合体无需提供）</w:t>
      </w:r>
    </w:p>
    <w:p>
      <w:pPr>
        <w:spacing w:line="460" w:lineRule="exact"/>
        <w:ind w:firstLine="240" w:firstLineChars="100"/>
        <w:rPr>
          <w:rFonts w:ascii="仿宋" w:hAnsi="仿宋" w:eastAsia="仿宋" w:cs="仿宋"/>
          <w:kern w:val="0"/>
          <w:sz w:val="24"/>
        </w:rPr>
      </w:pPr>
      <w:r>
        <w:rPr>
          <w:rFonts w:hint="eastAsia" w:ascii="仿宋" w:hAnsi="仿宋" w:eastAsia="仿宋" w:cs="仿宋"/>
          <w:kern w:val="0"/>
          <w:sz w:val="24"/>
        </w:rPr>
        <w:t>⑧</w:t>
      </w:r>
      <w:r>
        <w:rPr>
          <w:rFonts w:ascii="仿宋" w:hAnsi="仿宋" w:eastAsia="仿宋"/>
          <w:sz w:val="24"/>
        </w:rPr>
        <w:t>中小企业声明函；</w:t>
      </w:r>
      <w:r>
        <w:rPr>
          <w:rFonts w:hint="eastAsia" w:ascii="仿宋" w:hAnsi="仿宋" w:eastAsia="仿宋"/>
          <w:b/>
          <w:bCs/>
          <w:sz w:val="24"/>
        </w:rPr>
        <w:t>（资格审查条款，联合体投标的双方均提供）</w:t>
      </w:r>
    </w:p>
    <w:p>
      <w:pPr>
        <w:spacing w:line="460" w:lineRule="exact"/>
        <w:ind w:firstLine="240" w:firstLineChars="100"/>
        <w:rPr>
          <w:rFonts w:ascii="仿宋" w:hAnsi="仿宋" w:eastAsia="仿宋"/>
          <w:sz w:val="24"/>
        </w:rPr>
      </w:pPr>
      <w:r>
        <w:rPr>
          <w:rFonts w:hint="eastAsia" w:ascii="仿宋" w:hAnsi="仿宋" w:eastAsia="仿宋"/>
          <w:sz w:val="24"/>
        </w:rPr>
        <w:t>⑨</w:t>
      </w:r>
      <w:r>
        <w:rPr>
          <w:rFonts w:ascii="仿宋" w:hAnsi="仿宋" w:eastAsia="仿宋"/>
          <w:sz w:val="24"/>
        </w:rPr>
        <w:t>监狱企业声明函（如有）；</w:t>
      </w:r>
    </w:p>
    <w:p>
      <w:pPr>
        <w:spacing w:line="460" w:lineRule="exact"/>
        <w:ind w:firstLine="240" w:firstLineChars="100"/>
        <w:rPr>
          <w:rFonts w:ascii="仿宋" w:hAnsi="仿宋" w:eastAsia="仿宋"/>
          <w:sz w:val="24"/>
        </w:rPr>
      </w:pPr>
      <w:r>
        <w:rPr>
          <w:rFonts w:hint="eastAsia" w:ascii="仿宋" w:hAnsi="仿宋" w:eastAsia="仿宋"/>
          <w:sz w:val="24"/>
          <w:lang w:val="en-US" w:eastAsia="zh-CN"/>
        </w:rPr>
        <w:t>⑩</w:t>
      </w:r>
      <w:r>
        <w:rPr>
          <w:rFonts w:ascii="仿宋" w:hAnsi="仿宋" w:eastAsia="仿宋"/>
          <w:sz w:val="24"/>
        </w:rPr>
        <w:t>残疾人福利性单位声明函（如有）。</w:t>
      </w:r>
    </w:p>
    <w:p>
      <w:pPr>
        <w:spacing w:line="460" w:lineRule="exact"/>
        <w:ind w:firstLine="240" w:firstLineChars="100"/>
        <w:rPr>
          <w:rFonts w:ascii="仿宋" w:hAnsi="仿宋" w:eastAsia="仿宋"/>
          <w:sz w:val="24"/>
        </w:rPr>
      </w:pPr>
      <w:r>
        <w:rPr>
          <w:rFonts w:hint="eastAsia" w:ascii="仿宋" w:hAnsi="仿宋" w:eastAsia="仿宋"/>
          <w:sz w:val="24"/>
        </w:rPr>
        <w:t>注：以上为资格审查条款，投标文件中须提供齐全，届时采购人和采购代理机构将进行审核，未提供齐全可能将影响资格审查通过。</w:t>
      </w:r>
    </w:p>
    <w:p>
      <w:pPr>
        <w:spacing w:line="460" w:lineRule="exact"/>
        <w:ind w:firstLine="241" w:firstLineChars="100"/>
        <w:rPr>
          <w:rFonts w:ascii="仿宋" w:hAnsi="仿宋" w:eastAsia="仿宋" w:cs="仿宋"/>
          <w:b/>
          <w:kern w:val="0"/>
          <w:sz w:val="24"/>
        </w:rPr>
      </w:pPr>
      <w:r>
        <w:rPr>
          <w:rFonts w:hint="eastAsia" w:ascii="仿宋" w:hAnsi="仿宋" w:eastAsia="仿宋" w:cs="仿宋"/>
          <w:b/>
          <w:kern w:val="0"/>
          <w:sz w:val="24"/>
        </w:rPr>
        <w:t>2. 技术、商务、资信及其他文件主要包括下列内容：</w:t>
      </w:r>
    </w:p>
    <w:p>
      <w:pPr>
        <w:spacing w:line="460" w:lineRule="exact"/>
        <w:ind w:firstLine="235" w:firstLineChars="98"/>
        <w:rPr>
          <w:rFonts w:ascii="仿宋" w:hAnsi="仿宋" w:eastAsia="仿宋" w:cs="宋体"/>
          <w:kern w:val="0"/>
          <w:sz w:val="24"/>
        </w:rPr>
      </w:pPr>
      <w:r>
        <w:rPr>
          <w:rFonts w:hint="eastAsia" w:ascii="仿宋" w:hAnsi="仿宋" w:eastAsia="仿宋" w:cs="宋体"/>
          <w:kern w:val="0"/>
          <w:sz w:val="24"/>
        </w:rPr>
        <w:t>投标人自评</w:t>
      </w:r>
      <w:bookmarkStart w:id="93" w:name="_GoBack"/>
      <w:bookmarkEnd w:id="93"/>
      <w:r>
        <w:rPr>
          <w:rFonts w:hint="eastAsia" w:ascii="仿宋" w:hAnsi="仿宋" w:eastAsia="仿宋" w:cs="宋体"/>
          <w:kern w:val="0"/>
          <w:sz w:val="24"/>
        </w:rPr>
        <w:t>分索引表；</w:t>
      </w:r>
    </w:p>
    <w:p>
      <w:pPr>
        <w:pStyle w:val="13"/>
        <w:numPr>
          <w:ilvl w:val="0"/>
          <w:numId w:val="5"/>
        </w:numPr>
        <w:spacing w:line="460" w:lineRule="exact"/>
        <w:ind w:left="0" w:right="0" w:rightChars="0" w:firstLine="236" w:firstLineChars="98"/>
        <w:jc w:val="left"/>
        <w:rPr>
          <w:rFonts w:ascii="仿宋" w:hAnsi="仿宋" w:eastAsia="仿宋" w:cs="宋体"/>
          <w:b/>
          <w:kern w:val="0"/>
          <w:sz w:val="24"/>
        </w:rPr>
      </w:pPr>
      <w:r>
        <w:rPr>
          <w:rFonts w:hint="eastAsia" w:ascii="仿宋" w:hAnsi="仿宋" w:eastAsia="仿宋" w:cs="宋体"/>
          <w:b/>
          <w:kern w:val="0"/>
          <w:sz w:val="24"/>
        </w:rPr>
        <w:t>技术部分：</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①</w:t>
      </w:r>
      <w:r>
        <w:rPr>
          <w:rFonts w:hint="eastAsia" w:ascii="仿宋" w:hAnsi="仿宋" w:eastAsia="仿宋"/>
          <w:sz w:val="24"/>
        </w:rPr>
        <w:t>整体技术方案</w:t>
      </w:r>
      <w:r>
        <w:rPr>
          <w:rFonts w:hint="eastAsia" w:ascii="仿宋" w:hAnsi="仿宋" w:eastAsia="仿宋" w:cs="仿宋"/>
          <w:bCs/>
          <w:sz w:val="24"/>
        </w:rPr>
        <w:t>；</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②</w:t>
      </w:r>
      <w:r>
        <w:rPr>
          <w:rFonts w:ascii="仿宋" w:hAnsi="仿宋" w:eastAsia="仿宋"/>
          <w:sz w:val="24"/>
        </w:rPr>
        <w:t>进度</w:t>
      </w:r>
      <w:r>
        <w:rPr>
          <w:rFonts w:hint="eastAsia" w:ascii="仿宋" w:hAnsi="仿宋" w:eastAsia="仿宋"/>
          <w:sz w:val="24"/>
        </w:rPr>
        <w:t>控制</w:t>
      </w:r>
      <w:r>
        <w:rPr>
          <w:rFonts w:ascii="仿宋" w:hAnsi="仿宋" w:eastAsia="仿宋"/>
          <w:sz w:val="24"/>
        </w:rPr>
        <w:t>措施</w:t>
      </w:r>
      <w:r>
        <w:rPr>
          <w:rFonts w:hint="eastAsia" w:ascii="仿宋" w:hAnsi="仿宋" w:eastAsia="仿宋"/>
          <w:sz w:val="24"/>
        </w:rPr>
        <w:t>及方案</w:t>
      </w:r>
      <w:r>
        <w:rPr>
          <w:rFonts w:hint="eastAsia" w:ascii="仿宋" w:hAnsi="仿宋" w:eastAsia="仿宋" w:cs="仿宋"/>
          <w:bCs/>
          <w:sz w:val="24"/>
        </w:rPr>
        <w:t>；</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③</w:t>
      </w:r>
      <w:r>
        <w:rPr>
          <w:rFonts w:ascii="仿宋" w:hAnsi="仿宋" w:eastAsia="仿宋"/>
          <w:sz w:val="24"/>
        </w:rPr>
        <w:t>质量</w:t>
      </w:r>
      <w:r>
        <w:rPr>
          <w:rFonts w:hint="eastAsia" w:ascii="仿宋" w:hAnsi="仿宋" w:eastAsia="仿宋"/>
          <w:sz w:val="24"/>
        </w:rPr>
        <w:t>控制措施及方案</w:t>
      </w:r>
      <w:r>
        <w:rPr>
          <w:rFonts w:hint="eastAsia" w:ascii="仿宋" w:hAnsi="仿宋" w:eastAsia="仿宋" w:cs="仿宋"/>
          <w:bCs/>
          <w:sz w:val="24"/>
        </w:rPr>
        <w:t>；</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④</w:t>
      </w:r>
      <w:r>
        <w:rPr>
          <w:rFonts w:hint="eastAsia" w:ascii="仿宋" w:hAnsi="仿宋" w:eastAsia="仿宋"/>
          <w:sz w:val="24"/>
        </w:rPr>
        <w:t>环境保护管理方案及措施；</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⑤</w:t>
      </w:r>
      <w:r>
        <w:rPr>
          <w:rFonts w:hint="eastAsia" w:ascii="仿宋" w:hAnsi="仿宋" w:eastAsia="仿宋"/>
          <w:sz w:val="24"/>
        </w:rPr>
        <w:t>本项目拟投入设备</w:t>
      </w:r>
      <w:r>
        <w:rPr>
          <w:rFonts w:hint="eastAsia" w:ascii="仿宋" w:hAnsi="仿宋" w:eastAsia="仿宋" w:cs="仿宋"/>
          <w:bCs/>
          <w:sz w:val="24"/>
        </w:rPr>
        <w:t>；</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⑥</w:t>
      </w:r>
      <w:r>
        <w:rPr>
          <w:rFonts w:ascii="仿宋" w:hAnsi="仿宋" w:eastAsia="仿宋"/>
          <w:sz w:val="24"/>
        </w:rPr>
        <w:t>保证项目实施的技术力量和人力资源安排</w:t>
      </w:r>
      <w:r>
        <w:rPr>
          <w:rFonts w:hint="eastAsia" w:ascii="仿宋" w:hAnsi="仿宋" w:eastAsia="仿宋"/>
          <w:sz w:val="24"/>
        </w:rPr>
        <w:t>；</w:t>
      </w:r>
    </w:p>
    <w:p>
      <w:pPr>
        <w:spacing w:line="460" w:lineRule="exact"/>
        <w:ind w:firstLine="240" w:firstLineChars="100"/>
        <w:rPr>
          <w:rFonts w:ascii="仿宋" w:hAnsi="仿宋" w:eastAsia="仿宋" w:cs="仿宋"/>
          <w:bCs/>
          <w:sz w:val="24"/>
        </w:rPr>
      </w:pPr>
      <w:r>
        <w:rPr>
          <w:rFonts w:hint="eastAsia" w:ascii="仿宋" w:hAnsi="仿宋" w:eastAsia="仿宋" w:cs="宋体"/>
          <w:kern w:val="0"/>
          <w:sz w:val="24"/>
        </w:rPr>
        <w:t>⑦</w:t>
      </w:r>
      <w:r>
        <w:rPr>
          <w:rFonts w:hint="eastAsia" w:ascii="仿宋" w:hAnsi="仿宋" w:eastAsia="仿宋"/>
          <w:sz w:val="24"/>
        </w:rPr>
        <w:t>应急预案</w:t>
      </w:r>
      <w:r>
        <w:rPr>
          <w:rFonts w:hint="eastAsia" w:ascii="仿宋" w:hAnsi="仿宋" w:eastAsia="仿宋" w:cs="仿宋"/>
          <w:bCs/>
          <w:sz w:val="24"/>
        </w:rPr>
        <w:t>；</w:t>
      </w:r>
    </w:p>
    <w:p>
      <w:pPr>
        <w:spacing w:line="460" w:lineRule="exact"/>
        <w:ind w:firstLine="240" w:firstLineChars="100"/>
        <w:rPr>
          <w:rFonts w:ascii="仿宋" w:hAnsi="仿宋" w:eastAsia="仿宋" w:cs="仿宋"/>
          <w:bCs/>
          <w:sz w:val="24"/>
        </w:rPr>
      </w:pPr>
      <w:r>
        <w:rPr>
          <w:rFonts w:hint="eastAsia" w:ascii="仿宋" w:hAnsi="仿宋" w:eastAsia="仿宋" w:cs="仿宋"/>
          <w:bCs/>
          <w:sz w:val="24"/>
        </w:rPr>
        <w:t>⑧对本项目有效的改进措施和合理化建议；</w:t>
      </w:r>
    </w:p>
    <w:p>
      <w:pPr>
        <w:spacing w:line="460" w:lineRule="exact"/>
        <w:ind w:firstLine="240" w:firstLineChars="100"/>
        <w:rPr>
          <w:rFonts w:ascii="仿宋" w:hAnsi="仿宋" w:eastAsia="仿宋" w:cs="宋体"/>
          <w:kern w:val="0"/>
          <w:sz w:val="24"/>
        </w:rPr>
      </w:pPr>
      <w:r>
        <w:rPr>
          <w:rFonts w:hint="eastAsia" w:ascii="仿宋" w:hAnsi="仿宋" w:eastAsia="仿宋" w:cs="仿宋"/>
          <w:bCs/>
          <w:sz w:val="24"/>
        </w:rPr>
        <w:t>⑨投标人认为应该说明的其他文件和资料。</w:t>
      </w:r>
    </w:p>
    <w:p>
      <w:pPr>
        <w:spacing w:line="460" w:lineRule="exact"/>
        <w:ind w:firstLine="241" w:firstLineChars="100"/>
        <w:jc w:val="left"/>
        <w:rPr>
          <w:rFonts w:ascii="仿宋" w:hAnsi="仿宋" w:eastAsia="仿宋" w:cs="宋体"/>
          <w:b/>
          <w:kern w:val="0"/>
          <w:sz w:val="24"/>
        </w:rPr>
      </w:pPr>
      <w:r>
        <w:rPr>
          <w:rFonts w:hint="eastAsia" w:ascii="仿宋" w:hAnsi="仿宋" w:eastAsia="仿宋" w:cs="宋体"/>
          <w:b/>
          <w:kern w:val="0"/>
          <w:sz w:val="24"/>
        </w:rPr>
        <w:t>（2）商务、资信及其他部分：</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①</w:t>
      </w:r>
      <w:r>
        <w:rPr>
          <w:rFonts w:hint="eastAsia" w:ascii="仿宋" w:hAnsi="仿宋" w:eastAsia="仿宋" w:cs="仿宋"/>
          <w:bCs/>
          <w:sz w:val="24"/>
        </w:rPr>
        <w:t>售后服务承诺</w:t>
      </w:r>
      <w:r>
        <w:rPr>
          <w:rFonts w:hint="eastAsia" w:ascii="仿宋" w:hAnsi="仿宋" w:eastAsia="仿宋" w:cs="宋体"/>
          <w:kern w:val="0"/>
          <w:sz w:val="24"/>
        </w:rPr>
        <w:t>；</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②企业业绩</w:t>
      </w:r>
      <w:r>
        <w:rPr>
          <w:rFonts w:hint="eastAsia" w:ascii="仿宋" w:hAnsi="仿宋" w:eastAsia="仿宋" w:cs="仿宋"/>
          <w:bCs/>
          <w:sz w:val="24"/>
        </w:rPr>
        <w:t>；</w:t>
      </w:r>
    </w:p>
    <w:p>
      <w:pPr>
        <w:spacing w:line="460" w:lineRule="exact"/>
        <w:ind w:left="239" w:leftChars="114"/>
        <w:rPr>
          <w:rFonts w:ascii="仿宋" w:hAnsi="仿宋" w:eastAsia="仿宋" w:cs="宋体"/>
          <w:kern w:val="0"/>
          <w:sz w:val="24"/>
        </w:rPr>
      </w:pPr>
      <w:r>
        <w:rPr>
          <w:rFonts w:hint="eastAsia" w:ascii="仿宋" w:hAnsi="仿宋" w:eastAsia="仿宋" w:cs="宋体"/>
          <w:kern w:val="0"/>
          <w:sz w:val="24"/>
        </w:rPr>
        <w:t>③</w:t>
      </w:r>
      <w:r>
        <w:rPr>
          <w:rFonts w:hint="eastAsia" w:ascii="仿宋" w:hAnsi="仿宋" w:eastAsia="仿宋" w:cs="仿宋"/>
          <w:bCs/>
          <w:sz w:val="24"/>
        </w:rPr>
        <w:t>响应时间承诺</w:t>
      </w:r>
      <w:r>
        <w:rPr>
          <w:rFonts w:hint="eastAsia" w:ascii="仿宋" w:hAnsi="仿宋" w:eastAsia="仿宋" w:cs="宋体"/>
          <w:kern w:val="0"/>
          <w:sz w:val="24"/>
        </w:rPr>
        <w:t>；</w:t>
      </w:r>
    </w:p>
    <w:p>
      <w:pPr>
        <w:spacing w:line="460" w:lineRule="exact"/>
        <w:ind w:left="239" w:leftChars="114"/>
        <w:rPr>
          <w:rFonts w:ascii="仿宋" w:hAnsi="仿宋" w:eastAsia="仿宋" w:cs="宋体"/>
          <w:kern w:val="0"/>
          <w:sz w:val="24"/>
        </w:rPr>
      </w:pPr>
      <w:r>
        <w:rPr>
          <w:rFonts w:hint="eastAsia" w:ascii="仿宋" w:hAnsi="仿宋" w:eastAsia="仿宋" w:cs="宋体"/>
          <w:kern w:val="0"/>
          <w:sz w:val="24"/>
        </w:rPr>
        <w:t>④</w:t>
      </w:r>
      <w:r>
        <w:rPr>
          <w:rFonts w:hint="eastAsia" w:ascii="仿宋" w:hAnsi="仿宋" w:eastAsia="仿宋" w:cs="仿宋"/>
          <w:bCs/>
          <w:sz w:val="24"/>
        </w:rPr>
        <w:t>企业认证；</w:t>
      </w:r>
    </w:p>
    <w:p>
      <w:pPr>
        <w:spacing w:line="460" w:lineRule="exact"/>
        <w:ind w:firstLine="240" w:firstLineChars="100"/>
        <w:rPr>
          <w:rFonts w:ascii="仿宋" w:hAnsi="仿宋" w:eastAsia="仿宋" w:cs="仿宋"/>
          <w:bCs/>
          <w:sz w:val="24"/>
        </w:rPr>
      </w:pPr>
      <w:r>
        <w:rPr>
          <w:rFonts w:hint="eastAsia" w:ascii="仿宋" w:hAnsi="仿宋" w:eastAsia="仿宋" w:cs="仿宋"/>
          <w:bCs/>
          <w:sz w:val="24"/>
        </w:rPr>
        <w:t>⑤商务响应表；（格式见附件）</w:t>
      </w:r>
    </w:p>
    <w:p>
      <w:pPr>
        <w:spacing w:line="460" w:lineRule="exact"/>
        <w:ind w:firstLine="240" w:firstLineChars="100"/>
        <w:rPr>
          <w:rFonts w:ascii="仿宋" w:hAnsi="仿宋" w:eastAsia="仿宋" w:cs="宋体"/>
          <w:kern w:val="0"/>
          <w:sz w:val="24"/>
        </w:rPr>
      </w:pPr>
      <w:r>
        <w:rPr>
          <w:rFonts w:hint="eastAsia" w:ascii="仿宋" w:hAnsi="仿宋" w:eastAsia="仿宋" w:cs="仿宋"/>
          <w:bCs/>
          <w:sz w:val="24"/>
        </w:rPr>
        <w:t>⑥投标人认为应该说明的其他文件和资料。</w:t>
      </w:r>
    </w:p>
    <w:p>
      <w:pPr>
        <w:spacing w:line="460" w:lineRule="exact"/>
        <w:ind w:firstLine="240" w:firstLineChars="100"/>
        <w:jc w:val="left"/>
        <w:rPr>
          <w:rFonts w:ascii="仿宋" w:hAnsi="仿宋" w:eastAsia="仿宋" w:cs="宋体"/>
          <w:kern w:val="0"/>
          <w:sz w:val="24"/>
        </w:rPr>
      </w:pPr>
      <w:r>
        <w:rPr>
          <w:rFonts w:hint="eastAsia" w:ascii="仿宋" w:hAnsi="仿宋" w:eastAsia="仿宋" w:cs="宋体"/>
          <w:kern w:val="0"/>
          <w:sz w:val="24"/>
        </w:rPr>
        <w:t>（3）其他招标文件要求提供的或投标人认为需要说明的技术、商务、资信及其他文件内容。</w:t>
      </w:r>
    </w:p>
    <w:p>
      <w:pPr>
        <w:spacing w:line="46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①开标一览表（格式见第六章）；</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②报价明细表（格式自拟）；</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③招标代理服务费承诺函；</w:t>
      </w:r>
    </w:p>
    <w:p>
      <w:pPr>
        <w:spacing w:line="460" w:lineRule="exact"/>
        <w:ind w:firstLine="240" w:firstLineChars="100"/>
        <w:rPr>
          <w:rFonts w:ascii="仿宋" w:hAnsi="仿宋" w:eastAsia="仿宋" w:cs="宋体"/>
          <w:kern w:val="0"/>
          <w:sz w:val="24"/>
        </w:rPr>
      </w:pPr>
      <w:r>
        <w:rPr>
          <w:rFonts w:hint="eastAsia" w:ascii="仿宋" w:hAnsi="仿宋" w:eastAsia="仿宋" w:cs="宋体"/>
          <w:kern w:val="0"/>
          <w:sz w:val="24"/>
        </w:rPr>
        <w:t>④投标人针对报价需要说明的其他文件和说明。</w:t>
      </w:r>
    </w:p>
    <w:p>
      <w:pPr>
        <w:tabs>
          <w:tab w:val="left" w:pos="8100"/>
        </w:tabs>
        <w:spacing w:line="500" w:lineRule="exact"/>
        <w:rPr>
          <w:rFonts w:ascii="仿宋" w:hAnsi="仿宋" w:eastAsia="仿宋" w:cs="仿宋"/>
          <w:sz w:val="24"/>
        </w:rPr>
      </w:pPr>
      <w:r>
        <w:rPr>
          <w:rFonts w:hint="eastAsia" w:ascii="仿宋" w:hAnsi="仿宋" w:eastAsia="仿宋" w:cs="仿宋"/>
          <w:b/>
          <w:color w:val="000000"/>
          <w:sz w:val="24"/>
        </w:rPr>
        <w:t>注：以上响应文件组成内容中的复印件均须加盖供应商公章（或CA电子签章）。</w:t>
      </w:r>
    </w:p>
    <w:bookmarkEnd w:id="45"/>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（二）投标文件的语言及计量</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1.投标文件以及投标人与采购人就有关投标事宜的所有来往函电，均应以中文汉语书写。除签名、盖章、专用名称等特殊情形外，以中文汉语以外的文字表述的投标文件视同未提供。</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2.投标计量单位，招标文件已有明确规定的，使用招标文件规定的计量单位；招标文件没有规定的，应采用中华人民共和国法定计量单位（货币单位：人民币元），否则视同未响应。</w:t>
      </w:r>
    </w:p>
    <w:p>
      <w:pPr>
        <w:spacing w:line="460" w:lineRule="exact"/>
        <w:ind w:firstLine="482" w:firstLineChars="200"/>
        <w:rPr>
          <w:rFonts w:ascii="仿宋" w:hAnsi="仿宋" w:eastAsia="仿宋" w:cs="仿宋"/>
          <w:kern w:val="0"/>
          <w:sz w:val="24"/>
        </w:rPr>
      </w:pPr>
      <w:r>
        <w:rPr>
          <w:rFonts w:hint="eastAsia" w:ascii="仿宋" w:hAnsi="仿宋" w:eastAsia="仿宋" w:cs="仿宋"/>
          <w:b/>
          <w:kern w:val="0"/>
          <w:sz w:val="24"/>
        </w:rPr>
        <w:t>▲（三）投标报价</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1.投标报价应按招标文件中相关附表格式填写。投标报价为本招标项目全部工作内容的报价，所有报价均应使用（人民币元）表示。</w:t>
      </w:r>
    </w:p>
    <w:p>
      <w:pPr>
        <w:pStyle w:val="14"/>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2.投标报价是履行合同的最终价格，应包括管道检测疏通、设备、人员、交通、耗材、培训、调试、验收、专用工具、保险、税金等完成本项目的一切税金和费用。</w:t>
      </w:r>
    </w:p>
    <w:p>
      <w:pPr>
        <w:pStyle w:val="14"/>
        <w:spacing w:line="460" w:lineRule="exact"/>
        <w:ind w:firstLine="480" w:firstLineChars="200"/>
        <w:jc w:val="left"/>
        <w:rPr>
          <w:rFonts w:ascii="仿宋" w:hAnsi="仿宋" w:eastAsia="仿宋" w:cs="仿宋"/>
          <w:kern w:val="0"/>
          <w:sz w:val="24"/>
          <w:u w:val="single"/>
        </w:rPr>
      </w:pPr>
      <w:r>
        <w:rPr>
          <w:rFonts w:hint="eastAsia" w:ascii="仿宋" w:hAnsi="仿宋" w:eastAsia="仿宋" w:cs="仿宋"/>
          <w:kern w:val="0"/>
          <w:sz w:val="24"/>
          <w:u w:val="single"/>
        </w:rPr>
        <w:t>投标供应商对在合同执行中，除上述费用及采购文件规定的由中标供应商负责的工作范围以外需要采购人协调或提供便利的工作应当在报价文件中说明。</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3.投标文件只允许有一个报价，有选择的或有条件的报价将不予接受。</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4.投标人的最终报价由投标人自担全部风险责任，中标后不得以任何理由调整报价或追加任何费用。</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5.投标人所有优惠条件和优惠费用不得降低和影响本采购项目质量。</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6.投标人对招标文件里有关投标报价的全部内容应仔细确认，若有个别异议，应在开标前提出修改意见，否则视同全部确认。</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7.报价如单价与总价不符时，以单价为准；大写与小写不符时以大写为准。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8.投标人在报价中应充分考虑所有可能发生的费用，否则采购人将视报价总价中已包括所有费用。</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9.投标人对在合同执行中，除上述费用及招标文件规定的由中标人负责的工作范围以外需要采购人协调或提供便利的工作应当在报价文件中说明。</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（四）投标文件的有效期</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▲1.自投标截止日起</w:t>
      </w:r>
      <w:r>
        <w:rPr>
          <w:rFonts w:hint="eastAsia" w:ascii="仿宋" w:hAnsi="仿宋" w:eastAsia="仿宋" w:cs="仿宋"/>
          <w:kern w:val="0"/>
          <w:sz w:val="24"/>
          <w:u w:val="single"/>
        </w:rPr>
        <w:t>60天</w:t>
      </w:r>
      <w:r>
        <w:rPr>
          <w:rFonts w:hint="eastAsia" w:ascii="仿宋" w:hAnsi="仿宋" w:eastAsia="仿宋" w:cs="仿宋"/>
          <w:kern w:val="0"/>
          <w:sz w:val="24"/>
        </w:rPr>
        <w:t>投标文件应保持有效。有效期不足的投标文件将被拒绝。</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2.在特殊情况下，采购人可与投标人协商延长投标书的有效期，这种要求和答复均以书面形式进行。</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3.投标人可拒绝接受延期要求。同意延长有效期的投标人不能修改投标文件。</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4.中标人的投标文件自开标之日起至合同履行完毕止均应保持有效。</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（五）投标文件的签署和份数</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1、电子投标文件：</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2.数据电子备份投标文件（U 盘）：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3.其他：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3.1 投标文件需按招标文件要求的格式填写并签字盖章。</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3.2 投标文件不应涂改或行间插字和增删, 如有修改，修改处须加盖投标人的公章或由法定代表人或其授权委托人签字或盖章。投标文件因字迹潦草或表达不清所引起的后果由投标人负责。</w:t>
      </w:r>
    </w:p>
    <w:p>
      <w:pPr>
        <w:spacing w:line="460" w:lineRule="exact"/>
        <w:ind w:firstLine="482" w:firstLineChars="200"/>
        <w:rPr>
          <w:rFonts w:ascii="仿宋" w:hAnsi="仿宋" w:eastAsia="仿宋" w:cs="仿宋"/>
          <w:kern w:val="0"/>
          <w:sz w:val="24"/>
        </w:rPr>
      </w:pPr>
      <w:r>
        <w:rPr>
          <w:rFonts w:hint="eastAsia" w:ascii="仿宋" w:hAnsi="仿宋" w:eastAsia="仿宋" w:cs="仿宋"/>
          <w:b/>
          <w:kern w:val="0"/>
          <w:sz w:val="24"/>
        </w:rPr>
        <w:t>（六）投标文件的包装、递交、修改和撤回</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s="仿宋"/>
          <w:sz w:val="24"/>
        </w:rPr>
        <w:t>作未递交投标文件处理</w:t>
      </w:r>
      <w:r>
        <w:rPr>
          <w:rFonts w:hint="eastAsia" w:ascii="仿宋" w:hAnsi="仿宋" w:eastAsia="仿宋" w:cs="仿宋"/>
          <w:kern w:val="0"/>
          <w:sz w:val="24"/>
        </w:rPr>
        <w:t>。</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因疫情原因，数据电子备份投标文件（U盘）应通过邮寄快递方式送达，邮寄地址为：杭州建业造价工程师事务所有限公司[湖州市清远路409号华成时代大厦4层405]，联系人：杨中成，联系电话：15868280407。邮寄截止时间：投标人应于</w:t>
      </w:r>
      <w:r>
        <w:rPr>
          <w:rFonts w:hint="eastAsia" w:ascii="仿宋" w:hAnsi="仿宋" w:eastAsia="仿宋" w:cs="仿宋"/>
          <w:kern w:val="0"/>
          <w:sz w:val="24"/>
          <w:highlight w:val="none"/>
        </w:rPr>
        <w:t>2023年</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:00时前准时</w:t>
      </w:r>
      <w:r>
        <w:rPr>
          <w:rFonts w:hint="eastAsia" w:ascii="仿宋" w:hAnsi="仿宋" w:eastAsia="仿宋" w:cs="仿宋"/>
          <w:kern w:val="0"/>
          <w:sz w:val="24"/>
        </w:rPr>
        <w:t xml:space="preserve">送达，逾期不予受理。投标人须留足投标文件邮寄时间,确保数据电子备份投标文件（U盘）于规定的时间前送达指定地点，未按时送达的，均按未提供处理。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3.整个开标过程中若因投标人问题造成电子投标文件无法正常解密的，均认定为未提交电子投标文件，</w:t>
      </w:r>
      <w:r>
        <w:rPr>
          <w:rFonts w:hint="eastAsia" w:ascii="仿宋" w:hAnsi="仿宋" w:eastAsia="仿宋" w:cs="仿宋"/>
          <w:sz w:val="24"/>
        </w:rPr>
        <w:t>作未递交投标文件处理</w:t>
      </w:r>
      <w:r>
        <w:rPr>
          <w:rFonts w:hint="eastAsia" w:ascii="仿宋" w:hAnsi="仿宋" w:eastAsia="仿宋" w:cs="仿宋"/>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cs="仿宋"/>
          <w:sz w:val="24"/>
        </w:rPr>
        <w:t>作未递交投标文件处理</w:t>
      </w:r>
      <w:r>
        <w:rPr>
          <w:rFonts w:hint="eastAsia" w:ascii="仿宋" w:hAnsi="仿宋" w:eastAsia="仿宋" w:cs="仿宋"/>
          <w:kern w:val="0"/>
          <w:sz w:val="24"/>
        </w:rPr>
        <w:t xml:space="preserve">。若正常解密成功，则数据电子备份投标文件（U 盘）不予开启。在下一顺位的投标文件启用时，前一顺位的投标文件自动失效。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（七）投标无效的情形</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1.在评标开始前，评标委员会或采购代理机构对投标人的资格进行审查，如发现下列情形之一的，投标文件将被视为无效，不在进行下一步评审：</w:t>
      </w:r>
    </w:p>
    <w:p>
      <w:pPr>
        <w:spacing w:line="460" w:lineRule="exact"/>
        <w:ind w:firstLine="475" w:firstLineChars="198"/>
        <w:rPr>
          <w:rFonts w:ascii="仿宋" w:hAnsi="仿宋" w:eastAsia="仿宋" w:cs="仿宋"/>
          <w:b/>
          <w:kern w:val="0"/>
          <w:sz w:val="24"/>
        </w:rPr>
      </w:pPr>
      <w:r>
        <w:rPr>
          <w:rFonts w:hint="eastAsia" w:ascii="仿宋" w:hAnsi="仿宋" w:eastAsia="仿宋" w:cs="仿宋"/>
          <w:kern w:val="0"/>
          <w:sz w:val="24"/>
        </w:rPr>
        <w:t>（1）未提供</w:t>
      </w:r>
      <w:r>
        <w:rPr>
          <w:rFonts w:ascii="仿宋" w:hAnsi="仿宋" w:eastAsia="仿宋"/>
          <w:sz w:val="24"/>
        </w:rPr>
        <w:t>有效的营业执照、税务登记证、组织机构代码证或“三证合一”的营业执照或“五证合一”的营业执照；</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（2）未提供法定代表人有效身份证明书及身份证或未提供法定代表人授权书及授权人身份证或与法定代表人授权委托人身份不符的；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（3）未提供</w:t>
      </w:r>
      <w:r>
        <w:rPr>
          <w:rFonts w:ascii="仿宋" w:hAnsi="仿宋" w:eastAsia="仿宋"/>
          <w:sz w:val="24"/>
        </w:rPr>
        <w:t>授权代理人最近</w:t>
      </w:r>
      <w:r>
        <w:rPr>
          <w:rFonts w:hint="eastAsia" w:ascii="仿宋" w:hAnsi="仿宋" w:eastAsia="仿宋"/>
          <w:bCs/>
          <w:sz w:val="24"/>
        </w:rPr>
        <w:t>三个月中任意一个月</w:t>
      </w:r>
      <w:r>
        <w:rPr>
          <w:rFonts w:ascii="仿宋" w:hAnsi="仿宋" w:eastAsia="仿宋"/>
          <w:sz w:val="24"/>
        </w:rPr>
        <w:t>个人社保缴纳证明文件</w:t>
      </w:r>
      <w:r>
        <w:rPr>
          <w:rFonts w:hint="eastAsia" w:ascii="仿宋" w:hAnsi="仿宋" w:eastAsia="仿宋" w:cs="仿宋"/>
          <w:kern w:val="0"/>
          <w:sz w:val="24"/>
        </w:rPr>
        <w:t>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（4）未提供</w:t>
      </w:r>
      <w:r>
        <w:rPr>
          <w:rFonts w:hint="eastAsia" w:ascii="仿宋" w:hAnsi="仿宋" w:eastAsia="仿宋"/>
          <w:bCs/>
          <w:sz w:val="24"/>
        </w:rPr>
        <w:t>资格</w:t>
      </w:r>
      <w:r>
        <w:rPr>
          <w:rFonts w:ascii="仿宋" w:hAnsi="仿宋" w:eastAsia="仿宋"/>
          <w:sz w:val="24"/>
        </w:rPr>
        <w:t>承诺书</w:t>
      </w:r>
      <w:r>
        <w:rPr>
          <w:rFonts w:hint="eastAsia" w:ascii="仿宋" w:hAnsi="仿宋" w:eastAsia="仿宋"/>
          <w:sz w:val="24"/>
        </w:rPr>
        <w:t>的</w:t>
      </w:r>
      <w:r>
        <w:rPr>
          <w:rFonts w:hint="eastAsia" w:ascii="仿宋" w:hAnsi="仿宋" w:eastAsia="仿宋" w:cs="仿宋"/>
          <w:kern w:val="0"/>
          <w:sz w:val="24"/>
        </w:rPr>
        <w:t>；</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（6）未提供信用承诺书的；</w:t>
      </w:r>
    </w:p>
    <w:p>
      <w:pPr>
        <w:spacing w:line="460" w:lineRule="exact"/>
        <w:ind w:firstLine="480" w:firstLineChars="200"/>
        <w:rPr>
          <w:rFonts w:ascii="仿宋" w:hAnsi="仿宋" w:eastAsia="仿宋" w:cs="仿宋"/>
          <w:bCs/>
          <w:sz w:val="24"/>
        </w:rPr>
      </w:pPr>
      <w:r>
        <w:rPr>
          <w:rFonts w:hint="eastAsia" w:ascii="仿宋" w:hAnsi="仿宋" w:eastAsia="仿宋" w:cs="仿宋"/>
          <w:kern w:val="0"/>
          <w:sz w:val="24"/>
        </w:rPr>
        <w:t>（7）未提供</w:t>
      </w:r>
      <w:r>
        <w:rPr>
          <w:rFonts w:hint="eastAsia" w:ascii="仿宋" w:hAnsi="仿宋" w:eastAsia="仿宋" w:cs="仿宋"/>
          <w:bCs/>
          <w:sz w:val="24"/>
        </w:rPr>
        <w:t>企业资质证书【市政公用工程施工总承包三级及以上资质（浙江省外企业须提供有效的进浙备案证明）】；</w:t>
      </w:r>
    </w:p>
    <w:p>
      <w:pPr>
        <w:pStyle w:val="29"/>
        <w:ind w:firstLine="480"/>
        <w:rPr>
          <w:rFonts w:eastAsia="仿宋"/>
        </w:rPr>
      </w:pPr>
      <w:r>
        <w:rPr>
          <w:rFonts w:hint="eastAsia" w:ascii="仿宋" w:hAnsi="仿宋" w:eastAsia="仿宋" w:cs="仿宋"/>
          <w:bCs/>
          <w:sz w:val="24"/>
        </w:rPr>
        <w:t>（8）</w:t>
      </w:r>
      <w:r>
        <w:rPr>
          <w:rFonts w:hint="eastAsia" w:ascii="仿宋" w:hAnsi="仿宋" w:eastAsia="仿宋" w:cs="仿宋"/>
          <w:kern w:val="0"/>
          <w:sz w:val="24"/>
        </w:rPr>
        <w:t>未提供</w:t>
      </w:r>
      <w:r>
        <w:rPr>
          <w:rFonts w:hint="eastAsia" w:ascii="仿宋" w:hAnsi="仿宋" w:eastAsia="仿宋" w:cs="仿宋"/>
          <w:bCs/>
          <w:sz w:val="24"/>
        </w:rPr>
        <w:t>具备完成地下管道</w:t>
      </w:r>
      <w:r>
        <w:rPr>
          <w:rFonts w:hint="eastAsia" w:ascii="仿宋" w:hAnsi="仿宋" w:eastAsia="仿宋" w:cs="仿宋"/>
          <w:bCs/>
          <w:sz w:val="24"/>
          <w:highlight w:val="none"/>
        </w:rPr>
        <w:t>检测修复</w:t>
      </w:r>
      <w:r>
        <w:rPr>
          <w:rFonts w:hint="eastAsia" w:ascii="仿宋" w:hAnsi="仿宋" w:eastAsia="仿宋" w:cs="仿宋"/>
          <w:bCs/>
          <w:sz w:val="24"/>
        </w:rPr>
        <w:t>服务能力的证明文件的；</w:t>
      </w:r>
    </w:p>
    <w:p>
      <w:pPr>
        <w:spacing w:line="460" w:lineRule="exact"/>
        <w:ind w:firstLine="480" w:firstLineChars="200"/>
        <w:rPr>
          <w:rFonts w:ascii="仿宋" w:hAnsi="仿宋" w:eastAsia="仿宋" w:cs="仿宋"/>
          <w:kern w:val="0"/>
          <w:sz w:val="24"/>
        </w:rPr>
      </w:pPr>
      <w:r>
        <w:rPr>
          <w:rFonts w:hint="eastAsia" w:ascii="仿宋" w:hAnsi="仿宋" w:eastAsia="仿宋" w:cs="仿宋"/>
          <w:bCs/>
          <w:sz w:val="24"/>
        </w:rPr>
        <w:t>（8）如是联合体投标的未提供联合体协议书的；</w:t>
      </w:r>
    </w:p>
    <w:p>
      <w:pPr>
        <w:spacing w:line="460" w:lineRule="exact"/>
        <w:ind w:firstLine="480" w:firstLineChars="200"/>
        <w:rPr>
          <w:rFonts w:ascii="仿宋" w:hAnsi="仿宋" w:eastAsia="仿宋" w:cs="仿宋"/>
          <w:kern w:val="0"/>
          <w:sz w:val="24"/>
        </w:rPr>
      </w:pPr>
      <w:r>
        <w:rPr>
          <w:rFonts w:hint="eastAsia" w:ascii="仿宋" w:hAnsi="仿宋" w:eastAsia="仿宋" w:cs="仿宋"/>
          <w:bCs/>
          <w:sz w:val="24"/>
        </w:rPr>
        <w:t>（9）未提供中小企业声明函的;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（10）资格证明文件不全的，或者不符合招标文件标明的资格要求的。</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2.在符合性审查和商务评审时，如发现下列情形之一的，投标文件将被视为无效：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（1）投标文件未按招标文件要求签字或盖章；</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（2）投标文件格式不规范、项目不齐全或者内容虚假的；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（3）投标文件的实质性内容未使用中文表述、意思表述不明确、前后矛盾或者使用计量单位不符合招标文件要求的（经评标委员会认定并允许其当场更正的笔误除外）；</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（4）未实质性响应招标文件要求或者投标文件有采购人不能接受的附加条件的。</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3.在技术评审时，如发现下列情形之一的，投标文件将被视为无效：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（1）未提供或未如实提供投标货物的技术参数，或者投标文件标明的响应或偏离与事实不符或虚假投标的；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（2）明显不符合招标文件要求的规格型号、质量标准，或者与招标文件中标有“▲”的技术指标、主要功能项目发生实质性偏离的；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（3）投标技术方案不明确，存在一个或一个以上备选（替代）投标方案的；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（4）与其他参加本次投标投标人的投标文件（技术文件）的文字表述内容相同连续 20行以上或者差错相同2处以上的。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4.在报价评审时，如发现下列情形之一的，投标文件将被视为无效：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（1）未采用“人民币元”报价的或未按照招标文件表明的币种报价的；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（2）报价偏离采购人的采购定价，或者超出采购预算金额或采购单价限价，采购人不能支付的；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（3）投标报价具有选择性，或者投标报价未按照招标文件规定的价格进行报价的。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5.被拒绝的投标文件为无效。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6.投标人有下列情形之一的，视为投标人串通投标，其投标无效：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（1）不同投标人的投标（响应）文件由同一单位或者个人编制；</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（2）不同投标人委托同一单位或者个人办理投标事宜；</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（3）不同投标人的投标文件或响应文件载明的项目管理成员或者联系人员为同一人；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（4）不同投标人的投标（响应）文件件异常一致或者投标报价呈规律性差异；</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（5）不同投标人的投标（响应）文件相互混装。</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 投标人有下列情形之一的，属于恶意串通，其投标无效：</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（1）投标人直接或者间接从采购人或者采购代理机构处获得其他投标人的相关情况并修改其投标（响应）文件；</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（2）投标人按照采购人或者采购代理机构的授意撤换、修改投标（响应）文件；</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（3）投标人之间协商报价、技术方案等投标（响应）文件的实质性内容；</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（4）属于同一集团、协会、商会等组织成员的投标人按照该组织要求协同参加政府采购活动；</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（5）投标人之间事先约定由某一特定投标人中标、成交；</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（6）投标人之间商定部分投标人放弃参加政府采购活动或者放弃中标、成交；</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（7）投标人与采购人或者采购代理机构之间、投标人相互之间，为谋求特定投标人中标、成交或者排斥其他投标人的其他串通行为。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8.出现以下情形，导致电子交易平台无法正常进行，或者无法保证电子交易的公平、公正和安全时，中止电子交易活动：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（1）电子交易平台发生故障而无法登录访问的；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（2）电子交易平台应用或数据库出现错误，不能进行正常操作的；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（3）电子交易平台发现严重安全漏洞，有潜在泄密危险的；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（4）病毒发作导致不能进行正常操作的；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（5）其他无法保证电子交易的公平、公正和安全的情况。</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(八）废标的情形</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在采购活动中，出现下列情形之一的，应予废标：</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(1)符合专业条件的投标人或者对招标文件作实质性响应的投标人不足三家的；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(2)出现影响采购公正的违法、违规行为的；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(3)投标人的报价均超过了采购预算或单项最高限价，采购人不能支付的；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(4)因重大变故，采购任务取消的。</w:t>
      </w:r>
    </w:p>
    <w:p>
      <w:pPr>
        <w:pStyle w:val="32"/>
        <w:outlineLvl w:val="1"/>
        <w:rPr>
          <w:rFonts w:ascii="仿宋" w:hAnsi="仿宋" w:eastAsia="仿宋" w:cs="仿宋"/>
          <w:b/>
          <w:color w:val="auto"/>
        </w:rPr>
      </w:pPr>
      <w:bookmarkStart w:id="46" w:name="_Toc5552"/>
      <w:r>
        <w:rPr>
          <w:rFonts w:hint="eastAsia" w:ascii="仿宋" w:hAnsi="仿宋" w:eastAsia="仿宋" w:cs="仿宋"/>
          <w:b/>
          <w:color w:val="auto"/>
        </w:rPr>
        <w:t>四、开标</w:t>
      </w:r>
      <w:bookmarkEnd w:id="46"/>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（一）开标准备</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采购代理机构将在规定的时间和地点进行开标，并按照招标文件规定的时间通过“政府采购云平台”组织开标、开启投标文件，所有投标人均应当准时在线参加。</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（二） 电子招投标开标及评审程序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1.开标由采购人或者采购代理机构主持，邀请投标人在线参加。评标委员会成员不得参加开标活动；</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2.主持人宣布开标会议开始，并按照规定的时间通过政采云系统组织开标，所有投标人应当准时在线参加；</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3.投标截止时间后，投标人应登录政采云平台，在收到电子加密投标文件【开始解密】通知后，通过“项目采购-开标评标”模块对电子投标文件进行在线解密；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4.在开标结束后（评标开始前），由采购人或采购代理机构进行资格审查。资格审查后在系统上公布资格审查结果；</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6.由主持人在系统上公布的投标人名称及在其投标文件中承诺的投标报价、投标内容以及其他有必要宣读的内容；</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7.报价部分符合性审查及评分结束后，由主持人公布无效投标的投标人名单、投标无效的原因，并在系统上公布其他有效投标的评分结果；</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8.最终在政采云系统上公布评审结果；</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9.开标会议结束。</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特别说明：政采云公司如对电子化开标及评审程序有调整的，应按调整的程序操作。</w:t>
      </w:r>
    </w:p>
    <w:p>
      <w:pPr>
        <w:pStyle w:val="32"/>
        <w:outlineLvl w:val="1"/>
        <w:rPr>
          <w:rFonts w:ascii="仿宋" w:hAnsi="仿宋" w:eastAsia="仿宋" w:cs="仿宋"/>
          <w:b/>
          <w:color w:val="auto"/>
        </w:rPr>
      </w:pPr>
      <w:bookmarkStart w:id="47" w:name="_Toc256"/>
      <w:r>
        <w:rPr>
          <w:rFonts w:hint="eastAsia" w:ascii="仿宋" w:hAnsi="仿宋" w:eastAsia="仿宋" w:cs="仿宋"/>
          <w:b/>
          <w:color w:val="auto"/>
        </w:rPr>
        <w:t>五、评标</w:t>
      </w:r>
      <w:bookmarkEnd w:id="47"/>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（一）组建评标委员会</w:t>
      </w:r>
    </w:p>
    <w:p>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本项目评标委员会由政府采购评审专家共5名组成。</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（二）评标的方式</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本项目采用不公开方式评标，评标的依据为招标文件和投标文件。</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（三）评标程序</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1.形式审查</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在开标结束后（评标开始前），采购人或代理机构负责对投标人的资格和投标文件的完整性、合法性等进行审查。</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2.实质审查与比较</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（1）评标委员会审查投标文件的实质性内容是否符合招标文件的实质性要求。</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（3）评标委员会完成评标后,按评标原则推荐中标候选人同时起草评标报告。</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（4）评标委员会按评标原则通过电子系统向采购人及采购代理机构提交评审报告。</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（四）澄清问题的形式</w:t>
      </w:r>
    </w:p>
    <w:p>
      <w:pPr>
        <w:spacing w:line="460" w:lineRule="exact"/>
        <w:ind w:firstLine="480" w:firstLineChars="200"/>
        <w:rPr>
          <w:rFonts w:ascii="仿宋" w:hAnsi="仿宋" w:eastAsia="仿宋" w:cs="仿宋"/>
          <w:sz w:val="24"/>
        </w:rPr>
      </w:pPr>
      <w:r>
        <w:rPr>
          <w:rFonts w:hint="eastAsia" w:ascii="仿宋" w:hAnsi="仿宋" w:eastAsia="仿宋" w:cs="仿宋"/>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（五）错误修正</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投标文件如果出现计算或表达上的错误，修正错误的原则如下：</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1.投标文件的大写和小写不一致的，以大写为准；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2.对不同文字文本投标文件的解释发生异议的，以中文文本为准。</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（六）评标原则和评标办法</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2.评标办法。本项目评标办法是</w:t>
      </w:r>
      <w:r>
        <w:rPr>
          <w:rFonts w:hint="eastAsia" w:ascii="仿宋" w:hAnsi="仿宋" w:eastAsia="仿宋" w:cs="仿宋"/>
          <w:b/>
          <w:kern w:val="0"/>
          <w:sz w:val="24"/>
          <w:u w:val="single"/>
        </w:rPr>
        <w:t>综合评分法</w:t>
      </w:r>
      <w:r>
        <w:rPr>
          <w:rFonts w:hint="eastAsia" w:ascii="仿宋" w:hAnsi="仿宋" w:eastAsia="仿宋" w:cs="仿宋"/>
          <w:kern w:val="0"/>
          <w:sz w:val="24"/>
        </w:rPr>
        <w:t>，具体评标内容及评分标准等详见《第四章：评标办法及评分标准》。</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3.评标过程中凡是属于审查、澄清、评审和比较的有关资料以及授标建议，任何人均不得向投标人或其他无关人员透露。</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（七）评标过程的监控</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本项目评标过程实行全程录音、录像监控，由湖州市吴兴区公共资源交易管理办公室进行现场监督。投标人在评标过程中所进行的试图影响评标结果的不公正活动，可能导致其投标被拒绝。</w:t>
      </w:r>
    </w:p>
    <w:p>
      <w:pPr>
        <w:pStyle w:val="32"/>
        <w:outlineLvl w:val="1"/>
        <w:rPr>
          <w:rFonts w:ascii="仿宋" w:hAnsi="仿宋" w:eastAsia="仿宋" w:cs="仿宋"/>
          <w:b/>
          <w:color w:val="auto"/>
        </w:rPr>
      </w:pPr>
      <w:bookmarkStart w:id="48" w:name="_Toc6825"/>
      <w:r>
        <w:rPr>
          <w:rFonts w:hint="eastAsia" w:ascii="仿宋" w:hAnsi="仿宋" w:eastAsia="仿宋" w:cs="仿宋"/>
          <w:b/>
          <w:color w:val="auto"/>
        </w:rPr>
        <w:t>六、定标</w:t>
      </w:r>
      <w:bookmarkEnd w:id="48"/>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（一）确定中标人。本项目由采购人确定中标人。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1.评标委员会完成评审后，采购代理机构通过电子交易平台向采购人提交评标报告。采购人通过电子交易平台确认中标人。</w:t>
      </w:r>
    </w:p>
    <w:p>
      <w:pPr>
        <w:spacing w:line="460" w:lineRule="exact"/>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4.采购人依法确定中标人后2个工作日内，采购代理机构、采购人向中标人发出中标通知书，并同时在相关网站上发布中标结果公告。</w:t>
      </w:r>
    </w:p>
    <w:p>
      <w:pPr>
        <w:pStyle w:val="32"/>
        <w:outlineLvl w:val="1"/>
        <w:rPr>
          <w:rFonts w:ascii="仿宋" w:hAnsi="仿宋" w:eastAsia="仿宋" w:cs="仿宋"/>
          <w:b/>
          <w:color w:val="auto"/>
        </w:rPr>
      </w:pPr>
      <w:bookmarkStart w:id="49" w:name="_Toc20945"/>
      <w:r>
        <w:rPr>
          <w:rFonts w:hint="eastAsia" w:ascii="仿宋" w:hAnsi="仿宋" w:eastAsia="仿宋" w:cs="仿宋"/>
          <w:b/>
          <w:color w:val="auto"/>
        </w:rPr>
        <w:t>七、合同授予</w:t>
      </w:r>
      <w:bookmarkEnd w:id="49"/>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（一）签订合同</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2.中标人拖延、拒签合同的,将被取消中标资格。</w:t>
      </w:r>
    </w:p>
    <w:p>
      <w:pPr>
        <w:spacing w:line="460" w:lineRule="exact"/>
        <w:ind w:firstLine="482" w:firstLineChars="200"/>
        <w:rPr>
          <w:rFonts w:ascii="仿宋" w:hAnsi="仿宋" w:eastAsia="仿宋" w:cs="仿宋"/>
          <w:b/>
          <w:kern w:val="0"/>
          <w:sz w:val="24"/>
        </w:rPr>
      </w:pPr>
      <w:r>
        <w:rPr>
          <w:rFonts w:hint="eastAsia" w:ascii="仿宋" w:hAnsi="仿宋" w:eastAsia="仿宋" w:cs="仿宋"/>
          <w:b/>
          <w:kern w:val="0"/>
          <w:sz w:val="24"/>
        </w:rPr>
        <w:t>（二）中标通知书</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1.确定中标人后，采购代理机构将以书面形式发出中标通知书，通知中标的投标人其投标被接受；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2.中标通知书为双方签订合同的依据； </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3.中标人应根据中标通知书中规定的时间内，由法定代表人或其授权代理人与采购人签订合同。</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（三）履约保证金：</w:t>
      </w:r>
      <w:r>
        <w:rPr>
          <w:rFonts w:hint="eastAsia" w:ascii="仿宋" w:hAnsi="仿宋" w:eastAsia="仿宋"/>
          <w:color w:val="000000"/>
          <w:sz w:val="24"/>
        </w:rPr>
        <w:t>按采购预算的1%收取，合同履行完毕后无质量问题7个工作日内一次性无息退还。</w:t>
      </w:r>
    </w:p>
    <w:p>
      <w:pPr>
        <w:pStyle w:val="32"/>
        <w:spacing w:line="360" w:lineRule="auto"/>
        <w:outlineLvl w:val="1"/>
        <w:rPr>
          <w:rFonts w:ascii="仿宋" w:hAnsi="仿宋" w:eastAsia="仿宋" w:cs="仿宋"/>
          <w:b/>
          <w:color w:val="auto"/>
        </w:rPr>
      </w:pPr>
      <w:bookmarkStart w:id="50" w:name="_Toc6939"/>
      <w:r>
        <w:rPr>
          <w:rFonts w:hint="eastAsia" w:ascii="仿宋" w:hAnsi="仿宋" w:eastAsia="仿宋" w:cs="仿宋"/>
          <w:b/>
          <w:color w:val="auto"/>
        </w:rPr>
        <w:t>八、其他内容</w:t>
      </w:r>
      <w:bookmarkEnd w:id="50"/>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1.投标人在提交投标（响应）文件截止时间后撤回投标（响应）文件的；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 投标人在投标（响应）文件中提交虚假材料的；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3.除因不可抗力或招标文件认可的情形以外，中标人不与采购人签订合同的；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4.投标人与采购人、其他投标人或者采购代理机构恶意串通的；</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5.招标文件规定的其他情形。</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3"/>
        <w:keepNext w:val="0"/>
        <w:pageBreakBefore/>
        <w:spacing w:line="360" w:lineRule="auto"/>
        <w:rPr>
          <w:rFonts w:ascii="仿宋" w:hAnsi="仿宋" w:eastAsia="仿宋" w:cs="仿宋"/>
          <w:sz w:val="32"/>
        </w:rPr>
      </w:pPr>
      <w:bookmarkStart w:id="51" w:name="_Toc20230"/>
      <w:bookmarkStart w:id="52" w:name="_Toc5189"/>
      <w:bookmarkStart w:id="53" w:name="_Toc16747"/>
      <w:r>
        <w:rPr>
          <w:rFonts w:hint="eastAsia" w:ascii="仿宋" w:hAnsi="仿宋" w:eastAsia="仿宋" w:cs="仿宋"/>
          <w:sz w:val="32"/>
        </w:rPr>
        <w:t>第四章 评标办法及评分标准</w:t>
      </w:r>
      <w:bookmarkEnd w:id="51"/>
      <w:bookmarkEnd w:id="52"/>
      <w:bookmarkEnd w:id="53"/>
    </w:p>
    <w:p>
      <w:pPr>
        <w:spacing w:line="360" w:lineRule="auto"/>
        <w:ind w:firstLine="720" w:firstLineChars="300"/>
        <w:rPr>
          <w:rFonts w:ascii="仿宋" w:hAnsi="仿宋" w:eastAsia="仿宋" w:cs="仿宋"/>
          <w:kern w:val="0"/>
          <w:sz w:val="24"/>
        </w:rPr>
      </w:pPr>
      <w:r>
        <w:rPr>
          <w:rFonts w:hint="eastAsia" w:ascii="仿宋" w:hAnsi="仿宋" w:eastAsia="仿宋" w:cs="仿宋"/>
          <w:kern w:val="0"/>
          <w:sz w:val="24"/>
        </w:rPr>
        <w:t>为公正、公平、科学地选择中标供应商，根据《中华人民共和国政府采购法》、《政府采购货物和服务招标投标管理办法》及相关法律、法规等规定，并结合本项目的实际，制定本办法。</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本办法适用于</w:t>
      </w:r>
      <w:r>
        <w:rPr>
          <w:rFonts w:hint="eastAsia" w:ascii="仿宋" w:hAnsi="仿宋" w:eastAsia="仿宋" w:cs="仿宋"/>
          <w:sz w:val="24"/>
          <w:u w:val="single"/>
        </w:rPr>
        <w:t>雨污水管网维护及应急处置项目</w:t>
      </w:r>
      <w:r>
        <w:rPr>
          <w:rFonts w:hint="eastAsia" w:ascii="仿宋" w:hAnsi="仿宋" w:eastAsia="仿宋" w:cs="仿宋"/>
          <w:kern w:val="0"/>
          <w:sz w:val="24"/>
        </w:rPr>
        <w:t>招标项目的评标。</w:t>
      </w:r>
    </w:p>
    <w:bookmarkEnd w:id="40"/>
    <w:bookmarkEnd w:id="41"/>
    <w:p>
      <w:pPr>
        <w:pStyle w:val="32"/>
        <w:spacing w:line="360" w:lineRule="auto"/>
        <w:outlineLvl w:val="1"/>
        <w:rPr>
          <w:rFonts w:ascii="仿宋" w:hAnsi="仿宋" w:eastAsia="仿宋" w:cs="仿宋"/>
          <w:b/>
          <w:color w:val="auto"/>
          <w:highlight w:val="none"/>
        </w:rPr>
      </w:pPr>
      <w:bookmarkStart w:id="54" w:name="_Toc7332"/>
      <w:r>
        <w:rPr>
          <w:rFonts w:hint="eastAsia" w:ascii="仿宋" w:hAnsi="仿宋" w:eastAsia="仿宋" w:cs="仿宋"/>
          <w:b/>
          <w:color w:val="auto"/>
        </w:rPr>
        <w:t>一、总则</w:t>
      </w:r>
      <w:bookmarkEnd w:id="54"/>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本次评标采用综合评分法，</w:t>
      </w:r>
      <w:r>
        <w:rPr>
          <w:rFonts w:hint="eastAsia" w:ascii="仿宋" w:hAnsi="仿宋" w:eastAsia="仿宋" w:cs="仿宋"/>
          <w:b/>
          <w:kern w:val="0"/>
          <w:sz w:val="24"/>
          <w:highlight w:val="none"/>
        </w:rPr>
        <w:t>总分为100分，其中价格分</w:t>
      </w:r>
      <w:r>
        <w:rPr>
          <w:rFonts w:hint="eastAsia" w:ascii="仿宋" w:hAnsi="仿宋" w:eastAsia="仿宋" w:cs="仿宋"/>
          <w:b/>
          <w:kern w:val="0"/>
          <w:sz w:val="24"/>
          <w:highlight w:val="none"/>
          <w:lang w:val="en-US" w:eastAsia="zh-CN"/>
        </w:rPr>
        <w:t>10</w:t>
      </w:r>
      <w:r>
        <w:rPr>
          <w:rFonts w:hint="eastAsia" w:ascii="仿宋" w:hAnsi="仿宋" w:eastAsia="仿宋" w:cs="仿宋"/>
          <w:b/>
          <w:kern w:val="0"/>
          <w:sz w:val="24"/>
          <w:highlight w:val="none"/>
        </w:rPr>
        <w:t>分、技术分、商务分和资信及其他部分</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r>
        <w:rPr>
          <w:rFonts w:hint="eastAsia" w:ascii="仿宋" w:hAnsi="仿宋" w:eastAsia="仿宋" w:cs="仿宋"/>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排名第一的供应商为中标供应商。评分过程中采用四舍五入法，并保留小数2位。</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各供应商最终得分=技术分、商务分和资信及其他分得分+价格分得分</w:t>
      </w:r>
    </w:p>
    <w:p>
      <w:pPr>
        <w:pStyle w:val="32"/>
        <w:spacing w:line="360" w:lineRule="auto"/>
        <w:outlineLvl w:val="1"/>
        <w:rPr>
          <w:rFonts w:ascii="仿宋" w:hAnsi="仿宋" w:eastAsia="仿宋" w:cs="仿宋"/>
          <w:b/>
          <w:color w:val="auto"/>
          <w:highlight w:val="none"/>
        </w:rPr>
      </w:pPr>
      <w:bookmarkStart w:id="55" w:name="_Toc25201"/>
      <w:r>
        <w:rPr>
          <w:rFonts w:hint="eastAsia" w:ascii="仿宋" w:hAnsi="仿宋" w:eastAsia="仿宋" w:cs="仿宋"/>
          <w:b/>
          <w:color w:val="auto"/>
          <w:highlight w:val="none"/>
        </w:rPr>
        <w:t>二、评标内容及标准</w:t>
      </w:r>
      <w:bookmarkEnd w:id="55"/>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（1）价格分</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价格分采用低价优先法计算，即满足招标文件要求且投标报价最低的投标报价为评标基准价，其他供应商的价格分按照下列公式计算：</w:t>
      </w:r>
    </w:p>
    <w:p>
      <w:pPr>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价格分=【评标基准价/投标报价】×</w:t>
      </w:r>
      <w:r>
        <w:rPr>
          <w:rFonts w:hint="eastAsia" w:ascii="仿宋" w:hAnsi="仿宋" w:eastAsia="仿宋" w:cs="仿宋"/>
          <w:b/>
          <w:kern w:val="0"/>
          <w:sz w:val="24"/>
          <w:highlight w:val="none"/>
          <w:lang w:val="en-US" w:eastAsia="zh-CN"/>
        </w:rPr>
        <w:t>1</w:t>
      </w:r>
      <w:r>
        <w:rPr>
          <w:rFonts w:hint="eastAsia" w:ascii="仿宋" w:hAnsi="仿宋" w:eastAsia="仿宋" w:cs="仿宋"/>
          <w:b/>
          <w:kern w:val="0"/>
          <w:sz w:val="24"/>
          <w:highlight w:val="none"/>
        </w:rPr>
        <w:t>0</w:t>
      </w:r>
    </w:p>
    <w:p>
      <w:pPr>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（2）技术分、商务分、资信及其他分</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p>
    <w:p>
      <w:pPr>
        <w:spacing w:line="480" w:lineRule="auto"/>
        <w:ind w:firstLine="480" w:firstLineChars="200"/>
        <w:rPr>
          <w:rFonts w:ascii="仿宋" w:hAnsi="仿宋" w:eastAsia="仿宋" w:cs="仿宋"/>
          <w:kern w:val="0"/>
          <w:sz w:val="24"/>
        </w:rPr>
      </w:pPr>
      <w:r>
        <w:rPr>
          <w:rFonts w:hint="eastAsia" w:ascii="仿宋" w:hAnsi="仿宋" w:eastAsia="仿宋" w:cs="仿宋"/>
          <w:kern w:val="0"/>
          <w:sz w:val="24"/>
          <w:highlight w:val="none"/>
        </w:rPr>
        <w:t>技术、商务、资信及其他分按照评标委员会成员的独立</w:t>
      </w:r>
      <w:r>
        <w:rPr>
          <w:rFonts w:hint="eastAsia" w:ascii="仿宋" w:hAnsi="仿宋" w:eastAsia="仿宋" w:cs="仿宋"/>
          <w:kern w:val="0"/>
          <w:sz w:val="24"/>
        </w:rPr>
        <w:t>评分结果汇总数的算术平均分计算，计算公式为：</w:t>
      </w:r>
    </w:p>
    <w:p>
      <w:pPr>
        <w:spacing w:line="480" w:lineRule="auto"/>
        <w:ind w:firstLine="480" w:firstLineChars="200"/>
        <w:rPr>
          <w:rFonts w:ascii="仿宋" w:hAnsi="仿宋" w:eastAsia="仿宋" w:cs="仿宋"/>
          <w:kern w:val="0"/>
          <w:sz w:val="24"/>
        </w:rPr>
      </w:pPr>
      <w:r>
        <w:rPr>
          <w:rFonts w:hint="eastAsia" w:ascii="仿宋" w:hAnsi="仿宋" w:eastAsia="仿宋" w:cs="仿宋"/>
          <w:kern w:val="0"/>
          <w:sz w:val="24"/>
        </w:rPr>
        <w:t>技术分、商务分、资信及其他分=（评标委员会所有成员评分合计数）/（评标委员会组成人员数）</w:t>
      </w:r>
    </w:p>
    <w:p>
      <w:pPr>
        <w:rPr>
          <w:rFonts w:ascii="仿宋" w:hAnsi="仿宋" w:eastAsia="仿宋" w:cs="仿宋"/>
          <w:b/>
          <w:kern w:val="0"/>
          <w:sz w:val="24"/>
        </w:rPr>
      </w:pPr>
      <w:r>
        <w:rPr>
          <w:rFonts w:hint="eastAsia" w:ascii="仿宋" w:hAnsi="仿宋" w:eastAsia="仿宋" w:cs="仿宋"/>
          <w:b/>
          <w:kern w:val="0"/>
          <w:sz w:val="24"/>
        </w:rPr>
        <w:br w:type="page"/>
      </w:r>
    </w:p>
    <w:p>
      <w:pPr>
        <w:spacing w:line="480" w:lineRule="auto"/>
        <w:rPr>
          <w:rFonts w:ascii="仿宋" w:hAnsi="仿宋" w:eastAsia="仿宋" w:cs="仿宋"/>
          <w:b/>
          <w:kern w:val="0"/>
          <w:sz w:val="24"/>
          <w:highlight w:val="none"/>
        </w:rPr>
      </w:pPr>
      <w:r>
        <w:rPr>
          <w:rFonts w:hint="eastAsia" w:ascii="仿宋" w:hAnsi="仿宋" w:eastAsia="仿宋" w:cs="仿宋"/>
          <w:b/>
          <w:kern w:val="0"/>
          <w:sz w:val="24"/>
        </w:rPr>
        <w:t>附件：评分表格式（技术、商务、资信及其他分，共</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p>
    <w:tbl>
      <w:tblPr>
        <w:tblStyle w:val="22"/>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479"/>
        <w:gridCol w:w="6526"/>
        <w:gridCol w:w="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rPr>
              <w:t>序号</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rPr>
              <w:t>评审内容</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rPr>
              <w:t>评分标准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8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rPr>
              <w:t>技术分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0"/>
                <w:sz w:val="24"/>
                <w:highlight w:val="none"/>
              </w:rPr>
            </w:pPr>
            <w:r>
              <w:rPr>
                <w:rFonts w:hint="eastAsia" w:ascii="仿宋" w:hAnsi="仿宋" w:eastAsia="仿宋" w:cs="仿宋"/>
                <w:b/>
                <w:kern w:val="0"/>
                <w:sz w:val="24"/>
                <w:highlight w:val="none"/>
                <w:lang w:val="en-US" w:eastAsia="zh-CN"/>
              </w:rPr>
              <w:t>75</w:t>
            </w:r>
            <w:r>
              <w:rPr>
                <w:rFonts w:hint="eastAsia" w:ascii="仿宋" w:hAnsi="仿宋" w:eastAsia="仿宋" w:cs="仿宋"/>
                <w:b/>
                <w:kern w:val="0"/>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12"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1</w:t>
            </w:r>
          </w:p>
        </w:tc>
        <w:tc>
          <w:tcPr>
            <w:tcW w:w="1479"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napToGrid w:val="0"/>
                <w:sz w:val="24"/>
              </w:rPr>
            </w:pPr>
            <w:r>
              <w:rPr>
                <w:rFonts w:hint="eastAsia" w:ascii="仿宋" w:hAnsi="仿宋" w:eastAsia="仿宋" w:cs="仿宋"/>
                <w:kern w:val="0"/>
                <w:sz w:val="24"/>
              </w:rPr>
              <w:t>整体技术方案</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由评审小组根据供应商整体技术方案进行评审：至少应包括技术要点分析、拟采取的检测、疏通和排水管道错接混接排查技术措施、作业实施步骤、施工（作业）组织设计等。</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提供整体技术方案的得2分，在此基础上：</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提供的整体技术方案内容齐全、结构完整、表述准确、条理清晰，方案优秀的得4.1～6分；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提供的整体技术方案内容和结构不算完整、表述和条理较为模糊不明确的得2.1～4分；</w:t>
            </w:r>
          </w:p>
          <w:p>
            <w:pPr>
              <w:spacing w:line="360" w:lineRule="auto"/>
              <w:ind w:firstLine="480" w:firstLineChars="200"/>
              <w:rPr>
                <w:rFonts w:ascii="仿宋" w:hAnsi="仿宋" w:eastAsia="仿宋" w:cs="仿宋"/>
                <w:bCs/>
                <w:sz w:val="24"/>
              </w:rPr>
            </w:pPr>
            <w:r>
              <w:rPr>
                <w:rFonts w:hint="eastAsia" w:ascii="仿宋" w:hAnsi="仿宋" w:eastAsia="仿宋" w:cs="仿宋"/>
                <w:kern w:val="0"/>
                <w:sz w:val="24"/>
              </w:rPr>
              <w:t>提供的整体技术方案欠佳的或存在明显缺陷的得0～2分。</w:t>
            </w:r>
          </w:p>
        </w:tc>
        <w:tc>
          <w:tcPr>
            <w:tcW w:w="925" w:type="dxa"/>
            <w:tcBorders>
              <w:top w:val="single" w:color="auto" w:sz="4" w:space="0"/>
              <w:left w:val="single" w:color="auto" w:sz="4" w:space="0"/>
              <w:right w:val="single" w:color="auto" w:sz="4" w:space="0"/>
            </w:tcBorders>
            <w:vAlign w:val="center"/>
          </w:tcPr>
          <w:p>
            <w:pPr>
              <w:pStyle w:val="20"/>
              <w:spacing w:line="480" w:lineRule="auto"/>
              <w:ind w:left="0" w:leftChars="0"/>
              <w:jc w:val="center"/>
              <w:rPr>
                <w:rFonts w:ascii="仿宋" w:hAnsi="仿宋" w:eastAsia="仿宋" w:cs="仿宋"/>
                <w:sz w:val="24"/>
                <w:szCs w:val="24"/>
              </w:rPr>
            </w:pPr>
            <w:r>
              <w:rPr>
                <w:rFonts w:hint="eastAsia" w:ascii="仿宋" w:hAnsi="仿宋" w:eastAsia="仿宋" w:cs="仿宋"/>
                <w:sz w:val="24"/>
                <w:szCs w:val="24"/>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2</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进度控制措施及方案</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由评审小组根据供应商提供的进度控制措施及方案进行评审：</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提供进度控制措施及方案的得2分，在此基础上：</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提供的进度控制措施及方案内容全面、严谨、科学、明确可行的得4.1～6分；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提供的进度控制措施及方案可行的得2.1～4分；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提供的进度控制措施及方案欠佳或有明显缺陷的得0～2分。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3</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质量控制措施及方案</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由评审小组根据供应商提供的质量控制措施及方案进行评审:</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提供质量控制措施及方案的得2分，在此基础上：</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提供的质量控制措施及方案清晰、科学、明确可行完全符合本项目的得4.1～6分；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提供的质量控制措施及方案科学性、清晰度有欠缺，质量控制措施及方案等部分适用本项目的得2.1～4分；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提供的质量控制措施及方案内容粗糙，有明显缺陷及不针对本项目措施的，得0～2分。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kern w:val="0"/>
                <w:sz w:val="24"/>
              </w:rPr>
            </w:pPr>
            <w:r>
              <w:rPr>
                <w:rFonts w:hint="eastAsia" w:ascii="仿宋" w:hAnsi="仿宋" w:eastAsia="仿宋" w:cs="仿宋"/>
                <w:sz w:val="24"/>
              </w:rPr>
              <w:t>4</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环境保护管理方案及措施</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由评审小组根据供应商提供的环境保护管理方案及措施进行评审:</w:t>
            </w:r>
          </w:p>
          <w:p>
            <w:pPr>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提供的环境保护管理方案及措施的得2分，在此基础上</w:t>
            </w:r>
            <w:r>
              <w:rPr>
                <w:rFonts w:hint="eastAsia" w:ascii="仿宋" w:hAnsi="仿宋" w:eastAsia="仿宋" w:cs="仿宋"/>
                <w:kern w:val="0"/>
                <w:sz w:val="24"/>
                <w:lang w:eastAsia="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提供的环境保护管理方案及措施方案完整、科学、有效的得4.1～6分；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提供的对环境保护管理方案及措施方案科学、效率、完整性有欠缺但适用于本项目的得2.1～4分；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提供的对环境保护管理方案及措施方案欠佳或存在明显缺陷的得0-2分。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kern w:val="0"/>
                <w:sz w:val="24"/>
              </w:rPr>
            </w:pPr>
            <w:r>
              <w:rPr>
                <w:rFonts w:hint="eastAsia" w:ascii="仿宋" w:hAnsi="仿宋" w:eastAsia="仿宋" w:cs="仿宋"/>
                <w:sz w:val="24"/>
              </w:rPr>
              <w:t>5</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本项目拟投入设备</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1、投标单位配置1台管道CCTV检测设备的得2分，本小项最高得2分；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2、投标单位配置1台毒气检测仪的得2分，本小项最高得2分。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3、投标单位配置1套</w:t>
            </w:r>
            <w:r>
              <w:rPr>
                <w:rFonts w:hint="eastAsia" w:ascii="仿宋" w:hAnsi="仿宋" w:eastAsia="仿宋" w:cs="仿宋"/>
                <w:kern w:val="0"/>
                <w:sz w:val="24"/>
                <w:highlight w:val="none"/>
              </w:rPr>
              <w:t>潜水设备</w:t>
            </w:r>
            <w:r>
              <w:rPr>
                <w:rFonts w:hint="eastAsia" w:ascii="仿宋" w:hAnsi="仿宋" w:eastAsia="仿宋" w:cs="仿宋"/>
                <w:kern w:val="0"/>
                <w:sz w:val="24"/>
              </w:rPr>
              <w:t>的得2分，本小项最高得2分；</w:t>
            </w:r>
          </w:p>
          <w:p>
            <w:pPr>
              <w:spacing w:line="360" w:lineRule="auto"/>
              <w:ind w:firstLine="480" w:firstLineChars="200"/>
              <w:rPr>
                <w:rFonts w:ascii="仿宋" w:hAnsi="仿宋" w:eastAsia="仿宋" w:cs="仿宋"/>
                <w:color w:val="FF0000"/>
                <w:kern w:val="0"/>
                <w:sz w:val="24"/>
              </w:rPr>
            </w:pPr>
            <w:r>
              <w:rPr>
                <w:rFonts w:hint="eastAsia" w:ascii="仿宋" w:hAnsi="仿宋" w:eastAsia="仿宋" w:cs="仿宋"/>
                <w:kern w:val="0"/>
                <w:sz w:val="24"/>
                <w:szCs w:val="24"/>
              </w:rPr>
              <w:t>4</w:t>
            </w:r>
            <w:r>
              <w:rPr>
                <w:rFonts w:hint="eastAsia" w:ascii="仿宋" w:hAnsi="仿宋" w:eastAsia="仿宋" w:cs="仿宋"/>
                <w:color w:val="0000FF"/>
                <w:kern w:val="0"/>
                <w:sz w:val="24"/>
                <w:szCs w:val="24"/>
              </w:rPr>
              <w:t>、</w:t>
            </w:r>
            <w:r>
              <w:rPr>
                <w:rFonts w:hint="eastAsia" w:ascii="仿宋" w:hAnsi="仿宋" w:eastAsia="仿宋" w:cs="仿宋"/>
                <w:color w:val="auto"/>
                <w:kern w:val="0"/>
                <w:sz w:val="24"/>
                <w:szCs w:val="24"/>
              </w:rPr>
              <w:t>投标单位配置1台发电机组的得2分，</w:t>
            </w:r>
            <w:r>
              <w:rPr>
                <w:rFonts w:hint="eastAsia" w:ascii="仿宋" w:hAnsi="仿宋" w:eastAsia="仿宋" w:cs="仿宋"/>
                <w:color w:val="auto"/>
                <w:kern w:val="0"/>
                <w:sz w:val="24"/>
              </w:rPr>
              <w:t>每增加1台得2分，本小项最高得4分；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5、投标单位配置1台</w:t>
            </w:r>
            <w:r>
              <w:rPr>
                <w:rFonts w:hint="eastAsia" w:ascii="仿宋" w:hAnsi="仿宋" w:eastAsia="仿宋" w:cs="仿宋"/>
                <w:color w:val="auto"/>
                <w:kern w:val="0"/>
                <w:sz w:val="24"/>
                <w:highlight w:val="none"/>
                <w:lang w:eastAsia="zh-CN"/>
              </w:rPr>
              <w:t>清理疏通车</w:t>
            </w:r>
            <w:r>
              <w:rPr>
                <w:rFonts w:hint="eastAsia" w:ascii="仿宋" w:hAnsi="仿宋" w:eastAsia="仿宋" w:cs="仿宋"/>
                <w:color w:val="auto"/>
                <w:kern w:val="0"/>
                <w:sz w:val="24"/>
                <w:highlight w:val="none"/>
              </w:rPr>
              <w:t>的得2分，每增加1台得2分，本小项最高得4分；</w:t>
            </w:r>
          </w:p>
          <w:p>
            <w:pPr>
              <w:spacing w:line="360" w:lineRule="auto"/>
              <w:ind w:firstLine="480" w:firstLineChars="200"/>
              <w:rPr>
                <w:rFonts w:eastAsia="仿宋"/>
              </w:rPr>
            </w:pPr>
            <w:r>
              <w:rPr>
                <w:rFonts w:hint="eastAsia" w:ascii="仿宋" w:hAnsi="仿宋" w:eastAsia="仿宋" w:cs="仿宋"/>
                <w:kern w:val="0"/>
                <w:sz w:val="24"/>
              </w:rPr>
              <w:t>6、投标单位配置1辆</w:t>
            </w:r>
            <w:r>
              <w:rPr>
                <w:rFonts w:hint="eastAsia" w:ascii="仿宋" w:hAnsi="仿宋" w:eastAsia="仿宋" w:cs="仿宋"/>
                <w:kern w:val="0"/>
                <w:sz w:val="24"/>
                <w:highlight w:val="none"/>
              </w:rPr>
              <w:t>吸污车</w:t>
            </w:r>
            <w:r>
              <w:rPr>
                <w:rFonts w:hint="eastAsia" w:ascii="仿宋" w:hAnsi="仿宋" w:eastAsia="仿宋" w:cs="仿宋"/>
                <w:kern w:val="0"/>
                <w:sz w:val="24"/>
              </w:rPr>
              <w:t>的得2分，每增加1辆得2分，本小项最高得4分。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highlight w:val="none"/>
              </w:rPr>
              <w:t>以上须提供设备彩照、购买发票复印件、车辆（清疏车、吸污车）行驶证及交强险保单复印件，以上材料均加盖公章（发票购买单位、行驶证须为投标人），否则不得分。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0-18分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kern w:val="0"/>
                <w:sz w:val="24"/>
                <w:highlight w:val="none"/>
              </w:rPr>
            </w:pPr>
            <w:r>
              <w:rPr>
                <w:rFonts w:hint="eastAsia" w:ascii="仿宋" w:hAnsi="仿宋" w:eastAsia="仿宋" w:cs="仿宋"/>
                <w:sz w:val="24"/>
                <w:highlight w:val="none"/>
              </w:rPr>
              <w:t>6</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保证项目实施的技术力量和人力资源安排</w:t>
            </w:r>
          </w:p>
        </w:tc>
        <w:tc>
          <w:tcPr>
            <w:tcW w:w="6526" w:type="dxa"/>
            <w:tcBorders>
              <w:top w:val="single" w:color="auto" w:sz="4" w:space="0"/>
              <w:left w:val="single" w:color="auto" w:sz="4" w:space="0"/>
              <w:right w:val="single" w:color="auto" w:sz="4" w:space="0"/>
            </w:tcBorders>
            <w:vAlign w:val="center"/>
          </w:tcPr>
          <w:p>
            <w:pPr>
              <w:shd w:val="clear"/>
              <w:spacing w:line="360" w:lineRule="auto"/>
              <w:ind w:firstLine="480" w:firstLineChars="200"/>
              <w:jc w:val="both"/>
              <w:rPr>
                <w:rFonts w:ascii="仿宋" w:hAnsi="仿宋" w:eastAsia="仿宋" w:cs="仿宋"/>
                <w:kern w:val="0"/>
                <w:sz w:val="24"/>
                <w:highlight w:val="none"/>
              </w:rPr>
            </w:pPr>
            <w:r>
              <w:rPr>
                <w:rFonts w:hint="eastAsia" w:ascii="仿宋" w:hAnsi="仿宋" w:eastAsia="仿宋" w:cs="仿宋"/>
                <w:kern w:val="0"/>
                <w:sz w:val="24"/>
                <w:highlight w:val="none"/>
              </w:rPr>
              <w:t>项目组成人员：</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1、投标人提供有毒有害有限空间作业证书1人得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2、投标人具有下水道养护工中级或高级工证书的，每增加一人得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分，未提供或不满足的不得分；</w:t>
            </w:r>
          </w:p>
          <w:p>
            <w:pPr>
              <w:shd w:val="clea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3、投标人提供潜水员证书1人得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color w:val="auto"/>
                <w:kern w:val="0"/>
                <w:sz w:val="24"/>
                <w:highlight w:val="none"/>
              </w:rPr>
              <w:t>以上拥有证书人员必须是响应人的合法员工，并提供近三个月中任意一个月的社保证明及相关证书</w:t>
            </w:r>
            <w:r>
              <w:rPr>
                <w:rFonts w:hint="eastAsia" w:ascii="仿宋" w:hAnsi="仿宋" w:eastAsia="仿宋" w:cs="仿宋"/>
                <w:kern w:val="0"/>
                <w:sz w:val="24"/>
                <w:highlight w:val="none"/>
              </w:rPr>
              <w:t>复印件加盖公章，否则不得分。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kern w:val="0"/>
                <w:sz w:val="24"/>
              </w:rPr>
            </w:pPr>
            <w:r>
              <w:rPr>
                <w:rFonts w:hint="eastAsia" w:ascii="仿宋" w:hAnsi="仿宋" w:eastAsia="仿宋" w:cs="仿宋"/>
                <w:sz w:val="24"/>
              </w:rPr>
              <w:t>7</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应急预案</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根据供应商提供的应急预案内容是否合理，突发情况的响应时效以及处理流程进行评审：</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提供应急预案的得2分，在此基础上：</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应急预案内容合理并符合要求，响应时效和处理流程很好的得</w:t>
            </w:r>
            <w:r>
              <w:rPr>
                <w:rFonts w:hint="eastAsia" w:ascii="仿宋" w:hAnsi="仿宋" w:eastAsia="仿宋" w:cs="仿宋"/>
                <w:kern w:val="0"/>
                <w:sz w:val="24"/>
                <w:highlight w:val="none"/>
                <w:lang w:val="en-US" w:eastAsia="zh-CN"/>
              </w:rPr>
              <w:t>4.1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应急预案内容基本符合要求，响应时效和处理流程好的得</w:t>
            </w:r>
            <w:r>
              <w:rPr>
                <w:rFonts w:hint="eastAsia" w:ascii="仿宋" w:hAnsi="仿宋" w:eastAsia="仿宋" w:cs="仿宋"/>
                <w:kern w:val="0"/>
                <w:sz w:val="24"/>
                <w:highlight w:val="none"/>
                <w:lang w:val="en-US" w:eastAsia="zh-CN"/>
              </w:rPr>
              <w:t>2.1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应急预案内容基本符合要求，响应时效和处理流程一般的得0～</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97"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8</w:t>
            </w:r>
          </w:p>
        </w:tc>
        <w:tc>
          <w:tcPr>
            <w:tcW w:w="147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对本项目有效的改进措施和合理化建议</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有效建议和措施每项得1分，最高得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分，未提供不得分。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8802" w:type="dxa"/>
            <w:gridSpan w:val="3"/>
            <w:tcBorders>
              <w:top w:val="single" w:color="auto" w:sz="4" w:space="0"/>
              <w:left w:val="single" w:color="auto" w:sz="4" w:space="0"/>
              <w:bottom w:val="single" w:color="auto" w:sz="4" w:space="0"/>
              <w:right w:val="single" w:color="auto" w:sz="4" w:space="0"/>
            </w:tcBorders>
            <w:vAlign w:val="center"/>
          </w:tcPr>
          <w:p>
            <w:pPr>
              <w:pStyle w:val="20"/>
              <w:spacing w:after="0" w:line="480" w:lineRule="auto"/>
              <w:ind w:left="0" w:leftChars="0"/>
              <w:jc w:val="center"/>
              <w:rPr>
                <w:rFonts w:ascii="仿宋" w:hAnsi="仿宋" w:eastAsia="仿宋" w:cs="仿宋"/>
                <w:sz w:val="24"/>
                <w:szCs w:val="24"/>
                <w:highlight w:val="none"/>
              </w:rPr>
            </w:pPr>
            <w:r>
              <w:rPr>
                <w:rFonts w:hint="eastAsia" w:ascii="仿宋" w:hAnsi="仿宋" w:eastAsia="仿宋" w:cs="仿宋"/>
                <w:b/>
                <w:sz w:val="24"/>
                <w:szCs w:val="24"/>
                <w:highlight w:val="none"/>
              </w:rPr>
              <w:t>商务、资信及其他分</w:t>
            </w: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3" w:hRule="atLeast"/>
          <w:jc w:val="center"/>
        </w:trPr>
        <w:tc>
          <w:tcPr>
            <w:tcW w:w="797" w:type="dxa"/>
            <w:tcBorders>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479"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售后服务承诺</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评审小组根据售后服务方案进行评审。</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提供</w:t>
            </w:r>
            <w:r>
              <w:rPr>
                <w:rFonts w:hint="eastAsia" w:ascii="仿宋" w:hAnsi="仿宋" w:eastAsia="仿宋" w:cs="仿宋"/>
                <w:kern w:val="0"/>
                <w:sz w:val="24"/>
                <w:highlight w:val="none"/>
                <w:lang w:val="en-US" w:eastAsia="zh-CN"/>
              </w:rPr>
              <w:t>售后服务方案</w:t>
            </w:r>
            <w:r>
              <w:rPr>
                <w:rFonts w:hint="eastAsia" w:ascii="仿宋" w:hAnsi="仿宋" w:eastAsia="仿宋" w:cs="仿宋"/>
                <w:kern w:val="0"/>
                <w:sz w:val="24"/>
                <w:highlight w:val="none"/>
              </w:rPr>
              <w:t>的得2分，在此基础上：</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售后服务方案全面、周到、明确可行，优惠幅度大的得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售后服务方案可行，优惠幅度一般的得</w:t>
            </w:r>
            <w:r>
              <w:rPr>
                <w:rFonts w:hint="eastAsia" w:ascii="仿宋" w:hAnsi="仿宋" w:eastAsia="仿宋" w:cs="仿宋"/>
                <w:kern w:val="0"/>
                <w:sz w:val="24"/>
                <w:highlight w:val="none"/>
                <w:lang w:val="en-US" w:eastAsia="zh-CN"/>
              </w:rPr>
              <w:t>2.1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售后服务不全面或优惠不明显的得0～</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除评审文件规定内容外无其他售后服务承诺的，该项不得分。以上方案不提供的不得分。</w:t>
            </w:r>
          </w:p>
        </w:tc>
        <w:tc>
          <w:tcPr>
            <w:tcW w:w="925" w:type="dxa"/>
            <w:tcBorders>
              <w:top w:val="single" w:color="auto" w:sz="4" w:space="0"/>
              <w:left w:val="single" w:color="auto" w:sz="4" w:space="0"/>
              <w:right w:val="single" w:color="auto" w:sz="4" w:space="0"/>
            </w:tcBorders>
            <w:vAlign w:val="center"/>
          </w:tcPr>
          <w:p>
            <w:pPr>
              <w:spacing w:line="480" w:lineRule="auto"/>
              <w:jc w:val="center"/>
              <w:rPr>
                <w:rFonts w:ascii="仿宋" w:hAnsi="仿宋" w:eastAsia="仿宋" w:cs="仿宋"/>
                <w:sz w:val="24"/>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797" w:type="dxa"/>
            <w:tcBorders>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仿宋"/>
                <w:sz w:val="24"/>
              </w:rPr>
            </w:pPr>
            <w:r>
              <w:rPr>
                <w:rFonts w:hint="eastAsia" w:ascii="仿宋" w:hAnsi="仿宋" w:eastAsia="仿宋" w:cs="仿宋"/>
                <w:sz w:val="24"/>
              </w:rPr>
              <w:t>10</w:t>
            </w:r>
          </w:p>
        </w:tc>
        <w:tc>
          <w:tcPr>
            <w:tcW w:w="1479"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企业业绩</w:t>
            </w:r>
          </w:p>
        </w:tc>
        <w:tc>
          <w:tcPr>
            <w:tcW w:w="6526" w:type="dxa"/>
            <w:tcBorders>
              <w:top w:val="single" w:color="auto" w:sz="4" w:space="0"/>
              <w:left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从2020年1月1日以来，响应人有1个管道维护</w:t>
            </w:r>
            <w:r>
              <w:rPr>
                <w:rFonts w:hint="eastAsia" w:ascii="仿宋" w:hAnsi="仿宋" w:eastAsia="仿宋" w:cs="仿宋"/>
                <w:kern w:val="0"/>
                <w:sz w:val="24"/>
                <w:highlight w:val="none"/>
                <w:lang w:val="en-US" w:eastAsia="zh-CN"/>
              </w:rPr>
              <w:t>修复</w:t>
            </w:r>
            <w:r>
              <w:rPr>
                <w:rFonts w:hint="eastAsia" w:ascii="仿宋" w:hAnsi="仿宋" w:eastAsia="仿宋" w:cs="仿宋"/>
                <w:kern w:val="0"/>
                <w:sz w:val="24"/>
                <w:highlight w:val="none"/>
              </w:rPr>
              <w:t>类项目业绩的</w:t>
            </w:r>
            <w:r>
              <w:rPr>
                <w:rFonts w:hint="eastAsia" w:ascii="仿宋" w:hAnsi="仿宋" w:eastAsia="仿宋" w:cs="仿宋"/>
                <w:color w:val="auto"/>
                <w:kern w:val="0"/>
                <w:sz w:val="24"/>
                <w:highlight w:val="none"/>
                <w:shd w:val="clear" w:fill="FFFFFF" w:themeFill="background1"/>
              </w:rPr>
              <w:t>得0.5分，每增加1个加0.5分，最高得</w:t>
            </w:r>
            <w:r>
              <w:rPr>
                <w:rFonts w:hint="eastAsia" w:ascii="仿宋" w:hAnsi="仿宋" w:eastAsia="仿宋" w:cs="仿宋"/>
                <w:color w:val="auto"/>
                <w:kern w:val="0"/>
                <w:sz w:val="24"/>
                <w:highlight w:val="none"/>
                <w:shd w:val="clear" w:fill="FFFFFF" w:themeFill="background1"/>
                <w:lang w:val="en-US" w:eastAsia="zh-CN"/>
              </w:rPr>
              <w:t>1</w:t>
            </w:r>
            <w:r>
              <w:rPr>
                <w:rFonts w:hint="eastAsia" w:ascii="仿宋" w:hAnsi="仿宋" w:eastAsia="仿宋" w:cs="仿宋"/>
                <w:color w:val="auto"/>
                <w:kern w:val="0"/>
                <w:sz w:val="24"/>
                <w:highlight w:val="none"/>
                <w:shd w:val="clear" w:fill="FFFFFF" w:themeFill="background1"/>
              </w:rPr>
              <w:t>分（以合同签订时间为准，需提供合同及中标通知书复印件</w:t>
            </w:r>
            <w:r>
              <w:rPr>
                <w:rFonts w:hint="eastAsia" w:ascii="仿宋" w:hAnsi="仿宋" w:eastAsia="仿宋" w:cs="仿宋"/>
                <w:kern w:val="0"/>
                <w:sz w:val="24"/>
                <w:highlight w:val="none"/>
              </w:rPr>
              <w:t>加盖公章）。</w:t>
            </w:r>
          </w:p>
        </w:tc>
        <w:tc>
          <w:tcPr>
            <w:tcW w:w="925" w:type="dxa"/>
            <w:tcBorders>
              <w:top w:val="single" w:color="auto" w:sz="4" w:space="0"/>
              <w:left w:val="single" w:color="auto" w:sz="4" w:space="0"/>
              <w:right w:val="single" w:color="auto" w:sz="4" w:space="0"/>
            </w:tcBorders>
            <w:vAlign w:val="center"/>
          </w:tcPr>
          <w:p>
            <w:pPr>
              <w:pStyle w:val="20"/>
              <w:spacing w:line="480" w:lineRule="auto"/>
              <w:ind w:left="0" w:leftChars="0"/>
              <w:jc w:val="center"/>
              <w:rPr>
                <w:rFonts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仿宋"/>
                <w:sz w:val="24"/>
              </w:rPr>
            </w:pPr>
            <w:r>
              <w:rPr>
                <w:rFonts w:hint="eastAsia" w:ascii="仿宋" w:hAnsi="仿宋" w:eastAsia="仿宋" w:cs="仿宋"/>
                <w:sz w:val="24"/>
              </w:rPr>
              <w:t>11</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响应时间承诺</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供应商承诺在接到采购人通知后在1小时内到达采购人现场的得2分。每提前0.5小时得1分，本小项最高得3分。</w:t>
            </w:r>
          </w:p>
        </w:tc>
        <w:tc>
          <w:tcPr>
            <w:tcW w:w="925" w:type="dxa"/>
            <w:tcBorders>
              <w:top w:val="single" w:color="auto" w:sz="4" w:space="0"/>
              <w:left w:val="single" w:color="auto" w:sz="4" w:space="0"/>
              <w:bottom w:val="single" w:color="auto" w:sz="4" w:space="0"/>
              <w:right w:val="single" w:color="auto" w:sz="4" w:space="0"/>
            </w:tcBorders>
            <w:vAlign w:val="center"/>
          </w:tcPr>
          <w:p>
            <w:pPr>
              <w:pStyle w:val="20"/>
              <w:spacing w:line="480" w:lineRule="auto"/>
              <w:ind w:left="0" w:leftChars="0"/>
              <w:jc w:val="center"/>
              <w:rPr>
                <w:rFonts w:ascii="仿宋" w:hAnsi="仿宋" w:eastAsia="仿宋" w:cs="仿宋"/>
                <w:sz w:val="24"/>
                <w:szCs w:val="24"/>
              </w:rPr>
            </w:pPr>
            <w:r>
              <w:rPr>
                <w:rFonts w:hint="eastAsia" w:ascii="仿宋" w:hAnsi="仿宋" w:eastAsia="仿宋" w:cs="仿宋"/>
                <w:sz w:val="24"/>
                <w:szCs w:val="24"/>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仿宋"/>
                <w:sz w:val="24"/>
              </w:rPr>
            </w:pPr>
            <w:r>
              <w:rPr>
                <w:rFonts w:hint="eastAsia" w:ascii="仿宋" w:hAnsi="仿宋" w:eastAsia="仿宋" w:cs="仿宋"/>
                <w:sz w:val="24"/>
              </w:rPr>
              <w:t>12</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企业认证</w:t>
            </w:r>
          </w:p>
        </w:tc>
        <w:tc>
          <w:tcPr>
            <w:tcW w:w="6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供应商具有有效期内的质量管理体系认证证书的得1分；</w:t>
            </w:r>
          </w:p>
          <w:p>
            <w:pPr>
              <w:shd w:val="clea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供应商具有有效期内的环境管理体系认证证书的得1分；</w:t>
            </w:r>
          </w:p>
          <w:p>
            <w:pPr>
              <w:shd w:val="clea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供应商具有有效期内的职业健康安全管理体系认证证书的得1分。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注：提供证书扫描件及网页认证查询并加盖公章，不提供不得分。</w:t>
            </w:r>
          </w:p>
        </w:tc>
        <w:tc>
          <w:tcPr>
            <w:tcW w:w="925" w:type="dxa"/>
            <w:tcBorders>
              <w:top w:val="single" w:color="auto" w:sz="4" w:space="0"/>
              <w:left w:val="single" w:color="auto" w:sz="4" w:space="0"/>
              <w:bottom w:val="single" w:color="auto" w:sz="4" w:space="0"/>
              <w:right w:val="single" w:color="auto" w:sz="4" w:space="0"/>
            </w:tcBorders>
            <w:vAlign w:val="center"/>
          </w:tcPr>
          <w:p>
            <w:pPr>
              <w:pStyle w:val="20"/>
              <w:spacing w:line="480" w:lineRule="auto"/>
              <w:ind w:left="0" w:leftChars="0"/>
              <w:jc w:val="center"/>
              <w:rPr>
                <w:rFonts w:ascii="仿宋" w:hAnsi="仿宋" w:eastAsia="仿宋" w:cs="仿宋"/>
                <w:sz w:val="24"/>
                <w:szCs w:val="24"/>
              </w:rPr>
            </w:pPr>
            <w:r>
              <w:rPr>
                <w:rFonts w:hint="eastAsia" w:ascii="仿宋" w:hAnsi="仿宋" w:eastAsia="仿宋" w:cs="仿宋"/>
                <w:sz w:val="24"/>
                <w:szCs w:val="24"/>
              </w:rPr>
              <w:t>0-3分</w:t>
            </w:r>
          </w:p>
        </w:tc>
      </w:tr>
    </w:tbl>
    <w:p>
      <w:pPr>
        <w:snapToGrid w:val="0"/>
        <w:spacing w:beforeLines="50" w:after="50"/>
        <w:rPr>
          <w:rFonts w:ascii="仿宋" w:hAnsi="仿宋" w:eastAsia="仿宋"/>
          <w:b/>
          <w:bCs/>
          <w:sz w:val="24"/>
        </w:rPr>
      </w:pPr>
      <w:r>
        <w:rPr>
          <w:rFonts w:hint="eastAsia" w:ascii="仿宋" w:hAnsi="仿宋" w:eastAsia="仿宋"/>
          <w:b/>
          <w:bCs/>
          <w:sz w:val="24"/>
        </w:rPr>
        <w:t>注：1、</w:t>
      </w:r>
      <w:r>
        <w:rPr>
          <w:rFonts w:hint="eastAsia" w:ascii="仿宋" w:hAnsi="仿宋" w:eastAsia="仿宋"/>
          <w:b/>
          <w:sz w:val="24"/>
          <w:lang w:val="zh-CN"/>
        </w:rPr>
        <w:t>以上评分内容中，若联合体投标的，任意一方提供的材料均认可。</w:t>
      </w:r>
    </w:p>
    <w:p>
      <w:pPr>
        <w:spacing w:before="112" w:line="480" w:lineRule="auto"/>
        <w:rPr>
          <w:rFonts w:ascii="仿宋" w:hAnsi="仿宋" w:eastAsia="仿宋"/>
          <w:sz w:val="24"/>
        </w:rPr>
      </w:pPr>
      <w:r>
        <w:rPr>
          <w:rFonts w:hint="eastAsia" w:ascii="仿宋" w:hAnsi="仿宋" w:eastAsia="仿宋"/>
          <w:b/>
          <w:bCs/>
          <w:sz w:val="24"/>
        </w:rPr>
        <w:t>2、</w:t>
      </w:r>
      <w:r>
        <w:rPr>
          <w:rFonts w:hint="eastAsia" w:ascii="仿宋" w:hAnsi="仿宋" w:eastAsia="仿宋"/>
          <w:b/>
          <w:sz w:val="24"/>
        </w:rPr>
        <w:t>投标人须将上述评分所需证明资料加盖投标人公章放入投标文件中，未提供不得分。存在弄虚作假的后果自负。若上所涉及内容，附件格式未提供，请自行设计格式。</w:t>
      </w:r>
    </w:p>
    <w:p>
      <w:pPr>
        <w:pStyle w:val="3"/>
        <w:keepNext w:val="0"/>
        <w:pageBreakBefore/>
        <w:tabs>
          <w:tab w:val="left" w:pos="2640"/>
          <w:tab w:val="center" w:pos="4311"/>
        </w:tabs>
        <w:spacing w:line="360" w:lineRule="auto"/>
        <w:jc w:val="left"/>
        <w:rPr>
          <w:rFonts w:ascii="仿宋" w:hAnsi="仿宋" w:eastAsia="仿宋" w:cs="仿宋"/>
          <w:sz w:val="32"/>
        </w:rPr>
      </w:pPr>
      <w:r>
        <w:rPr>
          <w:rFonts w:hint="eastAsia" w:ascii="仿宋" w:hAnsi="仿宋" w:eastAsia="仿宋" w:cs="仿宋"/>
          <w:sz w:val="32"/>
        </w:rPr>
        <w:tab/>
      </w:r>
      <w:bookmarkStart w:id="56" w:name="_Toc9549"/>
      <w:bookmarkStart w:id="57" w:name="_Toc635"/>
      <w:bookmarkStart w:id="58" w:name="_Toc1230"/>
      <w:r>
        <w:rPr>
          <w:rFonts w:hint="eastAsia" w:ascii="仿宋" w:hAnsi="仿宋" w:eastAsia="仿宋" w:cs="仿宋"/>
          <w:sz w:val="32"/>
        </w:rPr>
        <w:t>第五章 合同主要条款</w:t>
      </w:r>
      <w:bookmarkEnd w:id="56"/>
      <w:bookmarkEnd w:id="57"/>
      <w:bookmarkEnd w:id="58"/>
    </w:p>
    <w:p>
      <w:pPr>
        <w:tabs>
          <w:tab w:val="left" w:pos="5925"/>
        </w:tabs>
        <w:spacing w:line="400" w:lineRule="exact"/>
        <w:rPr>
          <w:rFonts w:ascii="仿宋" w:hAnsi="仿宋" w:eastAsia="仿宋" w:cs="仿宋"/>
          <w:szCs w:val="28"/>
          <w:u w:val="single"/>
        </w:rPr>
      </w:pPr>
      <w:bookmarkStart w:id="59" w:name="_Toc29795"/>
      <w:bookmarkStart w:id="60" w:name="_Toc4717"/>
      <w:bookmarkStart w:id="61" w:name="_Toc10534"/>
      <w:r>
        <w:rPr>
          <w:rFonts w:hint="eastAsia" w:ascii="仿宋" w:hAnsi="仿宋" w:eastAsia="仿宋" w:cs="仿宋"/>
          <w:szCs w:val="28"/>
        </w:rPr>
        <w:t>发包人（甲方）：</w:t>
      </w:r>
    </w:p>
    <w:p>
      <w:pPr>
        <w:tabs>
          <w:tab w:val="left" w:pos="5925"/>
        </w:tabs>
        <w:spacing w:line="400" w:lineRule="exact"/>
        <w:rPr>
          <w:rFonts w:ascii="仿宋" w:hAnsi="仿宋" w:eastAsia="仿宋" w:cs="仿宋"/>
          <w:szCs w:val="21"/>
          <w:u w:val="single"/>
        </w:rPr>
      </w:pPr>
      <w:r>
        <w:rPr>
          <w:rFonts w:hint="eastAsia" w:ascii="仿宋" w:hAnsi="仿宋" w:eastAsia="仿宋" w:cs="仿宋"/>
          <w:szCs w:val="28"/>
        </w:rPr>
        <w:t>承包人（乙方）：</w:t>
      </w:r>
    </w:p>
    <w:p>
      <w:pPr>
        <w:autoSpaceDE w:val="0"/>
        <w:autoSpaceDN w:val="0"/>
        <w:adjustRightInd w:val="0"/>
        <w:spacing w:line="360" w:lineRule="auto"/>
        <w:ind w:firstLine="480" w:firstLineChars="200"/>
        <w:jc w:val="left"/>
        <w:rPr>
          <w:rFonts w:ascii="仿宋" w:hAnsi="仿宋" w:eastAsia="仿宋" w:cs="仿宋"/>
          <w:bCs/>
          <w:sz w:val="24"/>
        </w:rPr>
      </w:pPr>
    </w:p>
    <w:p>
      <w:pPr>
        <w:autoSpaceDE w:val="0"/>
        <w:autoSpaceDN w:val="0"/>
        <w:adjustRightIn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根据《中华人民共和国民法典》《中华人民共和国政府采购法》和《中华人民共和国招投标法》等有关规定，经吴兴区公共资源交易中心公开招投标，吴兴区财政局政府采购监管科同意并公示，乙方为本项目（编号：）中标单位。现根据招投标文件有关精神，经甲、乙双方协商一致，签订如下合同条款：</w:t>
      </w:r>
    </w:p>
    <w:p>
      <w:pPr>
        <w:autoSpaceDE w:val="0"/>
        <w:autoSpaceDN w:val="0"/>
        <w:adjustRightInd w:val="0"/>
        <w:spacing w:line="360" w:lineRule="auto"/>
        <w:jc w:val="left"/>
        <w:rPr>
          <w:rFonts w:ascii="仿宋" w:hAnsi="仿宋" w:eastAsia="仿宋" w:cs="仿宋"/>
          <w:color w:val="000000"/>
          <w:sz w:val="24"/>
        </w:rPr>
      </w:pPr>
      <w:r>
        <w:rPr>
          <w:rFonts w:hint="eastAsia" w:ascii="仿宋" w:hAnsi="仿宋" w:eastAsia="仿宋" w:cs="仿宋"/>
          <w:b/>
          <w:bCs/>
          <w:color w:val="000000"/>
          <w:sz w:val="24"/>
        </w:rPr>
        <w:t>一、项目名称：</w:t>
      </w:r>
      <w:r>
        <w:rPr>
          <w:rFonts w:hint="eastAsia" w:ascii="仿宋" w:hAnsi="仿宋" w:eastAsia="仿宋" w:cs="仿宋"/>
          <w:bCs/>
          <w:sz w:val="24"/>
        </w:rPr>
        <w:t>雨污水管网维护及应急处置项目</w:t>
      </w:r>
    </w:p>
    <w:p>
      <w:pPr>
        <w:autoSpaceDE w:val="0"/>
        <w:autoSpaceDN w:val="0"/>
        <w:adjustRightInd w:val="0"/>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二、服务范围：</w:t>
      </w:r>
    </w:p>
    <w:p>
      <w:pPr>
        <w:autoSpaceDE w:val="0"/>
        <w:autoSpaceDN w:val="0"/>
        <w:adjustRightInd w:val="0"/>
        <w:spacing w:line="360" w:lineRule="auto"/>
        <w:jc w:val="left"/>
        <w:rPr>
          <w:rFonts w:ascii="仿宋" w:hAnsi="仿宋" w:eastAsia="仿宋" w:cs="仿宋"/>
          <w:bCs/>
          <w:sz w:val="24"/>
        </w:rPr>
      </w:pPr>
      <w:r>
        <w:rPr>
          <w:rFonts w:hint="eastAsia" w:ascii="仿宋" w:hAnsi="仿宋" w:eastAsia="仿宋" w:cs="仿宋"/>
          <w:bCs/>
          <w:sz w:val="24"/>
        </w:rPr>
        <w:t>1、现管养：湖东西区（东至三环东路，西至陆王路，南至三里桥路，北至清远路，以上合围区域范围内部分市政道路）污水管网，港西路（二环南路-紫金北路），紫金北路（三环东路-港西路）的雨污水管网。</w:t>
      </w:r>
    </w:p>
    <w:p>
      <w:pPr>
        <w:autoSpaceDE w:val="0"/>
        <w:autoSpaceDN w:val="0"/>
        <w:adjustRightInd w:val="0"/>
        <w:spacing w:line="360" w:lineRule="auto"/>
        <w:jc w:val="left"/>
        <w:rPr>
          <w:rFonts w:ascii="仿宋" w:hAnsi="仿宋" w:eastAsia="仿宋" w:cs="仿宋"/>
          <w:bCs/>
          <w:sz w:val="24"/>
        </w:rPr>
      </w:pPr>
      <w:r>
        <w:rPr>
          <w:rFonts w:hint="eastAsia" w:ascii="仿宋" w:hAnsi="仿宋" w:eastAsia="仿宋" w:cs="仿宋"/>
          <w:bCs/>
          <w:sz w:val="24"/>
        </w:rPr>
        <w:t>2、待移交:湖山大道（二里桥路-浮玉花园），湖浔大道（三环东路-南浔界）的雨污水管网。</w:t>
      </w:r>
    </w:p>
    <w:p>
      <w:pPr>
        <w:autoSpaceDE w:val="0"/>
        <w:autoSpaceDN w:val="0"/>
        <w:adjustRightInd w:val="0"/>
        <w:spacing w:line="360" w:lineRule="auto"/>
        <w:jc w:val="left"/>
        <w:rPr>
          <w:rFonts w:ascii="仿宋" w:hAnsi="仿宋" w:eastAsia="仿宋" w:cs="仿宋"/>
          <w:bCs/>
          <w:sz w:val="24"/>
        </w:rPr>
      </w:pPr>
      <w:r>
        <w:rPr>
          <w:rFonts w:hint="eastAsia" w:ascii="仿宋" w:hAnsi="仿宋" w:eastAsia="仿宋" w:cs="仿宋"/>
          <w:bCs/>
          <w:sz w:val="24"/>
        </w:rPr>
        <w:t>3、具体服务范围以实际为准。</w:t>
      </w:r>
    </w:p>
    <w:p>
      <w:pPr>
        <w:autoSpaceDE w:val="0"/>
        <w:autoSpaceDN w:val="0"/>
        <w:adjustRightInd w:val="0"/>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三、服务内容</w:t>
      </w:r>
    </w:p>
    <w:p>
      <w:pPr>
        <w:autoSpaceDE w:val="0"/>
        <w:autoSpaceDN w:val="0"/>
        <w:adjustRightInd w:val="0"/>
        <w:spacing w:line="360" w:lineRule="auto"/>
        <w:jc w:val="left"/>
        <w:rPr>
          <w:rFonts w:ascii="仿宋" w:hAnsi="仿宋" w:eastAsia="仿宋" w:cs="仿宋"/>
          <w:bCs/>
          <w:sz w:val="24"/>
        </w:rPr>
      </w:pPr>
      <w:r>
        <w:rPr>
          <w:rFonts w:hint="eastAsia" w:ascii="仿宋" w:hAnsi="仿宋" w:eastAsia="仿宋" w:cs="仿宋"/>
          <w:bCs/>
          <w:sz w:val="24"/>
        </w:rPr>
        <w:t>1、地下管道及其附属设施的日常巡查、日常维修、管理养护、隐患排查、应急抢险及值班备勤等；</w:t>
      </w:r>
    </w:p>
    <w:p>
      <w:pPr>
        <w:autoSpaceDE w:val="0"/>
        <w:autoSpaceDN w:val="0"/>
        <w:adjustRightInd w:val="0"/>
        <w:spacing w:line="360" w:lineRule="auto"/>
        <w:jc w:val="left"/>
        <w:rPr>
          <w:rFonts w:ascii="仿宋" w:hAnsi="仿宋" w:eastAsia="仿宋" w:cs="仿宋"/>
          <w:bCs/>
          <w:sz w:val="24"/>
        </w:rPr>
      </w:pPr>
      <w:r>
        <w:rPr>
          <w:rFonts w:hint="eastAsia" w:ascii="仿宋" w:hAnsi="仿宋" w:eastAsia="仿宋" w:cs="仿宋"/>
          <w:bCs/>
          <w:sz w:val="24"/>
        </w:rPr>
        <w:t>2、地下管道CCTV检测服务，出具CCTV检测成果报告及影像资料等。</w:t>
      </w:r>
    </w:p>
    <w:p>
      <w:pPr>
        <w:autoSpaceDE w:val="0"/>
        <w:autoSpaceDN w:val="0"/>
        <w:adjustRightInd w:val="0"/>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四、中标价格</w:t>
      </w:r>
    </w:p>
    <w:p>
      <w:pPr>
        <w:autoSpaceDE w:val="0"/>
        <w:autoSpaceDN w:val="0"/>
        <w:adjustRightIn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1、常规巡检：</w:t>
      </w:r>
      <w:r>
        <w:rPr>
          <w:rFonts w:hint="eastAsia" w:ascii="仿宋" w:hAnsi="仿宋" w:eastAsia="仿宋" w:cs="仿宋"/>
          <w:color w:val="000000"/>
          <w:sz w:val="24"/>
          <w:highlight w:val="none"/>
        </w:rPr>
        <w:t>￥:125000元/年，人民币大写：壹拾贰万伍仟元整/年；</w:t>
      </w:r>
    </w:p>
    <w:p>
      <w:pPr>
        <w:autoSpaceDE w:val="0"/>
        <w:autoSpaceDN w:val="0"/>
        <w:adjustRightIn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2、维修处置（折扣率）：  套用当月信息价，第三方监理审计；</w:t>
      </w:r>
    </w:p>
    <w:p>
      <w:pPr>
        <w:autoSpaceDE w:val="0"/>
        <w:autoSpaceDN w:val="0"/>
        <w:adjustRightIn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3、管道检测（折扣率）：   即￥ 元/米，工程量等以第三方监理审计为准。</w:t>
      </w:r>
    </w:p>
    <w:p>
      <w:pPr>
        <w:pStyle w:val="2"/>
        <w:spacing w:line="360" w:lineRule="auto"/>
        <w:rPr>
          <w:rFonts w:ascii="仿宋" w:hAnsi="仿宋" w:eastAsia="仿宋" w:cs="仿宋"/>
          <w:b/>
          <w:bCs/>
          <w:sz w:val="24"/>
          <w:szCs w:val="24"/>
        </w:rPr>
      </w:pPr>
      <w:bookmarkStart w:id="62" w:name="_Toc361762431"/>
      <w:r>
        <w:rPr>
          <w:rFonts w:hint="eastAsia" w:ascii="仿宋" w:hAnsi="仿宋" w:eastAsia="仿宋" w:cs="仿宋"/>
          <w:b/>
          <w:bCs/>
          <w:sz w:val="24"/>
          <w:szCs w:val="24"/>
        </w:rPr>
        <w:t>五、</w:t>
      </w:r>
      <w:bookmarkEnd w:id="62"/>
      <w:r>
        <w:rPr>
          <w:rFonts w:hint="eastAsia" w:ascii="仿宋" w:hAnsi="仿宋" w:eastAsia="仿宋" w:cs="仿宋"/>
          <w:b/>
          <w:bCs/>
          <w:sz w:val="24"/>
          <w:szCs w:val="24"/>
        </w:rPr>
        <w:t>质量要求</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1、管道畅通无阻，每次清淤疏通后管内积淤深度不超过1/5管径。</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2、井内无硬块杂物，井内四壁清洁。</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3、井盖框平稳不动摇、无缺损、无安全隐患、无渗漏。</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4、未尽事宜参照招标文件第二章招标需求相关约定执行。</w:t>
      </w:r>
    </w:p>
    <w:p>
      <w:pPr>
        <w:pStyle w:val="2"/>
        <w:spacing w:line="360" w:lineRule="auto"/>
        <w:rPr>
          <w:rFonts w:ascii="仿宋" w:hAnsi="仿宋" w:eastAsia="仿宋" w:cs="仿宋"/>
          <w:b/>
          <w:bCs/>
          <w:sz w:val="24"/>
          <w:szCs w:val="24"/>
        </w:rPr>
      </w:pPr>
      <w:bookmarkStart w:id="63" w:name="_Toc360651498"/>
      <w:bookmarkStart w:id="64" w:name="_Toc361762432"/>
      <w:r>
        <w:rPr>
          <w:rFonts w:hint="eastAsia" w:ascii="仿宋" w:hAnsi="仿宋" w:eastAsia="仿宋" w:cs="仿宋"/>
          <w:b/>
          <w:bCs/>
          <w:sz w:val="24"/>
          <w:szCs w:val="24"/>
        </w:rPr>
        <w:t>六</w:t>
      </w:r>
      <w:bookmarkEnd w:id="63"/>
      <w:bookmarkEnd w:id="64"/>
      <w:bookmarkStart w:id="65" w:name="_Toc360651499"/>
      <w:bookmarkStart w:id="66" w:name="_Toc361762433"/>
      <w:r>
        <w:rPr>
          <w:rFonts w:hint="eastAsia" w:ascii="仿宋" w:hAnsi="仿宋" w:eastAsia="仿宋" w:cs="仿宋"/>
          <w:b/>
          <w:bCs/>
          <w:sz w:val="24"/>
          <w:szCs w:val="24"/>
        </w:rPr>
        <w:t>、进度要求</w:t>
      </w:r>
      <w:bookmarkEnd w:id="65"/>
      <w:bookmarkEnd w:id="66"/>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须安排人员，在任务单规定时间内完成所有项目的检测，在完成检测后10个工作日内出具相应的成果报告及影像资料等。根据检测报告和任务单及时安排维修施工作业，待修复完成后再行安排CCTV复检，直至合格。（同一故障点的CCTV复检不另行计费，复检须出具相应的成果报告及影像资料等）</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完成本项目的实施后，根据甲方要求，提供书面及电子版本的成果文件。在项目实施过程中，要求乙方每完成一个区域的检测后，即时出具本区域的成果报告，以便甲方安排其他工作的开展。在项目全部实施完成后，出具完整的最终成果报告，成果报告应包括成果表数据、检测录像数据、 缺陷照片数据、 缺陷分布图数据、技术设计书、 检测报告书等。</w:t>
      </w:r>
    </w:p>
    <w:p>
      <w:pPr>
        <w:pStyle w:val="2"/>
        <w:spacing w:line="360" w:lineRule="auto"/>
        <w:rPr>
          <w:rFonts w:ascii="仿宋" w:hAnsi="仿宋" w:eastAsia="仿宋" w:cs="仿宋"/>
          <w:b/>
          <w:bCs/>
          <w:sz w:val="24"/>
          <w:szCs w:val="24"/>
        </w:rPr>
      </w:pPr>
      <w:r>
        <w:rPr>
          <w:rFonts w:hint="eastAsia" w:ascii="仿宋" w:hAnsi="仿宋" w:eastAsia="仿宋" w:cs="仿宋"/>
          <w:b/>
          <w:bCs/>
          <w:sz w:val="24"/>
          <w:szCs w:val="24"/>
        </w:rPr>
        <w:t>七、合同期限</w:t>
      </w:r>
    </w:p>
    <w:p>
      <w:pPr>
        <w:pStyle w:val="2"/>
        <w:spacing w:line="36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自本合同签订生效之日起计算2年，即</w:t>
      </w:r>
      <w:r>
        <w:rPr>
          <w:rFonts w:hint="eastAsia" w:ascii="仿宋" w:hAnsi="仿宋" w:eastAsia="仿宋" w:cs="仿宋"/>
          <w:color w:val="000000"/>
          <w:sz w:val="24"/>
          <w:szCs w:val="24"/>
          <w:highlight w:val="none"/>
          <w:u w:val="single"/>
        </w:rPr>
        <w:t xml:space="preserve">   年  月  日至  年  月  日</w:t>
      </w:r>
      <w:r>
        <w:rPr>
          <w:rFonts w:hint="eastAsia" w:ascii="仿宋" w:hAnsi="仿宋" w:eastAsia="仿宋" w:cs="仿宋"/>
          <w:color w:val="000000"/>
          <w:sz w:val="24"/>
          <w:szCs w:val="24"/>
          <w:highlight w:val="none"/>
        </w:rPr>
        <w:t>，合同期满2年或者乙方实施实际产生的费用达到500万元时终止本合同。</w:t>
      </w:r>
    </w:p>
    <w:p>
      <w:pPr>
        <w:pStyle w:val="2"/>
        <w:spacing w:line="360" w:lineRule="auto"/>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八、结算方式</w:t>
      </w:r>
    </w:p>
    <w:p>
      <w:pPr>
        <w:autoSpaceDE w:val="0"/>
        <w:autoSpaceDN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本项目中维修处置及检测等结算按以下两种方式执行。（结算费用=下浮前总价*中标折扣，最终结算以审计为准）</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（一）套用定额计价方式：</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1、有关定额、规范等依据：</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（1）《浙江省市政设施养护维修预算定额》（2018版）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（2）《建设工程工程量清单计价规范》（GB50500-2013）及建设工程工程量计算规范（2013）浙江省补充规定</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（3）《市政工程工程量计算规范》（GB50857-2013）</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（4）《浙江省市政工程预算定额》（2018版）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（5）《浙江省建设工程计价规则》（2018版）</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2、取费标准：</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（1）本项目按市政工程取费。</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（2）企业管理费、利润根据《浙江省建设工程计价规则》（2018版）规定，按照控制价编制口径，以中间值计取。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（3）施工组织措施项目费根据《浙江省建设工程计价规则》（2018版）规定的市政土建工程中间值计取，其中安全文本施工基本费按非市区工程计取。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（4）规费：其费率根据《浙江省建设工程计价规则》（2018版）规定计取。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（5）税金按增值税（按一般计税方法）计取，根据浙建建发[2019]92号规定费率按9%计取。税率政策有调整的按实计取。</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（6）标化工地增加费及其他项目费（优质工程增加费及施工总承包服务费）不计。</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3、造价信息：</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材料价格参照《湖州市建设工程造价信息》（施工期当月或跨月取平均）及同期《浙江造价信息》，人工价格参照《湖州市建设工程造价信息》（施工期当月或跨月取平均）。基本原则为参照《湖州市建设工程造价信息》中湖州市区栏，湖州市区栏没有的参照同期《浙江造价信息》。</w:t>
      </w:r>
    </w:p>
    <w:p>
      <w:pPr>
        <w:autoSpaceDE w:val="0"/>
        <w:autoSpaceDN w:val="0"/>
        <w:spacing w:line="360" w:lineRule="auto"/>
        <w:ind w:firstLine="240" w:firstLineChars="100"/>
        <w:rPr>
          <w:rFonts w:ascii="仿宋" w:hAnsi="仿宋" w:eastAsia="仿宋" w:cs="仿宋"/>
          <w:bCs/>
          <w:sz w:val="24"/>
          <w:highlight w:val="none"/>
        </w:rPr>
      </w:pPr>
      <w:r>
        <w:rPr>
          <w:rFonts w:hint="eastAsia" w:ascii="仿宋" w:hAnsi="仿宋" w:eastAsia="仿宋" w:cs="仿宋"/>
          <w:bCs/>
          <w:sz w:val="24"/>
          <w:highlight w:val="none"/>
        </w:rPr>
        <w:t>（二）无法套用定额的计价方式：按实际发生的人工、材料、机械计取，工程量按监理、业主签证为准，人工、材料、机械按当月信息价计，没有信息价的按市场价计，该费用只计取税金。</w:t>
      </w:r>
    </w:p>
    <w:p>
      <w:pPr>
        <w:autoSpaceDE w:val="0"/>
        <w:autoSpaceDN w:val="0"/>
        <w:spacing w:line="360" w:lineRule="auto"/>
        <w:rPr>
          <w:rFonts w:ascii="仿宋" w:hAnsi="仿宋" w:eastAsia="仿宋" w:cs="仿宋"/>
          <w:bCs/>
          <w:sz w:val="24"/>
          <w:highlight w:val="none"/>
        </w:rPr>
      </w:pPr>
      <w:r>
        <w:rPr>
          <w:rFonts w:hint="eastAsia" w:ascii="仿宋" w:hAnsi="仿宋" w:eastAsia="仿宋" w:cs="仿宋"/>
          <w:bCs/>
          <w:sz w:val="24"/>
          <w:highlight w:val="none"/>
        </w:rPr>
        <w:t>注：1.运输各类人员至现场施工的车辆不计台班。</w:t>
      </w:r>
    </w:p>
    <w:p>
      <w:pPr>
        <w:pStyle w:val="29"/>
        <w:ind w:firstLine="480"/>
        <w:rPr>
          <w:highlight w:val="none"/>
        </w:rPr>
      </w:pPr>
      <w:r>
        <w:rPr>
          <w:rFonts w:hint="eastAsia" w:ascii="仿宋" w:hAnsi="仿宋" w:eastAsia="仿宋" w:cs="仿宋"/>
          <w:bCs/>
          <w:sz w:val="24"/>
          <w:szCs w:val="24"/>
          <w:highlight w:val="none"/>
        </w:rPr>
        <w:t>2.实际完成工程量由施工方上报甲方、监理、审计，经三方审核确认为准。</w:t>
      </w:r>
    </w:p>
    <w:p>
      <w:pPr>
        <w:autoSpaceDE w:val="0"/>
        <w:autoSpaceDN w:val="0"/>
        <w:adjustRightInd w:val="0"/>
        <w:spacing w:line="360" w:lineRule="auto"/>
        <w:jc w:val="left"/>
        <w:rPr>
          <w:rFonts w:ascii="仿宋" w:hAnsi="仿宋" w:eastAsia="仿宋" w:cs="仿宋"/>
          <w:b/>
          <w:bCs/>
          <w:color w:val="000000"/>
          <w:sz w:val="24"/>
          <w:highlight w:val="none"/>
        </w:rPr>
      </w:pPr>
      <w:r>
        <w:rPr>
          <w:rFonts w:hint="eastAsia" w:ascii="仿宋" w:hAnsi="仿宋" w:eastAsia="仿宋" w:cs="仿宋"/>
          <w:b/>
          <w:bCs/>
          <w:sz w:val="24"/>
          <w:highlight w:val="none"/>
        </w:rPr>
        <w:t>九</w:t>
      </w:r>
      <w:r>
        <w:rPr>
          <w:rFonts w:hint="eastAsia" w:ascii="仿宋" w:hAnsi="仿宋" w:eastAsia="仿宋" w:cs="仿宋"/>
          <w:b/>
          <w:bCs/>
          <w:color w:val="000000"/>
          <w:sz w:val="24"/>
          <w:highlight w:val="none"/>
        </w:rPr>
        <w:t>、支付方式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合同总价分为三部分：常规巡检、维修处置、管道检测。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每满6个月进行审计，结合考核扣款情况，支付维修处置、管道检测部分审定价的80%及当期常规巡检费，剩余款项待合同期满后付清。（预付款在第一期付款中一次性扣回。）</w:t>
      </w:r>
    </w:p>
    <w:p>
      <w:pPr>
        <w:spacing w:line="360" w:lineRule="auto"/>
        <w:ind w:firstLine="480" w:firstLineChars="200"/>
        <w:rPr>
          <w:rFonts w:ascii="仿宋" w:hAnsi="仿宋" w:eastAsia="仿宋" w:cs="仿宋"/>
          <w:sz w:val="24"/>
          <w:highlight w:val="green"/>
        </w:rPr>
      </w:pPr>
      <w:r>
        <w:rPr>
          <w:rFonts w:hint="eastAsia" w:ascii="仿宋" w:hAnsi="仿宋" w:eastAsia="仿宋" w:cs="仿宋"/>
          <w:sz w:val="24"/>
          <w:highlight w:val="none"/>
        </w:rPr>
        <w:t>注：其中常规巡检为固定总价25万,签订合同乙方进场后，甲方向乙方支付预付款，预付款为合同总价中常规巡检部分的40%，即10万元。如签订合同时中标方明确表示无需预付款或者主动要求降低预付款比例的可不适用前述规定。</w:t>
      </w:r>
    </w:p>
    <w:p>
      <w:pPr>
        <w:spacing w:line="360" w:lineRule="auto"/>
        <w:rPr>
          <w:rFonts w:ascii="仿宋" w:hAnsi="仿宋" w:eastAsia="仿宋" w:cs="仿宋"/>
          <w:b/>
          <w:bCs/>
          <w:sz w:val="24"/>
        </w:rPr>
      </w:pPr>
      <w:r>
        <w:rPr>
          <w:rFonts w:hint="eastAsia" w:ascii="仿宋" w:hAnsi="仿宋" w:eastAsia="仿宋" w:cs="仿宋"/>
          <w:b/>
          <w:bCs/>
          <w:sz w:val="24"/>
        </w:rPr>
        <w:t>十、履约保证金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乙方按采购预算的1%（即人民币伍万元，</w:t>
      </w:r>
      <w:r>
        <w:rPr>
          <w:rFonts w:hint="eastAsia" w:ascii="仿宋" w:hAnsi="仿宋" w:eastAsia="仿宋" w:cs="仿宋"/>
          <w:sz w:val="24"/>
          <w:highlight w:val="none"/>
        </w:rPr>
        <w:t>可保函形式</w:t>
      </w:r>
      <w:r>
        <w:rPr>
          <w:rFonts w:hint="eastAsia" w:ascii="仿宋" w:hAnsi="仿宋" w:eastAsia="仿宋" w:cs="仿宋"/>
          <w:sz w:val="24"/>
        </w:rPr>
        <w:t>）向甲方缴纳履约保证金，合同履约到期后，甲方视服务情况、无质量问题一次性无息退还。</w:t>
      </w:r>
    </w:p>
    <w:p>
      <w:pPr>
        <w:pStyle w:val="29"/>
        <w:numPr>
          <w:ilvl w:val="0"/>
          <w:numId w:val="6"/>
        </w:numPr>
        <w:ind w:left="0" w:leftChars="0"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考核标准：按照《吴兴区公用事业管理中心市政养护管理考核办法》(最新版)执行，如后期相关作业标准和考核有新要求，乙方应无条件服从。</w:t>
      </w:r>
    </w:p>
    <w:p>
      <w:pPr>
        <w:pStyle w:val="51"/>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lang w:eastAsia="zh-CN"/>
        </w:rPr>
      </w:pPr>
    </w:p>
    <w:p>
      <w:pPr>
        <w:pStyle w:val="51"/>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lang w:eastAsia="zh-CN"/>
        </w:rPr>
      </w:pPr>
    </w:p>
    <w:p>
      <w:pPr>
        <w:pStyle w:val="51"/>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lang w:eastAsia="zh-CN"/>
        </w:rPr>
      </w:pPr>
    </w:p>
    <w:p>
      <w:pPr>
        <w:pStyle w:val="51"/>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lang w:eastAsia="zh-CN"/>
        </w:rPr>
      </w:pPr>
    </w:p>
    <w:p>
      <w:pPr>
        <w:pStyle w:val="51"/>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lang w:eastAsia="zh-CN"/>
        </w:rPr>
      </w:pPr>
    </w:p>
    <w:p>
      <w:pPr>
        <w:pStyle w:val="51"/>
        <w:kinsoku/>
        <w:overflowPunct/>
        <w:topLinePunct w:val="0"/>
        <w:bidi w:val="0"/>
        <w:spacing w:line="24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color w:val="auto"/>
          <w:sz w:val="32"/>
          <w:szCs w:val="32"/>
          <w:lang w:eastAsia="zh-CN"/>
        </w:rPr>
        <w:t>吴兴区公用事业管理中心市政（管网）</w:t>
      </w:r>
      <w:r>
        <w:rPr>
          <w:rFonts w:hint="eastAsia" w:ascii="宋体" w:hAnsi="宋体" w:eastAsia="宋体" w:cs="宋体"/>
          <w:b/>
          <w:bCs/>
          <w:color w:val="auto"/>
          <w:sz w:val="32"/>
          <w:szCs w:val="32"/>
        </w:rPr>
        <w:t>考核表</w:t>
      </w:r>
    </w:p>
    <w:tbl>
      <w:tblPr>
        <w:tblStyle w:val="22"/>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57"/>
        <w:gridCol w:w="3253"/>
        <w:gridCol w:w="4122"/>
        <w:gridCol w:w="98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46" w:type="dxa"/>
            <w:noWrap w:val="0"/>
            <w:vAlign w:val="center"/>
          </w:tcPr>
          <w:p>
            <w:pPr>
              <w:kinsoku/>
              <w:overflowPunct/>
              <w:topLinePunct w:val="0"/>
              <w:bidi w:val="0"/>
              <w:spacing w:line="240"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检查项目</w:t>
            </w:r>
          </w:p>
        </w:tc>
        <w:tc>
          <w:tcPr>
            <w:tcW w:w="457" w:type="dxa"/>
            <w:noWrap w:val="0"/>
            <w:vAlign w:val="center"/>
          </w:tcPr>
          <w:p>
            <w:pPr>
              <w:kinsoku/>
              <w:overflowPunct/>
              <w:topLinePunct w:val="0"/>
              <w:bidi w:val="0"/>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w:t>
            </w:r>
          </w:p>
        </w:tc>
        <w:tc>
          <w:tcPr>
            <w:tcW w:w="3253" w:type="dxa"/>
            <w:noWrap w:val="0"/>
            <w:vAlign w:val="center"/>
          </w:tcPr>
          <w:p>
            <w:pPr>
              <w:kinsoku/>
              <w:overflowPunct/>
              <w:topLinePunct w:val="0"/>
              <w:bidi w:val="0"/>
              <w:spacing w:line="240"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en-US" w:eastAsia="zh-CN"/>
              </w:rPr>
              <w:t>考核具体</w:t>
            </w:r>
            <w:r>
              <w:rPr>
                <w:rFonts w:hint="eastAsia" w:ascii="仿宋" w:hAnsi="仿宋" w:eastAsia="仿宋" w:cs="仿宋"/>
                <w:b/>
                <w:bCs/>
                <w:color w:val="auto"/>
                <w:sz w:val="24"/>
                <w:szCs w:val="24"/>
                <w:lang w:val="zh-CN"/>
              </w:rPr>
              <w:t>要求</w:t>
            </w:r>
          </w:p>
        </w:tc>
        <w:tc>
          <w:tcPr>
            <w:tcW w:w="4122" w:type="dxa"/>
            <w:noWrap w:val="0"/>
            <w:vAlign w:val="center"/>
          </w:tcPr>
          <w:p>
            <w:pPr>
              <w:kinsoku/>
              <w:overflowPunct/>
              <w:topLinePunct w:val="0"/>
              <w:bidi w:val="0"/>
              <w:spacing w:line="240" w:lineRule="auto"/>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扣罚标准</w:t>
            </w:r>
          </w:p>
        </w:tc>
        <w:tc>
          <w:tcPr>
            <w:tcW w:w="989" w:type="dxa"/>
            <w:noWrap w:val="0"/>
            <w:vAlign w:val="center"/>
          </w:tcPr>
          <w:p>
            <w:pPr>
              <w:widowControl/>
              <w:kinsoku/>
              <w:overflowPunct/>
              <w:topLinePunct w:val="0"/>
              <w:bidi w:val="0"/>
              <w:spacing w:line="240"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扣款</w:t>
            </w:r>
          </w:p>
        </w:tc>
        <w:tc>
          <w:tcPr>
            <w:tcW w:w="990" w:type="dxa"/>
            <w:noWrap w:val="0"/>
            <w:vAlign w:val="center"/>
          </w:tcPr>
          <w:p>
            <w:pPr>
              <w:widowControl/>
              <w:kinsoku/>
              <w:overflowPunct/>
              <w:topLinePunct w:val="0"/>
              <w:bidi w:val="0"/>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646" w:type="dxa"/>
            <w:vMerge w:val="restart"/>
            <w:noWrap w:val="0"/>
            <w:vAlign w:val="center"/>
          </w:tcPr>
          <w:p>
            <w:pPr>
              <w:kinsoku/>
              <w:overflowPunct/>
              <w:topLinePunct w:val="0"/>
              <w:bidi w:val="0"/>
              <w:snapToGrid w:val="0"/>
              <w:spacing w:line="240" w:lineRule="auto"/>
              <w:jc w:val="center"/>
              <w:rPr>
                <w:rFonts w:hint="eastAsia" w:ascii="仿宋" w:hAnsi="仿宋" w:eastAsia="仿宋" w:cs="仿宋"/>
                <w:color w:val="auto"/>
                <w:kern w:val="2"/>
                <w:sz w:val="21"/>
                <w:szCs w:val="21"/>
                <w:lang w:val="zh-CN" w:eastAsia="zh-CN" w:bidi="ar-SA"/>
              </w:rPr>
            </w:pPr>
            <w:r>
              <w:rPr>
                <w:rFonts w:hint="eastAsia" w:ascii="仿宋" w:hAnsi="仿宋" w:eastAsia="仿宋" w:cs="仿宋"/>
                <w:b/>
                <w:bCs/>
                <w:color w:val="auto"/>
                <w:sz w:val="21"/>
                <w:szCs w:val="21"/>
                <w:lang w:val="en-US" w:eastAsia="zh-CN"/>
              </w:rPr>
              <w:t>日常</w:t>
            </w:r>
            <w:r>
              <w:rPr>
                <w:rFonts w:hint="eastAsia" w:ascii="仿宋" w:hAnsi="仿宋" w:eastAsia="仿宋" w:cs="仿宋"/>
                <w:b/>
                <w:bCs/>
                <w:color w:val="auto"/>
                <w:sz w:val="21"/>
                <w:szCs w:val="21"/>
              </w:rPr>
              <w:t>巡查</w:t>
            </w: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所有污水井每月检查清理一次。</w:t>
            </w:r>
          </w:p>
        </w:tc>
        <w:tc>
          <w:tcPr>
            <w:tcW w:w="4122" w:type="dxa"/>
            <w:noWrap w:val="0"/>
            <w:vAlign w:val="center"/>
          </w:tcPr>
          <w:p>
            <w:pPr>
              <w:widowControl/>
              <w:numPr>
                <w:ilvl w:val="0"/>
                <w:numId w:val="7"/>
              </w:numPr>
              <w:kinsoku/>
              <w:overflowPunct/>
              <w:topLinePunct w:val="0"/>
              <w:bidi w:val="0"/>
              <w:snapToGrid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对于检查处理不到位的，由业主或监理</w:t>
            </w:r>
            <w:r>
              <w:rPr>
                <w:rFonts w:hint="eastAsia" w:ascii="仿宋" w:hAnsi="仿宋" w:eastAsia="仿宋" w:cs="仿宋"/>
                <w:color w:val="auto"/>
                <w:sz w:val="24"/>
                <w:szCs w:val="24"/>
              </w:rPr>
              <w:t>每发现一处，</w:t>
            </w:r>
            <w:r>
              <w:rPr>
                <w:rFonts w:hint="eastAsia" w:ascii="仿宋" w:hAnsi="仿宋" w:eastAsia="仿宋" w:cs="仿宋"/>
                <w:color w:val="auto"/>
                <w:sz w:val="24"/>
                <w:szCs w:val="24"/>
                <w:lang w:val="en-US" w:eastAsia="zh-CN"/>
              </w:rPr>
              <w:t>扣罚</w:t>
            </w:r>
            <w:r>
              <w:rPr>
                <w:rFonts w:hint="eastAsia" w:ascii="仿宋" w:hAnsi="仿宋" w:eastAsia="仿宋" w:cs="仿宋"/>
                <w:color w:val="auto"/>
                <w:sz w:val="24"/>
                <w:szCs w:val="24"/>
                <w:lang w:val="zh-CN"/>
              </w:rPr>
              <w:t>500</w:t>
            </w:r>
            <w:r>
              <w:rPr>
                <w:rFonts w:hint="eastAsia" w:ascii="仿宋" w:hAnsi="仿宋" w:eastAsia="仿宋" w:cs="仿宋"/>
                <w:color w:val="auto"/>
                <w:sz w:val="24"/>
                <w:szCs w:val="24"/>
                <w:lang w:val="en-US" w:eastAsia="zh-CN"/>
              </w:rPr>
              <w:t>元</w:t>
            </w:r>
            <w:r>
              <w:rPr>
                <w:rFonts w:hint="eastAsia" w:ascii="仿宋" w:hAnsi="仿宋" w:eastAsia="仿宋" w:cs="仿宋"/>
                <w:color w:val="auto"/>
                <w:sz w:val="24"/>
                <w:szCs w:val="24"/>
                <w:lang w:val="zh-CN"/>
              </w:rPr>
              <w:t>；</w:t>
            </w:r>
          </w:p>
          <w:p>
            <w:pPr>
              <w:widowControl/>
              <w:numPr>
                <w:ilvl w:val="0"/>
                <w:numId w:val="7"/>
              </w:numPr>
              <w:kinsoku/>
              <w:overflowPunct/>
              <w:topLinePunct w:val="0"/>
              <w:bidi w:val="0"/>
              <w:snapToGri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管道积泥深度超过1/5管径的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每处</w:t>
            </w:r>
            <w:r>
              <w:rPr>
                <w:rFonts w:hint="eastAsia" w:ascii="仿宋" w:hAnsi="仿宋" w:eastAsia="仿宋" w:cs="仿宋"/>
                <w:color w:val="auto"/>
                <w:sz w:val="24"/>
                <w:szCs w:val="24"/>
                <w:lang w:val="en-US" w:eastAsia="zh-CN"/>
              </w:rPr>
              <w:t>扣罚500元</w:t>
            </w:r>
            <w:r>
              <w:rPr>
                <w:rFonts w:hint="eastAsia" w:ascii="仿宋" w:hAnsi="仿宋" w:eastAsia="仿宋" w:cs="仿宋"/>
                <w:color w:val="auto"/>
                <w:sz w:val="24"/>
                <w:szCs w:val="24"/>
                <w:lang w:val="zh-CN"/>
              </w:rPr>
              <w:t>。</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月考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lang w:val="en-US" w:eastAsia="zh-CN"/>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污水井盖每半月巡查一遍。</w:t>
            </w:r>
          </w:p>
        </w:tc>
        <w:tc>
          <w:tcPr>
            <w:tcW w:w="4122" w:type="dxa"/>
            <w:noWrap w:val="0"/>
            <w:vAlign w:val="center"/>
          </w:tcPr>
          <w:p>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发现有破损、异响、井圈与路面高度相差大于1.5cm、未闭合、雨污水井盖混放，每处扣1000元。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lang w:val="en-US" w:eastAsia="zh-CN"/>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确保管道畅通，及时发现管道破裂、堵塞等问题，并找出原因，做好记录。</w:t>
            </w:r>
          </w:p>
        </w:tc>
        <w:tc>
          <w:tcPr>
            <w:tcW w:w="4122" w:type="dxa"/>
            <w:noWrap w:val="0"/>
            <w:vAlign w:val="center"/>
          </w:tcPr>
          <w:p>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每发现一处扣1000元。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pPr>
              <w:kinsoku/>
              <w:overflowPunct/>
              <w:topLinePunct w:val="0"/>
              <w:bidi w:val="0"/>
              <w:snapToGrid w:val="0"/>
              <w:spacing w:line="240" w:lineRule="auto"/>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巡查管道有无私自接管现象。</w:t>
            </w:r>
          </w:p>
        </w:tc>
        <w:tc>
          <w:tcPr>
            <w:tcW w:w="4122" w:type="dxa"/>
            <w:noWrap w:val="0"/>
            <w:vAlign w:val="center"/>
          </w:tcPr>
          <w:p>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每发现一处扣1000元。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pPr>
              <w:kinsoku/>
              <w:overflowPunct/>
              <w:topLinePunct w:val="0"/>
              <w:bidi w:val="0"/>
              <w:spacing w:line="240" w:lineRule="auto"/>
              <w:jc w:val="center"/>
              <w:rPr>
                <w:rFonts w:hint="eastAsia" w:ascii="仿宋" w:hAnsi="仿宋" w:eastAsia="仿宋" w:cs="仿宋"/>
                <w:b/>
                <w:bCs/>
                <w:color w:val="auto"/>
                <w:sz w:val="21"/>
                <w:szCs w:val="21"/>
                <w:lang w:val="zh-CN"/>
              </w:rPr>
            </w:pPr>
          </w:p>
        </w:tc>
        <w:tc>
          <w:tcPr>
            <w:tcW w:w="457" w:type="dxa"/>
            <w:noWrap w:val="0"/>
            <w:vAlign w:val="center"/>
          </w:tcPr>
          <w:p>
            <w:pPr>
              <w:widowControl/>
              <w:kinsoku/>
              <w:overflowPunct/>
              <w:topLinePunct w:val="0"/>
              <w:bidi w:val="0"/>
              <w:snapToGrid w:val="0"/>
              <w:spacing w:line="240" w:lineRule="auto"/>
              <w:jc w:val="center"/>
              <w:rPr>
                <w:rFonts w:hint="eastAsia" w:ascii="仿宋" w:hAnsi="仿宋" w:eastAsia="仿宋" w:cs="仿宋"/>
                <w:color w:val="0000FF"/>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3253" w:type="dxa"/>
            <w:noWrap w:val="0"/>
            <w:vAlign w:val="center"/>
          </w:tcPr>
          <w:p>
            <w:pPr>
              <w:widowControl/>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其它发现存在安全隐患的，立即设置警示防护标志并上报。</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其他存在安全隐患未巡查到位的，</w:t>
            </w:r>
            <w:r>
              <w:rPr>
                <w:rFonts w:hint="eastAsia" w:ascii="仿宋" w:hAnsi="仿宋" w:eastAsia="仿宋" w:cs="仿宋"/>
                <w:color w:val="auto"/>
                <w:sz w:val="24"/>
                <w:szCs w:val="24"/>
                <w:lang w:val="en-US" w:eastAsia="zh-CN"/>
              </w:rPr>
              <w:t>每发现一处，扣罚</w:t>
            </w:r>
            <w:r>
              <w:rPr>
                <w:rFonts w:hint="eastAsia" w:ascii="仿宋" w:hAnsi="仿宋" w:eastAsia="仿宋" w:cs="仿宋"/>
                <w:color w:val="auto"/>
                <w:sz w:val="24"/>
                <w:szCs w:val="24"/>
                <w:lang w:val="zh-CN" w:eastAsia="zh-CN"/>
              </w:rPr>
              <w:t>1000</w:t>
            </w:r>
            <w:r>
              <w:rPr>
                <w:rFonts w:hint="eastAsia" w:ascii="仿宋" w:hAnsi="仿宋" w:eastAsia="仿宋" w:cs="仿宋"/>
                <w:color w:val="auto"/>
                <w:sz w:val="24"/>
                <w:szCs w:val="24"/>
                <w:lang w:val="en-US" w:eastAsia="zh-CN"/>
              </w:rPr>
              <w:t>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0000FF"/>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pPr>
              <w:kinsoku/>
              <w:overflowPunct/>
              <w:topLinePunct w:val="0"/>
              <w:bidi w:val="0"/>
              <w:spacing w:line="240" w:lineRule="auto"/>
              <w:jc w:val="center"/>
              <w:rPr>
                <w:rFonts w:hint="eastAsia" w:ascii="仿宋" w:hAnsi="仿宋" w:eastAsia="仿宋" w:cs="仿宋"/>
                <w:b/>
                <w:bCs/>
                <w:color w:val="auto"/>
                <w:sz w:val="21"/>
                <w:szCs w:val="21"/>
                <w:lang w:val="zh-CN"/>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巡查台账记录清晰，巡查方式多样、到位，发现问题及时，处置问题及时、有效。</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巡查台账记录混乱、上报不及时，巡查与维修衔接脱节，或以上表格未涉及的，每发现1处，扣罚1000元。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46" w:type="dxa"/>
            <w:vMerge w:val="restart"/>
            <w:noWrap w:val="0"/>
            <w:vAlign w:val="center"/>
          </w:tcPr>
          <w:p>
            <w:pPr>
              <w:kinsoku/>
              <w:overflowPunct/>
              <w:topLinePunct w:val="0"/>
              <w:bidi w:val="0"/>
              <w:spacing w:line="240" w:lineRule="auto"/>
              <w:rPr>
                <w:rFonts w:hint="default"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管网设施维修</w:t>
            </w: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3253" w:type="dxa"/>
            <w:noWrap w:val="0"/>
            <w:vAlign w:val="center"/>
          </w:tcPr>
          <w:p>
            <w:pPr>
              <w:widowControl/>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设施修复质量应满足规范要求。</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对已修复的事项（含井盖座修复、积水点处理等），质量存在缺陷的，每处扣罚1000元。同时，施工单位应立即重新修复，直至合格为止。</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0" w:hRule="atLeast"/>
          <w:jc w:val="center"/>
        </w:trPr>
        <w:tc>
          <w:tcPr>
            <w:tcW w:w="646" w:type="dxa"/>
            <w:vMerge w:val="continue"/>
            <w:noWrap w:val="0"/>
            <w:vAlign w:val="center"/>
          </w:tcPr>
          <w:p>
            <w:pPr>
              <w:kinsoku/>
              <w:overflowPunct/>
              <w:topLinePunct w:val="0"/>
              <w:bidi w:val="0"/>
              <w:spacing w:line="240" w:lineRule="auto"/>
              <w:rPr>
                <w:rFonts w:hint="eastAsia" w:ascii="仿宋" w:hAnsi="仿宋" w:eastAsia="仿宋" w:cs="仿宋"/>
                <w:color w:val="auto"/>
                <w:sz w:val="21"/>
                <w:szCs w:val="21"/>
                <w:lang w:val="en-US" w:eastAsia="zh-CN"/>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253" w:type="dxa"/>
            <w:noWrap w:val="0"/>
            <w:vAlign w:val="center"/>
          </w:tcPr>
          <w:p>
            <w:pPr>
              <w:widowControl/>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包人应在业主或监理规定的时间范围内履行养护职责，承包人自接到业主或监理通知，需要其履行养护职责，实施具体事件时（包括但不限于按照业主规定时间修复管网设施、按照业主要求疏通管网以及防汛值班等工作）。</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不能按要求完成的，每次扣罚1000元，收到通知单后规定时间内仍不能完成的，翻倍扣罚。</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restart"/>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其他</w:t>
            </w:r>
          </w:p>
        </w:tc>
        <w:tc>
          <w:tcPr>
            <w:tcW w:w="457" w:type="dxa"/>
            <w:noWrap w:val="0"/>
            <w:vAlign w:val="center"/>
          </w:tcPr>
          <w:p>
            <w:pPr>
              <w:widowControl/>
              <w:kinsoku/>
              <w:overflowPunct/>
              <w:topLinePunct w:val="0"/>
              <w:bidi w:val="0"/>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按要求做好</w:t>
            </w:r>
            <w:r>
              <w:rPr>
                <w:rFonts w:hint="eastAsia" w:ascii="仿宋" w:hAnsi="仿宋" w:eastAsia="仿宋" w:cs="仿宋"/>
                <w:color w:val="auto"/>
                <w:sz w:val="24"/>
                <w:szCs w:val="24"/>
                <w:lang w:eastAsia="zh-CN"/>
              </w:rPr>
              <w:t>精细化管理派单</w:t>
            </w:r>
            <w:r>
              <w:rPr>
                <w:rFonts w:hint="eastAsia" w:ascii="仿宋" w:hAnsi="仿宋" w:eastAsia="仿宋" w:cs="仿宋"/>
                <w:color w:val="auto"/>
                <w:sz w:val="24"/>
                <w:szCs w:val="24"/>
              </w:rPr>
              <w:t>处理</w:t>
            </w:r>
            <w:r>
              <w:rPr>
                <w:rFonts w:hint="eastAsia" w:ascii="仿宋" w:hAnsi="仿宋" w:eastAsia="仿宋" w:cs="仿宋"/>
                <w:color w:val="auto"/>
                <w:sz w:val="24"/>
                <w:szCs w:val="24"/>
                <w:lang w:eastAsia="zh-CN"/>
              </w:rPr>
              <w:t>。</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1、逾期处理，每件扣罚1000元；</w:t>
            </w:r>
          </w:p>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2、返工件，每件扣罚2000元。</w:t>
            </w:r>
          </w:p>
          <w:p>
            <w:pPr>
              <w:widowControl/>
              <w:kinsoku/>
              <w:overflowPunct/>
              <w:topLinePunct w:val="0"/>
              <w:bidi w:val="0"/>
              <w:snapToGrid w:val="0"/>
              <w:spacing w:line="240" w:lineRule="auto"/>
              <w:rPr>
                <w:rFonts w:hint="default"/>
                <w:sz w:val="24"/>
                <w:szCs w:val="24"/>
                <w:lang w:val="en-US" w:eastAsia="zh-CN"/>
              </w:rPr>
            </w:pPr>
            <w:r>
              <w:rPr>
                <w:rFonts w:hint="eastAsia" w:ascii="仿宋" w:hAnsi="仿宋" w:eastAsia="仿宋" w:cs="仿宋"/>
                <w:color w:val="auto"/>
                <w:kern w:val="2"/>
                <w:sz w:val="24"/>
                <w:szCs w:val="24"/>
                <w:highlight w:val="none"/>
                <w:lang w:val="en-US" w:eastAsia="zh-CN" w:bidi="ar-SA"/>
              </w:rPr>
              <w:t>（业主单位和监理单位下发的整改项，参照本条）</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月考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253" w:type="dxa"/>
            <w:noWrap w:val="0"/>
            <w:vAlign w:val="center"/>
          </w:tcPr>
          <w:p>
            <w:pPr>
              <w:widowControl/>
              <w:kinsoku/>
              <w:overflowPunct/>
              <w:topLinePunct w:val="0"/>
              <w:bidi w:val="0"/>
              <w:snapToGrid w:val="0"/>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妥善处理阳光热线、信访件、督办件及有责新闻等其他反应问题。</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1、因巡查养护不到位造成的阳光热线，每件扣罚1000元；</w:t>
            </w:r>
          </w:p>
          <w:p>
            <w:pPr>
              <w:widowControl/>
              <w:kinsoku/>
              <w:overflowPunct/>
              <w:topLinePunct w:val="0"/>
              <w:bidi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2、因巡查养护不力造成阳光热线重件或不满意件，在以上条款基础上，每件加扣罚2000元；</w:t>
            </w:r>
          </w:p>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3、信访件、督办件及有责新闻可参照阳光热线执行处罚。</w:t>
            </w:r>
          </w:p>
          <w:p>
            <w:pPr>
              <w:widowControl/>
              <w:kinsoku/>
              <w:overflowPunct/>
              <w:topLinePunct w:val="0"/>
              <w:bidi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4、经区级机关或区级媒体通报一次，扣罚养护经费五千元；经市级机关或市级媒体通报一次，扣罚养护经费八千元。一个年度内被市级及以上政府机关或媒体通报三次及以上的情形，业主有权提前终止合约。</w:t>
            </w:r>
          </w:p>
          <w:p>
            <w:pPr>
              <w:widowControl/>
              <w:kinsoku/>
              <w:overflowPunct/>
              <w:topLinePunct w:val="0"/>
              <w:bidi w:val="0"/>
              <w:snapToGrid w:val="0"/>
              <w:spacing w:line="240" w:lineRule="auto"/>
              <w:rPr>
                <w:rFonts w:hint="default"/>
                <w:sz w:val="24"/>
                <w:szCs w:val="24"/>
                <w:lang w:val="en-US" w:eastAsia="zh-CN"/>
              </w:rPr>
            </w:pP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月考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p>
        </w:tc>
        <w:tc>
          <w:tcPr>
            <w:tcW w:w="457" w:type="dxa"/>
            <w:noWrap w:val="0"/>
            <w:vAlign w:val="center"/>
          </w:tcPr>
          <w:p>
            <w:pPr>
              <w:widowControl/>
              <w:kinsoku/>
              <w:overflowPunct/>
              <w:topLinePunct w:val="0"/>
              <w:bidi w:val="0"/>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各种验收资料应真实、完整</w:t>
            </w:r>
          </w:p>
        </w:tc>
        <w:tc>
          <w:tcPr>
            <w:tcW w:w="4122"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弄虚作假</w:t>
            </w:r>
            <w:r>
              <w:rPr>
                <w:rFonts w:hint="eastAsia" w:ascii="仿宋" w:hAnsi="仿宋" w:eastAsia="仿宋" w:cs="仿宋"/>
                <w:color w:val="auto"/>
                <w:sz w:val="24"/>
                <w:szCs w:val="24"/>
              </w:rPr>
              <w:t>，扣</w:t>
            </w:r>
            <w:r>
              <w:rPr>
                <w:rFonts w:hint="eastAsia" w:ascii="仿宋" w:hAnsi="仿宋" w:eastAsia="仿宋" w:cs="仿宋"/>
                <w:color w:val="auto"/>
                <w:sz w:val="24"/>
                <w:szCs w:val="24"/>
                <w:lang w:val="en-US" w:eastAsia="zh-CN"/>
              </w:rPr>
              <w:t>罚5000元</w:t>
            </w:r>
            <w:r>
              <w:rPr>
                <w:rFonts w:hint="eastAsia" w:ascii="仿宋" w:hAnsi="仿宋" w:eastAsia="仿宋" w:cs="仿宋"/>
                <w:color w:val="auto"/>
                <w:sz w:val="24"/>
                <w:szCs w:val="24"/>
                <w:lang w:eastAsia="zh-CN"/>
              </w:rPr>
              <w:t>。</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p>
        </w:tc>
        <w:tc>
          <w:tcPr>
            <w:tcW w:w="457" w:type="dxa"/>
            <w:noWrap w:val="0"/>
            <w:vAlign w:val="center"/>
          </w:tcPr>
          <w:p>
            <w:pPr>
              <w:widowControl/>
              <w:kinsoku/>
              <w:overflowPunct/>
              <w:topLinePunct w:val="0"/>
              <w:bidi w:val="0"/>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3253" w:type="dxa"/>
            <w:noWrap w:val="0"/>
            <w:vAlign w:val="center"/>
          </w:tcPr>
          <w:p>
            <w:pPr>
              <w:widowControl/>
              <w:kinsoku/>
              <w:overflowPunct/>
              <w:topLinePunct w:val="0"/>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承包人应按有关规定做好文明施工、安全施工。</w:t>
            </w:r>
          </w:p>
        </w:tc>
        <w:tc>
          <w:tcPr>
            <w:tcW w:w="4122" w:type="dxa"/>
            <w:noWrap w:val="0"/>
            <w:vAlign w:val="center"/>
          </w:tcPr>
          <w:p>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每发现一起</w:t>
            </w:r>
            <w:r>
              <w:rPr>
                <w:rFonts w:hint="eastAsia" w:ascii="仿宋" w:hAnsi="仿宋" w:eastAsia="仿宋" w:cs="仿宋"/>
                <w:color w:val="auto"/>
                <w:sz w:val="24"/>
                <w:szCs w:val="24"/>
                <w:highlight w:val="none"/>
                <w:lang w:val="en-US" w:eastAsia="zh-CN"/>
              </w:rPr>
              <w:t>安全措施不到位</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罚500元</w:t>
            </w:r>
            <w:r>
              <w:rPr>
                <w:rFonts w:hint="eastAsia" w:ascii="仿宋" w:hAnsi="仿宋" w:eastAsia="仿宋" w:cs="仿宋"/>
                <w:color w:val="auto"/>
                <w:sz w:val="24"/>
                <w:szCs w:val="24"/>
                <w:highlight w:val="none"/>
              </w:rPr>
              <w:t>；</w:t>
            </w:r>
          </w:p>
          <w:p>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2、因安全措施不到位</w:t>
            </w:r>
            <w:r>
              <w:rPr>
                <w:rFonts w:hint="eastAsia" w:ascii="仿宋" w:hAnsi="仿宋" w:eastAsia="仿宋" w:cs="仿宋"/>
                <w:color w:val="auto"/>
                <w:sz w:val="24"/>
                <w:szCs w:val="24"/>
                <w:highlight w:val="none"/>
              </w:rPr>
              <w:t>造成安全生产事故的，扣</w:t>
            </w:r>
            <w:r>
              <w:rPr>
                <w:rFonts w:hint="eastAsia" w:ascii="仿宋" w:hAnsi="仿宋" w:eastAsia="仿宋" w:cs="仿宋"/>
                <w:color w:val="auto"/>
                <w:sz w:val="24"/>
                <w:szCs w:val="24"/>
                <w:highlight w:val="none"/>
                <w:lang w:val="en-US" w:eastAsia="zh-CN"/>
              </w:rPr>
              <w:t>罚3000元</w:t>
            </w:r>
            <w:r>
              <w:rPr>
                <w:rFonts w:hint="eastAsia" w:ascii="仿宋" w:hAnsi="仿宋" w:eastAsia="仿宋" w:cs="仿宋"/>
                <w:color w:val="auto"/>
                <w:sz w:val="24"/>
                <w:szCs w:val="24"/>
                <w:highlight w:val="none"/>
                <w:lang w:eastAsia="zh-CN"/>
              </w:rPr>
              <w:t>；</w:t>
            </w:r>
          </w:p>
          <w:p>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rPr>
              <w:t>因野蛮施工</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造成不良社会影响的，扣</w:t>
            </w:r>
            <w:r>
              <w:rPr>
                <w:rFonts w:hint="eastAsia" w:ascii="仿宋" w:hAnsi="仿宋" w:eastAsia="仿宋" w:cs="仿宋"/>
                <w:color w:val="auto"/>
                <w:sz w:val="24"/>
                <w:szCs w:val="24"/>
                <w:lang w:val="en-US" w:eastAsia="zh-CN"/>
              </w:rPr>
              <w:t>罚5000元</w:t>
            </w:r>
            <w:r>
              <w:rPr>
                <w:rFonts w:hint="eastAsia" w:ascii="仿宋" w:hAnsi="仿宋" w:eastAsia="仿宋" w:cs="仿宋"/>
                <w:color w:val="auto"/>
                <w:sz w:val="24"/>
                <w:szCs w:val="24"/>
                <w:lang w:eastAsia="zh-CN"/>
              </w:rPr>
              <w:t>。</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3253" w:type="dxa"/>
            <w:noWrap w:val="0"/>
            <w:vAlign w:val="center"/>
          </w:tcPr>
          <w:p>
            <w:pPr>
              <w:widowControl/>
              <w:kinsoku/>
              <w:overflowPunct/>
              <w:topLinePunct w:val="0"/>
              <w:bidi w:val="0"/>
              <w:snapToGrid w:val="0"/>
              <w:spacing w:line="24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承包人需及时提交结算资料。</w:t>
            </w:r>
          </w:p>
        </w:tc>
        <w:tc>
          <w:tcPr>
            <w:tcW w:w="4122" w:type="dxa"/>
            <w:noWrap w:val="0"/>
            <w:vAlign w:val="center"/>
          </w:tcPr>
          <w:p>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承包人在支付周期到期后28天内提交结算审核资料，逾期扣罚5000元/天。</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pPr>
              <w:kinsoku/>
              <w:overflowPunct/>
              <w:topLinePunct w:val="0"/>
              <w:bidi w:val="0"/>
              <w:snapToGrid w:val="0"/>
              <w:spacing w:line="240" w:lineRule="auto"/>
              <w:jc w:val="center"/>
              <w:rPr>
                <w:rFonts w:hint="eastAsia" w:ascii="仿宋" w:hAnsi="仿宋" w:eastAsia="仿宋" w:cs="仿宋"/>
                <w:b/>
                <w:bCs/>
                <w:color w:val="auto"/>
                <w:sz w:val="21"/>
                <w:szCs w:val="21"/>
              </w:rPr>
            </w:pPr>
          </w:p>
        </w:tc>
        <w:tc>
          <w:tcPr>
            <w:tcW w:w="457" w:type="dxa"/>
            <w:noWrap w:val="0"/>
            <w:vAlign w:val="center"/>
          </w:tcPr>
          <w:p>
            <w:pPr>
              <w:widowControl/>
              <w:kinsoku/>
              <w:overflowPunct/>
              <w:topLinePunct w:val="0"/>
              <w:bidi w:val="0"/>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3253" w:type="dxa"/>
            <w:noWrap w:val="0"/>
            <w:vAlign w:val="center"/>
          </w:tcPr>
          <w:p>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雨雪冰冻等恶劣天气应急响应处置到位。</w:t>
            </w:r>
          </w:p>
        </w:tc>
        <w:tc>
          <w:tcPr>
            <w:tcW w:w="4122" w:type="dxa"/>
            <w:noWrap w:val="0"/>
            <w:vAlign w:val="center"/>
          </w:tcPr>
          <w:p>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未做到位的，扣罚50000元。</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78" w:type="dxa"/>
            <w:gridSpan w:val="4"/>
            <w:noWrap w:val="0"/>
            <w:vAlign w:val="center"/>
          </w:tcPr>
          <w:p>
            <w:pPr>
              <w:widowControl/>
              <w:numPr>
                <w:ilvl w:val="0"/>
                <w:numId w:val="0"/>
              </w:numPr>
              <w:kinsoku/>
              <w:overflowPunct/>
              <w:topLinePunct w:val="0"/>
              <w:bidi w:val="0"/>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8"/>
                <w:szCs w:val="28"/>
                <w:lang w:val="en-US" w:eastAsia="zh-CN"/>
              </w:rPr>
              <w:t>小 计</w:t>
            </w: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1"/>
                <w:szCs w:val="21"/>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8478" w:type="dxa"/>
            <w:gridSpan w:val="4"/>
            <w:noWrap w:val="0"/>
            <w:vAlign w:val="center"/>
          </w:tcPr>
          <w:p>
            <w:pPr>
              <w:widowControl/>
              <w:numPr>
                <w:ilvl w:val="0"/>
                <w:numId w:val="0"/>
              </w:numPr>
              <w:kinsoku/>
              <w:overflowPunct/>
              <w:topLinePunct w:val="0"/>
              <w:bidi w:val="0"/>
              <w:snapToGrid w:val="0"/>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p>
            <w:pPr>
              <w:pStyle w:val="2"/>
              <w:rPr>
                <w:rFonts w:hint="default"/>
                <w:lang w:val="en-US" w:eastAsia="zh-CN"/>
              </w:rPr>
            </w:pPr>
          </w:p>
        </w:tc>
        <w:tc>
          <w:tcPr>
            <w:tcW w:w="989" w:type="dxa"/>
            <w:noWrap w:val="0"/>
            <w:vAlign w:val="center"/>
          </w:tcPr>
          <w:p>
            <w:pPr>
              <w:widowControl/>
              <w:kinsoku/>
              <w:overflowPunct/>
              <w:topLinePunct w:val="0"/>
              <w:bidi w:val="0"/>
              <w:spacing w:line="240" w:lineRule="auto"/>
              <w:jc w:val="left"/>
              <w:rPr>
                <w:rFonts w:hint="eastAsia" w:ascii="仿宋" w:hAnsi="仿宋" w:eastAsia="仿宋" w:cs="仿宋"/>
                <w:color w:val="auto"/>
                <w:sz w:val="21"/>
                <w:szCs w:val="21"/>
              </w:rPr>
            </w:pPr>
          </w:p>
        </w:tc>
        <w:tc>
          <w:tcPr>
            <w:tcW w:w="990" w:type="dxa"/>
            <w:noWrap w:val="0"/>
            <w:vAlign w:val="center"/>
          </w:tcPr>
          <w:p>
            <w:pPr>
              <w:widowControl/>
              <w:kinsoku/>
              <w:overflowPunct/>
              <w:topLinePunct w:val="0"/>
              <w:bidi w:val="0"/>
              <w:spacing w:line="240" w:lineRule="auto"/>
              <w:jc w:val="left"/>
              <w:rPr>
                <w:rFonts w:hint="eastAsia" w:ascii="仿宋" w:hAnsi="仿宋" w:eastAsia="仿宋" w:cs="仿宋"/>
                <w:color w:val="auto"/>
                <w:sz w:val="21"/>
                <w:szCs w:val="21"/>
              </w:rPr>
            </w:pPr>
          </w:p>
        </w:tc>
      </w:tr>
    </w:tbl>
    <w:p>
      <w:pPr>
        <w:pStyle w:val="29"/>
        <w:numPr>
          <w:ilvl w:val="0"/>
          <w:numId w:val="0"/>
        </w:numPr>
        <w:ind w:leftChars="0"/>
        <w:rPr>
          <w:rFonts w:hint="eastAsia" w:ascii="仿宋" w:hAnsi="仿宋" w:eastAsia="仿宋" w:cs="仿宋"/>
          <w:b/>
          <w:sz w:val="24"/>
          <w:szCs w:val="24"/>
          <w:highlight w:val="none"/>
        </w:rPr>
      </w:pPr>
    </w:p>
    <w:p>
      <w:pPr>
        <w:tabs>
          <w:tab w:val="left" w:pos="5925"/>
        </w:tabs>
        <w:spacing w:line="360" w:lineRule="auto"/>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CN"/>
        </w:rPr>
        <w:t>二</w:t>
      </w:r>
      <w:r>
        <w:rPr>
          <w:rFonts w:hint="eastAsia" w:ascii="仿宋" w:hAnsi="仿宋" w:eastAsia="仿宋" w:cs="仿宋"/>
          <w:b/>
          <w:sz w:val="24"/>
        </w:rPr>
        <w:t>、违约责任</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1、如服务期内，乙方未按照要求履行合同，则保证金不予退还。在服务期内如因乙方原因造成甲方财产损失的，则甲方有权酌情在保证金中予以扣除。</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2、乙方在合同有效期内,服务质量达不到甲方要求的，甲方出具书面整改通知书后，乙方必须无条件整改到位。整改中所产生的一切费用由乙方负责。如整改后服务质量仍达不到甲方要求的，甲方将扣除乙方全部履约保证金，同时甲方有权单方面解除合同，并追究乙方由此给甲方带来的一切经济损失。</w:t>
      </w:r>
    </w:p>
    <w:p>
      <w:pPr>
        <w:tabs>
          <w:tab w:val="left" w:pos="5925"/>
        </w:tabs>
        <w:spacing w:line="360" w:lineRule="auto"/>
        <w:ind w:firstLine="480" w:firstLineChars="200"/>
        <w:rPr>
          <w:rFonts w:ascii="仿宋" w:hAnsi="仿宋" w:eastAsia="仿宋" w:cs="仿宋"/>
        </w:rPr>
      </w:pPr>
      <w:r>
        <w:rPr>
          <w:rFonts w:hint="eastAsia" w:ascii="仿宋" w:hAnsi="仿宋" w:eastAsia="仿宋" w:cs="仿宋"/>
          <w:sz w:val="24"/>
        </w:rPr>
        <w:t>3、因乙方原因中止或终止履行合同的，甲方没收乙方全部履约保证金，并就额外的损失保留索赔权利。</w:t>
      </w:r>
    </w:p>
    <w:p>
      <w:pPr>
        <w:pStyle w:val="2"/>
        <w:spacing w:line="360" w:lineRule="auto"/>
        <w:rPr>
          <w:rFonts w:ascii="仿宋" w:hAnsi="仿宋" w:eastAsia="仿宋" w:cs="仿宋"/>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CN"/>
        </w:rPr>
        <w:t>三</w:t>
      </w:r>
      <w:r>
        <w:rPr>
          <w:rFonts w:hint="eastAsia" w:ascii="仿宋" w:hAnsi="仿宋" w:eastAsia="仿宋" w:cs="仿宋"/>
          <w:b/>
          <w:bCs/>
          <w:sz w:val="24"/>
          <w:szCs w:val="24"/>
        </w:rPr>
        <w:t>、其他事项</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1、乙方在接到甲方任务下单后，须在</w:t>
      </w:r>
      <w:r>
        <w:rPr>
          <w:rFonts w:hint="eastAsia" w:ascii="仿宋" w:hAnsi="仿宋" w:eastAsia="仿宋" w:cs="仿宋"/>
          <w:sz w:val="24"/>
          <w:szCs w:val="24"/>
          <w:highlight w:val="none"/>
          <w:u w:val="single"/>
        </w:rPr>
        <w:t xml:space="preserve">       (时间)</w:t>
      </w:r>
      <w:r>
        <w:rPr>
          <w:rFonts w:hint="eastAsia" w:ascii="仿宋" w:hAnsi="仿宋" w:eastAsia="仿宋" w:cs="仿宋"/>
          <w:sz w:val="24"/>
          <w:szCs w:val="24"/>
        </w:rPr>
        <w:t>内到达现场开展工作，如未在规定时限内响应并到达的，则每次扣款5000元（在下一笔费用支付时予以扣除）。</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2、甲方会定期或不定期进行质量检查，如发现质量问题或不满足甲方要求，乙方需立即整改，整改费用由乙方自行承担。</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乙方全权负责对现场文明施工进行分片包干管理，负责到位。严格执行有关文明施工的规定，不违章指挥，不蛮干。施工现场坚持工完料清，垃圾杂物集中堆放，及时处理。若违反规定、造成人身伤亡或者财产损失等，一切责任由乙方自行承担，甲方保留追究责任的权利。 </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4、乙方须确保有限空间作业人员等本项目所有作业人员及第三人生命财产安全,产生的各类安全问题,由乙方自行负责。</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5、本项目所有作业人员，在作业期间及之余应严格遵守劳动纪律，遵守安全操作规程，确保安全。如发生各种意外事故均由乙方依照法律法规妥善处理，甲方对此不承担任何法律责任。</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6、乙方须给所有作业人员购买社保和人身意外保险，如在合同期内发生意外伤人事故的，则由乙方全权负责。</w:t>
      </w:r>
    </w:p>
    <w:p>
      <w:pPr>
        <w:tabs>
          <w:tab w:val="left" w:pos="5925"/>
        </w:tabs>
        <w:spacing w:line="360" w:lineRule="auto"/>
        <w:ind w:firstLine="480" w:firstLineChars="200"/>
        <w:rPr>
          <w:rFonts w:ascii="仿宋" w:hAnsi="仿宋" w:eastAsia="仿宋" w:cs="仿宋"/>
          <w:sz w:val="24"/>
        </w:rPr>
      </w:pPr>
      <w:r>
        <w:rPr>
          <w:rFonts w:hint="eastAsia" w:ascii="仿宋" w:hAnsi="仿宋" w:eastAsia="仿宋" w:cs="仿宋"/>
          <w:sz w:val="24"/>
        </w:rPr>
        <w:t>7、如遇群体性等事件涉及乙方管理、处置未到位的，或者多次举报查证甲方发出警告还未能整改到位的等情况，甲方有权单方面解除合同并没收保证金，并有权要求乙方清退出场，所造成的损失由乙方承担。</w:t>
      </w:r>
    </w:p>
    <w:p>
      <w:pPr>
        <w:tabs>
          <w:tab w:val="left" w:pos="5925"/>
        </w:tabs>
        <w:spacing w:line="360" w:lineRule="auto"/>
        <w:ind w:firstLine="480" w:firstLineChars="200"/>
        <w:rPr>
          <w:rFonts w:ascii="仿宋" w:hAnsi="仿宋" w:eastAsia="仿宋" w:cs="仿宋"/>
        </w:rPr>
      </w:pPr>
      <w:r>
        <w:rPr>
          <w:rFonts w:hint="eastAsia" w:ascii="仿宋" w:hAnsi="仿宋" w:eastAsia="仿宋" w:cs="仿宋"/>
          <w:sz w:val="24"/>
        </w:rPr>
        <w:t>8、招标文件、乙方投标文件及相关补充协议、澄清文件、承诺等均作为本合同不可分割的一部分，甲方有权要求乙方依照上述文件履行。</w:t>
      </w:r>
    </w:p>
    <w:p>
      <w:pPr>
        <w:spacing w:line="360"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eastAsia="zh-CN"/>
        </w:rPr>
        <w:t>四</w:t>
      </w:r>
      <w:r>
        <w:rPr>
          <w:rFonts w:hint="eastAsia" w:ascii="仿宋" w:hAnsi="仿宋" w:eastAsia="仿宋" w:cs="仿宋"/>
          <w:b/>
          <w:bCs/>
          <w:sz w:val="24"/>
        </w:rPr>
        <w:t>、争议解决</w:t>
      </w:r>
    </w:p>
    <w:p>
      <w:pPr>
        <w:spacing w:line="360" w:lineRule="auto"/>
        <w:ind w:firstLine="480" w:firstLineChars="200"/>
        <w:rPr>
          <w:rFonts w:ascii="仿宋" w:hAnsi="仿宋" w:eastAsia="仿宋" w:cs="仿宋"/>
          <w:sz w:val="24"/>
        </w:rPr>
      </w:pPr>
      <w:r>
        <w:rPr>
          <w:rFonts w:hint="eastAsia" w:ascii="仿宋" w:hAnsi="仿宋" w:eastAsia="仿宋" w:cs="仿宋"/>
          <w:sz w:val="24"/>
        </w:rPr>
        <w:t>本合同在履行过程中如发生争议，甲乙双方应友好协调解决。协商不成，可依法向吴兴区人民法院提请诉讼。</w:t>
      </w:r>
    </w:p>
    <w:p>
      <w:pPr>
        <w:spacing w:line="360"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eastAsia="zh-CN"/>
        </w:rPr>
        <w:t>五</w:t>
      </w:r>
      <w:r>
        <w:rPr>
          <w:rFonts w:hint="eastAsia" w:ascii="仿宋" w:hAnsi="仿宋" w:eastAsia="仿宋" w:cs="仿宋"/>
          <w:b/>
          <w:bCs/>
          <w:sz w:val="24"/>
        </w:rPr>
        <w:t>、附则</w:t>
      </w:r>
    </w:p>
    <w:p>
      <w:pPr>
        <w:tabs>
          <w:tab w:val="left" w:pos="5925"/>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1、如联合体形式投保，乙方须将联合体协议书正本抄送甲方一份。</w:t>
      </w:r>
    </w:p>
    <w:p>
      <w:pPr>
        <w:tabs>
          <w:tab w:val="left" w:pos="5925"/>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2、本合同自甲乙双方签字盖章之日起生效。</w:t>
      </w:r>
    </w:p>
    <w:p>
      <w:pPr>
        <w:tabs>
          <w:tab w:val="left" w:pos="5925"/>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3、本合同中未尽事宜，经双方协商可另附条款，效力等同于本合同。</w:t>
      </w:r>
    </w:p>
    <w:p>
      <w:pPr>
        <w:tabs>
          <w:tab w:val="left" w:pos="5925"/>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4、本合同一式六份，具有同等法律效力，甲乙双方各执两份；湖州市吴兴区财政局政府采购监管科和采购代理机构各执一份。</w:t>
      </w:r>
    </w:p>
    <w:p>
      <w:pPr>
        <w:pStyle w:val="2"/>
        <w:rPr>
          <w:rFonts w:ascii="仿宋" w:hAnsi="仿宋" w:eastAsia="仿宋" w:cs="仿宋"/>
          <w:sz w:val="24"/>
          <w:highlight w:val="none"/>
        </w:rPr>
      </w:pPr>
    </w:p>
    <w:p>
      <w:pPr>
        <w:pStyle w:val="2"/>
        <w:rPr>
          <w:rFonts w:ascii="仿宋" w:hAnsi="仿宋" w:eastAsia="仿宋" w:cs="仿宋"/>
          <w:sz w:val="24"/>
          <w:highlight w:val="none"/>
        </w:rPr>
      </w:pPr>
    </w:p>
    <w:p>
      <w:pPr>
        <w:pStyle w:val="2"/>
        <w:rPr>
          <w:rFonts w:ascii="仿宋" w:hAnsi="仿宋" w:eastAsia="仿宋" w:cs="仿宋"/>
          <w:sz w:val="24"/>
          <w:highlight w:val="none"/>
        </w:rPr>
      </w:pPr>
    </w:p>
    <w:p>
      <w:pPr>
        <w:pStyle w:val="14"/>
        <w:spacing w:line="480" w:lineRule="exact"/>
        <w:rPr>
          <w:rFonts w:ascii="仿宋" w:hAnsi="仿宋" w:eastAsia="仿宋" w:cs="仿宋"/>
          <w:bCs/>
          <w:highlight w:val="none"/>
        </w:rPr>
      </w:pPr>
      <w:r>
        <w:rPr>
          <w:rFonts w:hint="eastAsia" w:ascii="仿宋" w:hAnsi="仿宋" w:eastAsia="仿宋" w:cs="仿宋"/>
          <w:bCs/>
          <w:highlight w:val="none"/>
        </w:rPr>
        <w:t xml:space="preserve">甲方（盖章）：         </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乙方（如联合体，则牵头及成员单位均盖章签字）：</w:t>
      </w:r>
    </w:p>
    <w:p>
      <w:pPr>
        <w:pStyle w:val="14"/>
        <w:spacing w:line="480" w:lineRule="exact"/>
        <w:rPr>
          <w:rFonts w:ascii="仿宋" w:hAnsi="仿宋" w:eastAsia="仿宋" w:cs="仿宋"/>
          <w:bCs/>
        </w:rPr>
      </w:pPr>
      <w:r>
        <w:rPr>
          <w:rFonts w:hint="eastAsia" w:ascii="仿宋" w:hAnsi="仿宋" w:eastAsia="仿宋" w:cs="仿宋"/>
          <w:bCs/>
        </w:rPr>
        <w:t>法定代表人/授权代表：       法定代表人/授权代表：</w:t>
      </w:r>
    </w:p>
    <w:p>
      <w:pPr>
        <w:pStyle w:val="14"/>
        <w:spacing w:line="480" w:lineRule="exact"/>
        <w:rPr>
          <w:rFonts w:ascii="仿宋" w:hAnsi="仿宋" w:eastAsia="仿宋" w:cs="仿宋"/>
          <w:bCs/>
        </w:rPr>
      </w:pPr>
      <w:r>
        <w:rPr>
          <w:rFonts w:hint="eastAsia" w:ascii="仿宋" w:hAnsi="仿宋" w:eastAsia="仿宋" w:cs="仿宋"/>
          <w:bCs/>
        </w:rPr>
        <w:t xml:space="preserve">联系电话：  </w:t>
      </w:r>
      <w:r>
        <w:rPr>
          <w:rFonts w:hint="eastAsia" w:ascii="仿宋" w:hAnsi="仿宋" w:eastAsia="仿宋" w:cs="仿宋"/>
          <w:bCs/>
          <w:lang w:val="en-US" w:eastAsia="zh-CN"/>
        </w:rPr>
        <w:t xml:space="preserve">                </w:t>
      </w:r>
      <w:r>
        <w:rPr>
          <w:rFonts w:hint="eastAsia" w:ascii="仿宋" w:hAnsi="仿宋" w:eastAsia="仿宋" w:cs="仿宋"/>
          <w:bCs/>
        </w:rPr>
        <w:t>联系电话：</w:t>
      </w:r>
    </w:p>
    <w:p>
      <w:pPr>
        <w:pStyle w:val="14"/>
        <w:spacing w:line="480" w:lineRule="exact"/>
        <w:rPr>
          <w:rFonts w:ascii="仿宋" w:hAnsi="仿宋" w:eastAsia="仿宋" w:cs="仿宋"/>
          <w:bCs/>
        </w:rPr>
      </w:pPr>
      <w:r>
        <w:rPr>
          <w:rFonts w:hint="eastAsia" w:ascii="仿宋" w:hAnsi="仿宋" w:eastAsia="仿宋" w:cs="仿宋"/>
          <w:bCs/>
        </w:rPr>
        <w:t>开户行：</w:t>
      </w:r>
      <w:r>
        <w:rPr>
          <w:rFonts w:hint="eastAsia" w:ascii="仿宋" w:hAnsi="仿宋" w:eastAsia="仿宋" w:cs="仿宋"/>
          <w:bCs/>
          <w:lang w:val="en-US" w:eastAsia="zh-CN"/>
        </w:rPr>
        <w:t xml:space="preserve">                    </w:t>
      </w:r>
      <w:r>
        <w:rPr>
          <w:rFonts w:hint="eastAsia" w:ascii="仿宋" w:hAnsi="仿宋" w:eastAsia="仿宋" w:cs="仿宋"/>
          <w:bCs/>
        </w:rPr>
        <w:t>开户行：</w:t>
      </w:r>
    </w:p>
    <w:p>
      <w:pPr>
        <w:pStyle w:val="14"/>
        <w:spacing w:line="480" w:lineRule="exact"/>
        <w:rPr>
          <w:rFonts w:ascii="仿宋" w:hAnsi="仿宋" w:eastAsia="仿宋" w:cs="仿宋"/>
          <w:bCs/>
        </w:rPr>
      </w:pPr>
      <w:r>
        <w:rPr>
          <w:rFonts w:hint="eastAsia" w:ascii="仿宋" w:hAnsi="仿宋" w:eastAsia="仿宋" w:cs="仿宋"/>
          <w:bCs/>
        </w:rPr>
        <w:t xml:space="preserve">账号：  </w:t>
      </w:r>
      <w:r>
        <w:rPr>
          <w:rFonts w:hint="eastAsia" w:ascii="仿宋" w:hAnsi="仿宋" w:eastAsia="仿宋" w:cs="仿宋"/>
          <w:bCs/>
          <w:lang w:val="en-US" w:eastAsia="zh-CN"/>
        </w:rPr>
        <w:t xml:space="preserve">                    </w:t>
      </w:r>
      <w:r>
        <w:rPr>
          <w:rFonts w:hint="eastAsia" w:ascii="仿宋" w:hAnsi="仿宋" w:eastAsia="仿宋" w:cs="仿宋"/>
          <w:bCs/>
        </w:rPr>
        <w:t>账号：</w:t>
      </w:r>
    </w:p>
    <w:p>
      <w:pPr>
        <w:pStyle w:val="3"/>
        <w:keepNext w:val="0"/>
        <w:pageBreakBefore/>
        <w:spacing w:line="360" w:lineRule="auto"/>
        <w:rPr>
          <w:rFonts w:ascii="仿宋" w:hAnsi="仿宋" w:eastAsia="仿宋" w:cs="仿宋"/>
          <w:sz w:val="32"/>
        </w:rPr>
      </w:pPr>
      <w:r>
        <w:rPr>
          <w:rFonts w:hint="eastAsia" w:ascii="仿宋" w:hAnsi="仿宋" w:eastAsia="仿宋" w:cs="仿宋"/>
          <w:sz w:val="32"/>
        </w:rPr>
        <w:t>第六章 投标格式</w:t>
      </w:r>
      <w:bookmarkEnd w:id="59"/>
      <w:bookmarkEnd w:id="60"/>
      <w:bookmarkEnd w:id="61"/>
    </w:p>
    <w:p>
      <w:pPr>
        <w:pStyle w:val="32"/>
        <w:rPr>
          <w:rFonts w:ascii="仿宋" w:hAnsi="仿宋" w:eastAsia="仿宋" w:cs="仿宋"/>
          <w:color w:val="auto"/>
          <w:sz w:val="28"/>
          <w:szCs w:val="28"/>
        </w:rPr>
      </w:pPr>
    </w:p>
    <w:p>
      <w:pPr>
        <w:snapToGrid w:val="0"/>
        <w:spacing w:before="50" w:after="50" w:line="360" w:lineRule="auto"/>
        <w:outlineLvl w:val="1"/>
        <w:rPr>
          <w:rFonts w:ascii="仿宋" w:hAnsi="仿宋" w:eastAsia="仿宋" w:cs="仿宋"/>
          <w:sz w:val="24"/>
          <w:szCs w:val="28"/>
        </w:rPr>
      </w:pPr>
      <w:bookmarkStart w:id="67" w:name="_Toc5005"/>
      <w:r>
        <w:rPr>
          <w:rFonts w:hint="eastAsia" w:ascii="仿宋" w:hAnsi="仿宋" w:eastAsia="仿宋" w:cs="仿宋"/>
          <w:sz w:val="24"/>
          <w:szCs w:val="28"/>
        </w:rPr>
        <w:t>1、资格文件目录（具体参考第三章投标人须知“投标文件的组成”）</w:t>
      </w:r>
      <w:bookmarkEnd w:id="67"/>
    </w:p>
    <w:p>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pPr>
        <w:snapToGrid w:val="0"/>
        <w:spacing w:before="50" w:after="50" w:line="360" w:lineRule="auto"/>
        <w:rPr>
          <w:rFonts w:ascii="仿宋" w:hAnsi="仿宋" w:eastAsia="仿宋" w:cs="仿宋"/>
          <w:sz w:val="24"/>
          <w:szCs w:val="28"/>
        </w:rPr>
      </w:pPr>
    </w:p>
    <w:p>
      <w:pPr>
        <w:snapToGrid w:val="0"/>
        <w:spacing w:before="50" w:after="50" w:line="360" w:lineRule="auto"/>
        <w:rPr>
          <w:rFonts w:ascii="仿宋" w:hAnsi="仿宋" w:eastAsia="仿宋" w:cs="仿宋"/>
          <w:szCs w:val="28"/>
        </w:rPr>
      </w:pPr>
    </w:p>
    <w:p>
      <w:pPr>
        <w:snapToGrid w:val="0"/>
        <w:spacing w:before="50" w:after="50" w:line="360" w:lineRule="auto"/>
        <w:rPr>
          <w:rFonts w:ascii="仿宋" w:hAnsi="仿宋" w:eastAsia="仿宋" w:cs="仿宋"/>
          <w:sz w:val="24"/>
          <w:szCs w:val="28"/>
        </w:rPr>
      </w:pPr>
      <w:r>
        <w:rPr>
          <w:rFonts w:hint="eastAsia" w:ascii="仿宋" w:hAnsi="仿宋" w:eastAsia="仿宋" w:cs="仿宋"/>
          <w:szCs w:val="28"/>
        </w:rPr>
        <w:t>2、</w:t>
      </w:r>
      <w:r>
        <w:rPr>
          <w:rFonts w:hint="eastAsia" w:ascii="仿宋" w:hAnsi="仿宋" w:eastAsia="仿宋" w:cs="仿宋"/>
          <w:sz w:val="24"/>
          <w:szCs w:val="28"/>
        </w:rPr>
        <w:t>技术、商务、资信及其他文件目录（具体参考第三章投标人须知“投标文件的组成”）</w:t>
      </w:r>
    </w:p>
    <w:p>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pPr>
        <w:snapToGrid w:val="0"/>
        <w:spacing w:before="50" w:after="50" w:line="360" w:lineRule="auto"/>
        <w:rPr>
          <w:rFonts w:ascii="仿宋" w:hAnsi="仿宋" w:eastAsia="仿宋" w:cs="仿宋"/>
          <w:szCs w:val="28"/>
        </w:rPr>
      </w:pPr>
    </w:p>
    <w:p>
      <w:pPr>
        <w:snapToGrid w:val="0"/>
        <w:spacing w:before="50" w:after="50" w:line="360" w:lineRule="auto"/>
        <w:rPr>
          <w:rFonts w:ascii="仿宋" w:hAnsi="仿宋" w:eastAsia="仿宋" w:cs="仿宋"/>
          <w:szCs w:val="28"/>
        </w:rPr>
      </w:pPr>
    </w:p>
    <w:p>
      <w:pPr>
        <w:snapToGrid w:val="0"/>
        <w:spacing w:before="50" w:after="50" w:line="360" w:lineRule="auto"/>
        <w:outlineLvl w:val="1"/>
        <w:rPr>
          <w:rFonts w:ascii="仿宋" w:hAnsi="仿宋" w:eastAsia="仿宋" w:cs="仿宋"/>
          <w:sz w:val="24"/>
          <w:szCs w:val="28"/>
        </w:rPr>
      </w:pPr>
      <w:bookmarkStart w:id="68" w:name="_Toc4687"/>
      <w:r>
        <w:rPr>
          <w:rFonts w:hint="eastAsia" w:ascii="仿宋" w:hAnsi="仿宋" w:eastAsia="仿宋" w:cs="仿宋"/>
          <w:sz w:val="24"/>
          <w:szCs w:val="28"/>
        </w:rPr>
        <w:t>3、报价文件目录（具体参考第三章投标人须知“投标文件的组成”）</w:t>
      </w:r>
      <w:bookmarkEnd w:id="68"/>
    </w:p>
    <w:p>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pPr>
        <w:snapToGrid w:val="0"/>
        <w:spacing w:before="50" w:afterLines="50" w:line="360" w:lineRule="auto"/>
        <w:jc w:val="left"/>
        <w:rPr>
          <w:rFonts w:ascii="仿宋" w:hAnsi="仿宋" w:eastAsia="仿宋" w:cs="仿宋"/>
          <w:szCs w:val="28"/>
        </w:rPr>
      </w:pPr>
    </w:p>
    <w:p>
      <w:pPr>
        <w:snapToGrid w:val="0"/>
        <w:spacing w:before="50" w:afterLines="50" w:line="360" w:lineRule="auto"/>
        <w:jc w:val="left"/>
        <w:rPr>
          <w:rFonts w:ascii="仿宋" w:hAnsi="仿宋" w:eastAsia="仿宋" w:cs="仿宋"/>
          <w:szCs w:val="28"/>
        </w:rPr>
      </w:pPr>
    </w:p>
    <w:p>
      <w:pPr>
        <w:snapToGrid w:val="0"/>
        <w:spacing w:before="50"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（本章仅提供部分标准通用表格，具体格式内容请参照本投标文件中对投标文件编制要求）</w:t>
      </w: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pStyle w:val="13"/>
        <w:ind w:left="0"/>
        <w:rPr>
          <w:rFonts w:ascii="仿宋" w:hAnsi="仿宋" w:eastAsia="仿宋" w:cs="仿宋"/>
        </w:rPr>
      </w:pPr>
    </w:p>
    <w:p>
      <w:pPr>
        <w:snapToGrid w:val="0"/>
        <w:spacing w:beforeLines="50" w:after="50" w:line="400" w:lineRule="exact"/>
        <w:jc w:val="center"/>
        <w:outlineLvl w:val="1"/>
        <w:rPr>
          <w:rFonts w:ascii="仿宋" w:hAnsi="仿宋" w:eastAsia="仿宋" w:cs="仿宋"/>
          <w:b/>
          <w:sz w:val="28"/>
          <w:szCs w:val="28"/>
        </w:rPr>
      </w:pPr>
      <w:bookmarkStart w:id="69" w:name="_Toc23"/>
      <w:r>
        <w:rPr>
          <w:rFonts w:hint="eastAsia" w:ascii="仿宋" w:hAnsi="仿宋" w:eastAsia="仿宋" w:cs="仿宋"/>
          <w:b/>
          <w:sz w:val="28"/>
          <w:szCs w:val="28"/>
        </w:rPr>
        <w:t>一、有效的营业执照、税务登记证、组织机构代码证或“三证合一”的营业执照或“五证合一”的营业执照</w:t>
      </w:r>
      <w:bookmarkEnd w:id="69"/>
    </w:p>
    <w:p>
      <w:pPr>
        <w:widowControl/>
        <w:jc w:val="left"/>
        <w:rPr>
          <w:rFonts w:ascii="仿宋" w:hAnsi="仿宋" w:eastAsia="仿宋" w:cs="仿宋"/>
          <w:kern w:val="0"/>
          <w:sz w:val="24"/>
        </w:rPr>
      </w:pPr>
      <w:r>
        <w:rPr>
          <w:rFonts w:ascii="仿宋" w:hAnsi="仿宋" w:eastAsia="仿宋" w:cs="仿宋"/>
          <w:kern w:val="0"/>
          <w:sz w:val="24"/>
        </w:rPr>
        <w:br w:type="page"/>
      </w:r>
    </w:p>
    <w:p>
      <w:pPr>
        <w:snapToGrid w:val="0"/>
        <w:spacing w:beforeLines="50" w:after="50" w:line="400" w:lineRule="exact"/>
        <w:jc w:val="center"/>
        <w:outlineLvl w:val="1"/>
        <w:rPr>
          <w:rFonts w:ascii="仿宋" w:hAnsi="仿宋" w:eastAsia="仿宋" w:cs="仿宋"/>
          <w:b/>
          <w:sz w:val="28"/>
          <w:szCs w:val="28"/>
        </w:rPr>
      </w:pPr>
      <w:bookmarkStart w:id="70" w:name="_Toc26443"/>
      <w:r>
        <w:rPr>
          <w:rFonts w:hint="eastAsia" w:ascii="仿宋" w:hAnsi="仿宋" w:eastAsia="仿宋" w:cs="仿宋"/>
          <w:b/>
          <w:sz w:val="28"/>
          <w:szCs w:val="28"/>
        </w:rPr>
        <w:t>二、法定代表人有效身份证明书</w:t>
      </w:r>
      <w:bookmarkEnd w:id="70"/>
    </w:p>
    <w:p>
      <w:pPr>
        <w:pStyle w:val="13"/>
        <w:rPr>
          <w:rFonts w:ascii="仿宋" w:hAnsi="仿宋" w:eastAsia="仿宋" w:cs="仿宋"/>
        </w:rPr>
      </w:pPr>
    </w:p>
    <w:p>
      <w:pPr>
        <w:spacing w:line="500" w:lineRule="exact"/>
        <w:ind w:firstLine="360" w:firstLineChars="150"/>
        <w:jc w:val="left"/>
        <w:rPr>
          <w:rFonts w:ascii="仿宋" w:hAnsi="仿宋" w:eastAsia="仿宋" w:cs="仿宋"/>
          <w:kern w:val="0"/>
          <w:sz w:val="24"/>
        </w:rPr>
      </w:pPr>
      <w:r>
        <w:rPr>
          <w:rFonts w:hint="eastAsia" w:ascii="仿宋" w:hAnsi="仿宋" w:eastAsia="仿宋" w:cs="仿宋"/>
          <w:kern w:val="0"/>
          <w:sz w:val="24"/>
          <w:u w:val="single"/>
        </w:rPr>
        <w:t>（姓名）</w:t>
      </w:r>
      <w:r>
        <w:rPr>
          <w:rFonts w:hint="eastAsia" w:ascii="仿宋" w:hAnsi="仿宋" w:eastAsia="仿宋" w:cs="仿宋"/>
          <w:kern w:val="0"/>
          <w:sz w:val="24"/>
        </w:rPr>
        <w:t>是</w:t>
      </w:r>
      <w:r>
        <w:rPr>
          <w:rFonts w:hint="eastAsia" w:ascii="仿宋" w:hAnsi="仿宋" w:eastAsia="仿宋" w:cs="仿宋"/>
          <w:kern w:val="0"/>
          <w:sz w:val="24"/>
          <w:u w:val="single"/>
        </w:rPr>
        <w:t>（投标人全称）</w:t>
      </w:r>
      <w:r>
        <w:rPr>
          <w:rFonts w:hint="eastAsia" w:ascii="仿宋" w:hAnsi="仿宋" w:eastAsia="仿宋" w:cs="仿宋"/>
          <w:kern w:val="0"/>
          <w:sz w:val="24"/>
        </w:rPr>
        <w:t>的法定代表人，身份证号码为 ______________。</w:t>
      </w:r>
    </w:p>
    <w:p>
      <w:pPr>
        <w:spacing w:line="500" w:lineRule="exact"/>
        <w:jc w:val="left"/>
        <w:rPr>
          <w:rFonts w:ascii="仿宋" w:hAnsi="仿宋" w:eastAsia="仿宋" w:cs="仿宋"/>
          <w:kern w:val="0"/>
          <w:sz w:val="24"/>
        </w:rPr>
      </w:pPr>
      <w:r>
        <w:rPr>
          <w:rFonts w:hint="eastAsia" w:ascii="仿宋" w:hAnsi="仿宋" w:eastAsia="仿宋" w:cs="仿宋"/>
          <w:kern w:val="0"/>
          <w:sz w:val="24"/>
        </w:rPr>
        <w:t>特此证明。</w:t>
      </w:r>
    </w:p>
    <w:p>
      <w:pPr>
        <w:spacing w:line="500" w:lineRule="exact"/>
        <w:jc w:val="left"/>
        <w:rPr>
          <w:rFonts w:ascii="仿宋" w:hAnsi="仿宋" w:eastAsia="仿宋" w:cs="仿宋"/>
          <w:kern w:val="0"/>
          <w:sz w:val="24"/>
        </w:rPr>
      </w:pPr>
    </w:p>
    <w:p>
      <w:pPr>
        <w:spacing w:line="500" w:lineRule="exact"/>
        <w:jc w:val="left"/>
        <w:rPr>
          <w:rFonts w:ascii="仿宋" w:hAnsi="仿宋" w:eastAsia="仿宋" w:cs="仿宋"/>
          <w:kern w:val="0"/>
          <w:sz w:val="24"/>
        </w:rPr>
      </w:pPr>
    </w:p>
    <w:p>
      <w:pPr>
        <w:spacing w:line="500" w:lineRule="exact"/>
        <w:jc w:val="left"/>
        <w:rPr>
          <w:rFonts w:ascii="仿宋" w:hAnsi="仿宋" w:eastAsia="仿宋" w:cs="仿宋"/>
          <w:kern w:val="0"/>
          <w:sz w:val="24"/>
        </w:rPr>
      </w:pPr>
      <w:r>
        <w:rPr>
          <w:rFonts w:hint="eastAsia" w:ascii="仿宋" w:hAnsi="仿宋" w:eastAsia="仿宋" w:cs="仿宋"/>
          <w:kern w:val="0"/>
          <w:sz w:val="24"/>
        </w:rPr>
        <w:t>投标人：（盖章）</w:t>
      </w:r>
    </w:p>
    <w:p>
      <w:pPr>
        <w:spacing w:line="500" w:lineRule="exact"/>
        <w:jc w:val="left"/>
        <w:rPr>
          <w:rFonts w:ascii="仿宋" w:hAnsi="仿宋" w:eastAsia="仿宋" w:cs="仿宋"/>
          <w:kern w:val="0"/>
          <w:sz w:val="24"/>
        </w:rPr>
      </w:pPr>
    </w:p>
    <w:p>
      <w:pPr>
        <w:spacing w:line="500" w:lineRule="exact"/>
        <w:jc w:val="left"/>
        <w:rPr>
          <w:rFonts w:ascii="仿宋" w:hAnsi="仿宋" w:eastAsia="仿宋" w:cs="仿宋"/>
          <w:kern w:val="0"/>
          <w:sz w:val="24"/>
        </w:rPr>
      </w:pPr>
      <w:r>
        <w:rPr>
          <w:rFonts w:hint="eastAsia" w:ascii="仿宋" w:hAnsi="仿宋" w:eastAsia="仿宋" w:cs="仿宋"/>
          <w:kern w:val="0"/>
          <w:sz w:val="24"/>
        </w:rPr>
        <w:t>法定代表人（签名或盖章）：</w:t>
      </w:r>
    </w:p>
    <w:p>
      <w:pPr>
        <w:spacing w:line="500" w:lineRule="exact"/>
        <w:jc w:val="left"/>
        <w:rPr>
          <w:rFonts w:ascii="仿宋" w:hAnsi="仿宋" w:eastAsia="仿宋" w:cs="仿宋"/>
          <w:kern w:val="0"/>
          <w:sz w:val="24"/>
        </w:rPr>
      </w:pPr>
    </w:p>
    <w:p>
      <w:pPr>
        <w:spacing w:line="500" w:lineRule="exact"/>
        <w:jc w:val="left"/>
        <w:rPr>
          <w:rFonts w:ascii="仿宋" w:hAnsi="仿宋" w:eastAsia="仿宋" w:cs="仿宋"/>
          <w:kern w:val="0"/>
          <w:sz w:val="24"/>
        </w:rPr>
      </w:pPr>
      <w:r>
        <w:rPr>
          <w:rFonts w:hint="eastAsia" w:ascii="仿宋" w:hAnsi="仿宋" w:eastAsia="仿宋" w:cs="仿宋"/>
          <w:kern w:val="0"/>
          <w:sz w:val="24"/>
        </w:rPr>
        <w:t>日期：      年   月   日</w:t>
      </w:r>
    </w:p>
    <w:p>
      <w:pPr>
        <w:spacing w:line="500" w:lineRule="exact"/>
        <w:jc w:val="left"/>
        <w:rPr>
          <w:rFonts w:ascii="仿宋" w:hAnsi="仿宋" w:eastAsia="仿宋" w:cs="仿宋"/>
          <w:kern w:val="0"/>
          <w:sz w:val="24"/>
        </w:rPr>
      </w:pPr>
      <w:r>
        <w:rPr>
          <w:rFonts w:hint="eastAsia" w:ascii="仿宋" w:hAnsi="仿宋" w:eastAsia="仿宋" w:cs="仿宋"/>
          <w:kern w:val="0"/>
          <w:sz w:val="24"/>
        </w:rPr>
        <w:t>——————————————————————————————</w:t>
      </w:r>
    </w:p>
    <w:p>
      <w:pPr>
        <w:spacing w:line="500" w:lineRule="exact"/>
        <w:jc w:val="center"/>
        <w:rPr>
          <w:rFonts w:ascii="仿宋" w:hAnsi="仿宋" w:eastAsia="仿宋" w:cs="仿宋"/>
          <w:kern w:val="0"/>
          <w:sz w:val="24"/>
        </w:rPr>
      </w:pPr>
    </w:p>
    <w:p>
      <w:pPr>
        <w:spacing w:line="500" w:lineRule="exact"/>
        <w:jc w:val="center"/>
        <w:rPr>
          <w:rFonts w:ascii="仿宋" w:hAnsi="仿宋" w:eastAsia="仿宋" w:cs="仿宋"/>
          <w:kern w:val="0"/>
          <w:sz w:val="24"/>
        </w:rPr>
      </w:pPr>
    </w:p>
    <w:p>
      <w:pPr>
        <w:spacing w:line="500" w:lineRule="exact"/>
        <w:jc w:val="center"/>
        <w:rPr>
          <w:rFonts w:ascii="仿宋" w:hAnsi="仿宋" w:eastAsia="仿宋" w:cs="仿宋"/>
          <w:kern w:val="0"/>
          <w:sz w:val="24"/>
        </w:rPr>
      </w:pPr>
    </w:p>
    <w:p>
      <w:pPr>
        <w:spacing w:line="500" w:lineRule="exact"/>
        <w:jc w:val="center"/>
        <w:rPr>
          <w:rFonts w:ascii="仿宋" w:hAnsi="仿宋" w:eastAsia="仿宋" w:cs="仿宋"/>
          <w:kern w:val="0"/>
          <w:sz w:val="24"/>
        </w:rPr>
      </w:pPr>
      <w:r>
        <w:rPr>
          <w:rFonts w:hint="eastAsia" w:ascii="仿宋" w:hAnsi="仿宋" w:eastAsia="仿宋" w:cs="仿宋"/>
          <w:kern w:val="0"/>
          <w:sz w:val="24"/>
        </w:rPr>
        <w:t>有效身份证明复印件粘贴处</w:t>
      </w:r>
    </w:p>
    <w:p>
      <w:pPr>
        <w:spacing w:line="500" w:lineRule="exact"/>
        <w:jc w:val="center"/>
        <w:rPr>
          <w:rFonts w:ascii="仿宋" w:hAnsi="仿宋" w:eastAsia="仿宋" w:cs="仿宋"/>
          <w:kern w:val="0"/>
          <w:sz w:val="24"/>
        </w:rPr>
      </w:pPr>
    </w:p>
    <w:p>
      <w:pPr>
        <w:jc w:val="center"/>
        <w:rPr>
          <w:rFonts w:ascii="仿宋" w:hAnsi="仿宋" w:eastAsia="仿宋" w:cs="仿宋"/>
          <w:kern w:val="0"/>
          <w:sz w:val="24"/>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snapToGrid w:val="0"/>
        <w:spacing w:beforeLines="50" w:after="50" w:line="400" w:lineRule="exact"/>
        <w:jc w:val="center"/>
        <w:outlineLvl w:val="1"/>
        <w:rPr>
          <w:rFonts w:ascii="仿宋" w:hAnsi="仿宋" w:eastAsia="仿宋" w:cs="仿宋"/>
          <w:b/>
          <w:sz w:val="28"/>
          <w:szCs w:val="28"/>
        </w:rPr>
      </w:pPr>
      <w:bookmarkStart w:id="71" w:name="_Toc5113"/>
      <w:r>
        <w:rPr>
          <w:rFonts w:hint="eastAsia" w:ascii="仿宋" w:hAnsi="仿宋" w:eastAsia="仿宋" w:cs="仿宋"/>
          <w:b/>
          <w:sz w:val="28"/>
          <w:szCs w:val="28"/>
        </w:rPr>
        <w:t>（二）法定代表人授权委托书</w:t>
      </w:r>
      <w:bookmarkEnd w:id="71"/>
    </w:p>
    <w:p>
      <w:pPr>
        <w:snapToGrid w:val="0"/>
        <w:spacing w:beforeLines="50" w:after="50" w:line="400" w:lineRule="exact"/>
        <w:rPr>
          <w:rFonts w:ascii="仿宋" w:hAnsi="仿宋" w:eastAsia="仿宋" w:cs="仿宋"/>
          <w:b/>
          <w:bCs/>
          <w:sz w:val="24"/>
        </w:rPr>
      </w:pPr>
      <w:r>
        <w:rPr>
          <w:rFonts w:hint="eastAsia" w:ascii="仿宋" w:hAnsi="仿宋" w:eastAsia="仿宋" w:cs="仿宋"/>
          <w:sz w:val="24"/>
        </w:rPr>
        <w:t>致</w:t>
      </w:r>
      <w:r>
        <w:rPr>
          <w:rFonts w:hint="eastAsia" w:ascii="仿宋" w:hAnsi="仿宋" w:eastAsia="仿宋" w:cs="仿宋"/>
          <w:sz w:val="24"/>
          <w:u w:val="single"/>
        </w:rPr>
        <w:t xml:space="preserve"> （采购人名称）</w:t>
      </w:r>
      <w:r>
        <w:rPr>
          <w:rFonts w:hint="eastAsia" w:ascii="仿宋" w:hAnsi="仿宋" w:eastAsia="仿宋" w:cs="仿宋"/>
          <w:sz w:val="24"/>
        </w:rPr>
        <w:t>：</w:t>
      </w:r>
    </w:p>
    <w:p>
      <w:pPr>
        <w:snapToGrid w:val="0"/>
        <w:spacing w:beforeLines="50" w:after="50" w:line="460" w:lineRule="exact"/>
        <w:ind w:firstLine="600" w:firstLineChars="250"/>
        <w:rPr>
          <w:rFonts w:ascii="仿宋" w:hAnsi="仿宋" w:eastAsia="仿宋" w:cs="仿宋"/>
          <w:sz w:val="24"/>
        </w:rPr>
      </w:pPr>
      <w:r>
        <w:rPr>
          <w:rFonts w:hint="eastAsia" w:ascii="仿宋" w:hAnsi="仿宋" w:eastAsia="仿宋" w:cs="仿宋"/>
          <w:sz w:val="24"/>
        </w:rPr>
        <w:t xml:space="preserve">我 </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的法定代表人，现授权委托本单位</w:t>
      </w:r>
      <w:r>
        <w:rPr>
          <w:rFonts w:hint="eastAsia" w:ascii="仿宋" w:hAnsi="仿宋" w:eastAsia="仿宋" w:cs="仿宋"/>
          <w:sz w:val="24"/>
          <w:u w:val="single"/>
        </w:rPr>
        <w:t xml:space="preserve"> （姓名）</w:t>
      </w:r>
      <w:r>
        <w:rPr>
          <w:rFonts w:hint="eastAsia" w:ascii="仿宋" w:hAnsi="仿宋" w:eastAsia="仿宋" w:cs="仿宋"/>
          <w:sz w:val="24"/>
        </w:rPr>
        <w:t>以我方的名义参加项目的招标活动，并代表我方全权办理针对上述项目的投标、签约等具体事务和签署相关文件。</w:t>
      </w:r>
    </w:p>
    <w:p>
      <w:pPr>
        <w:snapToGrid w:val="0"/>
        <w:spacing w:beforeLines="50" w:after="50" w:line="400" w:lineRule="exact"/>
        <w:rPr>
          <w:rFonts w:ascii="仿宋" w:hAnsi="仿宋" w:eastAsia="仿宋" w:cs="仿宋"/>
          <w:sz w:val="24"/>
        </w:rPr>
      </w:pPr>
      <w:r>
        <w:rPr>
          <w:rFonts w:hint="eastAsia" w:ascii="仿宋" w:hAnsi="仿宋" w:eastAsia="仿宋" w:cs="仿宋"/>
          <w:sz w:val="24"/>
        </w:rPr>
        <w:t xml:space="preserve">    我方对授权代理人的签名事项负全部责任。</w:t>
      </w:r>
    </w:p>
    <w:p>
      <w:pPr>
        <w:snapToGrid w:val="0"/>
        <w:spacing w:beforeLines="50" w:after="50" w:line="460" w:lineRule="exact"/>
        <w:ind w:firstLine="482"/>
        <w:rPr>
          <w:rFonts w:ascii="仿宋" w:hAnsi="仿宋" w:eastAsia="仿宋" w:cs="仿宋"/>
          <w:sz w:val="24"/>
        </w:rPr>
      </w:pPr>
      <w:r>
        <w:rPr>
          <w:rFonts w:hint="eastAsia" w:ascii="仿宋" w:hAnsi="仿宋" w:eastAsia="仿宋" w:cs="仿宋"/>
          <w:sz w:val="24"/>
        </w:rPr>
        <w:t>在撤销授权的书面通知以前，本授权书一直有效。授权代理人在授权书有效期内签署的所有文件不因授权的撤销而失效。</w:t>
      </w:r>
    </w:p>
    <w:p>
      <w:pPr>
        <w:snapToGrid w:val="0"/>
        <w:spacing w:beforeLines="50" w:after="50" w:line="400" w:lineRule="exact"/>
        <w:ind w:firstLine="480"/>
        <w:rPr>
          <w:rFonts w:ascii="仿宋" w:hAnsi="仿宋" w:eastAsia="仿宋" w:cs="仿宋"/>
          <w:sz w:val="24"/>
        </w:rPr>
      </w:pPr>
      <w:r>
        <w:rPr>
          <w:rFonts w:hint="eastAsia" w:ascii="仿宋" w:hAnsi="仿宋" w:eastAsia="仿宋" w:cs="仿宋"/>
          <w:sz w:val="24"/>
        </w:rPr>
        <w:t>授权代理人无转委托权，特此委托。</w:t>
      </w:r>
    </w:p>
    <w:p>
      <w:pPr>
        <w:snapToGrid w:val="0"/>
        <w:spacing w:beforeLines="50" w:after="50" w:line="400" w:lineRule="exact"/>
        <w:rPr>
          <w:rFonts w:ascii="仿宋" w:hAnsi="仿宋" w:eastAsia="仿宋" w:cs="仿宋"/>
          <w:sz w:val="24"/>
        </w:rPr>
      </w:pPr>
    </w:p>
    <w:p>
      <w:pPr>
        <w:snapToGrid w:val="0"/>
        <w:spacing w:beforeLines="50" w:after="50" w:line="400" w:lineRule="exact"/>
        <w:ind w:firstLine="480" w:firstLineChars="200"/>
        <w:rPr>
          <w:rFonts w:ascii="仿宋" w:hAnsi="仿宋" w:eastAsia="仿宋" w:cs="仿宋"/>
          <w:sz w:val="24"/>
          <w:u w:val="single"/>
        </w:rPr>
      </w:pPr>
      <w:r>
        <w:rPr>
          <w:rFonts w:hint="eastAsia" w:ascii="仿宋" w:hAnsi="仿宋" w:eastAsia="仿宋" w:cs="仿宋"/>
          <w:sz w:val="24"/>
        </w:rPr>
        <w:t>授权代理人签名：         法定代表人签名：</w:t>
      </w:r>
    </w:p>
    <w:p>
      <w:pPr>
        <w:snapToGrid w:val="0"/>
        <w:spacing w:beforeLines="50" w:after="50" w:line="400" w:lineRule="exact"/>
        <w:rPr>
          <w:rFonts w:ascii="仿宋" w:hAnsi="仿宋" w:eastAsia="仿宋" w:cs="仿宋"/>
          <w:sz w:val="24"/>
          <w:u w:val="single"/>
        </w:rPr>
      </w:pPr>
    </w:p>
    <w:p>
      <w:pPr>
        <w:snapToGrid w:val="0"/>
        <w:spacing w:beforeLines="50" w:after="50" w:line="400" w:lineRule="exact"/>
        <w:ind w:firstLine="480" w:firstLineChars="200"/>
        <w:rPr>
          <w:rFonts w:ascii="仿宋" w:hAnsi="仿宋" w:eastAsia="仿宋" w:cs="仿宋"/>
          <w:sz w:val="24"/>
          <w:u w:val="single"/>
        </w:rPr>
      </w:pPr>
      <w:r>
        <w:rPr>
          <w:rFonts w:hint="eastAsia" w:ascii="仿宋" w:hAnsi="仿宋" w:eastAsia="仿宋" w:cs="仿宋"/>
          <w:sz w:val="24"/>
        </w:rPr>
        <w:t>职务：                    职务：</w:t>
      </w:r>
    </w:p>
    <w:p>
      <w:pPr>
        <w:snapToGrid w:val="0"/>
        <w:spacing w:beforeLines="50" w:after="50" w:line="400" w:lineRule="exact"/>
        <w:ind w:firstLine="960" w:firstLineChars="400"/>
        <w:rPr>
          <w:rFonts w:ascii="仿宋" w:hAnsi="仿宋" w:eastAsia="仿宋" w:cs="仿宋"/>
          <w:sz w:val="24"/>
        </w:rPr>
      </w:pPr>
    </w:p>
    <w:p>
      <w:pPr>
        <w:snapToGrid w:val="0"/>
        <w:spacing w:beforeLines="50" w:after="50" w:line="400" w:lineRule="exact"/>
        <w:rPr>
          <w:rFonts w:ascii="仿宋" w:hAnsi="仿宋" w:eastAsia="仿宋" w:cs="仿宋"/>
          <w:sz w:val="24"/>
        </w:rPr>
      </w:pPr>
      <w:r>
        <w:rPr>
          <w:rFonts w:hint="eastAsia" w:ascii="仿宋" w:hAnsi="仿宋" w:eastAsia="仿宋" w:cs="仿宋"/>
          <w:sz w:val="24"/>
        </w:rPr>
        <w:t>授权代理人身份证号码：</w:t>
      </w:r>
    </w:p>
    <w:p>
      <w:pPr>
        <w:snapToGrid w:val="0"/>
        <w:spacing w:beforeLines="50" w:after="50" w:line="400" w:lineRule="exact"/>
        <w:rPr>
          <w:rFonts w:ascii="仿宋" w:hAnsi="仿宋" w:eastAsia="仿宋" w:cs="仿宋"/>
          <w:sz w:val="24"/>
        </w:rPr>
      </w:pPr>
    </w:p>
    <w:p>
      <w:pPr>
        <w:snapToGrid w:val="0"/>
        <w:spacing w:beforeLines="50" w:after="50" w:line="400" w:lineRule="exact"/>
        <w:rPr>
          <w:rFonts w:ascii="仿宋" w:hAnsi="仿宋" w:eastAsia="仿宋" w:cs="仿宋"/>
          <w:sz w:val="24"/>
        </w:rPr>
      </w:pPr>
      <w:r>
        <w:rPr>
          <w:rFonts w:hint="eastAsia" w:ascii="仿宋" w:hAnsi="仿宋" w:eastAsia="仿宋" w:cs="仿宋"/>
          <w:sz w:val="24"/>
        </w:rPr>
        <w:t xml:space="preserve">                                     投标人公章：</w:t>
      </w:r>
    </w:p>
    <w:p>
      <w:pPr>
        <w:snapToGrid w:val="0"/>
        <w:spacing w:beforeLines="50" w:after="50" w:line="400" w:lineRule="exact"/>
        <w:jc w:val="center"/>
        <w:rPr>
          <w:rFonts w:ascii="仿宋" w:hAnsi="仿宋" w:eastAsia="仿宋" w:cs="仿宋"/>
          <w:sz w:val="24"/>
        </w:rPr>
      </w:pPr>
      <w:r>
        <w:rPr>
          <w:rFonts w:hint="eastAsia" w:ascii="仿宋" w:hAnsi="仿宋" w:eastAsia="仿宋" w:cs="仿宋"/>
          <w:sz w:val="24"/>
        </w:rPr>
        <w:t xml:space="preserve">                                        年    月    日</w:t>
      </w:r>
    </w:p>
    <w:p>
      <w:pPr>
        <w:jc w:val="center"/>
        <w:rPr>
          <w:rFonts w:ascii="仿宋" w:hAnsi="仿宋" w:eastAsia="仿宋" w:cs="仿宋"/>
          <w:kern w:val="0"/>
          <w:sz w:val="24"/>
        </w:rPr>
      </w:pPr>
      <w:r>
        <w:rPr>
          <w:rFonts w:hint="eastAsia" w:ascii="仿宋" w:hAnsi="仿宋" w:eastAsia="仿宋" w:cs="仿宋"/>
          <w:kern w:val="0"/>
          <w:sz w:val="24"/>
        </w:rPr>
        <w:t>——————————————————————————————</w:t>
      </w:r>
    </w:p>
    <w:p>
      <w:pPr>
        <w:jc w:val="center"/>
        <w:rPr>
          <w:rFonts w:ascii="仿宋" w:hAnsi="仿宋" w:eastAsia="仿宋" w:cs="仿宋"/>
          <w:kern w:val="0"/>
          <w:sz w:val="24"/>
        </w:rPr>
      </w:pPr>
      <w:r>
        <w:rPr>
          <w:rFonts w:hint="eastAsia" w:ascii="仿宋" w:hAnsi="仿宋" w:eastAsia="仿宋" w:cs="仿宋"/>
          <w:kern w:val="0"/>
          <w:sz w:val="24"/>
        </w:rPr>
        <w:t>授权代理人有效身份证明复印件粘贴处</w:t>
      </w:r>
    </w:p>
    <w:p>
      <w:pPr>
        <w:jc w:val="center"/>
        <w:rPr>
          <w:rFonts w:ascii="仿宋" w:hAnsi="仿宋" w:eastAsia="仿宋" w:cs="仿宋"/>
          <w:kern w:val="0"/>
          <w:sz w:val="28"/>
          <w:szCs w:val="28"/>
        </w:rPr>
      </w:pPr>
    </w:p>
    <w:p>
      <w:pPr>
        <w:pStyle w:val="32"/>
        <w:rPr>
          <w:rFonts w:ascii="仿宋" w:hAnsi="仿宋" w:eastAsia="仿宋" w:cs="仿宋"/>
          <w:color w:val="auto"/>
        </w:rPr>
      </w:pPr>
    </w:p>
    <w:p>
      <w:pPr>
        <w:pStyle w:val="32"/>
        <w:rPr>
          <w:rFonts w:ascii="仿宋" w:hAnsi="仿宋" w:eastAsia="仿宋" w:cs="仿宋"/>
          <w:color w:val="auto"/>
        </w:rPr>
      </w:pPr>
    </w:p>
    <w:p>
      <w:pPr>
        <w:pStyle w:val="32"/>
        <w:rPr>
          <w:rFonts w:ascii="仿宋" w:hAnsi="仿宋" w:eastAsia="仿宋" w:cs="仿宋"/>
          <w:color w:val="auto"/>
        </w:rPr>
      </w:pPr>
    </w:p>
    <w:p>
      <w:pPr>
        <w:pStyle w:val="32"/>
        <w:rPr>
          <w:rFonts w:ascii="仿宋" w:hAnsi="仿宋" w:eastAsia="仿宋" w:cs="仿宋"/>
          <w:color w:val="auto"/>
        </w:rPr>
      </w:pPr>
    </w:p>
    <w:p>
      <w:pPr>
        <w:pStyle w:val="32"/>
        <w:rPr>
          <w:rFonts w:ascii="仿宋" w:hAnsi="仿宋" w:eastAsia="仿宋" w:cs="仿宋"/>
          <w:color w:val="auto"/>
        </w:rPr>
      </w:pPr>
    </w:p>
    <w:p>
      <w:pPr>
        <w:pStyle w:val="32"/>
        <w:rPr>
          <w:rFonts w:ascii="仿宋" w:hAnsi="仿宋" w:eastAsia="仿宋" w:cs="仿宋"/>
          <w:color w:val="auto"/>
        </w:rPr>
      </w:pPr>
    </w:p>
    <w:p>
      <w:pPr>
        <w:widowControl/>
        <w:jc w:val="left"/>
        <w:rPr>
          <w:rFonts w:ascii="仿宋" w:hAnsi="仿宋" w:eastAsia="仿宋" w:cs="仿宋"/>
        </w:rPr>
      </w:pPr>
      <w:r>
        <w:rPr>
          <w:rFonts w:ascii="仿宋" w:hAnsi="仿宋" w:eastAsia="仿宋" w:cs="仿宋"/>
        </w:rPr>
        <w:br w:type="page"/>
      </w:r>
    </w:p>
    <w:p>
      <w:pPr>
        <w:snapToGrid w:val="0"/>
        <w:spacing w:line="560" w:lineRule="exact"/>
        <w:jc w:val="center"/>
        <w:rPr>
          <w:rFonts w:ascii="仿宋" w:hAnsi="仿宋" w:eastAsia="仿宋" w:cs="仿宋"/>
          <w:b/>
          <w:sz w:val="28"/>
          <w:szCs w:val="28"/>
        </w:rPr>
      </w:pPr>
      <w:r>
        <w:rPr>
          <w:rFonts w:hint="eastAsia" w:ascii="仿宋" w:hAnsi="仿宋" w:eastAsia="仿宋" w:cs="仿宋"/>
          <w:b/>
          <w:sz w:val="28"/>
          <w:szCs w:val="28"/>
        </w:rPr>
        <w:t>三、授权代理人最近三个月中任意一个月个人社保缴纳证明文件；（资格审查条款）</w:t>
      </w: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tabs>
          <w:tab w:val="left" w:pos="2996"/>
        </w:tabs>
        <w:spacing w:line="600" w:lineRule="exact"/>
        <w:ind w:right="480"/>
        <w:rPr>
          <w:rFonts w:ascii="仿宋" w:hAnsi="仿宋" w:eastAsia="仿宋" w:cs="仿宋"/>
          <w:sz w:val="24"/>
        </w:rPr>
      </w:pPr>
    </w:p>
    <w:p>
      <w:pPr>
        <w:tabs>
          <w:tab w:val="left" w:pos="2996"/>
        </w:tabs>
        <w:spacing w:line="600" w:lineRule="exact"/>
        <w:ind w:right="480"/>
        <w:rPr>
          <w:rFonts w:ascii="仿宋" w:hAnsi="仿宋" w:eastAsia="仿宋" w:cs="仿宋"/>
          <w:sz w:val="24"/>
        </w:rPr>
      </w:pP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pPr>
        <w:tabs>
          <w:tab w:val="left" w:pos="2996"/>
        </w:tabs>
        <w:spacing w:line="600" w:lineRule="exact"/>
        <w:ind w:right="480"/>
        <w:rPr>
          <w:rFonts w:ascii="仿宋" w:hAnsi="仿宋" w:eastAsia="仿宋" w:cs="仿宋"/>
          <w:sz w:val="24"/>
        </w:rPr>
      </w:pPr>
      <w:r>
        <w:rPr>
          <w:rFonts w:ascii="仿宋" w:hAnsi="仿宋" w:eastAsia="仿宋" w:cs="仿宋"/>
          <w:b/>
          <w:sz w:val="28"/>
          <w:szCs w:val="28"/>
        </w:rPr>
        <w:br w:type="page"/>
      </w:r>
    </w:p>
    <w:p>
      <w:pPr>
        <w:snapToGrid w:val="0"/>
        <w:spacing w:line="560" w:lineRule="exact"/>
        <w:jc w:val="center"/>
        <w:outlineLvl w:val="1"/>
        <w:rPr>
          <w:rFonts w:ascii="仿宋" w:hAnsi="仿宋" w:eastAsia="仿宋" w:cs="仿宋"/>
          <w:b/>
          <w:sz w:val="28"/>
          <w:szCs w:val="28"/>
        </w:rPr>
      </w:pPr>
      <w:bookmarkStart w:id="72" w:name="_Toc19263"/>
      <w:r>
        <w:rPr>
          <w:rFonts w:hint="eastAsia" w:ascii="仿宋" w:hAnsi="仿宋" w:eastAsia="仿宋" w:cs="仿宋"/>
          <w:b/>
          <w:sz w:val="28"/>
          <w:szCs w:val="28"/>
        </w:rPr>
        <w:t>四、资格承诺书</w:t>
      </w:r>
      <w:bookmarkEnd w:id="72"/>
    </w:p>
    <w:p>
      <w:pPr>
        <w:snapToGrid w:val="0"/>
        <w:spacing w:line="560" w:lineRule="exact"/>
        <w:jc w:val="center"/>
        <w:rPr>
          <w:rFonts w:ascii="仿宋" w:hAnsi="仿宋" w:eastAsia="仿宋" w:cs="仿宋"/>
          <w:b/>
          <w:sz w:val="28"/>
          <w:szCs w:val="28"/>
        </w:rPr>
      </w:pPr>
    </w:p>
    <w:p>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pPr>
        <w:tabs>
          <w:tab w:val="left" w:pos="1650"/>
        </w:tabs>
        <w:jc w:val="left"/>
        <w:rPr>
          <w:rFonts w:ascii="仿宋" w:hAnsi="仿宋" w:eastAsia="仿宋" w:cs="仿宋"/>
          <w:sz w:val="24"/>
          <w:u w:val="single"/>
        </w:rPr>
      </w:pPr>
    </w:p>
    <w:p>
      <w:pPr>
        <w:pStyle w:val="6"/>
        <w:ind w:firstLine="480" w:firstLineChars="200"/>
        <w:rPr>
          <w:rFonts w:ascii="仿宋" w:hAnsi="仿宋" w:eastAsia="仿宋" w:cs="仿宋"/>
        </w:rPr>
      </w:pPr>
      <w:r>
        <w:rPr>
          <w:rFonts w:hint="eastAsia" w:ascii="仿宋" w:hAnsi="仿宋" w:eastAsia="仿宋" w:cs="仿宋"/>
        </w:rPr>
        <w:t>1、符合参与政府采购活动的资格条件（符合《中华人民共和国政府采购法》第二十二条规定和浙财采监【2013】24号《关于规范政府采购响应人资格设定及资格审查的通知》第六条规定，且未被“信用中国”（www.creditchina.gov.cn）、“中国政府采购网”（www.ccgp.gov.cn）列入失信被执行人、重大税收违法案件当事人名单、政府采购严重违法失信行为记录名单）。</w:t>
      </w:r>
    </w:p>
    <w:p>
      <w:pPr>
        <w:pStyle w:val="6"/>
        <w:ind w:firstLine="480" w:firstLineChars="200"/>
        <w:outlineLvl w:val="1"/>
        <w:rPr>
          <w:rFonts w:ascii="仿宋" w:hAnsi="仿宋" w:eastAsia="仿宋" w:cs="仿宋"/>
        </w:rPr>
      </w:pPr>
      <w:bookmarkStart w:id="73" w:name="_Toc242"/>
      <w:r>
        <w:rPr>
          <w:rFonts w:hint="eastAsia" w:ascii="仿宋" w:hAnsi="仿宋" w:eastAsia="仿宋" w:cs="仿宋"/>
        </w:rPr>
        <w:t>2、没有税收缴纳、社会保障等方面的失信记录。</w:t>
      </w:r>
      <w:bookmarkEnd w:id="73"/>
    </w:p>
    <w:p>
      <w:pPr>
        <w:pStyle w:val="6"/>
        <w:rPr>
          <w:rFonts w:ascii="仿宋" w:hAnsi="仿宋" w:eastAsia="仿宋" w:cs="仿宋"/>
        </w:rPr>
      </w:pPr>
    </w:p>
    <w:p>
      <w:pPr>
        <w:pStyle w:val="6"/>
        <w:rPr>
          <w:rFonts w:ascii="仿宋" w:hAnsi="仿宋" w:eastAsia="仿宋" w:cs="仿宋"/>
          <w:b/>
          <w:sz w:val="28"/>
          <w:szCs w:val="28"/>
        </w:rPr>
      </w:pPr>
      <w:r>
        <w:rPr>
          <w:rFonts w:hint="eastAsia" w:ascii="仿宋" w:hAnsi="仿宋" w:eastAsia="仿宋" w:cs="仿宋"/>
        </w:rPr>
        <w:t>若违背以上承诺的，我单位愿意承担相应法律后果和责任，不再寻求任何旨在减轻或免除法律责任的辩解，并依法列入严重失信名单。</w:t>
      </w:r>
    </w:p>
    <w:p>
      <w:pPr>
        <w:pStyle w:val="34"/>
        <w:spacing w:before="0" w:beforeAutospacing="0" w:after="0" w:afterAutospacing="0" w:line="560" w:lineRule="exact"/>
        <w:ind w:firstLine="5160" w:firstLineChars="2150"/>
        <w:rPr>
          <w:rFonts w:ascii="仿宋" w:hAnsi="仿宋" w:eastAsia="仿宋" w:cs="仿宋"/>
          <w:kern w:val="2"/>
        </w:rPr>
      </w:pPr>
    </w:p>
    <w:p>
      <w:pPr>
        <w:pStyle w:val="34"/>
        <w:spacing w:before="0" w:beforeAutospacing="0" w:after="0" w:afterAutospacing="0" w:line="560" w:lineRule="exact"/>
        <w:ind w:firstLine="5160" w:firstLineChars="2150"/>
        <w:rPr>
          <w:rFonts w:ascii="仿宋" w:hAnsi="仿宋" w:eastAsia="仿宋" w:cs="仿宋"/>
          <w:kern w:val="2"/>
        </w:rPr>
      </w:pPr>
      <w:r>
        <w:rPr>
          <w:rFonts w:hint="eastAsia" w:ascii="仿宋" w:hAnsi="仿宋" w:eastAsia="仿宋" w:cs="仿宋"/>
          <w:kern w:val="2"/>
        </w:rPr>
        <w:t>承诺单位/个人（盖章/签名）</w:t>
      </w:r>
    </w:p>
    <w:p>
      <w:pPr>
        <w:spacing w:line="560" w:lineRule="exact"/>
        <w:rPr>
          <w:rFonts w:ascii="仿宋" w:hAnsi="仿宋" w:eastAsia="仿宋" w:cs="仿宋"/>
          <w:sz w:val="24"/>
        </w:rPr>
      </w:pPr>
      <w:r>
        <w:rPr>
          <w:rFonts w:hint="eastAsia" w:ascii="仿宋" w:hAnsi="仿宋" w:eastAsia="仿宋" w:cs="仿宋"/>
          <w:sz w:val="24"/>
        </w:rPr>
        <w:t xml:space="preserve"> 时间：20**年*月*日</w:t>
      </w:r>
    </w:p>
    <w:p>
      <w:pPr>
        <w:snapToGrid w:val="0"/>
        <w:spacing w:line="560" w:lineRule="exact"/>
        <w:rPr>
          <w:rFonts w:ascii="仿宋" w:hAnsi="仿宋" w:eastAsia="仿宋" w:cs="仿宋"/>
          <w:b/>
          <w:sz w:val="28"/>
          <w:szCs w:val="28"/>
        </w:rPr>
      </w:pPr>
    </w:p>
    <w:p>
      <w:pPr>
        <w:widowControl/>
        <w:jc w:val="left"/>
        <w:rPr>
          <w:rFonts w:ascii="仿宋" w:hAnsi="仿宋" w:eastAsia="仿宋" w:cs="仿宋"/>
          <w:b/>
          <w:sz w:val="28"/>
          <w:szCs w:val="28"/>
        </w:rPr>
      </w:pPr>
      <w:r>
        <w:rPr>
          <w:rFonts w:ascii="仿宋" w:hAnsi="仿宋" w:eastAsia="仿宋" w:cs="仿宋"/>
          <w:b/>
          <w:sz w:val="28"/>
          <w:szCs w:val="28"/>
        </w:rPr>
        <w:br w:type="page"/>
      </w:r>
    </w:p>
    <w:p>
      <w:pPr>
        <w:pStyle w:val="12"/>
        <w:ind w:firstLine="2797" w:firstLineChars="995"/>
        <w:outlineLvl w:val="1"/>
        <w:rPr>
          <w:rFonts w:ascii="仿宋" w:hAnsi="仿宋" w:eastAsia="仿宋" w:cs="仿宋"/>
          <w:b/>
          <w:sz w:val="28"/>
          <w:szCs w:val="28"/>
        </w:rPr>
      </w:pPr>
      <w:bookmarkStart w:id="74" w:name="_Toc21238"/>
      <w:r>
        <w:rPr>
          <w:rFonts w:hint="eastAsia" w:ascii="仿宋" w:hAnsi="仿宋" w:eastAsia="仿宋" w:cs="仿宋"/>
          <w:b/>
          <w:sz w:val="28"/>
          <w:szCs w:val="28"/>
        </w:rPr>
        <w:t>五、信用承诺书</w:t>
      </w:r>
      <w:bookmarkEnd w:id="74"/>
    </w:p>
    <w:p>
      <w:pPr>
        <w:pStyle w:val="12"/>
        <w:ind w:firstLine="562"/>
        <w:jc w:val="center"/>
        <w:rPr>
          <w:rFonts w:ascii="仿宋" w:hAnsi="仿宋" w:eastAsia="仿宋" w:cs="仿宋"/>
          <w:b/>
          <w:bCs/>
          <w:sz w:val="28"/>
          <w:szCs w:val="28"/>
        </w:rPr>
      </w:pPr>
    </w:p>
    <w:p>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pStyle w:val="34"/>
        <w:spacing w:before="0" w:beforeAutospacing="0" w:after="0" w:afterAutospacing="0" w:line="56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pPr>
        <w:pStyle w:val="34"/>
        <w:spacing w:before="0" w:beforeAutospacing="0" w:after="0" w:afterAutospacing="0" w:line="560" w:lineRule="exact"/>
        <w:rPr>
          <w:rFonts w:ascii="仿宋" w:hAnsi="仿宋" w:eastAsia="仿宋" w:cs="仿宋"/>
        </w:rPr>
      </w:pPr>
    </w:p>
    <w:p>
      <w:pPr>
        <w:pStyle w:val="34"/>
        <w:spacing w:before="0" w:beforeAutospacing="0" w:after="0" w:afterAutospacing="0" w:line="56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pPr>
        <w:spacing w:line="560" w:lineRule="exact"/>
        <w:jc w:val="right"/>
        <w:rPr>
          <w:rFonts w:ascii="仿宋" w:hAnsi="仿宋" w:eastAsia="仿宋" w:cs="仿宋"/>
          <w:sz w:val="24"/>
        </w:rPr>
      </w:pPr>
      <w:r>
        <w:rPr>
          <w:rFonts w:hint="eastAsia" w:ascii="仿宋" w:hAnsi="仿宋" w:eastAsia="仿宋" w:cs="仿宋"/>
          <w:sz w:val="24"/>
        </w:rPr>
        <w:t xml:space="preserve">                               时间：20**年*月*日</w:t>
      </w:r>
    </w:p>
    <w:p>
      <w:pPr>
        <w:widowControl/>
        <w:jc w:val="left"/>
        <w:rPr>
          <w:rFonts w:ascii="仿宋" w:hAnsi="仿宋" w:eastAsia="仿宋" w:cs="仿宋"/>
          <w:b/>
          <w:bCs/>
          <w:sz w:val="28"/>
          <w:szCs w:val="28"/>
        </w:rPr>
      </w:pPr>
      <w:r>
        <w:rPr>
          <w:rFonts w:ascii="仿宋" w:hAnsi="仿宋" w:eastAsia="仿宋" w:cs="仿宋"/>
          <w:b/>
          <w:bCs/>
          <w:sz w:val="28"/>
          <w:szCs w:val="28"/>
        </w:rPr>
        <w:br w:type="page"/>
      </w:r>
    </w:p>
    <w:p>
      <w:pPr>
        <w:numPr>
          <w:ilvl w:val="0"/>
          <w:numId w:val="8"/>
        </w:numPr>
        <w:spacing w:line="360" w:lineRule="auto"/>
        <w:jc w:val="lef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企业资质证书【市政公用工程施工总承包三级及以上资质（浙江省外企业须提供有效的进浙备案证明）、具备完成地下管道检测修复服务的能力(提供相应的证书或证明材料并加盖公章)】</w:t>
      </w:r>
    </w:p>
    <w:p>
      <w:pPr>
        <w:rPr>
          <w:rFonts w:ascii="仿宋" w:hAnsi="仿宋" w:eastAsia="仿宋" w:cs="仿宋"/>
          <w:b/>
          <w:bCs/>
          <w:sz w:val="28"/>
          <w:szCs w:val="28"/>
        </w:rPr>
      </w:pPr>
      <w:r>
        <w:rPr>
          <w:rFonts w:hint="eastAsia" w:ascii="仿宋" w:hAnsi="仿宋" w:eastAsia="仿宋" w:cs="仿宋"/>
          <w:b/>
          <w:bCs/>
          <w:sz w:val="28"/>
          <w:szCs w:val="28"/>
        </w:rPr>
        <w:br w:type="page"/>
      </w:r>
    </w:p>
    <w:p>
      <w:pPr>
        <w:spacing w:line="360" w:lineRule="auto"/>
        <w:jc w:val="center"/>
        <w:outlineLvl w:val="1"/>
        <w:rPr>
          <w:rFonts w:ascii="仿宋" w:hAnsi="仿宋" w:eastAsia="仿宋" w:cs="仿宋"/>
          <w:b/>
          <w:bCs/>
          <w:sz w:val="28"/>
          <w:szCs w:val="28"/>
        </w:rPr>
      </w:pPr>
      <w:bookmarkStart w:id="75" w:name="_Toc18010"/>
      <w:r>
        <w:rPr>
          <w:rFonts w:hint="eastAsia" w:ascii="仿宋" w:hAnsi="仿宋" w:eastAsia="仿宋" w:cs="仿宋"/>
          <w:b/>
          <w:bCs/>
          <w:sz w:val="28"/>
          <w:szCs w:val="28"/>
        </w:rPr>
        <w:t>七、联合体协议（如为联合体需提供）</w:t>
      </w:r>
    </w:p>
    <w:p>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格式自拟</w:t>
      </w:r>
    </w:p>
    <w:p>
      <w:pPr>
        <w:rPr>
          <w:rFonts w:ascii="仿宋" w:hAnsi="仿宋" w:eastAsia="仿宋" w:cs="仿宋"/>
          <w:b/>
          <w:bCs/>
          <w:sz w:val="28"/>
          <w:szCs w:val="28"/>
        </w:rPr>
      </w:pPr>
      <w:r>
        <w:rPr>
          <w:rFonts w:hint="eastAsia" w:ascii="仿宋" w:hAnsi="仿宋" w:eastAsia="仿宋" w:cs="仿宋"/>
          <w:b/>
          <w:bCs/>
          <w:sz w:val="28"/>
          <w:szCs w:val="28"/>
        </w:rPr>
        <w:br w:type="page"/>
      </w:r>
    </w:p>
    <w:p>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八、中小企业声明函（工程、 服务）</w:t>
      </w:r>
      <w:bookmarkEnd w:id="75"/>
    </w:p>
    <w:p>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pPr>
        <w:snapToGrid w:val="0"/>
        <w:spacing w:before="50" w:after="50" w:line="360" w:lineRule="auto"/>
        <w:jc w:val="center"/>
        <w:rPr>
          <w:rFonts w:ascii="仿宋" w:hAnsi="仿宋" w:eastAsia="仿宋" w:cs="仿宋"/>
          <w:b/>
          <w:sz w:val="28"/>
          <w:szCs w:val="28"/>
        </w:rPr>
      </w:pPr>
    </w:p>
    <w:p>
      <w:pPr>
        <w:widowControl/>
        <w:jc w:val="left"/>
        <w:rPr>
          <w:rFonts w:ascii="仿宋" w:hAnsi="仿宋" w:eastAsia="仿宋" w:cs="仿宋"/>
          <w:b/>
          <w:sz w:val="28"/>
          <w:szCs w:val="28"/>
        </w:rPr>
      </w:pPr>
      <w:r>
        <w:rPr>
          <w:rFonts w:ascii="仿宋" w:hAnsi="仿宋" w:eastAsia="仿宋" w:cs="仿宋"/>
          <w:b/>
          <w:sz w:val="28"/>
          <w:szCs w:val="28"/>
        </w:rPr>
        <w:br w:type="page"/>
      </w:r>
    </w:p>
    <w:p>
      <w:pPr>
        <w:snapToGrid w:val="0"/>
        <w:spacing w:before="50" w:after="50" w:line="360" w:lineRule="auto"/>
        <w:jc w:val="center"/>
        <w:outlineLvl w:val="1"/>
        <w:rPr>
          <w:rFonts w:ascii="仿宋" w:hAnsi="仿宋" w:eastAsia="仿宋" w:cs="仿宋"/>
          <w:b/>
          <w:sz w:val="28"/>
          <w:szCs w:val="28"/>
        </w:rPr>
      </w:pPr>
      <w:bookmarkStart w:id="76" w:name="_Toc6611"/>
      <w:r>
        <w:rPr>
          <w:rFonts w:hint="eastAsia" w:ascii="仿宋" w:hAnsi="仿宋" w:eastAsia="仿宋" w:cs="仿宋"/>
          <w:b/>
          <w:sz w:val="28"/>
          <w:szCs w:val="28"/>
        </w:rPr>
        <w:t>九、监狱企业声明函（如有）</w:t>
      </w:r>
      <w:bookmarkEnd w:id="76"/>
    </w:p>
    <w:p>
      <w:pPr>
        <w:pStyle w:val="32"/>
        <w:spacing w:line="460" w:lineRule="exact"/>
        <w:jc w:val="center"/>
        <w:rPr>
          <w:rFonts w:ascii="仿宋" w:hAnsi="仿宋" w:eastAsia="仿宋" w:cs="仿宋"/>
          <w:color w:val="auto"/>
        </w:rPr>
      </w:pPr>
      <w:r>
        <w:rPr>
          <w:rFonts w:hint="eastAsia" w:ascii="仿宋" w:hAnsi="仿宋" w:eastAsia="仿宋" w:cs="仿宋"/>
          <w:color w:val="auto"/>
        </w:rPr>
        <w:t>【非监狱企业的不用提供】</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本企业郑重声明，根据《关于政府采购支持监狱企业发展有关问题的通知》(财库[2014]68号）的规定，本企业为监狱企业。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根据上述标准，我企业属于监狱企业的理由为: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本企业为参加</w:t>
      </w:r>
      <w:r>
        <w:rPr>
          <w:rFonts w:hint="eastAsia" w:ascii="仿宋" w:hAnsi="仿宋" w:eastAsia="仿宋" w:cs="仿宋"/>
          <w:color w:val="auto"/>
          <w:u w:val="single"/>
        </w:rPr>
        <w:t>(项目名称: ) (项目编号: )</w:t>
      </w:r>
      <w:r>
        <w:rPr>
          <w:rFonts w:hint="eastAsia" w:ascii="仿宋" w:hAnsi="仿宋" w:eastAsia="仿宋" w:cs="仿宋"/>
          <w:color w:val="auto"/>
        </w:rPr>
        <w:t xml:space="preserve">采购活动提供本企业的产品。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本企业对上述声明的真实性负责。如有虚假，将依法承担相应责任。 </w:t>
      </w:r>
    </w:p>
    <w:p>
      <w:pPr>
        <w:pStyle w:val="32"/>
        <w:spacing w:line="460" w:lineRule="exact"/>
        <w:ind w:firstLine="480" w:firstLineChars="200"/>
        <w:rPr>
          <w:rFonts w:ascii="仿宋" w:hAnsi="仿宋" w:eastAsia="仿宋" w:cs="仿宋"/>
          <w:color w:val="auto"/>
        </w:rPr>
      </w:pPr>
    </w:p>
    <w:p>
      <w:pPr>
        <w:pStyle w:val="32"/>
        <w:spacing w:line="460" w:lineRule="exact"/>
        <w:ind w:firstLine="480" w:firstLineChars="200"/>
        <w:rPr>
          <w:rFonts w:ascii="仿宋" w:hAnsi="仿宋" w:eastAsia="仿宋" w:cs="仿宋"/>
          <w:color w:val="auto"/>
        </w:rPr>
      </w:pPr>
    </w:p>
    <w:p>
      <w:pPr>
        <w:pStyle w:val="32"/>
        <w:spacing w:line="460" w:lineRule="exact"/>
        <w:rPr>
          <w:rFonts w:ascii="仿宋" w:hAnsi="仿宋" w:eastAsia="仿宋" w:cs="仿宋"/>
          <w:color w:val="auto"/>
        </w:rPr>
      </w:pPr>
      <w:r>
        <w:rPr>
          <w:rFonts w:hint="eastAsia" w:ascii="仿宋" w:hAnsi="仿宋" w:eastAsia="仿宋" w:cs="仿宋"/>
          <w:color w:val="auto"/>
        </w:rPr>
        <w:t xml:space="preserve">投标人名称(盖章) : </w:t>
      </w:r>
    </w:p>
    <w:p>
      <w:pPr>
        <w:pStyle w:val="32"/>
        <w:spacing w:line="460" w:lineRule="exact"/>
        <w:rPr>
          <w:rFonts w:ascii="仿宋" w:hAnsi="仿宋" w:eastAsia="仿宋" w:cs="仿宋"/>
          <w:color w:val="auto"/>
        </w:rPr>
      </w:pPr>
    </w:p>
    <w:p>
      <w:pPr>
        <w:pStyle w:val="32"/>
        <w:spacing w:line="460" w:lineRule="exact"/>
        <w:rPr>
          <w:rFonts w:ascii="仿宋" w:hAnsi="仿宋" w:eastAsia="仿宋" w:cs="仿宋"/>
          <w:color w:val="auto"/>
        </w:rPr>
      </w:pPr>
      <w:r>
        <w:rPr>
          <w:rFonts w:hint="eastAsia" w:ascii="仿宋" w:hAnsi="仿宋" w:eastAsia="仿宋" w:cs="仿宋"/>
          <w:color w:val="auto"/>
        </w:rPr>
        <w:t xml:space="preserve">日期: 年 月 日 </w:t>
      </w:r>
    </w:p>
    <w:p>
      <w:pPr>
        <w:pStyle w:val="32"/>
        <w:spacing w:line="460" w:lineRule="exact"/>
        <w:rPr>
          <w:rFonts w:ascii="仿宋" w:hAnsi="仿宋" w:eastAsia="仿宋" w:cs="仿宋"/>
          <w:color w:val="auto"/>
        </w:rPr>
      </w:pPr>
    </w:p>
    <w:p>
      <w:pPr>
        <w:snapToGrid w:val="0"/>
        <w:spacing w:beforeLines="50" w:after="50" w:line="460" w:lineRule="exact"/>
        <w:ind w:firstLine="480" w:firstLineChars="200"/>
        <w:jc w:val="left"/>
        <w:rPr>
          <w:rFonts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napToGrid w:val="0"/>
        <w:spacing w:beforeLines="50" w:after="50" w:line="460" w:lineRule="exact"/>
        <w:ind w:firstLine="480" w:firstLineChars="200"/>
        <w:jc w:val="left"/>
        <w:rPr>
          <w:rFonts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2"/>
        <w:spacing w:line="460" w:lineRule="exact"/>
        <w:rPr>
          <w:rFonts w:ascii="仿宋" w:hAnsi="仿宋" w:eastAsia="仿宋" w:cs="仿宋"/>
          <w:color w:val="auto"/>
        </w:rPr>
      </w:pPr>
    </w:p>
    <w:p>
      <w:pPr>
        <w:widowControl/>
        <w:jc w:val="left"/>
        <w:rPr>
          <w:rFonts w:ascii="仿宋" w:hAnsi="仿宋" w:eastAsia="仿宋" w:cs="仿宋"/>
          <w:b/>
          <w:sz w:val="28"/>
          <w:szCs w:val="28"/>
        </w:rPr>
      </w:pPr>
      <w:r>
        <w:rPr>
          <w:rFonts w:ascii="仿宋" w:hAnsi="仿宋" w:eastAsia="仿宋" w:cs="仿宋"/>
          <w:b/>
          <w:sz w:val="28"/>
          <w:szCs w:val="28"/>
        </w:rPr>
        <w:br w:type="page"/>
      </w:r>
    </w:p>
    <w:p>
      <w:pPr>
        <w:snapToGrid w:val="0"/>
        <w:spacing w:before="50" w:after="50" w:line="360" w:lineRule="auto"/>
        <w:jc w:val="center"/>
        <w:outlineLvl w:val="1"/>
        <w:rPr>
          <w:rFonts w:ascii="仿宋" w:hAnsi="仿宋" w:eastAsia="仿宋" w:cs="仿宋"/>
          <w:b/>
          <w:sz w:val="28"/>
          <w:szCs w:val="28"/>
        </w:rPr>
      </w:pPr>
      <w:bookmarkStart w:id="77" w:name="_Toc16119"/>
      <w:r>
        <w:rPr>
          <w:rFonts w:hint="eastAsia" w:ascii="仿宋" w:hAnsi="仿宋" w:eastAsia="仿宋" w:cs="仿宋"/>
          <w:b/>
          <w:sz w:val="28"/>
          <w:szCs w:val="28"/>
        </w:rPr>
        <w:t>十、残疾人福利性单位声明函（如有）</w:t>
      </w:r>
      <w:bookmarkEnd w:id="77"/>
    </w:p>
    <w:p>
      <w:pPr>
        <w:pStyle w:val="32"/>
        <w:spacing w:line="460" w:lineRule="exact"/>
        <w:jc w:val="center"/>
        <w:rPr>
          <w:rFonts w:ascii="仿宋" w:hAnsi="仿宋" w:eastAsia="仿宋" w:cs="仿宋"/>
          <w:color w:val="auto"/>
        </w:rPr>
      </w:pPr>
      <w:r>
        <w:rPr>
          <w:rFonts w:hint="eastAsia" w:ascii="仿宋" w:hAnsi="仿宋" w:eastAsia="仿宋" w:cs="仿宋"/>
          <w:color w:val="auto"/>
        </w:rPr>
        <w:t>【非残疾人福利性单位不用提供】</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u w:val="single"/>
        </w:rPr>
        <w:t xml:space="preserve"> (采购人名称)</w:t>
      </w:r>
      <w:r>
        <w:rPr>
          <w:rFonts w:hint="eastAsia" w:ascii="仿宋" w:hAnsi="仿宋" w:eastAsia="仿宋" w:cs="仿宋"/>
          <w:color w:val="auto"/>
        </w:rPr>
        <w:t>单位的</w:t>
      </w:r>
      <w:r>
        <w:rPr>
          <w:rFonts w:hint="eastAsia" w:ascii="仿宋" w:hAnsi="仿宋" w:eastAsia="仿宋" w:cs="仿宋"/>
          <w:color w:val="auto"/>
          <w:u w:val="single"/>
        </w:rPr>
        <w:t xml:space="preserve"> (项目名称)</w:t>
      </w:r>
      <w:r>
        <w:rPr>
          <w:rFonts w:hint="eastAsia" w:ascii="仿宋" w:hAnsi="仿宋" w:eastAsia="仿宋" w:cs="仿宋"/>
          <w:color w:val="auto"/>
        </w:rPr>
        <w:t xml:space="preserve">项目采购活动提供本单位制造的货物(由本单位承担工程/提供服务)，成者提供其他残疾人福利性单位制造的货物(不包括使用非残疾人福利性单位往册商标的货物)。 </w:t>
      </w:r>
    </w:p>
    <w:p>
      <w:pPr>
        <w:pStyle w:val="32"/>
        <w:spacing w:line="460" w:lineRule="exact"/>
        <w:ind w:firstLine="480" w:firstLineChars="200"/>
        <w:rPr>
          <w:rFonts w:ascii="仿宋" w:hAnsi="仿宋" w:eastAsia="仿宋" w:cs="仿宋"/>
          <w:color w:val="auto"/>
        </w:rPr>
      </w:pPr>
      <w:r>
        <w:rPr>
          <w:rFonts w:hint="eastAsia" w:ascii="仿宋" w:hAnsi="仿宋" w:eastAsia="仿宋" w:cs="仿宋"/>
          <w:color w:val="auto"/>
        </w:rPr>
        <w:t xml:space="preserve">本单位对上述声明的真实性负责，如有虚假，将依法承但相应责任。 </w:t>
      </w:r>
    </w:p>
    <w:p>
      <w:pPr>
        <w:pStyle w:val="32"/>
        <w:spacing w:line="460" w:lineRule="exact"/>
        <w:ind w:firstLine="480" w:firstLineChars="200"/>
        <w:rPr>
          <w:rFonts w:ascii="仿宋" w:hAnsi="仿宋" w:eastAsia="仿宋" w:cs="仿宋"/>
          <w:color w:val="auto"/>
        </w:rPr>
      </w:pPr>
    </w:p>
    <w:p>
      <w:pPr>
        <w:pStyle w:val="32"/>
        <w:spacing w:line="460" w:lineRule="exact"/>
        <w:rPr>
          <w:rFonts w:ascii="仿宋" w:hAnsi="仿宋" w:eastAsia="仿宋" w:cs="仿宋"/>
          <w:color w:val="auto"/>
        </w:rPr>
      </w:pPr>
      <w:r>
        <w:rPr>
          <w:rFonts w:hint="eastAsia" w:ascii="仿宋" w:hAnsi="仿宋" w:eastAsia="仿宋" w:cs="仿宋"/>
          <w:color w:val="auto"/>
        </w:rPr>
        <w:t xml:space="preserve">投标人名称(盖章)： </w:t>
      </w:r>
    </w:p>
    <w:p>
      <w:pPr>
        <w:pStyle w:val="32"/>
        <w:spacing w:line="460" w:lineRule="exact"/>
        <w:rPr>
          <w:rFonts w:ascii="仿宋" w:hAnsi="仿宋" w:eastAsia="仿宋" w:cs="仿宋"/>
          <w:color w:val="auto"/>
        </w:rPr>
      </w:pPr>
    </w:p>
    <w:p>
      <w:pPr>
        <w:snapToGrid w:val="0"/>
        <w:spacing w:beforeLines="50" w:after="50" w:line="460" w:lineRule="exact"/>
        <w:jc w:val="left"/>
        <w:rPr>
          <w:rFonts w:ascii="仿宋" w:hAnsi="仿宋" w:eastAsia="仿宋" w:cs="仿宋"/>
          <w:sz w:val="24"/>
        </w:rPr>
      </w:pPr>
      <w:r>
        <w:rPr>
          <w:rFonts w:hint="eastAsia" w:ascii="仿宋" w:hAnsi="仿宋" w:eastAsia="仿宋" w:cs="仿宋"/>
          <w:sz w:val="24"/>
        </w:rPr>
        <w:t>日期： 年 月 日</w:t>
      </w:r>
    </w:p>
    <w:p>
      <w:pPr>
        <w:pStyle w:val="32"/>
        <w:spacing w:line="460" w:lineRule="exact"/>
        <w:jc w:val="center"/>
        <w:rPr>
          <w:rFonts w:ascii="仿宋" w:hAnsi="仿宋" w:eastAsia="仿宋" w:cs="仿宋"/>
          <w:b/>
          <w:bCs/>
          <w:color w:val="auto"/>
        </w:rPr>
      </w:pPr>
    </w:p>
    <w:p>
      <w:pPr>
        <w:widowControl/>
        <w:jc w:val="left"/>
        <w:rPr>
          <w:rFonts w:ascii="仿宋" w:hAnsi="仿宋" w:eastAsia="仿宋" w:cs="仿宋"/>
          <w:b/>
          <w:bCs/>
          <w:kern w:val="0"/>
          <w:sz w:val="24"/>
        </w:rPr>
      </w:pPr>
      <w:r>
        <w:rPr>
          <w:rFonts w:ascii="仿宋" w:hAnsi="仿宋" w:eastAsia="仿宋" w:cs="仿宋"/>
          <w:b/>
          <w:bCs/>
        </w:rPr>
        <w:br w:type="page"/>
      </w:r>
    </w:p>
    <w:p>
      <w:pPr>
        <w:pStyle w:val="32"/>
        <w:spacing w:line="460" w:lineRule="exact"/>
        <w:jc w:val="center"/>
        <w:outlineLvl w:val="0"/>
        <w:rPr>
          <w:rFonts w:ascii="仿宋" w:hAnsi="仿宋" w:eastAsia="仿宋" w:cs="仿宋"/>
          <w:color w:val="auto"/>
        </w:rPr>
      </w:pPr>
      <w:bookmarkStart w:id="78" w:name="_Toc19155"/>
      <w:bookmarkStart w:id="79" w:name="_Toc10370"/>
      <w:bookmarkStart w:id="80" w:name="_Toc12096"/>
      <w:r>
        <w:rPr>
          <w:rFonts w:hint="eastAsia" w:ascii="仿宋" w:hAnsi="仿宋" w:eastAsia="仿宋" w:cs="仿宋"/>
          <w:b/>
          <w:bCs/>
          <w:color w:val="auto"/>
        </w:rPr>
        <w:t>投标人自评分索引表</w:t>
      </w:r>
      <w:bookmarkEnd w:id="78"/>
      <w:bookmarkEnd w:id="79"/>
      <w:bookmarkEnd w:id="80"/>
    </w:p>
    <w:p>
      <w:pPr>
        <w:snapToGrid w:val="0"/>
        <w:spacing w:beforeLines="50" w:after="50" w:line="460" w:lineRule="exact"/>
        <w:jc w:val="left"/>
        <w:rPr>
          <w:rFonts w:ascii="仿宋" w:hAnsi="仿宋" w:eastAsia="仿宋" w:cs="仿宋"/>
          <w:sz w:val="24"/>
        </w:rPr>
      </w:pPr>
      <w:r>
        <w:rPr>
          <w:rFonts w:hint="eastAsia" w:ascii="仿宋" w:hAnsi="仿宋" w:eastAsia="仿宋" w:cs="仿宋"/>
          <w:sz w:val="24"/>
        </w:rPr>
        <w:t>投标人全称（公章）：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评分项目</w:t>
            </w:r>
          </w:p>
        </w:tc>
        <w:tc>
          <w:tcPr>
            <w:tcW w:w="2835"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投标文件对应资料</w:t>
            </w:r>
          </w:p>
        </w:tc>
        <w:tc>
          <w:tcPr>
            <w:tcW w:w="1329"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自评分</w:t>
            </w:r>
          </w:p>
        </w:tc>
        <w:tc>
          <w:tcPr>
            <w:tcW w:w="2181"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对应第四章评分办法及评分标准（报价除外）</w:t>
            </w: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r>
              <w:rPr>
                <w:rFonts w:hint="eastAsia" w:ascii="仿宋" w:hAnsi="仿宋" w:eastAsia="仿宋" w:cs="仿宋"/>
                <w:sz w:val="24"/>
              </w:rPr>
              <w:t>……</w:t>
            </w: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Lines="50" w:after="50" w:line="460" w:lineRule="exact"/>
              <w:jc w:val="center"/>
              <w:rPr>
                <w:rFonts w:ascii="仿宋" w:hAnsi="仿宋" w:eastAsia="仿宋" w:cs="仿宋"/>
                <w:sz w:val="24"/>
              </w:rPr>
            </w:pPr>
          </w:p>
        </w:tc>
        <w:tc>
          <w:tcPr>
            <w:tcW w:w="2835" w:type="dxa"/>
            <w:vAlign w:val="center"/>
          </w:tcPr>
          <w:p>
            <w:pPr>
              <w:snapToGrid w:val="0"/>
              <w:spacing w:beforeLines="50" w:after="50" w:line="460" w:lineRule="exact"/>
              <w:jc w:val="center"/>
              <w:rPr>
                <w:rFonts w:ascii="仿宋" w:hAnsi="仿宋" w:eastAsia="仿宋" w:cs="仿宋"/>
                <w:sz w:val="24"/>
              </w:rPr>
            </w:pPr>
          </w:p>
        </w:tc>
        <w:tc>
          <w:tcPr>
            <w:tcW w:w="1329" w:type="dxa"/>
            <w:vAlign w:val="center"/>
          </w:tcPr>
          <w:p>
            <w:pPr>
              <w:snapToGrid w:val="0"/>
              <w:spacing w:beforeLines="50" w:after="50" w:line="460" w:lineRule="exact"/>
              <w:jc w:val="center"/>
              <w:rPr>
                <w:rFonts w:ascii="仿宋" w:hAnsi="仿宋" w:eastAsia="仿宋" w:cs="仿宋"/>
                <w:sz w:val="24"/>
              </w:rPr>
            </w:pPr>
          </w:p>
        </w:tc>
        <w:tc>
          <w:tcPr>
            <w:tcW w:w="2181" w:type="dxa"/>
            <w:vAlign w:val="center"/>
          </w:tcPr>
          <w:p>
            <w:pPr>
              <w:snapToGrid w:val="0"/>
              <w:spacing w:beforeLines="50" w:after="50" w:line="460" w:lineRule="exact"/>
              <w:jc w:val="center"/>
              <w:rPr>
                <w:rFonts w:ascii="仿宋" w:hAnsi="仿宋" w:eastAsia="仿宋" w:cs="仿宋"/>
                <w:sz w:val="24"/>
              </w:rPr>
            </w:pPr>
          </w:p>
        </w:tc>
      </w:tr>
    </w:tbl>
    <w:p>
      <w:pPr>
        <w:snapToGrid w:val="0"/>
        <w:spacing w:beforeLines="50" w:after="50" w:line="460" w:lineRule="exact"/>
        <w:jc w:val="left"/>
        <w:rPr>
          <w:rFonts w:ascii="仿宋" w:hAnsi="仿宋" w:eastAsia="仿宋" w:cs="仿宋"/>
          <w:sz w:val="24"/>
        </w:rPr>
      </w:pPr>
    </w:p>
    <w:p>
      <w:pPr>
        <w:snapToGrid w:val="0"/>
        <w:spacing w:beforeLines="50" w:after="50" w:line="460" w:lineRule="exact"/>
        <w:jc w:val="left"/>
        <w:rPr>
          <w:rFonts w:ascii="仿宋" w:hAnsi="仿宋" w:eastAsia="仿宋" w:cs="仿宋"/>
          <w:sz w:val="24"/>
        </w:rPr>
      </w:pPr>
    </w:p>
    <w:p>
      <w:pPr>
        <w:spacing w:line="460" w:lineRule="exact"/>
        <w:jc w:val="left"/>
        <w:rPr>
          <w:rFonts w:ascii="仿宋" w:hAnsi="仿宋" w:eastAsia="仿宋" w:cs="仿宋"/>
          <w:kern w:val="0"/>
          <w:sz w:val="24"/>
        </w:rPr>
      </w:pPr>
      <w:r>
        <w:rPr>
          <w:rFonts w:hint="eastAsia" w:ascii="仿宋" w:hAnsi="仿宋" w:eastAsia="仿宋" w:cs="仿宋"/>
          <w:kern w:val="0"/>
          <w:sz w:val="24"/>
        </w:rPr>
        <w:t>法定代表人或其授权代理人签字：</w:t>
      </w:r>
    </w:p>
    <w:p>
      <w:pPr>
        <w:snapToGrid w:val="0"/>
        <w:spacing w:beforeLines="50" w:after="50" w:line="460" w:lineRule="exact"/>
        <w:jc w:val="left"/>
        <w:rPr>
          <w:rFonts w:ascii="仿宋" w:hAnsi="仿宋" w:eastAsia="仿宋" w:cs="仿宋"/>
          <w:sz w:val="24"/>
        </w:rPr>
      </w:pPr>
    </w:p>
    <w:p>
      <w:pPr>
        <w:snapToGrid w:val="0"/>
        <w:spacing w:beforeLines="50" w:after="50" w:line="460" w:lineRule="exact"/>
        <w:jc w:val="left"/>
        <w:rPr>
          <w:rFonts w:ascii="仿宋" w:hAnsi="仿宋" w:eastAsia="仿宋" w:cs="仿宋"/>
          <w:sz w:val="24"/>
        </w:rPr>
      </w:pPr>
      <w:r>
        <w:rPr>
          <w:rFonts w:hint="eastAsia" w:ascii="仿宋" w:hAnsi="仿宋" w:eastAsia="仿宋" w:cs="仿宋"/>
          <w:sz w:val="24"/>
        </w:rPr>
        <w:t>日期： 年 月 日</w:t>
      </w:r>
    </w:p>
    <w:p>
      <w:pPr>
        <w:pStyle w:val="13"/>
        <w:ind w:left="0"/>
        <w:jc w:val="left"/>
        <w:rPr>
          <w:rFonts w:ascii="仿宋" w:hAnsi="仿宋" w:eastAsia="仿宋" w:cs="仿宋"/>
        </w:rPr>
      </w:pPr>
      <w:r>
        <w:rPr>
          <w:rFonts w:hint="eastAsia" w:ascii="仿宋" w:hAnsi="仿宋" w:eastAsia="仿宋" w:cs="仿宋"/>
        </w:rPr>
        <w:br w:type="page"/>
      </w:r>
    </w:p>
    <w:p/>
    <w:p>
      <w:pPr>
        <w:pStyle w:val="32"/>
        <w:spacing w:line="460" w:lineRule="exact"/>
        <w:jc w:val="center"/>
        <w:outlineLvl w:val="0"/>
        <w:rPr>
          <w:rFonts w:ascii="仿宋" w:hAnsi="仿宋" w:eastAsia="仿宋" w:cs="仿宋"/>
          <w:b/>
          <w:bCs/>
          <w:color w:val="auto"/>
        </w:rPr>
      </w:pPr>
      <w:bookmarkStart w:id="81" w:name="_Toc14063"/>
      <w:bookmarkStart w:id="82" w:name="_Toc28758"/>
      <w:bookmarkStart w:id="83" w:name="_Toc26523"/>
      <w:r>
        <w:rPr>
          <w:rFonts w:hint="eastAsia" w:ascii="仿宋" w:hAnsi="仿宋" w:eastAsia="仿宋" w:cs="仿宋"/>
          <w:b/>
          <w:bCs/>
          <w:color w:val="auto"/>
        </w:rPr>
        <w:t>企业业绩</w:t>
      </w:r>
      <w:bookmarkEnd w:id="81"/>
      <w:bookmarkEnd w:id="82"/>
      <w:bookmarkEnd w:id="83"/>
    </w:p>
    <w:p>
      <w:pPr>
        <w:spacing w:line="460" w:lineRule="exact"/>
        <w:jc w:val="left"/>
        <w:rPr>
          <w:rFonts w:ascii="仿宋" w:hAnsi="仿宋" w:eastAsia="仿宋" w:cs="仿宋"/>
          <w:kern w:val="0"/>
          <w:sz w:val="24"/>
        </w:rPr>
      </w:pPr>
      <w:r>
        <w:rPr>
          <w:rFonts w:hint="eastAsia" w:ascii="仿宋" w:hAnsi="仿宋" w:eastAsia="仿宋" w:cs="仿宋"/>
          <w:sz w:val="24"/>
        </w:rPr>
        <w:t>投</w:t>
      </w:r>
      <w:r>
        <w:rPr>
          <w:rFonts w:hint="eastAsia" w:ascii="仿宋" w:hAnsi="仿宋" w:eastAsia="仿宋" w:cs="仿宋"/>
          <w:kern w:val="0"/>
          <w:sz w:val="24"/>
        </w:rPr>
        <w:t>标人全称（加盖公章）：</w:t>
      </w:r>
    </w:p>
    <w:p>
      <w:pPr>
        <w:spacing w:line="460" w:lineRule="exact"/>
        <w:jc w:val="left"/>
        <w:rPr>
          <w:rFonts w:ascii="仿宋" w:hAnsi="仿宋" w:eastAsia="仿宋" w:cs="仿宋"/>
          <w:kern w:val="0"/>
          <w:sz w:val="24"/>
        </w:rPr>
      </w:pPr>
      <w:r>
        <w:rPr>
          <w:rFonts w:hint="eastAsia" w:ascii="仿宋" w:hAnsi="仿宋" w:eastAsia="仿宋" w:cs="仿宋"/>
          <w:kern w:val="0"/>
          <w:sz w:val="24"/>
        </w:rPr>
        <w:t xml:space="preserve">项目名称：                       </w:t>
      </w:r>
    </w:p>
    <w:p>
      <w:pPr>
        <w:spacing w:line="460" w:lineRule="exact"/>
        <w:jc w:val="left"/>
        <w:rPr>
          <w:rFonts w:ascii="仿宋" w:hAnsi="仿宋" w:eastAsia="仿宋" w:cs="仿宋"/>
          <w:kern w:val="0"/>
          <w:sz w:val="24"/>
        </w:rPr>
      </w:pPr>
      <w:r>
        <w:rPr>
          <w:rFonts w:hint="eastAsia" w:ascii="仿宋" w:hAnsi="仿宋" w:eastAsia="仿宋" w:cs="仿宋"/>
          <w:kern w:val="0"/>
          <w:sz w:val="24"/>
        </w:rPr>
        <w:t xml:space="preserve">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序号</w:t>
            </w:r>
          </w:p>
        </w:tc>
        <w:tc>
          <w:tcPr>
            <w:tcW w:w="1417"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项目名称</w:t>
            </w:r>
          </w:p>
        </w:tc>
        <w:tc>
          <w:tcPr>
            <w:tcW w:w="1701"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采购人</w:t>
            </w:r>
          </w:p>
        </w:tc>
        <w:tc>
          <w:tcPr>
            <w:tcW w:w="1276"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签订时间</w:t>
            </w:r>
          </w:p>
        </w:tc>
        <w:tc>
          <w:tcPr>
            <w:tcW w:w="1701"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使用方联系人</w:t>
            </w:r>
          </w:p>
        </w:tc>
        <w:tc>
          <w:tcPr>
            <w:tcW w:w="1302" w:type="dxa"/>
            <w:vAlign w:val="center"/>
          </w:tcPr>
          <w:p>
            <w:pPr>
              <w:spacing w:line="460" w:lineRule="exact"/>
              <w:jc w:val="left"/>
              <w:rPr>
                <w:rFonts w:ascii="仿宋" w:hAnsi="仿宋" w:eastAsia="仿宋" w:cs="仿宋"/>
                <w:kern w:val="0"/>
                <w:sz w:val="24"/>
              </w:rPr>
            </w:pPr>
            <w:r>
              <w:rPr>
                <w:rFonts w:hint="eastAsia" w:ascii="仿宋" w:hAnsi="仿宋" w:eastAsia="仿宋" w:cs="仿宋"/>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460" w:lineRule="exact"/>
              <w:jc w:val="left"/>
              <w:rPr>
                <w:rFonts w:ascii="仿宋" w:hAnsi="仿宋" w:eastAsia="仿宋" w:cs="仿宋"/>
                <w:kern w:val="0"/>
                <w:sz w:val="24"/>
              </w:rPr>
            </w:pPr>
          </w:p>
        </w:tc>
        <w:tc>
          <w:tcPr>
            <w:tcW w:w="1417"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276" w:type="dxa"/>
            <w:vAlign w:val="center"/>
          </w:tcPr>
          <w:p>
            <w:pPr>
              <w:spacing w:line="460" w:lineRule="exact"/>
              <w:jc w:val="left"/>
              <w:rPr>
                <w:rFonts w:ascii="仿宋" w:hAnsi="仿宋" w:eastAsia="仿宋" w:cs="仿宋"/>
                <w:kern w:val="0"/>
                <w:sz w:val="24"/>
              </w:rPr>
            </w:pPr>
          </w:p>
        </w:tc>
        <w:tc>
          <w:tcPr>
            <w:tcW w:w="1701" w:type="dxa"/>
            <w:vAlign w:val="center"/>
          </w:tcPr>
          <w:p>
            <w:pPr>
              <w:spacing w:line="460" w:lineRule="exact"/>
              <w:jc w:val="left"/>
              <w:rPr>
                <w:rFonts w:ascii="仿宋" w:hAnsi="仿宋" w:eastAsia="仿宋" w:cs="仿宋"/>
                <w:kern w:val="0"/>
                <w:sz w:val="24"/>
              </w:rPr>
            </w:pPr>
          </w:p>
        </w:tc>
        <w:tc>
          <w:tcPr>
            <w:tcW w:w="1302" w:type="dxa"/>
            <w:vAlign w:val="center"/>
          </w:tcPr>
          <w:p>
            <w:pPr>
              <w:spacing w:line="460" w:lineRule="exact"/>
              <w:jc w:val="left"/>
              <w:rPr>
                <w:rFonts w:ascii="仿宋" w:hAnsi="仿宋" w:eastAsia="仿宋" w:cs="仿宋"/>
                <w:kern w:val="0"/>
                <w:sz w:val="24"/>
              </w:rPr>
            </w:pPr>
          </w:p>
        </w:tc>
      </w:tr>
    </w:tbl>
    <w:p>
      <w:pPr>
        <w:spacing w:line="460" w:lineRule="exact"/>
        <w:jc w:val="left"/>
        <w:rPr>
          <w:rFonts w:ascii="仿宋" w:hAnsi="仿宋" w:eastAsia="仿宋" w:cs="仿宋"/>
          <w:kern w:val="0"/>
          <w:sz w:val="24"/>
        </w:rPr>
      </w:pPr>
    </w:p>
    <w:p>
      <w:pPr>
        <w:spacing w:line="460" w:lineRule="exact"/>
        <w:jc w:val="left"/>
        <w:rPr>
          <w:rFonts w:ascii="仿宋" w:hAnsi="仿宋" w:eastAsia="仿宋" w:cs="仿宋"/>
          <w:kern w:val="0"/>
          <w:sz w:val="24"/>
        </w:rPr>
      </w:pPr>
      <w:r>
        <w:rPr>
          <w:rFonts w:hint="eastAsia" w:ascii="仿宋" w:hAnsi="仿宋" w:eastAsia="仿宋" w:cs="仿宋"/>
          <w:kern w:val="0"/>
          <w:sz w:val="24"/>
        </w:rPr>
        <w:t>法定代表人或其授权代理人签名或盖章：</w:t>
      </w:r>
    </w:p>
    <w:p>
      <w:pPr>
        <w:spacing w:line="460" w:lineRule="exact"/>
        <w:jc w:val="left"/>
        <w:rPr>
          <w:rFonts w:ascii="仿宋" w:hAnsi="仿宋" w:eastAsia="仿宋" w:cs="仿宋"/>
          <w:kern w:val="0"/>
          <w:sz w:val="24"/>
        </w:rPr>
      </w:pPr>
    </w:p>
    <w:p>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pPr>
        <w:snapToGrid w:val="0"/>
        <w:spacing w:beforeLines="50" w:after="50"/>
        <w:rPr>
          <w:rFonts w:ascii="仿宋" w:hAnsi="仿宋" w:eastAsia="仿宋" w:cs="仿宋"/>
          <w:b/>
          <w:szCs w:val="28"/>
        </w:rPr>
      </w:pPr>
    </w:p>
    <w:p>
      <w:pPr>
        <w:snapToGrid w:val="0"/>
        <w:spacing w:beforeLines="50" w:after="50"/>
        <w:rPr>
          <w:rFonts w:ascii="仿宋" w:hAnsi="仿宋" w:eastAsia="仿宋" w:cs="仿宋"/>
          <w:b/>
          <w:szCs w:val="28"/>
        </w:rPr>
      </w:pPr>
    </w:p>
    <w:p>
      <w:pPr>
        <w:pStyle w:val="12"/>
        <w:ind w:firstLine="422"/>
        <w:rPr>
          <w:rFonts w:ascii="仿宋" w:hAnsi="仿宋" w:eastAsia="仿宋" w:cs="仿宋"/>
          <w:b/>
          <w:szCs w:val="28"/>
        </w:rPr>
      </w:pPr>
    </w:p>
    <w:p>
      <w:pPr>
        <w:pStyle w:val="12"/>
        <w:ind w:left="0" w:leftChars="0" w:firstLine="0" w:firstLineChars="0"/>
        <w:rPr>
          <w:rFonts w:ascii="仿宋" w:hAnsi="仿宋" w:eastAsia="仿宋" w:cs="仿宋"/>
          <w:b/>
          <w:szCs w:val="28"/>
        </w:rPr>
      </w:pPr>
    </w:p>
    <w:p>
      <w:pPr>
        <w:pStyle w:val="32"/>
        <w:pageBreakBefore/>
        <w:jc w:val="center"/>
        <w:outlineLvl w:val="0"/>
        <w:rPr>
          <w:rFonts w:ascii="仿宋" w:hAnsi="仿宋" w:eastAsia="仿宋" w:cs="仿宋"/>
          <w:b/>
          <w:color w:val="auto"/>
        </w:rPr>
      </w:pPr>
      <w:bookmarkStart w:id="84" w:name="_Toc10034"/>
      <w:bookmarkStart w:id="85" w:name="_Toc31135"/>
      <w:bookmarkStart w:id="86" w:name="_Toc9504"/>
      <w:r>
        <w:rPr>
          <w:rFonts w:hint="eastAsia" w:ascii="仿宋" w:hAnsi="仿宋" w:eastAsia="仿宋" w:cs="仿宋"/>
          <w:b/>
          <w:color w:val="auto"/>
        </w:rPr>
        <w:t>商务响应表</w:t>
      </w:r>
      <w:bookmarkEnd w:id="84"/>
      <w:bookmarkEnd w:id="85"/>
      <w:bookmarkEnd w:id="86"/>
    </w:p>
    <w:p>
      <w:pPr>
        <w:pStyle w:val="32"/>
        <w:spacing w:line="460" w:lineRule="exact"/>
        <w:rPr>
          <w:rFonts w:ascii="仿宋" w:hAnsi="仿宋" w:eastAsia="仿宋" w:cs="仿宋"/>
          <w:color w:val="auto"/>
        </w:rPr>
      </w:pPr>
      <w:r>
        <w:rPr>
          <w:rFonts w:hint="eastAsia" w:ascii="仿宋" w:hAnsi="仿宋" w:eastAsia="仿宋" w:cs="仿宋"/>
          <w:color w:val="auto"/>
        </w:rPr>
        <w:t xml:space="preserve">投标人全称（加盖公章）： </w:t>
      </w:r>
    </w:p>
    <w:p>
      <w:pPr>
        <w:spacing w:line="460" w:lineRule="exact"/>
        <w:jc w:val="left"/>
        <w:rPr>
          <w:rFonts w:ascii="仿宋" w:hAnsi="仿宋" w:eastAsia="仿宋" w:cs="仿宋"/>
          <w:sz w:val="24"/>
        </w:rPr>
      </w:pPr>
      <w:r>
        <w:rPr>
          <w:rFonts w:hint="eastAsia" w:ascii="仿宋" w:hAnsi="仿宋" w:eastAsia="仿宋" w:cs="仿宋"/>
          <w:sz w:val="24"/>
        </w:rPr>
        <w:t>项目编号：</w:t>
      </w:r>
    </w:p>
    <w:p>
      <w:pPr>
        <w:spacing w:line="460" w:lineRule="exact"/>
        <w:jc w:val="left"/>
        <w:rPr>
          <w:rFonts w:ascii="仿宋" w:hAnsi="仿宋" w:eastAsia="仿宋" w:cs="仿宋"/>
          <w:sz w:val="24"/>
        </w:rPr>
      </w:pPr>
      <w:r>
        <w:rPr>
          <w:rFonts w:hint="eastAsia" w:ascii="仿宋" w:hAnsi="仿宋" w:eastAsia="仿宋" w:cs="仿宋"/>
          <w:sz w:val="24"/>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4884"/>
        <w:gridCol w:w="1217"/>
        <w:gridCol w:w="1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项目</w:t>
            </w:r>
          </w:p>
        </w:tc>
        <w:tc>
          <w:tcPr>
            <w:tcW w:w="488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采购文件要求</w:t>
            </w: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是否响应</w:t>
            </w: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服务期</w:t>
            </w:r>
          </w:p>
        </w:tc>
        <w:tc>
          <w:tcPr>
            <w:tcW w:w="4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付款条件</w:t>
            </w:r>
          </w:p>
        </w:tc>
        <w:tc>
          <w:tcPr>
            <w:tcW w:w="48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其他</w:t>
            </w:r>
          </w:p>
        </w:tc>
        <w:tc>
          <w:tcPr>
            <w:tcW w:w="48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仿宋" w:hAnsi="仿宋" w:eastAsia="仿宋" w:cs="仿宋"/>
                <w:sz w:val="24"/>
              </w:rPr>
            </w:pPr>
            <w:r>
              <w:rPr>
                <w:rFonts w:hint="eastAsia" w:ascii="仿宋" w:hAnsi="仿宋" w:eastAsia="仿宋" w:cs="仿宋"/>
                <w:sz w:val="24"/>
              </w:rPr>
              <w:t>…</w:t>
            </w:r>
          </w:p>
        </w:tc>
        <w:tc>
          <w:tcPr>
            <w:tcW w:w="48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
                <w:sz w:val="24"/>
              </w:rPr>
            </w:pPr>
          </w:p>
        </w:tc>
      </w:tr>
    </w:tbl>
    <w:p>
      <w:pPr>
        <w:spacing w:line="460" w:lineRule="exact"/>
        <w:jc w:val="left"/>
        <w:rPr>
          <w:rFonts w:ascii="仿宋" w:hAnsi="仿宋" w:eastAsia="仿宋" w:cs="仿宋"/>
          <w:kern w:val="0"/>
          <w:sz w:val="24"/>
        </w:rPr>
      </w:pPr>
    </w:p>
    <w:p>
      <w:pPr>
        <w:spacing w:line="460" w:lineRule="exact"/>
        <w:jc w:val="left"/>
        <w:rPr>
          <w:rFonts w:ascii="仿宋" w:hAnsi="仿宋" w:eastAsia="仿宋" w:cs="仿宋"/>
          <w:kern w:val="0"/>
          <w:sz w:val="24"/>
        </w:rPr>
      </w:pPr>
      <w:r>
        <w:rPr>
          <w:rFonts w:hint="eastAsia" w:ascii="仿宋" w:hAnsi="仿宋" w:eastAsia="仿宋" w:cs="仿宋"/>
          <w:kern w:val="0"/>
          <w:sz w:val="24"/>
        </w:rPr>
        <w:t>法定代表人或其授权代理人（盖章）：</w:t>
      </w:r>
    </w:p>
    <w:p>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pPr>
        <w:rPr>
          <w:rFonts w:ascii="仿宋" w:hAnsi="仿宋" w:eastAsia="仿宋" w:cs="仿宋"/>
          <w:bCs/>
          <w:sz w:val="28"/>
          <w:szCs w:val="28"/>
        </w:rPr>
      </w:pPr>
    </w:p>
    <w:p>
      <w:r>
        <w:rPr>
          <w:rFonts w:hint="eastAsia" w:ascii="仿宋" w:hAnsi="仿宋" w:eastAsia="仿宋" w:cs="仿宋"/>
          <w:b/>
          <w:sz w:val="28"/>
          <w:szCs w:val="28"/>
        </w:rPr>
        <w:br w:type="page"/>
      </w:r>
    </w:p>
    <w:p>
      <w:pPr>
        <w:snapToGrid w:val="0"/>
        <w:spacing w:before="50" w:after="50"/>
        <w:jc w:val="center"/>
        <w:rPr>
          <w:rFonts w:ascii="仿宋" w:hAnsi="仿宋" w:eastAsia="仿宋" w:cs="宋体"/>
          <w:b/>
          <w:bCs/>
          <w:sz w:val="32"/>
          <w:szCs w:val="32"/>
        </w:rPr>
      </w:pPr>
    </w:p>
    <w:p>
      <w:pPr>
        <w:snapToGrid w:val="0"/>
        <w:spacing w:before="50" w:after="50"/>
        <w:jc w:val="center"/>
        <w:outlineLvl w:val="0"/>
        <w:rPr>
          <w:rFonts w:ascii="仿宋" w:hAnsi="仿宋" w:eastAsia="仿宋" w:cs="宋体"/>
          <w:b/>
          <w:bCs/>
          <w:sz w:val="32"/>
          <w:szCs w:val="32"/>
        </w:rPr>
      </w:pPr>
      <w:bookmarkStart w:id="87" w:name="_Toc26305"/>
      <w:bookmarkStart w:id="88" w:name="_Toc4416"/>
      <w:bookmarkStart w:id="89" w:name="_Toc20010"/>
      <w:r>
        <w:rPr>
          <w:rFonts w:hint="eastAsia" w:ascii="仿宋" w:hAnsi="仿宋" w:eastAsia="仿宋" w:cs="宋体"/>
          <w:b/>
          <w:bCs/>
          <w:sz w:val="32"/>
          <w:szCs w:val="32"/>
        </w:rPr>
        <w:t>开标一览表</w:t>
      </w:r>
      <w:bookmarkEnd w:id="87"/>
      <w:bookmarkEnd w:id="88"/>
      <w:bookmarkEnd w:id="89"/>
    </w:p>
    <w:p>
      <w:pPr>
        <w:snapToGrid w:val="0"/>
        <w:spacing w:before="50" w:after="50" w:line="360" w:lineRule="auto"/>
        <w:jc w:val="left"/>
        <w:rPr>
          <w:rFonts w:ascii="仿宋" w:hAnsi="仿宋" w:eastAsia="仿宋" w:cs="宋体"/>
          <w:sz w:val="24"/>
        </w:rPr>
      </w:pPr>
    </w:p>
    <w:p>
      <w:pPr>
        <w:snapToGrid w:val="0"/>
        <w:spacing w:before="50" w:after="50" w:line="360" w:lineRule="auto"/>
        <w:jc w:val="left"/>
        <w:rPr>
          <w:rFonts w:ascii="仿宋" w:hAnsi="仿宋" w:eastAsia="仿宋" w:cs="宋体"/>
          <w:sz w:val="24"/>
        </w:rPr>
      </w:pPr>
      <w:r>
        <w:rPr>
          <w:rFonts w:hint="eastAsia" w:ascii="仿宋" w:hAnsi="仿宋" w:eastAsia="仿宋" w:cs="宋体"/>
          <w:sz w:val="24"/>
        </w:rPr>
        <w:t xml:space="preserve">投标人全称（加盖公章）：                                      </w:t>
      </w:r>
    </w:p>
    <w:p>
      <w:pPr>
        <w:snapToGrid w:val="0"/>
        <w:spacing w:before="50" w:after="50" w:line="360" w:lineRule="auto"/>
        <w:jc w:val="left"/>
        <w:rPr>
          <w:rFonts w:ascii="仿宋" w:hAnsi="仿宋" w:eastAsia="仿宋" w:cs="宋体"/>
          <w:sz w:val="24"/>
        </w:rPr>
      </w:pPr>
      <w:r>
        <w:rPr>
          <w:rFonts w:hint="eastAsia" w:ascii="仿宋" w:hAnsi="仿宋" w:eastAsia="仿宋" w:cs="宋体"/>
          <w:sz w:val="24"/>
        </w:rPr>
        <w:t>项目编号：</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1215"/>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08" w:type="pct"/>
            <w:vAlign w:val="center"/>
          </w:tcPr>
          <w:p>
            <w:pPr>
              <w:adjustRightInd w:val="0"/>
              <w:snapToGrid w:val="0"/>
              <w:spacing w:line="440" w:lineRule="exact"/>
              <w:jc w:val="center"/>
              <w:rPr>
                <w:rFonts w:ascii="仿宋" w:hAnsi="仿宋" w:eastAsia="仿宋"/>
                <w:b/>
                <w:bCs/>
                <w:sz w:val="28"/>
                <w:szCs w:val="28"/>
              </w:rPr>
            </w:pPr>
            <w:r>
              <w:rPr>
                <w:rFonts w:hint="eastAsia" w:ascii="仿宋" w:hAnsi="仿宋" w:eastAsia="仿宋"/>
                <w:b/>
                <w:bCs/>
                <w:sz w:val="28"/>
                <w:szCs w:val="28"/>
              </w:rPr>
              <w:t>项目名称</w:t>
            </w:r>
          </w:p>
        </w:tc>
        <w:tc>
          <w:tcPr>
            <w:tcW w:w="3191" w:type="pct"/>
            <w:gridSpan w:val="2"/>
            <w:vAlign w:val="center"/>
          </w:tcPr>
          <w:p>
            <w:pPr>
              <w:adjustRightInd w:val="0"/>
              <w:snapToGrid w:val="0"/>
              <w:spacing w:line="440" w:lineRule="exact"/>
              <w:jc w:val="center"/>
              <w:rPr>
                <w:rFonts w:ascii="仿宋" w:hAnsi="仿宋" w:eastAsia="仿宋"/>
                <w:b/>
                <w:bCs/>
                <w:sz w:val="28"/>
                <w:szCs w:val="28"/>
              </w:rPr>
            </w:pPr>
            <w:r>
              <w:rPr>
                <w:rFonts w:hint="eastAsia" w:ascii="仿宋" w:hAnsi="仿宋" w:eastAsia="仿宋"/>
                <w:b/>
                <w:bCs/>
                <w:sz w:val="28"/>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restart"/>
            <w:vAlign w:val="center"/>
          </w:tcPr>
          <w:p>
            <w:pPr>
              <w:adjustRightInd w:val="0"/>
              <w:snapToGrid w:val="0"/>
              <w:spacing w:line="440" w:lineRule="exact"/>
              <w:rPr>
                <w:rFonts w:ascii="仿宋" w:hAnsi="仿宋" w:eastAsia="仿宋"/>
                <w:sz w:val="24"/>
              </w:rPr>
            </w:pPr>
            <w:r>
              <w:rPr>
                <w:rFonts w:hint="eastAsia" w:ascii="仿宋" w:hAnsi="仿宋" w:eastAsia="仿宋"/>
                <w:sz w:val="24"/>
              </w:rPr>
              <w:t>雨污水管网维护及应急处置项目</w:t>
            </w:r>
          </w:p>
        </w:tc>
        <w:tc>
          <w:tcPr>
            <w:tcW w:w="697" w:type="pct"/>
            <w:vAlign w:val="center"/>
          </w:tcPr>
          <w:p>
            <w:pPr>
              <w:adjustRightInd w:val="0"/>
              <w:snapToGrid w:val="0"/>
              <w:spacing w:line="440" w:lineRule="exact"/>
              <w:rPr>
                <w:rFonts w:ascii="仿宋" w:hAnsi="仿宋" w:eastAsia="仿宋"/>
                <w:sz w:val="24"/>
              </w:rPr>
            </w:pPr>
            <w:r>
              <w:rPr>
                <w:rFonts w:hint="eastAsia" w:ascii="仿宋" w:hAnsi="仿宋" w:eastAsia="仿宋"/>
                <w:sz w:val="24"/>
              </w:rPr>
              <w:t>常规巡查</w:t>
            </w:r>
          </w:p>
        </w:tc>
        <w:tc>
          <w:tcPr>
            <w:tcW w:w="2493" w:type="pct"/>
            <w:vAlign w:val="center"/>
          </w:tcPr>
          <w:p>
            <w:pPr>
              <w:adjustRightInd w:val="0"/>
              <w:snapToGrid w:val="0"/>
              <w:spacing w:line="440" w:lineRule="exact"/>
              <w:rPr>
                <w:rFonts w:ascii="仿宋" w:hAnsi="仿宋" w:eastAsia="仿宋"/>
                <w:sz w:val="24"/>
              </w:rPr>
            </w:pPr>
            <w:r>
              <w:rPr>
                <w:rFonts w:hint="eastAsia" w:ascii="仿宋" w:hAnsi="仿宋" w:eastAsia="仿宋"/>
                <w:sz w:val="24"/>
              </w:rPr>
              <w:t>人民币大写：</w:t>
            </w:r>
            <w:r>
              <w:rPr>
                <w:rFonts w:hint="eastAsia" w:ascii="仿宋" w:hAnsi="仿宋" w:eastAsia="仿宋"/>
                <w:sz w:val="24"/>
                <w:highlight w:val="none"/>
              </w:rPr>
              <w:t>壹拾贰万伍仟元整/年</w:t>
            </w:r>
          </w:p>
          <w:p>
            <w:pPr>
              <w:adjustRightInd w:val="0"/>
              <w:snapToGrid w:val="0"/>
              <w:spacing w:line="440" w:lineRule="exact"/>
              <w:rPr>
                <w:rFonts w:ascii="仿宋" w:hAnsi="仿宋" w:eastAsia="仿宋"/>
                <w:sz w:val="24"/>
              </w:rPr>
            </w:pPr>
            <w:r>
              <w:rPr>
                <w:rFonts w:hint="eastAsia" w:ascii="仿宋" w:hAnsi="仿宋" w:eastAsia="仿宋"/>
                <w:sz w:val="24"/>
              </w:rPr>
              <w:t>（</w:t>
            </w:r>
            <w:r>
              <w:rPr>
                <w:rFonts w:ascii="仿宋" w:hAnsi="仿宋" w:eastAsia="仿宋"/>
                <w:sz w:val="24"/>
              </w:rPr>
              <w:t>¥</w:t>
            </w:r>
            <w:r>
              <w:rPr>
                <w:rFonts w:hint="eastAsia" w:ascii="仿宋" w:hAnsi="仿宋" w:eastAsia="仿宋"/>
                <w:sz w:val="24"/>
              </w:rPr>
              <w:t>：125000元/年）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pPr>
              <w:adjustRightInd w:val="0"/>
              <w:snapToGrid w:val="0"/>
              <w:spacing w:line="440" w:lineRule="exact"/>
            </w:pPr>
          </w:p>
        </w:tc>
        <w:tc>
          <w:tcPr>
            <w:tcW w:w="697" w:type="pct"/>
            <w:vAlign w:val="center"/>
          </w:tcPr>
          <w:p>
            <w:pPr>
              <w:adjustRightInd w:val="0"/>
              <w:snapToGrid w:val="0"/>
              <w:spacing w:line="440" w:lineRule="exact"/>
              <w:rPr>
                <w:rFonts w:ascii="仿宋" w:hAnsi="仿宋" w:eastAsia="仿宋"/>
                <w:sz w:val="24"/>
              </w:rPr>
            </w:pPr>
            <w:r>
              <w:rPr>
                <w:rFonts w:hint="eastAsia" w:ascii="仿宋" w:hAnsi="仿宋" w:eastAsia="仿宋"/>
                <w:sz w:val="24"/>
              </w:rPr>
              <w:t>维修处置</w:t>
            </w:r>
          </w:p>
        </w:tc>
        <w:tc>
          <w:tcPr>
            <w:tcW w:w="2493" w:type="pct"/>
            <w:vMerge w:val="restart"/>
            <w:vAlign w:val="center"/>
          </w:tcPr>
          <w:p>
            <w:pPr>
              <w:adjustRightInd w:val="0"/>
              <w:snapToGrid w:val="0"/>
              <w:spacing w:line="440" w:lineRule="exact"/>
              <w:rPr>
                <w:rFonts w:ascii="仿宋" w:hAnsi="仿宋" w:eastAsia="仿宋"/>
                <w:sz w:val="24"/>
              </w:rPr>
            </w:pPr>
            <w:r>
              <w:rPr>
                <w:rFonts w:hint="eastAsia" w:ascii="仿宋" w:hAnsi="仿宋" w:eastAsia="仿宋"/>
                <w:sz w:val="24"/>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pPr>
              <w:adjustRightInd w:val="0"/>
              <w:snapToGrid w:val="0"/>
              <w:spacing w:line="440" w:lineRule="exact"/>
              <w:rPr>
                <w:rFonts w:ascii="仿宋" w:hAnsi="仿宋" w:eastAsia="仿宋"/>
                <w:sz w:val="24"/>
              </w:rPr>
            </w:pPr>
          </w:p>
        </w:tc>
        <w:tc>
          <w:tcPr>
            <w:tcW w:w="697" w:type="pct"/>
            <w:vAlign w:val="center"/>
          </w:tcPr>
          <w:p>
            <w:pPr>
              <w:adjustRightInd w:val="0"/>
              <w:snapToGrid w:val="0"/>
              <w:spacing w:line="440" w:lineRule="exact"/>
              <w:rPr>
                <w:rFonts w:ascii="仿宋" w:hAnsi="仿宋" w:eastAsia="仿宋"/>
                <w:sz w:val="24"/>
              </w:rPr>
            </w:pPr>
            <w:r>
              <w:rPr>
                <w:rFonts w:hint="eastAsia" w:ascii="仿宋" w:hAnsi="仿宋" w:eastAsia="仿宋"/>
                <w:sz w:val="24"/>
              </w:rPr>
              <w:t>检测服务</w:t>
            </w:r>
          </w:p>
        </w:tc>
        <w:tc>
          <w:tcPr>
            <w:tcW w:w="2493" w:type="pct"/>
            <w:vMerge w:val="continue"/>
            <w:vAlign w:val="center"/>
          </w:tcPr>
          <w:p>
            <w:pPr>
              <w:adjustRightInd w:val="0"/>
              <w:snapToGrid w:val="0"/>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3"/>
            <w:vAlign w:val="center"/>
          </w:tcPr>
          <w:p>
            <w:pPr>
              <w:adjustRightInd w:val="0"/>
              <w:snapToGrid w:val="0"/>
              <w:spacing w:line="440" w:lineRule="exact"/>
              <w:rPr>
                <w:rFonts w:ascii="仿宋" w:hAnsi="仿宋" w:eastAsia="仿宋"/>
                <w:color w:val="FF0000"/>
                <w:sz w:val="24"/>
              </w:rPr>
            </w:pPr>
            <w:r>
              <w:rPr>
                <w:rFonts w:hint="eastAsia" w:ascii="仿宋" w:hAnsi="仿宋" w:eastAsia="仿宋"/>
                <w:color w:val="auto"/>
                <w:sz w:val="24"/>
              </w:rPr>
              <w:t>总报价：250000+4750000*</w:t>
            </w:r>
            <w:r>
              <w:rPr>
                <w:rFonts w:hint="eastAsia" w:ascii="仿宋" w:hAnsi="仿宋" w:eastAsia="仿宋"/>
                <w:color w:val="auto"/>
                <w:sz w:val="24"/>
                <w:u w:val="single"/>
              </w:rPr>
              <w:t xml:space="preserve">    %</w:t>
            </w:r>
            <w:r>
              <w:rPr>
                <w:rFonts w:hint="eastAsia" w:ascii="仿宋" w:hAnsi="仿宋" w:eastAsia="仿宋"/>
                <w:color w:val="auto"/>
                <w:sz w:val="24"/>
              </w:rPr>
              <w:t>（折扣率）=</w:t>
            </w:r>
            <w:r>
              <w:rPr>
                <w:rFonts w:hint="eastAsia" w:ascii="仿宋" w:hAnsi="仿宋" w:eastAsia="仿宋"/>
                <w:color w:val="auto"/>
                <w:sz w:val="24"/>
                <w:u w:val="single"/>
              </w:rPr>
              <w:t xml:space="preserve">              元</w:t>
            </w:r>
          </w:p>
        </w:tc>
      </w:tr>
    </w:tbl>
    <w:p>
      <w:pPr>
        <w:pStyle w:val="14"/>
        <w:spacing w:line="480" w:lineRule="exact"/>
        <w:rPr>
          <w:rFonts w:ascii="仿宋" w:hAnsi="仿宋" w:eastAsia="仿宋" w:cs="仿宋"/>
          <w:bCs/>
          <w:sz w:val="24"/>
          <w:szCs w:val="24"/>
        </w:rPr>
      </w:pPr>
      <w:r>
        <w:rPr>
          <w:rFonts w:hint="eastAsia" w:ascii="仿宋" w:hAnsi="仿宋" w:eastAsia="仿宋" w:cs="仿宋"/>
          <w:bCs/>
          <w:sz w:val="24"/>
          <w:szCs w:val="24"/>
        </w:rPr>
        <w:t>▲注：1、报价一经涂改，应在涂改处加盖单位公章或者由法定代表人或授权委托人签字或盖章，否则其投标作无效标处理。</w:t>
      </w:r>
    </w:p>
    <w:p>
      <w:pPr>
        <w:pStyle w:val="14"/>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2、应包含本项目所发生的费用及供应商认为完成本采购文件规定内容所需发生的其它费用，凡未列入的，将被视为均已包含在投标总报价中。只允许有一个报价，任何有选择的或有条件的报价将不予接受，凡未列入的，将被视为均已包含在投标总报价中。</w:t>
      </w:r>
    </w:p>
    <w:p>
      <w:pPr>
        <w:pStyle w:val="14"/>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3、不提供此表格的将视为没有实质性响应采购文件。</w:t>
      </w:r>
    </w:p>
    <w:p>
      <w:pPr>
        <w:pStyle w:val="14"/>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4、投标报价不得超过采购预算，否则为无效报价。</w:t>
      </w:r>
    </w:p>
    <w:p>
      <w:pPr>
        <w:pStyle w:val="14"/>
        <w:spacing w:line="480" w:lineRule="exact"/>
        <w:ind w:firstLine="480" w:firstLineChars="200"/>
        <w:rPr>
          <w:rFonts w:eastAsia="仿宋"/>
          <w:highlight w:val="none"/>
        </w:rPr>
      </w:pPr>
      <w:r>
        <w:rPr>
          <w:rFonts w:hint="eastAsia" w:ascii="仿宋" w:hAnsi="仿宋" w:eastAsia="仿宋" w:cs="仿宋"/>
          <w:bCs/>
          <w:sz w:val="24"/>
          <w:szCs w:val="24"/>
          <w:highlight w:val="none"/>
        </w:rPr>
        <w:t>5、折扣报价应充分考虑拆除物残值回收费、夜间及冬雨季施工增加费、极端恶劣天气抢险救灾人员及设备保障增加费、定额及信息价水平等一切因素，发生时不另计。</w:t>
      </w:r>
    </w:p>
    <w:p>
      <w:pPr>
        <w:rPr>
          <w:rFonts w:ascii="仿宋" w:hAnsi="仿宋" w:eastAsia="仿宋" w:cs="宋体"/>
          <w:sz w:val="24"/>
        </w:rPr>
      </w:pPr>
    </w:p>
    <w:p>
      <w:pPr>
        <w:rPr>
          <w:rFonts w:ascii="仿宋" w:hAnsi="仿宋" w:eastAsia="仿宋" w:cs="宋体"/>
          <w:sz w:val="24"/>
        </w:rPr>
      </w:pPr>
    </w:p>
    <w:p>
      <w:pPr>
        <w:jc w:val="left"/>
        <w:rPr>
          <w:rFonts w:ascii="仿宋" w:hAnsi="仿宋" w:eastAsia="仿宋" w:cs="宋体"/>
          <w:sz w:val="24"/>
        </w:rPr>
      </w:pPr>
      <w:r>
        <w:rPr>
          <w:rFonts w:hint="eastAsia" w:ascii="仿宋" w:hAnsi="仿宋" w:eastAsia="仿宋" w:cs="宋体"/>
          <w:sz w:val="24"/>
        </w:rPr>
        <w:t>法定代表人或授权代理人签字：</w:t>
      </w:r>
    </w:p>
    <w:p>
      <w:pPr>
        <w:jc w:val="left"/>
        <w:rPr>
          <w:rFonts w:ascii="仿宋" w:hAnsi="仿宋" w:eastAsia="仿宋" w:cs="宋体"/>
          <w:sz w:val="24"/>
        </w:rPr>
      </w:pPr>
    </w:p>
    <w:p>
      <w:pPr>
        <w:tabs>
          <w:tab w:val="left" w:pos="3654"/>
        </w:tabs>
        <w:jc w:val="left"/>
        <w:rPr>
          <w:rFonts w:ascii="仿宋" w:hAnsi="仿宋" w:eastAsia="仿宋" w:cs="仿宋"/>
          <w:sz w:val="24"/>
        </w:rPr>
      </w:pPr>
      <w:r>
        <w:rPr>
          <w:rFonts w:hint="eastAsia" w:ascii="仿宋" w:hAnsi="仿宋" w:eastAsia="仿宋" w:cs="仿宋"/>
          <w:sz w:val="24"/>
        </w:rPr>
        <w:t>日期：    年  月  日</w:t>
      </w:r>
    </w:p>
    <w:p>
      <w:pPr>
        <w:pStyle w:val="12"/>
        <w:ind w:firstLine="480"/>
        <w:rPr>
          <w:rFonts w:ascii="仿宋" w:hAnsi="仿宋" w:eastAsia="仿宋" w:cs="宋体"/>
          <w:sz w:val="24"/>
        </w:rPr>
      </w:pPr>
    </w:p>
    <w:p>
      <w:pPr>
        <w:pStyle w:val="9"/>
        <w:rPr>
          <w:rFonts w:ascii="仿宋" w:hAnsi="仿宋" w:eastAsia="仿宋" w:cs="宋体"/>
          <w:sz w:val="24"/>
        </w:rPr>
      </w:pPr>
    </w:p>
    <w:p>
      <w:pPr>
        <w:rPr>
          <w:rFonts w:ascii="仿宋" w:hAnsi="仿宋" w:eastAsia="仿宋" w:cs="宋体"/>
          <w:sz w:val="24"/>
        </w:rPr>
      </w:pPr>
    </w:p>
    <w:p>
      <w:pPr>
        <w:pStyle w:val="12"/>
        <w:ind w:left="0" w:leftChars="0" w:firstLine="0" w:firstLineChars="0"/>
        <w:rPr>
          <w:rFonts w:ascii="仿宋" w:hAnsi="仿宋" w:eastAsia="仿宋" w:cs="宋体"/>
          <w:sz w:val="24"/>
        </w:rPr>
      </w:pPr>
    </w:p>
    <w:p>
      <w:pPr>
        <w:pStyle w:val="12"/>
        <w:ind w:left="0" w:leftChars="0" w:firstLine="0" w:firstLineChars="0"/>
      </w:pPr>
    </w:p>
    <w:p>
      <w:pPr>
        <w:pStyle w:val="9"/>
        <w:rPr>
          <w:rFonts w:ascii="仿宋" w:hAnsi="仿宋" w:eastAsia="仿宋" w:cs="宋体"/>
          <w:sz w:val="24"/>
        </w:rPr>
      </w:pPr>
    </w:p>
    <w:p>
      <w:pPr>
        <w:rPr>
          <w:rFonts w:ascii="仿宋" w:hAnsi="仿宋" w:eastAsia="仿宋" w:cs="宋体"/>
          <w:sz w:val="24"/>
        </w:rPr>
      </w:pPr>
    </w:p>
    <w:p>
      <w:pPr>
        <w:spacing w:line="360" w:lineRule="auto"/>
        <w:jc w:val="center"/>
        <w:outlineLvl w:val="0"/>
        <w:rPr>
          <w:rFonts w:ascii="仿宋" w:hAnsi="仿宋" w:eastAsia="仿宋" w:cs="宋体"/>
          <w:b/>
          <w:bCs/>
          <w:sz w:val="28"/>
          <w:szCs w:val="28"/>
        </w:rPr>
      </w:pPr>
      <w:bookmarkStart w:id="90" w:name="_Toc3614"/>
      <w:bookmarkStart w:id="91" w:name="_Toc5495"/>
      <w:bookmarkStart w:id="92" w:name="_Toc9648"/>
      <w:r>
        <w:rPr>
          <w:rFonts w:hint="eastAsia" w:ascii="仿宋" w:hAnsi="仿宋" w:eastAsia="仿宋" w:cs="宋体"/>
          <w:b/>
          <w:bCs/>
          <w:sz w:val="28"/>
          <w:szCs w:val="28"/>
        </w:rPr>
        <w:t>招标代理服务费承诺函</w:t>
      </w:r>
      <w:bookmarkEnd w:id="90"/>
      <w:bookmarkEnd w:id="91"/>
      <w:bookmarkEnd w:id="92"/>
    </w:p>
    <w:p>
      <w:pPr>
        <w:snapToGrid w:val="0"/>
        <w:spacing w:beforeLines="50" w:after="50" w:line="460" w:lineRule="exact"/>
        <w:jc w:val="left"/>
        <w:rPr>
          <w:rFonts w:ascii="仿宋" w:hAnsi="仿宋" w:eastAsia="仿宋" w:cs="宋体"/>
          <w:sz w:val="24"/>
        </w:rPr>
      </w:pPr>
    </w:p>
    <w:p>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杭州建业造价工程师事务所有限公司：</w:t>
      </w:r>
    </w:p>
    <w:p>
      <w:pPr>
        <w:snapToGrid w:val="0"/>
        <w:spacing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pPr>
        <w:snapToGrid w:val="0"/>
        <w:spacing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pPr>
        <w:pStyle w:val="12"/>
      </w:pPr>
    </w:p>
    <w:p/>
    <w:p>
      <w:pPr>
        <w:spacing w:line="440" w:lineRule="exact"/>
        <w:rPr>
          <w:rFonts w:ascii="仿宋" w:hAnsi="仿宋" w:eastAsia="仿宋"/>
          <w:sz w:val="24"/>
          <w:u w:val="single"/>
        </w:rPr>
      </w:pPr>
      <w:r>
        <w:rPr>
          <w:rFonts w:hint="eastAsia" w:ascii="仿宋" w:hAnsi="仿宋" w:eastAsia="仿宋"/>
          <w:sz w:val="24"/>
          <w:u w:val="single"/>
        </w:rPr>
        <w:t>代理费汇款账号：</w:t>
      </w:r>
    </w:p>
    <w:p>
      <w:pPr>
        <w:spacing w:line="440" w:lineRule="exact"/>
        <w:rPr>
          <w:rFonts w:hint="eastAsia" w:ascii="仿宋" w:hAnsi="仿宋" w:eastAsia="仿宋"/>
          <w:sz w:val="24"/>
          <w:u w:val="single"/>
        </w:rPr>
      </w:pPr>
      <w:r>
        <w:rPr>
          <w:rFonts w:hint="eastAsia" w:ascii="仿宋" w:hAnsi="仿宋" w:eastAsia="仿宋"/>
          <w:sz w:val="24"/>
          <w:u w:val="single"/>
        </w:rPr>
        <w:t>账户名称：杭州建业造价工程师事务所有限公司</w:t>
      </w:r>
    </w:p>
    <w:p>
      <w:pPr>
        <w:spacing w:line="440" w:lineRule="exact"/>
        <w:rPr>
          <w:rFonts w:hint="eastAsia" w:ascii="仿宋" w:hAnsi="仿宋" w:eastAsia="仿宋"/>
          <w:sz w:val="24"/>
          <w:u w:val="single"/>
        </w:rPr>
      </w:pPr>
      <w:r>
        <w:rPr>
          <w:rFonts w:hint="eastAsia" w:ascii="仿宋" w:hAnsi="仿宋" w:eastAsia="仿宋"/>
          <w:sz w:val="24"/>
          <w:u w:val="single"/>
        </w:rPr>
        <w:t>开户行：建行杭州秋涛支行</w:t>
      </w:r>
    </w:p>
    <w:p>
      <w:pPr>
        <w:spacing w:line="440" w:lineRule="exact"/>
        <w:rPr>
          <w:rFonts w:hint="eastAsia" w:ascii="仿宋" w:hAnsi="仿宋" w:eastAsia="仿宋" w:cs="宋体"/>
          <w:sz w:val="24"/>
          <w:u w:val="single"/>
        </w:rPr>
      </w:pPr>
      <w:r>
        <w:rPr>
          <w:rFonts w:hint="eastAsia" w:ascii="仿宋" w:hAnsi="仿宋" w:eastAsia="仿宋"/>
          <w:sz w:val="24"/>
          <w:u w:val="single"/>
        </w:rPr>
        <w:t>账号：33001616635050003678</w:t>
      </w:r>
    </w:p>
    <w:p>
      <w:pPr>
        <w:snapToGrid w:val="0"/>
        <w:spacing w:before="50" w:after="50"/>
        <w:rPr>
          <w:rFonts w:ascii="仿宋" w:hAnsi="仿宋" w:eastAsia="仿宋" w:cs="宋体"/>
        </w:rPr>
      </w:pPr>
    </w:p>
    <w:p>
      <w:pPr>
        <w:pStyle w:val="12"/>
      </w:pPr>
    </w:p>
    <w:p/>
    <w:p>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投标人公章：</w:t>
      </w:r>
    </w:p>
    <w:p>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日期：   年   月   日</w:t>
      </w:r>
    </w:p>
    <w:p>
      <w:pPr>
        <w:snapToGrid w:val="0"/>
        <w:spacing w:beforeLines="50" w:after="50" w:line="460" w:lineRule="exact"/>
        <w:jc w:val="left"/>
        <w:rPr>
          <w:rFonts w:ascii="仿宋" w:hAnsi="仿宋" w:eastAsia="仿宋" w:cs="宋体"/>
          <w:sz w:val="24"/>
        </w:rPr>
      </w:pPr>
    </w:p>
    <w:p>
      <w:pPr>
        <w:snapToGrid w:val="0"/>
        <w:spacing w:beforeLines="50" w:after="50" w:line="460" w:lineRule="exact"/>
        <w:jc w:val="left"/>
        <w:rPr>
          <w:rFonts w:ascii="仿宋" w:hAnsi="仿宋" w:eastAsia="仿宋" w:cs="宋体"/>
          <w:sz w:val="24"/>
        </w:rPr>
      </w:pPr>
    </w:p>
    <w:p>
      <w:pPr>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3"/>
        <w:keepNext w:val="0"/>
        <w:spacing w:line="360" w:lineRule="auto"/>
        <w:jc w:val="both"/>
      </w:pPr>
    </w:p>
    <w:sectPr>
      <w:headerReference r:id="rId8" w:type="default"/>
      <w:footerReference r:id="rId9" w:type="default"/>
      <w:type w:val="continuous"/>
      <w:pgSz w:w="11907" w:h="16840"/>
      <w:pgMar w:top="1418" w:right="1701" w:bottom="1134" w:left="1701" w:header="1134"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宋体;SimSun">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 w:hAnsi="仿宋" w:eastAsia="仿宋" w:cs="仿宋"/>
        <w:sz w:val="21"/>
        <w:szCs w:val="21"/>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6"/>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both"/>
      <w:rPr>
        <w:rFonts w:ascii="仿宋" w:hAnsi="仿宋" w:eastAsia="仿宋" w:cs="仿宋"/>
        <w:sz w:val="24"/>
      </w:rPr>
    </w:pPr>
    <w:r>
      <w:rPr>
        <w:rFonts w:hint="eastAsia" w:ascii="仿宋" w:hAnsi="仿宋" w:eastAsia="仿宋" w:cs="仿宋"/>
        <w:sz w:val="24"/>
        <w:szCs w:val="24"/>
      </w:rPr>
      <w:t>雨污水管网维护及应急处置项目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 w:hAnsi="仿宋" w:eastAsia="仿宋" w:cs="仿宋"/>
        <w:sz w:val="24"/>
        <w:szCs w:val="24"/>
      </w:rPr>
    </w:pPr>
    <w:r>
      <w:rPr>
        <w:rFonts w:hint="eastAsia" w:ascii="仿宋" w:hAnsi="仿宋" w:eastAsia="仿宋" w:cs="仿宋"/>
        <w:sz w:val="24"/>
      </w:rPr>
      <w:t>雨污水管网维护及应急处置项目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51E5"/>
    <w:multiLevelType w:val="multilevel"/>
    <w:tmpl w:val="A6E751E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val="0"/>
        <w:bCs w:val="0"/>
        <w:sz w:val="24"/>
        <w:szCs w:val="24"/>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269BE89"/>
    <w:multiLevelType w:val="singleLevel"/>
    <w:tmpl w:val="B269BE89"/>
    <w:lvl w:ilvl="0" w:tentative="0">
      <w:start w:val="1"/>
      <w:numFmt w:val="decimal"/>
      <w:suff w:val="nothing"/>
      <w:lvlText w:val="（%1）"/>
      <w:lvlJc w:val="left"/>
    </w:lvl>
  </w:abstractNum>
  <w:abstractNum w:abstractNumId="2">
    <w:nsid w:val="C9966540"/>
    <w:multiLevelType w:val="singleLevel"/>
    <w:tmpl w:val="C9966540"/>
    <w:lvl w:ilvl="0" w:tentative="0">
      <w:start w:val="6"/>
      <w:numFmt w:val="chineseCounting"/>
      <w:suff w:val="nothing"/>
      <w:lvlText w:val="%1、"/>
      <w:lvlJc w:val="left"/>
      <w:rPr>
        <w:rFonts w:hint="eastAsia"/>
      </w:rPr>
    </w:lvl>
  </w:abstractNum>
  <w:abstractNum w:abstractNumId="3">
    <w:nsid w:val="F71312EA"/>
    <w:multiLevelType w:val="singleLevel"/>
    <w:tmpl w:val="F71312EA"/>
    <w:lvl w:ilvl="0" w:tentative="0">
      <w:start w:val="1"/>
      <w:numFmt w:val="decimal"/>
      <w:suff w:val="nothing"/>
      <w:lvlText w:val="（%1）"/>
      <w:lvlJc w:val="left"/>
      <w:pPr>
        <w:ind w:left="360"/>
      </w:pPr>
      <w:rPr>
        <w:rFonts w:hint="default"/>
        <w:b w:val="0"/>
        <w:bCs w:val="0"/>
      </w:rPr>
    </w:lvl>
  </w:abstractNum>
  <w:abstractNum w:abstractNumId="4">
    <w:nsid w:val="104EDEE4"/>
    <w:multiLevelType w:val="singleLevel"/>
    <w:tmpl w:val="104EDEE4"/>
    <w:lvl w:ilvl="0" w:tentative="0">
      <w:start w:val="11"/>
      <w:numFmt w:val="chineseCounting"/>
      <w:suff w:val="nothing"/>
      <w:lvlText w:val="%1、"/>
      <w:lvlJc w:val="left"/>
      <w:rPr>
        <w:rFonts w:hint="eastAsia"/>
      </w:rPr>
    </w:lvl>
  </w:abstractNum>
  <w:abstractNum w:abstractNumId="5">
    <w:nsid w:val="1E4E382C"/>
    <w:multiLevelType w:val="singleLevel"/>
    <w:tmpl w:val="1E4E382C"/>
    <w:lvl w:ilvl="0" w:tentative="0">
      <w:start w:val="1"/>
      <w:numFmt w:val="decimal"/>
      <w:suff w:val="nothing"/>
      <w:lvlText w:val="%1、"/>
      <w:lvlJc w:val="left"/>
    </w:lvl>
  </w:abstractNum>
  <w:abstractNum w:abstractNumId="6">
    <w:nsid w:val="67D07EB1"/>
    <w:multiLevelType w:val="singleLevel"/>
    <w:tmpl w:val="67D07EB1"/>
    <w:lvl w:ilvl="0" w:tentative="0">
      <w:start w:val="1"/>
      <w:numFmt w:val="chineseCounting"/>
      <w:suff w:val="nothing"/>
      <w:lvlText w:val="%1、"/>
      <w:lvlJc w:val="left"/>
      <w:rPr>
        <w:rFonts w:hint="eastAsia"/>
      </w:rPr>
    </w:lvl>
  </w:abstractNum>
  <w:abstractNum w:abstractNumId="7">
    <w:nsid w:val="7C265820"/>
    <w:multiLevelType w:val="singleLevel"/>
    <w:tmpl w:val="7C265820"/>
    <w:lvl w:ilvl="0" w:tentative="0">
      <w:start w:val="1"/>
      <w:numFmt w:val="decimal"/>
      <w:suff w:val="nothing"/>
      <w:lvlText w:val="%1、"/>
      <w:lvlJc w:val="left"/>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DQ4NGI4ZTc5NjkxZmFmNDAyNDA0OWRkNGNhOWEifQ=="/>
  </w:docVars>
  <w:rsids>
    <w:rsidRoot w:val="002D64F6"/>
    <w:rsid w:val="000232EC"/>
    <w:rsid w:val="00041F7B"/>
    <w:rsid w:val="00061840"/>
    <w:rsid w:val="000755E1"/>
    <w:rsid w:val="0008635F"/>
    <w:rsid w:val="000B6FB5"/>
    <w:rsid w:val="000D38BA"/>
    <w:rsid w:val="000D51E6"/>
    <w:rsid w:val="000E1D56"/>
    <w:rsid w:val="000E5412"/>
    <w:rsid w:val="00100FDE"/>
    <w:rsid w:val="00106D77"/>
    <w:rsid w:val="001439C6"/>
    <w:rsid w:val="00145B5B"/>
    <w:rsid w:val="0015640C"/>
    <w:rsid w:val="0016347D"/>
    <w:rsid w:val="00176184"/>
    <w:rsid w:val="001B077E"/>
    <w:rsid w:val="001C4BA0"/>
    <w:rsid w:val="001E1713"/>
    <w:rsid w:val="001E35D7"/>
    <w:rsid w:val="001E7811"/>
    <w:rsid w:val="001E7C71"/>
    <w:rsid w:val="001F37BD"/>
    <w:rsid w:val="001F6651"/>
    <w:rsid w:val="00200D79"/>
    <w:rsid w:val="002013D1"/>
    <w:rsid w:val="00201C3A"/>
    <w:rsid w:val="00214172"/>
    <w:rsid w:val="00243932"/>
    <w:rsid w:val="00252D7D"/>
    <w:rsid w:val="00270975"/>
    <w:rsid w:val="002B18E8"/>
    <w:rsid w:val="002C17B6"/>
    <w:rsid w:val="002D2EBE"/>
    <w:rsid w:val="002D44C0"/>
    <w:rsid w:val="002D64F6"/>
    <w:rsid w:val="002D6E03"/>
    <w:rsid w:val="002F3DCF"/>
    <w:rsid w:val="00317A84"/>
    <w:rsid w:val="00331024"/>
    <w:rsid w:val="003412FA"/>
    <w:rsid w:val="003513E9"/>
    <w:rsid w:val="00374EB9"/>
    <w:rsid w:val="00386ADF"/>
    <w:rsid w:val="003B2078"/>
    <w:rsid w:val="003B710A"/>
    <w:rsid w:val="00426D46"/>
    <w:rsid w:val="00436EAD"/>
    <w:rsid w:val="00441982"/>
    <w:rsid w:val="0044732C"/>
    <w:rsid w:val="00457A6E"/>
    <w:rsid w:val="004A136B"/>
    <w:rsid w:val="004A1974"/>
    <w:rsid w:val="004C3726"/>
    <w:rsid w:val="004D0CB0"/>
    <w:rsid w:val="004D2414"/>
    <w:rsid w:val="004D5022"/>
    <w:rsid w:val="004D7C6A"/>
    <w:rsid w:val="004E19CE"/>
    <w:rsid w:val="004F16B7"/>
    <w:rsid w:val="00507427"/>
    <w:rsid w:val="00525B0C"/>
    <w:rsid w:val="00535BB4"/>
    <w:rsid w:val="00593845"/>
    <w:rsid w:val="00593881"/>
    <w:rsid w:val="005C706C"/>
    <w:rsid w:val="005E3A4A"/>
    <w:rsid w:val="005E59E2"/>
    <w:rsid w:val="005F3070"/>
    <w:rsid w:val="005F3869"/>
    <w:rsid w:val="0060357E"/>
    <w:rsid w:val="00615E11"/>
    <w:rsid w:val="00661883"/>
    <w:rsid w:val="00676A61"/>
    <w:rsid w:val="00695ED9"/>
    <w:rsid w:val="006C2E83"/>
    <w:rsid w:val="006D1B09"/>
    <w:rsid w:val="006D69B2"/>
    <w:rsid w:val="006E1BC8"/>
    <w:rsid w:val="006E1FE0"/>
    <w:rsid w:val="006E6359"/>
    <w:rsid w:val="006E6D18"/>
    <w:rsid w:val="006E7437"/>
    <w:rsid w:val="006F50AF"/>
    <w:rsid w:val="006F6AE1"/>
    <w:rsid w:val="00706380"/>
    <w:rsid w:val="007432FE"/>
    <w:rsid w:val="007603B8"/>
    <w:rsid w:val="00764213"/>
    <w:rsid w:val="007A248A"/>
    <w:rsid w:val="007B2329"/>
    <w:rsid w:val="007C2C76"/>
    <w:rsid w:val="007C7D83"/>
    <w:rsid w:val="007D072F"/>
    <w:rsid w:val="007E0D71"/>
    <w:rsid w:val="00823AF9"/>
    <w:rsid w:val="00831A74"/>
    <w:rsid w:val="00844DC6"/>
    <w:rsid w:val="00847654"/>
    <w:rsid w:val="00874139"/>
    <w:rsid w:val="00883551"/>
    <w:rsid w:val="008F5EEB"/>
    <w:rsid w:val="009061ED"/>
    <w:rsid w:val="00941E4E"/>
    <w:rsid w:val="009459CF"/>
    <w:rsid w:val="00981993"/>
    <w:rsid w:val="009C6AC9"/>
    <w:rsid w:val="009E77A1"/>
    <w:rsid w:val="009F636E"/>
    <w:rsid w:val="00A03199"/>
    <w:rsid w:val="00A34301"/>
    <w:rsid w:val="00A4700D"/>
    <w:rsid w:val="00A717C0"/>
    <w:rsid w:val="00A91494"/>
    <w:rsid w:val="00AA175A"/>
    <w:rsid w:val="00AB1174"/>
    <w:rsid w:val="00AC7BD1"/>
    <w:rsid w:val="00AD6774"/>
    <w:rsid w:val="00AD7B5C"/>
    <w:rsid w:val="00AE00E2"/>
    <w:rsid w:val="00AE4C8C"/>
    <w:rsid w:val="00B1032B"/>
    <w:rsid w:val="00B11284"/>
    <w:rsid w:val="00B114D2"/>
    <w:rsid w:val="00B40BDC"/>
    <w:rsid w:val="00B41CBB"/>
    <w:rsid w:val="00B42195"/>
    <w:rsid w:val="00B67E56"/>
    <w:rsid w:val="00B7320A"/>
    <w:rsid w:val="00B93860"/>
    <w:rsid w:val="00B9793F"/>
    <w:rsid w:val="00BA258E"/>
    <w:rsid w:val="00BA3106"/>
    <w:rsid w:val="00BB6056"/>
    <w:rsid w:val="00BD79A5"/>
    <w:rsid w:val="00BE47A9"/>
    <w:rsid w:val="00BF11CD"/>
    <w:rsid w:val="00C056CC"/>
    <w:rsid w:val="00C17FC5"/>
    <w:rsid w:val="00C23457"/>
    <w:rsid w:val="00C5765D"/>
    <w:rsid w:val="00C81544"/>
    <w:rsid w:val="00C91E3B"/>
    <w:rsid w:val="00CC59D0"/>
    <w:rsid w:val="00CE1E88"/>
    <w:rsid w:val="00CE2493"/>
    <w:rsid w:val="00CF6553"/>
    <w:rsid w:val="00CF7537"/>
    <w:rsid w:val="00D020DD"/>
    <w:rsid w:val="00D15308"/>
    <w:rsid w:val="00D17414"/>
    <w:rsid w:val="00D17EE3"/>
    <w:rsid w:val="00D24819"/>
    <w:rsid w:val="00D359CE"/>
    <w:rsid w:val="00D47A96"/>
    <w:rsid w:val="00D54F39"/>
    <w:rsid w:val="00D636CE"/>
    <w:rsid w:val="00D751D5"/>
    <w:rsid w:val="00E224C2"/>
    <w:rsid w:val="00E23BC2"/>
    <w:rsid w:val="00E30325"/>
    <w:rsid w:val="00E345E2"/>
    <w:rsid w:val="00E40C07"/>
    <w:rsid w:val="00E82C7C"/>
    <w:rsid w:val="00E8513C"/>
    <w:rsid w:val="00E8589B"/>
    <w:rsid w:val="00EA6DA9"/>
    <w:rsid w:val="00EB4531"/>
    <w:rsid w:val="00EB5000"/>
    <w:rsid w:val="00EB51BA"/>
    <w:rsid w:val="00EB528E"/>
    <w:rsid w:val="00ED010C"/>
    <w:rsid w:val="00EE5D45"/>
    <w:rsid w:val="00F2286C"/>
    <w:rsid w:val="00F36D7F"/>
    <w:rsid w:val="00F41362"/>
    <w:rsid w:val="00F424DF"/>
    <w:rsid w:val="00F552B1"/>
    <w:rsid w:val="00F67D56"/>
    <w:rsid w:val="00F71FE9"/>
    <w:rsid w:val="00F861F7"/>
    <w:rsid w:val="00F95738"/>
    <w:rsid w:val="00FE123A"/>
    <w:rsid w:val="00FF0C8D"/>
    <w:rsid w:val="0100126B"/>
    <w:rsid w:val="01FB29D2"/>
    <w:rsid w:val="02360D91"/>
    <w:rsid w:val="0237167C"/>
    <w:rsid w:val="02963F39"/>
    <w:rsid w:val="02F56BD5"/>
    <w:rsid w:val="03065425"/>
    <w:rsid w:val="03AC773F"/>
    <w:rsid w:val="041C3669"/>
    <w:rsid w:val="04325BBA"/>
    <w:rsid w:val="047B3AAC"/>
    <w:rsid w:val="04B24699"/>
    <w:rsid w:val="04B9335B"/>
    <w:rsid w:val="04F63E0B"/>
    <w:rsid w:val="0510720E"/>
    <w:rsid w:val="05226BC9"/>
    <w:rsid w:val="0547120A"/>
    <w:rsid w:val="0576424C"/>
    <w:rsid w:val="057B4C2B"/>
    <w:rsid w:val="059E2A04"/>
    <w:rsid w:val="05AC22B4"/>
    <w:rsid w:val="05D610DF"/>
    <w:rsid w:val="06301746"/>
    <w:rsid w:val="065B5E61"/>
    <w:rsid w:val="06A6157E"/>
    <w:rsid w:val="073C04EF"/>
    <w:rsid w:val="07F860D3"/>
    <w:rsid w:val="08C93EE6"/>
    <w:rsid w:val="0944625E"/>
    <w:rsid w:val="09926FE8"/>
    <w:rsid w:val="09BC6D43"/>
    <w:rsid w:val="0A1D1E9D"/>
    <w:rsid w:val="0A562C0B"/>
    <w:rsid w:val="0A7D5FCD"/>
    <w:rsid w:val="0B100CBA"/>
    <w:rsid w:val="0BBF1FCF"/>
    <w:rsid w:val="0CA44091"/>
    <w:rsid w:val="0CBA0B62"/>
    <w:rsid w:val="0CC55140"/>
    <w:rsid w:val="0DAC1A94"/>
    <w:rsid w:val="0DE46889"/>
    <w:rsid w:val="0E796AAB"/>
    <w:rsid w:val="0ED66BF9"/>
    <w:rsid w:val="0EDF667F"/>
    <w:rsid w:val="0F9D2C6D"/>
    <w:rsid w:val="11292A0B"/>
    <w:rsid w:val="11F424B1"/>
    <w:rsid w:val="12202156"/>
    <w:rsid w:val="124715B6"/>
    <w:rsid w:val="12CC1C47"/>
    <w:rsid w:val="12EF3359"/>
    <w:rsid w:val="12FC58B1"/>
    <w:rsid w:val="13211947"/>
    <w:rsid w:val="14193114"/>
    <w:rsid w:val="14626ECD"/>
    <w:rsid w:val="151F5AD7"/>
    <w:rsid w:val="157E0E4B"/>
    <w:rsid w:val="17290FC2"/>
    <w:rsid w:val="17451F4D"/>
    <w:rsid w:val="17926F0C"/>
    <w:rsid w:val="18294277"/>
    <w:rsid w:val="186C2B66"/>
    <w:rsid w:val="188C741B"/>
    <w:rsid w:val="18E31223"/>
    <w:rsid w:val="19BB789B"/>
    <w:rsid w:val="1A052DAB"/>
    <w:rsid w:val="1AEB3CC6"/>
    <w:rsid w:val="1B8B031B"/>
    <w:rsid w:val="1BD856A2"/>
    <w:rsid w:val="1D372D13"/>
    <w:rsid w:val="1D8D2F6A"/>
    <w:rsid w:val="1DB227B2"/>
    <w:rsid w:val="1DE911D6"/>
    <w:rsid w:val="2072476E"/>
    <w:rsid w:val="20923024"/>
    <w:rsid w:val="20F43CAB"/>
    <w:rsid w:val="21157A31"/>
    <w:rsid w:val="211F7962"/>
    <w:rsid w:val="21645399"/>
    <w:rsid w:val="223E068F"/>
    <w:rsid w:val="22620E43"/>
    <w:rsid w:val="226268AF"/>
    <w:rsid w:val="22B145EA"/>
    <w:rsid w:val="22CD699F"/>
    <w:rsid w:val="22F12AE5"/>
    <w:rsid w:val="2309061F"/>
    <w:rsid w:val="2312609E"/>
    <w:rsid w:val="235346C9"/>
    <w:rsid w:val="23783A0B"/>
    <w:rsid w:val="237F6ED9"/>
    <w:rsid w:val="23DF208E"/>
    <w:rsid w:val="24561F7E"/>
    <w:rsid w:val="24CD3FFF"/>
    <w:rsid w:val="250125E8"/>
    <w:rsid w:val="25930A73"/>
    <w:rsid w:val="25CA70EC"/>
    <w:rsid w:val="266013C0"/>
    <w:rsid w:val="278B4E77"/>
    <w:rsid w:val="28CD6B22"/>
    <w:rsid w:val="296F1A40"/>
    <w:rsid w:val="298C2693"/>
    <w:rsid w:val="2A0475B6"/>
    <w:rsid w:val="2A217CA7"/>
    <w:rsid w:val="2A4B5348"/>
    <w:rsid w:val="2A507293"/>
    <w:rsid w:val="2A64465C"/>
    <w:rsid w:val="2AA82274"/>
    <w:rsid w:val="2AFF3560"/>
    <w:rsid w:val="2B311CFB"/>
    <w:rsid w:val="2BA03472"/>
    <w:rsid w:val="2BA70373"/>
    <w:rsid w:val="2BC33F17"/>
    <w:rsid w:val="2BE35A76"/>
    <w:rsid w:val="2CA806C6"/>
    <w:rsid w:val="2CDC014C"/>
    <w:rsid w:val="2D3C33B8"/>
    <w:rsid w:val="2D687FBF"/>
    <w:rsid w:val="2E186BCF"/>
    <w:rsid w:val="2E295633"/>
    <w:rsid w:val="2E740DF4"/>
    <w:rsid w:val="2E8B0409"/>
    <w:rsid w:val="2E935BE3"/>
    <w:rsid w:val="2EE865DD"/>
    <w:rsid w:val="2F1601C7"/>
    <w:rsid w:val="2F537131"/>
    <w:rsid w:val="307F73AF"/>
    <w:rsid w:val="31067C7F"/>
    <w:rsid w:val="31491507"/>
    <w:rsid w:val="315B44C9"/>
    <w:rsid w:val="31AA709D"/>
    <w:rsid w:val="31EF1AAC"/>
    <w:rsid w:val="3288543B"/>
    <w:rsid w:val="34297E70"/>
    <w:rsid w:val="34B51CB3"/>
    <w:rsid w:val="35320F9E"/>
    <w:rsid w:val="35C84228"/>
    <w:rsid w:val="35E015EE"/>
    <w:rsid w:val="35EB0709"/>
    <w:rsid w:val="36EB133F"/>
    <w:rsid w:val="379322B1"/>
    <w:rsid w:val="386429F0"/>
    <w:rsid w:val="386F0D30"/>
    <w:rsid w:val="388E5944"/>
    <w:rsid w:val="38EC4D9D"/>
    <w:rsid w:val="38EF5C61"/>
    <w:rsid w:val="3908775A"/>
    <w:rsid w:val="39273996"/>
    <w:rsid w:val="39361B96"/>
    <w:rsid w:val="396C4414"/>
    <w:rsid w:val="3AED7D19"/>
    <w:rsid w:val="3B2179CF"/>
    <w:rsid w:val="3B411CF6"/>
    <w:rsid w:val="3BD43F26"/>
    <w:rsid w:val="3BE66DDA"/>
    <w:rsid w:val="3C5E0F0B"/>
    <w:rsid w:val="3C77306C"/>
    <w:rsid w:val="3CAC5EC5"/>
    <w:rsid w:val="3CF11AE7"/>
    <w:rsid w:val="3D913146"/>
    <w:rsid w:val="3D9978B1"/>
    <w:rsid w:val="3DA308D9"/>
    <w:rsid w:val="3DF82725"/>
    <w:rsid w:val="3E9A366A"/>
    <w:rsid w:val="3EB94D37"/>
    <w:rsid w:val="3EDD1F70"/>
    <w:rsid w:val="3F2D2CE4"/>
    <w:rsid w:val="3FFF47B3"/>
    <w:rsid w:val="40396369"/>
    <w:rsid w:val="40A0686C"/>
    <w:rsid w:val="41254309"/>
    <w:rsid w:val="423641A3"/>
    <w:rsid w:val="42DF267A"/>
    <w:rsid w:val="430116F2"/>
    <w:rsid w:val="432A5783"/>
    <w:rsid w:val="436A31F1"/>
    <w:rsid w:val="43943548"/>
    <w:rsid w:val="4462158A"/>
    <w:rsid w:val="44885402"/>
    <w:rsid w:val="44BD43B6"/>
    <w:rsid w:val="44E5320C"/>
    <w:rsid w:val="45194B62"/>
    <w:rsid w:val="462A5C78"/>
    <w:rsid w:val="4666134F"/>
    <w:rsid w:val="46827F17"/>
    <w:rsid w:val="469C6ED8"/>
    <w:rsid w:val="47207C4E"/>
    <w:rsid w:val="487E3F1B"/>
    <w:rsid w:val="490C14BE"/>
    <w:rsid w:val="491313D0"/>
    <w:rsid w:val="49DE35AE"/>
    <w:rsid w:val="49F8668C"/>
    <w:rsid w:val="4A545D24"/>
    <w:rsid w:val="4B144E19"/>
    <w:rsid w:val="4B5E3D87"/>
    <w:rsid w:val="4BEE1E73"/>
    <w:rsid w:val="4D50762E"/>
    <w:rsid w:val="4D695962"/>
    <w:rsid w:val="4DC95283"/>
    <w:rsid w:val="4E5C0735"/>
    <w:rsid w:val="4EC14B6C"/>
    <w:rsid w:val="4EC30082"/>
    <w:rsid w:val="4F0429BC"/>
    <w:rsid w:val="4F92533F"/>
    <w:rsid w:val="4FAA73B2"/>
    <w:rsid w:val="4FC40731"/>
    <w:rsid w:val="4FE23AF9"/>
    <w:rsid w:val="500F0A42"/>
    <w:rsid w:val="50836D3A"/>
    <w:rsid w:val="508A00C9"/>
    <w:rsid w:val="508F56DF"/>
    <w:rsid w:val="50FE57F9"/>
    <w:rsid w:val="51145BE4"/>
    <w:rsid w:val="51626424"/>
    <w:rsid w:val="51A97D89"/>
    <w:rsid w:val="538A47BB"/>
    <w:rsid w:val="54DC760F"/>
    <w:rsid w:val="565755FF"/>
    <w:rsid w:val="56910FA0"/>
    <w:rsid w:val="56D91A42"/>
    <w:rsid w:val="5765317B"/>
    <w:rsid w:val="57B43C7D"/>
    <w:rsid w:val="57D07180"/>
    <w:rsid w:val="58C056D6"/>
    <w:rsid w:val="592317A2"/>
    <w:rsid w:val="597B1719"/>
    <w:rsid w:val="59E16A65"/>
    <w:rsid w:val="5A5F03CE"/>
    <w:rsid w:val="5A6D6DF4"/>
    <w:rsid w:val="5ABB7731"/>
    <w:rsid w:val="5ACC17B6"/>
    <w:rsid w:val="5B155928"/>
    <w:rsid w:val="5B8228C3"/>
    <w:rsid w:val="5BB61A1E"/>
    <w:rsid w:val="5BD60666"/>
    <w:rsid w:val="5C17764C"/>
    <w:rsid w:val="5C3D06E5"/>
    <w:rsid w:val="5CE04386"/>
    <w:rsid w:val="5D591219"/>
    <w:rsid w:val="5D9A3290"/>
    <w:rsid w:val="5DED7FE2"/>
    <w:rsid w:val="5DFA147B"/>
    <w:rsid w:val="5E2C47E2"/>
    <w:rsid w:val="5E522377"/>
    <w:rsid w:val="5F7F41DA"/>
    <w:rsid w:val="604745DC"/>
    <w:rsid w:val="605574B0"/>
    <w:rsid w:val="60964868"/>
    <w:rsid w:val="60A407D7"/>
    <w:rsid w:val="60A73659"/>
    <w:rsid w:val="610E2DAD"/>
    <w:rsid w:val="619C5EAE"/>
    <w:rsid w:val="61C1056C"/>
    <w:rsid w:val="61DE787E"/>
    <w:rsid w:val="62683678"/>
    <w:rsid w:val="629F4EFE"/>
    <w:rsid w:val="62CD29FE"/>
    <w:rsid w:val="631235CB"/>
    <w:rsid w:val="635B21A1"/>
    <w:rsid w:val="63673845"/>
    <w:rsid w:val="63924E8B"/>
    <w:rsid w:val="63CF4B37"/>
    <w:rsid w:val="63F975E8"/>
    <w:rsid w:val="64205E96"/>
    <w:rsid w:val="644261BF"/>
    <w:rsid w:val="644C725D"/>
    <w:rsid w:val="64EA5643"/>
    <w:rsid w:val="65030F58"/>
    <w:rsid w:val="65131E9C"/>
    <w:rsid w:val="652E6EAE"/>
    <w:rsid w:val="655D7702"/>
    <w:rsid w:val="658E69CC"/>
    <w:rsid w:val="65CB63BA"/>
    <w:rsid w:val="65D972F5"/>
    <w:rsid w:val="65FC3286"/>
    <w:rsid w:val="663A5DB1"/>
    <w:rsid w:val="66A94114"/>
    <w:rsid w:val="66C043ED"/>
    <w:rsid w:val="66F651EE"/>
    <w:rsid w:val="67937328"/>
    <w:rsid w:val="68AF6CFE"/>
    <w:rsid w:val="69A31AC6"/>
    <w:rsid w:val="69D312A0"/>
    <w:rsid w:val="69D8268C"/>
    <w:rsid w:val="6A3F73B1"/>
    <w:rsid w:val="6ADF6E0B"/>
    <w:rsid w:val="6AEA1A38"/>
    <w:rsid w:val="6B41704B"/>
    <w:rsid w:val="6B4D3737"/>
    <w:rsid w:val="6B563F29"/>
    <w:rsid w:val="6BA73681"/>
    <w:rsid w:val="6BB359E5"/>
    <w:rsid w:val="6BE92B6B"/>
    <w:rsid w:val="6C476772"/>
    <w:rsid w:val="6CA74D3B"/>
    <w:rsid w:val="6DE4072E"/>
    <w:rsid w:val="6E236AEA"/>
    <w:rsid w:val="6E3855F9"/>
    <w:rsid w:val="6EE00EE5"/>
    <w:rsid w:val="6F2458C7"/>
    <w:rsid w:val="6F753B6B"/>
    <w:rsid w:val="6FF31AE1"/>
    <w:rsid w:val="705028DA"/>
    <w:rsid w:val="708B1B86"/>
    <w:rsid w:val="70CC2E54"/>
    <w:rsid w:val="70EF25D3"/>
    <w:rsid w:val="71154A7F"/>
    <w:rsid w:val="7166670A"/>
    <w:rsid w:val="71B0505E"/>
    <w:rsid w:val="71DD153E"/>
    <w:rsid w:val="71FB09CF"/>
    <w:rsid w:val="72255FF3"/>
    <w:rsid w:val="72594E42"/>
    <w:rsid w:val="734775FF"/>
    <w:rsid w:val="73F46CD3"/>
    <w:rsid w:val="74296F20"/>
    <w:rsid w:val="74461AA1"/>
    <w:rsid w:val="745421BF"/>
    <w:rsid w:val="7499002B"/>
    <w:rsid w:val="74F24F39"/>
    <w:rsid w:val="75206410"/>
    <w:rsid w:val="752B5AA1"/>
    <w:rsid w:val="75BA578A"/>
    <w:rsid w:val="75D37C3C"/>
    <w:rsid w:val="7613196C"/>
    <w:rsid w:val="76424E1E"/>
    <w:rsid w:val="767542D1"/>
    <w:rsid w:val="76BC4718"/>
    <w:rsid w:val="771D00F4"/>
    <w:rsid w:val="773A4665"/>
    <w:rsid w:val="77951CAC"/>
    <w:rsid w:val="77D832C9"/>
    <w:rsid w:val="787F60D3"/>
    <w:rsid w:val="78F80068"/>
    <w:rsid w:val="7A0B5A56"/>
    <w:rsid w:val="7A2F6FE3"/>
    <w:rsid w:val="7ADD2314"/>
    <w:rsid w:val="7B1B6B86"/>
    <w:rsid w:val="7B614DCE"/>
    <w:rsid w:val="7B781635"/>
    <w:rsid w:val="7BE55029"/>
    <w:rsid w:val="7C140FCB"/>
    <w:rsid w:val="7CFB15CD"/>
    <w:rsid w:val="7D2808C2"/>
    <w:rsid w:val="7DA0242A"/>
    <w:rsid w:val="7DD96084"/>
    <w:rsid w:val="7E130EBF"/>
    <w:rsid w:val="7F8F3195"/>
    <w:rsid w:val="7FAC155A"/>
    <w:rsid w:val="7FBA4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216" w:lineRule="auto"/>
      <w:jc w:val="center"/>
      <w:outlineLvl w:val="0"/>
    </w:pPr>
    <w:rPr>
      <w:rFonts w:ascii="宋体" w:hAnsi="宋体"/>
      <w:b/>
      <w:sz w:val="30"/>
      <w:szCs w:val="20"/>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99"/>
    <w:rPr>
      <w:rFonts w:ascii="Calibri" w:hAnsi="Calibri" w:eastAsia="宋体" w:cs="Times New Roman"/>
      <w:kern w:val="2"/>
      <w:sz w:val="28"/>
      <w:szCs w:val="22"/>
      <w:lang w:val="en-US" w:eastAsia="zh-CN" w:bidi="ar-SA"/>
    </w:rPr>
  </w:style>
  <w:style w:type="paragraph" w:styleId="5">
    <w:name w:val="Normal Indent"/>
    <w:basedOn w:val="1"/>
    <w:link w:val="46"/>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宋体"/>
      <w:sz w:val="28"/>
    </w:rPr>
  </w:style>
  <w:style w:type="paragraph" w:styleId="9">
    <w:name w:val="Body Text First Indent"/>
    <w:basedOn w:val="8"/>
    <w:next w:val="10"/>
    <w:qFormat/>
    <w:uiPriority w:val="0"/>
    <w:pPr>
      <w:spacing w:line="312" w:lineRule="auto"/>
      <w:ind w:firstLine="420"/>
    </w:pPr>
  </w:style>
  <w:style w:type="paragraph" w:styleId="10">
    <w:name w:val="toc 6"/>
    <w:basedOn w:val="1"/>
    <w:next w:val="1"/>
    <w:qFormat/>
    <w:uiPriority w:val="99"/>
    <w:pPr>
      <w:ind w:left="2100" w:leftChars="1000"/>
    </w:pPr>
    <w:rPr>
      <w:szCs w:val="22"/>
    </w:rPr>
  </w:style>
  <w:style w:type="paragraph" w:styleId="11">
    <w:name w:val="Body Text Indent"/>
    <w:basedOn w:val="1"/>
    <w:next w:val="12"/>
    <w:qFormat/>
    <w:uiPriority w:val="0"/>
    <w:pPr>
      <w:spacing w:line="360" w:lineRule="auto"/>
      <w:ind w:firstLine="600" w:firstLineChars="200"/>
    </w:pPr>
    <w:rPr>
      <w:rFonts w:ascii="仿宋_GB2312" w:hAnsi="宋体" w:eastAsia="仿宋_GB2312"/>
      <w:sz w:val="30"/>
    </w:rPr>
  </w:style>
  <w:style w:type="paragraph" w:styleId="12">
    <w:name w:val="Body Text First Indent 2"/>
    <w:basedOn w:val="11"/>
    <w:next w:val="1"/>
    <w:qFormat/>
    <w:uiPriority w:val="0"/>
    <w:pPr>
      <w:spacing w:after="120" w:line="240" w:lineRule="auto"/>
      <w:ind w:left="420" w:leftChars="200" w:firstLine="420"/>
    </w:pPr>
    <w:rPr>
      <w:rFonts w:ascii="Times New Roman" w:hAnsi="Times New Roman" w:eastAsia="楷体_GB2312"/>
      <w:sz w:val="21"/>
    </w:rPr>
  </w:style>
  <w:style w:type="paragraph" w:styleId="13">
    <w:name w:val="Block Text"/>
    <w:basedOn w:val="1"/>
    <w:qFormat/>
    <w:uiPriority w:val="0"/>
    <w:pPr>
      <w:spacing w:line="390" w:lineRule="exact"/>
      <w:ind w:left="735" w:right="-296" w:rightChars="-141"/>
    </w:pPr>
    <w:rPr>
      <w:rFonts w:ascii="宋体"/>
    </w:rPr>
  </w:style>
  <w:style w:type="paragraph" w:styleId="14">
    <w:name w:val="Plain Text"/>
    <w:basedOn w:val="1"/>
    <w:next w:val="1"/>
    <w:link w:val="47"/>
    <w:qFormat/>
    <w:uiPriority w:val="0"/>
    <w:rPr>
      <w:rFonts w:ascii="宋体" w:hAnsi="Courier New" w:cs="Courier New"/>
      <w:szCs w:val="21"/>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8">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List"/>
    <w:basedOn w:val="1"/>
    <w:next w:val="1"/>
    <w:qFormat/>
    <w:uiPriority w:val="0"/>
    <w:pPr>
      <w:ind w:left="200" w:hanging="200" w:hangingChars="200"/>
    </w:pPr>
    <w:rPr>
      <w:szCs w:val="20"/>
    </w:rPr>
  </w:style>
  <w:style w:type="paragraph" w:styleId="20">
    <w:name w:val="Body Text Indent 3"/>
    <w:basedOn w:val="1"/>
    <w:qFormat/>
    <w:uiPriority w:val="99"/>
    <w:pPr>
      <w:spacing w:after="120"/>
      <w:ind w:left="420" w:leftChars="200"/>
    </w:pPr>
    <w:rPr>
      <w:sz w:val="16"/>
      <w:szCs w:val="16"/>
    </w:rPr>
  </w:style>
  <w:style w:type="paragraph" w:styleId="21">
    <w:name w:val="index 1"/>
    <w:basedOn w:val="1"/>
    <w:next w:val="1"/>
    <w:qFormat/>
    <w:uiPriority w:val="0"/>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line number"/>
    <w:basedOn w:val="24"/>
    <w:qFormat/>
    <w:uiPriority w:val="0"/>
  </w:style>
  <w:style w:type="character" w:styleId="27">
    <w:name w:val="Hyperlink"/>
    <w:qFormat/>
    <w:uiPriority w:val="0"/>
    <w:rPr>
      <w:color w:val="0000FF"/>
      <w:u w:val="single"/>
    </w:rPr>
  </w:style>
  <w:style w:type="character" w:styleId="28">
    <w:name w:val="annotation reference"/>
    <w:semiHidden/>
    <w:qFormat/>
    <w:uiPriority w:val="0"/>
    <w:rPr>
      <w:sz w:val="21"/>
      <w:szCs w:val="21"/>
    </w:rPr>
  </w:style>
  <w:style w:type="paragraph" w:customStyle="1" w:styleId="29">
    <w:name w:val="Normal Indent1"/>
    <w:basedOn w:val="1"/>
    <w:qFormat/>
    <w:uiPriority w:val="0"/>
    <w:pPr>
      <w:ind w:firstLine="420" w:firstLineChars="200"/>
    </w:pPr>
    <w:rPr>
      <w:szCs w:val="20"/>
    </w:rPr>
  </w:style>
  <w:style w:type="paragraph" w:customStyle="1" w:styleId="3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纯文本2"/>
    <w:basedOn w:val="1"/>
    <w:qFormat/>
    <w:uiPriority w:val="0"/>
    <w:pPr>
      <w:adjustRightInd w:val="0"/>
      <w:textAlignment w:val="baseline"/>
    </w:pPr>
    <w:rPr>
      <w:rFonts w:ascii="宋体" w:hAnsi="Courier New" w:eastAsia="楷体_GB2312"/>
      <w:sz w:val="26"/>
      <w:szCs w:val="20"/>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51"/>
    <w:basedOn w:val="24"/>
    <w:qFormat/>
    <w:uiPriority w:val="0"/>
    <w:rPr>
      <w:rFonts w:hint="eastAsia" w:ascii="宋体" w:hAnsi="宋体" w:eastAsia="宋体" w:cs="宋体"/>
      <w:color w:val="000000"/>
      <w:sz w:val="20"/>
      <w:szCs w:val="20"/>
      <w:u w:val="none"/>
    </w:rPr>
  </w:style>
  <w:style w:type="character" w:customStyle="1" w:styleId="37">
    <w:name w:val="font61"/>
    <w:basedOn w:val="24"/>
    <w:qFormat/>
    <w:uiPriority w:val="0"/>
    <w:rPr>
      <w:rFonts w:hint="eastAsia" w:ascii="宋体" w:hAnsi="宋体" w:eastAsia="宋体" w:cs="宋体"/>
      <w:b/>
      <w:color w:val="FF0000"/>
      <w:sz w:val="20"/>
      <w:szCs w:val="20"/>
      <w:u w:val="none"/>
    </w:rPr>
  </w:style>
  <w:style w:type="paragraph" w:customStyle="1" w:styleId="38">
    <w:name w:val="正文文字2"/>
    <w:basedOn w:val="8"/>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9">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styleId="40">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41">
    <w:name w:val="BodyText1I"/>
    <w:basedOn w:val="42"/>
    <w:qFormat/>
    <w:uiPriority w:val="0"/>
    <w:pPr>
      <w:tabs>
        <w:tab w:val="left" w:pos="3380"/>
      </w:tabs>
      <w:ind w:firstLine="420" w:firstLineChars="100"/>
    </w:pPr>
    <w:rPr>
      <w:rFonts w:ascii="宋体" w:hAnsi="宋体"/>
      <w:sz w:val="28"/>
      <w:szCs w:val="28"/>
    </w:rPr>
  </w:style>
  <w:style w:type="paragraph" w:customStyle="1" w:styleId="42">
    <w:name w:val="BodyText"/>
    <w:basedOn w:val="1"/>
    <w:next w:val="1"/>
    <w:qFormat/>
    <w:uiPriority w:val="0"/>
    <w:pPr>
      <w:tabs>
        <w:tab w:val="left" w:pos="3380"/>
      </w:tabs>
      <w:jc w:val="center"/>
      <w:textAlignment w:val="baseline"/>
    </w:pPr>
    <w:rPr>
      <w:rFonts w:ascii="Times New Roman"/>
      <w:b/>
      <w:bCs/>
      <w:spacing w:val="-20"/>
      <w:kern w:val="0"/>
      <w:sz w:val="36"/>
    </w:rPr>
  </w:style>
  <w:style w:type="paragraph" w:customStyle="1" w:styleId="43">
    <w:name w:val="Table Paragraph"/>
    <w:basedOn w:val="1"/>
    <w:qFormat/>
    <w:uiPriority w:val="1"/>
    <w:rPr>
      <w:rFonts w:ascii="宋体" w:hAnsi="宋体" w:cs="宋体"/>
      <w:lang w:val="zh-CN" w:bidi="zh-CN"/>
    </w:rPr>
  </w:style>
  <w:style w:type="paragraph" w:customStyle="1" w:styleId="44">
    <w:name w:val="章正文"/>
    <w:qFormat/>
    <w:uiPriority w:val="0"/>
    <w:pPr>
      <w:widowControl w:val="0"/>
      <w:spacing w:beforeLines="65" w:afterLines="50" w:line="300" w:lineRule="auto"/>
      <w:ind w:firstLine="480"/>
      <w:jc w:val="both"/>
    </w:pPr>
    <w:rPr>
      <w:rFonts w:ascii="Helvetica" w:hAnsi="Helvetica" w:eastAsia="宋体;SimSun" w:cs="Calibri"/>
      <w:sz w:val="24"/>
      <w:szCs w:val="24"/>
      <w:lang w:val="en-US" w:eastAsia="zh-CN" w:bidi="ar-SA"/>
    </w:rPr>
  </w:style>
  <w:style w:type="character" w:customStyle="1" w:styleId="45">
    <w:name w:val="批注框文本 Char"/>
    <w:basedOn w:val="24"/>
    <w:link w:val="15"/>
    <w:qFormat/>
    <w:uiPriority w:val="0"/>
    <w:rPr>
      <w:rFonts w:ascii="Calibri" w:hAnsi="Calibri"/>
      <w:kern w:val="2"/>
      <w:sz w:val="18"/>
      <w:szCs w:val="18"/>
    </w:rPr>
  </w:style>
  <w:style w:type="character" w:customStyle="1" w:styleId="46">
    <w:name w:val="正文缩进 Char"/>
    <w:link w:val="5"/>
    <w:qFormat/>
    <w:uiPriority w:val="0"/>
    <w:rPr>
      <w:rFonts w:ascii="Calibri" w:hAnsi="Calibri"/>
      <w:kern w:val="2"/>
      <w:sz w:val="21"/>
    </w:rPr>
  </w:style>
  <w:style w:type="character" w:customStyle="1" w:styleId="47">
    <w:name w:val="纯文本 Char"/>
    <w:link w:val="14"/>
    <w:qFormat/>
    <w:uiPriority w:val="0"/>
    <w:rPr>
      <w:rFonts w:ascii="宋体" w:hAnsi="Courier New" w:cs="Courier New"/>
      <w:kern w:val="2"/>
      <w:sz w:val="21"/>
      <w:szCs w:val="21"/>
    </w:rPr>
  </w:style>
  <w:style w:type="character" w:customStyle="1" w:styleId="48">
    <w:name w:val="font11"/>
    <w:basedOn w:val="24"/>
    <w:qFormat/>
    <w:uiPriority w:val="0"/>
    <w:rPr>
      <w:rFonts w:ascii="Calibri" w:hAnsi="Calibri" w:cs="Calibri"/>
      <w:color w:val="000000"/>
      <w:sz w:val="24"/>
      <w:szCs w:val="24"/>
      <w:u w:val="none"/>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_Style 41"/>
    <w:basedOn w:val="8"/>
    <w:next w:val="9"/>
    <w:unhideWhenUsed/>
    <w:qFormat/>
    <w:uiPriority w:val="99"/>
    <w:pPr>
      <w:ind w:firstLine="420" w:firstLineChars="1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92ABB-116C-45A1-BD1A-1CE63FA2345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66</Pages>
  <Words>33707</Words>
  <Characters>35462</Characters>
  <Lines>259</Lines>
  <Paragraphs>73</Paragraphs>
  <TotalTime>0</TotalTime>
  <ScaleCrop>false</ScaleCrop>
  <LinksUpToDate>false</LinksUpToDate>
  <CharactersWithSpaces>36231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2022-07-29T02:19:00Z</dcterms:created>
  <dc:creator>Administrator.PC-20160716QTOZ</dc:creator>
  <cp:lastModifiedBy>Administrator</cp:lastModifiedBy>
  <dcterms:modified xsi:type="dcterms:W3CDTF">2023-02-17T05:52:49Z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433E33A78A98474D9793BA6BB8CCEF47</vt:lpwstr>
  </property>
</Properties>
</file>