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b/>
          <w:bCs/>
          <w:color w:val="auto"/>
          <w:sz w:val="48"/>
          <w:szCs w:val="48"/>
          <w:lang w:eastAsia="zh-CN"/>
        </w:rPr>
      </w:pPr>
      <w:bookmarkStart w:id="0" w:name="第二部分"/>
      <w:bookmarkStart w:id="1" w:name="_Toc91899870"/>
      <w:bookmarkStart w:id="2" w:name="_Toc91899871"/>
      <w:r>
        <w:rPr>
          <w:rFonts w:hint="eastAsia" w:ascii="宋体" w:hAnsi="宋体" w:cs="宋体"/>
          <w:b/>
          <w:bCs/>
          <w:color w:val="auto"/>
          <w:sz w:val="48"/>
          <w:szCs w:val="48"/>
          <w:lang w:eastAsia="zh-CN"/>
        </w:rPr>
        <w:t>临平区建筑工程起重机械专项检测项目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hint="eastAsia" w:ascii="宋体" w:hAnsi="宋体" w:cs="宋体"/>
          <w:b/>
          <w:bCs/>
          <w:color w:val="auto"/>
          <w:sz w:val="52"/>
          <w:szCs w:val="52"/>
        </w:rPr>
      </w:pPr>
    </w:p>
    <w:p>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招</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文</w:t>
      </w:r>
      <w:r>
        <w:rPr>
          <w:rFonts w:hint="eastAsia" w:ascii="宋体" w:hAnsi="宋体" w:cs="宋体"/>
          <w:b/>
          <w:bCs/>
          <w:color w:val="auto"/>
          <w:sz w:val="84"/>
          <w:szCs w:val="84"/>
          <w:lang w:val="en-US" w:eastAsia="zh-CN"/>
        </w:rPr>
        <w:t xml:space="preserve"> </w:t>
      </w:r>
      <w:r>
        <w:rPr>
          <w:rFonts w:hint="eastAsia" w:ascii="宋体" w:hAnsi="宋体" w:cs="宋体"/>
          <w:b/>
          <w:bCs/>
          <w:color w:val="auto"/>
          <w:sz w:val="84"/>
          <w:szCs w:val="84"/>
        </w:rPr>
        <w:t xml:space="preserve">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YHZFCG2024-025-1</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pStyle w:val="2"/>
        <w:rPr>
          <w:rFonts w:ascii="宋体" w:hAnsi="宋体" w:cs="宋体"/>
          <w:b/>
          <w:color w:val="auto"/>
          <w:sz w:val="44"/>
          <w:szCs w:val="44"/>
        </w:rPr>
      </w:pPr>
    </w:p>
    <w:p/>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val="en-US" w:eastAsia="zh-CN"/>
        </w:rPr>
        <w:t>:杭州市临平区建筑工程质量安全监督站</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五 </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二十一 </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4" w:name="_Hlt91233176"/>
      <w:bookmarkEnd w:id="4"/>
      <w:bookmarkStart w:id="5"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707423"/>
      <w:bookmarkEnd w:id="7"/>
      <w:bookmarkStart w:id="8" w:name="_Hlt74728647"/>
      <w:bookmarkEnd w:id="8"/>
      <w:bookmarkStart w:id="9" w:name="_Hlt74729822"/>
      <w:bookmarkEnd w:id="9"/>
      <w:bookmarkStart w:id="10" w:name="_Hlt74649545"/>
      <w:bookmarkEnd w:id="10"/>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临平区建筑工程起重机械专项检测项目</w:t>
      </w:r>
      <w:r>
        <w:rPr>
          <w:rFonts w:hint="eastAsia" w:asciiTheme="minorEastAsia" w:hAnsiTheme="minorEastAsia" w:eastAsiaTheme="minorEastAsia"/>
          <w:color w:val="auto"/>
          <w:sz w:val="24"/>
        </w:rPr>
        <w:t>招标项目</w:t>
      </w:r>
      <w:r>
        <w:rPr>
          <w:rFonts w:hint="eastAsia" w:asciiTheme="minorEastAsia" w:hAnsiTheme="minorEastAsia" w:eastAsiaTheme="minorEastAsia"/>
          <w:color w:val="auto"/>
          <w:sz w:val="24"/>
          <w:highlight w:val="none"/>
        </w:rPr>
        <w:t>的潜在投标人应在政采云平台（</w:t>
      </w:r>
      <w:r>
        <w:rPr>
          <w:rFonts w:hint="eastAsia" w:asciiTheme="minorEastAsia" w:hAnsiTheme="minorEastAsia" w:eastAsiaTheme="minorEastAsia"/>
          <w:bCs/>
          <w:color w:val="auto"/>
          <w:highlight w:val="none"/>
          <w:u w:val="single"/>
        </w:rPr>
        <w:fldChar w:fldCharType="begin"/>
      </w:r>
      <w:r>
        <w:rPr>
          <w:rFonts w:hint="eastAsia" w:asciiTheme="minorEastAsia" w:hAnsiTheme="minorEastAsia" w:eastAsiaTheme="minorEastAsia"/>
          <w:bCs/>
          <w:color w:val="auto"/>
          <w:highlight w:val="none"/>
          <w:u w:val="single"/>
        </w:rPr>
        <w:instrText xml:space="preserve"> HYPERLINK "https://www.zcygov.cn/）获取（下载）招标文件，并于202%20年%20月%20日%20点%20分00秒" </w:instrText>
      </w:r>
      <w:r>
        <w:rPr>
          <w:rFonts w:hint="eastAsia" w:asciiTheme="minorEastAsia" w:hAnsiTheme="minorEastAsia" w:eastAsiaTheme="minorEastAsia"/>
          <w:bCs/>
          <w:color w:val="auto"/>
          <w:highlight w:val="none"/>
          <w:u w:val="single"/>
        </w:rPr>
        <w:fldChar w:fldCharType="separate"/>
      </w:r>
      <w:r>
        <w:rPr>
          <w:rFonts w:hint="eastAsia" w:cs="Times New Roman" w:asciiTheme="minorEastAsia" w:hAnsiTheme="minorEastAsia" w:eastAsiaTheme="minorEastAsia"/>
          <w:bCs/>
          <w:snapToGrid/>
          <w:color w:val="auto"/>
          <w:kern w:val="2"/>
          <w:sz w:val="24"/>
          <w:szCs w:val="24"/>
          <w:highlight w:val="none"/>
          <w:u w:val="none"/>
        </w:rPr>
        <w:t>https://www.zcygov.cn/）获取（下载）招标文件，并于</w:t>
      </w:r>
      <w:r>
        <w:rPr>
          <w:rFonts w:hint="eastAsia" w:cs="Times New Roman" w:asciiTheme="minorEastAsia" w:hAnsiTheme="minorEastAsia" w:eastAsiaTheme="minorEastAsia"/>
          <w:bCs/>
          <w:i w:val="0"/>
          <w:iCs w:val="0"/>
          <w:snapToGrid/>
          <w:color w:val="auto"/>
          <w:kern w:val="2"/>
          <w:sz w:val="24"/>
          <w:szCs w:val="24"/>
          <w:highlight w:val="none"/>
          <w:u w:val="single"/>
        </w:rPr>
        <w:t>202</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4</w:t>
      </w:r>
      <w:r>
        <w:rPr>
          <w:rFonts w:hint="eastAsia" w:cs="Times New Roman" w:asciiTheme="minorEastAsia" w:hAnsiTheme="minorEastAsia" w:eastAsiaTheme="minorEastAsia"/>
          <w:bCs/>
          <w:i w:val="0"/>
          <w:iCs w:val="0"/>
          <w:snapToGrid/>
          <w:color w:val="auto"/>
          <w:kern w:val="2"/>
          <w:sz w:val="24"/>
          <w:szCs w:val="24"/>
          <w:highlight w:val="none"/>
          <w:u w:val="single"/>
        </w:rPr>
        <w:t>年</w:t>
      </w:r>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06月12日</w:t>
      </w:r>
      <w:bookmarkStart w:id="467" w:name="_GoBack"/>
      <w:bookmarkEnd w:id="467"/>
      <w:r>
        <w:rPr>
          <w:rFonts w:hint="eastAsia" w:cs="Times New Roman" w:asciiTheme="minorEastAsia" w:hAnsiTheme="minorEastAsia" w:eastAsiaTheme="minorEastAsia"/>
          <w:bCs/>
          <w:i w:val="0"/>
          <w:iCs w:val="0"/>
          <w:snapToGrid/>
          <w:color w:val="auto"/>
          <w:kern w:val="2"/>
          <w:sz w:val="24"/>
          <w:szCs w:val="24"/>
          <w:highlight w:val="none"/>
          <w:u w:val="single"/>
          <w:lang w:val="en-US" w:eastAsia="zh-CN"/>
        </w:rPr>
        <w:t>14点00分</w:t>
      </w:r>
      <w:r>
        <w:rPr>
          <w:rFonts w:hint="eastAsia" w:cs="Times New Roman" w:asciiTheme="minorEastAsia" w:hAnsiTheme="minorEastAsia" w:eastAsiaTheme="minorEastAsia"/>
          <w:bCs/>
          <w:i w:val="0"/>
          <w:iCs w:val="0"/>
          <w:snapToGrid/>
          <w:color w:val="auto"/>
          <w:kern w:val="2"/>
          <w:sz w:val="24"/>
          <w:szCs w:val="24"/>
          <w:highlight w:val="none"/>
          <w:u w:val="single"/>
        </w:rPr>
        <w:t>00秒</w:t>
      </w:r>
      <w:r>
        <w:rPr>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color w:val="auto"/>
          <w:sz w:val="24"/>
          <w:highlight w:val="none"/>
          <w:u w:val="single"/>
        </w:rPr>
        <w:t>（北京时间）</w:t>
      </w:r>
      <w:r>
        <w:rPr>
          <w:rFonts w:hint="eastAsia" w:asciiTheme="minorEastAsia" w:hAnsiTheme="minorEastAsia" w:eastAsiaTheme="minorEastAsia"/>
          <w:bCs/>
          <w:color w:val="auto"/>
          <w:sz w:val="24"/>
          <w:highlight w:val="none"/>
        </w:rPr>
        <w:t>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YHZFCG2024-025-1</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临平区建筑工程起重机械专项检测项目</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b/>
          <w:color w:val="auto"/>
          <w:sz w:val="24"/>
        </w:rPr>
        <w:t xml:space="preserve"> 预算金额</w:t>
      </w:r>
      <w:r>
        <w:rPr>
          <w:rFonts w:hint="eastAsia" w:ascii="宋体" w:hAnsi="宋体" w:cs="宋体"/>
          <w:b/>
          <w:color w:val="auto"/>
          <w:sz w:val="24"/>
          <w:highlight w:val="none"/>
        </w:rPr>
        <w:t>（元）：</w:t>
      </w:r>
      <w:r>
        <w:rPr>
          <w:rFonts w:hint="eastAsia" w:ascii="宋体" w:hAnsi="宋体" w:cs="宋体"/>
          <w:b w:val="0"/>
          <w:bCs/>
          <w:color w:val="auto"/>
          <w:sz w:val="24"/>
          <w:highlight w:val="none"/>
          <w:lang w:val="en-US" w:eastAsia="zh-CN"/>
        </w:rPr>
        <w:t>1000000.00</w:t>
      </w:r>
      <w:r>
        <w:rPr>
          <w:rFonts w:hint="eastAsia" w:ascii="宋体" w:hAnsi="宋体" w:cs="宋体"/>
          <w:bCs/>
          <w:color w:val="auto"/>
          <w:sz w:val="24"/>
          <w:highlight w:val="none"/>
        </w:rPr>
        <w:t xml:space="preserve"> </w:t>
      </w:r>
    </w:p>
    <w:p>
      <w:pPr>
        <w:spacing w:line="360" w:lineRule="auto"/>
        <w:ind w:firstLine="48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1000000.00</w:t>
      </w:r>
    </w:p>
    <w:p>
      <w:pPr>
        <w:spacing w:line="360" w:lineRule="auto"/>
        <w:ind w:firstLine="482" w:firstLineChars="200"/>
      </w:pPr>
      <w:r>
        <w:rPr>
          <w:rFonts w:hint="eastAsia" w:ascii="宋体" w:hAnsi="宋体" w:eastAsia="宋体" w:cs="宋体"/>
          <w:b/>
          <w:bCs/>
          <w:snapToGrid w:val="0"/>
          <w:color w:val="auto"/>
          <w:kern w:val="28"/>
          <w:sz w:val="24"/>
          <w:szCs w:val="20"/>
        </w:rPr>
        <w:t>采购需求：</w:t>
      </w:r>
      <w:r>
        <w:rPr>
          <w:rFonts w:hint="eastAsia" w:ascii="宋体" w:hAnsi="宋体" w:eastAsia="宋体" w:cs="宋体"/>
          <w:b w:val="0"/>
          <w:snapToGrid w:val="0"/>
          <w:color w:val="auto"/>
          <w:kern w:val="28"/>
          <w:sz w:val="24"/>
          <w:szCs w:val="20"/>
          <w:lang w:eastAsia="zh-CN"/>
        </w:rPr>
        <w:t>杭州市临平区建筑工程质量安全监督站的临平区建筑工程起重机械专项检测项目</w:t>
      </w:r>
      <w:r>
        <w:rPr>
          <w:rFonts w:hint="eastAsia" w:ascii="宋体" w:hAnsi="宋体" w:eastAsia="宋体" w:cs="宋体"/>
          <w:bCs w:val="0"/>
          <w:snapToGrid w:val="0"/>
          <w:color w:val="auto"/>
          <w:kern w:val="28"/>
          <w:sz w:val="24"/>
          <w:szCs w:val="20"/>
          <w:lang w:val="en-US" w:eastAsia="zh-CN"/>
        </w:rPr>
        <w:t>,</w:t>
      </w:r>
      <w:r>
        <w:rPr>
          <w:rFonts w:hint="eastAsia" w:ascii="宋体" w:hAnsi="宋体" w:eastAsia="宋体" w:cs="宋体"/>
          <w:bCs w:val="0"/>
          <w:snapToGrid w:val="0"/>
          <w:color w:val="auto"/>
          <w:kern w:val="28"/>
          <w:sz w:val="24"/>
          <w:szCs w:val="20"/>
          <w:lang w:eastAsia="zh-CN"/>
        </w:rPr>
        <w:t>具体</w:t>
      </w:r>
      <w:r>
        <w:rPr>
          <w:rFonts w:hint="eastAsia" w:ascii="宋体" w:hAnsi="宋体" w:eastAsia="宋体" w:cs="宋体"/>
          <w:snapToGrid w:val="0"/>
          <w:color w:val="auto"/>
          <w:kern w:val="28"/>
          <w:sz w:val="24"/>
          <w:szCs w:val="20"/>
          <w:lang w:eastAsia="zh-CN"/>
        </w:rPr>
        <w:t>内容</w:t>
      </w:r>
      <w:r>
        <w:rPr>
          <w:rFonts w:hint="eastAsia" w:ascii="宋体" w:hAnsi="宋体" w:eastAsia="宋体" w:cs="宋体"/>
          <w:snapToGrid w:val="0"/>
          <w:color w:val="auto"/>
          <w:kern w:val="28"/>
          <w:sz w:val="24"/>
          <w:szCs w:val="20"/>
        </w:rPr>
        <w:t>以</w:t>
      </w:r>
      <w:r>
        <w:rPr>
          <w:rFonts w:hint="eastAsia" w:ascii="宋体" w:hAnsi="宋体" w:eastAsia="宋体" w:cs="宋体"/>
          <w:bCs w:val="0"/>
          <w:snapToGrid w:val="0"/>
          <w:color w:val="auto"/>
          <w:kern w:val="28"/>
          <w:sz w:val="24"/>
          <w:szCs w:val="20"/>
        </w:rPr>
        <w:t>招标文件“第三部分 采购需求”</w:t>
      </w:r>
      <w:r>
        <w:rPr>
          <w:rFonts w:hint="eastAsia" w:ascii="宋体" w:hAnsi="宋体" w:eastAsia="宋体" w:cs="宋体"/>
          <w:snapToGrid w:val="0"/>
          <w:color w:val="auto"/>
          <w:kern w:val="28"/>
          <w:sz w:val="24"/>
          <w:szCs w:val="20"/>
        </w:rPr>
        <w:t>为准，供应商可点击本公告下方“浏览采购文件”查看采购需求。</w:t>
      </w:r>
    </w:p>
    <w:p>
      <w:pPr>
        <w:pStyle w:val="1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z w:val="24"/>
          <w:szCs w:val="24"/>
          <w:highlight w:val="none"/>
          <w:lang w:eastAsia="zh-CN"/>
        </w:rPr>
      </w:pPr>
      <w:r>
        <w:rPr>
          <w:rFonts w:hint="eastAsia" w:hAnsi="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hAnsi="宋体" w:cs="宋体"/>
          <w:color w:val="auto"/>
          <w:sz w:val="24"/>
          <w:highlight w:val="none"/>
          <w:lang w:eastAsia="zh-CN"/>
        </w:rPr>
        <w:t>临平区建筑工程起重机械专项检测项目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bCs/>
          <w:sz w:val="24"/>
          <w:highlight w:val="none"/>
        </w:rPr>
        <w:t>预算金额（元）</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1000000</w:t>
      </w:r>
      <w:r>
        <w:rPr>
          <w:rFonts w:hint="eastAsia" w:ascii="宋体" w:hAnsi="宋体" w:eastAsia="宋体" w:cs="宋体"/>
          <w:b w:val="0"/>
          <w:bCs/>
          <w:color w:val="auto"/>
          <w:sz w:val="24"/>
          <w:highlight w:val="none"/>
          <w:lang w:val="en-US" w:eastAsia="zh-CN"/>
        </w:rPr>
        <w:t>.00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rPr>
        <w:t>简要规格描述或项目基本概况介绍、用途：</w:t>
      </w:r>
      <w:r>
        <w:rPr>
          <w:rFonts w:hint="eastAsia" w:ascii="宋体" w:hAnsi="宋体" w:eastAsia="宋体" w:cs="宋体"/>
          <w:bCs/>
          <w:sz w:val="24"/>
        </w:rPr>
        <w:t>具体内容和相关要求详见招标文件“第三部分 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合同履约期限：</w:t>
      </w:r>
      <w:r>
        <w:rPr>
          <w:rFonts w:hint="eastAsia" w:ascii="宋体" w:hAnsi="宋体" w:eastAsia="宋体" w:cs="宋体"/>
          <w:b w:val="0"/>
          <w:bCs w:val="0"/>
          <w:sz w:val="24"/>
          <w:szCs w:val="32"/>
          <w:lang w:eastAsia="zh-CN"/>
        </w:rPr>
        <w:t>详见</w:t>
      </w:r>
      <w:r>
        <w:rPr>
          <w:rFonts w:hint="eastAsia" w:ascii="宋体" w:hAnsi="宋体" w:eastAsia="宋体" w:cs="宋体"/>
          <w:bCs/>
          <w:sz w:val="24"/>
        </w:rPr>
        <w:t>招标文件“第三部分 采购需求”</w:t>
      </w:r>
      <w:r>
        <w:rPr>
          <w:rFonts w:hint="eastAsia" w:ascii="宋体" w:hAnsi="宋体" w:eastAsia="宋体" w:cs="宋体"/>
          <w:snapToGrid/>
          <w:color w:val="auto"/>
          <w:kern w:val="2"/>
          <w:sz w:val="24"/>
          <w:szCs w:val="24"/>
          <w:lang w:eastAsia="zh-CN"/>
        </w:rPr>
        <w:t>。</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sz w:val="24"/>
          <w:highlight w:val="non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pPr>
        <w:spacing w:line="360" w:lineRule="auto"/>
        <w:ind w:firstLine="480" w:firstLineChars="200"/>
        <w:rPr>
          <w:rFonts w:ascii="宋体" w:hAnsi="宋体" w:cs="宋体"/>
          <w:b/>
          <w:bCs/>
          <w:color w:val="auto"/>
          <w:sz w:val="24"/>
        </w:rPr>
      </w:pPr>
      <w:sdt>
        <w:sdtPr>
          <w:rPr>
            <w:rFonts w:hint="eastAsia" w:ascii="宋体" w:hAnsi="宋体" w:cs="宋体"/>
            <w:color w:val="auto"/>
            <w:kern w:val="0"/>
            <w:sz w:val="24"/>
          </w:rPr>
          <w:id w:val="-1985607795"/>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hint="eastAsia" w:ascii="Wingdings" w:hAnsi="Wingdings" w:eastAsia="宋体" w:cs="宋体"/>
              <w:b/>
              <w:bCs/>
              <w:color w:val="auto"/>
              <w:kern w:val="0"/>
              <w:sz w:val="24"/>
              <w:szCs w:val="24"/>
              <w:lang w:val="en-US" w:eastAsia="zh-CN" w:bidi="ar-SA"/>
            </w:rPr>
            <w:t>þ</w:t>
          </w:r>
          <w:bookmarkStart w:id="12" w:name="_Hlk101132524"/>
        </w:sdtContent>
      </w:sdt>
      <w:r>
        <w:rPr>
          <w:rFonts w:hint="eastAsia" w:ascii="宋体" w:hAnsi="宋体" w:cs="宋体"/>
          <w:b/>
          <w:bCs/>
          <w:color w:val="auto"/>
          <w:sz w:val="24"/>
          <w:lang w:val="en-US" w:eastAsia="zh-CN"/>
        </w:rPr>
        <w:t>本项目</w:t>
      </w:r>
      <w:r>
        <w:rPr>
          <w:rFonts w:hint="eastAsia" w:ascii="宋体" w:hAnsi="宋体" w:cs="宋体"/>
          <w:b/>
          <w:bCs/>
          <w:color w:val="auto"/>
          <w:sz w:val="24"/>
        </w:rPr>
        <w:t>不专门面向中小企业</w:t>
      </w:r>
      <w:r>
        <w:rPr>
          <w:rFonts w:hint="eastAsia" w:ascii="宋体" w:hAnsi="宋体" w:cs="宋体"/>
          <w:b/>
          <w:bCs/>
          <w:color w:val="auto"/>
          <w:sz w:val="24"/>
          <w:lang w:val="en-US" w:eastAsia="zh-CN"/>
        </w:rPr>
        <w:t>采购，</w:t>
      </w:r>
      <w:r>
        <w:rPr>
          <w:rFonts w:hint="eastAsia" w:ascii="宋体" w:hAnsi="宋体" w:cs="宋体"/>
          <w:b/>
          <w:bCs/>
          <w:color w:val="auto"/>
          <w:sz w:val="24"/>
        </w:rPr>
        <w:t>但为保证中小企业预留采购份额，</w:t>
      </w:r>
      <w:r>
        <w:rPr>
          <w:rFonts w:hint="eastAsia" w:ascii="宋体" w:hAnsi="宋体" w:cs="宋体"/>
          <w:b/>
          <w:bCs/>
          <w:color w:val="auto"/>
          <w:sz w:val="24"/>
          <w:lang w:val="en-US" w:eastAsia="zh-CN"/>
        </w:rPr>
        <w:t>要求本项目</w:t>
      </w:r>
      <w:r>
        <w:rPr>
          <w:rFonts w:hint="eastAsia" w:ascii="宋体" w:hAnsi="宋体" w:cs="宋体"/>
          <w:b/>
          <w:bCs/>
          <w:color w:val="auto"/>
          <w:sz w:val="24"/>
        </w:rPr>
        <w:t>以联合体形式参加，提供联合协议和中小企业声</w:t>
      </w:r>
      <w:r>
        <w:rPr>
          <w:rFonts w:hint="eastAsia" w:ascii="宋体" w:hAnsi="宋体" w:cs="宋体"/>
          <w:b/>
          <w:bCs/>
          <w:color w:val="auto"/>
          <w:sz w:val="24"/>
          <w:highlight w:val="none"/>
        </w:rPr>
        <w:t>明函，联合协议中中小企业合同金额应当达到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51</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w:t>
      </w:r>
      <w:r>
        <w:rPr>
          <w:rFonts w:hint="eastAsia" w:ascii="宋体" w:hAnsi="宋体" w:cs="宋体"/>
          <w:b/>
          <w:bCs/>
          <w:color w:val="auto"/>
          <w:spacing w:val="8"/>
          <w:kern w:val="0"/>
          <w:sz w:val="24"/>
          <w:highlight w:val="none"/>
        </w:rPr>
        <w:t>如果供应商本身提供所有标的均由中小企业承建或承接，并相应达到了前述比例要求，视同符合了资格条件，无需再</w:t>
      </w:r>
      <w:r>
        <w:rPr>
          <w:rFonts w:hint="eastAsia" w:ascii="宋体" w:hAnsi="宋体" w:cs="宋体"/>
          <w:b/>
          <w:bCs/>
          <w:color w:val="auto"/>
          <w:spacing w:val="8"/>
          <w:kern w:val="0"/>
          <w:sz w:val="24"/>
        </w:rPr>
        <w:t>与其他中小企业组成联合体参加政府采购活动，无需提供联合协议</w:t>
      </w:r>
      <w:r>
        <w:rPr>
          <w:rFonts w:hint="eastAsia" w:ascii="宋体" w:hAnsi="宋体" w:cs="宋体"/>
          <w:b/>
          <w:bCs/>
          <w:color w:val="auto"/>
          <w:sz w:val="24"/>
        </w:rPr>
        <w:t>；</w:t>
      </w:r>
    </w:p>
    <w:bookmarkEnd w:id="12"/>
    <w:p>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pPr>
        <w:snapToGrid w:val="0"/>
        <w:spacing w:line="360" w:lineRule="auto"/>
        <w:ind w:firstLine="482" w:firstLineChars="200"/>
        <w:rPr>
          <w:rFonts w:ascii="宋体" w:hAnsi="宋体" w:cs="宋体"/>
          <w:color w:val="0000FF"/>
          <w:sz w:val="24"/>
        </w:rPr>
      </w:pP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06月12日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2024年06月12日14点00分</w:t>
      </w:r>
      <w:r>
        <w:rPr>
          <w:rFonts w:hint="eastAsia" w:ascii="宋体" w:hAnsi="宋体" w:cs="宋体"/>
          <w:color w:val="auto"/>
          <w:sz w:val="24"/>
          <w:highlight w:val="none"/>
          <w:u w:val="single"/>
        </w:rPr>
        <w:t>00秒</w:t>
      </w:r>
      <w:r>
        <w:rPr>
          <w:rFonts w:hint="eastAsia"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2024年06月12日14点00分</w:t>
      </w:r>
      <w:r>
        <w:rPr>
          <w:rFonts w:hint="eastAsia" w:ascii="宋体" w:hAnsi="宋体" w:cs="宋体"/>
          <w:color w:val="auto"/>
          <w:sz w:val="24"/>
          <w:highlight w:val="none"/>
          <w:u w:val="single"/>
        </w:rPr>
        <w:t>00秒</w:t>
      </w:r>
      <w:r>
        <w:rPr>
          <w:rFonts w:hint="eastAsia" w:ascii="宋体" w:hAnsi="宋体" w:cs="宋体"/>
          <w:color w:val="auto"/>
          <w:sz w:val="24"/>
          <w:highlight w:val="none"/>
          <w:u w:val="none"/>
        </w:rPr>
        <w:t>（北京时间）</w:t>
      </w:r>
      <w:r>
        <w:rPr>
          <w:rFonts w:hint="eastAsia" w:ascii="宋体" w:hAnsi="宋体" w:cs="宋体"/>
          <w:color w:val="auto"/>
          <w:sz w:val="24"/>
          <w:highlight w:val="none"/>
          <w:u w:val="none"/>
          <w:lang w:eastAsia="zh-CN"/>
        </w:rPr>
        <w:t>；</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政采云平台（https://www.zcygov.cn/）在线响应开标；</w:t>
      </w:r>
    </w:p>
    <w:p>
      <w:pPr>
        <w:spacing w:line="360" w:lineRule="auto"/>
        <w:ind w:firstLine="482" w:firstLineChars="200"/>
        <w:rPr>
          <w:rFonts w:ascii="宋体" w:hAnsi="宋体" w:cs="宋体"/>
          <w:color w:val="auto"/>
          <w:sz w:val="24"/>
        </w:rPr>
      </w:pPr>
      <w:r>
        <w:rPr>
          <w:rFonts w:hint="eastAsia" w:ascii="宋体" w:hAnsi="宋体" w:cs="宋体"/>
          <w:b/>
          <w:bCs/>
          <w:sz w:val="24"/>
        </w:rPr>
        <w:t>组织机构线下开标地点：</w:t>
      </w:r>
      <w:r>
        <w:rPr>
          <w:rFonts w:hint="eastAsia" w:ascii="宋体" w:hAnsi="宋体" w:cs="宋体"/>
          <w:sz w:val="24"/>
          <w:lang w:eastAsia="zh-CN"/>
        </w:rPr>
        <w:t>杭州市临平区南苑街道华元欢乐城-华元大厦20层2013会议室</w:t>
      </w:r>
      <w:r>
        <w:rPr>
          <w:rFonts w:hint="eastAsia" w:ascii="宋体" w:hAnsi="宋体" w:cs="宋体"/>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eastAsia="宋体" w:cs="宋体"/>
          <w:sz w:val="24"/>
        </w:rPr>
      </w:pPr>
      <w:r>
        <w:rPr>
          <w:rFonts w:hint="eastAsia" w:ascii="宋体" w:hAnsi="宋体" w:cs="宋体"/>
          <w:color w:val="auto"/>
          <w:sz w:val="24"/>
          <w:highlight w:val="none"/>
        </w:rPr>
        <w:t xml:space="preserve">   </w:t>
      </w:r>
      <w:r>
        <w:rPr>
          <w:rFonts w:hint="eastAsia" w:ascii="宋体" w:hAnsi="宋体" w:eastAsia="宋体" w:cs="宋体"/>
          <w:sz w:val="24"/>
        </w:rPr>
        <w:t xml:space="preserve"> 名称：杭州市临平区建筑工程质量安全监督站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地址：杭州市临平区人民大道650号。</w:t>
      </w:r>
    </w:p>
    <w:p>
      <w:pPr>
        <w:spacing w:line="360" w:lineRule="auto"/>
        <w:ind w:firstLine="480"/>
        <w:rPr>
          <w:rFonts w:hint="eastAsia" w:ascii="宋体" w:hAnsi="宋体" w:eastAsia="宋体" w:cs="宋体"/>
          <w:color w:val="000000"/>
          <w:sz w:val="24"/>
        </w:rPr>
      </w:pPr>
      <w:r>
        <w:rPr>
          <w:rFonts w:hint="eastAsia" w:ascii="宋体" w:hAnsi="宋体" w:eastAsia="宋体" w:cs="宋体"/>
          <w:sz w:val="24"/>
        </w:rPr>
        <w:t>项目联系人（询问）：</w:t>
      </w:r>
      <w:r>
        <w:rPr>
          <w:rFonts w:hint="eastAsia" w:ascii="宋体" w:hAnsi="宋体" w:eastAsia="宋体" w:cs="宋体"/>
          <w:sz w:val="24"/>
          <w:lang w:val="en-US" w:eastAsia="zh-CN"/>
        </w:rPr>
        <w:t>俞帅杰</w:t>
      </w:r>
      <w:r>
        <w:rPr>
          <w:rFonts w:hint="eastAsia" w:ascii="宋体" w:hAnsi="宋体" w:eastAsia="宋体" w:cs="宋体"/>
          <w:sz w:val="24"/>
        </w:rPr>
        <w:t xml:space="preserve">   项目联系方式（询问）：18768175127</w:t>
      </w:r>
      <w:r>
        <w:rPr>
          <w:rFonts w:hint="eastAsia" w:ascii="宋体" w:hAnsi="宋体" w:eastAsia="宋体" w:cs="宋体"/>
          <w:color w:val="000000"/>
          <w:sz w:val="24"/>
        </w:rPr>
        <w:t xml:space="preserve"> </w:t>
      </w:r>
    </w:p>
    <w:p>
      <w:pPr>
        <w:spacing w:line="360" w:lineRule="auto"/>
        <w:ind w:firstLine="480"/>
        <w:rPr>
          <w:rFonts w:hint="eastAsia" w:ascii="宋体" w:hAnsi="宋体" w:eastAsia="宋体" w:cs="宋体"/>
          <w:b/>
          <w:bCs/>
          <w:sz w:val="24"/>
        </w:rPr>
      </w:pPr>
      <w:r>
        <w:rPr>
          <w:rFonts w:hint="eastAsia" w:ascii="宋体" w:hAnsi="宋体" w:eastAsia="宋体" w:cs="宋体"/>
          <w:sz w:val="24"/>
        </w:rPr>
        <w:t>质疑联系人：</w:t>
      </w:r>
      <w:r>
        <w:rPr>
          <w:rFonts w:hint="eastAsia" w:ascii="宋体" w:hAnsi="宋体" w:eastAsia="宋体" w:cs="宋体"/>
          <w:color w:val="000000"/>
          <w:sz w:val="24"/>
        </w:rPr>
        <w:t xml:space="preserve">俞明           </w:t>
      </w:r>
      <w:r>
        <w:rPr>
          <w:rFonts w:hint="eastAsia" w:ascii="宋体" w:hAnsi="宋体" w:cs="宋体"/>
          <w:color w:val="000000"/>
          <w:sz w:val="24"/>
          <w:lang w:val="en-US" w:eastAsia="zh-CN"/>
        </w:rPr>
        <w:t xml:space="preserve">  </w:t>
      </w:r>
      <w:r>
        <w:rPr>
          <w:rFonts w:hint="eastAsia" w:ascii="宋体" w:hAnsi="宋体" w:eastAsia="宋体" w:cs="宋体"/>
          <w:sz w:val="24"/>
        </w:rPr>
        <w:t>质疑联系方式：</w:t>
      </w:r>
      <w:r>
        <w:rPr>
          <w:rFonts w:hint="eastAsia" w:ascii="宋体" w:hAnsi="宋体" w:eastAsia="宋体" w:cs="宋体"/>
          <w:color w:val="000000"/>
          <w:sz w:val="24"/>
        </w:rPr>
        <w:t>13656659381</w:t>
      </w:r>
      <w:r>
        <w:rPr>
          <w:rFonts w:hint="eastAsia" w:ascii="宋体" w:hAnsi="宋体" w:eastAsia="宋体" w:cs="宋体"/>
          <w:b/>
          <w:bCs/>
          <w:sz w:val="24"/>
        </w:rPr>
        <w:t xml:space="preserve">  </w:t>
      </w:r>
    </w:p>
    <w:p>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名称：耀华建设管理有限公司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地址：杭州市临平区南苑街道华元欢乐城-华元大厦20层2022办公室。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项目联系人（询问）：刘瑶   项目联系方式（询问）：0571-86320706/13857413671  </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质疑联系人：单成燕         质疑联系方式：0571-86320727 / 18072887619</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hint="eastAsia" w:ascii="宋体" w:hAnsi="宋体" w:eastAsia="宋体" w:cs="宋体"/>
          <w:sz w:val="24"/>
          <w:lang w:eastAsia="zh-CN"/>
        </w:rPr>
      </w:pPr>
      <w:r>
        <w:rPr>
          <w:rFonts w:hint="eastAsia" w:ascii="宋体" w:hAnsi="宋体" w:cs="宋体"/>
          <w:color w:val="auto"/>
          <w:sz w:val="24"/>
        </w:rPr>
        <w:t xml:space="preserve">    </w:t>
      </w:r>
      <w:r>
        <w:rPr>
          <w:rFonts w:hint="eastAsia" w:ascii="宋体" w:hAnsi="宋体" w:cs="宋体"/>
          <w:sz w:val="24"/>
        </w:rPr>
        <w:t>名称：</w:t>
      </w:r>
      <w:r>
        <w:rPr>
          <w:rFonts w:hint="eastAsia" w:ascii="宋体" w:hAnsi="宋体" w:cs="宋体"/>
          <w:sz w:val="24"/>
          <w:lang w:eastAsia="zh-CN"/>
        </w:rPr>
        <w:t xml:space="preserve">杭州市临平区财政局采监科、浙江省政府采购行政裁决服务中心(杭州) </w:t>
      </w:r>
    </w:p>
    <w:p>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杭州市上城区四季青街道新业路市民之家GO3办公室 (快递仅限ems或顺丰)。</w:t>
      </w:r>
      <w:r>
        <w:rPr>
          <w:rFonts w:hint="eastAsia" w:ascii="宋体" w:hAnsi="宋体" w:cs="宋体"/>
          <w:sz w:val="24"/>
        </w:rPr>
        <w:tab/>
      </w: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联系人 ：</w:t>
      </w:r>
      <w:r>
        <w:rPr>
          <w:rFonts w:hint="eastAsia" w:ascii="宋体" w:hAnsi="宋体" w:cs="宋体"/>
          <w:sz w:val="24"/>
          <w:lang w:eastAsia="zh-CN"/>
        </w:rPr>
        <w:t xml:space="preserve">朱女士、王女士 </w:t>
      </w:r>
      <w:r>
        <w:rPr>
          <w:rFonts w:hint="eastAsia" w:ascii="宋体" w:hAnsi="宋体" w:cs="宋体"/>
          <w:sz w:val="24"/>
        </w:rPr>
        <w:t xml:space="preserve">               </w:t>
      </w:r>
    </w:p>
    <w:p>
      <w:pPr>
        <w:spacing w:line="360" w:lineRule="auto"/>
        <w:ind w:firstLine="480" w:firstLineChars="200"/>
        <w:rPr>
          <w:rFonts w:ascii="宋体" w:hAnsi="宋体" w:cs="宋体"/>
          <w:color w:val="auto"/>
          <w:sz w:val="24"/>
        </w:rPr>
      </w:pPr>
      <w:r>
        <w:rPr>
          <w:rFonts w:hint="eastAsia" w:ascii="宋体" w:hAnsi="宋体" w:cs="宋体"/>
          <w:sz w:val="24"/>
        </w:rPr>
        <w:t>监督投诉电话：</w:t>
      </w:r>
      <w:r>
        <w:rPr>
          <w:rFonts w:hint="eastAsia" w:ascii="宋体" w:hAnsi="宋体" w:cs="宋体"/>
          <w:sz w:val="24"/>
          <w:lang w:eastAsia="zh-CN"/>
        </w:rPr>
        <w:t>0571-85252453</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lang w:val="en-US" w:eastAsia="zh-CN"/>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spacing w:line="360" w:lineRule="auto"/>
        <w:ind w:firstLine="480" w:firstLineChars="200"/>
        <w:rPr>
          <w:rFonts w:ascii="宋体" w:hAnsi="宋体" w:cs="宋体"/>
          <w:sz w:val="24"/>
        </w:rPr>
      </w:pPr>
    </w:p>
    <w:p>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bidi w:val="0"/>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0"/>
      <w:r>
        <w:rPr>
          <w:rFonts w:hint="eastAsia" w:ascii="宋体" w:hAnsi="宋体" w:cs="宋体"/>
          <w:b/>
          <w:sz w:val="36"/>
          <w:szCs w:val="20"/>
        </w:rPr>
        <w:t xml:space="preserve"> 投标人须知</w:t>
      </w:r>
      <w:bookmarkEnd w:id="1"/>
    </w:p>
    <w:p>
      <w:pPr>
        <w:bidi w:val="0"/>
        <w:jc w:val="center"/>
        <w:rPr>
          <w:b/>
          <w:bCs/>
          <w:sz w:val="32"/>
          <w:szCs w:val="32"/>
        </w:rPr>
      </w:pPr>
      <w:r>
        <w:rPr>
          <w:rFonts w:hint="eastAsia"/>
          <w:b/>
          <w:bCs/>
          <w:sz w:val="32"/>
          <w:szCs w:val="32"/>
        </w:rPr>
        <w:t>前附表</w:t>
      </w:r>
    </w:p>
    <w:tbl>
      <w:tblPr>
        <w:tblStyle w:val="63"/>
        <w:tblW w:w="0" w:type="auto"/>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1"/>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1"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项目属性：服务类；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标的：</w:t>
            </w:r>
            <w:r>
              <w:rPr>
                <w:rFonts w:hint="eastAsia" w:ascii="宋体" w:hAnsi="宋体" w:eastAsia="宋体" w:cs="宋体"/>
                <w:b/>
                <w:bCs/>
                <w:color w:val="auto"/>
                <w:kern w:val="0"/>
                <w:sz w:val="24"/>
                <w:u w:val="single"/>
                <w:lang w:eastAsia="zh-CN"/>
              </w:rPr>
              <w:t>临平区建筑工程起重机械专项检测项目</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eastAsia="zh-CN"/>
              </w:rPr>
              <w:t>；</w:t>
            </w:r>
          </w:p>
          <w:p>
            <w:pPr>
              <w:pStyle w:val="26"/>
              <w:numPr>
                <w:ilvl w:val="0"/>
                <w:numId w:val="2"/>
              </w:numPr>
              <w:ind w:left="0" w:leftChars="0" w:firstLine="0" w:firstLineChars="0"/>
              <w:rPr>
                <w:rFonts w:hint="eastAsia" w:ascii="宋体" w:hAnsi="宋体" w:eastAsia="宋体" w:cs="宋体"/>
                <w:color w:val="auto"/>
                <w:kern w:val="0"/>
                <w:sz w:val="24"/>
                <w:lang w:eastAsia="zh-CN"/>
              </w:rPr>
            </w:pP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w:t>
            </w:r>
            <w:r>
              <w:rPr>
                <w:rFonts w:hint="eastAsia" w:ascii="宋体" w:hAnsi="宋体" w:eastAsia="宋体" w:cs="宋体"/>
                <w:b/>
                <w:bCs/>
                <w:kern w:val="0"/>
                <w:sz w:val="24"/>
                <w:u w:val="single"/>
                <w:lang w:val="en-US" w:eastAsia="zh-CN"/>
              </w:rPr>
              <w:t>其他未列明</w:t>
            </w:r>
            <w:r>
              <w:rPr>
                <w:rFonts w:hint="eastAsia" w:ascii="宋体" w:hAnsi="宋体" w:eastAsia="宋体" w:cs="宋体"/>
                <w:color w:val="auto"/>
                <w:kern w:val="0"/>
                <w:sz w:val="24"/>
              </w:rPr>
              <w:t>行业</w:t>
            </w:r>
            <w:r>
              <w:rPr>
                <w:rFonts w:hint="eastAsia" w:ascii="宋体" w:hAnsi="宋体" w:eastAsia="宋体" w:cs="宋体"/>
                <w:color w:val="auto"/>
                <w:kern w:val="0"/>
                <w:sz w:val="24"/>
                <w:lang w:eastAsia="zh-CN"/>
              </w:rPr>
              <w:t>。</w:t>
            </w:r>
          </w:p>
          <w:p>
            <w:pPr>
              <w:widowControl/>
              <w:numPr>
                <w:ilvl w:val="0"/>
                <w:numId w:val="0"/>
              </w:numPr>
              <w:adjustRightInd/>
              <w:snapToGrid w:val="0"/>
              <w:spacing w:line="360" w:lineRule="auto"/>
              <w:ind w:firstLine="0" w:firstLineChars="0"/>
              <w:rPr>
                <w:rFonts w:hint="eastAsia" w:ascii="宋体" w:hAnsi="宋体" w:cs="宋体"/>
                <w:color w:val="000000"/>
                <w:kern w:val="0"/>
                <w:sz w:val="18"/>
                <w:szCs w:val="18"/>
                <w:highlight w:val="none"/>
              </w:rPr>
            </w:pPr>
            <w:r>
              <w:rPr>
                <w:rFonts w:hint="eastAsia" w:ascii="宋体" w:hAnsi="宋体" w:eastAsia="宋体" w:cs="宋体"/>
                <w:color w:val="000000"/>
                <w:kern w:val="0"/>
                <w:sz w:val="18"/>
                <w:szCs w:val="18"/>
                <w:highlight w:val="none"/>
              </w:rPr>
              <w:drawing>
                <wp:anchor distT="0" distB="0" distL="0" distR="0" simplePos="0" relativeHeight="251661312" behindDoc="0" locked="0" layoutInCell="1" allowOverlap="1">
                  <wp:simplePos x="0" y="0"/>
                  <wp:positionH relativeFrom="column">
                    <wp:posOffset>21590</wp:posOffset>
                  </wp:positionH>
                  <wp:positionV relativeFrom="page">
                    <wp:posOffset>1660525</wp:posOffset>
                  </wp:positionV>
                  <wp:extent cx="3768090" cy="492760"/>
                  <wp:effectExtent l="0" t="0" r="3810" b="2540"/>
                  <wp:wrapTopAndBottom/>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26">
                            <a:lum/>
                          </a:blip>
                          <a:stretch>
                            <a:fillRect/>
                          </a:stretch>
                        </pic:blipFill>
                        <pic:spPr>
                          <a:xfrm>
                            <a:off x="0" y="0"/>
                            <a:ext cx="3768090" cy="492760"/>
                          </a:xfrm>
                          <a:prstGeom prst="rect">
                            <a:avLst/>
                          </a:prstGeom>
                          <a:noFill/>
                          <a:ln>
                            <a:noFill/>
                          </a:ln>
                        </pic:spPr>
                      </pic:pic>
                    </a:graphicData>
                  </a:graphic>
                </wp:anchor>
              </w:drawing>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根据《政府采购促进中小企业发展管理办法》财库〔2020〕46号文件的规定</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本次采购为</w:t>
            </w:r>
            <w:r>
              <w:rPr>
                <w:rFonts w:hint="eastAsia" w:ascii="宋体" w:hAnsi="宋体" w:eastAsia="宋体" w:cs="宋体"/>
                <w:b/>
                <w:bCs/>
                <w:sz w:val="24"/>
                <w:szCs w:val="24"/>
                <w:u w:val="single"/>
                <w:lang w:eastAsia="zh-CN"/>
              </w:rPr>
              <w:t>非专门面向中小企业</w:t>
            </w:r>
            <w:r>
              <w:rPr>
                <w:rFonts w:hint="eastAsia" w:ascii="宋体" w:hAnsi="宋体" w:eastAsia="宋体" w:cs="宋体"/>
                <w:b w:val="0"/>
                <w:bCs w:val="0"/>
                <w:sz w:val="24"/>
                <w:szCs w:val="24"/>
                <w:u w:val="single"/>
                <w:lang w:eastAsia="zh-CN"/>
              </w:rPr>
              <w:t>的采购项目</w:t>
            </w:r>
            <w:r>
              <w:rPr>
                <w:rFonts w:hint="eastAsia" w:ascii="宋体" w:hAnsi="宋体" w:eastAsia="宋体" w:cs="宋体"/>
                <w:sz w:val="24"/>
                <w:szCs w:val="24"/>
                <w:lang w:eastAsia="zh-CN"/>
              </w:rPr>
              <w:t>。</w:t>
            </w:r>
          </w:p>
          <w:p>
            <w:pPr>
              <w:widowControl/>
              <w:numPr>
                <w:ilvl w:val="0"/>
                <w:numId w:val="0"/>
              </w:numPr>
              <w:adjustRightInd/>
              <w:snapToGrid w:val="0"/>
              <w:spacing w:line="360" w:lineRule="auto"/>
              <w:ind w:firstLine="0" w:firstLineChars="0"/>
              <w:rPr>
                <w:rFonts w:hint="eastAsia" w:ascii="宋体" w:hAnsi="宋体" w:cs="宋体"/>
                <w:color w:val="000000"/>
                <w:kern w:val="0"/>
                <w:sz w:val="18"/>
                <w:szCs w:val="18"/>
                <w:highlight w:val="none"/>
              </w:rPr>
            </w:pPr>
            <w:r>
              <w:rPr>
                <w:rFonts w:hint="eastAsia" w:ascii="宋体" w:hAnsi="宋体" w:eastAsia="宋体" w:cs="宋体"/>
                <w:color w:val="auto"/>
                <w:kern w:val="2"/>
                <w:sz w:val="21"/>
                <w:szCs w:val="22"/>
                <w:highlight w:val="none"/>
                <w:lang w:val="en-US" w:eastAsia="zh-CN" w:bidi="ar-SA"/>
              </w:rPr>
              <w:drawing>
                <wp:inline distT="0" distB="0" distL="114300" distR="114300">
                  <wp:extent cx="3830955" cy="335915"/>
                  <wp:effectExtent l="0" t="0" r="171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a:lum/>
                          </a:blip>
                          <a:stretch>
                            <a:fillRect/>
                          </a:stretch>
                        </pic:blipFill>
                        <pic:spPr>
                          <a:xfrm>
                            <a:off x="0" y="0"/>
                            <a:ext cx="3830955" cy="335915"/>
                          </a:xfrm>
                          <a:prstGeom prst="rect">
                            <a:avLst/>
                          </a:prstGeom>
                          <a:noFill/>
                          <a:ln>
                            <a:noFill/>
                          </a:ln>
                        </pic:spPr>
                      </pic:pic>
                    </a:graphicData>
                  </a:graphic>
                </wp:inline>
              </w:drawing>
            </w:r>
          </w:p>
          <w:p>
            <w:pPr>
              <w:widowControl/>
              <w:numPr>
                <w:ilvl w:val="0"/>
                <w:numId w:val="0"/>
              </w:numPr>
              <w:adjustRightInd/>
              <w:snapToGrid w:val="0"/>
              <w:spacing w:line="360" w:lineRule="auto"/>
              <w:ind w:firstLine="0" w:firstLineChars="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1.大型、中型和小型企业须同时满足所列指标的下限，否则下划一档；微型企业只须满足所列指标中的一项即可。 　　</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2.附表中各行业的范围以《国民经济行业分类》（GB/T4754-2017）为准。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3.企业划分指标以现行统计制度为准。</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1）从业人员，是指期末从业人员数，没有期末从业人员数的，采用全年平均人员数代替。</w:t>
            </w:r>
          </w:p>
          <w:p>
            <w:pPr>
              <w:widowControl/>
              <w:adjustRightInd/>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snapToGrid w:val="0"/>
              <w:spacing w:line="312" w:lineRule="auto"/>
              <w:ind w:firstLine="420" w:firstLineChars="200"/>
              <w:rPr>
                <w:rFonts w:ascii="宋体" w:hAnsi="宋体" w:cs="宋体"/>
                <w:color w:val="000000"/>
                <w:kern w:val="0"/>
                <w:sz w:val="21"/>
                <w:szCs w:val="21"/>
                <w:highlight w:val="none"/>
                <w:u w:val="single"/>
                <w:lang w:val="zh-CN"/>
              </w:rPr>
            </w:pPr>
            <w:r>
              <w:rPr>
                <w:rFonts w:hint="eastAsia" w:ascii="宋体" w:hAnsi="宋体" w:cs="宋体"/>
                <w:color w:val="000000"/>
                <w:kern w:val="0"/>
                <w:sz w:val="21"/>
                <w:szCs w:val="21"/>
                <w:highlight w:val="none"/>
                <w:u w:val="single"/>
                <w:lang w:val="zh-CN"/>
              </w:rPr>
              <w:t>3）资产总额，采用资产总计代替。</w:t>
            </w:r>
          </w:p>
          <w:p>
            <w:pPr>
              <w:pStyle w:val="961"/>
              <w:keepNext w:val="0"/>
              <w:keepLines w:val="0"/>
              <w:pageBreakBefore w:val="0"/>
              <w:widowControl w:val="0"/>
              <w:tabs>
                <w:tab w:val="left" w:pos="1070"/>
              </w:tabs>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pPr>
              <w:pStyle w:val="2"/>
              <w:pageBreakBefore w:val="0"/>
              <w:widowControl w:val="0"/>
              <w:kinsoku/>
              <w:wordWrap/>
              <w:overflowPunct/>
              <w:topLinePunct w:val="0"/>
              <w:autoSpaceDE/>
              <w:autoSpaceDN/>
              <w:bidi w:val="0"/>
              <w:adjustRightInd/>
              <w:snapToGrid/>
              <w:spacing w:line="360" w:lineRule="auto"/>
              <w:ind w:left="0" w:right="0" w:firstLine="422" w:firstLineChars="200"/>
              <w:jc w:val="left"/>
              <w:textAlignment w:val="auto"/>
              <w:rPr>
                <w:rFonts w:ascii="宋体" w:hAnsi="宋体" w:eastAsia="宋体" w:cs="宋体"/>
                <w:color w:val="auto"/>
                <w:lang w:val="en-US"/>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i w:val="0"/>
                <w:iCs w:val="0"/>
                <w:caps w:val="0"/>
                <w:color w:val="000000"/>
                <w:spacing w:val="0"/>
                <w:sz w:val="24"/>
                <w:szCs w:val="24"/>
                <w:u w:val="single"/>
                <w:shd w:val="clear" w:fill="FFFFFF"/>
              </w:rPr>
              <w:t>对于检测项目中的个别参数，属于检测设备昂贵或使用率低，需要由其他检测机构进行该项目参数检测业务的</w:t>
            </w:r>
            <w:r>
              <w:rPr>
                <w:rFonts w:hint="eastAsia" w:ascii="宋体" w:hAnsi="宋体" w:eastAsia="宋体" w:cs="宋体"/>
                <w:sz w:val="24"/>
                <w:u w:val="single"/>
              </w:rPr>
              <w:t xml:space="preserve"> </w:t>
            </w:r>
            <w:r>
              <w:rPr>
                <w:rFonts w:hint="eastAsia" w:ascii="宋体" w:hAnsi="宋体" w:eastAsia="宋体" w:cs="宋体"/>
                <w:sz w:val="24"/>
              </w:rPr>
              <w:t>工作分包。</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B</w:t>
            </w:r>
            <w:r>
              <w:rPr>
                <w:rFonts w:hint="eastAsia" w:ascii="宋体" w:hAnsi="宋体" w:eastAsia="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36" w:lineRule="auto"/>
              <w:textAlignment w:val="auto"/>
              <w:rPr>
                <w:rFonts w:hint="eastAsia" w:ascii="宋体" w:hAnsi="宋体" w:eastAsia="宋体" w:cs="宋体"/>
                <w:color w:val="auto"/>
                <w:sz w:val="24"/>
                <w:lang w:eastAsia="zh-CN"/>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hint="eastAsia" w:ascii="宋体" w:hAnsi="宋体" w:cs="宋体"/>
                <w:color w:val="auto"/>
                <w:kern w:val="0"/>
                <w:sz w:val="24"/>
                <w:lang w:eastAsia="zh-CN"/>
              </w:rPr>
            </w:pPr>
            <w:sdt>
              <w:sdtPr>
                <w:rPr>
                  <w:rFonts w:hint="eastAsia" w:ascii="宋体" w:hAnsi="宋体" w:cs="宋体"/>
                  <w:b/>
                  <w:bCs/>
                  <w:color w:val="FF0000"/>
                  <w:kern w:val="0"/>
                  <w:sz w:val="24"/>
                </w:rPr>
                <w:id w:val="1026831988"/>
                <w14:checkbox>
                  <w14:checked w14:val="0"/>
                  <w14:checkedState w14:val="00FE" w14:font="Wingdings"/>
                  <w14:uncheckedState w14:val="2610" w14:font="MS Gothic"/>
                </w14:checkbox>
              </w:sdtPr>
              <w:sdtEndPr>
                <w:rPr>
                  <w:rFonts w:hint="eastAsia" w:ascii="宋体" w:hAnsi="宋体" w:cs="宋体"/>
                  <w:b w:val="0"/>
                  <w:bCs w:val="0"/>
                  <w:color w:val="auto"/>
                  <w:kern w:val="0"/>
                  <w:sz w:val="24"/>
                </w:rPr>
              </w:sdtEndPr>
              <w:sdtContent>
                <w:r>
                  <w:rPr>
                    <w:rFonts w:hint="eastAsia" w:ascii="MS Gothic" w:hAnsi="MS Gothic" w:eastAsia="MS Gothic" w:cs="宋体"/>
                    <w:b w:val="0"/>
                    <w:bCs w:val="0"/>
                    <w:color w:val="auto"/>
                    <w:kern w:val="0"/>
                    <w:sz w:val="24"/>
                    <w:szCs w:val="24"/>
                    <w:lang w:val="en-US" w:eastAsia="zh-CN" w:bidi="ar-SA"/>
                  </w:rPr>
                  <w:t>☐</w:t>
                </w:r>
              </w:sdtContent>
            </w:sdt>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napToGrid w:val="0"/>
              <w:spacing w:line="360" w:lineRule="auto"/>
              <w:jc w:val="left"/>
              <w:rPr>
                <w:rFonts w:hint="eastAsia" w:ascii="宋体" w:hAnsi="宋体" w:eastAsia="宋体" w:cs="宋体"/>
                <w:kern w:val="0"/>
                <w:sz w:val="24"/>
                <w:highlight w:val="none"/>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B</w:t>
            </w:r>
            <w:r>
              <w:rPr>
                <w:rFonts w:hint="eastAsia" w:ascii="宋体" w:hAnsi="宋体" w:eastAsia="宋体" w:cs="宋体"/>
                <w:kern w:val="0"/>
                <w:sz w:val="24"/>
                <w:highlight w:val="none"/>
              </w:rPr>
              <w:t>组织。</w:t>
            </w:r>
            <w:r>
              <w:rPr>
                <w:rFonts w:hint="eastAsia" w:ascii="宋体" w:hAnsi="宋体" w:eastAsia="宋体" w:cs="宋体"/>
                <w:kern w:val="0"/>
                <w:sz w:val="24"/>
                <w:highlight w:val="none"/>
                <w:lang w:eastAsia="zh-CN"/>
              </w:rPr>
              <w:t>详见评标办法</w:t>
            </w:r>
            <w:r>
              <w:rPr>
                <w:rFonts w:hint="eastAsia" w:ascii="宋体" w:hAnsi="宋体" w:eastAsia="宋体" w:cs="宋体"/>
                <w:kern w:val="0"/>
                <w:sz w:val="24"/>
                <w:highlight w:val="none"/>
              </w:rPr>
              <w:t>。</w:t>
            </w:r>
          </w:p>
          <w:p>
            <w:pPr>
              <w:spacing w:line="360" w:lineRule="auto"/>
              <w:rPr>
                <w:rFonts w:ascii="宋体" w:hAnsi="宋体" w:cs="宋体"/>
                <w:b/>
                <w:color w:val="auto"/>
                <w:kern w:val="0"/>
                <w:sz w:val="24"/>
                <w:lang w:val="zh-CN"/>
              </w:rPr>
            </w:pPr>
            <w:r>
              <w:rPr>
                <w:rFonts w:hint="eastAsia" w:ascii="宋体" w:hAnsi="宋体" w:eastAsia="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81"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781"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240" w:firstLineChars="100"/>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pPr>
              <w:snapToGrid w:val="0"/>
              <w:spacing w:line="360" w:lineRule="auto"/>
              <w:ind w:firstLine="280" w:firstLineChars="100"/>
              <w:jc w:val="left"/>
              <w:rPr>
                <w:rFonts w:hint="eastAsia" w:ascii="宋体" w:hAnsi="宋体" w:eastAsia="宋体" w:cs="宋体"/>
                <w:b/>
                <w:kern w:val="0"/>
                <w:sz w:val="24"/>
                <w:lang w:val="zh-CN"/>
              </w:rPr>
            </w:pPr>
            <w:r>
              <w:rPr>
                <w:rFonts w:hint="eastAsia" w:ascii="宋体" w:hAnsi="宋体" w:eastAsia="宋体" w:cs="宋体"/>
                <w:sz w:val="28"/>
                <w:szCs w:val="28"/>
              </w:rPr>
              <w:t>▲</w:t>
            </w: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color w:val="0000FF"/>
                <w:kern w:val="0"/>
                <w:sz w:val="24"/>
                <w:lang w:val="en-US" w:eastAsia="zh-CN"/>
              </w:rPr>
              <w:t>1.1</w:t>
            </w:r>
            <w:r>
              <w:rPr>
                <w:rFonts w:hint="eastAsia" w:ascii="宋体" w:hAnsi="宋体" w:eastAsia="宋体" w:cs="宋体"/>
                <w:b/>
                <w:color w:val="0000FF"/>
                <w:kern w:val="0"/>
                <w:sz w:val="24"/>
                <w:lang w:val="zh-CN"/>
              </w:rPr>
              <w:t>采购预算</w:t>
            </w:r>
            <w:r>
              <w:rPr>
                <w:rFonts w:hint="eastAsia" w:ascii="宋体" w:hAnsi="宋体" w:eastAsia="宋体" w:cs="宋体"/>
                <w:b/>
                <w:color w:val="0000FF"/>
                <w:kern w:val="0"/>
                <w:sz w:val="24"/>
                <w:lang w:val="zh-CN" w:eastAsia="zh-CN"/>
              </w:rPr>
              <w:t>/</w:t>
            </w:r>
            <w:r>
              <w:rPr>
                <w:rFonts w:hint="eastAsia" w:ascii="宋体" w:hAnsi="宋体" w:eastAsia="宋体" w:cs="宋体"/>
                <w:b/>
                <w:color w:val="0000FF"/>
                <w:kern w:val="0"/>
                <w:sz w:val="24"/>
                <w:lang w:val="zh-CN"/>
              </w:rPr>
              <w:t>最高限价：</w:t>
            </w:r>
            <w:r>
              <w:rPr>
                <w:rFonts w:hint="eastAsia" w:ascii="宋体" w:hAnsi="宋体" w:eastAsia="宋体" w:cs="宋体"/>
                <w:b/>
                <w:color w:val="0000FF"/>
                <w:kern w:val="0"/>
                <w:sz w:val="24"/>
                <w:lang w:val="zh-CN" w:eastAsia="zh-CN"/>
              </w:rPr>
              <w:t>1000000.00元</w:t>
            </w:r>
            <w:r>
              <w:rPr>
                <w:rFonts w:hint="eastAsia" w:ascii="宋体" w:hAnsi="宋体" w:eastAsia="宋体" w:cs="宋体"/>
                <w:b/>
                <w:color w:val="0000FF"/>
                <w:kern w:val="0"/>
                <w:sz w:val="24"/>
                <w:lang w:val="zh-CN"/>
              </w:rPr>
              <w:t>，</w:t>
            </w:r>
            <w:r>
              <w:rPr>
                <w:rFonts w:hint="eastAsia" w:ascii="宋体" w:hAnsi="宋体" w:eastAsia="宋体" w:cs="宋体"/>
                <w:b/>
                <w:color w:val="0000FF"/>
                <w:kern w:val="0"/>
                <w:sz w:val="24"/>
                <w:lang w:val="zh-CN" w:eastAsia="zh-CN"/>
              </w:rPr>
              <w:t>其中塔式起重机</w:t>
            </w:r>
            <w:r>
              <w:rPr>
                <w:rFonts w:hint="eastAsia" w:ascii="宋体" w:hAnsi="宋体" w:eastAsia="宋体" w:cs="宋体"/>
                <w:b/>
                <w:color w:val="0000FF"/>
                <w:kern w:val="0"/>
                <w:sz w:val="24"/>
                <w:lang w:val="zh-CN"/>
              </w:rPr>
              <w:t>检测</w:t>
            </w:r>
            <w:r>
              <w:rPr>
                <w:rFonts w:hint="eastAsia" w:ascii="宋体" w:hAnsi="宋体" w:eastAsia="宋体" w:cs="宋体"/>
                <w:b/>
                <w:color w:val="0000FF"/>
                <w:kern w:val="0"/>
                <w:sz w:val="24"/>
                <w:lang w:val="zh-CN" w:eastAsia="zh-CN"/>
              </w:rPr>
              <w:t>最高限价为</w:t>
            </w:r>
            <w:r>
              <w:rPr>
                <w:rFonts w:hint="eastAsia" w:ascii="宋体" w:hAnsi="宋体" w:eastAsia="宋体" w:cs="宋体"/>
                <w:b/>
                <w:color w:val="0000FF"/>
                <w:kern w:val="0"/>
                <w:sz w:val="24"/>
                <w:lang w:val="zh-CN"/>
              </w:rPr>
              <w:t>900元</w:t>
            </w:r>
            <w:r>
              <w:rPr>
                <w:rFonts w:hint="eastAsia" w:ascii="宋体" w:hAnsi="宋体" w:eastAsia="宋体" w:cs="宋体"/>
                <w:b/>
                <w:color w:val="0000FF"/>
                <w:kern w:val="0"/>
                <w:sz w:val="24"/>
                <w:lang w:val="zh-CN" w:eastAsia="zh-CN"/>
              </w:rPr>
              <w:t>/台；施工（含物料）升降机</w:t>
            </w:r>
            <w:r>
              <w:rPr>
                <w:rFonts w:hint="eastAsia" w:ascii="宋体" w:hAnsi="宋体" w:eastAsia="宋体" w:cs="宋体"/>
                <w:b/>
                <w:color w:val="0000FF"/>
                <w:kern w:val="0"/>
                <w:sz w:val="24"/>
                <w:lang w:val="zh-CN"/>
              </w:rPr>
              <w:t>检测</w:t>
            </w:r>
            <w:r>
              <w:rPr>
                <w:rFonts w:hint="eastAsia" w:ascii="宋体" w:hAnsi="宋体" w:eastAsia="宋体" w:cs="宋体"/>
                <w:b/>
                <w:color w:val="0000FF"/>
                <w:kern w:val="0"/>
                <w:sz w:val="24"/>
                <w:lang w:val="zh-CN" w:eastAsia="zh-CN"/>
              </w:rPr>
              <w:t>最高限价为700元/台；</w:t>
            </w:r>
            <w:r>
              <w:rPr>
                <w:rFonts w:hint="eastAsia" w:ascii="宋体" w:hAnsi="宋体" w:eastAsia="宋体" w:cs="宋体"/>
                <w:b/>
                <w:color w:val="0000FF"/>
                <w:kern w:val="0"/>
                <w:sz w:val="24"/>
                <w:lang w:val="zh-CN"/>
              </w:rPr>
              <w:t>投标人针对本项目的投标报价不得超过</w:t>
            </w:r>
            <w:r>
              <w:rPr>
                <w:rFonts w:hint="eastAsia" w:ascii="宋体" w:hAnsi="宋体" w:eastAsia="宋体" w:cs="宋体"/>
                <w:b/>
                <w:color w:val="0000FF"/>
                <w:kern w:val="0"/>
                <w:sz w:val="24"/>
                <w:lang w:val="zh-CN" w:eastAsia="zh-CN"/>
              </w:rPr>
              <w:t>各台设备检测单价金额</w:t>
            </w:r>
            <w:r>
              <w:rPr>
                <w:rFonts w:hint="eastAsia" w:ascii="宋体" w:hAnsi="宋体" w:eastAsia="宋体" w:cs="宋体"/>
                <w:b/>
                <w:color w:val="0000FF"/>
                <w:kern w:val="0"/>
                <w:sz w:val="24"/>
                <w:lang w:val="zh-CN"/>
              </w:rPr>
              <w:t>，</w:t>
            </w:r>
            <w:r>
              <w:rPr>
                <w:rFonts w:hint="eastAsia" w:ascii="宋体" w:hAnsi="宋体" w:eastAsia="宋体" w:cs="宋体"/>
                <w:b/>
                <w:kern w:val="0"/>
                <w:sz w:val="24"/>
                <w:lang w:val="zh-CN"/>
              </w:rPr>
              <w:t>否则其投标无效。</w:t>
            </w:r>
          </w:p>
          <w:p>
            <w:pPr>
              <w:snapToGrid w:val="0"/>
              <w:spacing w:line="360" w:lineRule="auto"/>
              <w:ind w:firstLine="241" w:firstLineChars="100"/>
              <w:jc w:val="left"/>
              <w:rPr>
                <w:rFonts w:hint="eastAsia" w:ascii="宋体" w:hAnsi="宋体" w:eastAsia="宋体" w:cs="宋体"/>
                <w:b/>
                <w:sz w:val="24"/>
              </w:rPr>
            </w:pPr>
            <w:r>
              <w:rPr>
                <w:rFonts w:hint="eastAsia" w:ascii="宋体" w:hAnsi="宋体" w:eastAsia="宋体" w:cs="宋体"/>
                <w:b/>
                <w:kern w:val="0"/>
                <w:sz w:val="24"/>
                <w:lang w:val="en-US" w:eastAsia="zh-CN"/>
              </w:rPr>
              <w:t>1.2</w:t>
            </w: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napToGrid w:val="0"/>
              <w:spacing w:line="360" w:lineRule="auto"/>
              <w:ind w:firstLine="241" w:firstLineChars="100"/>
              <w:jc w:val="left"/>
              <w:rPr>
                <w:rFonts w:hint="eastAsia" w:ascii="宋体" w:hAnsi="宋体" w:eastAsia="宋体" w:cs="宋体"/>
                <w:b/>
                <w:sz w:val="24"/>
              </w:rPr>
            </w:pPr>
            <w:r>
              <w:rPr>
                <w:rFonts w:hint="eastAsia" w:ascii="宋体" w:hAnsi="宋体" w:eastAsia="宋体" w:cs="宋体"/>
                <w:b/>
                <w:kern w:val="0"/>
                <w:sz w:val="24"/>
                <w:lang w:val="en-US" w:eastAsia="zh-CN"/>
              </w:rPr>
              <w:t>1.3</w:t>
            </w: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p>
            <w:pPr>
              <w:spacing w:line="360" w:lineRule="auto"/>
              <w:ind w:firstLine="241" w:firstLineChars="100"/>
              <w:rPr>
                <w:rFonts w:ascii="宋体" w:hAnsi="宋体" w:cs="宋体"/>
                <w:color w:val="auto"/>
                <w:sz w:val="24"/>
              </w:rPr>
            </w:pPr>
            <w:r>
              <w:rPr>
                <w:rFonts w:hint="eastAsia" w:ascii="宋体" w:hAnsi="宋体" w:eastAsia="宋体" w:cs="宋体"/>
                <w:b/>
                <w:kern w:val="0"/>
                <w:sz w:val="24"/>
                <w:lang w:val="en-US" w:eastAsia="zh-CN"/>
              </w:rPr>
              <w:t>1.4</w:t>
            </w:r>
            <w:r>
              <w:rPr>
                <w:rFonts w:hint="eastAsia" w:ascii="宋体" w:hAnsi="宋体" w:eastAsia="宋体" w:cs="宋体"/>
                <w:b/>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781"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78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sz w:val="24"/>
                <w:u w:val="single"/>
                <w:lang w:eastAsia="zh-CN"/>
              </w:rPr>
              <w:t>刘瑶</w:t>
            </w:r>
            <w:r>
              <w:rPr>
                <w:rFonts w:hint="eastAsia" w:hAnsi="宋体" w:cs="宋体"/>
                <w:sz w:val="24"/>
                <w:u w:val="single"/>
              </w:rPr>
              <w:t>收，</w:t>
            </w:r>
            <w:r>
              <w:rPr>
                <w:rFonts w:hint="eastAsia" w:hAnsi="宋体" w:cs="宋体"/>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81"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781"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 w:val="24"/>
                <w:lang w:eastAsia="zh-CN"/>
              </w:rPr>
              <w:t>符合</w:t>
            </w:r>
            <w:r>
              <w:rPr>
                <w:rFonts w:hint="eastAsia" w:ascii="宋体" w:hAnsi="宋体" w:cs="宋体"/>
                <w:snapToGrid w:val="0"/>
                <w:color w:val="auto"/>
                <w:kern w:val="28"/>
                <w:sz w:val="24"/>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81"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eastAsia="宋体" w:cs="宋体"/>
                <w:b/>
                <w:kern w:val="2"/>
                <w:sz w:val="24"/>
                <w:szCs w:val="24"/>
                <w:lang w:val="en-US" w:eastAsia="zh-CN" w:bidi="ar-SA"/>
              </w:rPr>
            </w:pPr>
            <w:r>
              <w:rPr>
                <w:rFonts w:hint="eastAsia" w:ascii="宋体" w:hAnsi="宋体" w:cs="宋体"/>
                <w:b/>
                <w:bCs/>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2"/>
              <w:tabs>
                <w:tab w:val="left" w:pos="706"/>
                <w:tab w:val="clear" w:pos="432"/>
              </w:tabs>
              <w:spacing w:line="360" w:lineRule="auto"/>
              <w:ind w:left="0" w:firstLine="0"/>
              <w:jc w:val="left"/>
              <w:rPr>
                <w:rFonts w:hint="eastAsia" w:ascii="宋体" w:hAnsi="宋体" w:eastAsia="宋体" w:cs="宋体"/>
                <w:b w:val="0"/>
                <w:bCs w:val="0"/>
                <w:snapToGrid w:val="0"/>
                <w:color w:val="auto"/>
                <w:kern w:val="28"/>
                <w:sz w:val="24"/>
                <w:szCs w:val="24"/>
                <w:lang w:val="en-US"/>
              </w:rPr>
            </w:pPr>
            <w:r>
              <w:rPr>
                <w:rFonts w:hint="eastAsia" w:ascii="宋体" w:hAnsi="宋体" w:eastAsia="宋体" w:cs="宋体"/>
                <w:b w:val="0"/>
                <w:bCs w:val="0"/>
                <w:snapToGrid w:val="0"/>
                <w:color w:val="auto"/>
                <w:kern w:val="28"/>
                <w:sz w:val="24"/>
                <w:szCs w:val="24"/>
                <w:lang w:val="en-US"/>
              </w:rPr>
              <w:t>本项目的招标代理费用由中标单位支付，代理费用付款参照预算价按《招标代理服务收费管理暂行办法》的通知（计价格[2002]1980号）文件计取，付款基数为预算总金额，直接支付给分散采购招标代理单位，投标人在报价时应综合考虑该笔费用，但不单列进投标总价。</w:t>
            </w:r>
          </w:p>
          <w:p>
            <w:pPr>
              <w:pStyle w:val="26"/>
              <w:spacing w:line="360" w:lineRule="auto"/>
              <w:ind w:left="0" w:leftChars="0" w:firstLine="0" w:firstLineChars="0"/>
              <w:rPr>
                <w:rFonts w:hint="eastAsia"/>
                <w:lang w:val="en-US" w:eastAsia="zh-CN"/>
              </w:rPr>
            </w:pPr>
            <w:r>
              <w:rPr>
                <w:rFonts w:hint="eastAsia" w:ascii="仿宋" w:eastAsia="仿宋" w:cs="仿宋"/>
                <w:sz w:val="24"/>
                <w:szCs w:val="24"/>
                <w:lang w:val="en-US"/>
              </w:rPr>
              <w:drawing>
                <wp:inline distT="0" distB="0" distL="114300" distR="114300">
                  <wp:extent cx="3872230" cy="1776095"/>
                  <wp:effectExtent l="0" t="0" r="13970" b="146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cstate="print"/>
                          <a:stretch>
                            <a:fillRect/>
                          </a:stretch>
                        </pic:blipFill>
                        <pic:spPr>
                          <a:xfrm>
                            <a:off x="0" y="0"/>
                            <a:ext cx="3872230" cy="1776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rPr>
        <w:tc>
          <w:tcPr>
            <w:tcW w:w="781"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eastAsia="宋体" w:cs="宋体"/>
                <w:b/>
                <w:bCs/>
                <w:kern w:val="2"/>
                <w:sz w:val="24"/>
                <w:szCs w:val="24"/>
                <w:lang w:val="en-US" w:eastAsia="zh-CN" w:bidi="ar-SA"/>
              </w:rPr>
            </w:pPr>
            <w:r>
              <w:rPr>
                <w:rFonts w:hint="eastAsia" w:ascii="宋体" w:hAnsi="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cs="宋体"/>
                <w:b/>
                <w:bCs/>
                <w:sz w:val="24"/>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2"/>
    <w:p>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pStyle w:val="2"/>
        <w:bidi w:val="0"/>
      </w:pPr>
      <w:r>
        <w:rPr>
          <w:rFonts w:hint="eastAsia"/>
        </w:rPr>
        <w:t>一、总则</w:t>
      </w:r>
    </w:p>
    <w:p>
      <w:pPr>
        <w:bidi w:val="0"/>
        <w:spacing w:line="360" w:lineRule="auto"/>
        <w:ind w:firstLine="482" w:firstLineChars="200"/>
        <w:rPr>
          <w:b/>
          <w:bCs/>
        </w:rPr>
      </w:pPr>
      <w:r>
        <w:rPr>
          <w:rFonts w:hint="eastAsia"/>
          <w:b/>
          <w:bCs/>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numPr>
          <w:ilvl w:val="0"/>
          <w:numId w:val="3"/>
        </w:numPr>
        <w:bidi w:val="0"/>
        <w:spacing w:line="360" w:lineRule="auto"/>
        <w:ind w:left="360" w:leftChars="0" w:firstLine="0" w:firstLineChars="0"/>
        <w:rPr>
          <w:b/>
          <w:bCs/>
        </w:rPr>
      </w:pPr>
      <w:r>
        <w:rPr>
          <w:rFonts w:hint="eastAsia"/>
          <w:b/>
          <w:bCs/>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cs="宋体"/>
          <w:sz w:val="24"/>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询问、质疑、投诉、补偿救济</w:t>
      </w:r>
    </w:p>
    <w:p>
      <w:pPr>
        <w:pStyle w:val="893"/>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93"/>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93"/>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3"/>
        <w:shd w:val="clear" w:color="auto" w:fill="FFFFFF"/>
        <w:snapToGrid w:val="0"/>
        <w:spacing w:after="240" w:afterAutospacing="0" w:line="360" w:lineRule="auto"/>
        <w:ind w:firstLine="400"/>
        <w:contextualSpacing/>
      </w:pPr>
      <w:r>
        <w:rPr>
          <w:rFonts w:hint="eastAsia"/>
        </w:rPr>
        <w:t>质疑函范本及制作说明详见附件2。</w:t>
      </w:r>
    </w:p>
    <w:p>
      <w:pPr>
        <w:pStyle w:val="893"/>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93"/>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93"/>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3"/>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93"/>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93"/>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3"/>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93"/>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93"/>
        <w:shd w:val="clear" w:color="auto" w:fill="FFFFFF"/>
        <w:snapToGrid w:val="0"/>
        <w:spacing w:after="240" w:afterAutospacing="0" w:line="360" w:lineRule="auto"/>
        <w:ind w:firstLine="480" w:firstLineChars="200"/>
        <w:contextualSpacing/>
      </w:pPr>
      <w:r>
        <w:rPr>
          <w:rFonts w:hint="eastAsia"/>
        </w:rPr>
        <w:t>4.4.5</w:t>
      </w:r>
      <w:r>
        <w:rPr>
          <w:rFonts w:hint="eastAsia"/>
          <w:lang w:eastAsia="zh-CN"/>
        </w:rPr>
        <w:t>杭州市</w:t>
      </w:r>
      <w:r>
        <w:rPr>
          <w:rFonts w:hint="eastAsia"/>
          <w:lang w:val="en-US" w:eastAsia="zh-CN"/>
        </w:rPr>
        <w:t>临平</w:t>
      </w:r>
      <w:r>
        <w:rPr>
          <w:rFonts w:hint="eastAsia"/>
          <w:lang w:eastAsia="zh-CN"/>
        </w:rPr>
        <w:t>区政府</w:t>
      </w:r>
      <w:r>
        <w:rPr>
          <w:rFonts w:hint="eastAsia"/>
        </w:rPr>
        <w:t>采购项目投诉材料可寄送至</w:t>
      </w:r>
      <w:r>
        <w:rPr>
          <w:rFonts w:hint="eastAsia"/>
          <w:lang w:eastAsia="zh-CN"/>
        </w:rPr>
        <w:t xml:space="preserve">浙江省政府采购行政裁决服务中心(杭州) </w:t>
      </w:r>
      <w:r>
        <w:rPr>
          <w:rFonts w:hint="eastAsia"/>
        </w:rPr>
        <w:t>，地址：</w:t>
      </w:r>
      <w:r>
        <w:rPr>
          <w:rFonts w:hint="eastAsia"/>
          <w:lang w:eastAsia="zh-CN"/>
        </w:rPr>
        <w:t>杭州市上城区四季青街道新业路市民之家GO3办公室 (快递仅限ems或顺丰)。</w:t>
      </w:r>
      <w:r>
        <w:rPr>
          <w:rFonts w:hint="eastAsia"/>
        </w:rPr>
        <w:t>收件人：</w:t>
      </w:r>
      <w:r>
        <w:rPr>
          <w:rFonts w:hint="eastAsia" w:cs="宋体"/>
          <w:sz w:val="24"/>
          <w:lang w:eastAsia="zh-CN"/>
        </w:rPr>
        <w:t xml:space="preserve">朱女士、王女士 </w:t>
      </w:r>
      <w:r>
        <w:rPr>
          <w:rFonts w:hint="eastAsia"/>
        </w:rPr>
        <w:t>，电话：</w:t>
      </w:r>
      <w:r>
        <w:rPr>
          <w:rFonts w:hint="eastAsia"/>
          <w:lang w:eastAsia="zh-CN"/>
        </w:rPr>
        <w:t>0571-85252453</w:t>
      </w:r>
      <w:r>
        <w:rPr>
          <w:rFonts w:hint="eastAsia"/>
        </w:rPr>
        <w:t xml:space="preserve"> 。</w:t>
      </w:r>
    </w:p>
    <w:p>
      <w:pPr>
        <w:pStyle w:val="893"/>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pPr>
        <w:pStyle w:val="893"/>
        <w:shd w:val="clear" w:color="auto" w:fill="FFFFFF"/>
        <w:snapToGrid w:val="0"/>
        <w:spacing w:before="0" w:beforeAutospacing="0" w:after="0" w:afterAutospacing="0" w:line="360" w:lineRule="auto"/>
        <w:ind w:firstLine="400"/>
        <w:contextualSpacing/>
        <w:rPr>
          <w:rFonts w:hint="eastAsia"/>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pPr>
        <w:pStyle w:val="137"/>
        <w:snapToGrid w:val="0"/>
        <w:spacing w:before="0"/>
        <w:ind w:firstLine="360"/>
        <w:rPr>
          <w:rFonts w:ascii="宋体" w:hAnsi="宋体" w:cs="宋体"/>
          <w:sz w:val="18"/>
          <w:szCs w:val="18"/>
        </w:rPr>
      </w:pPr>
    </w:p>
    <w:p>
      <w:pPr>
        <w:pStyle w:val="2"/>
        <w:bidi w:val="0"/>
      </w:pPr>
      <w:r>
        <w:rPr>
          <w:rFonts w:hint="eastAsia"/>
        </w:rPr>
        <w:t>二、招标文件的构成、澄清、修改</w:t>
      </w:r>
    </w:p>
    <w:p>
      <w:pPr>
        <w:pStyle w:val="36"/>
        <w:spacing w:line="360" w:lineRule="auto"/>
        <w:rPr>
          <w:rFonts w:hAnsi="宋体" w:cs="宋体"/>
          <w:b/>
          <w:sz w:val="24"/>
          <w:szCs w:val="24"/>
        </w:rPr>
      </w:pPr>
      <w:r>
        <w:rPr>
          <w:rFonts w:hint="eastAsia" w:hAnsi="宋体" w:cs="宋体"/>
          <w:b/>
          <w:sz w:val="24"/>
          <w:szCs w:val="24"/>
        </w:rPr>
        <w:t>5．招标文件的构成</w:t>
      </w:r>
    </w:p>
    <w:p>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6"/>
        <w:spacing w:line="360" w:lineRule="auto"/>
        <w:rPr>
          <w:rFonts w:hAnsi="宋体" w:cs="宋体"/>
          <w:b/>
          <w:sz w:val="24"/>
          <w:szCs w:val="24"/>
        </w:rPr>
      </w:pPr>
      <w:r>
        <w:rPr>
          <w:rFonts w:hint="eastAsia" w:hAnsi="宋体" w:cs="宋体"/>
          <w:b/>
          <w:sz w:val="24"/>
          <w:szCs w:val="24"/>
        </w:rPr>
        <w:t>6. 招标文件的澄清、修改</w:t>
      </w:r>
    </w:p>
    <w:p>
      <w:pPr>
        <w:pStyle w:val="13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7"/>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pStyle w:val="2"/>
        <w:bidi w:val="0"/>
      </w:pPr>
      <w:r>
        <w:rPr>
          <w:rFonts w:hint="eastAsia"/>
        </w:rPr>
        <w:t>三、投标</w:t>
      </w:r>
    </w:p>
    <w:p>
      <w:pPr>
        <w:pStyle w:val="3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6"/>
        <w:spacing w:line="360" w:lineRule="auto"/>
        <w:rPr>
          <w:rFonts w:hAnsi="宋体" w:cs="宋体"/>
          <w:b/>
          <w:sz w:val="24"/>
          <w:szCs w:val="24"/>
        </w:rPr>
      </w:pPr>
      <w:r>
        <w:rPr>
          <w:rFonts w:hint="eastAsia" w:hAnsi="宋体" w:cs="宋体"/>
          <w:b/>
          <w:sz w:val="24"/>
          <w:szCs w:val="24"/>
        </w:rPr>
        <w:t>8.开标前答疑会或现场考察</w:t>
      </w:r>
    </w:p>
    <w:p>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11.1</w:t>
      </w:r>
      <w:r>
        <w:rPr>
          <w:rFonts w:hint="eastAsia" w:ascii="宋体" w:hAnsi="宋体" w:eastAsia="宋体" w:cs="宋体"/>
          <w:b/>
          <w:sz w:val="24"/>
        </w:rPr>
        <w:t>资格文件</w:t>
      </w:r>
      <w:r>
        <w:rPr>
          <w:rFonts w:hint="eastAsia" w:ascii="宋体" w:hAnsi="宋体" w:eastAsia="宋体" w:cs="宋体"/>
          <w:b/>
          <w:bCs w:val="0"/>
          <w:sz w:val="24"/>
          <w:lang w:eastAsia="zh-CN"/>
        </w:rPr>
        <w:t>包括不限于</w:t>
      </w:r>
      <w:r>
        <w:rPr>
          <w:rFonts w:hint="eastAsia" w:ascii="宋体" w:hAnsi="宋体" w:eastAsia="宋体" w:cs="宋体"/>
          <w:b/>
          <w:sz w:val="24"/>
        </w:rPr>
        <w:t>：</w:t>
      </w:r>
    </w:p>
    <w:p>
      <w:pPr>
        <w:snapToGrid w:val="0"/>
        <w:spacing w:line="360" w:lineRule="auto"/>
        <w:ind w:firstLine="240" w:firstLineChars="100"/>
        <w:jc w:val="left"/>
        <w:rPr>
          <w:rFonts w:hint="eastAsia" w:ascii="宋体" w:hAnsi="宋体" w:eastAsia="宋体" w:cs="宋体"/>
          <w:b/>
          <w:bCs/>
          <w:sz w:val="24"/>
          <w:lang w:eastAsia="zh-CN"/>
        </w:rPr>
      </w:pPr>
      <w:r>
        <w:rPr>
          <w:rFonts w:hint="eastAsia" w:ascii="宋体" w:hAnsi="宋体" w:eastAsia="宋体" w:cs="宋体"/>
          <w:sz w:val="24"/>
        </w:rPr>
        <w:t>▲</w:t>
      </w:r>
      <w:r>
        <w:rPr>
          <w:rFonts w:hint="eastAsia" w:ascii="宋体" w:hAnsi="宋体" w:eastAsia="宋体" w:cs="宋体"/>
          <w:b/>
          <w:bCs/>
          <w:sz w:val="24"/>
        </w:rPr>
        <w:t>11.1.1符合参加政府采购活动应当具备的一般条件的承诺函</w:t>
      </w:r>
      <w:r>
        <w:rPr>
          <w:rFonts w:hint="eastAsia" w:ascii="宋体" w:hAnsi="宋体" w:eastAsia="宋体" w:cs="宋体"/>
          <w:b/>
          <w:bCs/>
          <w:sz w:val="24"/>
          <w:lang w:eastAsia="zh-CN"/>
        </w:rPr>
        <w:t>；</w:t>
      </w:r>
    </w:p>
    <w:p>
      <w:pPr>
        <w:pStyle w:val="2"/>
        <w:jc w:val="left"/>
        <w:rPr>
          <w:rFonts w:hint="eastAsia" w:ascii="仿宋_GB2312" w:hAnsi="仿宋_GB2312" w:eastAsia="宋体" w:cs="Times New Roman"/>
          <w:b/>
          <w:bCs/>
          <w:sz w:val="32"/>
          <w:lang w:eastAsia="zh-CN"/>
        </w:rPr>
      </w:pPr>
      <w:r>
        <w:rPr>
          <w:rFonts w:hint="eastAsia" w:ascii="宋体" w:hAnsi="宋体" w:eastAsia="宋体" w:cs="宋体"/>
          <w:sz w:val="24"/>
        </w:rPr>
        <w:t>▲</w:t>
      </w:r>
      <w:r>
        <w:rPr>
          <w:rFonts w:hint="eastAsia" w:ascii="宋体" w:hAnsi="宋体" w:eastAsia="宋体" w:cs="宋体"/>
          <w:b/>
          <w:bCs/>
          <w:sz w:val="24"/>
        </w:rPr>
        <w:t>11.1.</w:t>
      </w:r>
      <w:r>
        <w:rPr>
          <w:rFonts w:hint="eastAsia" w:ascii="宋体" w:hAnsi="宋体" w:eastAsia="宋体" w:cs="宋体"/>
          <w:b/>
          <w:bCs/>
          <w:sz w:val="24"/>
          <w:lang w:val="en-US" w:eastAsia="zh-CN"/>
        </w:rPr>
        <w:t>2提供法人或者其他组织机构的营业执照（扫描件或复印件加盖公章）或事业法人登记证书或其他工商等登记证明材料；</w:t>
      </w:r>
    </w:p>
    <w:p>
      <w:pPr>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eastAsia="zh-CN"/>
          <w14:textFill>
            <w14:solidFill>
              <w14:schemeClr w14:val="tx1"/>
            </w14:solidFill>
          </w14:textFill>
        </w:rPr>
        <w:t>3</w:t>
      </w:r>
      <w:r>
        <w:rPr>
          <w:rFonts w:hint="eastAsia" w:ascii="宋体" w:hAnsi="宋体" w:eastAsia="宋体" w:cs="宋体"/>
          <w:b/>
          <w:bCs/>
          <w:color w:val="000000" w:themeColor="text1"/>
          <w:sz w:val="24"/>
          <w:lang w:eastAsia="zh-CN"/>
          <w14:textFill>
            <w14:solidFill>
              <w14:schemeClr w14:val="tx1"/>
            </w14:solidFill>
          </w14:textFill>
        </w:rPr>
        <w:t>落实政府采购政策需满足的资格要求：</w:t>
      </w:r>
      <w:r>
        <w:rPr>
          <w:rFonts w:hint="eastAsia" w:ascii="宋体" w:hAnsi="宋体" w:cs="宋体"/>
          <w:b/>
          <w:bCs/>
          <w:color w:val="000000" w:themeColor="text1"/>
          <w:sz w:val="24"/>
          <w:lang w:eastAsia="zh-CN"/>
          <w14:textFill>
            <w14:solidFill>
              <w14:schemeClr w14:val="tx1"/>
            </w14:solidFill>
          </w14:textFill>
        </w:rPr>
        <w:t>本项目为非专门面向中小企业采购，为满足中小企业份额</w:t>
      </w:r>
      <w:r>
        <w:rPr>
          <w:rFonts w:hint="eastAsia" w:ascii="宋体" w:hAnsi="宋体" w:eastAsia="宋体" w:cs="宋体"/>
          <w:color w:val="auto"/>
          <w:sz w:val="24"/>
        </w:rPr>
        <w:t>要求</w:t>
      </w:r>
      <w:r>
        <w:rPr>
          <w:rFonts w:hint="eastAsia" w:ascii="宋体" w:hAnsi="宋体" w:cs="宋体"/>
          <w:color w:val="auto"/>
          <w:sz w:val="24"/>
          <w:lang w:eastAsia="zh-CN"/>
        </w:rPr>
        <w:t>，采用</w:t>
      </w:r>
      <w:r>
        <w:rPr>
          <w:rFonts w:hint="eastAsia" w:ascii="宋体" w:hAnsi="宋体" w:eastAsia="宋体" w:cs="宋体"/>
          <w:color w:val="auto"/>
          <w:sz w:val="24"/>
        </w:rPr>
        <w:t>联合体形式参加，提供联合协议和中小企业声明函，</w:t>
      </w:r>
      <w:r>
        <w:rPr>
          <w:rFonts w:hint="eastAsia" w:ascii="宋体" w:hAnsi="宋体" w:eastAsia="宋体" w:cs="宋体"/>
          <w:color w:val="auto"/>
          <w:sz w:val="24"/>
          <w:highlight w:val="none"/>
        </w:rPr>
        <w:t>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51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w:t>
      </w:r>
      <w:r>
        <w:rPr>
          <w:rFonts w:hint="eastAsia" w:ascii="宋体" w:hAnsi="宋体" w:eastAsia="宋体" w:cs="宋体"/>
          <w:color w:val="auto"/>
          <w:spacing w:val="8"/>
          <w:kern w:val="0"/>
          <w:sz w:val="24"/>
        </w:rPr>
        <w:t>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pPr>
        <w:snapToGrid w:val="0"/>
        <w:spacing w:line="360" w:lineRule="auto"/>
        <w:ind w:firstLine="480" w:firstLineChars="200"/>
        <w:rPr>
          <w:rFonts w:ascii="宋体" w:hAnsi="宋体" w:cs="宋体"/>
          <w:color w:val="0000FF"/>
          <w:sz w:val="24"/>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color w:val="000000" w:themeColor="text1"/>
          <w:sz w:val="24"/>
          <w:lang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w:t>
      </w:r>
      <w:bookmarkStart w:id="15" w:name="_Hlk101259339"/>
      <w:r>
        <w:rPr>
          <w:rFonts w:hint="eastAsia" w:ascii="宋体" w:hAnsi="宋体" w:cs="宋体"/>
          <w:sz w:val="24"/>
          <w:lang w:val="en-US" w:eastAsia="zh-CN"/>
        </w:rPr>
        <w:t>5</w:t>
      </w:r>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pPr>
        <w:shd w:val="clear"/>
        <w:snapToGrid w:val="0"/>
        <w:spacing w:line="360" w:lineRule="auto"/>
        <w:ind w:firstLine="482" w:firstLineChars="200"/>
        <w:rPr>
          <w:rFonts w:hint="eastAsia" w:ascii="宋体" w:hAnsi="宋体" w:cs="宋体"/>
          <w:sz w:val="24"/>
          <w:lang w:val="zh-CN"/>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r>
        <w:rPr>
          <w:rFonts w:hint="eastAsia" w:ascii="宋体" w:hAnsi="宋体" w:cs="宋体"/>
          <w:b/>
          <w:bCs/>
          <w:sz w:val="24"/>
          <w:lang w:val="zh-CN"/>
        </w:rPr>
        <w:t>：</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rPr>
        <w:t>▲11.2.1投标函；</w:t>
      </w:r>
      <w:r>
        <w:rPr>
          <w:rFonts w:hint="eastAsia" w:ascii="宋体" w:hAnsi="宋体" w:cs="宋体"/>
          <w:b/>
          <w:bCs/>
          <w:sz w:val="24"/>
          <w:lang w:val="zh-CN"/>
        </w:rPr>
        <w:t xml:space="preserve"> </w:t>
      </w:r>
    </w:p>
    <w:p>
      <w:pPr>
        <w:snapToGrid w:val="0"/>
        <w:spacing w:line="360" w:lineRule="auto"/>
        <w:ind w:firstLine="482" w:firstLineChars="200"/>
        <w:rPr>
          <w:rFonts w:ascii="宋体" w:hAnsi="宋体" w:cs="宋体"/>
          <w:b/>
          <w:bCs/>
          <w:sz w:val="24"/>
        </w:rPr>
      </w:pPr>
      <w:r>
        <w:rPr>
          <w:rFonts w:hint="eastAsia" w:ascii="宋体" w:hAnsi="宋体" w:cs="宋体"/>
          <w:b/>
          <w:bCs/>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0" w:leftChars="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b/>
          <w:bCs/>
          <w:sz w:val="24"/>
        </w:rPr>
        <w:t>（按招标文件第四部分评标办法前附表中“投标文件中评标标准相应的商务技术资料目录”提供资料）</w:t>
      </w:r>
    </w:p>
    <w:p>
      <w:pPr>
        <w:snapToGrid w:val="0"/>
        <w:spacing w:line="360" w:lineRule="auto"/>
        <w:ind w:left="0" w:leftChars="0" w:firstLine="482" w:firstLineChars="200"/>
        <w:rPr>
          <w:rFonts w:ascii="宋体" w:hAnsi="宋体" w:cs="宋体"/>
          <w:sz w:val="24"/>
        </w:rPr>
      </w:pPr>
      <w:r>
        <w:rPr>
          <w:rFonts w:hint="eastAsia" w:ascii="宋体" w:hAnsi="宋体" w:cs="宋体"/>
          <w:b/>
          <w:bCs/>
          <w:sz w:val="24"/>
        </w:rPr>
        <w:t>▲</w:t>
      </w: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482" w:firstLineChars="200"/>
        <w:rPr>
          <w:rFonts w:ascii="宋体" w:hAnsi="宋体" w:cs="宋体"/>
          <w:b/>
          <w:bCs/>
          <w:sz w:val="24"/>
        </w:rPr>
      </w:pPr>
      <w:r>
        <w:rPr>
          <w:rFonts w:hint="eastAsia" w:ascii="宋体" w:hAnsi="宋体" w:cs="宋体"/>
          <w:b/>
          <w:bCs/>
          <w:sz w:val="24"/>
        </w:rPr>
        <w:t>▲11.2.</w:t>
      </w:r>
      <w:r>
        <w:rPr>
          <w:rFonts w:ascii="宋体" w:hAnsi="宋体" w:cs="宋体"/>
          <w:b/>
          <w:bCs/>
          <w:sz w:val="24"/>
        </w:rPr>
        <w:t>7</w:t>
      </w:r>
      <w:r>
        <w:rPr>
          <w:rFonts w:hint="eastAsia" w:ascii="宋体" w:hAnsi="宋体" w:cs="宋体"/>
          <w:b/>
          <w:bCs/>
          <w:sz w:val="24"/>
        </w:rPr>
        <w:t>商务技术偏离表；</w:t>
      </w:r>
    </w:p>
    <w:p>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rPr>
        <w:t>▲</w:t>
      </w: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w:t>
      </w:r>
      <w:r>
        <w:rPr>
          <w:rFonts w:ascii="宋体" w:hAnsi="宋体" w:cs="宋体"/>
          <w:b/>
          <w:bCs/>
          <w:sz w:val="24"/>
        </w:rPr>
        <w:t>8</w:t>
      </w:r>
      <w:r>
        <w:rPr>
          <w:rFonts w:hint="eastAsia" w:ascii="宋体" w:hAnsi="宋体" w:cs="宋体"/>
          <w:b/>
          <w:bCs/>
          <w:sz w:val="24"/>
          <w:lang w:val="zh-CN"/>
        </w:rPr>
        <w:t>政府采购供应商廉洁自律承诺书；</w:t>
      </w:r>
    </w:p>
    <w:p>
      <w:pPr>
        <w:shd w:val="clear"/>
        <w:snapToGrid w:val="0"/>
        <w:spacing w:line="360" w:lineRule="auto"/>
        <w:ind w:firstLine="482" w:firstLineChars="200"/>
        <w:rPr>
          <w:rFonts w:hint="eastAsia" w:ascii="宋体" w:hAnsi="宋体" w:eastAsia="宋体" w:cs="宋体"/>
          <w:b/>
          <w:bCs/>
          <w:sz w:val="24"/>
          <w:lang w:val="zh-CN"/>
        </w:rPr>
      </w:pPr>
      <w:r>
        <w:rPr>
          <w:rFonts w:hint="eastAsia" w:ascii="宋体" w:hAnsi="宋体" w:cs="宋体"/>
          <w:b/>
          <w:bCs/>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en-US" w:eastAsia="zh-CN"/>
        </w:rPr>
        <w:t>.9</w:t>
      </w:r>
      <w:r>
        <w:rPr>
          <w:rFonts w:hint="eastAsia" w:ascii="宋体" w:hAnsi="宋体" w:eastAsia="宋体" w:cs="宋体"/>
          <w:b/>
          <w:bCs/>
          <w:sz w:val="24"/>
          <w:lang w:val="zh-CN" w:eastAsia="zh-CN"/>
        </w:rPr>
        <w:t xml:space="preserve"> 服务承诺函。</w:t>
      </w:r>
    </w:p>
    <w:p>
      <w:pPr>
        <w:shd w:val="clear"/>
        <w:snapToGrid w:val="0"/>
        <w:spacing w:line="360" w:lineRule="auto"/>
        <w:ind w:firstLine="482" w:firstLineChars="200"/>
        <w:rPr>
          <w:rFonts w:hint="eastAsia" w:ascii="宋体" w:hAnsi="宋体" w:cs="宋体"/>
          <w:b/>
          <w:bCs/>
          <w:sz w:val="24"/>
          <w:lang w:val="zh-CN"/>
        </w:rPr>
      </w:pPr>
      <w:r>
        <w:rPr>
          <w:rFonts w:hint="eastAsia" w:ascii="宋体" w:hAnsi="宋体" w:cs="宋体"/>
          <w:b/>
          <w:bCs/>
          <w:color w:val="000000"/>
          <w:sz w:val="24"/>
        </w:rPr>
        <w:t>注：上述内容部分格式及内容详见“</w:t>
      </w:r>
      <w:r>
        <w:rPr>
          <w:rFonts w:hint="eastAsia" w:ascii="宋体" w:hAnsi="宋体" w:cs="宋体"/>
          <w:b/>
          <w:bCs/>
          <w:sz w:val="24"/>
        </w:rPr>
        <w:t>第六部分  应提交的有关格式范例”。</w:t>
      </w:r>
    </w:p>
    <w:p>
      <w:pPr>
        <w:snapToGrid w:val="0"/>
        <w:spacing w:line="360" w:lineRule="auto"/>
        <w:ind w:firstLine="482" w:firstLineChars="20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报价文件（包括不限于）：</w:t>
      </w:r>
      <w:r>
        <w:rPr>
          <w:rFonts w:hint="eastAsia" w:ascii="宋体" w:hAnsi="宋体" w:cs="宋体"/>
          <w:sz w:val="24"/>
        </w:rPr>
        <w:t xml:space="preserve"> </w:t>
      </w:r>
    </w:p>
    <w:p>
      <w:pPr>
        <w:snapToGrid w:val="0"/>
        <w:spacing w:line="360" w:lineRule="auto"/>
        <w:ind w:firstLine="480" w:firstLineChars="200"/>
        <w:rPr>
          <w:rFonts w:ascii="宋体" w:hAnsi="宋体" w:cs="宋体"/>
          <w:b/>
          <w:bCs/>
          <w:sz w:val="24"/>
        </w:rPr>
      </w:pPr>
      <w:r>
        <w:rPr>
          <w:rFonts w:hint="eastAsia" w:ascii="宋体" w:hAnsi="宋体" w:cs="宋体"/>
          <w:sz w:val="24"/>
        </w:rPr>
        <w:t>▲</w:t>
      </w:r>
      <w:r>
        <w:rPr>
          <w:rFonts w:hint="eastAsia" w:ascii="宋体" w:hAnsi="宋体" w:cs="宋体"/>
          <w:b/>
          <w:bCs/>
          <w:sz w:val="24"/>
        </w:rPr>
        <w:t>11.3.1开标一览表（报价表）；</w:t>
      </w:r>
    </w:p>
    <w:p>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投标人提供虚假材料投标的，投标无效。投标人应对投标文件中材料的真实性、合法性负责。</w:t>
      </w:r>
    </w:p>
    <w:p>
      <w:pPr>
        <w:bidi w:val="0"/>
        <w:spacing w:line="360" w:lineRule="auto"/>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7"/>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6"/>
        <w:spacing w:line="360" w:lineRule="auto"/>
        <w:rPr>
          <w:rFonts w:hAnsi="宋体" w:cs="宋体"/>
          <w:b/>
          <w:sz w:val="24"/>
          <w:szCs w:val="24"/>
        </w:rPr>
      </w:pPr>
      <w:r>
        <w:rPr>
          <w:rFonts w:hint="eastAsia" w:hAnsi="宋体" w:cs="宋体"/>
          <w:b/>
          <w:sz w:val="24"/>
          <w:szCs w:val="24"/>
        </w:rPr>
        <w:t>15.备份投标文件</w:t>
      </w:r>
    </w:p>
    <w:p>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6"/>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7"/>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7"/>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7"/>
        <w:spacing w:before="0"/>
        <w:ind w:firstLine="643"/>
        <w:rPr>
          <w:rFonts w:ascii="宋体" w:hAnsi="宋体" w:cs="宋体"/>
          <w:b/>
          <w:sz w:val="32"/>
        </w:rPr>
      </w:pPr>
    </w:p>
    <w:p>
      <w:pPr>
        <w:pStyle w:val="2"/>
        <w:bidi w:val="0"/>
      </w:pPr>
      <w:r>
        <w:rPr>
          <w:rFonts w:hint="eastAsia"/>
        </w:rPr>
        <w:t>四、开标、资格审查与信用信息查询</w:t>
      </w:r>
    </w:p>
    <w:p>
      <w:pPr>
        <w:pStyle w:val="562"/>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pPr>
        <w:pStyle w:val="137"/>
        <w:spacing w:before="0" w:line="360" w:lineRule="auto"/>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7"/>
        <w:spacing w:before="0" w:line="360" w:lineRule="auto"/>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37"/>
        <w:spacing w:before="0" w:line="360" w:lineRule="auto"/>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47"/>
        <w:spacing w:line="360" w:lineRule="auto"/>
        <w:ind w:firstLine="480" w:firstLineChars="200"/>
        <w:rPr>
          <w:rFonts w:hint="eastAsia" w:ascii="宋体" w:hAnsi="宋体" w:eastAsia="宋体" w:cs="宋体"/>
        </w:rPr>
      </w:pPr>
      <w:r>
        <w:rPr>
          <w:rFonts w:hint="eastAsia" w:ascii="宋体" w:hAnsi="宋体" w:eastAsia="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7"/>
        <w:spacing w:before="0"/>
        <w:ind w:firstLine="0" w:firstLineChars="0"/>
        <w:rPr>
          <w:rFonts w:ascii="宋体" w:hAnsi="宋体" w:cs="宋体"/>
          <w:b/>
          <w:szCs w:val="24"/>
        </w:rPr>
      </w:pPr>
      <w:r>
        <w:rPr>
          <w:rFonts w:hint="eastAsia" w:ascii="宋体" w:hAnsi="宋体" w:cs="宋体"/>
          <w:b/>
          <w:szCs w:val="24"/>
        </w:rPr>
        <w:t>20、信用信息查询</w:t>
      </w:r>
    </w:p>
    <w:p>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7"/>
        <w:spacing w:before="0"/>
        <w:ind w:firstLine="0" w:firstLineChars="0"/>
        <w:rPr>
          <w:rFonts w:ascii="宋体" w:hAnsi="宋体" w:cs="宋体"/>
          <w:kern w:val="0"/>
          <w:szCs w:val="24"/>
        </w:rPr>
      </w:pPr>
    </w:p>
    <w:p>
      <w:pPr>
        <w:pStyle w:val="2"/>
        <w:bidi w:val="0"/>
      </w:pPr>
      <w:r>
        <w:rPr>
          <w:rFonts w:hint="eastAsia"/>
        </w:rPr>
        <w:t>五、评标</w:t>
      </w:r>
    </w:p>
    <w:p>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2"/>
        <w:bidi w:val="0"/>
      </w:pPr>
      <w:r>
        <w:rPr>
          <w:rFonts w:hint="eastAsia"/>
        </w:rPr>
        <w:t>六、定 标</w:t>
      </w:r>
    </w:p>
    <w:p>
      <w:pPr>
        <w:pStyle w:val="25"/>
        <w:spacing w:line="360" w:lineRule="auto"/>
        <w:ind w:left="479" w:hanging="479" w:hangingChars="199"/>
        <w:rPr>
          <w:rFonts w:cs="宋体"/>
          <w:b/>
        </w:rPr>
      </w:pPr>
      <w:r>
        <w:rPr>
          <w:rFonts w:hint="eastAsia" w:cs="宋体"/>
          <w:b/>
        </w:rPr>
        <w:t>22. 确定中标供应商</w:t>
      </w:r>
    </w:p>
    <w:p>
      <w:pPr>
        <w:pStyle w:val="13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szCs w:val="24"/>
        </w:rPr>
        <w:t>为提高政府采购效率，一般在收到评审报告当天确定中标或者成交供应商</w:t>
      </w:r>
      <w:r>
        <w:rPr>
          <w:rFonts w:hint="eastAsia" w:ascii="宋体" w:hAnsi="宋体" w:cs="宋体"/>
          <w:szCs w:val="24"/>
          <w:lang w:eastAsia="zh-CN"/>
        </w:rPr>
        <w:t>。</w:t>
      </w:r>
      <w:r>
        <w:rPr>
          <w:rFonts w:hint="eastAsia" w:ascii="宋体" w:hAnsi="宋体" w:cs="宋体"/>
          <w:szCs w:val="24"/>
        </w:rPr>
        <w:t>中标、成交通知书和中标、成交结果公告应当在规定时间内同时发出。</w:t>
      </w:r>
    </w:p>
    <w:p>
      <w:pPr>
        <w:pStyle w:val="13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pPr>
        <w:widowControl/>
        <w:shd w:val="clear" w:color="auto" w:fill="FFFFFF"/>
        <w:snapToGrid/>
        <w:spacing w:line="360" w:lineRule="auto"/>
        <w:ind w:left="0" w:leftChars="0" w:firstLine="480" w:firstLineChars="0"/>
        <w:jc w:val="left"/>
        <w:rPr>
          <w:rFonts w:ascii="宋体" w:hAnsi="宋体" w:cs="宋体"/>
          <w:b/>
          <w:sz w:val="32"/>
        </w:rPr>
      </w:pPr>
    </w:p>
    <w:p>
      <w:pPr>
        <w:pStyle w:val="2"/>
        <w:bidi w:val="0"/>
      </w:pPr>
      <w:r>
        <w:rPr>
          <w:rFonts w:hint="eastAsia"/>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bidi w:val="0"/>
        <w:spacing w:line="360" w:lineRule="auto"/>
        <w:ind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bidi w:val="0"/>
        <w:spacing w:line="360" w:lineRule="auto"/>
        <w:ind w:left="479" w:hanging="479" w:hangingChars="199"/>
        <w:rPr>
          <w:rFonts w:hint="eastAsia" w:ascii="宋体" w:hAnsi="宋体" w:eastAsia="宋体" w:cs="宋体"/>
          <w:b/>
          <w:bCs w:val="0"/>
        </w:rPr>
      </w:pPr>
      <w:r>
        <w:rPr>
          <w:rFonts w:hint="eastAsia" w:ascii="宋体" w:hAnsi="宋体" w:eastAsia="宋体" w:cs="宋体"/>
          <w:b/>
          <w:bCs w:val="0"/>
          <w:lang w:val="en-US"/>
        </w:rPr>
        <w:t>27.预付款</w:t>
      </w:r>
    </w:p>
    <w:p>
      <w:pPr>
        <w:adjustRightInd/>
        <w:spacing w:line="360" w:lineRule="auto"/>
        <w:ind w:firstLine="480" w:firstLineChars="200"/>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hint="eastAsia" w:ascii="宋体" w:hAnsi="宋体" w:cs="Times New Roman"/>
          <w:kern w:val="2"/>
          <w:sz w:val="24"/>
          <w:highlight w:val="none"/>
          <w:lang w:val="en-US" w:eastAsia="zh-CN"/>
        </w:rPr>
        <w:t>5</w:t>
      </w:r>
      <w:r>
        <w:rPr>
          <w:rFonts w:ascii="宋体" w:hAnsi="宋体" w:cs="Times New Roman"/>
          <w:kern w:val="2"/>
          <w:sz w:val="24"/>
          <w:highlight w:val="none"/>
        </w:rPr>
        <w:t>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w:t>
      </w:r>
      <w:r>
        <w:rPr>
          <w:rFonts w:hint="eastAsia" w:ascii="宋体" w:hAnsi="宋体" w:cs="Times New Roman"/>
          <w:kern w:val="2"/>
          <w:sz w:val="24"/>
          <w:highlight w:val="none"/>
          <w:lang w:val="en-US" w:eastAsia="zh-CN"/>
        </w:rPr>
        <w:t>5</w:t>
      </w:r>
      <w:r>
        <w:rPr>
          <w:rFonts w:ascii="宋体" w:hAnsi="宋体" w:cs="Times New Roman"/>
          <w:kern w:val="2"/>
          <w:sz w:val="24"/>
          <w:highlight w:val="none"/>
        </w:rPr>
        <w:t>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sz w:val="32"/>
        </w:rPr>
      </w:pPr>
    </w:p>
    <w:p>
      <w:pPr>
        <w:pStyle w:val="2"/>
        <w:bidi w:val="0"/>
      </w:pPr>
      <w:r>
        <w:rPr>
          <w:rFonts w:hint="eastAsia"/>
        </w:rPr>
        <w:t>八、电子交易活动的中止</w:t>
      </w:r>
    </w:p>
    <w:p>
      <w:pPr>
        <w:pStyle w:val="137"/>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7"/>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7"/>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7"/>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7"/>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2"/>
        <w:bidi w:val="0"/>
      </w:pPr>
      <w:r>
        <w:rPr>
          <w:rFonts w:hint="eastAsia"/>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kern w:val="0"/>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ageBreakBefore w:val="0"/>
        <w:widowControl w:val="0"/>
        <w:kinsoku/>
        <w:wordWrap/>
        <w:overflowPunct/>
        <w:topLinePunct w:val="0"/>
        <w:autoSpaceDE/>
        <w:autoSpaceDN/>
        <w:bidi w:val="0"/>
        <w:spacing w:line="312" w:lineRule="auto"/>
        <w:jc w:val="center"/>
        <w:textAlignment w:val="auto"/>
        <w:outlineLvl w:val="0"/>
        <w:rPr>
          <w:rFonts w:ascii="宋体" w:hAnsi="宋体" w:cs="宋体"/>
          <w:b/>
          <w:sz w:val="36"/>
          <w:szCs w:val="36"/>
        </w:rPr>
      </w:pPr>
      <w:r>
        <w:rPr>
          <w:rFonts w:hint="eastAsia" w:ascii="宋体" w:hAnsi="宋体" w:cs="宋体"/>
          <w:b/>
          <w:sz w:val="36"/>
          <w:szCs w:val="36"/>
          <w:lang w:eastAsia="zh-CN"/>
        </w:rPr>
        <w:t>第三部分</w:t>
      </w:r>
      <w:r>
        <w:rPr>
          <w:rFonts w:hint="eastAsia" w:ascii="宋体" w:hAnsi="宋体" w:cs="宋体"/>
          <w:b/>
          <w:sz w:val="36"/>
          <w:szCs w:val="36"/>
          <w:lang w:val="en-US" w:eastAsia="zh-CN"/>
        </w:rPr>
        <w:t xml:space="preserve"> </w:t>
      </w:r>
      <w:r>
        <w:rPr>
          <w:rFonts w:hint="eastAsia" w:ascii="宋体" w:hAnsi="宋体" w:cs="宋体"/>
          <w:b/>
          <w:sz w:val="36"/>
          <w:szCs w:val="36"/>
        </w:rPr>
        <w:t>采购需求</w:t>
      </w:r>
    </w:p>
    <w:bookmarkEnd w:id="13"/>
    <w:bookmarkEnd w:id="14"/>
    <w:bookmarkEnd w:id="16"/>
    <w:p>
      <w:pPr>
        <w:numPr>
          <w:ilvl w:val="0"/>
          <w:numId w:val="0"/>
        </w:numPr>
        <w:adjustRightInd/>
        <w:spacing w:line="360" w:lineRule="auto"/>
        <w:ind w:firstLine="480" w:firstLineChars="200"/>
        <w:jc w:val="left"/>
        <w:rPr>
          <w:rFonts w:hint="eastAsia"/>
          <w:highlight w:val="yellow"/>
        </w:rPr>
      </w:pPr>
      <w:bookmarkStart w:id="17" w:name="_Toc12829"/>
      <w:bookmarkStart w:id="18" w:name="_Toc498703363"/>
      <w:bookmarkStart w:id="19" w:name="_Toc496275144"/>
      <w:bookmarkStart w:id="20" w:name="_Toc23543"/>
      <w:bookmarkStart w:id="21" w:name="_Toc332878095"/>
      <w:bookmarkStart w:id="22" w:name="_Toc19938"/>
      <w:bookmarkStart w:id="23" w:name="_Toc4892"/>
      <w:bookmarkStart w:id="24" w:name="_Toc2796"/>
      <w:bookmarkStart w:id="25" w:name="第四部分"/>
    </w:p>
    <w:p>
      <w:pPr>
        <w:keepNext w:val="0"/>
        <w:keepLines w:val="0"/>
        <w:pageBreakBefore w:val="0"/>
        <w:widowControl/>
        <w:tabs>
          <w:tab w:val="left" w:pos="72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26" w:name="_Toc310602338"/>
      <w:bookmarkStart w:id="27" w:name="_Toc16157"/>
      <w:bookmarkStart w:id="28" w:name="_Toc155322445"/>
      <w:bookmarkStart w:id="29" w:name="_Toc274303250"/>
      <w:bookmarkStart w:id="30" w:name="_Toc238878122"/>
      <w:bookmarkStart w:id="31" w:name="_Toc444796244"/>
      <w:bookmarkStart w:id="32" w:name="_Toc445394041"/>
      <w:bookmarkStart w:id="33" w:name="_Toc21033"/>
      <w:bookmarkStart w:id="34" w:name="_Toc135212467"/>
      <w:bookmarkStart w:id="35" w:name="_Toc445393970"/>
      <w:bookmarkStart w:id="36" w:name="_Toc33335632"/>
      <w:r>
        <w:rPr>
          <w:rFonts w:hint="eastAsia" w:ascii="宋体" w:hAnsi="宋体" w:eastAsia="宋体" w:cs="宋体"/>
          <w:b/>
          <w:bCs/>
          <w:sz w:val="24"/>
          <w:szCs w:val="24"/>
        </w:rPr>
        <w:t>一、</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概况</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按采购人时间和要求，拟派检验人员至临平区建设工程在用的起重机械安全性能进行检查</w:t>
      </w:r>
      <w:r>
        <w:rPr>
          <w:rFonts w:hint="eastAsia" w:cs="宋体"/>
          <w:sz w:val="24"/>
          <w:szCs w:val="24"/>
          <w:lang w:val="en-US" w:eastAsia="zh-CN"/>
        </w:rPr>
        <w:t>和检测</w:t>
      </w:r>
      <w:r>
        <w:rPr>
          <w:rFonts w:hint="eastAsia" w:ascii="宋体" w:hAnsi="宋体" w:eastAsia="宋体" w:cs="宋体"/>
          <w:sz w:val="24"/>
          <w:szCs w:val="24"/>
          <w:lang w:val="en-US" w:eastAsia="zh-CN"/>
        </w:rPr>
        <w:t>。本次将对起重机械专项检测项目进行公开招标，确认一家检测单位</w:t>
      </w:r>
      <w:r>
        <w:rPr>
          <w:rFonts w:hint="eastAsia" w:cs="宋体"/>
          <w:sz w:val="24"/>
          <w:szCs w:val="24"/>
          <w:lang w:val="en-US" w:eastAsia="zh-CN"/>
        </w:rPr>
        <w:t>对</w:t>
      </w:r>
      <w:r>
        <w:rPr>
          <w:rFonts w:hint="eastAsia" w:ascii="宋体" w:hAnsi="宋体" w:eastAsia="宋体" w:cs="宋体"/>
          <w:sz w:val="24"/>
          <w:szCs w:val="24"/>
          <w:lang w:val="en-US" w:eastAsia="zh-CN"/>
        </w:rPr>
        <w:t>起重机构</w:t>
      </w:r>
      <w:r>
        <w:rPr>
          <w:rFonts w:hint="eastAsia" w:cs="宋体"/>
          <w:sz w:val="24"/>
          <w:szCs w:val="24"/>
          <w:lang w:val="en-US" w:eastAsia="zh-CN"/>
        </w:rPr>
        <w:t>、</w:t>
      </w:r>
      <w:r>
        <w:rPr>
          <w:rFonts w:hint="eastAsia"/>
          <w:sz w:val="24"/>
          <w:highlight w:val="none"/>
          <w:lang w:val="zh-CN" w:eastAsia="zh-CN"/>
        </w:rPr>
        <w:t>物料升降机</w:t>
      </w:r>
      <w:r>
        <w:rPr>
          <w:rFonts w:hint="eastAsia" w:cs="宋体"/>
          <w:sz w:val="24"/>
          <w:szCs w:val="24"/>
          <w:lang w:val="en-US" w:eastAsia="zh-CN"/>
        </w:rPr>
        <w:t>等进行</w:t>
      </w:r>
      <w:r>
        <w:rPr>
          <w:rFonts w:hint="eastAsia" w:ascii="宋体" w:hAnsi="宋体" w:eastAsia="宋体" w:cs="宋体"/>
          <w:sz w:val="24"/>
          <w:szCs w:val="24"/>
          <w:lang w:val="en-US" w:eastAsia="zh-CN"/>
        </w:rPr>
        <w:t>检测。</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二、服务内容</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1、技术服务的目标：通过对</w:t>
      </w:r>
      <w:r>
        <w:rPr>
          <w:rFonts w:hint="eastAsia" w:cs="宋体"/>
          <w:b w:val="0"/>
          <w:bCs w:val="0"/>
          <w:sz w:val="24"/>
          <w:szCs w:val="24"/>
          <w:lang w:eastAsia="zh-CN"/>
        </w:rPr>
        <w:t>临平</w:t>
      </w:r>
      <w:r>
        <w:rPr>
          <w:rFonts w:hint="eastAsia" w:ascii="宋体" w:hAnsi="宋体" w:eastAsia="宋体" w:cs="宋体"/>
          <w:b w:val="0"/>
          <w:bCs w:val="0"/>
          <w:sz w:val="24"/>
          <w:szCs w:val="24"/>
        </w:rPr>
        <w:t>区在用起重机械的安全性能进行检查，判断在用起重机械是否达到安全使用标准。</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2、技术服务的内容：投标单位根据采购人提供的在用起重机械的信息，按照国家和行业规范进行安全性能检查，公平公正地出具监督检测报告。</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3、至少派</w:t>
      </w:r>
      <w:r>
        <w:rPr>
          <w:rFonts w:hint="eastAsia" w:cs="宋体"/>
          <w:b w:val="0"/>
          <w:bCs w:val="0"/>
          <w:sz w:val="24"/>
          <w:szCs w:val="24"/>
          <w:lang w:val="en-US" w:eastAsia="zh-CN"/>
        </w:rPr>
        <w:t>2</w:t>
      </w:r>
      <w:r>
        <w:rPr>
          <w:rFonts w:hint="eastAsia" w:ascii="宋体" w:hAnsi="宋体" w:eastAsia="宋体" w:cs="宋体"/>
          <w:b w:val="0"/>
          <w:bCs w:val="0"/>
          <w:sz w:val="24"/>
          <w:szCs w:val="24"/>
        </w:rPr>
        <w:t>人</w:t>
      </w:r>
      <w:r>
        <w:rPr>
          <w:rFonts w:hint="eastAsia" w:eastAsia="宋体" w:cs="宋体"/>
          <w:b w:val="0"/>
          <w:bCs w:val="0"/>
          <w:sz w:val="24"/>
          <w:szCs w:val="24"/>
          <w:lang w:eastAsia="zh-CN"/>
        </w:rPr>
        <w:t>负责</w:t>
      </w:r>
      <w:r>
        <w:rPr>
          <w:rFonts w:hint="eastAsia" w:ascii="宋体" w:hAnsi="宋体" w:eastAsia="宋体" w:cs="宋体"/>
          <w:b w:val="0"/>
          <w:bCs w:val="0"/>
          <w:sz w:val="24"/>
          <w:szCs w:val="24"/>
        </w:rPr>
        <w:t>采购</w:t>
      </w:r>
      <w:r>
        <w:rPr>
          <w:rFonts w:hint="eastAsia" w:eastAsia="宋体" w:cs="宋体"/>
          <w:b w:val="0"/>
          <w:bCs w:val="0"/>
          <w:sz w:val="24"/>
          <w:szCs w:val="24"/>
          <w:lang w:eastAsia="zh-CN"/>
        </w:rPr>
        <w:t>方的</w:t>
      </w:r>
      <w:r>
        <w:rPr>
          <w:rFonts w:hint="eastAsia" w:ascii="宋体" w:hAnsi="宋体" w:eastAsia="宋体" w:cs="宋体"/>
          <w:b w:val="0"/>
          <w:bCs w:val="0"/>
          <w:sz w:val="24"/>
          <w:szCs w:val="24"/>
        </w:rPr>
        <w:t>工作对接、信息整理汇总和其他相关工作。</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szCs w:val="24"/>
        </w:rPr>
        <w:t>4、对于检测不合格的单位，在</w:t>
      </w:r>
      <w:r>
        <w:rPr>
          <w:rFonts w:hint="eastAsia" w:ascii="宋体" w:hAnsi="宋体" w:eastAsia="宋体" w:cs="宋体"/>
          <w:b w:val="0"/>
          <w:bCs w:val="0"/>
          <w:sz w:val="24"/>
        </w:rPr>
        <w:t>整改完成后，投标单位须对其进行二次复检，直至检测合格为止，相关费用包含在投标报价中，</w:t>
      </w:r>
      <w:r>
        <w:rPr>
          <w:rFonts w:hint="eastAsia" w:cs="宋体"/>
          <w:b w:val="0"/>
          <w:bCs w:val="0"/>
          <w:sz w:val="24"/>
          <w:lang w:eastAsia="zh-CN"/>
        </w:rPr>
        <w:t>不再另行</w:t>
      </w:r>
      <w:r>
        <w:rPr>
          <w:rFonts w:hint="eastAsia" w:ascii="宋体" w:hAnsi="宋体" w:eastAsia="宋体" w:cs="宋体"/>
          <w:b w:val="0"/>
          <w:bCs w:val="0"/>
          <w:sz w:val="24"/>
        </w:rPr>
        <w:t>增加。</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三、</w:t>
      </w:r>
      <w:r>
        <w:rPr>
          <w:rFonts w:hint="eastAsia" w:eastAsia="宋体" w:cs="宋体"/>
          <w:b/>
          <w:bCs/>
          <w:sz w:val="24"/>
          <w:lang w:eastAsia="zh-CN"/>
        </w:rPr>
        <w:t>检测验收</w:t>
      </w:r>
      <w:r>
        <w:rPr>
          <w:rFonts w:hint="eastAsia" w:ascii="宋体" w:hAnsi="宋体" w:eastAsia="宋体" w:cs="宋体"/>
          <w:b/>
          <w:bCs/>
          <w:sz w:val="24"/>
        </w:rPr>
        <w:t>方式</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投标人自行踏勘现场的在用起重机械，对现场条件、情况进行调勘，采购人不组织统一踏勘。</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技术服务按 JGJ 305-2013、JGJ/T 189-2009、GB/T 5031-2008、GB 5144-2006、GB 5144-2006、GB 26557-2011、GB10054.1-2014、JGJ 88-2010 等起重机械相关的标准或按照最新管理规定执行，采用提供报告方式验收。</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四、详细的服务要求</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eastAsia="宋体" w:cs="宋体"/>
          <w:b/>
          <w:bCs/>
          <w:sz w:val="24"/>
          <w:lang w:val="en-US" w:eastAsia="zh-CN"/>
        </w:rPr>
        <w:t>1、</w:t>
      </w:r>
      <w:r>
        <w:rPr>
          <w:rFonts w:hint="eastAsia" w:ascii="宋体" w:hAnsi="宋体" w:eastAsia="宋体" w:cs="宋体"/>
          <w:b/>
          <w:bCs/>
          <w:sz w:val="24"/>
        </w:rPr>
        <w:t>检测内容</w:t>
      </w:r>
    </w:p>
    <w:tbl>
      <w:tblPr>
        <w:tblStyle w:val="63"/>
        <w:tblW w:w="9759"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654"/>
        <w:gridCol w:w="1650"/>
        <w:gridCol w:w="975"/>
        <w:gridCol w:w="1471"/>
        <w:gridCol w:w="117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65" w:type="dxa"/>
            <w:vMerge w:val="restart"/>
            <w:noWrap w:val="0"/>
            <w:vAlign w:val="center"/>
          </w:tcPr>
          <w:p>
            <w:pPr>
              <w:keepNext w:val="0"/>
              <w:keepLines w:val="0"/>
              <w:pageBreakBefore w:val="0"/>
              <w:kinsoku/>
              <w:wordWrap/>
              <w:overflowPunct/>
              <w:topLinePunct w:val="0"/>
              <w:autoSpaceDN/>
              <w:bidi w:val="0"/>
              <w:spacing w:line="336" w:lineRule="auto"/>
              <w:jc w:val="center"/>
              <w:rPr>
                <w:b/>
                <w:bCs/>
                <w:sz w:val="24"/>
              </w:rPr>
            </w:pPr>
            <w:r>
              <w:rPr>
                <w:rFonts w:hint="eastAsia"/>
                <w:b/>
                <w:bCs/>
                <w:sz w:val="24"/>
                <w:szCs w:val="24"/>
              </w:rPr>
              <w:t>序号</w:t>
            </w:r>
          </w:p>
        </w:tc>
        <w:tc>
          <w:tcPr>
            <w:tcW w:w="1654"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b/>
                <w:bCs/>
                <w:sz w:val="24"/>
              </w:rPr>
            </w:pPr>
            <w:r>
              <w:rPr>
                <w:b/>
                <w:bCs/>
                <w:sz w:val="24"/>
              </w:rPr>
              <w:t>项目名称</w:t>
            </w:r>
          </w:p>
        </w:tc>
        <w:tc>
          <w:tcPr>
            <w:tcW w:w="1650"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b/>
                <w:bCs/>
                <w:sz w:val="24"/>
              </w:rPr>
            </w:pPr>
            <w:r>
              <w:rPr>
                <w:b/>
                <w:bCs/>
                <w:sz w:val="24"/>
              </w:rPr>
              <w:t>检测项目</w:t>
            </w:r>
          </w:p>
        </w:tc>
        <w:tc>
          <w:tcPr>
            <w:tcW w:w="975" w:type="dxa"/>
            <w:vMerge w:val="restart"/>
            <w:noWrap w:val="0"/>
            <w:vAlign w:val="center"/>
          </w:tcPr>
          <w:p>
            <w:pPr>
              <w:pStyle w:val="961"/>
              <w:keepNext w:val="0"/>
              <w:keepLines w:val="0"/>
              <w:pageBreakBefore w:val="0"/>
              <w:kinsoku/>
              <w:wordWrap/>
              <w:overflowPunct/>
              <w:topLinePunct w:val="0"/>
              <w:autoSpaceDN/>
              <w:bidi w:val="0"/>
              <w:spacing w:before="194" w:line="336" w:lineRule="auto"/>
              <w:ind w:left="244"/>
              <w:jc w:val="both"/>
              <w:rPr>
                <w:b/>
                <w:bCs/>
                <w:sz w:val="24"/>
              </w:rPr>
            </w:pPr>
            <w:r>
              <w:rPr>
                <w:b/>
                <w:bCs/>
                <w:sz w:val="24"/>
              </w:rPr>
              <w:t>数量</w:t>
            </w:r>
          </w:p>
        </w:tc>
        <w:tc>
          <w:tcPr>
            <w:tcW w:w="2648" w:type="dxa"/>
            <w:gridSpan w:val="2"/>
            <w:noWrap w:val="0"/>
            <w:vAlign w:val="center"/>
          </w:tcPr>
          <w:p>
            <w:pPr>
              <w:keepNext w:val="0"/>
              <w:keepLines w:val="0"/>
              <w:pageBreakBefore w:val="0"/>
              <w:kinsoku/>
              <w:wordWrap/>
              <w:overflowPunct/>
              <w:topLinePunct w:val="0"/>
              <w:autoSpaceDN/>
              <w:bidi w:val="0"/>
              <w:spacing w:line="336" w:lineRule="auto"/>
              <w:jc w:val="center"/>
              <w:rPr>
                <w:rFonts w:hint="default" w:eastAsia="宋体"/>
                <w:b/>
                <w:bCs/>
                <w:sz w:val="24"/>
                <w:szCs w:val="24"/>
                <w:lang w:val="en-US" w:eastAsia="zh-CN"/>
              </w:rPr>
            </w:pPr>
            <w:r>
              <w:rPr>
                <w:rFonts w:hint="eastAsia"/>
                <w:b/>
                <w:bCs/>
                <w:sz w:val="24"/>
                <w:szCs w:val="24"/>
                <w:lang w:eastAsia="zh-CN"/>
              </w:rPr>
              <w:t>采购预算</w:t>
            </w:r>
            <w:r>
              <w:rPr>
                <w:rFonts w:hint="eastAsia"/>
                <w:b/>
                <w:bCs/>
                <w:sz w:val="24"/>
                <w:szCs w:val="24"/>
                <w:lang w:val="en-US" w:eastAsia="zh-CN"/>
              </w:rPr>
              <w:t>/最高限价</w:t>
            </w:r>
          </w:p>
        </w:tc>
        <w:tc>
          <w:tcPr>
            <w:tcW w:w="2067" w:type="dxa"/>
            <w:vMerge w:val="restart"/>
            <w:noWrap w:val="0"/>
            <w:vAlign w:val="center"/>
          </w:tcPr>
          <w:p>
            <w:pPr>
              <w:keepNext w:val="0"/>
              <w:keepLines w:val="0"/>
              <w:pageBreakBefore w:val="0"/>
              <w:kinsoku/>
              <w:wordWrap/>
              <w:overflowPunct/>
              <w:topLinePunct w:val="0"/>
              <w:autoSpaceDN/>
              <w:bidi w:val="0"/>
              <w:spacing w:line="336" w:lineRule="auto"/>
              <w:jc w:val="center"/>
              <w:rPr>
                <w:rFonts w:hint="eastAsia" w:ascii="宋体" w:hAnsi="宋体" w:eastAsia="宋体" w:cs="宋体"/>
                <w:b/>
                <w:bCs/>
                <w:sz w:val="24"/>
                <w:szCs w:val="24"/>
              </w:rPr>
            </w:pPr>
            <w:r>
              <w:rPr>
                <w:rFonts w:hint="eastAsia" w:ascii="宋体" w:hAnsi="宋体" w:cs="宋体"/>
                <w:b/>
                <w:bCs/>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6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4"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0"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97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471" w:type="dxa"/>
            <w:noWrap w:val="0"/>
            <w:vAlign w:val="center"/>
          </w:tcPr>
          <w:p>
            <w:pPr>
              <w:keepNext w:val="0"/>
              <w:keepLines w:val="0"/>
              <w:pageBreakBefore w:val="0"/>
              <w:kinsoku/>
              <w:wordWrap/>
              <w:overflowPunct/>
              <w:topLinePunct w:val="0"/>
              <w:autoSpaceDN/>
              <w:bidi w:val="0"/>
              <w:spacing w:line="336" w:lineRule="auto"/>
              <w:jc w:val="center"/>
              <w:rPr>
                <w:b/>
                <w:bCs/>
                <w:sz w:val="21"/>
                <w:szCs w:val="21"/>
              </w:rPr>
            </w:pPr>
            <w:r>
              <w:rPr>
                <w:rFonts w:hint="eastAsia"/>
                <w:b/>
                <w:bCs/>
                <w:sz w:val="21"/>
                <w:szCs w:val="21"/>
                <w:lang w:val="en-US" w:eastAsia="zh-CN"/>
              </w:rPr>
              <w:t>综合最高</w:t>
            </w:r>
            <w:r>
              <w:rPr>
                <w:b/>
                <w:bCs/>
                <w:sz w:val="21"/>
                <w:szCs w:val="21"/>
              </w:rPr>
              <w:t>单价（元</w:t>
            </w:r>
            <w:r>
              <w:rPr>
                <w:rFonts w:hint="eastAsia" w:eastAsia="宋体"/>
                <w:b/>
                <w:bCs/>
                <w:sz w:val="21"/>
                <w:szCs w:val="21"/>
                <w:lang w:val="en-US" w:eastAsia="zh-CN"/>
              </w:rPr>
              <w:t>/台</w:t>
            </w:r>
            <w:r>
              <w:rPr>
                <w:b/>
                <w:bCs/>
                <w:sz w:val="21"/>
                <w:szCs w:val="21"/>
              </w:rPr>
              <w:t>）</w:t>
            </w:r>
          </w:p>
        </w:tc>
        <w:tc>
          <w:tcPr>
            <w:tcW w:w="1177" w:type="dxa"/>
            <w:noWrap w:val="0"/>
            <w:vAlign w:val="center"/>
          </w:tcPr>
          <w:p>
            <w:pPr>
              <w:keepNext w:val="0"/>
              <w:keepLines w:val="0"/>
              <w:pageBreakBefore w:val="0"/>
              <w:kinsoku/>
              <w:wordWrap/>
              <w:overflowPunct/>
              <w:topLinePunct w:val="0"/>
              <w:autoSpaceDN/>
              <w:bidi w:val="0"/>
              <w:spacing w:line="336" w:lineRule="auto"/>
              <w:jc w:val="center"/>
              <w:rPr>
                <w:b/>
                <w:bCs/>
                <w:sz w:val="21"/>
                <w:szCs w:val="21"/>
              </w:rPr>
            </w:pPr>
            <w:r>
              <w:rPr>
                <w:rFonts w:hint="eastAsia"/>
                <w:b/>
                <w:bCs/>
                <w:sz w:val="21"/>
                <w:szCs w:val="21"/>
                <w:lang w:val="en-US" w:eastAsia="zh-CN"/>
              </w:rPr>
              <w:t>本项目</w:t>
            </w:r>
            <w:r>
              <w:rPr>
                <w:b/>
                <w:bCs/>
                <w:sz w:val="21"/>
                <w:szCs w:val="21"/>
              </w:rPr>
              <w:t>总</w:t>
            </w:r>
            <w:r>
              <w:rPr>
                <w:rFonts w:hint="eastAsia"/>
                <w:b/>
                <w:bCs/>
                <w:sz w:val="21"/>
                <w:szCs w:val="21"/>
                <w:lang w:val="en-US" w:eastAsia="zh-CN"/>
              </w:rPr>
              <w:t>预算</w:t>
            </w:r>
            <w:r>
              <w:rPr>
                <w:b/>
                <w:bCs/>
                <w:sz w:val="21"/>
                <w:szCs w:val="21"/>
              </w:rPr>
              <w:t>（元）</w:t>
            </w:r>
          </w:p>
        </w:tc>
        <w:tc>
          <w:tcPr>
            <w:tcW w:w="2067" w:type="dxa"/>
            <w:vMerge w:val="continue"/>
            <w:tcBorders>
              <w:top w:val="nil"/>
            </w:tcBorders>
            <w:noWrap w:val="0"/>
            <w:vAlign w:val="center"/>
          </w:tcPr>
          <w:p>
            <w:pPr>
              <w:keepNext w:val="0"/>
              <w:keepLines w:val="0"/>
              <w:pageBreakBefore w:val="0"/>
              <w:kinsoku/>
              <w:wordWrap/>
              <w:overflowPunct/>
              <w:topLinePunct w:val="0"/>
              <w:autoSpaceDN/>
              <w:bidi w:val="0"/>
              <w:spacing w:line="336" w:lineRule="auto"/>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65" w:type="dxa"/>
            <w:vMerge w:val="restart"/>
            <w:noWrap w:val="0"/>
            <w:vAlign w:val="center"/>
          </w:tcPr>
          <w:p>
            <w:pPr>
              <w:keepNext w:val="0"/>
              <w:keepLines w:val="0"/>
              <w:pageBreakBefore w:val="0"/>
              <w:kinsoku/>
              <w:wordWrap/>
              <w:overflowPunct/>
              <w:topLinePunct w:val="0"/>
              <w:autoSpaceDN/>
              <w:bidi w:val="0"/>
              <w:snapToGrid w:val="0"/>
              <w:spacing w:line="336" w:lineRule="auto"/>
              <w:jc w:val="center"/>
              <w:rPr>
                <w:sz w:val="24"/>
              </w:rPr>
            </w:pPr>
            <w:r>
              <w:rPr>
                <w:rFonts w:hint="eastAsia" w:ascii="宋体" w:hAnsi="宋体" w:cs="Arial"/>
                <w:sz w:val="24"/>
                <w:szCs w:val="24"/>
              </w:rPr>
              <w:t>1</w:t>
            </w:r>
          </w:p>
        </w:tc>
        <w:tc>
          <w:tcPr>
            <w:tcW w:w="1654" w:type="dxa"/>
            <w:vMerge w:val="restart"/>
            <w:noWrap w:val="0"/>
            <w:vAlign w:val="center"/>
          </w:tcPr>
          <w:p>
            <w:pPr>
              <w:pStyle w:val="961"/>
              <w:keepNext w:val="0"/>
              <w:keepLines w:val="0"/>
              <w:pageBreakBefore w:val="0"/>
              <w:kinsoku/>
              <w:wordWrap/>
              <w:overflowPunct/>
              <w:topLinePunct w:val="0"/>
              <w:autoSpaceDN/>
              <w:bidi w:val="0"/>
              <w:spacing w:before="5" w:line="336" w:lineRule="auto"/>
              <w:ind w:left="150" w:right="137"/>
              <w:jc w:val="center"/>
              <w:rPr>
                <w:sz w:val="24"/>
              </w:rPr>
            </w:pPr>
            <w:r>
              <w:rPr>
                <w:rFonts w:hint="eastAsia" w:cs="宋体"/>
                <w:sz w:val="24"/>
                <w:szCs w:val="24"/>
                <w:lang w:eastAsia="zh-CN"/>
              </w:rPr>
              <w:t>临平区建筑工程起重机械专项检测项目</w:t>
            </w:r>
          </w:p>
        </w:tc>
        <w:tc>
          <w:tcPr>
            <w:tcW w:w="1650" w:type="dxa"/>
            <w:noWrap w:val="0"/>
            <w:vAlign w:val="center"/>
          </w:tcPr>
          <w:p>
            <w:pPr>
              <w:pStyle w:val="961"/>
              <w:keepNext w:val="0"/>
              <w:keepLines w:val="0"/>
              <w:pageBreakBefore w:val="0"/>
              <w:kinsoku/>
              <w:wordWrap/>
              <w:overflowPunct/>
              <w:topLinePunct w:val="0"/>
              <w:autoSpaceDN/>
              <w:bidi w:val="0"/>
              <w:spacing w:line="336" w:lineRule="auto"/>
              <w:ind w:left="122" w:right="114"/>
              <w:jc w:val="center"/>
              <w:rPr>
                <w:sz w:val="24"/>
              </w:rPr>
            </w:pPr>
            <w:r>
              <w:rPr>
                <w:sz w:val="24"/>
              </w:rPr>
              <w:t>塔式起重机</w:t>
            </w:r>
          </w:p>
        </w:tc>
        <w:tc>
          <w:tcPr>
            <w:tcW w:w="975" w:type="dxa"/>
            <w:noWrap w:val="0"/>
            <w:vAlign w:val="center"/>
          </w:tcPr>
          <w:p>
            <w:pPr>
              <w:keepNext w:val="0"/>
              <w:keepLines w:val="0"/>
              <w:pageBreakBefore w:val="0"/>
              <w:kinsoku/>
              <w:wordWrap/>
              <w:overflowPunct/>
              <w:topLinePunct w:val="0"/>
              <w:autoSpaceDN/>
              <w:bidi w:val="0"/>
              <w:adjustRightInd w:val="0"/>
              <w:snapToGrid w:val="0"/>
              <w:spacing w:before="120" w:beforeLines="50" w:line="336" w:lineRule="auto"/>
              <w:jc w:val="center"/>
              <w:rPr>
                <w:rFonts w:hint="default" w:eastAsia="宋体"/>
                <w:sz w:val="24"/>
                <w:szCs w:val="24"/>
                <w:highlight w:val="none"/>
                <w:lang w:val="en-US" w:eastAsia="zh-CN"/>
              </w:rPr>
            </w:pPr>
            <w:r>
              <w:rPr>
                <w:rFonts w:hint="eastAsia" w:eastAsia="宋体"/>
                <w:sz w:val="24"/>
                <w:szCs w:val="24"/>
                <w:highlight w:val="none"/>
                <w:lang w:val="en-US" w:eastAsia="zh-CN"/>
              </w:rPr>
              <w:t>不限</w:t>
            </w:r>
          </w:p>
        </w:tc>
        <w:tc>
          <w:tcPr>
            <w:tcW w:w="1471" w:type="dxa"/>
            <w:noWrap w:val="0"/>
            <w:vAlign w:val="center"/>
          </w:tcPr>
          <w:p>
            <w:pPr>
              <w:pStyle w:val="961"/>
              <w:keepNext w:val="0"/>
              <w:keepLines w:val="0"/>
              <w:pageBreakBefore w:val="0"/>
              <w:kinsoku/>
              <w:wordWrap/>
              <w:overflowPunct/>
              <w:topLinePunct w:val="0"/>
              <w:autoSpaceDN/>
              <w:bidi w:val="0"/>
              <w:spacing w:before="3" w:line="336" w:lineRule="auto"/>
              <w:jc w:val="center"/>
              <w:rPr>
                <w:sz w:val="22"/>
                <w:highlight w:val="none"/>
              </w:rPr>
            </w:pPr>
          </w:p>
          <w:p>
            <w:pPr>
              <w:pStyle w:val="961"/>
              <w:keepNext w:val="0"/>
              <w:keepLines w:val="0"/>
              <w:pageBreakBefore w:val="0"/>
              <w:kinsoku/>
              <w:wordWrap/>
              <w:overflowPunct/>
              <w:topLinePunct w:val="0"/>
              <w:autoSpaceDN/>
              <w:bidi w:val="0"/>
              <w:spacing w:line="336" w:lineRule="auto"/>
              <w:ind w:left="96" w:right="86"/>
              <w:jc w:val="center"/>
              <w:rPr>
                <w:rFonts w:hint="eastAsia" w:eastAsia="宋体"/>
                <w:sz w:val="24"/>
                <w:highlight w:val="none"/>
                <w:lang w:val="en-US" w:eastAsia="zh-CN"/>
              </w:rPr>
            </w:pPr>
            <w:r>
              <w:rPr>
                <w:sz w:val="24"/>
                <w:highlight w:val="none"/>
              </w:rPr>
              <w:t>900</w:t>
            </w:r>
            <w:r>
              <w:rPr>
                <w:sz w:val="21"/>
                <w:szCs w:val="21"/>
                <w:highlight w:val="none"/>
              </w:rPr>
              <w:t>元</w:t>
            </w:r>
            <w:r>
              <w:rPr>
                <w:rFonts w:hint="eastAsia"/>
                <w:sz w:val="21"/>
                <w:szCs w:val="21"/>
                <w:highlight w:val="none"/>
                <w:lang w:val="en-US" w:eastAsia="zh-CN"/>
              </w:rPr>
              <w:t>/台</w:t>
            </w:r>
          </w:p>
        </w:tc>
        <w:tc>
          <w:tcPr>
            <w:tcW w:w="1177" w:type="dxa"/>
            <w:vMerge w:val="restart"/>
            <w:noWrap w:val="0"/>
            <w:vAlign w:val="center"/>
          </w:tcPr>
          <w:p>
            <w:pPr>
              <w:pStyle w:val="961"/>
              <w:keepNext w:val="0"/>
              <w:keepLines w:val="0"/>
              <w:pageBreakBefore w:val="0"/>
              <w:kinsoku/>
              <w:wordWrap/>
              <w:overflowPunct/>
              <w:topLinePunct w:val="0"/>
              <w:autoSpaceDN/>
              <w:bidi w:val="0"/>
              <w:spacing w:line="336" w:lineRule="auto"/>
              <w:jc w:val="center"/>
              <w:rPr>
                <w:rFonts w:hint="default" w:eastAsia="宋体"/>
                <w:sz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000</w:t>
            </w:r>
            <w:r>
              <w:rPr>
                <w:rFonts w:hint="eastAsia" w:ascii="宋体" w:hAnsi="宋体" w:eastAsia="宋体" w:cs="宋体"/>
                <w:sz w:val="24"/>
                <w:szCs w:val="24"/>
                <w:highlight w:val="none"/>
                <w:lang w:val="en-US" w:eastAsia="zh-CN"/>
              </w:rPr>
              <w:t>000</w:t>
            </w:r>
            <w:r>
              <w:rPr>
                <w:rFonts w:hint="eastAsia" w:cs="宋体"/>
                <w:sz w:val="24"/>
                <w:szCs w:val="24"/>
                <w:highlight w:val="none"/>
                <w:lang w:val="en-US" w:eastAsia="zh-CN"/>
              </w:rPr>
              <w:t>元</w:t>
            </w:r>
          </w:p>
        </w:tc>
        <w:tc>
          <w:tcPr>
            <w:tcW w:w="2067" w:type="dxa"/>
            <w:vMerge w:val="restart"/>
            <w:noWrap w:val="0"/>
            <w:vAlign w:val="center"/>
          </w:tcPr>
          <w:p>
            <w:pPr>
              <w:keepNext w:val="0"/>
              <w:keepLines w:val="0"/>
              <w:pageBreakBefore w:val="0"/>
              <w:kinsoku/>
              <w:wordWrap/>
              <w:overflowPunct/>
              <w:topLinePunct w:val="0"/>
              <w:autoSpaceDN/>
              <w:bidi w:val="0"/>
              <w:spacing w:line="336"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服务期</w:t>
            </w:r>
            <w:r>
              <w:rPr>
                <w:rFonts w:hint="eastAsia" w:ascii="宋体" w:hAnsi="宋体" w:eastAsia="宋体" w:cs="宋体"/>
                <w:sz w:val="24"/>
                <w:szCs w:val="24"/>
                <w:highlight w:val="none"/>
                <w:lang w:val="en-US" w:eastAsia="zh-CN"/>
              </w:rPr>
              <w:t>为签订合同后1年，结算根据</w:t>
            </w:r>
            <w:r>
              <w:rPr>
                <w:rFonts w:hint="eastAsia" w:ascii="宋体" w:hAnsi="宋体" w:cs="宋体"/>
                <w:sz w:val="24"/>
                <w:szCs w:val="24"/>
                <w:highlight w:val="none"/>
                <w:lang w:val="en-US" w:eastAsia="zh-CN"/>
              </w:rPr>
              <w:t>中标综合</w:t>
            </w:r>
            <w:r>
              <w:rPr>
                <w:rFonts w:hint="eastAsia" w:ascii="宋体" w:hAnsi="宋体" w:eastAsia="宋体" w:cs="宋体"/>
                <w:sz w:val="24"/>
                <w:szCs w:val="24"/>
                <w:highlight w:val="none"/>
                <w:lang w:val="en-US" w:eastAsia="zh-CN"/>
              </w:rPr>
              <w:t>单价及实际检测数量按实结算。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65"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4"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c>
          <w:tcPr>
            <w:tcW w:w="1650" w:type="dxa"/>
            <w:noWrap w:val="0"/>
            <w:vAlign w:val="center"/>
          </w:tcPr>
          <w:p>
            <w:pPr>
              <w:pStyle w:val="961"/>
              <w:keepNext w:val="0"/>
              <w:keepLines w:val="0"/>
              <w:pageBreakBefore w:val="0"/>
              <w:kinsoku/>
              <w:wordWrap/>
              <w:overflowPunct/>
              <w:topLinePunct w:val="0"/>
              <w:autoSpaceDN/>
              <w:bidi w:val="0"/>
              <w:spacing w:line="336" w:lineRule="auto"/>
              <w:ind w:left="122" w:right="114"/>
              <w:jc w:val="center"/>
              <w:rPr>
                <w:sz w:val="24"/>
                <w:highlight w:val="none"/>
              </w:rPr>
            </w:pPr>
            <w:r>
              <w:rPr>
                <w:rFonts w:hint="eastAsia"/>
                <w:sz w:val="24"/>
                <w:highlight w:val="none"/>
                <w:lang w:val="zh-CN" w:eastAsia="zh-CN"/>
              </w:rPr>
              <w:t>施工（含物料）升降机</w:t>
            </w:r>
          </w:p>
        </w:tc>
        <w:tc>
          <w:tcPr>
            <w:tcW w:w="975" w:type="dxa"/>
            <w:noWrap w:val="0"/>
            <w:vAlign w:val="center"/>
          </w:tcPr>
          <w:p>
            <w:pPr>
              <w:keepNext w:val="0"/>
              <w:keepLines w:val="0"/>
              <w:pageBreakBefore w:val="0"/>
              <w:kinsoku/>
              <w:wordWrap/>
              <w:overflowPunct/>
              <w:topLinePunct w:val="0"/>
              <w:autoSpaceDN/>
              <w:bidi w:val="0"/>
              <w:adjustRightInd w:val="0"/>
              <w:snapToGrid w:val="0"/>
              <w:spacing w:before="120" w:beforeLines="50" w:line="336" w:lineRule="auto"/>
              <w:jc w:val="center"/>
              <w:rPr>
                <w:rFonts w:hint="default" w:eastAsia="宋体"/>
                <w:sz w:val="24"/>
                <w:szCs w:val="24"/>
                <w:highlight w:val="none"/>
                <w:lang w:val="en-US" w:eastAsia="zh-CN"/>
              </w:rPr>
            </w:pPr>
            <w:r>
              <w:rPr>
                <w:rFonts w:hint="eastAsia" w:eastAsia="宋体"/>
                <w:sz w:val="24"/>
                <w:szCs w:val="24"/>
                <w:highlight w:val="none"/>
                <w:lang w:val="en-US" w:eastAsia="zh-CN"/>
              </w:rPr>
              <w:t>不限</w:t>
            </w:r>
          </w:p>
        </w:tc>
        <w:tc>
          <w:tcPr>
            <w:tcW w:w="1471" w:type="dxa"/>
            <w:noWrap w:val="0"/>
            <w:vAlign w:val="center"/>
          </w:tcPr>
          <w:p>
            <w:pPr>
              <w:pStyle w:val="961"/>
              <w:keepNext w:val="0"/>
              <w:keepLines w:val="0"/>
              <w:pageBreakBefore w:val="0"/>
              <w:kinsoku/>
              <w:wordWrap/>
              <w:overflowPunct/>
              <w:topLinePunct w:val="0"/>
              <w:autoSpaceDN/>
              <w:bidi w:val="0"/>
              <w:spacing w:line="336" w:lineRule="auto"/>
              <w:ind w:left="96" w:right="86"/>
              <w:jc w:val="center"/>
              <w:rPr>
                <w:sz w:val="24"/>
                <w:highlight w:val="none"/>
              </w:rPr>
            </w:pPr>
            <w:r>
              <w:rPr>
                <w:sz w:val="24"/>
                <w:highlight w:val="none"/>
              </w:rPr>
              <w:t>700</w:t>
            </w:r>
            <w:r>
              <w:rPr>
                <w:sz w:val="21"/>
                <w:szCs w:val="21"/>
                <w:highlight w:val="none"/>
              </w:rPr>
              <w:t>元</w:t>
            </w:r>
            <w:r>
              <w:rPr>
                <w:rFonts w:hint="eastAsia"/>
                <w:sz w:val="21"/>
                <w:szCs w:val="21"/>
                <w:highlight w:val="none"/>
                <w:lang w:val="en-US" w:eastAsia="zh-CN"/>
              </w:rPr>
              <w:t>/台</w:t>
            </w:r>
          </w:p>
        </w:tc>
        <w:tc>
          <w:tcPr>
            <w:tcW w:w="1177"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highlight w:val="yellow"/>
              </w:rPr>
            </w:pPr>
          </w:p>
        </w:tc>
        <w:tc>
          <w:tcPr>
            <w:tcW w:w="2067" w:type="dxa"/>
            <w:vMerge w:val="continue"/>
            <w:tcBorders>
              <w:top w:val="nil"/>
            </w:tcBorders>
            <w:noWrap w:val="0"/>
            <w:vAlign w:val="top"/>
          </w:tcPr>
          <w:p>
            <w:pPr>
              <w:keepNext w:val="0"/>
              <w:keepLines w:val="0"/>
              <w:pageBreakBefore w:val="0"/>
              <w:kinsoku/>
              <w:wordWrap/>
              <w:overflowPunct/>
              <w:topLinePunct w:val="0"/>
              <w:autoSpaceDN/>
              <w:bidi w:val="0"/>
              <w:spacing w:line="336" w:lineRule="auto"/>
              <w:rPr>
                <w:sz w:val="2"/>
                <w:szCs w:val="2"/>
              </w:rPr>
            </w:pPr>
          </w:p>
        </w:tc>
      </w:tr>
    </w:tbl>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注：年度使用的起重机械数量不断动态变化，总体数量上会有调整，以实际检测数量为准。</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、每台起重机械检测完成后，受委托方应向委托方出具监督检测报告。</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eastAsia="宋体" w:cs="宋体"/>
          <w:b/>
          <w:bCs/>
          <w:sz w:val="24"/>
          <w:lang w:val="en-US" w:eastAsia="zh-CN"/>
        </w:rPr>
        <w:t>3</w:t>
      </w:r>
      <w:r>
        <w:rPr>
          <w:rFonts w:hint="eastAsia" w:ascii="宋体" w:hAnsi="宋体" w:eastAsia="宋体" w:cs="宋体"/>
          <w:b/>
          <w:bCs/>
          <w:sz w:val="24"/>
        </w:rPr>
        <w:t>、监督检测实施应包括委托方所指定的内容，并包括</w:t>
      </w:r>
      <w:r>
        <w:rPr>
          <w:rFonts w:hint="eastAsia" w:cs="宋体"/>
          <w:b/>
          <w:bCs/>
          <w:sz w:val="24"/>
          <w:lang w:eastAsia="zh-CN"/>
        </w:rPr>
        <w:t>不限于</w:t>
      </w:r>
      <w:r>
        <w:rPr>
          <w:rFonts w:hint="eastAsia" w:ascii="宋体" w:hAnsi="宋体" w:eastAsia="宋体" w:cs="宋体"/>
          <w:b/>
          <w:bCs/>
          <w:sz w:val="24"/>
        </w:rPr>
        <w:t>以下项目：</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采用超声波或磁粉法对使用期限已久的起重机械主要受力构件母材或焊缝质量及材料厚度进行检测，抽检数量由</w:t>
      </w:r>
      <w:r>
        <w:rPr>
          <w:rFonts w:hint="eastAsia" w:cs="宋体"/>
          <w:b/>
          <w:bCs/>
          <w:sz w:val="24"/>
          <w:lang w:val="en-US" w:eastAsia="zh-CN"/>
        </w:rPr>
        <w:t>采购单位</w:t>
      </w:r>
      <w:r>
        <w:rPr>
          <w:rFonts w:hint="eastAsia" w:ascii="宋体" w:hAnsi="宋体" w:eastAsia="宋体" w:cs="宋体"/>
          <w:b/>
          <w:bCs/>
          <w:color w:val="000000" w:themeColor="text1"/>
          <w:sz w:val="24"/>
          <w14:textFill>
            <w14:solidFill>
              <w14:schemeClr w14:val="tx1"/>
            </w14:solidFill>
          </w14:textFill>
        </w:rPr>
        <w:t>按现场设备情况确定</w:t>
      </w:r>
      <w:r>
        <w:rPr>
          <w:rFonts w:hint="eastAsia"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完成检验检查工作后，</w:t>
      </w:r>
      <w:r>
        <w:rPr>
          <w:rFonts w:hint="eastAsia" w:cs="宋体"/>
          <w:b/>
          <w:bCs/>
          <w:color w:val="000000" w:themeColor="text1"/>
          <w:sz w:val="24"/>
          <w:lang w:val="en-US" w:eastAsia="zh-CN"/>
          <w14:textFill>
            <w14:solidFill>
              <w14:schemeClr w14:val="tx1"/>
            </w14:solidFill>
          </w14:textFill>
        </w:rPr>
        <w:t>中标单位</w:t>
      </w:r>
      <w:r>
        <w:rPr>
          <w:rFonts w:hint="eastAsia" w:ascii="宋体" w:hAnsi="宋体" w:eastAsia="宋体" w:cs="宋体"/>
          <w:b/>
          <w:bCs/>
          <w:color w:val="000000" w:themeColor="text1"/>
          <w:sz w:val="24"/>
          <w14:textFill>
            <w14:solidFill>
              <w14:schemeClr w14:val="tx1"/>
            </w14:solidFill>
          </w14:textFill>
        </w:rPr>
        <w:t>应现场提出检查意见，并在规定的时间内出具</w:t>
      </w:r>
      <w:r>
        <w:rPr>
          <w:rFonts w:hint="eastAsia" w:eastAsia="宋体" w:cs="宋体"/>
          <w:b/>
          <w:bCs/>
          <w:color w:val="000000" w:themeColor="text1"/>
          <w:sz w:val="24"/>
          <w:lang w:val="en-US" w:eastAsia="zh-CN"/>
          <w14:textFill>
            <w14:solidFill>
              <w14:schemeClr w14:val="tx1"/>
            </w14:solidFill>
          </w14:textFill>
        </w:rPr>
        <w:t>无损</w:t>
      </w:r>
      <w:r>
        <w:rPr>
          <w:rFonts w:hint="eastAsia" w:ascii="宋体" w:hAnsi="宋体" w:eastAsia="宋体" w:cs="宋体"/>
          <w:b/>
          <w:bCs/>
          <w:color w:val="000000" w:themeColor="text1"/>
          <w:sz w:val="24"/>
          <w14:textFill>
            <w14:solidFill>
              <w14:schemeClr w14:val="tx1"/>
            </w14:solidFill>
          </w14:textFill>
        </w:rPr>
        <w:t>检验报告，每台设备的无损检测要求如下：</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（1）</w:t>
      </w:r>
      <w:bookmarkStart w:id="37" w:name="OLE_LINK40"/>
      <w:r>
        <w:rPr>
          <w:rFonts w:hint="eastAsia" w:ascii="宋体" w:hAnsi="宋体" w:eastAsia="宋体" w:cs="宋体"/>
          <w:b/>
          <w:bCs/>
          <w:color w:val="000000" w:themeColor="text1"/>
          <w:sz w:val="24"/>
          <w14:textFill>
            <w14:solidFill>
              <w14:schemeClr w14:val="tx1"/>
            </w14:solidFill>
          </w14:textFill>
        </w:rPr>
        <w:t>塔式起重机</w:t>
      </w:r>
      <w:bookmarkEnd w:id="37"/>
      <w:r>
        <w:rPr>
          <w:rFonts w:hint="eastAsia" w:ascii="宋体" w:hAnsi="宋体" w:eastAsia="宋体" w:cs="宋体"/>
          <w:b/>
          <w:bCs/>
          <w:color w:val="000000" w:themeColor="text1"/>
          <w:sz w:val="24"/>
          <w14:textFill>
            <w14:solidFill>
              <w14:schemeClr w14:val="tx1"/>
            </w14:solidFill>
          </w14:textFill>
        </w:rPr>
        <w:t>总检测点数：不少于15点。塔身标准节</w:t>
      </w:r>
      <w:r>
        <w:rPr>
          <w:rFonts w:hint="eastAsia" w:ascii="宋体" w:hAnsi="宋体" w:eastAsia="宋体" w:cs="宋体"/>
          <w:b/>
          <w:bCs/>
          <w:color w:val="000000" w:themeColor="text1"/>
          <w:sz w:val="24"/>
          <w:lang w:eastAsia="zh-CN"/>
          <w14:textFill>
            <w14:solidFill>
              <w14:schemeClr w14:val="tx1"/>
            </w14:solidFill>
          </w14:textFill>
        </w:rPr>
        <w:t>、起重臂、</w:t>
      </w:r>
      <w:r>
        <w:rPr>
          <w:rFonts w:hint="eastAsia" w:ascii="宋体" w:hAnsi="宋体" w:eastAsia="宋体" w:cs="宋体"/>
          <w:b/>
          <w:bCs/>
          <w:sz w:val="24"/>
          <w:lang w:eastAsia="zh-CN"/>
        </w:rPr>
        <w:t>塔帽部件</w:t>
      </w:r>
      <w:r>
        <w:rPr>
          <w:rFonts w:hint="eastAsia" w:ascii="宋体" w:hAnsi="宋体" w:eastAsia="宋体" w:cs="宋体"/>
          <w:b/>
          <w:bCs/>
          <w:sz w:val="24"/>
        </w:rPr>
        <w:t>作为重点检测对象</w:t>
      </w:r>
      <w:r>
        <w:rPr>
          <w:rFonts w:hint="eastAsia" w:ascii="宋体" w:hAnsi="宋体" w:eastAsia="宋体" w:cs="宋体"/>
          <w:b/>
          <w:bCs/>
          <w:sz w:val="24"/>
          <w:lang w:eastAsia="zh-CN"/>
        </w:rPr>
        <w:t>，其中塔身不少于</w:t>
      </w:r>
      <w:r>
        <w:rPr>
          <w:rFonts w:hint="eastAsia" w:ascii="宋体" w:hAnsi="宋体" w:eastAsia="宋体" w:cs="宋体"/>
          <w:b/>
          <w:bCs/>
          <w:sz w:val="24"/>
          <w:lang w:val="en-US" w:eastAsia="zh-CN"/>
        </w:rPr>
        <w:t>8点，起重臂、塔帽不少于4点。</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（2）</w:t>
      </w:r>
      <w:bookmarkStart w:id="38" w:name="OLE_LINK41"/>
      <w:bookmarkStart w:id="39" w:name="OLE_LINK42"/>
      <w:r>
        <w:rPr>
          <w:rFonts w:hint="eastAsia" w:ascii="宋体" w:hAnsi="宋体" w:eastAsia="宋体" w:cs="宋体"/>
          <w:b/>
          <w:bCs/>
          <w:sz w:val="24"/>
        </w:rPr>
        <w:t>施工升降机</w:t>
      </w:r>
      <w:bookmarkEnd w:id="38"/>
      <w:bookmarkEnd w:id="39"/>
      <w:r>
        <w:rPr>
          <w:rFonts w:hint="eastAsia" w:ascii="宋体" w:hAnsi="宋体" w:eastAsia="宋体" w:cs="宋体"/>
          <w:b/>
          <w:bCs/>
          <w:sz w:val="24"/>
        </w:rPr>
        <w:t>总检测点数：不少于12点。导轨架标准节、吊笼部件作为重点检测对象，其中导轨架标准节不少于8点，吊笼不少于4点。</w:t>
      </w:r>
    </w:p>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cs="宋体"/>
          <w:b/>
          <w:bCs/>
          <w:sz w:val="24"/>
          <w:lang w:eastAsia="zh-CN"/>
        </w:rPr>
        <w:t>五</w:t>
      </w:r>
      <w:r>
        <w:rPr>
          <w:rFonts w:hint="eastAsia" w:ascii="宋体" w:hAnsi="宋体" w:eastAsia="宋体" w:cs="宋体"/>
          <w:b/>
          <w:bCs/>
          <w:sz w:val="24"/>
        </w:rPr>
        <w:t>、技术需求表</w:t>
      </w:r>
    </w:p>
    <w:tbl>
      <w:tblPr>
        <w:tblStyle w:val="63"/>
        <w:tblW w:w="8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8"/>
        <w:gridCol w:w="6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148"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主要技术指标</w:t>
            </w:r>
          </w:p>
        </w:tc>
        <w:tc>
          <w:tcPr>
            <w:tcW w:w="6631" w:type="dxa"/>
            <w:noWrap w:val="0"/>
            <w:vAlign w:val="center"/>
          </w:tcPr>
          <w:p>
            <w:pPr>
              <w:ind w:firstLine="0" w:firstLineChars="0"/>
              <w:jc w:val="center"/>
              <w:rPr>
                <w:rFonts w:hint="eastAsia" w:ascii="宋体" w:hAnsi="宋体" w:eastAsia="宋体" w:cs="宋体"/>
                <w:b/>
                <w:bCs/>
                <w:sz w:val="24"/>
              </w:rPr>
            </w:pPr>
            <w:r>
              <w:rPr>
                <w:rFonts w:hint="eastAsia" w:ascii="宋体" w:hAnsi="宋体" w:eastAsia="宋体" w:cs="宋体"/>
                <w:b/>
                <w:bCs/>
                <w:sz w:val="24"/>
              </w:rPr>
              <w:t>详见本章要求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148" w:type="dxa"/>
            <w:noWrap w:val="0"/>
            <w:vAlign w:val="center"/>
          </w:tcPr>
          <w:p>
            <w:pPr>
              <w:jc w:val="center"/>
              <w:rPr>
                <w:rFonts w:hint="eastAsia" w:ascii="宋体" w:hAnsi="宋体" w:eastAsia="宋体" w:cs="宋体"/>
                <w:sz w:val="24"/>
              </w:rPr>
            </w:pPr>
            <w:r>
              <w:rPr>
                <w:rFonts w:hint="eastAsia" w:ascii="宋体" w:hAnsi="宋体" w:eastAsia="宋体" w:cs="宋体"/>
                <w:sz w:val="24"/>
              </w:rPr>
              <w:t>质量标准</w:t>
            </w:r>
          </w:p>
        </w:tc>
        <w:tc>
          <w:tcPr>
            <w:tcW w:w="6631" w:type="dxa"/>
            <w:noWrap w:val="0"/>
            <w:vAlign w:val="center"/>
          </w:tcPr>
          <w:p>
            <w:pPr>
              <w:ind w:firstLine="480" w:firstLineChars="200"/>
              <w:jc w:val="left"/>
              <w:rPr>
                <w:rFonts w:hint="eastAsia" w:ascii="宋体" w:hAnsi="宋体" w:eastAsia="宋体" w:cs="宋体"/>
                <w:sz w:val="24"/>
              </w:rPr>
            </w:pPr>
            <w:r>
              <w:rPr>
                <w:rFonts w:hint="eastAsia" w:ascii="宋体" w:hAnsi="宋体" w:eastAsia="宋体" w:cs="宋体"/>
                <w:sz w:val="24"/>
              </w:rPr>
              <w:t>符合国家相关行业标准及要求</w:t>
            </w:r>
            <w:r>
              <w:rPr>
                <w:rFonts w:hint="eastAsia" w:ascii="宋体"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21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验收条件及标准</w:t>
            </w:r>
          </w:p>
        </w:tc>
        <w:tc>
          <w:tcPr>
            <w:tcW w:w="6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投标人完成在用起重机械的安全性能检查后出具监督检测报告，由采购人组织验收报告，要求所有报告符合国家或行业标准规范要求。</w:t>
            </w:r>
          </w:p>
        </w:tc>
      </w:tr>
    </w:tbl>
    <w:p>
      <w:pPr>
        <w:pStyle w:val="969"/>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rPr>
      </w:pPr>
      <w:r>
        <w:rPr>
          <w:rFonts w:hint="eastAsia" w:cs="宋体"/>
          <w:b/>
          <w:bCs/>
          <w:sz w:val="24"/>
          <w:lang w:eastAsia="zh-CN"/>
        </w:rPr>
        <w:t>六</w:t>
      </w:r>
      <w:r>
        <w:rPr>
          <w:rFonts w:hint="eastAsia" w:ascii="宋体" w:hAnsi="宋体" w:eastAsia="宋体" w:cs="宋体"/>
          <w:b/>
          <w:bCs/>
          <w:sz w:val="24"/>
        </w:rPr>
        <w:t>、结算方式</w:t>
      </w:r>
    </w:p>
    <w:p>
      <w:pPr>
        <w:pStyle w:val="96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rPr>
      </w:pPr>
      <w:r>
        <w:rPr>
          <w:rFonts w:hint="eastAsia" w:cs="宋体"/>
          <w:b w:val="0"/>
          <w:bCs w:val="0"/>
          <w:sz w:val="24"/>
          <w:lang w:eastAsia="zh-CN"/>
        </w:rPr>
        <w:t>按</w:t>
      </w:r>
      <w:r>
        <w:rPr>
          <w:rFonts w:hint="eastAsia" w:ascii="宋体" w:hAnsi="宋体" w:eastAsia="宋体" w:cs="宋体"/>
          <w:b w:val="0"/>
          <w:bCs w:val="0"/>
          <w:sz w:val="24"/>
        </w:rPr>
        <w:t>中标</w:t>
      </w:r>
      <w:r>
        <w:rPr>
          <w:rFonts w:hint="eastAsia" w:cs="宋体"/>
          <w:b w:val="0"/>
          <w:bCs w:val="0"/>
          <w:sz w:val="24"/>
          <w:lang w:eastAsia="zh-CN"/>
        </w:rPr>
        <w:t>综合</w:t>
      </w:r>
      <w:r>
        <w:rPr>
          <w:rFonts w:hint="eastAsia" w:ascii="宋体" w:hAnsi="宋体" w:eastAsia="宋体" w:cs="宋体"/>
          <w:b w:val="0"/>
          <w:bCs w:val="0"/>
          <w:sz w:val="24"/>
        </w:rPr>
        <w:t>单价签订固定单价合同，工程量按实</w:t>
      </w:r>
      <w:r>
        <w:rPr>
          <w:rFonts w:hint="eastAsia" w:cs="宋体"/>
          <w:b w:val="0"/>
          <w:bCs w:val="0"/>
          <w:sz w:val="24"/>
          <w:lang w:val="en-US" w:eastAsia="zh-CN"/>
        </w:rPr>
        <w:t>际完成数量进行</w:t>
      </w:r>
      <w:r>
        <w:rPr>
          <w:rFonts w:hint="eastAsia" w:ascii="宋体" w:hAnsi="宋体" w:eastAsia="宋体" w:cs="宋体"/>
          <w:b w:val="0"/>
          <w:bCs w:val="0"/>
          <w:sz w:val="24"/>
        </w:rPr>
        <w:t>结算。</w:t>
      </w:r>
      <w:r>
        <w:rPr>
          <w:rFonts w:hint="eastAsia" w:eastAsia="宋体" w:cs="宋体"/>
          <w:b w:val="0"/>
          <w:bCs w:val="0"/>
          <w:sz w:val="24"/>
          <w:lang w:eastAsia="zh-CN"/>
        </w:rPr>
        <w:t>本项目投标报价的单价为</w:t>
      </w:r>
      <w:r>
        <w:rPr>
          <w:rFonts w:hint="eastAsia" w:ascii="宋体" w:hAnsi="宋体" w:eastAsia="宋体" w:cs="宋体"/>
          <w:b w:val="0"/>
          <w:bCs w:val="0"/>
          <w:sz w:val="24"/>
        </w:rPr>
        <w:t>综合单价</w:t>
      </w:r>
      <w:r>
        <w:rPr>
          <w:rFonts w:hint="eastAsia" w:eastAsia="宋体" w:cs="宋体"/>
          <w:b w:val="0"/>
          <w:bCs w:val="0"/>
          <w:sz w:val="24"/>
          <w:lang w:eastAsia="zh-CN"/>
        </w:rPr>
        <w:t>，</w:t>
      </w:r>
      <w:r>
        <w:rPr>
          <w:rFonts w:hint="eastAsia" w:ascii="宋体" w:hAnsi="宋体" w:eastAsia="宋体" w:cs="宋体"/>
          <w:b w:val="0"/>
          <w:bCs w:val="0"/>
          <w:sz w:val="24"/>
        </w:rPr>
        <w:t>包含项目实施所需要的人工、机械、材料、管理费、措施费、规费、风险费用、利润、税金、交通、食宿、通讯、复检费、其它需投标人承担的费用及潜在满足采购人监管要求可能涉及的一切费用。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cs="宋体"/>
          <w:b/>
          <w:bCs w:val="0"/>
          <w:sz w:val="24"/>
        </w:rPr>
      </w:pPr>
      <w:r>
        <w:rPr>
          <w:rFonts w:hint="eastAsia" w:ascii="宋体" w:hAnsi="宋体" w:cs="宋体"/>
          <w:b/>
          <w:bCs w:val="0"/>
          <w:sz w:val="24"/>
          <w:lang w:val="en-US" w:eastAsia="zh-CN"/>
        </w:rPr>
        <w:t>七、服务期</w:t>
      </w:r>
    </w:p>
    <w:p>
      <w:pPr>
        <w:numPr>
          <w:ilvl w:val="0"/>
          <w:numId w:val="0"/>
        </w:numPr>
        <w:tabs>
          <w:tab w:val="left" w:pos="900"/>
        </w:tabs>
        <w:wordWrap/>
        <w:adjustRightInd/>
        <w:snapToGrid/>
        <w:spacing w:line="360" w:lineRule="auto"/>
        <w:ind w:firstLine="480" w:firstLineChars="200"/>
        <w:textAlignment w:val="auto"/>
        <w:rPr>
          <w:rFonts w:hint="eastAsia" w:ascii="宋体" w:hAnsi="宋体" w:eastAsia="宋体" w:cs="宋体"/>
          <w:b w:val="0"/>
          <w:bCs w:val="0"/>
          <w:kern w:val="0"/>
          <w:sz w:val="24"/>
          <w:szCs w:val="22"/>
          <w:lang w:val="zh-CN"/>
        </w:rPr>
      </w:pPr>
      <w:r>
        <w:rPr>
          <w:rFonts w:hint="eastAsia" w:ascii="宋体" w:hAnsi="宋体" w:eastAsia="宋体" w:cs="宋体"/>
          <w:b w:val="0"/>
          <w:bCs w:val="0"/>
          <w:kern w:val="0"/>
          <w:sz w:val="24"/>
          <w:szCs w:val="22"/>
          <w:lang w:val="zh-CN" w:eastAsia="zh-CN"/>
        </w:rPr>
        <w:t>自合同签订之日起</w:t>
      </w:r>
      <w:r>
        <w:rPr>
          <w:rFonts w:hint="eastAsia" w:ascii="宋体" w:hAnsi="宋体" w:cs="宋体"/>
          <w:b w:val="0"/>
          <w:bCs w:val="0"/>
          <w:kern w:val="0"/>
          <w:sz w:val="24"/>
          <w:szCs w:val="22"/>
          <w:lang w:val="zh-CN" w:eastAsia="zh-CN"/>
        </w:rPr>
        <w:t>一</w:t>
      </w:r>
      <w:r>
        <w:rPr>
          <w:rFonts w:hint="eastAsia" w:ascii="宋体" w:hAnsi="宋体" w:eastAsia="宋体" w:cs="宋体"/>
          <w:b w:val="0"/>
          <w:bCs w:val="0"/>
          <w:kern w:val="0"/>
          <w:sz w:val="24"/>
          <w:szCs w:val="22"/>
          <w:lang w:val="zh-CN" w:eastAsia="zh-CN"/>
        </w:rPr>
        <w:t>年服务期</w:t>
      </w:r>
      <w:r>
        <w:rPr>
          <w:rFonts w:hint="eastAsia" w:ascii="宋体" w:hAnsi="宋体" w:eastAsia="宋体" w:cs="宋体"/>
          <w:b w:val="0"/>
          <w:bCs w:val="0"/>
          <w:kern w:val="0"/>
          <w:sz w:val="24"/>
          <w:szCs w:val="22"/>
          <w:lang w:val="zh-CN"/>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val="0"/>
          <w:sz w:val="24"/>
        </w:rPr>
      </w:pPr>
      <w:r>
        <w:rPr>
          <w:rFonts w:hint="eastAsia" w:ascii="宋体" w:hAnsi="宋体" w:cs="宋体"/>
          <w:b/>
          <w:bCs w:val="0"/>
          <w:sz w:val="24"/>
          <w:lang w:val="en-US" w:eastAsia="zh-CN"/>
        </w:rPr>
        <w:t>八、</w:t>
      </w:r>
      <w:r>
        <w:rPr>
          <w:rFonts w:hint="eastAsia" w:ascii="宋体" w:hAnsi="宋体" w:cs="宋体"/>
          <w:b/>
          <w:bCs w:val="0"/>
          <w:sz w:val="24"/>
          <w:lang w:eastAsia="zh-CN"/>
        </w:rPr>
        <w:t>费用</w:t>
      </w:r>
      <w:r>
        <w:rPr>
          <w:rFonts w:hint="eastAsia" w:ascii="宋体" w:hAnsi="宋体" w:cs="宋体"/>
          <w:b/>
          <w:bCs w:val="0"/>
          <w:sz w:val="24"/>
        </w:rPr>
        <w:t>支付</w:t>
      </w:r>
    </w:p>
    <w:p>
      <w:pPr>
        <w:spacing w:line="360" w:lineRule="auto"/>
        <w:ind w:firstLine="480" w:firstLineChars="20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lang w:eastAsia="zh-CN"/>
        </w:rPr>
        <w:t>本项目</w:t>
      </w:r>
      <w:r>
        <w:rPr>
          <w:rFonts w:hint="eastAsia" w:ascii="宋体" w:hAnsi="宋体" w:cs="宋体"/>
          <w:b w:val="0"/>
          <w:bCs w:val="0"/>
          <w:color w:val="000000"/>
          <w:sz w:val="24"/>
          <w:highlight w:val="none"/>
        </w:rPr>
        <w:t>预付款比例为</w:t>
      </w:r>
      <w:r>
        <w:rPr>
          <w:rFonts w:hint="eastAsia" w:ascii="宋体" w:hAnsi="宋体" w:cs="宋体"/>
          <w:b w:val="0"/>
          <w:bCs w:val="0"/>
          <w:color w:val="000000"/>
          <w:sz w:val="24"/>
          <w:highlight w:val="none"/>
          <w:lang w:eastAsia="zh-CN"/>
        </w:rPr>
        <w:t>预算</w:t>
      </w:r>
      <w:r>
        <w:rPr>
          <w:rFonts w:hint="eastAsia" w:ascii="宋体" w:hAnsi="宋体" w:cs="宋体"/>
          <w:b w:val="0"/>
          <w:bCs w:val="0"/>
          <w:color w:val="000000"/>
          <w:sz w:val="24"/>
          <w:highlight w:val="none"/>
        </w:rPr>
        <w:t>金额的40％</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采购项目实施以人工投入为主的，可适当降低预付款比例，但不低于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pPr>
        <w:spacing w:line="360" w:lineRule="auto"/>
        <w:ind w:firstLine="480" w:firstLineChars="200"/>
        <w:rPr>
          <w:rFonts w:hint="eastAsia" w:ascii="宋体" w:hAnsi="宋体" w:eastAsia="宋体" w:cs="宋体"/>
          <w:b w:val="0"/>
          <w:bCs w:val="0"/>
          <w:color w:val="000000"/>
          <w:sz w:val="24"/>
          <w:highlight w:val="none"/>
          <w:lang w:eastAsia="zh-CN"/>
        </w:rPr>
      </w:pPr>
      <w:r>
        <w:rPr>
          <w:rFonts w:hint="eastAsia" w:ascii="宋体" w:hAnsi="宋体" w:cs="宋体"/>
          <w:b w:val="0"/>
          <w:bCs w:val="0"/>
          <w:color w:val="000000"/>
          <w:sz w:val="24"/>
          <w:highlight w:val="none"/>
          <w:lang w:eastAsia="zh-CN"/>
        </w:rPr>
        <w:t>检测</w:t>
      </w:r>
      <w:r>
        <w:rPr>
          <w:rFonts w:hint="eastAsia" w:ascii="宋体" w:hAnsi="宋体" w:cs="宋体"/>
          <w:b w:val="0"/>
          <w:bCs w:val="0"/>
          <w:color w:val="000000"/>
          <w:sz w:val="24"/>
          <w:highlight w:val="none"/>
        </w:rPr>
        <w:t>费用按季度结算</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rPr>
        <w:t>按检测项目</w:t>
      </w:r>
      <w:r>
        <w:rPr>
          <w:rFonts w:hint="eastAsia" w:ascii="宋体" w:hAnsi="宋体" w:cs="宋体"/>
          <w:b w:val="0"/>
          <w:bCs w:val="0"/>
          <w:color w:val="000000"/>
          <w:sz w:val="24"/>
          <w:highlight w:val="none"/>
          <w:lang w:eastAsia="zh-CN"/>
        </w:rPr>
        <w:t>中标</w:t>
      </w:r>
      <w:r>
        <w:rPr>
          <w:rFonts w:hint="eastAsia" w:ascii="宋体" w:hAnsi="宋体" w:cs="宋体"/>
          <w:b w:val="0"/>
          <w:bCs w:val="0"/>
          <w:color w:val="000000"/>
          <w:sz w:val="24"/>
          <w:highlight w:val="none"/>
        </w:rPr>
        <w:t>单价和实际检测数量计算总检测费用，经双方共同确认检测数量无异议后30个工作日内支付</w:t>
      </w:r>
      <w:r>
        <w:rPr>
          <w:rFonts w:hint="eastAsia" w:ascii="宋体" w:hAnsi="宋体" w:cs="宋体"/>
          <w:bCs w:val="0"/>
          <w:sz w:val="24"/>
          <w:highlight w:val="none"/>
          <w:lang w:eastAsia="zh-CN"/>
        </w:rPr>
        <w:t>（</w:t>
      </w:r>
      <w:r>
        <w:rPr>
          <w:rFonts w:hint="eastAsia" w:ascii="宋体" w:hAnsi="宋体" w:cs="宋体"/>
          <w:bCs w:val="0"/>
          <w:sz w:val="24"/>
          <w:highlight w:val="none"/>
          <w:lang w:val="en-US" w:eastAsia="zh-CN"/>
        </w:rPr>
        <w:t>具体按年度资金安排</w:t>
      </w:r>
      <w:r>
        <w:rPr>
          <w:rFonts w:hint="eastAsia" w:ascii="宋体" w:hAnsi="宋体" w:cs="宋体"/>
          <w:bCs w:val="0"/>
          <w:sz w:val="24"/>
          <w:highlight w:val="none"/>
          <w:lang w:eastAsia="zh-CN"/>
        </w:rPr>
        <w:t>），具体以合同签订内容为准。</w:t>
      </w:r>
    </w:p>
    <w:p>
      <w:pPr>
        <w:pStyle w:val="2"/>
        <w:pageBreakBefore w:val="0"/>
        <w:widowControl w:val="0"/>
        <w:numPr>
          <w:ilvl w:val="0"/>
          <w:numId w:val="0"/>
        </w:numPr>
        <w:tabs>
          <w:tab w:val="left" w:pos="706"/>
          <w:tab w:val="clear" w:pos="432"/>
        </w:tabs>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九、履约验收</w:t>
      </w:r>
    </w:p>
    <w:p>
      <w:pPr>
        <w:tabs>
          <w:tab w:val="left" w:pos="900"/>
        </w:tabs>
        <w:wordWrap/>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必须符合招标文件的规定要求、国家和行业的相关标准。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十、其他事项</w:t>
      </w:r>
    </w:p>
    <w:p>
      <w:pPr>
        <w:pStyle w:val="969"/>
        <w:numPr>
          <w:ilvl w:val="0"/>
          <w:numId w:val="0"/>
        </w:numPr>
        <w:spacing w:line="360" w:lineRule="auto"/>
        <w:ind w:firstLine="480" w:firstLineChars="200"/>
        <w:rPr>
          <w:rFonts w:hint="eastAsia" w:eastAsia="宋体"/>
          <w:lang w:eastAsia="zh-CN"/>
        </w:rPr>
      </w:pPr>
      <w:r>
        <w:rPr>
          <w:rFonts w:hint="eastAsia"/>
          <w:lang w:val="en-US" w:eastAsia="zh-CN"/>
        </w:rPr>
        <w:t>1、</w:t>
      </w:r>
      <w:r>
        <w:rPr>
          <w:rFonts w:hint="eastAsia"/>
          <w:lang w:eastAsia="zh-CN"/>
        </w:rPr>
        <w:t>其他未明事项，以采购人要求为准。</w:t>
      </w:r>
      <w:r>
        <w:rPr>
          <w:rFonts w:hint="eastAsia" w:ascii="宋体" w:hAnsi="宋体" w:eastAsia="宋体" w:cs="宋体"/>
          <w:color w:val="auto"/>
          <w:sz w:val="24"/>
          <w:szCs w:val="24"/>
          <w:highlight w:val="none"/>
        </w:rPr>
        <w:t>出具合格</w:t>
      </w:r>
      <w:r>
        <w:rPr>
          <w:rFonts w:ascii="宋体" w:hAnsi="宋体" w:eastAsia="宋体" w:cs="宋体"/>
          <w:color w:val="auto"/>
          <w:sz w:val="24"/>
          <w:szCs w:val="24"/>
          <w:highlight w:val="none"/>
        </w:rPr>
        <w:t>报告，</w:t>
      </w:r>
      <w:r>
        <w:rPr>
          <w:rFonts w:hint="eastAsia" w:ascii="宋体" w:hAnsi="宋体" w:eastAsia="宋体" w:cs="宋体"/>
          <w:color w:val="auto"/>
          <w:sz w:val="24"/>
          <w:szCs w:val="24"/>
          <w:highlight w:val="none"/>
        </w:rPr>
        <w:t>接收</w:t>
      </w:r>
      <w:r>
        <w:rPr>
          <w:rFonts w:ascii="宋体" w:hAnsi="宋体" w:eastAsia="宋体" w:cs="宋体"/>
          <w:color w:val="auto"/>
          <w:sz w:val="24"/>
          <w:szCs w:val="24"/>
          <w:highlight w:val="none"/>
        </w:rPr>
        <w:t>采购人及相关部门监督</w:t>
      </w:r>
      <w:r>
        <w:rPr>
          <w:rFonts w:hint="eastAsia" w:cs="宋体"/>
          <w:color w:val="auto"/>
          <w:sz w:val="24"/>
          <w:szCs w:val="24"/>
          <w:highlight w:val="none"/>
          <w:lang w:eastAsia="zh-CN"/>
        </w:rPr>
        <w:t>。</w:t>
      </w:r>
    </w:p>
    <w:p>
      <w:pPr>
        <w:pStyle w:val="969"/>
        <w:numPr>
          <w:ilvl w:val="0"/>
          <w:numId w:val="0"/>
        </w:numPr>
        <w:spacing w:line="360" w:lineRule="auto"/>
        <w:ind w:firstLine="240" w:firstLineChars="100"/>
        <w:rPr>
          <w:rFonts w:hint="eastAsia"/>
          <w:b/>
          <w:bCs/>
          <w:lang w:eastAsia="zh-CN"/>
        </w:rPr>
      </w:pPr>
      <w:r>
        <w:rPr>
          <w:rFonts w:hint="eastAsia" w:ascii="宋体" w:hAnsi="宋体" w:cs="宋体"/>
          <w:sz w:val="24"/>
        </w:rPr>
        <w:t>▲</w:t>
      </w:r>
      <w:r>
        <w:rPr>
          <w:rFonts w:hint="eastAsia"/>
          <w:b/>
          <w:bCs/>
          <w:lang w:val="en-US" w:eastAsia="zh-CN"/>
        </w:rPr>
        <w:t>2、</w:t>
      </w:r>
      <w:r>
        <w:rPr>
          <w:rFonts w:hint="eastAsia"/>
          <w:b/>
          <w:bCs/>
          <w:lang w:eastAsia="zh-CN"/>
        </w:rPr>
        <w:t>投标时承诺除招标文件规定检测内容外，对甲方指定的其他项目进行起重机械（数量约为本次招标数量的 1/3）设备</w:t>
      </w:r>
      <w:r>
        <w:rPr>
          <w:rFonts w:hint="eastAsia"/>
          <w:b/>
          <w:bCs/>
          <w:lang w:val="en-US" w:eastAsia="zh-CN"/>
        </w:rPr>
        <w:t>进行免费</w:t>
      </w:r>
      <w:r>
        <w:rPr>
          <w:rFonts w:hint="eastAsia"/>
          <w:b/>
          <w:bCs/>
          <w:lang w:eastAsia="zh-CN"/>
        </w:rPr>
        <w:t>检测）。</w:t>
      </w:r>
    </w:p>
    <w:p>
      <w:pPr>
        <w:pStyle w:val="36"/>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中标人在签订合同时，若坚持提出附加条件和不合理要求，中标资格将被取消，该中标人</w:t>
      </w:r>
      <w:r>
        <w:rPr>
          <w:rFonts w:hint="eastAsia" w:ascii="宋体" w:hAnsi="宋体" w:eastAsia="宋体" w:cs="宋体"/>
          <w:color w:val="000000"/>
          <w:sz w:val="24"/>
          <w:lang w:val="en-US" w:eastAsia="zh-CN"/>
        </w:rPr>
        <w:t>对由此产生的一切后果负责。</w:t>
      </w:r>
    </w:p>
    <w:p>
      <w:pPr>
        <w:widowControl/>
        <w:adjustRightInd w:val="0"/>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鉴于本</w:t>
      </w:r>
      <w:r>
        <w:rPr>
          <w:rFonts w:hint="eastAsia" w:ascii="宋体" w:hAnsi="宋体" w:eastAsia="宋体" w:cs="宋体"/>
          <w:color w:val="000000"/>
          <w:sz w:val="24"/>
          <w:lang w:val="en-US" w:eastAsia="zh-CN"/>
        </w:rPr>
        <w:t>项目验收</w:t>
      </w:r>
      <w:r>
        <w:rPr>
          <w:rFonts w:hint="eastAsia" w:ascii="宋体" w:hAnsi="宋体" w:eastAsia="宋体" w:cs="宋体"/>
          <w:color w:val="000000"/>
          <w:sz w:val="24"/>
        </w:rPr>
        <w:t>的范围比较广，在</w:t>
      </w:r>
      <w:r>
        <w:rPr>
          <w:rFonts w:hint="eastAsia" w:ascii="宋体" w:hAnsi="宋体" w:eastAsia="宋体" w:cs="宋体"/>
          <w:color w:val="000000"/>
          <w:sz w:val="24"/>
          <w:lang w:val="en-US" w:eastAsia="zh-CN"/>
        </w:rPr>
        <w:t>实施</w:t>
      </w:r>
      <w:r>
        <w:rPr>
          <w:rFonts w:hint="eastAsia" w:ascii="宋体" w:hAnsi="宋体" w:eastAsia="宋体" w:cs="宋体"/>
          <w:color w:val="000000"/>
          <w:sz w:val="24"/>
        </w:rPr>
        <w:t>过程中，</w:t>
      </w:r>
      <w:r>
        <w:rPr>
          <w:rFonts w:hint="eastAsia" w:ascii="宋体" w:hAnsi="宋体" w:eastAsia="宋体" w:cs="宋体"/>
          <w:color w:val="000000"/>
          <w:sz w:val="24"/>
          <w:lang w:val="en-US" w:eastAsia="zh-CN"/>
        </w:rPr>
        <w:t>根据采购人具体需求，</w:t>
      </w:r>
      <w:r>
        <w:rPr>
          <w:rFonts w:hint="eastAsia" w:ascii="宋体" w:hAnsi="宋体" w:eastAsia="宋体" w:cs="宋体"/>
          <w:color w:val="000000"/>
          <w:sz w:val="24"/>
        </w:rPr>
        <w:t>可能</w:t>
      </w:r>
      <w:r>
        <w:rPr>
          <w:rFonts w:hint="eastAsia" w:ascii="宋体" w:hAnsi="宋体" w:eastAsia="宋体" w:cs="宋体"/>
          <w:color w:val="000000"/>
          <w:sz w:val="24"/>
          <w:lang w:val="en-US" w:eastAsia="zh-CN"/>
        </w:rPr>
        <w:t>各标项中标单位存在交叉施工</w:t>
      </w:r>
      <w:r>
        <w:rPr>
          <w:rFonts w:hint="eastAsia" w:ascii="宋体" w:hAnsi="宋体" w:eastAsia="宋体" w:cs="宋体"/>
          <w:color w:val="000000"/>
          <w:sz w:val="24"/>
        </w:rPr>
        <w:t>可能性，</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单位必须友好协商</w:t>
      </w:r>
      <w:r>
        <w:rPr>
          <w:rFonts w:hint="eastAsia" w:ascii="宋体" w:hAnsi="宋体" w:eastAsia="宋体" w:cs="宋体"/>
          <w:color w:val="000000"/>
          <w:sz w:val="24"/>
          <w:lang w:val="en-US" w:eastAsia="zh-CN"/>
        </w:rPr>
        <w:t>工作</w:t>
      </w:r>
      <w:r>
        <w:rPr>
          <w:rFonts w:hint="eastAsia" w:ascii="宋体" w:hAnsi="宋体" w:eastAsia="宋体" w:cs="宋体"/>
          <w:color w:val="000000"/>
          <w:sz w:val="24"/>
        </w:rPr>
        <w:t>，各自主动、自觉地</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好自身的</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范围，不得出现相互推诿，不按招标人规定进行</w:t>
      </w:r>
      <w:r>
        <w:rPr>
          <w:rFonts w:hint="eastAsia" w:ascii="宋体" w:hAnsi="宋体" w:eastAsia="宋体" w:cs="宋体"/>
          <w:color w:val="000000"/>
          <w:sz w:val="24"/>
          <w:lang w:val="en-US" w:eastAsia="zh-CN"/>
        </w:rPr>
        <w:t>验收</w:t>
      </w:r>
      <w:r>
        <w:rPr>
          <w:rFonts w:hint="eastAsia" w:ascii="宋体" w:hAnsi="宋体" w:eastAsia="宋体" w:cs="宋体"/>
          <w:color w:val="000000"/>
          <w:sz w:val="24"/>
        </w:rPr>
        <w:t>，造成招标人或他</w:t>
      </w:r>
      <w:r>
        <w:rPr>
          <w:rFonts w:hint="eastAsia" w:ascii="宋体" w:hAnsi="宋体" w:eastAsia="宋体" w:cs="宋体"/>
          <w:color w:val="000000" w:themeColor="text1"/>
          <w:sz w:val="24"/>
          <w14:textFill>
            <w14:solidFill>
              <w14:schemeClr w14:val="tx1"/>
            </w14:solidFill>
          </w14:textFill>
        </w:rPr>
        <w:t>人的利益损失，</w:t>
      </w:r>
      <w:r>
        <w:rPr>
          <w:rFonts w:hint="eastAsia" w:ascii="宋体" w:hAnsi="宋体" w:eastAsia="宋体" w:cs="宋体"/>
          <w:color w:val="000000" w:themeColor="text1"/>
          <w:sz w:val="24"/>
          <w:lang w:eastAsia="zh-CN"/>
          <w14:textFill>
            <w14:solidFill>
              <w14:schemeClr w14:val="tx1"/>
            </w14:solidFill>
          </w14:textFill>
        </w:rPr>
        <w:t>将追究相关违约责任</w:t>
      </w:r>
      <w:r>
        <w:rPr>
          <w:rFonts w:hint="eastAsia" w:ascii="宋体" w:hAnsi="宋体" w:eastAsia="宋体" w:cs="宋体"/>
          <w:color w:val="000000" w:themeColor="text1"/>
          <w:sz w:val="24"/>
          <w14:textFill>
            <w14:solidFill>
              <w14:schemeClr w14:val="tx1"/>
            </w14:solidFill>
          </w14:textFill>
        </w:rPr>
        <w:t>。</w:t>
      </w:r>
    </w:p>
    <w:p>
      <w:pPr>
        <w:widowControl/>
        <w:adjustRightInd w:val="0"/>
        <w:snapToGrid w:val="0"/>
        <w:spacing w:line="360" w:lineRule="auto"/>
        <w:ind w:firstLine="482" w:firstLineChars="20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核准证或</w:t>
      </w:r>
      <w:r>
        <w:rPr>
          <w:rFonts w:hint="eastAsia" w:ascii="宋体" w:hAnsi="宋体" w:eastAsia="宋体" w:cs="宋体"/>
          <w:b/>
          <w:bCs/>
          <w:color w:val="000000" w:themeColor="text1"/>
          <w:sz w:val="24"/>
          <w:szCs w:val="24"/>
          <w:lang w:eastAsia="zh-CN"/>
          <w14:textFill>
            <w14:solidFill>
              <w14:schemeClr w14:val="tx1"/>
            </w14:solidFill>
          </w14:textFill>
        </w:rPr>
        <w:t>计量认证证书及相应检测能力附表（附表只须提供与本项目相配套能力部分内容即可）。</w:t>
      </w:r>
    </w:p>
    <w:p>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资料档案及保密要求</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.1中标人应当对全部作业情况建立完整的电子档案资料，在合同正常终止后全部移交给招标单位保管。</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.2与本项目有关的资料及数据中涉及国家保密的内容，均要求按照《国家保密法》及相关法律法规执行。</w:t>
      </w:r>
    </w:p>
    <w:p>
      <w:pPr>
        <w:keepNext w:val="0"/>
        <w:keepLines w:val="0"/>
        <w:pageBreakBefore w:val="0"/>
        <w:widowControl/>
        <w:kinsoku/>
        <w:wordWrap/>
        <w:overflowPunct/>
        <w:topLinePunct w:val="0"/>
        <w:autoSpaceDE/>
        <w:autoSpaceDN/>
        <w:bidi w:val="0"/>
        <w:spacing w:line="360" w:lineRule="auto"/>
        <w:ind w:firstLine="420"/>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.3中标人应遵守相关保密法律、法规，确保招标单位及项目建设方的信息安全。</w:t>
      </w:r>
    </w:p>
    <w:p>
      <w:pPr>
        <w:widowControl w:val="0"/>
        <w:numPr>
          <w:ilvl w:val="0"/>
          <w:numId w:val="0"/>
        </w:numPr>
        <w:wordWrap/>
        <w:adjustRightInd/>
        <w:snapToGrid/>
        <w:spacing w:beforeLines="0" w:line="360" w:lineRule="auto"/>
        <w:ind w:left="0" w:leftChars="0" w:right="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一</w:t>
      </w:r>
      <w:r>
        <w:rPr>
          <w:rFonts w:hint="eastAsia" w:ascii="宋体" w:hAnsi="宋体" w:eastAsia="宋体" w:cs="宋体"/>
          <w:b/>
          <w:bCs/>
          <w:color w:val="auto"/>
          <w:kern w:val="2"/>
          <w:sz w:val="24"/>
          <w:lang w:val="en-US" w:eastAsia="zh-CN"/>
        </w:rPr>
        <w:t>、</w:t>
      </w:r>
      <w:r>
        <w:rPr>
          <w:rFonts w:hint="eastAsia" w:ascii="宋体" w:hAnsi="宋体" w:eastAsia="宋体" w:cs="宋体"/>
          <w:b/>
          <w:bCs/>
          <w:sz w:val="24"/>
          <w:szCs w:val="24"/>
          <w:lang w:val="en-US" w:eastAsia="zh-CN"/>
        </w:rPr>
        <w:t>中标人必须遵循下列行为规范：</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及所派的项目人员应遵守国家相关法律法规，严守《服务单位守则》与协作服务检查工作纪律和制度，做到公开、公平、公正地实施检查，确保检查质量。严禁从事与检查无关事项。严禁利用协作检查服务，向被检查对象变相推销、承接相关有偿服务，以及其他借用公职行为的违纪违规情形，与被检查对象存在利害关系的，应当回避。</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2、中标人及所派的项目人员要加强自身业务水平，不断提高职业素养和业务水平，保证检查结果正确性。</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3、工作资料、现场勘查记录、影像资料等相关材料，应及时归档，并遵守保密协议。</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4、项目人员在检查中发现以下情况应及时向采购人报告：</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1)存在重大事故隐患的；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2)协作服务检查中存在较大争议问题的；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3)其他认为有必要报告的事项。</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5、中标人及项目人员有下列情况之一的，采购人将采取责令中标人更换项目人员或者与中标人终止合同等措施。</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1）违反国家法律法规、不服从工作纪律和工作制度，利用协作服务检查行为向被检查对象“吃、拿、卡、要”，变相推销、承接有偿服务等违纪违规行为；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2）检查中发现有重大事故隐患未及时报告的；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3）协作服务检查中经核实存在有损采购人形象、弄虚作假、职业道德不良等行为；</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4）无正当理由未按时完成采购人安排的协作服务检查任务，项目人员业务能力明显不符合协作检查服务需求的；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5）有其它严重违规行为的。</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6、中标人更换</w:t>
      </w:r>
      <w:r>
        <w:rPr>
          <w:rFonts w:hint="eastAsia" w:ascii="宋体" w:hAnsi="宋体" w:eastAsia="宋体" w:cs="宋体"/>
          <w:b w:val="0"/>
          <w:bCs w:val="0"/>
          <w:sz w:val="24"/>
          <w:szCs w:val="24"/>
          <w:shd w:val="clear" w:color="auto" w:fill="auto"/>
          <w:lang w:val="en-US" w:eastAsia="zh-CN"/>
        </w:rPr>
        <w:t>人</w:t>
      </w:r>
      <w:r>
        <w:rPr>
          <w:rFonts w:hint="eastAsia" w:ascii="宋体" w:hAnsi="宋体" w:eastAsia="宋体" w:cs="宋体"/>
          <w:b w:val="0"/>
          <w:bCs w:val="0"/>
          <w:sz w:val="24"/>
          <w:szCs w:val="24"/>
          <w:lang w:val="en-US" w:eastAsia="zh-CN"/>
        </w:rPr>
        <w:t>员时，须向采购人提出书面申请，经采购人审核批准后方可更换。</w:t>
      </w:r>
    </w:p>
    <w:p>
      <w:pPr>
        <w:widowControl w:val="0"/>
        <w:numPr>
          <w:ilvl w:val="0"/>
          <w:numId w:val="0"/>
        </w:numPr>
        <w:wordWrap/>
        <w:adjustRightInd/>
        <w:snapToGrid/>
        <w:spacing w:beforeLines="0"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7、中标人应对检查结果负责，出具虚假检查报告的，泄漏企业技术秘密等行为，一经查实确认，招标人不再支付应付未付的服务费，同时终止服务合同，记入招标人不良供应商名录并报有关部门。</w:t>
      </w:r>
    </w:p>
    <w:bookmarkEnd w:id="26"/>
    <w:bookmarkEnd w:id="27"/>
    <w:bookmarkEnd w:id="28"/>
    <w:bookmarkEnd w:id="29"/>
    <w:bookmarkEnd w:id="30"/>
    <w:bookmarkEnd w:id="31"/>
    <w:bookmarkEnd w:id="32"/>
    <w:bookmarkEnd w:id="33"/>
    <w:bookmarkEnd w:id="34"/>
    <w:bookmarkEnd w:id="35"/>
    <w:bookmarkEnd w:id="36"/>
    <w:p>
      <w:pPr>
        <w:rPr>
          <w:rFonts w:hint="eastAsia" w:ascii="宋体" w:hAnsi="宋体" w:eastAsia="宋体" w:cs="宋体"/>
          <w:b/>
          <w:bCs/>
          <w:sz w:val="24"/>
          <w:lang w:val="zh-CN"/>
        </w:rPr>
      </w:pPr>
    </w:p>
    <w:bookmarkEnd w:id="17"/>
    <w:bookmarkEnd w:id="18"/>
    <w:bookmarkEnd w:id="19"/>
    <w:bookmarkEnd w:id="20"/>
    <w:bookmarkEnd w:id="21"/>
    <w:bookmarkEnd w:id="22"/>
    <w:bookmarkEnd w:id="23"/>
    <w:bookmarkEnd w:id="24"/>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0" w:name="_Toc184313295"/>
      <w:bookmarkEnd w:id="40"/>
      <w:bookmarkStart w:id="41" w:name="_Toc184313268"/>
      <w:bookmarkEnd w:id="41"/>
      <w:bookmarkStart w:id="42" w:name="_Toc184314445"/>
      <w:bookmarkEnd w:id="42"/>
      <w:bookmarkStart w:id="43" w:name="_Toc184313305"/>
      <w:bookmarkEnd w:id="43"/>
      <w:bookmarkStart w:id="44" w:name="_Toc184313252"/>
      <w:bookmarkEnd w:id="44"/>
      <w:bookmarkStart w:id="45" w:name="_Toc184313298"/>
      <w:bookmarkEnd w:id="45"/>
      <w:bookmarkStart w:id="46" w:name="_Toc184310294"/>
      <w:bookmarkEnd w:id="46"/>
      <w:bookmarkStart w:id="47" w:name="_Toc184312091"/>
      <w:bookmarkEnd w:id="47"/>
      <w:bookmarkStart w:id="48" w:name="_Toc184312112"/>
      <w:bookmarkEnd w:id="48"/>
      <w:bookmarkStart w:id="49" w:name="_Toc184308075"/>
      <w:bookmarkEnd w:id="49"/>
      <w:bookmarkStart w:id="50" w:name="_Toc184310340"/>
      <w:bookmarkEnd w:id="50"/>
      <w:bookmarkStart w:id="51" w:name="_Toc184314479"/>
      <w:bookmarkEnd w:id="51"/>
      <w:bookmarkStart w:id="52" w:name="_Toc184312082"/>
      <w:bookmarkEnd w:id="52"/>
      <w:bookmarkStart w:id="53" w:name="_Toc184314425"/>
      <w:bookmarkEnd w:id="53"/>
      <w:bookmarkStart w:id="54" w:name="_Toc184310274"/>
      <w:bookmarkEnd w:id="54"/>
      <w:bookmarkStart w:id="55" w:name="_Toc184314465"/>
      <w:bookmarkEnd w:id="55"/>
      <w:bookmarkStart w:id="56" w:name="_Toc184312117"/>
      <w:bookmarkEnd w:id="56"/>
      <w:bookmarkStart w:id="57" w:name="_Toc184312074"/>
      <w:bookmarkEnd w:id="57"/>
      <w:bookmarkStart w:id="58" w:name="_Toc184310320"/>
      <w:bookmarkEnd w:id="58"/>
      <w:bookmarkStart w:id="59" w:name="_Toc184308072"/>
      <w:bookmarkEnd w:id="59"/>
      <w:bookmarkStart w:id="60" w:name="_Toc184308077"/>
      <w:bookmarkEnd w:id="60"/>
      <w:bookmarkStart w:id="61" w:name="_Toc184308106"/>
      <w:bookmarkEnd w:id="61"/>
      <w:bookmarkStart w:id="62" w:name="_Toc184308043"/>
      <w:bookmarkEnd w:id="62"/>
      <w:bookmarkStart w:id="63" w:name="_Toc184314434"/>
      <w:bookmarkEnd w:id="63"/>
      <w:bookmarkStart w:id="64" w:name="_Toc184314463"/>
      <w:bookmarkEnd w:id="64"/>
      <w:bookmarkStart w:id="65" w:name="_Toc184313285"/>
      <w:bookmarkEnd w:id="65"/>
      <w:bookmarkStart w:id="66" w:name="_Toc184310331"/>
      <w:bookmarkEnd w:id="66"/>
      <w:bookmarkStart w:id="67" w:name="_Toc184312130"/>
      <w:bookmarkEnd w:id="67"/>
      <w:bookmarkStart w:id="68" w:name="_Toc184310276"/>
      <w:bookmarkEnd w:id="68"/>
      <w:bookmarkStart w:id="69" w:name="_Toc184312081"/>
      <w:bookmarkEnd w:id="69"/>
      <w:bookmarkStart w:id="70" w:name="_Toc184308101"/>
      <w:bookmarkEnd w:id="70"/>
      <w:bookmarkStart w:id="71" w:name="_Toc184310324"/>
      <w:bookmarkEnd w:id="71"/>
      <w:bookmarkStart w:id="72" w:name="_Toc184312108"/>
      <w:bookmarkEnd w:id="72"/>
      <w:bookmarkStart w:id="73" w:name="_Toc184314470"/>
      <w:bookmarkEnd w:id="73"/>
      <w:bookmarkStart w:id="74" w:name="_Toc184313297"/>
      <w:bookmarkEnd w:id="74"/>
      <w:bookmarkStart w:id="75" w:name="_Toc184314478"/>
      <w:bookmarkEnd w:id="75"/>
      <w:bookmarkStart w:id="76" w:name="_Toc184312123"/>
      <w:bookmarkEnd w:id="76"/>
      <w:bookmarkStart w:id="77" w:name="_Toc184308057"/>
      <w:bookmarkEnd w:id="77"/>
      <w:bookmarkStart w:id="78" w:name="_Toc184312134"/>
      <w:bookmarkEnd w:id="78"/>
      <w:bookmarkStart w:id="79" w:name="_Toc184313293"/>
      <w:bookmarkEnd w:id="79"/>
      <w:bookmarkStart w:id="80" w:name="_Toc184308073"/>
      <w:bookmarkEnd w:id="80"/>
      <w:bookmarkStart w:id="81" w:name="_Toc184308084"/>
      <w:bookmarkEnd w:id="81"/>
      <w:bookmarkStart w:id="82" w:name="_Toc184312106"/>
      <w:bookmarkEnd w:id="82"/>
      <w:bookmarkStart w:id="83" w:name="_Toc184308107"/>
      <w:bookmarkEnd w:id="83"/>
      <w:bookmarkStart w:id="84" w:name="_Toc184308060"/>
      <w:bookmarkEnd w:id="84"/>
      <w:bookmarkStart w:id="85" w:name="_Toc184313289"/>
      <w:bookmarkEnd w:id="85"/>
      <w:bookmarkStart w:id="86" w:name="_Toc184308056"/>
      <w:bookmarkEnd w:id="86"/>
      <w:bookmarkStart w:id="87" w:name="_Toc184314481"/>
      <w:bookmarkEnd w:id="87"/>
      <w:bookmarkStart w:id="88" w:name="_Toc184314451"/>
      <w:bookmarkEnd w:id="88"/>
      <w:bookmarkStart w:id="89" w:name="_Toc184313286"/>
      <w:bookmarkEnd w:id="89"/>
      <w:bookmarkStart w:id="90" w:name="_Toc184313271"/>
      <w:bookmarkEnd w:id="90"/>
      <w:bookmarkStart w:id="91" w:name="_Toc184313304"/>
      <w:bookmarkEnd w:id="91"/>
      <w:bookmarkStart w:id="92" w:name="_Toc184308036"/>
      <w:bookmarkEnd w:id="92"/>
      <w:bookmarkStart w:id="93" w:name="_Toc184312111"/>
      <w:bookmarkEnd w:id="93"/>
      <w:bookmarkStart w:id="94" w:name="_Toc184312113"/>
      <w:bookmarkEnd w:id="94"/>
      <w:bookmarkStart w:id="95" w:name="_Toc184312086"/>
      <w:bookmarkEnd w:id="95"/>
      <w:bookmarkStart w:id="96" w:name="_Toc184312069"/>
      <w:bookmarkEnd w:id="96"/>
      <w:bookmarkStart w:id="97" w:name="_Toc184310298"/>
      <w:bookmarkEnd w:id="97"/>
      <w:bookmarkStart w:id="98" w:name="_Toc184312096"/>
      <w:bookmarkEnd w:id="98"/>
      <w:bookmarkStart w:id="99" w:name="_Toc184314438"/>
      <w:bookmarkEnd w:id="99"/>
      <w:bookmarkStart w:id="100" w:name="_Toc184312067"/>
      <w:bookmarkEnd w:id="100"/>
      <w:bookmarkStart w:id="101" w:name="_Toc184313258"/>
      <w:bookmarkEnd w:id="101"/>
      <w:bookmarkStart w:id="102" w:name="_Toc184314421"/>
      <w:bookmarkEnd w:id="102"/>
      <w:bookmarkStart w:id="103" w:name="_Toc184308054"/>
      <w:bookmarkEnd w:id="103"/>
      <w:bookmarkStart w:id="104" w:name="_Toc184310290"/>
      <w:bookmarkEnd w:id="104"/>
      <w:bookmarkStart w:id="105" w:name="_Toc184313255"/>
      <w:bookmarkEnd w:id="105"/>
      <w:bookmarkStart w:id="106" w:name="_Toc184312127"/>
      <w:bookmarkEnd w:id="106"/>
      <w:bookmarkStart w:id="107" w:name="_Toc184308097"/>
      <w:bookmarkEnd w:id="107"/>
      <w:bookmarkStart w:id="108" w:name="_Toc184314426"/>
      <w:bookmarkEnd w:id="108"/>
      <w:bookmarkStart w:id="109" w:name="_Toc184308100"/>
      <w:bookmarkEnd w:id="109"/>
      <w:bookmarkStart w:id="110" w:name="_Toc184308081"/>
      <w:bookmarkEnd w:id="110"/>
      <w:bookmarkStart w:id="111" w:name="_Toc184310310"/>
      <w:bookmarkEnd w:id="111"/>
      <w:bookmarkStart w:id="112" w:name="_Toc184314429"/>
      <w:bookmarkEnd w:id="112"/>
      <w:bookmarkStart w:id="113" w:name="_Toc184308067"/>
      <w:bookmarkEnd w:id="113"/>
      <w:bookmarkStart w:id="114" w:name="_Toc184308090"/>
      <w:bookmarkEnd w:id="114"/>
      <w:bookmarkStart w:id="115" w:name="_Toc184308099"/>
      <w:bookmarkEnd w:id="115"/>
      <w:bookmarkStart w:id="116" w:name="_Toc184312072"/>
      <w:bookmarkEnd w:id="116"/>
      <w:bookmarkStart w:id="117" w:name="_Toc184314469"/>
      <w:bookmarkEnd w:id="117"/>
      <w:bookmarkStart w:id="118" w:name="_Toc184312110"/>
      <w:bookmarkEnd w:id="118"/>
      <w:bookmarkStart w:id="119" w:name="_Toc184314428"/>
      <w:bookmarkEnd w:id="119"/>
      <w:bookmarkStart w:id="120" w:name="_Toc184308042"/>
      <w:bookmarkEnd w:id="120"/>
      <w:bookmarkStart w:id="121" w:name="_Toc184312076"/>
      <w:bookmarkEnd w:id="121"/>
      <w:bookmarkStart w:id="122" w:name="_Toc184310342"/>
      <w:bookmarkEnd w:id="122"/>
      <w:bookmarkStart w:id="123" w:name="_Toc184313294"/>
      <w:bookmarkEnd w:id="123"/>
      <w:bookmarkStart w:id="124" w:name="_Toc184312080"/>
      <w:bookmarkEnd w:id="124"/>
      <w:bookmarkStart w:id="125" w:name="_Toc184314414"/>
      <w:bookmarkEnd w:id="125"/>
      <w:bookmarkStart w:id="126" w:name="_Toc184310334"/>
      <w:bookmarkEnd w:id="126"/>
      <w:bookmarkStart w:id="127" w:name="_Toc184313260"/>
      <w:bookmarkEnd w:id="127"/>
      <w:bookmarkStart w:id="128" w:name="_Toc184313247"/>
      <w:bookmarkEnd w:id="128"/>
      <w:bookmarkStart w:id="129" w:name="_Toc184312087"/>
      <w:bookmarkEnd w:id="129"/>
      <w:bookmarkStart w:id="130" w:name="_Toc184310278"/>
      <w:bookmarkEnd w:id="130"/>
      <w:bookmarkStart w:id="131" w:name="_Toc184314472"/>
      <w:bookmarkEnd w:id="131"/>
      <w:bookmarkStart w:id="132" w:name="_Toc184314464"/>
      <w:bookmarkEnd w:id="132"/>
      <w:bookmarkStart w:id="133" w:name="_Toc184313254"/>
      <w:bookmarkEnd w:id="133"/>
      <w:bookmarkStart w:id="134" w:name="_Toc184313290"/>
      <w:bookmarkEnd w:id="134"/>
      <w:bookmarkStart w:id="135" w:name="_Toc184312118"/>
      <w:bookmarkEnd w:id="135"/>
      <w:bookmarkStart w:id="136" w:name="_Toc184312070"/>
      <w:bookmarkEnd w:id="136"/>
      <w:bookmarkStart w:id="137" w:name="_Toc184314422"/>
      <w:bookmarkEnd w:id="137"/>
      <w:bookmarkStart w:id="138" w:name="_Toc184308108"/>
      <w:bookmarkEnd w:id="138"/>
      <w:bookmarkStart w:id="139" w:name="_Toc184310316"/>
      <w:bookmarkEnd w:id="139"/>
      <w:bookmarkStart w:id="140" w:name="_Toc184312116"/>
      <w:bookmarkEnd w:id="140"/>
      <w:bookmarkStart w:id="141" w:name="_Toc184310337"/>
      <w:bookmarkEnd w:id="141"/>
      <w:bookmarkStart w:id="142" w:name="_Toc184308096"/>
      <w:bookmarkEnd w:id="142"/>
      <w:bookmarkStart w:id="143" w:name="_Toc184312131"/>
      <w:bookmarkEnd w:id="143"/>
      <w:bookmarkStart w:id="144" w:name="_Toc184312133"/>
      <w:bookmarkEnd w:id="144"/>
      <w:bookmarkStart w:id="145" w:name="_Toc184313283"/>
      <w:bookmarkEnd w:id="145"/>
      <w:bookmarkStart w:id="146" w:name="_Toc184314411"/>
      <w:bookmarkEnd w:id="146"/>
      <w:bookmarkStart w:id="147" w:name="_Toc184314462"/>
      <w:bookmarkEnd w:id="147"/>
      <w:bookmarkStart w:id="148" w:name="_Toc184308093"/>
      <w:bookmarkEnd w:id="148"/>
      <w:bookmarkStart w:id="149" w:name="_Toc184314466"/>
      <w:bookmarkEnd w:id="149"/>
      <w:bookmarkStart w:id="150" w:name="_Toc184310330"/>
      <w:bookmarkEnd w:id="150"/>
      <w:bookmarkStart w:id="151" w:name="_Toc184314433"/>
      <w:bookmarkEnd w:id="151"/>
      <w:bookmarkStart w:id="152" w:name="_Toc184310341"/>
      <w:bookmarkEnd w:id="152"/>
      <w:bookmarkStart w:id="153" w:name="_Toc184314418"/>
      <w:bookmarkEnd w:id="153"/>
      <w:bookmarkStart w:id="154" w:name="_Toc184308069"/>
      <w:bookmarkEnd w:id="154"/>
      <w:bookmarkStart w:id="155" w:name="_Toc184313284"/>
      <w:bookmarkEnd w:id="155"/>
      <w:bookmarkStart w:id="156" w:name="_Toc184313243"/>
      <w:bookmarkEnd w:id="156"/>
      <w:bookmarkStart w:id="157" w:name="_Toc184310284"/>
      <w:bookmarkEnd w:id="157"/>
      <w:bookmarkStart w:id="158" w:name="_Toc184310313"/>
      <w:bookmarkEnd w:id="158"/>
      <w:bookmarkStart w:id="159" w:name="_Toc184314447"/>
      <w:bookmarkEnd w:id="159"/>
      <w:bookmarkStart w:id="160" w:name="_Toc184313279"/>
      <w:bookmarkEnd w:id="160"/>
      <w:bookmarkStart w:id="161" w:name="_Toc184312124"/>
      <w:bookmarkEnd w:id="161"/>
      <w:bookmarkStart w:id="162" w:name="_Toc184312103"/>
      <w:bookmarkEnd w:id="162"/>
      <w:bookmarkStart w:id="163" w:name="_Toc184314413"/>
      <w:bookmarkEnd w:id="163"/>
      <w:bookmarkStart w:id="164" w:name="_Toc184308091"/>
      <w:bookmarkEnd w:id="164"/>
      <w:bookmarkStart w:id="165" w:name="_Toc184313259"/>
      <w:bookmarkEnd w:id="165"/>
      <w:bookmarkStart w:id="166" w:name="_Toc184313262"/>
      <w:bookmarkEnd w:id="166"/>
      <w:bookmarkStart w:id="167" w:name="_Toc184313282"/>
      <w:bookmarkEnd w:id="167"/>
      <w:bookmarkStart w:id="168" w:name="_Toc184313277"/>
      <w:bookmarkEnd w:id="168"/>
      <w:bookmarkStart w:id="169" w:name="_Toc184314441"/>
      <w:bookmarkEnd w:id="169"/>
      <w:bookmarkStart w:id="170" w:name="_Toc184314459"/>
      <w:bookmarkEnd w:id="170"/>
      <w:bookmarkStart w:id="171" w:name="_Toc184314415"/>
      <w:bookmarkEnd w:id="171"/>
      <w:bookmarkStart w:id="172" w:name="_Toc184310283"/>
      <w:bookmarkEnd w:id="172"/>
      <w:bookmarkStart w:id="173" w:name="_Toc184308085"/>
      <w:bookmarkEnd w:id="173"/>
      <w:bookmarkStart w:id="174" w:name="_Toc184313306"/>
      <w:bookmarkEnd w:id="174"/>
      <w:bookmarkStart w:id="175" w:name="_Toc184312100"/>
      <w:bookmarkEnd w:id="175"/>
      <w:bookmarkStart w:id="176" w:name="_Toc184313302"/>
      <w:bookmarkEnd w:id="176"/>
      <w:bookmarkStart w:id="177" w:name="_Toc184308049"/>
      <w:bookmarkEnd w:id="177"/>
      <w:bookmarkStart w:id="178" w:name="_Toc184310302"/>
      <w:bookmarkEnd w:id="178"/>
      <w:bookmarkStart w:id="179" w:name="_Toc184312101"/>
      <w:bookmarkEnd w:id="179"/>
      <w:bookmarkStart w:id="180" w:name="_Toc184308074"/>
      <w:bookmarkEnd w:id="180"/>
      <w:bookmarkStart w:id="181" w:name="_Toc184310323"/>
      <w:bookmarkEnd w:id="181"/>
      <w:bookmarkStart w:id="182" w:name="_Toc184312073"/>
      <w:bookmarkEnd w:id="182"/>
      <w:bookmarkStart w:id="183" w:name="_Toc184310285"/>
      <w:bookmarkEnd w:id="183"/>
      <w:bookmarkStart w:id="184" w:name="_Toc184313281"/>
      <w:bookmarkEnd w:id="184"/>
      <w:bookmarkStart w:id="185" w:name="_Toc184310299"/>
      <w:bookmarkEnd w:id="185"/>
      <w:bookmarkStart w:id="186" w:name="_Toc184308071"/>
      <w:bookmarkEnd w:id="186"/>
      <w:bookmarkStart w:id="187" w:name="_Toc184313296"/>
      <w:bookmarkEnd w:id="187"/>
      <w:bookmarkStart w:id="188" w:name="_Toc184310296"/>
      <w:bookmarkEnd w:id="188"/>
      <w:bookmarkStart w:id="189" w:name="_Toc184310282"/>
      <w:bookmarkEnd w:id="189"/>
      <w:bookmarkStart w:id="190" w:name="_Toc184314410"/>
      <w:bookmarkEnd w:id="190"/>
      <w:bookmarkStart w:id="191" w:name="_Toc184312102"/>
      <w:bookmarkEnd w:id="191"/>
      <w:bookmarkStart w:id="192" w:name="_Toc184308059"/>
      <w:bookmarkEnd w:id="192"/>
      <w:bookmarkStart w:id="193" w:name="_Toc184310339"/>
      <w:bookmarkEnd w:id="193"/>
      <w:bookmarkStart w:id="194" w:name="_Toc184308061"/>
      <w:bookmarkEnd w:id="194"/>
      <w:bookmarkStart w:id="195" w:name="_Toc184310319"/>
      <w:bookmarkEnd w:id="195"/>
      <w:bookmarkStart w:id="196" w:name="_Toc184308080"/>
      <w:bookmarkEnd w:id="196"/>
      <w:bookmarkStart w:id="197" w:name="_Toc184313249"/>
      <w:bookmarkEnd w:id="197"/>
      <w:bookmarkStart w:id="198" w:name="_Toc184308038"/>
      <w:bookmarkEnd w:id="198"/>
      <w:bookmarkStart w:id="199" w:name="_Toc184310332"/>
      <w:bookmarkEnd w:id="199"/>
      <w:bookmarkStart w:id="200" w:name="_Toc184310291"/>
      <w:bookmarkEnd w:id="200"/>
      <w:bookmarkStart w:id="201" w:name="_Toc184313245"/>
      <w:bookmarkEnd w:id="201"/>
      <w:bookmarkStart w:id="202" w:name="_Toc184313267"/>
      <w:bookmarkEnd w:id="202"/>
      <w:bookmarkStart w:id="203" w:name="_Toc184312094"/>
      <w:bookmarkEnd w:id="203"/>
      <w:bookmarkStart w:id="204" w:name="_Toc184314424"/>
      <w:bookmarkEnd w:id="204"/>
      <w:bookmarkStart w:id="205" w:name="_Toc184313270"/>
      <w:bookmarkEnd w:id="205"/>
      <w:bookmarkStart w:id="206" w:name="_Toc184312105"/>
      <w:bookmarkEnd w:id="206"/>
      <w:bookmarkStart w:id="207" w:name="_Toc184308070"/>
      <w:bookmarkEnd w:id="207"/>
      <w:bookmarkStart w:id="208" w:name="_Toc184314412"/>
      <w:bookmarkEnd w:id="208"/>
      <w:bookmarkStart w:id="209" w:name="_Toc184308052"/>
      <w:bookmarkEnd w:id="209"/>
      <w:bookmarkStart w:id="210" w:name="_Toc184312109"/>
      <w:bookmarkEnd w:id="210"/>
      <w:bookmarkStart w:id="211" w:name="_Toc184310281"/>
      <w:bookmarkEnd w:id="211"/>
      <w:bookmarkStart w:id="212" w:name="_Toc184313303"/>
      <w:bookmarkEnd w:id="212"/>
      <w:bookmarkStart w:id="213" w:name="_Toc184314461"/>
      <w:bookmarkEnd w:id="213"/>
      <w:bookmarkStart w:id="214" w:name="_Toc184314457"/>
      <w:bookmarkEnd w:id="214"/>
      <w:bookmarkStart w:id="215" w:name="_Toc184314419"/>
      <w:bookmarkEnd w:id="215"/>
      <w:bookmarkStart w:id="216" w:name="_Toc184314480"/>
      <w:bookmarkEnd w:id="216"/>
      <w:bookmarkStart w:id="217" w:name="_Toc184310328"/>
      <w:bookmarkEnd w:id="217"/>
      <w:bookmarkStart w:id="218" w:name="_Toc184310303"/>
      <w:bookmarkEnd w:id="218"/>
      <w:bookmarkStart w:id="219" w:name="_Toc184314477"/>
      <w:bookmarkEnd w:id="219"/>
      <w:bookmarkStart w:id="220" w:name="_Toc184314468"/>
      <w:bookmarkEnd w:id="220"/>
      <w:bookmarkStart w:id="221" w:name="_Toc184310304"/>
      <w:bookmarkEnd w:id="221"/>
      <w:bookmarkStart w:id="222" w:name="_Toc184312107"/>
      <w:bookmarkEnd w:id="222"/>
      <w:bookmarkStart w:id="223" w:name="_Toc184308050"/>
      <w:bookmarkEnd w:id="223"/>
      <w:bookmarkStart w:id="224" w:name="_Toc184312132"/>
      <w:bookmarkEnd w:id="224"/>
      <w:bookmarkStart w:id="225" w:name="_Toc184310335"/>
      <w:bookmarkEnd w:id="225"/>
      <w:bookmarkStart w:id="226" w:name="_Toc184310343"/>
      <w:bookmarkEnd w:id="226"/>
      <w:bookmarkStart w:id="227" w:name="_Toc184313307"/>
      <w:bookmarkEnd w:id="227"/>
      <w:bookmarkStart w:id="228" w:name="_Toc184314446"/>
      <w:bookmarkEnd w:id="228"/>
      <w:bookmarkStart w:id="229" w:name="_Toc184308039"/>
      <w:bookmarkEnd w:id="229"/>
      <w:bookmarkStart w:id="230" w:name="_Toc184308083"/>
      <w:bookmarkEnd w:id="230"/>
      <w:bookmarkStart w:id="231" w:name="_Toc184313288"/>
      <w:bookmarkEnd w:id="231"/>
      <w:bookmarkStart w:id="232" w:name="_Toc184308076"/>
      <w:bookmarkEnd w:id="232"/>
      <w:bookmarkStart w:id="233" w:name="_Toc184308082"/>
      <w:bookmarkEnd w:id="233"/>
      <w:bookmarkStart w:id="234" w:name="_Toc184310312"/>
      <w:bookmarkEnd w:id="234"/>
      <w:bookmarkStart w:id="235" w:name="_Toc184310273"/>
      <w:bookmarkEnd w:id="235"/>
      <w:bookmarkStart w:id="236" w:name="_Toc184308041"/>
      <w:bookmarkEnd w:id="236"/>
      <w:bookmarkStart w:id="237" w:name="_Toc184312083"/>
      <w:bookmarkEnd w:id="237"/>
      <w:bookmarkStart w:id="238" w:name="_Toc184310325"/>
      <w:bookmarkEnd w:id="238"/>
      <w:bookmarkStart w:id="239" w:name="_Toc184308065"/>
      <w:bookmarkEnd w:id="239"/>
      <w:bookmarkStart w:id="240" w:name="_Toc184313265"/>
      <w:bookmarkEnd w:id="240"/>
      <w:bookmarkStart w:id="241" w:name="_Toc184308055"/>
      <w:bookmarkEnd w:id="241"/>
      <w:bookmarkStart w:id="242" w:name="_Toc184310300"/>
      <w:bookmarkEnd w:id="242"/>
      <w:bookmarkStart w:id="243" w:name="_Toc184314454"/>
      <w:bookmarkEnd w:id="243"/>
      <w:bookmarkStart w:id="244" w:name="_Toc184310305"/>
      <w:bookmarkEnd w:id="244"/>
      <w:bookmarkStart w:id="245" w:name="_Toc184312119"/>
      <w:bookmarkEnd w:id="245"/>
      <w:bookmarkStart w:id="246" w:name="_Toc184312097"/>
      <w:bookmarkEnd w:id="246"/>
      <w:bookmarkStart w:id="247" w:name="_Toc184312137"/>
      <w:bookmarkEnd w:id="247"/>
      <w:bookmarkStart w:id="248" w:name="_Toc184312095"/>
      <w:bookmarkEnd w:id="248"/>
      <w:bookmarkStart w:id="249" w:name="_Toc184312126"/>
      <w:bookmarkEnd w:id="249"/>
      <w:bookmarkStart w:id="250" w:name="_Toc184310322"/>
      <w:bookmarkEnd w:id="250"/>
      <w:bookmarkStart w:id="251" w:name="_Toc184314456"/>
      <w:bookmarkEnd w:id="251"/>
      <w:bookmarkStart w:id="252" w:name="_Toc184308048"/>
      <w:bookmarkEnd w:id="252"/>
      <w:bookmarkStart w:id="253" w:name="_Toc184314437"/>
      <w:bookmarkEnd w:id="253"/>
      <w:bookmarkStart w:id="254" w:name="_Toc184308103"/>
      <w:bookmarkEnd w:id="254"/>
      <w:bookmarkStart w:id="255" w:name="_Toc184313300"/>
      <w:bookmarkEnd w:id="255"/>
      <w:bookmarkStart w:id="256" w:name="_Toc184312090"/>
      <w:bookmarkEnd w:id="256"/>
      <w:bookmarkStart w:id="257" w:name="_Toc184314473"/>
      <w:bookmarkEnd w:id="257"/>
      <w:bookmarkStart w:id="258" w:name="_Toc184310288"/>
      <w:bookmarkEnd w:id="258"/>
      <w:bookmarkStart w:id="259" w:name="_Toc184314417"/>
      <w:bookmarkEnd w:id="259"/>
      <w:bookmarkStart w:id="260" w:name="_Toc184310344"/>
      <w:bookmarkEnd w:id="260"/>
      <w:bookmarkStart w:id="261" w:name="_Toc184312068"/>
      <w:bookmarkEnd w:id="261"/>
      <w:bookmarkStart w:id="262" w:name="_Toc184312114"/>
      <w:bookmarkEnd w:id="262"/>
      <w:bookmarkStart w:id="263" w:name="_Toc184313257"/>
      <w:bookmarkEnd w:id="263"/>
      <w:bookmarkStart w:id="264" w:name="_Toc184310326"/>
      <w:bookmarkEnd w:id="264"/>
      <w:bookmarkStart w:id="265" w:name="_Toc184313240"/>
      <w:bookmarkEnd w:id="265"/>
      <w:bookmarkStart w:id="266" w:name="_Toc184308068"/>
      <w:bookmarkEnd w:id="266"/>
      <w:bookmarkStart w:id="267" w:name="_Toc184313275"/>
      <w:bookmarkEnd w:id="267"/>
      <w:bookmarkStart w:id="268" w:name="_Toc184313246"/>
      <w:bookmarkEnd w:id="268"/>
      <w:bookmarkStart w:id="269" w:name="_Toc184313244"/>
      <w:bookmarkEnd w:id="269"/>
      <w:bookmarkStart w:id="270" w:name="_Toc184310277"/>
      <w:bookmarkEnd w:id="270"/>
      <w:bookmarkStart w:id="271" w:name="_Toc184312125"/>
      <w:bookmarkEnd w:id="271"/>
      <w:bookmarkStart w:id="272" w:name="_Toc184313287"/>
      <w:bookmarkEnd w:id="272"/>
      <w:bookmarkStart w:id="273" w:name="_Toc184312120"/>
      <w:bookmarkEnd w:id="273"/>
      <w:bookmarkStart w:id="274" w:name="_Toc184313241"/>
      <w:bookmarkEnd w:id="274"/>
      <w:bookmarkStart w:id="275" w:name="_Toc184313256"/>
      <w:bookmarkEnd w:id="275"/>
      <w:bookmarkStart w:id="276" w:name="_Toc184313272"/>
      <w:bookmarkEnd w:id="276"/>
      <w:bookmarkStart w:id="277" w:name="_Toc184313266"/>
      <w:bookmarkEnd w:id="277"/>
      <w:bookmarkStart w:id="278" w:name="_Toc184310279"/>
      <w:bookmarkEnd w:id="278"/>
      <w:bookmarkStart w:id="279" w:name="_Toc184314416"/>
      <w:bookmarkEnd w:id="279"/>
      <w:bookmarkStart w:id="280" w:name="_Toc184312121"/>
      <w:bookmarkEnd w:id="280"/>
      <w:bookmarkStart w:id="281" w:name="_Toc184308079"/>
      <w:bookmarkEnd w:id="281"/>
      <w:bookmarkStart w:id="282" w:name="_Toc184313310"/>
      <w:bookmarkEnd w:id="282"/>
      <w:bookmarkStart w:id="283" w:name="_Toc184312093"/>
      <w:bookmarkEnd w:id="283"/>
      <w:bookmarkStart w:id="284" w:name="_Toc184312128"/>
      <w:bookmarkEnd w:id="284"/>
      <w:bookmarkStart w:id="285" w:name="_Toc184314423"/>
      <w:bookmarkEnd w:id="285"/>
      <w:bookmarkStart w:id="286" w:name="_Toc184310289"/>
      <w:bookmarkEnd w:id="286"/>
      <w:bookmarkStart w:id="287" w:name="_Toc184314440"/>
      <w:bookmarkEnd w:id="287"/>
      <w:bookmarkStart w:id="288" w:name="_Toc184310336"/>
      <w:bookmarkEnd w:id="288"/>
      <w:bookmarkStart w:id="289" w:name="_Toc184313242"/>
      <w:bookmarkEnd w:id="289"/>
      <w:bookmarkStart w:id="290" w:name="_Toc184313238"/>
      <w:bookmarkEnd w:id="290"/>
      <w:bookmarkStart w:id="291" w:name="_Toc184310327"/>
      <w:bookmarkEnd w:id="291"/>
      <w:bookmarkStart w:id="292" w:name="_Toc184310333"/>
      <w:bookmarkEnd w:id="292"/>
      <w:bookmarkStart w:id="293" w:name="_Toc184313251"/>
      <w:bookmarkEnd w:id="293"/>
      <w:bookmarkStart w:id="294" w:name="_Toc184314448"/>
      <w:bookmarkEnd w:id="294"/>
      <w:bookmarkStart w:id="295" w:name="_Toc184314444"/>
      <w:bookmarkEnd w:id="295"/>
      <w:bookmarkStart w:id="296" w:name="_Toc184312079"/>
      <w:bookmarkEnd w:id="296"/>
      <w:bookmarkStart w:id="297" w:name="_Toc184308089"/>
      <w:bookmarkEnd w:id="297"/>
      <w:bookmarkStart w:id="298" w:name="_Toc184314450"/>
      <w:bookmarkEnd w:id="298"/>
      <w:bookmarkStart w:id="299" w:name="_Toc184314430"/>
      <w:bookmarkEnd w:id="299"/>
      <w:bookmarkStart w:id="300" w:name="_Toc184310280"/>
      <w:bookmarkEnd w:id="300"/>
      <w:bookmarkStart w:id="301" w:name="_Toc184314432"/>
      <w:bookmarkEnd w:id="301"/>
      <w:bookmarkStart w:id="302" w:name="_Toc184313274"/>
      <w:bookmarkEnd w:id="302"/>
      <w:bookmarkStart w:id="303" w:name="_Toc184314455"/>
      <w:bookmarkEnd w:id="303"/>
      <w:bookmarkStart w:id="304" w:name="_Toc184312098"/>
      <w:bookmarkEnd w:id="304"/>
      <w:bookmarkStart w:id="305" w:name="_Toc184314460"/>
      <w:bookmarkEnd w:id="305"/>
      <w:bookmarkStart w:id="306" w:name="_Toc184312099"/>
      <w:bookmarkEnd w:id="306"/>
      <w:bookmarkStart w:id="307" w:name="_Toc184314452"/>
      <w:bookmarkEnd w:id="307"/>
      <w:bookmarkStart w:id="308" w:name="_Toc184312092"/>
      <w:bookmarkEnd w:id="308"/>
      <w:bookmarkStart w:id="309" w:name="_Toc184310338"/>
      <w:bookmarkEnd w:id="309"/>
      <w:bookmarkStart w:id="310" w:name="_Toc184312122"/>
      <w:bookmarkEnd w:id="310"/>
      <w:bookmarkStart w:id="311" w:name="_Toc184308104"/>
      <w:bookmarkEnd w:id="311"/>
      <w:bookmarkStart w:id="312" w:name="_Toc184310295"/>
      <w:bookmarkEnd w:id="312"/>
      <w:bookmarkStart w:id="313" w:name="_Toc184313278"/>
      <w:bookmarkEnd w:id="313"/>
      <w:bookmarkStart w:id="314" w:name="_Toc184312129"/>
      <w:bookmarkEnd w:id="314"/>
      <w:bookmarkStart w:id="315" w:name="_Toc184308078"/>
      <w:bookmarkEnd w:id="315"/>
      <w:bookmarkStart w:id="316" w:name="_Toc184312077"/>
      <w:bookmarkEnd w:id="316"/>
      <w:bookmarkStart w:id="317" w:name="_Toc184313264"/>
      <w:bookmarkEnd w:id="317"/>
      <w:bookmarkStart w:id="318" w:name="_Toc184314471"/>
      <w:bookmarkEnd w:id="318"/>
      <w:bookmarkStart w:id="319" w:name="_Toc184310287"/>
      <w:bookmarkEnd w:id="319"/>
      <w:bookmarkStart w:id="320" w:name="_Toc184310311"/>
      <w:bookmarkEnd w:id="320"/>
      <w:bookmarkStart w:id="321" w:name="_Toc184314443"/>
      <w:bookmarkEnd w:id="321"/>
      <w:bookmarkStart w:id="322" w:name="_Toc184308037"/>
      <w:bookmarkEnd w:id="322"/>
      <w:bookmarkStart w:id="323" w:name="_Toc184312085"/>
      <w:bookmarkEnd w:id="323"/>
      <w:bookmarkStart w:id="324" w:name="_Toc184312089"/>
      <w:bookmarkEnd w:id="324"/>
      <w:bookmarkStart w:id="325" w:name="_Toc184314439"/>
      <w:bookmarkEnd w:id="325"/>
      <w:bookmarkStart w:id="326" w:name="_Toc184313292"/>
      <w:bookmarkEnd w:id="326"/>
      <w:bookmarkStart w:id="327" w:name="_Toc184312075"/>
      <w:bookmarkEnd w:id="327"/>
      <w:bookmarkStart w:id="328" w:name="_Toc184314482"/>
      <w:bookmarkEnd w:id="328"/>
      <w:bookmarkStart w:id="329" w:name="_Toc184308044"/>
      <w:bookmarkEnd w:id="329"/>
      <w:bookmarkStart w:id="330" w:name="_Toc184308095"/>
      <w:bookmarkEnd w:id="330"/>
      <w:bookmarkStart w:id="331" w:name="_Toc184313261"/>
      <w:bookmarkEnd w:id="331"/>
      <w:bookmarkStart w:id="332" w:name="_Toc184310308"/>
      <w:bookmarkEnd w:id="332"/>
      <w:bookmarkStart w:id="333" w:name="_Toc184314467"/>
      <w:bookmarkEnd w:id="333"/>
      <w:bookmarkStart w:id="334" w:name="_Toc184314449"/>
      <w:bookmarkEnd w:id="334"/>
      <w:bookmarkStart w:id="335" w:name="_Toc184312138"/>
      <w:bookmarkEnd w:id="335"/>
      <w:bookmarkStart w:id="336" w:name="_Toc184314436"/>
      <w:bookmarkEnd w:id="336"/>
      <w:bookmarkStart w:id="337" w:name="_Toc184312078"/>
      <w:bookmarkEnd w:id="337"/>
      <w:bookmarkStart w:id="338" w:name="_Toc184312071"/>
      <w:bookmarkEnd w:id="338"/>
      <w:bookmarkStart w:id="339" w:name="_Toc184313276"/>
      <w:bookmarkEnd w:id="339"/>
      <w:bookmarkStart w:id="340" w:name="_Toc184308094"/>
      <w:bookmarkEnd w:id="340"/>
      <w:bookmarkStart w:id="341" w:name="_Toc184313263"/>
      <w:bookmarkEnd w:id="341"/>
      <w:bookmarkStart w:id="342" w:name="_Toc184313269"/>
      <w:bookmarkEnd w:id="342"/>
      <w:bookmarkStart w:id="343" w:name="_Toc184313253"/>
      <w:bookmarkEnd w:id="343"/>
      <w:bookmarkStart w:id="344" w:name="_Toc184308062"/>
      <w:bookmarkEnd w:id="344"/>
      <w:bookmarkStart w:id="345" w:name="_Toc184310321"/>
      <w:bookmarkEnd w:id="345"/>
      <w:bookmarkStart w:id="346" w:name="_Toc184313301"/>
      <w:bookmarkEnd w:id="346"/>
      <w:bookmarkStart w:id="347" w:name="_Toc184308047"/>
      <w:bookmarkEnd w:id="347"/>
      <w:bookmarkStart w:id="348" w:name="_Toc184313309"/>
      <w:bookmarkEnd w:id="348"/>
      <w:bookmarkStart w:id="349" w:name="_Toc184314427"/>
      <w:bookmarkEnd w:id="349"/>
      <w:bookmarkStart w:id="350" w:name="_Toc184314475"/>
      <w:bookmarkEnd w:id="350"/>
      <w:bookmarkStart w:id="351" w:name="_Toc184310292"/>
      <w:bookmarkEnd w:id="351"/>
      <w:bookmarkStart w:id="352" w:name="_Toc184308098"/>
      <w:bookmarkEnd w:id="352"/>
      <w:bookmarkStart w:id="353" w:name="_Toc184314420"/>
      <w:bookmarkEnd w:id="353"/>
      <w:bookmarkStart w:id="354" w:name="_Toc184313248"/>
      <w:bookmarkEnd w:id="354"/>
      <w:bookmarkStart w:id="355" w:name="_Toc184310307"/>
      <w:bookmarkEnd w:id="355"/>
      <w:bookmarkStart w:id="356" w:name="_Toc184314442"/>
      <w:bookmarkEnd w:id="356"/>
      <w:bookmarkStart w:id="357" w:name="_Toc184308051"/>
      <w:bookmarkEnd w:id="357"/>
      <w:bookmarkStart w:id="358" w:name="_Toc184314474"/>
      <w:bookmarkEnd w:id="358"/>
      <w:bookmarkStart w:id="359" w:name="_Toc184314476"/>
      <w:bookmarkEnd w:id="359"/>
      <w:bookmarkStart w:id="360" w:name="_Toc184308053"/>
      <w:bookmarkEnd w:id="360"/>
      <w:bookmarkStart w:id="361" w:name="_Toc184310315"/>
      <w:bookmarkEnd w:id="361"/>
      <w:bookmarkStart w:id="362" w:name="_Toc184310297"/>
      <w:bookmarkEnd w:id="362"/>
      <w:bookmarkStart w:id="363" w:name="_Toc184313280"/>
      <w:bookmarkEnd w:id="363"/>
      <w:bookmarkStart w:id="364" w:name="_Toc184312088"/>
      <w:bookmarkEnd w:id="364"/>
      <w:bookmarkStart w:id="365" w:name="_Toc184310317"/>
      <w:bookmarkEnd w:id="365"/>
      <w:bookmarkStart w:id="366" w:name="_Toc184310329"/>
      <w:bookmarkEnd w:id="366"/>
      <w:bookmarkStart w:id="367" w:name="_Toc184312139"/>
      <w:bookmarkEnd w:id="367"/>
      <w:bookmarkStart w:id="368" w:name="_Toc184310293"/>
      <w:bookmarkEnd w:id="368"/>
      <w:bookmarkStart w:id="369" w:name="_Toc184308063"/>
      <w:bookmarkEnd w:id="369"/>
      <w:bookmarkStart w:id="370" w:name="_Toc184310272"/>
      <w:bookmarkEnd w:id="370"/>
      <w:bookmarkStart w:id="371" w:name="_Toc184308045"/>
      <w:bookmarkEnd w:id="371"/>
      <w:bookmarkStart w:id="372" w:name="_Toc184310309"/>
      <w:bookmarkEnd w:id="372"/>
      <w:bookmarkStart w:id="373" w:name="_Toc184313239"/>
      <w:bookmarkEnd w:id="373"/>
      <w:bookmarkStart w:id="374" w:name="_Toc184314431"/>
      <w:bookmarkEnd w:id="374"/>
      <w:bookmarkStart w:id="375" w:name="_Toc184312084"/>
      <w:bookmarkEnd w:id="375"/>
      <w:bookmarkStart w:id="376" w:name="_Toc184308102"/>
      <w:bookmarkEnd w:id="376"/>
      <w:bookmarkStart w:id="377" w:name="_Toc184308088"/>
      <w:bookmarkEnd w:id="377"/>
      <w:bookmarkStart w:id="378" w:name="_Toc184312135"/>
      <w:bookmarkEnd w:id="378"/>
      <w:bookmarkStart w:id="379" w:name="_Toc184308058"/>
      <w:bookmarkEnd w:id="379"/>
      <w:bookmarkStart w:id="380" w:name="_Toc184308040"/>
      <w:bookmarkEnd w:id="380"/>
      <w:bookmarkStart w:id="381" w:name="_Toc184313250"/>
      <w:bookmarkEnd w:id="381"/>
      <w:bookmarkStart w:id="382" w:name="_Toc184308092"/>
      <w:bookmarkEnd w:id="382"/>
      <w:bookmarkStart w:id="383" w:name="_Toc184310314"/>
      <w:bookmarkEnd w:id="383"/>
      <w:bookmarkStart w:id="384" w:name="_Toc184312104"/>
      <w:bookmarkEnd w:id="384"/>
      <w:bookmarkStart w:id="385" w:name="_Toc184310275"/>
      <w:bookmarkEnd w:id="385"/>
      <w:bookmarkStart w:id="386" w:name="_Toc184308066"/>
      <w:bookmarkEnd w:id="386"/>
      <w:bookmarkStart w:id="387" w:name="_Toc184312136"/>
      <w:bookmarkEnd w:id="387"/>
      <w:bookmarkStart w:id="388" w:name="_Toc184313291"/>
      <w:bookmarkEnd w:id="388"/>
      <w:bookmarkStart w:id="389" w:name="_Toc184308105"/>
      <w:bookmarkEnd w:id="389"/>
      <w:bookmarkStart w:id="390" w:name="_Toc184310306"/>
      <w:bookmarkEnd w:id="390"/>
      <w:bookmarkStart w:id="391" w:name="_Toc184310301"/>
      <w:bookmarkEnd w:id="391"/>
      <w:bookmarkStart w:id="392" w:name="_Toc184312115"/>
      <w:bookmarkEnd w:id="392"/>
      <w:bookmarkStart w:id="393" w:name="_Toc184313299"/>
      <w:bookmarkEnd w:id="393"/>
      <w:bookmarkStart w:id="394" w:name="_Toc184314435"/>
      <w:bookmarkEnd w:id="394"/>
      <w:bookmarkStart w:id="395" w:name="_Toc184308087"/>
      <w:bookmarkEnd w:id="395"/>
      <w:bookmarkStart w:id="396" w:name="_Toc184314458"/>
      <w:bookmarkEnd w:id="396"/>
      <w:bookmarkStart w:id="397" w:name="_Toc184308086"/>
      <w:bookmarkEnd w:id="397"/>
      <w:bookmarkStart w:id="398" w:name="_Toc184313308"/>
      <w:bookmarkEnd w:id="398"/>
      <w:bookmarkStart w:id="399" w:name="_Toc184313273"/>
      <w:bookmarkEnd w:id="399"/>
      <w:bookmarkStart w:id="400" w:name="_Toc184308064"/>
      <w:bookmarkEnd w:id="400"/>
      <w:bookmarkStart w:id="401" w:name="_Toc184310318"/>
      <w:bookmarkEnd w:id="401"/>
      <w:bookmarkStart w:id="402" w:name="_Toc184314453"/>
      <w:bookmarkEnd w:id="402"/>
      <w:bookmarkStart w:id="403" w:name="_Toc184308046"/>
      <w:bookmarkEnd w:id="403"/>
      <w:bookmarkStart w:id="404" w:name="_Toc184310286"/>
      <w:bookmarkEnd w:id="404"/>
      <w:r>
        <w:rPr>
          <w:rFonts w:hint="eastAsia" w:ascii="宋体" w:hAnsi="宋体" w:cs="宋体"/>
          <w:b/>
          <w:sz w:val="36"/>
          <w:szCs w:val="36"/>
        </w:rPr>
        <w:t>评标办法</w:t>
      </w:r>
    </w:p>
    <w:p>
      <w:pPr>
        <w:shd w:val="clear"/>
        <w:snapToGrid w:val="0"/>
        <w:spacing w:line="360" w:lineRule="auto"/>
        <w:ind w:firstLine="482" w:firstLineChars="200"/>
        <w:jc w:val="left"/>
        <w:rPr>
          <w:rFonts w:ascii="宋体" w:hAnsi="宋体" w:cs="宋体"/>
          <w:b/>
          <w:sz w:val="24"/>
        </w:rPr>
      </w:pPr>
      <w:r>
        <w:rPr>
          <w:rFonts w:hint="eastAsia" w:ascii="宋体" w:hAnsi="宋体" w:cs="宋体"/>
          <w:b/>
          <w:sz w:val="24"/>
        </w:rPr>
        <w:t>1、评标办法前附表</w:t>
      </w:r>
    </w:p>
    <w:p>
      <w:pPr>
        <w:shd w:val="clear"/>
        <w:snapToGrid w:val="0"/>
        <w:spacing w:line="360" w:lineRule="auto"/>
        <w:ind w:firstLine="482" w:firstLineChars="200"/>
        <w:jc w:val="left"/>
        <w:rPr>
          <w:rFonts w:ascii="宋体" w:hAnsi="宋体" w:cs="宋体"/>
          <w:sz w:val="24"/>
        </w:rPr>
      </w:pPr>
      <w:r>
        <w:rPr>
          <w:rFonts w:hint="eastAsia" w:ascii="宋体" w:hAnsi="宋体" w:cs="宋体"/>
          <w:b/>
          <w:sz w:val="24"/>
        </w:rPr>
        <w:t>本次评标采用综合评分法，总分为100分。</w:t>
      </w:r>
      <w:r>
        <w:rPr>
          <w:rFonts w:hint="eastAsia" w:ascii="宋体" w:hAnsi="宋体" w:cs="宋体"/>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shd w:val="clear"/>
        <w:snapToGrid w:val="0"/>
        <w:spacing w:line="360" w:lineRule="auto"/>
        <w:ind w:firstLine="480" w:firstLineChars="200"/>
        <w:jc w:val="left"/>
        <w:rPr>
          <w:rFonts w:ascii="宋体" w:hAnsi="宋体" w:cs="宋体"/>
          <w:sz w:val="24"/>
        </w:rPr>
      </w:pPr>
      <w:r>
        <w:rPr>
          <w:rFonts w:hint="eastAsia" w:ascii="宋体" w:hAnsi="宋体" w:cs="宋体"/>
          <w:sz w:val="24"/>
        </w:rPr>
        <w:t>各投标人的综合得分为：投标价格得分+商务技术得分。</w:t>
      </w:r>
    </w:p>
    <w:p>
      <w:pPr>
        <w:shd w:val="clear"/>
        <w:snapToGrid w:val="0"/>
        <w:spacing w:line="360" w:lineRule="auto"/>
        <w:ind w:firstLine="482" w:firstLineChars="200"/>
        <w:jc w:val="left"/>
        <w:rPr>
          <w:rFonts w:ascii="宋体" w:hAnsi="宋体" w:cs="宋体"/>
          <w:sz w:val="24"/>
        </w:rPr>
      </w:pPr>
      <w:r>
        <w:rPr>
          <w:rFonts w:hint="eastAsia" w:ascii="宋体" w:hAnsi="宋体" w:cs="宋体"/>
          <w:b/>
          <w:bCs/>
          <w:sz w:val="24"/>
        </w:rPr>
        <w:t>商务技术评分（</w:t>
      </w:r>
      <w:r>
        <w:rPr>
          <w:rFonts w:hint="eastAsia" w:ascii="宋体" w:hAnsi="宋体" w:cs="宋体"/>
          <w:b/>
          <w:bCs/>
          <w:sz w:val="24"/>
          <w:lang w:val="en-US" w:eastAsia="zh-CN"/>
        </w:rPr>
        <w:t>85</w:t>
      </w:r>
      <w:r>
        <w:rPr>
          <w:rFonts w:hint="eastAsia" w:ascii="宋体" w:hAnsi="宋体" w:cs="宋体"/>
          <w:b/>
          <w:bCs/>
          <w:sz w:val="24"/>
        </w:rPr>
        <w:t>分）评分细则：</w:t>
      </w:r>
    </w:p>
    <w:p>
      <w:pPr>
        <w:snapToGrid/>
        <w:spacing w:line="240" w:lineRule="auto"/>
        <w:jc w:val="left"/>
        <w:rPr>
          <w:rFonts w:hint="eastAsia"/>
        </w:rPr>
      </w:pPr>
    </w:p>
    <w:tbl>
      <w:tblPr>
        <w:tblStyle w:val="6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6224"/>
        <w:gridCol w:w="765"/>
        <w:gridCol w:w="10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6224"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5"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1</w:t>
            </w:r>
          </w:p>
        </w:tc>
        <w:tc>
          <w:tcPr>
            <w:tcW w:w="6224" w:type="dxa"/>
            <w:noWrap w:val="0"/>
            <w:vAlign w:val="center"/>
          </w:tcPr>
          <w:p>
            <w:pPr>
              <w:widowControl/>
              <w:snapToGrid w:val="0"/>
              <w:spacing w:line="360" w:lineRule="auto"/>
              <w:ind w:left="0" w:leftChars="0" w:firstLine="480" w:firstLineChars="0"/>
              <w:jc w:val="both"/>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具备质量管理体系认证、职业健康安全体系认证、环境管理体系认证，且在有效期内，每提供1个证书得1分，最高得3分。</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（提供证书复印件加盖公章）</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cs="宋体"/>
                <w:b w:val="0"/>
                <w:bCs w:val="0"/>
                <w:snapToGrid/>
                <w:color w:val="000000" w:themeColor="text1"/>
                <w:kern w:val="2"/>
                <w:sz w:val="24"/>
                <w:szCs w:val="24"/>
                <w:highlight w:val="none"/>
                <w:shd w:val="clear" w:color="auto" w:fill="auto"/>
                <w:lang w:val="en-US" w:eastAsia="zh-CN"/>
                <w14:textFill>
                  <w14:solidFill>
                    <w14:schemeClr w14:val="tx1"/>
                  </w14:solidFill>
                </w14:textFill>
              </w:rPr>
              <w:t>2</w:t>
            </w:r>
          </w:p>
        </w:tc>
        <w:tc>
          <w:tcPr>
            <w:tcW w:w="6224" w:type="dxa"/>
            <w:noWrap w:val="0"/>
            <w:vAlign w:val="center"/>
          </w:tcPr>
          <w:p>
            <w:pPr>
              <w:pStyle w:val="25"/>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投标人</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自2020</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 xml:space="preserve"> 年</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1月1日</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以来（时间以合同签订时间为准）承担过类似建设工程起重机械监督检测项目，每个业绩得</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0.5</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分，最多得</w:t>
            </w:r>
            <w:r>
              <w:rPr>
                <w:rFonts w:hint="eastAsia" w:cs="宋体"/>
                <w:snapToGrid/>
                <w:color w:val="000000" w:themeColor="text1"/>
                <w:kern w:val="2"/>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snapToGrid/>
                <w:color w:val="000000" w:themeColor="text1"/>
                <w:kern w:val="2"/>
                <w:sz w:val="24"/>
                <w:szCs w:val="24"/>
                <w:highlight w:val="none"/>
                <w:shd w:val="clear" w:color="auto" w:fill="auto"/>
                <w14:textFill>
                  <w14:solidFill>
                    <w14:schemeClr w14:val="tx1"/>
                  </w14:solidFill>
                </w14:textFill>
              </w:rPr>
              <w:t>分</w:t>
            </w:r>
            <w:r>
              <w:rPr>
                <w:rFonts w:hint="eastAsia" w:cs="宋体"/>
                <w:snapToGrid/>
                <w:color w:val="000000" w:themeColor="text1"/>
                <w:kern w:val="2"/>
                <w:sz w:val="24"/>
                <w:szCs w:val="24"/>
                <w:highlight w:val="none"/>
                <w:shd w:val="clear" w:color="auto" w:fill="auto"/>
                <w:lang w:eastAsia="zh-CN"/>
                <w14:textFill>
                  <w14:solidFill>
                    <w14:schemeClr w14:val="tx1"/>
                  </w14:solidFill>
                </w14:textFill>
              </w:rPr>
              <w:t>。</w:t>
            </w:r>
            <w:r>
              <w:rPr>
                <w:rFonts w:hint="eastAsia" w:cs="宋体"/>
                <w:b/>
                <w:bCs/>
                <w:snapToGrid/>
                <w:color w:val="000000" w:themeColor="text1"/>
                <w:kern w:val="2"/>
                <w:sz w:val="24"/>
                <w:szCs w:val="24"/>
                <w:highlight w:val="none"/>
                <w:shd w:val="clear" w:color="auto" w:fill="auto"/>
                <w:lang w:eastAsia="zh-CN"/>
                <w14:textFill>
                  <w14:solidFill>
                    <w14:schemeClr w14:val="tx1"/>
                  </w14:solidFill>
                </w14:textFill>
              </w:rPr>
              <w:t>（</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提供合同</w:t>
            </w:r>
            <w:r>
              <w:rPr>
                <w:rFonts w:hint="eastAsia" w:ascii="宋体" w:hAnsi="宋体" w:eastAsia="宋体" w:cs="宋体"/>
                <w:b/>
                <w:bCs/>
                <w:snapToGrid/>
                <w:color w:val="000000" w:themeColor="text1"/>
                <w:kern w:val="2"/>
                <w:sz w:val="24"/>
                <w:szCs w:val="24"/>
                <w:highlight w:val="none"/>
                <w:shd w:val="clear" w:color="auto" w:fill="auto"/>
                <w:lang w:eastAsia="zh-CN"/>
                <w14:textFill>
                  <w14:solidFill>
                    <w14:schemeClr w14:val="tx1"/>
                  </w14:solidFill>
                </w14:textFill>
              </w:rPr>
              <w:t>和</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中标通知书</w:t>
            </w:r>
            <w:r>
              <w:rPr>
                <w:rFonts w:hint="eastAsia" w:cs="宋体"/>
                <w:b/>
                <w:bCs/>
                <w:snapToGrid/>
                <w:color w:val="000000" w:themeColor="text1"/>
                <w:kern w:val="2"/>
                <w:sz w:val="24"/>
                <w:szCs w:val="24"/>
                <w:highlight w:val="none"/>
                <w:shd w:val="clear" w:color="auto" w:fill="auto"/>
                <w:lang w:val="en-US" w:eastAsia="zh-CN"/>
                <w14:textFill>
                  <w14:solidFill>
                    <w14:schemeClr w14:val="tx1"/>
                  </w14:solidFill>
                </w14:textFill>
              </w:rPr>
              <w:t>的</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复印件</w:t>
            </w:r>
            <w:r>
              <w:rPr>
                <w:rFonts w:hint="eastAsia" w:cs="宋体"/>
                <w:b/>
                <w:bCs/>
                <w:snapToGrid/>
                <w:color w:val="000000" w:themeColor="text1"/>
                <w:kern w:val="2"/>
                <w:sz w:val="24"/>
                <w:szCs w:val="24"/>
                <w:highlight w:val="none"/>
                <w:shd w:val="clear" w:color="auto" w:fill="auto"/>
                <w:lang w:val="en-US" w:eastAsia="zh-CN"/>
                <w14:textFill>
                  <w14:solidFill>
                    <w14:schemeClr w14:val="tx1"/>
                  </w14:solidFill>
                </w14:textFill>
              </w:rPr>
              <w:t>或扫描件</w:t>
            </w:r>
            <w:r>
              <w:rPr>
                <w:rFonts w:hint="eastAsia" w:ascii="宋体" w:hAnsi="宋体" w:eastAsia="宋体" w:cs="宋体"/>
                <w:b/>
                <w:bCs/>
                <w:snapToGrid/>
                <w:color w:val="000000" w:themeColor="text1"/>
                <w:kern w:val="2"/>
                <w:sz w:val="24"/>
                <w:szCs w:val="24"/>
                <w:highlight w:val="none"/>
                <w:shd w:val="clear" w:color="auto" w:fill="auto"/>
                <w14:textFill>
                  <w14:solidFill>
                    <w14:schemeClr w14:val="tx1"/>
                  </w14:solidFill>
                </w14:textFill>
              </w:rPr>
              <w:t>加盖公章</w:t>
            </w:r>
            <w:r>
              <w:rPr>
                <w:rFonts w:hint="eastAsia" w:cs="宋体"/>
                <w:b/>
                <w:bCs/>
                <w:snapToGrid/>
                <w:color w:val="000000" w:themeColor="text1"/>
                <w:kern w:val="2"/>
                <w:sz w:val="24"/>
                <w:szCs w:val="24"/>
                <w:highlight w:val="none"/>
                <w:shd w:val="clear" w:color="auto" w:fill="auto"/>
                <w:lang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1分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pStyle w:val="25"/>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业绩经验情况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widowControl/>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3</w:t>
            </w: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具备工程设备检测CNAS第三方实验室机构认可资格，且在有效期内，具备得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(提供</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有效</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证书</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的复印件或扫描件加盖公章</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widowControl/>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投标人资质能力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883" w:type="dxa"/>
            <w:noWrap w:val="0"/>
            <w:vAlign w:val="center"/>
          </w:tcPr>
          <w:p>
            <w:pPr>
              <w:widowControl/>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p>
        </w:tc>
        <w:tc>
          <w:tcPr>
            <w:tcW w:w="6224" w:type="dxa"/>
            <w:noWrap w:val="0"/>
            <w:vAlign w:val="center"/>
          </w:tcPr>
          <w:p>
            <w:pPr>
              <w:widowControl/>
              <w:snapToGrid w:val="0"/>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获得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政府部门或行政主管单位</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表彰</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或荣誉（含奖项）的，每项</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分，最高得</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(提供</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获得表彰或荣誉证明材料或证书的复印件或扫描件加盖公章</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noWrap w:val="0"/>
            <w:vAlign w:val="center"/>
          </w:tcPr>
          <w:p>
            <w:pPr>
              <w:widowControl/>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restart"/>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5</w:t>
            </w: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cs="宋体"/>
                <w:color w:val="000000" w:themeColor="text1"/>
                <w:kern w:val="0"/>
                <w:sz w:val="24"/>
                <w:szCs w:val="24"/>
                <w:highlight w:val="none"/>
                <w:lang w:val="en-US" w:eastAsia="zh-CN"/>
                <w14:textFill>
                  <w14:solidFill>
                    <w14:schemeClr w14:val="tx1"/>
                  </w14:solidFill>
                </w14:textFill>
              </w:rPr>
              <w:t>具备起重机械型式试验或者金属材料、零部件试验能力：市级得2分，省级或以上国家级得3分，最高得3分。</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(提供相关证书或证明材料）</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themeColor="text1"/>
                <w:sz w:val="24"/>
                <w:szCs w:val="24"/>
                <w:highlight w:val="none"/>
                <w:shd w:val="clear" w:color="auto" w:fill="auto"/>
                <w:lang w:val="en-US" w:eastAsia="zh-CN"/>
                <w14:textFill>
                  <w14:solidFill>
                    <w14:schemeClr w14:val="tx1"/>
                  </w14:solidFill>
                </w14:textFill>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restart"/>
            <w:noWrap w:val="0"/>
            <w:vAlign w:val="center"/>
          </w:tcPr>
          <w:p>
            <w:pPr>
              <w:widowControl/>
              <w:snapToGrid w:val="0"/>
              <w:spacing w:line="360" w:lineRule="auto"/>
              <w:ind w:left="0" w:leftChars="0" w:firstLine="0" w:firstLineChars="0"/>
              <w:jc w:val="cente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试验能力</w:t>
            </w:r>
          </w:p>
          <w:p>
            <w:pPr>
              <w:pStyle w:val="36"/>
              <w:widowControl/>
              <w:numPr>
                <w:ilvl w:val="0"/>
                <w:numId w:val="0"/>
              </w:numPr>
              <w:snapToGrid w:val="0"/>
              <w:spacing w:line="360" w:lineRule="auto"/>
              <w:ind w:left="0" w:leftChars="0" w:firstLine="0" w:firstLineChars="0"/>
              <w:jc w:val="center"/>
              <w:rPr>
                <w:rFonts w:hint="eastAsia" w:ascii="宋体" w:hAnsi="宋体" w:eastAsia="宋体" w:cs="宋体"/>
                <w:bCs w:val="0"/>
                <w:color w:val="auto"/>
                <w:sz w:val="24"/>
                <w:szCs w:val="24"/>
                <w:highlight w:val="none"/>
              </w:rPr>
            </w:pPr>
          </w:p>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6224" w:type="dxa"/>
            <w:noWrap w:val="0"/>
            <w:vAlign w:val="center"/>
          </w:tcPr>
          <w:p>
            <w:pPr>
              <w:widowControl/>
              <w:snapToGrid w:val="0"/>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cs="宋体"/>
                <w:b w:val="0"/>
                <w:bCs w:val="0"/>
                <w:color w:val="000000"/>
                <w:sz w:val="24"/>
                <w:szCs w:val="24"/>
                <w:highlight w:val="none"/>
                <w:shd w:val="clear" w:color="auto" w:fill="auto"/>
                <w:lang w:val="en-US" w:eastAsia="zh-CN"/>
              </w:rPr>
              <w:t>（2）</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投标人</w:t>
            </w:r>
            <w:r>
              <w:rPr>
                <w:rFonts w:hint="eastAsia" w:ascii="宋体" w:hAnsi="宋体" w:eastAsia="宋体" w:cs="宋体"/>
                <w:b w:val="0"/>
                <w:bCs w:val="0"/>
                <w:color w:val="000000"/>
                <w:sz w:val="24"/>
                <w:szCs w:val="24"/>
                <w:highlight w:val="none"/>
                <w:shd w:val="clear" w:color="auto" w:fill="auto"/>
                <w:lang w:val="en-US" w:eastAsia="zh-CN"/>
              </w:rPr>
              <w:t>拥有市、省级或国家级特种设备重点实验室，市级得2分，省级</w:t>
            </w:r>
            <w:r>
              <w:rPr>
                <w:rFonts w:hint="eastAsia" w:ascii="宋体" w:hAnsi="宋体" w:cs="宋体"/>
                <w:color w:val="000000" w:themeColor="text1"/>
                <w:kern w:val="0"/>
                <w:sz w:val="24"/>
                <w:szCs w:val="24"/>
                <w:highlight w:val="none"/>
                <w:lang w:val="en-US" w:eastAsia="zh-CN"/>
                <w14:textFill>
                  <w14:solidFill>
                    <w14:schemeClr w14:val="tx1"/>
                  </w14:solidFill>
                </w14:textFill>
              </w:rPr>
              <w:t>或以上</w:t>
            </w:r>
            <w:r>
              <w:rPr>
                <w:rFonts w:hint="eastAsia" w:ascii="宋体" w:hAnsi="宋体" w:eastAsia="宋体" w:cs="宋体"/>
                <w:b w:val="0"/>
                <w:bCs w:val="0"/>
                <w:color w:val="000000"/>
                <w:sz w:val="24"/>
                <w:szCs w:val="24"/>
                <w:highlight w:val="none"/>
                <w:shd w:val="clear" w:color="auto" w:fill="auto"/>
                <w:lang w:val="en-US" w:eastAsia="zh-CN"/>
              </w:rPr>
              <w:t>国家级得3分，最高得3分。</w:t>
            </w:r>
            <w:r>
              <w:rPr>
                <w:rFonts w:hint="eastAsia" w:ascii="宋体" w:hAnsi="宋体" w:eastAsia="宋体" w:cs="宋体"/>
                <w:b/>
                <w:bCs/>
                <w:color w:val="000000"/>
                <w:sz w:val="24"/>
                <w:szCs w:val="24"/>
                <w:highlight w:val="none"/>
                <w:shd w:val="clear" w:color="auto" w:fill="auto"/>
                <w:lang w:val="en-US" w:eastAsia="zh-CN"/>
              </w:rPr>
              <w:t>(提供相关证书</w:t>
            </w:r>
            <w:r>
              <w:rPr>
                <w:rFonts w:hint="eastAsia" w:ascii="宋体" w:hAnsi="宋体" w:cs="宋体"/>
                <w:b/>
                <w:bCs/>
                <w:color w:val="000000"/>
                <w:kern w:val="0"/>
                <w:sz w:val="24"/>
                <w:szCs w:val="24"/>
                <w:highlight w:val="none"/>
                <w:lang w:val="en-US" w:eastAsia="zh-CN"/>
              </w:rPr>
              <w:t>或证明材料</w:t>
            </w:r>
            <w:r>
              <w:rPr>
                <w:rFonts w:hint="eastAsia" w:ascii="宋体" w:hAnsi="宋体" w:eastAsia="宋体" w:cs="宋体"/>
                <w:b/>
                <w:bCs/>
                <w:color w:val="000000"/>
                <w:sz w:val="24"/>
                <w:szCs w:val="24"/>
                <w:highlight w:val="none"/>
                <w:shd w:val="clear" w:color="auto" w:fill="auto"/>
                <w:lang w:val="en-US" w:eastAsia="zh-CN"/>
              </w:rPr>
              <w:t>）</w:t>
            </w:r>
          </w:p>
        </w:tc>
        <w:tc>
          <w:tcPr>
            <w:tcW w:w="765" w:type="dxa"/>
            <w:noWrap w:val="0"/>
            <w:vAlign w:val="center"/>
          </w:tcPr>
          <w:p>
            <w:pPr>
              <w:pStyle w:val="25"/>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cs="宋体"/>
                <w:color w:val="000000"/>
                <w:sz w:val="24"/>
                <w:szCs w:val="24"/>
                <w:highlight w:val="none"/>
                <w:shd w:val="clear" w:color="auto" w:fill="auto"/>
                <w:lang w:val="en-US" w:eastAsia="zh-CN"/>
              </w:rPr>
              <w:t>3分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224" w:type="dxa"/>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rPr>
              <w:t>针对本项目的总体目</w:t>
            </w:r>
            <w:r>
              <w:rPr>
                <w:rFonts w:hint="eastAsia" w:hAnsi="宋体" w:cs="宋体"/>
                <w:color w:val="000000"/>
                <w:sz w:val="24"/>
                <w:szCs w:val="24"/>
                <w:highlight w:val="none"/>
                <w:lang w:eastAsia="zh-CN"/>
              </w:rPr>
              <w:t>标的理解分析程度</w:t>
            </w:r>
            <w:r>
              <w:rPr>
                <w:rFonts w:hint="eastAsia" w:ascii="宋体" w:hAnsi="宋体" w:eastAsia="宋体" w:cs="宋体"/>
                <w:color w:val="000000"/>
                <w:sz w:val="24"/>
                <w:szCs w:val="24"/>
                <w:highlight w:val="none"/>
                <w:lang w:eastAsia="zh-CN"/>
              </w:rPr>
              <w:t>，</w:t>
            </w:r>
            <w:r>
              <w:rPr>
                <w:rFonts w:hint="eastAsia" w:hAnsi="宋体" w:cs="宋体"/>
                <w:color w:val="000000"/>
                <w:sz w:val="24"/>
                <w:szCs w:val="24"/>
                <w:highlight w:val="none"/>
                <w:lang w:eastAsia="zh-CN"/>
              </w:rPr>
              <w:t>理解与</w:t>
            </w:r>
            <w:r>
              <w:rPr>
                <w:rFonts w:hint="eastAsia" w:ascii="宋体" w:hAnsi="宋体" w:eastAsia="宋体" w:cs="宋体"/>
                <w:color w:val="000000"/>
                <w:sz w:val="24"/>
                <w:szCs w:val="24"/>
                <w:highlight w:val="none"/>
              </w:rPr>
              <w:t>分析针对性强、</w:t>
            </w:r>
            <w:r>
              <w:rPr>
                <w:rFonts w:hint="eastAsia" w:ascii="宋体" w:hAnsi="宋体" w:eastAsia="宋体" w:cs="宋体"/>
                <w:sz w:val="24"/>
                <w:szCs w:val="24"/>
                <w:highlight w:val="none"/>
                <w:lang w:eastAsia="zh-CN"/>
              </w:rPr>
              <w:t>分析考虑充分</w:t>
            </w:r>
            <w:r>
              <w:rPr>
                <w:rFonts w:hint="eastAsia" w:hAnsi="宋体" w:cs="宋体"/>
                <w:sz w:val="24"/>
                <w:szCs w:val="24"/>
                <w:highlight w:val="none"/>
                <w:lang w:eastAsia="zh-CN"/>
              </w:rPr>
              <w:t>、</w:t>
            </w:r>
            <w:r>
              <w:rPr>
                <w:rFonts w:hint="eastAsia" w:ascii="宋体" w:hAnsi="宋体" w:eastAsia="宋体" w:cs="宋体"/>
                <w:color w:val="000000"/>
                <w:sz w:val="24"/>
                <w:szCs w:val="24"/>
                <w:highlight w:val="none"/>
              </w:rPr>
              <w:t>阐述</w:t>
            </w:r>
            <w:r>
              <w:rPr>
                <w:rFonts w:hint="eastAsia" w:hAnsi="宋体" w:cs="宋体"/>
                <w:color w:val="000000"/>
                <w:sz w:val="24"/>
                <w:szCs w:val="24"/>
                <w:highlight w:val="none"/>
                <w:lang w:eastAsia="zh-CN"/>
              </w:rPr>
              <w:t>内容全面、</w:t>
            </w:r>
            <w:r>
              <w:rPr>
                <w:rFonts w:hint="eastAsia" w:ascii="宋体" w:hAnsi="宋体" w:eastAsia="宋体" w:cs="宋体"/>
                <w:color w:val="000000"/>
                <w:sz w:val="24"/>
                <w:szCs w:val="24"/>
                <w:highlight w:val="none"/>
              </w:rPr>
              <w:t>准确</w:t>
            </w:r>
            <w:r>
              <w:rPr>
                <w:rFonts w:hint="eastAsia" w:hAnsi="宋体" w:cs="宋体"/>
                <w:color w:val="000000"/>
                <w:sz w:val="24"/>
                <w:szCs w:val="24"/>
                <w:highlight w:val="none"/>
                <w:lang w:eastAsia="zh-CN"/>
              </w:rPr>
              <w:t>的评分</w:t>
            </w:r>
            <w:r>
              <w:rPr>
                <w:rFonts w:hint="eastAsia" w:hAnsi="宋体" w:cs="宋体"/>
                <w:color w:val="000000"/>
                <w:sz w:val="24"/>
                <w:szCs w:val="24"/>
                <w:highlight w:val="none"/>
                <w:lang w:val="en-US" w:eastAsia="zh-CN"/>
              </w:rPr>
              <w:t>6分；针对性一般、</w:t>
            </w:r>
            <w:r>
              <w:rPr>
                <w:rFonts w:hint="eastAsia" w:ascii="宋体" w:hAnsi="宋体" w:eastAsia="宋体" w:cs="宋体"/>
                <w:sz w:val="24"/>
                <w:szCs w:val="24"/>
                <w:highlight w:val="none"/>
                <w:lang w:eastAsia="zh-CN"/>
              </w:rPr>
              <w:t>分析</w:t>
            </w:r>
            <w:r>
              <w:rPr>
                <w:rFonts w:hint="eastAsia" w:hAnsi="宋体" w:cs="宋体"/>
                <w:sz w:val="24"/>
                <w:szCs w:val="24"/>
                <w:highlight w:val="none"/>
                <w:lang w:eastAsia="zh-CN"/>
              </w:rPr>
              <w:t>不够全面</w:t>
            </w:r>
            <w:r>
              <w:rPr>
                <w:rFonts w:hint="eastAsia" w:ascii="宋体" w:hAnsi="宋体" w:eastAsia="宋体" w:cs="宋体"/>
                <w:sz w:val="24"/>
                <w:szCs w:val="24"/>
                <w:highlight w:val="none"/>
                <w:lang w:eastAsia="zh-CN"/>
              </w:rPr>
              <w:t>的</w:t>
            </w:r>
            <w:r>
              <w:rPr>
                <w:rFonts w:hint="eastAsia" w:hAnsi="宋体" w:cs="宋体"/>
                <w:sz w:val="24"/>
                <w:szCs w:val="24"/>
                <w:highlight w:val="none"/>
                <w:lang w:eastAsia="zh-CN"/>
              </w:rPr>
              <w:t>评分</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思路</w:t>
            </w:r>
            <w:r>
              <w:rPr>
                <w:rFonts w:hint="eastAsia" w:ascii="宋体" w:hAnsi="宋体" w:eastAsia="宋体" w:cs="宋体"/>
                <w:sz w:val="24"/>
                <w:szCs w:val="24"/>
                <w:highlight w:val="none"/>
                <w:lang w:eastAsia="zh-CN"/>
              </w:rPr>
              <w:t>理解</w:t>
            </w:r>
            <w:r>
              <w:rPr>
                <w:rFonts w:hint="eastAsia" w:hAnsi="宋体" w:cs="宋体"/>
                <w:sz w:val="24"/>
                <w:szCs w:val="24"/>
                <w:highlight w:val="none"/>
                <w:lang w:eastAsia="zh-CN"/>
              </w:rPr>
              <w:t>与</w:t>
            </w:r>
            <w:r>
              <w:rPr>
                <w:rFonts w:hint="eastAsia" w:ascii="宋体" w:hAnsi="宋体" w:eastAsia="宋体" w:cs="宋体"/>
                <w:sz w:val="24"/>
                <w:szCs w:val="24"/>
                <w:highlight w:val="none"/>
                <w:lang w:eastAsia="zh-CN"/>
              </w:rPr>
              <w:t>分析欠佳的</w:t>
            </w:r>
            <w:r>
              <w:rPr>
                <w:rFonts w:hint="eastAsia" w:hAnsi="宋体" w:cs="宋体"/>
                <w:sz w:val="24"/>
                <w:szCs w:val="24"/>
                <w:highlight w:val="none"/>
                <w:lang w:eastAsia="zh-CN"/>
              </w:rPr>
              <w:t>评分</w:t>
            </w: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cs="宋体"/>
                <w:color w:val="000000"/>
                <w:sz w:val="24"/>
                <w:szCs w:val="24"/>
                <w:highlight w:val="none"/>
                <w:shd w:val="clear" w:color="auto" w:fill="auto"/>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需求与</w:t>
            </w:r>
          </w:p>
          <w:p>
            <w:pPr>
              <w:pStyle w:val="36"/>
              <w:widowControl/>
              <w:numPr>
                <w:ilvl w:val="0"/>
                <w:numId w:val="0"/>
              </w:numPr>
              <w:snapToGrid w:val="0"/>
              <w:spacing w:line="360" w:lineRule="auto"/>
              <w:ind w:left="0" w:leftChars="0" w:firstLine="0" w:firstLineChars="0"/>
              <w:jc w:val="cente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224" w:type="dxa"/>
            <w:noWrap w:val="0"/>
            <w:vAlign w:val="center"/>
          </w:tcPr>
          <w:p>
            <w:pPr>
              <w:pStyle w:val="961"/>
              <w:spacing w:line="360" w:lineRule="auto"/>
              <w:ind w:left="0" w:leftChars="0" w:right="0" w:rightChars="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方案</w:t>
            </w:r>
            <w:r>
              <w:rPr>
                <w:rFonts w:hint="eastAsia" w:ascii="宋体" w:hAnsi="宋体" w:cs="宋体"/>
                <w:sz w:val="24"/>
                <w:szCs w:val="24"/>
                <w:highlight w:val="none"/>
                <w:lang w:eastAsia="zh-CN"/>
              </w:rPr>
              <w:t>符合检测</w:t>
            </w:r>
            <w:r>
              <w:rPr>
                <w:rFonts w:hint="eastAsia" w:ascii="宋体" w:hAnsi="宋体" w:eastAsia="宋体" w:cs="宋体"/>
                <w:sz w:val="24"/>
                <w:szCs w:val="24"/>
                <w:highlight w:val="none"/>
              </w:rPr>
              <w:t>服务项目预定要求，针对性强，操作性</w:t>
            </w:r>
            <w:r>
              <w:rPr>
                <w:rFonts w:hint="eastAsia" w:ascii="宋体" w:hAnsi="宋体" w:eastAsia="宋体" w:cs="宋体"/>
                <w:sz w:val="24"/>
                <w:szCs w:val="24"/>
                <w:highlight w:val="none"/>
                <w:lang w:eastAsia="zh-CN"/>
              </w:rPr>
              <w:t>好</w:t>
            </w:r>
            <w:r>
              <w:rPr>
                <w:rFonts w:hint="eastAsia" w:ascii="宋体" w:hAnsi="宋体" w:eastAsia="宋体" w:cs="宋体"/>
                <w:sz w:val="24"/>
                <w:szCs w:val="24"/>
                <w:highlight w:val="none"/>
              </w:rPr>
              <w:t>，计划安排科学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，根据内容进行评分。</w:t>
            </w:r>
            <w:r>
              <w:rPr>
                <w:rFonts w:hint="eastAsia" w:ascii="宋体" w:hAnsi="宋体" w:eastAsia="宋体" w:cs="宋体"/>
                <w:color w:val="000000"/>
                <w:kern w:val="0"/>
                <w:sz w:val="24"/>
                <w:szCs w:val="24"/>
                <w:highlight w:val="none"/>
                <w:lang w:val="en-US" w:eastAsia="zh-CN" w:bidi="ar"/>
              </w:rPr>
              <w:t>完全符合得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分，基本符合得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分，部分符合得</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w:t>
            </w:r>
          </w:p>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224" w:type="dxa"/>
            <w:noWrap w:val="0"/>
            <w:vAlign w:val="center"/>
          </w:tcPr>
          <w:p>
            <w:pPr>
              <w:pStyle w:val="961"/>
              <w:numPr>
                <w:ilvl w:val="-1"/>
                <w:numId w:val="0"/>
              </w:numPr>
              <w:spacing w:line="360" w:lineRule="auto"/>
              <w:ind w:left="0" w:leftChars="0" w:right="0" w:rightChars="0" w:firstLine="464" w:firstLineChars="200"/>
              <w:jc w:val="both"/>
              <w:rPr>
                <w:rFonts w:hint="eastAsia" w:ascii="宋体" w:hAnsi="宋体" w:eastAsia="宋体" w:cs="宋体"/>
                <w:color w:val="000000"/>
                <w:sz w:val="24"/>
                <w:szCs w:val="24"/>
                <w:highlight w:val="none"/>
              </w:rPr>
            </w:pPr>
            <w:r>
              <w:rPr>
                <w:rFonts w:hint="eastAsia" w:ascii="宋体" w:hAnsi="宋体" w:eastAsia="宋体" w:cs="宋体"/>
                <w:spacing w:val="-4"/>
                <w:sz w:val="24"/>
                <w:szCs w:val="24"/>
                <w:highlight w:val="none"/>
              </w:rPr>
              <w:t>项目管理、检测、编制检测报告工作</w:t>
            </w:r>
            <w:r>
              <w:rPr>
                <w:rFonts w:hint="eastAsia" w:ascii="宋体" w:hAnsi="宋体" w:eastAsia="宋体" w:cs="宋体"/>
                <w:spacing w:val="-4"/>
                <w:sz w:val="24"/>
                <w:szCs w:val="24"/>
                <w:highlight w:val="none"/>
                <w:lang w:eastAsia="zh-CN"/>
              </w:rPr>
              <w:t>流程</w:t>
            </w:r>
            <w:r>
              <w:rPr>
                <w:rFonts w:hint="eastAsia" w:ascii="宋体" w:hAnsi="宋体" w:eastAsia="宋体" w:cs="宋体"/>
                <w:sz w:val="24"/>
                <w:szCs w:val="24"/>
                <w:highlight w:val="none"/>
              </w:rPr>
              <w:t>安排科学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pacing w:val="-4"/>
                <w:sz w:val="24"/>
                <w:szCs w:val="24"/>
                <w:highlight w:val="none"/>
              </w:rPr>
              <w:t>规范</w:t>
            </w:r>
            <w:r>
              <w:rPr>
                <w:rFonts w:hint="eastAsia" w:ascii="宋体" w:hAnsi="宋体" w:eastAsia="宋体" w:cs="宋体"/>
                <w:spacing w:val="-4"/>
                <w:sz w:val="24"/>
                <w:szCs w:val="24"/>
                <w:highlight w:val="none"/>
                <w:lang w:eastAsia="zh-CN"/>
              </w:rPr>
              <w:t>的进行打分。</w:t>
            </w:r>
            <w:r>
              <w:rPr>
                <w:rFonts w:hint="eastAsia" w:ascii="宋体" w:hAnsi="宋体" w:eastAsia="宋体" w:cs="宋体"/>
                <w:color w:val="000000"/>
                <w:kern w:val="0"/>
                <w:sz w:val="24"/>
                <w:szCs w:val="24"/>
                <w:highlight w:val="none"/>
                <w:lang w:val="en-US" w:eastAsia="zh-CN" w:bidi="ar"/>
              </w:rPr>
              <w:t>完全符合得</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分，基本符合得</w:t>
            </w: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分，部分符合得</w:t>
            </w:r>
            <w:r>
              <w:rPr>
                <w:rFonts w:hint="eastAsia" w:ascii="宋体"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分，不符合不得分。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项目管理、检测、编制检测报告工作</w:t>
            </w:r>
            <w:r>
              <w:rPr>
                <w:rFonts w:hint="eastAsia" w:ascii="宋体" w:hAnsi="宋体" w:eastAsia="宋体" w:cs="宋体"/>
                <w:spacing w:val="-4"/>
                <w:sz w:val="24"/>
                <w:szCs w:val="24"/>
                <w:highlight w:val="none"/>
                <w:lang w:eastAsia="zh-CN"/>
              </w:rPr>
              <w:t>流程</w:t>
            </w:r>
            <w:r>
              <w:rPr>
                <w:rFonts w:hint="eastAsia" w:ascii="宋体" w:hAnsi="宋体" w:eastAsia="宋体" w:cs="宋体"/>
                <w:sz w:val="24"/>
                <w:szCs w:val="24"/>
                <w:highlight w:val="none"/>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224" w:type="dxa"/>
            <w:noWrap w:val="0"/>
            <w:vAlign w:val="center"/>
          </w:tcPr>
          <w:p>
            <w:pPr>
              <w:pStyle w:val="961"/>
              <w:spacing w:line="360" w:lineRule="auto"/>
              <w:ind w:left="0" w:leftChars="0" w:right="0" w:rightChars="0"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质量控制措施、管理技术的规范性</w:t>
            </w:r>
            <w:r>
              <w:rPr>
                <w:rFonts w:hint="eastAsia" w:ascii="宋体" w:hAnsi="宋体" w:cs="宋体"/>
                <w:sz w:val="24"/>
                <w:szCs w:val="24"/>
                <w:highlight w:val="none"/>
                <w:lang w:eastAsia="zh-CN"/>
              </w:rPr>
              <w:t>、合理性</w:t>
            </w:r>
            <w:r>
              <w:rPr>
                <w:rFonts w:hint="eastAsia" w:ascii="宋体" w:hAnsi="宋体" w:eastAsia="宋体" w:cs="宋体"/>
                <w:spacing w:val="-4"/>
                <w:sz w:val="24"/>
                <w:szCs w:val="24"/>
                <w:highlight w:val="none"/>
                <w:lang w:eastAsia="zh-CN"/>
              </w:rPr>
              <w:t>，</w:t>
            </w:r>
            <w:r>
              <w:rPr>
                <w:rFonts w:hint="eastAsia" w:ascii="宋体" w:hAnsi="宋体" w:eastAsia="宋体" w:cs="宋体"/>
                <w:sz w:val="24"/>
                <w:szCs w:val="24"/>
                <w:highlight w:val="none"/>
                <w:lang w:eastAsia="zh-CN"/>
              </w:rPr>
              <w:t>进行</w:t>
            </w:r>
            <w:r>
              <w:rPr>
                <w:rFonts w:hint="eastAsia" w:ascii="宋体" w:hAnsi="宋体" w:cs="宋体"/>
                <w:sz w:val="24"/>
                <w:szCs w:val="24"/>
                <w:highlight w:val="none"/>
                <w:lang w:eastAsia="zh-CN"/>
              </w:rPr>
              <w:t>评</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lang w:eastAsia="zh-CN"/>
              </w:rPr>
              <w:t>安排</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的规范性好的、</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规范有欠缺的、</w:t>
            </w:r>
            <w:r>
              <w:rPr>
                <w:rFonts w:hint="eastAsia" w:ascii="宋体" w:hAnsi="宋体" w:eastAsia="宋体" w:cs="宋体"/>
                <w:sz w:val="24"/>
                <w:szCs w:val="24"/>
                <w:highlight w:val="none"/>
              </w:rPr>
              <w:t>合理</w:t>
            </w:r>
            <w:r>
              <w:rPr>
                <w:rFonts w:hint="eastAsia" w:ascii="宋体" w:hAnsi="宋体" w:cs="宋体"/>
                <w:sz w:val="24"/>
                <w:szCs w:val="24"/>
                <w:highlight w:val="none"/>
                <w:lang w:eastAsia="zh-CN"/>
              </w:rPr>
              <w:t>性</w:t>
            </w:r>
            <w:r>
              <w:rPr>
                <w:rFonts w:hint="eastAsia" w:ascii="宋体" w:hAnsi="宋体" w:eastAsia="宋体" w:cs="宋体"/>
                <w:color w:val="000000"/>
                <w:sz w:val="24"/>
                <w:szCs w:val="24"/>
                <w:highlight w:val="none"/>
                <w:lang w:eastAsia="zh-CN"/>
              </w:rPr>
              <w:t>一般</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eastAsia="宋体" w:cs="宋体"/>
                <w:color w:val="000000"/>
                <w:sz w:val="24"/>
                <w:szCs w:val="24"/>
                <w:highlight w:val="none"/>
                <w:lang w:eastAsia="zh-CN"/>
              </w:rPr>
              <w:t>安排</w:t>
            </w:r>
            <w:r>
              <w:rPr>
                <w:rFonts w:hint="eastAsia" w:ascii="宋体" w:hAnsi="宋体" w:eastAsia="宋体" w:cs="宋体"/>
                <w:sz w:val="24"/>
                <w:szCs w:val="24"/>
                <w:highlight w:val="none"/>
              </w:rPr>
              <w:t>质量控制措施、管理技术</w:t>
            </w:r>
            <w:r>
              <w:rPr>
                <w:rFonts w:hint="eastAsia" w:ascii="宋体" w:hAnsi="宋体" w:cs="宋体"/>
                <w:sz w:val="24"/>
                <w:szCs w:val="24"/>
                <w:highlight w:val="none"/>
                <w:lang w:eastAsia="zh-CN"/>
              </w:rPr>
              <w:t>规范较差，</w:t>
            </w:r>
            <w:r>
              <w:rPr>
                <w:rFonts w:hint="eastAsia" w:ascii="宋体" w:hAnsi="宋体" w:eastAsia="宋体" w:cs="宋体"/>
                <w:sz w:val="24"/>
                <w:szCs w:val="24"/>
                <w:highlight w:val="none"/>
              </w:rPr>
              <w:t>合理</w:t>
            </w:r>
            <w:r>
              <w:rPr>
                <w:rFonts w:hint="eastAsia" w:ascii="宋体" w:hAnsi="宋体" w:cs="宋体"/>
                <w:sz w:val="24"/>
                <w:szCs w:val="24"/>
                <w:highlight w:val="none"/>
                <w:lang w:eastAsia="zh-CN"/>
              </w:rPr>
              <w:t>性较差的</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质量控制措施、管理技术</w:t>
            </w:r>
            <w:r>
              <w:rPr>
                <w:rFonts w:hint="eastAsia" w:ascii="宋体" w:hAnsi="宋体" w:eastAsia="宋体" w:cs="宋体"/>
                <w:sz w:val="24"/>
                <w:szCs w:val="24"/>
                <w:highlight w:val="none"/>
                <w:lang w:val="en-US"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224" w:type="dxa"/>
            <w:noWrap w:val="0"/>
            <w:vAlign w:val="center"/>
          </w:tcPr>
          <w:p>
            <w:pPr>
              <w:pStyle w:val="961"/>
              <w:spacing w:line="360" w:lineRule="auto"/>
              <w:ind w:left="0" w:leftChars="0" w:firstLine="240" w:firstLineChars="100"/>
              <w:jc w:val="both"/>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对采购人提出</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关键部位及</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方案科学合理</w:t>
            </w:r>
            <w:r>
              <w:rPr>
                <w:rFonts w:hint="eastAsia" w:ascii="宋体" w:hAnsi="宋体" w:cs="宋体"/>
                <w:sz w:val="24"/>
                <w:szCs w:val="24"/>
                <w:highlight w:val="none"/>
                <w:lang w:eastAsia="zh-CN"/>
              </w:rPr>
              <w:t>，以及</w:t>
            </w:r>
            <w:r>
              <w:rPr>
                <w:rFonts w:hint="eastAsia" w:ascii="宋体" w:hAnsi="宋体" w:eastAsia="宋体" w:cs="宋体"/>
                <w:sz w:val="24"/>
                <w:szCs w:val="24"/>
                <w:highlight w:val="none"/>
              </w:rPr>
              <w:t>对本项目提出有效的优化方案和建议</w:t>
            </w:r>
            <w:r>
              <w:rPr>
                <w:rFonts w:hint="eastAsia" w:ascii="宋体" w:hAnsi="宋体" w:eastAsia="宋体" w:cs="宋体"/>
                <w:sz w:val="24"/>
                <w:szCs w:val="24"/>
                <w:highlight w:val="none"/>
                <w:lang w:eastAsia="zh-CN"/>
              </w:rPr>
              <w:t>科学</w:t>
            </w:r>
            <w:r>
              <w:rPr>
                <w:rFonts w:hint="eastAsia" w:ascii="宋体" w:hAnsi="宋体" w:eastAsia="宋体" w:cs="宋体"/>
                <w:sz w:val="24"/>
                <w:szCs w:val="24"/>
                <w:highlight w:val="none"/>
              </w:rPr>
              <w:t>、可行</w:t>
            </w:r>
            <w:r>
              <w:rPr>
                <w:rFonts w:hint="eastAsia" w:ascii="宋体" w:hAnsi="宋体" w:cs="宋体"/>
                <w:sz w:val="24"/>
                <w:szCs w:val="24"/>
                <w:highlight w:val="none"/>
                <w:lang w:eastAsia="zh-CN"/>
              </w:rPr>
              <w:t>的</w:t>
            </w:r>
            <w:r>
              <w:rPr>
                <w:rFonts w:hint="eastAsia" w:ascii="宋体" w:hAnsi="宋体" w:eastAsia="宋体" w:cs="宋体"/>
                <w:sz w:val="24"/>
                <w:szCs w:val="24"/>
                <w:highlight w:val="none"/>
                <w:lang w:eastAsia="zh-CN"/>
              </w:rPr>
              <w:t>，进行</w:t>
            </w:r>
            <w:r>
              <w:rPr>
                <w:rFonts w:hint="eastAsia" w:ascii="宋体" w:hAnsi="宋体" w:cs="宋体"/>
                <w:sz w:val="24"/>
                <w:szCs w:val="24"/>
                <w:highlight w:val="none"/>
                <w:lang w:eastAsia="zh-CN"/>
              </w:rPr>
              <w:t>评</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方案合理的得</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方案</w:t>
            </w:r>
            <w:r>
              <w:rPr>
                <w:rFonts w:hint="eastAsia" w:ascii="宋体" w:hAnsi="宋体" w:cs="宋体"/>
                <w:b w:val="0"/>
                <w:bCs w:val="0"/>
                <w:color w:val="auto"/>
                <w:kern w:val="0"/>
                <w:sz w:val="24"/>
                <w:szCs w:val="24"/>
                <w:highlight w:val="none"/>
                <w:lang w:val="en-US" w:eastAsia="zh-CN"/>
              </w:rPr>
              <w:t>部分内容</w:t>
            </w:r>
            <w:r>
              <w:rPr>
                <w:rFonts w:hint="eastAsia" w:ascii="宋体" w:hAnsi="宋体" w:eastAsia="宋体" w:cs="宋体"/>
                <w:b w:val="0"/>
                <w:bCs w:val="0"/>
                <w:color w:val="auto"/>
                <w:kern w:val="0"/>
                <w:sz w:val="24"/>
                <w:szCs w:val="24"/>
                <w:highlight w:val="none"/>
                <w:lang w:val="en-US" w:eastAsia="zh-CN"/>
              </w:rPr>
              <w:t>合理的得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sz w:val="24"/>
                <w:szCs w:val="24"/>
                <w:lang w:val="en-US" w:eastAsia="zh-CN"/>
              </w:rPr>
              <w:t>符合性较差的得1分，</w:t>
            </w:r>
            <w:r>
              <w:rPr>
                <w:rFonts w:hint="eastAsia" w:ascii="宋体" w:hAnsi="宋体" w:eastAsia="宋体" w:cs="宋体"/>
                <w:b w:val="0"/>
                <w:bCs w:val="0"/>
                <w:color w:val="auto"/>
                <w:kern w:val="0"/>
                <w:sz w:val="24"/>
                <w:szCs w:val="24"/>
                <w:highlight w:val="none"/>
                <w:lang w:val="en-US" w:eastAsia="zh-CN"/>
              </w:rPr>
              <w:t>其他不得分</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b w:val="0"/>
                <w:bCs w:val="0"/>
                <w:color w:val="auto"/>
                <w:sz w:val="24"/>
                <w:szCs w:val="24"/>
              </w:rPr>
              <w:t>内容完整合理、有针对性，视为符合要求，此项最高</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关键部位及</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方案科学合理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224"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ind w:firstLine="464"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auto"/>
                <w:spacing w:val="-4"/>
                <w:sz w:val="24"/>
                <w:szCs w:val="24"/>
                <w:highlight w:val="none"/>
                <w:lang w:val="en-US" w:eastAsia="zh-CN"/>
              </w:rPr>
              <w:t>根据投标人列明所用到的设备仪器</w:t>
            </w:r>
            <w:r>
              <w:rPr>
                <w:rFonts w:hint="eastAsia" w:hAnsi="宋体" w:cs="宋体"/>
                <w:bCs/>
                <w:color w:val="auto"/>
                <w:spacing w:val="-4"/>
                <w:sz w:val="24"/>
                <w:szCs w:val="24"/>
                <w:highlight w:val="none"/>
                <w:lang w:val="en-US" w:eastAsia="zh-CN"/>
              </w:rPr>
              <w:t>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以及材料配置情况合理性</w:t>
            </w:r>
            <w:r>
              <w:rPr>
                <w:rFonts w:hint="eastAsia" w:ascii="宋体" w:hAnsi="宋体" w:eastAsia="宋体" w:cs="宋体"/>
                <w:bCs/>
                <w:color w:val="auto"/>
                <w:spacing w:val="-4"/>
                <w:sz w:val="24"/>
                <w:szCs w:val="24"/>
                <w:highlight w:val="none"/>
                <w:lang w:val="en-US" w:eastAsia="zh-CN"/>
              </w:rPr>
              <w:t>、</w:t>
            </w:r>
            <w:r>
              <w:rPr>
                <w:rFonts w:hint="eastAsia" w:hAnsi="宋体" w:cs="宋体"/>
                <w:bCs/>
                <w:color w:val="auto"/>
                <w:spacing w:val="-4"/>
                <w:sz w:val="24"/>
                <w:szCs w:val="24"/>
                <w:highlight w:val="none"/>
                <w:lang w:val="en-US" w:eastAsia="zh-CN"/>
              </w:rPr>
              <w:t>科学性</w:t>
            </w:r>
            <w:r>
              <w:rPr>
                <w:rFonts w:hint="eastAsia" w:ascii="宋体" w:hAnsi="宋体" w:eastAsia="宋体" w:cs="宋体"/>
                <w:bCs/>
                <w:color w:val="auto"/>
                <w:spacing w:val="-4"/>
                <w:sz w:val="24"/>
                <w:szCs w:val="24"/>
                <w:highlight w:val="none"/>
                <w:lang w:val="en-US" w:eastAsia="zh-CN"/>
              </w:rPr>
              <w:t>进行打分，设备仪器</w:t>
            </w:r>
            <w:r>
              <w:rPr>
                <w:rFonts w:hint="eastAsia" w:hAnsi="宋体" w:cs="宋体"/>
                <w:bCs/>
                <w:color w:val="auto"/>
                <w:spacing w:val="-4"/>
                <w:sz w:val="24"/>
                <w:szCs w:val="24"/>
                <w:highlight w:val="none"/>
                <w:lang w:val="en-US" w:eastAsia="zh-CN"/>
              </w:rPr>
              <w:t>的</w:t>
            </w:r>
            <w:r>
              <w:rPr>
                <w:rFonts w:hint="eastAsia" w:ascii="宋体" w:hAnsi="宋体" w:eastAsia="宋体" w:cs="宋体"/>
                <w:bCs/>
                <w:color w:val="auto"/>
                <w:spacing w:val="-4"/>
                <w:sz w:val="24"/>
                <w:szCs w:val="24"/>
                <w:highlight w:val="none"/>
                <w:lang w:val="en-US" w:eastAsia="zh-CN"/>
              </w:rPr>
              <w:t>硬件部署安排充足</w:t>
            </w:r>
            <w:r>
              <w:rPr>
                <w:rFonts w:hint="eastAsia" w:hAnsi="宋体" w:cs="宋体"/>
                <w:bCs/>
                <w:color w:val="auto"/>
                <w:spacing w:val="-4"/>
                <w:sz w:val="24"/>
                <w:szCs w:val="24"/>
                <w:highlight w:val="none"/>
                <w:lang w:val="en-US" w:eastAsia="zh-CN"/>
              </w:rPr>
              <w:t>、科学、合理</w:t>
            </w:r>
            <w:r>
              <w:rPr>
                <w:rFonts w:hint="eastAsia" w:ascii="宋体" w:hAnsi="宋体" w:eastAsia="宋体" w:cs="宋体"/>
                <w:bCs/>
                <w:color w:val="auto"/>
                <w:spacing w:val="-4"/>
                <w:sz w:val="24"/>
                <w:szCs w:val="24"/>
                <w:highlight w:val="none"/>
                <w:lang w:val="en-US" w:eastAsia="zh-CN"/>
              </w:rPr>
              <w:t>的得</w:t>
            </w:r>
            <w:r>
              <w:rPr>
                <w:rFonts w:hint="eastAsia" w:hAnsi="宋体" w:cs="宋体"/>
                <w:bCs/>
                <w:color w:val="auto"/>
                <w:spacing w:val="-4"/>
                <w:sz w:val="24"/>
                <w:szCs w:val="24"/>
                <w:highlight w:val="none"/>
                <w:lang w:val="en-US" w:eastAsia="zh-CN"/>
              </w:rPr>
              <w:t>5</w:t>
            </w:r>
            <w:r>
              <w:rPr>
                <w:rFonts w:hint="eastAsia" w:ascii="宋体" w:hAnsi="宋体" w:eastAsia="宋体" w:cs="宋体"/>
                <w:bCs/>
                <w:color w:val="auto"/>
                <w:spacing w:val="-4"/>
                <w:sz w:val="24"/>
                <w:szCs w:val="24"/>
                <w:highlight w:val="none"/>
                <w:lang w:val="en-US" w:eastAsia="zh-CN"/>
              </w:rPr>
              <w:t>分；</w:t>
            </w:r>
            <w:r>
              <w:rPr>
                <w:rFonts w:hint="eastAsia" w:hAnsi="宋体" w:cs="宋体"/>
                <w:bCs/>
                <w:color w:val="auto"/>
                <w:spacing w:val="-4"/>
                <w:sz w:val="24"/>
                <w:szCs w:val="24"/>
                <w:highlight w:val="none"/>
                <w:lang w:val="en-US" w:eastAsia="zh-CN"/>
              </w:rPr>
              <w:t>设备仪器的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安排较</w:t>
            </w:r>
            <w:r>
              <w:rPr>
                <w:rFonts w:hint="eastAsia" w:ascii="宋体" w:hAnsi="宋体" w:eastAsia="宋体" w:cs="宋体"/>
                <w:bCs/>
                <w:color w:val="auto"/>
                <w:spacing w:val="-4"/>
                <w:sz w:val="24"/>
                <w:szCs w:val="24"/>
                <w:highlight w:val="none"/>
                <w:lang w:val="en-US" w:eastAsia="zh-CN"/>
              </w:rPr>
              <w:t>不足、</w:t>
            </w:r>
            <w:r>
              <w:rPr>
                <w:rFonts w:hint="eastAsia" w:hAnsi="宋体" w:cs="宋体"/>
                <w:bCs/>
                <w:color w:val="auto"/>
                <w:spacing w:val="-4"/>
                <w:sz w:val="24"/>
                <w:szCs w:val="24"/>
                <w:highlight w:val="none"/>
                <w:lang w:val="en-US" w:eastAsia="zh-CN"/>
              </w:rPr>
              <w:t>科学性欠缺、合理性一般的得3分； 设备仪器的</w:t>
            </w:r>
            <w:r>
              <w:rPr>
                <w:rFonts w:hint="eastAsia" w:ascii="宋体" w:hAnsi="宋体" w:eastAsia="宋体" w:cs="宋体"/>
                <w:bCs/>
                <w:color w:val="auto"/>
                <w:spacing w:val="-4"/>
                <w:sz w:val="24"/>
                <w:szCs w:val="24"/>
                <w:highlight w:val="none"/>
                <w:lang w:val="en-US" w:eastAsia="zh-CN"/>
              </w:rPr>
              <w:t>硬件部署</w:t>
            </w:r>
            <w:r>
              <w:rPr>
                <w:rFonts w:hint="eastAsia" w:hAnsi="宋体" w:cs="宋体"/>
                <w:bCs/>
                <w:color w:val="auto"/>
                <w:spacing w:val="-4"/>
                <w:sz w:val="24"/>
                <w:szCs w:val="24"/>
                <w:highlight w:val="none"/>
                <w:lang w:val="en-US" w:eastAsia="zh-CN"/>
              </w:rPr>
              <w:t>安排</w:t>
            </w:r>
            <w:r>
              <w:rPr>
                <w:rFonts w:hint="eastAsia" w:ascii="宋体" w:hAnsi="宋体" w:eastAsia="宋体" w:cs="宋体"/>
                <w:bCs/>
                <w:color w:val="auto"/>
                <w:spacing w:val="-4"/>
                <w:sz w:val="24"/>
                <w:szCs w:val="24"/>
                <w:highlight w:val="none"/>
                <w:lang w:val="en-US" w:eastAsia="zh-CN"/>
              </w:rPr>
              <w:t>欠缺或</w:t>
            </w:r>
            <w:r>
              <w:rPr>
                <w:rFonts w:hint="eastAsia" w:hAnsi="宋体" w:cs="宋体"/>
                <w:bCs/>
                <w:color w:val="auto"/>
                <w:spacing w:val="-4"/>
                <w:sz w:val="24"/>
                <w:szCs w:val="24"/>
                <w:highlight w:val="none"/>
                <w:lang w:val="en-US" w:eastAsia="zh-CN"/>
              </w:rPr>
              <w:t>科学性、合理性较差的得1分。</w:t>
            </w:r>
            <w:r>
              <w:rPr>
                <w:rFonts w:hint="eastAsia" w:ascii="宋体" w:hAnsi="宋体" w:eastAsia="宋体" w:cs="宋体"/>
                <w:bCs/>
                <w:color w:val="auto"/>
                <w:spacing w:val="-4"/>
                <w:sz w:val="24"/>
                <w:szCs w:val="24"/>
                <w:highlight w:val="none"/>
                <w:lang w:val="en-US" w:eastAsia="zh-CN"/>
              </w:rPr>
              <w:t>无</w:t>
            </w:r>
            <w:r>
              <w:rPr>
                <w:rFonts w:hint="eastAsia" w:hAnsi="宋体" w:cs="宋体"/>
                <w:bCs/>
                <w:color w:val="auto"/>
                <w:spacing w:val="-4"/>
                <w:sz w:val="24"/>
                <w:szCs w:val="24"/>
                <w:highlight w:val="none"/>
                <w:lang w:val="en-US" w:eastAsia="zh-CN"/>
              </w:rPr>
              <w:t>设备仪器</w:t>
            </w:r>
            <w:r>
              <w:rPr>
                <w:rFonts w:hint="eastAsia" w:ascii="宋体" w:hAnsi="宋体" w:eastAsia="宋体" w:cs="宋体"/>
                <w:bCs/>
                <w:color w:val="auto"/>
                <w:spacing w:val="-4"/>
                <w:sz w:val="24"/>
                <w:szCs w:val="24"/>
                <w:highlight w:val="none"/>
                <w:lang w:val="en-US" w:eastAsia="zh-CN"/>
              </w:rPr>
              <w:t>安排的不得分。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检测设备、材料配置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224" w:type="dxa"/>
            <w:noWrap w:val="0"/>
            <w:vAlign w:val="center"/>
          </w:tcPr>
          <w:p>
            <w:pPr>
              <w:pStyle w:val="36"/>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000000" w:themeColor="text1"/>
                <w:sz w:val="24"/>
                <w:szCs w:val="24"/>
                <w:highlight w:val="none"/>
                <w14:textFill>
                  <w14:solidFill>
                    <w14:schemeClr w14:val="tx1"/>
                  </w14:solidFill>
                </w14:textFill>
              </w:rPr>
              <w:t>投标单位安全管理制度及应急措施、质控措施、参加能力验证情况符合要求</w:t>
            </w:r>
            <w:r>
              <w:rPr>
                <w:rFonts w:hint="eastAsia" w:ascii="宋体" w:hAnsi="宋体" w:eastAsia="宋体" w:cs="宋体"/>
                <w:bCs/>
                <w:color w:val="000000" w:themeColor="text1"/>
                <w:sz w:val="24"/>
                <w:szCs w:val="24"/>
                <w:highlight w:val="none"/>
                <w:lang w:eastAsia="zh-CN"/>
                <w14:textFill>
                  <w14:solidFill>
                    <w14:schemeClr w14:val="tx1"/>
                  </w14:solidFill>
                </w14:textFill>
              </w:rPr>
              <w:t>且科学可行的，进行打分</w:t>
            </w:r>
            <w:r>
              <w:rPr>
                <w:rFonts w:hint="eastAsia" w:hAnsi="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方案考虑充分措施有效得</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分，方案考虑充分措施较有效得</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分，方案合理措施一般得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分，无方案得0分。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安全管理制度及应急措施、质控措施</w:t>
            </w:r>
            <w:r>
              <w:rPr>
                <w:rFonts w:hint="eastAsia" w:hAnsi="宋体" w:cs="宋体"/>
                <w:bCs/>
                <w:color w:val="000000" w:themeColor="text1"/>
                <w:sz w:val="24"/>
                <w:szCs w:val="24"/>
                <w:highlight w:val="none"/>
                <w:lang w:val="en-US" w:eastAsia="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224"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highlight w:val="none"/>
                <w:lang w:eastAsia="zh-CN"/>
              </w:rPr>
            </w:pPr>
            <w:r>
              <w:rPr>
                <w:rFonts w:hint="eastAsia" w:ascii="宋体" w:hAnsi="宋体" w:eastAsia="宋体" w:cs="宋体"/>
                <w:bCs/>
                <w:color w:val="000000" w:themeColor="text1"/>
                <w:sz w:val="24"/>
                <w:szCs w:val="24"/>
                <w:highlight w:val="none"/>
                <w14:textFill>
                  <w14:solidFill>
                    <w14:schemeClr w14:val="tx1"/>
                  </w14:solidFill>
                </w14:textFill>
              </w:rPr>
              <w:t>针对本项目的安全运行、质量保证、环保措施等内容</w:t>
            </w:r>
            <w:r>
              <w:rPr>
                <w:rFonts w:hint="eastAsia" w:ascii="宋体" w:hAnsi="宋体" w:eastAsia="宋体" w:cs="宋体"/>
                <w:bCs/>
                <w:color w:val="000000" w:themeColor="text1"/>
                <w:sz w:val="24"/>
                <w:szCs w:val="24"/>
                <w:highlight w:val="none"/>
                <w:lang w:eastAsia="zh-CN"/>
                <w14:textFill>
                  <w14:solidFill>
                    <w14:schemeClr w14:val="tx1"/>
                  </w14:solidFill>
                </w14:textFill>
              </w:rPr>
              <w:t>，进行打分。</w:t>
            </w:r>
            <w:r>
              <w:rPr>
                <w:rFonts w:hint="eastAsia" w:ascii="宋体" w:hAnsi="宋体" w:eastAsia="宋体" w:cs="宋体"/>
                <w:sz w:val="24"/>
                <w:szCs w:val="24"/>
                <w:highlight w:val="none"/>
              </w:rPr>
              <w:t>方案考虑充分措施有效得</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分，方案考虑充分措施较有效得</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分，方案合理措施一般得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分，无方案得0分。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1020" w:type="dxa"/>
            <w:noWrap w:val="0"/>
            <w:vAlign w:val="center"/>
          </w:tcPr>
          <w:p>
            <w:pPr>
              <w:snapToGrid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质量保障方案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224" w:type="dxa"/>
            <w:noWrap w:val="0"/>
            <w:vAlign w:val="center"/>
          </w:tcPr>
          <w:p>
            <w:pPr>
              <w:pStyle w:val="36"/>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组织实施方案、服务内容、项目人员配备合理，职责设置、任务分工合理，</w:t>
            </w:r>
            <w:r>
              <w:rPr>
                <w:rFonts w:hint="eastAsia" w:ascii="宋体" w:hAnsi="宋体" w:eastAsia="宋体" w:cs="宋体"/>
                <w:color w:val="000000" w:themeColor="text1"/>
                <w:sz w:val="24"/>
                <w:szCs w:val="24"/>
                <w:highlight w:val="none"/>
                <w:lang w:eastAsia="zh-CN"/>
                <w14:textFill>
                  <w14:solidFill>
                    <w14:schemeClr w14:val="tx1"/>
                  </w14:solidFill>
                </w14:textFill>
              </w:rPr>
              <w:t>进行打分</w:t>
            </w:r>
            <w:r>
              <w:rPr>
                <w:rFonts w:hint="eastAsia"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napToGrid/>
                <w:color w:val="auto"/>
                <w:kern w:val="2"/>
                <w:sz w:val="24"/>
                <w:szCs w:val="24"/>
                <w:highlight w:val="none"/>
                <w:lang w:val="en-US" w:eastAsia="zh-CN" w:bidi="ar-SA"/>
              </w:rPr>
              <w:t>组织架构</w:t>
            </w:r>
            <w:r>
              <w:rPr>
                <w:rFonts w:hint="eastAsia" w:ascii="宋体" w:hAnsi="宋体" w:eastAsia="宋体" w:cs="宋体"/>
                <w:b w:val="0"/>
                <w:bCs w:val="0"/>
                <w:snapToGrid/>
                <w:color w:val="auto"/>
                <w:kern w:val="2"/>
                <w:sz w:val="24"/>
                <w:szCs w:val="24"/>
                <w:highlight w:val="none"/>
                <w:lang w:val="en-US" w:eastAsia="zh-CN" w:bidi="ar-SA"/>
              </w:rPr>
              <w:t>内容全面、安排合理</w:t>
            </w:r>
            <w:r>
              <w:rPr>
                <w:rFonts w:hint="eastAsia" w:ascii="宋体" w:hAnsi="宋体" w:cs="宋体"/>
                <w:b w:val="0"/>
                <w:bCs w:val="0"/>
                <w:snapToGrid/>
                <w:color w:val="auto"/>
                <w:kern w:val="2"/>
                <w:sz w:val="24"/>
                <w:szCs w:val="24"/>
                <w:highlight w:val="none"/>
                <w:lang w:val="en-US" w:eastAsia="zh-CN" w:bidi="ar-SA"/>
              </w:rPr>
              <w:t>的得</w:t>
            </w:r>
            <w:r>
              <w:rPr>
                <w:rFonts w:hint="eastAsia" w:hAnsi="宋体" w:cs="宋体"/>
                <w:b w:val="0"/>
                <w:bCs w:val="0"/>
                <w:snapToGrid/>
                <w:color w:val="auto"/>
                <w:kern w:val="2"/>
                <w:sz w:val="24"/>
                <w:szCs w:val="24"/>
                <w:highlight w:val="none"/>
                <w:lang w:val="en-US" w:eastAsia="zh-CN" w:bidi="ar-SA"/>
              </w:rPr>
              <w:t>5</w:t>
            </w:r>
            <w:r>
              <w:rPr>
                <w:rFonts w:hint="eastAsia" w:ascii="宋体" w:hAnsi="宋体" w:cs="宋体"/>
                <w:b w:val="0"/>
                <w:bCs w:val="0"/>
                <w:snapToGrid/>
                <w:color w:val="auto"/>
                <w:kern w:val="2"/>
                <w:sz w:val="24"/>
                <w:szCs w:val="24"/>
                <w:highlight w:val="none"/>
                <w:lang w:val="en-US" w:eastAsia="zh-CN" w:bidi="ar-SA"/>
              </w:rPr>
              <w:t>分，组织架构</w:t>
            </w:r>
            <w:r>
              <w:rPr>
                <w:rFonts w:hint="eastAsia" w:ascii="宋体" w:hAnsi="宋体" w:eastAsia="宋体" w:cs="宋体"/>
                <w:b w:val="0"/>
                <w:bCs w:val="0"/>
                <w:snapToGrid/>
                <w:color w:val="auto"/>
                <w:kern w:val="2"/>
                <w:sz w:val="24"/>
                <w:szCs w:val="24"/>
                <w:highlight w:val="none"/>
                <w:lang w:val="en-US" w:eastAsia="zh-CN" w:bidi="ar-SA"/>
              </w:rPr>
              <w:t>内容</w:t>
            </w:r>
            <w:r>
              <w:rPr>
                <w:rFonts w:hint="eastAsia" w:ascii="宋体" w:hAnsi="宋体" w:cs="宋体"/>
                <w:b w:val="0"/>
                <w:bCs w:val="0"/>
                <w:snapToGrid/>
                <w:color w:val="auto"/>
                <w:kern w:val="2"/>
                <w:sz w:val="24"/>
                <w:szCs w:val="24"/>
                <w:highlight w:val="none"/>
                <w:lang w:val="en-US" w:eastAsia="zh-CN" w:bidi="ar-SA"/>
              </w:rPr>
              <w:t>较全面、安排合理性一般的得</w:t>
            </w:r>
            <w:r>
              <w:rPr>
                <w:rFonts w:hint="eastAsia" w:hAnsi="宋体" w:cs="宋体"/>
                <w:b w:val="0"/>
                <w:bCs w:val="0"/>
                <w:snapToGrid/>
                <w:color w:val="auto"/>
                <w:kern w:val="2"/>
                <w:sz w:val="24"/>
                <w:szCs w:val="24"/>
                <w:highlight w:val="none"/>
                <w:lang w:val="en-US" w:eastAsia="zh-CN" w:bidi="ar-SA"/>
              </w:rPr>
              <w:t>3</w:t>
            </w:r>
            <w:r>
              <w:rPr>
                <w:rFonts w:hint="eastAsia" w:ascii="宋体" w:hAnsi="宋体" w:cs="宋体"/>
                <w:b w:val="0"/>
                <w:bCs w:val="0"/>
                <w:snapToGrid/>
                <w:color w:val="auto"/>
                <w:kern w:val="2"/>
                <w:sz w:val="24"/>
                <w:szCs w:val="24"/>
                <w:highlight w:val="none"/>
                <w:lang w:val="en-US" w:eastAsia="zh-CN" w:bidi="ar-SA"/>
              </w:rPr>
              <w:t>分，组织架构模糊，内容不全面的得</w:t>
            </w:r>
            <w:r>
              <w:rPr>
                <w:rFonts w:hint="eastAsia" w:hAnsi="宋体" w:cs="宋体"/>
                <w:b w:val="0"/>
                <w:bCs w:val="0"/>
                <w:snapToGrid/>
                <w:color w:val="auto"/>
                <w:kern w:val="2"/>
                <w:sz w:val="24"/>
                <w:szCs w:val="24"/>
                <w:highlight w:val="none"/>
                <w:lang w:val="en-US" w:eastAsia="zh-CN" w:bidi="ar-SA"/>
              </w:rPr>
              <w:t>1</w:t>
            </w:r>
            <w:r>
              <w:rPr>
                <w:rFonts w:hint="eastAsia" w:ascii="宋体" w:hAnsi="宋体" w:cs="宋体"/>
                <w:b w:val="0"/>
                <w:bCs w:val="0"/>
                <w:snapToGrid/>
                <w:color w:val="auto"/>
                <w:kern w:val="2"/>
                <w:sz w:val="24"/>
                <w:szCs w:val="24"/>
                <w:highlight w:val="none"/>
                <w:lang w:val="en-US" w:eastAsia="zh-CN" w:bidi="ar-SA"/>
              </w:rPr>
              <w:t>分，其他不得分。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组织实施</w:t>
            </w:r>
            <w:r>
              <w:rPr>
                <w:rFonts w:hint="eastAsia" w:hAnsi="宋体" w:cs="宋体"/>
                <w:bCs/>
                <w:color w:val="000000" w:themeColor="text1"/>
                <w:sz w:val="24"/>
                <w:szCs w:val="24"/>
                <w:highlight w:val="none"/>
                <w:lang w:eastAsia="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224" w:type="dxa"/>
            <w:noWrap w:val="0"/>
            <w:vAlign w:val="center"/>
          </w:tcPr>
          <w:p>
            <w:pPr>
              <w:pStyle w:val="36"/>
              <w:snapToGri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工作流程，配合管理和协调方法、服务方案的关键思路和要点</w:t>
            </w:r>
            <w:r>
              <w:rPr>
                <w:rFonts w:hint="eastAsia" w:ascii="宋体" w:hAnsi="宋体" w:eastAsia="宋体" w:cs="宋体"/>
                <w:color w:val="000000" w:themeColor="text1"/>
                <w:sz w:val="24"/>
                <w:szCs w:val="24"/>
                <w:highlight w:val="none"/>
                <w:lang w:eastAsia="zh-CN"/>
                <w14:textFill>
                  <w14:solidFill>
                    <w14:schemeClr w14:val="tx1"/>
                  </w14:solidFill>
                </w14:textFill>
              </w:rPr>
              <w:t>的把握到位情况，</w:t>
            </w:r>
            <w:r>
              <w:rPr>
                <w:rFonts w:hint="eastAsia" w:ascii="宋体" w:hAnsi="宋体" w:eastAsia="宋体" w:cs="宋体"/>
                <w:color w:val="000000" w:themeColor="text1"/>
                <w:sz w:val="24"/>
                <w:szCs w:val="24"/>
                <w:highlight w:val="none"/>
                <w14:textFill>
                  <w14:solidFill>
                    <w14:schemeClr w14:val="tx1"/>
                  </w14:solidFill>
                </w14:textFill>
              </w:rPr>
              <w:t>由评审专家对以上内容进行打分。</w:t>
            </w:r>
            <w:r>
              <w:rPr>
                <w:rFonts w:hint="eastAsia" w:ascii="宋体" w:hAnsi="宋体" w:eastAsia="宋体" w:cs="宋体"/>
                <w:b w:val="0"/>
                <w:bCs w:val="0"/>
                <w:snapToGrid/>
                <w:color w:val="auto"/>
                <w:kern w:val="2"/>
                <w:sz w:val="24"/>
                <w:szCs w:val="24"/>
                <w:highlight w:val="none"/>
                <w:lang w:val="en-US" w:eastAsia="zh-CN" w:bidi="ar-SA"/>
              </w:rPr>
              <w:t>内容详实、合理</w:t>
            </w:r>
            <w:r>
              <w:rPr>
                <w:rFonts w:hint="eastAsia" w:hAnsi="宋体" w:cs="宋体"/>
                <w:b w:val="0"/>
                <w:bCs w:val="0"/>
                <w:snapToGrid/>
                <w:color w:val="auto"/>
                <w:kern w:val="2"/>
                <w:sz w:val="24"/>
                <w:szCs w:val="24"/>
                <w:highlight w:val="none"/>
                <w:lang w:val="en-US" w:eastAsia="zh-CN" w:bidi="ar-SA"/>
              </w:rPr>
              <w:t>性好的</w:t>
            </w:r>
            <w:r>
              <w:rPr>
                <w:rFonts w:hint="eastAsia" w:ascii="宋体" w:hAnsi="宋体" w:eastAsia="宋体" w:cs="宋体"/>
                <w:b w:val="0"/>
                <w:bCs w:val="0"/>
                <w:snapToGrid/>
                <w:color w:val="auto"/>
                <w:kern w:val="2"/>
                <w:sz w:val="24"/>
                <w:szCs w:val="24"/>
                <w:highlight w:val="none"/>
                <w:lang w:val="en-US" w:eastAsia="zh-CN" w:bidi="ar-SA"/>
              </w:rPr>
              <w:t>得</w:t>
            </w:r>
            <w:r>
              <w:rPr>
                <w:rFonts w:hint="eastAsia" w:hAnsi="宋体" w:cs="宋体"/>
                <w:b w:val="0"/>
                <w:bCs w:val="0"/>
                <w:snapToGrid/>
                <w:color w:val="auto"/>
                <w:kern w:val="2"/>
                <w:sz w:val="24"/>
                <w:szCs w:val="24"/>
                <w:highlight w:val="none"/>
                <w:lang w:val="en-US" w:eastAsia="zh-CN" w:bidi="ar-SA"/>
              </w:rPr>
              <w:t>5</w:t>
            </w:r>
            <w:r>
              <w:rPr>
                <w:rFonts w:hint="eastAsia" w:ascii="宋体" w:hAnsi="宋体" w:eastAsia="宋体" w:cs="宋体"/>
                <w:b w:val="0"/>
                <w:bCs w:val="0"/>
                <w:snapToGrid/>
                <w:color w:val="auto"/>
                <w:kern w:val="2"/>
                <w:sz w:val="24"/>
                <w:szCs w:val="24"/>
                <w:highlight w:val="none"/>
                <w:lang w:val="en-US" w:eastAsia="zh-CN" w:bidi="ar-SA"/>
              </w:rPr>
              <w:t>分，内容详实</w:t>
            </w:r>
            <w:r>
              <w:rPr>
                <w:rFonts w:hint="eastAsia" w:hAnsi="宋体" w:cs="宋体"/>
                <w:b w:val="0"/>
                <w:bCs w:val="0"/>
                <w:snapToGrid/>
                <w:color w:val="auto"/>
                <w:kern w:val="2"/>
                <w:sz w:val="24"/>
                <w:szCs w:val="24"/>
                <w:highlight w:val="none"/>
                <w:lang w:val="en-US" w:eastAsia="zh-CN" w:bidi="ar-SA"/>
              </w:rPr>
              <w:t>性不足</w:t>
            </w:r>
            <w:r>
              <w:rPr>
                <w:rFonts w:hint="eastAsia" w:ascii="宋体" w:hAnsi="宋体" w:eastAsia="宋体" w:cs="宋体"/>
                <w:b w:val="0"/>
                <w:bCs w:val="0"/>
                <w:snapToGrid/>
                <w:color w:val="auto"/>
                <w:kern w:val="2"/>
                <w:sz w:val="24"/>
                <w:szCs w:val="24"/>
                <w:highlight w:val="none"/>
                <w:lang w:val="en-US" w:eastAsia="zh-CN" w:bidi="ar-SA"/>
              </w:rPr>
              <w:t>、合理</w:t>
            </w:r>
            <w:r>
              <w:rPr>
                <w:rFonts w:hint="eastAsia" w:hAnsi="宋体" w:cs="宋体"/>
                <w:b w:val="0"/>
                <w:bCs w:val="0"/>
                <w:snapToGrid/>
                <w:color w:val="auto"/>
                <w:kern w:val="2"/>
                <w:sz w:val="24"/>
                <w:szCs w:val="24"/>
                <w:highlight w:val="none"/>
                <w:lang w:val="en-US" w:eastAsia="zh-CN" w:bidi="ar-SA"/>
              </w:rPr>
              <w:t>性一般的</w:t>
            </w:r>
            <w:r>
              <w:rPr>
                <w:rFonts w:hint="eastAsia" w:ascii="宋体" w:hAnsi="宋体" w:eastAsia="宋体" w:cs="宋体"/>
                <w:b w:val="0"/>
                <w:bCs w:val="0"/>
                <w:snapToGrid/>
                <w:color w:val="auto"/>
                <w:kern w:val="2"/>
                <w:sz w:val="24"/>
                <w:szCs w:val="24"/>
                <w:highlight w:val="none"/>
                <w:lang w:val="en-US" w:eastAsia="zh-CN" w:bidi="ar-SA"/>
              </w:rPr>
              <w:t>得</w:t>
            </w:r>
            <w:r>
              <w:rPr>
                <w:rFonts w:hint="eastAsia" w:hAnsi="宋体" w:cs="宋体"/>
                <w:b w:val="0"/>
                <w:bCs w:val="0"/>
                <w:snapToGrid/>
                <w:color w:val="auto"/>
                <w:kern w:val="2"/>
                <w:sz w:val="24"/>
                <w:szCs w:val="24"/>
                <w:highlight w:val="none"/>
                <w:lang w:val="en-US" w:eastAsia="zh-CN" w:bidi="ar-SA"/>
              </w:rPr>
              <w:t>3</w:t>
            </w:r>
            <w:r>
              <w:rPr>
                <w:rFonts w:hint="eastAsia" w:ascii="宋体" w:hAnsi="宋体" w:eastAsia="宋体" w:cs="宋体"/>
                <w:b w:val="0"/>
                <w:bCs w:val="0"/>
                <w:snapToGrid/>
                <w:color w:val="auto"/>
                <w:kern w:val="2"/>
                <w:sz w:val="24"/>
                <w:szCs w:val="24"/>
                <w:highlight w:val="none"/>
                <w:lang w:val="en-US" w:eastAsia="zh-CN" w:bidi="ar-SA"/>
              </w:rPr>
              <w:t>分</w:t>
            </w:r>
            <w:r>
              <w:rPr>
                <w:rFonts w:hint="eastAsia" w:hAnsi="宋体" w:cs="宋体"/>
                <w:b w:val="0"/>
                <w:bCs w:val="0"/>
                <w:snapToGrid/>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lang w:val="en-US" w:eastAsia="zh-CN" w:bidi="ar-SA"/>
              </w:rPr>
              <w:t>内容欠佳或存在缺陷的</w:t>
            </w:r>
            <w:r>
              <w:rPr>
                <w:rFonts w:hint="eastAsia" w:hAnsi="宋体" w:cs="宋体"/>
                <w:b w:val="0"/>
                <w:bCs w:val="0"/>
                <w:snapToGrid/>
                <w:color w:val="auto"/>
                <w:kern w:val="2"/>
                <w:sz w:val="24"/>
                <w:szCs w:val="24"/>
                <w:highlight w:val="none"/>
                <w:lang w:val="en-US" w:eastAsia="zh-CN" w:bidi="ar-SA"/>
              </w:rPr>
              <w:t>得1</w:t>
            </w:r>
            <w:r>
              <w:rPr>
                <w:rFonts w:hint="eastAsia" w:ascii="宋体" w:hAnsi="宋体" w:eastAsia="宋体" w:cs="宋体"/>
                <w:b w:val="0"/>
                <w:bCs w:val="0"/>
                <w:snapToGrid/>
                <w:color w:val="auto"/>
                <w:kern w:val="2"/>
                <w:sz w:val="24"/>
                <w:szCs w:val="24"/>
                <w:highlight w:val="none"/>
                <w:lang w:val="en-US" w:eastAsia="zh-CN" w:bidi="ar-SA"/>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cs="宋体"/>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r>
              <w:rPr>
                <w:rFonts w:hint="eastAsia" w:hAnsi="宋体" w:cs="宋体"/>
                <w:bCs/>
                <w:color w:val="000000" w:themeColor="text1"/>
                <w:sz w:val="24"/>
                <w:szCs w:val="24"/>
                <w:highlight w:val="none"/>
                <w:lang w:eastAsia="zh-CN"/>
                <w14:textFill>
                  <w14:solidFill>
                    <w14:schemeClr w14:val="tx1"/>
                  </w14:solidFill>
                </w14:textFill>
              </w:rPr>
              <w:t>人员职责配备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224" w:type="dxa"/>
            <w:noWrap w:val="0"/>
            <w:vAlign w:val="center"/>
          </w:tcPr>
          <w:p>
            <w:pPr>
              <w:pStyle w:val="961"/>
              <w:keepNext w:val="0"/>
              <w:keepLines w:val="0"/>
              <w:pageBreakBefore w:val="0"/>
              <w:kinsoku/>
              <w:wordWrap/>
              <w:overflowPunct/>
              <w:topLinePunct w:val="0"/>
              <w:autoSpaceDE/>
              <w:autoSpaceDN/>
              <w:bidi w:val="0"/>
              <w:adjustRightInd/>
              <w:snapToGrid w:val="0"/>
              <w:spacing w:line="360" w:lineRule="auto"/>
              <w:ind w:left="0"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提供的检测技术服务根据其服务网点的及时、便捷和售后服务的响应性</w:t>
            </w:r>
            <w:r>
              <w:rPr>
                <w:rFonts w:hint="eastAsia" w:ascii="宋体" w:hAnsi="宋体" w:eastAsia="宋体" w:cs="宋体"/>
                <w:color w:val="000000" w:themeColor="text1"/>
                <w:sz w:val="24"/>
                <w:szCs w:val="24"/>
                <w:highlight w:val="none"/>
                <w:lang w:eastAsia="zh-CN"/>
                <w14:textFill>
                  <w14:solidFill>
                    <w14:schemeClr w14:val="tx1"/>
                  </w14:solidFill>
                </w14:textFill>
              </w:rPr>
              <w:t>时效内容以及其他响应内容</w:t>
            </w:r>
            <w:r>
              <w:rPr>
                <w:rFonts w:hint="eastAsia" w:ascii="宋体" w:hAnsi="宋体" w:eastAsia="宋体" w:cs="宋体"/>
                <w:sz w:val="24"/>
                <w:szCs w:val="24"/>
                <w:highlight w:val="none"/>
              </w:rPr>
              <w:t>方案科学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分、内容科学性不足、合理性一般的得1分；</w:t>
            </w:r>
            <w:r>
              <w:rPr>
                <w:rFonts w:hint="eastAsia" w:ascii="宋体" w:hAnsi="宋体" w:eastAsia="宋体" w:cs="宋体"/>
                <w:color w:val="auto"/>
                <w:sz w:val="24"/>
                <w:szCs w:val="24"/>
                <w:highlight w:val="none"/>
                <w:lang w:val="en-US" w:eastAsia="zh-CN"/>
              </w:rPr>
              <w:t>没有不得分。</w:t>
            </w:r>
          </w:p>
          <w:p>
            <w:pPr>
              <w:pStyle w:val="36"/>
              <w:keepNext w:val="0"/>
              <w:keepLines w:val="0"/>
              <w:pageBreakBefore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服务承诺落实的保障措施</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质保期内外的后续技术支持</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维护能力</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根据售后服务方案</w:t>
            </w:r>
            <w:r>
              <w:rPr>
                <w:rFonts w:hint="eastAsia" w:ascii="宋体" w:hAnsi="宋体" w:eastAsia="宋体" w:cs="宋体"/>
                <w:b w:val="0"/>
                <w:color w:val="000000" w:themeColor="text1"/>
                <w:sz w:val="24"/>
                <w:szCs w:val="24"/>
                <w:highlight w:val="none"/>
                <w14:textFill>
                  <w14:solidFill>
                    <w14:schemeClr w14:val="tx1"/>
                  </w14:solidFill>
                </w14:textFill>
              </w:rPr>
              <w:t>保障</w:t>
            </w:r>
            <w:r>
              <w:rPr>
                <w:rFonts w:hint="eastAsia" w:ascii="宋体" w:hAnsi="宋体" w:eastAsia="宋体" w:cs="宋体"/>
                <w:b w:val="0"/>
                <w:color w:val="000000" w:themeColor="text1"/>
                <w:sz w:val="24"/>
                <w:szCs w:val="24"/>
                <w:highlight w:val="none"/>
                <w:lang w:eastAsia="zh-CN"/>
                <w14:textFill>
                  <w14:solidFill>
                    <w14:schemeClr w14:val="tx1"/>
                  </w14:solidFill>
                </w14:textFill>
              </w:rPr>
              <w:t>措施完善性好、后续技术及维护能力保障度高</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的得</w:t>
            </w:r>
            <w:r>
              <w:rPr>
                <w:rFonts w:hint="eastAsia" w:hAnsi="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分，服务方案</w:t>
            </w:r>
            <w:r>
              <w:rPr>
                <w:rFonts w:hint="eastAsia" w:ascii="宋体" w:hAnsi="宋体" w:eastAsia="宋体" w:cs="宋体"/>
                <w:b w:val="0"/>
                <w:color w:val="000000" w:themeColor="text1"/>
                <w:sz w:val="24"/>
                <w:szCs w:val="24"/>
                <w:highlight w:val="none"/>
                <w14:textFill>
                  <w14:solidFill>
                    <w14:schemeClr w14:val="tx1"/>
                  </w14:solidFill>
                </w14:textFill>
              </w:rPr>
              <w:t>保障</w:t>
            </w:r>
            <w:r>
              <w:rPr>
                <w:rFonts w:hint="eastAsia" w:ascii="宋体" w:hAnsi="宋体" w:eastAsia="宋体" w:cs="宋体"/>
                <w:b w:val="0"/>
                <w:color w:val="000000" w:themeColor="text1"/>
                <w:sz w:val="24"/>
                <w:szCs w:val="24"/>
                <w:highlight w:val="none"/>
                <w:lang w:eastAsia="zh-CN"/>
                <w14:textFill>
                  <w14:solidFill>
                    <w14:schemeClr w14:val="tx1"/>
                  </w14:solidFill>
                </w14:textFill>
              </w:rPr>
              <w:t>措施完善性一般、后续技术及维护能力一般</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的得</w:t>
            </w:r>
            <w:r>
              <w:rPr>
                <w:rFonts w:hint="eastAsia" w:hAnsi="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auto"/>
                <w:sz w:val="24"/>
                <w:szCs w:val="24"/>
                <w:highlight w:val="none"/>
                <w:lang w:val="en-US" w:eastAsia="zh-CN"/>
              </w:rPr>
              <w:t>没有不得分。</w:t>
            </w:r>
          </w:p>
        </w:tc>
        <w:tc>
          <w:tcPr>
            <w:tcW w:w="76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hAnsi="宋体" w:cs="宋体"/>
                <w:sz w:val="24"/>
                <w:szCs w:val="24"/>
                <w:highlight w:val="none"/>
                <w:lang w:val="en-US" w:eastAsia="zh-CN"/>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c>
          <w:tcPr>
            <w:tcW w:w="1320" w:type="dxa"/>
            <w:noWrap w:val="0"/>
            <w:vAlign w:val="center"/>
          </w:tcPr>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22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拟派项目负责人具有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机械或电气或特种设备类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高级职称得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（需提供</w:t>
            </w:r>
            <w:r>
              <w:rPr>
                <w:rFonts w:hint="eastAsia" w:ascii="宋体" w:hAnsi="宋体" w:cs="宋体"/>
                <w:b/>
                <w:bCs/>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b/>
                <w:bCs/>
                <w:color w:val="000000" w:themeColor="text1"/>
                <w:sz w:val="24"/>
                <w:szCs w:val="24"/>
                <w:highlight w:val="none"/>
                <w14:textFill>
                  <w14:solidFill>
                    <w14:schemeClr w14:val="tx1"/>
                  </w14:solidFill>
                </w14:textFill>
              </w:rPr>
              <w:t>近三个月的社保证明、职称证书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p>
        </w:tc>
        <w:tc>
          <w:tcPr>
            <w:tcW w:w="765" w:type="dxa"/>
            <w:noWrap w:val="0"/>
            <w:vAlign w:val="center"/>
          </w:tcPr>
          <w:p>
            <w:pPr>
              <w:spacing w:line="360" w:lineRule="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val="0"/>
                <w:color w:val="000000" w:themeColor="text1"/>
                <w:sz w:val="24"/>
                <w:szCs w:val="24"/>
                <w:highlight w:val="none"/>
                <w:lang w:val="en-US" w:eastAsia="zh-CN"/>
                <w14:textFill>
                  <w14:solidFill>
                    <w14:schemeClr w14:val="tx1"/>
                  </w14:solidFill>
                </w14:textFill>
              </w:rPr>
              <w:t>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restart"/>
            <w:noWrap w:val="0"/>
            <w:vAlign w:val="center"/>
          </w:tcPr>
          <w:p>
            <w:pPr>
              <w:pStyle w:val="3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拟派技术</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服务团队</w:t>
            </w:r>
            <w:r>
              <w:rPr>
                <w:rFonts w:hint="eastAsia" w:ascii="宋体" w:hAnsi="宋体" w:eastAsia="宋体" w:cs="宋体"/>
                <w:bCs/>
                <w:color w:val="000000" w:themeColor="text1"/>
                <w:sz w:val="24"/>
                <w:szCs w:val="24"/>
                <w:highlight w:val="none"/>
                <w14:textFill>
                  <w14:solidFill>
                    <w14:schemeClr w14:val="tx1"/>
                  </w14:solidFill>
                </w14:textFill>
              </w:rPr>
              <w:t>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224" w:type="dxa"/>
            <w:noWrap w:val="0"/>
            <w:vAlign w:val="center"/>
          </w:tcPr>
          <w:p>
            <w:pPr>
              <w:keepNext w:val="0"/>
              <w:keepLines w:val="0"/>
              <w:pageBreakBefore w:val="0"/>
              <w:numPr>
                <w:ilvl w:val="-1"/>
                <w:numId w:val="0"/>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根据本项目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服务团队</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力量</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配备方案、岗位安排等</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满足</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名</w:t>
            </w:r>
            <w:r>
              <w:rPr>
                <w:rFonts w:hint="eastAsia" w:ascii="宋体" w:hAnsi="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团队人员的基本要求</w:t>
            </w:r>
            <w:r>
              <w:rPr>
                <w:rFonts w:hint="eastAsia" w:ascii="宋体" w:hAnsi="宋体" w:cs="宋体"/>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，团队成员中每增加1名检验师得2分，每增加1名检验员，得1分，本项最高得6分；</w:t>
            </w:r>
          </w:p>
          <w:p>
            <w:pPr>
              <w:keepNext w:val="0"/>
              <w:keepLines w:val="0"/>
              <w:pageBreakBefore w:val="0"/>
              <w:numPr>
                <w:ilvl w:val="-1"/>
                <w:numId w:val="0"/>
              </w:numPr>
              <w:kinsoku/>
              <w:wordWrap/>
              <w:overflowPunct/>
              <w:topLinePunct w:val="0"/>
              <w:autoSpaceDE/>
              <w:autoSpaceDN/>
              <w:bidi w:val="0"/>
              <w:snapToGrid w:val="0"/>
              <w:spacing w:line="360" w:lineRule="auto"/>
              <w:ind w:left="0" w:leftChars="0" w:firstLine="0" w:firstLineChars="0"/>
              <w:jc w:val="left"/>
              <w:textAlignment w:val="auto"/>
              <w:rPr>
                <w:rFonts w:hint="eastAsia" w:ascii="宋体" w:hAnsi="宋体" w:cs="宋体"/>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上述人员同时</w:t>
            </w:r>
            <w:r>
              <w:rPr>
                <w:rFonts w:hint="eastAsia" w:ascii="宋体" w:hAnsi="宋体" w:eastAsia="宋体" w:cs="宋体"/>
                <w:b/>
                <w:bCs/>
                <w:color w:val="000000" w:themeColor="text1"/>
                <w:sz w:val="24"/>
                <w:szCs w:val="24"/>
                <w:highlight w:val="none"/>
                <w14:textFill>
                  <w14:solidFill>
                    <w14:schemeClr w14:val="tx1"/>
                  </w14:solidFill>
                </w14:textFill>
              </w:rPr>
              <w:t>需提供近三个月的社保证明</w:t>
            </w:r>
            <w:r>
              <w:rPr>
                <w:rFonts w:hint="eastAsia" w:ascii="宋体" w:hAnsi="宋体" w:cs="宋体"/>
                <w:b/>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bCs/>
                <w:color w:val="000000" w:themeColor="text1"/>
                <w:sz w:val="24"/>
                <w:szCs w:val="24"/>
                <w:highlight w:val="none"/>
                <w14:textFill>
                  <w14:solidFill>
                    <w14:schemeClr w14:val="tx1"/>
                  </w14:solidFill>
                </w14:textFill>
              </w:rPr>
              <w:t>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szCs w:val="24"/>
                <w:highlight w:val="none"/>
                <w14:textFill>
                  <w14:solidFill>
                    <w14:schemeClr w14:val="tx1"/>
                  </w14:solidFill>
                </w14:textFill>
              </w:rPr>
              <w:t>加盖公章</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服务团队人员低于</w:t>
            </w:r>
            <w:r>
              <w:rPr>
                <w:rFonts w:hint="default"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名者，不得分</w:t>
            </w:r>
            <w:r>
              <w:rPr>
                <w:rFonts w:hint="eastAsia" w:ascii="宋体" w:hAnsi="宋体" w:cs="宋体"/>
                <w:b/>
                <w:bCs/>
                <w:color w:val="000000" w:themeColor="text1"/>
                <w:sz w:val="24"/>
                <w:szCs w:val="24"/>
                <w:highlight w:val="none"/>
                <w:lang w:val="en-US" w:eastAsia="zh-CN"/>
                <w14:textFill>
                  <w14:solidFill>
                    <w14:schemeClr w14:val="tx1"/>
                  </w14:solidFill>
                </w14:textFill>
              </w:rPr>
              <w:t>。投标人根据项目要求提供证明材料）</w:t>
            </w:r>
          </w:p>
        </w:tc>
        <w:tc>
          <w:tcPr>
            <w:tcW w:w="76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6分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36"/>
              <w:widowControl/>
              <w:numPr>
                <w:ilvl w:val="0"/>
                <w:numId w:val="0"/>
              </w:numPr>
              <w:snapToGrid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224" w:type="dxa"/>
            <w:noWrap w:val="0"/>
            <w:vAlign w:val="center"/>
          </w:tcPr>
          <w:p>
            <w:pPr>
              <w:keepNext w:val="0"/>
              <w:keepLines w:val="0"/>
              <w:pageBreakBefore w:val="0"/>
              <w:kinsoku/>
              <w:wordWrap/>
              <w:overflowPunct/>
              <w:topLinePunct w:val="0"/>
              <w:autoSpaceDE/>
              <w:autoSpaceDN/>
              <w:bidi w:val="0"/>
              <w:snapToGrid w:val="0"/>
              <w:spacing w:line="360" w:lineRule="auto"/>
              <w:jc w:val="left"/>
              <w:textAlignment w:val="auto"/>
              <w:rPr>
                <w:rFonts w:hint="eastAsia" w:ascii="宋体" w:hAnsi="宋体" w:cs="宋体"/>
                <w:sz w:val="24"/>
                <w:szCs w:val="24"/>
                <w:highlight w:val="none"/>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团队成员中检验师且有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机械或电气或特种设备类</w:t>
            </w:r>
            <w:r>
              <w:rPr>
                <w:rFonts w:hint="eastAsia" w:ascii="宋体" w:hAnsi="宋体" w:eastAsia="宋体" w:cs="宋体"/>
                <w:color w:val="000000" w:themeColor="text1"/>
                <w:sz w:val="24"/>
                <w:szCs w:val="24"/>
                <w:highlight w:val="none"/>
                <w:lang w:val="en-US" w:eastAsia="zh-CN"/>
                <w14:textFill>
                  <w14:solidFill>
                    <w14:schemeClr w14:val="tx1"/>
                  </w14:solidFill>
                </w14:textFill>
              </w:rPr>
              <w:t>高级工程师职称的，每</w:t>
            </w:r>
            <w:r>
              <w:rPr>
                <w:rFonts w:hint="eastAsia" w:ascii="宋体" w:hAnsi="宋体" w:cs="宋体"/>
                <w:color w:val="000000" w:themeColor="text1"/>
                <w:sz w:val="24"/>
                <w:szCs w:val="24"/>
                <w:highlight w:val="none"/>
                <w:lang w:val="en-US" w:eastAsia="zh-CN"/>
                <w14:textFill>
                  <w14:solidFill>
                    <w14:schemeClr w14:val="tx1"/>
                  </w14:solidFill>
                </w14:textFill>
              </w:rPr>
              <w:t>人得2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b/>
                <w:bCs/>
                <w:color w:val="000000" w:themeColor="text1"/>
                <w:sz w:val="24"/>
                <w:szCs w:val="24"/>
                <w:highlight w:val="none"/>
                <w14:textFill>
                  <w14:solidFill>
                    <w14:schemeClr w14:val="tx1"/>
                  </w14:solidFill>
                </w14:textFill>
              </w:rPr>
              <w:t>（需提供近三个月的社保证明、职称证书</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p>
        </w:tc>
        <w:tc>
          <w:tcPr>
            <w:tcW w:w="765"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hAnsi="宋体" w:cs="宋体"/>
                <w:sz w:val="24"/>
                <w:szCs w:val="24"/>
                <w:highlight w:val="none"/>
                <w:lang w:val="en-US" w:eastAsia="zh-CN"/>
              </w:rPr>
            </w:pPr>
            <w:r>
              <w:rPr>
                <w:rFonts w:hint="eastAsia" w:ascii="宋体" w:hAnsi="宋体" w:cs="宋体"/>
                <w:bCs w:val="0"/>
                <w:color w:val="000000" w:themeColor="text1"/>
                <w:sz w:val="24"/>
                <w:szCs w:val="24"/>
                <w:highlight w:val="none"/>
                <w:lang w:val="en-US" w:eastAsia="zh-CN"/>
                <w14:textFill>
                  <w14:solidFill>
                    <w14:schemeClr w14:val="tx1"/>
                  </w14:solidFill>
                </w14:textFill>
              </w:rPr>
              <w:t>4分</w:t>
            </w:r>
          </w:p>
        </w:tc>
        <w:tc>
          <w:tcPr>
            <w:tcW w:w="1020" w:type="dxa"/>
            <w:noWrap w:val="0"/>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320" w:type="dxa"/>
            <w:vMerge w:val="continue"/>
            <w:noWrap w:val="0"/>
            <w:vAlign w:val="center"/>
          </w:tcPr>
          <w:p>
            <w:pPr>
              <w:pStyle w:val="36"/>
              <w:widowControl/>
              <w:numPr>
                <w:ilvl w:val="0"/>
                <w:numId w:val="0"/>
              </w:numPr>
              <w:snapToGrid w:val="0"/>
              <w:spacing w:line="360" w:lineRule="auto"/>
              <w:ind w:left="0" w:leftChars="0" w:firstLine="0" w:firstLineChars="0"/>
              <w:jc w:val="center"/>
              <w:rPr>
                <w:rFonts w:hint="eastAsia" w:ascii="宋体" w:hAnsi="宋体" w:eastAsia="宋体" w:cs="宋体"/>
                <w:sz w:val="24"/>
                <w:szCs w:val="24"/>
                <w:highlight w:val="none"/>
                <w:lang w:val="en-US" w:eastAsia="zh-CN"/>
              </w:rPr>
            </w:pPr>
          </w:p>
        </w:tc>
      </w:tr>
    </w:tbl>
    <w:p>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hd w:val="clear"/>
        <w:snapToGrid w:val="0"/>
        <w:spacing w:line="360" w:lineRule="auto"/>
        <w:ind w:firstLine="482" w:firstLineChars="200"/>
        <w:rPr>
          <w:rFonts w:ascii="宋体" w:hAnsi="宋体" w:cs="宋体"/>
          <w:bCs/>
          <w:sz w:val="24"/>
        </w:rPr>
      </w:pPr>
      <w:r>
        <w:rPr>
          <w:rFonts w:hint="eastAsia" w:ascii="宋体" w:hAnsi="宋体" w:cs="宋体"/>
          <w:b/>
          <w:sz w:val="24"/>
        </w:rPr>
        <w:t>2、商务分+技术分</w:t>
      </w:r>
      <w:r>
        <w:rPr>
          <w:rFonts w:hint="eastAsia" w:ascii="宋体" w:hAnsi="宋体" w:cs="宋体"/>
          <w:bCs/>
          <w:sz w:val="24"/>
        </w:rPr>
        <w:t>=评标委员会所有成员评分合计数/评标委员会组成人员数（精确到小数点后二位）；</w:t>
      </w:r>
    </w:p>
    <w:p>
      <w:pPr>
        <w:shd w:val="clear"/>
        <w:snapToGrid w:val="0"/>
        <w:spacing w:line="360" w:lineRule="auto"/>
        <w:ind w:firstLine="482" w:firstLineChars="200"/>
        <w:rPr>
          <w:rFonts w:hint="eastAsia" w:ascii="宋体" w:hAnsi="宋体" w:cs="宋体"/>
          <w:bCs/>
          <w:sz w:val="24"/>
        </w:rPr>
      </w:pPr>
      <w:r>
        <w:rPr>
          <w:rFonts w:hint="eastAsia" w:ascii="宋体" w:hAnsi="宋体" w:cs="宋体"/>
          <w:b/>
          <w:sz w:val="24"/>
        </w:rPr>
        <w:t>3、</w:t>
      </w:r>
      <w:r>
        <w:rPr>
          <w:rFonts w:hint="eastAsia" w:ascii="宋体" w:hAnsi="宋体" w:cs="宋体"/>
          <w:b/>
          <w:sz w:val="24"/>
          <w:highlight w:val="none"/>
        </w:rPr>
        <w:t>价格分（</w:t>
      </w:r>
      <w:r>
        <w:rPr>
          <w:rFonts w:hint="eastAsia" w:ascii="宋体" w:hAnsi="宋体" w:cs="宋体"/>
          <w:b/>
          <w:sz w:val="24"/>
          <w:highlight w:val="none"/>
          <w:lang w:val="en-US" w:eastAsia="zh-CN"/>
        </w:rPr>
        <w:t>15</w:t>
      </w:r>
      <w:r>
        <w:rPr>
          <w:rFonts w:hint="eastAsia" w:ascii="宋体" w:hAnsi="宋体" w:cs="宋体"/>
          <w:b/>
          <w:sz w:val="24"/>
          <w:highlight w:val="none"/>
        </w:rPr>
        <w:t>分）</w:t>
      </w:r>
      <w:r>
        <w:rPr>
          <w:rFonts w:hint="eastAsia" w:ascii="宋体" w:hAnsi="宋体" w:cs="宋体"/>
          <w:bCs/>
          <w:sz w:val="24"/>
          <w:highlight w:val="none"/>
        </w:rPr>
        <w:t>采用低价优先法计算，即满足招标文件要求且投标价格</w:t>
      </w:r>
      <w:r>
        <w:rPr>
          <w:rFonts w:hint="eastAsia" w:ascii="宋体" w:hAnsi="宋体" w:cs="宋体"/>
          <w:bCs/>
          <w:sz w:val="24"/>
          <w:highlight w:val="none"/>
          <w:lang w:eastAsia="zh-CN"/>
        </w:rPr>
        <w:t>综合单</w:t>
      </w:r>
      <w:r>
        <w:rPr>
          <w:rFonts w:hint="eastAsia" w:ascii="宋体" w:hAnsi="宋体" w:cs="宋体"/>
          <w:bCs/>
          <w:sz w:val="24"/>
          <w:lang w:eastAsia="zh-CN"/>
        </w:rPr>
        <w:t>价</w:t>
      </w:r>
      <w:r>
        <w:rPr>
          <w:rFonts w:hint="eastAsia" w:ascii="宋体" w:hAnsi="宋体" w:cs="宋体"/>
          <w:bCs/>
          <w:sz w:val="24"/>
        </w:rPr>
        <w:t>最低的投标报价为评标基准价，其他投标人的价格分按照下列公式计算：</w:t>
      </w:r>
    </w:p>
    <w:p>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价格分=（评标基准价/投标报价）×</w:t>
      </w:r>
      <w:r>
        <w:rPr>
          <w:rFonts w:hint="eastAsia" w:ascii="宋体" w:hAnsi="宋体" w:cs="宋体"/>
          <w:b/>
          <w:bCs/>
          <w:color w:val="000000"/>
          <w:sz w:val="24"/>
          <w:lang w:val="en-US" w:eastAsia="zh-CN"/>
        </w:rPr>
        <w:t>15</w:t>
      </w:r>
      <w:r>
        <w:rPr>
          <w:rFonts w:hint="eastAsia" w:ascii="宋体" w:hAnsi="宋体" w:eastAsia="宋体" w:cs="宋体"/>
          <w:b/>
          <w:bCs/>
          <w:color w:val="000000"/>
          <w:sz w:val="24"/>
        </w:rPr>
        <w:t>%×100（精确到小数点后二位）；</w:t>
      </w:r>
    </w:p>
    <w:p>
      <w:pPr>
        <w:shd w:val="clear"/>
        <w:snapToGrid w:val="0"/>
        <w:spacing w:line="360" w:lineRule="auto"/>
        <w:ind w:firstLine="482" w:firstLineChars="200"/>
        <w:rPr>
          <w:rFonts w:ascii="宋体" w:hAnsi="宋体" w:cs="宋体"/>
          <w:b/>
          <w:bCs w:val="0"/>
          <w:sz w:val="24"/>
        </w:rPr>
      </w:pPr>
      <w:r>
        <w:rPr>
          <w:rFonts w:hint="eastAsia" w:ascii="宋体" w:hAnsi="宋体" w:cs="宋体"/>
          <w:b/>
          <w:bCs w:val="0"/>
          <w:sz w:val="24"/>
        </w:rPr>
        <w:t>因落实政府采购政策进行价格调整的，以调整后的价格计算评标基准价和投标报价。报价是中标的一个重要因素，但最低报价不是中标的唯一依据；</w:t>
      </w:r>
    </w:p>
    <w:p>
      <w:pPr>
        <w:numPr>
          <w:ilvl w:val="0"/>
          <w:numId w:val="4"/>
        </w:numPr>
        <w:snapToGrid w:val="0"/>
        <w:ind w:firstLine="482" w:firstLineChars="200"/>
        <w:rPr>
          <w:rFonts w:hint="eastAsia"/>
        </w:rPr>
      </w:pPr>
      <w:r>
        <w:rPr>
          <w:rFonts w:hint="eastAsia" w:ascii="宋体" w:hAnsi="宋体" w:cs="宋体"/>
          <w:b/>
          <w:sz w:val="24"/>
        </w:rPr>
        <w:t>各投标人的综合得分为：</w:t>
      </w:r>
      <w:r>
        <w:rPr>
          <w:rFonts w:hint="eastAsia" w:ascii="宋体" w:hAnsi="宋体" w:cs="宋体"/>
          <w:bCs/>
          <w:sz w:val="24"/>
        </w:rPr>
        <w:t>技术商务得分+投标价格得分之和，总和为100分，其中：商务技术得分最高</w:t>
      </w:r>
      <w:r>
        <w:rPr>
          <w:rFonts w:hint="eastAsia" w:ascii="宋体" w:hAnsi="宋体" w:cs="宋体"/>
          <w:bCs/>
          <w:sz w:val="24"/>
          <w:lang w:val="en-US" w:eastAsia="zh-CN"/>
        </w:rPr>
        <w:t>85</w:t>
      </w:r>
      <w:r>
        <w:rPr>
          <w:rFonts w:hint="eastAsia" w:ascii="宋体" w:hAnsi="宋体" w:cs="宋体"/>
          <w:bCs/>
          <w:sz w:val="24"/>
        </w:rPr>
        <w:t>分，投标价格得分最高</w:t>
      </w:r>
      <w:r>
        <w:rPr>
          <w:rFonts w:hint="eastAsia" w:ascii="宋体" w:hAnsi="宋体" w:cs="宋体"/>
          <w:bCs/>
          <w:sz w:val="24"/>
          <w:lang w:val="en-US" w:eastAsia="zh-CN"/>
        </w:rPr>
        <w:t>15</w:t>
      </w:r>
      <w:r>
        <w:rPr>
          <w:rFonts w:hint="eastAsia" w:ascii="宋体" w:hAnsi="宋体" w:cs="宋体"/>
          <w:bCs/>
          <w:sz w:val="24"/>
        </w:rPr>
        <w:t>分。</w:t>
      </w:r>
    </w:p>
    <w:p>
      <w:pPr>
        <w:pStyle w:val="2"/>
        <w:jc w:val="left"/>
      </w:pPr>
      <w:r>
        <w:rPr>
          <w:rFonts w:hint="eastAsia"/>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pStyle w:val="2"/>
        <w:jc w:val="left"/>
      </w:pPr>
      <w:r>
        <w:rPr>
          <w:rFonts w:hint="eastAsia"/>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pStyle w:val="2"/>
        <w:jc w:val="left"/>
        <w:rPr>
          <w:rFonts w:hint="eastAsia" w:ascii="仿宋_GB2312" w:hAnsi="仿宋_GB2312" w:eastAsia="宋体" w:cs="Times New Roman"/>
          <w:b/>
          <w:sz w:val="32"/>
          <w:szCs w:val="32"/>
        </w:rPr>
      </w:pPr>
      <w:r>
        <w:rPr>
          <w:rFonts w:hint="eastAsia" w:ascii="仿宋_GB2312" w:hAnsi="仿宋_GB2312" w:eastAsia="宋体" w:cs="Times New Roman"/>
          <w:b/>
          <w:sz w:val="32"/>
          <w:szCs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137"/>
        <w:spacing w:before="0"/>
        <w:ind w:firstLine="480"/>
        <w:rPr>
          <w:rFonts w:ascii="宋体" w:hAnsi="宋体" w:cs="宋体"/>
          <w:kern w:val="0"/>
          <w:szCs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jc w:val="both"/>
        <w:rPr>
          <w:rFonts w:hint="eastAsia" w:ascii="仿宋_GB2312" w:hAnsi="仿宋_GB2312" w:eastAsia="宋体" w:cs="Times New Roman"/>
          <w:b/>
          <w:sz w:val="32"/>
        </w:rPr>
      </w:pPr>
      <w:r>
        <w:rPr>
          <w:rFonts w:hint="eastAsia" w:ascii="仿宋_GB2312" w:hAnsi="仿宋_GB2312" w:eastAsia="宋体" w:cs="Times New Roman"/>
          <w:b/>
          <w:sz w:val="32"/>
        </w:rPr>
        <w:t>四、评标中的其他事项</w:t>
      </w:r>
    </w:p>
    <w:p>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cs="宋体"/>
          <w:kern w:val="0"/>
          <w:sz w:val="24"/>
        </w:rPr>
        <w:t xml:space="preserve">  4.2.11投标人有恶意串通、妨碍其他投标人的竞争行为、损害采购人或者其</w:t>
      </w:r>
      <w:r>
        <w:rPr>
          <w:rFonts w:hint="eastAsia" w:ascii="宋体" w:hAnsi="宋体" w:eastAsia="宋体" w:cs="宋体"/>
          <w:kern w:val="0"/>
          <w:sz w:val="24"/>
        </w:rPr>
        <w:t>他投标人的合法权益情形的；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spacing w:line="360" w:lineRule="auto"/>
        <w:ind w:firstLine="240" w:firstLineChars="100"/>
        <w:rPr>
          <w:rFonts w:hint="eastAsia" w:ascii="宋体" w:hAnsi="宋体" w:eastAsia="宋体" w:cs="宋体"/>
          <w:kern w:val="0"/>
          <w:lang w:val="en-US"/>
        </w:rPr>
      </w:pPr>
      <w:r>
        <w:rPr>
          <w:rFonts w:hint="eastAsia" w:ascii="宋体" w:hAnsi="宋体" w:eastAsia="宋体" w:cs="宋体"/>
          <w:kern w:val="0"/>
          <w:lang w:val="en-US"/>
        </w:rPr>
        <w:t>4.2.13 投标文件不满足招标文件的其它实质性要求的；</w:t>
      </w:r>
    </w:p>
    <w:p>
      <w:pPr>
        <w:spacing w:line="360" w:lineRule="auto"/>
        <w:ind w:firstLine="240" w:firstLineChars="100"/>
        <w:rPr>
          <w:rFonts w:ascii="宋体" w:hAnsi="宋体" w:cs="宋体"/>
          <w:kern w:val="0"/>
          <w:sz w:val="24"/>
        </w:rPr>
      </w:pPr>
      <w:r>
        <w:rPr>
          <w:rFonts w:hint="eastAsia" w:ascii="宋体" w:hAnsi="宋体" w:eastAsia="宋体" w:cs="宋体"/>
          <w:kern w:val="0"/>
          <w:sz w:val="24"/>
        </w:rPr>
        <w:t>4.2.14法律、法规、规章（适用本市的）及省级以上规范性文件（适用本市的）规定的其他无效情</w:t>
      </w:r>
      <w:r>
        <w:rPr>
          <w:rFonts w:hint="eastAsia" w:ascii="宋体" w:hAnsi="宋体" w:cs="宋体"/>
          <w:kern w:val="0"/>
          <w:sz w:val="24"/>
        </w:rPr>
        <w:t>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5"/>
    <w:p>
      <w:pPr>
        <w:rPr>
          <w:rFonts w:hint="eastAsia" w:ascii="宋体" w:hAnsi="宋体" w:cs="宋体"/>
          <w:b/>
          <w:sz w:val="36"/>
          <w:szCs w:val="36"/>
        </w:rPr>
      </w:pPr>
      <w:bookmarkStart w:id="405" w:name="第五部分"/>
      <w:bookmarkStart w:id="406" w:name="_Toc86217003"/>
      <w:r>
        <w:rPr>
          <w:rFonts w:hint="eastAsia" w:ascii="宋体" w:hAnsi="宋体" w:cs="宋体"/>
          <w:b/>
          <w:sz w:val="36"/>
          <w:szCs w:val="36"/>
        </w:rPr>
        <w:br w:type="page"/>
      </w:r>
    </w:p>
    <w:p>
      <w:pPr>
        <w:spacing w:line="360" w:lineRule="auto"/>
        <w:ind w:left="823"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rPr>
          <w:rFonts w:hint="eastAsia" w:ascii="宋体" w:hAnsi="宋体" w:cs="宋体"/>
          <w:sz w:val="24"/>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spacing w:before="120" w:line="22" w:lineRule="atLeast"/>
        <w:rPr>
          <w:rFonts w:ascii="宋体" w:hAnsi="宋体" w:cs="宋体"/>
          <w:sz w:val="24"/>
        </w:rPr>
      </w:pPr>
    </w:p>
    <w:p>
      <w:pPr>
        <w:ind w:left="420" w:hanging="480" w:hangingChars="200"/>
      </w:pPr>
    </w:p>
    <w:p>
      <w:pPr>
        <w:spacing w:before="120" w:line="22" w:lineRule="atLeast"/>
        <w:ind w:left="420" w:hanging="480" w:hangingChars="200"/>
        <w:rPr>
          <w:rFonts w:hint="default" w:ascii="宋体" w:hAnsi="宋体" w:eastAsia="宋体" w:cs="宋体"/>
          <w:sz w:val="24"/>
          <w:lang w:val="en-US" w:eastAsia="zh-CN"/>
        </w:rPr>
      </w:pPr>
      <w:r>
        <w:rPr>
          <w:rFonts w:hint="eastAsia" w:ascii="宋体" w:hAnsi="宋体" w:cs="宋体"/>
          <w:sz w:val="24"/>
        </w:rPr>
        <w:t>项目名称：</w:t>
      </w:r>
      <w:r>
        <w:rPr>
          <w:rFonts w:hint="eastAsia" w:ascii="宋体" w:hAnsi="宋体" w:cs="宋体"/>
          <w:sz w:val="24"/>
          <w:u w:val="single"/>
          <w:lang w:eastAsia="zh-CN"/>
        </w:rPr>
        <w:t>临平区建筑工程起重机械专项检测项目</w:t>
      </w:r>
      <w:r>
        <w:rPr>
          <w:rFonts w:hint="eastAsia" w:ascii="宋体" w:hAnsi="宋体" w:cs="宋体"/>
          <w:sz w:val="24"/>
          <w:u w:val="single"/>
          <w:lang w:val="en-US" w:eastAsia="zh-CN"/>
        </w:rPr>
        <w:t xml:space="preserve">          </w:t>
      </w:r>
    </w:p>
    <w:p>
      <w:pPr>
        <w:pStyle w:val="604"/>
        <w:spacing w:before="120" w:line="22" w:lineRule="atLeast"/>
        <w:ind w:left="420" w:hanging="480" w:hangingChars="200"/>
        <w:rPr>
          <w:rFonts w:ascii="宋体" w:hAnsi="宋体" w:eastAsia="宋体" w:cs="宋体"/>
          <w:szCs w:val="24"/>
        </w:rPr>
      </w:pPr>
    </w:p>
    <w:p>
      <w:pPr>
        <w:pStyle w:val="604"/>
        <w:spacing w:before="120" w:line="22" w:lineRule="atLeast"/>
        <w:ind w:left="420" w:hanging="480" w:hangingChars="200"/>
        <w:rPr>
          <w:rFonts w:ascii="宋体" w:hAnsi="宋体" w:eastAsia="宋体" w:cs="宋体"/>
          <w:szCs w:val="24"/>
        </w:rPr>
      </w:pPr>
    </w:p>
    <w:p>
      <w:pPr>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杭州市临平区建筑工程质量安全监督站</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ind w:left="420" w:hanging="480" w:hangingChars="200"/>
        <w:rPr>
          <w:rFonts w:ascii="宋体" w:hAnsi="宋体" w:cs="宋体"/>
          <w:sz w:val="24"/>
        </w:rPr>
      </w:pPr>
    </w:p>
    <w:p>
      <w:pPr>
        <w:spacing w:before="120" w:line="22" w:lineRule="atLeast"/>
        <w:ind w:left="420" w:hanging="480" w:hangingChars="2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color w:val="auto"/>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月</w:t>
      </w:r>
      <w:r>
        <w:rPr>
          <w:rFonts w:asciiTheme="minorEastAsia" w:hAnsiTheme="minorEastAsia" w:eastAsiaTheme="minorEastAsia"/>
          <w:color w:val="auto"/>
          <w:sz w:val="24"/>
          <w:u w:val="single"/>
          <w:lang w:val="zh-CN"/>
        </w:rPr>
        <w:t xml:space="preserve">    </w:t>
      </w:r>
      <w:r>
        <w:rPr>
          <w:rFonts w:hint="eastAsia" w:asciiTheme="minorEastAsia" w:hAnsiTheme="minorEastAsia" w:eastAsiaTheme="minorEastAsia"/>
          <w:color w:val="auto"/>
          <w:sz w:val="24"/>
          <w:lang w:val="zh-CN"/>
        </w:rPr>
        <w:t>日</w:t>
      </w:r>
      <w:r>
        <w:rPr>
          <w:rFonts w:hint="eastAsia" w:asciiTheme="minorEastAsia" w:hAnsiTheme="minorEastAsia" w:eastAsiaTheme="minorEastAsia"/>
          <w:color w:val="auto"/>
          <w:sz w:val="24"/>
        </w:rPr>
        <w:t>，</w:t>
      </w:r>
      <w:r>
        <w:rPr>
          <w:rFonts w:asciiTheme="minorEastAsia" w:hAnsiTheme="minorEastAsia" w:eastAsiaTheme="minorEastAsia"/>
          <w:color w:val="auto"/>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杭州市临平区建筑工程质量安全监督站</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以</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公开招标方式</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对</w:t>
      </w:r>
      <w:r>
        <w:rPr>
          <w:rFonts w:asciiTheme="minorEastAsia" w:hAnsiTheme="minorEastAsia" w:eastAsiaTheme="minorEastAsia"/>
          <w:color w:val="auto"/>
          <w:sz w:val="24"/>
          <w:u w:val="single"/>
        </w:rPr>
        <w:t xml:space="preserve">  </w:t>
      </w:r>
      <w:r>
        <w:rPr>
          <w:rFonts w:hint="eastAsia" w:ascii="宋体" w:hAnsi="宋体" w:cs="宋体"/>
          <w:color w:val="auto"/>
          <w:sz w:val="24"/>
          <w:u w:val="single"/>
          <w:lang w:eastAsia="zh-CN"/>
        </w:rPr>
        <w:t>临平区建筑工程起重机械专项检测项目</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项目进行了采购。经评定，</w:t>
      </w:r>
      <w:r>
        <w:rPr>
          <w:rFonts w:asciiTheme="minorEastAsia" w:hAnsiTheme="minorEastAsia" w:eastAsiaTheme="minorEastAsia"/>
          <w:color w:val="auto"/>
          <w:sz w:val="24"/>
          <w:u w:val="single"/>
        </w:rPr>
        <w:t xml:space="preserve">   （中标供应商名称） </w:t>
      </w:r>
      <w:r>
        <w:rPr>
          <w:rFonts w:hint="eastAsia" w:asciiTheme="minorEastAsia" w:hAnsiTheme="minorEastAsia" w:eastAsiaTheme="minorEastAsia"/>
          <w:color w:val="auto"/>
          <w:sz w:val="24"/>
        </w:rPr>
        <w:t>为该项目中标供应商。现于中标通知书发出之日起10个工作日内，按照采购文件确定的事项签订本合同。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color w:val="auto"/>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u w:val="single"/>
        </w:rPr>
        <w:t xml:space="preserve">  </w:t>
      </w:r>
      <w:r>
        <w:rPr>
          <w:rFonts w:hint="eastAsia" w:ascii="宋体" w:hAnsi="宋体" w:cs="宋体"/>
          <w:sz w:val="24"/>
          <w:u w:val="single"/>
          <w:lang w:eastAsia="zh-CN"/>
        </w:rPr>
        <w:t>杭州市临平区建筑工程质量安全监督站</w:t>
      </w:r>
      <w:r>
        <w:rPr>
          <w:rFonts w:asciiTheme="minorEastAsia" w:hAnsiTheme="minorEastAsia" w:eastAsiaTheme="minorEastAsia"/>
          <w:color w:val="auto"/>
          <w:sz w:val="24"/>
          <w:u w:val="single"/>
        </w:rPr>
        <w:t xml:space="preserve"> </w:t>
      </w:r>
      <w:r>
        <w:rPr>
          <w:rFonts w:asciiTheme="minorEastAsia" w:hAnsiTheme="minorEastAsia" w:eastAsiaTheme="minorEastAsia"/>
          <w:color w:val="auto"/>
          <w:sz w:val="24"/>
          <w:lang w:val="zh-CN"/>
        </w:rPr>
        <w:t>(以下</w:t>
      </w:r>
      <w:r>
        <w:rPr>
          <w:rFonts w:asciiTheme="minorEastAsia" w:hAnsiTheme="minorEastAsia" w:eastAsiaTheme="minorEastAsia"/>
          <w:sz w:val="24"/>
          <w:lang w:val="zh-CN"/>
        </w:rPr>
        <w:t>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b/>
          <w:bCs/>
          <w:sz w:val="24"/>
          <w:szCs w:val="32"/>
        </w:rPr>
      </w:pPr>
      <w:bookmarkStart w:id="407" w:name="_Toc28855"/>
      <w:bookmarkStart w:id="408" w:name="_Toc19273"/>
      <w:bookmarkStart w:id="409" w:name="_Toc20421"/>
      <w:bookmarkStart w:id="410" w:name="_Toc15367"/>
      <w:bookmarkStart w:id="411" w:name="_Toc22967"/>
      <w:r>
        <w:rPr>
          <w:b/>
          <w:bCs/>
          <w:sz w:val="24"/>
          <w:szCs w:val="32"/>
        </w:rPr>
        <w:t xml:space="preserve">1.1 </w:t>
      </w:r>
      <w:r>
        <w:rPr>
          <w:rFonts w:hint="eastAsia"/>
          <w:b/>
          <w:bCs/>
          <w:sz w:val="24"/>
          <w:szCs w:val="32"/>
        </w:rPr>
        <w:t>合同组成部分</w:t>
      </w:r>
      <w:bookmarkEnd w:id="407"/>
      <w:bookmarkEnd w:id="408"/>
      <w:bookmarkEnd w:id="409"/>
      <w:bookmarkEnd w:id="410"/>
      <w:bookmarkEnd w:id="41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imes New Roman" w:hAnsi="Times New Roman" w:eastAsia="宋体" w:cs="Times New Roman"/>
          <w:b/>
          <w:bCs/>
          <w:sz w:val="24"/>
          <w:szCs w:val="32"/>
        </w:rPr>
      </w:pPr>
      <w:bookmarkStart w:id="412" w:name="_Toc6773"/>
      <w:bookmarkStart w:id="413" w:name="_Toc18585"/>
      <w:bookmarkStart w:id="414" w:name="_Toc2918"/>
      <w:bookmarkStart w:id="415" w:name="_Toc6311"/>
      <w:bookmarkStart w:id="416" w:name="_Toc22185"/>
      <w:r>
        <w:rPr>
          <w:rFonts w:ascii="Times New Roman" w:hAnsi="Times New Roman" w:eastAsia="宋体" w:cs="Times New Roman"/>
          <w:b/>
          <w:bCs/>
          <w:sz w:val="24"/>
          <w:szCs w:val="32"/>
        </w:rPr>
        <w:t xml:space="preserve">1.2 </w:t>
      </w:r>
      <w:r>
        <w:rPr>
          <w:rFonts w:hint="eastAsia" w:ascii="Times New Roman" w:hAnsi="Times New Roman" w:eastAsia="宋体" w:cs="Times New Roman"/>
          <w:b/>
          <w:bCs/>
          <w:sz w:val="24"/>
          <w:szCs w:val="32"/>
        </w:rPr>
        <w:t>标的</w:t>
      </w:r>
      <w:bookmarkEnd w:id="412"/>
      <w:bookmarkEnd w:id="413"/>
      <w:bookmarkEnd w:id="414"/>
      <w:bookmarkEnd w:id="415"/>
      <w:bookmarkEnd w:id="416"/>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hint="eastAsia" w:asciiTheme="minorEastAsia" w:hAnsiTheme="minorEastAsia" w:eastAsiaTheme="minorEastAsia"/>
          <w:sz w:val="24"/>
          <w:u w:val="single"/>
          <w:lang w:eastAsia="zh-CN"/>
        </w:rPr>
        <w:t>临平区建筑工程起重机械专项检测项目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详见采购需求</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17" w:name="_Toc13918"/>
      <w:bookmarkStart w:id="418" w:name="_Toc21124"/>
      <w:bookmarkStart w:id="419" w:name="_Toc5635"/>
      <w:bookmarkStart w:id="420" w:name="_Toc4929"/>
      <w:bookmarkStart w:id="421" w:name="_Toc1386"/>
      <w:r>
        <w:rPr>
          <w:rFonts w:asciiTheme="minorEastAsia" w:hAnsiTheme="minorEastAsia" w:eastAsiaTheme="minorEastAsia"/>
          <w:b/>
          <w:sz w:val="24"/>
        </w:rPr>
        <w:t xml:space="preserve">1.3 </w:t>
      </w:r>
      <w:r>
        <w:rPr>
          <w:rFonts w:ascii="Times New Roman" w:hAnsi="Times New Roman" w:eastAsia="宋体" w:cs="Times New Roman"/>
          <w:b/>
          <w:bCs/>
          <w:sz w:val="24"/>
          <w:szCs w:val="32"/>
        </w:rPr>
        <w:t>价款</w:t>
      </w:r>
      <w:bookmarkEnd w:id="417"/>
      <w:bookmarkEnd w:id="418"/>
      <w:bookmarkEnd w:id="419"/>
      <w:bookmarkEnd w:id="420"/>
      <w:bookmarkEnd w:id="42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26"/>
              <w:pageBreakBefore w:val="0"/>
              <w:kinsoku/>
              <w:wordWrap/>
              <w:overflowPunct/>
              <w:topLinePunct w:val="0"/>
              <w:bidi w:val="0"/>
              <w:snapToGrid/>
              <w:spacing w:line="480" w:lineRule="auto"/>
              <w:jc w:val="center"/>
              <w:textAlignment w:val="auto"/>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340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26"/>
              <w:pageBreakBefore w:val="0"/>
              <w:kinsoku/>
              <w:wordWrap/>
              <w:overflowPunct/>
              <w:topLinePunct w:val="0"/>
              <w:bidi w:val="0"/>
              <w:snapToGrid/>
              <w:spacing w:line="480" w:lineRule="auto"/>
              <w:ind w:firstLine="200"/>
              <w:jc w:val="center"/>
              <w:textAlignment w:val="auto"/>
              <w:rPr>
                <w:rFonts w:asciiTheme="minorEastAsia" w:hAnsiTheme="minorEastAsia" w:eastAsiaTheme="minorEastAsia"/>
                <w:sz w:val="24"/>
                <w:szCs w:val="24"/>
              </w:rPr>
            </w:pPr>
          </w:p>
        </w:tc>
      </w:tr>
    </w:tbl>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22" w:name="_Toc14993"/>
      <w:bookmarkStart w:id="423" w:name="_Toc3654"/>
      <w:bookmarkStart w:id="424" w:name="_Toc30506"/>
      <w:bookmarkStart w:id="425" w:name="_Toc26916"/>
      <w:bookmarkStart w:id="426" w:name="_Toc30158"/>
      <w:r>
        <w:rPr>
          <w:rFonts w:asciiTheme="minorEastAsia" w:hAnsiTheme="minorEastAsia" w:eastAsiaTheme="minorEastAsia"/>
          <w:b/>
          <w:sz w:val="24"/>
        </w:rPr>
        <w:t>1.4 付款方式和发票开具方式</w:t>
      </w:r>
      <w:bookmarkEnd w:id="422"/>
      <w:bookmarkEnd w:id="423"/>
      <w:bookmarkEnd w:id="424"/>
      <w:bookmarkEnd w:id="425"/>
      <w:bookmarkEnd w:id="426"/>
    </w:p>
    <w:p>
      <w:pPr>
        <w:pStyle w:val="964"/>
        <w:pageBreakBefore w:val="0"/>
        <w:kinsoku/>
        <w:wordWrap/>
        <w:overflowPunct/>
        <w:topLinePunct w:val="0"/>
        <w:bidi w:val="0"/>
        <w:snapToGrid/>
        <w:spacing w:before="0" w:beforeAutospacing="0" w:after="0" w:afterAutospacing="0" w:line="480" w:lineRule="auto"/>
        <w:ind w:firstLine="480"/>
        <w:textAlignment w:val="auto"/>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0％；项目分年安排预算的，每年预付款比例为项目年度计划支付资金额的</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bidi w:val="0"/>
        <w:spacing w:line="480" w:lineRule="auto"/>
        <w:ind w:firstLine="480" w:firstLineChars="200"/>
        <w:rPr>
          <w:rFonts w:asciiTheme="minorEastAsia" w:hAnsiTheme="minorEastAsia" w:eastAsiaTheme="minorEastAsia"/>
          <w:sz w:val="24"/>
        </w:rPr>
      </w:pPr>
      <w:r>
        <w:rPr>
          <w:rFonts w:asciiTheme="minorEastAsia" w:hAnsiTheme="minorEastAsia" w:eastAsiaTheme="minorEastAsia"/>
          <w:sz w:val="24"/>
        </w:rPr>
        <w:t>1.4.4资金支付的方式、时间和条件</w:t>
      </w:r>
      <w:r>
        <w:rPr>
          <w:rFonts w:hint="eastAsia" w:asciiTheme="minorEastAsia" w:hAnsiTheme="minorEastAsia" w:eastAsiaTheme="minorEastAsia"/>
          <w:sz w:val="24"/>
          <w:lang w:eastAsia="zh-CN"/>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27" w:name="_Toc31421"/>
      <w:bookmarkStart w:id="428" w:name="_Toc3625"/>
      <w:bookmarkStart w:id="429" w:name="_Toc8772"/>
      <w:bookmarkStart w:id="430" w:name="_Toc4760"/>
      <w:bookmarkStart w:id="431" w:name="_Toc11108"/>
      <w:r>
        <w:rPr>
          <w:rFonts w:asciiTheme="minorEastAsia" w:hAnsiTheme="minorEastAsia" w:eastAsiaTheme="minorEastAsia"/>
          <w:b/>
          <w:sz w:val="24"/>
        </w:rPr>
        <w:t xml:space="preserve">1.5 </w:t>
      </w:r>
      <w:r>
        <w:rPr>
          <w:rFonts w:ascii="Times New Roman" w:hAnsi="Times New Roman" w:eastAsia="宋体" w:cs="Times New Roman"/>
          <w:b/>
          <w:bCs/>
          <w:sz w:val="24"/>
          <w:szCs w:val="32"/>
        </w:rPr>
        <w:t>履行</w:t>
      </w:r>
      <w:r>
        <w:rPr>
          <w:rFonts w:asciiTheme="minorEastAsia" w:hAnsiTheme="minorEastAsia" w:eastAsiaTheme="minorEastAsia"/>
          <w:b/>
          <w:sz w:val="24"/>
        </w:rPr>
        <w:t>期限</w:t>
      </w:r>
      <w:r>
        <w:rPr>
          <w:rFonts w:hint="eastAsia" w:asciiTheme="minorEastAsia" w:hAnsiTheme="minorEastAsia" w:eastAsiaTheme="minorEastAsia"/>
          <w:b/>
          <w:sz w:val="24"/>
        </w:rPr>
        <w:t>、地点和方式</w:t>
      </w:r>
      <w:bookmarkEnd w:id="427"/>
      <w:bookmarkEnd w:id="428"/>
      <w:bookmarkEnd w:id="429"/>
      <w:bookmarkEnd w:id="430"/>
      <w:bookmarkEnd w:id="431"/>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lang w:val="en-US" w:eastAsia="zh-CN"/>
        </w:rPr>
        <w:t xml:space="preserve"> 详见采购需求 </w:t>
      </w:r>
      <w:r>
        <w:rPr>
          <w:rFonts w:hint="eastAsia" w:asciiTheme="minorEastAsia" w:hAnsiTheme="minorEastAsia" w:eastAsiaTheme="minorEastAsia"/>
          <w:sz w:val="24"/>
          <w:lang w:eastAsia="zh-CN"/>
        </w:rPr>
        <w:t>。</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sz w:val="24"/>
          <w:u w:val="single"/>
        </w:rPr>
      </w:pPr>
      <w:bookmarkStart w:id="432" w:name="_Toc3079"/>
      <w:bookmarkStart w:id="433" w:name="_Toc8586"/>
      <w:bookmarkStart w:id="434" w:name="_Toc24662"/>
      <w:bookmarkStart w:id="435" w:name="_Toc2375"/>
      <w:bookmarkStart w:id="436" w:name="_Toc5698"/>
      <w:r>
        <w:rPr>
          <w:rFonts w:asciiTheme="minorEastAsia" w:hAnsiTheme="minorEastAsia" w:eastAsiaTheme="minorEastAsia"/>
          <w:b/>
          <w:sz w:val="24"/>
        </w:rPr>
        <w:t xml:space="preserve">1.6 </w:t>
      </w:r>
      <w:r>
        <w:rPr>
          <w:rFonts w:hint="eastAsia" w:ascii="Times New Roman" w:hAnsi="Times New Roman" w:eastAsia="宋体" w:cs="Times New Roman"/>
          <w:b/>
          <w:bCs/>
          <w:sz w:val="24"/>
          <w:szCs w:val="32"/>
        </w:rPr>
        <w:t>违约</w:t>
      </w:r>
      <w:r>
        <w:rPr>
          <w:rFonts w:hint="eastAsia" w:asciiTheme="minorEastAsia" w:hAnsiTheme="minorEastAsia" w:eastAsiaTheme="minorEastAsia"/>
          <w:b/>
          <w:sz w:val="24"/>
        </w:rPr>
        <w:t>责任</w:t>
      </w:r>
      <w:bookmarkEnd w:id="432"/>
      <w:bookmarkEnd w:id="433"/>
      <w:bookmarkEnd w:id="434"/>
      <w:bookmarkEnd w:id="435"/>
      <w:bookmarkEnd w:id="436"/>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kinsoku/>
        <w:wordWrap/>
        <w:overflowPunct/>
        <w:topLinePunct w:val="0"/>
        <w:bidi w:val="0"/>
        <w:snapToGrid/>
        <w:spacing w:line="48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kinsoku/>
        <w:wordWrap/>
        <w:overflowPunct/>
        <w:topLinePunct w:val="0"/>
        <w:bidi w:val="0"/>
        <w:snapToGrid/>
        <w:spacing w:line="480" w:lineRule="auto"/>
        <w:ind w:left="-480" w:leftChars="-200" w:right="-480" w:rightChars="-200" w:firstLine="720" w:firstLineChars="300"/>
        <w:textAlignment w:val="auto"/>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lang w:val="en-US" w:eastAsia="zh-CN"/>
        </w:rPr>
        <w:t xml:space="preserve">              </w:t>
      </w:r>
      <w:r>
        <w:rPr>
          <w:rFonts w:hint="eastAsia" w:asciiTheme="minorEastAsia" w:hAnsiTheme="minorEastAsia" w:eastAsiaTheme="minorEastAsia"/>
          <w:sz w:val="24"/>
        </w:rPr>
        <w:t>另有约定的，从其约定。</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37" w:name="_Toc9497"/>
      <w:bookmarkStart w:id="438" w:name="_Toc26807"/>
      <w:bookmarkStart w:id="439" w:name="_Toc32454"/>
      <w:bookmarkStart w:id="440" w:name="_Toc30329"/>
      <w:bookmarkStart w:id="441"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37"/>
      <w:bookmarkEnd w:id="438"/>
      <w:bookmarkEnd w:id="439"/>
      <w:bookmarkEnd w:id="440"/>
      <w:bookmarkEnd w:id="441"/>
    </w:p>
    <w:p>
      <w:pPr>
        <w:pageBreakBefore w:val="0"/>
        <w:kinsoku/>
        <w:wordWrap/>
        <w:overflowPunct/>
        <w:topLinePunct w:val="0"/>
        <w:bidi w:val="0"/>
        <w:snapToGrid/>
        <w:spacing w:line="480" w:lineRule="auto"/>
        <w:ind w:left="-70" w:leftChars="-29" w:right="-480" w:rightChars="-200"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本合同履行过程中发生的任何争议，双方当事人均可通过和解或者调解解决；不愿和解、调解或者和解、调解不成的，可以选择以下第1.7.2</w:t>
      </w:r>
      <w:r>
        <w:rPr>
          <w:rFonts w:asciiTheme="minorEastAsia" w:hAnsiTheme="minorEastAsia" w:eastAsiaTheme="minorEastAsia"/>
          <w:b/>
          <w:i/>
          <w:sz w:val="24"/>
          <w:u w:val="single"/>
        </w:rPr>
        <w:t xml:space="preserve"> </w:t>
      </w:r>
      <w:r>
        <w:rPr>
          <w:rFonts w:hint="eastAsia" w:asciiTheme="minorEastAsia" w:hAnsiTheme="minorEastAsia" w:eastAsiaTheme="minorEastAsia"/>
          <w:sz w:val="24"/>
        </w:rPr>
        <w:t>条款规定的方式解决：</w:t>
      </w:r>
    </w:p>
    <w:p>
      <w:pPr>
        <w:pageBreakBefore w:val="0"/>
        <w:kinsoku/>
        <w:wordWrap/>
        <w:overflowPunct/>
        <w:topLinePunct w:val="0"/>
        <w:bidi w:val="0"/>
        <w:snapToGrid/>
        <w:spacing w:line="480" w:lineRule="auto"/>
        <w:ind w:left="-480" w:leftChars="-200" w:right="-48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lang w:val="en-US" w:eastAsia="zh-CN"/>
        </w:rPr>
        <w:t xml:space="preserve">  当地   </w:t>
      </w:r>
      <w:r>
        <w:rPr>
          <w:rFonts w:hint="eastAsia" w:asciiTheme="minorEastAsia" w:hAnsiTheme="minorEastAsia" w:eastAsiaTheme="minorEastAsia"/>
          <w:sz w:val="24"/>
        </w:rPr>
        <w:t>仲裁委员会依申请仲裁时其现行有效的仲裁规则裁决；</w:t>
      </w:r>
    </w:p>
    <w:p>
      <w:pPr>
        <w:pageBreakBefore w:val="0"/>
        <w:kinsoku/>
        <w:wordWrap/>
        <w:overflowPunct/>
        <w:topLinePunct w:val="0"/>
        <w:bidi w:val="0"/>
        <w:snapToGrid/>
        <w:spacing w:line="480" w:lineRule="auto"/>
        <w:ind w:left="-480" w:leftChars="-200" w:right="-480" w:rightChars="-200" w:firstLine="600" w:firstLineChars="250"/>
        <w:textAlignment w:val="auto"/>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lang w:eastAsia="zh-CN"/>
        </w:rPr>
        <w:t>当地</w:t>
      </w:r>
      <w:r>
        <w:rPr>
          <w:rFonts w:hint="eastAsia" w:asciiTheme="minorEastAsia" w:hAnsiTheme="minorEastAsia" w:eastAsiaTheme="minorEastAsia"/>
          <w:sz w:val="24"/>
        </w:rPr>
        <w:t>人民法院起诉。</w:t>
      </w:r>
    </w:p>
    <w:p>
      <w:pPr>
        <w:keepNext w:val="0"/>
        <w:keepLines w:val="0"/>
        <w:pageBreakBefore w:val="0"/>
        <w:widowControl w:val="0"/>
        <w:kinsoku/>
        <w:wordWrap/>
        <w:overflowPunct/>
        <w:topLinePunct w:val="0"/>
        <w:autoSpaceDE/>
        <w:autoSpaceDN/>
        <w:bidi w:val="0"/>
        <w:adjustRightInd w:val="0"/>
        <w:snapToGrid/>
        <w:spacing w:line="480" w:lineRule="auto"/>
        <w:ind w:firstLine="482" w:firstLineChars="200"/>
        <w:textAlignment w:val="auto"/>
        <w:rPr>
          <w:rFonts w:asciiTheme="minorEastAsia" w:hAnsiTheme="minorEastAsia" w:eastAsiaTheme="minorEastAsia"/>
          <w:b/>
          <w:sz w:val="24"/>
        </w:rPr>
      </w:pPr>
      <w:bookmarkStart w:id="442" w:name="_Toc12273"/>
      <w:bookmarkStart w:id="443" w:name="_Toc23784"/>
      <w:bookmarkStart w:id="444" w:name="_Toc15827"/>
      <w:bookmarkStart w:id="445" w:name="_Toc16417"/>
      <w:bookmarkStart w:id="446" w:name="_Toc26227"/>
      <w:r>
        <w:rPr>
          <w:rFonts w:asciiTheme="minorEastAsia" w:hAnsiTheme="minorEastAsia" w:eastAsiaTheme="minorEastAsia"/>
          <w:b/>
          <w:sz w:val="24"/>
        </w:rPr>
        <w:t>1.8 合同</w:t>
      </w:r>
      <w:r>
        <w:rPr>
          <w:rFonts w:ascii="Times New Roman" w:hAnsi="Times New Roman" w:eastAsia="宋体" w:cs="Times New Roman"/>
          <w:b/>
          <w:bCs/>
          <w:sz w:val="24"/>
          <w:szCs w:val="32"/>
        </w:rPr>
        <w:t>生效</w:t>
      </w:r>
      <w:bookmarkEnd w:id="442"/>
      <w:bookmarkEnd w:id="443"/>
      <w:bookmarkEnd w:id="444"/>
      <w:bookmarkEnd w:id="445"/>
      <w:bookmarkEnd w:id="446"/>
    </w:p>
    <w:p>
      <w:pPr>
        <w:pageBreakBefore w:val="0"/>
        <w:kinsoku/>
        <w:wordWrap/>
        <w:overflowPunct/>
        <w:topLinePunct w:val="0"/>
        <w:bidi w:val="0"/>
        <w:snapToGrid/>
        <w:spacing w:line="480" w:lineRule="auto"/>
        <w:ind w:firstLine="480" w:firstLineChars="200"/>
        <w:textAlignment w:val="auto"/>
        <w:rPr>
          <w:rFonts w:cs="Times New Roman" w:asciiTheme="minorEastAsia" w:hAnsiTheme="minorEastAsia" w:eastAsiaTheme="minorEastAsia"/>
          <w:sz w:val="24"/>
        </w:rPr>
      </w:pPr>
      <w:r>
        <w:rPr>
          <w:rFonts w:cs="Times New Roman" w:asciiTheme="minorEastAsia" w:hAnsiTheme="minorEastAsia" w:eastAsiaTheme="minorEastAsia"/>
          <w:sz w:val="24"/>
        </w:rPr>
        <w:t>本合同自</w:t>
      </w:r>
      <w:r>
        <w:rPr>
          <w:rFonts w:hint="eastAsia" w:cs="Times New Roman" w:asciiTheme="minorEastAsia" w:hAnsiTheme="minorEastAsia" w:eastAsiaTheme="minorEastAsia"/>
          <w:sz w:val="24"/>
        </w:rPr>
        <w:t>双方当事人盖章或者签字时</w:t>
      </w:r>
      <w:r>
        <w:rPr>
          <w:rFonts w:cs="Times New Roman" w:asciiTheme="minorEastAsia" w:hAnsiTheme="minorEastAsia" w:eastAsiaTheme="minorEastAsia"/>
          <w:sz w:val="24"/>
        </w:rPr>
        <w:t>生效。</w:t>
      </w:r>
    </w:p>
    <w:p>
      <w:pPr>
        <w:pageBreakBefore w:val="0"/>
        <w:kinsoku/>
        <w:wordWrap/>
        <w:overflowPunct/>
        <w:topLinePunct w:val="0"/>
        <w:bidi w:val="0"/>
        <w:snapToGrid/>
        <w:spacing w:line="480" w:lineRule="auto"/>
        <w:ind w:firstLine="480" w:firstLineChars="200"/>
        <w:textAlignment w:val="auto"/>
        <w:rPr>
          <w:rFonts w:hint="eastAsia" w:cs="Times New Roman" w:asciiTheme="minorEastAsia" w:hAnsiTheme="minorEastAsia" w:eastAsiaTheme="minorEastAsia"/>
          <w:sz w:val="24"/>
          <w:lang w:val="zh-CN"/>
        </w:rPr>
      </w:pPr>
      <w:r>
        <w:rPr>
          <w:rFonts w:hint="eastAsia" w:cs="Times New Roman" w:asciiTheme="minorEastAsia" w:hAnsiTheme="minorEastAsia" w:eastAsiaTheme="minorEastAsia"/>
          <w:sz w:val="24"/>
          <w:lang w:val="zh-CN"/>
        </w:rPr>
        <w:t>合同执行中涉及采购资金和采购内容修改或补充的，须经采购单位审批，并签书面补充协议备案，作为主合同不可分割的一部分</w:t>
      </w:r>
    </w:p>
    <w:p>
      <w:pPr>
        <w:pageBreakBefore w:val="0"/>
        <w:kinsoku/>
        <w:wordWrap/>
        <w:overflowPunct/>
        <w:topLinePunct w:val="0"/>
        <w:bidi w:val="0"/>
        <w:snapToGrid/>
        <w:spacing w:line="480" w:lineRule="auto"/>
        <w:ind w:firstLine="480" w:firstLineChars="200"/>
        <w:textAlignment w:val="auto"/>
        <w:rPr>
          <w:rFonts w:hint="eastAsia"/>
          <w:lang w:val="zh-CN"/>
        </w:rPr>
      </w:pPr>
      <w:r>
        <w:rPr>
          <w:rFonts w:hint="eastAsia" w:cs="Times New Roman" w:asciiTheme="minorEastAsia" w:hAnsiTheme="minorEastAsia" w:eastAsiaTheme="minorEastAsia"/>
          <w:sz w:val="24"/>
          <w:lang w:val="zh-CN"/>
        </w:rPr>
        <w:t>本合同未尽事宜，遵照《</w:t>
      </w:r>
      <w:r>
        <w:rPr>
          <w:rFonts w:hint="eastAsia" w:cs="Times New Roman" w:asciiTheme="minorEastAsia" w:hAnsiTheme="minorEastAsia" w:eastAsiaTheme="minorEastAsia"/>
          <w:sz w:val="24"/>
          <w:lang w:val="zh-CN" w:eastAsia="zh-CN"/>
        </w:rPr>
        <w:t>民法典</w:t>
      </w:r>
      <w:r>
        <w:rPr>
          <w:rFonts w:hint="eastAsia" w:cs="Times New Roman" w:asciiTheme="minorEastAsia" w:hAnsiTheme="minorEastAsia" w:eastAsiaTheme="minorEastAsia"/>
          <w:sz w:val="24"/>
          <w:lang w:val="zh-CN"/>
        </w:rPr>
        <w:t>》有关条文执行。</w:t>
      </w:r>
      <w:r>
        <w:rPr>
          <w:rFonts w:hint="eastAsia" w:cs="Times New Roman" w:asciiTheme="minorEastAsia" w:hAnsiTheme="minorEastAsia" w:eastAsiaTheme="minorEastAsia"/>
          <w:b w:val="0"/>
          <w:bCs w:val="0"/>
          <w:kern w:val="2"/>
          <w:sz w:val="24"/>
          <w:szCs w:val="24"/>
          <w:lang w:val="zh-CN" w:eastAsia="zh-CN" w:bidi="ar-SA"/>
        </w:rPr>
        <w:t>本合同一式多份，具有同等法律效力，甲乙双方，各执二份。</w:t>
      </w:r>
      <w:r>
        <w:rPr>
          <w:rFonts w:hint="eastAsia"/>
          <w:lang w:val="zh-CN"/>
        </w:rPr>
        <w:t xml:space="preserve"> </w:t>
      </w:r>
    </w:p>
    <w:p>
      <w:pPr>
        <w:bidi w:val="0"/>
        <w:rPr>
          <w:lang w:val="zh-CN"/>
        </w:rPr>
      </w:pP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pageBreakBefore w:val="0"/>
        <w:kinsoku/>
        <w:wordWrap/>
        <w:overflowPunct/>
        <w:topLinePunct w:val="0"/>
        <w:autoSpaceDE w:val="0"/>
        <w:autoSpaceDN w:val="0"/>
        <w:bidi w:val="0"/>
        <w:snapToGrid/>
        <w:spacing w:line="480" w:lineRule="auto"/>
        <w:textAlignment w:val="auto"/>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pPr>
        <w:rPr>
          <w:rFonts w:ascii="宋体" w:hAnsi="宋体" w:cs="宋体"/>
          <w:sz w:val="24"/>
        </w:rPr>
      </w:pPr>
    </w:p>
    <w:p/>
    <w:p>
      <w:pPr>
        <w:rPr>
          <w:rFonts w:ascii="宋体" w:hAnsi="宋体" w:cs="宋体"/>
          <w:sz w:val="24"/>
        </w:rPr>
      </w:pPr>
    </w:p>
    <w:p/>
    <w:p>
      <w:pPr>
        <w:spacing w:line="240" w:lineRule="auto"/>
        <w:ind w:left="0" w:firstLine="0" w:firstLineChars="0"/>
        <w:outlineLvl w:val="9"/>
        <w:rPr>
          <w:rFonts w:hint="eastAsia" w:ascii="宋体" w:hAnsi="宋体" w:cs="宋体"/>
          <w:b/>
          <w:sz w:val="36"/>
          <w:szCs w:val="20"/>
        </w:rPr>
      </w:pPr>
      <w:r>
        <w:rPr>
          <w:rFonts w:hint="eastAsia" w:ascii="宋体" w:hAnsi="宋体" w:cs="宋体"/>
          <w:b/>
          <w:sz w:val="36"/>
          <w:szCs w:val="20"/>
        </w:rPr>
        <w:br w:type="page"/>
      </w:r>
    </w:p>
    <w:p>
      <w:pPr>
        <w:spacing w:line="240" w:lineRule="auto"/>
        <w:ind w:left="0" w:firstLine="0" w:firstLineChars="0"/>
        <w:outlineLvl w:val="9"/>
        <w:rPr>
          <w:rFonts w:hint="eastAsia"/>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spacing w:line="240" w:lineRule="auto"/>
        <w:jc w:val="left"/>
        <w:outlineLvl w:val="9"/>
      </w:pPr>
    </w:p>
    <w:p>
      <w:pPr>
        <w:shd w:val="clear"/>
        <w:bidi w:val="0"/>
        <w:jc w:val="center"/>
        <w:rPr>
          <w:sz w:val="36"/>
          <w:szCs w:val="36"/>
        </w:rPr>
      </w:pPr>
      <w:r>
        <w:rPr>
          <w:rFonts w:hint="eastAsia"/>
          <w:sz w:val="36"/>
          <w:szCs w:val="36"/>
        </w:rPr>
        <w:t>电子备份投标文件的外包装封面格式</w:t>
      </w:r>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47" w:name="_Toc13184"/>
      <w:r>
        <w:rPr>
          <w:rFonts w:hint="eastAsia"/>
          <w:sz w:val="36"/>
          <w:szCs w:val="36"/>
        </w:rPr>
        <w:t>电子备份投标文件</w:t>
      </w:r>
      <w:bookmarkEnd w:id="447"/>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48" w:name="_Toc18701"/>
      <w:r>
        <w:rPr>
          <w:rFonts w:hint="eastAsia"/>
          <w:sz w:val="36"/>
          <w:szCs w:val="36"/>
        </w:rPr>
        <w:t>项目名称：</w:t>
      </w:r>
      <w:bookmarkEnd w:id="448"/>
    </w:p>
    <w:p>
      <w:pPr>
        <w:shd w:val="clear"/>
        <w:bidi w:val="0"/>
        <w:jc w:val="center"/>
        <w:rPr>
          <w:sz w:val="36"/>
          <w:szCs w:val="36"/>
        </w:rPr>
      </w:pPr>
    </w:p>
    <w:p>
      <w:pPr>
        <w:shd w:val="clear"/>
        <w:bidi w:val="0"/>
        <w:jc w:val="center"/>
        <w:rPr>
          <w:sz w:val="36"/>
          <w:szCs w:val="36"/>
        </w:rPr>
      </w:pPr>
      <w:bookmarkStart w:id="449" w:name="_Toc20693"/>
      <w:r>
        <w:rPr>
          <w:rFonts w:hint="eastAsia"/>
          <w:sz w:val="36"/>
          <w:szCs w:val="36"/>
        </w:rPr>
        <w:t>项目编号：</w:t>
      </w:r>
      <w:bookmarkEnd w:id="449"/>
    </w:p>
    <w:p>
      <w:pPr>
        <w:shd w:val="clear"/>
        <w:bidi w:val="0"/>
        <w:jc w:val="center"/>
        <w:rPr>
          <w:sz w:val="36"/>
          <w:szCs w:val="36"/>
        </w:rPr>
      </w:pPr>
    </w:p>
    <w:p>
      <w:pPr>
        <w:shd w:val="clear"/>
        <w:bidi w:val="0"/>
        <w:jc w:val="center"/>
        <w:rPr>
          <w:sz w:val="36"/>
          <w:szCs w:val="36"/>
        </w:rPr>
      </w:pPr>
    </w:p>
    <w:p>
      <w:pPr>
        <w:shd w:val="clear"/>
        <w:bidi w:val="0"/>
        <w:jc w:val="center"/>
        <w:rPr>
          <w:sz w:val="36"/>
          <w:szCs w:val="36"/>
        </w:rPr>
      </w:pPr>
    </w:p>
    <w:p>
      <w:pPr>
        <w:shd w:val="clear"/>
        <w:bidi w:val="0"/>
        <w:jc w:val="center"/>
        <w:rPr>
          <w:sz w:val="36"/>
          <w:szCs w:val="36"/>
        </w:rPr>
      </w:pPr>
    </w:p>
    <w:p>
      <w:pPr>
        <w:shd w:val="clear"/>
        <w:bidi w:val="0"/>
        <w:jc w:val="center"/>
        <w:rPr>
          <w:sz w:val="36"/>
          <w:szCs w:val="36"/>
        </w:rPr>
      </w:pPr>
      <w:bookmarkStart w:id="450" w:name="_Toc27616"/>
      <w:r>
        <w:rPr>
          <w:rFonts w:hint="eastAsia"/>
          <w:sz w:val="36"/>
          <w:szCs w:val="36"/>
        </w:rPr>
        <w:t>投标人名称：（盖章）</w:t>
      </w:r>
      <w:bookmarkEnd w:id="450"/>
    </w:p>
    <w:p>
      <w:pPr>
        <w:shd w:val="clear"/>
        <w:bidi w:val="0"/>
        <w:jc w:val="center"/>
        <w:rPr>
          <w:sz w:val="36"/>
          <w:szCs w:val="36"/>
        </w:rPr>
      </w:pPr>
    </w:p>
    <w:p>
      <w:pPr>
        <w:shd w:val="clear"/>
        <w:bidi w:val="0"/>
        <w:jc w:val="center"/>
        <w:rPr>
          <w:sz w:val="36"/>
          <w:szCs w:val="36"/>
        </w:rPr>
      </w:pPr>
      <w:bookmarkStart w:id="451" w:name="_Toc8328"/>
      <w:r>
        <w:rPr>
          <w:rFonts w:hint="eastAsia"/>
          <w:sz w:val="36"/>
          <w:szCs w:val="36"/>
        </w:rPr>
        <w:t>投标人地址：</w:t>
      </w:r>
      <w:bookmarkEnd w:id="451"/>
    </w:p>
    <w:p>
      <w:pPr>
        <w:shd w:val="clear"/>
        <w:bidi w:val="0"/>
        <w:jc w:val="center"/>
        <w:rPr>
          <w:sz w:val="36"/>
          <w:szCs w:val="36"/>
        </w:rPr>
      </w:pPr>
    </w:p>
    <w:p>
      <w:pPr>
        <w:shd w:val="clear"/>
        <w:bidi w:val="0"/>
        <w:jc w:val="center"/>
        <w:rPr>
          <w:sz w:val="36"/>
          <w:szCs w:val="36"/>
        </w:rPr>
      </w:pPr>
      <w:bookmarkStart w:id="452" w:name="_Toc23143"/>
      <w:r>
        <w:rPr>
          <w:rFonts w:hint="eastAsia"/>
          <w:sz w:val="36"/>
          <w:szCs w:val="36"/>
        </w:rPr>
        <w:t>在</w:t>
      </w:r>
      <w:r>
        <w:rPr>
          <w:rFonts w:hint="eastAsia"/>
          <w:sz w:val="36"/>
          <w:szCs w:val="36"/>
          <w:lang w:val="en-US" w:eastAsia="zh-CN"/>
        </w:rPr>
        <w:t xml:space="preserve">   </w:t>
      </w:r>
      <w:r>
        <w:rPr>
          <w:rFonts w:hint="eastAsia"/>
          <w:sz w:val="36"/>
          <w:szCs w:val="36"/>
        </w:rPr>
        <w:tab/>
      </w:r>
      <w:r>
        <w:rPr>
          <w:rFonts w:hint="eastAsia"/>
          <w:sz w:val="36"/>
          <w:szCs w:val="36"/>
        </w:rPr>
        <w:t xml:space="preserve">年 </w:t>
      </w:r>
      <w:r>
        <w:rPr>
          <w:rFonts w:hint="eastAsia"/>
          <w:sz w:val="36"/>
          <w:szCs w:val="36"/>
        </w:rPr>
        <w:tab/>
      </w:r>
      <w:r>
        <w:rPr>
          <w:rFonts w:hint="eastAsia"/>
          <w:sz w:val="36"/>
          <w:szCs w:val="36"/>
        </w:rPr>
        <w:t>月</w:t>
      </w:r>
      <w:r>
        <w:rPr>
          <w:rFonts w:hint="eastAsia"/>
          <w:sz w:val="36"/>
          <w:szCs w:val="36"/>
        </w:rPr>
        <w:tab/>
      </w:r>
      <w:r>
        <w:rPr>
          <w:rFonts w:hint="eastAsia"/>
          <w:sz w:val="36"/>
          <w:szCs w:val="36"/>
        </w:rPr>
        <w:t xml:space="preserve"> 日</w:t>
      </w:r>
      <w:r>
        <w:rPr>
          <w:rFonts w:hint="eastAsia"/>
          <w:sz w:val="36"/>
          <w:szCs w:val="36"/>
        </w:rPr>
        <w:tab/>
      </w:r>
      <w:r>
        <w:rPr>
          <w:rFonts w:hint="eastAsia"/>
          <w:sz w:val="36"/>
          <w:szCs w:val="36"/>
        </w:rPr>
        <w:t xml:space="preserve"> 时</w:t>
      </w:r>
      <w:r>
        <w:rPr>
          <w:rFonts w:hint="eastAsia"/>
          <w:sz w:val="36"/>
          <w:szCs w:val="36"/>
        </w:rPr>
        <w:tab/>
      </w:r>
      <w:r>
        <w:rPr>
          <w:rFonts w:hint="eastAsia"/>
          <w:sz w:val="36"/>
          <w:szCs w:val="36"/>
        </w:rPr>
        <w:t xml:space="preserve"> 分之前不得启封。</w:t>
      </w:r>
      <w:bookmarkEnd w:id="452"/>
    </w:p>
    <w:p>
      <w:pPr>
        <w:shd w:val="clear"/>
        <w:bidi w:val="0"/>
        <w:jc w:val="center"/>
        <w:rPr>
          <w:sz w:val="36"/>
          <w:szCs w:val="36"/>
        </w:rPr>
      </w:pPr>
    </w:p>
    <w:p>
      <w:pPr>
        <w:shd w:val="clear"/>
        <w:bidi w:val="0"/>
        <w:jc w:val="center"/>
        <w:rPr>
          <w:rFonts w:ascii="仿宋" w:hAnsi="仿宋" w:eastAsia="仿宋" w:cs="仿宋"/>
          <w:b/>
          <w:bCs/>
          <w:color w:val="auto"/>
          <w:szCs w:val="48"/>
          <w:highlight w:val="none"/>
        </w:rPr>
      </w:pPr>
      <w:bookmarkStart w:id="453" w:name="_Toc10680"/>
      <w:r>
        <w:rPr>
          <w:rFonts w:hint="eastAsia"/>
          <w:sz w:val="36"/>
          <w:szCs w:val="36"/>
        </w:rPr>
        <w:t>年</w:t>
      </w:r>
      <w:r>
        <w:rPr>
          <w:rFonts w:hint="eastAsia"/>
          <w:sz w:val="36"/>
          <w:szCs w:val="36"/>
        </w:rPr>
        <w:tab/>
      </w:r>
      <w:r>
        <w:rPr>
          <w:rFonts w:hint="eastAsia"/>
          <w:sz w:val="36"/>
          <w:szCs w:val="36"/>
        </w:rPr>
        <w:t xml:space="preserve">  月   </w:t>
      </w:r>
      <w:r>
        <w:rPr>
          <w:rFonts w:hint="eastAsia"/>
          <w:sz w:val="36"/>
          <w:szCs w:val="36"/>
        </w:rPr>
        <w:tab/>
      </w:r>
      <w:r>
        <w:rPr>
          <w:rFonts w:hint="eastAsia"/>
          <w:sz w:val="36"/>
          <w:szCs w:val="36"/>
        </w:rPr>
        <w:t>日</w:t>
      </w:r>
      <w:bookmarkEnd w:id="453"/>
    </w:p>
    <w:p>
      <w:pPr>
        <w:spacing w:line="240" w:lineRule="auto"/>
        <w:jc w:val="left"/>
        <w:outlineLvl w:val="9"/>
        <w:rPr>
          <w:rFonts w:hint="eastAsia"/>
        </w:rPr>
      </w:pP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hd w:val="clear"/>
        <w:spacing w:line="360" w:lineRule="auto"/>
        <w:jc w:val="center"/>
        <w:outlineLvl w:val="9"/>
        <w:rPr>
          <w:rFonts w:hint="eastAsia" w:ascii="宋体" w:hAnsi="宋体" w:eastAsia="宋体" w:cs="宋体"/>
          <w:b/>
          <w:color w:val="auto"/>
          <w:kern w:val="0"/>
          <w:sz w:val="44"/>
          <w:szCs w:val="44"/>
          <w:highlight w:val="none"/>
        </w:r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资  格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spacing w:line="240" w:lineRule="auto"/>
        <w:jc w:val="center"/>
        <w:outlineLvl w:val="9"/>
        <w:rPr>
          <w:rFonts w:hint="eastAsia"/>
        </w:rPr>
      </w:pPr>
      <w:r>
        <w:rPr>
          <w:rFonts w:hint="eastAsia" w:ascii="宋体" w:hAnsi="宋体" w:eastAsia="宋体" w:cs="宋体"/>
          <w:color w:val="auto"/>
          <w:sz w:val="32"/>
          <w:szCs w:val="32"/>
          <w:highlight w:val="none"/>
        </w:rPr>
        <w:t>年   月   日</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240" w:lineRule="auto"/>
        <w:jc w:val="center"/>
        <w:outlineLvl w:val="9"/>
        <w:rPr>
          <w:b/>
          <w:bCs/>
          <w:sz w:val="36"/>
          <w:szCs w:val="36"/>
        </w:rPr>
      </w:pPr>
      <w:r>
        <w:rPr>
          <w:rFonts w:hint="eastAsia"/>
          <w:b/>
          <w:bCs/>
          <w:sz w:val="36"/>
          <w:szCs w:val="36"/>
        </w:rPr>
        <w:t>目录</w:t>
      </w:r>
    </w:p>
    <w:p>
      <w:pPr>
        <w:spacing w:line="360" w:lineRule="auto"/>
        <w:jc w:val="left"/>
        <w:outlineLvl w:val="9"/>
      </w:pPr>
    </w:p>
    <w:p>
      <w:pPr>
        <w:numPr>
          <w:ilvl w:val="0"/>
          <w:numId w:val="5"/>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pPr>
        <w:numPr>
          <w:ilvl w:val="0"/>
          <w:numId w:val="5"/>
        </w:numPr>
        <w:snapToGrid w:val="0"/>
        <w:spacing w:line="360" w:lineRule="auto"/>
      </w:pPr>
      <w:r>
        <w:rPr>
          <w:rFonts w:hint="eastAsia" w:ascii="宋体" w:hAnsi="宋体" w:eastAsia="宋体" w:cs="宋体"/>
          <w:b w:val="0"/>
          <w:kern w:val="2"/>
          <w:sz w:val="24"/>
          <w:szCs w:val="24"/>
          <w:lang w:eastAsia="zh-CN"/>
        </w:rPr>
        <w:t>营业执照</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hint="eastAsia"/>
        </w:rPr>
      </w:pPr>
      <w:r>
        <w:rPr>
          <w:rFonts w:hint="eastAsia"/>
        </w:rPr>
        <w:br w:type="page"/>
      </w:r>
    </w:p>
    <w:p>
      <w:pPr>
        <w:rPr>
          <w:rFonts w:hint="eastAsia"/>
        </w:rPr>
      </w:pPr>
    </w:p>
    <w:p>
      <w:pPr>
        <w:pStyle w:val="2"/>
        <w:rPr>
          <w:rFonts w:ascii="宋体" w:hAnsi="宋体" w:cs="宋体"/>
          <w:b/>
          <w:kern w:val="0"/>
          <w:sz w:val="32"/>
          <w:szCs w:val="32"/>
        </w:rPr>
      </w:pP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color w:val="auto"/>
          <w:sz w:val="24"/>
        </w:rPr>
        <w:t>（一）具备《中华人民共和国政府采购法》第二十二条第一款规定的</w:t>
      </w:r>
      <w:r>
        <w:rPr>
          <w:rFonts w:hint="eastAsia" w:ascii="宋体" w:hAnsi="宋体" w:cs="宋体"/>
          <w:sz w:val="24"/>
        </w:rPr>
        <w:t>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both"/>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lang w:eastAsia="zh-CN"/>
        </w:rPr>
      </w:pPr>
    </w:p>
    <w:p>
      <w:pPr>
        <w:snapToGrid w:val="0"/>
        <w:spacing w:line="360" w:lineRule="auto"/>
        <w:ind w:right="480"/>
        <w:jc w:val="center"/>
        <w:rPr>
          <w:rFonts w:hint="eastAsia" w:ascii="宋体" w:hAnsi="宋体" w:eastAsia="宋体" w:cs="宋体"/>
          <w:b/>
          <w:kern w:val="0"/>
          <w:sz w:val="32"/>
          <w:szCs w:val="32"/>
          <w:lang w:eastAsia="zh-CN"/>
        </w:rPr>
      </w:pPr>
      <w:r>
        <w:rPr>
          <w:rFonts w:hint="eastAsia" w:ascii="宋体" w:hAnsi="宋体" w:cs="宋体"/>
          <w:b/>
          <w:kern w:val="0"/>
          <w:sz w:val="32"/>
          <w:szCs w:val="32"/>
          <w:lang w:eastAsia="zh-CN"/>
        </w:rPr>
        <w:t>二、提供法人或者其他组织机构的营业执照（扫描件或复印件加盖公章）或事业法人登记证书或其他工商等登记证明材料；</w:t>
      </w:r>
    </w:p>
    <w:p>
      <w:pPr>
        <w:widowControl/>
        <w:spacing w:line="360" w:lineRule="auto"/>
        <w:ind w:firstLine="643" w:firstLineChars="200"/>
        <w:jc w:val="center"/>
        <w:rPr>
          <w:rFonts w:ascii="宋体" w:hAnsi="宋体" w:cs="宋体"/>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三</w:t>
      </w:r>
      <w:r>
        <w:rPr>
          <w:rFonts w:hint="eastAsia" w:ascii="仿宋_GB2312" w:hAnsi="仿宋" w:eastAsia="仿宋_GB2312" w:cs="仿宋_GB2312"/>
          <w:b/>
          <w:kern w:val="0"/>
          <w:sz w:val="32"/>
          <w:szCs w:val="32"/>
        </w:rPr>
        <w:t>、落实政府采购政策需满足的资格要求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w:t>
      </w:r>
      <w:r>
        <w:rPr>
          <w:rFonts w:hint="eastAsia" w:ascii="仿宋_GB2312" w:hAnsi="仿宋" w:eastAsia="仿宋_GB2312" w:cs="仿宋_GB2312"/>
          <w:sz w:val="24"/>
        </w:rPr>
        <w:t>）</w:t>
      </w:r>
    </w:p>
    <w:p>
      <w:pPr>
        <w:snapToGrid w:val="0"/>
        <w:spacing w:before="50" w:after="50" w:line="360" w:lineRule="auto"/>
        <w:ind w:firstLine="472" w:firstLineChars="196"/>
        <w:jc w:val="left"/>
        <w:rPr>
          <w:rFonts w:hint="eastAsia" w:ascii="仿宋" w:hAnsi="仿宋" w:eastAsia="仿宋"/>
          <w:sz w:val="24"/>
        </w:rPr>
      </w:pPr>
      <w:r>
        <w:rPr>
          <w:rFonts w:hint="eastAsia" w:ascii="仿宋_GB2312" w:hAnsi="仿宋" w:eastAsia="仿宋_GB2312" w:cs="仿宋_GB2312"/>
          <w:b/>
          <w:sz w:val="24"/>
          <w:lang w:eastAsia="zh-CN"/>
        </w:rPr>
        <w:t>本项目为</w:t>
      </w:r>
      <w:r>
        <w:rPr>
          <w:rFonts w:hint="eastAsia" w:ascii="仿宋_GB2312" w:hAnsi="仿宋" w:eastAsia="仿宋_GB2312" w:cs="仿宋_GB2312"/>
          <w:b/>
          <w:sz w:val="24"/>
        </w:rPr>
        <w:t>非专门面向中小企业，</w:t>
      </w:r>
      <w:r>
        <w:rPr>
          <w:rFonts w:hint="eastAsia" w:ascii="MS Gothic" w:hAnsi="MS Gothic" w:eastAsia="仿宋_GB2312" w:cs="Arial"/>
          <w:kern w:val="0"/>
          <w:sz w:val="24"/>
        </w:rPr>
        <w:sym w:font="Wingdings" w:char="00FE"/>
      </w:r>
      <w:r>
        <w:rPr>
          <w:rFonts w:hint="eastAsia" w:ascii="仿宋_GB2312" w:hAnsi="仿宋" w:eastAsia="仿宋_GB2312"/>
          <w:sz w:val="24"/>
        </w:rPr>
        <w:t>要求以联合体形式参加，提供联合协议和中小企业声明函，联合协议中中小企业</w:t>
      </w:r>
      <w:r>
        <w:rPr>
          <w:rFonts w:hint="eastAsia" w:ascii="仿宋_GB2312" w:hAnsi="仿宋" w:eastAsia="仿宋_GB2312"/>
          <w:b/>
          <w:bCs/>
          <w:sz w:val="24"/>
        </w:rPr>
        <w:t>合同金额应当达到</w:t>
      </w:r>
      <w:r>
        <w:rPr>
          <w:rFonts w:hint="eastAsia" w:ascii="仿宋_GB2312" w:hAnsi="仿宋" w:eastAsia="仿宋_GB2312"/>
          <w:b/>
          <w:bCs/>
          <w:sz w:val="24"/>
          <w:u w:val="single"/>
        </w:rPr>
        <w:t>51</w:t>
      </w:r>
      <w:r>
        <w:rPr>
          <w:rFonts w:ascii="仿宋_GB2312" w:hAnsi="仿宋" w:eastAsia="仿宋_GB2312"/>
          <w:b/>
          <w:bCs/>
          <w:sz w:val="24"/>
        </w:rPr>
        <w:t>%</w:t>
      </w:r>
      <w:r>
        <w:rPr>
          <w:rFonts w:hint="eastAsia" w:ascii="仿宋_GB2312" w:hAnsi="仿宋" w:eastAsia="仿宋_GB2312"/>
          <w:b/>
          <w:bCs/>
          <w:sz w:val="24"/>
        </w:rPr>
        <w:t>（同时要求为联合体牵头单位）</w:t>
      </w:r>
      <w:r>
        <w:rPr>
          <w:rFonts w:ascii="仿宋_GB2312" w:hAnsi="仿宋" w:eastAsia="仿宋_GB2312"/>
          <w:b/>
          <w:bCs/>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pStyle w:val="2"/>
        <w:rPr>
          <w:rFonts w:hint="default" w:eastAsia="仿宋"/>
          <w:lang w:val="en-US" w:eastAsia="zh-CN"/>
        </w:rPr>
      </w:pPr>
      <w:r>
        <w:rPr>
          <w:rFonts w:hint="eastAsia" w:ascii="仿宋" w:eastAsia="仿宋"/>
          <w:sz w:val="24"/>
          <w:lang w:val="en-US" w:eastAsia="zh-CN"/>
        </w:rPr>
        <w:t xml:space="preserve">    </w:t>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hint="eastAsia" w:ascii="宋体" w:hAnsi="宋体" w:cs="宋体"/>
          <w:b/>
          <w:sz w:val="24"/>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w:t>
      </w:r>
      <w:r>
        <w:rPr>
          <w:rFonts w:hint="eastAsia" w:ascii="宋体" w:hAnsi="宋体" w:cs="宋体"/>
          <w:b/>
          <w:kern w:val="0"/>
          <w:sz w:val="24"/>
          <w:highlight w:val="none"/>
          <w:u w:val="single"/>
          <w:lang w:val="en-US" w:eastAsia="zh-CN"/>
        </w:rPr>
        <w:t xml:space="preserve">     </w:t>
      </w:r>
      <w:r>
        <w:rPr>
          <w:rFonts w:hint="eastAsia" w:ascii="宋体" w:hAnsi="宋体" w:cs="宋体"/>
          <w:b/>
          <w:kern w:val="0"/>
          <w:sz w:val="24"/>
          <w:highlight w:val="none"/>
          <w:lang w:val="zh-CN"/>
        </w:rPr>
        <w:t>%以上的，</w:t>
      </w:r>
      <w:r>
        <w:rPr>
          <w:rFonts w:hint="eastAsia" w:ascii="宋体" w:hAnsi="宋体" w:cs="宋体"/>
          <w:b/>
          <w:kern w:val="0"/>
          <w:sz w:val="24"/>
          <w:lang w:val="zh-CN"/>
        </w:rPr>
        <w:t>对联合体报价按评标标准确定的比例给予扣除。供应商</w:t>
      </w:r>
      <w:r>
        <w:rPr>
          <w:rFonts w:hint="eastAsia" w:ascii="宋体" w:hAnsi="宋体" w:cs="宋体"/>
          <w:b/>
          <w:sz w:val="24"/>
        </w:rPr>
        <w:t>拟享受以上价格扣除政策的，填写有关内容。</w:t>
      </w:r>
      <w:bookmarkEnd w:id="45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spacing w:line="360" w:lineRule="auto"/>
        <w:ind w:firstLine="482" w:firstLineChars="200"/>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sz w:val="24"/>
        </w:rPr>
      </w:pPr>
    </w:p>
    <w:p>
      <w:pPr>
        <w:autoSpaceDE/>
        <w:autoSpaceDN/>
        <w:jc w:val="left"/>
        <w:rPr>
          <w:rFonts w:hint="eastAsia" w:ascii="仿宋" w:hAnsi="仿宋" w:eastAsia="仿宋"/>
          <w:b/>
          <w:spacing w:val="6"/>
          <w:sz w:val="32"/>
          <w:szCs w:val="32"/>
        </w:rPr>
      </w:pPr>
      <w:r>
        <w:rPr>
          <w:rFonts w:hint="eastAsia" w:ascii="仿宋" w:hAnsi="仿宋" w:eastAsia="仿宋"/>
          <w:b/>
          <w:spacing w:val="6"/>
          <w:sz w:val="32"/>
          <w:szCs w:val="32"/>
        </w:rPr>
        <w:br w:type="page"/>
      </w:r>
    </w:p>
    <w:p>
      <w:pPr>
        <w:spacing w:line="360" w:lineRule="auto"/>
        <w:jc w:val="center"/>
        <w:rPr>
          <w:rFonts w:hint="eastAsia" w:ascii="仿宋_GB2312" w:hAnsi="仿宋" w:eastAsia="仿宋_GB2312" w:cs="仿宋_GB2312"/>
          <w:b/>
          <w:sz w:val="32"/>
          <w:szCs w:val="32"/>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中小企业声明函（服务）</w:t>
      </w:r>
    </w:p>
    <w:p>
      <w:pPr>
        <w:spacing w:line="360" w:lineRule="auto"/>
        <w:rPr>
          <w:rFonts w:hint="eastAsia" w:ascii="宋体" w:hAnsi="宋体" w:eastAsia="宋体" w:cs="宋体"/>
        </w:rPr>
      </w:pPr>
    </w:p>
    <w:p>
      <w:pPr>
        <w:spacing w:line="360" w:lineRule="auto"/>
        <w:ind w:firstLine="600" w:firstLineChars="2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b/>
          <w:bCs/>
          <w:sz w:val="24"/>
          <w:u w:val="single"/>
        </w:rPr>
        <w:t xml:space="preserve"> （单位名称）</w:t>
      </w:r>
      <w:r>
        <w:rPr>
          <w:rFonts w:hint="eastAsia" w:ascii="宋体" w:hAnsi="宋体" w:eastAsia="宋体" w:cs="宋体"/>
          <w:sz w:val="24"/>
        </w:rPr>
        <w:t xml:space="preserve"> 的</w:t>
      </w:r>
      <w:r>
        <w:rPr>
          <w:rFonts w:hint="eastAsia" w:ascii="宋体" w:hAnsi="宋体" w:eastAsia="宋体" w:cs="宋体"/>
          <w:b/>
          <w:bCs/>
          <w:sz w:val="24"/>
          <w:u w:val="single"/>
        </w:rPr>
        <w:t>（项目名称）</w:t>
      </w:r>
      <w:r>
        <w:rPr>
          <w:rFonts w:hint="eastAsia" w:ascii="宋体" w:hAnsi="宋体" w:eastAsia="宋体" w:cs="宋体"/>
          <w:sz w:val="24"/>
        </w:rPr>
        <w:t xml:space="preserve"> 采购活动，服务全部由符合政策要求的中小企业承接。相关企业的具体情况如下：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 xml:space="preserve">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人，属于</w:t>
      </w:r>
      <w:r>
        <w:rPr>
          <w:rFonts w:hint="eastAsia" w:ascii="宋体" w:hAnsi="宋体" w:eastAsia="宋体" w:cs="宋体"/>
          <w:sz w:val="24"/>
          <w:u w:val="single"/>
        </w:rPr>
        <w:t xml:space="preserve"> （</w:t>
      </w:r>
      <w:r>
        <w:rPr>
          <w:rFonts w:hint="eastAsia" w:ascii="宋体" w:hAnsi="宋体" w:eastAsia="宋体" w:cs="宋体"/>
          <w:sz w:val="24"/>
          <w:u w:val="single"/>
        </w:rPr>
        <w:sym w:font="Wingdings" w:char="00A8"/>
      </w:r>
      <w:r>
        <w:rPr>
          <w:rFonts w:hint="eastAsia" w:ascii="宋体" w:hAnsi="宋体" w:eastAsia="宋体" w:cs="宋体"/>
          <w:sz w:val="24"/>
          <w:u w:val="single"/>
        </w:rPr>
        <w:t>中型企业、</w:t>
      </w:r>
      <w:r>
        <w:rPr>
          <w:rFonts w:hint="eastAsia" w:ascii="宋体" w:hAnsi="宋体" w:eastAsia="宋体" w:cs="宋体"/>
          <w:sz w:val="24"/>
          <w:u w:val="single"/>
        </w:rPr>
        <w:sym w:font="Wingdings" w:char="00A8"/>
      </w:r>
      <w:r>
        <w:rPr>
          <w:rFonts w:hint="eastAsia" w:ascii="宋体" w:hAnsi="宋体" w:eastAsia="宋体" w:cs="宋体"/>
          <w:sz w:val="24"/>
          <w:u w:val="single"/>
        </w:rPr>
        <w:t>小型企业、</w:t>
      </w:r>
      <w:r>
        <w:rPr>
          <w:rFonts w:hint="eastAsia" w:ascii="宋体" w:hAnsi="宋体" w:eastAsia="宋体" w:cs="宋体"/>
          <w:sz w:val="24"/>
          <w:u w:val="single"/>
        </w:rPr>
        <w:sym w:font="Wingdings" w:char="00A8"/>
      </w:r>
      <w:r>
        <w:rPr>
          <w:rFonts w:hint="eastAsia" w:ascii="宋体" w:hAnsi="宋体" w:eastAsia="宋体" w:cs="宋体"/>
          <w:sz w:val="24"/>
          <w:u w:val="single"/>
        </w:rPr>
        <w:t xml:space="preserve">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期：202 年  月   日</w:t>
      </w:r>
    </w:p>
    <w:p>
      <w:pPr>
        <w:pStyle w:val="2"/>
        <w:rPr>
          <w:rFonts w:hint="eastAsia" w:ascii="宋体" w:hAnsi="宋体" w:eastAsia="宋体" w:cs="宋体"/>
          <w:sz w:val="24"/>
          <w:szCs w:val="24"/>
        </w:rPr>
      </w:pPr>
    </w:p>
    <w:p>
      <w:pPr>
        <w:spacing w:line="360" w:lineRule="auto"/>
        <w:ind w:firstLine="354" w:firstLineChars="147"/>
        <w:jc w:val="left"/>
        <w:rPr>
          <w:rFonts w:hint="eastAsia" w:ascii="宋体" w:hAnsi="宋体" w:eastAsia="宋体" w:cs="宋体"/>
          <w:b/>
          <w:szCs w:val="24"/>
        </w:rPr>
      </w:pPr>
      <w:r>
        <w:rPr>
          <w:rFonts w:hint="eastAsia" w:ascii="宋体" w:hAnsi="宋体" w:eastAsia="宋体" w:cs="宋体"/>
          <w:b/>
          <w:szCs w:val="24"/>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w:t>
      </w:r>
      <w:r>
        <w:rPr>
          <w:rFonts w:hint="eastAsia" w:ascii="宋体" w:hAnsi="宋体" w:cs="宋体"/>
          <w:sz w:val="24"/>
        </w:rPr>
        <w:t>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_GB2312" w:hAnsi="仿宋" w:eastAsia="仿宋_GB2312" w:cs="仿宋_GB2312"/>
          <w:b/>
          <w:kern w:val="0"/>
          <w:sz w:val="32"/>
          <w:szCs w:val="32"/>
        </w:rPr>
      </w:pPr>
    </w:p>
    <w:p>
      <w:pPr>
        <w:widowControl/>
        <w:spacing w:line="360" w:lineRule="auto"/>
        <w:ind w:left="150"/>
        <w:jc w:val="center"/>
        <w:rPr>
          <w:rFonts w:hint="eastAsia" w:ascii="仿宋_GB2312" w:hAnsi="仿宋" w:eastAsia="仿宋_GB2312" w:cs="仿宋_GB2312"/>
          <w:b/>
          <w:kern w:val="0"/>
          <w:sz w:val="32"/>
          <w:szCs w:val="32"/>
        </w:rPr>
      </w:pPr>
    </w:p>
    <w:p>
      <w:pPr>
        <w:widowControl/>
        <w:spacing w:line="240" w:lineRule="auto"/>
        <w:ind w:left="0"/>
        <w:jc w:val="left"/>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hint="eastAsia" w:ascii="仿宋_GB2312" w:hAnsi="仿宋" w:eastAsia="仿宋_GB2312" w:cs="仿宋_GB2312"/>
          <w:b/>
          <w:kern w:val="0"/>
          <w:sz w:val="32"/>
          <w:szCs w:val="32"/>
          <w:lang w:eastAsia="zh-CN"/>
        </w:rPr>
      </w:pPr>
    </w:p>
    <w:p>
      <w:pPr>
        <w:snapToGrid w:val="0"/>
        <w:spacing w:line="360" w:lineRule="auto"/>
        <w:ind w:firstLine="482" w:firstLineChars="200"/>
        <w:rPr>
          <w:rFonts w:ascii="宋体" w:hAnsi="宋体" w:cs="宋体"/>
          <w:color w:val="0000FF"/>
          <w:sz w:val="24"/>
        </w:rPr>
      </w:pPr>
      <w:r>
        <w:rPr>
          <w:rFonts w:hint="eastAsia" w:ascii="宋体" w:hAnsi="宋体" w:cs="宋体"/>
          <w:b/>
          <w:bCs/>
          <w:color w:val="000000" w:themeColor="text1"/>
          <w:sz w:val="24"/>
          <w:highlight w:val="none"/>
          <w:lang w:eastAsia="zh-CN"/>
          <w14:textFill>
            <w14:solidFill>
              <w14:schemeClr w14:val="tx1"/>
            </w14:solidFill>
          </w14:textFill>
        </w:rPr>
        <w:t>具备</w:t>
      </w:r>
      <w:r>
        <w:rPr>
          <w:rFonts w:hint="eastAsia" w:ascii="宋体" w:hAnsi="宋体" w:cs="宋体"/>
          <w:b/>
          <w:bCs/>
          <w:color w:val="000000" w:themeColor="text1"/>
          <w:sz w:val="24"/>
          <w:highlight w:val="none"/>
          <w:lang w:val="en-US" w:eastAsia="zh-CN"/>
          <w14:textFill>
            <w14:solidFill>
              <w14:schemeClr w14:val="tx1"/>
            </w14:solidFill>
          </w14:textFill>
        </w:rPr>
        <w:t>市场</w:t>
      </w:r>
      <w:r>
        <w:rPr>
          <w:rFonts w:hint="eastAsia" w:ascii="宋体" w:hAnsi="宋体" w:cs="宋体"/>
          <w:b/>
          <w:bCs/>
          <w:color w:val="000000" w:themeColor="text1"/>
          <w:sz w:val="24"/>
          <w:highlight w:val="none"/>
          <w:lang w:eastAsia="zh-CN"/>
          <w14:textFill>
            <w14:solidFill>
              <w14:schemeClr w14:val="tx1"/>
            </w14:solidFill>
          </w14:textFill>
        </w:rPr>
        <w:t>监督</w:t>
      </w:r>
      <w:r>
        <w:rPr>
          <w:rFonts w:hint="eastAsia" w:ascii="宋体" w:hAnsi="宋体" w:cs="宋体"/>
          <w:b/>
          <w:bCs/>
          <w:color w:val="000000" w:themeColor="text1"/>
          <w:sz w:val="24"/>
          <w:highlight w:val="none"/>
          <w:lang w:val="en-US" w:eastAsia="zh-CN"/>
          <w14:textFill>
            <w14:solidFill>
              <w14:schemeClr w14:val="tx1"/>
            </w14:solidFill>
          </w14:textFill>
        </w:rPr>
        <w:t>管理</w:t>
      </w:r>
      <w:r>
        <w:rPr>
          <w:rFonts w:hint="eastAsia" w:ascii="宋体" w:hAnsi="宋体" w:cs="宋体"/>
          <w:b/>
          <w:bCs/>
          <w:color w:val="000000" w:themeColor="text1"/>
          <w:sz w:val="24"/>
          <w:highlight w:val="none"/>
          <w:lang w:eastAsia="zh-CN"/>
          <w14:textFill>
            <w14:solidFill>
              <w14:schemeClr w14:val="tx1"/>
            </w14:solidFill>
          </w14:textFill>
        </w:rPr>
        <w:t>部门颁发的CMA计量认证证书或《特种设备检验检测机构核准证》。（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①</w:t>
      </w:r>
      <w:r>
        <w:rPr>
          <w:rFonts w:hint="eastAsia" w:ascii="宋体" w:hAnsi="宋体" w:cs="宋体"/>
          <w:b/>
          <w:bCs/>
          <w:color w:val="000000" w:themeColor="text1"/>
          <w:sz w:val="24"/>
          <w:highlight w:val="none"/>
          <w:lang w:eastAsia="zh-CN"/>
          <w14:textFill>
            <w14:solidFill>
              <w14:schemeClr w14:val="tx1"/>
            </w14:solidFill>
          </w14:textFill>
        </w:rPr>
        <w:t>CMA计量认证证书检验检测范围需</w:t>
      </w:r>
      <w:r>
        <w:rPr>
          <w:rFonts w:hint="eastAsia" w:ascii="宋体" w:hAnsi="宋体" w:cs="宋体"/>
          <w:b/>
          <w:bCs/>
          <w:color w:val="000000" w:themeColor="text1"/>
          <w:sz w:val="24"/>
          <w:highlight w:val="none"/>
          <w:lang w:val="en-US" w:eastAsia="zh-CN"/>
          <w14:textFill>
            <w14:solidFill>
              <w14:schemeClr w14:val="tx1"/>
            </w14:solidFill>
          </w14:textFill>
        </w:rPr>
        <w:t>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塔式起重机、施工升降机、货用施工升降机（物料提升机）、</w:t>
      </w:r>
      <w:r>
        <w:rPr>
          <w:rFonts w:hint="eastAsia" w:ascii="宋体" w:hAnsi="宋体" w:eastAsia="宋体" w:cs="宋体"/>
          <w:b/>
          <w:bCs/>
          <w:color w:val="000000" w:themeColor="text1"/>
          <w:highlight w:val="none"/>
          <w:lang w:eastAsia="zh-CN"/>
          <w14:textFill>
            <w14:solidFill>
              <w14:schemeClr w14:val="tx1"/>
            </w14:solidFill>
          </w14:textFill>
        </w:rPr>
        <w:t>无损检测</w:t>
      </w:r>
      <w:r>
        <w:rPr>
          <w:rFonts w:hint="eastAsia" w:ascii="宋体" w:hAnsi="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eastAsia="zh-CN"/>
          <w14:textFill>
            <w14:solidFill>
              <w14:schemeClr w14:val="tx1"/>
            </w14:solidFill>
          </w14:textFill>
        </w:rPr>
        <w:t>无损检测包括超声检测和磁粉检测</w:t>
      </w:r>
      <w:r>
        <w:rPr>
          <w:rFonts w:hint="eastAsia" w:ascii="宋体" w:hAnsi="宋体" w:cs="宋体"/>
          <w:b/>
          <w:bCs/>
          <w:color w:val="000000" w:themeColor="text1"/>
          <w:sz w:val="24"/>
          <w:highlight w:val="none"/>
          <w:lang w:eastAsia="zh-CN"/>
          <w14:textFill>
            <w14:solidFill>
              <w14:schemeClr w14:val="tx1"/>
            </w14:solidFill>
          </w14:textFill>
        </w:rPr>
        <w:t>）4个检测项目；</w:t>
      </w:r>
      <w:r>
        <w:rPr>
          <w:rFonts w:hint="eastAsia" w:ascii="宋体" w:hAnsi="宋体" w:cs="宋体"/>
          <w:b/>
          <w:bCs/>
          <w:color w:val="000000" w:themeColor="text1"/>
          <w:sz w:val="24"/>
          <w:highlight w:val="none"/>
          <w:lang w:val="en-US" w:eastAsia="zh-CN"/>
          <w14:textFill>
            <w14:solidFill>
              <w14:schemeClr w14:val="tx1"/>
            </w14:solidFill>
          </w14:textFill>
        </w:rPr>
        <w:t>②</w:t>
      </w:r>
      <w:r>
        <w:rPr>
          <w:rFonts w:hint="eastAsia" w:ascii="宋体" w:hAnsi="宋体" w:cs="宋体"/>
          <w:b/>
          <w:bCs/>
          <w:color w:val="000000" w:themeColor="text1"/>
          <w:sz w:val="24"/>
          <w:highlight w:val="none"/>
          <w:lang w:eastAsia="zh-CN"/>
          <w14:textFill>
            <w14:solidFill>
              <w14:schemeClr w14:val="tx1"/>
            </w14:solidFill>
          </w14:textFill>
        </w:rPr>
        <w:t>《特种设备检验检测机构核准证》</w:t>
      </w:r>
      <w:r>
        <w:rPr>
          <w:rFonts w:hint="eastAsia" w:ascii="宋体" w:hAnsi="宋体" w:cs="宋体"/>
          <w:b/>
          <w:bCs/>
          <w:color w:val="000000" w:themeColor="text1"/>
          <w:sz w:val="24"/>
          <w:highlight w:val="none"/>
          <w:lang w:val="en-US" w:eastAsia="zh-CN"/>
          <w14:textFill>
            <w14:solidFill>
              <w14:schemeClr w14:val="tx1"/>
            </w14:solidFill>
          </w14:textFill>
        </w:rPr>
        <w:t>需涵盖</w:t>
      </w:r>
      <w:r>
        <w:rPr>
          <w:rFonts w:hint="eastAsia" w:ascii="宋体" w:hAnsi="宋体" w:cs="宋体"/>
          <w:b/>
          <w:bCs/>
          <w:color w:val="000000" w:themeColor="text1"/>
          <w:sz w:val="24"/>
          <w:highlight w:val="none"/>
          <w:lang w:eastAsia="zh-CN"/>
          <w14:textFill>
            <w14:solidFill>
              <w14:schemeClr w14:val="tx1"/>
            </w14:solidFill>
          </w14:textFill>
        </w:rPr>
        <w:t>塔式起重机、施工升降机。</w:t>
      </w:r>
      <w:r>
        <w:rPr>
          <w:rFonts w:hint="eastAsia" w:ascii="宋体" w:hAnsi="宋体" w:cs="宋体"/>
          <w:b/>
          <w:bCs/>
          <w:color w:val="000000" w:themeColor="text1"/>
          <w:sz w:val="24"/>
          <w:highlight w:val="none"/>
          <w:lang w:val="en-US" w:eastAsia="zh-CN"/>
          <w14:textFill>
            <w14:solidFill>
              <w14:schemeClr w14:val="tx1"/>
            </w14:solidFill>
          </w14:textFill>
        </w:rPr>
        <w:t>上述证书</w:t>
      </w:r>
      <w:r>
        <w:rPr>
          <w:rFonts w:hint="eastAsia" w:ascii="宋体" w:hAnsi="宋体" w:cs="宋体"/>
          <w:b/>
          <w:bCs/>
          <w:color w:val="000000" w:themeColor="text1"/>
          <w:sz w:val="24"/>
          <w:highlight w:val="none"/>
          <w:lang w:eastAsia="zh-CN"/>
          <w14:textFill>
            <w14:solidFill>
              <w14:schemeClr w14:val="tx1"/>
            </w14:solidFill>
          </w14:textFill>
        </w:rPr>
        <w:t>投标时</w:t>
      </w:r>
      <w:r>
        <w:rPr>
          <w:rFonts w:hint="eastAsia" w:ascii="宋体" w:hAnsi="宋体" w:cs="宋体"/>
          <w:b/>
          <w:bCs/>
          <w:color w:val="000000" w:themeColor="text1"/>
          <w:sz w:val="24"/>
          <w:highlight w:val="none"/>
          <w:lang w:val="en-US" w:eastAsia="zh-CN"/>
          <w14:textFill>
            <w14:solidFill>
              <w14:schemeClr w14:val="tx1"/>
            </w14:solidFill>
          </w14:textFill>
        </w:rPr>
        <w:t>需</w:t>
      </w:r>
      <w:r>
        <w:rPr>
          <w:rFonts w:hint="eastAsia" w:ascii="宋体" w:hAnsi="宋体" w:cs="宋体"/>
          <w:b/>
          <w:bCs/>
          <w:color w:val="000000" w:themeColor="text1"/>
          <w:sz w:val="24"/>
          <w:highlight w:val="none"/>
          <w:lang w:eastAsia="zh-CN"/>
          <w14:textFill>
            <w14:solidFill>
              <w14:schemeClr w14:val="tx1"/>
            </w14:solidFill>
          </w14:textFill>
        </w:rPr>
        <w:t>在有效期内。）</w:t>
      </w:r>
    </w:p>
    <w:p>
      <w:pPr>
        <w:spacing w:line="360" w:lineRule="auto"/>
        <w:jc w:val="center"/>
        <w:rPr>
          <w:rFonts w:hint="eastAsia" w:ascii="仿宋_GB2312" w:hAnsi="仿宋" w:eastAsia="仿宋_GB2312" w:cs="仿宋_GB2312"/>
          <w:sz w:val="24"/>
        </w:rPr>
      </w:pPr>
    </w:p>
    <w:p>
      <w:pPr>
        <w:pStyle w:val="25"/>
        <w:rPr>
          <w:rFonts w:hint="eastAsia" w:ascii="仿宋_GB2312" w:hAnsi="仿宋" w:eastAsia="仿宋_GB2312" w:cs="仿宋_GB2312"/>
          <w:b/>
          <w:kern w:val="0"/>
          <w:sz w:val="36"/>
          <w:szCs w:val="36"/>
          <w:highlight w:val="none"/>
          <w:lang w:eastAsia="zh-CN"/>
        </w:rPr>
      </w:pPr>
    </w:p>
    <w:p>
      <w:pPr>
        <w:pStyle w:val="25"/>
        <w:rPr>
          <w:rFonts w:hint="eastAsia" w:ascii="仿宋_GB2312" w:hAnsi="仿宋" w:eastAsia="仿宋_GB2312" w:cs="仿宋_GB2312"/>
          <w:b/>
          <w:kern w:val="0"/>
          <w:sz w:val="36"/>
          <w:szCs w:val="36"/>
          <w:highlight w:val="none"/>
          <w:lang w:eastAsia="zh-CN"/>
        </w:rPr>
      </w:pPr>
      <w:r>
        <w:rPr>
          <w:rFonts w:hint="eastAsia" w:ascii="仿宋_GB2312" w:hAnsi="仿宋" w:eastAsia="仿宋_GB2312" w:cs="仿宋_GB2312"/>
          <w:b/>
          <w:kern w:val="0"/>
          <w:sz w:val="36"/>
          <w:szCs w:val="36"/>
          <w:highlight w:val="none"/>
          <w:lang w:eastAsia="zh-CN"/>
        </w:rPr>
        <w:t>提供证书扫描件或复印件加盖公章；</w:t>
      </w:r>
    </w:p>
    <w:p>
      <w:pPr>
        <w:snapToGrid w:val="0"/>
        <w:spacing w:line="360" w:lineRule="auto"/>
        <w:ind w:right="480"/>
        <w:jc w:val="center"/>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pStyle w:val="969"/>
        <w:rPr>
          <w:rFonts w:ascii="仿宋_GB2312" w:hAnsi="仿宋" w:eastAsia="仿宋_GB2312" w:cs="仿宋_GB2312"/>
          <w:b/>
          <w:kern w:val="0"/>
          <w:sz w:val="32"/>
          <w:szCs w:val="32"/>
        </w:rPr>
      </w:pPr>
    </w:p>
    <w:p>
      <w:pPr>
        <w:shd w:val="clea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商 务 技 术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商务技术文件部分</w:t>
      </w:r>
    </w:p>
    <w:p>
      <w:pPr>
        <w:spacing w:line="240" w:lineRule="auto"/>
        <w:jc w:val="center"/>
        <w:outlineLvl w:val="9"/>
        <w:rPr>
          <w:b/>
          <w:bCs/>
          <w:sz w:val="36"/>
          <w:szCs w:val="36"/>
        </w:rPr>
      </w:pPr>
      <w:r>
        <w:rPr>
          <w:rFonts w:hint="eastAsia"/>
          <w:b/>
          <w:bCs/>
          <w:sz w:val="36"/>
          <w:szCs w:val="36"/>
        </w:rPr>
        <w:t>目录</w:t>
      </w:r>
    </w:p>
    <w:p>
      <w:pPr>
        <w:shd w:val="clear"/>
        <w:snapToGrid w:val="0"/>
        <w:spacing w:line="360" w:lineRule="auto"/>
        <w:ind w:left="547"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hd w:val="clea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rPr>
        <w:t>（7）投标标的清单</w:t>
      </w:r>
      <w:r>
        <w:rPr>
          <w:rFonts w:hint="eastAsia" w:ascii="宋体" w:hAnsi="宋体" w:cs="宋体"/>
        </w:rPr>
        <w:t>……………………………………………………………（页码）</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hd w:val="clear"/>
        <w:snapToGrid w:val="0"/>
        <w:spacing w:line="360" w:lineRule="auto"/>
        <w:ind w:left="547"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w:t>
      </w:r>
      <w:r>
        <w:rPr>
          <w:rFonts w:hint="eastAsia" w:ascii="宋体" w:hAnsi="宋体" w:cs="宋体"/>
          <w:sz w:val="24"/>
          <w:lang w:val="en-US" w:eastAsia="zh-CN"/>
        </w:rPr>
        <w:t>服务</w:t>
      </w:r>
      <w:r>
        <w:rPr>
          <w:rFonts w:hint="eastAsia" w:ascii="宋体" w:hAnsi="宋体" w:cs="宋体"/>
          <w:sz w:val="24"/>
          <w:lang w:val="zh-CN"/>
        </w:rPr>
        <w:t>承诺书</w:t>
      </w:r>
      <w:r>
        <w:rPr>
          <w:rFonts w:hint="eastAsia" w:ascii="宋体" w:hAnsi="宋体" w:cs="宋体"/>
        </w:rPr>
        <w:t>…………………………………………………………………（页码）</w:t>
      </w:r>
    </w:p>
    <w:p>
      <w:pPr>
        <w:shd w:val="clea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）确认声明书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pPr>
    </w:p>
    <w:p>
      <w:pPr>
        <w:snapToGrid/>
        <w:spacing w:line="240" w:lineRule="auto"/>
        <w:jc w:val="left"/>
        <w:outlineLvl w:val="9"/>
      </w:pPr>
    </w:p>
    <w:p/>
    <w:p>
      <w:pPr>
        <w:snapToGrid/>
        <w:spacing w:line="240" w:lineRule="auto"/>
        <w:jc w:val="left"/>
        <w:outlineLvl w:val="9"/>
      </w:pPr>
    </w:p>
    <w:p>
      <w:pPr>
        <w:rPr>
          <w:rFonts w:hint="eastAsia"/>
        </w:rPr>
      </w:pPr>
      <w:r>
        <w:rPr>
          <w:rFonts w:hint="eastAsia"/>
        </w:rPr>
        <w:br w:type="page"/>
      </w:r>
    </w:p>
    <w:p>
      <w:pPr>
        <w:pStyle w:val="2"/>
      </w:pPr>
      <w:r>
        <w:rPr>
          <w:rFonts w:hint="eastAsia"/>
        </w:rPr>
        <w:t>一、投标函</w:t>
      </w:r>
    </w:p>
    <w:p>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80" w:leftChars="200" w:firstLine="480" w:firstLineChars="200"/>
        <w:rPr>
          <w:rFonts w:hint="eastAsia" w:ascii="宋体" w:hAnsi="宋体" w:cs="宋体"/>
          <w:color w:val="auto"/>
          <w:sz w:val="24"/>
        </w:rPr>
      </w:pPr>
      <w:r>
        <w:rPr>
          <w:rFonts w:hint="eastAsia" w:ascii="宋体" w:hAnsi="宋体" w:cs="宋体"/>
          <w:color w:val="auto"/>
          <w:sz w:val="24"/>
        </w:rPr>
        <w:t>2.3.2</w:t>
      </w:r>
      <w:r>
        <w:rPr>
          <w:rFonts w:hint="eastAsia" w:ascii="宋体" w:hAnsi="宋体" w:cs="宋体"/>
          <w:color w:val="auto"/>
        </w:rPr>
        <w:t>报价情况说明</w:t>
      </w:r>
      <w:r>
        <w:rPr>
          <w:rFonts w:hint="eastAsia" w:ascii="宋体" w:hAnsi="宋体" w:cs="宋体"/>
          <w:color w:val="auto"/>
          <w:sz w:val="24"/>
        </w:rPr>
        <w:t>（如果有）；</w:t>
      </w:r>
    </w:p>
    <w:p>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sz w:val="24"/>
        </w:rPr>
      </w:pPr>
      <w:r>
        <w:rPr>
          <w:rFonts w:hint="eastAsia" w:ascii="宋体" w:hAnsi="宋体" w:cs="宋体"/>
          <w:color w:val="auto"/>
          <w:sz w:val="24"/>
        </w:rPr>
        <w:t xml:space="preserve">投标人名称（电子签名）：   </w:t>
      </w: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8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rPr>
          <w:lang w:val="zh-CN"/>
        </w:rPr>
      </w:pPr>
      <w:r>
        <w:rPr>
          <w:rFonts w:hint="eastAsia"/>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both"/>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autoSpaceDN/>
        <w:spacing w:line="240" w:lineRule="auto"/>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5"/>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hAnsi="宋体" w:cs="宋体"/>
                <w:bCs/>
                <w:sz w:val="24"/>
              </w:rPr>
            </w:pPr>
            <w:r>
              <w:rPr>
                <w:rFonts w:hint="eastAsia" w:hAnsi="宋体" w:cs="宋体"/>
                <w:bCs/>
                <w:sz w:val="24"/>
              </w:rPr>
              <w:t>正面：                                 反面：</w:t>
            </w:r>
          </w:p>
          <w:p>
            <w:pPr>
              <w:pStyle w:val="155"/>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
        <w:rPr>
          <w:rFonts w:ascii="宋体" w:hAnsi="宋体" w:cs="宋体"/>
          <w:b/>
          <w:kern w:val="0"/>
          <w:sz w:val="32"/>
          <w:szCs w:val="32"/>
        </w:rPr>
      </w:pPr>
      <w:r>
        <w:rPr>
          <w:rFonts w:hint="eastAsia" w:ascii="宋体" w:hAnsi="宋体" w:cs="宋体"/>
          <w:b/>
          <w:kern w:val="0"/>
          <w:sz w:val="32"/>
          <w:szCs w:val="32"/>
        </w:rPr>
        <w:t>三、分包意向</w:t>
      </w:r>
      <w:r>
        <w:rPr>
          <w:rFonts w:hint="eastAsia" w:ascii="宋体" w:hAnsi="宋体" w:cs="宋体"/>
          <w:b/>
          <w:color w:val="auto"/>
          <w:kern w:val="0"/>
          <w:sz w:val="32"/>
          <w:szCs w:val="32"/>
        </w:rPr>
        <w:t>协议（如果有）</w:t>
      </w:r>
    </w:p>
    <w:p>
      <w:pPr>
        <w:widowControl/>
        <w:spacing w:line="360" w:lineRule="auto"/>
        <w:ind w:firstLine="120" w:firstLineChars="50"/>
        <w:jc w:val="left"/>
        <w:rPr>
          <w:rFonts w:ascii="宋体" w:hAnsi="宋体" w:cs="宋体"/>
          <w:sz w:val="24"/>
        </w:rPr>
      </w:pPr>
      <w:bookmarkStart w:id="4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56"/>
    <w:p>
      <w:pPr>
        <w:snapToGrid w:val="0"/>
        <w:spacing w:line="360" w:lineRule="auto"/>
        <w:rPr>
          <w:rFonts w:ascii="宋体" w:hAnsi="宋体" w:cs="宋体"/>
          <w:kern w:val="0"/>
          <w:sz w:val="24"/>
        </w:rPr>
      </w:pPr>
    </w:p>
    <w:p>
      <w:pPr>
        <w:jc w:val="center"/>
        <w:rPr>
          <w:rFonts w:ascii="宋体" w:hAnsi="宋体" w:cs="宋体"/>
          <w:b/>
          <w:kern w:val="0"/>
          <w:sz w:val="32"/>
          <w:szCs w:val="32"/>
        </w:rPr>
      </w:pPr>
    </w:p>
    <w:p>
      <w:pPr>
        <w:rPr>
          <w:lang w:val="en-US"/>
        </w:rPr>
      </w:pPr>
    </w:p>
    <w:p/>
    <w:p>
      <w:pPr>
        <w:rPr>
          <w:lang w:val="en-US"/>
        </w:rPr>
      </w:pPr>
    </w:p>
    <w:p>
      <w:pPr>
        <w:jc w:val="center"/>
        <w:rPr>
          <w:rFonts w:ascii="宋体" w:hAnsi="宋体" w:cs="宋体"/>
          <w:b/>
          <w:kern w:val="0"/>
          <w:sz w:val="32"/>
          <w:szCs w:val="32"/>
        </w:rPr>
      </w:pPr>
    </w:p>
    <w:p>
      <w:pPr>
        <w:pStyle w:val="2"/>
      </w:pPr>
      <w:r>
        <w:rPr>
          <w:rFonts w:hint="eastAsia"/>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pStyle w:val="2"/>
      </w:pPr>
      <w:r>
        <w:rPr>
          <w:rFonts w:hint="eastAsia"/>
        </w:rPr>
        <w:t>五、评标标准相应的商务技术资料</w:t>
      </w:r>
    </w:p>
    <w:p>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pStyle w:val="85"/>
        <w:ind w:firstLine="0" w:firstLineChars="0"/>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pStyle w:val="2"/>
      </w:pPr>
      <w:r>
        <w:rPr>
          <w:rFonts w:hint="eastAsia"/>
          <w:lang w:val="en-US" w:eastAsia="zh-CN"/>
        </w:rPr>
        <w:t>七</w:t>
      </w:r>
      <w:r>
        <w:rPr>
          <w:rFonts w:hint="eastAsia"/>
        </w:rPr>
        <w:t>、商务技术偏离表</w:t>
      </w:r>
    </w:p>
    <w:tbl>
      <w:tblPr>
        <w:tblStyle w:val="6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578"/>
        <w:gridCol w:w="293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3" w:type="dxa"/>
            <w:vAlign w:val="center"/>
          </w:tcPr>
          <w:p>
            <w:pPr>
              <w:jc w:val="center"/>
              <w:rPr>
                <w:rFonts w:ascii="宋体" w:hAnsi="宋体" w:cs="宋体"/>
                <w:b/>
                <w:bCs/>
                <w:sz w:val="24"/>
              </w:rPr>
            </w:pPr>
            <w:r>
              <w:rPr>
                <w:rFonts w:hint="eastAsia" w:ascii="宋体" w:hAnsi="宋体" w:cs="宋体"/>
                <w:b/>
                <w:bCs/>
                <w:sz w:val="24"/>
              </w:rPr>
              <w:t>序号</w:t>
            </w:r>
          </w:p>
        </w:tc>
        <w:tc>
          <w:tcPr>
            <w:tcW w:w="3578"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2933"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644"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sz w:val="24"/>
              </w:rPr>
            </w:pPr>
            <w:r>
              <w:rPr>
                <w:rFonts w:hint="eastAsia" w:ascii="宋体" w:hAnsi="宋体" w:cs="宋体"/>
                <w:kern w:val="0"/>
                <w:sz w:val="24"/>
              </w:rPr>
              <w:t>1</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3" w:type="dxa"/>
            <w:vAlign w:val="center"/>
          </w:tcPr>
          <w:p>
            <w:pPr>
              <w:jc w:val="center"/>
              <w:rPr>
                <w:rFonts w:ascii="宋体" w:hAnsi="宋体" w:cs="宋体"/>
                <w:kern w:val="0"/>
                <w:sz w:val="24"/>
              </w:rPr>
            </w:pPr>
            <w:r>
              <w:rPr>
                <w:rFonts w:hint="eastAsia" w:ascii="宋体" w:hAnsi="宋体" w:cs="宋体"/>
                <w:kern w:val="0"/>
                <w:sz w:val="24"/>
              </w:rPr>
              <w:t>2</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3" w:type="dxa"/>
            <w:vAlign w:val="center"/>
          </w:tcPr>
          <w:p>
            <w:pPr>
              <w:jc w:val="center"/>
              <w:rPr>
                <w:rFonts w:ascii="宋体" w:hAnsi="宋体" w:cs="宋体"/>
                <w:kern w:val="0"/>
                <w:sz w:val="24"/>
              </w:rPr>
            </w:pPr>
            <w:r>
              <w:rPr>
                <w:rFonts w:hint="eastAsia" w:ascii="宋体" w:hAnsi="宋体" w:cs="宋体"/>
                <w:kern w:val="0"/>
                <w:sz w:val="24"/>
              </w:rPr>
              <w:t>……</w:t>
            </w:r>
          </w:p>
        </w:tc>
        <w:tc>
          <w:tcPr>
            <w:tcW w:w="3578" w:type="dxa"/>
            <w:vAlign w:val="center"/>
          </w:tcPr>
          <w:p>
            <w:pPr>
              <w:jc w:val="center"/>
              <w:rPr>
                <w:rFonts w:ascii="宋体" w:hAnsi="宋体" w:cs="宋体"/>
                <w:b/>
                <w:kern w:val="0"/>
                <w:sz w:val="32"/>
                <w:szCs w:val="32"/>
              </w:rPr>
            </w:pPr>
          </w:p>
        </w:tc>
        <w:tc>
          <w:tcPr>
            <w:tcW w:w="2933" w:type="dxa"/>
            <w:vAlign w:val="center"/>
          </w:tcPr>
          <w:p>
            <w:pPr>
              <w:jc w:val="center"/>
              <w:rPr>
                <w:rFonts w:ascii="宋体" w:hAnsi="宋体" w:cs="宋体"/>
                <w:b/>
                <w:kern w:val="0"/>
                <w:sz w:val="32"/>
                <w:szCs w:val="32"/>
              </w:rPr>
            </w:pPr>
          </w:p>
        </w:tc>
        <w:tc>
          <w:tcPr>
            <w:tcW w:w="1644" w:type="dxa"/>
            <w:vAlign w:val="center"/>
          </w:tcPr>
          <w:p>
            <w:pPr>
              <w:jc w:val="center"/>
              <w:rPr>
                <w:rFonts w:ascii="宋体" w:hAnsi="宋体" w:cs="宋体"/>
                <w:b/>
                <w:kern w:val="0"/>
                <w:sz w:val="32"/>
                <w:szCs w:val="32"/>
              </w:rPr>
            </w:pPr>
          </w:p>
        </w:tc>
      </w:tr>
    </w:tbl>
    <w:p>
      <w:pPr>
        <w:spacing w:line="360" w:lineRule="auto"/>
        <w:jc w:val="left"/>
        <w:rPr>
          <w:rFonts w:hint="eastAsia" w:ascii="宋体" w:hAnsi="宋体" w:eastAsia="宋体" w:cs="宋体"/>
          <w:kern w:val="0"/>
          <w:sz w:val="24"/>
          <w:lang w:val="en-US" w:eastAsia="zh-CN"/>
        </w:rPr>
      </w:pPr>
      <w:r>
        <w:rPr>
          <w:rFonts w:hint="eastAsia" w:ascii="宋体" w:hAnsi="宋体" w:cs="宋体"/>
          <w:kern w:val="0"/>
          <w:sz w:val="24"/>
        </w:rPr>
        <w:t>投标人保证：除商务技术偏离表列出的偏离外，投标人响应招标文件的全部要求</w:t>
      </w:r>
      <w:r>
        <w:rPr>
          <w:rFonts w:hint="eastAsia" w:ascii="宋体" w:hAnsi="宋体" w:cs="宋体"/>
          <w:kern w:val="0"/>
          <w:sz w:val="24"/>
          <w:lang w:eastAsia="zh-CN"/>
        </w:rPr>
        <w:t>。</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rPr>
          <w:rFonts w:hint="eastAsia" w:ascii="宋体" w:hAnsi="宋体" w:cs="宋体"/>
          <w:b/>
          <w:bCs/>
          <w:sz w:val="32"/>
          <w:szCs w:val="32"/>
        </w:rPr>
      </w:pPr>
      <w:r>
        <w:rPr>
          <w:rFonts w:hint="eastAsia" w:ascii="宋体" w:hAnsi="宋体" w:cs="宋体"/>
          <w:b/>
          <w:bCs/>
          <w:sz w:val="32"/>
          <w:szCs w:val="32"/>
        </w:rPr>
        <w:br w:type="page"/>
      </w:r>
    </w:p>
    <w:p>
      <w:pPr>
        <w:pStyle w:val="2"/>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5280" w:firstLineChars="22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r>
        <w:br w:type="page"/>
      </w:r>
    </w:p>
    <w:p>
      <w:pPr>
        <w:pStyle w:val="2"/>
        <w:rPr>
          <w:rFonts w:hint="eastAsia" w:ascii="宋体" w:hAnsi="宋体" w:eastAsia="宋体" w:cs="宋体"/>
          <w:b/>
          <w:kern w:val="0"/>
          <w:sz w:val="32"/>
          <w:szCs w:val="32"/>
          <w:lang w:val="zh-CN" w:eastAsia="zh-CN" w:bidi="ar-SA"/>
        </w:rPr>
      </w:pPr>
      <w:r>
        <w:rPr>
          <w:rFonts w:hint="eastAsia" w:ascii="宋体" w:hAnsi="宋体" w:eastAsia="宋体" w:cs="宋体"/>
          <w:b/>
          <w:kern w:val="0"/>
          <w:sz w:val="32"/>
          <w:szCs w:val="32"/>
          <w:lang w:val="zh-CN" w:eastAsia="zh-CN" w:bidi="ar-SA"/>
        </w:rPr>
        <w:t>九、</w:t>
      </w:r>
      <w:r>
        <w:rPr>
          <w:rFonts w:hint="eastAsia" w:ascii="宋体" w:hAnsi="宋体" w:cs="宋体"/>
          <w:b/>
          <w:kern w:val="0"/>
          <w:sz w:val="32"/>
          <w:szCs w:val="32"/>
          <w:lang w:val="zh-CN" w:eastAsia="zh-CN" w:bidi="ar-SA"/>
        </w:rPr>
        <w:t>服务承诺书</w:t>
      </w:r>
    </w:p>
    <w:p>
      <w:pPr>
        <w:spacing w:line="240" w:lineRule="auto"/>
        <w:jc w:val="left"/>
        <w:outlineLvl w:val="9"/>
        <w:rPr>
          <w:rFonts w:hint="eastAsia" w:ascii="Times New Roman" w:hAnsi="Times New Roman" w:eastAsia="宋体" w:cs="Times New Roman"/>
          <w:b w:val="0"/>
          <w:bCs w:val="0"/>
          <w:sz w:val="24"/>
          <w:szCs w:val="24"/>
        </w:rPr>
      </w:pPr>
    </w:p>
    <w:p>
      <w:pPr>
        <w:pStyle w:val="2"/>
        <w:numPr>
          <w:ilvl w:val="0"/>
          <w:numId w:val="0"/>
        </w:numPr>
        <w:spacing w:line="48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杭州市临平区建筑工程质量安全监督站：</w:t>
      </w:r>
    </w:p>
    <w:p>
      <w:pPr>
        <w:pStyle w:val="969"/>
        <w:numPr>
          <w:ilvl w:val="0"/>
          <w:numId w:val="0"/>
        </w:numPr>
        <w:spacing w:line="480" w:lineRule="auto"/>
        <w:ind w:firstLine="482" w:firstLineChars="200"/>
        <w:rPr>
          <w:rFonts w:hint="eastAsia" w:cs="宋体"/>
          <w:b/>
          <w:bCs/>
          <w:szCs w:val="24"/>
          <w:lang w:eastAsia="zh-CN"/>
        </w:rPr>
      </w:pPr>
      <w:r>
        <w:rPr>
          <w:rFonts w:hint="eastAsia" w:cs="宋体"/>
          <w:b/>
          <w:bCs/>
          <w:szCs w:val="24"/>
          <w:lang w:eastAsia="zh-CN"/>
        </w:rPr>
        <w:t>承诺除招标文件规定检测内容外，对甲方指定的其他项目进行起重机械（数量约为本次招标数量的 1/3）设备</w:t>
      </w:r>
      <w:r>
        <w:rPr>
          <w:rFonts w:hint="eastAsia" w:cs="宋体"/>
          <w:b/>
          <w:bCs/>
          <w:szCs w:val="24"/>
          <w:lang w:val="en-US" w:eastAsia="zh-CN"/>
        </w:rPr>
        <w:t>进行免费</w:t>
      </w:r>
      <w:r>
        <w:rPr>
          <w:rFonts w:hint="eastAsia" w:cs="宋体"/>
          <w:b/>
          <w:bCs/>
          <w:szCs w:val="24"/>
          <w:lang w:eastAsia="zh-CN"/>
        </w:rPr>
        <w:t>检测）。</w:t>
      </w:r>
    </w:p>
    <w:p>
      <w:pPr>
        <w:pStyle w:val="2"/>
        <w:numPr>
          <w:ilvl w:val="0"/>
          <w:numId w:val="0"/>
        </w:numPr>
        <w:rPr>
          <w:rFonts w:hint="eastAsia" w:ascii="宋体" w:hAnsi="宋体" w:eastAsia="宋体" w:cs="宋体"/>
          <w:sz w:val="24"/>
          <w:szCs w:val="24"/>
          <w:lang w:eastAsia="zh-CN"/>
        </w:rPr>
      </w:pPr>
    </w:p>
    <w:p>
      <w:pPr>
        <w:pStyle w:val="2"/>
        <w:numPr>
          <w:ilvl w:val="0"/>
          <w:numId w:val="0"/>
        </w:numPr>
        <w:rPr>
          <w:rFonts w:hint="eastAsia" w:ascii="宋体" w:hAnsi="宋体" w:eastAsia="宋体" w:cs="宋体"/>
          <w:sz w:val="24"/>
          <w:szCs w:val="24"/>
          <w:lang w:eastAsia="zh-CN"/>
        </w:rPr>
      </w:pPr>
    </w:p>
    <w:p>
      <w:pPr>
        <w:pStyle w:val="2"/>
        <w:numPr>
          <w:ilvl w:val="0"/>
          <w:numId w:val="0"/>
        </w:numPr>
        <w:rPr>
          <w:rFonts w:hint="eastAsia" w:ascii="宋体" w:hAnsi="宋体" w:eastAsia="宋体" w:cs="宋体"/>
          <w:sz w:val="24"/>
          <w:szCs w:val="24"/>
          <w:lang w:eastAsia="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0" w:leftChars="0"/>
        <w:rPr>
          <w:rFonts w:hint="eastAsia" w:ascii="宋体" w:hAnsi="宋体" w:eastAsia="宋体" w:cs="宋体"/>
          <w:kern w:val="0"/>
          <w:sz w:val="24"/>
          <w:lang w:val="zh-CN"/>
        </w:rPr>
      </w:pPr>
    </w:p>
    <w:p>
      <w:pPr>
        <w:spacing w:line="360" w:lineRule="auto"/>
        <w:ind w:left="0" w:leftChars="0" w:firstLine="4800" w:firstLineChars="20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rPr>
          <w:rFonts w:hint="eastAsia"/>
          <w:lang w:val="en-US" w:eastAsia="zh-CN"/>
        </w:rPr>
      </w:pPr>
    </w:p>
    <w:p>
      <w:pPr>
        <w:rPr>
          <w:rFonts w:hint="eastAsia"/>
          <w:sz w:val="28"/>
          <w:szCs w:val="28"/>
          <w:lang w:val="en-US" w:eastAsia="zh-CN"/>
        </w:rPr>
      </w:pPr>
      <w:r>
        <w:rPr>
          <w:rFonts w:hint="eastAsia"/>
          <w:sz w:val="28"/>
          <w:szCs w:val="28"/>
          <w:lang w:val="en-US" w:eastAsia="zh-CN"/>
        </w:rPr>
        <w:br w:type="page"/>
      </w:r>
    </w:p>
    <w:p>
      <w:pPr>
        <w:pStyle w:val="2"/>
        <w:shd w:val="clear"/>
        <w:rPr>
          <w:sz w:val="28"/>
          <w:szCs w:val="28"/>
        </w:rPr>
      </w:pPr>
      <w:r>
        <w:rPr>
          <w:rFonts w:hint="eastAsia"/>
          <w:sz w:val="28"/>
          <w:szCs w:val="28"/>
          <w:lang w:val="en-US" w:eastAsia="zh-CN"/>
        </w:rPr>
        <w:t>十</w:t>
      </w:r>
      <w:r>
        <w:rPr>
          <w:rFonts w:hint="eastAsia"/>
          <w:sz w:val="28"/>
          <w:szCs w:val="28"/>
        </w:rPr>
        <w:t>、确认声明书（将以下表格填写完成后，与投标文件同步制作递交）</w:t>
      </w:r>
    </w:p>
    <w:p>
      <w:pPr>
        <w:pStyle w:val="970"/>
        <w:shd w:val="clear"/>
        <w:snapToGrid w:val="0"/>
        <w:spacing w:before="120" w:after="120"/>
        <w:jc w:val="center"/>
        <w:rPr>
          <w:rFonts w:hint="eastAsia" w:ascii="宋体" w:hAnsi="宋体" w:eastAsia="宋体" w:cs="宋体"/>
          <w:kern w:val="0"/>
          <w:sz w:val="21"/>
          <w:szCs w:val="21"/>
        </w:rPr>
      </w:pPr>
      <w:r>
        <w:rPr>
          <w:rFonts w:hint="eastAsia" w:ascii="宋体" w:hAnsi="宋体" w:eastAsia="宋体" w:cs="宋体"/>
          <w:b/>
        </w:rPr>
        <w:t>（要求在电子投标文件解密后，自行核实下述承诺内容，如有不符，重新联系代理公司重新按新的内容邮箱递交）</w:t>
      </w:r>
    </w:p>
    <w:p>
      <w:pPr>
        <w:pStyle w:val="970"/>
        <w:shd w:val="clear"/>
        <w:snapToGrid w:val="0"/>
        <w:spacing w:before="120" w:after="120"/>
        <w:jc w:val="center"/>
        <w:rPr>
          <w:rFonts w:hint="eastAsia" w:ascii="宋体" w:hAnsi="宋体" w:eastAsia="宋体" w:cs="宋体"/>
          <w:b/>
        </w:rPr>
      </w:pPr>
    </w:p>
    <w:p>
      <w:pPr>
        <w:pStyle w:val="970"/>
        <w:shd w:val="clear"/>
        <w:snapToGrid w:val="0"/>
        <w:spacing w:before="120" w:after="120"/>
        <w:jc w:val="center"/>
        <w:rPr>
          <w:rFonts w:hint="eastAsia" w:ascii="宋体" w:hAnsi="宋体" w:eastAsia="宋体" w:cs="宋体"/>
          <w:b/>
        </w:rPr>
      </w:pPr>
      <w:r>
        <w:rPr>
          <w:rFonts w:hint="eastAsia" w:ascii="宋体" w:hAnsi="宋体" w:eastAsia="宋体" w:cs="宋体"/>
          <w:b/>
        </w:rPr>
        <w:t>政府采购活动现场确认声明书</w:t>
      </w:r>
    </w:p>
    <w:p>
      <w:pPr>
        <w:pStyle w:val="970"/>
        <w:shd w:val="clear"/>
        <w:snapToGrid w:val="0"/>
        <w:spacing w:before="120" w:after="120" w:line="380" w:lineRule="exact"/>
        <w:rPr>
          <w:rFonts w:hint="eastAsia" w:ascii="宋体" w:hAnsi="宋体" w:eastAsia="宋体" w:cs="宋体"/>
          <w:b/>
        </w:rPr>
      </w:pPr>
      <w:r>
        <w:rPr>
          <w:rFonts w:hint="eastAsia" w:ascii="宋体" w:hAnsi="宋体" w:eastAsia="宋体" w:cs="宋体"/>
          <w:kern w:val="0"/>
          <w:u w:val="single"/>
        </w:rPr>
        <w:t xml:space="preserve">                        </w:t>
      </w:r>
      <w:r>
        <w:rPr>
          <w:rFonts w:hint="eastAsia" w:ascii="宋体" w:hAnsi="宋体" w:eastAsia="宋体" w:cs="宋体"/>
          <w:kern w:val="0"/>
        </w:rPr>
        <w:t>：</w:t>
      </w:r>
    </w:p>
    <w:p>
      <w:pPr>
        <w:pStyle w:val="970"/>
        <w:shd w:val="clear"/>
        <w:snapToGrid w:val="0"/>
        <w:spacing w:before="120" w:after="120" w:line="380" w:lineRule="exact"/>
        <w:ind w:firstLine="504" w:firstLineChars="200"/>
        <w:rPr>
          <w:rFonts w:hint="eastAsia" w:ascii="宋体" w:hAnsi="宋体" w:eastAsia="宋体" w:cs="宋体"/>
          <w:spacing w:val="6"/>
        </w:rPr>
      </w:pPr>
      <w:r>
        <w:rPr>
          <w:rFonts w:hint="eastAsia" w:ascii="宋体" w:hAnsi="宋体" w:eastAsia="宋体" w:cs="宋体"/>
          <w:spacing w:val="6"/>
        </w:rPr>
        <w:t>本人经由</w:t>
      </w:r>
      <w:r>
        <w:rPr>
          <w:rFonts w:hint="eastAsia" w:ascii="宋体" w:hAnsi="宋体" w:eastAsia="宋体" w:cs="宋体"/>
          <w:spacing w:val="6"/>
          <w:u w:val="single"/>
        </w:rPr>
        <w:t xml:space="preserve">                  （单位）</w:t>
      </w:r>
      <w:r>
        <w:rPr>
          <w:rFonts w:hint="eastAsia" w:ascii="宋体" w:hAnsi="宋体" w:eastAsia="宋体" w:cs="宋体"/>
          <w:spacing w:val="6"/>
        </w:rPr>
        <w:t>负责人</w:t>
      </w:r>
      <w:r>
        <w:rPr>
          <w:rFonts w:hint="eastAsia" w:ascii="宋体" w:hAnsi="宋体" w:eastAsia="宋体" w:cs="宋体"/>
          <w:spacing w:val="6"/>
          <w:u w:val="single"/>
        </w:rPr>
        <w:t xml:space="preserve">        （姓名）</w:t>
      </w:r>
      <w:r>
        <w:rPr>
          <w:rFonts w:hint="eastAsia" w:ascii="宋体" w:hAnsi="宋体" w:eastAsia="宋体" w:cs="宋体"/>
          <w:spacing w:val="6"/>
        </w:rPr>
        <w:t>合法授权参加</w:t>
      </w:r>
      <w:r>
        <w:rPr>
          <w:rFonts w:hint="eastAsia" w:ascii="宋体" w:hAnsi="宋体" w:eastAsia="宋体" w:cs="宋体"/>
          <w:spacing w:val="6"/>
          <w:u w:val="single"/>
        </w:rPr>
        <w:t xml:space="preserve">                </w:t>
      </w:r>
      <w:r>
        <w:rPr>
          <w:rFonts w:hint="eastAsia" w:ascii="宋体" w:hAnsi="宋体" w:eastAsia="宋体" w:cs="宋体"/>
          <w:spacing w:val="6"/>
        </w:rPr>
        <w:t>项目（编号：</w:t>
      </w:r>
      <w:r>
        <w:rPr>
          <w:rFonts w:hint="eastAsia" w:ascii="宋体" w:hAnsi="宋体" w:eastAsia="宋体" w:cs="宋体"/>
          <w:spacing w:val="6"/>
          <w:u w:val="single"/>
        </w:rPr>
        <w:t xml:space="preserve">        </w:t>
      </w:r>
      <w:r>
        <w:rPr>
          <w:rFonts w:hint="eastAsia" w:ascii="宋体" w:hAnsi="宋体" w:eastAsia="宋体" w:cs="宋体"/>
          <w:spacing w:val="6"/>
        </w:rPr>
        <w:t xml:space="preserve">）政府采购活动，经与本单位法人代表（负责人）联系确认，现就有关公平竞争事项郑重声明如下： </w:t>
      </w:r>
    </w:p>
    <w:p>
      <w:pPr>
        <w:pStyle w:val="971"/>
        <w:widowControl/>
        <w:numPr>
          <w:ilvl w:val="0"/>
          <w:numId w:val="6"/>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kern w:val="0"/>
          <w:sz w:val="24"/>
          <w:szCs w:val="24"/>
        </w:rPr>
        <w:t>本单位与采购人之间 □不存在利害关系 □存在下列利害关系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A.投资关系    B.行政隶属关系    C.业务指导关系</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kern w:val="0"/>
          <w:sz w:val="24"/>
          <w:szCs w:val="24"/>
        </w:rPr>
        <w:t xml:space="preserve">  D.其他可能</w:t>
      </w:r>
      <w:r>
        <w:rPr>
          <w:rFonts w:ascii="宋体" w:hAnsi="宋体" w:eastAsia="宋体" w:cs="宋体"/>
          <w:sz w:val="24"/>
          <w:szCs w:val="24"/>
        </w:rPr>
        <w:t>影响采购公正的</w:t>
      </w:r>
      <w:r>
        <w:rPr>
          <w:rFonts w:ascii="宋体" w:hAnsi="宋体" w:eastAsia="宋体" w:cs="宋体"/>
          <w:kern w:val="0"/>
          <w:sz w:val="24"/>
          <w:szCs w:val="24"/>
        </w:rPr>
        <w:t>利害关系</w:t>
      </w:r>
      <w:r>
        <w:rPr>
          <w:rFonts w:ascii="宋体" w:hAnsi="宋体" w:eastAsia="宋体" w:cs="宋体"/>
          <w:kern w:val="0"/>
          <w:sz w:val="24"/>
          <w:szCs w:val="24"/>
          <w:u w:val="single"/>
        </w:rPr>
        <w:t xml:space="preserve">（如有，请如实说明）                 </w:t>
      </w:r>
      <w:r>
        <w:rPr>
          <w:rFonts w:ascii="宋体" w:hAnsi="宋体" w:eastAsia="宋体" w:cs="宋体"/>
          <w:kern w:val="0"/>
          <w:sz w:val="24"/>
          <w:szCs w:val="24"/>
        </w:rPr>
        <w:t>。</w:t>
      </w:r>
    </w:p>
    <w:p>
      <w:pPr>
        <w:pStyle w:val="971"/>
        <w:widowControl/>
        <w:shd w:val="clear"/>
        <w:snapToGrid w:val="0"/>
        <w:spacing w:line="380" w:lineRule="exact"/>
        <w:rPr>
          <w:rFonts w:hint="eastAsia" w:ascii="宋体" w:hAnsi="宋体" w:eastAsia="宋体" w:cs="宋体"/>
          <w:kern w:val="0"/>
          <w:sz w:val="24"/>
          <w:szCs w:val="24"/>
        </w:rPr>
      </w:pPr>
      <w:r>
        <w:rPr>
          <w:rFonts w:ascii="宋体" w:hAnsi="宋体" w:eastAsia="宋体" w:cs="宋体"/>
          <w:spacing w:val="6"/>
          <w:sz w:val="24"/>
          <w:szCs w:val="24"/>
        </w:rPr>
        <w:t xml:space="preserve">  二、</w:t>
      </w:r>
      <w:r>
        <w:rPr>
          <w:rFonts w:ascii="宋体" w:hAnsi="宋体" w:eastAsia="宋体" w:cs="宋体"/>
          <w:kern w:val="0"/>
          <w:sz w:val="24"/>
          <w:szCs w:val="24"/>
        </w:rPr>
        <w:t>现已清楚知道参加本项目采购活动的其他所有供应商名称，本单位 □与其他所有供应商之间均不存在利害关系 □与</w:t>
      </w:r>
      <w:r>
        <w:rPr>
          <w:rFonts w:ascii="宋体" w:hAnsi="宋体" w:eastAsia="宋体" w:cs="宋体"/>
          <w:kern w:val="0"/>
          <w:sz w:val="24"/>
          <w:szCs w:val="24"/>
          <w:u w:val="single"/>
        </w:rPr>
        <w:t xml:space="preserve">           （供应商名称）</w:t>
      </w:r>
      <w:r>
        <w:rPr>
          <w:rFonts w:ascii="宋体" w:hAnsi="宋体" w:eastAsia="宋体" w:cs="宋体"/>
          <w:kern w:val="0"/>
          <w:sz w:val="24"/>
          <w:szCs w:val="24"/>
        </w:rPr>
        <w:t>之间存在下列利害关系</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A.法定代表人或负责人或实际控制人是同一人</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B.法定代表人或负责人或实际控制人是夫妻关系</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C.法定代表人或负责人或实际控制人是直系血亲关系</w:t>
      </w:r>
    </w:p>
    <w:p>
      <w:pPr>
        <w:pStyle w:val="970"/>
        <w:shd w:val="clear"/>
        <w:adjustRightInd/>
        <w:snapToGrid w:val="0"/>
        <w:spacing w:before="120" w:after="120" w:line="300" w:lineRule="exact"/>
        <w:rPr>
          <w:rFonts w:hint="eastAsia" w:ascii="宋体" w:hAnsi="宋体" w:eastAsia="宋体" w:cs="宋体"/>
          <w:spacing w:val="6"/>
        </w:rPr>
      </w:pPr>
      <w:r>
        <w:rPr>
          <w:rFonts w:hint="eastAsia" w:ascii="宋体" w:hAnsi="宋体" w:eastAsia="宋体" w:cs="宋体"/>
          <w:kern w:val="0"/>
        </w:rPr>
        <w:t xml:space="preserve">  D.法定代表人或负责人或实际控制人存在三代以内旁系血亲关系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E.法定代表人或负责人或实际控制人存在近姻亲关系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F.法定代表人或负责人或实际控制人存在股份控制或实际控制关系</w:t>
      </w:r>
    </w:p>
    <w:p>
      <w:pPr>
        <w:pStyle w:val="970"/>
        <w:shd w:val="clear"/>
        <w:adjustRightInd/>
        <w:snapToGrid w:val="0"/>
        <w:spacing w:before="120" w:after="120" w:line="300" w:lineRule="exact"/>
        <w:rPr>
          <w:rFonts w:hint="eastAsia" w:ascii="宋体" w:hAnsi="宋体" w:eastAsia="宋体" w:cs="宋体"/>
          <w:kern w:val="0"/>
        </w:rPr>
      </w:pPr>
      <w:r>
        <w:rPr>
          <w:rFonts w:hint="eastAsia" w:ascii="宋体" w:hAnsi="宋体" w:eastAsia="宋体" w:cs="宋体"/>
          <w:kern w:val="0"/>
        </w:rPr>
        <w:t xml:space="preserve">  G.存在共同直接或间接投资设立子公司、联营企业和合营企业情况</w:t>
      </w:r>
    </w:p>
    <w:p>
      <w:pPr>
        <w:pStyle w:val="970"/>
        <w:shd w:val="clear"/>
        <w:adjustRightInd/>
        <w:snapToGrid w:val="0"/>
        <w:spacing w:before="120" w:after="120" w:line="300" w:lineRule="exact"/>
        <w:rPr>
          <w:rFonts w:hint="eastAsia" w:ascii="宋体" w:hAnsi="宋体" w:eastAsia="宋体" w:cs="宋体"/>
        </w:rPr>
      </w:pPr>
      <w:r>
        <w:rPr>
          <w:rFonts w:hint="eastAsia" w:ascii="宋体" w:hAnsi="宋体" w:eastAsia="宋体" w:cs="宋体"/>
          <w:kern w:val="0"/>
        </w:rPr>
        <w:t xml:space="preserve">  H.存在分级代理或代销关系、同一生产制造商关系、</w:t>
      </w:r>
      <w:r>
        <w:rPr>
          <w:rFonts w:hint="eastAsia" w:ascii="宋体" w:hAnsi="宋体" w:eastAsia="宋体" w:cs="宋体"/>
        </w:rPr>
        <w:t>管理关系、重要业务（占主营业务收入50%以上）或重要财务往来关系（如融资）等其他实质性控制关系</w:t>
      </w:r>
    </w:p>
    <w:p>
      <w:pPr>
        <w:pStyle w:val="970"/>
        <w:shd w:val="clear"/>
        <w:snapToGrid w:val="0"/>
        <w:spacing w:before="120" w:after="120" w:line="380" w:lineRule="exact"/>
        <w:rPr>
          <w:rFonts w:hint="eastAsia" w:ascii="宋体" w:hAnsi="宋体" w:eastAsia="宋体" w:cs="宋体"/>
          <w:spacing w:val="6"/>
        </w:rPr>
      </w:pPr>
      <w:r>
        <w:rPr>
          <w:rFonts w:hint="eastAsia" w:ascii="宋体" w:hAnsi="宋体" w:eastAsia="宋体" w:cs="宋体"/>
        </w:rPr>
        <w:t xml:space="preserve">    I</w:t>
      </w:r>
      <w:r>
        <w:rPr>
          <w:rFonts w:hint="eastAsia" w:ascii="宋体" w:hAnsi="宋体" w:eastAsia="宋体" w:cs="宋体"/>
          <w:kern w:val="0"/>
        </w:rPr>
        <w:t>.</w:t>
      </w:r>
      <w:r>
        <w:rPr>
          <w:rFonts w:hint="eastAsia" w:ascii="宋体" w:hAnsi="宋体" w:eastAsia="宋体" w:cs="宋体"/>
        </w:rPr>
        <w:t>其他利害关系情况</w:t>
      </w:r>
      <w:r>
        <w:rPr>
          <w:rFonts w:hint="eastAsia" w:ascii="宋体" w:hAnsi="宋体" w:eastAsia="宋体" w:cs="宋体"/>
          <w:u w:val="single"/>
        </w:rPr>
        <w:t xml:space="preserve">                              </w:t>
      </w:r>
      <w:r>
        <w:rPr>
          <w:rFonts w:hint="eastAsia" w:ascii="宋体" w:hAnsi="宋体" w:eastAsia="宋体" w:cs="宋体"/>
          <w:kern w:val="0"/>
        </w:rPr>
        <w:t>。</w:t>
      </w:r>
    </w:p>
    <w:p>
      <w:pPr>
        <w:pStyle w:val="971"/>
        <w:widowControl/>
        <w:numPr>
          <w:ilvl w:val="0"/>
          <w:numId w:val="7"/>
        </w:numPr>
        <w:shd w:val="clear"/>
        <w:snapToGrid w:val="0"/>
        <w:spacing w:line="380" w:lineRule="exact"/>
        <w:ind w:firstLine="453" w:firstLineChars="189"/>
        <w:rPr>
          <w:rFonts w:hint="eastAsia" w:ascii="宋体" w:hAnsi="宋体" w:eastAsia="宋体" w:cs="宋体"/>
          <w:kern w:val="0"/>
          <w:sz w:val="24"/>
          <w:szCs w:val="24"/>
        </w:rPr>
      </w:pPr>
      <w:r>
        <w:rPr>
          <w:rFonts w:ascii="宋体" w:hAnsi="宋体" w:eastAsia="宋体" w:cs="宋体"/>
          <w:sz w:val="24"/>
          <w:szCs w:val="24"/>
        </w:rPr>
        <w:t>现已清楚知道并</w:t>
      </w:r>
      <w:r>
        <w:rPr>
          <w:rFonts w:ascii="宋体" w:hAnsi="宋体" w:eastAsia="宋体" w:cs="宋体"/>
          <w:kern w:val="0"/>
          <w:sz w:val="24"/>
          <w:szCs w:val="24"/>
        </w:rPr>
        <w:t>严格遵守政府采购法律法规和现场纪律。</w:t>
      </w:r>
    </w:p>
    <w:p>
      <w:pPr>
        <w:pStyle w:val="971"/>
        <w:widowControl/>
        <w:numPr>
          <w:ilvl w:val="0"/>
          <w:numId w:val="7"/>
        </w:numPr>
        <w:shd w:val="clear"/>
        <w:snapToGrid w:val="0"/>
        <w:spacing w:line="380" w:lineRule="exact"/>
        <w:ind w:firstLine="453" w:firstLineChars="189"/>
        <w:rPr>
          <w:rFonts w:hint="eastAsia" w:ascii="宋体" w:hAnsi="宋体" w:eastAsia="宋体" w:cs="宋体"/>
          <w:sz w:val="24"/>
          <w:szCs w:val="24"/>
        </w:rPr>
      </w:pPr>
      <w:r>
        <w:rPr>
          <w:rFonts w:ascii="宋体" w:hAnsi="宋体" w:eastAsia="宋体" w:cs="宋体"/>
          <w:kern w:val="0"/>
          <w:sz w:val="24"/>
          <w:szCs w:val="24"/>
        </w:rPr>
        <w:t>我发现</w:t>
      </w:r>
      <w:r>
        <w:rPr>
          <w:rFonts w:ascii="宋体" w:hAnsi="宋体" w:eastAsia="宋体" w:cs="宋体"/>
          <w:kern w:val="0"/>
          <w:sz w:val="24"/>
          <w:szCs w:val="24"/>
          <w:u w:val="single"/>
        </w:rPr>
        <w:t xml:space="preserve">                    </w:t>
      </w:r>
      <w:r>
        <w:rPr>
          <w:rFonts w:ascii="宋体" w:hAnsi="宋体" w:eastAsia="宋体" w:cs="宋体"/>
          <w:kern w:val="0"/>
          <w:sz w:val="24"/>
          <w:szCs w:val="24"/>
        </w:rPr>
        <w:t>供应商之间存在或可能存在上述第二条第</w:t>
      </w:r>
      <w:r>
        <w:rPr>
          <w:rFonts w:ascii="宋体" w:hAnsi="宋体" w:eastAsia="宋体" w:cs="宋体"/>
          <w:kern w:val="0"/>
          <w:sz w:val="24"/>
          <w:szCs w:val="24"/>
          <w:u w:val="single"/>
        </w:rPr>
        <w:t xml:space="preserve">        </w:t>
      </w:r>
      <w:r>
        <w:rPr>
          <w:rFonts w:ascii="宋体" w:hAnsi="宋体" w:eastAsia="宋体" w:cs="宋体"/>
          <w:kern w:val="0"/>
          <w:sz w:val="24"/>
          <w:szCs w:val="24"/>
        </w:rPr>
        <w:t>项利害关系。</w:t>
      </w:r>
    </w:p>
    <w:p>
      <w:pPr>
        <w:pStyle w:val="970"/>
        <w:shd w:val="clear"/>
        <w:snapToGrid w:val="0"/>
        <w:spacing w:before="120" w:after="120"/>
        <w:ind w:firstLine="480" w:firstLineChars="200"/>
        <w:rPr>
          <w:rFonts w:hint="eastAsia" w:ascii="宋体" w:hAnsi="宋体" w:eastAsia="宋体" w:cs="宋体"/>
        </w:rPr>
      </w:pPr>
      <w:r>
        <w:rPr>
          <w:rFonts w:hint="eastAsia" w:ascii="宋体" w:hAnsi="宋体" w:eastAsia="宋体" w:cs="宋体"/>
        </w:rPr>
        <w:t xml:space="preserve">                                          供应商盖章：</w:t>
      </w:r>
    </w:p>
    <w:p>
      <w:pPr>
        <w:pStyle w:val="970"/>
        <w:shd w:val="clear"/>
        <w:snapToGrid w:val="0"/>
        <w:spacing w:before="120" w:after="120"/>
        <w:ind w:firstLine="5520" w:firstLineChars="2300"/>
        <w:rPr>
          <w:rFonts w:hint="eastAsia" w:ascii="宋体" w:hAnsi="宋体" w:eastAsia="宋体" w:cs="宋体"/>
        </w:rPr>
      </w:pPr>
      <w:r>
        <w:rPr>
          <w:rFonts w:hint="eastAsia" w:ascii="宋体" w:hAnsi="宋体" w:eastAsia="宋体" w:cs="宋体"/>
        </w:rPr>
        <w:t>授权委托代表签名：</w:t>
      </w:r>
    </w:p>
    <w:p>
      <w:pPr>
        <w:shd w:val="clear"/>
        <w:spacing w:line="360" w:lineRule="auto"/>
        <w:ind w:right="420"/>
        <w:rPr>
          <w:rFonts w:hint="eastAsia" w:ascii="宋体" w:hAnsi="宋体" w:cs="宋体"/>
          <w:sz w:val="24"/>
        </w:rPr>
      </w:pPr>
      <w:r>
        <w:rPr>
          <w:rFonts w:hint="eastAsia" w:ascii="宋体" w:hAnsi="宋体" w:eastAsia="宋体" w:cs="宋体"/>
          <w:sz w:val="24"/>
        </w:rPr>
        <w:t xml:space="preserve">                                               年    月    日</w:t>
      </w:r>
    </w:p>
    <w:p>
      <w:pPr>
        <w:pStyle w:val="2"/>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pPr>
        <w:shd w:val="clear"/>
        <w:spacing w:line="360" w:lineRule="auto"/>
        <w:jc w:val="left"/>
        <w:outlineLvl w:val="9"/>
      </w:pPr>
    </w:p>
    <w:p>
      <w:pPr>
        <w:shd w:val="clear"/>
        <w:snapToGrid/>
        <w:spacing w:line="360" w:lineRule="auto"/>
        <w:jc w:val="center"/>
        <w:outlineLvl w:val="9"/>
        <w:rPr>
          <w:rFonts w:hint="eastAsia" w:ascii="Times New Roman" w:hAnsi="Times New Roman" w:eastAsia="宋体" w:cs="Times New Roman"/>
          <w:b/>
          <w:bCs/>
          <w:sz w:val="36"/>
          <w:szCs w:val="44"/>
        </w:rPr>
      </w:pPr>
      <w:r>
        <w:rPr>
          <w:rFonts w:hint="default" w:ascii="Times New Roman" w:hAnsi="Times New Roman" w:eastAsia="宋体" w:cs="Times New Roman"/>
          <w:b/>
          <w:bCs/>
          <w:sz w:val="36"/>
          <w:szCs w:val="44"/>
        </w:rPr>
        <w:t>（项目名称）</w:t>
      </w:r>
    </w:p>
    <w:p>
      <w:pPr>
        <w:shd w:val="clear"/>
        <w:snapToGrid/>
        <w:spacing w:line="360" w:lineRule="auto"/>
        <w:jc w:val="left"/>
        <w:outlineLvl w:val="9"/>
        <w:rPr>
          <w:rFonts w:hint="eastAsia" w:ascii="宋体" w:hAnsi="宋体" w:eastAsia="宋体" w:cs="宋体"/>
        </w:rPr>
      </w:pPr>
    </w:p>
    <w:p>
      <w:pPr>
        <w:shd w:val="clear"/>
        <w:snapToGrid/>
        <w:spacing w:line="360" w:lineRule="auto"/>
        <w:jc w:val="center"/>
        <w:outlineLvl w:val="9"/>
        <w:rPr>
          <w:rFonts w:hint="eastAsia" w:ascii="Times New Roman" w:hAnsi="Times New Roman" w:eastAsia="宋体" w:cs="Times New Roman"/>
          <w:b/>
          <w:bCs/>
          <w:sz w:val="52"/>
          <w:szCs w:val="52"/>
        </w:rPr>
      </w:pPr>
      <w:r>
        <w:rPr>
          <w:rFonts w:hint="default" w:ascii="Times New Roman" w:hAnsi="Times New Roman" w:eastAsia="宋体" w:cs="Times New Roman"/>
          <w:b/>
          <w:bCs/>
          <w:sz w:val="52"/>
          <w:szCs w:val="52"/>
        </w:rPr>
        <w:t>报 价 文 件</w:t>
      </w:r>
    </w:p>
    <w:p>
      <w:pPr>
        <w:widowControl/>
        <w:shd w:val="clear"/>
        <w:spacing w:line="360" w:lineRule="auto"/>
        <w:ind w:right="0"/>
        <w:jc w:val="center"/>
        <w:outlineLvl w:val="9"/>
        <w:rPr>
          <w:rFonts w:hint="eastAsia" w:ascii="宋体" w:hAnsi="宋体" w:eastAsia="宋体" w:cs="宋体"/>
          <w:b/>
          <w:bCs/>
          <w:sz w:val="32"/>
          <w:szCs w:val="32"/>
        </w:rPr>
      </w:pPr>
      <w:r>
        <w:rPr>
          <w:rFonts w:hint="eastAsia" w:ascii="宋体" w:hAnsi="宋体" w:eastAsia="宋体" w:cs="宋体"/>
          <w:b/>
          <w:bCs/>
          <w:sz w:val="32"/>
          <w:szCs w:val="32"/>
        </w:rPr>
        <w:t>（线上电子招投标）</w:t>
      </w:r>
    </w:p>
    <w:p>
      <w:pPr>
        <w:shd w:val="clear"/>
        <w:spacing w:line="360" w:lineRule="auto"/>
        <w:jc w:val="center"/>
        <w:rPr>
          <w:rFonts w:hint="eastAsia" w:ascii="宋体" w:hAnsi="宋体" w:eastAsia="宋体" w:cs="宋体"/>
          <w:b/>
          <w:bCs/>
          <w:sz w:val="32"/>
          <w:szCs w:val="32"/>
        </w:rPr>
      </w:pPr>
    </w:p>
    <w:p>
      <w:pPr>
        <w:shd w:val="clear"/>
        <w:snapToGrid/>
        <w:spacing w:line="360" w:lineRule="auto"/>
        <w:jc w:val="center"/>
        <w:outlineLvl w:val="9"/>
        <w:rPr>
          <w:rFonts w:hint="eastAsia" w:ascii="宋体" w:hAnsi="宋体" w:eastAsia="宋体" w:cs="宋体"/>
          <w:b/>
          <w:bCs/>
          <w:sz w:val="32"/>
          <w:szCs w:val="32"/>
        </w:rPr>
      </w:pPr>
      <w:r>
        <w:rPr>
          <w:rFonts w:hint="eastAsia" w:ascii="宋体" w:hAnsi="宋体" w:eastAsia="宋体" w:cs="宋体"/>
          <w:b/>
          <w:bCs/>
          <w:sz w:val="32"/>
          <w:szCs w:val="32"/>
        </w:rPr>
        <w:t>招标编号：YHZFCG202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pPr>
        <w:shd w:val="clea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pPr>
        <w:shd w:val="clear"/>
        <w:snapToGrid w:val="0"/>
        <w:spacing w:line="360" w:lineRule="auto"/>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pPr>
        <w:shd w:val="clea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pPr>
        <w:jc w:val="center"/>
        <w:rPr>
          <w:rFonts w:hint="eastAsia"/>
        </w:rPr>
      </w:pPr>
      <w:r>
        <w:rPr>
          <w:rFonts w:hint="eastAsia" w:ascii="宋体" w:hAnsi="宋体" w:eastAsia="宋体" w:cs="宋体"/>
          <w:color w:val="auto"/>
          <w:sz w:val="32"/>
          <w:szCs w:val="32"/>
          <w:highlight w:val="none"/>
        </w:rPr>
        <w:t>年   月   日</w:t>
      </w:r>
    </w:p>
    <w:p>
      <w:pPr>
        <w:pStyle w:val="3"/>
        <w:jc w:val="center"/>
      </w:pPr>
      <w:r>
        <w:rPr>
          <w:rFonts w:hint="eastAsia"/>
        </w:rPr>
        <w:t>报价文件部分</w:t>
      </w:r>
    </w:p>
    <w:p>
      <w:pPr>
        <w:spacing w:line="240" w:lineRule="auto"/>
        <w:jc w:val="center"/>
        <w:outlineLvl w:val="9"/>
        <w:rPr>
          <w:b/>
          <w:bCs/>
          <w:sz w:val="36"/>
          <w:szCs w:val="36"/>
        </w:rPr>
      </w:pPr>
      <w:r>
        <w:rPr>
          <w:rFonts w:hint="eastAsia"/>
          <w:b/>
          <w:bCs/>
          <w:sz w:val="36"/>
          <w:szCs w:val="36"/>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rPr>
        <w:t>报价情况说明</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中小企业声明函</w:t>
      </w:r>
      <w:r>
        <w:rPr>
          <w:rFonts w:hint="eastAsia" w:ascii="宋体" w:hAnsi="宋体" w:cs="宋体"/>
          <w:sz w:val="24"/>
          <w:lang w:eastAsia="zh-CN"/>
        </w:rPr>
        <w:t>（如需）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8"/>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2"/>
        <w:numPr>
          <w:ilvl w:val="0"/>
          <w:numId w:val="8"/>
        </w:numPr>
        <w:rPr>
          <w:rFonts w:hint="eastAsia"/>
        </w:rPr>
      </w:pPr>
      <w:r>
        <w:rPr>
          <w:rFonts w:hint="eastAsia"/>
        </w:rPr>
        <w:t>开标一览表（报价表）</w:t>
      </w:r>
    </w:p>
    <w:p>
      <w:pPr>
        <w:numPr>
          <w:ilvl w:val="-1"/>
          <w:numId w:val="0"/>
        </w:num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kern w:val="0"/>
          <w:sz w:val="24"/>
          <w:lang w:val="zh-CN"/>
        </w:rPr>
        <w:t>【招标编号：</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8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7"/>
        <w:gridCol w:w="1334"/>
        <w:gridCol w:w="1933"/>
        <w:gridCol w:w="2673"/>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1357" w:type="dxa"/>
            <w:noWrap w:val="0"/>
            <w:vAlign w:val="center"/>
          </w:tcPr>
          <w:p>
            <w:pPr>
              <w:pStyle w:val="961"/>
              <w:spacing w:before="1" w:line="240" w:lineRule="auto"/>
              <w:jc w:val="center"/>
              <w:rPr>
                <w:sz w:val="24"/>
                <w:szCs w:val="24"/>
              </w:rPr>
            </w:pPr>
            <w:r>
              <w:rPr>
                <w:sz w:val="24"/>
                <w:szCs w:val="24"/>
              </w:rPr>
              <w:t>项目名称</w:t>
            </w:r>
          </w:p>
        </w:tc>
        <w:tc>
          <w:tcPr>
            <w:tcW w:w="3267" w:type="dxa"/>
            <w:gridSpan w:val="2"/>
            <w:noWrap w:val="0"/>
            <w:vAlign w:val="center"/>
          </w:tcPr>
          <w:p>
            <w:pPr>
              <w:pStyle w:val="961"/>
              <w:spacing w:before="1" w:line="240" w:lineRule="auto"/>
              <w:jc w:val="center"/>
              <w:rPr>
                <w:sz w:val="24"/>
                <w:szCs w:val="24"/>
              </w:rPr>
            </w:pPr>
            <w:r>
              <w:rPr>
                <w:sz w:val="24"/>
                <w:szCs w:val="24"/>
              </w:rPr>
              <w:t>检测项目</w:t>
            </w:r>
          </w:p>
        </w:tc>
        <w:tc>
          <w:tcPr>
            <w:tcW w:w="2673" w:type="dxa"/>
            <w:noWrap w:val="0"/>
            <w:vAlign w:val="center"/>
          </w:tcPr>
          <w:p>
            <w:pPr>
              <w:pStyle w:val="961"/>
              <w:spacing w:before="194" w:line="240" w:lineRule="auto"/>
              <w:jc w:val="center"/>
              <w:rPr>
                <w:sz w:val="24"/>
                <w:szCs w:val="24"/>
              </w:rPr>
            </w:pPr>
            <w:r>
              <w:rPr>
                <w:sz w:val="24"/>
                <w:szCs w:val="24"/>
              </w:rPr>
              <w:t>数量（台）</w:t>
            </w:r>
          </w:p>
        </w:tc>
        <w:tc>
          <w:tcPr>
            <w:tcW w:w="2591" w:type="dxa"/>
            <w:noWrap w:val="0"/>
            <w:vAlign w:val="center"/>
          </w:tcPr>
          <w:p>
            <w:pPr>
              <w:pStyle w:val="961"/>
              <w:spacing w:before="1" w:line="240" w:lineRule="auto"/>
              <w:jc w:val="center"/>
              <w:rPr>
                <w:rFonts w:hint="default" w:eastAsia="宋体"/>
                <w:sz w:val="24"/>
                <w:szCs w:val="24"/>
                <w:lang w:val="en-US" w:eastAsia="zh-CN"/>
              </w:rPr>
            </w:pPr>
            <w:r>
              <w:rPr>
                <w:sz w:val="24"/>
                <w:szCs w:val="24"/>
              </w:rPr>
              <w:t>投标</w:t>
            </w:r>
            <w:r>
              <w:rPr>
                <w:rFonts w:hint="eastAsia"/>
                <w:sz w:val="24"/>
                <w:szCs w:val="24"/>
                <w:lang w:eastAsia="zh-CN"/>
              </w:rPr>
              <w:t>单价</w:t>
            </w:r>
            <w:r>
              <w:rPr>
                <w:sz w:val="24"/>
                <w:szCs w:val="24"/>
              </w:rPr>
              <w:t>报价</w:t>
            </w:r>
            <w:r>
              <w:rPr>
                <w:rFonts w:hint="eastAsia"/>
                <w:sz w:val="24"/>
                <w:szCs w:val="24"/>
                <w:lang w:eastAsia="zh-CN"/>
              </w:rPr>
              <w:t>（</w:t>
            </w:r>
            <w:r>
              <w:rPr>
                <w:rFonts w:hint="eastAsia"/>
                <w:sz w:val="24"/>
                <w:szCs w:val="24"/>
                <w:lang w:val="en-US" w:eastAsia="zh-CN"/>
              </w:rPr>
              <w:t>元/台）</w:t>
            </w:r>
          </w:p>
          <w:p>
            <w:pPr>
              <w:pStyle w:val="961"/>
              <w:spacing w:before="1" w:line="240" w:lineRule="auto"/>
              <w:jc w:val="center"/>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57" w:type="dxa"/>
            <w:vMerge w:val="restart"/>
            <w:noWrap w:val="0"/>
            <w:vAlign w:val="center"/>
          </w:tcPr>
          <w:p>
            <w:pPr>
              <w:pStyle w:val="961"/>
              <w:spacing w:line="240" w:lineRule="auto"/>
              <w:ind w:left="139" w:right="129"/>
              <w:jc w:val="center"/>
              <w:rPr>
                <w:sz w:val="24"/>
                <w:szCs w:val="24"/>
              </w:rPr>
            </w:pPr>
            <w:r>
              <w:rPr>
                <w:rFonts w:hint="eastAsia"/>
                <w:color w:val="000000"/>
                <w:sz w:val="24"/>
                <w:szCs w:val="24"/>
                <w:lang w:eastAsia="zh-CN"/>
              </w:rPr>
              <w:t xml:space="preserve">临平区建筑工程起重机械专项检测项目 </w:t>
            </w:r>
          </w:p>
        </w:tc>
        <w:tc>
          <w:tcPr>
            <w:tcW w:w="3267" w:type="dxa"/>
            <w:gridSpan w:val="2"/>
            <w:noWrap w:val="0"/>
            <w:vAlign w:val="center"/>
          </w:tcPr>
          <w:p>
            <w:pPr>
              <w:pStyle w:val="961"/>
              <w:spacing w:line="240" w:lineRule="auto"/>
              <w:ind w:left="159" w:right="153"/>
              <w:jc w:val="center"/>
              <w:rPr>
                <w:sz w:val="24"/>
                <w:szCs w:val="24"/>
              </w:rPr>
            </w:pPr>
            <w:r>
              <w:rPr>
                <w:sz w:val="24"/>
                <w:szCs w:val="24"/>
              </w:rPr>
              <w:t>塔式起重机</w:t>
            </w:r>
          </w:p>
        </w:tc>
        <w:tc>
          <w:tcPr>
            <w:tcW w:w="2673" w:type="dxa"/>
            <w:noWrap w:val="0"/>
            <w:vAlign w:val="center"/>
          </w:tcPr>
          <w:p>
            <w:pPr>
              <w:keepNext w:val="0"/>
              <w:keepLines w:val="0"/>
              <w:pageBreakBefore w:val="0"/>
              <w:kinsoku/>
              <w:wordWrap/>
              <w:overflowPunct/>
              <w:topLinePunct w:val="0"/>
              <w:autoSpaceDN/>
              <w:bidi w:val="0"/>
              <w:adjustRightInd w:val="0"/>
              <w:snapToGrid w:val="0"/>
              <w:spacing w:before="120" w:beforeLines="50" w:line="240" w:lineRule="auto"/>
              <w:jc w:val="center"/>
              <w:rPr>
                <w:rFonts w:hint="default" w:eastAsia="宋体"/>
                <w:sz w:val="24"/>
                <w:szCs w:val="24"/>
                <w:lang w:val="en-US" w:eastAsia="zh-CN"/>
              </w:rPr>
            </w:pPr>
            <w:r>
              <w:rPr>
                <w:rFonts w:hint="eastAsia" w:eastAsia="宋体"/>
                <w:sz w:val="24"/>
                <w:szCs w:val="24"/>
                <w:lang w:val="en-US" w:eastAsia="zh-CN"/>
              </w:rPr>
              <w:t>不限</w:t>
            </w:r>
          </w:p>
        </w:tc>
        <w:tc>
          <w:tcPr>
            <w:tcW w:w="2591" w:type="dxa"/>
            <w:noWrap w:val="0"/>
            <w:vAlign w:val="center"/>
          </w:tcPr>
          <w:p>
            <w:pPr>
              <w:pStyle w:val="961"/>
              <w:spacing w:line="240" w:lineRule="auto"/>
              <w:jc w:val="center"/>
              <w:rPr>
                <w:rFonts w:ascii="Times New Roman"/>
                <w:sz w:val="24"/>
                <w:szCs w:val="24"/>
              </w:rPr>
            </w:pPr>
            <w:r>
              <w:rPr>
                <w:rFonts w:hint="eastAsia"/>
                <w:sz w:val="24"/>
                <w:szCs w:val="24"/>
                <w:u w:val="single"/>
                <w:lang w:val="en-US" w:eastAsia="zh-CN"/>
              </w:rPr>
              <w:t xml:space="preserve">           </w:t>
            </w:r>
            <w:r>
              <w:rPr>
                <w:rFonts w:hint="eastAsia"/>
                <w:sz w:val="24"/>
                <w:szCs w:val="24"/>
                <w:lang w:val="en-US" w:eastAsia="zh-CN"/>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357" w:type="dxa"/>
            <w:vMerge w:val="continue"/>
            <w:tcBorders>
              <w:top w:val="nil"/>
            </w:tcBorders>
            <w:noWrap w:val="0"/>
            <w:vAlign w:val="center"/>
          </w:tcPr>
          <w:p>
            <w:pPr>
              <w:spacing w:line="240" w:lineRule="auto"/>
              <w:jc w:val="center"/>
              <w:rPr>
                <w:sz w:val="24"/>
                <w:szCs w:val="24"/>
              </w:rPr>
            </w:pPr>
          </w:p>
        </w:tc>
        <w:tc>
          <w:tcPr>
            <w:tcW w:w="3267" w:type="dxa"/>
            <w:gridSpan w:val="2"/>
            <w:noWrap w:val="0"/>
            <w:vAlign w:val="center"/>
          </w:tcPr>
          <w:p>
            <w:pPr>
              <w:pStyle w:val="961"/>
              <w:spacing w:line="240" w:lineRule="auto"/>
              <w:ind w:left="159" w:right="153"/>
              <w:jc w:val="center"/>
              <w:rPr>
                <w:sz w:val="24"/>
                <w:szCs w:val="24"/>
              </w:rPr>
            </w:pPr>
            <w:r>
              <w:rPr>
                <w:rFonts w:hint="eastAsia"/>
                <w:sz w:val="24"/>
                <w:szCs w:val="24"/>
                <w:lang w:val="zh-CN" w:eastAsia="zh-CN"/>
              </w:rPr>
              <w:t>施工（含物料）升降机</w:t>
            </w:r>
          </w:p>
        </w:tc>
        <w:tc>
          <w:tcPr>
            <w:tcW w:w="2673" w:type="dxa"/>
            <w:noWrap w:val="0"/>
            <w:vAlign w:val="center"/>
          </w:tcPr>
          <w:p>
            <w:pPr>
              <w:keepNext w:val="0"/>
              <w:keepLines w:val="0"/>
              <w:pageBreakBefore w:val="0"/>
              <w:kinsoku/>
              <w:wordWrap/>
              <w:overflowPunct/>
              <w:topLinePunct w:val="0"/>
              <w:autoSpaceDN/>
              <w:bidi w:val="0"/>
              <w:adjustRightInd w:val="0"/>
              <w:snapToGrid w:val="0"/>
              <w:spacing w:before="120" w:beforeLines="50" w:line="240" w:lineRule="auto"/>
              <w:jc w:val="center"/>
              <w:rPr>
                <w:rFonts w:hint="default" w:eastAsia="宋体"/>
                <w:sz w:val="24"/>
                <w:szCs w:val="24"/>
                <w:lang w:val="en-US" w:eastAsia="zh-CN"/>
              </w:rPr>
            </w:pPr>
            <w:r>
              <w:rPr>
                <w:rFonts w:hint="eastAsia" w:eastAsia="宋体"/>
                <w:sz w:val="24"/>
                <w:szCs w:val="24"/>
                <w:lang w:val="en-US" w:eastAsia="zh-CN"/>
              </w:rPr>
              <w:t>不恨</w:t>
            </w:r>
          </w:p>
        </w:tc>
        <w:tc>
          <w:tcPr>
            <w:tcW w:w="2591" w:type="dxa"/>
            <w:noWrap w:val="0"/>
            <w:vAlign w:val="center"/>
          </w:tcPr>
          <w:p>
            <w:pPr>
              <w:pStyle w:val="961"/>
              <w:spacing w:line="240" w:lineRule="auto"/>
              <w:jc w:val="center"/>
              <w:rPr>
                <w:rFonts w:ascii="Times New Roman"/>
                <w:sz w:val="24"/>
                <w:szCs w:val="24"/>
              </w:rPr>
            </w:pPr>
            <w:r>
              <w:rPr>
                <w:rFonts w:hint="eastAsia"/>
                <w:sz w:val="24"/>
                <w:szCs w:val="24"/>
                <w:u w:val="single"/>
                <w:lang w:val="en-US" w:eastAsia="zh-CN"/>
              </w:rPr>
              <w:t xml:space="preserve">           </w:t>
            </w:r>
            <w:r>
              <w:rPr>
                <w:rFonts w:hint="eastAsia"/>
                <w:sz w:val="24"/>
                <w:szCs w:val="24"/>
                <w:lang w:val="en-US" w:eastAsia="zh-CN"/>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691" w:type="dxa"/>
            <w:gridSpan w:val="2"/>
            <w:noWrap w:val="0"/>
            <w:vAlign w:val="center"/>
          </w:tcPr>
          <w:p>
            <w:pPr>
              <w:pStyle w:val="961"/>
              <w:spacing w:line="240" w:lineRule="auto"/>
              <w:ind w:firstLine="240" w:firstLineChars="100"/>
              <w:jc w:val="both"/>
              <w:rPr>
                <w:sz w:val="24"/>
                <w:szCs w:val="24"/>
              </w:rPr>
            </w:pPr>
            <w:r>
              <w:rPr>
                <w:rFonts w:hint="eastAsia" w:ascii="宋体" w:hAnsi="宋体" w:eastAsia="宋体"/>
                <w:color w:val="000000"/>
                <w:sz w:val="24"/>
                <w:lang w:val="en-US" w:eastAsia="zh-CN"/>
              </w:rPr>
              <w:t>投标单价汇总</w:t>
            </w:r>
            <w:r>
              <w:rPr>
                <w:rFonts w:hint="eastAsia" w:ascii="宋体" w:hAnsi="宋体"/>
                <w:color w:val="000000"/>
                <w:sz w:val="24"/>
                <w:lang w:val="en-US" w:eastAsia="zh-CN"/>
              </w:rPr>
              <w:t>小计</w:t>
            </w:r>
          </w:p>
        </w:tc>
        <w:tc>
          <w:tcPr>
            <w:tcW w:w="7197" w:type="dxa"/>
            <w:gridSpan w:val="3"/>
            <w:noWrap w:val="0"/>
            <w:vAlign w:val="center"/>
          </w:tcPr>
          <w:p>
            <w:pPr>
              <w:pStyle w:val="961"/>
              <w:spacing w:line="240" w:lineRule="auto"/>
              <w:ind w:right="2995" w:firstLine="240" w:firstLineChars="100"/>
              <w:jc w:val="left"/>
              <w:rPr>
                <w:rFonts w:hint="eastAsia"/>
                <w:sz w:val="24"/>
                <w:szCs w:val="24"/>
                <w:lang w:val="en-US" w:eastAsia="zh-CN"/>
              </w:rPr>
            </w:pPr>
            <w:r>
              <w:rPr>
                <w:rFonts w:hint="eastAsia"/>
                <w:sz w:val="24"/>
                <w:szCs w:val="24"/>
                <w:lang w:val="en-US" w:eastAsia="zh-CN"/>
              </w:rPr>
              <w:t>小写</w:t>
            </w:r>
            <w:r>
              <w:rPr>
                <w:sz w:val="24"/>
                <w:szCs w:val="24"/>
              </w:rPr>
              <w:t>：</w:t>
            </w:r>
            <w:r>
              <w:rPr>
                <w:rFonts w:hint="eastAsia"/>
                <w:sz w:val="24"/>
                <w:szCs w:val="24"/>
                <w:u w:val="single"/>
                <w:lang w:val="en-US" w:eastAsia="zh-CN"/>
              </w:rPr>
              <w:t xml:space="preserve">               </w:t>
            </w:r>
            <w:r>
              <w:rPr>
                <w:rFonts w:hint="eastAsia"/>
                <w:sz w:val="24"/>
                <w:szCs w:val="24"/>
                <w:lang w:val="en-US" w:eastAsia="zh-CN"/>
              </w:rPr>
              <w:t>元；</w:t>
            </w:r>
          </w:p>
          <w:p>
            <w:pPr>
              <w:pStyle w:val="961"/>
              <w:spacing w:line="240" w:lineRule="auto"/>
              <w:ind w:right="2995"/>
              <w:jc w:val="left"/>
              <w:rPr>
                <w:rFonts w:hint="default"/>
                <w:sz w:val="24"/>
                <w:szCs w:val="24"/>
                <w:lang w:val="en-US" w:eastAsia="zh-CN"/>
              </w:rPr>
            </w:pPr>
          </w:p>
          <w:p>
            <w:pPr>
              <w:pStyle w:val="961"/>
              <w:spacing w:line="240" w:lineRule="auto"/>
              <w:ind w:right="2995" w:firstLine="240" w:firstLineChars="100"/>
              <w:jc w:val="left"/>
              <w:rPr>
                <w:rFonts w:hint="default" w:eastAsia="宋体"/>
                <w:sz w:val="24"/>
                <w:szCs w:val="24"/>
                <w:lang w:val="en-US" w:eastAsia="zh-CN"/>
              </w:rPr>
            </w:pPr>
            <w:r>
              <w:rPr>
                <w:sz w:val="24"/>
                <w:szCs w:val="24"/>
              </w:rPr>
              <w:t>大写：</w:t>
            </w:r>
            <w:r>
              <w:rPr>
                <w:rFonts w:hint="eastAsia"/>
                <w:sz w:val="24"/>
                <w:szCs w:val="24"/>
                <w:u w:val="single"/>
                <w:lang w:val="en-US" w:eastAsia="zh-CN"/>
              </w:rPr>
              <w:t xml:space="preserve">               </w:t>
            </w:r>
            <w:r>
              <w:rPr>
                <w:rFonts w:hint="eastAsia"/>
                <w:sz w:val="24"/>
                <w:szCs w:val="24"/>
                <w:lang w:val="en-US" w:eastAsia="zh-CN"/>
              </w:rPr>
              <w:t>元。</w:t>
            </w:r>
          </w:p>
        </w:tc>
      </w:tr>
    </w:tbl>
    <w:p>
      <w:pPr>
        <w:rPr>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napToGrid w:val="0"/>
        <w:spacing w:line="360" w:lineRule="auto"/>
        <w:ind w:left="-2" w:leftChars="-1"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2、有关本项目实施所涉及的一切费用均计入综合单价报价。采购内容未包含在《开标一览表（报价表）》名称栏中，投标人不能作出合理解释的，视为投标文件含有采购人不能接受的附加条件的，投标无效。</w:t>
      </w:r>
    </w:p>
    <w:p>
      <w:pPr>
        <w:shd w:val="clea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b w:val="0"/>
          <w:bCs/>
          <w:kern w:val="0"/>
          <w:sz w:val="24"/>
          <w:lang w:val="zh-CN"/>
        </w:rPr>
        <w:t>注：投标人提供的中小企业声明函内容不实的，属于提供虚假材料谋取中标、成交，依照《中华人民共和国政府采购法》等国家有关规定追究相应责任。</w:t>
      </w:r>
    </w:p>
    <w:p>
      <w:pPr>
        <w:shd w:val="clear"/>
        <w:spacing w:line="360" w:lineRule="auto"/>
        <w:ind w:firstLine="0" w:firstLineChars="0"/>
        <w:jc w:val="right"/>
        <w:rPr>
          <w:rFonts w:hint="eastAsia" w:ascii="宋体" w:hAnsi="宋体" w:cs="宋体"/>
          <w:bCs/>
          <w:kern w:val="0"/>
          <w:sz w:val="24"/>
        </w:rPr>
      </w:pPr>
    </w:p>
    <w:p>
      <w:pPr>
        <w:shd w:val="clear"/>
        <w:spacing w:line="360" w:lineRule="auto"/>
        <w:ind w:firstLine="0" w:firstLineChars="0"/>
        <w:jc w:val="right"/>
        <w:rPr>
          <w:rFonts w:hint="eastAsia" w:ascii="宋体" w:hAnsi="宋体" w:cs="宋体"/>
          <w:bCs/>
          <w:kern w:val="0"/>
          <w:sz w:val="24"/>
        </w:rPr>
      </w:pPr>
    </w:p>
    <w:p>
      <w:pPr>
        <w:shd w:val="clear"/>
        <w:spacing w:line="360" w:lineRule="auto"/>
        <w:ind w:firstLine="0" w:firstLineChars="0"/>
        <w:jc w:val="right"/>
        <w:rPr>
          <w:rFonts w:ascii="宋体" w:hAnsi="宋体" w:cs="宋体"/>
          <w:bCs/>
          <w:kern w:val="0"/>
          <w:sz w:val="24"/>
        </w:rPr>
      </w:pPr>
      <w:r>
        <w:rPr>
          <w:rFonts w:hint="eastAsia" w:ascii="宋体" w:hAnsi="宋体" w:cs="宋体"/>
          <w:bCs/>
          <w:kern w:val="0"/>
          <w:sz w:val="24"/>
        </w:rPr>
        <w:t xml:space="preserve">投标人名称（电子签名）：                                                                                                                                                                                                               </w:t>
      </w:r>
    </w:p>
    <w:p>
      <w:pPr>
        <w:shd w:val="clear"/>
        <w:spacing w:line="360" w:lineRule="auto"/>
        <w:ind w:firstLine="480" w:firstLineChars="200"/>
        <w:jc w:val="right"/>
        <w:rPr>
          <w:rFonts w:hint="eastAsia" w:ascii="宋体" w:hAnsi="宋体" w:cs="宋体"/>
          <w:bCs/>
          <w:kern w:val="0"/>
          <w:sz w:val="24"/>
        </w:rPr>
      </w:pPr>
      <w:r>
        <w:rPr>
          <w:rFonts w:hint="eastAsia" w:ascii="宋体" w:hAnsi="宋体" w:cs="宋体"/>
          <w:bCs/>
          <w:kern w:val="0"/>
          <w:sz w:val="24"/>
        </w:rPr>
        <w:t>日期：   年   月   日</w:t>
      </w:r>
    </w:p>
    <w:p>
      <w:pPr>
        <w:pStyle w:val="2"/>
        <w:rPr>
          <w:rFonts w:hint="eastAsia"/>
        </w:rPr>
      </w:pPr>
    </w:p>
    <w:p>
      <w:pPr>
        <w:pStyle w:val="2"/>
        <w:rPr>
          <w:rFonts w:hint="eastAsia"/>
        </w:rPr>
      </w:pPr>
    </w:p>
    <w:p>
      <w:pPr>
        <w:pStyle w:val="2"/>
        <w:rPr>
          <w:rFonts w:hint="eastAsia"/>
        </w:rPr>
      </w:pPr>
      <w:r>
        <w:rPr>
          <w:rFonts w:hint="eastAsia"/>
        </w:rPr>
        <w:t>二、报价情况说明（如果有）</w:t>
      </w:r>
    </w:p>
    <w:p>
      <w:pPr>
        <w:spacing w:line="360" w:lineRule="auto"/>
        <w:ind w:firstLine="560" w:firstLineChars="200"/>
        <w:rPr>
          <w:rFonts w:hint="eastAsia"/>
          <w:sz w:val="28"/>
          <w:szCs w:val="28"/>
          <w:lang w:eastAsia="zh-CN"/>
        </w:rPr>
      </w:pPr>
      <w:r>
        <w:rPr>
          <w:rFonts w:hint="eastAsia" w:ascii="宋体" w:hAnsi="宋体" w:eastAsia="宋体" w:cs="宋体"/>
          <w:b w:val="0"/>
          <w:bCs w:val="0"/>
          <w:sz w:val="28"/>
          <w:szCs w:val="28"/>
          <w:lang w:val="en-US"/>
        </w:rPr>
        <w:t>如</w:t>
      </w:r>
      <w:r>
        <w:rPr>
          <w:rFonts w:hint="eastAsia" w:ascii="宋体" w:hAnsi="宋体" w:cs="宋体"/>
          <w:b w:val="0"/>
          <w:bCs w:val="0"/>
          <w:sz w:val="28"/>
          <w:szCs w:val="28"/>
          <w:lang w:val="en-US" w:eastAsia="zh-CN"/>
        </w:rPr>
        <w:t>投标人</w:t>
      </w:r>
      <w:r>
        <w:rPr>
          <w:rFonts w:hint="eastAsia" w:ascii="宋体" w:hAnsi="宋体" w:eastAsia="宋体" w:cs="宋体"/>
          <w:b w:val="0"/>
          <w:bCs w:val="0"/>
          <w:sz w:val="28"/>
          <w:szCs w:val="28"/>
          <w:lang w:val="en-US"/>
        </w:rPr>
        <w:t>报价低于项目预算50%的，应当提交本文档，详细阐述不影响产品质量或者诚信履约的具体原因</w:t>
      </w:r>
      <w:r>
        <w:rPr>
          <w:rFonts w:hint="eastAsia" w:ascii="宋体" w:hAnsi="宋体" w:cs="宋体"/>
          <w:b w:val="0"/>
          <w:bCs w:val="0"/>
          <w:sz w:val="28"/>
          <w:szCs w:val="28"/>
          <w:lang w:val="en-US" w:eastAsia="zh-CN"/>
        </w:rPr>
        <w:t>。</w:t>
      </w:r>
    </w:p>
    <w:p>
      <w:pPr>
        <w:rPr>
          <w:rFonts w:hint="eastAsia"/>
          <w:lang w:eastAsia="zh-CN"/>
        </w:rPr>
      </w:pPr>
    </w:p>
    <w:p>
      <w:pPr>
        <w:pStyle w:val="85"/>
        <w:ind w:firstLine="0" w:firstLineChars="0"/>
        <w:rPr>
          <w:rFonts w:hint="eastAsia"/>
          <w:lang w:eastAsia="zh-CN"/>
        </w:rPr>
      </w:pPr>
    </w:p>
    <w:p>
      <w:pPr>
        <w:rPr>
          <w:rFonts w:hint="eastAsia"/>
          <w:lang w:eastAsia="zh-CN"/>
        </w:rPr>
      </w:pPr>
      <w:r>
        <w:rPr>
          <w:rFonts w:hint="eastAsia"/>
          <w:lang w:eastAsia="zh-CN"/>
        </w:rPr>
        <w:br w:type="page"/>
      </w:r>
    </w:p>
    <w:p>
      <w:pPr>
        <w:pStyle w:val="2"/>
      </w:pPr>
      <w:r>
        <w:rPr>
          <w:rFonts w:hint="eastAsia"/>
          <w:lang w:eastAsia="zh-CN"/>
        </w:rPr>
        <w:t>三、</w:t>
      </w:r>
      <w:r>
        <w:rPr>
          <w:rFonts w:hint="eastAsia"/>
        </w:rPr>
        <w:t>中小企业声明函</w:t>
      </w:r>
      <w:bookmarkStart w:id="457" w:name="_Hlk101259491"/>
      <w:r>
        <w:rPr>
          <w:rFonts w:hint="eastAsia"/>
        </w:rPr>
        <w:t>（如果有）</w:t>
      </w:r>
      <w:bookmarkEnd w:id="457"/>
    </w:p>
    <w:p>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widowControl/>
        <w:spacing w:line="360" w:lineRule="auto"/>
        <w:ind w:firstLine="512" w:firstLineChars="200"/>
        <w:jc w:val="left"/>
        <w:rPr>
          <w:rFonts w:hint="eastAsia" w:ascii="仿宋" w:hAnsi="仿宋" w:eastAsia="仿宋" w:cs="宋体"/>
          <w:spacing w:val="8"/>
          <w:kern w:val="0"/>
          <w:sz w:val="24"/>
          <w:lang w:eastAsia="zh-CN"/>
        </w:rPr>
      </w:pPr>
    </w:p>
    <w:p>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eastAsia="zh-CN"/>
        </w:rPr>
        <w:t>服务</w:t>
      </w:r>
      <w:r>
        <w:rPr>
          <w:rFonts w:hint="eastAsia" w:ascii="宋体" w:hAnsi="宋体" w:cs="宋体"/>
          <w:b/>
          <w:sz w:val="32"/>
          <w:szCs w:val="32"/>
        </w:rPr>
        <w:t>）</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rPr>
        <w:t xml:space="preserve"> </w:t>
      </w:r>
      <w:r>
        <w:rPr>
          <w:rFonts w:hint="eastAsia" w:ascii="宋体" w:hAnsi="宋体" w:cs="宋体"/>
          <w:u w:val="single"/>
          <w:lang w:eastAsia="zh-CN"/>
        </w:rPr>
        <w:t>临平区建筑工程起重机械专项检测项目</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eastAsia" w:ascii="宋体" w:hAnsi="宋体" w:eastAsia="宋体" w:cs="宋体"/>
          <w:sz w:val="24"/>
          <w:lang w:eastAsia="zh-CN"/>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月</w:t>
      </w:r>
      <w:r>
        <w:rPr>
          <w:rFonts w:hint="eastAsia" w:ascii="宋体" w:hAnsi="宋体" w:cs="宋体"/>
          <w:sz w:val="24"/>
          <w:lang w:val="en-US" w:eastAsia="zh-CN"/>
        </w:rPr>
        <w:t xml:space="preserve">  </w:t>
      </w:r>
      <w:r>
        <w:rPr>
          <w:rFonts w:hint="eastAsia" w:ascii="宋体" w:hAnsi="宋体" w:cs="宋体"/>
          <w:sz w:val="24"/>
          <w:lang w:eastAsia="zh-CN"/>
        </w:rPr>
        <w:t>日</w:t>
      </w:r>
    </w:p>
    <w:p>
      <w:pPr>
        <w:spacing w:line="360" w:lineRule="auto"/>
        <w:ind w:firstLine="0" w:firstLineChars="0"/>
        <w:rPr>
          <w:rFonts w:hint="eastAsia" w:ascii="宋体" w:hAnsi="宋体" w:cs="宋体"/>
          <w:sz w:val="24"/>
        </w:rPr>
      </w:pPr>
    </w:p>
    <w:p>
      <w:pPr>
        <w:spacing w:line="360" w:lineRule="auto"/>
        <w:jc w:val="left"/>
        <w:rPr>
          <w:rFonts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jc w:val="left"/>
        <w:rPr>
          <w:rFonts w:hint="eastAsia" w:ascii="宋体" w:hAnsi="宋体" w:eastAsia="宋体" w:cs="宋体"/>
          <w:b w:val="0"/>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0" w:firstLine="0" w:firstLineChars="0"/>
        <w:rPr>
          <w:rFonts w:ascii="宋体" w:hAnsi="宋体" w:cs="宋体"/>
        </w:rPr>
      </w:pPr>
      <w:bookmarkStart w:id="458" w:name="_Toc465665161"/>
      <w:r>
        <w:rPr>
          <w:rFonts w:hint="eastAsia" w:ascii="宋体" w:hAnsi="宋体" w:cs="宋体"/>
        </w:rPr>
        <w:t>附件</w:t>
      </w:r>
      <w:bookmarkEnd w:id="45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9" w:name="OLE_LINK14"/>
      <w:bookmarkStart w:id="460" w:name="OLE_LINK13"/>
      <w:r>
        <w:rPr>
          <w:rFonts w:hint="eastAsia" w:ascii="宋体" w:hAnsi="宋体" w:cs="宋体"/>
          <w:b/>
          <w:spacing w:val="6"/>
          <w:sz w:val="32"/>
          <w:szCs w:val="32"/>
        </w:rPr>
        <w:t>残疾人福利性单位声明函</w:t>
      </w:r>
    </w:p>
    <w:bookmarkEnd w:id="459"/>
    <w:bookmarkEnd w:id="46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w:t>
      </w:r>
      <w:r>
        <w:rPr>
          <w:rFonts w:hint="eastAsia" w:ascii="宋体" w:hAnsi="宋体" w:cs="宋体"/>
          <w:color w:val="auto"/>
          <w:sz w:val="24"/>
        </w:rPr>
        <w:t>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rPr>
        <w:t>（项目名称）</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ind w:firstLine="48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4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61"/>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w:t>
      </w:r>
      <w:r>
        <w:rPr>
          <w:rFonts w:hint="eastAsia" w:ascii="宋体" w:hAnsi="宋体" w:cs="宋体"/>
          <w:kern w:val="0"/>
          <w:sz w:val="24"/>
          <w:lang w:val="en-US" w:eastAsia="zh-CN"/>
        </w:rPr>
        <w:t>服务</w:t>
      </w:r>
      <w:r>
        <w:rPr>
          <w:rFonts w:hint="eastAsia" w:ascii="宋体" w:hAnsi="宋体" w:cs="宋体"/>
          <w:kern w:val="0"/>
          <w:sz w:val="24"/>
        </w:rPr>
        <w:t>由小微企业</w:t>
      </w:r>
      <w:r>
        <w:rPr>
          <w:rFonts w:hint="eastAsia" w:ascii="宋体" w:hAnsi="宋体" w:cs="宋体"/>
          <w:kern w:val="0"/>
          <w:sz w:val="24"/>
          <w:lang w:val="en-US" w:eastAsia="zh-CN"/>
        </w:rPr>
        <w:t>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jc w:val="center"/>
      </w:pPr>
      <w:r>
        <w:rPr>
          <w:rFonts w:hint="eastAsia"/>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w:t>
      </w:r>
      <w:r>
        <w:rPr>
          <w:rFonts w:hint="eastAsia" w:ascii="宋体" w:hAnsi="宋体" w:cs="宋体"/>
          <w:kern w:val="0"/>
          <w:sz w:val="24"/>
          <w:u w:val="single"/>
          <w:lang w:val="en-US" w:eastAsia="zh-CN"/>
        </w:rPr>
        <w:t>服务</w:t>
      </w:r>
      <w:r>
        <w:rPr>
          <w:rFonts w:hint="eastAsia" w:ascii="宋体" w:hAnsi="宋体" w:cs="宋体"/>
          <w:kern w:val="0"/>
          <w:sz w:val="24"/>
          <w:u w:val="single"/>
        </w:rPr>
        <w:t>全部由小微企业</w:t>
      </w:r>
      <w:r>
        <w:rPr>
          <w:rFonts w:hint="eastAsia" w:ascii="宋体" w:hAnsi="宋体" w:cs="宋体"/>
          <w:kern w:val="0"/>
          <w:sz w:val="24"/>
          <w:u w:val="single"/>
          <w:lang w:val="en-US" w:eastAsia="zh-CN"/>
        </w:rPr>
        <w:t>承接</w:t>
      </w:r>
      <w:r>
        <w:rPr>
          <w:rFonts w:hint="eastAsia" w:ascii="宋体" w:hAnsi="宋体" w:cs="宋体"/>
          <w:kern w:val="0"/>
          <w:sz w:val="24"/>
          <w:u w:val="single"/>
        </w:rPr>
        <w:t>，</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6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w:t>
      </w:r>
      <w:r>
        <w:rPr>
          <w:rFonts w:hint="eastAsia" w:ascii="宋体" w:hAnsi="宋体" w:cs="宋体"/>
          <w:b/>
          <w:sz w:val="32"/>
          <w:szCs w:val="32"/>
          <w:lang w:eastAsia="zh-CN"/>
        </w:rPr>
        <w:t>服务</w:t>
      </w:r>
      <w:r>
        <w:rPr>
          <w:rFonts w:hint="eastAsia" w:ascii="宋体" w:hAnsi="宋体" w:cs="宋体"/>
          <w:b/>
          <w:sz w:val="32"/>
          <w:szCs w:val="32"/>
        </w:rPr>
        <w:t>）</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rPr>
        <w:t xml:space="preserve"> </w:t>
      </w:r>
      <w:r>
        <w:rPr>
          <w:rFonts w:hint="eastAsia" w:ascii="宋体" w:hAnsi="宋体" w:cs="宋体"/>
          <w:u w:val="single"/>
          <w:lang w:eastAsia="zh-CN"/>
        </w:rPr>
        <w:t>临平区建筑工程起重机械专项检测项目</w:t>
      </w:r>
      <w:r>
        <w:rPr>
          <w:rFonts w:hint="eastAsia" w:ascii="宋体" w:hAnsi="宋体" w:cs="宋体"/>
          <w:color w:val="auto"/>
          <w:sz w:val="24"/>
        </w:rPr>
        <w:t>，属于</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eastAsia" w:ascii="宋体" w:hAnsi="宋体" w:eastAsia="宋体" w:cs="宋体"/>
          <w:sz w:val="24"/>
          <w:lang w:eastAsia="zh-CN"/>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月</w:t>
      </w:r>
      <w:r>
        <w:rPr>
          <w:rFonts w:hint="eastAsia" w:ascii="宋体" w:hAnsi="宋体" w:cs="宋体"/>
          <w:sz w:val="24"/>
          <w:lang w:val="en-US" w:eastAsia="zh-CN"/>
        </w:rPr>
        <w:t xml:space="preserve">  </w:t>
      </w:r>
      <w:r>
        <w:rPr>
          <w:rFonts w:hint="eastAsia" w:ascii="宋体" w:hAnsi="宋体" w:cs="宋体"/>
          <w:sz w:val="24"/>
          <w:lang w:eastAsia="zh-CN"/>
        </w:rPr>
        <w:t>日</w:t>
      </w:r>
    </w:p>
    <w:p>
      <w:pPr>
        <w:spacing w:line="360" w:lineRule="auto"/>
        <w:ind w:firstLine="0" w:firstLineChars="0"/>
        <w:rPr>
          <w:rFonts w:hint="eastAsia" w:ascii="宋体" w:hAnsi="宋体" w:cs="宋体"/>
          <w:sz w:val="24"/>
        </w:rPr>
      </w:pPr>
    </w:p>
    <w:p>
      <w:pPr>
        <w:spacing w:line="360" w:lineRule="auto"/>
        <w:jc w:val="left"/>
        <w:rPr>
          <w:rFonts w:ascii="宋体" w:hAnsi="宋体" w:cs="宋体"/>
          <w:sz w:val="21"/>
          <w:szCs w:val="21"/>
        </w:rPr>
      </w:pPr>
      <w:r>
        <w:rPr>
          <w:rFonts w:hint="eastAsia" w:ascii="宋体" w:hAnsi="宋体" w:cs="宋体"/>
          <w:sz w:val="21"/>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pPr>
              <w:shd w:val="clear"/>
              <w:rPr>
                <w:rFonts w:ascii="宋体" w:hAnsi="宋体" w:cs="宋体"/>
                <w:sz w:val="20"/>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pPr>
        <w:pStyle w:val="2"/>
        <w:sectPr>
          <w:pgSz w:w="16838" w:h="11906" w:orient="landscape"/>
          <w:pgMar w:top="1418" w:right="1276" w:bottom="1418" w:left="1247" w:header="851" w:footer="992" w:gutter="0"/>
          <w:cols w:space="720" w:num="1"/>
          <w:titlePg/>
          <w:docGrid w:linePitch="312" w:charSpace="0"/>
        </w:sectPr>
      </w:pPr>
    </w:p>
    <w:p>
      <w:pPr>
        <w:shd w:val="clear"/>
        <w:rPr>
          <w:b/>
          <w:sz w:val="48"/>
          <w:szCs w:val="48"/>
        </w:rPr>
      </w:pPr>
      <w:r>
        <w:rPr>
          <w:rFonts w:hint="eastAsia"/>
          <w:sz w:val="30"/>
          <w:szCs w:val="30"/>
        </w:rPr>
        <w:t>附件8（中标后提供）：</w:t>
      </w:r>
    </w:p>
    <w:p>
      <w:pPr>
        <w:shd w:val="clear"/>
        <w:jc w:val="center"/>
        <w:rPr>
          <w:b/>
          <w:sz w:val="48"/>
          <w:szCs w:val="48"/>
        </w:rPr>
      </w:pPr>
    </w:p>
    <w:p>
      <w:pPr>
        <w:shd w:val="clear"/>
        <w:jc w:val="center"/>
        <w:rPr>
          <w:b/>
          <w:sz w:val="48"/>
          <w:szCs w:val="48"/>
        </w:rPr>
      </w:pPr>
      <w:r>
        <w:rPr>
          <w:rFonts w:hint="eastAsia"/>
          <w:b/>
          <w:sz w:val="48"/>
          <w:szCs w:val="48"/>
        </w:rPr>
        <w:t>承 诺 书</w:t>
      </w:r>
    </w:p>
    <w:p>
      <w:pPr>
        <w:shd w:val="clear"/>
        <w:rPr>
          <w:sz w:val="30"/>
          <w:szCs w:val="30"/>
        </w:rPr>
      </w:pPr>
    </w:p>
    <w:p>
      <w:pPr>
        <w:shd w:val="clear"/>
        <w:rPr>
          <w:sz w:val="30"/>
          <w:szCs w:val="30"/>
        </w:rPr>
      </w:pPr>
      <w:r>
        <w:rPr>
          <w:rFonts w:hint="eastAsia"/>
          <w:sz w:val="30"/>
          <w:szCs w:val="30"/>
          <w:u w:val="single"/>
        </w:rPr>
        <w:t xml:space="preserve">耀华建设管理有限公司 </w:t>
      </w:r>
      <w:r>
        <w:rPr>
          <w:rFonts w:hint="eastAsia"/>
          <w:sz w:val="30"/>
          <w:szCs w:val="30"/>
        </w:rPr>
        <w:t>：</w:t>
      </w:r>
    </w:p>
    <w:p>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pPr>
        <w:shd w:val="clear"/>
        <w:spacing w:line="780" w:lineRule="exact"/>
        <w:ind w:firstLine="450" w:firstLineChars="150"/>
        <w:rPr>
          <w:sz w:val="30"/>
          <w:szCs w:val="30"/>
        </w:rPr>
      </w:pPr>
    </w:p>
    <w:p>
      <w:pPr>
        <w:shd w:val="clear"/>
        <w:spacing w:line="780" w:lineRule="exact"/>
        <w:rPr>
          <w:sz w:val="30"/>
          <w:szCs w:val="30"/>
        </w:rPr>
      </w:pPr>
    </w:p>
    <w:p>
      <w:pPr>
        <w:shd w:val="clear"/>
        <w:spacing w:line="780" w:lineRule="exact"/>
        <w:rPr>
          <w:sz w:val="30"/>
          <w:szCs w:val="30"/>
        </w:rPr>
      </w:pPr>
    </w:p>
    <w:p>
      <w:pPr>
        <w:shd w:val="clear"/>
        <w:spacing w:line="780" w:lineRule="exact"/>
        <w:jc w:val="right"/>
        <w:rPr>
          <w:sz w:val="30"/>
          <w:szCs w:val="30"/>
        </w:rPr>
      </w:pPr>
      <w:r>
        <w:rPr>
          <w:rFonts w:hint="eastAsia"/>
          <w:sz w:val="30"/>
          <w:szCs w:val="30"/>
        </w:rPr>
        <w:t>投标人名称（盖公章）：</w:t>
      </w:r>
    </w:p>
    <w:p>
      <w:pPr>
        <w:shd w:val="clear"/>
        <w:spacing w:line="780" w:lineRule="exact"/>
        <w:ind w:firstLine="5850" w:firstLineChars="1950"/>
        <w:rPr>
          <w:sz w:val="30"/>
          <w:szCs w:val="30"/>
        </w:rPr>
      </w:pPr>
      <w:r>
        <w:rPr>
          <w:rFonts w:hint="eastAsia"/>
          <w:sz w:val="30"/>
          <w:szCs w:val="30"/>
        </w:rPr>
        <w:t>202</w:t>
      </w:r>
      <w:r>
        <w:rPr>
          <w:rFonts w:hint="eastAsia"/>
          <w:sz w:val="30"/>
          <w:szCs w:val="30"/>
          <w:lang w:val="en-US" w:eastAsia="zh-CN"/>
        </w:rPr>
        <w:t>4</w:t>
      </w:r>
      <w:r>
        <w:rPr>
          <w:rFonts w:hint="eastAsia"/>
          <w:sz w:val="30"/>
          <w:szCs w:val="30"/>
        </w:rPr>
        <w:t>年   月   日</w:t>
      </w:r>
    </w:p>
    <w:p>
      <w:pPr>
        <w:shd w:val="clear"/>
      </w:pPr>
    </w:p>
    <w:p/>
    <w:p/>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63" w:name="_Toc91899912"/>
    <w:bookmarkStart w:id="464" w:name="_Toc36110187"/>
    <w:bookmarkStart w:id="465" w:name="_Toc164085800"/>
    <w:bookmarkStart w:id="466" w:name="_Toc131845147"/>
    <w:r>
      <w:rPr>
        <w:rFonts w:hint="eastAsia" w:ascii="仿宋_GB2312" w:eastAsia="仿宋_GB2312"/>
        <w:kern w:val="0"/>
        <w:szCs w:val="21"/>
      </w:rPr>
      <w:t xml:space="preserve"> 页</w:t>
    </w:r>
    <w:bookmarkEnd w:id="463"/>
    <w:bookmarkEnd w:id="464"/>
    <w:bookmarkEnd w:id="465"/>
    <w:bookmarkEnd w:id="4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02FF772D"/>
    <w:multiLevelType w:val="singleLevel"/>
    <w:tmpl w:val="02FF772D"/>
    <w:lvl w:ilvl="0" w:tentative="0">
      <w:start w:val="4"/>
      <w:numFmt w:val="decimal"/>
      <w:lvlText w:val="%1."/>
      <w:lvlJc w:val="left"/>
      <w:pPr>
        <w:tabs>
          <w:tab w:val="left" w:pos="312"/>
        </w:tabs>
      </w:pPr>
    </w:lvl>
  </w:abstractNum>
  <w:abstractNum w:abstractNumId="3">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4">
    <w:nsid w:val="4B5DE967"/>
    <w:multiLevelType w:val="singleLevel"/>
    <w:tmpl w:val="4B5DE967"/>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E2C2680"/>
    <w:multiLevelType w:val="singleLevel"/>
    <w:tmpl w:val="5E2C2680"/>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N2NhZDk2MTMxMmJkYmNhNjI2YzFlODI5MDdlN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99E"/>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15288"/>
    <w:rsid w:val="02DC4B10"/>
    <w:rsid w:val="02DD76CE"/>
    <w:rsid w:val="02F36323"/>
    <w:rsid w:val="02F5619C"/>
    <w:rsid w:val="02F96864"/>
    <w:rsid w:val="0326446A"/>
    <w:rsid w:val="032D5555"/>
    <w:rsid w:val="0361440A"/>
    <w:rsid w:val="036634D2"/>
    <w:rsid w:val="03B33D50"/>
    <w:rsid w:val="03DD35E4"/>
    <w:rsid w:val="04076900"/>
    <w:rsid w:val="041A5A3B"/>
    <w:rsid w:val="042311BA"/>
    <w:rsid w:val="042B157A"/>
    <w:rsid w:val="04700DA8"/>
    <w:rsid w:val="048F763B"/>
    <w:rsid w:val="049F330E"/>
    <w:rsid w:val="04AA775C"/>
    <w:rsid w:val="04AF1889"/>
    <w:rsid w:val="04F66F48"/>
    <w:rsid w:val="05062AD2"/>
    <w:rsid w:val="05251E14"/>
    <w:rsid w:val="05452235"/>
    <w:rsid w:val="05A16594"/>
    <w:rsid w:val="05A7762D"/>
    <w:rsid w:val="060E5941"/>
    <w:rsid w:val="06110FAF"/>
    <w:rsid w:val="06493CA7"/>
    <w:rsid w:val="065A6178"/>
    <w:rsid w:val="066C559F"/>
    <w:rsid w:val="066F1CF3"/>
    <w:rsid w:val="06930BB8"/>
    <w:rsid w:val="07245D42"/>
    <w:rsid w:val="07264C62"/>
    <w:rsid w:val="07622118"/>
    <w:rsid w:val="0779354C"/>
    <w:rsid w:val="07956677"/>
    <w:rsid w:val="07FC0FDB"/>
    <w:rsid w:val="08061376"/>
    <w:rsid w:val="08224408"/>
    <w:rsid w:val="08452D77"/>
    <w:rsid w:val="086401F8"/>
    <w:rsid w:val="08751CAA"/>
    <w:rsid w:val="087E4C40"/>
    <w:rsid w:val="08A871D0"/>
    <w:rsid w:val="08D66AD6"/>
    <w:rsid w:val="08DA33A3"/>
    <w:rsid w:val="08E80F13"/>
    <w:rsid w:val="08FA246C"/>
    <w:rsid w:val="092F3BA0"/>
    <w:rsid w:val="09335624"/>
    <w:rsid w:val="0944690F"/>
    <w:rsid w:val="09535675"/>
    <w:rsid w:val="095F057D"/>
    <w:rsid w:val="09627E56"/>
    <w:rsid w:val="09642282"/>
    <w:rsid w:val="09733572"/>
    <w:rsid w:val="09772C16"/>
    <w:rsid w:val="098353B5"/>
    <w:rsid w:val="09A92330"/>
    <w:rsid w:val="09B06B87"/>
    <w:rsid w:val="09C13146"/>
    <w:rsid w:val="09D9119E"/>
    <w:rsid w:val="09E04166"/>
    <w:rsid w:val="0A1C0718"/>
    <w:rsid w:val="0A3E7710"/>
    <w:rsid w:val="0A5B7E63"/>
    <w:rsid w:val="0A850530"/>
    <w:rsid w:val="0AA374A5"/>
    <w:rsid w:val="0AAB7649"/>
    <w:rsid w:val="0ABC5606"/>
    <w:rsid w:val="0AEE390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5422E"/>
    <w:rsid w:val="0C87121B"/>
    <w:rsid w:val="0CA737D5"/>
    <w:rsid w:val="0CC007F7"/>
    <w:rsid w:val="0CC31C91"/>
    <w:rsid w:val="0CC617AC"/>
    <w:rsid w:val="0CE618DF"/>
    <w:rsid w:val="0CE74DB0"/>
    <w:rsid w:val="0CFE707A"/>
    <w:rsid w:val="0D063BDA"/>
    <w:rsid w:val="0D08375F"/>
    <w:rsid w:val="0D11559C"/>
    <w:rsid w:val="0D184CFB"/>
    <w:rsid w:val="0D18648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A4A0B"/>
    <w:rsid w:val="0F4958DC"/>
    <w:rsid w:val="0F515DF7"/>
    <w:rsid w:val="0F596BA8"/>
    <w:rsid w:val="0F6248D2"/>
    <w:rsid w:val="0F693536"/>
    <w:rsid w:val="0F784FB5"/>
    <w:rsid w:val="0F7B0511"/>
    <w:rsid w:val="0F7B76D9"/>
    <w:rsid w:val="0F816ACD"/>
    <w:rsid w:val="0F851480"/>
    <w:rsid w:val="0F9832DB"/>
    <w:rsid w:val="0FBF3FD2"/>
    <w:rsid w:val="0FBF7FF3"/>
    <w:rsid w:val="101D4214"/>
    <w:rsid w:val="105B0B5E"/>
    <w:rsid w:val="10646583"/>
    <w:rsid w:val="107D4B15"/>
    <w:rsid w:val="108A3C80"/>
    <w:rsid w:val="10C26171"/>
    <w:rsid w:val="10F33360"/>
    <w:rsid w:val="10FC16EA"/>
    <w:rsid w:val="110F1D40"/>
    <w:rsid w:val="11266F33"/>
    <w:rsid w:val="11621A79"/>
    <w:rsid w:val="118963A1"/>
    <w:rsid w:val="11C6522A"/>
    <w:rsid w:val="11E104CC"/>
    <w:rsid w:val="11E14C4F"/>
    <w:rsid w:val="11E20309"/>
    <w:rsid w:val="11FF732A"/>
    <w:rsid w:val="12255233"/>
    <w:rsid w:val="12530213"/>
    <w:rsid w:val="127723A9"/>
    <w:rsid w:val="12862074"/>
    <w:rsid w:val="12883966"/>
    <w:rsid w:val="129E45B4"/>
    <w:rsid w:val="12D81596"/>
    <w:rsid w:val="13072A44"/>
    <w:rsid w:val="133833D9"/>
    <w:rsid w:val="1343208B"/>
    <w:rsid w:val="135F4BE2"/>
    <w:rsid w:val="13693592"/>
    <w:rsid w:val="13907030"/>
    <w:rsid w:val="139B1A0A"/>
    <w:rsid w:val="139D25C7"/>
    <w:rsid w:val="13BF3CE4"/>
    <w:rsid w:val="141008D8"/>
    <w:rsid w:val="14125FE6"/>
    <w:rsid w:val="146D271E"/>
    <w:rsid w:val="14982588"/>
    <w:rsid w:val="149A5AD9"/>
    <w:rsid w:val="14A7619D"/>
    <w:rsid w:val="14BF5434"/>
    <w:rsid w:val="14C2198B"/>
    <w:rsid w:val="150536C3"/>
    <w:rsid w:val="150C1963"/>
    <w:rsid w:val="151447A0"/>
    <w:rsid w:val="152D6C15"/>
    <w:rsid w:val="154472E1"/>
    <w:rsid w:val="154A6454"/>
    <w:rsid w:val="15567B46"/>
    <w:rsid w:val="15762120"/>
    <w:rsid w:val="15A72150"/>
    <w:rsid w:val="16A8729C"/>
    <w:rsid w:val="16B33777"/>
    <w:rsid w:val="16BC70A7"/>
    <w:rsid w:val="16C6339E"/>
    <w:rsid w:val="16DA6555"/>
    <w:rsid w:val="17076A94"/>
    <w:rsid w:val="171901E9"/>
    <w:rsid w:val="172F2D79"/>
    <w:rsid w:val="17371072"/>
    <w:rsid w:val="17557BEF"/>
    <w:rsid w:val="17D349C1"/>
    <w:rsid w:val="17FA3E1B"/>
    <w:rsid w:val="18244F26"/>
    <w:rsid w:val="1830729E"/>
    <w:rsid w:val="1870062C"/>
    <w:rsid w:val="18817102"/>
    <w:rsid w:val="18830A15"/>
    <w:rsid w:val="18852B28"/>
    <w:rsid w:val="188B5321"/>
    <w:rsid w:val="18FE79DD"/>
    <w:rsid w:val="191D7DDA"/>
    <w:rsid w:val="19932372"/>
    <w:rsid w:val="19A20DD5"/>
    <w:rsid w:val="19AE03F1"/>
    <w:rsid w:val="19B868DA"/>
    <w:rsid w:val="19BA29C1"/>
    <w:rsid w:val="1A071A03"/>
    <w:rsid w:val="1A1F16AE"/>
    <w:rsid w:val="1A381F10"/>
    <w:rsid w:val="1A3B5C77"/>
    <w:rsid w:val="1A53412E"/>
    <w:rsid w:val="1A984BAD"/>
    <w:rsid w:val="1AB8220E"/>
    <w:rsid w:val="1AE4166C"/>
    <w:rsid w:val="1AE547D1"/>
    <w:rsid w:val="1AF06CFB"/>
    <w:rsid w:val="1AF11B8D"/>
    <w:rsid w:val="1B001DD6"/>
    <w:rsid w:val="1B11359C"/>
    <w:rsid w:val="1B2A271F"/>
    <w:rsid w:val="1B530544"/>
    <w:rsid w:val="1B713184"/>
    <w:rsid w:val="1BA209CF"/>
    <w:rsid w:val="1BB4777D"/>
    <w:rsid w:val="1BD75AB8"/>
    <w:rsid w:val="1C006A5E"/>
    <w:rsid w:val="1C0459C2"/>
    <w:rsid w:val="1C1B3B4A"/>
    <w:rsid w:val="1C88086E"/>
    <w:rsid w:val="1D266CE1"/>
    <w:rsid w:val="1D3963AF"/>
    <w:rsid w:val="1D6A673C"/>
    <w:rsid w:val="1D9247AE"/>
    <w:rsid w:val="1DB567EC"/>
    <w:rsid w:val="1DEA2C0D"/>
    <w:rsid w:val="1DEC729A"/>
    <w:rsid w:val="1DF51A98"/>
    <w:rsid w:val="1E051CD9"/>
    <w:rsid w:val="1E3D060F"/>
    <w:rsid w:val="1E3F7D2E"/>
    <w:rsid w:val="1E4134E4"/>
    <w:rsid w:val="1E482C09"/>
    <w:rsid w:val="1E5062B3"/>
    <w:rsid w:val="1E523514"/>
    <w:rsid w:val="1E714A66"/>
    <w:rsid w:val="1E792B9A"/>
    <w:rsid w:val="1E802593"/>
    <w:rsid w:val="1E8B6156"/>
    <w:rsid w:val="1EA703CC"/>
    <w:rsid w:val="1EB7330C"/>
    <w:rsid w:val="1F0A0FF3"/>
    <w:rsid w:val="1F462435"/>
    <w:rsid w:val="1F525822"/>
    <w:rsid w:val="1F5771FF"/>
    <w:rsid w:val="1F9D1DBE"/>
    <w:rsid w:val="1FAD1142"/>
    <w:rsid w:val="1FD52574"/>
    <w:rsid w:val="1FE868A9"/>
    <w:rsid w:val="20034907"/>
    <w:rsid w:val="20173E4B"/>
    <w:rsid w:val="204E48BC"/>
    <w:rsid w:val="208921B3"/>
    <w:rsid w:val="20973DEB"/>
    <w:rsid w:val="20B26522"/>
    <w:rsid w:val="20B44310"/>
    <w:rsid w:val="211116EB"/>
    <w:rsid w:val="216133FC"/>
    <w:rsid w:val="21703D3E"/>
    <w:rsid w:val="217A4BBD"/>
    <w:rsid w:val="21D56769"/>
    <w:rsid w:val="21E52EF3"/>
    <w:rsid w:val="21FB5D7B"/>
    <w:rsid w:val="22015E94"/>
    <w:rsid w:val="220B1C3D"/>
    <w:rsid w:val="22124DF5"/>
    <w:rsid w:val="221D1D20"/>
    <w:rsid w:val="22334A87"/>
    <w:rsid w:val="22BE6801"/>
    <w:rsid w:val="23062243"/>
    <w:rsid w:val="233500BF"/>
    <w:rsid w:val="23377FF7"/>
    <w:rsid w:val="236B425F"/>
    <w:rsid w:val="23810484"/>
    <w:rsid w:val="23836192"/>
    <w:rsid w:val="23901F29"/>
    <w:rsid w:val="239C0061"/>
    <w:rsid w:val="23B048C6"/>
    <w:rsid w:val="23B908A4"/>
    <w:rsid w:val="23D06D16"/>
    <w:rsid w:val="23E95BEF"/>
    <w:rsid w:val="23FD0064"/>
    <w:rsid w:val="24373239"/>
    <w:rsid w:val="24455956"/>
    <w:rsid w:val="245375B0"/>
    <w:rsid w:val="24642A00"/>
    <w:rsid w:val="24642C0A"/>
    <w:rsid w:val="24B22173"/>
    <w:rsid w:val="24B95AD9"/>
    <w:rsid w:val="24BE24DA"/>
    <w:rsid w:val="24CF5825"/>
    <w:rsid w:val="24D663E6"/>
    <w:rsid w:val="24D77F2B"/>
    <w:rsid w:val="258B00E2"/>
    <w:rsid w:val="25A917A6"/>
    <w:rsid w:val="25BE27CC"/>
    <w:rsid w:val="25DC4098"/>
    <w:rsid w:val="25F211C5"/>
    <w:rsid w:val="25F74A5C"/>
    <w:rsid w:val="2628662C"/>
    <w:rsid w:val="262D45DE"/>
    <w:rsid w:val="26871DC8"/>
    <w:rsid w:val="26A53EF9"/>
    <w:rsid w:val="26A94201"/>
    <w:rsid w:val="26AC274F"/>
    <w:rsid w:val="27044A29"/>
    <w:rsid w:val="271D34C8"/>
    <w:rsid w:val="27281DC7"/>
    <w:rsid w:val="276142BF"/>
    <w:rsid w:val="27673E35"/>
    <w:rsid w:val="27752E70"/>
    <w:rsid w:val="27783712"/>
    <w:rsid w:val="27907362"/>
    <w:rsid w:val="281318C7"/>
    <w:rsid w:val="28333E1D"/>
    <w:rsid w:val="28454BD6"/>
    <w:rsid w:val="28455253"/>
    <w:rsid w:val="28551971"/>
    <w:rsid w:val="285B1C53"/>
    <w:rsid w:val="28907B24"/>
    <w:rsid w:val="289F7086"/>
    <w:rsid w:val="28A27A61"/>
    <w:rsid w:val="28C32028"/>
    <w:rsid w:val="28CC490F"/>
    <w:rsid w:val="28DE40AA"/>
    <w:rsid w:val="29345E77"/>
    <w:rsid w:val="294C65AD"/>
    <w:rsid w:val="29806583"/>
    <w:rsid w:val="298B3C4C"/>
    <w:rsid w:val="29BE48F3"/>
    <w:rsid w:val="29F26D24"/>
    <w:rsid w:val="29FA0C70"/>
    <w:rsid w:val="2A15033F"/>
    <w:rsid w:val="2A1662C1"/>
    <w:rsid w:val="2A1C7367"/>
    <w:rsid w:val="2A1E37B1"/>
    <w:rsid w:val="2A2815FA"/>
    <w:rsid w:val="2A6D6092"/>
    <w:rsid w:val="2A7D76B4"/>
    <w:rsid w:val="2B437463"/>
    <w:rsid w:val="2B7807EE"/>
    <w:rsid w:val="2B8759CE"/>
    <w:rsid w:val="2BA50BF7"/>
    <w:rsid w:val="2BBF00EC"/>
    <w:rsid w:val="2BC37CFD"/>
    <w:rsid w:val="2BD5237F"/>
    <w:rsid w:val="2BE536CE"/>
    <w:rsid w:val="2BE758D9"/>
    <w:rsid w:val="2BF346BB"/>
    <w:rsid w:val="2C09049E"/>
    <w:rsid w:val="2C0A653C"/>
    <w:rsid w:val="2C191F85"/>
    <w:rsid w:val="2CE82D6F"/>
    <w:rsid w:val="2D343236"/>
    <w:rsid w:val="2D3814B2"/>
    <w:rsid w:val="2D575011"/>
    <w:rsid w:val="2DD15014"/>
    <w:rsid w:val="2DF72DE4"/>
    <w:rsid w:val="2E0220AF"/>
    <w:rsid w:val="2E4B082A"/>
    <w:rsid w:val="2E5D4E86"/>
    <w:rsid w:val="2E5D790B"/>
    <w:rsid w:val="2E9A3C18"/>
    <w:rsid w:val="2EBB0FEE"/>
    <w:rsid w:val="2EC63002"/>
    <w:rsid w:val="2F0A6B38"/>
    <w:rsid w:val="2F7353C5"/>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9364E3"/>
    <w:rsid w:val="32BE5C2C"/>
    <w:rsid w:val="32EF1990"/>
    <w:rsid w:val="32FB6478"/>
    <w:rsid w:val="330864CC"/>
    <w:rsid w:val="33263B3F"/>
    <w:rsid w:val="332B3F69"/>
    <w:rsid w:val="336963EB"/>
    <w:rsid w:val="33816EEB"/>
    <w:rsid w:val="33EB55CD"/>
    <w:rsid w:val="33EC4C02"/>
    <w:rsid w:val="340D2360"/>
    <w:rsid w:val="3410665D"/>
    <w:rsid w:val="34211214"/>
    <w:rsid w:val="342E63AB"/>
    <w:rsid w:val="345474EF"/>
    <w:rsid w:val="346B4214"/>
    <w:rsid w:val="34950E68"/>
    <w:rsid w:val="349618B6"/>
    <w:rsid w:val="34986E94"/>
    <w:rsid w:val="34AF62C9"/>
    <w:rsid w:val="34B00BC9"/>
    <w:rsid w:val="34CB4388"/>
    <w:rsid w:val="34FA6E12"/>
    <w:rsid w:val="354D7158"/>
    <w:rsid w:val="358D5588"/>
    <w:rsid w:val="363A3B40"/>
    <w:rsid w:val="365302AE"/>
    <w:rsid w:val="36607A0A"/>
    <w:rsid w:val="366E227C"/>
    <w:rsid w:val="366F2E0D"/>
    <w:rsid w:val="367B6A5C"/>
    <w:rsid w:val="36892A71"/>
    <w:rsid w:val="368A1BE8"/>
    <w:rsid w:val="36A74ADA"/>
    <w:rsid w:val="36AD60D5"/>
    <w:rsid w:val="36B224F9"/>
    <w:rsid w:val="36E152C3"/>
    <w:rsid w:val="36EC0CC9"/>
    <w:rsid w:val="373F410B"/>
    <w:rsid w:val="379876F3"/>
    <w:rsid w:val="37D75EB8"/>
    <w:rsid w:val="37EE7094"/>
    <w:rsid w:val="38296C89"/>
    <w:rsid w:val="383002EB"/>
    <w:rsid w:val="38586797"/>
    <w:rsid w:val="385D15DF"/>
    <w:rsid w:val="389B56ED"/>
    <w:rsid w:val="38BC0149"/>
    <w:rsid w:val="38D26C72"/>
    <w:rsid w:val="38D87D1C"/>
    <w:rsid w:val="39636459"/>
    <w:rsid w:val="396B7F6C"/>
    <w:rsid w:val="39B417A9"/>
    <w:rsid w:val="39F168A3"/>
    <w:rsid w:val="39FC5695"/>
    <w:rsid w:val="3A006D8E"/>
    <w:rsid w:val="3A173836"/>
    <w:rsid w:val="3A3651E5"/>
    <w:rsid w:val="3A744481"/>
    <w:rsid w:val="3A8C7BEF"/>
    <w:rsid w:val="3A906246"/>
    <w:rsid w:val="3A9E566F"/>
    <w:rsid w:val="3ADB3D07"/>
    <w:rsid w:val="3B2349B7"/>
    <w:rsid w:val="3B616CFF"/>
    <w:rsid w:val="3B6259F6"/>
    <w:rsid w:val="3B976654"/>
    <w:rsid w:val="3BC01EFC"/>
    <w:rsid w:val="3BCA786A"/>
    <w:rsid w:val="3BD31E2F"/>
    <w:rsid w:val="3BF15831"/>
    <w:rsid w:val="3C0A43C7"/>
    <w:rsid w:val="3C105946"/>
    <w:rsid w:val="3C471448"/>
    <w:rsid w:val="3C5F759A"/>
    <w:rsid w:val="3C6C525A"/>
    <w:rsid w:val="3CCE23CB"/>
    <w:rsid w:val="3CD17D17"/>
    <w:rsid w:val="3CE36516"/>
    <w:rsid w:val="3D3B124C"/>
    <w:rsid w:val="3D3C7F39"/>
    <w:rsid w:val="3D440F09"/>
    <w:rsid w:val="3D4504A0"/>
    <w:rsid w:val="3D80203B"/>
    <w:rsid w:val="3D8734BB"/>
    <w:rsid w:val="3D9A11D4"/>
    <w:rsid w:val="3DA16D89"/>
    <w:rsid w:val="3DA364BE"/>
    <w:rsid w:val="3DE041CB"/>
    <w:rsid w:val="3E0D48F6"/>
    <w:rsid w:val="3E1868B4"/>
    <w:rsid w:val="3E377251"/>
    <w:rsid w:val="3E42664B"/>
    <w:rsid w:val="3E5A7334"/>
    <w:rsid w:val="3E713847"/>
    <w:rsid w:val="3E7B5D6B"/>
    <w:rsid w:val="3E843E66"/>
    <w:rsid w:val="3E895FE7"/>
    <w:rsid w:val="3E8F51FE"/>
    <w:rsid w:val="3E926F87"/>
    <w:rsid w:val="3E9A59DE"/>
    <w:rsid w:val="3EAF4836"/>
    <w:rsid w:val="3EC33DFA"/>
    <w:rsid w:val="3F060E16"/>
    <w:rsid w:val="3F1D1096"/>
    <w:rsid w:val="3F275F2C"/>
    <w:rsid w:val="3F2F0234"/>
    <w:rsid w:val="3F6363FE"/>
    <w:rsid w:val="3F756B8F"/>
    <w:rsid w:val="3F95482B"/>
    <w:rsid w:val="3FF136B1"/>
    <w:rsid w:val="4019356B"/>
    <w:rsid w:val="40592157"/>
    <w:rsid w:val="406E1CAE"/>
    <w:rsid w:val="40A0133A"/>
    <w:rsid w:val="40C31A53"/>
    <w:rsid w:val="40FF545D"/>
    <w:rsid w:val="410067C8"/>
    <w:rsid w:val="41795EAF"/>
    <w:rsid w:val="418F0D2A"/>
    <w:rsid w:val="41D01505"/>
    <w:rsid w:val="41E440D5"/>
    <w:rsid w:val="41FA16D6"/>
    <w:rsid w:val="42474939"/>
    <w:rsid w:val="424C3C57"/>
    <w:rsid w:val="425E0945"/>
    <w:rsid w:val="4261287E"/>
    <w:rsid w:val="42613FF3"/>
    <w:rsid w:val="42660D96"/>
    <w:rsid w:val="42747701"/>
    <w:rsid w:val="428667D2"/>
    <w:rsid w:val="42CD1CE0"/>
    <w:rsid w:val="42E1381E"/>
    <w:rsid w:val="42ED6459"/>
    <w:rsid w:val="42FE58DD"/>
    <w:rsid w:val="43174B3D"/>
    <w:rsid w:val="434B790E"/>
    <w:rsid w:val="4360274F"/>
    <w:rsid w:val="43977AB6"/>
    <w:rsid w:val="43A3342B"/>
    <w:rsid w:val="43BE4985"/>
    <w:rsid w:val="43C77C27"/>
    <w:rsid w:val="43DE09EE"/>
    <w:rsid w:val="44002FAD"/>
    <w:rsid w:val="445B4977"/>
    <w:rsid w:val="449101DD"/>
    <w:rsid w:val="44C772AC"/>
    <w:rsid w:val="44DE1391"/>
    <w:rsid w:val="450C0FDF"/>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B53EF"/>
    <w:rsid w:val="46E95F73"/>
    <w:rsid w:val="477B778F"/>
    <w:rsid w:val="478203EC"/>
    <w:rsid w:val="47B025FA"/>
    <w:rsid w:val="47D77465"/>
    <w:rsid w:val="4800556C"/>
    <w:rsid w:val="4809698F"/>
    <w:rsid w:val="4811697D"/>
    <w:rsid w:val="487A3E25"/>
    <w:rsid w:val="488B5503"/>
    <w:rsid w:val="48937E21"/>
    <w:rsid w:val="489A0361"/>
    <w:rsid w:val="48B94FF3"/>
    <w:rsid w:val="48BF218F"/>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443A92"/>
    <w:rsid w:val="4B626127"/>
    <w:rsid w:val="4B707271"/>
    <w:rsid w:val="4B747446"/>
    <w:rsid w:val="4B9739F7"/>
    <w:rsid w:val="4BEE2503"/>
    <w:rsid w:val="4C245A30"/>
    <w:rsid w:val="4CB6685F"/>
    <w:rsid w:val="4CC367FE"/>
    <w:rsid w:val="4D043409"/>
    <w:rsid w:val="4D077F3C"/>
    <w:rsid w:val="4D123355"/>
    <w:rsid w:val="4D2A3B31"/>
    <w:rsid w:val="4D312C52"/>
    <w:rsid w:val="4D502AF2"/>
    <w:rsid w:val="4D905305"/>
    <w:rsid w:val="4D964A72"/>
    <w:rsid w:val="4D9C1254"/>
    <w:rsid w:val="4DB03590"/>
    <w:rsid w:val="4E016CE7"/>
    <w:rsid w:val="4E793892"/>
    <w:rsid w:val="4E800872"/>
    <w:rsid w:val="4EB17C65"/>
    <w:rsid w:val="4EC569ED"/>
    <w:rsid w:val="4ED50EA1"/>
    <w:rsid w:val="4EEC050C"/>
    <w:rsid w:val="4EEC05F8"/>
    <w:rsid w:val="4F104EC3"/>
    <w:rsid w:val="4F3F1118"/>
    <w:rsid w:val="4F47354A"/>
    <w:rsid w:val="4F82777A"/>
    <w:rsid w:val="4F911C54"/>
    <w:rsid w:val="4FB90B70"/>
    <w:rsid w:val="4FE625E0"/>
    <w:rsid w:val="5021480F"/>
    <w:rsid w:val="50962ECB"/>
    <w:rsid w:val="50A42E38"/>
    <w:rsid w:val="50A4577F"/>
    <w:rsid w:val="50B73D1F"/>
    <w:rsid w:val="50BD5BC9"/>
    <w:rsid w:val="50C11EEE"/>
    <w:rsid w:val="50E97CFC"/>
    <w:rsid w:val="50FA4028"/>
    <w:rsid w:val="510239B9"/>
    <w:rsid w:val="510D65B7"/>
    <w:rsid w:val="511157AB"/>
    <w:rsid w:val="5142540C"/>
    <w:rsid w:val="51666745"/>
    <w:rsid w:val="516E10A7"/>
    <w:rsid w:val="518832C8"/>
    <w:rsid w:val="519D3C50"/>
    <w:rsid w:val="51A0432A"/>
    <w:rsid w:val="51A253D5"/>
    <w:rsid w:val="51A86090"/>
    <w:rsid w:val="51B7396D"/>
    <w:rsid w:val="522E4CC3"/>
    <w:rsid w:val="52383B54"/>
    <w:rsid w:val="5244713B"/>
    <w:rsid w:val="52615633"/>
    <w:rsid w:val="526C4877"/>
    <w:rsid w:val="526F4DE4"/>
    <w:rsid w:val="52977FD4"/>
    <w:rsid w:val="52A25790"/>
    <w:rsid w:val="52A96B6F"/>
    <w:rsid w:val="52AB2578"/>
    <w:rsid w:val="52B45975"/>
    <w:rsid w:val="52D94AA4"/>
    <w:rsid w:val="52EA3A62"/>
    <w:rsid w:val="52F50BB8"/>
    <w:rsid w:val="53097272"/>
    <w:rsid w:val="534F1565"/>
    <w:rsid w:val="53544462"/>
    <w:rsid w:val="535449BE"/>
    <w:rsid w:val="537806FD"/>
    <w:rsid w:val="5397158E"/>
    <w:rsid w:val="54013861"/>
    <w:rsid w:val="54487265"/>
    <w:rsid w:val="544D6070"/>
    <w:rsid w:val="54605E1E"/>
    <w:rsid w:val="547E61DB"/>
    <w:rsid w:val="54B3506A"/>
    <w:rsid w:val="54CA0D16"/>
    <w:rsid w:val="54D347CA"/>
    <w:rsid w:val="54DD4057"/>
    <w:rsid w:val="54E36B24"/>
    <w:rsid w:val="54E7490F"/>
    <w:rsid w:val="550764A4"/>
    <w:rsid w:val="550B2BF6"/>
    <w:rsid w:val="5520724E"/>
    <w:rsid w:val="55214EB5"/>
    <w:rsid w:val="55364EFD"/>
    <w:rsid w:val="555D4828"/>
    <w:rsid w:val="557A4C8B"/>
    <w:rsid w:val="557E5643"/>
    <w:rsid w:val="558931E1"/>
    <w:rsid w:val="55923347"/>
    <w:rsid w:val="55925180"/>
    <w:rsid w:val="55983B1B"/>
    <w:rsid w:val="55A8376B"/>
    <w:rsid w:val="55DC29B6"/>
    <w:rsid w:val="55DD4241"/>
    <w:rsid w:val="566B6D1E"/>
    <w:rsid w:val="57032A2C"/>
    <w:rsid w:val="570F5219"/>
    <w:rsid w:val="574414E6"/>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F092D"/>
    <w:rsid w:val="58431662"/>
    <w:rsid w:val="58873A89"/>
    <w:rsid w:val="58917D2F"/>
    <w:rsid w:val="5894085C"/>
    <w:rsid w:val="58AE4F0C"/>
    <w:rsid w:val="58B85899"/>
    <w:rsid w:val="58E363A9"/>
    <w:rsid w:val="59166304"/>
    <w:rsid w:val="594240B8"/>
    <w:rsid w:val="595E1678"/>
    <w:rsid w:val="596D5BD4"/>
    <w:rsid w:val="596F60AE"/>
    <w:rsid w:val="597E3DD8"/>
    <w:rsid w:val="59AA5338"/>
    <w:rsid w:val="59F80043"/>
    <w:rsid w:val="5A09252F"/>
    <w:rsid w:val="5A0B2778"/>
    <w:rsid w:val="5A290952"/>
    <w:rsid w:val="5A2A7C7B"/>
    <w:rsid w:val="5A3E2560"/>
    <w:rsid w:val="5A3E3CD2"/>
    <w:rsid w:val="5A5D3B6E"/>
    <w:rsid w:val="5A637A76"/>
    <w:rsid w:val="5A6B2D19"/>
    <w:rsid w:val="5A6D33BA"/>
    <w:rsid w:val="5A792B1F"/>
    <w:rsid w:val="5A874767"/>
    <w:rsid w:val="5AA85BE2"/>
    <w:rsid w:val="5AAD6F28"/>
    <w:rsid w:val="5AD63A24"/>
    <w:rsid w:val="5B2E1A1D"/>
    <w:rsid w:val="5B843A1C"/>
    <w:rsid w:val="5B873E3F"/>
    <w:rsid w:val="5C02690E"/>
    <w:rsid w:val="5C046A0A"/>
    <w:rsid w:val="5C196DA7"/>
    <w:rsid w:val="5C2A048C"/>
    <w:rsid w:val="5C80234E"/>
    <w:rsid w:val="5C8A680C"/>
    <w:rsid w:val="5CBF60BA"/>
    <w:rsid w:val="5D0C4701"/>
    <w:rsid w:val="5D0F0395"/>
    <w:rsid w:val="5D1968BC"/>
    <w:rsid w:val="5D221076"/>
    <w:rsid w:val="5D397964"/>
    <w:rsid w:val="5D5A391C"/>
    <w:rsid w:val="5D5A7EDB"/>
    <w:rsid w:val="5D5F10C0"/>
    <w:rsid w:val="5D891B7B"/>
    <w:rsid w:val="5D8C43D9"/>
    <w:rsid w:val="5DAD38EE"/>
    <w:rsid w:val="5E006862"/>
    <w:rsid w:val="5E0207B9"/>
    <w:rsid w:val="5E1834A1"/>
    <w:rsid w:val="5E261785"/>
    <w:rsid w:val="5E4A7017"/>
    <w:rsid w:val="5E552BBA"/>
    <w:rsid w:val="5E611C10"/>
    <w:rsid w:val="5E7A0F3F"/>
    <w:rsid w:val="5EDF494D"/>
    <w:rsid w:val="5EFC7377"/>
    <w:rsid w:val="5F06174D"/>
    <w:rsid w:val="5F3A3602"/>
    <w:rsid w:val="5F45733B"/>
    <w:rsid w:val="5F6277C6"/>
    <w:rsid w:val="5F6D0B1D"/>
    <w:rsid w:val="5F8D0B82"/>
    <w:rsid w:val="5FCC5339"/>
    <w:rsid w:val="5FE34A5B"/>
    <w:rsid w:val="5FFE1E36"/>
    <w:rsid w:val="600F2399"/>
    <w:rsid w:val="60232584"/>
    <w:rsid w:val="60382B35"/>
    <w:rsid w:val="607330CE"/>
    <w:rsid w:val="60825176"/>
    <w:rsid w:val="609F2AC4"/>
    <w:rsid w:val="60FA2EE8"/>
    <w:rsid w:val="61054A27"/>
    <w:rsid w:val="610A52BC"/>
    <w:rsid w:val="611D2366"/>
    <w:rsid w:val="61421856"/>
    <w:rsid w:val="615227C4"/>
    <w:rsid w:val="61654E3F"/>
    <w:rsid w:val="61774699"/>
    <w:rsid w:val="6182292A"/>
    <w:rsid w:val="619F7F92"/>
    <w:rsid w:val="61E34AF4"/>
    <w:rsid w:val="61F94C26"/>
    <w:rsid w:val="62000E56"/>
    <w:rsid w:val="624F3E49"/>
    <w:rsid w:val="62632286"/>
    <w:rsid w:val="62885958"/>
    <w:rsid w:val="62AD14C4"/>
    <w:rsid w:val="62B51E3F"/>
    <w:rsid w:val="62F40B65"/>
    <w:rsid w:val="62FC2CFE"/>
    <w:rsid w:val="63024505"/>
    <w:rsid w:val="6320427D"/>
    <w:rsid w:val="635600A5"/>
    <w:rsid w:val="635B1DB5"/>
    <w:rsid w:val="63711FED"/>
    <w:rsid w:val="63880DDC"/>
    <w:rsid w:val="638D750D"/>
    <w:rsid w:val="63983E55"/>
    <w:rsid w:val="63AC6CC0"/>
    <w:rsid w:val="63C2457C"/>
    <w:rsid w:val="64055776"/>
    <w:rsid w:val="64240056"/>
    <w:rsid w:val="643E143A"/>
    <w:rsid w:val="64491666"/>
    <w:rsid w:val="648B6EEF"/>
    <w:rsid w:val="64C158BF"/>
    <w:rsid w:val="64CE2EAA"/>
    <w:rsid w:val="65120BF1"/>
    <w:rsid w:val="6521282F"/>
    <w:rsid w:val="653C3090"/>
    <w:rsid w:val="65854376"/>
    <w:rsid w:val="658767BE"/>
    <w:rsid w:val="65892531"/>
    <w:rsid w:val="66195831"/>
    <w:rsid w:val="662E75B1"/>
    <w:rsid w:val="66342C2E"/>
    <w:rsid w:val="663E784C"/>
    <w:rsid w:val="66805D9E"/>
    <w:rsid w:val="668B6A45"/>
    <w:rsid w:val="66A26888"/>
    <w:rsid w:val="66C51A03"/>
    <w:rsid w:val="66DE0D17"/>
    <w:rsid w:val="672F3F24"/>
    <w:rsid w:val="673E055F"/>
    <w:rsid w:val="6740062F"/>
    <w:rsid w:val="67551CE3"/>
    <w:rsid w:val="67A22552"/>
    <w:rsid w:val="67B22DCC"/>
    <w:rsid w:val="67BE71AA"/>
    <w:rsid w:val="67D90273"/>
    <w:rsid w:val="67DE5875"/>
    <w:rsid w:val="67E55852"/>
    <w:rsid w:val="67EB1AB4"/>
    <w:rsid w:val="67FA1285"/>
    <w:rsid w:val="68551F4F"/>
    <w:rsid w:val="685876E2"/>
    <w:rsid w:val="687C10C9"/>
    <w:rsid w:val="68840C16"/>
    <w:rsid w:val="68876EFB"/>
    <w:rsid w:val="68884654"/>
    <w:rsid w:val="689F444F"/>
    <w:rsid w:val="68B96DBB"/>
    <w:rsid w:val="68CA2805"/>
    <w:rsid w:val="68E937A3"/>
    <w:rsid w:val="693E15D3"/>
    <w:rsid w:val="69627681"/>
    <w:rsid w:val="6977531D"/>
    <w:rsid w:val="697B45FB"/>
    <w:rsid w:val="69CC2BFF"/>
    <w:rsid w:val="69FD55B8"/>
    <w:rsid w:val="6A0B1C62"/>
    <w:rsid w:val="6A0B3BD1"/>
    <w:rsid w:val="6A2406C8"/>
    <w:rsid w:val="6A58493C"/>
    <w:rsid w:val="6ADE0BD1"/>
    <w:rsid w:val="6AE96859"/>
    <w:rsid w:val="6B147746"/>
    <w:rsid w:val="6B24787C"/>
    <w:rsid w:val="6B573233"/>
    <w:rsid w:val="6B5B6274"/>
    <w:rsid w:val="6B5E2426"/>
    <w:rsid w:val="6B5E41D4"/>
    <w:rsid w:val="6B935D53"/>
    <w:rsid w:val="6C0F6B5B"/>
    <w:rsid w:val="6C196F71"/>
    <w:rsid w:val="6C226FCB"/>
    <w:rsid w:val="6C31226F"/>
    <w:rsid w:val="6C552F0B"/>
    <w:rsid w:val="6C8C67B7"/>
    <w:rsid w:val="6C9D744C"/>
    <w:rsid w:val="6CA1081C"/>
    <w:rsid w:val="6CDD69A5"/>
    <w:rsid w:val="6D167928"/>
    <w:rsid w:val="6D26299B"/>
    <w:rsid w:val="6D4772EC"/>
    <w:rsid w:val="6D9078AF"/>
    <w:rsid w:val="6DAA3FEF"/>
    <w:rsid w:val="6DC0172B"/>
    <w:rsid w:val="6DCB690C"/>
    <w:rsid w:val="6DD41A5B"/>
    <w:rsid w:val="6DF43C2E"/>
    <w:rsid w:val="6DF51CA3"/>
    <w:rsid w:val="6E192CBD"/>
    <w:rsid w:val="6E8335BD"/>
    <w:rsid w:val="6E8E12EF"/>
    <w:rsid w:val="6E972936"/>
    <w:rsid w:val="6ED446C5"/>
    <w:rsid w:val="6F2A7D94"/>
    <w:rsid w:val="6F8331F1"/>
    <w:rsid w:val="6FAE1A09"/>
    <w:rsid w:val="6FD75BF8"/>
    <w:rsid w:val="6FD9207B"/>
    <w:rsid w:val="701D664F"/>
    <w:rsid w:val="707723D0"/>
    <w:rsid w:val="70F5661B"/>
    <w:rsid w:val="711D41EA"/>
    <w:rsid w:val="71360107"/>
    <w:rsid w:val="713B688E"/>
    <w:rsid w:val="715045BF"/>
    <w:rsid w:val="71D43752"/>
    <w:rsid w:val="71E2790D"/>
    <w:rsid w:val="71F1796A"/>
    <w:rsid w:val="72154626"/>
    <w:rsid w:val="72262B5D"/>
    <w:rsid w:val="72283FF7"/>
    <w:rsid w:val="722E7212"/>
    <w:rsid w:val="723A0474"/>
    <w:rsid w:val="725923E4"/>
    <w:rsid w:val="72864BF7"/>
    <w:rsid w:val="729023FC"/>
    <w:rsid w:val="73B64F5A"/>
    <w:rsid w:val="73C0646E"/>
    <w:rsid w:val="73C323D0"/>
    <w:rsid w:val="73FA5E18"/>
    <w:rsid w:val="742222F5"/>
    <w:rsid w:val="742F4960"/>
    <w:rsid w:val="74476126"/>
    <w:rsid w:val="74706664"/>
    <w:rsid w:val="747F3682"/>
    <w:rsid w:val="749C4185"/>
    <w:rsid w:val="75067759"/>
    <w:rsid w:val="752E6DCD"/>
    <w:rsid w:val="7551380D"/>
    <w:rsid w:val="75600BE5"/>
    <w:rsid w:val="7564475C"/>
    <w:rsid w:val="7583797F"/>
    <w:rsid w:val="7587799C"/>
    <w:rsid w:val="75D20F1D"/>
    <w:rsid w:val="75DA2C18"/>
    <w:rsid w:val="75F54412"/>
    <w:rsid w:val="761D08E0"/>
    <w:rsid w:val="763224E5"/>
    <w:rsid w:val="765D347C"/>
    <w:rsid w:val="76826699"/>
    <w:rsid w:val="76C87133"/>
    <w:rsid w:val="76CD08D5"/>
    <w:rsid w:val="76CD220E"/>
    <w:rsid w:val="76DB4B92"/>
    <w:rsid w:val="77052AA4"/>
    <w:rsid w:val="77136511"/>
    <w:rsid w:val="77340A39"/>
    <w:rsid w:val="77351FD0"/>
    <w:rsid w:val="77472422"/>
    <w:rsid w:val="7778109D"/>
    <w:rsid w:val="777F31F2"/>
    <w:rsid w:val="77BA0E6C"/>
    <w:rsid w:val="77D1700D"/>
    <w:rsid w:val="77EC04CC"/>
    <w:rsid w:val="7821253B"/>
    <w:rsid w:val="783602D7"/>
    <w:rsid w:val="785A2863"/>
    <w:rsid w:val="78775729"/>
    <w:rsid w:val="78A42DB0"/>
    <w:rsid w:val="78A656AB"/>
    <w:rsid w:val="78B2245C"/>
    <w:rsid w:val="78BB791E"/>
    <w:rsid w:val="78E172CC"/>
    <w:rsid w:val="78EA1D1F"/>
    <w:rsid w:val="7904172F"/>
    <w:rsid w:val="790F7E27"/>
    <w:rsid w:val="792A231A"/>
    <w:rsid w:val="79316829"/>
    <w:rsid w:val="797E66A9"/>
    <w:rsid w:val="798518A4"/>
    <w:rsid w:val="79A97383"/>
    <w:rsid w:val="79E27E8B"/>
    <w:rsid w:val="79F850CE"/>
    <w:rsid w:val="79FD443C"/>
    <w:rsid w:val="79FF3026"/>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42E89"/>
    <w:rsid w:val="7BDE7397"/>
    <w:rsid w:val="7BEE0103"/>
    <w:rsid w:val="7C0A0FE4"/>
    <w:rsid w:val="7C0C66DE"/>
    <w:rsid w:val="7C254906"/>
    <w:rsid w:val="7C590818"/>
    <w:rsid w:val="7C7C10F6"/>
    <w:rsid w:val="7C853BEA"/>
    <w:rsid w:val="7C881368"/>
    <w:rsid w:val="7CE27788"/>
    <w:rsid w:val="7D0C32F1"/>
    <w:rsid w:val="7D0F408D"/>
    <w:rsid w:val="7D491C6C"/>
    <w:rsid w:val="7D5429C0"/>
    <w:rsid w:val="7D584F0C"/>
    <w:rsid w:val="7D6E6D43"/>
    <w:rsid w:val="7DB57A34"/>
    <w:rsid w:val="7DE60973"/>
    <w:rsid w:val="7DEF0916"/>
    <w:rsid w:val="7E1E5218"/>
    <w:rsid w:val="7E9A4E1F"/>
    <w:rsid w:val="7EA7723A"/>
    <w:rsid w:val="7EF56FBB"/>
    <w:rsid w:val="7F0768EB"/>
    <w:rsid w:val="7F143BEC"/>
    <w:rsid w:val="7F4A31E0"/>
    <w:rsid w:val="7F715AF2"/>
    <w:rsid w:val="7F886E69"/>
    <w:rsid w:val="7F9A70E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2"/>
    <w:basedOn w:val="1"/>
    <w:next w:val="1"/>
    <w:autoRedefine/>
    <w:qFormat/>
    <w:uiPriority w:val="0"/>
    <w:pPr>
      <w:ind w:left="420" w:leftChars="200"/>
    </w:pPr>
  </w:style>
  <w:style w:type="paragraph" w:styleId="17">
    <w:name w:val="caption"/>
    <w:basedOn w:val="1"/>
    <w:next w:val="1"/>
    <w:link w:val="235"/>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8"/>
    <w:autoRedefine/>
    <w:qFormat/>
    <w:uiPriority w:val="0"/>
    <w:pPr>
      <w:shd w:val="clear" w:color="auto" w:fill="000080"/>
    </w:p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7"/>
    <w:autoRedefine/>
    <w:qFormat/>
    <w:uiPriority w:val="0"/>
    <w:pPr>
      <w:adjustRightInd/>
      <w:spacing w:after="120" w:line="240" w:lineRule="auto"/>
      <w:ind w:left="420" w:leftChars="200" w:firstLine="210"/>
    </w:pPr>
    <w:rPr>
      <w:sz w:val="21"/>
    </w:rPr>
  </w:style>
  <w:style w:type="paragraph" w:styleId="27">
    <w:name w:val="Body Text First Indent"/>
    <w:basedOn w:val="24"/>
    <w:next w:val="28"/>
    <w:link w:val="327"/>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1"/>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7"/>
    <w:autoRedefine/>
    <w:qFormat/>
    <w:uiPriority w:val="0"/>
    <w:pPr>
      <w:ind w:left="100" w:leftChars="2500"/>
    </w:pPr>
    <w:rPr>
      <w:rFonts w:ascii="宋体"/>
      <w:sz w:val="24"/>
      <w:szCs w:val="21"/>
      <w:lang w:val="zh-CN"/>
    </w:rPr>
  </w:style>
  <w:style w:type="paragraph" w:styleId="40">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6"/>
    <w:autoRedefine/>
    <w:qFormat/>
    <w:uiPriority w:val="0"/>
    <w:rPr>
      <w:lang w:val="zh-CN"/>
    </w:rPr>
  </w:style>
  <w:style w:type="paragraph" w:styleId="42">
    <w:name w:val="Balloon Text"/>
    <w:basedOn w:val="1"/>
    <w:link w:val="194"/>
    <w:autoRedefine/>
    <w:qFormat/>
    <w:uiPriority w:val="0"/>
    <w:rPr>
      <w:sz w:val="18"/>
      <w:szCs w:val="18"/>
    </w:rPr>
  </w:style>
  <w:style w:type="paragraph" w:styleId="43">
    <w:name w:val="footer"/>
    <w:basedOn w:val="1"/>
    <w:link w:val="389"/>
    <w:autoRedefine/>
    <w:qFormat/>
    <w:uiPriority w:val="99"/>
    <w:pPr>
      <w:tabs>
        <w:tab w:val="center" w:pos="4153"/>
        <w:tab w:val="right" w:pos="8306"/>
      </w:tabs>
      <w:snapToGrid w:val="0"/>
      <w:jc w:val="left"/>
    </w:pPr>
    <w:rPr>
      <w:sz w:val="18"/>
      <w:szCs w:val="18"/>
    </w:rPr>
  </w:style>
  <w:style w:type="paragraph" w:styleId="44">
    <w:name w:val="header"/>
    <w:basedOn w:val="1"/>
    <w:next w:val="45"/>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6">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1"/>
    <w:autoRedefine/>
    <w:qFormat/>
    <w:uiPriority w:val="0"/>
    <w:pPr>
      <w:spacing w:line="360" w:lineRule="auto"/>
      <w:ind w:firstLine="420"/>
    </w:pPr>
    <w:rPr>
      <w:sz w:val="24"/>
      <w:szCs w:val="20"/>
    </w:rPr>
  </w:style>
  <w:style w:type="paragraph" w:styleId="57">
    <w:name w:val="toc 9"/>
    <w:basedOn w:val="1"/>
    <w:next w:val="1"/>
    <w:autoRedefine/>
    <w:qFormat/>
    <w:uiPriority w:val="0"/>
    <w:pPr>
      <w:ind w:left="3360" w:leftChars="1600"/>
    </w:pPr>
  </w:style>
  <w:style w:type="paragraph" w:styleId="58">
    <w:name w:val="Body Text 2"/>
    <w:basedOn w:val="1"/>
    <w:link w:val="308"/>
    <w:autoRedefine/>
    <w:qFormat/>
    <w:uiPriority w:val="0"/>
    <w:pPr>
      <w:spacing w:after="120" w:line="480" w:lineRule="auto"/>
    </w:pPr>
  </w:style>
  <w:style w:type="paragraph" w:styleId="59">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2"/>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 表格正文 + 两端对齐"/>
    <w:basedOn w:val="1"/>
    <w:next w:val="81"/>
    <w:autoRedefine/>
    <w:qFormat/>
    <w:uiPriority w:val="99"/>
    <w:pPr>
      <w:spacing w:line="300" w:lineRule="auto"/>
    </w:pPr>
    <w:rPr>
      <w:sz w:val="24"/>
    </w:rPr>
  </w:style>
  <w:style w:type="paragraph" w:customStyle="1" w:styleId="81">
    <w:name w:val="正文1"/>
    <w:basedOn w:val="35"/>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自动更正"/>
    <w:next w:val="83"/>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3">
    <w:name w:val="xl39"/>
    <w:basedOn w:val="1"/>
    <w:next w:val="84"/>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4">
    <w:name w:val="分手多日，近况如何？"/>
    <w:next w:val="1"/>
    <w:autoRedefine/>
    <w:qFormat/>
    <w:uiPriority w:val="99"/>
    <w:pPr>
      <w:widowControl w:val="0"/>
      <w:jc w:val="both"/>
    </w:pPr>
    <w:rPr>
      <w:rFonts w:ascii="Times New Roman" w:hAnsi="Times New Roman" w:eastAsia="等线" w:cs="Times New Roman"/>
      <w:sz w:val="21"/>
      <w:lang w:val="en-US" w:eastAsia="zh-CN" w:bidi="ar-SA"/>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正文文本首行缩进 2"/>
    <w:basedOn w:val="25"/>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2"/>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26"/>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0"/>
    <w:autoRedefine/>
    <w:qFormat/>
    <w:uiPriority w:val="0"/>
    <w:rPr>
      <w:rFonts w:ascii="Arial" w:hAnsi="Arial" w:eastAsia="黑体" w:cs="Arial"/>
      <w:snapToGrid w:val="0"/>
      <w:kern w:val="0"/>
      <w:szCs w:val="21"/>
    </w:rPr>
  </w:style>
  <w:style w:type="character" w:customStyle="1" w:styleId="131">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next w:val="47"/>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51"/>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7"/>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2"/>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9"/>
    <w:autoRedefine/>
    <w:qFormat/>
    <w:uiPriority w:val="0"/>
    <w:rPr>
      <w:rFonts w:ascii="宋体"/>
      <w:kern w:val="2"/>
      <w:sz w:val="24"/>
      <w:szCs w:val="21"/>
      <w:lang w:val="zh-CN"/>
    </w:rPr>
  </w:style>
  <w:style w:type="character" w:customStyle="1" w:styleId="188">
    <w:name w:val="标题 9 Char"/>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42"/>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9"/>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Char"/>
    <w:link w:val="33"/>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Char"/>
    <w:link w:val="17"/>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61"/>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9"/>
    <w:autoRedefine/>
    <w:qFormat/>
    <w:uiPriority w:val="0"/>
    <w:rPr>
      <w:rFonts w:ascii="黑体" w:hAnsi="Courier New" w:eastAsia="黑体"/>
    </w:rPr>
  </w:style>
  <w:style w:type="character" w:customStyle="1" w:styleId="308">
    <w:name w:val="正文文本 2 Char1"/>
    <w:link w:val="58"/>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8"/>
    <w:autoRedefine/>
    <w:qFormat/>
    <w:uiPriority w:val="0"/>
    <w:rPr>
      <w:b/>
      <w:bCs/>
      <w:kern w:val="2"/>
      <w:sz w:val="24"/>
      <w:szCs w:val="24"/>
    </w:rPr>
  </w:style>
  <w:style w:type="character" w:customStyle="1" w:styleId="314">
    <w:name w:val="正文文本缩进 2 Char"/>
    <w:link w:val="40"/>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4"/>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27"/>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0"/>
    <w:autoRedefine/>
    <w:qFormat/>
    <w:uiPriority w:val="0"/>
    <w:rPr>
      <w:kern w:val="2"/>
      <w:sz w:val="21"/>
      <w:szCs w:val="24"/>
    </w:rPr>
  </w:style>
  <w:style w:type="character" w:customStyle="1" w:styleId="351">
    <w:name w:val="签名 Char"/>
    <w:link w:val="46"/>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6"/>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3"/>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5"/>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4"/>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6"/>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36"/>
    <w:next w:val="24"/>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autoRedefine/>
    <w:qFormat/>
    <w:uiPriority w:val="0"/>
    <w:pPr>
      <w:adjustRightInd/>
      <w:ind w:firstLine="420" w:firstLineChars="200"/>
    </w:pPr>
    <w:rPr>
      <w:rFonts w:eastAsia="仿宋_GB2312"/>
      <w:sz w:val="28"/>
    </w:rPr>
  </w:style>
  <w:style w:type="paragraph" w:customStyle="1" w:styleId="528">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0"/>
    <w:pPr>
      <w:jc w:val="left"/>
      <w:outlineLvl w:val="1"/>
    </w:pPr>
    <w:rPr>
      <w:rFonts w:ascii="Times New Roman" w:hAnsi="Times New Roman" w:eastAsia="仿宋"/>
      <w:sz w:val="30"/>
    </w:rPr>
  </w:style>
  <w:style w:type="paragraph" w:customStyle="1" w:styleId="678">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pPr>
      <w:spacing w:line="360" w:lineRule="auto"/>
    </w:pPr>
    <w:rPr>
      <w:szCs w:val="20"/>
    </w:rPr>
  </w:style>
  <w:style w:type="paragraph" w:customStyle="1" w:styleId="69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0"/>
    <w:pPr>
      <w:adjustRightInd/>
      <w:spacing w:line="360" w:lineRule="auto"/>
      <w:jc w:val="center"/>
    </w:pPr>
    <w:rPr>
      <w:sz w:val="24"/>
    </w:rPr>
  </w:style>
  <w:style w:type="paragraph" w:customStyle="1" w:styleId="7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0"/>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645"/>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29"/>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3"/>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41"/>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Normal]"/>
    <w:autoRedefine/>
    <w:qFormat/>
    <w:uiPriority w:val="0"/>
    <w:rPr>
      <w:rFonts w:ascii="宋体" w:hAnsi="宋体" w:eastAsia="宋体" w:cs="Times New Roman"/>
      <w:sz w:val="24"/>
      <w:szCs w:val="22"/>
      <w:lang w:val="zh-CN" w:eastAsia="zh-CN" w:bidi="ar-SA"/>
    </w:rPr>
  </w:style>
  <w:style w:type="paragraph" w:customStyle="1" w:styleId="970">
    <w:name w:val="纯文本3"/>
    <w:basedOn w:val="1"/>
    <w:autoRedefine/>
    <w:qFormat/>
    <w:uiPriority w:val="0"/>
    <w:pPr>
      <w:spacing w:beforeLines="50" w:afterLines="50" w:line="400" w:lineRule="exact"/>
    </w:pPr>
    <w:rPr>
      <w:rFonts w:ascii="宋体" w:hAnsi="Courier New"/>
      <w:sz w:val="24"/>
    </w:rPr>
  </w:style>
  <w:style w:type="paragraph" w:customStyle="1" w:styleId="971">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72">
    <w:name w:val="NormalCharacter"/>
    <w:autoRedefine/>
    <w:semiHidden/>
    <w:qFormat/>
    <w:uiPriority w:val="0"/>
  </w:style>
  <w:style w:type="paragraph" w:customStyle="1" w:styleId="973">
    <w:name w:val="Table Style 2"/>
    <w:autoRedefine/>
    <w:qFormat/>
    <w:uiPriority w:val="0"/>
    <w:rPr>
      <w:rFonts w:ascii="Helvetica Neue" w:hAnsi="Helvetica Neue" w:eastAsia="Helvetica Neue" w:cs="Helvetica Neue"/>
      <w:color w:val="000000"/>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Pages>83</Pages>
  <Words>38853</Words>
  <Characters>41129</Characters>
  <Lines>1</Lines>
  <Paragraphs>1</Paragraphs>
  <TotalTime>13</TotalTime>
  <ScaleCrop>false</ScaleCrop>
  <LinksUpToDate>false</LinksUpToDate>
  <CharactersWithSpaces>46948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耀华招标文件</dc:creator>
  <cp:lastModifiedBy>123</cp:lastModifiedBy>
  <cp:lastPrinted>2021-12-27T03:06:00Z</cp:lastPrinted>
  <dcterms:modified xsi:type="dcterms:W3CDTF">2024-05-21T12:15:47Z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ECDEF9ABAED44F97BE5D58A57A2C95F2_13</vt:lpwstr>
  </property>
</Properties>
</file>