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4"/>
          <w:szCs w:val="44"/>
        </w:rPr>
      </w:pPr>
    </w:p>
    <w:p>
      <w:pPr>
        <w:adjustRightInd/>
        <w:spacing w:line="360" w:lineRule="auto"/>
        <w:jc w:val="center"/>
        <w:rPr>
          <w:rFonts w:ascii="宋体" w:hAnsi="宋体" w:cs="宋体"/>
          <w:b/>
          <w:bCs/>
          <w:sz w:val="52"/>
          <w:szCs w:val="52"/>
        </w:rPr>
      </w:pPr>
      <w:r>
        <w:rPr>
          <w:rFonts w:hint="eastAsia" w:ascii="宋体" w:hAnsi="宋体" w:cs="宋体"/>
          <w:b/>
          <w:bCs/>
          <w:sz w:val="52"/>
          <w:szCs w:val="52"/>
        </w:rPr>
        <w:t>杭州余杭塘河（余杭段）沿线区域提升规划及重点区段更新设计</w:t>
      </w:r>
    </w:p>
    <w:p>
      <w:pPr>
        <w:pStyle w:val="23"/>
      </w:pPr>
    </w:p>
    <w:p>
      <w:pPr>
        <w:pStyle w:val="24"/>
      </w:pPr>
    </w:p>
    <w:p>
      <w:pPr>
        <w:pStyle w:val="23"/>
      </w:pPr>
    </w:p>
    <w:p>
      <w:pPr>
        <w:adjustRightInd/>
        <w:spacing w:line="360" w:lineRule="auto"/>
        <w:jc w:val="center"/>
        <w:rPr>
          <w:rFonts w:ascii="宋体" w:hAnsi="宋体" w:cs="宋体"/>
          <w:sz w:val="84"/>
          <w:szCs w:val="84"/>
        </w:rPr>
      </w:pPr>
      <w:r>
        <w:rPr>
          <w:rFonts w:hint="eastAsia" w:ascii="宋体" w:hAnsi="宋体" w:cs="宋体"/>
          <w:sz w:val="84"/>
          <w:szCs w:val="84"/>
        </w:rPr>
        <w:t>招  标 文 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6"/>
          <w:szCs w:val="36"/>
        </w:rPr>
      </w:pPr>
      <w:r>
        <w:rPr>
          <w:rFonts w:hint="eastAsia" w:ascii="宋体" w:hAnsi="宋体" w:cs="宋体"/>
          <w:sz w:val="36"/>
          <w:szCs w:val="36"/>
        </w:rPr>
        <w:t>编号:YHZFCG2024-092</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pStyle w:val="87"/>
        <w:ind w:firstLine="0" w:firstLineChars="0"/>
        <w:rPr>
          <w:rFonts w:ascii="宋体" w:hAnsi="宋体" w:cs="宋体"/>
        </w:rPr>
      </w:pPr>
    </w:p>
    <w:p>
      <w:pPr>
        <w:pStyle w:val="87"/>
        <w:ind w:firstLine="0" w:firstLineChars="0"/>
        <w:rPr>
          <w:rFonts w:ascii="宋体" w:hAnsi="宋体" w:cs="宋体"/>
        </w:rPr>
      </w:pPr>
    </w:p>
    <w:p>
      <w:pPr>
        <w:pStyle w:val="87"/>
        <w:ind w:firstLine="0" w:firstLineChars="0"/>
        <w:rPr>
          <w:rFonts w:ascii="宋体" w:hAnsi="宋体" w:cs="宋体"/>
        </w:rPr>
      </w:pPr>
    </w:p>
    <w:p>
      <w:pPr>
        <w:spacing w:line="360" w:lineRule="auto"/>
        <w:rPr>
          <w:rFonts w:ascii="宋体" w:hAnsi="宋体" w:cs="宋体"/>
          <w:sz w:val="24"/>
        </w:rPr>
      </w:pPr>
    </w:p>
    <w:p>
      <w:pPr>
        <w:pStyle w:val="23"/>
      </w:pPr>
    </w:p>
    <w:p>
      <w:pPr>
        <w:snapToGrid w:val="0"/>
        <w:spacing w:line="480" w:lineRule="auto"/>
        <w:jc w:val="center"/>
        <w:rPr>
          <w:rFonts w:ascii="宋体" w:hAnsi="宋体" w:cs="宋体"/>
          <w:bCs/>
          <w:sz w:val="36"/>
          <w:szCs w:val="36"/>
        </w:rPr>
      </w:pPr>
      <w:r>
        <w:rPr>
          <w:rFonts w:hint="eastAsia" w:ascii="宋体" w:hAnsi="宋体" w:cs="宋体"/>
          <w:bCs/>
          <w:sz w:val="36"/>
          <w:szCs w:val="36"/>
        </w:rPr>
        <w:t xml:space="preserve"> 招标人：杭州市规划和自然资源局余杭分局 </w:t>
      </w:r>
    </w:p>
    <w:p>
      <w:pPr>
        <w:snapToGrid w:val="0"/>
        <w:spacing w:line="480" w:lineRule="auto"/>
        <w:jc w:val="center"/>
        <w:rPr>
          <w:rFonts w:ascii="宋体" w:hAnsi="宋体" w:cs="宋体"/>
          <w:bCs/>
          <w:sz w:val="36"/>
          <w:szCs w:val="36"/>
        </w:rPr>
      </w:pPr>
      <w:r>
        <w:rPr>
          <w:rFonts w:hint="eastAsia" w:ascii="宋体" w:hAnsi="宋体" w:cs="宋体"/>
          <w:bCs/>
          <w:sz w:val="36"/>
          <w:szCs w:val="36"/>
        </w:rPr>
        <w:t>招标代理机构：耀华建设管理有限公司</w:t>
      </w:r>
    </w:p>
    <w:p>
      <w:pPr>
        <w:snapToGrid w:val="0"/>
        <w:spacing w:line="480" w:lineRule="auto"/>
        <w:jc w:val="center"/>
        <w:rPr>
          <w:rFonts w:ascii="宋体" w:hAnsi="宋体" w:cs="宋体"/>
          <w:bCs/>
          <w:sz w:val="36"/>
          <w:szCs w:val="36"/>
        </w:rPr>
      </w:pPr>
      <w:r>
        <w:rPr>
          <w:rFonts w:hint="eastAsia" w:ascii="宋体" w:hAnsi="宋体" w:cs="宋体"/>
          <w:bCs/>
          <w:sz w:val="36"/>
          <w:szCs w:val="36"/>
        </w:rPr>
        <w:t>二〇二四年四月</w:t>
      </w:r>
      <w:r>
        <w:rPr>
          <w:rFonts w:hint="eastAsia" w:ascii="宋体" w:hAnsi="宋体" w:cs="宋体"/>
          <w:bCs/>
          <w:sz w:val="36"/>
          <w:szCs w:val="36"/>
          <w:lang w:val="en-US" w:eastAsia="zh-CN"/>
        </w:rPr>
        <w:t>三十</w:t>
      </w:r>
      <w:bookmarkStart w:id="458" w:name="_GoBack"/>
      <w:bookmarkEnd w:id="458"/>
      <w:r>
        <w:rPr>
          <w:rFonts w:hint="eastAsia" w:ascii="宋体" w:hAnsi="宋体" w:cs="宋体"/>
          <w:bCs/>
          <w:sz w:val="36"/>
          <w:szCs w:val="36"/>
        </w:rPr>
        <w:t>日</w:t>
      </w:r>
    </w:p>
    <w:p>
      <w:pPr>
        <w:spacing w:line="360" w:lineRule="auto"/>
        <w:jc w:val="center"/>
        <w:rPr>
          <w:rFonts w:ascii="宋体" w:hAnsi="宋体" w:cs="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p>
      <w:pPr>
        <w:pStyle w:val="65"/>
        <w:ind w:firstLine="420"/>
        <w:rPr>
          <w:rFonts w:cs="宋体"/>
        </w:rPr>
      </w:pPr>
    </w:p>
    <w:p>
      <w:pPr>
        <w:spacing w:line="360" w:lineRule="auto"/>
        <w:jc w:val="center"/>
        <w:rPr>
          <w:rFonts w:ascii="宋体" w:hAnsi="宋体" w:cs="宋体"/>
          <w:b/>
          <w:sz w:val="48"/>
          <w:szCs w:val="48"/>
        </w:rPr>
      </w:pPr>
    </w:p>
    <w:p>
      <w:pPr>
        <w:spacing w:line="360" w:lineRule="auto"/>
        <w:jc w:val="center"/>
        <w:rPr>
          <w:rFonts w:ascii="宋体" w:hAnsi="宋体" w:cs="宋体"/>
          <w:b/>
          <w:sz w:val="44"/>
          <w:szCs w:val="44"/>
        </w:rPr>
      </w:pPr>
      <w:r>
        <w:rPr>
          <w:rFonts w:hint="eastAsia" w:ascii="宋体" w:hAnsi="宋体" w:cs="宋体"/>
          <w:b/>
          <w:sz w:val="44"/>
          <w:szCs w:val="44"/>
        </w:rPr>
        <w:t>目  录</w:t>
      </w: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tabs>
          <w:tab w:val="left" w:pos="3713"/>
        </w:tabs>
        <w:spacing w:line="360" w:lineRule="auto"/>
        <w:ind w:firstLine="549" w:firstLineChars="229"/>
        <w:rPr>
          <w:rFonts w:ascii="宋体" w:hAnsi="宋体" w:cs="宋体"/>
          <w:sz w:val="24"/>
        </w:rPr>
      </w:pPr>
      <w:r>
        <w:rPr>
          <w:rFonts w:hint="eastAsia" w:ascii="宋体" w:hAnsi="宋体" w:cs="宋体"/>
          <w:sz w:val="24"/>
        </w:rPr>
        <w:tab/>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1"/>
    <w:p>
      <w:pPr>
        <w:adjustRightInd/>
        <w:spacing w:line="360" w:lineRule="auto"/>
        <w:jc w:val="center"/>
        <w:outlineLvl w:val="0"/>
        <w:rPr>
          <w:rFonts w:ascii="宋体" w:hAnsi="宋体" w:cs="宋体"/>
          <w:b/>
          <w:sz w:val="36"/>
          <w:szCs w:val="20"/>
        </w:rPr>
        <w:sectPr>
          <w:footerReference r:id="rId10" w:type="first"/>
          <w:footerReference r:id="rId9" w:type="default"/>
          <w:pgSz w:w="11906" w:h="16838"/>
          <w:pgMar w:top="680" w:right="1418" w:bottom="468" w:left="1418" w:header="851" w:footer="992" w:gutter="0"/>
          <w:cols w:space="720" w:num="1"/>
          <w:titlePg/>
          <w:docGrid w:linePitch="312" w:charSpace="0"/>
        </w:sectPr>
      </w:pPr>
      <w:bookmarkStart w:id="2" w:name="_Hlt74649545"/>
      <w:bookmarkEnd w:id="2"/>
      <w:bookmarkStart w:id="3" w:name="_Hlt74728647"/>
      <w:bookmarkEnd w:id="3"/>
      <w:bookmarkStart w:id="4" w:name="_Hlt74707423"/>
      <w:bookmarkEnd w:id="4"/>
      <w:bookmarkStart w:id="5" w:name="_Hlt74729822"/>
      <w:bookmarkEnd w:id="5"/>
      <w:bookmarkStart w:id="6" w:name="第二部分"/>
      <w:bookmarkStart w:id="7" w:name="_Toc91899870"/>
      <w:bookmarkStart w:id="8" w:name="_Toc91899871"/>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（杭州余杭塘河（余杭段）沿线区域提升规划及重点区段更新设计）</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color w:val="auto"/>
          <w:kern w:val="2"/>
          <w:sz w:val="24"/>
          <w:szCs w:val="24"/>
        </w:rPr>
        <w:t>https://www.zcygov.cn/）获取（下载）招标文件，并于</w:t>
      </w:r>
      <w:r>
        <w:rPr>
          <w:rFonts w:hint="eastAsia" w:ascii="宋体" w:hAnsi="宋体" w:cs="宋体"/>
          <w:sz w:val="24"/>
          <w:u w:val="single"/>
        </w:rPr>
        <w:t>2024年05月20日 09分30分00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项目编号：YHZFCG2024-092</w:t>
      </w:r>
    </w:p>
    <w:p>
      <w:pPr>
        <w:spacing w:line="360" w:lineRule="auto"/>
        <w:ind w:firstLine="480"/>
        <w:rPr>
          <w:rFonts w:ascii="宋体" w:hAnsi="宋体" w:cs="宋体"/>
          <w:b/>
          <w:sz w:val="24"/>
        </w:rPr>
      </w:pPr>
      <w:r>
        <w:rPr>
          <w:rFonts w:hint="eastAsia" w:ascii="宋体" w:hAnsi="宋体" w:cs="宋体"/>
          <w:b/>
          <w:sz w:val="24"/>
        </w:rPr>
        <w:t>项目名称：</w:t>
      </w:r>
      <w:r>
        <w:rPr>
          <w:rFonts w:hint="eastAsia" w:ascii="宋体" w:hAnsi="宋体" w:cs="宋体"/>
          <w:sz w:val="24"/>
        </w:rPr>
        <w:t>杭州余杭塘河（余杭段）沿线区域提升规划及重点区段更新设计</w:t>
      </w:r>
      <w:r>
        <w:rPr>
          <w:rFonts w:hint="eastAsia" w:ascii="宋体" w:hAnsi="宋体" w:cs="宋体"/>
          <w:b/>
          <w:sz w:val="24"/>
        </w:rPr>
        <w:t xml:space="preserve"> </w:t>
      </w:r>
    </w:p>
    <w:p>
      <w:pPr>
        <w:spacing w:line="360" w:lineRule="auto"/>
        <w:ind w:firstLine="480"/>
        <w:rPr>
          <w:rFonts w:ascii="宋体" w:hAnsi="宋体" w:cs="宋体"/>
          <w:sz w:val="24"/>
        </w:rPr>
      </w:pPr>
      <w:r>
        <w:rPr>
          <w:rFonts w:hint="eastAsia" w:ascii="宋体" w:hAnsi="宋体" w:cs="宋体"/>
          <w:b/>
          <w:sz w:val="24"/>
        </w:rPr>
        <w:t>预算金额（元）：2700000.00</w:t>
      </w:r>
    </w:p>
    <w:p>
      <w:pPr>
        <w:spacing w:line="360" w:lineRule="auto"/>
        <w:ind w:firstLine="480"/>
        <w:rPr>
          <w:rFonts w:ascii="宋体" w:hAnsi="宋体" w:cs="宋体"/>
          <w:sz w:val="24"/>
        </w:rPr>
      </w:pPr>
      <w:r>
        <w:rPr>
          <w:rFonts w:hint="eastAsia" w:ascii="宋体" w:hAnsi="宋体" w:cs="宋体"/>
          <w:b/>
          <w:sz w:val="24"/>
        </w:rPr>
        <w:t>最高限价（元）：2700000.00</w:t>
      </w:r>
    </w:p>
    <w:p>
      <w:pPr>
        <w:pStyle w:val="1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rPr>
        <w:t>杭州余杭塘河（余杭段）沿线区域提升规划及重点区段更新设计，具体内容详见招标文件第三部分采购需求。</w:t>
      </w:r>
    </w:p>
    <w:p>
      <w:pPr>
        <w:pStyle w:val="15"/>
        <w:spacing w:line="360" w:lineRule="auto"/>
        <w:ind w:firstLine="480"/>
        <w:outlineLvl w:val="2"/>
        <w:rPr>
          <w:rFonts w:hAnsi="宋体" w:cs="宋体"/>
          <w:b/>
          <w:color w:val="auto"/>
          <w:sz w:val="24"/>
        </w:rPr>
      </w:pPr>
      <w:r>
        <w:rPr>
          <w:rFonts w:hint="eastAsia" w:hAnsi="宋体" w:cs="宋体"/>
          <w:b/>
          <w:color w:val="auto"/>
          <w:sz w:val="24"/>
        </w:rPr>
        <w:t>合同履约期限：详见招标文件 第三部分 采购需求。</w:t>
      </w:r>
    </w:p>
    <w:p>
      <w:pPr>
        <w:pStyle w:val="15"/>
        <w:spacing w:line="360" w:lineRule="auto"/>
        <w:ind w:firstLine="480"/>
        <w:rPr>
          <w:rFonts w:hAnsi="宋体" w:cs="宋体"/>
          <w:b/>
          <w:color w:val="auto"/>
          <w:sz w:val="24"/>
        </w:rPr>
      </w:pPr>
      <w:r>
        <w:rPr>
          <w:rFonts w:hint="eastAsia" w:hAnsi="宋体" w:cs="宋体"/>
          <w:b/>
          <w:color w:val="auto"/>
          <w:sz w:val="24"/>
        </w:rPr>
        <w:t>本项目接受联合体投标：</w:t>
      </w:r>
      <w:r>
        <w:rPr>
          <w:rFonts w:hAnsi="宋体" w:cs="宋体"/>
          <w:b/>
          <w:color w:val="auto"/>
          <w:sz w:val="24"/>
        </w:rPr>
        <w:sym w:font="Wingdings" w:char="00FE"/>
      </w:r>
      <w:r>
        <w:rPr>
          <w:rFonts w:hint="eastAsia" w:hAnsi="宋体" w:cs="宋体"/>
          <w:b/>
          <w:color w:val="auto"/>
          <w:sz w:val="24"/>
        </w:rPr>
        <w:t>是，</w:t>
      </w:r>
      <w:r>
        <w:rPr>
          <w:rFonts w:hAnsi="宋体" w:cs="宋体"/>
          <w:b/>
          <w:color w:val="auto"/>
          <w:sz w:val="24"/>
        </w:rPr>
        <w:t xml:space="preserve"> </w:t>
      </w:r>
      <w:r>
        <w:rPr>
          <w:rFonts w:hAnsi="宋体" w:cs="宋体"/>
          <w:b/>
          <w:color w:val="auto"/>
          <w:sz w:val="24"/>
        </w:rPr>
        <w:sym w:font="Wingdings" w:char="00A8"/>
      </w:r>
      <w:r>
        <w:rPr>
          <w:rFonts w:hint="eastAsia" w:hAnsi="宋体" w:cs="宋体"/>
          <w:b/>
          <w:color w:val="auto"/>
          <w:sz w:val="24"/>
        </w:rPr>
        <w:t>否。</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napToGrid w:val="0"/>
          <w:kern w:val="28"/>
          <w:sz w:val="24"/>
          <w:szCs w:val="20"/>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无</w:t>
      </w:r>
      <w:r>
        <w:rPr>
          <w:rFonts w:hint="eastAsia" w:ascii="宋体" w:hAnsi="宋体" w:cs="宋体"/>
          <w:snapToGrid w:val="0"/>
          <w:kern w:val="28"/>
          <w:sz w:val="24"/>
          <w:szCs w:val="20"/>
        </w:rPr>
        <w:t>；</w:t>
      </w:r>
    </w:p>
    <w:p>
      <w:pPr>
        <w:spacing w:line="360" w:lineRule="auto"/>
        <w:ind w:firstLine="480" w:firstLineChars="200"/>
        <w:rPr>
          <w:rFonts w:ascii="宋体" w:hAnsi="宋体" w:cs="宋体"/>
          <w:b/>
          <w:bCs/>
          <w:kern w:val="0"/>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经充分的采购需求调研，本项目</w:t>
      </w:r>
      <w:r>
        <w:rPr>
          <w:rFonts w:hint="eastAsia" w:ascii="宋体" w:hAnsi="宋体" w:cs="宋体"/>
          <w:b/>
          <w:bCs/>
          <w:kern w:val="0"/>
          <w:sz w:val="24"/>
        </w:rPr>
        <w:t>符合《政府采购促进中小企业发展管理办法》第六条第三、按照本办法规定预留采购份额无法确保充分供应、充分竞争，或者存在可能影响政府采购目标实现的情形款之规定，不专门面向中小企业预留采购份额。但为保证中小企业预留采购份额，本项目要求以联合体形式参加，提供联合协议和中小企业声明函，联合协议中小企业合同金额应当达到</w:t>
      </w:r>
      <w:r>
        <w:rPr>
          <w:rFonts w:hint="eastAsia" w:ascii="宋体" w:hAnsi="宋体" w:cs="宋体"/>
          <w:b/>
          <w:bCs/>
          <w:kern w:val="0"/>
          <w:sz w:val="24"/>
          <w:u w:val="single"/>
        </w:rPr>
        <w:t>40</w:t>
      </w:r>
      <w:r>
        <w:rPr>
          <w:rFonts w:hint="eastAsia" w:ascii="宋体" w:hAnsi="宋体" w:cs="宋体"/>
          <w:b/>
          <w:bCs/>
          <w:kern w:val="0"/>
          <w:sz w:val="24"/>
        </w:rPr>
        <w:t>%或以上</w:t>
      </w:r>
      <w:r>
        <w:rPr>
          <w:rFonts w:hint="eastAsia" w:ascii="宋体" w:hAnsi="宋体" w:cs="宋体"/>
          <w:b/>
          <w:bCs/>
          <w:kern w:val="0"/>
          <w:sz w:val="24"/>
          <w:lang w:val="en-US" w:eastAsia="zh-CN"/>
        </w:rPr>
        <w:t>；</w:t>
      </w:r>
      <w:r>
        <w:rPr>
          <w:rFonts w:hint="eastAsia" w:ascii="宋体" w:hAnsi="宋体" w:cs="宋体"/>
          <w:b/>
          <w:bCs/>
          <w:kern w:val="0"/>
          <w:sz w:val="24"/>
        </w:rPr>
        <w:t>如果供应商本身提供所有标的均由中小企业承建或承接，视同符合了资格条件</w:t>
      </w:r>
      <w:r>
        <w:rPr>
          <w:rFonts w:hint="eastAsia" w:ascii="宋体" w:hAnsi="宋体" w:cs="宋体"/>
          <w:kern w:val="0"/>
          <w:sz w:val="24"/>
        </w:rPr>
        <w:t>，无需再与其他</w:t>
      </w:r>
      <w:r>
        <w:rPr>
          <w:rFonts w:hint="eastAsia" w:ascii="宋体" w:hAnsi="宋体" w:cs="宋体"/>
          <w:b/>
          <w:bCs/>
          <w:kern w:val="0"/>
          <w:sz w:val="24"/>
        </w:rPr>
        <w:t>中小</w:t>
      </w:r>
      <w:r>
        <w:rPr>
          <w:rFonts w:hint="eastAsia" w:ascii="宋体" w:hAnsi="宋体" w:cs="宋体"/>
          <w:kern w:val="0"/>
          <w:sz w:val="24"/>
        </w:rPr>
        <w:t>企业组成联合体参加政府采购活动，无需提供联合协议</w:t>
      </w:r>
      <w:r>
        <w:rPr>
          <w:rFonts w:hint="eastAsia" w:ascii="宋体" w:hAnsi="宋体" w:cs="宋体"/>
          <w:kern w:val="0"/>
          <w:sz w:val="24"/>
          <w:lang w:eastAsia="zh-CN"/>
        </w:rPr>
        <w:t>。</w:t>
      </w:r>
    </w:p>
    <w:p>
      <w:pPr>
        <w:spacing w:line="360" w:lineRule="auto"/>
        <w:ind w:firstLine="482" w:firstLineChars="200"/>
        <w:rPr>
          <w:rFonts w:ascii="宋体" w:hAnsi="宋体" w:cs="宋体"/>
          <w:sz w:val="24"/>
        </w:rPr>
      </w:pPr>
      <w:r>
        <w:rPr>
          <w:rFonts w:ascii="宋体" w:hAnsi="宋体" w:cs="宋体"/>
          <w:b/>
          <w:bCs/>
          <w:sz w:val="24"/>
        </w:rPr>
        <w:t>4</w:t>
      </w:r>
      <w:r>
        <w:rPr>
          <w:rFonts w:hint="eastAsia" w:ascii="宋体" w:hAnsi="宋体" w:cs="宋体"/>
          <w:b/>
          <w:bCs/>
          <w:sz w:val="24"/>
        </w:rPr>
        <w:t>.本项目的特定资格要求：具备乙级及以上城乡规划编制资质；</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2024年05月20日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2024年05月20 日09时30 分00</w:t>
      </w:r>
      <w:r>
        <w:rPr>
          <w:rFonts w:hint="eastAsia" w:ascii="宋体" w:hAnsi="宋体" w:cs="宋体"/>
          <w:bCs/>
          <w:sz w:val="24"/>
          <w:u w:val="single"/>
        </w:rPr>
        <w:t>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政采云平台（https://www.zcygov.cn/）；</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2024年05月20 日09时30 分00</w:t>
      </w:r>
      <w:r>
        <w:rPr>
          <w:rFonts w:hint="eastAsia" w:ascii="宋体" w:hAnsi="宋体" w:cs="宋体"/>
          <w:bCs/>
          <w:sz w:val="24"/>
          <w:u w:val="single"/>
        </w:rPr>
        <w:t>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rPr>
          <w:rFonts w:ascii="宋体" w:hAnsi="宋体" w:cs="宋体"/>
          <w:b/>
          <w:sz w:val="24"/>
        </w:rPr>
      </w:pPr>
      <w:r>
        <w:rPr>
          <w:rFonts w:hint="eastAsia" w:ascii="宋体" w:hAnsi="宋体" w:cs="宋体"/>
          <w:b/>
          <w:sz w:val="24"/>
        </w:rPr>
        <w:t xml:space="preserve"> 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b/>
          <w:bCs/>
          <w:sz w:val="24"/>
        </w:rPr>
      </w:pPr>
      <w:r>
        <w:rPr>
          <w:rFonts w:hint="eastAsia" w:ascii="宋体" w:hAnsi="宋体" w:cs="宋体"/>
          <w:b/>
          <w:bCs/>
          <w:sz w:val="24"/>
        </w:rPr>
        <w:t xml:space="preserve">    1.采购人信息</w:t>
      </w:r>
    </w:p>
    <w:p>
      <w:pPr>
        <w:widowControl/>
        <w:spacing w:line="360" w:lineRule="auto"/>
        <w:ind w:firstLine="480" w:firstLineChars="200"/>
        <w:jc w:val="left"/>
        <w:rPr>
          <w:rFonts w:ascii="宋体" w:hAnsi="宋体" w:cs="宋体"/>
          <w:sz w:val="24"/>
        </w:rPr>
      </w:pPr>
      <w:r>
        <w:rPr>
          <w:rFonts w:hint="eastAsia" w:ascii="宋体" w:hAnsi="宋体" w:cs="宋体"/>
          <w:sz w:val="24"/>
        </w:rPr>
        <w:t>名称：杭州市规划和自然资源局余杭分局 </w:t>
      </w:r>
    </w:p>
    <w:p>
      <w:pPr>
        <w:widowControl/>
        <w:spacing w:line="360" w:lineRule="auto"/>
        <w:ind w:firstLine="480" w:firstLineChars="200"/>
        <w:jc w:val="left"/>
        <w:rPr>
          <w:rFonts w:ascii="宋体" w:hAnsi="宋体" w:cs="宋体"/>
          <w:sz w:val="24"/>
        </w:rPr>
      </w:pPr>
      <w:r>
        <w:rPr>
          <w:rFonts w:hint="eastAsia" w:ascii="宋体" w:hAnsi="宋体" w:cs="宋体"/>
          <w:sz w:val="24"/>
        </w:rPr>
        <w:t>地址：杭州市余杭区人民政府3号楼3层（杭州市余杭区文一西路1500号）。</w:t>
      </w:r>
    </w:p>
    <w:p>
      <w:pPr>
        <w:widowControl/>
        <w:spacing w:line="360" w:lineRule="auto"/>
        <w:ind w:firstLine="480" w:firstLineChars="200"/>
        <w:jc w:val="left"/>
        <w:rPr>
          <w:rFonts w:ascii="宋体" w:hAnsi="宋体" w:cs="宋体"/>
          <w:sz w:val="24"/>
        </w:rPr>
      </w:pPr>
      <w:r>
        <w:rPr>
          <w:rFonts w:hint="eastAsia" w:ascii="宋体" w:hAnsi="宋体" w:cs="宋体"/>
          <w:sz w:val="24"/>
        </w:rPr>
        <w:t>项目联系人（询问）：钱欣彤     联系电话：0571-89518174</w:t>
      </w:r>
    </w:p>
    <w:p>
      <w:pPr>
        <w:widowControl/>
        <w:spacing w:line="360" w:lineRule="auto"/>
        <w:ind w:firstLine="480" w:firstLineChars="200"/>
        <w:jc w:val="left"/>
        <w:rPr>
          <w:rFonts w:ascii="宋体" w:hAnsi="宋体" w:cs="宋体"/>
          <w:sz w:val="24"/>
        </w:rPr>
      </w:pPr>
      <w:r>
        <w:rPr>
          <w:rFonts w:hint="eastAsia" w:ascii="宋体" w:hAnsi="宋体" w:cs="宋体"/>
          <w:sz w:val="24"/>
        </w:rPr>
        <w:t>质疑联系人：阮淼钎     </w:t>
      </w:r>
      <w:r>
        <w:rPr>
          <w:rFonts w:ascii="宋体" w:hAnsi="宋体" w:cs="宋体"/>
          <w:sz w:val="24"/>
        </w:rPr>
        <w:t xml:space="preserve"> </w:t>
      </w:r>
      <w:r>
        <w:rPr>
          <w:rFonts w:hint="eastAsia" w:ascii="宋体" w:hAnsi="宋体" w:cs="宋体"/>
          <w:sz w:val="24"/>
        </w:rPr>
        <w:t>     联系电话：0571-89518176</w:t>
      </w:r>
    </w:p>
    <w:p>
      <w:pPr>
        <w:widowControl/>
        <w:spacing w:line="360" w:lineRule="auto"/>
        <w:ind w:firstLine="482" w:firstLineChars="200"/>
        <w:jc w:val="left"/>
        <w:outlineLvl w:val="1"/>
        <w:rPr>
          <w:rFonts w:ascii="宋体" w:hAnsi="宋体" w:cs="宋体"/>
          <w:b/>
          <w:sz w:val="24"/>
        </w:rPr>
      </w:pPr>
      <w:bookmarkStart w:id="9" w:name="_Toc28359009"/>
      <w:bookmarkStart w:id="10" w:name="_Toc28359086"/>
      <w:bookmarkStart w:id="11" w:name="_Toc31571"/>
      <w:r>
        <w:rPr>
          <w:rFonts w:hint="eastAsia" w:ascii="宋体" w:hAnsi="宋体" w:cs="宋体"/>
          <w:b/>
          <w:sz w:val="24"/>
        </w:rPr>
        <w:t>2.采购代理机构信息</w:t>
      </w:r>
      <w:bookmarkEnd w:id="9"/>
      <w:bookmarkEnd w:id="10"/>
      <w:bookmarkEnd w:id="11"/>
    </w:p>
    <w:p>
      <w:pPr>
        <w:spacing w:line="360" w:lineRule="auto"/>
        <w:ind w:firstLine="480" w:firstLineChars="200"/>
        <w:rPr>
          <w:rFonts w:ascii="宋体" w:hAnsi="宋体" w:cs="宋体"/>
          <w:sz w:val="24"/>
        </w:rPr>
      </w:pPr>
      <w:r>
        <w:rPr>
          <w:rFonts w:hint="eastAsia" w:ascii="宋体" w:hAnsi="宋体" w:cs="宋体"/>
          <w:sz w:val="24"/>
        </w:rPr>
        <w:t>名称：耀华建设管理有限公司</w:t>
      </w:r>
    </w:p>
    <w:p>
      <w:pPr>
        <w:spacing w:line="360" w:lineRule="auto"/>
        <w:ind w:firstLine="480" w:firstLineChars="200"/>
        <w:rPr>
          <w:rFonts w:ascii="宋体" w:hAnsi="宋体" w:cs="宋体"/>
          <w:sz w:val="24"/>
        </w:rPr>
      </w:pPr>
      <w:r>
        <w:rPr>
          <w:rFonts w:hint="eastAsia" w:ascii="宋体" w:hAnsi="宋体" w:cs="宋体"/>
          <w:sz w:val="24"/>
        </w:rPr>
        <w:t>余杭地址：杭州市余杭区联创街77号汇银中心3幢2单元（整幢）。</w:t>
      </w:r>
    </w:p>
    <w:p>
      <w:pPr>
        <w:spacing w:line="360" w:lineRule="auto"/>
        <w:ind w:firstLine="480" w:firstLineChars="200"/>
        <w:rPr>
          <w:rFonts w:ascii="宋体" w:hAnsi="宋体" w:cs="宋体"/>
          <w:sz w:val="24"/>
        </w:rPr>
      </w:pPr>
      <w:r>
        <w:rPr>
          <w:rFonts w:hint="eastAsia" w:ascii="宋体" w:hAnsi="宋体" w:cs="宋体"/>
          <w:sz w:val="24"/>
        </w:rPr>
        <w:t xml:space="preserve">临平地址：杭州市临平区南苑街道华元欢乐城-华元大厦20层（整层）。 </w:t>
      </w:r>
    </w:p>
    <w:p>
      <w:pPr>
        <w:spacing w:line="360" w:lineRule="auto"/>
        <w:ind w:firstLine="480" w:firstLineChars="200"/>
        <w:rPr>
          <w:rFonts w:ascii="宋体" w:hAnsi="宋体" w:cs="宋体"/>
          <w:color w:val="000000"/>
          <w:sz w:val="24"/>
        </w:rPr>
      </w:pPr>
      <w:r>
        <w:rPr>
          <w:rFonts w:hint="eastAsia" w:ascii="宋体" w:hAnsi="宋体" w:cs="宋体"/>
          <w:sz w:val="24"/>
        </w:rPr>
        <w:t>项目联系人（</w:t>
      </w:r>
      <w:r>
        <w:rPr>
          <w:rFonts w:hint="eastAsia" w:ascii="宋体" w:hAnsi="宋体" w:cs="宋体"/>
          <w:color w:val="000000"/>
          <w:sz w:val="24"/>
        </w:rPr>
        <w:t>询问）：周海丽          联系电话：0571-86320706  15868109971</w:t>
      </w:r>
    </w:p>
    <w:p>
      <w:pPr>
        <w:spacing w:line="360" w:lineRule="auto"/>
        <w:ind w:firstLine="480" w:firstLineChars="200"/>
        <w:rPr>
          <w:rFonts w:ascii="宋体" w:hAnsi="宋体" w:cs="宋体"/>
          <w:b/>
          <w:sz w:val="24"/>
        </w:rPr>
      </w:pPr>
      <w:r>
        <w:rPr>
          <w:rFonts w:hint="eastAsia" w:ascii="宋体" w:hAnsi="宋体" w:cs="宋体"/>
          <w:color w:val="000000"/>
          <w:sz w:val="24"/>
        </w:rPr>
        <w:t xml:space="preserve">质疑联系人：单成燕                  </w:t>
      </w:r>
      <w:r>
        <w:rPr>
          <w:rFonts w:hint="eastAsia" w:ascii="宋体" w:hAnsi="宋体" w:cs="宋体"/>
          <w:sz w:val="24"/>
        </w:rPr>
        <w:t>联系电话：0571-86320727  18072887619</w:t>
      </w:r>
      <w:bookmarkStart w:id="12" w:name="_Toc28359010"/>
      <w:bookmarkStart w:id="13" w:name="_Toc19946"/>
      <w:bookmarkStart w:id="14" w:name="_Toc28359087"/>
    </w:p>
    <w:bookmarkEnd w:id="12"/>
    <w:bookmarkEnd w:id="13"/>
    <w:bookmarkEnd w:id="14"/>
    <w:p>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名称：杭州市余杭区财政局、浙江省政府采购行政裁决服务中心（杭州）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监督投诉电话：电话：0571-85252453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spacing w:line="360" w:lineRule="auto"/>
        <w:ind w:firstLine="480" w:firstLineChars="200"/>
        <w:rPr>
          <w:rFonts w:ascii="宋体" w:hAnsi="宋体" w:cs="宋体"/>
          <w:sz w:val="24"/>
        </w:rPr>
      </w:pPr>
    </w:p>
    <w:p>
      <w:pPr>
        <w:pStyle w:val="37"/>
        <w:spacing w:line="360" w:lineRule="auto"/>
        <w:ind w:firstLine="480" w:firstLineChars="200"/>
        <w:rPr>
          <w:rFonts w:hAnsi="宋体" w:cs="宋体"/>
          <w:sz w:val="24"/>
          <w:szCs w:val="24"/>
        </w:rPr>
      </w:pPr>
      <w:r>
        <w:rPr>
          <w:rFonts w:hint="eastAsia" w:hAnsi="宋体" w:cs="宋体"/>
          <w:sz w:val="24"/>
        </w:rPr>
        <w:t xml:space="preserve">                              </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6"/>
      <w:r>
        <w:rPr>
          <w:rFonts w:hint="eastAsia" w:ascii="宋体" w:hAnsi="宋体" w:cs="宋体"/>
          <w:b/>
          <w:sz w:val="36"/>
          <w:szCs w:val="20"/>
        </w:rPr>
        <w:t xml:space="preserve"> 投标人须知</w:t>
      </w:r>
      <w:bookmarkEnd w:id="7"/>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bookmarkEnd w:id="8"/>
    <w:tbl>
      <w:tblPr>
        <w:tblStyle w:val="66"/>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bookmarkStart w:id="15" w:name="_Toc164416483"/>
            <w:bookmarkStart w:id="16" w:name="第三部分"/>
            <w:r>
              <w:rPr>
                <w:rFonts w:hint="eastAsia" w:ascii="宋体" w:hAnsi="宋体" w:cs="宋体"/>
                <w:b/>
                <w:sz w:val="24"/>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rPr>
                <w:rFonts w:ascii="宋体" w:hAnsi="宋体" w:cs="宋体"/>
                <w:sz w:val="24"/>
              </w:rPr>
            </w:pPr>
            <w:r>
              <w:rPr>
                <w:rFonts w:hint="eastAsia" w:ascii="宋体" w:hAnsi="宋体" w:cs="宋体"/>
                <w:b/>
                <w:bCs/>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ascii="宋体" w:hAnsi="宋体" w:cs="宋体"/>
                <w:b/>
                <w:color w:val="000000"/>
                <w:sz w:val="24"/>
              </w:rPr>
            </w:pPr>
            <w:r>
              <w:rPr>
                <w:rFonts w:hint="eastAsia" w:ascii="宋体" w:hAnsi="宋体" w:cs="宋体"/>
                <w:b/>
                <w:color w:val="000000"/>
                <w:sz w:val="24"/>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000000"/>
                <w:kern w:val="0"/>
                <w:sz w:val="24"/>
              </w:rPr>
            </w:pPr>
            <w:r>
              <w:rPr>
                <w:rFonts w:hint="eastAsia" w:ascii="宋体" w:hAnsi="宋体" w:cs="宋体"/>
                <w:color w:val="000000"/>
                <w:kern w:val="0"/>
                <w:sz w:val="24"/>
              </w:rPr>
              <w:t>（1）标的：</w:t>
            </w:r>
            <w:r>
              <w:rPr>
                <w:rFonts w:hint="eastAsia" w:ascii="宋体" w:hAnsi="宋体" w:cs="宋体"/>
                <w:sz w:val="24"/>
                <w:u w:val="single"/>
              </w:rPr>
              <w:t>杭州余杭塘河（余杭段）沿线区域提升规划及重点区段更新设计</w:t>
            </w:r>
            <w:r>
              <w:rPr>
                <w:rFonts w:hint="eastAsia" w:ascii="宋体" w:hAnsi="宋体" w:cs="宋体"/>
                <w:color w:val="000000"/>
                <w:kern w:val="0"/>
                <w:sz w:val="24"/>
              </w:rPr>
              <w:t>属于</w:t>
            </w:r>
            <w:r>
              <w:rPr>
                <w:rFonts w:hint="eastAsia" w:ascii="宋体" w:hAnsi="宋体" w:cs="宋体"/>
                <w:color w:val="000000"/>
                <w:kern w:val="0"/>
                <w:sz w:val="24"/>
                <w:u w:val="single"/>
              </w:rPr>
              <w:t xml:space="preserve"> 其他未列明行业</w:t>
            </w:r>
            <w:r>
              <w:rPr>
                <w:rFonts w:hint="eastAsia" w:ascii="宋体" w:hAnsi="宋体" w:cs="宋体"/>
                <w:color w:val="000000"/>
                <w:kern w:val="0"/>
                <w:sz w:val="24"/>
              </w:rPr>
              <w:t>；大型、中型、小型标准详见附件：中小微行业划型标准规定（根据工信部联企业〔2011〕300号制定）。</w:t>
            </w:r>
          </w:p>
          <w:p>
            <w:pPr>
              <w:pStyle w:val="622"/>
              <w:tabs>
                <w:tab w:val="left" w:pos="1070"/>
              </w:tabs>
              <w:adjustRightInd w:val="0"/>
              <w:ind w:left="482" w:right="52" w:hanging="482" w:hangingChars="200"/>
              <w:jc w:val="both"/>
              <w:rPr>
                <w:rFonts w:ascii="宋体" w:hAnsi="宋体" w:cs="宋体"/>
                <w:b/>
                <w:bCs/>
                <w:color w:val="000000"/>
                <w:sz w:val="24"/>
                <w:shd w:val="clear" w:color="auto" w:fill="FFFFFF"/>
                <w:lang w:val="zh-CN" w:eastAsia="zh-CN" w:bidi="zh-CN"/>
              </w:rPr>
            </w:pPr>
            <w:r>
              <w:rPr>
                <w:rFonts w:hint="eastAsia" w:ascii="宋体" w:hAnsi="宋体" w:cs="宋体"/>
                <w:b/>
                <w:bCs/>
                <w:color w:val="000000"/>
                <w:sz w:val="24"/>
                <w:shd w:val="clear" w:color="auto" w:fill="FFFFFF"/>
                <w:lang w:val="zh-CN" w:eastAsia="zh-CN" w:bidi="zh-CN"/>
              </w:rPr>
              <w:t>　　</w:t>
            </w:r>
          </w:p>
          <w:p>
            <w:pPr>
              <w:pStyle w:val="622"/>
              <w:tabs>
                <w:tab w:val="left" w:pos="1070"/>
              </w:tabs>
              <w:adjustRightInd w:val="0"/>
              <w:ind w:left="482" w:right="52" w:hanging="482" w:hangingChars="200"/>
              <w:jc w:val="both"/>
              <w:rPr>
                <w:rFonts w:ascii="宋体" w:hAnsi="宋体" w:cs="宋体"/>
                <w:b/>
                <w:bCs/>
                <w:color w:val="000000"/>
                <w:sz w:val="21"/>
                <w:szCs w:val="21"/>
                <w:u w:val="single"/>
                <w:lang w:val="zh-CN" w:eastAsia="zh-CN"/>
              </w:rPr>
            </w:pPr>
            <w:r>
              <w:rPr>
                <w:rFonts w:hint="eastAsia" w:ascii="宋体" w:hAnsi="宋体" w:cs="宋体"/>
                <w:b/>
                <w:bCs/>
                <w:color w:val="000000"/>
                <w:sz w:val="24"/>
                <w:shd w:val="clear" w:color="auto" w:fill="FFFFFF"/>
                <w:lang w:val="zh-CN" w:eastAsia="zh-CN" w:bidi="zh-CN"/>
              </w:rPr>
              <w:t>说明：</w:t>
            </w:r>
          </w:p>
          <w:p>
            <w:pPr>
              <w:snapToGrid w:val="0"/>
              <w:ind w:firstLine="422" w:firstLineChars="200"/>
              <w:rPr>
                <w:rFonts w:ascii="宋体" w:hAnsi="宋体" w:cs="宋体"/>
                <w:b/>
                <w:bCs/>
                <w:color w:val="000000"/>
                <w:kern w:val="0"/>
                <w:szCs w:val="21"/>
                <w:u w:val="single"/>
                <w:lang w:val="zh-CN"/>
              </w:rPr>
            </w:pPr>
            <w:r>
              <w:rPr>
                <w:rFonts w:hint="eastAsia" w:ascii="宋体" w:hAnsi="宋体" w:cs="宋体"/>
                <w:b/>
                <w:bCs/>
                <w:color w:val="000000"/>
                <w:kern w:val="0"/>
                <w:szCs w:val="21"/>
                <w:u w:val="single"/>
                <w:lang w:val="zh-CN"/>
              </w:rPr>
              <w:t>1.大型、中型和小型企业须同时满足所列指标的下限，否则下划一档；微型企业只须满足所列指标中的一项即可。 　　</w:t>
            </w:r>
          </w:p>
          <w:p>
            <w:pPr>
              <w:snapToGrid w:val="0"/>
              <w:ind w:firstLine="422" w:firstLineChars="200"/>
              <w:rPr>
                <w:rFonts w:ascii="宋体" w:hAnsi="宋体" w:cs="宋体"/>
                <w:b/>
                <w:bCs/>
                <w:color w:val="000000"/>
                <w:kern w:val="0"/>
                <w:szCs w:val="21"/>
                <w:u w:val="single"/>
                <w:lang w:val="zh-CN"/>
              </w:rPr>
            </w:pPr>
            <w:r>
              <w:rPr>
                <w:rFonts w:hint="eastAsia" w:ascii="宋体" w:hAnsi="宋体" w:cs="宋体"/>
                <w:b/>
                <w:bCs/>
                <w:color w:val="000000"/>
                <w:kern w:val="0"/>
                <w:szCs w:val="21"/>
                <w:u w:val="single"/>
                <w:lang w:val="zh-CN"/>
              </w:rPr>
              <w:t>2.附表中各行业的范围以《国民经济行业分类》（GB/T4754-2017）为准。</w:t>
            </w:r>
          </w:p>
          <w:p>
            <w:pPr>
              <w:snapToGrid w:val="0"/>
              <w:ind w:firstLine="422" w:firstLineChars="200"/>
              <w:rPr>
                <w:rFonts w:ascii="宋体" w:hAnsi="宋体" w:cs="宋体"/>
                <w:b/>
                <w:bCs/>
                <w:color w:val="000000"/>
                <w:kern w:val="0"/>
                <w:szCs w:val="21"/>
                <w:u w:val="single"/>
                <w:lang w:val="zh-CN"/>
              </w:rPr>
            </w:pPr>
            <w:r>
              <w:rPr>
                <w:rFonts w:hint="eastAsia" w:ascii="宋体" w:hAnsi="宋体" w:cs="宋体"/>
                <w:b/>
                <w:bCs/>
                <w:color w:val="000000"/>
                <w:kern w:val="0"/>
                <w:szCs w:val="21"/>
                <w:u w:val="single"/>
                <w:lang w:val="zh-CN"/>
              </w:rPr>
              <w:t>3.企业划分指标以现行统计制度为准。</w:t>
            </w:r>
          </w:p>
          <w:p>
            <w:pPr>
              <w:snapToGrid w:val="0"/>
              <w:ind w:firstLine="422" w:firstLineChars="200"/>
              <w:rPr>
                <w:rFonts w:ascii="宋体" w:hAnsi="宋体" w:cs="宋体"/>
                <w:b/>
                <w:bCs/>
                <w:color w:val="000000"/>
                <w:kern w:val="0"/>
                <w:szCs w:val="21"/>
                <w:u w:val="single"/>
                <w:lang w:val="zh-CN"/>
              </w:rPr>
            </w:pPr>
            <w:r>
              <w:rPr>
                <w:rFonts w:hint="eastAsia" w:ascii="宋体" w:hAnsi="宋体" w:cs="宋体"/>
                <w:b/>
                <w:bCs/>
                <w:color w:val="000000"/>
                <w:kern w:val="0"/>
                <w:szCs w:val="21"/>
                <w:u w:val="single"/>
                <w:lang w:val="zh-CN"/>
              </w:rPr>
              <w:t>1）从业人员，是指期末从业人员数，没有期末从业人员数的，采用全年平均人员数代替。</w:t>
            </w:r>
          </w:p>
          <w:p>
            <w:pPr>
              <w:snapToGrid w:val="0"/>
              <w:ind w:firstLine="422" w:firstLineChars="200"/>
              <w:rPr>
                <w:rFonts w:ascii="宋体" w:hAnsi="宋体" w:cs="宋体"/>
                <w:b/>
                <w:bCs/>
                <w:color w:val="000000"/>
                <w:kern w:val="0"/>
                <w:szCs w:val="21"/>
                <w:u w:val="single"/>
                <w:lang w:val="zh-CN"/>
              </w:rPr>
            </w:pPr>
            <w:r>
              <w:rPr>
                <w:rFonts w:hint="eastAsia" w:ascii="宋体" w:hAnsi="宋体" w:cs="宋体"/>
                <w:b/>
                <w:bCs/>
                <w:color w:val="000000"/>
                <w:kern w:val="0"/>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22"/>
              <w:tabs>
                <w:tab w:val="left" w:pos="1070"/>
              </w:tabs>
              <w:ind w:right="52" w:firstLine="211" w:firstLineChars="100"/>
              <w:rPr>
                <w:rFonts w:ascii="宋体" w:hAnsi="宋体" w:cs="宋体"/>
                <w:b/>
                <w:bCs/>
                <w:color w:val="000000"/>
                <w:sz w:val="21"/>
                <w:szCs w:val="21"/>
                <w:u w:val="single"/>
                <w:lang w:val="zh-CN" w:eastAsia="zh-CN"/>
              </w:rPr>
            </w:pPr>
            <w:r>
              <w:rPr>
                <w:rFonts w:hint="eastAsia" w:ascii="宋体" w:hAnsi="宋体" w:cs="宋体"/>
                <w:b/>
                <w:bCs/>
                <w:color w:val="000000"/>
                <w:sz w:val="21"/>
                <w:szCs w:val="21"/>
                <w:u w:val="single"/>
                <w:lang w:val="zh-CN" w:eastAsia="zh-CN"/>
              </w:rPr>
              <w:t>3）资产总额，采用资产总计代替。</w:t>
            </w:r>
          </w:p>
          <w:p>
            <w:pPr>
              <w:pStyle w:val="622"/>
              <w:tabs>
                <w:tab w:val="left" w:pos="1070"/>
              </w:tabs>
              <w:ind w:right="52" w:firstLine="240" w:firstLineChars="100"/>
              <w:rPr>
                <w:rFonts w:ascii="宋体" w:hAnsi="宋体" w:cs="宋体"/>
                <w:b/>
                <w:bCs/>
                <w:sz w:val="24"/>
                <w:lang w:eastAsia="zh-CN"/>
              </w:rPr>
            </w:pPr>
            <w:r>
              <w:rPr>
                <w:rFonts w:hint="eastAsia" w:ascii="宋体" w:hAnsi="宋体" w:cs="宋体"/>
                <w:color w:val="000000"/>
                <w:sz w:val="24"/>
                <w:szCs w:val="24"/>
                <w:lang w:eastAsia="zh-CN"/>
              </w:rPr>
              <w:t>（2）根据《政府采购促进中小企业发展管理办法》（财库﹝2020﹞46 号）要求，本次采购为</w:t>
            </w:r>
            <w:r>
              <w:rPr>
                <w:rFonts w:hint="eastAsia" w:ascii="宋体" w:hAnsi="宋体" w:cs="宋体"/>
                <w:b/>
                <w:bCs/>
                <w:color w:val="000000"/>
                <w:sz w:val="24"/>
                <w:szCs w:val="24"/>
                <w:u w:val="single"/>
                <w:lang w:eastAsia="zh-CN"/>
              </w:rPr>
              <w:t>非专门面向中小企业预留采购份额的采购项目</w:t>
            </w:r>
            <w:r>
              <w:rPr>
                <w:rFonts w:hint="eastAsia" w:ascii="宋体" w:hAnsi="宋体" w:cs="宋体"/>
                <w:b/>
                <w:bCs/>
                <w:sz w:val="24"/>
                <w:lang w:eastAsia="zh-CN"/>
              </w:rPr>
              <w:t>。</w:t>
            </w:r>
          </w:p>
          <w:p>
            <w:pPr>
              <w:pStyle w:val="622"/>
              <w:tabs>
                <w:tab w:val="left" w:pos="1070"/>
              </w:tabs>
              <w:ind w:right="52" w:firstLine="240" w:firstLineChars="100"/>
              <w:rPr>
                <w:rFonts w:ascii="宋体" w:hAnsi="宋体" w:cs="宋体"/>
                <w:color w:val="000000"/>
                <w:sz w:val="24"/>
                <w:lang w:eastAsia="zh-CN"/>
              </w:rPr>
            </w:pPr>
            <w:r>
              <w:rPr>
                <w:rFonts w:hint="eastAsia" w:ascii="宋体" w:hAnsi="宋体" w:cs="宋体"/>
                <w:color w:val="000000"/>
                <w:sz w:val="24"/>
                <w:lang w:eastAsia="zh-CN"/>
              </w:rPr>
              <w:t>加大对中小微企业支持力度，鼓励和支持提高小微企业价格扣除比例。</w:t>
            </w:r>
          </w:p>
          <w:p>
            <w:pPr>
              <w:pStyle w:val="622"/>
              <w:tabs>
                <w:tab w:val="left" w:pos="1070"/>
              </w:tabs>
              <w:ind w:right="52" w:firstLine="240" w:firstLineChars="100"/>
              <w:rPr>
                <w:rFonts w:ascii="宋体" w:hAnsi="宋体" w:cs="宋体"/>
                <w:b/>
                <w:bCs/>
                <w:color w:val="000000"/>
                <w:sz w:val="24"/>
                <w:lang w:eastAsia="zh-CN"/>
              </w:rPr>
            </w:pPr>
            <w:r>
              <w:rPr>
                <w:rFonts w:hint="eastAsia" w:ascii="宋体" w:hAnsi="宋体" w:cs="宋体"/>
                <w:color w:val="000000"/>
                <w:sz w:val="24"/>
                <w:lang w:eastAsia="zh-CN"/>
              </w:rPr>
              <w:t>对于非专门面向中小企业的项目，</w:t>
            </w:r>
            <w:r>
              <w:rPr>
                <w:rFonts w:hint="eastAsia" w:ascii="宋体" w:hAnsi="宋体" w:cs="宋体"/>
                <w:b/>
                <w:bCs/>
                <w:color w:val="000000"/>
                <w:sz w:val="24"/>
                <w:lang w:eastAsia="zh-CN"/>
              </w:rPr>
              <w:t>对小型或微型企业</w:t>
            </w:r>
            <w:r>
              <w:rPr>
                <w:rFonts w:hint="eastAsia" w:ascii="宋体" w:hAnsi="宋体" w:cs="宋体"/>
                <w:color w:val="000000"/>
                <w:sz w:val="24"/>
                <w:lang w:eastAsia="zh-CN"/>
              </w:rPr>
              <w:t>的投标报价给予</w:t>
            </w:r>
            <w:r>
              <w:rPr>
                <w:rFonts w:hint="eastAsia" w:ascii="宋体" w:hAnsi="宋体" w:cs="宋体"/>
                <w:b/>
                <w:bCs/>
                <w:color w:val="000000"/>
                <w:sz w:val="24"/>
                <w:lang w:eastAsia="zh-CN"/>
              </w:rPr>
              <w:t>20%</w:t>
            </w:r>
            <w:r>
              <w:rPr>
                <w:rFonts w:hint="eastAsia" w:ascii="宋体" w:hAnsi="宋体" w:cs="宋体"/>
                <w:color w:val="000000"/>
                <w:sz w:val="24"/>
                <w:lang w:eastAsia="zh-CN"/>
              </w:rPr>
              <w:t>的扣除，并用扣除后的价格计算价格评分</w:t>
            </w:r>
            <w:r>
              <w:rPr>
                <w:rFonts w:hint="eastAsia" w:ascii="宋体" w:hAnsi="宋体" w:cs="宋体"/>
                <w:b/>
                <w:bCs/>
                <w:color w:val="000000"/>
                <w:sz w:val="24"/>
                <w:lang w:eastAsia="zh-CN"/>
              </w:rPr>
              <w:t>（</w:t>
            </w:r>
            <w:r>
              <w:rPr>
                <w:rFonts w:hint="eastAsia" w:ascii="宋体" w:hAnsi="宋体" w:cs="宋体"/>
                <w:b/>
                <w:bCs/>
                <w:sz w:val="24"/>
                <w:lang w:eastAsia="zh-CN"/>
              </w:rPr>
              <w:t>价格扣除只用于评审过程，如中标，中标价格仍按照其投标价格进行公示）</w:t>
            </w:r>
            <w:r>
              <w:rPr>
                <w:rFonts w:hint="eastAsia" w:ascii="宋体" w:hAnsi="宋体" w:cs="宋体"/>
                <w:b/>
                <w:bCs/>
                <w:color w:val="000000"/>
                <w:sz w:val="24"/>
                <w:lang w:eastAsia="zh-CN"/>
              </w:rPr>
              <w:t>。</w:t>
            </w:r>
          </w:p>
          <w:p>
            <w:pPr>
              <w:pStyle w:val="622"/>
              <w:tabs>
                <w:tab w:val="left" w:pos="1070"/>
              </w:tabs>
              <w:ind w:right="52" w:firstLine="240" w:firstLineChars="100"/>
              <w:rPr>
                <w:rFonts w:ascii="宋体" w:hAnsi="宋体" w:cs="宋体"/>
                <w:color w:val="000000"/>
                <w:sz w:val="24"/>
                <w:szCs w:val="24"/>
                <w:lang w:eastAsia="zh-CN"/>
              </w:rPr>
            </w:pPr>
            <w:r>
              <w:rPr>
                <w:rFonts w:hint="eastAsia" w:ascii="宋体" w:hAnsi="宋体" w:cs="宋体"/>
                <w:sz w:val="24"/>
                <w:lang w:eastAsia="zh-CN"/>
              </w:rPr>
              <w:t>其中民办非企业在参加政府采购项目不享受政府采购中小企业扶持政策，也不能在非专门面向中小企业采购的项目中提供《中小企业声明函》享受价格扣除优惠政策。</w:t>
            </w:r>
          </w:p>
          <w:p>
            <w:pPr>
              <w:pStyle w:val="622"/>
              <w:tabs>
                <w:tab w:val="left" w:pos="1070"/>
              </w:tabs>
              <w:ind w:right="52" w:firstLine="236" w:firstLineChars="100"/>
              <w:rPr>
                <w:rFonts w:ascii="宋体" w:hAnsi="宋体" w:cs="宋体"/>
                <w:sz w:val="24"/>
                <w:szCs w:val="24"/>
                <w:lang w:eastAsia="zh-CN"/>
              </w:rPr>
            </w:pPr>
            <w:r>
              <w:rPr>
                <w:rFonts w:hint="eastAsia" w:ascii="宋体" w:hAnsi="宋体" w:cs="宋体"/>
                <w:spacing w:val="-2"/>
                <w:sz w:val="24"/>
                <w:szCs w:val="24"/>
                <w:lang w:eastAsia="zh-CN"/>
              </w:rPr>
              <w:t>(3)符合小微企业划分标准的个体工商户，视同小微企业</w:t>
            </w:r>
            <w:r>
              <w:rPr>
                <w:rFonts w:hint="eastAsia" w:ascii="宋体" w:hAnsi="宋体" w:cs="宋体"/>
                <w:spacing w:val="-13"/>
                <w:sz w:val="24"/>
                <w:szCs w:val="24"/>
                <w:lang w:eastAsia="zh-CN"/>
              </w:rPr>
              <w:t>。</w:t>
            </w:r>
          </w:p>
          <w:p>
            <w:pPr>
              <w:pStyle w:val="622"/>
              <w:tabs>
                <w:tab w:val="left" w:pos="1070"/>
              </w:tabs>
              <w:ind w:right="52" w:firstLine="238" w:firstLineChars="100"/>
              <w:rPr>
                <w:rFonts w:ascii="宋体" w:hAnsi="宋体" w:cs="宋体"/>
                <w:color w:val="000000"/>
                <w:sz w:val="24"/>
                <w:szCs w:val="24"/>
                <w:lang w:eastAsia="zh-CN"/>
              </w:rPr>
            </w:pPr>
            <w:r>
              <w:rPr>
                <w:rFonts w:hint="eastAsia" w:ascii="宋体" w:hAnsi="宋体" w:cs="宋体"/>
                <w:spacing w:val="-1"/>
                <w:sz w:val="24"/>
                <w:szCs w:val="24"/>
                <w:lang w:eastAsia="zh-CN"/>
              </w:rPr>
              <w:t xml:space="preserve">(4)监狱企业和残疾人福利性单位视同小型、微型企业， </w:t>
            </w:r>
            <w:r>
              <w:rPr>
                <w:rFonts w:hint="eastAsia" w:ascii="宋体" w:hAnsi="宋体" w:cs="宋体"/>
                <w:sz w:val="24"/>
                <w:szCs w:val="24"/>
                <w:lang w:eastAsia="zh-CN"/>
              </w:rPr>
              <w:t>按《财政部 司法部关于政府采购支持监狱企业发展有关问题的通知》(财库〔2014〕68 号)、《财政部 民政部  中国残</w:t>
            </w:r>
            <w:r>
              <w:rPr>
                <w:rFonts w:hint="eastAsia" w:ascii="宋体" w:hAnsi="宋体" w:cs="宋体"/>
                <w:spacing w:val="-2"/>
                <w:sz w:val="24"/>
                <w:szCs w:val="24"/>
                <w:lang w:eastAsia="zh-CN"/>
              </w:rPr>
              <w:t>疾人联合会关于促进残疾人就业政府采购政策的通知》</w:t>
            </w:r>
            <w:r>
              <w:rPr>
                <w:rFonts w:hint="eastAsia" w:ascii="宋体" w:hAnsi="宋体" w:cs="宋体"/>
                <w:sz w:val="24"/>
                <w:szCs w:val="24"/>
                <w:lang w:eastAsia="zh-CN"/>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rPr>
            </w:pPr>
            <w:r>
              <w:rPr>
                <w:rFonts w:hint="eastAsia" w:ascii="宋体" w:hAnsi="宋体" w:cs="宋体"/>
                <w:b/>
                <w:color w:val="000000"/>
                <w:sz w:val="24"/>
              </w:rPr>
              <w:t>是否允许采购进口产品（服务项目不采用）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000000"/>
                <w:kern w:val="0"/>
                <w:sz w:val="24"/>
              </w:rPr>
            </w:pPr>
            <w:r>
              <w:rPr>
                <w:rFonts w:hint="eastAsia" w:ascii="宋体" w:hAnsi="宋体" w:cs="宋体"/>
                <w:color w:val="000000"/>
                <w:kern w:val="0"/>
                <w:sz w:val="24"/>
              </w:rPr>
              <w:sym w:font="Wingdings" w:char="F0FE"/>
            </w:r>
            <w:r>
              <w:rPr>
                <w:rFonts w:hint="eastAsia" w:ascii="宋体" w:hAnsi="宋体" w:cs="宋体"/>
                <w:color w:val="000000"/>
                <w:kern w:val="0"/>
                <w:sz w:val="24"/>
              </w:rPr>
              <w:t>本项目不允许采购进口产品。</w:t>
            </w:r>
          </w:p>
          <w:p>
            <w:pPr>
              <w:spacing w:line="312" w:lineRule="auto"/>
              <w:rPr>
                <w:rFonts w:ascii="宋体" w:hAnsi="宋体" w:cs="宋体"/>
                <w:color w:val="000000"/>
              </w:rPr>
            </w:pPr>
            <w:r>
              <w:rPr>
                <w:rFonts w:hint="eastAsia" w:ascii="宋体" w:hAnsi="宋体" w:cs="宋体"/>
                <w:color w:val="000000"/>
                <w:kern w:val="0"/>
                <w:sz w:val="24"/>
              </w:rPr>
              <w:t>☐可以就</w:t>
            </w:r>
            <w:r>
              <w:rPr>
                <w:rFonts w:hint="eastAsia" w:ascii="宋体" w:hAnsi="宋体" w:cs="宋体"/>
                <w:color w:val="000000"/>
                <w:sz w:val="24"/>
                <w:u w:val="single"/>
              </w:rPr>
              <w:t xml:space="preserve">    </w:t>
            </w:r>
            <w:r>
              <w:rPr>
                <w:rFonts w:hint="eastAsia" w:ascii="宋体" w:hAnsi="宋体" w:cs="宋体"/>
                <w:color w:val="000000"/>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000000"/>
                <w:sz w:val="24"/>
              </w:rPr>
            </w:pPr>
            <w:r>
              <w:rPr>
                <w:rFonts w:hint="eastAsia" w:ascii="宋体" w:hAnsi="宋体" w:cs="宋体"/>
                <w:color w:val="000000"/>
                <w:kern w:val="0"/>
                <w:sz w:val="24"/>
              </w:rPr>
              <w:t>☐ A</w:t>
            </w:r>
            <w:r>
              <w:rPr>
                <w:rFonts w:hint="eastAsia" w:ascii="宋体" w:hAnsi="宋体" w:cs="宋体"/>
                <w:color w:val="000000"/>
                <w:sz w:val="24"/>
              </w:rPr>
              <w:t>同意将非主体、非关键性的</w:t>
            </w:r>
            <w:r>
              <w:rPr>
                <w:rFonts w:hint="eastAsia" w:ascii="宋体" w:hAnsi="宋体" w:cs="宋体"/>
                <w:color w:val="000000"/>
                <w:sz w:val="24"/>
                <w:u w:val="single"/>
              </w:rPr>
              <w:t xml:space="preserve">           </w:t>
            </w:r>
            <w:r>
              <w:rPr>
                <w:rFonts w:hint="eastAsia" w:ascii="宋体" w:hAnsi="宋体" w:cs="宋体"/>
                <w:color w:val="000000"/>
                <w:sz w:val="24"/>
              </w:rPr>
              <w:t>工作分包。</w:t>
            </w:r>
          </w:p>
          <w:p>
            <w:pPr>
              <w:spacing w:line="312" w:lineRule="auto"/>
              <w:rPr>
                <w:rFonts w:ascii="宋体" w:hAnsi="宋体" w:cs="宋体"/>
                <w:color w:val="000000"/>
                <w:sz w:val="24"/>
              </w:rPr>
            </w:pPr>
            <w:r>
              <w:rPr>
                <w:rFonts w:hint="eastAsia" w:ascii="宋体" w:hAnsi="宋体" w:cs="宋体"/>
                <w:color w:val="000000"/>
                <w:kern w:val="0"/>
                <w:sz w:val="24"/>
              </w:rPr>
              <w:sym w:font="Wingdings" w:char="00FE"/>
            </w:r>
            <w:r>
              <w:rPr>
                <w:rFonts w:hint="eastAsia" w:ascii="宋体" w:hAnsi="宋体" w:cs="宋体"/>
                <w:color w:val="000000"/>
                <w:kern w:val="0"/>
                <w:sz w:val="24"/>
              </w:rPr>
              <w:t xml:space="preserve"> B</w:t>
            </w:r>
            <w:r>
              <w:rPr>
                <w:rFonts w:hint="eastAsia" w:ascii="宋体" w:hAnsi="宋体" w:cs="宋体"/>
                <w:color w:val="000000"/>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rPr>
            </w:pPr>
            <w:r>
              <w:rPr>
                <w:rFonts w:hint="eastAsia" w:ascii="宋体" w:hAnsi="宋体" w:cs="宋体"/>
                <w:b/>
                <w:color w:val="000000"/>
                <w:sz w:val="24"/>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000000"/>
                <w:sz w:val="24"/>
              </w:rPr>
            </w:pPr>
            <w:r>
              <w:rPr>
                <w:rFonts w:hint="eastAsia" w:ascii="宋体" w:hAnsi="宋体" w:cs="宋体"/>
                <w:color w:val="000000"/>
                <w:kern w:val="0"/>
                <w:sz w:val="24"/>
              </w:rPr>
              <w:sym w:font="Wingdings" w:char="00FE"/>
            </w:r>
            <w:r>
              <w:rPr>
                <w:rFonts w:hint="eastAsia" w:ascii="宋体" w:hAnsi="宋体" w:cs="宋体"/>
                <w:color w:val="000000"/>
                <w:kern w:val="0"/>
                <w:sz w:val="24"/>
              </w:rPr>
              <w:t>A</w:t>
            </w:r>
            <w:r>
              <w:rPr>
                <w:rFonts w:hint="eastAsia" w:ascii="宋体" w:hAnsi="宋体" w:cs="宋体"/>
                <w:color w:val="000000"/>
                <w:sz w:val="24"/>
              </w:rPr>
              <w:t>不组织，自行勘察。</w:t>
            </w:r>
          </w:p>
          <w:p>
            <w:pPr>
              <w:spacing w:line="312" w:lineRule="auto"/>
              <w:rPr>
                <w:rFonts w:ascii="宋体" w:hAnsi="宋体" w:cs="宋体"/>
                <w:color w:val="000000"/>
                <w:sz w:val="24"/>
                <w:szCs w:val="20"/>
              </w:rPr>
            </w:pPr>
            <w:r>
              <w:rPr>
                <w:rFonts w:hint="eastAsia" w:ascii="宋体" w:hAnsi="宋体" w:cs="宋体"/>
                <w:color w:val="000000"/>
                <w:kern w:val="0"/>
                <w:sz w:val="24"/>
              </w:rPr>
              <w:t>☐B组织，</w:t>
            </w:r>
            <w:r>
              <w:rPr>
                <w:rFonts w:hint="eastAsia" w:ascii="宋体" w:hAnsi="宋体" w:cs="宋体"/>
                <w:color w:val="000000"/>
                <w:sz w:val="24"/>
              </w:rPr>
              <w:t>时间：</w:t>
            </w:r>
            <w:r>
              <w:rPr>
                <w:rFonts w:hint="eastAsia" w:ascii="宋体" w:hAnsi="宋体" w:cs="宋体"/>
                <w:color w:val="000000"/>
                <w:sz w:val="24"/>
                <w:u w:val="single"/>
              </w:rPr>
              <w:t xml:space="preserve">      </w:t>
            </w:r>
            <w:r>
              <w:rPr>
                <w:rFonts w:hint="eastAsia" w:ascii="宋体" w:hAnsi="宋体" w:cs="宋体"/>
                <w:color w:val="000000"/>
                <w:sz w:val="24"/>
              </w:rPr>
              <w:t>,地点：</w:t>
            </w:r>
            <w:r>
              <w:rPr>
                <w:rFonts w:hint="eastAsia" w:ascii="宋体" w:hAnsi="宋体" w:cs="宋体"/>
                <w:color w:val="000000"/>
                <w:sz w:val="24"/>
                <w:u w:val="single"/>
              </w:rPr>
              <w:t xml:space="preserve">      </w:t>
            </w:r>
            <w:r>
              <w:rPr>
                <w:rFonts w:hint="eastAsia" w:ascii="宋体" w:hAnsi="宋体" w:cs="宋体"/>
                <w:color w:val="000000"/>
                <w:sz w:val="24"/>
              </w:rPr>
              <w:t>，联系人：</w:t>
            </w:r>
            <w:r>
              <w:rPr>
                <w:rFonts w:hint="eastAsia" w:ascii="宋体" w:hAnsi="宋体" w:cs="宋体"/>
                <w:color w:val="000000"/>
                <w:sz w:val="24"/>
                <w:u w:val="single"/>
              </w:rPr>
              <w:t xml:space="preserve">      </w:t>
            </w:r>
            <w:r>
              <w:rPr>
                <w:rFonts w:hint="eastAsia" w:ascii="宋体" w:hAnsi="宋体" w:cs="宋体"/>
                <w:color w:val="000000"/>
                <w:sz w:val="24"/>
              </w:rPr>
              <w:t>，联系方式：</w:t>
            </w:r>
            <w:r>
              <w:rPr>
                <w:rFonts w:hint="eastAsia" w:ascii="宋体" w:hAnsi="宋体" w:cs="宋体"/>
                <w:color w:val="000000"/>
                <w:sz w:val="24"/>
                <w:u w:val="single"/>
              </w:rPr>
              <w:t xml:space="preserve">      </w:t>
            </w:r>
            <w:r>
              <w:rPr>
                <w:rFonts w:hint="eastAsia" w:ascii="宋体" w:hAnsi="宋体" w:cs="宋体"/>
                <w:color w:val="00000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rPr>
            </w:pPr>
            <w:r>
              <w:rPr>
                <w:rFonts w:hint="eastAsia" w:ascii="宋体" w:hAnsi="宋体" w:cs="宋体"/>
                <w:b/>
                <w:color w:val="000000"/>
                <w:sz w:val="24"/>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000000"/>
                <w:sz w:val="24"/>
              </w:rPr>
            </w:pPr>
            <w:r>
              <w:rPr>
                <w:rFonts w:hint="eastAsia" w:ascii="宋体" w:hAnsi="宋体" w:cs="宋体"/>
                <w:color w:val="000000"/>
                <w:kern w:val="0"/>
                <w:sz w:val="24"/>
              </w:rPr>
              <w:sym w:font="Wingdings" w:char="00FE"/>
            </w:r>
            <w:r>
              <w:rPr>
                <w:rFonts w:hint="eastAsia" w:ascii="宋体" w:hAnsi="宋体" w:cs="宋体"/>
                <w:color w:val="000000"/>
                <w:kern w:val="0"/>
                <w:sz w:val="24"/>
              </w:rPr>
              <w:t>A</w:t>
            </w:r>
            <w:r>
              <w:rPr>
                <w:rFonts w:hint="eastAsia" w:ascii="宋体" w:hAnsi="宋体" w:cs="宋体"/>
                <w:color w:val="000000"/>
                <w:sz w:val="24"/>
              </w:rPr>
              <w:t>不要求提供。</w:t>
            </w:r>
          </w:p>
          <w:p>
            <w:pPr>
              <w:spacing w:line="312" w:lineRule="auto"/>
              <w:rPr>
                <w:rFonts w:ascii="宋体" w:hAnsi="宋体" w:cs="宋体"/>
                <w:b/>
                <w:color w:val="000000"/>
                <w:sz w:val="24"/>
              </w:rPr>
            </w:pPr>
            <w:r>
              <w:rPr>
                <w:rFonts w:hint="eastAsia" w:ascii="宋体" w:hAnsi="宋体" w:cs="宋体"/>
                <w:color w:val="000000"/>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trHeight w:val="90"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pPr>
              <w:snapToGrid w:val="0"/>
              <w:spacing w:line="312" w:lineRule="auto"/>
              <w:rPr>
                <w:rFonts w:ascii="宋体" w:hAnsi="宋体" w:cs="宋体"/>
                <w:b/>
                <w:kern w:val="0"/>
                <w:sz w:val="24"/>
                <w:lang w:val="zh-CN"/>
              </w:rPr>
            </w:pPr>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trHeight w:val="1332" w:hRule="atLeast"/>
          <w:tblHeader/>
        </w:trPr>
        <w:tc>
          <w:tcPr>
            <w:tcW w:w="82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66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pPr>
              <w:spacing w:line="312" w:lineRule="auto"/>
              <w:rPr>
                <w:rFonts w:ascii="宋体" w:hAnsi="宋体" w:cs="宋体"/>
                <w:sz w:val="24"/>
              </w:rPr>
            </w:pPr>
            <w:r>
              <w:rPr>
                <w:rFonts w:hint="eastAsia" w:ascii="宋体" w:hAnsi="宋体" w:cs="宋体"/>
                <w:sz w:val="24"/>
              </w:rPr>
              <w:t>（1）资格证明文件：见招标文件第二部分11.1。</w:t>
            </w:r>
          </w:p>
          <w:p>
            <w:pPr>
              <w:spacing w:line="312"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trHeight w:val="581" w:hRule="atLeast"/>
          <w:tblHeader/>
        </w:trPr>
        <w:tc>
          <w:tcPr>
            <w:tcW w:w="82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6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670" w:type="dxa"/>
            <w:tcBorders>
              <w:top w:val="single" w:color="auto" w:sz="4" w:space="0"/>
              <w:left w:val="single" w:color="000000" w:sz="2" w:space="0"/>
              <w:bottom w:val="single" w:color="000000" w:sz="8" w:space="0"/>
              <w:right w:val="single" w:color="000000" w:sz="8" w:space="0"/>
            </w:tcBorders>
            <w:vAlign w:val="center"/>
          </w:tcPr>
          <w:p>
            <w:pPr>
              <w:spacing w:line="312"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trHeight w:val="1506"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6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trHeight w:val="4968"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264" w:lineRule="auto"/>
              <w:jc w:val="center"/>
              <w:rPr>
                <w:rFonts w:ascii="宋体" w:hAnsi="宋体" w:cs="宋体"/>
                <w:sz w:val="24"/>
              </w:rPr>
            </w:pPr>
            <w:r>
              <w:rPr>
                <w:rFonts w:hint="eastAsia" w:ascii="宋体" w:hAnsi="宋体" w:cs="宋体"/>
                <w:sz w:val="24"/>
              </w:rPr>
              <w:t>10</w:t>
            </w:r>
          </w:p>
        </w:tc>
        <w:tc>
          <w:tcPr>
            <w:tcW w:w="1660"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jc w:val="center"/>
              <w:rPr>
                <w:rFonts w:ascii="宋体" w:hAnsi="宋体" w:cs="宋体"/>
                <w:b/>
                <w:sz w:val="24"/>
              </w:rPr>
            </w:pPr>
            <w:r>
              <w:rPr>
                <w:rFonts w:hint="eastAsia" w:ascii="宋体" w:hAnsi="宋体" w:cs="宋体"/>
                <w:b/>
                <w:sz w:val="24"/>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ind w:firstLine="480" w:firstLineChars="200"/>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264"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264"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投标人针对本项目的投标报价不得超过采购预算金额和单价最高限价，否则其投标无效。</w:t>
            </w:r>
          </w:p>
          <w:p>
            <w:pPr>
              <w:snapToGrid w:val="0"/>
              <w:spacing w:line="264"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264" w:lineRule="auto"/>
              <w:ind w:firstLine="482" w:firstLineChars="200"/>
              <w:jc w:val="left"/>
              <w:rPr>
                <w:rFonts w:ascii="宋体" w:hAnsi="宋体" w:cs="宋体"/>
                <w:b/>
                <w:kern w:val="0"/>
                <w:sz w:val="24"/>
              </w:rPr>
            </w:pPr>
            <w:r>
              <w:rPr>
                <w:rFonts w:hint="eastAsia" w:ascii="宋体" w:hAnsi="宋体" w:cs="宋体"/>
                <w:b/>
                <w:kern w:val="0"/>
                <w:sz w:val="24"/>
                <w:lang w:val="zh-CN"/>
              </w:rPr>
              <w:t>投标报价超过招标文件中规定的预算金额的；</w:t>
            </w:r>
          </w:p>
          <w:p>
            <w:pPr>
              <w:snapToGrid w:val="0"/>
              <w:spacing w:line="264" w:lineRule="auto"/>
              <w:ind w:firstLine="482" w:firstLineChars="200"/>
              <w:jc w:val="left"/>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264"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6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67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660"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密封包装后（建议顺丰邮寄形式）投标截止时间前递交、一份（邮寄地址：杭州市临平区南苑街道迎宾路与望梅路交汇处华元欢乐城-华元大厦20层2022办公室）</w:t>
            </w:r>
            <w:r>
              <w:rPr>
                <w:rFonts w:hint="eastAsia" w:hAnsi="宋体" w:cs="宋体"/>
                <w:kern w:val="28"/>
                <w:sz w:val="24"/>
                <w:szCs w:val="24"/>
              </w:rPr>
              <w:t>；备份投标文件签收人员联系电话：</w:t>
            </w:r>
            <w:r>
              <w:rPr>
                <w:rFonts w:hint="eastAsia" w:hAnsi="宋体" w:cs="宋体"/>
                <w:sz w:val="24"/>
                <w:u w:val="single"/>
              </w:rPr>
              <w:t>周海丽收，15868109971 。</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pPr>
              <w:spacing w:line="312"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67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12" w:lineRule="auto"/>
              <w:rPr>
                <w:rFonts w:ascii="宋体" w:hAnsi="宋体" w:cs="宋体"/>
                <w:snapToGrid w:val="0"/>
                <w:kern w:val="28"/>
                <w:sz w:val="24"/>
              </w:rPr>
            </w:pPr>
            <w:r>
              <w:rPr>
                <w:rFonts w:hint="eastAsia" w:ascii="宋体" w:hAnsi="宋体" w:cs="宋体"/>
                <w:snapToGrid w:val="0"/>
                <w:kern w:val="28"/>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trHeight w:val="438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bCs/>
                <w:sz w:val="24"/>
              </w:rPr>
              <w:t>招标服务费</w:t>
            </w:r>
          </w:p>
        </w:tc>
        <w:tc>
          <w:tcPr>
            <w:tcW w:w="6670" w:type="dxa"/>
            <w:tcBorders>
              <w:top w:val="single" w:color="auto" w:sz="4" w:space="0"/>
              <w:left w:val="single" w:color="auto" w:sz="4" w:space="0"/>
              <w:bottom w:val="single" w:color="auto" w:sz="4" w:space="0"/>
              <w:right w:val="single" w:color="auto" w:sz="4" w:space="0"/>
            </w:tcBorders>
            <w:vAlign w:val="center"/>
          </w:tcPr>
          <w:p>
            <w:pPr>
              <w:pStyle w:val="2"/>
              <w:tabs>
                <w:tab w:val="left" w:pos="706"/>
                <w:tab w:val="clear" w:pos="432"/>
              </w:tabs>
              <w:spacing w:line="312" w:lineRule="auto"/>
              <w:ind w:firstLine="480" w:firstLineChars="200"/>
              <w:jc w:val="both"/>
              <w:rPr>
                <w:rFonts w:ascii="宋体" w:hAnsi="宋体" w:eastAsia="宋体" w:cs="宋体"/>
                <w:lang w:val="en-US"/>
              </w:rPr>
            </w:pPr>
            <w:r>
              <w:rPr>
                <w:rFonts w:hint="eastAsia" w:ascii="宋体" w:hAnsi="宋体" w:eastAsia="宋体" w:cs="宋体"/>
                <w:snapToGrid w:val="0"/>
                <w:kern w:val="28"/>
                <w:sz w:val="24"/>
                <w:lang w:val="en-US"/>
              </w:rPr>
              <w:t>本项目的招标代理费用由中标单位支付，代理费用按项目预算为基数，付款参照《招标代理服务收费管理暂行办法》的通知（计价格[2002]1980号）文件计取。</w:t>
            </w:r>
            <w:r>
              <w:rPr>
                <w:rFonts w:hint="eastAsia" w:ascii="宋体" w:hAnsi="宋体" w:eastAsia="宋体" w:cs="宋体"/>
                <w:kern w:val="28"/>
                <w:sz w:val="24"/>
                <w:szCs w:val="24"/>
                <w:lang w:val="en-US"/>
              </w:rPr>
              <w:t>投标人在报价时应综合考虑该笔费用，但不单列进投标总价。</w:t>
            </w:r>
          </w:p>
          <w:p>
            <w:pPr>
              <w:pStyle w:val="2"/>
              <w:spacing w:line="312" w:lineRule="auto"/>
              <w:rPr>
                <w:rFonts w:ascii="宋体" w:hAnsi="宋体" w:eastAsia="宋体" w:cs="宋体"/>
                <w:lang w:val="en-US"/>
              </w:rPr>
            </w:pPr>
            <w:r>
              <w:rPr>
                <w:rFonts w:hint="eastAsia" w:ascii="宋体" w:hAnsi="宋体" w:eastAsia="宋体" w:cs="宋体"/>
                <w:b/>
                <w:bCs/>
                <w:sz w:val="24"/>
                <w:szCs w:val="24"/>
                <w:lang w:val="en-US"/>
              </w:rPr>
              <w:drawing>
                <wp:anchor distT="0" distB="0" distL="114300" distR="114300" simplePos="0" relativeHeight="251683840" behindDoc="0" locked="0" layoutInCell="1" allowOverlap="1">
                  <wp:simplePos x="0" y="0"/>
                  <wp:positionH relativeFrom="column">
                    <wp:posOffset>283845</wp:posOffset>
                  </wp:positionH>
                  <wp:positionV relativeFrom="paragraph">
                    <wp:posOffset>60325</wp:posOffset>
                  </wp:positionV>
                  <wp:extent cx="3007360" cy="1602105"/>
                  <wp:effectExtent l="0" t="0" r="2540" b="17145"/>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4">
                            <a:lum/>
                          </a:blip>
                          <a:stretch>
                            <a:fillRect/>
                          </a:stretch>
                        </pic:blipFill>
                        <pic:spPr>
                          <a:xfrm>
                            <a:off x="0" y="0"/>
                            <a:ext cx="3007360" cy="16021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bCs/>
                <w:sz w:val="24"/>
              </w:rPr>
            </w:pPr>
            <w:r>
              <w:rPr>
                <w:rFonts w:hint="eastAsia" w:ascii="宋体" w:hAnsi="宋体" w:cs="宋体"/>
                <w:b/>
                <w:bCs/>
                <w:sz w:val="24"/>
              </w:rPr>
              <w:t>中标后提供承诺书和纸质版投标文件一式三份（正本一份红章版，副本二份，可为正本复印件），承诺书详见附件。</w:t>
            </w:r>
          </w:p>
        </w:tc>
      </w:tr>
    </w:tbl>
    <w:p>
      <w:pPr>
        <w:rPr>
          <w:rFonts w:ascii="宋体" w:hAnsi="宋体" w:cs="宋体"/>
          <w:b/>
          <w:sz w:val="32"/>
          <w:szCs w:val="20"/>
        </w:rPr>
      </w:pPr>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采购人拟采购的产品属于政府强制采购的节能产品品目清单范围的，投标人未按招标文件要求提供国家确定的认证机构出具的、处于有效期之内的节能产品认证证书的，投标无效（本项目为服务项目，不采用）。</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pPr>
        <w:spacing w:line="360" w:lineRule="auto"/>
        <w:rPr>
          <w:rFonts w:ascii="宋体" w:hAnsi="宋体" w:cs="宋体"/>
          <w:b/>
          <w:color w:val="000000"/>
          <w:sz w:val="24"/>
        </w:rPr>
      </w:pPr>
      <w:r>
        <w:rPr>
          <w:rFonts w:hint="eastAsia" w:ascii="宋体" w:hAnsi="宋体" w:cs="宋体"/>
          <w:b/>
          <w:color w:val="000000"/>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w:t>
      </w:r>
      <w:r>
        <w:rPr>
          <w:rFonts w:hint="eastAsia" w:ascii="宋体" w:hAnsi="宋体" w:cs="宋体"/>
          <w:snapToGrid w:val="0"/>
          <w:kern w:val="28"/>
          <w:sz w:val="24"/>
          <w:lang w:val="zh-CN"/>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w:t>
      </w:r>
      <w:r>
        <w:rPr>
          <w:rFonts w:hint="eastAsia" w:ascii="宋体" w:hAnsi="宋体" w:cs="宋体"/>
          <w:kern w:val="0"/>
          <w:sz w:val="24"/>
          <w:lang w:val="zh-CN"/>
        </w:rPr>
        <w:t>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80"/>
        <w:shd w:val="clear" w:color="auto" w:fill="FFFFFF"/>
        <w:spacing w:before="0" w:beforeAutospacing="0" w:after="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80"/>
        <w:shd w:val="clear" w:color="auto" w:fill="FFFFFF"/>
        <w:spacing w:before="0" w:beforeAutospacing="0" w:after="0" w:afterAutospacing="0" w:line="360" w:lineRule="auto"/>
        <w:ind w:firstLine="400"/>
        <w:contextualSpacing/>
      </w:pPr>
      <w:r>
        <w:rPr>
          <w:rFonts w:hint="eastAsia"/>
        </w:rPr>
        <w:t>质疑函范本及制作说明详见附件2。</w:t>
      </w:r>
    </w:p>
    <w:p>
      <w:pPr>
        <w:pStyle w:val="58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8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8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8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80"/>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浙江省政府采购行政裁决服务中心（杭州）提出投诉，地址：杭州市上城区四季青街道新业路市民之家G03办公室。</w:t>
      </w:r>
    </w:p>
    <w:p>
      <w:pPr>
        <w:pStyle w:val="58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80"/>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8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95"/>
        <w:snapToGrid w:val="0"/>
        <w:spacing w:before="0"/>
        <w:ind w:firstLine="361"/>
        <w:rPr>
          <w:rFonts w:ascii="宋体" w:hAnsi="宋体" w:cs="宋体"/>
          <w:sz w:val="18"/>
          <w:szCs w:val="18"/>
        </w:rPr>
      </w:pPr>
    </w:p>
    <w:p>
      <w:pPr>
        <w:adjustRightInd/>
        <w:spacing w:line="360" w:lineRule="auto"/>
        <w:jc w:val="center"/>
        <w:outlineLvl w:val="0"/>
        <w:rPr>
          <w:rFonts w:hint="eastAsia" w:ascii="宋体" w:hAnsi="宋体" w:cs="宋体"/>
          <w:b/>
          <w:sz w:val="36"/>
          <w:szCs w:val="36"/>
        </w:rPr>
      </w:pPr>
      <w:r>
        <w:rPr>
          <w:rFonts w:hint="eastAsia" w:ascii="宋体" w:hAnsi="宋体" w:cs="宋体"/>
          <w:b/>
          <w:sz w:val="32"/>
          <w:szCs w:val="20"/>
        </w:rPr>
        <w:t xml:space="preserve"> </w:t>
      </w:r>
      <w:r>
        <w:rPr>
          <w:rFonts w:hint="eastAsia" w:ascii="宋体" w:hAnsi="宋体" w:cs="宋体"/>
          <w:b/>
          <w:sz w:val="36"/>
          <w:szCs w:val="36"/>
        </w:rPr>
        <w:t xml:space="preserve">     二、招标文件的构成、澄清、修改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招标文件的澄清、修改</w:t>
      </w:r>
    </w:p>
    <w:p>
      <w:pPr>
        <w:pStyle w:val="95"/>
        <w:snapToGrid w:val="0"/>
        <w:spacing w:before="0"/>
        <w:ind w:firstLine="482"/>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95"/>
        <w:snapToGrid w:val="0"/>
        <w:spacing w:before="0"/>
        <w:ind w:firstLine="482"/>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snapToGrid w:val="0"/>
        <w:spacing w:line="360" w:lineRule="auto"/>
        <w:jc w:val="center"/>
        <w:outlineLvl w:val="0"/>
        <w:rPr>
          <w:rFonts w:hint="eastAsia" w:ascii="宋体" w:hAnsi="宋体" w:eastAsia="宋体" w:cs="宋体"/>
          <w:b/>
          <w:sz w:val="36"/>
          <w:szCs w:val="36"/>
        </w:rPr>
      </w:pPr>
      <w:r>
        <w:rPr>
          <w:rFonts w:hint="eastAsia" w:ascii="宋体" w:hAnsi="宋体" w:cs="宋体"/>
          <w:b/>
          <w:sz w:val="30"/>
          <w:szCs w:val="20"/>
        </w:rPr>
        <w:br w:type="page"/>
      </w:r>
      <w:r>
        <w:rPr>
          <w:rFonts w:hint="eastAsia" w:ascii="宋体" w:hAnsi="宋体" w:cs="宋体"/>
          <w:b/>
          <w:sz w:val="36"/>
          <w:szCs w:val="36"/>
          <w:lang w:val="en-US" w:eastAsia="zh-CN"/>
        </w:rPr>
        <w:t>三、</w:t>
      </w:r>
      <w:r>
        <w:rPr>
          <w:rFonts w:hint="eastAsia" w:ascii="宋体" w:hAnsi="宋体" w:cs="宋体"/>
          <w:b/>
          <w:sz w:val="36"/>
          <w:szCs w:val="36"/>
        </w:rPr>
        <w:t>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numPr>
          <w:ilvl w:val="0"/>
          <w:numId w:val="1"/>
        </w:numPr>
        <w:spacing w:line="360" w:lineRule="auto"/>
        <w:rPr>
          <w:rFonts w:hAnsi="宋体" w:cs="宋体"/>
          <w:b/>
          <w:sz w:val="24"/>
          <w:szCs w:val="24"/>
        </w:rPr>
      </w:pPr>
      <w:r>
        <w:rPr>
          <w:rFonts w:hint="eastAsia" w:hAnsi="宋体" w:cs="宋体"/>
          <w:b/>
          <w:sz w:val="24"/>
          <w:szCs w:val="24"/>
        </w:rPr>
        <w:t>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numPr>
          <w:ilvl w:val="0"/>
          <w:numId w:val="1"/>
        </w:numPr>
        <w:spacing w:line="360" w:lineRule="auto"/>
        <w:rPr>
          <w:rFonts w:hAnsi="宋体" w:cs="宋体"/>
          <w:b/>
          <w:szCs w:val="24"/>
        </w:rPr>
      </w:pPr>
      <w:r>
        <w:rPr>
          <w:rFonts w:hint="eastAsia" w:hAnsi="宋体" w:cs="宋体"/>
          <w:b/>
          <w:kern w:val="28"/>
          <w:sz w:val="24"/>
          <w:szCs w:val="24"/>
        </w:rPr>
        <w:t>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color w:val="000000"/>
          <w:sz w:val="24"/>
          <w:szCs w:val="24"/>
        </w:rPr>
      </w:pPr>
      <w:r>
        <w:rPr>
          <w:rFonts w:hint="eastAsia" w:hAnsi="宋体" w:cs="宋体"/>
          <w:b/>
          <w:color w:val="000000"/>
          <w:sz w:val="24"/>
          <w:szCs w:val="24"/>
        </w:rPr>
        <w:t>11. 投标文件的组成</w:t>
      </w:r>
    </w:p>
    <w:p>
      <w:pPr>
        <w:snapToGrid w:val="0"/>
        <w:spacing w:line="360" w:lineRule="auto"/>
        <w:rPr>
          <w:rFonts w:ascii="宋体" w:hAnsi="宋体" w:cs="宋体"/>
          <w:color w:val="000000"/>
          <w:sz w:val="24"/>
        </w:rPr>
      </w:pPr>
      <w:r>
        <w:rPr>
          <w:rFonts w:hint="eastAsia" w:ascii="宋体" w:hAnsi="宋体" w:cs="宋体"/>
          <w:color w:val="000000"/>
          <w:sz w:val="24"/>
        </w:rPr>
        <w:t>11.1</w:t>
      </w:r>
      <w:r>
        <w:rPr>
          <w:rFonts w:hint="eastAsia" w:ascii="宋体" w:hAnsi="宋体" w:cs="宋体"/>
          <w:b/>
          <w:color w:val="000000"/>
          <w:sz w:val="24"/>
        </w:rPr>
        <w:t>资格文件</w:t>
      </w:r>
      <w:r>
        <w:rPr>
          <w:rFonts w:hint="eastAsia" w:ascii="宋体" w:hAnsi="宋体" w:cs="宋体"/>
          <w:color w:val="000000"/>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▲11.1.1目录；</w:t>
      </w:r>
    </w:p>
    <w:p>
      <w:pPr>
        <w:snapToGrid w:val="0"/>
        <w:spacing w:line="360" w:lineRule="auto"/>
        <w:ind w:firstLine="480" w:firstLineChars="200"/>
        <w:rPr>
          <w:rFonts w:ascii="宋体" w:hAnsi="宋体" w:cs="宋体"/>
          <w:sz w:val="24"/>
        </w:rPr>
      </w:pPr>
      <w:r>
        <w:rPr>
          <w:rFonts w:hint="eastAsia" w:ascii="宋体" w:hAnsi="宋体" w:cs="宋体"/>
          <w:sz w:val="24"/>
        </w:rPr>
        <w:t>▲11.1.2符合参加政府采购活动应当具备的一般条件的承诺函；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▲11.1.3提供法人或者其他组织机构的营业执照（扫描件或复印件加盖公章）或事业法人登记证书或其他工商等登记证明材料；</w:t>
      </w:r>
    </w:p>
    <w:p>
      <w:pPr>
        <w:snapToGrid w:val="0"/>
        <w:spacing w:line="360" w:lineRule="auto"/>
        <w:ind w:firstLine="480" w:firstLineChars="200"/>
        <w:rPr>
          <w:rFonts w:ascii="宋体" w:hAnsi="宋体" w:cs="宋体"/>
          <w:sz w:val="24"/>
        </w:rPr>
      </w:pPr>
      <w:r>
        <w:rPr>
          <w:rFonts w:hint="eastAsia" w:ascii="宋体" w:hAnsi="宋体" w:cs="宋体"/>
          <w:sz w:val="24"/>
        </w:rPr>
        <w:t>11.1.4</w:t>
      </w:r>
      <w:r>
        <w:rPr>
          <w:rFonts w:hint="eastAsia" w:ascii="宋体" w:hAnsi="宋体" w:cs="宋体"/>
          <w:snapToGrid w:val="0"/>
          <w:kern w:val="28"/>
          <w:sz w:val="24"/>
        </w:rPr>
        <w:t>联合协议（如果有)；</w:t>
      </w:r>
    </w:p>
    <w:p>
      <w:pPr>
        <w:spacing w:line="360" w:lineRule="auto"/>
        <w:ind w:firstLine="240" w:firstLineChars="100"/>
        <w:rPr>
          <w:rFonts w:ascii="宋体" w:hAnsi="宋体" w:cs="宋体"/>
          <w:b/>
          <w:bCs/>
          <w:sz w:val="24"/>
        </w:rPr>
      </w:pPr>
      <w:r>
        <w:rPr>
          <w:rFonts w:hint="eastAsia" w:ascii="宋体" w:hAnsi="宋体" w:cs="宋体"/>
          <w:sz w:val="24"/>
        </w:rPr>
        <w:t>▲11.1.5落实政府采购政策需满足的资格要求：</w:t>
      </w:r>
      <w:r>
        <w:rPr>
          <w:rFonts w:hint="eastAsia" w:ascii="宋体" w:hAnsi="宋体" w:cs="宋体"/>
          <w:b/>
          <w:bCs/>
          <w:sz w:val="24"/>
        </w:rPr>
        <w:t>本项目非专门面向中小企业采购，要求以联合体形式参加，</w:t>
      </w:r>
      <w:r>
        <w:rPr>
          <w:rFonts w:hint="eastAsia" w:ascii="宋体" w:hAnsi="宋体" w:cs="宋体"/>
          <w:b/>
          <w:bCs/>
          <w:color w:val="0000FF"/>
          <w:sz w:val="24"/>
        </w:rPr>
        <w:t>提供联合协议和中小企业声明函</w:t>
      </w:r>
      <w:r>
        <w:rPr>
          <w:rFonts w:hint="eastAsia" w:ascii="宋体" w:hAnsi="宋体" w:cs="宋体"/>
          <w:b/>
          <w:bCs/>
          <w:sz w:val="24"/>
        </w:rPr>
        <w:t>，联合协议中小企业合同金额应当达到</w:t>
      </w:r>
      <w:r>
        <w:rPr>
          <w:rFonts w:ascii="宋体" w:hAnsi="宋体" w:cs="宋体"/>
          <w:b/>
          <w:bCs/>
          <w:color w:val="0000FF"/>
          <w:sz w:val="24"/>
          <w:u w:val="single"/>
        </w:rPr>
        <w:t>40%</w:t>
      </w:r>
      <w:r>
        <w:rPr>
          <w:rFonts w:hint="eastAsia" w:ascii="宋体" w:hAnsi="宋体" w:cs="宋体"/>
          <w:b/>
          <w:bCs/>
          <w:sz w:val="24"/>
        </w:rPr>
        <w:t>或以上</w:t>
      </w:r>
      <w:r>
        <w:rPr>
          <w:rFonts w:ascii="宋体" w:hAnsi="宋体" w:cs="宋体"/>
          <w:b/>
          <w:bCs/>
          <w:sz w:val="24"/>
        </w:rPr>
        <w:t xml:space="preserve">; </w:t>
      </w:r>
      <w:r>
        <w:rPr>
          <w:rFonts w:hint="eastAsia" w:ascii="宋体" w:hAnsi="宋体" w:cs="宋体"/>
          <w:b/>
          <w:bCs/>
          <w:sz w:val="24"/>
        </w:rPr>
        <w:t>如果供应商本身提供所有标的均由中小企业承建或承接，视同符合了资格条件，无需再与其他中小企业组成联合体参加政府采购活动，无需提供联合协议；</w:t>
      </w:r>
    </w:p>
    <w:p>
      <w:pPr>
        <w:pStyle w:val="23"/>
        <w:rPr>
          <w:rFonts w:hint="default" w:eastAsia="宋体"/>
          <w:b/>
          <w:bCs/>
          <w:lang w:val="en-US" w:eastAsia="zh-CN"/>
        </w:rPr>
      </w:pPr>
      <w:r>
        <w:rPr>
          <w:b/>
          <w:bCs/>
          <w:lang w:val="en-US"/>
        </w:rPr>
        <w:t xml:space="preserve"> </w:t>
      </w:r>
      <w:r>
        <w:rPr>
          <w:rFonts w:hint="eastAsia"/>
          <w:b/>
          <w:bCs/>
          <w:lang w:val="en-US" w:eastAsia="zh-CN"/>
        </w:rPr>
        <w:t xml:space="preserve"> </w:t>
      </w:r>
      <w:r>
        <w:rPr>
          <w:b/>
          <w:bCs/>
          <w:lang w:val="en-US"/>
        </w:rPr>
        <w:t xml:space="preserve">  </w:t>
      </w:r>
      <w:r>
        <w:rPr>
          <w:rFonts w:hint="eastAsia"/>
          <w:b/>
          <w:bCs/>
          <w:lang w:val="en-US"/>
        </w:rPr>
        <w:t>中小企业声明函格式内容详见附件</w:t>
      </w:r>
      <w:r>
        <w:rPr>
          <w:b/>
          <w:bCs/>
          <w:lang w:val="en-US"/>
        </w:rPr>
        <w:t>7</w:t>
      </w:r>
      <w:r>
        <w:rPr>
          <w:rFonts w:hint="eastAsia"/>
          <w:b/>
          <w:bCs/>
          <w:lang w:val="en-US"/>
        </w:rPr>
        <w:t>。</w:t>
      </w:r>
      <w:r>
        <w:rPr>
          <w:rFonts w:hint="eastAsia"/>
          <w:b/>
          <w:bCs/>
          <w:lang w:val="en-US" w:eastAsia="zh-CN"/>
        </w:rPr>
        <w:t>联合体协议格式内容详见附件。</w:t>
      </w:r>
    </w:p>
    <w:p>
      <w:pPr>
        <w:spacing w:line="360" w:lineRule="auto"/>
        <w:ind w:firstLine="480" w:firstLineChars="200"/>
        <w:rPr>
          <w:rFonts w:ascii="宋体" w:hAnsi="宋体" w:cs="宋体"/>
          <w:sz w:val="24"/>
        </w:rPr>
      </w:pPr>
      <w:r>
        <w:rPr>
          <w:rFonts w:hint="eastAsia" w:ascii="宋体" w:hAnsi="宋体" w:cs="宋体"/>
          <w:sz w:val="24"/>
        </w:rPr>
        <w:t>11.1.6本项目的特定资格要求</w:t>
      </w:r>
      <w:r>
        <w:rPr>
          <w:rFonts w:hint="eastAsia" w:ascii="宋体" w:hAnsi="宋体" w:cs="宋体"/>
          <w:b/>
          <w:bCs/>
          <w:sz w:val="24"/>
        </w:rPr>
        <w:t>：具备乙级及以上城乡规划编制资质；提供资质证书扫描件加盖投标人公章。</w:t>
      </w:r>
    </w:p>
    <w:p>
      <w:pPr>
        <w:snapToGrid w:val="0"/>
        <w:spacing w:line="360" w:lineRule="auto"/>
        <w:ind w:left="105" w:leftChars="50" w:firstLine="482" w:firstLineChars="200"/>
        <w:rPr>
          <w:rFonts w:ascii="宋体" w:hAnsi="宋体" w:cs="宋体"/>
          <w:sz w:val="24"/>
        </w:rPr>
      </w:pPr>
      <w:r>
        <w:rPr>
          <w:rFonts w:hint="eastAsia" w:ascii="宋体" w:hAnsi="宋体" w:cs="宋体"/>
          <w:b/>
          <w:bCs/>
          <w:color w:val="000000"/>
          <w:sz w:val="24"/>
        </w:rPr>
        <w:t>注：上述资格条件审查材料有一项不提供的，视为资格审查不通过。上述内容部分格式及内容详见“</w:t>
      </w:r>
      <w:r>
        <w:rPr>
          <w:rFonts w:hint="eastAsia" w:ascii="宋体" w:hAnsi="宋体" w:cs="宋体"/>
          <w:sz w:val="24"/>
        </w:rPr>
        <w:t>第六部分  应提交的有关格式范例”。</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22" w:firstLineChars="200"/>
        <w:rPr>
          <w:rFonts w:ascii="宋体" w:hAnsi="宋体" w:cs="宋体"/>
          <w:sz w:val="24"/>
        </w:rPr>
      </w:pPr>
      <w:r>
        <w:rPr>
          <w:rFonts w:hint="eastAsia" w:ascii="宋体" w:hAnsi="宋体" w:cs="宋体"/>
          <w:b/>
          <w:color w:val="000000"/>
        </w:rPr>
        <w:t>▲</w:t>
      </w:r>
      <w:r>
        <w:rPr>
          <w:rFonts w:hint="eastAsia" w:ascii="宋体" w:hAnsi="宋体" w:cs="宋体"/>
          <w:sz w:val="24"/>
        </w:rPr>
        <w:t>11.2.1投标函（格式内容见“第六部分  应提交的有关格式范例”）；</w:t>
      </w:r>
      <w:r>
        <w:rPr>
          <w:rFonts w:hint="eastAsia" w:ascii="宋体" w:hAnsi="宋体" w:cs="宋体"/>
          <w:sz w:val="24"/>
          <w:lang w:val="zh-CN"/>
        </w:rPr>
        <w:t xml:space="preserve"> </w:t>
      </w:r>
    </w:p>
    <w:p>
      <w:pPr>
        <w:snapToGrid w:val="0"/>
        <w:spacing w:line="360" w:lineRule="auto"/>
        <w:ind w:firstLine="422" w:firstLineChars="200"/>
        <w:rPr>
          <w:rFonts w:ascii="宋体" w:hAnsi="宋体" w:cs="宋体"/>
          <w:sz w:val="24"/>
        </w:rPr>
      </w:pPr>
      <w:r>
        <w:rPr>
          <w:rFonts w:hint="eastAsia" w:ascii="宋体" w:hAnsi="宋体" w:cs="宋体"/>
          <w:b/>
          <w:color w:val="000000"/>
        </w:rPr>
        <w:t>▲</w:t>
      </w:r>
      <w:r>
        <w:rPr>
          <w:rFonts w:hint="eastAsia" w:ascii="宋体" w:hAnsi="宋体" w:cs="宋体"/>
          <w:sz w:val="24"/>
        </w:rPr>
        <w:t>11.2.2授权委托书或法定代表人（单位负责人、自然人本人）身份证明，（格式内容见“第六部分  应提交的有关格式范例”）；</w:t>
      </w:r>
    </w:p>
    <w:p>
      <w:pPr>
        <w:snapToGrid w:val="0"/>
        <w:spacing w:line="360" w:lineRule="auto"/>
        <w:ind w:firstLine="480" w:firstLineChars="200"/>
        <w:rPr>
          <w:rFonts w:ascii="宋体" w:hAnsi="宋体" w:cs="宋体"/>
          <w:sz w:val="24"/>
        </w:rPr>
      </w:pPr>
      <w:r>
        <w:rPr>
          <w:rFonts w:hint="eastAsia" w:ascii="宋体" w:hAnsi="宋体" w:cs="宋体"/>
          <w:sz w:val="24"/>
        </w:rPr>
        <w:t>11.2.3分包意向协议（如有)；</w:t>
      </w:r>
    </w:p>
    <w:p>
      <w:pPr>
        <w:snapToGrid w:val="0"/>
        <w:spacing w:line="360" w:lineRule="auto"/>
        <w:ind w:firstLine="480" w:firstLineChars="200"/>
        <w:rPr>
          <w:rFonts w:ascii="宋体" w:hAnsi="宋体" w:cs="宋体"/>
          <w:sz w:val="24"/>
        </w:rPr>
      </w:pPr>
      <w:r>
        <w:rPr>
          <w:rFonts w:hint="eastAsia" w:ascii="宋体" w:hAnsi="宋体" w:cs="宋体"/>
          <w:sz w:val="24"/>
        </w:rPr>
        <w:t>11.2.4符合性审查资料，（格式内容见“第六部分  应提交的有关格式范例”）</w:t>
      </w:r>
    </w:p>
    <w:p>
      <w:pPr>
        <w:snapToGrid w:val="0"/>
        <w:spacing w:line="360" w:lineRule="auto"/>
        <w:ind w:firstLine="480" w:firstLineChars="200"/>
        <w:rPr>
          <w:rFonts w:ascii="宋体" w:hAnsi="宋体" w:cs="宋体"/>
          <w:sz w:val="24"/>
        </w:rPr>
      </w:pPr>
      <w:r>
        <w:rPr>
          <w:rFonts w:hint="eastAsia" w:ascii="宋体" w:hAnsi="宋体" w:cs="宋体"/>
          <w:sz w:val="24"/>
        </w:rPr>
        <w:t>11.2.5评标标准相应的商务技术资料；</w:t>
      </w:r>
    </w:p>
    <w:p>
      <w:pPr>
        <w:snapToGrid w:val="0"/>
        <w:spacing w:line="360" w:lineRule="auto"/>
        <w:ind w:firstLine="482" w:firstLineChars="200"/>
        <w:rPr>
          <w:rFonts w:ascii="宋体" w:hAnsi="宋体" w:cs="宋体"/>
          <w:b/>
          <w:bCs/>
          <w:sz w:val="24"/>
        </w:rPr>
      </w:pPr>
      <w:r>
        <w:rPr>
          <w:rFonts w:hint="eastAsia" w:ascii="宋体" w:hAnsi="宋体" w:cs="宋体"/>
          <w:b/>
          <w:bCs/>
          <w:sz w:val="24"/>
        </w:rPr>
        <w:t>（按招标文件第四部分评标办法前附表中“投标文件中评标标准相应的商务技术资料目录”提供资料）</w:t>
      </w:r>
    </w:p>
    <w:p>
      <w:pPr>
        <w:snapToGrid w:val="0"/>
        <w:spacing w:line="360" w:lineRule="auto"/>
        <w:ind w:firstLine="422" w:firstLineChars="200"/>
        <w:rPr>
          <w:rFonts w:ascii="宋体" w:hAnsi="宋体" w:cs="宋体"/>
          <w:sz w:val="24"/>
        </w:rPr>
      </w:pPr>
      <w:r>
        <w:rPr>
          <w:rFonts w:hint="eastAsia" w:ascii="宋体" w:hAnsi="宋体" w:cs="宋体"/>
          <w:b/>
          <w:color w:val="000000"/>
        </w:rPr>
        <w:t>▲</w:t>
      </w:r>
      <w:r>
        <w:rPr>
          <w:rFonts w:hint="eastAsia" w:ascii="宋体" w:hAnsi="宋体" w:cs="宋体"/>
          <w:sz w:val="24"/>
        </w:rPr>
        <w:t>11.2.6商务技术偏离表，（格式内容见“第六部分  应提交的有关格式范例”）；</w:t>
      </w:r>
    </w:p>
    <w:p>
      <w:pPr>
        <w:snapToGrid w:val="0"/>
        <w:spacing w:line="360" w:lineRule="auto"/>
        <w:ind w:firstLine="422" w:firstLineChars="200"/>
        <w:rPr>
          <w:rFonts w:ascii="宋体" w:hAnsi="宋体" w:cs="宋体"/>
          <w:sz w:val="24"/>
          <w:lang w:val="zh-CN"/>
        </w:rPr>
      </w:pPr>
      <w:r>
        <w:rPr>
          <w:rFonts w:hint="eastAsia" w:ascii="宋体" w:hAnsi="宋体" w:cs="宋体"/>
          <w:b/>
          <w:color w:val="000000"/>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（格式内容见“第六部分  应提交的有关格式范例”）</w:t>
      </w:r>
      <w:r>
        <w:rPr>
          <w:rFonts w:hint="eastAsia" w:ascii="宋体" w:hAnsi="宋体" w:cs="宋体"/>
          <w:sz w:val="24"/>
          <w:lang w:val="zh-CN"/>
        </w:rPr>
        <w:t>；</w:t>
      </w:r>
    </w:p>
    <w:p>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zh-CN"/>
        </w:rPr>
        <w:t>11.2.</w:t>
      </w:r>
      <w:r>
        <w:rPr>
          <w:rFonts w:hint="eastAsia" w:ascii="宋体" w:hAnsi="宋体" w:cs="宋体"/>
          <w:sz w:val="24"/>
        </w:rPr>
        <w:t>8</w:t>
      </w:r>
      <w:r>
        <w:rPr>
          <w:rFonts w:hint="eastAsia" w:ascii="宋体" w:hAnsi="宋体" w:cs="宋体"/>
          <w:sz w:val="24"/>
          <w:szCs w:val="20"/>
          <w:lang w:val="zh-CN"/>
        </w:rPr>
        <w:t>投标</w:t>
      </w:r>
      <w:r>
        <w:rPr>
          <w:rFonts w:hint="eastAsia" w:ascii="宋体" w:hAnsi="宋体" w:cs="宋体"/>
          <w:sz w:val="24"/>
          <w:szCs w:val="20"/>
        </w:rPr>
        <w:t>人</w:t>
      </w:r>
      <w:r>
        <w:rPr>
          <w:rFonts w:hint="eastAsia" w:ascii="宋体" w:hAnsi="宋体" w:cs="宋体"/>
          <w:sz w:val="24"/>
          <w:szCs w:val="20"/>
          <w:lang w:val="zh-CN"/>
        </w:rPr>
        <w:t>认为需要的其他文件资料（如有）</w:t>
      </w:r>
      <w:r>
        <w:rPr>
          <w:rFonts w:hint="eastAsia" w:ascii="宋体" w:hAnsi="宋体" w:cs="宋体"/>
          <w:sz w:val="24"/>
        </w:rPr>
        <w:t>。</w:t>
      </w:r>
    </w:p>
    <w:p>
      <w:pPr>
        <w:snapToGrid w:val="0"/>
        <w:spacing w:line="360" w:lineRule="auto"/>
        <w:ind w:firstLine="240" w:firstLineChars="100"/>
        <w:rPr>
          <w:rFonts w:ascii="宋体" w:hAnsi="宋体" w:cs="宋体"/>
          <w:sz w:val="24"/>
        </w:rPr>
      </w:pPr>
      <w:r>
        <w:rPr>
          <w:rFonts w:hint="eastAsia" w:ascii="宋体" w:hAnsi="宋体" w:cs="宋体"/>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9投标人签署的《政府采购活动现场确认声明书》，格式详见第六部分。</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 xml:space="preserve">3  </w:t>
      </w:r>
      <w:r>
        <w:rPr>
          <w:rFonts w:hint="eastAsia" w:ascii="宋体" w:hAnsi="宋体" w:cs="宋体"/>
          <w:b/>
          <w:bCs/>
          <w:sz w:val="24"/>
        </w:rPr>
        <w:t xml:space="preserve">报价文件： </w:t>
      </w:r>
    </w:p>
    <w:p>
      <w:pPr>
        <w:snapToGrid w:val="0"/>
        <w:spacing w:line="360" w:lineRule="auto"/>
        <w:ind w:firstLine="240" w:firstLineChars="100"/>
        <w:rPr>
          <w:rFonts w:ascii="宋体" w:hAnsi="宋体" w:cs="宋体"/>
          <w:sz w:val="24"/>
        </w:rPr>
      </w:pPr>
      <w:r>
        <w:rPr>
          <w:rFonts w:hint="eastAsia" w:ascii="宋体" w:hAnsi="宋体" w:cs="宋体"/>
          <w:sz w:val="24"/>
        </w:rPr>
        <w:t>▲11.3.1开标一览表（报价表）；</w:t>
      </w:r>
    </w:p>
    <w:p>
      <w:pPr>
        <w:pStyle w:val="2"/>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11.3.2 报价情况说明（如供应商报价低于项目预算50%的，应当提交本文档，详细阐述不影响产品质量或者诚信履约的具体原因）；</w:t>
      </w:r>
    </w:p>
    <w:p>
      <w:pPr>
        <w:snapToGrid w:val="0"/>
        <w:spacing w:line="360" w:lineRule="auto"/>
        <w:ind w:firstLine="480" w:firstLineChars="200"/>
        <w:rPr>
          <w:rFonts w:ascii="宋体" w:hAnsi="宋体" w:cs="宋体"/>
        </w:rPr>
      </w:pPr>
      <w:r>
        <w:rPr>
          <w:rFonts w:hint="eastAsia" w:ascii="宋体" w:hAnsi="宋体" w:cs="宋体"/>
          <w:sz w:val="24"/>
        </w:rPr>
        <w:t>11.3.3中小企业声明函。（如有）</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rPr>
      </w:pPr>
      <w:r>
        <w:rPr>
          <w:rFonts w:hint="eastAsia" w:ascii="宋体" w:hAnsi="宋体" w:cs="宋体"/>
          <w:b/>
          <w:sz w:val="24"/>
        </w:rPr>
        <w:t>注：投标文件含有采购人不能接受的附加条件的，投标无效；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95"/>
        <w:snapToGrid w:val="0"/>
        <w:spacing w:before="0"/>
        <w:ind w:firstLine="0" w:firstLineChars="0"/>
        <w:outlineLvl w:val="0"/>
        <w:rPr>
          <w:rFonts w:ascii="宋体" w:hAnsi="宋体" w:cs="宋体"/>
          <w:szCs w:val="24"/>
        </w:rPr>
      </w:pPr>
      <w:r>
        <w:rPr>
          <w:rFonts w:hint="eastAsia" w:ascii="宋体" w:hAnsi="宋体" w:cs="宋体"/>
          <w:szCs w:val="24"/>
        </w:rPr>
        <w:t>12</w:t>
      </w:r>
      <w:r>
        <w:rPr>
          <w:rFonts w:hint="eastAsia" w:ascii="宋体" w:hAnsi="宋体" w:cs="宋体"/>
          <w:szCs w:val="24"/>
          <w:lang w:val="zh-CN"/>
        </w:rPr>
        <w:t xml:space="preserve">. </w:t>
      </w:r>
      <w:r>
        <w:rPr>
          <w:rFonts w:hint="eastAsia" w:ascii="宋体" w:hAnsi="宋体" w:cs="宋体"/>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2"/>
        </w:numPr>
        <w:snapToGrid w:val="0"/>
        <w:spacing w:line="360" w:lineRule="auto"/>
        <w:rPr>
          <w:rFonts w:ascii="宋体" w:hAnsi="宋体" w:cs="宋体"/>
          <w:b/>
          <w:sz w:val="24"/>
        </w:rPr>
      </w:pPr>
      <w:r>
        <w:rPr>
          <w:rFonts w:hint="eastAsia" w:ascii="宋体" w:hAnsi="宋体" w:cs="宋体"/>
          <w:b/>
          <w:sz w:val="24"/>
        </w:rPr>
        <w:t>投标文件的签署、盖章</w:t>
      </w:r>
    </w:p>
    <w:p>
      <w:pPr>
        <w:pStyle w:val="95"/>
        <w:snapToGrid w:val="0"/>
        <w:spacing w:before="0"/>
        <w:ind w:firstLine="482"/>
        <w:rPr>
          <w:rFonts w:ascii="宋体" w:hAnsi="宋体" w:cs="宋体"/>
        </w:rPr>
      </w:pPr>
      <w:r>
        <w:rPr>
          <w:rFonts w:hint="eastAsia" w:ascii="宋体" w:hAnsi="宋体" w:cs="宋体"/>
          <w:szCs w:val="24"/>
        </w:rPr>
        <w:t>13.1投标文件按照招标文件第六部分格式要</w:t>
      </w:r>
      <w:r>
        <w:rPr>
          <w:rFonts w:hint="eastAsia" w:ascii="宋体" w:hAnsi="宋体" w:cs="宋体"/>
        </w:rPr>
        <w:t>求进行签署、盖章。▲投标人的投标文件未按照招标文件要求签署、盖章的，其投标无效</w:t>
      </w:r>
      <w:r>
        <w:rPr>
          <w:rFonts w:hint="eastAsia" w:ascii="宋体" w:hAnsi="宋体" w:cs="宋体"/>
          <w:szCs w:val="24"/>
        </w:rPr>
        <w:t>。</w:t>
      </w:r>
    </w:p>
    <w:p>
      <w:pPr>
        <w:pStyle w:val="95"/>
        <w:snapToGrid w:val="0"/>
        <w:spacing w:before="0"/>
        <w:ind w:firstLine="482"/>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95"/>
        <w:snapToGrid w:val="0"/>
        <w:spacing w:before="0"/>
        <w:ind w:firstLine="482"/>
        <w:rPr>
          <w:rFonts w:ascii="宋体" w:hAnsi="宋体" w:cs="宋体"/>
          <w:szCs w:val="24"/>
        </w:rPr>
      </w:pPr>
      <w:r>
        <w:rPr>
          <w:rFonts w:hint="eastAsia" w:ascii="宋体" w:hAnsi="宋体" w:cs="宋体"/>
        </w:rPr>
        <w:t>13.3招标文件对投标文件签署、盖章的要求适用于电子签名。</w:t>
      </w:r>
    </w:p>
    <w:p>
      <w:pPr>
        <w:pStyle w:val="95"/>
        <w:spacing w:before="0"/>
        <w:ind w:firstLine="0" w:firstLineChars="0"/>
        <w:rPr>
          <w:rFonts w:ascii="宋体" w:hAnsi="宋体" w:cs="宋体"/>
          <w:szCs w:val="24"/>
        </w:rPr>
      </w:pPr>
      <w:r>
        <w:rPr>
          <w:rFonts w:hint="eastAsia" w:ascii="宋体" w:hAnsi="宋体" w:cs="宋体"/>
          <w:szCs w:val="24"/>
        </w:rPr>
        <w:t>14. 投标文件的提交、补充、修改、撤回</w:t>
      </w:r>
    </w:p>
    <w:p>
      <w:pPr>
        <w:pStyle w:val="95"/>
        <w:ind w:firstLine="482"/>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5"/>
        <w:spacing w:before="0"/>
        <w:ind w:firstLine="482"/>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95"/>
        <w:spacing w:before="0"/>
        <w:ind w:firstLine="482"/>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w:t>
      </w:r>
      <w:r>
        <w:rPr>
          <w:rFonts w:hint="eastAsia" w:hAnsi="宋体" w:cs="宋体"/>
          <w:b/>
          <w:szCs w:val="24"/>
        </w:rPr>
        <w:t xml:space="preserve">. </w:t>
      </w:r>
      <w:r>
        <w:rPr>
          <w:rFonts w:hint="eastAsia" w:hAnsi="宋体" w:cs="宋体"/>
          <w:b/>
          <w:sz w:val="24"/>
          <w:szCs w:val="24"/>
        </w:rPr>
        <w:t>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7"/>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95"/>
        <w:numPr>
          <w:ilvl w:val="0"/>
          <w:numId w:val="3"/>
        </w:numPr>
        <w:spacing w:before="0"/>
        <w:ind w:firstLine="0" w:firstLineChars="0"/>
        <w:rPr>
          <w:rFonts w:ascii="宋体" w:hAnsi="宋体" w:cs="宋体"/>
          <w:szCs w:val="24"/>
        </w:rPr>
      </w:pPr>
      <w:r>
        <w:rPr>
          <w:rFonts w:hint="eastAsia" w:ascii="宋体" w:hAnsi="宋体" w:cs="宋体"/>
          <w:szCs w:val="24"/>
        </w:rPr>
        <w:t>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4.2投标无效规定</w:t>
      </w:r>
      <w:r>
        <w:rPr>
          <w:rFonts w:hint="eastAsia" w:cs="宋体"/>
          <w:szCs w:val="21"/>
        </w:rPr>
        <w:t>的情形之一的，投标无效：</w:t>
      </w:r>
    </w:p>
    <w:p>
      <w:pPr>
        <w:pStyle w:val="95"/>
        <w:numPr>
          <w:ilvl w:val="0"/>
          <w:numId w:val="3"/>
        </w:numPr>
        <w:spacing w:before="0"/>
        <w:ind w:firstLine="0" w:firstLineChars="0"/>
        <w:rPr>
          <w:rFonts w:ascii="宋体" w:hAnsi="宋体" w:cs="宋体"/>
          <w:szCs w:val="24"/>
        </w:rPr>
      </w:pPr>
      <w:r>
        <w:rPr>
          <w:rFonts w:hint="eastAsia" w:ascii="宋体" w:hAnsi="宋体" w:cs="宋体"/>
          <w:szCs w:val="24"/>
        </w:rPr>
        <w:t>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95"/>
        <w:spacing w:before="0"/>
        <w:ind w:firstLine="482"/>
        <w:rPr>
          <w:rFonts w:ascii="宋体" w:hAnsi="宋体" w:cs="宋体"/>
        </w:rPr>
      </w:pPr>
      <w:r>
        <w:rPr>
          <w:rFonts w:hint="eastAsia" w:ascii="宋体" w:hAnsi="宋体" w:cs="宋体"/>
        </w:rPr>
        <w:t>17.2投标文件合格投递后，自投标截止日期起，在投标有效期内有效。</w:t>
      </w:r>
    </w:p>
    <w:p>
      <w:pPr>
        <w:pStyle w:val="95"/>
        <w:spacing w:before="0"/>
        <w:ind w:firstLine="482"/>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95"/>
        <w:spacing w:before="0"/>
        <w:ind w:firstLine="1928" w:firstLineChars="600"/>
        <w:rPr>
          <w:rFonts w:ascii="宋体" w:hAnsi="宋体" w:cs="宋体"/>
          <w:sz w:val="32"/>
        </w:rPr>
      </w:pPr>
      <w:r>
        <w:rPr>
          <w:rFonts w:hint="eastAsia" w:ascii="宋体" w:hAnsi="宋体" w:cs="宋体"/>
          <w:sz w:val="32"/>
        </w:rPr>
        <w:t>四、开标、资格审查与信用信息查询</w:t>
      </w:r>
    </w:p>
    <w:p>
      <w:pPr>
        <w:pStyle w:val="251"/>
        <w:spacing w:before="0" w:line="360" w:lineRule="auto"/>
        <w:ind w:left="0" w:firstLine="241" w:firstLineChars="10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pPr>
        <w:pStyle w:val="251"/>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5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51"/>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251"/>
        <w:spacing w:before="0" w:line="360" w:lineRule="auto"/>
        <w:ind w:left="0" w:firstLine="0"/>
        <w:contextualSpacing/>
        <w:rPr>
          <w:rFonts w:ascii="宋体" w:hAnsi="宋体" w:cs="宋体"/>
          <w:szCs w:val="24"/>
        </w:rPr>
      </w:pPr>
      <w:r>
        <w:rPr>
          <w:rFonts w:ascii="宋体" w:hAnsi="宋体" w:cs="宋体"/>
          <w:b/>
          <w:sz w:val="24"/>
          <w:szCs w:val="24"/>
        </w:rPr>
        <w:t xml:space="preserve">19. </w:t>
      </w:r>
      <w:r>
        <w:rPr>
          <w:rFonts w:hint="eastAsia" w:ascii="宋体" w:hAnsi="宋体" w:cs="宋体"/>
          <w:b/>
          <w:sz w:val="24"/>
          <w:szCs w:val="24"/>
        </w:rPr>
        <w:t>资格审查</w:t>
      </w:r>
    </w:p>
    <w:p>
      <w:pPr>
        <w:pStyle w:val="95"/>
        <w:spacing w:before="0"/>
        <w:ind w:firstLine="482"/>
        <w:rPr>
          <w:rFonts w:ascii="宋体" w:hAnsi="宋体" w:cs="宋体"/>
          <w:szCs w:val="24"/>
        </w:rPr>
      </w:pPr>
      <w:r>
        <w:rPr>
          <w:rFonts w:hint="eastAsia" w:ascii="宋体" w:hAnsi="宋体" w:cs="宋体"/>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95"/>
        <w:spacing w:before="0"/>
        <w:ind w:firstLine="482"/>
        <w:rPr>
          <w:rFonts w:ascii="宋体" w:hAnsi="宋体" w:cs="宋体"/>
        </w:rPr>
      </w:pPr>
      <w:r>
        <w:rPr>
          <w:rFonts w:hint="eastAsia" w:ascii="宋体" w:hAnsi="宋体" w:cs="宋体"/>
          <w:szCs w:val="24"/>
        </w:rPr>
        <w:t>19.3投标人未按照招标文件要求提供与</w:t>
      </w:r>
      <w:r>
        <w:rPr>
          <w:rFonts w:hint="eastAsia" w:ascii="宋体" w:hAnsi="宋体" w:cs="宋体"/>
        </w:rPr>
        <w:t>基本资格条件、特定资格条件相应的</w:t>
      </w:r>
      <w:r>
        <w:rPr>
          <w:rFonts w:hint="eastAsia" w:ascii="宋体" w:hAnsi="宋体" w:cs="宋体"/>
          <w:szCs w:val="24"/>
        </w:rPr>
        <w:t>有效资格证明材料的，视为</w:t>
      </w:r>
      <w:r>
        <w:rPr>
          <w:rFonts w:hint="eastAsia" w:ascii="宋体" w:hAnsi="宋体" w:cs="宋体"/>
        </w:rPr>
        <w:t>投标人不具备招标文件中规定的资格要求，其投标无效。</w:t>
      </w:r>
    </w:p>
    <w:p>
      <w:pPr>
        <w:pStyle w:val="95"/>
        <w:spacing w:before="0"/>
        <w:ind w:firstLine="482"/>
        <w:rPr>
          <w:rFonts w:ascii="宋体" w:hAnsi="宋体" w:cs="宋体"/>
        </w:rPr>
      </w:pPr>
      <w:r>
        <w:rPr>
          <w:rFonts w:hint="eastAsia" w:ascii="宋体" w:hAnsi="宋体" w:cs="宋体"/>
          <w:szCs w:val="24"/>
        </w:rPr>
        <w:t>19.</w:t>
      </w:r>
      <w:r>
        <w:rPr>
          <w:rFonts w:hint="eastAsia" w:ascii="宋体" w:hAnsi="宋体" w:cs="宋体"/>
        </w:rPr>
        <w:t>4对未通过资格审查的投标人，采购人或采购机构告知其未通过的原因。</w:t>
      </w:r>
    </w:p>
    <w:p>
      <w:pPr>
        <w:pStyle w:val="95"/>
        <w:spacing w:before="0"/>
        <w:ind w:firstLine="482"/>
        <w:rPr>
          <w:rFonts w:ascii="宋体" w:hAnsi="宋体" w:cs="宋体"/>
        </w:rPr>
      </w:pPr>
      <w:r>
        <w:rPr>
          <w:rFonts w:hint="eastAsia" w:ascii="宋体" w:hAnsi="宋体" w:cs="宋体"/>
          <w:szCs w:val="24"/>
        </w:rPr>
        <w:t>19.</w:t>
      </w:r>
      <w:r>
        <w:rPr>
          <w:rFonts w:hint="eastAsia" w:ascii="宋体" w:hAnsi="宋体" w:cs="宋体"/>
        </w:rPr>
        <w:t>5合格投标人不足3家的，不再评标。</w:t>
      </w:r>
    </w:p>
    <w:p>
      <w:pPr>
        <w:pStyle w:val="95"/>
        <w:spacing w:before="0"/>
        <w:ind w:firstLine="0" w:firstLineChars="0"/>
        <w:rPr>
          <w:rFonts w:ascii="宋体" w:hAnsi="宋体" w:cs="宋体"/>
          <w:szCs w:val="24"/>
        </w:rPr>
      </w:pPr>
      <w:r>
        <w:rPr>
          <w:rFonts w:hint="eastAsia" w:ascii="宋体" w:hAnsi="宋体" w:cs="宋体"/>
          <w:szCs w:val="24"/>
        </w:rPr>
        <w:t>20. 信用信息查询</w:t>
      </w:r>
    </w:p>
    <w:p>
      <w:pPr>
        <w:pStyle w:val="95"/>
        <w:spacing w:before="0"/>
        <w:ind w:firstLine="495" w:firstLineChars="0"/>
        <w:rPr>
          <w:rFonts w:ascii="宋体" w:hAnsi="宋体" w:cs="宋体"/>
          <w:color w:val="000000"/>
          <w:szCs w:val="24"/>
        </w:rPr>
      </w:pPr>
      <w:r>
        <w:rPr>
          <w:rFonts w:hint="eastAsia" w:ascii="宋体" w:hAnsi="宋体" w:cs="宋体"/>
          <w:color w:val="000000"/>
          <w:szCs w:val="24"/>
        </w:rPr>
        <w:t>20.1信用信息查询渠道及截止时间：采购机构将通过“信用中国”网站(www.creditchina.gov.cn)、中国政府采购网(www.ccgp.gov.cn)渠道查询投标人投标截止时间当天的信用记录。</w:t>
      </w:r>
    </w:p>
    <w:p>
      <w:pPr>
        <w:pStyle w:val="95"/>
        <w:spacing w:before="0"/>
        <w:ind w:firstLine="495" w:firstLineChars="0"/>
        <w:rPr>
          <w:rFonts w:ascii="宋体" w:hAnsi="宋体" w:cs="宋体"/>
          <w:szCs w:val="24"/>
        </w:rPr>
      </w:pPr>
      <w:r>
        <w:rPr>
          <w:rFonts w:hint="eastAsia" w:ascii="宋体" w:hAnsi="宋体" w:cs="宋体"/>
          <w:szCs w:val="24"/>
        </w:rPr>
        <w:t>20.2信用信息查询记录和证据留存的具体方式：现场查询的投标人的信用记录、查询结果经确认后将与采购文件一起存档。</w:t>
      </w:r>
    </w:p>
    <w:p>
      <w:pPr>
        <w:pStyle w:val="95"/>
        <w:spacing w:before="0"/>
        <w:ind w:firstLine="495" w:firstLineChars="0"/>
        <w:rPr>
          <w:rFonts w:ascii="宋体" w:hAnsi="宋体" w:cs="宋体"/>
          <w:szCs w:val="24"/>
        </w:rPr>
      </w:pPr>
      <w:r>
        <w:rPr>
          <w:rFonts w:hint="eastAsia" w:ascii="宋体" w:hAnsi="宋体" w:cs="宋体"/>
          <w:szCs w:val="24"/>
        </w:rPr>
        <w:t>20.3信用信息的使用规则：经查询列入失信被执行人名单、重大税收违法案件当事人名单、政府采购严重违法失信行为记录名单的投标人将被拒绝参与政府采购活动。</w:t>
      </w:r>
    </w:p>
    <w:p>
      <w:pPr>
        <w:pStyle w:val="95"/>
        <w:spacing w:before="0"/>
        <w:ind w:firstLine="482"/>
        <w:rPr>
          <w:rFonts w:ascii="宋体" w:hAnsi="宋体" w:cs="宋体"/>
        </w:rPr>
      </w:pPr>
      <w:r>
        <w:rPr>
          <w:rFonts w:hint="eastAsia" w:ascii="宋体" w:hAnsi="宋体"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95"/>
        <w:spacing w:before="0"/>
        <w:ind w:firstLine="0" w:firstLineChars="0"/>
        <w:rPr>
          <w:rFonts w:ascii="宋体" w:hAnsi="宋体" w:cs="宋体"/>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95"/>
        <w:snapToGrid w:val="0"/>
        <w:spacing w:before="0"/>
        <w:ind w:firstLine="482"/>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5"/>
        <w:snapToGrid w:val="0"/>
        <w:spacing w:before="0"/>
        <w:ind w:firstLine="0" w:firstLineChars="0"/>
        <w:rPr>
          <w:rFonts w:ascii="宋体" w:hAnsi="宋体" w:cs="宋体"/>
          <w:szCs w:val="24"/>
        </w:rPr>
      </w:pPr>
      <w:r>
        <w:rPr>
          <w:rFonts w:hint="eastAsia" w:ascii="宋体" w:hAnsi="宋体" w:cs="宋体"/>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8" w:name="_Hlk101184471"/>
      <w:r>
        <w:rPr>
          <w:rFonts w:hint="eastAsia" w:ascii="宋体" w:hAnsi="宋体" w:cs="宋体"/>
          <w:sz w:val="24"/>
        </w:rPr>
        <w:t>资格审查情况、评审专家抽取规则、符合性审查情况、</w:t>
      </w:r>
      <w:bookmarkEnd w:id="18"/>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95"/>
        <w:ind w:firstLine="0" w:firstLineChars="0"/>
        <w:rPr>
          <w:rFonts w:ascii="宋体" w:hAnsi="宋体" w:cs="宋体"/>
        </w:rPr>
      </w:pPr>
      <w:r>
        <w:rPr>
          <w:rFonts w:hint="eastAsia" w:ascii="宋体" w:hAnsi="宋体" w:cs="宋体"/>
        </w:rPr>
        <w:t>25. 合同的</w:t>
      </w:r>
      <w:r>
        <w:rPr>
          <w:rFonts w:hint="eastAsia" w:ascii="宋体" w:hAnsi="宋体" w:cs="宋体"/>
          <w:szCs w:val="24"/>
        </w:rPr>
        <w:t>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w:t>
      </w:r>
      <w:r>
        <w:rPr>
          <w:rFonts w:hint="eastAsia" w:ascii="宋体" w:hAnsi="宋体" w:cs="宋体"/>
          <w:kern w:val="0"/>
          <w:sz w:val="24"/>
          <w:szCs w:val="20"/>
          <w:lang w:val="zh-CN"/>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95"/>
        <w:snapToGrid w:val="0"/>
        <w:spacing w:before="0"/>
        <w:ind w:firstLine="482"/>
        <w:rPr>
          <w:rFonts w:ascii="宋体" w:hAnsi="宋体" w:cs="宋体"/>
        </w:rPr>
      </w:pPr>
      <w:r>
        <w:rPr>
          <w:rFonts w:hint="eastAsia" w:ascii="宋体" w:hAnsi="宋体" w:cs="宋体"/>
          <w:lang w:val="zh-CN"/>
        </w:rPr>
        <w:t>25.2中标人按规定的日期、时间、地点，由法定代表人或其授权代表与采购人代表签订合同。如中标人为联合体的，由联合体成员各方法定代表人或其授权代表与采购人代表签订合同。</w:t>
      </w:r>
    </w:p>
    <w:p>
      <w:pPr>
        <w:pStyle w:val="95"/>
        <w:snapToGrid w:val="0"/>
        <w:spacing w:before="0"/>
        <w:ind w:firstLine="482"/>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95"/>
        <w:snapToGrid w:val="0"/>
        <w:spacing w:before="0"/>
        <w:ind w:firstLine="482"/>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95"/>
        <w:snapToGrid w:val="0"/>
        <w:spacing w:before="0" w:after="120"/>
        <w:ind w:firstLine="482"/>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2"/>
        <w:ind w:firstLine="480" w:firstLineChars="200"/>
        <w:rPr>
          <w:rFonts w:ascii="宋体" w:hAnsi="宋体" w:eastAsia="宋体" w:cs="宋体"/>
          <w:lang w:val="en-US"/>
        </w:rPr>
      </w:pPr>
      <w:r>
        <w:rPr>
          <w:rFonts w:hint="eastAsia" w:ascii="宋体" w:hAnsi="宋体" w:eastAsia="宋体" w:cs="宋体"/>
          <w:snapToGrid w:val="0"/>
          <w:kern w:val="28"/>
          <w:sz w:val="24"/>
        </w:rPr>
        <w:t>供应商</w:t>
      </w:r>
      <w:r>
        <w:rPr>
          <w:rFonts w:hint="eastAsia" w:ascii="宋体" w:hAnsi="宋体" w:eastAsia="宋体" w:cs="宋体"/>
          <w:snapToGrid w:val="0"/>
          <w:kern w:val="28"/>
          <w:sz w:val="24"/>
          <w:lang w:val="en-US"/>
        </w:rPr>
        <w:t>可</w:t>
      </w:r>
      <w:r>
        <w:rPr>
          <w:rFonts w:hint="eastAsia" w:ascii="宋体" w:hAnsi="宋体" w:eastAsia="宋体" w:cs="宋体"/>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95"/>
        <w:snapToGrid w:val="0"/>
        <w:spacing w:before="0"/>
        <w:ind w:firstLine="0" w:firstLineChars="0"/>
        <w:rPr>
          <w:rFonts w:ascii="宋体" w:hAnsi="宋体" w:cs="宋体"/>
        </w:rPr>
      </w:pPr>
      <w:r>
        <w:rPr>
          <w:rFonts w:hint="eastAsia" w:ascii="宋体" w:hAnsi="宋体" w:cs="宋体"/>
          <w:bCs/>
        </w:rPr>
        <w:t>2</w:t>
      </w:r>
      <w:r>
        <w:rPr>
          <w:rFonts w:hint="eastAsia" w:ascii="宋体" w:hAnsi="宋体" w:cs="宋体"/>
          <w:bCs/>
          <w:szCs w:val="24"/>
        </w:rPr>
        <w:t>7.</w:t>
      </w:r>
      <w:r>
        <w:rPr>
          <w:rFonts w:hint="eastAsia" w:ascii="宋体" w:hAnsi="宋体" w:cs="宋体"/>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95"/>
        <w:snapToGrid w:val="0"/>
        <w:spacing w:before="0"/>
        <w:ind w:firstLine="482"/>
        <w:rPr>
          <w:rFonts w:ascii="宋体" w:hAnsi="宋体" w:cs="宋体"/>
        </w:rPr>
      </w:pPr>
      <w:r>
        <w:rPr>
          <w:rFonts w:hint="eastAsia" w:ascii="宋体" w:hAnsi="宋体" w:cs="宋体"/>
        </w:rPr>
        <w:t xml:space="preserve">27.1电子交易平台发生故障而无法登录访问的； </w:t>
      </w:r>
    </w:p>
    <w:p>
      <w:pPr>
        <w:pStyle w:val="95"/>
        <w:snapToGrid w:val="0"/>
        <w:spacing w:before="0"/>
        <w:ind w:firstLine="482"/>
        <w:rPr>
          <w:rFonts w:ascii="宋体" w:hAnsi="宋体" w:cs="宋体"/>
        </w:rPr>
      </w:pPr>
      <w:r>
        <w:rPr>
          <w:rFonts w:hint="eastAsia" w:ascii="宋体" w:hAnsi="宋体" w:cs="宋体"/>
        </w:rPr>
        <w:t>27.2电子交易平台应用或数据库出现错误，不能进行正常操作的；</w:t>
      </w:r>
    </w:p>
    <w:p>
      <w:pPr>
        <w:pStyle w:val="95"/>
        <w:snapToGrid w:val="0"/>
        <w:spacing w:before="0"/>
        <w:ind w:firstLine="482"/>
        <w:rPr>
          <w:rFonts w:ascii="宋体" w:hAnsi="宋体" w:cs="宋体"/>
        </w:rPr>
      </w:pPr>
      <w:r>
        <w:rPr>
          <w:rFonts w:hint="eastAsia" w:ascii="宋体" w:hAnsi="宋体" w:cs="宋体"/>
        </w:rPr>
        <w:t>27.3电子交易平台发现严重安全漏洞，有潜在泄密危险的；</w:t>
      </w:r>
    </w:p>
    <w:p>
      <w:pPr>
        <w:pStyle w:val="95"/>
        <w:snapToGrid w:val="0"/>
        <w:spacing w:before="0"/>
        <w:ind w:firstLine="482"/>
        <w:rPr>
          <w:rFonts w:ascii="宋体" w:hAnsi="宋体" w:cs="宋体"/>
        </w:rPr>
      </w:pPr>
      <w:r>
        <w:rPr>
          <w:rFonts w:hint="eastAsia" w:ascii="宋体" w:hAnsi="宋体" w:cs="宋体"/>
        </w:rPr>
        <w:t xml:space="preserve">27.4病毒发作导致不能进行正常操作的； </w:t>
      </w:r>
    </w:p>
    <w:p>
      <w:pPr>
        <w:pStyle w:val="95"/>
        <w:snapToGrid w:val="0"/>
        <w:spacing w:before="0"/>
        <w:ind w:firstLine="482"/>
        <w:rPr>
          <w:rFonts w:ascii="宋体" w:hAnsi="宋体" w:cs="宋体"/>
        </w:rPr>
      </w:pPr>
      <w:r>
        <w:rPr>
          <w:rFonts w:hint="eastAsia" w:ascii="宋体" w:hAnsi="宋体" w:cs="宋体"/>
        </w:rPr>
        <w:t>27.5其他无法保证电子交易的公平、公正和安全的情况。</w:t>
      </w:r>
    </w:p>
    <w:p>
      <w:pPr>
        <w:pStyle w:val="95"/>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0"/>
        <w:rPr>
          <w:rFonts w:ascii="宋体" w:hAnsi="宋体" w:cs="宋体"/>
          <w:sz w:val="24"/>
        </w:rPr>
      </w:pPr>
    </w:p>
    <w:p>
      <w:pPr>
        <w:snapToGrid w:val="0"/>
        <w:spacing w:line="360" w:lineRule="auto"/>
        <w:jc w:val="center"/>
        <w:rPr>
          <w:rFonts w:ascii="宋体" w:hAnsi="宋体" w:cs="宋体"/>
          <w:b/>
          <w:sz w:val="32"/>
        </w:rPr>
      </w:pPr>
      <w:r>
        <w:rPr>
          <w:rFonts w:hint="eastAsia" w:ascii="宋体" w:hAnsi="宋体" w:cs="宋体"/>
          <w:b/>
          <w:sz w:val="32"/>
        </w:rPr>
        <w:t>九、验收</w:t>
      </w:r>
    </w:p>
    <w:bookmarkEnd w:id="17"/>
    <w:p>
      <w:pPr>
        <w:pStyle w:val="26"/>
        <w:spacing w:line="360" w:lineRule="auto"/>
        <w:ind w:firstLine="0" w:firstLineChars="0"/>
        <w:rPr>
          <w:rFonts w:cs="宋体"/>
          <w:b/>
        </w:rPr>
      </w:pPr>
      <w:bookmarkStart w:id="19" w:name="_Hlt74714665"/>
      <w:bookmarkEnd w:id="19"/>
      <w:bookmarkStart w:id="20" w:name="_Hlt68072998"/>
      <w:bookmarkEnd w:id="20"/>
      <w:bookmarkStart w:id="21" w:name="_Hlt68057669"/>
      <w:bookmarkEnd w:id="21"/>
      <w:bookmarkStart w:id="22" w:name="_Hlt68073093"/>
      <w:bookmarkEnd w:id="22"/>
      <w:bookmarkStart w:id="23" w:name="_Hlt75236011"/>
      <w:bookmarkEnd w:id="23"/>
      <w:bookmarkStart w:id="24" w:name="_Hlt74729768"/>
      <w:bookmarkEnd w:id="24"/>
      <w:bookmarkStart w:id="25" w:name="_Hlt74707468"/>
      <w:bookmarkEnd w:id="25"/>
      <w:bookmarkStart w:id="26" w:name="_Hlt75236290"/>
      <w:bookmarkEnd w:id="26"/>
      <w:bookmarkStart w:id="27" w:name="_Hlt68072990"/>
      <w:bookmarkEnd w:id="27"/>
      <w:bookmarkStart w:id="28" w:name="_Hlt75236101"/>
      <w:bookmarkEnd w:id="28"/>
      <w:bookmarkStart w:id="29" w:name="_Hlt68403820"/>
      <w:bookmarkEnd w:id="29"/>
      <w:bookmarkStart w:id="30" w:name="_Hlt74730295"/>
      <w:bookmarkEnd w:id="30"/>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rPr>
          <w:rFonts w:ascii="宋体" w:hAnsi="宋体" w:eastAsia="宋体" w:cs="宋体"/>
          <w:lang w:val="en-US"/>
        </w:rPr>
        <w:sectPr>
          <w:footerReference r:id="rId13" w:type="first"/>
          <w:footerReference r:id="rId11" w:type="default"/>
          <w:footerReference r:id="rId12" w:type="even"/>
          <w:pgSz w:w="11906" w:h="16838"/>
          <w:pgMar w:top="680" w:right="1418" w:bottom="468" w:left="1418" w:header="851" w:footer="992" w:gutter="0"/>
          <w:pgNumType w:fmt="numberInDash" w:start="1"/>
          <w:cols w:space="720" w:num="1"/>
          <w:titlePg/>
          <w:docGrid w:linePitch="312" w:charSpace="0"/>
        </w:sectPr>
      </w:pPr>
    </w:p>
    <w:bookmarkEnd w:id="15"/>
    <w:bookmarkEnd w:id="16"/>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numPr>
          <w:ilvl w:val="0"/>
          <w:numId w:val="4"/>
        </w:numPr>
        <w:spacing w:line="360" w:lineRule="auto"/>
        <w:ind w:firstLine="482" w:firstLineChars="200"/>
        <w:outlineLvl w:val="1"/>
        <w:rPr>
          <w:rFonts w:ascii="宋体" w:hAnsi="宋体" w:cs="宋体"/>
          <w:b/>
          <w:bCs/>
          <w:color w:val="000000" w:themeColor="text1"/>
          <w:sz w:val="24"/>
          <w14:textFill>
            <w14:solidFill>
              <w14:schemeClr w14:val="tx1"/>
            </w14:solidFill>
          </w14:textFill>
        </w:rPr>
      </w:pPr>
      <w:bookmarkStart w:id="32" w:name="_Toc14281"/>
      <w:bookmarkStart w:id="33" w:name="_Toc91688377"/>
      <w:r>
        <w:rPr>
          <w:rFonts w:hint="eastAsia" w:ascii="宋体" w:hAnsi="宋体" w:cs="宋体"/>
          <w:b/>
          <w:bCs/>
          <w:color w:val="000000" w:themeColor="text1"/>
          <w:sz w:val="24"/>
          <w14:textFill>
            <w14:solidFill>
              <w14:schemeClr w14:val="tx1"/>
            </w14:solidFill>
          </w14:textFill>
        </w:rPr>
        <w:t>项目背景</w:t>
      </w:r>
      <w:bookmarkEnd w:id="32"/>
    </w:p>
    <w:p>
      <w:pPr>
        <w:pStyle w:val="23"/>
        <w:ind w:firstLine="480" w:firstLineChars="200"/>
        <w:rPr>
          <w:color w:val="000000" w:themeColor="text1"/>
          <w:lang w:val="en-US"/>
          <w14:textFill>
            <w14:solidFill>
              <w14:schemeClr w14:val="tx1"/>
            </w14:solidFill>
          </w14:textFill>
        </w:rPr>
      </w:pPr>
      <w:r>
        <w:rPr>
          <w:rFonts w:hint="eastAsia"/>
          <w:lang w:val="en-US"/>
        </w:rPr>
        <w:t>余杭区正</w:t>
      </w:r>
      <w:r>
        <w:rPr>
          <w:lang w:val="en-US"/>
        </w:rPr>
        <w:t>大力推进</w:t>
      </w:r>
      <w:r>
        <w:rPr>
          <w:rFonts w:hint="eastAsia"/>
          <w:lang w:val="en-US"/>
        </w:rPr>
        <w:t>杭州城市重要新中心的高质量发展，奋力扛起“勇当先行者、谱写新篇章”的大区担当。在此</w:t>
      </w:r>
      <w:r>
        <w:rPr>
          <w:lang w:val="en-US"/>
        </w:rPr>
        <w:t>背景下，</w:t>
      </w:r>
      <w:r>
        <w:rPr>
          <w:rFonts w:hint="eastAsia"/>
          <w:color w:val="000000" w:themeColor="text1"/>
          <w:lang w:val="en-US"/>
          <w14:textFill>
            <w14:solidFill>
              <w14:schemeClr w14:val="tx1"/>
            </w14:solidFill>
          </w14:textFill>
        </w:rPr>
        <w:t>余杭塘河作为连接新中心中轴线和西站云城的纽带，不仅拥有良好的历史文化基底，更重要的是拥有承上启下的作用。《区委十五届九次全体（扩大）会议上的报告》中提出“积极谋划余杭塘河综保工程”，聚力打造集产业发展、城市景观、消费娱乐、文化旅游等功能于一体的发展的</w:t>
      </w:r>
      <w:r>
        <w:rPr>
          <w:color w:val="000000" w:themeColor="text1"/>
          <w:lang w:val="en-US"/>
          <w14:textFill>
            <w14:solidFill>
              <w14:schemeClr w14:val="tx1"/>
            </w14:solidFill>
          </w14:textFill>
        </w:rPr>
        <w:t>余杭专属</w:t>
      </w:r>
      <w:r>
        <w:rPr>
          <w:rFonts w:hint="eastAsia"/>
          <w:color w:val="000000" w:themeColor="text1"/>
          <w:lang w:val="en-US"/>
          <w14:textFill>
            <w14:solidFill>
              <w14:schemeClr w14:val="tx1"/>
            </w14:solidFill>
          </w14:textFill>
        </w:rPr>
        <w:t>“金腰带”。</w:t>
      </w:r>
    </w:p>
    <w:p>
      <w:pPr>
        <w:pStyle w:val="24"/>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随着新中心中轴线</w:t>
      </w:r>
      <w:r>
        <w:rPr>
          <w:color w:val="000000" w:themeColor="text1"/>
          <w:lang w:val="en-US"/>
          <w14:textFill>
            <w14:solidFill>
              <w14:schemeClr w14:val="tx1"/>
            </w14:solidFill>
          </w14:textFill>
        </w:rPr>
        <w:t>区域的</w:t>
      </w:r>
      <w:r>
        <w:rPr>
          <w:rFonts w:hint="eastAsia"/>
          <w:color w:val="000000" w:themeColor="text1"/>
          <w:lang w:val="en-US"/>
          <w14:textFill>
            <w14:solidFill>
              <w14:schemeClr w14:val="tx1"/>
            </w14:solidFill>
          </w14:textFill>
        </w:rPr>
        <w:t>地位</w:t>
      </w:r>
      <w:r>
        <w:rPr>
          <w:color w:val="000000" w:themeColor="text1"/>
          <w:lang w:val="en-US"/>
          <w14:textFill>
            <w14:solidFill>
              <w14:schemeClr w14:val="tx1"/>
            </w14:solidFill>
          </w14:textFill>
        </w:rPr>
        <w:t>不断提高</w:t>
      </w:r>
      <w:r>
        <w:rPr>
          <w:rFonts w:hint="eastAsia"/>
          <w:color w:val="000000" w:themeColor="text1"/>
          <w:lang w:val="en-US"/>
          <w14:textFill>
            <w14:solidFill>
              <w14:schemeClr w14:val="tx1"/>
            </w14:solidFill>
          </w14:textFill>
        </w:rPr>
        <w:t>，余杭塘河的重要性愈发凸显，需要在</w:t>
      </w:r>
      <w:r>
        <w:rPr>
          <w:color w:val="000000" w:themeColor="text1"/>
          <w:lang w:val="en-US"/>
          <w14:textFill>
            <w14:solidFill>
              <w14:schemeClr w14:val="tx1"/>
            </w14:solidFill>
          </w14:textFill>
        </w:rPr>
        <w:t>新中心中轴</w:t>
      </w:r>
      <w:r>
        <w:rPr>
          <w:rFonts w:hint="eastAsia"/>
          <w:color w:val="000000" w:themeColor="text1"/>
          <w:lang w:val="en-US"/>
          <w14:textFill>
            <w14:solidFill>
              <w14:schemeClr w14:val="tx1"/>
            </w14:solidFill>
          </w14:textFill>
        </w:rPr>
        <w:t>线规划建成</w:t>
      </w:r>
      <w:r>
        <w:rPr>
          <w:color w:val="000000" w:themeColor="text1"/>
          <w:lang w:val="en-US"/>
          <w14:textFill>
            <w14:solidFill>
              <w14:schemeClr w14:val="tx1"/>
            </w14:solidFill>
          </w14:textFill>
        </w:rPr>
        <w:t>之前</w:t>
      </w:r>
      <w:r>
        <w:rPr>
          <w:rFonts w:hint="eastAsia"/>
          <w:color w:val="000000" w:themeColor="text1"/>
          <w:lang w:val="en-US"/>
          <w14:textFill>
            <w14:solidFill>
              <w14:schemeClr w14:val="tx1"/>
            </w14:solidFill>
          </w14:textFill>
        </w:rPr>
        <w:t>，能够结合余杭塘河</w:t>
      </w:r>
      <w:r>
        <w:rPr>
          <w:color w:val="000000" w:themeColor="text1"/>
          <w:lang w:val="en-US"/>
          <w14:textFill>
            <w14:solidFill>
              <w14:schemeClr w14:val="tx1"/>
            </w14:solidFill>
          </w14:textFill>
        </w:rPr>
        <w:t>现状这条</w:t>
      </w:r>
      <w:r>
        <w:rPr>
          <w:rFonts w:cs="Arial" w:asciiTheme="minorEastAsia" w:hAnsiTheme="minorEastAsia" w:eastAsiaTheme="minorEastAsia"/>
          <w:color w:val="000000" w:themeColor="text1"/>
          <w:szCs w:val="21"/>
          <w:lang w:val="en-US"/>
          <w14:textFill>
            <w14:solidFill>
              <w14:schemeClr w14:val="tx1"/>
            </w14:solidFill>
          </w14:textFill>
        </w:rPr>
        <w:t>“</w:t>
      </w:r>
      <w:r>
        <w:rPr>
          <w:rFonts w:hint="eastAsia"/>
          <w:color w:val="000000" w:themeColor="text1"/>
          <w:lang w:val="en-US"/>
          <w14:textFill>
            <w14:solidFill>
              <w14:schemeClr w14:val="tx1"/>
            </w14:solidFill>
          </w14:textFill>
        </w:rPr>
        <w:t>金腰带</w:t>
      </w:r>
      <w:r>
        <w:rPr>
          <w:rFonts w:cs="Arial" w:asciiTheme="minorEastAsia" w:hAnsiTheme="minorEastAsia" w:eastAsiaTheme="minorEastAsia"/>
          <w:color w:val="000000" w:themeColor="text1"/>
          <w:szCs w:val="21"/>
          <w:lang w:val="en-US"/>
          <w14:textFill>
            <w14:solidFill>
              <w14:schemeClr w14:val="tx1"/>
            </w14:solidFill>
          </w14:textFill>
        </w:rPr>
        <w:t>”</w:t>
      </w:r>
      <w:r>
        <w:rPr>
          <w:rFonts w:hint="eastAsia" w:cs="Arial" w:asciiTheme="minorEastAsia" w:hAnsiTheme="minorEastAsia" w:eastAsiaTheme="minorEastAsia"/>
          <w:color w:val="000000" w:themeColor="text1"/>
          <w:szCs w:val="21"/>
          <w:lang w:val="en-US"/>
          <w14:textFill>
            <w14:solidFill>
              <w14:schemeClr w14:val="tx1"/>
            </w14:solidFill>
          </w14:textFill>
        </w:rPr>
        <w:t>给</w:t>
      </w:r>
      <w:r>
        <w:rPr>
          <w:rFonts w:cs="Arial" w:asciiTheme="minorEastAsia" w:hAnsiTheme="minorEastAsia" w:eastAsiaTheme="minorEastAsia"/>
          <w:color w:val="000000" w:themeColor="text1"/>
          <w:szCs w:val="21"/>
          <w:lang w:val="en-US"/>
          <w14:textFill>
            <w14:solidFill>
              <w14:schemeClr w14:val="tx1"/>
            </w14:solidFill>
          </w14:textFill>
        </w:rPr>
        <w:t>市民</w:t>
      </w:r>
      <w:r>
        <w:rPr>
          <w:rFonts w:hint="eastAsia" w:cs="Arial" w:asciiTheme="minorEastAsia" w:hAnsiTheme="minorEastAsia" w:eastAsiaTheme="minorEastAsia"/>
          <w:color w:val="000000" w:themeColor="text1"/>
          <w:szCs w:val="21"/>
          <w:lang w:val="en-US"/>
          <w14:textFill>
            <w14:solidFill>
              <w14:schemeClr w14:val="tx1"/>
            </w14:solidFill>
          </w14:textFill>
        </w:rPr>
        <w:t>提供</w:t>
      </w:r>
      <w:r>
        <w:rPr>
          <w:rFonts w:hint="eastAsia"/>
          <w:color w:val="000000" w:themeColor="text1"/>
          <w:lang w:val="en-US"/>
          <w14:textFill>
            <w14:solidFill>
              <w14:schemeClr w14:val="tx1"/>
            </w14:solidFill>
          </w14:textFill>
        </w:rPr>
        <w:t>休闲娱乐、</w:t>
      </w:r>
      <w:r>
        <w:rPr>
          <w:color w:val="000000" w:themeColor="text1"/>
          <w:lang w:val="en-US"/>
          <w14:textFill>
            <w14:solidFill>
              <w14:schemeClr w14:val="tx1"/>
            </w14:solidFill>
          </w14:textFill>
        </w:rPr>
        <w:t>产业发展的</w:t>
      </w:r>
      <w:r>
        <w:rPr>
          <w:rFonts w:hint="eastAsia"/>
          <w:color w:val="000000" w:themeColor="text1"/>
          <w:lang w:val="en-US"/>
          <w14:textFill>
            <w14:solidFill>
              <w14:schemeClr w14:val="tx1"/>
            </w14:solidFill>
          </w14:textFill>
        </w:rPr>
        <w:t>场所</w:t>
      </w:r>
      <w:r>
        <w:rPr>
          <w:color w:val="000000" w:themeColor="text1"/>
          <w:lang w:val="en-US"/>
          <w14:textFill>
            <w14:solidFill>
              <w14:schemeClr w14:val="tx1"/>
            </w14:solidFill>
          </w14:textFill>
        </w:rPr>
        <w:t>，</w:t>
      </w:r>
      <w:r>
        <w:rPr>
          <w:rFonts w:hint="eastAsia"/>
          <w:color w:val="000000" w:themeColor="text1"/>
          <w:lang w:val="en-US"/>
          <w14:textFill>
            <w14:solidFill>
              <w14:schemeClr w14:val="tx1"/>
            </w14:solidFill>
          </w14:textFill>
        </w:rPr>
        <w:t>故开展《杭州余杭塘河（余杭段）沿线区域提升规划及重点区段更新设计》项目的公开招标工作。</w:t>
      </w:r>
    </w:p>
    <w:p>
      <w:pPr>
        <w:numPr>
          <w:ilvl w:val="0"/>
          <w:numId w:val="4"/>
        </w:numPr>
        <w:spacing w:line="360" w:lineRule="auto"/>
        <w:ind w:firstLine="482" w:firstLineChars="200"/>
        <w:outlineLvl w:val="1"/>
        <w:rPr>
          <w:rFonts w:ascii="宋体" w:hAnsi="宋体" w:cs="宋体"/>
          <w:b/>
          <w:bCs/>
          <w:color w:val="000000" w:themeColor="text1"/>
          <w:sz w:val="24"/>
          <w14:textFill>
            <w14:solidFill>
              <w14:schemeClr w14:val="tx1"/>
            </w14:solidFill>
          </w14:textFill>
        </w:rPr>
      </w:pPr>
      <w:bookmarkStart w:id="34" w:name="_Toc27622"/>
      <w:r>
        <w:rPr>
          <w:rFonts w:hint="eastAsia" w:ascii="宋体" w:hAnsi="宋体" w:cs="宋体"/>
          <w:b/>
          <w:bCs/>
          <w:color w:val="000000" w:themeColor="text1"/>
          <w:sz w:val="24"/>
          <w14:textFill>
            <w14:solidFill>
              <w14:schemeClr w14:val="tx1"/>
            </w14:solidFill>
          </w14:textFill>
        </w:rPr>
        <w:t>规划内容</w:t>
      </w:r>
      <w:bookmarkEnd w:id="34"/>
    </w:p>
    <w:p>
      <w:pPr>
        <w:pStyle w:val="23"/>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拟开展《杭州余杭塘河（余杭段）沿线区域提升规划及重点区段更新设计》规划编制工作,规划内容主要包括两方面：</w:t>
      </w:r>
    </w:p>
    <w:p>
      <w:pPr>
        <w:pStyle w:val="23"/>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1、余杭塘河（余杭段）整体研究范围</w:t>
      </w:r>
    </w:p>
    <w:p>
      <w:pPr>
        <w:pStyle w:val="23"/>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在新中心创新发展的背景下，开展余杭塘河沿线南北纵深整体区域协调性研究，系统性研究余杭塘河</w:t>
      </w:r>
      <w:r>
        <w:rPr>
          <w:color w:val="000000" w:themeColor="text1"/>
          <w:lang w:val="en-US"/>
          <w14:textFill>
            <w14:solidFill>
              <w14:schemeClr w14:val="tx1"/>
            </w14:solidFill>
          </w14:textFill>
        </w:rPr>
        <w:t>（</w:t>
      </w:r>
      <w:r>
        <w:rPr>
          <w:rFonts w:hint="eastAsia"/>
          <w:color w:val="000000" w:themeColor="text1"/>
          <w:lang w:val="en-US"/>
          <w14:textFill>
            <w14:solidFill>
              <w14:schemeClr w14:val="tx1"/>
            </w14:solidFill>
          </w14:textFill>
        </w:rPr>
        <w:t>余杭段</w:t>
      </w:r>
      <w:r>
        <w:rPr>
          <w:color w:val="000000" w:themeColor="text1"/>
          <w:lang w:val="en-US"/>
          <w14:textFill>
            <w14:solidFill>
              <w14:schemeClr w14:val="tx1"/>
            </w14:solidFill>
          </w14:textFill>
        </w:rPr>
        <w:t>）</w:t>
      </w:r>
      <w:r>
        <w:rPr>
          <w:rFonts w:hint="eastAsia"/>
          <w:color w:val="000000" w:themeColor="text1"/>
          <w:lang w:val="en-US"/>
          <w14:textFill>
            <w14:solidFill>
              <w14:schemeClr w14:val="tx1"/>
            </w14:solidFill>
          </w14:textFill>
        </w:rPr>
        <w:t>沿线区域发展背景、周边</w:t>
      </w:r>
      <w:r>
        <w:rPr>
          <w:color w:val="000000" w:themeColor="text1"/>
          <w:lang w:val="en-US"/>
          <w14:textFill>
            <w14:solidFill>
              <w14:schemeClr w14:val="tx1"/>
            </w14:solidFill>
          </w14:textFill>
        </w:rPr>
        <w:t>区域规划</w:t>
      </w:r>
      <w:r>
        <w:rPr>
          <w:rFonts w:hint="eastAsia"/>
          <w:color w:val="000000" w:themeColor="text1"/>
          <w:lang w:val="en-US"/>
          <w14:textFill>
            <w14:solidFill>
              <w14:schemeClr w14:val="tx1"/>
            </w14:solidFill>
          </w14:textFill>
        </w:rPr>
        <w:t>衔接、余杭塘河</w:t>
      </w:r>
      <w:r>
        <w:rPr>
          <w:color w:val="000000" w:themeColor="text1"/>
          <w:lang w:val="en-US"/>
          <w14:textFill>
            <w14:solidFill>
              <w14:schemeClr w14:val="tx1"/>
            </w14:solidFill>
          </w14:textFill>
        </w:rPr>
        <w:t>特质、</w:t>
      </w:r>
      <w:r>
        <w:rPr>
          <w:rFonts w:hint="eastAsia"/>
          <w:color w:val="000000" w:themeColor="text1"/>
          <w:lang w:val="en-US"/>
          <w14:textFill>
            <w14:solidFill>
              <w14:schemeClr w14:val="tx1"/>
            </w14:solidFill>
          </w14:textFill>
        </w:rPr>
        <w:t>问题</w:t>
      </w:r>
      <w:r>
        <w:rPr>
          <w:color w:val="000000" w:themeColor="text1"/>
          <w:lang w:val="en-US"/>
          <w14:textFill>
            <w14:solidFill>
              <w14:schemeClr w14:val="tx1"/>
            </w14:solidFill>
          </w14:textFill>
        </w:rPr>
        <w:t>现状梳理</w:t>
      </w:r>
      <w:r>
        <w:rPr>
          <w:rFonts w:hint="eastAsia"/>
          <w:color w:val="000000" w:themeColor="text1"/>
          <w:lang w:val="en-US"/>
          <w14:textFill>
            <w14:solidFill>
              <w14:schemeClr w14:val="tx1"/>
            </w14:solidFill>
          </w14:textFill>
        </w:rPr>
        <w:t>、核心任务</w:t>
      </w:r>
      <w:r>
        <w:rPr>
          <w:color w:val="000000" w:themeColor="text1"/>
          <w:lang w:val="en-US"/>
          <w14:textFill>
            <w14:solidFill>
              <w14:schemeClr w14:val="tx1"/>
            </w14:solidFill>
          </w14:textFill>
        </w:rPr>
        <w:t>等</w:t>
      </w:r>
      <w:r>
        <w:rPr>
          <w:rFonts w:hint="eastAsia"/>
          <w:color w:val="000000" w:themeColor="text1"/>
          <w:lang w:val="en-US"/>
          <w14:textFill>
            <w14:solidFill>
              <w14:schemeClr w14:val="tx1"/>
            </w14:solidFill>
          </w14:textFill>
        </w:rPr>
        <w:t>五方面的基础性</w:t>
      </w:r>
      <w:r>
        <w:rPr>
          <w:color w:val="000000" w:themeColor="text1"/>
          <w:lang w:val="en-US"/>
          <w14:textFill>
            <w14:solidFill>
              <w14:schemeClr w14:val="tx1"/>
            </w14:solidFill>
          </w14:textFill>
        </w:rPr>
        <w:t>内容</w:t>
      </w:r>
      <w:r>
        <w:rPr>
          <w:rFonts w:hint="eastAsia"/>
          <w:color w:val="000000" w:themeColor="text1"/>
          <w:lang w:val="en-US"/>
          <w14:textFill>
            <w14:solidFill>
              <w14:schemeClr w14:val="tx1"/>
            </w14:solidFill>
          </w14:textFill>
        </w:rPr>
        <w:t>。</w:t>
      </w:r>
      <w:r>
        <w:rPr>
          <w:color w:val="000000" w:themeColor="text1"/>
          <w:lang w:val="en-US"/>
          <w14:textFill>
            <w14:solidFill>
              <w14:schemeClr w14:val="tx1"/>
            </w14:solidFill>
          </w14:textFill>
        </w:rPr>
        <w:t>同时</w:t>
      </w:r>
      <w:r>
        <w:rPr>
          <w:rFonts w:hint="eastAsia"/>
          <w:color w:val="000000" w:themeColor="text1"/>
          <w:lang w:val="en-US"/>
          <w14:textFill>
            <w14:solidFill>
              <w14:schemeClr w14:val="tx1"/>
            </w14:solidFill>
          </w14:textFill>
        </w:rPr>
        <w:t>，</w:t>
      </w:r>
      <w:r>
        <w:rPr>
          <w:color w:val="000000" w:themeColor="text1"/>
          <w:lang w:val="en-US"/>
          <w14:textFill>
            <w14:solidFill>
              <w14:schemeClr w14:val="tx1"/>
            </w14:solidFill>
          </w14:textFill>
        </w:rPr>
        <w:t>结合基础性研究，从整体层面</w:t>
      </w:r>
      <w:r>
        <w:rPr>
          <w:rFonts w:hint="eastAsia"/>
          <w:color w:val="000000" w:themeColor="text1"/>
          <w:lang w:val="en-US"/>
          <w14:textFill>
            <w14:solidFill>
              <w14:schemeClr w14:val="tx1"/>
            </w14:solidFill>
          </w14:textFill>
        </w:rPr>
        <w:t>对标</w:t>
      </w:r>
      <w:r>
        <w:rPr>
          <w:color w:val="000000" w:themeColor="text1"/>
          <w:lang w:val="en-US"/>
          <w14:textFill>
            <w14:solidFill>
              <w14:schemeClr w14:val="tx1"/>
            </w14:solidFill>
          </w14:textFill>
        </w:rPr>
        <w:t>案例，</w:t>
      </w:r>
      <w:r>
        <w:rPr>
          <w:rFonts w:hint="eastAsia"/>
          <w:color w:val="000000" w:themeColor="text1"/>
          <w:lang w:val="en-US"/>
          <w14:textFill>
            <w14:solidFill>
              <w14:schemeClr w14:val="tx1"/>
            </w14:solidFill>
          </w14:textFill>
        </w:rPr>
        <w:t>总结</w:t>
      </w:r>
      <w:r>
        <w:rPr>
          <w:color w:val="000000" w:themeColor="text1"/>
          <w:lang w:val="en-US"/>
          <w14:textFill>
            <w14:solidFill>
              <w14:schemeClr w14:val="tx1"/>
            </w14:solidFill>
          </w14:textFill>
        </w:rPr>
        <w:t>余杭塘</w:t>
      </w:r>
      <w:r>
        <w:rPr>
          <w:rFonts w:hint="eastAsia"/>
          <w:color w:val="000000" w:themeColor="text1"/>
          <w:lang w:val="en-US"/>
          <w14:textFill>
            <w14:solidFill>
              <w14:schemeClr w14:val="tx1"/>
            </w14:solidFill>
          </w14:textFill>
        </w:rPr>
        <w:t>河</w:t>
      </w:r>
      <w:r>
        <w:rPr>
          <w:color w:val="000000" w:themeColor="text1"/>
          <w:lang w:val="en-US"/>
          <w14:textFill>
            <w14:solidFill>
              <w14:schemeClr w14:val="tx1"/>
            </w14:solidFill>
          </w14:textFill>
        </w:rPr>
        <w:t>的</w:t>
      </w:r>
      <w:r>
        <w:rPr>
          <w:rFonts w:hint="eastAsia"/>
          <w:color w:val="000000" w:themeColor="text1"/>
          <w:lang w:val="en-US"/>
          <w14:textFill>
            <w14:solidFill>
              <w14:schemeClr w14:val="tx1"/>
            </w14:solidFill>
          </w14:textFill>
        </w:rPr>
        <w:t>整体</w:t>
      </w:r>
      <w:r>
        <w:rPr>
          <w:color w:val="000000" w:themeColor="text1"/>
          <w:lang w:val="en-US"/>
          <w14:textFill>
            <w14:solidFill>
              <w14:schemeClr w14:val="tx1"/>
            </w14:solidFill>
          </w14:textFill>
        </w:rPr>
        <w:t>定位</w:t>
      </w:r>
      <w:r>
        <w:rPr>
          <w:rFonts w:hint="eastAsia"/>
          <w:color w:val="000000" w:themeColor="text1"/>
          <w:lang w:val="en-US"/>
          <w14:textFill>
            <w14:solidFill>
              <w14:schemeClr w14:val="tx1"/>
            </w14:solidFill>
          </w14:textFill>
        </w:rPr>
        <w:t>，规划</w:t>
      </w:r>
      <w:r>
        <w:rPr>
          <w:color w:val="000000" w:themeColor="text1"/>
          <w:lang w:val="en-US"/>
          <w14:textFill>
            <w14:solidFill>
              <w14:schemeClr w14:val="tx1"/>
            </w14:solidFill>
          </w14:textFill>
        </w:rPr>
        <w:t>总体方案，</w:t>
      </w:r>
      <w:r>
        <w:rPr>
          <w:rFonts w:hint="eastAsia"/>
          <w:color w:val="000000" w:themeColor="text1"/>
          <w:lang w:val="en-US"/>
          <w14:textFill>
            <w14:solidFill>
              <w14:schemeClr w14:val="tx1"/>
            </w14:solidFill>
          </w14:textFill>
        </w:rPr>
        <w:t>提出</w:t>
      </w:r>
      <w:r>
        <w:rPr>
          <w:color w:val="000000" w:themeColor="text1"/>
          <w:lang w:val="en-US"/>
          <w14:textFill>
            <w14:solidFill>
              <w14:schemeClr w14:val="tx1"/>
            </w14:solidFill>
          </w14:textFill>
        </w:rPr>
        <w:t>目标</w:t>
      </w:r>
      <w:r>
        <w:rPr>
          <w:rFonts w:hint="eastAsia"/>
          <w:color w:val="000000" w:themeColor="text1"/>
          <w:lang w:val="en-US"/>
          <w14:textFill>
            <w14:solidFill>
              <w14:schemeClr w14:val="tx1"/>
            </w14:solidFill>
          </w14:textFill>
        </w:rPr>
        <w:t>愿景</w:t>
      </w:r>
      <w:r>
        <w:rPr>
          <w:color w:val="000000" w:themeColor="text1"/>
          <w:lang w:val="en-US"/>
          <w14:textFill>
            <w14:solidFill>
              <w14:schemeClr w14:val="tx1"/>
            </w14:solidFill>
          </w14:textFill>
        </w:rPr>
        <w:t>和设计</w:t>
      </w:r>
      <w:r>
        <w:rPr>
          <w:rFonts w:hint="eastAsia"/>
          <w:color w:val="000000" w:themeColor="text1"/>
          <w:lang w:val="en-US"/>
          <w14:textFill>
            <w14:solidFill>
              <w14:schemeClr w14:val="tx1"/>
            </w14:solidFill>
          </w14:textFill>
        </w:rPr>
        <w:t xml:space="preserve">策略。 </w:t>
      </w:r>
    </w:p>
    <w:p>
      <w:pPr>
        <w:pStyle w:val="23"/>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2、余杭塘河</w:t>
      </w:r>
      <w:r>
        <w:rPr>
          <w:color w:val="000000" w:themeColor="text1"/>
          <w:lang w:val="en-US"/>
          <w14:textFill>
            <w14:solidFill>
              <w14:schemeClr w14:val="tx1"/>
            </w14:solidFill>
          </w14:textFill>
        </w:rPr>
        <w:t>（</w:t>
      </w:r>
      <w:r>
        <w:rPr>
          <w:rFonts w:hint="eastAsia"/>
          <w:color w:val="000000" w:themeColor="text1"/>
          <w:lang w:val="en-US"/>
          <w14:textFill>
            <w14:solidFill>
              <w14:schemeClr w14:val="tx1"/>
            </w14:solidFill>
          </w14:textFill>
        </w:rPr>
        <w:t>余杭段</w:t>
      </w:r>
      <w:r>
        <w:rPr>
          <w:color w:val="000000" w:themeColor="text1"/>
          <w:lang w:val="en-US"/>
          <w14:textFill>
            <w14:solidFill>
              <w14:schemeClr w14:val="tx1"/>
            </w14:solidFill>
          </w14:textFill>
        </w:rPr>
        <w:t>）</w:t>
      </w:r>
      <w:r>
        <w:rPr>
          <w:rFonts w:hint="eastAsia"/>
          <w:color w:val="000000" w:themeColor="text1"/>
          <w:lang w:val="en-US"/>
          <w14:textFill>
            <w14:solidFill>
              <w14:schemeClr w14:val="tx1"/>
            </w14:solidFill>
          </w14:textFill>
        </w:rPr>
        <w:t>重点</w:t>
      </w:r>
      <w:r>
        <w:rPr>
          <w:color w:val="000000" w:themeColor="text1"/>
          <w:lang w:val="en-US"/>
          <w14:textFill>
            <w14:solidFill>
              <w14:schemeClr w14:val="tx1"/>
            </w14:solidFill>
          </w14:textFill>
        </w:rPr>
        <w:t>区段更新设计</w:t>
      </w:r>
    </w:p>
    <w:p>
      <w:pPr>
        <w:pStyle w:val="23"/>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在开展整体研究范围</w:t>
      </w:r>
      <w:r>
        <w:rPr>
          <w:color w:val="000000" w:themeColor="text1"/>
          <w:lang w:val="en-US"/>
          <w14:textFill>
            <w14:solidFill>
              <w14:schemeClr w14:val="tx1"/>
            </w14:solidFill>
          </w14:textFill>
        </w:rPr>
        <w:t>内</w:t>
      </w:r>
      <w:r>
        <w:rPr>
          <w:rFonts w:hint="eastAsia"/>
          <w:color w:val="000000" w:themeColor="text1"/>
          <w:lang w:val="en-US"/>
          <w14:textFill>
            <w14:solidFill>
              <w14:schemeClr w14:val="tx1"/>
            </w14:solidFill>
          </w14:textFill>
        </w:rPr>
        <w:t>的基础上，</w:t>
      </w:r>
      <w:r>
        <w:rPr>
          <w:color w:val="000000" w:themeColor="text1"/>
          <w:lang w:val="en-US"/>
          <w14:textFill>
            <w14:solidFill>
              <w14:schemeClr w14:val="tx1"/>
            </w14:solidFill>
          </w14:textFill>
        </w:rPr>
        <w:t>针对重点更新区段，明确区段划分</w:t>
      </w:r>
      <w:r>
        <w:rPr>
          <w:rFonts w:hint="eastAsia"/>
          <w:color w:val="000000" w:themeColor="text1"/>
          <w:lang w:val="en-US"/>
          <w14:textFill>
            <w14:solidFill>
              <w14:schemeClr w14:val="tx1"/>
            </w14:solidFill>
          </w14:textFill>
        </w:rPr>
        <w:t>及</w:t>
      </w:r>
      <w:r>
        <w:rPr>
          <w:color w:val="000000" w:themeColor="text1"/>
          <w:lang w:val="en-US"/>
          <w14:textFill>
            <w14:solidFill>
              <w14:schemeClr w14:val="tx1"/>
            </w14:solidFill>
          </w14:textFill>
        </w:rPr>
        <w:t>更新定位，挖掘更新</w:t>
      </w:r>
      <w:r>
        <w:rPr>
          <w:rFonts w:hint="eastAsia"/>
          <w:color w:val="000000" w:themeColor="text1"/>
          <w:lang w:val="en-US"/>
          <w14:textFill>
            <w14:solidFill>
              <w14:schemeClr w14:val="tx1"/>
            </w14:solidFill>
          </w14:textFill>
        </w:rPr>
        <w:t>潜力</w:t>
      </w:r>
      <w:r>
        <w:rPr>
          <w:color w:val="000000" w:themeColor="text1"/>
          <w:lang w:val="en-US"/>
          <w14:textFill>
            <w14:solidFill>
              <w14:schemeClr w14:val="tx1"/>
            </w14:solidFill>
          </w14:textFill>
        </w:rPr>
        <w:t>空间，</w:t>
      </w:r>
      <w:r>
        <w:rPr>
          <w:rFonts w:hint="eastAsia"/>
          <w:color w:val="000000" w:themeColor="text1"/>
          <w:lang w:val="en-US"/>
          <w14:textFill>
            <w14:solidFill>
              <w14:schemeClr w14:val="tx1"/>
            </w14:solidFill>
          </w14:textFill>
        </w:rPr>
        <w:t>解析新中心余杭塘河沿线重点</w:t>
      </w:r>
      <w:r>
        <w:rPr>
          <w:color w:val="000000" w:themeColor="text1"/>
          <w:lang w:val="en-US"/>
          <w14:textFill>
            <w14:solidFill>
              <w14:schemeClr w14:val="tx1"/>
            </w14:solidFill>
          </w14:textFill>
        </w:rPr>
        <w:t>区段</w:t>
      </w:r>
      <w:r>
        <w:rPr>
          <w:rFonts w:hint="eastAsia"/>
          <w:color w:val="000000" w:themeColor="text1"/>
          <w:lang w:val="en-US"/>
          <w14:textFill>
            <w14:solidFill>
              <w14:schemeClr w14:val="tx1"/>
            </w14:solidFill>
          </w14:textFill>
        </w:rPr>
        <w:t>在功能体系、交通体系、空间体系、环境景观体系等层面所存在的问题，重点完成“提升思路、功能策划、交通体系、公共空间更新、环境景观改造、文化</w:t>
      </w:r>
      <w:r>
        <w:rPr>
          <w:color w:val="000000" w:themeColor="text1"/>
          <w:lang w:val="en-US"/>
          <w14:textFill>
            <w14:solidFill>
              <w14:schemeClr w14:val="tx1"/>
            </w14:solidFill>
          </w14:textFill>
        </w:rPr>
        <w:t>历史</w:t>
      </w:r>
      <w:r>
        <w:rPr>
          <w:rFonts w:hint="eastAsia"/>
          <w:color w:val="000000" w:themeColor="text1"/>
          <w:lang w:val="en-US"/>
          <w14:textFill>
            <w14:solidFill>
              <w14:schemeClr w14:val="tx1"/>
            </w14:solidFill>
          </w14:textFill>
        </w:rPr>
        <w:t>塑造”等几方面内容的</w:t>
      </w:r>
      <w:r>
        <w:rPr>
          <w:color w:val="000000" w:themeColor="text1"/>
          <w:lang w:val="en-US"/>
          <w14:textFill>
            <w14:solidFill>
              <w14:schemeClr w14:val="tx1"/>
            </w14:solidFill>
          </w14:textFill>
        </w:rPr>
        <w:t>研究</w:t>
      </w:r>
      <w:r>
        <w:rPr>
          <w:rFonts w:hint="eastAsia"/>
          <w:color w:val="000000" w:themeColor="text1"/>
          <w:lang w:val="en-US"/>
          <w14:textFill>
            <w14:solidFill>
              <w14:schemeClr w14:val="tx1"/>
            </w14:solidFill>
          </w14:textFill>
        </w:rPr>
        <w:t>。</w:t>
      </w:r>
    </w:p>
    <w:p>
      <w:pPr>
        <w:spacing w:line="360" w:lineRule="auto"/>
        <w:ind w:firstLine="482" w:firstLineChars="200"/>
        <w:outlineLvl w:val="0"/>
        <w:rPr>
          <w:rFonts w:ascii="宋体" w:hAnsi="宋体" w:cs="宋体"/>
          <w:b/>
          <w:color w:val="000000" w:themeColor="text1"/>
          <w:sz w:val="24"/>
          <w14:textFill>
            <w14:solidFill>
              <w14:schemeClr w14:val="tx1"/>
            </w14:solidFill>
          </w14:textFill>
        </w:rPr>
      </w:pPr>
      <w:bookmarkStart w:id="35" w:name="_Toc10556"/>
      <w:r>
        <w:rPr>
          <w:rFonts w:hint="eastAsia" w:ascii="宋体" w:hAnsi="宋体" w:cs="宋体"/>
          <w:b/>
          <w:color w:val="000000" w:themeColor="text1"/>
          <w:sz w:val="24"/>
          <w14:textFill>
            <w14:solidFill>
              <w14:schemeClr w14:val="tx1"/>
            </w14:solidFill>
          </w14:textFill>
        </w:rPr>
        <w:t>三、</w:t>
      </w:r>
      <w:bookmarkStart w:id="36" w:name="_Toc18321071"/>
      <w:r>
        <w:rPr>
          <w:rFonts w:hint="eastAsia" w:ascii="宋体" w:hAnsi="宋体" w:cs="宋体"/>
          <w:b/>
          <w:color w:val="000000" w:themeColor="text1"/>
          <w:sz w:val="24"/>
          <w14:textFill>
            <w14:solidFill>
              <w14:schemeClr w14:val="tx1"/>
            </w14:solidFill>
          </w14:textFill>
        </w:rPr>
        <w:t>项目工作内容</w:t>
      </w:r>
      <w:bookmarkEnd w:id="35"/>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1、项目名称</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《杭州余杭塘河（余杭段）沿线区域提升规划及重点区段更新设计》编制</w:t>
      </w:r>
    </w:p>
    <w:p>
      <w:pPr>
        <w:numPr>
          <w:ilvl w:val="0"/>
          <w:numId w:val="5"/>
        </w:num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规划范围</w:t>
      </w:r>
      <w:r>
        <w:rPr>
          <w:rFonts w:ascii="宋体" w:hAnsi="宋体" w:cs="宋体"/>
          <w:color w:val="000000" w:themeColor="text1"/>
          <w:sz w:val="24"/>
          <w14:textFill>
            <w14:solidFill>
              <w14:schemeClr w14:val="tx1"/>
            </w14:solidFill>
          </w14:textFill>
        </w:rPr>
        <w:t xml:space="preserve"> </w:t>
      </w:r>
    </w:p>
    <w:p>
      <w:pPr>
        <w:pStyle w:val="23"/>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包含余杭塘河</w:t>
      </w:r>
      <w:r>
        <w:rPr>
          <w:rFonts w:hint="eastAsia" w:hAnsi="宋体" w:cs="宋体"/>
          <w:color w:val="000000" w:themeColor="text1"/>
          <w14:textFill>
            <w14:solidFill>
              <w14:schemeClr w14:val="tx1"/>
            </w14:solidFill>
          </w14:textFill>
        </w:rPr>
        <w:t>（余杭段）</w:t>
      </w:r>
      <w:r>
        <w:rPr>
          <w:rFonts w:hint="eastAsia"/>
          <w:color w:val="000000" w:themeColor="text1"/>
          <w:lang w:val="en-US"/>
          <w14:textFill>
            <w14:solidFill>
              <w14:schemeClr w14:val="tx1"/>
            </w14:solidFill>
          </w14:textFill>
        </w:rPr>
        <w:t>西至南苕溪</w:t>
      </w:r>
      <w:r>
        <w:rPr>
          <w:color w:val="000000" w:themeColor="text1"/>
          <w:lang w:val="en-US"/>
          <w14:textFill>
            <w14:solidFill>
              <w14:schemeClr w14:val="tx1"/>
            </w14:solidFill>
          </w14:textFill>
        </w:rPr>
        <w:t>西险大塘</w:t>
      </w:r>
      <w:r>
        <w:rPr>
          <w:rFonts w:hint="eastAsia"/>
          <w:color w:val="000000" w:themeColor="text1"/>
          <w:lang w:val="en-US"/>
          <w14:textFill>
            <w14:solidFill>
              <w14:schemeClr w14:val="tx1"/>
            </w14:solidFill>
          </w14:textFill>
        </w:rPr>
        <w:t>，</w:t>
      </w:r>
      <w:r>
        <w:rPr>
          <w:color w:val="000000" w:themeColor="text1"/>
          <w:lang w:val="en-US"/>
          <w14:textFill>
            <w14:solidFill>
              <w14:schemeClr w14:val="tx1"/>
            </w14:solidFill>
          </w14:textFill>
        </w:rPr>
        <w:t>东至绕城高速</w:t>
      </w:r>
      <w:r>
        <w:rPr>
          <w:rFonts w:hint="eastAsia"/>
          <w:color w:val="000000" w:themeColor="text1"/>
          <w:lang w:val="en-US"/>
          <w14:textFill>
            <w14:solidFill>
              <w14:schemeClr w14:val="tx1"/>
            </w14:solidFill>
          </w14:textFill>
        </w:rPr>
        <w:t>，沿线长度约为12.7千米；</w:t>
      </w:r>
      <w:r>
        <w:rPr>
          <w:color w:val="000000" w:themeColor="text1"/>
          <w:lang w:val="en-US"/>
          <w14:textFill>
            <w14:solidFill>
              <w14:schemeClr w14:val="tx1"/>
            </w14:solidFill>
          </w14:textFill>
        </w:rPr>
        <w:t>整体研究范围</w:t>
      </w:r>
      <w:r>
        <w:rPr>
          <w:rFonts w:hint="eastAsia"/>
          <w:color w:val="000000" w:themeColor="text1"/>
          <w:lang w:val="en-US"/>
          <w14:textFill>
            <w14:solidFill>
              <w14:schemeClr w14:val="tx1"/>
            </w14:solidFill>
          </w14:textFill>
        </w:rPr>
        <w:t>涵盖</w:t>
      </w:r>
      <w:r>
        <w:rPr>
          <w:color w:val="000000" w:themeColor="text1"/>
          <w:lang w:val="en-US"/>
          <w14:textFill>
            <w14:solidFill>
              <w14:schemeClr w14:val="tx1"/>
            </w14:solidFill>
          </w14:textFill>
        </w:rPr>
        <w:t>余杭塘河</w:t>
      </w:r>
      <w:r>
        <w:rPr>
          <w:rFonts w:hint="eastAsia" w:hAnsi="宋体" w:cs="宋体"/>
          <w:color w:val="000000" w:themeColor="text1"/>
          <w14:textFill>
            <w14:solidFill>
              <w14:schemeClr w14:val="tx1"/>
            </w14:solidFill>
          </w14:textFill>
        </w:rPr>
        <w:t>（余杭段）</w:t>
      </w:r>
      <w:r>
        <w:rPr>
          <w:color w:val="000000" w:themeColor="text1"/>
          <w:lang w:val="en-US"/>
          <w14:textFill>
            <w14:solidFill>
              <w14:schemeClr w14:val="tx1"/>
            </w14:solidFill>
          </w14:textFill>
        </w:rPr>
        <w:t>南北纵深区域，约为</w:t>
      </w:r>
      <w:r>
        <w:rPr>
          <w:rFonts w:hint="eastAsia"/>
          <w:color w:val="000000" w:themeColor="text1"/>
          <w:lang w:val="en-US"/>
          <w14:textFill>
            <w14:solidFill>
              <w14:schemeClr w14:val="tx1"/>
            </w14:solidFill>
          </w14:textFill>
        </w:rPr>
        <w:t>21平方公里；重点区段更新方案设计范围为余杭塘河沿线梦想小镇至朱庙段，共计208公顷。</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3、规划期限</w:t>
      </w:r>
    </w:p>
    <w:p>
      <w:pPr>
        <w:spacing w:line="360" w:lineRule="auto"/>
        <w:ind w:firstLine="480" w:firstLineChars="200"/>
        <w:rPr>
          <w:rFonts w:ascii="宋体" w:hAnsi="Arial" w:cs="Arial"/>
          <w:snapToGrid w:val="0"/>
          <w:color w:val="000000" w:themeColor="text1"/>
          <w:sz w:val="24"/>
          <w:szCs w:val="21"/>
          <w14:textFill>
            <w14:solidFill>
              <w14:schemeClr w14:val="tx1"/>
            </w14:solidFill>
          </w14:textFill>
        </w:rPr>
      </w:pPr>
      <w:r>
        <w:rPr>
          <w:rFonts w:hint="eastAsia" w:ascii="宋体" w:hAnsi="Arial" w:cs="Arial"/>
          <w:snapToGrid w:val="0"/>
          <w:color w:val="000000" w:themeColor="text1"/>
          <w:sz w:val="24"/>
          <w:szCs w:val="21"/>
          <w14:textFill>
            <w14:solidFill>
              <w14:schemeClr w14:val="tx1"/>
            </w14:solidFill>
          </w14:textFill>
        </w:rPr>
        <w:t>规划期限202</w:t>
      </w:r>
      <w:r>
        <w:rPr>
          <w:rFonts w:ascii="宋体" w:hAnsi="Arial" w:cs="Arial"/>
          <w:snapToGrid w:val="0"/>
          <w:color w:val="000000" w:themeColor="text1"/>
          <w:sz w:val="24"/>
          <w:szCs w:val="21"/>
          <w14:textFill>
            <w14:solidFill>
              <w14:schemeClr w14:val="tx1"/>
            </w14:solidFill>
          </w14:textFill>
        </w:rPr>
        <w:t>3</w:t>
      </w:r>
      <w:r>
        <w:rPr>
          <w:rFonts w:hint="eastAsia" w:ascii="宋体" w:hAnsi="Arial" w:cs="Arial"/>
          <w:snapToGrid w:val="0"/>
          <w:color w:val="000000" w:themeColor="text1"/>
          <w:sz w:val="24"/>
          <w:szCs w:val="21"/>
          <w14:textFill>
            <w14:solidFill>
              <w14:schemeClr w14:val="tx1"/>
            </w14:solidFill>
          </w14:textFill>
        </w:rPr>
        <w:t>～2025年，展望至2035年。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4</w:t>
      </w:r>
      <w:r>
        <w:rPr>
          <w:rFonts w:hint="eastAsia" w:ascii="宋体" w:hAnsi="宋体" w:cs="宋体"/>
          <w:b/>
          <w:color w:val="000000" w:themeColor="text1"/>
          <w:sz w:val="24"/>
          <w14:textFill>
            <w14:solidFill>
              <w14:schemeClr w14:val="tx1"/>
            </w14:solidFill>
          </w14:textFill>
        </w:rPr>
        <w:t>、规划内容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对余杭塘河（余杭段）的发展现状进行详细的</w:t>
      </w:r>
      <w:r>
        <w:rPr>
          <w:rFonts w:ascii="宋体" w:hAnsi="宋体" w:cs="宋体"/>
          <w:color w:val="000000" w:themeColor="text1"/>
          <w:sz w:val="24"/>
          <w14:textFill>
            <w14:solidFill>
              <w14:schemeClr w14:val="tx1"/>
            </w14:solidFill>
          </w14:textFill>
        </w:rPr>
        <w:t>现状</w:t>
      </w:r>
      <w:r>
        <w:rPr>
          <w:rFonts w:hint="eastAsia" w:ascii="宋体" w:hAnsi="宋体" w:cs="宋体"/>
          <w:color w:val="000000" w:themeColor="text1"/>
          <w:sz w:val="24"/>
          <w14:textFill>
            <w14:solidFill>
              <w14:schemeClr w14:val="tx1"/>
            </w14:solidFill>
          </w14:textFill>
        </w:rPr>
        <w:t>调研，摸清沿线区域的发展基础和现实挑战，总结余杭塘河（余杭段）的</w:t>
      </w:r>
      <w:r>
        <w:rPr>
          <w:rFonts w:ascii="宋体" w:hAnsi="宋体" w:cs="宋体"/>
          <w:color w:val="000000" w:themeColor="text1"/>
          <w:sz w:val="24"/>
          <w14:textFill>
            <w14:solidFill>
              <w14:schemeClr w14:val="tx1"/>
            </w14:solidFill>
          </w14:textFill>
        </w:rPr>
        <w:t>特质</w:t>
      </w:r>
      <w:r>
        <w:rPr>
          <w:rFonts w:hint="eastAsia" w:ascii="宋体" w:hAnsi="宋体" w:cs="宋体"/>
          <w:color w:val="000000" w:themeColor="text1"/>
          <w:sz w:val="24"/>
          <w14:textFill>
            <w14:solidFill>
              <w14:schemeClr w14:val="tx1"/>
            </w14:solidFill>
          </w14:textFill>
        </w:rPr>
        <w:t>和</w:t>
      </w:r>
      <w:r>
        <w:rPr>
          <w:rFonts w:ascii="宋体" w:hAnsi="宋体" w:cs="宋体"/>
          <w:color w:val="000000" w:themeColor="text1"/>
          <w:sz w:val="24"/>
          <w14:textFill>
            <w14:solidFill>
              <w14:schemeClr w14:val="tx1"/>
            </w14:solidFill>
          </w14:textFill>
        </w:rPr>
        <w:t>问题</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基于目标导向和问题导向，</w:t>
      </w:r>
      <w:r>
        <w:rPr>
          <w:rFonts w:ascii="宋体" w:hAnsi="宋体" w:cs="宋体"/>
          <w:color w:val="000000" w:themeColor="text1"/>
          <w:sz w:val="24"/>
          <w14:textFill>
            <w14:solidFill>
              <w14:schemeClr w14:val="tx1"/>
            </w14:solidFill>
          </w14:textFill>
        </w:rPr>
        <w:t>对标</w:t>
      </w:r>
      <w:r>
        <w:rPr>
          <w:rFonts w:hint="eastAsia" w:ascii="宋体" w:hAnsi="宋体" w:cs="宋体"/>
          <w:color w:val="000000" w:themeColor="text1"/>
          <w:sz w:val="24"/>
          <w14:textFill>
            <w14:solidFill>
              <w14:schemeClr w14:val="tx1"/>
            </w14:solidFill>
          </w14:textFill>
        </w:rPr>
        <w:t>国内外中心城区河流的</w:t>
      </w:r>
      <w:r>
        <w:rPr>
          <w:rFonts w:ascii="宋体" w:hAnsi="宋体" w:cs="宋体"/>
          <w:color w:val="000000" w:themeColor="text1"/>
          <w:sz w:val="24"/>
          <w14:textFill>
            <w14:solidFill>
              <w14:schemeClr w14:val="tx1"/>
            </w14:solidFill>
          </w14:textFill>
        </w:rPr>
        <w:t>定位和沿线</w:t>
      </w:r>
      <w:r>
        <w:rPr>
          <w:rFonts w:hint="eastAsia" w:ascii="宋体" w:hAnsi="宋体" w:cs="宋体"/>
          <w:color w:val="000000" w:themeColor="text1"/>
          <w:sz w:val="24"/>
          <w14:textFill>
            <w14:solidFill>
              <w14:schemeClr w14:val="tx1"/>
            </w14:solidFill>
          </w14:textFill>
        </w:rPr>
        <w:t>更新</w:t>
      </w:r>
      <w:r>
        <w:rPr>
          <w:rFonts w:ascii="宋体" w:hAnsi="宋体" w:cs="宋体"/>
          <w:color w:val="000000" w:themeColor="text1"/>
          <w:sz w:val="24"/>
          <w14:textFill>
            <w14:solidFill>
              <w14:schemeClr w14:val="tx1"/>
            </w14:solidFill>
          </w14:textFill>
        </w:rPr>
        <w:t>打造的优秀</w:t>
      </w:r>
      <w:r>
        <w:rPr>
          <w:rFonts w:hint="eastAsia" w:ascii="宋体" w:hAnsi="宋体" w:cs="宋体"/>
          <w:color w:val="000000" w:themeColor="text1"/>
          <w:sz w:val="24"/>
          <w14:textFill>
            <w14:solidFill>
              <w14:schemeClr w14:val="tx1"/>
            </w14:solidFill>
          </w14:textFill>
        </w:rPr>
        <w:t>案例</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确定余杭塘河（余杭段）的定位</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总体发展目标以及发展策略。处理好</w:t>
      </w:r>
      <w:r>
        <w:rPr>
          <w:rFonts w:ascii="宋体" w:hAnsi="宋体" w:cs="宋体"/>
          <w:color w:val="000000" w:themeColor="text1"/>
          <w:sz w:val="24"/>
          <w14:textFill>
            <w14:solidFill>
              <w14:schemeClr w14:val="tx1"/>
            </w14:solidFill>
          </w14:textFill>
        </w:rPr>
        <w:t>余杭塘河</w:t>
      </w:r>
      <w:r>
        <w:rPr>
          <w:rFonts w:hint="eastAsia" w:ascii="宋体" w:hAnsi="宋体" w:cs="宋体"/>
          <w:color w:val="000000" w:themeColor="text1"/>
          <w:sz w:val="24"/>
          <w14:textFill>
            <w14:solidFill>
              <w14:schemeClr w14:val="tx1"/>
            </w14:solidFill>
          </w14:textFill>
        </w:rPr>
        <w:t>（余杭段）</w:t>
      </w:r>
      <w:r>
        <w:rPr>
          <w:rFonts w:ascii="宋体" w:hAnsi="宋体" w:cs="宋体"/>
          <w:color w:val="000000" w:themeColor="text1"/>
          <w:sz w:val="24"/>
          <w14:textFill>
            <w14:solidFill>
              <w14:schemeClr w14:val="tx1"/>
            </w14:solidFill>
          </w14:textFill>
        </w:rPr>
        <w:t>与周围区块的</w:t>
      </w:r>
      <w:r>
        <w:rPr>
          <w:rFonts w:hint="eastAsia" w:ascii="宋体" w:hAnsi="宋体" w:cs="宋体"/>
          <w:color w:val="000000" w:themeColor="text1"/>
          <w:sz w:val="24"/>
          <w14:textFill>
            <w14:solidFill>
              <w14:schemeClr w14:val="tx1"/>
            </w14:solidFill>
          </w14:textFill>
        </w:rPr>
        <w:t>联系，</w:t>
      </w:r>
      <w:r>
        <w:rPr>
          <w:rFonts w:ascii="宋体" w:hAnsi="宋体" w:cs="宋体"/>
          <w:color w:val="000000" w:themeColor="text1"/>
          <w:sz w:val="24"/>
          <w14:textFill>
            <w14:solidFill>
              <w14:schemeClr w14:val="tx1"/>
            </w14:solidFill>
          </w14:textFill>
        </w:rPr>
        <w:t>明确整体</w:t>
      </w:r>
      <w:r>
        <w:rPr>
          <w:rFonts w:hint="eastAsia" w:ascii="宋体" w:hAnsi="宋体" w:cs="宋体"/>
          <w:color w:val="000000" w:themeColor="text1"/>
          <w:sz w:val="24"/>
          <w14:textFill>
            <w14:solidFill>
              <w14:schemeClr w14:val="tx1"/>
            </w14:solidFill>
          </w14:textFill>
        </w:rPr>
        <w:t>结构体系和总体层面近期项目实施计划</w:t>
      </w:r>
      <w:r>
        <w:rPr>
          <w:rFonts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开展重点区段城市</w:t>
      </w:r>
      <w:r>
        <w:rPr>
          <w:rFonts w:ascii="宋体" w:hAnsi="宋体" w:cs="宋体"/>
          <w:color w:val="000000" w:themeColor="text1"/>
          <w:sz w:val="24"/>
          <w14:textFill>
            <w14:solidFill>
              <w14:schemeClr w14:val="tx1"/>
            </w14:solidFill>
          </w14:textFill>
        </w:rPr>
        <w:t>更新</w:t>
      </w:r>
      <w:r>
        <w:rPr>
          <w:rFonts w:hint="eastAsia" w:ascii="宋体" w:hAnsi="宋体" w:cs="宋体"/>
          <w:color w:val="000000" w:themeColor="text1"/>
          <w:sz w:val="24"/>
          <w14:textFill>
            <w14:solidFill>
              <w14:schemeClr w14:val="tx1"/>
            </w14:solidFill>
          </w14:textFill>
        </w:rPr>
        <w:t>设计，</w:t>
      </w:r>
      <w:r>
        <w:rPr>
          <w:rFonts w:ascii="宋体" w:hAnsi="宋体" w:cs="宋体"/>
          <w:color w:val="000000" w:themeColor="text1"/>
          <w:sz w:val="24"/>
          <w14:textFill>
            <w14:solidFill>
              <w14:schemeClr w14:val="tx1"/>
            </w14:solidFill>
          </w14:textFill>
        </w:rPr>
        <w:t>挖掘潜力空间</w:t>
      </w:r>
      <w:r>
        <w:rPr>
          <w:rFonts w:hint="eastAsia" w:ascii="宋体" w:hAnsi="宋体" w:cs="宋体"/>
          <w:color w:val="000000" w:themeColor="text1"/>
          <w:sz w:val="24"/>
          <w14:textFill>
            <w14:solidFill>
              <w14:schemeClr w14:val="tx1"/>
            </w14:solidFill>
          </w14:textFill>
        </w:rPr>
        <w:t>、明确</w:t>
      </w:r>
      <w:r>
        <w:rPr>
          <w:rFonts w:ascii="宋体" w:hAnsi="宋体" w:cs="宋体"/>
          <w:color w:val="000000" w:themeColor="text1"/>
          <w:sz w:val="24"/>
          <w14:textFill>
            <w14:solidFill>
              <w14:schemeClr w14:val="tx1"/>
            </w14:solidFill>
          </w14:textFill>
        </w:rPr>
        <w:t>重点区段分区，详细调研</w:t>
      </w:r>
      <w:r>
        <w:rPr>
          <w:rFonts w:hint="eastAsia" w:ascii="宋体" w:hAnsi="宋体" w:cs="宋体"/>
          <w:color w:val="000000" w:themeColor="text1"/>
          <w:sz w:val="24"/>
          <w14:textFill>
            <w14:solidFill>
              <w14:schemeClr w14:val="tx1"/>
            </w14:solidFill>
          </w14:textFill>
        </w:rPr>
        <w:t>分区</w:t>
      </w:r>
      <w:r>
        <w:rPr>
          <w:rFonts w:ascii="宋体" w:hAnsi="宋体" w:cs="宋体"/>
          <w:color w:val="000000" w:themeColor="text1"/>
          <w:sz w:val="24"/>
          <w14:textFill>
            <w14:solidFill>
              <w14:schemeClr w14:val="tx1"/>
            </w14:solidFill>
          </w14:textFill>
        </w:rPr>
        <w:t>内的现状情况</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矛盾问题、人群需求、空间功能等现状，</w:t>
      </w:r>
      <w:r>
        <w:rPr>
          <w:rFonts w:hint="eastAsia" w:ascii="宋体" w:hAnsi="宋体" w:cs="宋体"/>
          <w:color w:val="000000" w:themeColor="text1"/>
          <w:sz w:val="24"/>
          <w14:textFill>
            <w14:solidFill>
              <w14:schemeClr w14:val="tx1"/>
            </w14:solidFill>
          </w14:textFill>
        </w:rPr>
        <w:t>着重公共空间、重要节点、重要地标、道路交通、河湖水系、界面风貌等系统性规划设计，并注重与周边地区（中轴线区域、高桥片区）的规划协调。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4.4规划重点</w:t>
      </w:r>
      <w:r>
        <w:rPr>
          <w:rFonts w:ascii="宋体" w:hAnsi="宋体" w:cs="宋体"/>
          <w:color w:val="000000" w:themeColor="text1"/>
          <w:sz w:val="24"/>
          <w14:textFill>
            <w14:solidFill>
              <w14:schemeClr w14:val="tx1"/>
            </w14:solidFill>
          </w14:textFill>
        </w:rPr>
        <w:t>片区内的</w:t>
      </w:r>
      <w:r>
        <w:rPr>
          <w:rFonts w:hint="eastAsia" w:ascii="宋体" w:hAnsi="宋体" w:cs="宋体"/>
          <w:color w:val="000000" w:themeColor="text1"/>
          <w:sz w:val="24"/>
          <w14:textFill>
            <w14:solidFill>
              <w14:schemeClr w14:val="tx1"/>
            </w14:solidFill>
          </w14:textFill>
        </w:rPr>
        <w:t>商业配套</w:t>
      </w:r>
      <w:r>
        <w:rPr>
          <w:rFonts w:ascii="宋体" w:hAnsi="宋体" w:cs="宋体"/>
          <w:color w:val="000000" w:themeColor="text1"/>
          <w:sz w:val="24"/>
          <w14:textFill>
            <w14:solidFill>
              <w14:schemeClr w14:val="tx1"/>
            </w14:solidFill>
          </w14:textFill>
        </w:rPr>
        <w:t>、文化体验、</w:t>
      </w:r>
      <w:r>
        <w:rPr>
          <w:rFonts w:hint="eastAsia" w:ascii="宋体" w:hAnsi="宋体" w:cs="宋体"/>
          <w:color w:val="000000" w:themeColor="text1"/>
          <w:sz w:val="24"/>
          <w14:textFill>
            <w14:solidFill>
              <w14:schemeClr w14:val="tx1"/>
            </w14:solidFill>
          </w14:textFill>
        </w:rPr>
        <w:t>产业</w:t>
      </w:r>
      <w:r>
        <w:rPr>
          <w:rFonts w:ascii="宋体" w:hAnsi="宋体" w:cs="宋体"/>
          <w:color w:val="000000" w:themeColor="text1"/>
          <w:sz w:val="24"/>
          <w14:textFill>
            <w14:solidFill>
              <w14:schemeClr w14:val="tx1"/>
            </w14:solidFill>
          </w14:textFill>
        </w:rPr>
        <w:t>功能</w:t>
      </w:r>
      <w:r>
        <w:rPr>
          <w:rFonts w:hint="eastAsia" w:ascii="宋体" w:hAnsi="宋体" w:cs="宋体"/>
          <w:color w:val="000000" w:themeColor="text1"/>
          <w:sz w:val="24"/>
          <w14:textFill>
            <w14:solidFill>
              <w14:schemeClr w14:val="tx1"/>
            </w14:solidFill>
          </w14:textFill>
        </w:rPr>
        <w:t>空间</w:t>
      </w:r>
      <w:r>
        <w:rPr>
          <w:rFonts w:ascii="宋体" w:hAnsi="宋体" w:cs="宋体"/>
          <w:color w:val="000000" w:themeColor="text1"/>
          <w:sz w:val="24"/>
          <w14:textFill>
            <w14:solidFill>
              <w14:schemeClr w14:val="tx1"/>
            </w14:solidFill>
          </w14:textFill>
        </w:rPr>
        <w:t>等多项行动</w:t>
      </w:r>
      <w:r>
        <w:rPr>
          <w:rFonts w:hint="eastAsia" w:ascii="宋体" w:hAnsi="宋体" w:cs="宋体"/>
          <w:color w:val="000000" w:themeColor="text1"/>
          <w:sz w:val="24"/>
          <w14:textFill>
            <w14:solidFill>
              <w14:schemeClr w14:val="tx1"/>
            </w14:solidFill>
          </w14:textFill>
        </w:rPr>
        <w:t>工程。</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4.5完成整体沿线和</w:t>
      </w:r>
      <w:r>
        <w:rPr>
          <w:rFonts w:ascii="宋体" w:hAnsi="宋体" w:cs="宋体"/>
          <w:color w:val="000000" w:themeColor="text1"/>
          <w:sz w:val="24"/>
          <w14:textFill>
            <w14:solidFill>
              <w14:schemeClr w14:val="tx1"/>
            </w14:solidFill>
          </w14:textFill>
        </w:rPr>
        <w:t>重点区段内的</w:t>
      </w:r>
      <w:r>
        <w:rPr>
          <w:rFonts w:hint="eastAsia" w:ascii="宋体" w:hAnsi="宋体" w:cs="宋体"/>
          <w:color w:val="000000" w:themeColor="text1"/>
          <w:sz w:val="24"/>
          <w14:textFill>
            <w14:solidFill>
              <w14:schemeClr w14:val="tx1"/>
            </w14:solidFill>
          </w14:textFill>
        </w:rPr>
        <w:t>近远期</w:t>
      </w:r>
      <w:r>
        <w:rPr>
          <w:rFonts w:ascii="宋体" w:hAnsi="宋体" w:cs="宋体"/>
          <w:color w:val="000000" w:themeColor="text1"/>
          <w:sz w:val="24"/>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库、计划</w:t>
      </w:r>
      <w:r>
        <w:rPr>
          <w:rFonts w:ascii="宋体" w:hAnsi="宋体" w:cs="宋体"/>
          <w:color w:val="000000" w:themeColor="text1"/>
          <w:sz w:val="24"/>
          <w14:textFill>
            <w14:solidFill>
              <w14:schemeClr w14:val="tx1"/>
            </w14:solidFill>
          </w14:textFill>
        </w:rPr>
        <w:t>列表</w:t>
      </w:r>
      <w:r>
        <w:rPr>
          <w:rFonts w:hint="eastAsia" w:ascii="宋体" w:hAnsi="宋体" w:cs="宋体"/>
          <w:color w:val="000000" w:themeColor="text1"/>
          <w:sz w:val="24"/>
          <w14:textFill>
            <w14:solidFill>
              <w14:schemeClr w14:val="tx1"/>
            </w14:solidFill>
          </w14:textFill>
        </w:rPr>
        <w:t>以及</w:t>
      </w:r>
      <w:r>
        <w:rPr>
          <w:rFonts w:ascii="宋体" w:hAnsi="宋体" w:cs="宋体"/>
          <w:color w:val="000000" w:themeColor="text1"/>
          <w:sz w:val="24"/>
          <w14:textFill>
            <w14:solidFill>
              <w14:schemeClr w14:val="tx1"/>
            </w14:solidFill>
          </w14:textFill>
        </w:rPr>
        <w:t>对应的资金测算</w:t>
      </w:r>
      <w:r>
        <w:rPr>
          <w:rFonts w:hint="eastAsia" w:ascii="宋体" w:hAnsi="宋体" w:cs="宋体"/>
          <w:color w:val="000000" w:themeColor="text1"/>
          <w:sz w:val="24"/>
          <w14:textFill>
            <w14:solidFill>
              <w14:schemeClr w14:val="tx1"/>
            </w14:solidFill>
          </w14:textFill>
        </w:rPr>
        <w:t>工作。</w:t>
      </w:r>
    </w:p>
    <w:p>
      <w:pPr>
        <w:spacing w:line="360" w:lineRule="auto"/>
        <w:ind w:firstLine="482" w:firstLineChars="200"/>
        <w:outlineLvl w:val="0"/>
        <w:rPr>
          <w:rFonts w:ascii="宋体" w:hAnsi="宋体" w:cs="宋体"/>
          <w:b/>
          <w:color w:val="000000" w:themeColor="text1"/>
          <w:sz w:val="24"/>
          <w14:textFill>
            <w14:solidFill>
              <w14:schemeClr w14:val="tx1"/>
            </w14:solidFill>
          </w14:textFill>
        </w:rPr>
      </w:pPr>
      <w:bookmarkStart w:id="37" w:name="_Toc28583"/>
      <w:r>
        <w:rPr>
          <w:rFonts w:hint="eastAsia" w:ascii="宋体" w:hAnsi="宋体" w:cs="宋体"/>
          <w:b/>
          <w:color w:val="000000" w:themeColor="text1"/>
          <w:sz w:val="24"/>
          <w14:textFill>
            <w14:solidFill>
              <w14:schemeClr w14:val="tx1"/>
            </w14:solidFill>
          </w14:textFill>
        </w:rPr>
        <w:t>四、规划研究工作要求</w:t>
      </w:r>
      <w:bookmarkEnd w:id="37"/>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服务要求：</w:t>
      </w:r>
      <w:r>
        <w:rPr>
          <w:rFonts w:hint="eastAsia" w:ascii="宋体" w:hAnsi="宋体" w:cs="宋体"/>
          <w:color w:val="000000" w:themeColor="text1"/>
          <w:sz w:val="24"/>
          <w14:textFill>
            <w14:solidFill>
              <w14:schemeClr w14:val="tx1"/>
            </w14:solidFill>
          </w14:textFill>
        </w:rPr>
        <w:t>成交供应商在履行合同义务期间，应遵守国家有关法律、法规、维护采购人的合法权益；成交供应商应组建能够满足本项目服务需要的项目编制小组，按照工作范围和内容完成规划设计工作，并按约定向采购人汇报工作进展；最终规划报告和相关成果须通过杭州市规划和自然资源局余杭分局要求和专家组评审验收。在项目成果通过验收并实施过程中，成交供应商应按照项目实际需求，配合采购人进一步完善规划细节，以满足规划建设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2、保密要求：</w:t>
      </w:r>
      <w:r>
        <w:rPr>
          <w:rFonts w:hint="eastAsia" w:ascii="宋体" w:hAnsi="宋体" w:cs="宋体"/>
          <w:color w:val="000000" w:themeColor="text1"/>
          <w:sz w:val="24"/>
          <w14:textFill>
            <w14:solidFill>
              <w14:schemeClr w14:val="tx1"/>
            </w14:solidFill>
          </w14:textFill>
        </w:rPr>
        <w:t>成交供应商参与本项目研究的资料、成果等知识产权归采购人，有关的信息未经采购人同意不得向第三方泄露。成交供应商有责任对涉及项目的重要信息进行保密；成交供应商如因为项目的开展需要向第三方提供资料,必须提前得到采购人批准。若成交供应商违反保密要求的约定，应当承担违约责任，并支付给采购人合同价的10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的违约金。</w:t>
      </w:r>
    </w:p>
    <w:p>
      <w:pPr>
        <w:spacing w:line="360" w:lineRule="auto"/>
        <w:ind w:firstLine="482" w:firstLineChars="200"/>
        <w:outlineLvl w:val="0"/>
        <w:rPr>
          <w:rFonts w:ascii="宋体" w:hAnsi="宋体" w:cs="宋体"/>
          <w:b/>
          <w:color w:val="000000" w:themeColor="text1"/>
          <w:sz w:val="24"/>
          <w14:textFill>
            <w14:solidFill>
              <w14:schemeClr w14:val="tx1"/>
            </w14:solidFill>
          </w14:textFill>
        </w:rPr>
      </w:pPr>
      <w:bookmarkStart w:id="38" w:name="_Toc16082"/>
      <w:r>
        <w:rPr>
          <w:rFonts w:hint="eastAsia" w:ascii="宋体" w:hAnsi="宋体" w:cs="宋体"/>
          <w:b/>
          <w:color w:val="000000" w:themeColor="text1"/>
          <w:sz w:val="24"/>
          <w14:textFill>
            <w14:solidFill>
              <w14:schemeClr w14:val="tx1"/>
            </w14:solidFill>
          </w14:textFill>
        </w:rPr>
        <w:t>五、项目进度要求</w:t>
      </w:r>
      <w:bookmarkEnd w:id="36"/>
      <w:bookmarkEnd w:id="38"/>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2024年6月初，完成项目初稿；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2024年6月底，完成技术审查稿；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2024年7月底，进一步完善规划成果，形成规划报批稿；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2024年9月中下旬，完成成果结题或报批。</w:t>
      </w:r>
    </w:p>
    <w:p>
      <w:pPr>
        <w:pStyle w:val="23"/>
        <w:rPr>
          <w:lang w:val="en-US"/>
        </w:rPr>
      </w:pPr>
      <w:r>
        <w:rPr>
          <w:rFonts w:hint="eastAsia" w:hAnsi="宋体" w:cs="宋体"/>
          <w:color w:val="000000" w:themeColor="text1"/>
          <w:lang w:val="en-US"/>
          <w14:textFill>
            <w14:solidFill>
              <w14:schemeClr w14:val="tx1"/>
            </w14:solidFill>
          </w14:textFill>
        </w:rPr>
        <w:t xml:space="preserve">   具体完成时间节点以采购人要求为准。</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报价要求</w:t>
      </w:r>
    </w:p>
    <w:p>
      <w:pPr>
        <w:pStyle w:val="26"/>
        <w:spacing w:line="360" w:lineRule="auto"/>
        <w:rPr>
          <w:rFonts w:cs="宋体"/>
          <w:b/>
          <w:color w:val="000000" w:themeColor="text1"/>
          <w14:textFill>
            <w14:solidFill>
              <w14:schemeClr w14:val="tx1"/>
            </w14:solidFill>
          </w14:textFill>
        </w:rPr>
      </w:pPr>
      <w:r>
        <w:rPr>
          <w:rFonts w:hint="eastAsia"/>
          <w:color w:val="000000" w:themeColor="text1"/>
          <w14:textFill>
            <w14:solidFill>
              <w14:schemeClr w14:val="tx1"/>
            </w14:solidFill>
          </w14:textFill>
        </w:rPr>
        <w:t>本项目采用总价包干方式服务，供应商应根据项目要求合理报价。报价包括但不限于本合同资料收集、调研、成果编制、文本打印、规划设计方案</w:t>
      </w:r>
      <w:r>
        <w:rPr>
          <w:rFonts w:hint="eastAsia"/>
          <w:b/>
          <w:color w:val="000000" w:themeColor="text1"/>
          <w14:textFill>
            <w14:solidFill>
              <w14:schemeClr w14:val="tx1"/>
            </w14:solidFill>
          </w14:textFill>
        </w:rPr>
        <w:t>专家审查费用（含专家评审费、住宿费、差旅费等）</w:t>
      </w:r>
      <w:r>
        <w:rPr>
          <w:rFonts w:hint="eastAsia"/>
          <w:color w:val="000000" w:themeColor="text1"/>
          <w14:textFill>
            <w14:solidFill>
              <w14:schemeClr w14:val="tx1"/>
            </w14:solidFill>
          </w14:textFill>
        </w:rPr>
        <w:t>、人员工资、仪器设备费、奖金、交通、差旅、税费、利润、完成合同所需的一切本身和不可或缺的所有工作开支、政策性文件规定及合同包含的所有风险、责任等各项全部费用并承担一切风险责任。</w:t>
      </w:r>
    </w:p>
    <w:p>
      <w:pPr>
        <w:pStyle w:val="123"/>
        <w:spacing w:afterLines="0" w:line="360" w:lineRule="auto"/>
        <w:ind w:firstLine="482"/>
        <w:rPr>
          <w:b/>
          <w:bCs/>
          <w:szCs w:val="44"/>
        </w:rPr>
      </w:pPr>
      <w:r>
        <w:rPr>
          <w:rFonts w:hint="eastAsia"/>
          <w:b/>
          <w:bCs/>
          <w:szCs w:val="44"/>
        </w:rPr>
        <w:t>七</w:t>
      </w:r>
      <w:r>
        <w:rPr>
          <w:b/>
          <w:bCs/>
          <w:szCs w:val="44"/>
        </w:rPr>
        <w:t>、履约验收</w:t>
      </w:r>
    </w:p>
    <w:p>
      <w:pPr>
        <w:pStyle w:val="626"/>
        <w:spacing w:line="360" w:lineRule="auto"/>
        <w:ind w:firstLine="480" w:firstLineChars="200"/>
        <w:rPr>
          <w:rFonts w:cs="宋体"/>
          <w:szCs w:val="24"/>
        </w:rPr>
      </w:pPr>
      <w:r>
        <w:rPr>
          <w:rFonts w:hint="eastAsia" w:cs="宋体"/>
          <w:szCs w:val="24"/>
        </w:rPr>
        <w:t>符合相关技术规范要求，符合相关技术规范及文件精神要求，最终报告和相关成果须通过采购单位和专家组评审验收。</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八、规划研究成果及数量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1、成果构成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一份文本：《杭州余杭塘河（余杭段）沿线区域提升规划及重点区段更新设计》文本；</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一套图纸：规划配套相关图件（若干）；</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一份多媒体汇报文件：（含1分半到2分钟动画）。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2、成果数量</w:t>
      </w:r>
    </w:p>
    <w:p>
      <w:pPr>
        <w:pStyle w:val="626"/>
        <w:spacing w:line="360" w:lineRule="auto"/>
        <w:ind w:firstLine="480" w:firstLineChars="200"/>
        <w:rPr>
          <w:rFonts w:cs="宋体"/>
          <w:szCs w:val="24"/>
        </w:rPr>
      </w:pPr>
      <w:r>
        <w:rPr>
          <w:rFonts w:hint="eastAsia" w:cs="宋体"/>
          <w:szCs w:val="24"/>
        </w:rPr>
        <w:t>各阶段成果的份数按满足审查需要提供。</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九、付款方式 </w:t>
      </w:r>
    </w:p>
    <w:bookmarkEnd w:id="33"/>
    <w:p>
      <w:pPr>
        <w:pStyle w:val="111"/>
        <w:numPr>
          <w:ilvl w:val="0"/>
          <w:numId w:val="6"/>
        </w:numPr>
        <w:ind w:firstLineChars="0"/>
        <w:rPr>
          <w:rFonts w:ascii="宋体" w:hAnsi="宋体" w:eastAsia="宋体" w:cs="宋体"/>
          <w:color w:val="000000" w:themeColor="text1"/>
          <w14:textFill>
            <w14:solidFill>
              <w14:schemeClr w14:val="tx1"/>
            </w14:solidFill>
          </w14:textFill>
        </w:rPr>
      </w:pPr>
      <w:bookmarkStart w:id="39" w:name="_Toc20730"/>
      <w:r>
        <w:rPr>
          <w:rFonts w:hint="eastAsia" w:ascii="宋体" w:hAnsi="宋体" w:eastAsia="宋体" w:cs="宋体"/>
          <w:color w:val="000000" w:themeColor="text1"/>
          <w14:textFill>
            <w14:solidFill>
              <w14:schemeClr w14:val="tx1"/>
            </w14:solidFill>
          </w14:textFill>
        </w:rPr>
        <w:t>合同签订后，采购人支付合同总价的50%；</w:t>
      </w:r>
    </w:p>
    <w:p>
      <w:pPr>
        <w:pStyle w:val="111"/>
        <w:numPr>
          <w:ilvl w:val="0"/>
          <w:numId w:val="6"/>
        </w:numPr>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提交成果报批稿，支付合同总价的30%；</w:t>
      </w:r>
    </w:p>
    <w:p>
      <w:pPr>
        <w:pStyle w:val="111"/>
        <w:numPr>
          <w:ilvl w:val="0"/>
          <w:numId w:val="6"/>
        </w:numPr>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提交正式全部成果（经报批通过的），支付合同总价的20%。</w:t>
      </w:r>
    </w:p>
    <w:p>
      <w:pPr>
        <w:tabs>
          <w:tab w:val="left" w:pos="0"/>
        </w:tabs>
        <w:spacing w:before="120" w:beforeLines="50" w:after="120" w:afterLines="50" w:line="360" w:lineRule="auto"/>
        <w:ind w:firstLine="482" w:firstLineChars="200"/>
        <w:rPr>
          <w:rFonts w:ascii="宋体" w:hAnsi="宋体" w:cs="宋体"/>
          <w:b/>
          <w:bCs/>
          <w:sz w:val="24"/>
        </w:rPr>
      </w:pPr>
      <w:r>
        <w:rPr>
          <w:rFonts w:hint="eastAsia" w:ascii="宋体" w:hAnsi="宋体" w:cs="宋体"/>
          <w:b/>
          <w:bCs/>
          <w:sz w:val="24"/>
        </w:rPr>
        <w:t>十、项目实施要求</w:t>
      </w:r>
    </w:p>
    <w:p>
      <w:pPr>
        <w:tabs>
          <w:tab w:val="left" w:pos="0"/>
        </w:tabs>
        <w:spacing w:line="360" w:lineRule="auto"/>
        <w:ind w:firstLine="480" w:firstLineChars="200"/>
        <w:rPr>
          <w:rFonts w:ascii="宋体" w:hAnsi="宋体" w:cs="宋体"/>
          <w:sz w:val="24"/>
        </w:rPr>
      </w:pPr>
      <w:r>
        <w:rPr>
          <w:rFonts w:hint="eastAsia" w:ascii="宋体" w:hAnsi="宋体" w:cs="宋体"/>
          <w:sz w:val="24"/>
        </w:rPr>
        <w:t xml:space="preserve">1、实施单位要求：投标人须拥有城市规划设计的丰富经验。 </w:t>
      </w:r>
    </w:p>
    <w:p>
      <w:pPr>
        <w:tabs>
          <w:tab w:val="left" w:pos="0"/>
        </w:tabs>
        <w:spacing w:line="360" w:lineRule="auto"/>
        <w:ind w:firstLine="480" w:firstLineChars="200"/>
        <w:rPr>
          <w:rFonts w:cs="宋体" w:asciiTheme="minorEastAsia" w:hAnsiTheme="minorEastAsia" w:eastAsiaTheme="minorEastAsia"/>
          <w:color w:val="000000" w:themeColor="text1"/>
          <w:spacing w:val="1"/>
          <w:sz w:val="24"/>
          <w14:textFill>
            <w14:solidFill>
              <w14:schemeClr w14:val="tx1"/>
            </w14:solidFill>
          </w14:textFill>
        </w:rPr>
      </w:pPr>
      <w:r>
        <w:rPr>
          <w:rFonts w:ascii="宋体" w:hAnsi="宋体" w:cs="宋体"/>
          <w:sz w:val="24"/>
        </w:rPr>
        <w:t>2</w:t>
      </w:r>
      <w:r>
        <w:rPr>
          <w:rFonts w:hint="eastAsia" w:ascii="宋体" w:hAnsi="宋体" w:cs="宋体"/>
          <w:sz w:val="24"/>
        </w:rPr>
        <w:t>、实施团队要求：投标人应在投标文件中明确投入本项目服务的人员基本配备，项目负责人具备较强的专业能力，经验丰富，项目组成员不少于8人，具备较高的专业资质与能力，</w:t>
      </w:r>
      <w:r>
        <w:rPr>
          <w:rFonts w:hint="eastAsia" w:cs="宋体" w:asciiTheme="minorEastAsia" w:hAnsiTheme="minorEastAsia" w:eastAsiaTheme="minorEastAsia"/>
          <w:color w:val="000000" w:themeColor="text1"/>
          <w:spacing w:val="1"/>
          <w:sz w:val="24"/>
          <w14:textFill>
            <w14:solidFill>
              <w14:schemeClr w14:val="tx1"/>
            </w14:solidFill>
          </w14:textFill>
        </w:rPr>
        <w:t>专业人员按需配合。</w:t>
      </w:r>
    </w:p>
    <w:p>
      <w:pPr>
        <w:tabs>
          <w:tab w:val="left" w:pos="0"/>
        </w:tabs>
        <w:spacing w:line="360" w:lineRule="auto"/>
        <w:ind w:firstLine="480" w:firstLineChars="200"/>
        <w:rPr>
          <w:rFonts w:ascii="宋体" w:hAnsi="宋体" w:cs="宋体"/>
          <w:sz w:val="24"/>
        </w:rPr>
      </w:pPr>
      <w:r>
        <w:rPr>
          <w:rFonts w:hint="eastAsia" w:ascii="宋体" w:hAnsi="宋体" w:cs="宋体"/>
          <w:sz w:val="24"/>
        </w:rPr>
        <w:t>3、对项目背景、现状、目标、任务、内容进行全面理解分析，拟定科学的研究技术路线，分析重点、难点并提出解决对策和建议。</w:t>
      </w:r>
    </w:p>
    <w:p>
      <w:pPr>
        <w:tabs>
          <w:tab w:val="left" w:pos="0"/>
        </w:tabs>
        <w:spacing w:line="360" w:lineRule="auto"/>
        <w:ind w:firstLine="480" w:firstLineChars="200"/>
        <w:rPr>
          <w:rFonts w:ascii="宋体" w:hAnsi="宋体" w:cs="宋体"/>
          <w:sz w:val="24"/>
        </w:rPr>
      </w:pPr>
      <w:r>
        <w:rPr>
          <w:rFonts w:hint="eastAsia" w:ascii="宋体" w:hAnsi="宋体" w:cs="宋体"/>
          <w:sz w:val="24"/>
        </w:rPr>
        <w:t>4、提供优质的质量保证服务及后期服务，包括协助召开专家技术评审会，同时按相关程序协助落实规划的修改、报批、发布等。成果报批发布后，积极、及时响应采购人信息统筹、成果使用等工作需求。</w:t>
      </w:r>
    </w:p>
    <w:p>
      <w:pPr>
        <w:tabs>
          <w:tab w:val="left" w:pos="0"/>
        </w:tabs>
        <w:spacing w:line="360" w:lineRule="auto"/>
        <w:ind w:firstLine="480" w:firstLineChars="200"/>
        <w:rPr>
          <w:rFonts w:ascii="宋体" w:hAnsi="宋体" w:cs="宋体"/>
          <w:sz w:val="24"/>
        </w:rPr>
      </w:pPr>
      <w:r>
        <w:rPr>
          <w:rFonts w:hint="eastAsia" w:ascii="宋体" w:hAnsi="宋体" w:cs="宋体"/>
          <w:sz w:val="24"/>
        </w:rPr>
        <w:t>5、工作计划安排科学合理，根据采购需求及评分标准制定相应的投标方案。</w:t>
      </w:r>
    </w:p>
    <w:p>
      <w:pPr>
        <w:tabs>
          <w:tab w:val="left" w:pos="0"/>
        </w:tabs>
        <w:spacing w:line="360" w:lineRule="auto"/>
        <w:ind w:firstLine="480" w:firstLineChars="200"/>
        <w:rPr>
          <w:rFonts w:ascii="宋体" w:hAnsi="宋体" w:cs="宋体"/>
          <w:sz w:val="24"/>
        </w:rPr>
      </w:pPr>
      <w:r>
        <w:rPr>
          <w:rFonts w:hint="eastAsia" w:ascii="宋体" w:hAnsi="宋体" w:cs="宋体"/>
          <w:sz w:val="24"/>
        </w:rPr>
        <w:t>6、质量维护期项目验收合格后1年。</w:t>
      </w:r>
    </w:p>
    <w:p>
      <w:pPr>
        <w:tabs>
          <w:tab w:val="left" w:pos="0"/>
        </w:tabs>
        <w:spacing w:before="120" w:beforeLines="50" w:after="120" w:afterLines="50" w:line="360" w:lineRule="auto"/>
        <w:ind w:firstLine="482" w:firstLineChars="200"/>
        <w:rPr>
          <w:rFonts w:ascii="宋体" w:hAnsi="宋体" w:cs="宋体"/>
          <w:b/>
          <w:bCs/>
          <w:sz w:val="24"/>
        </w:rPr>
      </w:pPr>
      <w:r>
        <w:rPr>
          <w:rFonts w:hint="eastAsia" w:ascii="宋体" w:hAnsi="宋体" w:cs="宋体"/>
          <w:b/>
          <w:bCs/>
          <w:sz w:val="24"/>
        </w:rPr>
        <w:t>十一、知识产权说明</w:t>
      </w:r>
    </w:p>
    <w:p>
      <w:pPr>
        <w:spacing w:line="360" w:lineRule="auto"/>
        <w:ind w:firstLine="480" w:firstLineChars="200"/>
        <w:rPr>
          <w:rFonts w:ascii="宋体" w:hAnsi="宋体" w:cs="宋体"/>
          <w:bCs/>
          <w:sz w:val="24"/>
        </w:rPr>
      </w:pPr>
      <w:r>
        <w:rPr>
          <w:rFonts w:hint="eastAsia" w:ascii="宋体" w:hAnsi="宋体" w:cs="宋体"/>
          <w:bCs/>
          <w:sz w:val="24"/>
        </w:rPr>
        <w:t>本项目供应商可享有成果著作权，但本项目成果版权及使用本次成果所有权和使用权均属于采购人。中标单位不得以任何借口留存，否则承担由此产生的一切法律和经济责任。未经允许，任何单位和个人不得转让和使用本项目的成果。</w:t>
      </w:r>
    </w:p>
    <w:p>
      <w:pPr>
        <w:pStyle w:val="23"/>
      </w:pPr>
    </w:p>
    <w:bookmarkEnd w:id="39"/>
    <w:p>
      <w:pPr>
        <w:numPr>
          <w:ilvl w:val="255"/>
          <w:numId w:val="0"/>
        </w:numPr>
        <w:rPr>
          <w:rFonts w:ascii="宋体" w:hAnsi="宋体" w:cs="宋体"/>
          <w:b/>
          <w:sz w:val="36"/>
          <w:szCs w:val="36"/>
        </w:rPr>
      </w:pPr>
      <w:r>
        <w:rPr>
          <w:rFonts w:hint="eastAsia" w:ascii="宋体" w:hAnsi="宋体" w:cs="宋体"/>
          <w:b/>
          <w:sz w:val="36"/>
          <w:szCs w:val="36"/>
        </w:rPr>
        <w:br w:type="page"/>
      </w:r>
    </w:p>
    <w:p>
      <w:pPr>
        <w:pStyle w:val="3"/>
        <w:numPr>
          <w:ilvl w:val="0"/>
          <w:numId w:val="7"/>
        </w:numPr>
        <w:jc w:val="center"/>
        <w:rPr>
          <w:rFonts w:ascii="宋体" w:hAnsi="宋体" w:cs="宋体"/>
          <w:bCs w:val="0"/>
          <w:kern w:val="2"/>
          <w:sz w:val="36"/>
          <w:szCs w:val="36"/>
        </w:rPr>
      </w:pPr>
      <w:r>
        <w:rPr>
          <w:rFonts w:hint="eastAsia" w:ascii="宋体" w:hAnsi="宋体" w:cs="宋体"/>
          <w:bCs w:val="0"/>
          <w:kern w:val="2"/>
          <w:sz w:val="36"/>
          <w:szCs w:val="36"/>
        </w:rPr>
        <w:t xml:space="preserve">  </w:t>
      </w:r>
      <w:bookmarkStart w:id="40" w:name="_Toc184310340"/>
      <w:bookmarkEnd w:id="40"/>
      <w:bookmarkStart w:id="41" w:name="_Toc184310302"/>
      <w:bookmarkEnd w:id="41"/>
      <w:bookmarkStart w:id="42" w:name="_Toc184312077"/>
      <w:bookmarkEnd w:id="42"/>
      <w:bookmarkStart w:id="43" w:name="_Toc184314457"/>
      <w:bookmarkEnd w:id="43"/>
      <w:bookmarkStart w:id="44" w:name="_Toc184314451"/>
      <w:bookmarkEnd w:id="44"/>
      <w:bookmarkStart w:id="45" w:name="_Toc184313252"/>
      <w:bookmarkEnd w:id="45"/>
      <w:bookmarkStart w:id="46" w:name="_Toc184310316"/>
      <w:bookmarkEnd w:id="46"/>
      <w:bookmarkStart w:id="47" w:name="_Toc184310322"/>
      <w:bookmarkEnd w:id="47"/>
      <w:bookmarkStart w:id="48" w:name="_Toc184312117"/>
      <w:bookmarkEnd w:id="48"/>
      <w:bookmarkStart w:id="49" w:name="_Toc184312089"/>
      <w:bookmarkEnd w:id="49"/>
      <w:bookmarkStart w:id="50" w:name="_Toc184308083"/>
      <w:bookmarkEnd w:id="50"/>
      <w:bookmarkStart w:id="51" w:name="_Toc184313284"/>
      <w:bookmarkEnd w:id="51"/>
      <w:bookmarkStart w:id="52" w:name="_Toc184310331"/>
      <w:bookmarkEnd w:id="52"/>
      <w:bookmarkStart w:id="53" w:name="_Toc184308052"/>
      <w:bookmarkEnd w:id="53"/>
      <w:bookmarkStart w:id="54" w:name="_Toc184313296"/>
      <w:bookmarkEnd w:id="54"/>
      <w:bookmarkStart w:id="55" w:name="_Toc184313240"/>
      <w:bookmarkEnd w:id="55"/>
      <w:bookmarkStart w:id="56" w:name="_Toc184312097"/>
      <w:bookmarkEnd w:id="56"/>
      <w:bookmarkStart w:id="57" w:name="_Toc184308108"/>
      <w:bookmarkEnd w:id="57"/>
      <w:bookmarkStart w:id="58" w:name="_Toc184308066"/>
      <w:bookmarkEnd w:id="58"/>
      <w:bookmarkStart w:id="59" w:name="_Toc184308070"/>
      <w:bookmarkEnd w:id="59"/>
      <w:bookmarkStart w:id="60" w:name="_Toc184314436"/>
      <w:bookmarkEnd w:id="60"/>
      <w:bookmarkStart w:id="61" w:name="_Toc184308042"/>
      <w:bookmarkEnd w:id="61"/>
      <w:bookmarkStart w:id="62" w:name="_Toc184314434"/>
      <w:bookmarkEnd w:id="62"/>
      <w:bookmarkStart w:id="63" w:name="_Toc184313299"/>
      <w:bookmarkEnd w:id="63"/>
      <w:bookmarkStart w:id="64" w:name="_Toc184313291"/>
      <w:bookmarkEnd w:id="64"/>
      <w:bookmarkStart w:id="65" w:name="_Toc184310311"/>
      <w:bookmarkEnd w:id="65"/>
      <w:bookmarkStart w:id="66" w:name="_Toc184313303"/>
      <w:bookmarkEnd w:id="66"/>
      <w:bookmarkStart w:id="67" w:name="_Toc184313245"/>
      <w:bookmarkEnd w:id="67"/>
      <w:bookmarkStart w:id="68" w:name="_Toc184312081"/>
      <w:bookmarkEnd w:id="68"/>
      <w:bookmarkStart w:id="69" w:name="_Toc184314437"/>
      <w:bookmarkEnd w:id="69"/>
      <w:bookmarkStart w:id="70" w:name="_Toc184308037"/>
      <w:bookmarkEnd w:id="70"/>
      <w:bookmarkStart w:id="71" w:name="_Toc184308064"/>
      <w:bookmarkEnd w:id="71"/>
      <w:bookmarkStart w:id="72" w:name="_Toc184314439"/>
      <w:bookmarkEnd w:id="72"/>
      <w:bookmarkStart w:id="73" w:name="_Toc184312094"/>
      <w:bookmarkEnd w:id="73"/>
      <w:bookmarkStart w:id="74" w:name="_Toc184308050"/>
      <w:bookmarkEnd w:id="74"/>
      <w:bookmarkStart w:id="75" w:name="_Toc184313251"/>
      <w:bookmarkEnd w:id="75"/>
      <w:bookmarkStart w:id="76" w:name="_Toc184312072"/>
      <w:bookmarkEnd w:id="76"/>
      <w:bookmarkStart w:id="77" w:name="_Toc184313285"/>
      <w:bookmarkEnd w:id="77"/>
      <w:bookmarkStart w:id="78" w:name="_Toc184314480"/>
      <w:bookmarkEnd w:id="78"/>
      <w:bookmarkStart w:id="79" w:name="_Toc184310285"/>
      <w:bookmarkEnd w:id="79"/>
      <w:bookmarkStart w:id="80" w:name="_Toc184308098"/>
      <w:bookmarkEnd w:id="80"/>
      <w:bookmarkStart w:id="81" w:name="_Toc184313295"/>
      <w:bookmarkEnd w:id="81"/>
      <w:bookmarkStart w:id="82" w:name="_Toc184312083"/>
      <w:bookmarkEnd w:id="82"/>
      <w:bookmarkStart w:id="83" w:name="_Toc184313290"/>
      <w:bookmarkEnd w:id="83"/>
      <w:bookmarkStart w:id="84" w:name="_Toc184308051"/>
      <w:bookmarkEnd w:id="84"/>
      <w:bookmarkStart w:id="85" w:name="_Toc184313263"/>
      <w:bookmarkEnd w:id="85"/>
      <w:bookmarkStart w:id="86" w:name="_Toc184308090"/>
      <w:bookmarkEnd w:id="86"/>
      <w:bookmarkStart w:id="87" w:name="_Toc184312137"/>
      <w:bookmarkEnd w:id="87"/>
      <w:bookmarkStart w:id="88" w:name="_Toc184308081"/>
      <w:bookmarkEnd w:id="88"/>
      <w:bookmarkStart w:id="89" w:name="_Toc184308036"/>
      <w:bookmarkEnd w:id="89"/>
      <w:bookmarkStart w:id="90" w:name="_Toc184313288"/>
      <w:bookmarkEnd w:id="90"/>
      <w:bookmarkStart w:id="91" w:name="_Toc184314415"/>
      <w:bookmarkEnd w:id="91"/>
      <w:bookmarkStart w:id="92" w:name="_Toc184308077"/>
      <w:bookmarkEnd w:id="92"/>
      <w:bookmarkStart w:id="93" w:name="_Toc184308038"/>
      <w:bookmarkEnd w:id="93"/>
      <w:bookmarkStart w:id="94" w:name="_Toc184308039"/>
      <w:bookmarkEnd w:id="94"/>
      <w:bookmarkStart w:id="95" w:name="_Toc184308053"/>
      <w:bookmarkEnd w:id="95"/>
      <w:bookmarkStart w:id="96" w:name="_Toc184313261"/>
      <w:bookmarkEnd w:id="96"/>
      <w:bookmarkStart w:id="97" w:name="_Toc184308058"/>
      <w:bookmarkEnd w:id="97"/>
      <w:bookmarkStart w:id="98" w:name="_Toc184313246"/>
      <w:bookmarkEnd w:id="98"/>
      <w:bookmarkStart w:id="99" w:name="_Toc184313257"/>
      <w:bookmarkEnd w:id="99"/>
      <w:bookmarkStart w:id="100" w:name="_Toc184308056"/>
      <w:bookmarkEnd w:id="100"/>
      <w:bookmarkStart w:id="101" w:name="_Toc184310335"/>
      <w:bookmarkEnd w:id="101"/>
      <w:bookmarkStart w:id="102" w:name="_Toc184310303"/>
      <w:bookmarkEnd w:id="102"/>
      <w:bookmarkStart w:id="103" w:name="_Toc184314414"/>
      <w:bookmarkEnd w:id="103"/>
      <w:bookmarkStart w:id="104" w:name="_Toc184314459"/>
      <w:bookmarkEnd w:id="104"/>
      <w:bookmarkStart w:id="105" w:name="_Toc184314431"/>
      <w:bookmarkEnd w:id="105"/>
      <w:bookmarkStart w:id="106" w:name="_Toc184313304"/>
      <w:bookmarkEnd w:id="106"/>
      <w:bookmarkStart w:id="107" w:name="_Toc184312079"/>
      <w:bookmarkEnd w:id="107"/>
      <w:bookmarkStart w:id="108" w:name="_Toc184308085"/>
      <w:bookmarkEnd w:id="108"/>
      <w:bookmarkStart w:id="109" w:name="_Toc184308082"/>
      <w:bookmarkEnd w:id="109"/>
      <w:bookmarkStart w:id="110" w:name="_Toc184314465"/>
      <w:bookmarkEnd w:id="110"/>
      <w:bookmarkStart w:id="111" w:name="_Toc184310294"/>
      <w:bookmarkEnd w:id="111"/>
      <w:bookmarkStart w:id="112" w:name="_Toc184314460"/>
      <w:bookmarkEnd w:id="112"/>
      <w:bookmarkStart w:id="113" w:name="_Toc184310323"/>
      <w:bookmarkEnd w:id="113"/>
      <w:bookmarkStart w:id="114" w:name="_Toc184310307"/>
      <w:bookmarkEnd w:id="114"/>
      <w:bookmarkStart w:id="115" w:name="_Toc184314421"/>
      <w:bookmarkEnd w:id="115"/>
      <w:bookmarkStart w:id="116" w:name="_Toc184312128"/>
      <w:bookmarkEnd w:id="116"/>
      <w:bookmarkStart w:id="117" w:name="_Toc184310318"/>
      <w:bookmarkEnd w:id="117"/>
      <w:bookmarkStart w:id="118" w:name="_Toc184313297"/>
      <w:bookmarkEnd w:id="118"/>
      <w:bookmarkStart w:id="119" w:name="_Toc184314430"/>
      <w:bookmarkEnd w:id="119"/>
      <w:bookmarkStart w:id="120" w:name="_Toc184308078"/>
      <w:bookmarkEnd w:id="120"/>
      <w:bookmarkStart w:id="121" w:name="_Toc184310284"/>
      <w:bookmarkEnd w:id="121"/>
      <w:bookmarkStart w:id="122" w:name="_Toc184308099"/>
      <w:bookmarkEnd w:id="122"/>
      <w:bookmarkStart w:id="123" w:name="_Toc184312129"/>
      <w:bookmarkEnd w:id="123"/>
      <w:bookmarkStart w:id="124" w:name="_Toc184313294"/>
      <w:bookmarkEnd w:id="124"/>
      <w:bookmarkStart w:id="125" w:name="_Toc184314438"/>
      <w:bookmarkEnd w:id="125"/>
      <w:bookmarkStart w:id="126" w:name="_Toc184310341"/>
      <w:bookmarkEnd w:id="126"/>
      <w:bookmarkStart w:id="127" w:name="_Toc184314475"/>
      <w:bookmarkEnd w:id="127"/>
      <w:bookmarkStart w:id="128" w:name="_Toc184312134"/>
      <w:bookmarkEnd w:id="128"/>
      <w:bookmarkStart w:id="129" w:name="_Toc184308094"/>
      <w:bookmarkEnd w:id="129"/>
      <w:bookmarkStart w:id="130" w:name="_Toc184312122"/>
      <w:bookmarkEnd w:id="130"/>
      <w:bookmarkStart w:id="131" w:name="_Toc184312067"/>
      <w:bookmarkEnd w:id="131"/>
      <w:bookmarkStart w:id="132" w:name="_Toc184312104"/>
      <w:bookmarkEnd w:id="132"/>
      <w:bookmarkStart w:id="133" w:name="_Toc184314466"/>
      <w:bookmarkEnd w:id="133"/>
      <w:bookmarkStart w:id="134" w:name="_Toc184308079"/>
      <w:bookmarkEnd w:id="134"/>
      <w:bookmarkStart w:id="135" w:name="_Toc184312087"/>
      <w:bookmarkEnd w:id="135"/>
      <w:bookmarkStart w:id="136" w:name="_Toc184310342"/>
      <w:bookmarkEnd w:id="136"/>
      <w:bookmarkStart w:id="137" w:name="_Toc184312123"/>
      <w:bookmarkEnd w:id="137"/>
      <w:bookmarkStart w:id="138" w:name="_Toc184308096"/>
      <w:bookmarkEnd w:id="138"/>
      <w:bookmarkStart w:id="139" w:name="_Toc184310328"/>
      <w:bookmarkEnd w:id="139"/>
      <w:bookmarkStart w:id="140" w:name="_Toc184310298"/>
      <w:bookmarkEnd w:id="140"/>
      <w:bookmarkStart w:id="141" w:name="_Toc184308049"/>
      <w:bookmarkEnd w:id="141"/>
      <w:bookmarkStart w:id="142" w:name="_Toc184313239"/>
      <w:bookmarkEnd w:id="142"/>
      <w:bookmarkStart w:id="143" w:name="_Toc184313298"/>
      <w:bookmarkEnd w:id="143"/>
      <w:bookmarkStart w:id="144" w:name="_Toc184313255"/>
      <w:bookmarkEnd w:id="144"/>
      <w:bookmarkStart w:id="145" w:name="_Toc184314474"/>
      <w:bookmarkEnd w:id="145"/>
      <w:bookmarkStart w:id="146" w:name="_Toc184313292"/>
      <w:bookmarkEnd w:id="146"/>
      <w:bookmarkStart w:id="147" w:name="_Toc184314467"/>
      <w:bookmarkEnd w:id="147"/>
      <w:bookmarkStart w:id="148" w:name="_Toc184308084"/>
      <w:bookmarkEnd w:id="148"/>
      <w:bookmarkStart w:id="149" w:name="_Toc184310306"/>
      <w:bookmarkEnd w:id="149"/>
      <w:bookmarkStart w:id="150" w:name="_Toc184313289"/>
      <w:bookmarkEnd w:id="150"/>
      <w:bookmarkStart w:id="151" w:name="_Toc184313283"/>
      <w:bookmarkEnd w:id="151"/>
      <w:bookmarkStart w:id="152" w:name="_Toc184313258"/>
      <w:bookmarkEnd w:id="152"/>
      <w:bookmarkStart w:id="153" w:name="_Toc184314425"/>
      <w:bookmarkEnd w:id="153"/>
      <w:bookmarkStart w:id="154" w:name="_Toc184314479"/>
      <w:bookmarkEnd w:id="154"/>
      <w:bookmarkStart w:id="155" w:name="_Toc184314426"/>
      <w:bookmarkEnd w:id="155"/>
      <w:bookmarkStart w:id="156" w:name="_Toc184310329"/>
      <w:bookmarkEnd w:id="156"/>
      <w:bookmarkStart w:id="157" w:name="_Toc184310289"/>
      <w:bookmarkEnd w:id="157"/>
      <w:bookmarkStart w:id="158" w:name="_Toc184314410"/>
      <w:bookmarkEnd w:id="158"/>
      <w:bookmarkStart w:id="159" w:name="_Toc184308092"/>
      <w:bookmarkEnd w:id="159"/>
      <w:bookmarkStart w:id="160" w:name="_Toc184312082"/>
      <w:bookmarkEnd w:id="160"/>
      <w:bookmarkStart w:id="161" w:name="_Toc184312088"/>
      <w:bookmarkEnd w:id="161"/>
      <w:bookmarkStart w:id="162" w:name="_Toc184313276"/>
      <w:bookmarkEnd w:id="162"/>
      <w:bookmarkStart w:id="163" w:name="_Toc184312121"/>
      <w:bookmarkEnd w:id="163"/>
      <w:bookmarkStart w:id="164" w:name="_Toc184313306"/>
      <w:bookmarkEnd w:id="164"/>
      <w:bookmarkStart w:id="165" w:name="_Toc184313248"/>
      <w:bookmarkEnd w:id="165"/>
      <w:bookmarkStart w:id="166" w:name="_Toc184314411"/>
      <w:bookmarkEnd w:id="166"/>
      <w:bookmarkStart w:id="167" w:name="_Toc184314456"/>
      <w:bookmarkEnd w:id="167"/>
      <w:bookmarkStart w:id="168" w:name="_Toc184310276"/>
      <w:bookmarkEnd w:id="168"/>
      <w:bookmarkStart w:id="169" w:name="_Toc184308055"/>
      <w:bookmarkEnd w:id="169"/>
      <w:bookmarkStart w:id="170" w:name="_Toc184314471"/>
      <w:bookmarkEnd w:id="170"/>
      <w:bookmarkStart w:id="171" w:name="_Toc184310337"/>
      <w:bookmarkEnd w:id="171"/>
      <w:bookmarkStart w:id="172" w:name="_Toc184314417"/>
      <w:bookmarkEnd w:id="172"/>
      <w:bookmarkStart w:id="173" w:name="_Toc184308091"/>
      <w:bookmarkEnd w:id="173"/>
      <w:bookmarkStart w:id="174" w:name="_Toc184314412"/>
      <w:bookmarkEnd w:id="174"/>
      <w:bookmarkStart w:id="175" w:name="_Toc184312080"/>
      <w:bookmarkEnd w:id="175"/>
      <w:bookmarkStart w:id="176" w:name="_Toc184314469"/>
      <w:bookmarkEnd w:id="176"/>
      <w:bookmarkStart w:id="177" w:name="_Toc184308100"/>
      <w:bookmarkEnd w:id="177"/>
      <w:bookmarkStart w:id="178" w:name="_Toc184310314"/>
      <w:bookmarkEnd w:id="178"/>
      <w:bookmarkStart w:id="179" w:name="_Toc184308086"/>
      <w:bookmarkEnd w:id="179"/>
      <w:bookmarkStart w:id="180" w:name="_Toc184312111"/>
      <w:bookmarkEnd w:id="180"/>
      <w:bookmarkStart w:id="181" w:name="_Toc184312095"/>
      <w:bookmarkEnd w:id="181"/>
      <w:bookmarkStart w:id="182" w:name="_Toc184310296"/>
      <w:bookmarkEnd w:id="182"/>
      <w:bookmarkStart w:id="183" w:name="_Toc184314464"/>
      <w:bookmarkEnd w:id="183"/>
      <w:bookmarkStart w:id="184" w:name="_Toc184310272"/>
      <w:bookmarkEnd w:id="184"/>
      <w:bookmarkStart w:id="185" w:name="_Toc184314427"/>
      <w:bookmarkEnd w:id="185"/>
      <w:bookmarkStart w:id="186" w:name="_Toc184310299"/>
      <w:bookmarkEnd w:id="186"/>
      <w:bookmarkStart w:id="187" w:name="_Toc184308074"/>
      <w:bookmarkEnd w:id="187"/>
      <w:bookmarkStart w:id="188" w:name="_Toc184310295"/>
      <w:bookmarkEnd w:id="188"/>
      <w:bookmarkStart w:id="189" w:name="_Toc184310292"/>
      <w:bookmarkEnd w:id="189"/>
      <w:bookmarkStart w:id="190" w:name="_Toc184310326"/>
      <w:bookmarkEnd w:id="190"/>
      <w:bookmarkStart w:id="191" w:name="_Toc184313275"/>
      <w:bookmarkEnd w:id="191"/>
      <w:bookmarkStart w:id="192" w:name="_Toc184308068"/>
      <w:bookmarkEnd w:id="192"/>
      <w:bookmarkStart w:id="193" w:name="_Toc184312127"/>
      <w:bookmarkEnd w:id="193"/>
      <w:bookmarkStart w:id="194" w:name="_Toc184310321"/>
      <w:bookmarkEnd w:id="194"/>
      <w:bookmarkStart w:id="195" w:name="_Toc184312125"/>
      <w:bookmarkEnd w:id="195"/>
      <w:bookmarkStart w:id="196" w:name="_Toc184310286"/>
      <w:bookmarkEnd w:id="196"/>
      <w:bookmarkStart w:id="197" w:name="_Toc184312073"/>
      <w:bookmarkEnd w:id="197"/>
      <w:bookmarkStart w:id="198" w:name="_Toc184310334"/>
      <w:bookmarkEnd w:id="198"/>
      <w:bookmarkStart w:id="199" w:name="_Toc184313274"/>
      <w:bookmarkEnd w:id="199"/>
      <w:bookmarkStart w:id="200" w:name="_Toc184312103"/>
      <w:bookmarkEnd w:id="200"/>
      <w:bookmarkStart w:id="201" w:name="_Toc184308046"/>
      <w:bookmarkEnd w:id="201"/>
      <w:bookmarkStart w:id="202" w:name="_Toc184312119"/>
      <w:bookmarkEnd w:id="202"/>
      <w:bookmarkStart w:id="203" w:name="_Toc184313243"/>
      <w:bookmarkEnd w:id="203"/>
      <w:bookmarkStart w:id="204" w:name="_Toc184310281"/>
      <w:bookmarkEnd w:id="204"/>
      <w:bookmarkStart w:id="205" w:name="_Toc184313272"/>
      <w:bookmarkEnd w:id="205"/>
      <w:bookmarkStart w:id="206" w:name="_Toc184314458"/>
      <w:bookmarkEnd w:id="206"/>
      <w:bookmarkStart w:id="207" w:name="_Toc184313259"/>
      <w:bookmarkEnd w:id="207"/>
      <w:bookmarkStart w:id="208" w:name="_Toc184308062"/>
      <w:bookmarkEnd w:id="208"/>
      <w:bookmarkStart w:id="209" w:name="_Toc184313256"/>
      <w:bookmarkEnd w:id="209"/>
      <w:bookmarkStart w:id="210" w:name="_Toc184312092"/>
      <w:bookmarkEnd w:id="210"/>
      <w:bookmarkStart w:id="211" w:name="_Toc184312098"/>
      <w:bookmarkEnd w:id="211"/>
      <w:bookmarkStart w:id="212" w:name="_Toc184314429"/>
      <w:bookmarkEnd w:id="212"/>
      <w:bookmarkStart w:id="213" w:name="_Toc184310310"/>
      <w:bookmarkEnd w:id="213"/>
      <w:bookmarkStart w:id="214" w:name="_Toc184313250"/>
      <w:bookmarkEnd w:id="214"/>
      <w:bookmarkStart w:id="215" w:name="_Toc184308071"/>
      <w:bookmarkEnd w:id="215"/>
      <w:bookmarkStart w:id="216" w:name="_Toc184312133"/>
      <w:bookmarkEnd w:id="216"/>
      <w:bookmarkStart w:id="217" w:name="_Toc184310282"/>
      <w:bookmarkEnd w:id="217"/>
      <w:bookmarkStart w:id="218" w:name="_Toc184308063"/>
      <w:bookmarkEnd w:id="218"/>
      <w:bookmarkStart w:id="219" w:name="_Toc184314433"/>
      <w:bookmarkEnd w:id="219"/>
      <w:bookmarkStart w:id="220" w:name="_Toc184313253"/>
      <w:bookmarkEnd w:id="220"/>
      <w:bookmarkStart w:id="221" w:name="_Toc184310301"/>
      <w:bookmarkEnd w:id="221"/>
      <w:bookmarkStart w:id="222" w:name="_Toc184314448"/>
      <w:bookmarkEnd w:id="222"/>
      <w:bookmarkStart w:id="223" w:name="_Toc184312126"/>
      <w:bookmarkEnd w:id="223"/>
      <w:bookmarkStart w:id="224" w:name="_Toc184313266"/>
      <w:bookmarkEnd w:id="224"/>
      <w:bookmarkStart w:id="225" w:name="_Toc184312113"/>
      <w:bookmarkEnd w:id="225"/>
      <w:bookmarkStart w:id="226" w:name="_Toc184310273"/>
      <w:bookmarkEnd w:id="226"/>
      <w:bookmarkStart w:id="227" w:name="_Toc184313279"/>
      <w:bookmarkEnd w:id="227"/>
      <w:bookmarkStart w:id="228" w:name="_Toc184314463"/>
      <w:bookmarkEnd w:id="228"/>
      <w:bookmarkStart w:id="229" w:name="_Toc184312093"/>
      <w:bookmarkEnd w:id="229"/>
      <w:bookmarkStart w:id="230" w:name="_Toc184310300"/>
      <w:bookmarkEnd w:id="230"/>
      <w:bookmarkStart w:id="231" w:name="_Toc184314447"/>
      <w:bookmarkEnd w:id="231"/>
      <w:bookmarkStart w:id="232" w:name="_Toc184308104"/>
      <w:bookmarkEnd w:id="232"/>
      <w:bookmarkStart w:id="233" w:name="_Toc184314445"/>
      <w:bookmarkEnd w:id="233"/>
      <w:bookmarkStart w:id="234" w:name="_Toc184312086"/>
      <w:bookmarkEnd w:id="234"/>
      <w:bookmarkStart w:id="235" w:name="_Toc184312114"/>
      <w:bookmarkEnd w:id="235"/>
      <w:bookmarkStart w:id="236" w:name="_Toc184313287"/>
      <w:bookmarkEnd w:id="236"/>
      <w:bookmarkStart w:id="237" w:name="_Toc184312115"/>
      <w:bookmarkEnd w:id="237"/>
      <w:bookmarkStart w:id="238" w:name="_Toc184308106"/>
      <w:bookmarkEnd w:id="238"/>
      <w:bookmarkStart w:id="239" w:name="_Toc184313277"/>
      <w:bookmarkEnd w:id="239"/>
      <w:bookmarkStart w:id="240" w:name="_Toc184310278"/>
      <w:bookmarkEnd w:id="240"/>
      <w:bookmarkStart w:id="241" w:name="_Toc184313249"/>
      <w:bookmarkEnd w:id="241"/>
      <w:bookmarkStart w:id="242" w:name="_Toc184313301"/>
      <w:bookmarkEnd w:id="242"/>
      <w:bookmarkStart w:id="243" w:name="_Toc184310325"/>
      <w:bookmarkEnd w:id="243"/>
      <w:bookmarkStart w:id="244" w:name="_Toc184308059"/>
      <w:bookmarkEnd w:id="244"/>
      <w:bookmarkStart w:id="245" w:name="_Toc184310280"/>
      <w:bookmarkEnd w:id="245"/>
      <w:bookmarkStart w:id="246" w:name="_Toc184312135"/>
      <w:bookmarkEnd w:id="246"/>
      <w:bookmarkStart w:id="247" w:name="_Toc184312100"/>
      <w:bookmarkEnd w:id="247"/>
      <w:bookmarkStart w:id="248" w:name="_Toc184314452"/>
      <w:bookmarkEnd w:id="248"/>
      <w:bookmarkStart w:id="249" w:name="_Toc184310313"/>
      <w:bookmarkEnd w:id="249"/>
      <w:bookmarkStart w:id="250" w:name="_Toc184310317"/>
      <w:bookmarkEnd w:id="250"/>
      <w:bookmarkStart w:id="251" w:name="_Toc184313247"/>
      <w:bookmarkEnd w:id="251"/>
      <w:bookmarkStart w:id="252" w:name="_Toc184314413"/>
      <w:bookmarkEnd w:id="252"/>
      <w:bookmarkStart w:id="253" w:name="_Toc184310274"/>
      <w:bookmarkEnd w:id="253"/>
      <w:bookmarkStart w:id="254" w:name="_Toc184312085"/>
      <w:bookmarkEnd w:id="254"/>
      <w:bookmarkStart w:id="255" w:name="_Toc184308101"/>
      <w:bookmarkEnd w:id="255"/>
      <w:bookmarkStart w:id="256" w:name="_Toc184310288"/>
      <w:bookmarkEnd w:id="256"/>
      <w:bookmarkStart w:id="257" w:name="_Toc184314478"/>
      <w:bookmarkEnd w:id="257"/>
      <w:bookmarkStart w:id="258" w:name="_Toc184312139"/>
      <w:bookmarkEnd w:id="258"/>
      <w:bookmarkStart w:id="259" w:name="_Toc184312124"/>
      <w:bookmarkEnd w:id="259"/>
      <w:bookmarkStart w:id="260" w:name="_Toc184312105"/>
      <w:bookmarkEnd w:id="260"/>
      <w:bookmarkStart w:id="261" w:name="_Toc184308043"/>
      <w:bookmarkEnd w:id="261"/>
      <w:bookmarkStart w:id="262" w:name="_Toc184313300"/>
      <w:bookmarkEnd w:id="262"/>
      <w:bookmarkStart w:id="263" w:name="_Toc184314454"/>
      <w:bookmarkEnd w:id="263"/>
      <w:bookmarkStart w:id="264" w:name="_Toc184310315"/>
      <w:bookmarkEnd w:id="264"/>
      <w:bookmarkStart w:id="265" w:name="_Toc184314419"/>
      <w:bookmarkEnd w:id="265"/>
      <w:bookmarkStart w:id="266" w:name="_Toc184312120"/>
      <w:bookmarkEnd w:id="266"/>
      <w:bookmarkStart w:id="267" w:name="_Toc184310339"/>
      <w:bookmarkEnd w:id="267"/>
      <w:bookmarkStart w:id="268" w:name="_Toc184314455"/>
      <w:bookmarkEnd w:id="268"/>
      <w:bookmarkStart w:id="269" w:name="_Toc184314420"/>
      <w:bookmarkEnd w:id="269"/>
      <w:bookmarkStart w:id="270" w:name="_Toc184310330"/>
      <w:bookmarkEnd w:id="270"/>
      <w:bookmarkStart w:id="271" w:name="_Toc184314468"/>
      <w:bookmarkEnd w:id="271"/>
      <w:bookmarkStart w:id="272" w:name="_Toc184313241"/>
      <w:bookmarkEnd w:id="272"/>
      <w:bookmarkStart w:id="273" w:name="_Toc184312130"/>
      <w:bookmarkEnd w:id="273"/>
      <w:bookmarkStart w:id="274" w:name="_Toc184313238"/>
      <w:bookmarkEnd w:id="274"/>
      <w:bookmarkStart w:id="275" w:name="_Toc184310308"/>
      <w:bookmarkEnd w:id="275"/>
      <w:bookmarkStart w:id="276" w:name="_Toc184310309"/>
      <w:bookmarkEnd w:id="276"/>
      <w:bookmarkStart w:id="277" w:name="_Toc184313308"/>
      <w:bookmarkEnd w:id="277"/>
      <w:bookmarkStart w:id="278" w:name="_Toc184314416"/>
      <w:bookmarkEnd w:id="278"/>
      <w:bookmarkStart w:id="279" w:name="_Toc184310293"/>
      <w:bookmarkEnd w:id="279"/>
      <w:bookmarkStart w:id="280" w:name="_Toc184312071"/>
      <w:bookmarkEnd w:id="280"/>
      <w:bookmarkStart w:id="281" w:name="_Toc184308103"/>
      <w:bookmarkEnd w:id="281"/>
      <w:bookmarkStart w:id="282" w:name="_Toc184313260"/>
      <w:bookmarkEnd w:id="282"/>
      <w:bookmarkStart w:id="283" w:name="_Toc184308067"/>
      <w:bookmarkEnd w:id="283"/>
      <w:bookmarkStart w:id="284" w:name="_Toc184310333"/>
      <w:bookmarkEnd w:id="284"/>
      <w:bookmarkStart w:id="285" w:name="_Toc184313307"/>
      <w:bookmarkEnd w:id="285"/>
      <w:bookmarkStart w:id="286" w:name="_Toc184308060"/>
      <w:bookmarkEnd w:id="286"/>
      <w:bookmarkStart w:id="287" w:name="_Toc184308040"/>
      <w:bookmarkEnd w:id="287"/>
      <w:bookmarkStart w:id="288" w:name="_Toc184314482"/>
      <w:bookmarkEnd w:id="288"/>
      <w:bookmarkStart w:id="289" w:name="_Toc184313309"/>
      <w:bookmarkEnd w:id="289"/>
      <w:bookmarkStart w:id="290" w:name="_Toc184310287"/>
      <w:bookmarkEnd w:id="290"/>
      <w:bookmarkStart w:id="291" w:name="_Toc184310275"/>
      <w:bookmarkEnd w:id="291"/>
      <w:bookmarkStart w:id="292" w:name="_Toc184312136"/>
      <w:bookmarkEnd w:id="292"/>
      <w:bookmarkStart w:id="293" w:name="_Toc184308047"/>
      <w:bookmarkEnd w:id="293"/>
      <w:bookmarkStart w:id="294" w:name="_Toc184310319"/>
      <w:bookmarkEnd w:id="294"/>
      <w:bookmarkStart w:id="295" w:name="_Toc184312108"/>
      <w:bookmarkEnd w:id="295"/>
      <w:bookmarkStart w:id="296" w:name="_Toc184310283"/>
      <w:bookmarkEnd w:id="296"/>
      <w:bookmarkStart w:id="297" w:name="_Toc184314462"/>
      <w:bookmarkEnd w:id="297"/>
      <w:bookmarkStart w:id="298" w:name="_Toc184310344"/>
      <w:bookmarkEnd w:id="298"/>
      <w:bookmarkStart w:id="299" w:name="_Toc184310304"/>
      <w:bookmarkEnd w:id="299"/>
      <w:bookmarkStart w:id="300" w:name="_Toc184312078"/>
      <w:bookmarkEnd w:id="300"/>
      <w:bookmarkStart w:id="301" w:name="_Toc184312112"/>
      <w:bookmarkEnd w:id="301"/>
      <w:bookmarkStart w:id="302" w:name="_Toc184313278"/>
      <w:bookmarkEnd w:id="302"/>
      <w:bookmarkStart w:id="303" w:name="_Toc184314453"/>
      <w:bookmarkEnd w:id="303"/>
      <w:bookmarkStart w:id="304" w:name="_Toc184310305"/>
      <w:bookmarkEnd w:id="304"/>
      <w:bookmarkStart w:id="305" w:name="_Toc184313280"/>
      <w:bookmarkEnd w:id="305"/>
      <w:bookmarkStart w:id="306" w:name="_Toc184312091"/>
      <w:bookmarkEnd w:id="306"/>
      <w:bookmarkStart w:id="307" w:name="_Toc184312076"/>
      <w:bookmarkEnd w:id="307"/>
      <w:bookmarkStart w:id="308" w:name="_Toc184314444"/>
      <w:bookmarkEnd w:id="308"/>
      <w:bookmarkStart w:id="309" w:name="_Toc184308095"/>
      <w:bookmarkEnd w:id="309"/>
      <w:bookmarkStart w:id="310" w:name="_Toc184308097"/>
      <w:bookmarkEnd w:id="310"/>
      <w:bookmarkStart w:id="311" w:name="_Toc184308087"/>
      <w:bookmarkEnd w:id="311"/>
      <w:bookmarkStart w:id="312" w:name="_Toc184308105"/>
      <w:bookmarkEnd w:id="312"/>
      <w:bookmarkStart w:id="313" w:name="_Toc184312070"/>
      <w:bookmarkEnd w:id="313"/>
      <w:bookmarkStart w:id="314" w:name="_Toc184312069"/>
      <w:bookmarkEnd w:id="314"/>
      <w:bookmarkStart w:id="315" w:name="_Toc184314450"/>
      <w:bookmarkEnd w:id="315"/>
      <w:bookmarkStart w:id="316" w:name="_Toc184313282"/>
      <w:bookmarkEnd w:id="316"/>
      <w:bookmarkStart w:id="317" w:name="_Toc184310279"/>
      <w:bookmarkEnd w:id="317"/>
      <w:bookmarkStart w:id="318" w:name="_Toc184313270"/>
      <w:bookmarkEnd w:id="318"/>
      <w:bookmarkStart w:id="319" w:name="_Toc184313244"/>
      <w:bookmarkEnd w:id="319"/>
      <w:bookmarkStart w:id="320" w:name="_Toc184313262"/>
      <w:bookmarkEnd w:id="320"/>
      <w:bookmarkStart w:id="321" w:name="_Toc184312090"/>
      <w:bookmarkEnd w:id="321"/>
      <w:bookmarkStart w:id="322" w:name="_Toc184308107"/>
      <w:bookmarkEnd w:id="322"/>
      <w:bookmarkStart w:id="323" w:name="_Toc184314428"/>
      <w:bookmarkEnd w:id="323"/>
      <w:bookmarkStart w:id="324" w:name="_Toc184308057"/>
      <w:bookmarkEnd w:id="324"/>
      <w:bookmarkStart w:id="325" w:name="_Toc184308065"/>
      <w:bookmarkEnd w:id="325"/>
      <w:bookmarkStart w:id="326" w:name="_Toc184312138"/>
      <w:bookmarkEnd w:id="326"/>
      <w:bookmarkStart w:id="327" w:name="_Toc184308093"/>
      <w:bookmarkEnd w:id="327"/>
      <w:bookmarkStart w:id="328" w:name="_Toc184314435"/>
      <w:bookmarkEnd w:id="328"/>
      <w:bookmarkStart w:id="329" w:name="_Toc184314442"/>
      <w:bookmarkEnd w:id="329"/>
      <w:bookmarkStart w:id="330" w:name="_Toc184310327"/>
      <w:bookmarkEnd w:id="330"/>
      <w:bookmarkStart w:id="331" w:name="_Toc184308054"/>
      <w:bookmarkEnd w:id="331"/>
      <w:bookmarkStart w:id="332" w:name="_Toc184308076"/>
      <w:bookmarkEnd w:id="332"/>
      <w:bookmarkStart w:id="333" w:name="_Toc184310336"/>
      <w:bookmarkEnd w:id="333"/>
      <w:bookmarkStart w:id="334" w:name="_Toc184314481"/>
      <w:bookmarkEnd w:id="334"/>
      <w:bookmarkStart w:id="335" w:name="_Toc184308061"/>
      <w:bookmarkEnd w:id="335"/>
      <w:bookmarkStart w:id="336" w:name="_Toc184312107"/>
      <w:bookmarkEnd w:id="336"/>
      <w:bookmarkStart w:id="337" w:name="_Toc184313281"/>
      <w:bookmarkEnd w:id="337"/>
      <w:bookmarkStart w:id="338" w:name="_Toc184313305"/>
      <w:bookmarkEnd w:id="338"/>
      <w:bookmarkStart w:id="339" w:name="_Toc184312096"/>
      <w:bookmarkEnd w:id="339"/>
      <w:bookmarkStart w:id="340" w:name="_Toc184308072"/>
      <w:bookmarkEnd w:id="340"/>
      <w:bookmarkStart w:id="341" w:name="_Toc184312075"/>
      <w:bookmarkEnd w:id="341"/>
      <w:bookmarkStart w:id="342" w:name="_Toc184313265"/>
      <w:bookmarkEnd w:id="342"/>
      <w:bookmarkStart w:id="343" w:name="_Toc184310290"/>
      <w:bookmarkEnd w:id="343"/>
      <w:bookmarkStart w:id="344" w:name="_Toc184313242"/>
      <w:bookmarkEnd w:id="344"/>
      <w:bookmarkStart w:id="345" w:name="_Toc184308080"/>
      <w:bookmarkEnd w:id="345"/>
      <w:bookmarkStart w:id="346" w:name="_Toc184310320"/>
      <w:bookmarkEnd w:id="346"/>
      <w:bookmarkStart w:id="347" w:name="_Toc184312132"/>
      <w:bookmarkEnd w:id="347"/>
      <w:bookmarkStart w:id="348" w:name="_Toc184314441"/>
      <w:bookmarkEnd w:id="348"/>
      <w:bookmarkStart w:id="349" w:name="_Toc184313293"/>
      <w:bookmarkEnd w:id="349"/>
      <w:bookmarkStart w:id="350" w:name="_Toc184314472"/>
      <w:bookmarkEnd w:id="350"/>
      <w:bookmarkStart w:id="351" w:name="_Toc184314423"/>
      <w:bookmarkEnd w:id="351"/>
      <w:bookmarkStart w:id="352" w:name="_Toc184314446"/>
      <w:bookmarkEnd w:id="352"/>
      <w:bookmarkStart w:id="353" w:name="_Toc184313264"/>
      <w:bookmarkEnd w:id="353"/>
      <w:bookmarkStart w:id="354" w:name="_Toc184312106"/>
      <w:bookmarkEnd w:id="354"/>
      <w:bookmarkStart w:id="355" w:name="_Toc184312131"/>
      <w:bookmarkEnd w:id="355"/>
      <w:bookmarkStart w:id="356" w:name="_Toc184312102"/>
      <w:bookmarkEnd w:id="356"/>
      <w:bookmarkStart w:id="357" w:name="_Toc184308075"/>
      <w:bookmarkEnd w:id="357"/>
      <w:bookmarkStart w:id="358" w:name="_Toc184308102"/>
      <w:bookmarkEnd w:id="358"/>
      <w:bookmarkStart w:id="359" w:name="_Toc184314470"/>
      <w:bookmarkEnd w:id="359"/>
      <w:bookmarkStart w:id="360" w:name="_Toc184314473"/>
      <w:bookmarkEnd w:id="360"/>
      <w:bookmarkStart w:id="361" w:name="_Toc184310291"/>
      <w:bookmarkEnd w:id="361"/>
      <w:bookmarkStart w:id="362" w:name="_Toc184308088"/>
      <w:bookmarkEnd w:id="362"/>
      <w:bookmarkStart w:id="363" w:name="_Toc184310312"/>
      <w:bookmarkEnd w:id="363"/>
      <w:bookmarkStart w:id="364" w:name="_Toc184308073"/>
      <w:bookmarkEnd w:id="364"/>
      <w:bookmarkStart w:id="365" w:name="_Toc184310277"/>
      <w:bookmarkEnd w:id="365"/>
      <w:bookmarkStart w:id="366" w:name="_Toc184314440"/>
      <w:bookmarkEnd w:id="366"/>
      <w:bookmarkStart w:id="367" w:name="_Toc184312068"/>
      <w:bookmarkEnd w:id="367"/>
      <w:bookmarkStart w:id="368" w:name="_Toc184308089"/>
      <w:bookmarkEnd w:id="368"/>
      <w:bookmarkStart w:id="369" w:name="_Toc184308041"/>
      <w:bookmarkEnd w:id="369"/>
      <w:bookmarkStart w:id="370" w:name="_Toc184312109"/>
      <w:bookmarkEnd w:id="370"/>
      <w:bookmarkStart w:id="371" w:name="_Toc184313267"/>
      <w:bookmarkEnd w:id="371"/>
      <w:bookmarkStart w:id="372" w:name="_Toc184310324"/>
      <w:bookmarkEnd w:id="372"/>
      <w:bookmarkStart w:id="373" w:name="_Toc184312118"/>
      <w:bookmarkEnd w:id="373"/>
      <w:bookmarkStart w:id="374" w:name="_Toc184313269"/>
      <w:bookmarkEnd w:id="374"/>
      <w:bookmarkStart w:id="375" w:name="_Toc184313268"/>
      <w:bookmarkEnd w:id="375"/>
      <w:bookmarkStart w:id="376" w:name="_Toc184313273"/>
      <w:bookmarkEnd w:id="376"/>
      <w:bookmarkStart w:id="377" w:name="_Toc184310297"/>
      <w:bookmarkEnd w:id="377"/>
      <w:bookmarkStart w:id="378" w:name="_Toc184308069"/>
      <w:bookmarkEnd w:id="378"/>
      <w:bookmarkStart w:id="379" w:name="_Toc184314432"/>
      <w:bookmarkEnd w:id="379"/>
      <w:bookmarkStart w:id="380" w:name="_Toc184313271"/>
      <w:bookmarkEnd w:id="380"/>
      <w:bookmarkStart w:id="381" w:name="_Toc184312116"/>
      <w:bookmarkEnd w:id="381"/>
      <w:bookmarkStart w:id="382" w:name="_Toc184314477"/>
      <w:bookmarkEnd w:id="382"/>
      <w:bookmarkStart w:id="383" w:name="_Toc184313302"/>
      <w:bookmarkEnd w:id="383"/>
      <w:bookmarkStart w:id="384" w:name="_Toc184308048"/>
      <w:bookmarkEnd w:id="384"/>
      <w:bookmarkStart w:id="385" w:name="_Toc184313254"/>
      <w:bookmarkEnd w:id="385"/>
      <w:bookmarkStart w:id="386" w:name="_Toc184312101"/>
      <w:bookmarkEnd w:id="386"/>
      <w:bookmarkStart w:id="387" w:name="_Toc184314443"/>
      <w:bookmarkEnd w:id="387"/>
      <w:bookmarkStart w:id="388" w:name="_Toc184314449"/>
      <w:bookmarkEnd w:id="388"/>
      <w:bookmarkStart w:id="389" w:name="_Toc184310343"/>
      <w:bookmarkEnd w:id="389"/>
      <w:bookmarkStart w:id="390" w:name="_Toc184312074"/>
      <w:bookmarkEnd w:id="390"/>
      <w:bookmarkStart w:id="391" w:name="_Toc184314418"/>
      <w:bookmarkEnd w:id="391"/>
      <w:bookmarkStart w:id="392" w:name="_Toc184314461"/>
      <w:bookmarkEnd w:id="392"/>
      <w:bookmarkStart w:id="393" w:name="_Toc184308045"/>
      <w:bookmarkEnd w:id="393"/>
      <w:bookmarkStart w:id="394" w:name="_Toc184310332"/>
      <w:bookmarkEnd w:id="394"/>
      <w:bookmarkStart w:id="395" w:name="_Toc184314476"/>
      <w:bookmarkEnd w:id="395"/>
      <w:bookmarkStart w:id="396" w:name="_Toc184313286"/>
      <w:bookmarkEnd w:id="396"/>
      <w:bookmarkStart w:id="397" w:name="_Toc184313310"/>
      <w:bookmarkEnd w:id="397"/>
      <w:bookmarkStart w:id="398" w:name="_Toc184310338"/>
      <w:bookmarkEnd w:id="398"/>
      <w:bookmarkStart w:id="399" w:name="_Toc184308044"/>
      <w:bookmarkEnd w:id="399"/>
      <w:bookmarkStart w:id="400" w:name="_Toc184312110"/>
      <w:bookmarkEnd w:id="400"/>
      <w:bookmarkStart w:id="401" w:name="_Toc184314422"/>
      <w:bookmarkEnd w:id="401"/>
      <w:bookmarkStart w:id="402" w:name="_Toc184312084"/>
      <w:bookmarkEnd w:id="402"/>
      <w:bookmarkStart w:id="403" w:name="_Toc184312099"/>
      <w:bookmarkEnd w:id="403"/>
      <w:bookmarkStart w:id="404" w:name="_Toc184314424"/>
      <w:bookmarkEnd w:id="404"/>
      <w:r>
        <w:rPr>
          <w:rFonts w:hint="eastAsia" w:ascii="宋体" w:hAnsi="宋体" w:cs="宋体"/>
          <w:bCs w:val="0"/>
          <w:kern w:val="2"/>
          <w:sz w:val="36"/>
          <w:szCs w:val="36"/>
        </w:rPr>
        <w:t>评标办法</w:t>
      </w:r>
    </w:p>
    <w:p>
      <w:pPr>
        <w:snapToGrid w:val="0"/>
        <w:spacing w:line="360" w:lineRule="auto"/>
        <w:ind w:firstLine="482" w:firstLineChars="200"/>
        <w:jc w:val="left"/>
        <w:rPr>
          <w:rFonts w:ascii="宋体" w:hAnsi="宋体" w:cs="宋体"/>
          <w:b/>
          <w:sz w:val="24"/>
        </w:rPr>
      </w:pPr>
      <w:r>
        <w:rPr>
          <w:rFonts w:hint="eastAsia" w:ascii="宋体" w:hAnsi="宋体" w:cs="宋体"/>
          <w:b/>
          <w:sz w:val="24"/>
        </w:rPr>
        <w:t>1、评标办法前附表</w:t>
      </w:r>
    </w:p>
    <w:p>
      <w:pPr>
        <w:pStyle w:val="95"/>
        <w:spacing w:before="0"/>
        <w:ind w:firstLine="482"/>
        <w:rPr>
          <w:rFonts w:ascii="宋体" w:hAnsi="宋体" w:cs="宋体"/>
          <w:color w:val="000000"/>
          <w:szCs w:val="24"/>
        </w:rPr>
      </w:pPr>
      <w:bookmarkStart w:id="405" w:name="_Toc4121"/>
      <w:bookmarkStart w:id="406" w:name="_Toc443415649"/>
      <w:bookmarkStart w:id="407" w:name="_Toc441007124"/>
      <w:r>
        <w:rPr>
          <w:rFonts w:hint="eastAsia" w:ascii="宋体" w:hAnsi="宋体" w:cs="宋体"/>
          <w:color w:val="000000"/>
          <w:szCs w:val="24"/>
        </w:rPr>
        <w:t>本次评标采用综合评分法，总分为100分。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95"/>
        <w:spacing w:before="0"/>
        <w:ind w:firstLine="482"/>
        <w:rPr>
          <w:rFonts w:ascii="宋体" w:hAnsi="宋体" w:cs="宋体"/>
          <w:color w:val="000000"/>
          <w:szCs w:val="24"/>
        </w:rPr>
      </w:pPr>
      <w:r>
        <w:rPr>
          <w:rFonts w:hint="eastAsia" w:ascii="宋体" w:hAnsi="宋体" w:cs="宋体"/>
          <w:color w:val="000000"/>
          <w:szCs w:val="24"/>
        </w:rPr>
        <w:t>各投标人的综合得分为：投标价格得分+技术商务得分之和，总和为100分，其中：投标价格得分10分，商务技术得分90分。</w:t>
      </w:r>
    </w:p>
    <w:bookmarkEnd w:id="405"/>
    <w:bookmarkEnd w:id="406"/>
    <w:bookmarkEnd w:id="407"/>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商务技术评标细则（90分）：</w:t>
      </w:r>
    </w:p>
    <w:tbl>
      <w:tblPr>
        <w:tblStyle w:val="66"/>
        <w:tblW w:w="8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6"/>
        <w:gridCol w:w="5821"/>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616" w:type="dxa"/>
            <w:shd w:val="clear" w:color="auto" w:fill="FFFFFF"/>
            <w:tcMar>
              <w:top w:w="80" w:type="dxa"/>
              <w:left w:w="80" w:type="dxa"/>
              <w:bottom w:w="80" w:type="dxa"/>
              <w:right w:w="80"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项目内容</w:t>
            </w:r>
          </w:p>
        </w:tc>
        <w:tc>
          <w:tcPr>
            <w:tcW w:w="5821" w:type="dxa"/>
            <w:shd w:val="clear" w:color="auto" w:fill="FFFFFF"/>
            <w:tcMar>
              <w:top w:w="80" w:type="dxa"/>
              <w:left w:w="80" w:type="dxa"/>
              <w:bottom w:w="80" w:type="dxa"/>
              <w:right w:w="80" w:type="dxa"/>
            </w:tcMar>
            <w:vAlign w:val="center"/>
          </w:tcPr>
          <w:p>
            <w:pPr>
              <w:widowControl/>
              <w:jc w:val="center"/>
              <w:textAlignment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评审标准</w:t>
            </w:r>
          </w:p>
        </w:tc>
        <w:tc>
          <w:tcPr>
            <w:tcW w:w="962" w:type="dxa"/>
            <w:shd w:val="clear" w:color="auto" w:fill="FFFFFF"/>
            <w:tcMar>
              <w:top w:w="80" w:type="dxa"/>
              <w:left w:w="80" w:type="dxa"/>
              <w:bottom w:w="80" w:type="dxa"/>
              <w:right w:w="80"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权重/分值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5" w:hRule="atLeast"/>
          <w:jc w:val="center"/>
        </w:trPr>
        <w:tc>
          <w:tcPr>
            <w:tcW w:w="1616" w:type="dxa"/>
            <w:vMerge w:val="restart"/>
            <w:shd w:val="clear" w:color="auto" w:fill="FFFFFF"/>
            <w:tcMar>
              <w:top w:w="80" w:type="dxa"/>
              <w:left w:w="80" w:type="dxa"/>
              <w:bottom w:w="80" w:type="dxa"/>
              <w:right w:w="80" w:type="dxa"/>
            </w:tcMar>
            <w:vAlign w:val="center"/>
          </w:tcPr>
          <w:p>
            <w:pPr>
              <w:numPr>
                <w:ilvl w:val="255"/>
                <w:numId w:val="0"/>
              </w:num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1、企业综合履约能力</w:t>
            </w:r>
          </w:p>
          <w:p>
            <w:pPr>
              <w:pStyle w:val="23"/>
              <w:spacing w:line="312" w:lineRule="auto"/>
              <w:rPr>
                <w:rFonts w:hAnsi="宋体" w:cs="宋体"/>
                <w:color w:val="000000" w:themeColor="text1"/>
                <w:szCs w:val="24"/>
                <w:lang w:val="en-US"/>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autoSpaceDN w:val="0"/>
              <w:spacing w:line="312"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（1）投标人同时具有建筑行业（建筑工程）甲级、风景园林工程设计专项甲级、市政行业（给水工程、排水工程、</w:t>
            </w:r>
            <w:r>
              <w:rPr>
                <w:rFonts w:ascii="宋体" w:hAnsi="宋体" w:cs="宋体"/>
                <w:color w:val="000000" w:themeColor="text1"/>
                <w:sz w:val="24"/>
                <w14:textFill>
                  <w14:solidFill>
                    <w14:schemeClr w14:val="tx1"/>
                  </w14:solidFill>
                </w14:textFill>
              </w:rPr>
              <w:t>道路工程</w:t>
            </w:r>
            <w:r>
              <w:rPr>
                <w:rFonts w:hint="eastAsia" w:ascii="宋体" w:hAnsi="宋体" w:cs="宋体"/>
                <w:color w:val="000000" w:themeColor="text1"/>
                <w:sz w:val="24"/>
                <w14:textFill>
                  <w14:solidFill>
                    <w14:schemeClr w14:val="tx1"/>
                  </w14:solidFill>
                </w14:textFill>
              </w:rPr>
              <w:t>）专业甲级，全部具有的得5分，缺</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项扣2.5分，扣完为止。</w:t>
            </w:r>
          </w:p>
          <w:p>
            <w:pPr>
              <w:autoSpaceDN w:val="0"/>
              <w:spacing w:line="312" w:lineRule="auto"/>
              <w:jc w:val="left"/>
              <w:textAlignment w:val="center"/>
              <w:rPr>
                <w:rFonts w:ascii="宋体" w:hAnsi="宋体" w:cs="宋体"/>
                <w:b/>
                <w:bCs/>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注：须提供有效期内的资质证书的清晰复印件或扫描件并加盖公章，未提供或未盖章或不清晰或无法判断的均不得分。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38"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sz w:val="24"/>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autoSpaceDN w:val="0"/>
              <w:spacing w:line="312"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（2）投标人具有有效期内的省级及以上高新技术企业认证证书，得1分；市级的得0.5分。</w:t>
            </w:r>
          </w:p>
          <w:p>
            <w:pPr>
              <w:autoSpaceDN w:val="0"/>
              <w:spacing w:line="312" w:lineRule="auto"/>
              <w:jc w:val="left"/>
              <w:textAlignment w:val="center"/>
              <w:rPr>
                <w:rFonts w:ascii="宋体" w:hAnsi="宋体" w:cs="宋体"/>
                <w:b/>
                <w:bCs/>
                <w:snapToGrid w:val="0"/>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注：须提供认证证书或其他证明材料的清晰扫描件并加盖公章，未提供或未盖章或不清晰或无法判断的均不得分。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03"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sz w:val="24"/>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autoSpaceDN w:val="0"/>
              <w:spacing w:line="312" w:lineRule="auto"/>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（3）投标人具有ISO管理体系认证证书（须包含职业健康安全管理体系、环境管理体系、质量管理体系），得2分，缺</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项扣1分，扣完为止。</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注：须提供在有效期内的认证证书清晰扫描件并加盖公章，未提供或未盖章或不清晰或无法判断的均不得分。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695" w:hRule="atLeast"/>
          <w:jc w:val="center"/>
        </w:trPr>
        <w:tc>
          <w:tcPr>
            <w:tcW w:w="1616"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2、规划编制研究能力</w:t>
            </w: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投标人自2021年1月以来，承担过</w:t>
            </w:r>
            <w:r>
              <w:rPr>
                <w:rFonts w:hint="eastAsia" w:ascii="宋体" w:hAnsi="宋体" w:cs="宋体"/>
                <w:sz w:val="24"/>
                <w:lang w:bidi="ar"/>
              </w:rPr>
              <w:t>地市级</w:t>
            </w:r>
            <w:r>
              <w:rPr>
                <w:rFonts w:hint="eastAsia" w:ascii="宋体" w:hAnsi="宋体" w:cs="宋体"/>
                <w:color w:val="000000" w:themeColor="text1"/>
                <w:sz w:val="24"/>
                <w:lang w:bidi="ar"/>
                <w14:textFill>
                  <w14:solidFill>
                    <w14:schemeClr w14:val="tx1"/>
                  </w14:solidFill>
                </w14:textFill>
              </w:rPr>
              <w:t>或以上城市（含所辖区县）占地3平方公里及以上的城市设计项目，每个得</w:t>
            </w:r>
            <w:r>
              <w:rPr>
                <w:rFonts w:ascii="宋体" w:hAnsi="宋体" w:cs="宋体"/>
                <w:color w:val="000000" w:themeColor="text1"/>
                <w:sz w:val="24"/>
                <w:lang w:bidi="ar"/>
                <w14:textFill>
                  <w14:solidFill>
                    <w14:schemeClr w14:val="tx1"/>
                  </w14:solidFill>
                </w14:textFill>
              </w:rPr>
              <w:t>0.5</w:t>
            </w:r>
            <w:r>
              <w:rPr>
                <w:rFonts w:hint="eastAsia" w:ascii="宋体" w:hAnsi="宋体" w:cs="宋体"/>
                <w:color w:val="000000" w:themeColor="text1"/>
                <w:sz w:val="24"/>
                <w:lang w:bidi="ar"/>
                <w14:textFill>
                  <w14:solidFill>
                    <w14:schemeClr w14:val="tx1"/>
                  </w14:solidFill>
                </w14:textFill>
              </w:rPr>
              <w:t>分，本项最高得1分（证明材料应能体现投标人、项目规模，否则不得分）。</w:t>
            </w:r>
          </w:p>
          <w:p>
            <w:pPr>
              <w:spacing w:line="312"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注：需提供合同或协议或中标通知书的复印件加盖公章，证明材料应能体现投标人、项目规模，否则不得分。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695" w:hRule="atLeast"/>
          <w:jc w:val="center"/>
        </w:trPr>
        <w:tc>
          <w:tcPr>
            <w:tcW w:w="1616"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3、对本项目的区域认知</w:t>
            </w: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根据投标人对余杭塘河余杭段沿线及重点片区发展背景、规划重点任务理解认识的全面性打分。</w:t>
            </w:r>
          </w:p>
          <w:p>
            <w:pPr>
              <w:spacing w:line="312" w:lineRule="auto"/>
              <w:rPr>
                <w:rFonts w:ascii="宋体" w:hAnsi="宋体" w:cs="宋体"/>
                <w:bCs/>
                <w:kern w:val="44"/>
                <w:sz w:val="24"/>
              </w:rPr>
            </w:pPr>
            <w:r>
              <w:rPr>
                <w:rFonts w:hint="eastAsia" w:ascii="宋体" w:hAnsi="宋体" w:cs="宋体"/>
                <w:color w:val="000000" w:themeColor="text1"/>
                <w:sz w:val="24"/>
                <w14:textFill>
                  <w14:solidFill>
                    <w14:schemeClr w14:val="tx1"/>
                  </w14:solidFill>
                </w14:textFill>
              </w:rPr>
              <w:t>理解认识</w:t>
            </w:r>
            <w:r>
              <w:rPr>
                <w:rFonts w:hint="eastAsia" w:ascii="宋体" w:hAnsi="宋体" w:cs="宋体"/>
                <w:bCs/>
                <w:kern w:val="44"/>
                <w:sz w:val="24"/>
              </w:rPr>
              <w:t>到位的得4分；</w:t>
            </w:r>
          </w:p>
          <w:p>
            <w:pPr>
              <w:spacing w:line="312" w:lineRule="auto"/>
              <w:rPr>
                <w:rFonts w:ascii="宋体" w:hAnsi="宋体" w:cs="宋体"/>
                <w:bCs/>
                <w:kern w:val="44"/>
                <w:sz w:val="24"/>
              </w:rPr>
            </w:pPr>
            <w:r>
              <w:rPr>
                <w:rFonts w:hint="eastAsia" w:ascii="宋体" w:hAnsi="宋体" w:cs="宋体"/>
                <w:color w:val="000000" w:themeColor="text1"/>
                <w:sz w:val="24"/>
                <w14:textFill>
                  <w14:solidFill>
                    <w14:schemeClr w14:val="tx1"/>
                  </w14:solidFill>
                </w14:textFill>
              </w:rPr>
              <w:t>理解认识</w:t>
            </w:r>
            <w:r>
              <w:rPr>
                <w:rFonts w:hint="eastAsia" w:ascii="宋体" w:hAnsi="宋体" w:cs="宋体"/>
                <w:bCs/>
                <w:kern w:val="44"/>
                <w:sz w:val="24"/>
              </w:rPr>
              <w:t>有一定的偏离得2分；</w:t>
            </w:r>
          </w:p>
          <w:p>
            <w:pPr>
              <w:spacing w:line="312" w:lineRule="auto"/>
              <w:rPr>
                <w:rFonts w:ascii="宋体" w:hAnsi="宋体" w:cs="宋体"/>
                <w:bCs/>
                <w:kern w:val="44"/>
                <w:sz w:val="24"/>
              </w:rPr>
            </w:pPr>
            <w:r>
              <w:rPr>
                <w:rFonts w:hint="eastAsia" w:ascii="宋体" w:hAnsi="宋体" w:cs="宋体"/>
                <w:color w:val="000000" w:themeColor="text1"/>
                <w:sz w:val="24"/>
                <w14:textFill>
                  <w14:solidFill>
                    <w14:schemeClr w14:val="tx1"/>
                  </w14:solidFill>
                </w14:textFill>
              </w:rPr>
              <w:t>理解认识</w:t>
            </w:r>
            <w:r>
              <w:rPr>
                <w:rFonts w:hint="eastAsia" w:ascii="宋体" w:hAnsi="宋体" w:cs="宋体"/>
                <w:bCs/>
                <w:kern w:val="44"/>
                <w:sz w:val="24"/>
              </w:rPr>
              <w:t>较差的得1分；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bCs/>
                <w:kern w:val="44"/>
                <w:sz w:val="24"/>
              </w:rPr>
              <w:t>完全偏离实际情况或未提供内容的不得分。</w:t>
            </w:r>
          </w:p>
        </w:tc>
        <w:tc>
          <w:tcPr>
            <w:tcW w:w="962"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90" w:hRule="atLeast"/>
          <w:jc w:val="center"/>
        </w:trPr>
        <w:tc>
          <w:tcPr>
            <w:tcW w:w="1616"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4、现状分析</w:t>
            </w: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基于详尽现状调研和规划梳理的基础上，对余杭塘河资源要素、塘河特质、发展问题分析的全面性及深度是否到位进行打分。</w:t>
            </w:r>
          </w:p>
          <w:p>
            <w:pPr>
              <w:spacing w:line="312" w:lineRule="auto"/>
              <w:rPr>
                <w:rFonts w:ascii="宋体" w:hAnsi="宋体" w:cs="宋体"/>
                <w:sz w:val="24"/>
              </w:rPr>
            </w:pPr>
            <w:r>
              <w:rPr>
                <w:rFonts w:hint="eastAsia" w:ascii="宋体" w:hAnsi="宋体" w:cs="宋体"/>
                <w:sz w:val="24"/>
              </w:rPr>
              <w:t>分析深入全面、阐述准确的，得4分；</w:t>
            </w:r>
          </w:p>
          <w:p>
            <w:pPr>
              <w:spacing w:line="312" w:lineRule="auto"/>
              <w:rPr>
                <w:rFonts w:ascii="宋体" w:hAnsi="宋体" w:cs="宋体"/>
                <w:sz w:val="24"/>
              </w:rPr>
            </w:pPr>
            <w:r>
              <w:rPr>
                <w:rFonts w:hint="eastAsia" w:ascii="宋体" w:hAnsi="宋体" w:cs="宋体"/>
                <w:sz w:val="24"/>
              </w:rPr>
              <w:t>分析部分全面、阐述基本准确的，得2分；</w:t>
            </w:r>
          </w:p>
          <w:p>
            <w:pPr>
              <w:pStyle w:val="2"/>
              <w:spacing w:line="312" w:lineRule="auto"/>
              <w:rPr>
                <w:rFonts w:ascii="宋体" w:hAnsi="宋体" w:eastAsia="宋体" w:cs="宋体"/>
                <w:sz w:val="24"/>
                <w:szCs w:val="24"/>
              </w:rPr>
            </w:pPr>
            <w:r>
              <w:rPr>
                <w:rFonts w:hint="eastAsia" w:ascii="宋体" w:hAnsi="宋体" w:eastAsia="宋体" w:cs="宋体"/>
                <w:sz w:val="24"/>
                <w:szCs w:val="24"/>
              </w:rPr>
              <w:t>分析存在缺陷</w:t>
            </w:r>
            <w:r>
              <w:rPr>
                <w:rFonts w:hint="eastAsia" w:ascii="宋体" w:hAnsi="宋体" w:eastAsia="宋体" w:cs="宋体"/>
                <w:bCs/>
                <w:kern w:val="44"/>
                <w:sz w:val="24"/>
                <w:szCs w:val="24"/>
              </w:rPr>
              <w:t>的得</w:t>
            </w:r>
            <w:r>
              <w:rPr>
                <w:rFonts w:hint="eastAsia" w:ascii="宋体" w:hAnsi="宋体" w:eastAsia="宋体" w:cs="宋体"/>
                <w:bCs/>
                <w:kern w:val="44"/>
                <w:sz w:val="24"/>
                <w:szCs w:val="24"/>
                <w:lang w:val="en-US"/>
              </w:rPr>
              <w:t>1</w:t>
            </w:r>
            <w:r>
              <w:rPr>
                <w:rFonts w:hint="eastAsia" w:ascii="宋体" w:hAnsi="宋体" w:eastAsia="宋体" w:cs="宋体"/>
                <w:bCs/>
                <w:kern w:val="44"/>
                <w:sz w:val="24"/>
                <w:szCs w:val="24"/>
              </w:rPr>
              <w:t>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bCs/>
                <w:kern w:val="44"/>
                <w:sz w:val="24"/>
              </w:rPr>
              <w:t>完全偏离实际情况或未提供内容的不得分。</w:t>
            </w:r>
          </w:p>
        </w:tc>
        <w:tc>
          <w:tcPr>
            <w:tcW w:w="962"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1659" w:hRule="atLeast"/>
          <w:jc w:val="center"/>
        </w:trPr>
        <w:tc>
          <w:tcPr>
            <w:tcW w:w="1616"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5、总体思路</w:t>
            </w: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对标国内外中心城区河流沿线的发展模式，提出适合余杭塘河发展的规划发展策略思路，明确目标愿景。并提出具有创新性、在地性的设计策略。对策略思路条理的清晰度、目标愿景的准确度进行打分。</w:t>
            </w:r>
          </w:p>
          <w:p>
            <w:pPr>
              <w:spacing w:line="312" w:lineRule="auto"/>
              <w:rPr>
                <w:rFonts w:ascii="宋体" w:hAnsi="宋体" w:cs="宋体"/>
                <w:sz w:val="24"/>
              </w:rPr>
            </w:pPr>
            <w:r>
              <w:rPr>
                <w:rFonts w:hint="eastAsia" w:ascii="宋体" w:hAnsi="宋体" w:cs="宋体"/>
                <w:sz w:val="24"/>
              </w:rPr>
              <w:t>内容详细全面、有针对性、可实现，得4分；</w:t>
            </w:r>
          </w:p>
          <w:p>
            <w:pPr>
              <w:spacing w:line="312" w:lineRule="auto"/>
              <w:rPr>
                <w:rFonts w:ascii="宋体" w:hAnsi="宋体" w:cs="宋体"/>
                <w:sz w:val="24"/>
              </w:rPr>
            </w:pPr>
            <w:r>
              <w:rPr>
                <w:rFonts w:hint="eastAsia" w:ascii="宋体" w:hAnsi="宋体" w:cs="宋体"/>
                <w:sz w:val="24"/>
              </w:rPr>
              <w:t>内容部分有针对性、基本可实现，得2分；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方案内容有欠缺或未提供不得分。</w:t>
            </w:r>
          </w:p>
        </w:tc>
        <w:tc>
          <w:tcPr>
            <w:tcW w:w="962"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421" w:hRule="atLeast"/>
          <w:jc w:val="center"/>
        </w:trPr>
        <w:tc>
          <w:tcPr>
            <w:tcW w:w="1616" w:type="dxa"/>
            <w:vMerge w:val="restart"/>
            <w:shd w:val="clear" w:color="auto" w:fill="FFFFFF"/>
            <w:tcMar>
              <w:top w:w="80" w:type="dxa"/>
              <w:left w:w="80" w:type="dxa"/>
              <w:bottom w:w="80" w:type="dxa"/>
              <w:right w:w="80" w:type="dxa"/>
            </w:tcMar>
            <w:vAlign w:val="center"/>
          </w:tcPr>
          <w:p>
            <w:pPr>
              <w:spacing w:line="312"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6、设计方案</w:t>
            </w: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对整体规划结构框架进行打分。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整体规划结构框架详细全面、有针对性、可实现，得4分；</w:t>
            </w:r>
          </w:p>
          <w:p>
            <w:pPr>
              <w:spacing w:line="312" w:lineRule="auto"/>
              <w:rPr>
                <w:rFonts w:ascii="宋体" w:hAnsi="宋体" w:cs="宋体"/>
                <w:sz w:val="24"/>
              </w:rPr>
            </w:pPr>
            <w:r>
              <w:rPr>
                <w:rFonts w:hint="eastAsia" w:ascii="宋体" w:hAnsi="宋体" w:cs="宋体"/>
                <w:sz w:val="24"/>
              </w:rPr>
              <w:t>整体规划结构框架部分有针对性、基本可实现，得2分；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整体规划结构框架有欠缺或未提供不得分。</w:t>
            </w:r>
          </w:p>
        </w:tc>
        <w:tc>
          <w:tcPr>
            <w:tcW w:w="962"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90"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ind w:left="16" w:hanging="16"/>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对整体研究范围内方案总平面图设计成果进行打分。</w:t>
            </w:r>
          </w:p>
          <w:p>
            <w:pPr>
              <w:spacing w:line="312" w:lineRule="auto"/>
              <w:rPr>
                <w:rFonts w:ascii="宋体" w:hAnsi="宋体" w:cs="宋体"/>
                <w:sz w:val="24"/>
              </w:rPr>
            </w:pPr>
            <w:r>
              <w:rPr>
                <w:rFonts w:hint="eastAsia" w:ascii="宋体" w:hAnsi="宋体" w:cs="宋体"/>
                <w:sz w:val="24"/>
              </w:rPr>
              <w:t>总平面图详细全面、美观</w:t>
            </w:r>
            <w:r>
              <w:rPr>
                <w:rFonts w:ascii="宋体" w:hAnsi="宋体" w:cs="宋体"/>
                <w:sz w:val="24"/>
              </w:rPr>
              <w:t>、</w:t>
            </w:r>
            <w:r>
              <w:rPr>
                <w:rFonts w:hint="eastAsia" w:ascii="宋体" w:hAnsi="宋体" w:cs="宋体"/>
                <w:sz w:val="24"/>
              </w:rPr>
              <w:t>有针对性、可实现，得4分；</w:t>
            </w:r>
          </w:p>
          <w:p>
            <w:pPr>
              <w:spacing w:line="312" w:lineRule="auto"/>
              <w:rPr>
                <w:rFonts w:ascii="宋体" w:hAnsi="宋体" w:cs="宋体"/>
                <w:sz w:val="24"/>
              </w:rPr>
            </w:pPr>
            <w:r>
              <w:rPr>
                <w:rFonts w:hint="eastAsia" w:ascii="宋体" w:hAnsi="宋体" w:cs="宋体"/>
                <w:sz w:val="24"/>
              </w:rPr>
              <w:t>总平面图效果一般、基本可实现，得2分；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总平面图有欠缺或未提供不得分。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90"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ind w:left="16" w:hanging="16"/>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sz w:val="24"/>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对重点区段更新设计范围内方案总平面图设计成果打分。</w:t>
            </w:r>
            <w:r>
              <w:rPr>
                <w:rFonts w:hint="eastAsia" w:ascii="宋体" w:hAnsi="宋体" w:cs="宋体"/>
                <w:sz w:val="24"/>
              </w:rPr>
              <w:t>总平面图详细全面、美观</w:t>
            </w:r>
            <w:r>
              <w:rPr>
                <w:rFonts w:ascii="宋体" w:hAnsi="宋体" w:cs="宋体"/>
                <w:sz w:val="24"/>
              </w:rPr>
              <w:t>、</w:t>
            </w:r>
            <w:r>
              <w:rPr>
                <w:rFonts w:hint="eastAsia" w:ascii="宋体" w:hAnsi="宋体" w:cs="宋体"/>
                <w:sz w:val="24"/>
              </w:rPr>
              <w:t>有针对性、可实现，得4分；</w:t>
            </w:r>
          </w:p>
          <w:p>
            <w:pPr>
              <w:spacing w:line="312" w:lineRule="auto"/>
              <w:rPr>
                <w:rFonts w:ascii="宋体" w:hAnsi="宋体" w:cs="宋体"/>
                <w:sz w:val="24"/>
              </w:rPr>
            </w:pPr>
            <w:r>
              <w:rPr>
                <w:rFonts w:hint="eastAsia" w:ascii="宋体" w:hAnsi="宋体" w:cs="宋体"/>
                <w:sz w:val="24"/>
              </w:rPr>
              <w:t>总平面图效果</w:t>
            </w:r>
            <w:r>
              <w:rPr>
                <w:rFonts w:ascii="宋体" w:hAnsi="宋体" w:cs="宋体"/>
                <w:sz w:val="24"/>
              </w:rPr>
              <w:t>一般、</w:t>
            </w:r>
            <w:r>
              <w:rPr>
                <w:rFonts w:hint="eastAsia" w:ascii="宋体" w:hAnsi="宋体" w:cs="宋体"/>
                <w:sz w:val="24"/>
              </w:rPr>
              <w:t>基本可实现，得2分；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总平面图有欠缺或未提供不得分。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90"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ind w:left="16" w:hanging="16"/>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对重点区段更新设计范围内的更新策略路径打分。</w:t>
            </w:r>
          </w:p>
          <w:p>
            <w:pPr>
              <w:spacing w:line="312" w:lineRule="auto"/>
              <w:rPr>
                <w:rFonts w:ascii="宋体" w:hAnsi="宋体" w:cs="宋体"/>
                <w:sz w:val="24"/>
              </w:rPr>
            </w:pPr>
            <w:r>
              <w:rPr>
                <w:rFonts w:hint="eastAsia" w:ascii="宋体" w:hAnsi="宋体" w:cs="宋体"/>
                <w:sz w:val="24"/>
              </w:rPr>
              <w:t>策略详细全面、合理</w:t>
            </w:r>
            <w:r>
              <w:rPr>
                <w:rFonts w:ascii="宋体" w:hAnsi="宋体" w:cs="宋体"/>
                <w:sz w:val="24"/>
              </w:rPr>
              <w:t>、</w:t>
            </w:r>
            <w:r>
              <w:rPr>
                <w:rFonts w:hint="eastAsia" w:ascii="宋体" w:hAnsi="宋体" w:cs="宋体"/>
                <w:sz w:val="24"/>
              </w:rPr>
              <w:t>有针对性、可实施，得4分；</w:t>
            </w:r>
          </w:p>
          <w:p>
            <w:pPr>
              <w:spacing w:line="312" w:lineRule="auto"/>
              <w:rPr>
                <w:rFonts w:ascii="宋体" w:hAnsi="宋体" w:cs="宋体"/>
                <w:sz w:val="24"/>
              </w:rPr>
            </w:pPr>
            <w:r>
              <w:rPr>
                <w:rFonts w:hint="eastAsia" w:ascii="宋体" w:hAnsi="宋体" w:cs="宋体"/>
                <w:sz w:val="24"/>
              </w:rPr>
              <w:t>策略部分有针对性、基本</w:t>
            </w:r>
            <w:r>
              <w:rPr>
                <w:rFonts w:ascii="宋体" w:hAnsi="宋体" w:cs="宋体"/>
                <w:sz w:val="24"/>
              </w:rPr>
              <w:t>合理</w:t>
            </w:r>
            <w:r>
              <w:rPr>
                <w:rFonts w:hint="eastAsia" w:ascii="宋体" w:hAnsi="宋体" w:cs="宋体"/>
                <w:sz w:val="24"/>
              </w:rPr>
              <w:t>、可实施，得2分；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策略有欠缺、</w:t>
            </w:r>
            <w:r>
              <w:rPr>
                <w:rFonts w:ascii="宋体" w:hAnsi="宋体" w:cs="宋体"/>
                <w:sz w:val="24"/>
              </w:rPr>
              <w:t>不合理</w:t>
            </w:r>
            <w:r>
              <w:rPr>
                <w:rFonts w:hint="eastAsia" w:ascii="宋体" w:hAnsi="宋体" w:cs="宋体"/>
                <w:sz w:val="24"/>
              </w:rPr>
              <w:t>或未提供不得分。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1921"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ind w:left="16" w:hanging="16"/>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对重点区段更新设计范围内总体功能布局和形态控制打分。</w:t>
            </w:r>
          </w:p>
          <w:p>
            <w:pPr>
              <w:spacing w:line="312" w:lineRule="auto"/>
              <w:rPr>
                <w:rFonts w:ascii="宋体" w:hAnsi="宋体" w:cs="宋体"/>
                <w:sz w:val="24"/>
              </w:rPr>
            </w:pPr>
            <w:r>
              <w:rPr>
                <w:rFonts w:hint="eastAsia" w:ascii="宋体" w:hAnsi="宋体" w:cs="宋体"/>
                <w:sz w:val="24"/>
              </w:rPr>
              <w:t>内容合理、有针对性、可实现，得</w:t>
            </w:r>
            <w:r>
              <w:rPr>
                <w:rFonts w:ascii="宋体" w:hAnsi="宋体" w:cs="宋体"/>
                <w:sz w:val="24"/>
              </w:rPr>
              <w:t>4</w:t>
            </w:r>
            <w:r>
              <w:rPr>
                <w:rFonts w:hint="eastAsia" w:ascii="宋体" w:hAnsi="宋体" w:cs="宋体"/>
                <w:sz w:val="24"/>
              </w:rPr>
              <w:t>分；</w:t>
            </w:r>
          </w:p>
          <w:p>
            <w:pPr>
              <w:spacing w:line="312" w:lineRule="auto"/>
              <w:rPr>
                <w:rFonts w:ascii="宋体" w:hAnsi="宋体" w:cs="宋体"/>
                <w:sz w:val="24"/>
              </w:rPr>
            </w:pPr>
            <w:r>
              <w:rPr>
                <w:rFonts w:hint="eastAsia" w:ascii="宋体" w:hAnsi="宋体" w:cs="宋体"/>
                <w:sz w:val="24"/>
              </w:rPr>
              <w:t>内容基本合理、基本可实现，得2分；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内容有欠缺或未提供不得分。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90"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ind w:left="16" w:hanging="16"/>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对重点区段更新设计范围内综合交通、景观绿地、公共空间、服务配套打分。</w:t>
            </w:r>
          </w:p>
          <w:p>
            <w:pPr>
              <w:spacing w:line="312" w:lineRule="auto"/>
              <w:rPr>
                <w:rFonts w:ascii="宋体" w:hAnsi="宋体" w:cs="宋体"/>
                <w:sz w:val="24"/>
              </w:rPr>
            </w:pPr>
            <w:r>
              <w:rPr>
                <w:rFonts w:hint="eastAsia" w:ascii="宋体" w:hAnsi="宋体" w:cs="宋体"/>
                <w:sz w:val="24"/>
              </w:rPr>
              <w:t>内容详细全面、有针对性、可实现，得4分；</w:t>
            </w:r>
          </w:p>
          <w:p>
            <w:pPr>
              <w:spacing w:line="312" w:lineRule="auto"/>
              <w:rPr>
                <w:rFonts w:ascii="宋体" w:hAnsi="宋体" w:cs="宋体"/>
                <w:sz w:val="24"/>
              </w:rPr>
            </w:pPr>
            <w:r>
              <w:rPr>
                <w:rFonts w:hint="eastAsia" w:ascii="宋体" w:hAnsi="宋体" w:cs="宋体"/>
                <w:sz w:val="24"/>
              </w:rPr>
              <w:t>内容部分有针对性、基本可实现，得2分；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内容有欠缺或未提供不得分。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90"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ind w:left="16" w:hanging="16"/>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对重点区段更新设计范围内的方案空间设计深化程度打分。</w:t>
            </w:r>
          </w:p>
          <w:p>
            <w:pPr>
              <w:spacing w:line="312" w:lineRule="auto"/>
              <w:rPr>
                <w:rFonts w:ascii="宋体" w:hAnsi="宋体" w:cs="宋体"/>
                <w:sz w:val="24"/>
              </w:rPr>
            </w:pPr>
            <w:r>
              <w:rPr>
                <w:rFonts w:hint="eastAsia" w:ascii="宋体" w:hAnsi="宋体" w:cs="宋体"/>
                <w:sz w:val="24"/>
              </w:rPr>
              <w:t>内容详细深化、有针对性、可实现，得4分；</w:t>
            </w:r>
          </w:p>
          <w:p>
            <w:pPr>
              <w:spacing w:line="312" w:lineRule="auto"/>
              <w:rPr>
                <w:rFonts w:ascii="宋体" w:hAnsi="宋体" w:cs="宋体"/>
                <w:sz w:val="24"/>
              </w:rPr>
            </w:pPr>
            <w:r>
              <w:rPr>
                <w:rFonts w:hint="eastAsia" w:ascii="宋体" w:hAnsi="宋体" w:cs="宋体"/>
                <w:sz w:val="24"/>
              </w:rPr>
              <w:t>内容详细</w:t>
            </w:r>
            <w:r>
              <w:rPr>
                <w:rFonts w:ascii="宋体" w:hAnsi="宋体" w:cs="宋体"/>
                <w:sz w:val="24"/>
              </w:rPr>
              <w:t>深化度一般</w:t>
            </w:r>
            <w:r>
              <w:rPr>
                <w:rFonts w:hint="eastAsia" w:ascii="宋体" w:hAnsi="宋体" w:cs="宋体"/>
                <w:sz w:val="24"/>
              </w:rPr>
              <w:t>、基本可实现，得2分；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内容有欠缺或未提供不得分。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371"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ind w:left="16" w:hanging="16"/>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对重点区段更新设计范围内深化方案的效果图设计成果打分。</w:t>
            </w:r>
          </w:p>
          <w:p>
            <w:pPr>
              <w:spacing w:line="312" w:lineRule="auto"/>
              <w:rPr>
                <w:rFonts w:ascii="宋体" w:hAnsi="宋体" w:cs="宋体"/>
                <w:sz w:val="24"/>
              </w:rPr>
            </w:pPr>
            <w:r>
              <w:rPr>
                <w:rFonts w:hint="eastAsia" w:ascii="宋体" w:hAnsi="宋体" w:cs="宋体"/>
                <w:sz w:val="24"/>
              </w:rPr>
              <w:t>内容效果详细全面、美观</w:t>
            </w:r>
            <w:r>
              <w:rPr>
                <w:rFonts w:ascii="宋体" w:hAnsi="宋体" w:cs="宋体"/>
                <w:sz w:val="24"/>
              </w:rPr>
              <w:t>、</w:t>
            </w:r>
            <w:r>
              <w:rPr>
                <w:rFonts w:hint="eastAsia" w:ascii="宋体" w:hAnsi="宋体" w:cs="宋体"/>
                <w:sz w:val="24"/>
              </w:rPr>
              <w:t>有针对性、可实现，得4分；</w:t>
            </w:r>
          </w:p>
          <w:p>
            <w:pPr>
              <w:spacing w:line="312" w:lineRule="auto"/>
              <w:rPr>
                <w:rFonts w:ascii="宋体" w:hAnsi="宋体" w:cs="宋体"/>
                <w:sz w:val="24"/>
              </w:rPr>
            </w:pPr>
            <w:r>
              <w:rPr>
                <w:rFonts w:hint="eastAsia" w:ascii="宋体" w:hAnsi="宋体" w:cs="宋体"/>
                <w:sz w:val="24"/>
              </w:rPr>
              <w:t>内容详细</w:t>
            </w:r>
            <w:r>
              <w:rPr>
                <w:rFonts w:ascii="宋体" w:hAnsi="宋体" w:cs="宋体"/>
                <w:sz w:val="24"/>
              </w:rPr>
              <w:t>深化度一般</w:t>
            </w:r>
            <w:r>
              <w:rPr>
                <w:rFonts w:hint="eastAsia" w:ascii="宋体" w:hAnsi="宋体" w:cs="宋体"/>
                <w:sz w:val="24"/>
              </w:rPr>
              <w:t>、基本可实现，得2分；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内容有欠缺或未提供不得分。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65"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ind w:left="16" w:hanging="16"/>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对重点区段更新设计范围内的核心改造建筑概念方案设计成果打分。</w:t>
            </w:r>
          </w:p>
          <w:p>
            <w:pPr>
              <w:spacing w:line="312" w:lineRule="auto"/>
              <w:rPr>
                <w:rFonts w:ascii="宋体" w:hAnsi="宋体" w:cs="宋体"/>
                <w:sz w:val="24"/>
              </w:rPr>
            </w:pPr>
            <w:r>
              <w:rPr>
                <w:rFonts w:hint="eastAsia" w:ascii="宋体" w:hAnsi="宋体" w:cs="宋体"/>
                <w:sz w:val="24"/>
              </w:rPr>
              <w:t>内容效果详细、美观、有针对性、可实现，得4分；</w:t>
            </w:r>
          </w:p>
          <w:p>
            <w:pPr>
              <w:spacing w:line="312" w:lineRule="auto"/>
              <w:rPr>
                <w:rFonts w:ascii="宋体" w:hAnsi="宋体" w:cs="宋体"/>
                <w:sz w:val="24"/>
              </w:rPr>
            </w:pPr>
            <w:r>
              <w:rPr>
                <w:rFonts w:hint="eastAsia" w:ascii="宋体" w:hAnsi="宋体" w:cs="宋体"/>
                <w:sz w:val="24"/>
              </w:rPr>
              <w:t>内容详细深化度一般、基本可实现，得2分；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sz w:val="24"/>
              </w:rPr>
              <w:t>内容有欠缺或未提供不得分。</w:t>
            </w:r>
          </w:p>
        </w:tc>
        <w:tc>
          <w:tcPr>
            <w:tcW w:w="962"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11" w:hRule="atLeast"/>
          <w:jc w:val="center"/>
        </w:trPr>
        <w:tc>
          <w:tcPr>
            <w:tcW w:w="1616"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7、技术路线</w:t>
            </w: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对工作技术路线是否清晰、全面、合理，工作方法是否可行打分</w:t>
            </w:r>
            <w:r>
              <w:rPr>
                <w:rFonts w:ascii="宋体" w:hAnsi="宋体" w:cs="宋体"/>
                <w:bCs/>
                <w:color w:val="000000" w:themeColor="text1"/>
                <w:sz w:val="24"/>
                <w14:textFill>
                  <w14:solidFill>
                    <w14:schemeClr w14:val="tx1"/>
                  </w14:solidFill>
                </w14:textFill>
              </w:rPr>
              <w:t>。</w:t>
            </w:r>
          </w:p>
          <w:p>
            <w:pPr>
              <w:spacing w:line="312" w:lineRule="auto"/>
              <w:rPr>
                <w:rFonts w:ascii="宋体" w:hAnsi="宋体" w:cs="宋体"/>
                <w:sz w:val="24"/>
              </w:rPr>
            </w:pPr>
            <w:r>
              <w:rPr>
                <w:rFonts w:hint="eastAsia" w:ascii="宋体" w:hAnsi="宋体" w:cs="宋体"/>
                <w:sz w:val="24"/>
              </w:rPr>
              <w:t>清晰、全面、合理、方法可实现，得4分；</w:t>
            </w:r>
          </w:p>
          <w:p>
            <w:pPr>
              <w:spacing w:line="312" w:lineRule="auto"/>
              <w:rPr>
                <w:rFonts w:ascii="宋体" w:hAnsi="宋体" w:cs="宋体"/>
                <w:sz w:val="24"/>
              </w:rPr>
            </w:pPr>
            <w:r>
              <w:rPr>
                <w:rFonts w:hint="eastAsia" w:ascii="宋体" w:hAnsi="宋体" w:cs="宋体"/>
                <w:sz w:val="24"/>
              </w:rPr>
              <w:t>清晰、合理</w:t>
            </w:r>
            <w:r>
              <w:rPr>
                <w:rFonts w:ascii="宋体" w:hAnsi="宋体" w:cs="宋体"/>
                <w:sz w:val="24"/>
              </w:rPr>
              <w:t>度一般</w:t>
            </w:r>
            <w:r>
              <w:rPr>
                <w:rFonts w:hint="eastAsia" w:ascii="宋体" w:hAnsi="宋体" w:cs="宋体"/>
                <w:sz w:val="24"/>
              </w:rPr>
              <w:t>，全面</w:t>
            </w:r>
            <w:r>
              <w:rPr>
                <w:rFonts w:ascii="宋体" w:hAnsi="宋体" w:cs="宋体"/>
                <w:sz w:val="24"/>
              </w:rPr>
              <w:t>性一般</w:t>
            </w:r>
            <w:r>
              <w:rPr>
                <w:rFonts w:hint="eastAsia" w:ascii="宋体" w:hAnsi="宋体" w:cs="宋体"/>
                <w:sz w:val="24"/>
              </w:rPr>
              <w:t>，得2分；</w:t>
            </w:r>
          </w:p>
          <w:p>
            <w:pPr>
              <w:spacing w:line="312" w:lineRule="auto"/>
              <w:ind w:left="16" w:hanging="16"/>
              <w:jc w:val="left"/>
              <w:rPr>
                <w:rFonts w:ascii="宋体" w:hAnsi="宋体" w:cs="宋体"/>
                <w:bCs/>
                <w:color w:val="000000" w:themeColor="text1"/>
                <w:sz w:val="24"/>
                <w14:textFill>
                  <w14:solidFill>
                    <w14:schemeClr w14:val="tx1"/>
                  </w14:solidFill>
                </w14:textFill>
              </w:rPr>
            </w:pPr>
            <w:r>
              <w:rPr>
                <w:rFonts w:hint="eastAsia" w:ascii="宋体" w:hAnsi="宋体" w:cs="宋体"/>
                <w:sz w:val="24"/>
              </w:rPr>
              <w:t>内容有欠缺或未提供不得分。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1335" w:hRule="atLeast"/>
          <w:jc w:val="center"/>
        </w:trPr>
        <w:tc>
          <w:tcPr>
            <w:tcW w:w="1616"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8、内容框架把握程度</w:t>
            </w: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对规划研究内容的把握程度与深度是否准确到位。</w:t>
            </w:r>
          </w:p>
          <w:p>
            <w:pPr>
              <w:spacing w:line="312" w:lineRule="auto"/>
              <w:rPr>
                <w:rFonts w:ascii="宋体" w:hAnsi="宋体" w:cs="宋体"/>
                <w:sz w:val="24"/>
              </w:rPr>
            </w:pPr>
            <w:r>
              <w:rPr>
                <w:rFonts w:hint="eastAsia" w:ascii="宋体" w:hAnsi="宋体" w:cs="宋体"/>
                <w:sz w:val="24"/>
              </w:rPr>
              <w:t>内容详细全面、准确</w:t>
            </w:r>
            <w:r>
              <w:rPr>
                <w:rFonts w:ascii="宋体" w:hAnsi="宋体" w:cs="宋体"/>
                <w:sz w:val="24"/>
              </w:rPr>
              <w:t>、</w:t>
            </w:r>
            <w:r>
              <w:rPr>
                <w:rFonts w:hint="eastAsia" w:ascii="宋体" w:hAnsi="宋体" w:cs="宋体"/>
                <w:sz w:val="24"/>
              </w:rPr>
              <w:t>有深度、可实现，得3分；</w:t>
            </w:r>
          </w:p>
          <w:p>
            <w:pPr>
              <w:spacing w:line="312" w:lineRule="auto"/>
              <w:rPr>
                <w:rFonts w:ascii="宋体" w:hAnsi="宋体" w:cs="宋体"/>
                <w:sz w:val="24"/>
              </w:rPr>
            </w:pPr>
            <w:r>
              <w:rPr>
                <w:rFonts w:hint="eastAsia" w:ascii="宋体" w:hAnsi="宋体" w:cs="宋体"/>
                <w:sz w:val="24"/>
              </w:rPr>
              <w:t>内容全面</w:t>
            </w:r>
            <w:r>
              <w:rPr>
                <w:rFonts w:ascii="宋体" w:hAnsi="宋体" w:cs="宋体"/>
                <w:sz w:val="24"/>
              </w:rPr>
              <w:t>度一般、深度一般</w:t>
            </w:r>
            <w:r>
              <w:rPr>
                <w:rFonts w:hint="eastAsia" w:ascii="宋体" w:hAnsi="宋体" w:cs="宋体"/>
                <w:sz w:val="24"/>
              </w:rPr>
              <w:t>，得1分；</w:t>
            </w:r>
          </w:p>
          <w:p>
            <w:pPr>
              <w:spacing w:line="312" w:lineRule="auto"/>
              <w:ind w:left="16" w:hanging="16"/>
              <w:jc w:val="left"/>
              <w:rPr>
                <w:rFonts w:ascii="宋体" w:hAnsi="宋体" w:cs="宋体"/>
                <w:bCs/>
                <w:color w:val="000000" w:themeColor="text1"/>
                <w:sz w:val="24"/>
                <w14:textFill>
                  <w14:solidFill>
                    <w14:schemeClr w14:val="tx1"/>
                  </w14:solidFill>
                </w14:textFill>
              </w:rPr>
            </w:pPr>
            <w:r>
              <w:rPr>
                <w:rFonts w:hint="eastAsia" w:ascii="宋体" w:hAnsi="宋体" w:cs="宋体"/>
                <w:sz w:val="24"/>
              </w:rPr>
              <w:t>内容有欠缺或未提供不得分。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11" w:hRule="atLeast"/>
          <w:jc w:val="center"/>
        </w:trPr>
        <w:tc>
          <w:tcPr>
            <w:tcW w:w="1616"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9、成果构成</w:t>
            </w: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对项目成果构成的把控与深度是否准确到位打分。</w:t>
            </w:r>
          </w:p>
          <w:p>
            <w:pPr>
              <w:spacing w:line="312" w:lineRule="auto"/>
              <w:rPr>
                <w:rFonts w:ascii="宋体" w:hAnsi="宋体" w:cs="宋体"/>
                <w:sz w:val="24"/>
              </w:rPr>
            </w:pPr>
            <w:r>
              <w:rPr>
                <w:rFonts w:hint="eastAsia" w:ascii="宋体" w:hAnsi="宋体" w:cs="宋体"/>
                <w:sz w:val="24"/>
              </w:rPr>
              <w:t>内容详细全面、准确</w:t>
            </w:r>
            <w:r>
              <w:rPr>
                <w:rFonts w:ascii="宋体" w:hAnsi="宋体" w:cs="宋体"/>
                <w:sz w:val="24"/>
              </w:rPr>
              <w:t>到位、</w:t>
            </w:r>
            <w:r>
              <w:rPr>
                <w:rFonts w:hint="eastAsia" w:ascii="宋体" w:hAnsi="宋体" w:cs="宋体"/>
                <w:sz w:val="24"/>
              </w:rPr>
              <w:t>有深度、可实现，得</w:t>
            </w:r>
            <w:r>
              <w:rPr>
                <w:rFonts w:ascii="宋体" w:hAnsi="宋体" w:cs="宋体"/>
                <w:sz w:val="24"/>
              </w:rPr>
              <w:t>2</w:t>
            </w:r>
            <w:r>
              <w:rPr>
                <w:rFonts w:hint="eastAsia" w:ascii="宋体" w:hAnsi="宋体" w:cs="宋体"/>
                <w:sz w:val="24"/>
              </w:rPr>
              <w:t>分；</w:t>
            </w:r>
          </w:p>
          <w:p>
            <w:pPr>
              <w:spacing w:line="312" w:lineRule="auto"/>
              <w:rPr>
                <w:rFonts w:ascii="宋体" w:hAnsi="宋体" w:cs="宋体"/>
                <w:sz w:val="24"/>
              </w:rPr>
            </w:pPr>
            <w:r>
              <w:rPr>
                <w:rFonts w:hint="eastAsia" w:ascii="宋体" w:hAnsi="宋体" w:cs="宋体"/>
                <w:sz w:val="24"/>
              </w:rPr>
              <w:t>内容全面度一般、深度一般，得1分；</w:t>
            </w:r>
          </w:p>
          <w:p>
            <w:pPr>
              <w:spacing w:line="312" w:lineRule="auto"/>
              <w:ind w:left="16" w:hanging="16"/>
              <w:jc w:val="left"/>
              <w:rPr>
                <w:rFonts w:ascii="宋体" w:hAnsi="宋体" w:cs="宋体"/>
                <w:bCs/>
                <w:color w:val="000000" w:themeColor="text1"/>
                <w:sz w:val="24"/>
                <w14:textFill>
                  <w14:solidFill>
                    <w14:schemeClr w14:val="tx1"/>
                  </w14:solidFill>
                </w14:textFill>
              </w:rPr>
            </w:pPr>
            <w:r>
              <w:rPr>
                <w:rFonts w:hint="eastAsia" w:ascii="宋体" w:hAnsi="宋体" w:cs="宋体"/>
                <w:sz w:val="24"/>
              </w:rPr>
              <w:t>内容有欠缺或未提供不得分。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90" w:hRule="atLeast"/>
          <w:jc w:val="center"/>
        </w:trPr>
        <w:tc>
          <w:tcPr>
            <w:tcW w:w="1616" w:type="dxa"/>
            <w:shd w:val="clear" w:color="auto" w:fill="FFFFFF"/>
            <w:tcMar>
              <w:top w:w="80" w:type="dxa"/>
              <w:left w:w="80" w:type="dxa"/>
              <w:bottom w:w="80" w:type="dxa"/>
              <w:right w:w="80" w:type="dxa"/>
            </w:tcMar>
            <w:vAlign w:val="center"/>
          </w:tcPr>
          <w:p>
            <w:pPr>
              <w:spacing w:line="312" w:lineRule="auto"/>
              <w:ind w:left="16" w:hanging="16"/>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10、进度安排</w:t>
            </w: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bCs/>
                <w:kern w:val="44"/>
                <w:sz w:val="24"/>
              </w:rPr>
            </w:pPr>
            <w:r>
              <w:rPr>
                <w:rFonts w:hint="eastAsia" w:ascii="宋体" w:hAnsi="宋体" w:cs="宋体"/>
                <w:bCs/>
                <w:kern w:val="44"/>
                <w:sz w:val="24"/>
              </w:rPr>
              <w:t>对项目制定合理可执行的工作计划，提出明确的保障规划进度的措施打分。</w:t>
            </w:r>
          </w:p>
          <w:p>
            <w:pPr>
              <w:spacing w:line="312" w:lineRule="auto"/>
              <w:rPr>
                <w:rFonts w:ascii="宋体" w:hAnsi="宋体" w:cs="宋体"/>
                <w:sz w:val="24"/>
              </w:rPr>
            </w:pPr>
            <w:r>
              <w:rPr>
                <w:rFonts w:hint="eastAsia" w:ascii="宋体" w:hAnsi="宋体" w:cs="宋体"/>
                <w:sz w:val="24"/>
              </w:rPr>
              <w:t>进度安排合理，具有可行性，符合项目实际需求得</w:t>
            </w:r>
            <w:r>
              <w:rPr>
                <w:rFonts w:ascii="宋体" w:hAnsi="宋体" w:cs="宋体"/>
                <w:sz w:val="24"/>
              </w:rPr>
              <w:t>1</w:t>
            </w:r>
            <w:r>
              <w:rPr>
                <w:rFonts w:hint="eastAsia" w:ascii="宋体" w:hAnsi="宋体" w:cs="宋体"/>
                <w:sz w:val="24"/>
              </w:rPr>
              <w:t>分；</w:t>
            </w:r>
          </w:p>
          <w:p>
            <w:pPr>
              <w:spacing w:line="312" w:lineRule="auto"/>
              <w:ind w:left="16" w:hanging="16"/>
              <w:jc w:val="left"/>
              <w:rPr>
                <w:rFonts w:ascii="宋体" w:hAnsi="宋体" w:cs="宋体"/>
                <w:bCs/>
                <w:color w:val="000000" w:themeColor="text1"/>
                <w:sz w:val="24"/>
                <w14:textFill>
                  <w14:solidFill>
                    <w14:schemeClr w14:val="tx1"/>
                  </w14:solidFill>
                </w14:textFill>
              </w:rPr>
            </w:pPr>
            <w:r>
              <w:rPr>
                <w:rFonts w:hint="eastAsia" w:ascii="宋体" w:hAnsi="宋体" w:cs="宋体"/>
                <w:sz w:val="24"/>
              </w:rPr>
              <w:t>进度安排不足的得</w:t>
            </w:r>
            <w:r>
              <w:rPr>
                <w:rFonts w:ascii="宋体" w:hAnsi="宋体" w:cs="宋体"/>
                <w:sz w:val="24"/>
              </w:rPr>
              <w:t>0.5</w:t>
            </w:r>
            <w:r>
              <w:rPr>
                <w:rFonts w:hint="eastAsia" w:ascii="宋体" w:hAnsi="宋体" w:cs="宋体"/>
                <w:sz w:val="24"/>
              </w:rPr>
              <w:t>分；其他不得分。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334" w:hRule="atLeast"/>
          <w:jc w:val="center"/>
        </w:trPr>
        <w:tc>
          <w:tcPr>
            <w:tcW w:w="1616" w:type="dxa"/>
            <w:shd w:val="clear" w:color="auto" w:fill="FFFFFF"/>
            <w:tcMar>
              <w:top w:w="80" w:type="dxa"/>
              <w:left w:w="80" w:type="dxa"/>
              <w:bottom w:w="80" w:type="dxa"/>
              <w:right w:w="80" w:type="dxa"/>
            </w:tcMar>
            <w:vAlign w:val="center"/>
          </w:tcPr>
          <w:p>
            <w:pPr>
              <w:spacing w:line="312" w:lineRule="auto"/>
              <w:jc w:val="center"/>
              <w:rPr>
                <w:rFonts w:ascii="宋体" w:hAnsi="宋体" w:cs="宋体"/>
                <w:bCs/>
                <w:sz w:val="24"/>
              </w:rPr>
            </w:pPr>
            <w:r>
              <w:rPr>
                <w:rFonts w:hint="eastAsia" w:ascii="宋体" w:hAnsi="宋体" w:cs="宋体"/>
                <w:kern w:val="0"/>
                <w:sz w:val="24"/>
              </w:rPr>
              <w:t>11、</w:t>
            </w:r>
            <w:r>
              <w:rPr>
                <w:rFonts w:hint="eastAsia" w:ascii="宋体" w:hAnsi="宋体" w:cs="宋体"/>
                <w:kern w:val="0"/>
                <w:sz w:val="24"/>
                <w:lang w:val="zh-CN"/>
              </w:rPr>
              <w:t>安全保密制度</w:t>
            </w:r>
          </w:p>
        </w:tc>
        <w:tc>
          <w:tcPr>
            <w:tcW w:w="5821" w:type="dxa"/>
            <w:shd w:val="clear" w:color="auto" w:fill="FFFFFF"/>
            <w:tcMar>
              <w:top w:w="80" w:type="dxa"/>
              <w:left w:w="80" w:type="dxa"/>
              <w:bottom w:w="80" w:type="dxa"/>
              <w:right w:w="80" w:type="dxa"/>
            </w:tcMar>
            <w:vAlign w:val="center"/>
          </w:tcPr>
          <w:p>
            <w:pPr>
              <w:spacing w:line="312" w:lineRule="auto"/>
              <w:jc w:val="left"/>
              <w:rPr>
                <w:rFonts w:ascii="宋体" w:hAnsi="宋体" w:cs="宋体"/>
                <w:kern w:val="0"/>
                <w:sz w:val="24"/>
                <w:lang w:val="zh-CN"/>
              </w:rPr>
            </w:pPr>
            <w:r>
              <w:rPr>
                <w:rFonts w:hint="eastAsia" w:ascii="宋体" w:hAnsi="宋体" w:cs="宋体"/>
                <w:kern w:val="0"/>
                <w:sz w:val="24"/>
                <w:lang w:val="zh-CN"/>
              </w:rPr>
              <w:t>根据</w:t>
            </w:r>
            <w:r>
              <w:rPr>
                <w:rFonts w:hint="eastAsia" w:ascii="宋体" w:hAnsi="宋体" w:cs="宋体"/>
                <w:kern w:val="0"/>
                <w:sz w:val="24"/>
              </w:rPr>
              <w:t>投标人针对本项目</w:t>
            </w:r>
            <w:r>
              <w:rPr>
                <w:rFonts w:hint="eastAsia" w:ascii="宋体" w:hAnsi="宋体" w:cs="宋体"/>
                <w:kern w:val="0"/>
                <w:sz w:val="24"/>
                <w:lang w:val="zh-CN"/>
              </w:rPr>
              <w:t>安全保密制度的制定及实施内容可行性进行打分。</w:t>
            </w:r>
          </w:p>
          <w:p>
            <w:pPr>
              <w:spacing w:line="312" w:lineRule="auto"/>
              <w:jc w:val="left"/>
              <w:rPr>
                <w:rFonts w:ascii="宋体" w:hAnsi="宋体" w:cs="宋体"/>
                <w:kern w:val="0"/>
                <w:sz w:val="24"/>
                <w:lang w:val="zh-CN"/>
              </w:rPr>
            </w:pPr>
            <w:r>
              <w:rPr>
                <w:rFonts w:hint="eastAsia" w:ascii="宋体" w:hAnsi="宋体" w:cs="宋体"/>
                <w:kern w:val="0"/>
                <w:sz w:val="24"/>
                <w:lang w:val="zh-CN"/>
              </w:rPr>
              <w:t>安全保密制度健全，实施内容符合要求的，得</w:t>
            </w:r>
            <w:r>
              <w:rPr>
                <w:rFonts w:ascii="宋体" w:hAnsi="宋体" w:cs="宋体"/>
                <w:kern w:val="0"/>
                <w:sz w:val="24"/>
              </w:rPr>
              <w:t>2</w:t>
            </w:r>
            <w:r>
              <w:rPr>
                <w:rFonts w:hint="eastAsia" w:ascii="宋体" w:hAnsi="宋体" w:cs="宋体"/>
                <w:kern w:val="0"/>
                <w:sz w:val="24"/>
                <w:lang w:val="zh-CN"/>
              </w:rPr>
              <w:t>分；</w:t>
            </w:r>
          </w:p>
          <w:p>
            <w:pPr>
              <w:spacing w:line="312" w:lineRule="auto"/>
              <w:jc w:val="left"/>
              <w:rPr>
                <w:rFonts w:ascii="宋体" w:hAnsi="宋体" w:cs="宋体"/>
                <w:kern w:val="0"/>
                <w:sz w:val="24"/>
                <w:lang w:val="zh-CN"/>
              </w:rPr>
            </w:pPr>
            <w:r>
              <w:rPr>
                <w:rFonts w:hint="eastAsia" w:ascii="宋体" w:hAnsi="宋体" w:cs="宋体"/>
                <w:kern w:val="0"/>
                <w:sz w:val="24"/>
                <w:lang w:val="zh-CN"/>
              </w:rPr>
              <w:t>安全保密制度基本健全，部分符合要求的得</w:t>
            </w:r>
            <w:r>
              <w:rPr>
                <w:rFonts w:hint="eastAsia" w:ascii="宋体" w:hAnsi="宋体" w:cs="宋体"/>
                <w:kern w:val="0"/>
                <w:sz w:val="24"/>
              </w:rPr>
              <w:t>1</w:t>
            </w:r>
            <w:r>
              <w:rPr>
                <w:rFonts w:hint="eastAsia" w:ascii="宋体" w:hAnsi="宋体" w:cs="宋体"/>
                <w:kern w:val="0"/>
                <w:sz w:val="24"/>
                <w:lang w:val="zh-CN"/>
              </w:rPr>
              <w:t>分；</w:t>
            </w:r>
          </w:p>
          <w:p>
            <w:pPr>
              <w:spacing w:line="312" w:lineRule="auto"/>
              <w:rPr>
                <w:rFonts w:ascii="宋体" w:hAnsi="宋体" w:cs="宋体"/>
                <w:sz w:val="24"/>
              </w:rPr>
            </w:pPr>
            <w:r>
              <w:rPr>
                <w:rFonts w:hint="eastAsia" w:ascii="宋体" w:hAnsi="宋体" w:cs="宋体"/>
                <w:kern w:val="0"/>
                <w:sz w:val="24"/>
                <w:lang w:val="zh-CN"/>
              </w:rPr>
              <w:t>其他</w:t>
            </w:r>
            <w:r>
              <w:rPr>
                <w:rFonts w:hint="eastAsia" w:ascii="宋体" w:hAnsi="宋体" w:cs="宋体"/>
                <w:sz w:val="24"/>
              </w:rPr>
              <w:t>不得分。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sz w:val="24"/>
              </w:rPr>
            </w:pPr>
            <w:r>
              <w:rPr>
                <w:rFonts w:ascii="宋体" w:hAnsi="宋体" w:cs="宋体"/>
                <w:sz w:val="24"/>
              </w:rPr>
              <w:t>2</w:t>
            </w:r>
            <w:r>
              <w:rPr>
                <w:rFonts w:hint="eastAsia" w:ascii="宋体" w:hAnsi="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453" w:hRule="atLeast"/>
          <w:jc w:val="center"/>
        </w:trPr>
        <w:tc>
          <w:tcPr>
            <w:tcW w:w="1616" w:type="dxa"/>
            <w:vMerge w:val="restart"/>
            <w:shd w:val="clear" w:color="auto" w:fill="FFFFFF"/>
            <w:tcMar>
              <w:top w:w="80" w:type="dxa"/>
              <w:left w:w="80" w:type="dxa"/>
              <w:bottom w:w="80" w:type="dxa"/>
              <w:right w:w="80" w:type="dxa"/>
            </w:tcMar>
            <w:vAlign w:val="center"/>
          </w:tcPr>
          <w:p>
            <w:pPr>
              <w:spacing w:line="312"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12、拟派人员综合能力及要求</w:t>
            </w: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w:t>
            </w:r>
            <w:r>
              <w:rPr>
                <w:rFonts w:hint="eastAsia" w:ascii="宋体" w:hAnsi="宋体" w:cs="宋体"/>
                <w:color w:val="000000" w:themeColor="text1"/>
                <w:sz w:val="24"/>
                <w:lang w:bidi="ar"/>
                <w14:textFill>
                  <w14:solidFill>
                    <w14:schemeClr w14:val="tx1"/>
                  </w14:solidFill>
                </w14:textFill>
              </w:rPr>
              <w:t>自2021年1月以来，承担过副省级或以上城市（含所辖区县）占地3平方公里及以上的概念规划或城市设计项目，有1个得1分，本项最高得6分。</w:t>
            </w:r>
          </w:p>
          <w:p>
            <w:pPr>
              <w:spacing w:line="312" w:lineRule="auto"/>
              <w:jc w:val="left"/>
              <w:rPr>
                <w:rStyle w:val="983"/>
                <w:rFonts w:ascii="宋体" w:hAnsi="宋体" w:cs="宋体"/>
                <w:color w:val="000000" w:themeColor="text1"/>
                <w:kern w:val="0"/>
                <w:sz w:val="24"/>
                <w:u w:color="0000FF"/>
                <w:lang w:val="zh-TW"/>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注：需提供合同或协议或中标通知书的复印件加盖公章，证明材料应能体现项目负责人、项目规模，否则不得分。时间以合同协议或中标通知书时间为准。</w:t>
            </w:r>
          </w:p>
        </w:tc>
        <w:tc>
          <w:tcPr>
            <w:tcW w:w="962" w:type="dxa"/>
            <w:shd w:val="clear" w:color="auto" w:fill="FFFFFF"/>
            <w:tcMar>
              <w:top w:w="80" w:type="dxa"/>
              <w:left w:w="80" w:type="dxa"/>
              <w:bottom w:w="80" w:type="dxa"/>
              <w:right w:w="80" w:type="dxa"/>
            </w:tcMar>
            <w:vAlign w:val="center"/>
          </w:tcPr>
          <w:p>
            <w:pPr>
              <w:spacing w:line="312"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453" w:hRule="atLeast"/>
          <w:jc w:val="center"/>
        </w:trPr>
        <w:tc>
          <w:tcPr>
            <w:tcW w:w="1616" w:type="dxa"/>
            <w:vMerge w:val="continue"/>
            <w:shd w:val="clear" w:color="auto" w:fill="FFFFFF"/>
            <w:tcMar>
              <w:top w:w="80" w:type="dxa"/>
              <w:left w:w="80" w:type="dxa"/>
              <w:bottom w:w="80" w:type="dxa"/>
              <w:right w:w="80" w:type="dxa"/>
            </w:tcMar>
            <w:vAlign w:val="center"/>
          </w:tcPr>
          <w:p>
            <w:pPr>
              <w:pStyle w:val="569"/>
              <w:spacing w:line="312" w:lineRule="auto"/>
              <w:jc w:val="center"/>
              <w:rPr>
                <w:rFonts w:ascii="宋体" w:hAnsi="宋体" w:eastAsia="宋体" w:cs="宋体"/>
                <w:color w:val="000000" w:themeColor="text1"/>
                <w:sz w:val="24"/>
                <w:szCs w:val="24"/>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pStyle w:val="569"/>
              <w:spacing w:line="312" w:lineRule="auto"/>
              <w:jc w:val="left"/>
              <w:rPr>
                <w:rFonts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项目负责人自</w:t>
            </w:r>
            <w:r>
              <w:rPr>
                <w:rFonts w:ascii="宋体" w:hAnsi="宋体" w:eastAsia="宋体" w:cs="宋体"/>
                <w:color w:val="000000" w:themeColor="text1"/>
                <w:sz w:val="24"/>
                <w:szCs w:val="24"/>
                <w:lang w:bidi="ar"/>
                <w14:textFill>
                  <w14:solidFill>
                    <w14:schemeClr w14:val="tx1"/>
                  </w14:solidFill>
                </w14:textFill>
              </w:rPr>
              <w:t>2021</w:t>
            </w:r>
            <w:r>
              <w:rPr>
                <w:rFonts w:hint="eastAsia" w:ascii="宋体" w:hAnsi="宋体" w:eastAsia="宋体" w:cs="宋体"/>
                <w:color w:val="000000" w:themeColor="text1"/>
                <w:sz w:val="24"/>
                <w:szCs w:val="24"/>
                <w:lang w:bidi="ar"/>
                <w14:textFill>
                  <w14:solidFill>
                    <w14:schemeClr w14:val="tx1"/>
                  </w14:solidFill>
                </w14:textFill>
              </w:rPr>
              <w:t>年1月以来，承担的规划设计类相关项目获得省级及以上城乡规划行业协会或学会颁发的三等奖及以上荣誉的，每有1个得1分，最高得3分。</w:t>
            </w:r>
          </w:p>
          <w:p>
            <w:pPr>
              <w:pStyle w:val="569"/>
              <w:spacing w:line="312" w:lineRule="auto"/>
              <w:jc w:val="left"/>
              <w:rPr>
                <w:rStyle w:val="983"/>
                <w:rFonts w:ascii="宋体" w:hAnsi="宋体" w:eastAsia="宋体" w:cs="宋体"/>
                <w:color w:val="000000" w:themeColor="text1"/>
                <w:kern w:val="0"/>
                <w:sz w:val="24"/>
                <w:szCs w:val="24"/>
                <w:u w:color="0000FF"/>
                <w:lang w:val="zh-TW"/>
                <w14:textFill>
                  <w14:solidFill>
                    <w14:schemeClr w14:val="tx1"/>
                  </w14:solidFill>
                </w14:textFill>
              </w:rPr>
            </w:pPr>
            <w:r>
              <w:rPr>
                <w:rFonts w:hint="eastAsia" w:ascii="宋体" w:hAnsi="宋体" w:eastAsia="宋体" w:cs="宋体"/>
                <w:b/>
                <w:bCs/>
                <w:snapToGrid w:val="0"/>
                <w:color w:val="000000" w:themeColor="text1"/>
                <w:kern w:val="0"/>
                <w:sz w:val="24"/>
                <w:szCs w:val="24"/>
                <w14:textFill>
                  <w14:solidFill>
                    <w14:schemeClr w14:val="tx1"/>
                  </w14:solidFill>
                </w14:textFill>
              </w:rPr>
              <w:t>注：提供能体现相关评分要求的获奖文件或证书的清晰复印件或扫描件加盖公章，证明材料应能体现项目负责人，否则不得分。</w:t>
            </w:r>
          </w:p>
        </w:tc>
        <w:tc>
          <w:tcPr>
            <w:tcW w:w="962" w:type="dxa"/>
            <w:shd w:val="clear" w:color="auto" w:fill="FFFFFF"/>
            <w:tcMar>
              <w:top w:w="80" w:type="dxa"/>
              <w:left w:w="80" w:type="dxa"/>
              <w:bottom w:w="80" w:type="dxa"/>
              <w:right w:w="80" w:type="dxa"/>
            </w:tcMar>
            <w:vAlign w:val="center"/>
          </w:tcPr>
          <w:p>
            <w:pPr>
              <w:spacing w:line="312" w:lineRule="auto"/>
              <w:jc w:val="center"/>
              <w:rPr>
                <w:rStyle w:val="983"/>
                <w:rFonts w:ascii="宋体" w:hAnsi="宋体" w:cs="宋体"/>
                <w:color w:val="000000" w:themeColor="text1"/>
                <w:kern w:val="0"/>
                <w:sz w:val="24"/>
                <w:u w:color="0000FF"/>
                <w:lang w:val="zh-TW"/>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1044"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widowControl/>
              <w:spacing w:line="312" w:lineRule="auto"/>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项目负责人同时具备注册规划师、一级注册建筑师、（规划）正高级职称的得4分，副高级职称的得2分，其他不得分。</w:t>
            </w:r>
          </w:p>
          <w:p>
            <w:pPr>
              <w:widowControl/>
              <w:spacing w:line="312" w:lineRule="auto"/>
              <w:rPr>
                <w:rFonts w:ascii="宋体" w:hAnsi="宋体" w:cs="宋体"/>
                <w:color w:val="000000" w:themeColor="text1"/>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注：须提供注册证书和职称证书和缴纳在投标单位的社保证明材料清晰复印件或扫描件加盖公章，未按上述要求提供的不得分。</w:t>
            </w:r>
          </w:p>
        </w:tc>
        <w:tc>
          <w:tcPr>
            <w:tcW w:w="962" w:type="dxa"/>
            <w:shd w:val="clear" w:color="auto" w:fill="FFFFFF"/>
            <w:tcMar>
              <w:top w:w="80" w:type="dxa"/>
              <w:left w:w="80" w:type="dxa"/>
              <w:bottom w:w="80" w:type="dxa"/>
              <w:right w:w="80" w:type="dxa"/>
            </w:tcMar>
            <w:vAlign w:val="center"/>
          </w:tcPr>
          <w:p>
            <w:pPr>
              <w:pStyle w:val="569"/>
              <w:spacing w:line="312" w:lineRule="auto"/>
              <w:jc w:val="center"/>
              <w:rPr>
                <w:rFonts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656"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spacing w:line="312" w:lineRule="auto"/>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其他项目组成员（</w:t>
            </w:r>
            <w:r>
              <w:rPr>
                <w:rFonts w:hint="eastAsia" w:ascii="宋体" w:hAnsi="宋体" w:cs="宋体"/>
                <w:spacing w:val="1"/>
                <w:sz w:val="24"/>
              </w:rPr>
              <w:t>项目负责人除外</w:t>
            </w:r>
            <w:r>
              <w:rPr>
                <w:rFonts w:hint="eastAsia" w:ascii="宋体" w:hAnsi="宋体" w:cs="宋体"/>
                <w:color w:val="000000" w:themeColor="text1"/>
                <w:spacing w:val="1"/>
                <w:sz w:val="24"/>
                <w14:textFill>
                  <w14:solidFill>
                    <w14:schemeClr w14:val="tx1"/>
                  </w14:solidFill>
                </w14:textFill>
              </w:rPr>
              <w:t>）中具有规划专业副高级职称的，每人得1分；具有注册城乡规划师资格的，每人得1分。本项最高得6分。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注：提供相关人员资格证书、职称证书复印件及由本单位为其缴纳社保的证明材料的扫描件并加盖公章。</w:t>
            </w:r>
          </w:p>
        </w:tc>
        <w:tc>
          <w:tcPr>
            <w:tcW w:w="962" w:type="dxa"/>
            <w:shd w:val="clear" w:color="auto" w:fill="FFFFFF"/>
            <w:tcMar>
              <w:top w:w="80" w:type="dxa"/>
              <w:left w:w="80" w:type="dxa"/>
              <w:bottom w:w="80" w:type="dxa"/>
              <w:right w:w="80" w:type="dxa"/>
            </w:tcMar>
            <w:vAlign w:val="center"/>
          </w:tcPr>
          <w:p>
            <w:pPr>
              <w:pStyle w:val="569"/>
              <w:spacing w:line="312"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1568" w:hRule="atLeast"/>
          <w:jc w:val="center"/>
        </w:trPr>
        <w:tc>
          <w:tcPr>
            <w:tcW w:w="1616" w:type="dxa"/>
            <w:vMerge w:val="continue"/>
            <w:shd w:val="clear" w:color="auto" w:fill="FFFFFF"/>
            <w:tcMar>
              <w:top w:w="80" w:type="dxa"/>
              <w:left w:w="80" w:type="dxa"/>
              <w:bottom w:w="80" w:type="dxa"/>
              <w:right w:w="80" w:type="dxa"/>
            </w:tcMar>
            <w:vAlign w:val="center"/>
          </w:tcPr>
          <w:p>
            <w:pPr>
              <w:spacing w:line="312" w:lineRule="auto"/>
              <w:jc w:val="center"/>
              <w:rPr>
                <w:rStyle w:val="983"/>
                <w:rFonts w:ascii="宋体" w:hAnsi="宋体" w:cs="宋体"/>
                <w:bCs/>
                <w:color w:val="000000" w:themeColor="text1"/>
                <w:kern w:val="0"/>
                <w:sz w:val="24"/>
                <w:u w:color="0000FF"/>
                <w14:textFill>
                  <w14:solidFill>
                    <w14:schemeClr w14:val="tx1"/>
                  </w14:solidFill>
                </w14:textFill>
              </w:rPr>
            </w:pPr>
          </w:p>
        </w:tc>
        <w:tc>
          <w:tcPr>
            <w:tcW w:w="5821" w:type="dxa"/>
            <w:shd w:val="clear" w:color="auto" w:fill="FFFFFF"/>
            <w:tcMar>
              <w:top w:w="80" w:type="dxa"/>
              <w:left w:w="80" w:type="dxa"/>
              <w:bottom w:w="80" w:type="dxa"/>
              <w:right w:w="80" w:type="dxa"/>
            </w:tcMar>
            <w:vAlign w:val="center"/>
          </w:tcPr>
          <w:p>
            <w:pPr>
              <w:spacing w:line="312" w:lineRule="auto"/>
              <w:rPr>
                <w:rFonts w:hint="default" w:ascii="宋体" w:hAnsi="宋体" w:eastAsia="宋体" w:cs="宋体"/>
                <w:color w:val="000000" w:themeColor="text1"/>
                <w:spacing w:val="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其他项目组成员</w:t>
            </w:r>
            <w:r>
              <w:rPr>
                <w:rFonts w:hint="eastAsia" w:ascii="宋体" w:hAnsi="宋体" w:cs="宋体"/>
                <w:sz w:val="24"/>
              </w:rPr>
              <w:t>（项目负责人除外）</w:t>
            </w:r>
            <w:r>
              <w:rPr>
                <w:rFonts w:hint="eastAsia" w:ascii="宋体" w:hAnsi="宋体" w:cs="宋体"/>
                <w:color w:val="000000" w:themeColor="text1"/>
                <w:sz w:val="24"/>
                <w14:textFill>
                  <w14:solidFill>
                    <w14:schemeClr w14:val="tx1"/>
                  </w14:solidFill>
                </w14:textFill>
              </w:rPr>
              <w:t>配备结构合理，具有城乡规划、建筑设计、风景园林、市政道路高级工程师</w:t>
            </w:r>
            <w:r>
              <w:rPr>
                <w:rFonts w:hint="eastAsia" w:ascii="宋体" w:hAnsi="宋体" w:cs="宋体"/>
                <w:color w:val="000000" w:themeColor="text1"/>
                <w:sz w:val="24"/>
                <w:lang w:val="en-US" w:eastAsia="zh-CN"/>
                <w14:textFill>
                  <w14:solidFill>
                    <w14:schemeClr w14:val="tx1"/>
                  </w14:solidFill>
                </w14:textFill>
              </w:rPr>
              <w:t>职称证书</w:t>
            </w:r>
            <w:r>
              <w:rPr>
                <w:rFonts w:hint="eastAsia" w:ascii="宋体" w:hAnsi="宋体" w:cs="宋体"/>
                <w:color w:val="000000" w:themeColor="text1"/>
                <w:sz w:val="24"/>
                <w14:textFill>
                  <w14:solidFill>
                    <w14:schemeClr w14:val="tx1"/>
                  </w14:solidFill>
                </w14:textFill>
              </w:rPr>
              <w:t>的，有一项得0.5分，最高得2分。</w:t>
            </w:r>
            <w:r>
              <w:rPr>
                <w:rFonts w:hint="eastAsia" w:ascii="宋体" w:hAnsi="宋体" w:cs="宋体"/>
                <w:color w:val="000000" w:themeColor="text1"/>
                <w:sz w:val="24"/>
                <w:lang w:val="en-US" w:eastAsia="zh-CN"/>
                <w14:textFill>
                  <w14:solidFill>
                    <w14:schemeClr w14:val="tx1"/>
                  </w14:solidFill>
                </w14:textFill>
              </w:rPr>
              <w:t>每个专业最高得0.5分。</w:t>
            </w:r>
          </w:p>
          <w:p>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注：提供相关人员职称证书复印件及由本单位为其缴纳社保的证明材料的扫描件并加盖公章。</w:t>
            </w:r>
          </w:p>
        </w:tc>
        <w:tc>
          <w:tcPr>
            <w:tcW w:w="962" w:type="dxa"/>
            <w:shd w:val="clear" w:color="auto" w:fill="FFFFFF"/>
            <w:tcMar>
              <w:top w:w="80" w:type="dxa"/>
              <w:left w:w="80" w:type="dxa"/>
              <w:bottom w:w="80" w:type="dxa"/>
              <w:right w:w="80" w:type="dxa"/>
            </w:tcMar>
            <w:vAlign w:val="center"/>
          </w:tcPr>
          <w:p>
            <w:pPr>
              <w:pStyle w:val="569"/>
              <w:spacing w:line="312"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rPr>
              <w:t>2分</w:t>
            </w:r>
          </w:p>
        </w:tc>
      </w:tr>
    </w:tbl>
    <w:p>
      <w:pPr>
        <w:spacing w:line="360" w:lineRule="auto"/>
        <w:rPr>
          <w:rFonts w:ascii="宋体" w:hAnsi="宋体" w:cs="宋体"/>
          <w:b/>
          <w:sz w:val="24"/>
        </w:rPr>
      </w:pPr>
      <w:r>
        <w:rPr>
          <w:rFonts w:hint="eastAsia" w:ascii="宋体" w:hAnsi="宋体" w:cs="宋体"/>
          <w:sz w:val="24"/>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2、商务分+技术分=评标委员会所有成员评分合计数/评标委员会组成人员数（精确到小数点后二位）；</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3、价格分（10分）</w:t>
      </w:r>
      <w:r>
        <w:rPr>
          <w:rFonts w:hint="eastAsia" w:ascii="宋体" w:hAnsi="宋体" w:cs="宋体"/>
          <w:color w:val="000000"/>
          <w:sz w:val="24"/>
        </w:rPr>
        <w:t>采用低价优先法计算，即满足招标文件要求且投标价格最低的投标报价为评标基准价，其他投标人的价格分按照下列公式计算：</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价格分=（评标基准价/投标报价）×10%×100（精确到小数点后二位）；</w:t>
      </w:r>
    </w:p>
    <w:p>
      <w:pPr>
        <w:pStyle w:val="65"/>
        <w:spacing w:after="0" w:line="360" w:lineRule="auto"/>
        <w:ind w:left="0" w:leftChars="0" w:firstLine="480"/>
        <w:rPr>
          <w:rFonts w:cs="宋体"/>
          <w:sz w:val="24"/>
        </w:rPr>
      </w:pPr>
      <w:r>
        <w:rPr>
          <w:rFonts w:hint="eastAsia" w:cs="宋体"/>
          <w:sz w:val="24"/>
        </w:rPr>
        <w:t>报价是中标的一个重要因素，但最低报价不是中标的唯一依据。</w:t>
      </w:r>
    </w:p>
    <w:p>
      <w:pPr>
        <w:pStyle w:val="65"/>
        <w:numPr>
          <w:ilvl w:val="0"/>
          <w:numId w:val="8"/>
        </w:numPr>
        <w:spacing w:after="0" w:line="360" w:lineRule="auto"/>
        <w:ind w:left="0" w:leftChars="0" w:firstLine="482"/>
        <w:rPr>
          <w:rFonts w:cs="宋体"/>
          <w:b/>
          <w:bCs/>
          <w:color w:val="000000"/>
          <w:sz w:val="24"/>
        </w:rPr>
      </w:pPr>
      <w:r>
        <w:rPr>
          <w:rFonts w:hint="eastAsia" w:cs="宋体"/>
          <w:b/>
          <w:bCs/>
          <w:color w:val="000000"/>
          <w:sz w:val="24"/>
        </w:rPr>
        <w:t>各投标人的综合得分为：技术商务得分+投标价格得分之和，总和为100分，其中：商务技术得分90分，投标价格得分10分。</w:t>
      </w:r>
    </w:p>
    <w:p>
      <w:pPr>
        <w:spacing w:line="360" w:lineRule="auto"/>
        <w:ind w:firstLine="480" w:firstLineChars="200"/>
        <w:rPr>
          <w:rFonts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widowControl/>
        <w:spacing w:line="360" w:lineRule="auto"/>
        <w:ind w:firstLine="480" w:firstLineChars="200"/>
        <w:rPr>
          <w:rFonts w:ascii="宋体" w:hAnsi="宋体" w:cs="宋体"/>
          <w:b/>
          <w:bCs/>
          <w:color w:val="000000"/>
          <w:sz w:val="24"/>
        </w:rPr>
      </w:pPr>
      <w:r>
        <w:rPr>
          <w:rFonts w:hint="eastAsia" w:ascii="宋体" w:hAnsi="宋体" w:cs="宋体"/>
          <w:color w:val="000000"/>
          <w:kern w:val="0"/>
          <w:sz w:val="24"/>
        </w:rPr>
        <w:t>落实政府采购扶持政策，加大对中小微企业支持力度，鼓励和支持提高小微企业价格扣除比例。对于非专门面向中小企业的项目，</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rPr>
        <w:t>20%</w:t>
      </w:r>
      <w:r>
        <w:rPr>
          <w:rFonts w:hint="eastAsia" w:ascii="宋体" w:hAnsi="宋体" w:cs="宋体"/>
          <w:color w:val="000000"/>
          <w:sz w:val="24"/>
        </w:rPr>
        <w:t>的扣除，并用扣除后的价格计算价格评分</w:t>
      </w:r>
      <w:r>
        <w:rPr>
          <w:rFonts w:hint="eastAsia" w:ascii="宋体" w:hAnsi="宋体" w:cs="宋体"/>
          <w:b/>
          <w:bCs/>
          <w:color w:val="000000"/>
          <w:sz w:val="24"/>
        </w:rPr>
        <w:t>（</w:t>
      </w:r>
      <w:r>
        <w:rPr>
          <w:rFonts w:hint="eastAsia" w:ascii="宋体" w:hAnsi="宋体" w:cs="宋体"/>
          <w:b/>
          <w:bCs/>
          <w:sz w:val="24"/>
        </w:rPr>
        <w:t>价格扣除只用于评审过程，如中标，中标价格仍按照其投标价格进行公示）</w:t>
      </w:r>
      <w:r>
        <w:rPr>
          <w:rFonts w:hint="eastAsia" w:ascii="宋体" w:hAnsi="宋体" w:cs="宋体"/>
          <w:b/>
          <w:bCs/>
          <w:color w:val="000000"/>
          <w:sz w:val="24"/>
        </w:rPr>
        <w:t>。</w:t>
      </w:r>
    </w:p>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color w:val="000000"/>
          <w:kern w:val="0"/>
          <w:sz w:val="24"/>
        </w:rPr>
        <w:t>30%以上的，对联合体或者大中型企业的报价给予6%的扣除，用扣除后的价格参加评审。</w:t>
      </w:r>
    </w:p>
    <w:bookmarkEnd w:id="31"/>
    <w:p>
      <w:pPr>
        <w:snapToGrid w:val="0"/>
        <w:spacing w:line="360" w:lineRule="auto"/>
        <w:rPr>
          <w:rFonts w:ascii="宋体" w:hAnsi="宋体" w:cs="宋体"/>
          <w:b/>
          <w:sz w:val="32"/>
        </w:rPr>
      </w:pPr>
      <w:bookmarkStart w:id="408" w:name="第五部分"/>
      <w:bookmarkStart w:id="409" w:name="_Toc86217003"/>
    </w:p>
    <w:p>
      <w:pPr>
        <w:snapToGrid w:val="0"/>
        <w:spacing w:line="360" w:lineRule="auto"/>
        <w:rPr>
          <w:rFonts w:ascii="宋体" w:hAnsi="宋体" w:cs="宋体"/>
          <w:b/>
          <w:sz w:val="32"/>
        </w:rPr>
      </w:pPr>
    </w:p>
    <w:p>
      <w:pPr>
        <w:snapToGrid w:val="0"/>
        <w:spacing w:line="360" w:lineRule="auto"/>
        <w:rPr>
          <w:rFonts w:ascii="宋体" w:hAnsi="宋体" w:cs="宋体"/>
          <w:b/>
          <w:sz w:val="32"/>
        </w:rPr>
      </w:pPr>
    </w:p>
    <w:p>
      <w:pPr>
        <w:snapToGrid w:val="0"/>
        <w:spacing w:line="360" w:lineRule="auto"/>
        <w:rPr>
          <w:rFonts w:ascii="宋体" w:hAnsi="宋体" w:cs="宋体"/>
          <w:b/>
          <w:sz w:val="32"/>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napToGrid w:val="0"/>
        <w:spacing w:line="360" w:lineRule="auto"/>
        <w:ind w:firstLine="482" w:firstLineChars="200"/>
        <w:rPr>
          <w:rFonts w:ascii="宋体" w:hAnsi="宋体" w:cs="宋体"/>
          <w:b/>
          <w:bCs/>
          <w:sz w:val="24"/>
        </w:rPr>
      </w:pPr>
      <w:r>
        <w:rPr>
          <w:rFonts w:hint="eastAsia" w:ascii="宋体" w:hAnsi="宋体" w:cs="宋体"/>
          <w:b/>
          <w:kern w:val="0"/>
          <w:sz w:val="24"/>
        </w:rPr>
        <w:t>3.1</w:t>
      </w:r>
      <w:r>
        <w:rPr>
          <w:rFonts w:hint="eastAsia" w:ascii="宋体" w:hAnsi="宋体" w:cs="宋体"/>
          <w:b/>
          <w:bCs/>
          <w:sz w:val="24"/>
        </w:rPr>
        <w:t>资格审查</w:t>
      </w:r>
    </w:p>
    <w:p>
      <w:pPr>
        <w:pStyle w:val="19"/>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6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2"/>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1972" w:type="dxa"/>
            <w:tcMar>
              <w:top w:w="57" w:type="dxa"/>
              <w:left w:w="108" w:type="dxa"/>
              <w:bottom w:w="0" w:type="dxa"/>
              <w:right w:w="108" w:type="dxa"/>
            </w:tcMar>
            <w:vAlign w:val="center"/>
          </w:tcPr>
          <w:p>
            <w:pPr>
              <w:pStyle w:val="622"/>
              <w:spacing w:before="1" w:line="300" w:lineRule="auto"/>
              <w:ind w:right="3" w:hanging="10"/>
              <w:jc w:val="center"/>
              <w:rPr>
                <w:rFonts w:ascii="宋体" w:hAnsi="宋体" w:cs="宋体"/>
                <w:szCs w:val="21"/>
                <w:lang w:eastAsia="zh-CN"/>
              </w:rPr>
            </w:pPr>
            <w:r>
              <w:rPr>
                <w:rFonts w:hint="eastAsia" w:ascii="宋体" w:hAnsi="宋体" w:cs="宋体"/>
                <w:szCs w:val="21"/>
                <w:lang w:eastAsia="zh-CN"/>
              </w:rPr>
              <w:t>具有独立承担民事责任的能力</w:t>
            </w:r>
          </w:p>
        </w:tc>
        <w:tc>
          <w:tcPr>
            <w:tcW w:w="7033" w:type="dxa"/>
            <w:tcMar>
              <w:top w:w="57" w:type="dxa"/>
              <w:left w:w="108" w:type="dxa"/>
              <w:bottom w:w="0" w:type="dxa"/>
              <w:right w:w="108" w:type="dxa"/>
            </w:tcMar>
            <w:vAlign w:val="center"/>
          </w:tcPr>
          <w:p>
            <w:pPr>
              <w:pStyle w:val="622"/>
              <w:spacing w:line="300" w:lineRule="auto"/>
              <w:ind w:right="-17" w:rightChars="-8"/>
              <w:rPr>
                <w:rFonts w:ascii="宋体" w:hAnsi="宋体" w:cs="宋体"/>
                <w:szCs w:val="21"/>
                <w:lang w:eastAsia="zh-CN"/>
              </w:rPr>
            </w:pPr>
            <w:r>
              <w:rPr>
                <w:rFonts w:hint="eastAsia" w:ascii="宋体" w:hAnsi="宋体" w:cs="宋体"/>
                <w:szCs w:val="21"/>
                <w:lang w:eastAsia="zh-CN"/>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1972" w:type="dxa"/>
            <w:shd w:val="clear" w:color="auto" w:fill="F6F6F6"/>
            <w:tcMar>
              <w:top w:w="57" w:type="dxa"/>
              <w:left w:w="108" w:type="dxa"/>
              <w:bottom w:w="0" w:type="dxa"/>
              <w:right w:w="108" w:type="dxa"/>
            </w:tcMar>
            <w:vAlign w:val="center"/>
          </w:tcPr>
          <w:p>
            <w:pPr>
              <w:pStyle w:val="622"/>
              <w:spacing w:before="1" w:line="300" w:lineRule="auto"/>
              <w:ind w:right="3" w:hanging="10"/>
              <w:jc w:val="center"/>
              <w:rPr>
                <w:rFonts w:ascii="宋体" w:hAnsi="宋体" w:cs="宋体"/>
                <w:szCs w:val="21"/>
                <w:lang w:eastAsia="zh-CN"/>
              </w:rPr>
            </w:pPr>
            <w:r>
              <w:rPr>
                <w:rFonts w:hint="eastAsia" w:ascii="宋体" w:hAnsi="宋体" w:cs="宋体"/>
                <w:szCs w:val="21"/>
                <w:lang w:eastAsia="zh-CN"/>
              </w:rPr>
              <w:t>有依法缴纳税收和社会保障资金的良好记录</w:t>
            </w:r>
          </w:p>
        </w:tc>
        <w:tc>
          <w:tcPr>
            <w:tcW w:w="7033" w:type="dxa"/>
            <w:shd w:val="clear" w:color="auto" w:fill="F6F6F6"/>
            <w:tcMar>
              <w:top w:w="57" w:type="dxa"/>
              <w:left w:w="108" w:type="dxa"/>
              <w:bottom w:w="0" w:type="dxa"/>
              <w:right w:w="108" w:type="dxa"/>
            </w:tcMar>
            <w:vAlign w:val="center"/>
          </w:tcPr>
          <w:p>
            <w:pPr>
              <w:pStyle w:val="622"/>
              <w:spacing w:line="300" w:lineRule="auto"/>
              <w:ind w:right="-17" w:rightChars="-8"/>
              <w:rPr>
                <w:rFonts w:ascii="宋体" w:hAnsi="宋体" w:cs="宋体"/>
                <w:szCs w:val="21"/>
                <w:lang w:eastAsia="zh-CN"/>
              </w:rPr>
            </w:pPr>
            <w:r>
              <w:rPr>
                <w:rFonts w:hint="eastAsia" w:ascii="宋体" w:hAnsi="宋体" w:cs="宋体"/>
                <w:szCs w:val="21"/>
                <w:lang w:eastAsia="zh-CN"/>
              </w:rPr>
              <w:t>提交符合参加政府采购活动应当具备的一般条件的承诺函；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72" w:type="dxa"/>
            <w:tcMar>
              <w:top w:w="57" w:type="dxa"/>
              <w:left w:w="108" w:type="dxa"/>
              <w:bottom w:w="0" w:type="dxa"/>
              <w:right w:w="108" w:type="dxa"/>
            </w:tcMar>
            <w:vAlign w:val="center"/>
          </w:tcPr>
          <w:p>
            <w:pPr>
              <w:pStyle w:val="622"/>
              <w:spacing w:before="1" w:line="300" w:lineRule="auto"/>
              <w:ind w:right="3" w:hanging="10"/>
              <w:jc w:val="center"/>
              <w:rPr>
                <w:rFonts w:ascii="宋体" w:hAnsi="宋体" w:cs="宋体"/>
                <w:szCs w:val="21"/>
                <w:lang w:eastAsia="zh-CN"/>
              </w:rPr>
            </w:pPr>
            <w:r>
              <w:rPr>
                <w:rFonts w:hint="eastAsia" w:ascii="宋体" w:hAnsi="宋体" w:cs="宋体"/>
                <w:szCs w:val="21"/>
                <w:lang w:eastAsia="zh-CN"/>
              </w:rPr>
              <w:t>具有良好的商业信誉和健全的财务会计制度</w:t>
            </w:r>
          </w:p>
        </w:tc>
        <w:tc>
          <w:tcPr>
            <w:tcW w:w="7033" w:type="dxa"/>
            <w:tcMar>
              <w:top w:w="57" w:type="dxa"/>
              <w:left w:w="108" w:type="dxa"/>
              <w:bottom w:w="0" w:type="dxa"/>
              <w:right w:w="108" w:type="dxa"/>
            </w:tcMar>
            <w:vAlign w:val="center"/>
          </w:tcPr>
          <w:p>
            <w:pPr>
              <w:pStyle w:val="622"/>
              <w:spacing w:line="300" w:lineRule="auto"/>
              <w:ind w:right="-17" w:rightChars="-8"/>
              <w:rPr>
                <w:rFonts w:ascii="宋体" w:hAnsi="宋体" w:cs="宋体"/>
                <w:szCs w:val="21"/>
                <w:lang w:eastAsia="zh-CN"/>
              </w:rPr>
            </w:pPr>
            <w:r>
              <w:rPr>
                <w:rFonts w:hint="eastAsia" w:ascii="宋体" w:hAnsi="宋体" w:cs="宋体"/>
                <w:szCs w:val="21"/>
                <w:lang w:eastAsia="zh-CN"/>
              </w:rPr>
              <w:t>提交符合参加政府采购活动应当具备的一般条件的承诺函；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2" w:type="dxa"/>
            <w:shd w:val="clear" w:color="auto" w:fill="F6F6F6"/>
            <w:tcMar>
              <w:top w:w="57" w:type="dxa"/>
              <w:left w:w="108" w:type="dxa"/>
              <w:bottom w:w="0" w:type="dxa"/>
              <w:right w:w="108" w:type="dxa"/>
            </w:tcMar>
            <w:vAlign w:val="center"/>
          </w:tcPr>
          <w:p>
            <w:pPr>
              <w:pStyle w:val="622"/>
              <w:spacing w:before="1" w:line="300" w:lineRule="auto"/>
              <w:ind w:right="3" w:hanging="10"/>
              <w:jc w:val="center"/>
              <w:rPr>
                <w:rFonts w:ascii="宋体" w:hAnsi="宋体" w:cs="宋体"/>
                <w:szCs w:val="21"/>
                <w:lang w:eastAsia="zh-CN"/>
              </w:rPr>
            </w:pPr>
            <w:r>
              <w:rPr>
                <w:rFonts w:hint="eastAsia" w:ascii="宋体" w:hAnsi="宋体" w:cs="宋体"/>
                <w:szCs w:val="21"/>
                <w:lang w:eastAsia="zh-CN"/>
              </w:rPr>
              <w:t>履行合同所必需的设备和专业技术能力</w:t>
            </w:r>
          </w:p>
        </w:tc>
        <w:tc>
          <w:tcPr>
            <w:tcW w:w="7033" w:type="dxa"/>
            <w:shd w:val="clear" w:color="auto" w:fill="F6F6F6"/>
            <w:tcMar>
              <w:top w:w="57" w:type="dxa"/>
              <w:left w:w="108" w:type="dxa"/>
              <w:bottom w:w="0" w:type="dxa"/>
              <w:right w:w="108" w:type="dxa"/>
            </w:tcMar>
            <w:vAlign w:val="center"/>
          </w:tcPr>
          <w:p>
            <w:pPr>
              <w:pStyle w:val="622"/>
              <w:spacing w:line="300" w:lineRule="auto"/>
              <w:ind w:right="-17" w:rightChars="-8"/>
              <w:rPr>
                <w:rFonts w:ascii="宋体" w:hAnsi="宋体" w:cs="宋体"/>
                <w:szCs w:val="21"/>
                <w:lang w:eastAsia="zh-CN"/>
              </w:rPr>
            </w:pPr>
            <w:r>
              <w:rPr>
                <w:rFonts w:hint="eastAsia" w:ascii="宋体" w:hAnsi="宋体" w:cs="宋体"/>
                <w:szCs w:val="21"/>
                <w:lang w:eastAsia="zh-CN"/>
              </w:rPr>
              <w:t>提交符合参加政府采购活动应当具备的一般条件的承诺函；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2" w:type="dxa"/>
            <w:tcMar>
              <w:top w:w="57" w:type="dxa"/>
              <w:left w:w="108" w:type="dxa"/>
              <w:bottom w:w="0" w:type="dxa"/>
              <w:right w:w="108" w:type="dxa"/>
            </w:tcMar>
            <w:vAlign w:val="center"/>
          </w:tcPr>
          <w:p>
            <w:pPr>
              <w:pStyle w:val="622"/>
              <w:spacing w:line="300" w:lineRule="auto"/>
              <w:ind w:right="3" w:hanging="10"/>
              <w:jc w:val="center"/>
              <w:rPr>
                <w:rFonts w:ascii="宋体" w:hAnsi="宋体" w:cs="宋体"/>
                <w:szCs w:val="21"/>
                <w:lang w:eastAsia="zh-CN"/>
              </w:rPr>
            </w:pPr>
            <w:r>
              <w:rPr>
                <w:rFonts w:hint="eastAsia" w:ascii="宋体" w:hAnsi="宋体" w:cs="宋体"/>
                <w:szCs w:val="21"/>
                <w:lang w:eastAsia="zh-CN"/>
              </w:rPr>
              <w:t>参加采购活动前3年内，在经营活动中没有重大违法记录</w:t>
            </w:r>
          </w:p>
        </w:tc>
        <w:tc>
          <w:tcPr>
            <w:tcW w:w="7033" w:type="dxa"/>
            <w:tcMar>
              <w:top w:w="57" w:type="dxa"/>
              <w:left w:w="108" w:type="dxa"/>
              <w:bottom w:w="0" w:type="dxa"/>
              <w:right w:w="108" w:type="dxa"/>
            </w:tcMar>
            <w:vAlign w:val="center"/>
          </w:tcPr>
          <w:p>
            <w:pPr>
              <w:pStyle w:val="622"/>
              <w:spacing w:line="300" w:lineRule="auto"/>
              <w:ind w:right="-17" w:rightChars="-8"/>
              <w:rPr>
                <w:rFonts w:ascii="宋体" w:hAnsi="宋体" w:cs="宋体"/>
                <w:szCs w:val="21"/>
                <w:lang w:eastAsia="zh-CN"/>
              </w:rPr>
            </w:pPr>
            <w:r>
              <w:rPr>
                <w:rFonts w:hint="eastAsia" w:ascii="宋体" w:hAnsi="宋体" w:cs="宋体"/>
                <w:szCs w:val="21"/>
                <w:lang w:eastAsia="zh-CN"/>
              </w:rPr>
              <w:t>参照投标函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2" w:type="dxa"/>
            <w:shd w:val="clear" w:color="auto" w:fill="F6F6F6"/>
            <w:tcMar>
              <w:top w:w="57" w:type="dxa"/>
              <w:left w:w="108" w:type="dxa"/>
              <w:bottom w:w="0" w:type="dxa"/>
              <w:right w:w="108" w:type="dxa"/>
            </w:tcMar>
            <w:vAlign w:val="center"/>
          </w:tcPr>
          <w:p>
            <w:pPr>
              <w:pStyle w:val="622"/>
              <w:spacing w:line="300" w:lineRule="auto"/>
              <w:ind w:right="3" w:hanging="10"/>
              <w:jc w:val="center"/>
              <w:rPr>
                <w:rFonts w:ascii="宋体" w:hAnsi="宋体" w:cs="宋体"/>
                <w:sz w:val="22"/>
                <w:szCs w:val="22"/>
              </w:rPr>
            </w:pPr>
            <w:r>
              <w:rPr>
                <w:rFonts w:hint="eastAsia" w:ascii="宋体" w:hAnsi="宋体" w:cs="宋体"/>
                <w:sz w:val="22"/>
                <w:szCs w:val="22"/>
              </w:rPr>
              <w:t>信用记录</w:t>
            </w:r>
          </w:p>
        </w:tc>
        <w:tc>
          <w:tcPr>
            <w:tcW w:w="7033" w:type="dxa"/>
            <w:shd w:val="clear" w:color="auto" w:fill="F6F6F6"/>
            <w:tcMar>
              <w:top w:w="57" w:type="dxa"/>
              <w:left w:w="108" w:type="dxa"/>
              <w:bottom w:w="0" w:type="dxa"/>
              <w:right w:w="108" w:type="dxa"/>
            </w:tcMar>
            <w:vAlign w:val="center"/>
          </w:tcPr>
          <w:p>
            <w:pPr>
              <w:spacing w:line="300" w:lineRule="auto"/>
              <w:ind w:right="-17" w:rightChars="-8"/>
              <w:rPr>
                <w:rFonts w:ascii="宋体" w:hAnsi="宋体" w:cs="宋体"/>
                <w:kern w:val="0"/>
                <w:sz w:val="22"/>
                <w:szCs w:val="22"/>
              </w:rPr>
            </w:pPr>
            <w:r>
              <w:rPr>
                <w:rFonts w:hint="eastAsia" w:ascii="宋体" w:hAnsi="宋体" w:cs="宋体"/>
                <w:kern w:val="0"/>
                <w:sz w:val="22"/>
                <w:szCs w:val="22"/>
              </w:rPr>
              <w:t>1.截止时点：开标后评标前。</w:t>
            </w:r>
          </w:p>
          <w:p>
            <w:pPr>
              <w:spacing w:line="300" w:lineRule="auto"/>
              <w:ind w:right="-17" w:rightChars="-8"/>
              <w:rPr>
                <w:rFonts w:ascii="宋体" w:hAnsi="宋体" w:cs="宋体"/>
                <w:kern w:val="0"/>
                <w:sz w:val="22"/>
                <w:szCs w:val="22"/>
              </w:rPr>
            </w:pPr>
            <w:r>
              <w:rPr>
                <w:rFonts w:hint="eastAsia" w:ascii="宋体" w:hAnsi="宋体" w:cs="宋体"/>
                <w:kern w:val="0"/>
                <w:sz w:val="22"/>
                <w:szCs w:val="22"/>
              </w:rPr>
              <w:t>2.信用信息查询记录和证据留存的具体方式：由采购组织机构在规定查询时间内打印信用信息查询记录并归入项目档案。</w:t>
            </w:r>
            <w:r>
              <w:rPr>
                <w:rFonts w:hint="eastAsia" w:ascii="宋体" w:hAnsi="宋体" w:cs="宋体"/>
                <w:kern w:val="0"/>
                <w:sz w:val="22"/>
                <w:szCs w:val="22"/>
              </w:rPr>
              <w:br w:type="textWrapping"/>
            </w:r>
            <w:r>
              <w:rPr>
                <w:rFonts w:hint="eastAsia" w:ascii="宋体" w:hAnsi="宋体" w:cs="宋体"/>
                <w:kern w:val="0"/>
                <w:sz w:val="22"/>
                <w:szCs w:val="22"/>
              </w:rPr>
              <w:t>3.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72" w:type="dxa"/>
            <w:tcMar>
              <w:top w:w="57" w:type="dxa"/>
              <w:left w:w="108" w:type="dxa"/>
              <w:bottom w:w="0" w:type="dxa"/>
              <w:right w:w="108" w:type="dxa"/>
            </w:tcMar>
            <w:vAlign w:val="center"/>
          </w:tcPr>
          <w:p>
            <w:pPr>
              <w:pStyle w:val="622"/>
              <w:spacing w:line="300" w:lineRule="auto"/>
              <w:ind w:right="3" w:hanging="10"/>
              <w:jc w:val="center"/>
              <w:rPr>
                <w:rFonts w:ascii="宋体" w:hAnsi="宋体" w:cs="宋体"/>
                <w:sz w:val="22"/>
                <w:szCs w:val="22"/>
                <w:lang w:eastAsia="zh-CN"/>
              </w:rPr>
            </w:pPr>
            <w:r>
              <w:rPr>
                <w:rFonts w:hint="eastAsia" w:ascii="宋体" w:hAnsi="宋体" w:cs="宋体"/>
                <w:sz w:val="22"/>
                <w:szCs w:val="22"/>
                <w:lang w:eastAsia="zh-CN"/>
              </w:rPr>
              <w:t>必须符合法律、行政法规规定的其他条件</w:t>
            </w:r>
          </w:p>
        </w:tc>
        <w:tc>
          <w:tcPr>
            <w:tcW w:w="7033" w:type="dxa"/>
            <w:tcMar>
              <w:top w:w="57" w:type="dxa"/>
              <w:left w:w="108" w:type="dxa"/>
              <w:bottom w:w="0" w:type="dxa"/>
              <w:right w:w="108" w:type="dxa"/>
            </w:tcMar>
            <w:vAlign w:val="center"/>
          </w:tcPr>
          <w:p>
            <w:pPr>
              <w:pStyle w:val="622"/>
              <w:spacing w:line="300" w:lineRule="auto"/>
              <w:ind w:right="-17" w:rightChars="-8"/>
              <w:rPr>
                <w:rFonts w:ascii="宋体" w:hAnsi="宋体" w:cs="宋体"/>
                <w:sz w:val="22"/>
                <w:szCs w:val="22"/>
                <w:lang w:eastAsia="zh-CN"/>
              </w:rPr>
            </w:pPr>
            <w:r>
              <w:rPr>
                <w:rFonts w:hint="eastAsia" w:ascii="宋体" w:hAnsi="宋体" w:cs="宋体"/>
                <w:sz w:val="22"/>
                <w:szCs w:val="22"/>
                <w:lang w:eastAsia="zh-CN"/>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pPr>
              <w:pStyle w:val="622"/>
              <w:spacing w:line="300" w:lineRule="auto"/>
              <w:ind w:right="-17" w:rightChars="-8"/>
              <w:rPr>
                <w:rFonts w:ascii="宋体" w:hAnsi="宋体" w:cs="宋体"/>
                <w:sz w:val="22"/>
                <w:szCs w:val="22"/>
                <w:lang w:eastAsia="zh-CN"/>
              </w:rPr>
            </w:pPr>
            <w:r>
              <w:rPr>
                <w:rFonts w:hint="eastAsia" w:ascii="宋体" w:hAnsi="宋体" w:cs="宋体"/>
                <w:sz w:val="22"/>
                <w:szCs w:val="22"/>
                <w:lang w:val="en-US" w:eastAsia="zh-CN"/>
              </w:rPr>
              <w:t>2</w:t>
            </w:r>
            <w:r>
              <w:rPr>
                <w:rFonts w:hint="eastAsia" w:ascii="宋体" w:hAnsi="宋体" w:cs="宋体"/>
                <w:sz w:val="22"/>
                <w:szCs w:val="22"/>
                <w:lang w:eastAsia="zh-CN"/>
              </w:rPr>
              <w:t>.投标（报价）文件相关承诺要求内容（以联合体形式投标时，联合体各方均须满足该条款）。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972" w:type="dxa"/>
            <w:vMerge w:val="restart"/>
            <w:shd w:val="clear" w:color="auto" w:fill="F6F6F6"/>
            <w:tcMar>
              <w:top w:w="57" w:type="dxa"/>
              <w:left w:w="108" w:type="dxa"/>
              <w:bottom w:w="0" w:type="dxa"/>
              <w:right w:w="108" w:type="dxa"/>
            </w:tcMar>
            <w:vAlign w:val="center"/>
          </w:tcPr>
          <w:p>
            <w:pPr>
              <w:pStyle w:val="622"/>
              <w:spacing w:before="48" w:line="300" w:lineRule="auto"/>
              <w:ind w:right="3" w:hanging="10"/>
              <w:jc w:val="center"/>
              <w:rPr>
                <w:rFonts w:ascii="宋体" w:hAnsi="宋体" w:cs="宋体"/>
                <w:sz w:val="22"/>
                <w:szCs w:val="22"/>
                <w:lang w:eastAsia="zh-CN"/>
              </w:rPr>
            </w:pPr>
            <w:r>
              <w:rPr>
                <w:rFonts w:hint="eastAsia" w:ascii="宋体" w:hAnsi="宋体" w:cs="宋体"/>
                <w:sz w:val="22"/>
                <w:szCs w:val="22"/>
                <w:lang w:eastAsia="zh-CN"/>
              </w:rPr>
              <w:t>落实政府采购政策需满足的资格要求</w:t>
            </w:r>
          </w:p>
        </w:tc>
        <w:tc>
          <w:tcPr>
            <w:tcW w:w="7033" w:type="dxa"/>
            <w:shd w:val="clear" w:color="auto" w:fill="F6F6F6"/>
            <w:tcMar>
              <w:top w:w="57" w:type="dxa"/>
              <w:left w:w="108" w:type="dxa"/>
              <w:bottom w:w="0" w:type="dxa"/>
              <w:right w:w="108" w:type="dxa"/>
            </w:tcMar>
            <w:vAlign w:val="center"/>
          </w:tcPr>
          <w:p>
            <w:pPr>
              <w:pStyle w:val="622"/>
              <w:spacing w:line="300" w:lineRule="auto"/>
              <w:ind w:right="-17" w:rightChars="-8"/>
              <w:rPr>
                <w:rFonts w:ascii="宋体" w:hAnsi="宋体" w:cs="宋体"/>
                <w:sz w:val="22"/>
                <w:szCs w:val="22"/>
                <w:lang w:eastAsia="zh-CN"/>
              </w:rPr>
            </w:pPr>
            <w:r>
              <w:rPr>
                <w:rFonts w:hint="eastAsia" w:ascii="宋体" w:hAnsi="宋体" w:cs="宋体"/>
                <w:sz w:val="22"/>
                <w:szCs w:val="22"/>
                <w:lang w:eastAsia="zh-CN"/>
              </w:rPr>
              <w:t>经充分的采购需求调研，本项目</w:t>
            </w:r>
            <w:r>
              <w:rPr>
                <w:rFonts w:hint="eastAsia" w:ascii="宋体" w:hAnsi="宋体" w:cs="宋体"/>
                <w:b/>
                <w:bCs/>
                <w:sz w:val="22"/>
                <w:szCs w:val="22"/>
                <w:lang w:eastAsia="zh-CN"/>
              </w:rPr>
              <w:t>符合《政府采购促进中小企业发展管理办法》第六条第三、按照本办法规定预留采购份额无法确保充分供应、充分竞争，或者存在可能影响政府采购目标实现的情形款之规定，不专门面向中小企业预留采购份额。但为保证中小企业预留采购份额，本项目要求以联合体形式参加，提供联合协议和中小企业声明函，联合协议中小企业合同金额应当达到</w:t>
            </w:r>
            <w:r>
              <w:rPr>
                <w:rFonts w:hint="eastAsia" w:ascii="宋体" w:hAnsi="宋体" w:cs="宋体"/>
                <w:b/>
                <w:bCs/>
                <w:sz w:val="22"/>
                <w:szCs w:val="22"/>
                <w:u w:val="single"/>
                <w:lang w:eastAsia="zh-CN"/>
              </w:rPr>
              <w:t>40</w:t>
            </w:r>
            <w:r>
              <w:rPr>
                <w:rFonts w:hint="eastAsia" w:ascii="宋体" w:hAnsi="宋体" w:cs="宋体"/>
                <w:b/>
                <w:bCs/>
                <w:sz w:val="22"/>
                <w:szCs w:val="22"/>
                <w:lang w:eastAsia="zh-CN"/>
              </w:rPr>
              <w:t>%或以上; 如果供应商本身提供所有标的均由中小企业承建或承接，视同符合了资格条件</w:t>
            </w:r>
            <w:r>
              <w:rPr>
                <w:rFonts w:hint="eastAsia" w:ascii="宋体" w:hAnsi="宋体" w:cs="宋体"/>
                <w:sz w:val="22"/>
                <w:szCs w:val="22"/>
                <w:lang w:eastAsia="zh-CN"/>
              </w:rPr>
              <w:t>，无需再与其他</w:t>
            </w:r>
            <w:r>
              <w:rPr>
                <w:rFonts w:hint="eastAsia" w:ascii="宋体" w:hAnsi="宋体" w:cs="宋体"/>
                <w:b/>
                <w:bCs/>
                <w:sz w:val="22"/>
                <w:szCs w:val="22"/>
                <w:lang w:eastAsia="zh-CN"/>
              </w:rPr>
              <w:t>中小</w:t>
            </w:r>
            <w:r>
              <w:rPr>
                <w:rFonts w:hint="eastAsia" w:ascii="宋体" w:hAnsi="宋体" w:cs="宋体"/>
                <w:sz w:val="22"/>
                <w:szCs w:val="22"/>
                <w:lang w:eastAsia="zh-CN"/>
              </w:rPr>
              <w:t>企业组成联合体参加政府采购活动，无需提供联合协议。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78" w:hRule="atLeast"/>
          <w:jc w:val="center"/>
        </w:trPr>
        <w:tc>
          <w:tcPr>
            <w:tcW w:w="1972" w:type="dxa"/>
            <w:vMerge w:val="continue"/>
            <w:shd w:val="clear" w:color="auto" w:fill="F6F6F6"/>
            <w:tcMar>
              <w:top w:w="57" w:type="dxa"/>
              <w:left w:w="108" w:type="dxa"/>
              <w:bottom w:w="0" w:type="dxa"/>
              <w:right w:w="108" w:type="dxa"/>
            </w:tcMar>
            <w:vAlign w:val="center"/>
          </w:tcPr>
          <w:p>
            <w:pPr>
              <w:pStyle w:val="622"/>
              <w:spacing w:before="48" w:line="300" w:lineRule="auto"/>
              <w:ind w:right="3" w:hanging="10"/>
              <w:jc w:val="center"/>
              <w:rPr>
                <w:rFonts w:ascii="宋体" w:hAnsi="宋体" w:cs="宋体"/>
                <w:sz w:val="22"/>
                <w:szCs w:val="22"/>
                <w:lang w:eastAsia="zh-CN"/>
              </w:rPr>
            </w:pPr>
          </w:p>
        </w:tc>
        <w:tc>
          <w:tcPr>
            <w:tcW w:w="7033" w:type="dxa"/>
            <w:shd w:val="clear" w:color="auto" w:fill="F6F6F6"/>
            <w:tcMar>
              <w:top w:w="57" w:type="dxa"/>
              <w:left w:w="108" w:type="dxa"/>
              <w:bottom w:w="0" w:type="dxa"/>
              <w:right w:w="108" w:type="dxa"/>
            </w:tcMar>
            <w:vAlign w:val="center"/>
          </w:tcPr>
          <w:p>
            <w:pPr>
              <w:pStyle w:val="622"/>
              <w:spacing w:line="300" w:lineRule="auto"/>
              <w:ind w:right="-17" w:rightChars="-8"/>
              <w:rPr>
                <w:rFonts w:ascii="宋体" w:hAnsi="宋体" w:cs="宋体"/>
                <w:sz w:val="22"/>
                <w:szCs w:val="22"/>
                <w:lang w:eastAsia="zh-CN"/>
              </w:rPr>
            </w:pPr>
            <w:r>
              <w:rPr>
                <w:rFonts w:hint="eastAsia" w:ascii="宋体" w:hAnsi="宋体" w:cs="宋体"/>
                <w:sz w:val="22"/>
                <w:szCs w:val="22"/>
                <w:lang w:eastAsia="zh-CN"/>
              </w:rPr>
              <w:t>具备乙级及以上城乡规划编制资质。</w:t>
            </w:r>
          </w:p>
        </w:tc>
      </w:tr>
    </w:tbl>
    <w:p>
      <w:pPr>
        <w:spacing w:line="360" w:lineRule="auto"/>
        <w:ind w:firstLine="472" w:firstLineChars="196"/>
        <w:rPr>
          <w:rFonts w:ascii="宋体" w:hAnsi="宋体" w:cs="宋体"/>
          <w:kern w:val="0"/>
          <w:sz w:val="24"/>
        </w:rPr>
      </w:pPr>
      <w:r>
        <w:rPr>
          <w:rFonts w:hint="eastAsia" w:ascii="宋体" w:hAnsi="宋体" w:cs="宋体"/>
          <w:b/>
          <w:kern w:val="0"/>
          <w:sz w:val="24"/>
        </w:rPr>
        <w:t>3.2符合性审查。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tbl>
      <w:tblPr>
        <w:tblStyle w:val="6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7"/>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pPr>
              <w:pStyle w:val="622"/>
              <w:spacing w:line="300" w:lineRule="auto"/>
              <w:ind w:right="3" w:hanging="10"/>
              <w:jc w:val="center"/>
              <w:rPr>
                <w:rFonts w:ascii="宋体" w:hAnsi="宋体" w:cs="宋体"/>
                <w:szCs w:val="21"/>
              </w:rPr>
            </w:pPr>
            <w:r>
              <w:rPr>
                <w:rFonts w:hint="eastAsia" w:ascii="宋体" w:hAnsi="宋体" w:cs="宋体"/>
                <w:szCs w:val="21"/>
              </w:rPr>
              <w:t>投标文件</w:t>
            </w:r>
          </w:p>
        </w:tc>
        <w:tc>
          <w:tcPr>
            <w:tcW w:w="6956" w:type="dxa"/>
            <w:tcMar>
              <w:top w:w="57" w:type="dxa"/>
              <w:left w:w="108" w:type="dxa"/>
              <w:bottom w:w="0" w:type="dxa"/>
              <w:right w:w="108" w:type="dxa"/>
            </w:tcMar>
            <w:vAlign w:val="center"/>
          </w:tcPr>
          <w:p>
            <w:pPr>
              <w:pStyle w:val="622"/>
              <w:spacing w:line="300" w:lineRule="auto"/>
              <w:ind w:right="3" w:hanging="10"/>
              <w:rPr>
                <w:rFonts w:ascii="宋体" w:hAnsi="宋体" w:cs="宋体"/>
                <w:szCs w:val="21"/>
                <w:lang w:eastAsia="zh-CN"/>
              </w:rPr>
            </w:pPr>
            <w:r>
              <w:rPr>
                <w:rFonts w:hint="eastAsia" w:ascii="宋体" w:hAnsi="宋体" w:cs="宋体"/>
                <w:szCs w:val="21"/>
                <w:lang w:eastAsia="zh-CN"/>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2207" w:type="dxa"/>
            <w:shd w:val="clear" w:color="auto" w:fill="F6F6F6"/>
            <w:tcMar>
              <w:top w:w="57" w:type="dxa"/>
              <w:left w:w="108" w:type="dxa"/>
              <w:bottom w:w="0" w:type="dxa"/>
              <w:right w:w="108" w:type="dxa"/>
            </w:tcMar>
            <w:vAlign w:val="center"/>
          </w:tcPr>
          <w:p>
            <w:pPr>
              <w:pStyle w:val="622"/>
              <w:spacing w:line="300" w:lineRule="auto"/>
              <w:ind w:right="3" w:hanging="10"/>
              <w:jc w:val="center"/>
              <w:rPr>
                <w:rFonts w:ascii="宋体" w:hAnsi="宋体" w:cs="宋体"/>
                <w:szCs w:val="21"/>
                <w:lang w:eastAsia="zh-CN"/>
              </w:rPr>
            </w:pPr>
            <w:r>
              <w:rPr>
                <w:rFonts w:hint="eastAsia" w:ascii="宋体" w:hAnsi="宋体" w:cs="宋体"/>
                <w:szCs w:val="21"/>
                <w:lang w:eastAsia="zh-CN"/>
              </w:rPr>
              <w:t>法定代表人/负责人授权委托书</w:t>
            </w:r>
          </w:p>
        </w:tc>
        <w:tc>
          <w:tcPr>
            <w:tcW w:w="6956" w:type="dxa"/>
            <w:shd w:val="clear" w:color="auto" w:fill="F6F6F6"/>
            <w:tcMar>
              <w:top w:w="57" w:type="dxa"/>
              <w:left w:w="108" w:type="dxa"/>
              <w:bottom w:w="0" w:type="dxa"/>
              <w:right w:w="108" w:type="dxa"/>
            </w:tcMar>
            <w:vAlign w:val="center"/>
          </w:tcPr>
          <w:p>
            <w:pPr>
              <w:pStyle w:val="622"/>
              <w:spacing w:line="300" w:lineRule="auto"/>
              <w:ind w:right="3" w:hanging="10"/>
              <w:rPr>
                <w:rFonts w:ascii="宋体" w:hAnsi="宋体" w:cs="宋体"/>
                <w:szCs w:val="21"/>
                <w:lang w:eastAsia="zh-CN"/>
              </w:rPr>
            </w:pPr>
            <w:r>
              <w:rPr>
                <w:rFonts w:hint="eastAsia" w:ascii="宋体" w:hAnsi="宋体" w:cs="宋体"/>
                <w:szCs w:val="21"/>
                <w:lang w:eastAsia="zh-CN"/>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pPr>
              <w:pStyle w:val="622"/>
              <w:spacing w:line="300" w:lineRule="auto"/>
              <w:ind w:right="3" w:hanging="10"/>
              <w:jc w:val="center"/>
              <w:rPr>
                <w:rFonts w:ascii="宋体" w:hAnsi="宋体" w:cs="宋体"/>
                <w:szCs w:val="21"/>
              </w:rPr>
            </w:pPr>
            <w:r>
              <w:rPr>
                <w:rFonts w:hint="eastAsia" w:ascii="宋体" w:hAnsi="宋体" w:cs="宋体"/>
                <w:szCs w:val="21"/>
              </w:rPr>
              <w:t>“▲”实质性条款</w:t>
            </w:r>
          </w:p>
        </w:tc>
        <w:tc>
          <w:tcPr>
            <w:tcW w:w="6956" w:type="dxa"/>
            <w:tcMar>
              <w:top w:w="57" w:type="dxa"/>
              <w:left w:w="108" w:type="dxa"/>
              <w:bottom w:w="0" w:type="dxa"/>
              <w:right w:w="108" w:type="dxa"/>
            </w:tcMar>
            <w:vAlign w:val="center"/>
          </w:tcPr>
          <w:p>
            <w:pPr>
              <w:pStyle w:val="622"/>
              <w:spacing w:line="300" w:lineRule="auto"/>
              <w:ind w:right="3" w:hanging="10"/>
              <w:rPr>
                <w:rFonts w:ascii="宋体" w:hAnsi="宋体" w:cs="宋体"/>
                <w:szCs w:val="21"/>
                <w:lang w:eastAsia="zh-CN"/>
              </w:rPr>
            </w:pPr>
            <w:r>
              <w:rPr>
                <w:rFonts w:hint="eastAsia" w:ascii="宋体" w:hAnsi="宋体" w:cs="宋体"/>
                <w:szCs w:val="21"/>
                <w:lang w:eastAsia="zh-CN"/>
              </w:rPr>
              <w:t>“▲”实质性条款必须满足采购文件要求。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shd w:val="clear" w:color="auto" w:fill="F6F6F6"/>
            <w:tcMar>
              <w:top w:w="57" w:type="dxa"/>
              <w:left w:w="108" w:type="dxa"/>
              <w:bottom w:w="0" w:type="dxa"/>
              <w:right w:w="108" w:type="dxa"/>
            </w:tcMar>
            <w:vAlign w:val="center"/>
          </w:tcPr>
          <w:p>
            <w:pPr>
              <w:pStyle w:val="622"/>
              <w:spacing w:line="300" w:lineRule="auto"/>
              <w:ind w:right="3" w:hanging="10"/>
              <w:jc w:val="center"/>
              <w:rPr>
                <w:rFonts w:ascii="宋体" w:hAnsi="宋体" w:cs="宋体"/>
                <w:szCs w:val="21"/>
              </w:rPr>
            </w:pPr>
            <w:r>
              <w:rPr>
                <w:rFonts w:hint="eastAsia" w:ascii="宋体" w:hAnsi="宋体" w:cs="宋体"/>
                <w:szCs w:val="21"/>
              </w:rPr>
              <w:t>串通投标</w:t>
            </w:r>
          </w:p>
        </w:tc>
        <w:tc>
          <w:tcPr>
            <w:tcW w:w="6956" w:type="dxa"/>
            <w:shd w:val="clear" w:color="auto" w:fill="F6F6F6"/>
            <w:tcMar>
              <w:top w:w="57" w:type="dxa"/>
              <w:left w:w="108" w:type="dxa"/>
              <w:bottom w:w="0" w:type="dxa"/>
              <w:right w:w="108" w:type="dxa"/>
            </w:tcMar>
            <w:vAlign w:val="center"/>
          </w:tcPr>
          <w:p>
            <w:pPr>
              <w:pStyle w:val="622"/>
              <w:spacing w:line="300" w:lineRule="auto"/>
              <w:ind w:right="3" w:hanging="10"/>
              <w:rPr>
                <w:rFonts w:ascii="宋体" w:hAnsi="宋体" w:cs="宋体"/>
                <w:szCs w:val="21"/>
                <w:lang w:eastAsia="zh-CN"/>
              </w:rPr>
            </w:pPr>
            <w:r>
              <w:rPr>
                <w:rFonts w:hint="eastAsia" w:ascii="宋体" w:hAnsi="宋体" w:cs="宋体"/>
                <w:szCs w:val="21"/>
                <w:lang w:eastAsia="zh-CN"/>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pPr>
              <w:pStyle w:val="622"/>
              <w:spacing w:line="300" w:lineRule="auto"/>
              <w:ind w:right="3" w:hanging="10"/>
              <w:jc w:val="center"/>
              <w:rPr>
                <w:rFonts w:ascii="宋体" w:hAnsi="宋体" w:cs="宋体"/>
                <w:szCs w:val="21"/>
              </w:rPr>
            </w:pPr>
            <w:r>
              <w:rPr>
                <w:rFonts w:hint="eastAsia" w:ascii="宋体" w:hAnsi="宋体" w:cs="宋体"/>
                <w:szCs w:val="21"/>
              </w:rPr>
              <w:t>附加条件</w:t>
            </w:r>
          </w:p>
        </w:tc>
        <w:tc>
          <w:tcPr>
            <w:tcW w:w="6956" w:type="dxa"/>
            <w:tcMar>
              <w:top w:w="57" w:type="dxa"/>
              <w:left w:w="108" w:type="dxa"/>
              <w:bottom w:w="0" w:type="dxa"/>
              <w:right w:w="108" w:type="dxa"/>
            </w:tcMar>
            <w:vAlign w:val="center"/>
          </w:tcPr>
          <w:p>
            <w:pPr>
              <w:pStyle w:val="622"/>
              <w:spacing w:line="300" w:lineRule="auto"/>
              <w:ind w:right="3" w:hanging="10"/>
              <w:rPr>
                <w:rFonts w:ascii="宋体" w:hAnsi="宋体" w:cs="宋体"/>
                <w:szCs w:val="21"/>
                <w:lang w:eastAsia="zh-CN"/>
              </w:rPr>
            </w:pPr>
            <w:r>
              <w:rPr>
                <w:rFonts w:hint="eastAsia" w:ascii="宋体" w:hAnsi="宋体" w:cs="宋体"/>
                <w:szCs w:val="21"/>
                <w:lang w:eastAsia="zh-CN"/>
              </w:rPr>
              <w:t>投标文件未含有采购人不可接受的附加条件。</w:t>
            </w:r>
          </w:p>
        </w:tc>
      </w:tr>
    </w:tbl>
    <w:p>
      <w:pPr>
        <w:spacing w:line="360" w:lineRule="auto"/>
        <w:ind w:firstLine="472" w:firstLineChars="196"/>
        <w:rPr>
          <w:rFonts w:ascii="宋体" w:hAnsi="宋体" w:cs="宋体"/>
          <w:kern w:val="0"/>
          <w:sz w:val="24"/>
        </w:rPr>
      </w:pPr>
      <w:r>
        <w:rPr>
          <w:rFonts w:hint="eastAsia" w:ascii="宋体" w:hAnsi="宋体" w:cs="宋体"/>
          <w:b/>
          <w:kern w:val="0"/>
          <w:sz w:val="24"/>
        </w:rPr>
        <w:t>3.3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3.4 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3.5 报价评审。</w:t>
      </w:r>
    </w:p>
    <w:p>
      <w:pPr>
        <w:pStyle w:val="95"/>
        <w:spacing w:before="0"/>
        <w:ind w:firstLine="511" w:firstLineChars="212"/>
        <w:rPr>
          <w:rFonts w:ascii="宋体" w:hAnsi="宋体" w:cs="宋体"/>
        </w:rPr>
      </w:pPr>
      <w:r>
        <w:rPr>
          <w:rFonts w:hint="eastAsia" w:ascii="宋体" w:hAnsi="宋体" w:cs="宋体"/>
        </w:rPr>
        <w:t>3.5.1投标文件报价出现前后不一致的，按照下列规定修正：</w:t>
      </w:r>
    </w:p>
    <w:p>
      <w:pPr>
        <w:pStyle w:val="95"/>
        <w:spacing w:before="0"/>
        <w:ind w:firstLine="482"/>
        <w:rPr>
          <w:rFonts w:ascii="宋体" w:hAnsi="宋体" w:cs="宋体"/>
          <w:szCs w:val="24"/>
        </w:rPr>
      </w:pPr>
      <w:r>
        <w:rPr>
          <w:rFonts w:hint="eastAsia" w:ascii="宋体" w:hAnsi="宋体" w:cs="宋体"/>
          <w:szCs w:val="24"/>
        </w:rPr>
        <w:t>3.5.1.1投标文件中开标一览表(报价表)内容与投标文件中相应内容不一致的，以开标一览表(报价表)为准；</w:t>
      </w:r>
    </w:p>
    <w:p>
      <w:pPr>
        <w:pStyle w:val="95"/>
        <w:spacing w:before="0"/>
        <w:ind w:firstLine="482"/>
        <w:rPr>
          <w:rFonts w:ascii="宋体" w:hAnsi="宋体" w:cs="宋体"/>
          <w:szCs w:val="24"/>
        </w:rPr>
      </w:pPr>
      <w:r>
        <w:rPr>
          <w:rFonts w:hint="eastAsia" w:ascii="宋体" w:hAnsi="宋体" w:cs="宋体"/>
          <w:szCs w:val="24"/>
        </w:rPr>
        <w:t>3.5.1.2大写金额和小写金额不一致的，以大写金额为准；</w:t>
      </w:r>
    </w:p>
    <w:p>
      <w:pPr>
        <w:pStyle w:val="95"/>
        <w:spacing w:before="0"/>
        <w:ind w:firstLine="482"/>
        <w:rPr>
          <w:rFonts w:ascii="宋体" w:hAnsi="宋体" w:cs="宋体"/>
          <w:szCs w:val="24"/>
        </w:rPr>
      </w:pPr>
      <w:r>
        <w:rPr>
          <w:rFonts w:hint="eastAsia" w:ascii="宋体" w:hAnsi="宋体" w:cs="宋体"/>
          <w:szCs w:val="24"/>
        </w:rPr>
        <w:t>3.5.1.3单价金额小数点或者百分比有明显错位的，以开标一览表的总价为准，并修改单价；</w:t>
      </w:r>
    </w:p>
    <w:p>
      <w:pPr>
        <w:pStyle w:val="95"/>
        <w:spacing w:before="0"/>
        <w:ind w:firstLine="482"/>
        <w:rPr>
          <w:rFonts w:ascii="宋体" w:hAnsi="宋体" w:cs="宋体"/>
          <w:szCs w:val="24"/>
        </w:rPr>
      </w:pPr>
      <w:r>
        <w:rPr>
          <w:rFonts w:hint="eastAsia" w:ascii="宋体" w:hAnsi="宋体" w:cs="宋体"/>
          <w:szCs w:val="24"/>
        </w:rPr>
        <w:t>3.5.1.4总价金额与按单价汇总金额不一致的，以单价金额计算结果为准。</w:t>
      </w:r>
    </w:p>
    <w:p>
      <w:pPr>
        <w:pStyle w:val="95"/>
        <w:spacing w:before="0"/>
        <w:ind w:firstLine="482"/>
        <w:rPr>
          <w:rFonts w:ascii="宋体" w:hAnsi="宋体" w:cs="宋体"/>
          <w:szCs w:val="24"/>
        </w:rPr>
      </w:pPr>
      <w:r>
        <w:rPr>
          <w:rFonts w:hint="eastAsia" w:ascii="宋体" w:hAnsi="宋体" w:cs="宋体"/>
          <w:szCs w:val="24"/>
        </w:rPr>
        <w:t>3.5.1.5同时出现两种以上不一致的，按照3.4.1规定的顺序修正。修正后的报价按照财政部第87号令 《政府采购货物和服务招标投标管理办法》第五十一条第二款的规定经投标人确认后产生约束力。</w:t>
      </w:r>
    </w:p>
    <w:p>
      <w:pPr>
        <w:pStyle w:val="95"/>
        <w:snapToGrid w:val="0"/>
        <w:ind w:firstLine="482"/>
        <w:jc w:val="left"/>
        <w:rPr>
          <w:rFonts w:ascii="宋体" w:hAnsi="宋体" w:cs="宋体"/>
          <w:szCs w:val="24"/>
        </w:rPr>
      </w:pPr>
      <w:r>
        <w:rPr>
          <w:rFonts w:hint="eastAsia" w:ascii="宋体" w:hAnsi="宋体" w:cs="宋体"/>
          <w:szCs w:val="24"/>
        </w:rPr>
        <w:t>3.5.2投标文件出现不是唯一的、有选择性投标报价的，投标无效。</w:t>
      </w:r>
    </w:p>
    <w:p>
      <w:pPr>
        <w:pStyle w:val="95"/>
        <w:snapToGrid w:val="0"/>
        <w:ind w:firstLine="482"/>
        <w:jc w:val="left"/>
        <w:rPr>
          <w:rFonts w:ascii="宋体" w:hAnsi="宋体" w:cs="宋体"/>
          <w:szCs w:val="24"/>
        </w:rPr>
      </w:pPr>
      <w:r>
        <w:rPr>
          <w:rFonts w:hint="eastAsia" w:ascii="宋体" w:hAnsi="宋体" w:cs="宋体"/>
          <w:szCs w:val="24"/>
        </w:rPr>
        <w:t>3.5.3投标报价超过招标文件中规定的预算金额或者最高限价的，投标无效。</w:t>
      </w:r>
    </w:p>
    <w:p>
      <w:pPr>
        <w:pStyle w:val="95"/>
        <w:spacing w:before="0"/>
        <w:ind w:firstLine="482"/>
        <w:rPr>
          <w:rFonts w:ascii="宋体" w:hAnsi="宋体" w:cs="宋体"/>
          <w:szCs w:val="24"/>
        </w:rPr>
      </w:pPr>
      <w:r>
        <w:rPr>
          <w:rFonts w:hint="eastAsia" w:ascii="宋体" w:hAnsi="宋体" w:cs="宋体"/>
          <w:szCs w:val="24"/>
        </w:rPr>
        <w:t>3.5.4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5"/>
        <w:widowControl/>
        <w:adjustRightInd w:val="0"/>
        <w:snapToGrid w:val="0"/>
        <w:ind w:firstLine="482"/>
        <w:rPr>
          <w:rFonts w:ascii="宋体" w:hAnsi="宋体" w:cs="宋体"/>
          <w:szCs w:val="24"/>
        </w:rPr>
      </w:pPr>
      <w:r>
        <w:rPr>
          <w:rFonts w:hint="eastAsia" w:ascii="宋体" w:hAnsi="宋体" w:cs="宋体"/>
          <w:szCs w:val="24"/>
        </w:rPr>
        <w:t>3.5.5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3.6排序与推荐。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3.7编写评标报告。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ascii="宋体" w:hAnsi="宋体" w:cs="宋体"/>
          <w:b/>
          <w:sz w:val="28"/>
          <w:szCs w:val="22"/>
        </w:rPr>
      </w:pPr>
      <w:r>
        <w:rPr>
          <w:rFonts w:hint="eastAsia" w:ascii="宋体" w:hAnsi="宋体" w:cs="宋体"/>
          <w:b/>
          <w:sz w:val="28"/>
          <w:szCs w:val="22"/>
        </w:rPr>
        <w:t>四、评标中的其他事项</w:t>
      </w:r>
    </w:p>
    <w:p>
      <w:pPr>
        <w:pStyle w:val="95"/>
        <w:spacing w:before="0"/>
        <w:ind w:firstLine="472" w:firstLineChars="196"/>
        <w:rPr>
          <w:rFonts w:ascii="宋体" w:hAnsi="宋体" w:cs="宋体"/>
          <w:szCs w:val="24"/>
        </w:rPr>
      </w:pPr>
      <w:r>
        <w:rPr>
          <w:rFonts w:hint="eastAsia" w:ascii="宋体" w:hAnsi="宋体" w:cs="宋体"/>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430" w:leftChars="205"/>
        <w:rPr>
          <w:rFonts w:ascii="宋体" w:hAnsi="宋体" w:eastAsia="宋体" w:cs="宋体"/>
          <w:kern w:val="0"/>
          <w:sz w:val="24"/>
          <w:szCs w:val="24"/>
          <w:lang w:val="en-US"/>
        </w:rPr>
      </w:pPr>
      <w:r>
        <w:rPr>
          <w:rFonts w:hint="eastAsia" w:ascii="宋体" w:hAnsi="宋体" w:eastAsia="宋体" w:cs="宋体"/>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jc w:val="left"/>
        <w:rPr>
          <w:rFonts w:ascii="宋体" w:hAnsi="宋体" w:cs="宋体"/>
          <w:b/>
          <w:sz w:val="36"/>
          <w:szCs w:val="36"/>
        </w:rPr>
      </w:pPr>
      <w:r>
        <w:rPr>
          <w:rFonts w:hint="eastAsia" w:ascii="宋体" w:hAnsi="宋体" w:cs="宋体"/>
          <w:b/>
          <w:sz w:val="36"/>
          <w:szCs w:val="36"/>
        </w:rPr>
        <w:br w:type="page"/>
      </w:r>
    </w:p>
    <w:bookmarkEnd w:id="408"/>
    <w:bookmarkEnd w:id="409"/>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28"/>
        <w:ind w:firstLine="2843" w:firstLineChars="1180"/>
        <w:rPr>
          <w:rFonts w:ascii="宋体" w:hAnsi="宋体" w:eastAsia="宋体" w:cs="宋体"/>
          <w:b/>
          <w:szCs w:val="24"/>
        </w:rPr>
      </w:pPr>
      <w:r>
        <w:rPr>
          <w:rFonts w:hint="eastAsia" w:ascii="宋体" w:hAnsi="宋体" w:eastAsia="宋体" w:cs="宋体"/>
          <w:b/>
          <w:szCs w:val="24"/>
        </w:rPr>
        <w:t>第一部分 合同书</w:t>
      </w:r>
    </w:p>
    <w:p>
      <w:pPr>
        <w:spacing w:before="120" w:line="22" w:lineRule="atLeast"/>
        <w:rPr>
          <w:rFonts w:ascii="宋体" w:hAnsi="宋体" w:cs="宋体"/>
          <w:sz w:val="24"/>
        </w:rPr>
      </w:pPr>
    </w:p>
    <w:p>
      <w:pPr>
        <w:pStyle w:val="2"/>
        <w:rPr>
          <w:rFonts w:ascii="宋体" w:hAnsi="宋体" w:eastAsia="宋体" w:cs="宋体"/>
        </w:rPr>
      </w:pPr>
    </w:p>
    <w:p>
      <w:pPr>
        <w:spacing w:before="120" w:line="22" w:lineRule="atLeast"/>
        <w:ind w:left="96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杭州余杭塘河（余杭段）沿线区域提升规划</w:t>
      </w:r>
    </w:p>
    <w:p>
      <w:pPr>
        <w:spacing w:before="120" w:line="22" w:lineRule="atLeast"/>
        <w:ind w:left="960" w:firstLine="1200" w:firstLineChars="500"/>
        <w:rPr>
          <w:rFonts w:ascii="宋体" w:hAnsi="宋体" w:cs="宋体"/>
          <w:sz w:val="24"/>
        </w:rPr>
      </w:pPr>
      <w:r>
        <w:rPr>
          <w:rFonts w:hint="eastAsia" w:ascii="宋体" w:hAnsi="宋体" w:cs="宋体"/>
          <w:sz w:val="24"/>
          <w:u w:val="single"/>
        </w:rPr>
        <w:t xml:space="preserve">及重点区段更新设计                    </w:t>
      </w:r>
    </w:p>
    <w:p>
      <w:pPr>
        <w:pStyle w:val="293"/>
        <w:spacing w:before="120" w:line="22" w:lineRule="atLeast"/>
        <w:ind w:firstLine="960" w:firstLineChars="400"/>
        <w:rPr>
          <w:rFonts w:ascii="宋体" w:hAnsi="宋体" w:eastAsia="宋体" w:cs="宋体"/>
          <w:szCs w:val="24"/>
        </w:rPr>
      </w:pPr>
      <w:r>
        <w:rPr>
          <w:rFonts w:hint="eastAsia" w:ascii="宋体" w:hAnsi="宋体" w:eastAsia="宋体" w:cs="宋体"/>
          <w:szCs w:val="24"/>
        </w:rPr>
        <w:t xml:space="preserve">项目编号：YHZFCG2024-092                        </w:t>
      </w: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杭州市规划和自然资源局余杭分局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14" w:type="default"/>
          <w:footerReference r:id="rId15" w:type="default"/>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杭州市规划和自然资源局余杭分局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杭州余杭塘河（余杭段）沿线区域提升规划及重点区段更新设计  </w:t>
      </w:r>
      <w:r>
        <w:rPr>
          <w:rFonts w:hint="eastAsia" w:ascii="宋体" w:hAnsi="宋体" w:cs="宋体"/>
          <w:sz w:val="24"/>
        </w:rPr>
        <w:t>项目进行了采购。经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杭州市规划和自然资源局余杭分局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sz w:val="24"/>
        </w:rPr>
      </w:pPr>
      <w:bookmarkStart w:id="410" w:name="_Toc28855"/>
      <w:bookmarkStart w:id="411" w:name="_Toc22967"/>
      <w:bookmarkStart w:id="412" w:name="_Toc15367"/>
      <w:bookmarkStart w:id="413" w:name="_Toc19273"/>
      <w:bookmarkStart w:id="414" w:name="_Toc20421"/>
      <w:r>
        <w:rPr>
          <w:rFonts w:hint="eastAsia" w:ascii="宋体" w:hAnsi="宋体" w:cs="宋体"/>
          <w:b/>
          <w:sz w:val="24"/>
        </w:rPr>
        <w:t>1.1 合同组成部分</w:t>
      </w:r>
      <w:bookmarkEnd w:id="410"/>
      <w:bookmarkEnd w:id="411"/>
      <w:bookmarkEnd w:id="412"/>
      <w:bookmarkEnd w:id="413"/>
      <w:bookmarkEnd w:id="414"/>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15" w:name="_Toc2918"/>
      <w:bookmarkStart w:id="416" w:name="_Toc6773"/>
      <w:bookmarkStart w:id="417" w:name="_Toc22185"/>
      <w:bookmarkStart w:id="418" w:name="_Toc6311"/>
      <w:bookmarkStart w:id="419" w:name="_Toc18585"/>
      <w:r>
        <w:rPr>
          <w:rFonts w:hint="eastAsia" w:ascii="宋体" w:hAnsi="宋体" w:cs="宋体"/>
          <w:b/>
          <w:sz w:val="24"/>
        </w:rPr>
        <w:t>1.2 标的</w:t>
      </w:r>
      <w:bookmarkEnd w:id="415"/>
      <w:bookmarkEnd w:id="416"/>
      <w:bookmarkEnd w:id="417"/>
      <w:bookmarkEnd w:id="418"/>
      <w:bookmarkEnd w:id="419"/>
    </w:p>
    <w:p>
      <w:pPr>
        <w:spacing w:line="560" w:lineRule="exact"/>
        <w:ind w:firstLine="480" w:firstLineChars="200"/>
        <w:rPr>
          <w:rFonts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20" w:name="_Toc21124"/>
      <w:bookmarkStart w:id="421" w:name="_Toc1386"/>
      <w:bookmarkStart w:id="422" w:name="_Toc4929"/>
      <w:bookmarkStart w:id="423" w:name="_Toc5635"/>
      <w:bookmarkStart w:id="424" w:name="_Toc13918"/>
      <w:r>
        <w:rPr>
          <w:rFonts w:hint="eastAsia" w:ascii="宋体" w:hAnsi="宋体" w:cs="宋体"/>
          <w:b/>
          <w:sz w:val="24"/>
        </w:rPr>
        <w:t>1.3 价款</w:t>
      </w:r>
      <w:bookmarkEnd w:id="420"/>
      <w:bookmarkEnd w:id="421"/>
      <w:bookmarkEnd w:id="422"/>
      <w:bookmarkEnd w:id="423"/>
      <w:bookmarkEnd w:id="424"/>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pPr>
              <w:pStyle w:val="11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pPr>
              <w:pStyle w:val="116"/>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Ansi="宋体" w:cs="宋体"/>
                <w:sz w:val="24"/>
                <w:szCs w:val="24"/>
              </w:rPr>
            </w:pPr>
          </w:p>
        </w:tc>
        <w:tc>
          <w:tcPr>
            <w:tcW w:w="3402" w:type="dxa"/>
            <w:vAlign w:val="center"/>
          </w:tcPr>
          <w:p>
            <w:pPr>
              <w:pStyle w:val="116"/>
              <w:spacing w:line="560" w:lineRule="exact"/>
              <w:ind w:firstLine="200"/>
              <w:jc w:val="center"/>
              <w:rPr>
                <w:rFonts w:hAnsi="宋体" w:cs="宋体"/>
                <w:sz w:val="24"/>
                <w:szCs w:val="24"/>
              </w:rPr>
            </w:pPr>
          </w:p>
        </w:tc>
        <w:tc>
          <w:tcPr>
            <w:tcW w:w="2552" w:type="dxa"/>
            <w:vAlign w:val="center"/>
          </w:tcPr>
          <w:p>
            <w:pPr>
              <w:pStyle w:val="116"/>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Ansi="宋体" w:cs="宋体"/>
                <w:sz w:val="24"/>
                <w:szCs w:val="24"/>
              </w:rPr>
            </w:pPr>
          </w:p>
        </w:tc>
        <w:tc>
          <w:tcPr>
            <w:tcW w:w="3402" w:type="dxa"/>
            <w:vAlign w:val="center"/>
          </w:tcPr>
          <w:p>
            <w:pPr>
              <w:pStyle w:val="116"/>
              <w:spacing w:line="560" w:lineRule="exact"/>
              <w:ind w:firstLine="200"/>
              <w:jc w:val="center"/>
              <w:rPr>
                <w:rFonts w:hAnsi="宋体" w:cs="宋体"/>
                <w:sz w:val="24"/>
                <w:szCs w:val="24"/>
              </w:rPr>
            </w:pPr>
          </w:p>
        </w:tc>
        <w:tc>
          <w:tcPr>
            <w:tcW w:w="2552" w:type="dxa"/>
            <w:vAlign w:val="center"/>
          </w:tcPr>
          <w:p>
            <w:pPr>
              <w:pStyle w:val="116"/>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Ansi="宋体" w:cs="宋体"/>
                <w:sz w:val="24"/>
                <w:szCs w:val="24"/>
              </w:rPr>
            </w:pPr>
          </w:p>
        </w:tc>
        <w:tc>
          <w:tcPr>
            <w:tcW w:w="3402" w:type="dxa"/>
            <w:vAlign w:val="center"/>
          </w:tcPr>
          <w:p>
            <w:pPr>
              <w:pStyle w:val="116"/>
              <w:spacing w:line="560" w:lineRule="exact"/>
              <w:ind w:firstLine="200"/>
              <w:jc w:val="center"/>
              <w:rPr>
                <w:rFonts w:hAnsi="宋体" w:cs="宋体"/>
                <w:sz w:val="24"/>
                <w:szCs w:val="24"/>
              </w:rPr>
            </w:pPr>
          </w:p>
        </w:tc>
        <w:tc>
          <w:tcPr>
            <w:tcW w:w="2552" w:type="dxa"/>
            <w:vAlign w:val="center"/>
          </w:tcPr>
          <w:p>
            <w:pPr>
              <w:pStyle w:val="116"/>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Ansi="宋体" w:cs="宋体"/>
                <w:sz w:val="24"/>
                <w:szCs w:val="24"/>
              </w:rPr>
            </w:pPr>
          </w:p>
        </w:tc>
        <w:tc>
          <w:tcPr>
            <w:tcW w:w="3402" w:type="dxa"/>
            <w:vAlign w:val="center"/>
          </w:tcPr>
          <w:p>
            <w:pPr>
              <w:pStyle w:val="116"/>
              <w:spacing w:line="560" w:lineRule="exact"/>
              <w:ind w:firstLine="200"/>
              <w:jc w:val="center"/>
              <w:rPr>
                <w:rFonts w:hAnsi="宋体" w:cs="宋体"/>
                <w:sz w:val="24"/>
                <w:szCs w:val="24"/>
              </w:rPr>
            </w:pPr>
          </w:p>
        </w:tc>
        <w:tc>
          <w:tcPr>
            <w:tcW w:w="2552" w:type="dxa"/>
            <w:vAlign w:val="center"/>
          </w:tcPr>
          <w:p>
            <w:pPr>
              <w:pStyle w:val="116"/>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6"/>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pPr>
              <w:pStyle w:val="116"/>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25" w:name="_Toc26916"/>
      <w:bookmarkStart w:id="426" w:name="_Toc3654"/>
      <w:bookmarkStart w:id="427" w:name="_Toc14993"/>
      <w:bookmarkStart w:id="428" w:name="_Toc30506"/>
      <w:bookmarkStart w:id="429" w:name="_Toc30158"/>
      <w:r>
        <w:rPr>
          <w:rFonts w:hint="eastAsia" w:ascii="宋体" w:hAnsi="宋体" w:cs="宋体"/>
          <w:b/>
          <w:sz w:val="24"/>
        </w:rPr>
        <w:t>1.4 付款方式和发票开具方式</w:t>
      </w:r>
      <w:bookmarkEnd w:id="425"/>
      <w:bookmarkEnd w:id="426"/>
      <w:bookmarkEnd w:id="427"/>
      <w:bookmarkEnd w:id="428"/>
      <w:bookmarkEnd w:id="429"/>
    </w:p>
    <w:p>
      <w:pPr>
        <w:pStyle w:val="625"/>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 合同预付款比例为合同金额的40％；项目完成并通过验收后支付合同剩余款项。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 xml:space="preserve">    详见采购文件采购需求内容，最终以合同签订内容为准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30" w:name="_Toc11108"/>
      <w:bookmarkStart w:id="431" w:name="_Toc31421"/>
      <w:bookmarkStart w:id="432" w:name="_Toc3625"/>
      <w:bookmarkStart w:id="433" w:name="_Toc8772"/>
      <w:bookmarkStart w:id="434" w:name="_Toc4760"/>
      <w:r>
        <w:rPr>
          <w:rFonts w:hint="eastAsia" w:ascii="宋体" w:hAnsi="宋体" w:cs="宋体"/>
          <w:b/>
          <w:sz w:val="24"/>
        </w:rPr>
        <w:t>1.5 履行期限、地点和方式</w:t>
      </w:r>
      <w:bookmarkEnd w:id="430"/>
      <w:bookmarkEnd w:id="431"/>
      <w:bookmarkEnd w:id="432"/>
      <w:bookmarkEnd w:id="433"/>
      <w:bookmarkEnd w:id="434"/>
    </w:p>
    <w:p>
      <w:pPr>
        <w:spacing w:line="560" w:lineRule="exact"/>
        <w:ind w:firstLine="480" w:firstLineChars="200"/>
        <w:rPr>
          <w:rFonts w:ascii="宋体" w:hAnsi="宋体" w:cs="宋体"/>
          <w:sz w:val="24"/>
          <w:u w:val="single"/>
        </w:rPr>
      </w:pPr>
      <w:r>
        <w:rPr>
          <w:rFonts w:hint="eastAsia" w:ascii="宋体" w:hAnsi="宋体" w:cs="宋体"/>
          <w:sz w:val="24"/>
        </w:rPr>
        <w:t>1.5.1 履行期限：</w:t>
      </w:r>
      <w:r>
        <w:rPr>
          <w:rFonts w:hint="eastAsia" w:ascii="宋体" w:hAnsi="宋体" w:cs="宋体"/>
          <w:b/>
          <w:i/>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履行地点：</w:t>
      </w:r>
      <w:r>
        <w:rPr>
          <w:rFonts w:hint="eastAsia" w:ascii="宋体" w:hAnsi="宋体" w:cs="宋体"/>
          <w:b/>
          <w:i/>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履行方式：</w:t>
      </w:r>
      <w:r>
        <w:rPr>
          <w:rFonts w:hint="eastAsia" w:ascii="宋体" w:hAnsi="宋体" w:cs="宋体"/>
          <w:b/>
          <w:i/>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sz w:val="24"/>
          <w:u w:val="single"/>
        </w:rPr>
      </w:pPr>
      <w:bookmarkStart w:id="435" w:name="_Toc3079"/>
      <w:bookmarkStart w:id="436" w:name="_Toc24662"/>
      <w:bookmarkStart w:id="437" w:name="_Toc2375"/>
      <w:bookmarkStart w:id="438" w:name="_Toc5698"/>
      <w:bookmarkStart w:id="439" w:name="_Toc8586"/>
      <w:r>
        <w:rPr>
          <w:rFonts w:hint="eastAsia" w:ascii="宋体" w:hAnsi="宋体" w:cs="宋体"/>
          <w:b/>
          <w:sz w:val="24"/>
        </w:rPr>
        <w:t>1.6 违约责任</w:t>
      </w:r>
      <w:bookmarkEnd w:id="435"/>
      <w:bookmarkEnd w:id="436"/>
      <w:bookmarkEnd w:id="437"/>
      <w:bookmarkEnd w:id="438"/>
      <w:bookmarkEnd w:id="439"/>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cs="宋体"/>
        </w:rPr>
      </w:pPr>
      <w:r>
        <w:rPr>
          <w:rFonts w:hint="eastAsia" w:ascii="宋体" w:hAnsi="宋体" w:cs="宋体"/>
          <w:sz w:val="24"/>
        </w:rPr>
        <w:t>1.6.7违约责任另有约定的，从其约定。</w:t>
      </w:r>
    </w:p>
    <w:p>
      <w:pPr>
        <w:spacing w:line="560" w:lineRule="exact"/>
        <w:ind w:firstLine="482" w:firstLineChars="200"/>
        <w:outlineLvl w:val="0"/>
        <w:rPr>
          <w:rFonts w:ascii="宋体" w:hAnsi="宋体" w:cs="宋体"/>
          <w:b/>
          <w:sz w:val="24"/>
        </w:rPr>
      </w:pPr>
      <w:bookmarkStart w:id="440" w:name="_Toc26807"/>
      <w:bookmarkStart w:id="441" w:name="_Toc18683"/>
      <w:bookmarkStart w:id="442" w:name="_Toc30329"/>
      <w:bookmarkStart w:id="443" w:name="_Toc9497"/>
      <w:bookmarkStart w:id="444" w:name="_Toc32454"/>
      <w:r>
        <w:rPr>
          <w:rFonts w:hint="eastAsia" w:ascii="宋体" w:hAnsi="宋体" w:cs="宋体"/>
          <w:b/>
          <w:sz w:val="24"/>
        </w:rPr>
        <w:t>1.7 合同争议的解决</w:t>
      </w:r>
      <w:bookmarkEnd w:id="440"/>
      <w:bookmarkEnd w:id="441"/>
      <w:bookmarkEnd w:id="442"/>
      <w:bookmarkEnd w:id="443"/>
      <w:bookmarkEnd w:id="44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1.7.2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 xml:space="preserve"> 杭州市余杭区 </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 xml:space="preserve">  余杭区 </w:t>
      </w:r>
      <w:r>
        <w:rPr>
          <w:rFonts w:hint="eastAsia" w:ascii="宋体" w:hAnsi="宋体" w:cs="宋体"/>
          <w:sz w:val="24"/>
        </w:rPr>
        <w:t>人民法院起诉。</w:t>
      </w:r>
    </w:p>
    <w:p>
      <w:pPr>
        <w:spacing w:line="560" w:lineRule="exact"/>
        <w:ind w:firstLine="241" w:firstLineChars="100"/>
        <w:outlineLvl w:val="0"/>
        <w:rPr>
          <w:rFonts w:ascii="宋体" w:hAnsi="宋体" w:cs="宋体"/>
          <w:b/>
          <w:sz w:val="24"/>
        </w:rPr>
      </w:pPr>
      <w:bookmarkStart w:id="445" w:name="_Toc26227"/>
      <w:bookmarkStart w:id="446" w:name="_Toc15827"/>
      <w:bookmarkStart w:id="447" w:name="_Toc16417"/>
      <w:bookmarkStart w:id="448" w:name="_Toc12273"/>
      <w:bookmarkStart w:id="449" w:name="_Toc23784"/>
      <w:r>
        <w:rPr>
          <w:rFonts w:hint="eastAsia" w:ascii="宋体" w:hAnsi="宋体" w:cs="宋体"/>
          <w:b/>
          <w:sz w:val="24"/>
        </w:rPr>
        <w:t>1.8 合同生效</w:t>
      </w:r>
      <w:bookmarkEnd w:id="445"/>
      <w:bookmarkEnd w:id="446"/>
      <w:bookmarkEnd w:id="447"/>
      <w:bookmarkEnd w:id="448"/>
      <w:bookmarkEnd w:id="449"/>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autoSpaceDE w:val="0"/>
        <w:autoSpaceDN w:val="0"/>
        <w:spacing w:line="560" w:lineRule="exact"/>
        <w:jc w:val="left"/>
        <w:rPr>
          <w:rFonts w:ascii="宋体" w:hAnsi="宋体" w:cs="宋体"/>
          <w:sz w:val="24"/>
        </w:rPr>
      </w:pPr>
      <w:r>
        <w:rPr>
          <w:rFonts w:hint="eastAsia" w:ascii="宋体" w:hAnsi="宋体" w:cs="宋体"/>
          <w:b w:val="0"/>
          <w:kern w:val="2"/>
          <w:sz w:val="24"/>
          <w:szCs w:val="24"/>
        </w:rPr>
        <w:t>日期：</w:t>
      </w:r>
      <w:r>
        <w:rPr>
          <w:rFonts w:hint="eastAsia" w:ascii="宋体" w:hAnsi="宋体" w:cs="宋体"/>
          <w:sz w:val="24"/>
        </w:rPr>
        <w:t xml:space="preserve">                                   日期：</w:t>
      </w:r>
    </w:p>
    <w:p>
      <w:pPr>
        <w:autoSpaceDE w:val="0"/>
        <w:autoSpaceDN w:val="0"/>
        <w:spacing w:line="560" w:lineRule="exact"/>
        <w:jc w:val="left"/>
        <w:outlineLvl w:val="9"/>
        <w:rPr>
          <w:rFonts w:ascii="宋体" w:hAnsi="宋体" w:cs="宋体"/>
          <w:b w:val="0"/>
          <w:kern w:val="2"/>
          <w:sz w:val="24"/>
          <w:szCs w:val="24"/>
        </w:r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资格文件部分(封面）</w:t>
      </w:r>
    </w:p>
    <w:p>
      <w:pPr>
        <w:spacing w:line="360" w:lineRule="auto"/>
        <w:jc w:val="center"/>
        <w:outlineLvl w:val="0"/>
        <w:rPr>
          <w:rFonts w:ascii="宋体" w:hAnsi="宋体" w:cs="宋体"/>
          <w:b/>
          <w:kern w:val="0"/>
          <w:sz w:val="36"/>
          <w:szCs w:val="36"/>
        </w:rPr>
      </w:pPr>
    </w:p>
    <w:p>
      <w:pPr>
        <w:shd w:val="clear" w:color="auto" w:fill="FFFFFF"/>
        <w:snapToGrid w:val="0"/>
        <w:spacing w:line="360" w:lineRule="auto"/>
        <w:jc w:val="center"/>
        <w:outlineLvl w:val="0"/>
        <w:rPr>
          <w:rFonts w:ascii="宋体" w:hAnsi="宋体" w:cs="宋体"/>
          <w:b/>
          <w:bCs/>
          <w:color w:val="000000"/>
          <w:sz w:val="44"/>
          <w:szCs w:val="44"/>
        </w:rPr>
      </w:pPr>
      <w:r>
        <w:rPr>
          <w:rFonts w:hint="eastAsia" w:ascii="宋体" w:hAnsi="宋体" w:cs="宋体"/>
          <w:b/>
          <w:bCs/>
          <w:color w:val="000000"/>
          <w:sz w:val="44"/>
          <w:szCs w:val="44"/>
        </w:rPr>
        <w:t>（项目名称）</w:t>
      </w:r>
    </w:p>
    <w:p>
      <w:pPr>
        <w:shd w:val="clear" w:color="auto" w:fill="FFFFFF"/>
        <w:snapToGrid w:val="0"/>
        <w:spacing w:line="360" w:lineRule="auto"/>
        <w:jc w:val="center"/>
        <w:outlineLvl w:val="0"/>
        <w:rPr>
          <w:rFonts w:ascii="宋体" w:hAnsi="宋体" w:cs="宋体"/>
          <w:b/>
          <w:bCs/>
          <w:color w:val="000000"/>
          <w:sz w:val="52"/>
          <w:szCs w:val="52"/>
        </w:rPr>
      </w:pPr>
      <w:r>
        <w:rPr>
          <w:rFonts w:hint="eastAsia" w:ascii="宋体" w:hAnsi="宋体" w:cs="宋体"/>
          <w:b/>
          <w:bCs/>
          <w:color w:val="000000"/>
          <w:sz w:val="52"/>
          <w:szCs w:val="52"/>
        </w:rPr>
        <w:t>资  格  文  件</w:t>
      </w:r>
    </w:p>
    <w:p>
      <w:pPr>
        <w:widowControl/>
        <w:spacing w:line="360" w:lineRule="auto"/>
        <w:ind w:right="-2"/>
        <w:jc w:val="center"/>
        <w:outlineLvl w:val="1"/>
        <w:rPr>
          <w:rFonts w:ascii="宋体" w:hAnsi="宋体" w:cs="宋体"/>
          <w:b/>
          <w:color w:val="000000"/>
          <w:sz w:val="32"/>
          <w:szCs w:val="32"/>
        </w:rPr>
      </w:pPr>
      <w:r>
        <w:rPr>
          <w:rFonts w:hint="eastAsia" w:ascii="宋体" w:hAnsi="宋体" w:cs="宋体"/>
          <w:b/>
          <w:color w:val="000000"/>
          <w:sz w:val="32"/>
          <w:szCs w:val="32"/>
        </w:rPr>
        <w:t>（线上电子招投标）</w:t>
      </w:r>
    </w:p>
    <w:p>
      <w:pPr>
        <w:pStyle w:val="626"/>
        <w:spacing w:line="360" w:lineRule="auto"/>
        <w:rPr>
          <w:rFonts w:cs="宋体"/>
          <w:sz w:val="32"/>
          <w:szCs w:val="32"/>
        </w:rPr>
      </w:pPr>
    </w:p>
    <w:p>
      <w:pPr>
        <w:shd w:val="clear" w:color="auto" w:fill="FFFFFF"/>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招标编号：YHZFCG2024-</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件</w:t>
      </w:r>
    </w:p>
    <w:p>
      <w:pPr>
        <w:snapToGrid w:val="0"/>
        <w:spacing w:line="360" w:lineRule="auto"/>
        <w:ind w:firstLine="1680" w:firstLineChars="600"/>
        <w:rPr>
          <w:rFonts w:ascii="宋体" w:hAnsi="宋体" w:cs="宋体"/>
          <w:color w:val="000000"/>
          <w:sz w:val="28"/>
          <w:szCs w:val="28"/>
        </w:rPr>
      </w:pPr>
    </w:p>
    <w:p>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投标人全称：（单位公章或电子公章）</w:t>
      </w:r>
    </w:p>
    <w:p>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pPr>
        <w:pStyle w:val="3"/>
        <w:snapToGrid w:val="0"/>
        <w:rPr>
          <w:rFonts w:ascii="宋体" w:hAnsi="宋体" w:cs="宋体"/>
          <w:color w:val="000000"/>
          <w:sz w:val="32"/>
          <w:szCs w:val="32"/>
        </w:rPr>
        <w:sectPr>
          <w:footerReference r:id="rId16" w:type="default"/>
          <w:pgSz w:w="11906" w:h="16838"/>
          <w:pgMar w:top="993" w:right="1474" w:bottom="1134" w:left="1474" w:header="851" w:footer="641" w:gutter="0"/>
          <w:pgNumType w:fmt="numberInDash"/>
          <w:cols w:space="720" w:num="1"/>
          <w:docGrid w:type="lines" w:linePitch="315"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 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宋体"/>
          <w:sz w:val="24"/>
        </w:rPr>
        <w:t>提供法人或者其他组织机构的营业执照（扫描件或复印件加盖公章）或事业法人登记证书或其他工商等登记证明材料………………………………………（页码）</w:t>
      </w:r>
    </w:p>
    <w:p>
      <w:pPr>
        <w:snapToGrid w:val="0"/>
        <w:spacing w:line="360" w:lineRule="auto"/>
        <w:rPr>
          <w:rFonts w:ascii="宋体" w:hAnsi="宋体" w:cs="宋体"/>
          <w:sz w:val="24"/>
        </w:rPr>
      </w:pPr>
      <w:r>
        <w:rPr>
          <w:rFonts w:hint="eastAsia" w:ascii="宋体" w:hAnsi="宋体" w:cs="宋体"/>
          <w:snapToGrid w:val="0"/>
          <w:kern w:val="28"/>
          <w:sz w:val="24"/>
          <w:szCs w:val="20"/>
        </w:rPr>
        <w:t>（3）联合协议（如有）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（4）落实政府采购政策需满足的资格要求………………………………（页码）</w:t>
      </w:r>
    </w:p>
    <w:p>
      <w:pPr>
        <w:snapToGrid w:val="0"/>
        <w:spacing w:line="360" w:lineRule="auto"/>
        <w:rPr>
          <w:rFonts w:ascii="宋体" w:hAnsi="宋体" w:cs="宋体"/>
          <w:sz w:val="24"/>
        </w:rPr>
      </w:pPr>
      <w:r>
        <w:rPr>
          <w:rFonts w:hint="eastAsia" w:ascii="宋体" w:hAnsi="宋体" w:cs="宋体"/>
          <w:sz w:val="24"/>
        </w:rPr>
        <w:t>（5）本项目的特定资格要求………………………………………………（页码）</w:t>
      </w:r>
    </w:p>
    <w:p>
      <w:pPr>
        <w:widowControl/>
        <w:snapToGrid w:val="0"/>
        <w:spacing w:line="360" w:lineRule="auto"/>
        <w:jc w:val="left"/>
        <w:rPr>
          <w:rFonts w:ascii="宋体" w:hAnsi="宋体" w:cs="宋体"/>
          <w:color w:val="000000"/>
          <w:kern w:val="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pStyle w:val="65"/>
        <w:ind w:firstLine="480"/>
        <w:rPr>
          <w:rFonts w:cs="宋体"/>
          <w:color w:val="000000"/>
          <w:sz w:val="24"/>
        </w:rPr>
      </w:pPr>
    </w:p>
    <w:p>
      <w:pPr>
        <w:pStyle w:val="24"/>
        <w:rPr>
          <w:rFonts w:hAnsi="宋体" w:cs="宋体"/>
        </w:rPr>
      </w:pPr>
    </w:p>
    <w:p>
      <w:pPr>
        <w:rPr>
          <w:rFonts w:ascii="宋体" w:hAnsi="宋体" w:cs="宋体"/>
        </w:rPr>
      </w:pPr>
    </w:p>
    <w:p>
      <w:pPr>
        <w:pStyle w:val="65"/>
        <w:ind w:firstLine="420"/>
        <w:rPr>
          <w:rFonts w:cs="宋体"/>
        </w:rPr>
      </w:pPr>
    </w:p>
    <w:p>
      <w:pPr>
        <w:pStyle w:val="24"/>
        <w:rPr>
          <w:rFonts w:hAnsi="宋体" w:cs="宋体"/>
        </w:rPr>
      </w:pPr>
    </w:p>
    <w:p>
      <w:pPr>
        <w:rPr>
          <w:rFonts w:ascii="宋体" w:hAnsi="宋体" w:cs="宋体"/>
        </w:rPr>
      </w:pPr>
    </w:p>
    <w:p>
      <w:pPr>
        <w:pStyle w:val="65"/>
        <w:ind w:firstLine="420"/>
        <w:rPr>
          <w:rFonts w:cs="宋体"/>
        </w:rPr>
      </w:pPr>
    </w:p>
    <w:p>
      <w:pPr>
        <w:pStyle w:val="24"/>
        <w:rPr>
          <w:rFonts w:hAnsi="宋体" w:cs="宋体"/>
        </w:rPr>
      </w:pPr>
    </w:p>
    <w:p>
      <w:pPr>
        <w:rPr>
          <w:rFonts w:ascii="宋体" w:hAnsi="宋体" w:cs="宋体"/>
        </w:rPr>
      </w:pPr>
    </w:p>
    <w:p>
      <w:pPr>
        <w:pStyle w:val="626"/>
        <w:rPr>
          <w:rFonts w:cs="宋体"/>
        </w:rPr>
      </w:pPr>
    </w:p>
    <w:p>
      <w:pPr>
        <w:pStyle w:val="626"/>
        <w:rPr>
          <w:rFonts w:cs="宋体"/>
        </w:rPr>
      </w:pPr>
    </w:p>
    <w:p>
      <w:pPr>
        <w:pStyle w:val="626"/>
        <w:rPr>
          <w:rFonts w:cs="宋体"/>
        </w:rPr>
      </w:pPr>
    </w:p>
    <w:p>
      <w:pPr>
        <w:pStyle w:val="626"/>
        <w:rPr>
          <w:rFonts w:cs="宋体"/>
        </w:rPr>
      </w:pPr>
    </w:p>
    <w:p>
      <w:pPr>
        <w:pStyle w:val="626"/>
        <w:rPr>
          <w:rFonts w:cs="宋体"/>
        </w:rPr>
      </w:pPr>
    </w:p>
    <w:p>
      <w:pPr>
        <w:pStyle w:val="626"/>
        <w:rPr>
          <w:rFonts w:cs="宋体"/>
        </w:rPr>
      </w:pPr>
    </w:p>
    <w:p>
      <w:pPr>
        <w:pStyle w:val="626"/>
        <w:rPr>
          <w:rFonts w:cs="宋体"/>
        </w:rPr>
      </w:pPr>
    </w:p>
    <w:p>
      <w:pPr>
        <w:pStyle w:val="626"/>
        <w:rPr>
          <w:rFonts w:cs="宋体"/>
        </w:rPr>
      </w:pPr>
    </w:p>
    <w:p>
      <w:pPr>
        <w:pStyle w:val="626"/>
        <w:rPr>
          <w:rFonts w:cs="宋体"/>
        </w:rPr>
      </w:pPr>
    </w:p>
    <w:p>
      <w:pPr>
        <w:pStyle w:val="626"/>
        <w:rPr>
          <w:rFonts w:cs="宋体"/>
        </w:rPr>
      </w:pPr>
    </w:p>
    <w:p>
      <w:pPr>
        <w:pStyle w:val="626"/>
        <w:rPr>
          <w:rFonts w:cs="宋体"/>
        </w:rPr>
      </w:pPr>
    </w:p>
    <w:p>
      <w:pPr>
        <w:pStyle w:val="626"/>
        <w:rPr>
          <w:rFonts w:cs="宋体"/>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我方参与杭州余杭塘河（余杭段）沿线区域提升规划及重点区段更新设计【招标编号：（采购编号）】政府采购活动，郑重承诺：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pStyle w:val="65"/>
        <w:ind w:firstLine="420"/>
        <w:rPr>
          <w:rFonts w:cs="宋体"/>
        </w:rPr>
      </w:pPr>
    </w:p>
    <w:p>
      <w:pPr>
        <w:snapToGrid w:val="0"/>
        <w:spacing w:line="360" w:lineRule="auto"/>
        <w:ind w:right="480"/>
        <w:jc w:val="center"/>
        <w:rPr>
          <w:rFonts w:ascii="宋体" w:hAnsi="宋体" w:cs="宋体"/>
          <w:b/>
          <w:kern w:val="0"/>
          <w:sz w:val="32"/>
          <w:szCs w:val="32"/>
        </w:rPr>
      </w:pPr>
    </w:p>
    <w:p>
      <w:pPr>
        <w:pStyle w:val="626"/>
        <w:rPr>
          <w:rFonts w:cs="宋体"/>
          <w:b/>
          <w:sz w:val="32"/>
          <w:szCs w:val="32"/>
        </w:rPr>
      </w:pPr>
    </w:p>
    <w:p>
      <w:pPr>
        <w:pStyle w:val="2"/>
        <w:rPr>
          <w:rFonts w:ascii="宋体" w:hAnsi="宋体" w:eastAsia="宋体" w:cs="宋体"/>
          <w:b/>
          <w:kern w:val="0"/>
          <w:lang w:val="en-US"/>
        </w:rPr>
      </w:pPr>
      <w:r>
        <w:rPr>
          <w:rFonts w:hint="eastAsia" w:ascii="宋体" w:hAnsi="宋体" w:eastAsia="宋体" w:cs="宋体"/>
          <w:b/>
          <w:kern w:val="0"/>
          <w:lang w:val="en-US"/>
        </w:rPr>
        <w:t>二、提供法人或者其他组织机构的营业执照（扫描件或复印件加盖公章）或事业法人登记证书或其他工商等登记证明材料</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rPr>
          <w:rFonts w:ascii="宋体" w:hAnsi="宋体" w:eastAsia="宋体" w:cs="宋体"/>
        </w:rPr>
      </w:pPr>
    </w:p>
    <w:p>
      <w:pPr>
        <w:rPr>
          <w:rFonts w:ascii="宋体" w:hAnsi="宋体" w:cs="宋体"/>
        </w:rPr>
      </w:pPr>
    </w:p>
    <w:p>
      <w:pPr>
        <w:widowControl/>
        <w:adjustRightInd/>
        <w:jc w:val="center"/>
        <w:rPr>
          <w:rFonts w:ascii="宋体" w:hAnsi="宋体" w:cs="宋体"/>
          <w:b/>
          <w:kern w:val="0"/>
          <w:sz w:val="32"/>
          <w:szCs w:val="32"/>
        </w:rPr>
      </w:pPr>
      <w:r>
        <w:rPr>
          <w:rFonts w:hint="eastAsia" w:ascii="宋体" w:hAnsi="宋体" w:cs="宋体"/>
          <w:b/>
          <w:kern w:val="0"/>
          <w:sz w:val="32"/>
          <w:szCs w:val="32"/>
        </w:rPr>
        <w:t>三、联合协议（如果有）</w:t>
      </w:r>
    </w:p>
    <w:p>
      <w:pPr>
        <w:widowControl/>
        <w:adjustRightInd/>
        <w:jc w:val="left"/>
        <w:rPr>
          <w:rFonts w:ascii="宋体" w:hAnsi="宋体" w:cs="宋体"/>
          <w:b/>
          <w:color w:val="FF0000"/>
          <w:kern w:val="0"/>
          <w:sz w:val="32"/>
          <w:szCs w:val="32"/>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rPr>
          <w:rFonts w:ascii="宋体" w:hAnsi="宋体" w:eastAsia="宋体" w:cs="宋体"/>
          <w:b/>
          <w:kern w:val="0"/>
        </w:rPr>
      </w:pPr>
    </w:p>
    <w:p>
      <w:pPr>
        <w:rPr>
          <w:rFonts w:ascii="宋体" w:hAnsi="宋体" w:cs="宋体"/>
          <w:b/>
          <w:kern w:val="0"/>
          <w:sz w:val="32"/>
          <w:szCs w:val="32"/>
        </w:rPr>
      </w:pPr>
    </w:p>
    <w:p>
      <w:pPr>
        <w:pStyle w:val="2"/>
        <w:rPr>
          <w:rFonts w:ascii="宋体" w:hAnsi="宋体" w:eastAsia="宋体" w:cs="宋体"/>
          <w:b/>
          <w:kern w:val="0"/>
        </w:rPr>
      </w:pPr>
    </w:p>
    <w:p>
      <w:pPr>
        <w:rPr>
          <w:rFonts w:ascii="宋体" w:hAnsi="宋体" w:cs="宋体"/>
          <w:b/>
          <w:kern w:val="0"/>
          <w:sz w:val="32"/>
          <w:szCs w:val="32"/>
        </w:rPr>
      </w:pPr>
    </w:p>
    <w:p>
      <w:pPr>
        <w:pStyle w:val="2"/>
        <w:rPr>
          <w:rFonts w:ascii="宋体" w:hAnsi="宋体" w:eastAsia="宋体" w:cs="宋体"/>
          <w:b/>
          <w:kern w:val="0"/>
        </w:rPr>
      </w:pPr>
    </w:p>
    <w:p>
      <w:pPr>
        <w:rPr>
          <w:rFonts w:ascii="宋体" w:hAnsi="宋体" w:cs="宋体"/>
          <w:b/>
          <w:kern w:val="0"/>
          <w:sz w:val="32"/>
          <w:szCs w:val="32"/>
        </w:rPr>
      </w:pPr>
    </w:p>
    <w:p>
      <w:pPr>
        <w:pStyle w:val="2"/>
        <w:rPr>
          <w:rFonts w:ascii="宋体" w:hAnsi="宋体" w:eastAsia="宋体" w:cs="宋体"/>
          <w:b/>
          <w:kern w:val="0"/>
        </w:rPr>
      </w:pPr>
    </w:p>
    <w:p>
      <w:pPr>
        <w:rPr>
          <w:rFonts w:ascii="宋体" w:hAnsi="宋体" w:cs="宋体"/>
          <w:b/>
          <w:kern w:val="0"/>
          <w:sz w:val="32"/>
          <w:szCs w:val="32"/>
        </w:rPr>
      </w:pPr>
    </w:p>
    <w:p>
      <w:pPr>
        <w:numPr>
          <w:ilvl w:val="255"/>
          <w:numId w:val="0"/>
        </w:numPr>
        <w:snapToGrid w:val="0"/>
        <w:spacing w:line="360" w:lineRule="auto"/>
        <w:ind w:right="480" w:firstLine="1285" w:firstLineChars="400"/>
        <w:jc w:val="both"/>
        <w:rPr>
          <w:rFonts w:ascii="宋体" w:hAnsi="宋体" w:cs="宋体"/>
          <w:b/>
          <w:kern w:val="0"/>
          <w:sz w:val="32"/>
          <w:szCs w:val="32"/>
        </w:rPr>
      </w:pPr>
      <w:r>
        <w:rPr>
          <w:rFonts w:hint="eastAsia" w:ascii="宋体" w:hAnsi="宋体" w:cs="宋体"/>
          <w:b/>
          <w:kern w:val="0"/>
          <w:sz w:val="32"/>
          <w:szCs w:val="32"/>
        </w:rPr>
        <w:t>四、落实政府采购政策需满足的资格要求</w:t>
      </w:r>
    </w:p>
    <w:p>
      <w:pPr>
        <w:pStyle w:val="23"/>
        <w:numPr>
          <w:ilvl w:val="255"/>
          <w:numId w:val="0"/>
        </w:numPr>
      </w:pPr>
    </w:p>
    <w:p>
      <w:pPr>
        <w:spacing w:line="360" w:lineRule="auto"/>
        <w:ind w:firstLine="480" w:firstLineChars="200"/>
        <w:rPr>
          <w:rFonts w:ascii="宋体" w:hAnsi="宋体" w:cs="宋体"/>
          <w:sz w:val="24"/>
        </w:rPr>
      </w:pPr>
      <w:r>
        <w:rPr>
          <w:rFonts w:hint="eastAsia" w:ascii="宋体" w:hAnsi="宋体" w:cs="宋体"/>
          <w:sz w:val="24"/>
        </w:rPr>
        <w:t>（根据招标公告落实政府采购政策需满足的资格要求选择提供相应的材料）</w:t>
      </w:r>
    </w:p>
    <w:p>
      <w:pPr>
        <w:spacing w:line="360" w:lineRule="auto"/>
        <w:ind w:firstLine="482" w:firstLineChars="200"/>
        <w:rPr>
          <w:rFonts w:ascii="宋体" w:hAnsi="宋体" w:cs="宋体"/>
          <w:b/>
          <w:bCs/>
          <w:snapToGrid w:val="0"/>
          <w:kern w:val="28"/>
          <w:sz w:val="24"/>
        </w:rPr>
      </w:pPr>
      <w:r>
        <w:rPr>
          <w:rFonts w:hint="eastAsia" w:ascii="宋体" w:hAnsi="宋体" w:cs="宋体"/>
          <w:b/>
          <w:sz w:val="24"/>
        </w:rPr>
        <w:t>A</w:t>
      </w:r>
      <w:r>
        <w:rPr>
          <w:rFonts w:hint="eastAsia" w:ascii="宋体" w:hAnsi="宋体" w:cs="宋体"/>
          <w:sz w:val="24"/>
        </w:rPr>
        <w:t>.</w:t>
      </w:r>
      <w:r>
        <w:rPr>
          <w:rFonts w:hint="eastAsia" w:ascii="宋体" w:hAnsi="宋体" w:cs="宋体"/>
          <w:b/>
          <w:bCs/>
          <w:sz w:val="24"/>
        </w:rPr>
        <w:t>落实政府采购政策需满足的资格要求：本项目非专门面向中小企业采购</w:t>
      </w:r>
      <w:r>
        <w:rPr>
          <w:rFonts w:hint="eastAsia" w:ascii="宋体" w:hAnsi="宋体" w:cs="宋体"/>
          <w:sz w:val="24"/>
        </w:rPr>
        <w:t>。</w:t>
      </w:r>
    </w:p>
    <w:p>
      <w:pPr>
        <w:spacing w:line="360" w:lineRule="auto"/>
        <w:ind w:firstLine="480" w:firstLineChars="200"/>
        <w:rPr>
          <w:rFonts w:ascii="宋体" w:hAnsi="宋体" w:cs="宋体"/>
          <w:b/>
          <w:bCs/>
          <w:kern w:val="0"/>
          <w:sz w:val="24"/>
        </w:rPr>
      </w:pPr>
      <w:r>
        <w:rPr>
          <w:rFonts w:hint="eastAsia" w:ascii="宋体" w:hAnsi="宋体" w:cs="宋体"/>
          <w:kern w:val="0"/>
          <w:sz w:val="24"/>
        </w:rPr>
        <w:t>本项目</w:t>
      </w:r>
      <w:r>
        <w:rPr>
          <w:rFonts w:hint="eastAsia" w:ascii="宋体" w:hAnsi="宋体" w:cs="宋体"/>
          <w:b/>
          <w:bCs/>
          <w:kern w:val="0"/>
          <w:sz w:val="24"/>
        </w:rPr>
        <w:t>符合《政府采购促进中小企业发展管理办法》第六条第三、按照本办法规定预留采购份额无法确保充分供应、充分竞争，或者存在可能影响政府采购目标实现的情形款之规定，不专门面向中小企业预留采购份额。但为保证中小企业预留采购份额，本项目要求以联合体形式参加，提供联合协议和中小企业声明函，联合协议中小企业合同金额应当达到</w:t>
      </w:r>
      <w:r>
        <w:rPr>
          <w:rFonts w:hint="eastAsia" w:ascii="宋体" w:hAnsi="宋体" w:cs="宋体"/>
          <w:b/>
          <w:bCs/>
          <w:kern w:val="0"/>
          <w:sz w:val="24"/>
          <w:u w:val="single"/>
        </w:rPr>
        <w:t>40</w:t>
      </w:r>
      <w:r>
        <w:rPr>
          <w:rFonts w:hint="eastAsia" w:ascii="宋体" w:hAnsi="宋体" w:cs="宋体"/>
          <w:b/>
          <w:bCs/>
          <w:kern w:val="0"/>
          <w:sz w:val="24"/>
        </w:rPr>
        <w:t>%或以上; 如果供应商本身提供所有标的均由中小企业承建或承接，视同符合了资格条件</w:t>
      </w:r>
      <w:r>
        <w:rPr>
          <w:rFonts w:hint="eastAsia" w:ascii="宋体" w:hAnsi="宋体" w:cs="宋体"/>
          <w:kern w:val="0"/>
          <w:sz w:val="24"/>
        </w:rPr>
        <w:t>，无需再与其他</w:t>
      </w:r>
      <w:r>
        <w:rPr>
          <w:rFonts w:hint="eastAsia" w:ascii="宋体" w:hAnsi="宋体" w:cs="宋体"/>
          <w:b/>
          <w:bCs/>
          <w:kern w:val="0"/>
          <w:sz w:val="24"/>
        </w:rPr>
        <w:t>中小</w:t>
      </w:r>
      <w:r>
        <w:rPr>
          <w:rFonts w:hint="eastAsia" w:ascii="宋体" w:hAnsi="宋体" w:cs="宋体"/>
          <w:kern w:val="0"/>
          <w:sz w:val="24"/>
        </w:rPr>
        <w:t>企业组成联合体参加政府采购活动，无需提供联合协议；</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要求以联合体形式参加的，提供联合协议（附件5）和中小企业声明函（附件7），联合协议中小微企业合同金额应当达到招标公告载明的比例；如果供应商本身提供所有标的均由小微企业承接的，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视同符合了资格条件，无需再与其他小微企业组成联合体参加政府采购活动，无需提供联合协议。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pStyle w:val="2"/>
        <w:rPr>
          <w:rFonts w:ascii="宋体" w:hAnsi="宋体" w:eastAsia="宋体" w:cs="宋体"/>
          <w:b/>
          <w:kern w:val="0"/>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 xml:space="preserve">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 xml:space="preserve">，属于 </w:t>
      </w:r>
      <w:r>
        <w:rPr>
          <w:rFonts w:hint="eastAsia" w:ascii="宋体" w:hAnsi="宋体" w:cs="宋体"/>
          <w:sz w:val="24"/>
          <w:u w:val="single"/>
        </w:rPr>
        <w:t xml:space="preserve">（其他未列明行业）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 xml:space="preserve">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五、本项目的特定资格要求</w:t>
      </w:r>
    </w:p>
    <w:p>
      <w:pPr>
        <w:rPr>
          <w:rFonts w:ascii="宋体" w:hAnsi="宋体" w:cs="宋体"/>
        </w:rPr>
      </w:pPr>
    </w:p>
    <w:p>
      <w:pPr>
        <w:spacing w:line="360" w:lineRule="auto"/>
        <w:ind w:firstLine="482" w:firstLineChars="200"/>
        <w:rPr>
          <w:rFonts w:ascii="宋体" w:hAnsi="宋体" w:cs="宋体"/>
          <w:b/>
          <w:bCs/>
          <w:sz w:val="24"/>
        </w:rPr>
      </w:pPr>
      <w:r>
        <w:rPr>
          <w:rFonts w:hint="eastAsia" w:ascii="宋体" w:hAnsi="宋体" w:cs="宋体"/>
          <w:b/>
          <w:bCs/>
          <w:sz w:val="24"/>
        </w:rPr>
        <w:t>本项目的特定资格要求：具备乙级及以上城乡规划编制资质；提供资质证书扫描件或复印件加盖投标人公章。</w:t>
      </w:r>
    </w:p>
    <w:p>
      <w:pPr>
        <w:pStyle w:val="23"/>
        <w:rPr>
          <w:rFonts w:hAnsi="宋体" w:cs="宋体"/>
          <w:b/>
          <w:bCs/>
        </w:rPr>
      </w:pPr>
    </w:p>
    <w:p>
      <w:pPr>
        <w:pStyle w:val="24"/>
        <w:rPr>
          <w:rFonts w:hAnsi="宋体" w:cs="宋体"/>
          <w:b/>
          <w:bCs/>
        </w:rPr>
      </w:pPr>
    </w:p>
    <w:p>
      <w:pPr>
        <w:pStyle w:val="25"/>
        <w:rPr>
          <w:rFonts w:ascii="宋体" w:hAnsi="宋体" w:cs="宋体"/>
          <w:b/>
          <w:bCs/>
          <w:sz w:val="24"/>
        </w:rPr>
      </w:pPr>
    </w:p>
    <w:p>
      <w:pPr>
        <w:rPr>
          <w:rFonts w:ascii="宋体" w:hAnsi="宋体" w:cs="宋体"/>
          <w:b/>
          <w:bCs/>
          <w:sz w:val="24"/>
        </w:rPr>
      </w:pPr>
    </w:p>
    <w:p>
      <w:pPr>
        <w:pStyle w:val="23"/>
        <w:rPr>
          <w:rFonts w:hAnsi="宋体" w:cs="宋体"/>
          <w:b/>
          <w:bCs/>
        </w:rPr>
      </w:pPr>
    </w:p>
    <w:p>
      <w:pPr>
        <w:pStyle w:val="24"/>
        <w:rPr>
          <w:rFonts w:hAnsi="宋体" w:cs="宋体"/>
          <w:b/>
          <w:bCs/>
        </w:rPr>
      </w:pPr>
    </w:p>
    <w:p>
      <w:pPr>
        <w:pStyle w:val="25"/>
        <w:rPr>
          <w:rFonts w:ascii="宋体" w:hAnsi="宋体" w:cs="宋体"/>
          <w:b/>
          <w:bCs/>
          <w:sz w:val="24"/>
        </w:rPr>
      </w:pPr>
    </w:p>
    <w:p>
      <w:pPr>
        <w:rPr>
          <w:rFonts w:ascii="宋体" w:hAnsi="宋体" w:cs="宋体"/>
          <w:b/>
          <w:bCs/>
          <w:sz w:val="24"/>
        </w:rPr>
      </w:pPr>
    </w:p>
    <w:p>
      <w:pPr>
        <w:pStyle w:val="23"/>
        <w:rPr>
          <w:rFonts w:hAnsi="宋体" w:cs="宋体"/>
          <w:b/>
          <w:bCs/>
        </w:rPr>
      </w:pPr>
    </w:p>
    <w:p>
      <w:pPr>
        <w:pStyle w:val="24"/>
        <w:rPr>
          <w:rFonts w:hAnsi="宋体" w:cs="宋体"/>
          <w:b/>
          <w:bCs/>
        </w:rPr>
      </w:pPr>
    </w:p>
    <w:p>
      <w:pPr>
        <w:pStyle w:val="25"/>
        <w:rPr>
          <w:rFonts w:ascii="宋体" w:hAnsi="宋体" w:cs="宋体"/>
          <w:b/>
          <w:bCs/>
          <w:sz w:val="24"/>
        </w:rPr>
      </w:pPr>
    </w:p>
    <w:p>
      <w:pPr>
        <w:rPr>
          <w:rFonts w:ascii="宋体" w:hAnsi="宋体" w:cs="宋体"/>
          <w:b/>
          <w:bCs/>
          <w:sz w:val="24"/>
        </w:rPr>
      </w:pPr>
    </w:p>
    <w:p>
      <w:pPr>
        <w:pStyle w:val="23"/>
        <w:rPr>
          <w:rFonts w:hAnsi="宋体" w:cs="宋体"/>
          <w:b/>
          <w:bCs/>
        </w:rPr>
      </w:pPr>
    </w:p>
    <w:p>
      <w:pPr>
        <w:pStyle w:val="24"/>
        <w:rPr>
          <w:rFonts w:hAnsi="宋体" w:cs="宋体"/>
          <w:b/>
          <w:bCs/>
        </w:rPr>
      </w:pPr>
    </w:p>
    <w:p>
      <w:pPr>
        <w:pStyle w:val="25"/>
        <w:rPr>
          <w:rFonts w:ascii="宋体" w:hAnsi="宋体" w:cs="宋体"/>
          <w:b/>
          <w:bCs/>
          <w:sz w:val="24"/>
        </w:rPr>
      </w:pPr>
    </w:p>
    <w:p>
      <w:pPr>
        <w:rPr>
          <w:rFonts w:ascii="宋体" w:hAnsi="宋体" w:cs="宋体"/>
          <w:b/>
          <w:bCs/>
          <w:sz w:val="24"/>
        </w:rPr>
      </w:pPr>
    </w:p>
    <w:p>
      <w:pPr>
        <w:pStyle w:val="23"/>
        <w:rPr>
          <w:rFonts w:hAnsi="宋体" w:cs="宋体"/>
          <w:b/>
          <w:bCs/>
        </w:rPr>
      </w:pPr>
    </w:p>
    <w:p>
      <w:pPr>
        <w:pStyle w:val="24"/>
        <w:rPr>
          <w:rFonts w:hAnsi="宋体" w:cs="宋体"/>
          <w:b/>
          <w:bCs/>
        </w:rPr>
      </w:pPr>
    </w:p>
    <w:p>
      <w:pPr>
        <w:pStyle w:val="25"/>
        <w:rPr>
          <w:rFonts w:ascii="宋体" w:hAnsi="宋体" w:cs="宋体"/>
          <w:b/>
          <w:bCs/>
          <w:sz w:val="24"/>
        </w:rPr>
      </w:pPr>
    </w:p>
    <w:p>
      <w:pPr>
        <w:rPr>
          <w:rFonts w:ascii="宋体" w:hAnsi="宋体" w:cs="宋体"/>
          <w:b/>
          <w:bCs/>
          <w:sz w:val="24"/>
        </w:rPr>
      </w:pPr>
    </w:p>
    <w:p>
      <w:pPr>
        <w:pStyle w:val="23"/>
        <w:rPr>
          <w:rFonts w:hAnsi="宋体" w:cs="宋体"/>
          <w:b/>
          <w:bCs/>
        </w:rPr>
      </w:pPr>
    </w:p>
    <w:p>
      <w:pPr>
        <w:pStyle w:val="24"/>
        <w:rPr>
          <w:rFonts w:hAnsi="宋体" w:cs="宋体"/>
          <w:b/>
          <w:bCs/>
        </w:rPr>
      </w:pPr>
    </w:p>
    <w:p>
      <w:pPr>
        <w:rPr>
          <w:rFonts w:ascii="宋体" w:hAnsi="宋体" w:cs="宋体"/>
          <w:b/>
          <w:bCs/>
          <w:sz w:val="24"/>
        </w:rPr>
      </w:pPr>
    </w:p>
    <w:p>
      <w:pPr>
        <w:pStyle w:val="23"/>
        <w:rPr>
          <w:rFonts w:hAnsi="宋体" w:cs="宋体"/>
          <w:b/>
          <w:bCs/>
        </w:rPr>
      </w:pPr>
    </w:p>
    <w:p>
      <w:pPr>
        <w:spacing w:line="360" w:lineRule="auto"/>
        <w:ind w:right="420" w:firstLine="2209" w:firstLineChars="500"/>
        <w:rPr>
          <w:rFonts w:ascii="宋体" w:hAnsi="宋体" w:cs="宋体"/>
          <w:b/>
          <w:kern w:val="0"/>
          <w:sz w:val="44"/>
          <w:szCs w:val="44"/>
        </w:rPr>
      </w:pPr>
      <w:r>
        <w:rPr>
          <w:rFonts w:hint="eastAsia" w:ascii="宋体" w:hAnsi="宋体" w:cs="宋体"/>
          <w:b/>
          <w:kern w:val="0"/>
          <w:sz w:val="44"/>
          <w:szCs w:val="44"/>
        </w:rPr>
        <w:t>商务技术文件部分（封面）</w:t>
      </w:r>
    </w:p>
    <w:p>
      <w:pPr>
        <w:spacing w:line="360" w:lineRule="auto"/>
        <w:jc w:val="center"/>
        <w:outlineLvl w:val="0"/>
        <w:rPr>
          <w:rFonts w:ascii="宋体" w:hAnsi="宋体" w:cs="宋体"/>
          <w:b/>
          <w:kern w:val="0"/>
          <w:sz w:val="24"/>
        </w:rPr>
      </w:pPr>
    </w:p>
    <w:p>
      <w:pPr>
        <w:shd w:val="clear" w:color="auto" w:fill="FFFFFF"/>
        <w:snapToGrid w:val="0"/>
        <w:spacing w:line="360" w:lineRule="auto"/>
        <w:jc w:val="center"/>
        <w:outlineLvl w:val="0"/>
        <w:rPr>
          <w:rFonts w:ascii="宋体" w:hAnsi="宋体" w:cs="宋体"/>
          <w:b/>
          <w:bCs/>
          <w:color w:val="000000"/>
          <w:sz w:val="32"/>
          <w:szCs w:val="32"/>
        </w:rPr>
      </w:pPr>
      <w:r>
        <w:rPr>
          <w:rFonts w:hint="eastAsia" w:ascii="宋体" w:hAnsi="宋体" w:cs="宋体"/>
          <w:b/>
          <w:bCs/>
          <w:color w:val="000000"/>
          <w:sz w:val="32"/>
          <w:szCs w:val="32"/>
        </w:rPr>
        <w:t>（项目名称）</w:t>
      </w:r>
    </w:p>
    <w:p>
      <w:pPr>
        <w:pStyle w:val="26"/>
        <w:spacing w:line="360" w:lineRule="auto"/>
        <w:rPr>
          <w:rFonts w:cs="宋体"/>
        </w:rPr>
      </w:pPr>
    </w:p>
    <w:p>
      <w:pPr>
        <w:shd w:val="clear" w:color="auto" w:fill="FFFFFF"/>
        <w:snapToGrid w:val="0"/>
        <w:spacing w:line="360" w:lineRule="auto"/>
        <w:jc w:val="center"/>
        <w:outlineLvl w:val="0"/>
        <w:rPr>
          <w:rFonts w:ascii="宋体" w:hAnsi="宋体" w:cs="宋体"/>
          <w:b/>
          <w:bCs/>
          <w:color w:val="000000"/>
          <w:sz w:val="52"/>
          <w:szCs w:val="52"/>
        </w:rPr>
      </w:pPr>
      <w:bookmarkStart w:id="450" w:name="_Toc17190"/>
      <w:r>
        <w:rPr>
          <w:rFonts w:hint="eastAsia" w:ascii="宋体" w:hAnsi="宋体" w:cs="宋体"/>
          <w:b/>
          <w:bCs/>
          <w:color w:val="000000"/>
          <w:sz w:val="52"/>
          <w:szCs w:val="52"/>
        </w:rPr>
        <w:t>商 务 技 术 文 件</w:t>
      </w:r>
      <w:bookmarkEnd w:id="450"/>
    </w:p>
    <w:p>
      <w:pPr>
        <w:widowControl/>
        <w:spacing w:line="360" w:lineRule="auto"/>
        <w:ind w:right="-2"/>
        <w:jc w:val="center"/>
        <w:outlineLvl w:val="1"/>
        <w:rPr>
          <w:rFonts w:ascii="宋体" w:hAnsi="宋体" w:cs="宋体"/>
          <w:b/>
          <w:color w:val="000000"/>
          <w:sz w:val="36"/>
          <w:szCs w:val="36"/>
        </w:rPr>
      </w:pPr>
      <w:bookmarkStart w:id="451" w:name="_Toc27078"/>
      <w:r>
        <w:rPr>
          <w:rFonts w:hint="eastAsia" w:ascii="宋体" w:hAnsi="宋体" w:cs="宋体"/>
          <w:b/>
          <w:color w:val="000000"/>
          <w:sz w:val="36"/>
          <w:szCs w:val="36"/>
        </w:rPr>
        <w:t>（线上电子招投标）</w:t>
      </w:r>
      <w:bookmarkEnd w:id="451"/>
    </w:p>
    <w:p>
      <w:pPr>
        <w:pStyle w:val="626"/>
        <w:spacing w:line="360" w:lineRule="auto"/>
        <w:rPr>
          <w:rFonts w:cs="宋体"/>
          <w:sz w:val="36"/>
          <w:szCs w:val="36"/>
        </w:rPr>
      </w:pPr>
    </w:p>
    <w:p>
      <w:pPr>
        <w:shd w:val="clear" w:color="auto" w:fill="FFFFFF"/>
        <w:snapToGrid w:val="0"/>
        <w:spacing w:line="360" w:lineRule="auto"/>
        <w:jc w:val="center"/>
        <w:outlineLvl w:val="1"/>
        <w:rPr>
          <w:rFonts w:ascii="宋体" w:hAnsi="宋体" w:cs="宋体"/>
          <w:b/>
          <w:bCs/>
          <w:color w:val="000000"/>
          <w:sz w:val="36"/>
          <w:szCs w:val="36"/>
        </w:rPr>
      </w:pPr>
      <w:bookmarkStart w:id="452" w:name="_Toc28851"/>
      <w:r>
        <w:rPr>
          <w:rFonts w:hint="eastAsia" w:ascii="宋体" w:hAnsi="宋体" w:cs="宋体"/>
          <w:b/>
          <w:bCs/>
          <w:color w:val="000000"/>
          <w:sz w:val="36"/>
          <w:szCs w:val="36"/>
        </w:rPr>
        <w:t xml:space="preserve">  招标编号：</w:t>
      </w:r>
      <w:bookmarkEnd w:id="452"/>
      <w:r>
        <w:rPr>
          <w:rFonts w:hint="eastAsia" w:ascii="宋体" w:hAnsi="宋体" w:cs="宋体"/>
          <w:b/>
          <w:bCs/>
          <w:color w:val="000000"/>
          <w:sz w:val="36"/>
          <w:szCs w:val="36"/>
        </w:rPr>
        <w:t xml:space="preserve">YHZFCG2024- </w:t>
      </w:r>
    </w:p>
    <w:p>
      <w:pPr>
        <w:pStyle w:val="626"/>
        <w:spacing w:line="360" w:lineRule="auto"/>
        <w:rPr>
          <w:rFonts w:cs="宋体"/>
        </w:rPr>
      </w:pP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ascii="宋体" w:hAnsi="宋体" w:cs="宋体"/>
          <w:color w:val="000000"/>
          <w:sz w:val="36"/>
          <w:szCs w:val="36"/>
        </w:rPr>
      </w:pPr>
      <w:r>
        <w:rPr>
          <w:rFonts w:hint="eastAsia" w:ascii="宋体" w:hAnsi="宋体" w:cs="宋体"/>
          <w:color w:val="000000"/>
          <w:sz w:val="72"/>
          <w:szCs w:val="72"/>
        </w:rPr>
        <w:t>件</w:t>
      </w:r>
    </w:p>
    <w:p>
      <w:pPr>
        <w:pStyle w:val="26"/>
        <w:spacing w:line="360" w:lineRule="auto"/>
        <w:rPr>
          <w:rFonts w:cs="宋体"/>
        </w:rPr>
      </w:pPr>
    </w:p>
    <w:p>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投标人全称：（单位公章或电子公章）</w:t>
      </w:r>
    </w:p>
    <w:p>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pPr>
        <w:pStyle w:val="3"/>
        <w:snapToGrid w:val="0"/>
        <w:rPr>
          <w:rFonts w:ascii="宋体" w:hAnsi="宋体" w:cs="宋体"/>
          <w:color w:val="000000"/>
          <w:kern w:val="0"/>
          <w:sz w:val="32"/>
          <w:szCs w:val="32"/>
        </w:rPr>
        <w:sectPr>
          <w:pgSz w:w="11906" w:h="16838"/>
          <w:pgMar w:top="993" w:right="1474" w:bottom="1134" w:left="1474" w:header="851" w:footer="641" w:gutter="0"/>
          <w:pgNumType w:fmt="numberInDash"/>
          <w:cols w:space="720" w:num="1"/>
          <w:docGrid w:type="lines" w:linePitch="315" w:charSpace="0"/>
        </w:sectPr>
      </w:pPr>
    </w:p>
    <w:p>
      <w:pPr>
        <w:pStyle w:val="65"/>
        <w:ind w:firstLine="420"/>
        <w:rPr>
          <w:rFonts w:cs="宋体"/>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 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）关于对招标文件中有关条款的拒绝声明（如果有的话）</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）投标人认为需要提供的与本项目有关的其他文件和说明</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 xml:space="preserve">我方参加你方组织的  </w:t>
      </w:r>
      <w:r>
        <w:rPr>
          <w:rFonts w:hint="eastAsia" w:ascii="宋体" w:hAnsi="宋体" w:cs="宋体"/>
          <w:sz w:val="24"/>
          <w:u w:val="single"/>
        </w:rPr>
        <w:t xml:space="preserve">（项目名称）  </w:t>
      </w:r>
      <w:r>
        <w:rPr>
          <w:rFonts w:hint="eastAsia" w:ascii="宋体" w:hAnsi="宋体" w:cs="宋体"/>
          <w:sz w:val="24"/>
        </w:rPr>
        <w:t>【招标编号：（采购编号）】招标的有关活动，并对此项目进行投标。为此：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53" w:name="_Hlk101257010"/>
      <w:r>
        <w:rPr>
          <w:rFonts w:hint="eastAsia" w:ascii="宋体" w:hAnsi="宋体" w:cs="宋体"/>
          <w:sz w:val="24"/>
        </w:rPr>
        <w:t>（如果有)</w:t>
      </w:r>
      <w:bookmarkEnd w:id="453"/>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0" w:leftChars="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投标人应对投标文件中材料的真实性、合法性负责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kern w:val="0"/>
          <w:sz w:val="24"/>
          <w:u w:val="single"/>
        </w:rPr>
        <w:t xml:space="preserve">  </w:t>
      </w:r>
      <w:r>
        <w:rPr>
          <w:rFonts w:hint="eastAsia" w:ascii="宋体" w:hAnsi="宋体" w:cs="宋体"/>
          <w:sz w:val="24"/>
          <w:u w:val="single"/>
        </w:rPr>
        <w:t>（项目名称）  【</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sz w:val="24"/>
          <w:u w:val="single"/>
        </w:rPr>
        <w:t>（项目名称）</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8"/>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8"/>
              <w:adjustRightInd w:val="0"/>
              <w:spacing w:line="360" w:lineRule="auto"/>
              <w:rPr>
                <w:rFonts w:hAnsi="宋体" w:cs="宋体"/>
                <w:bCs/>
                <w:sz w:val="24"/>
              </w:rPr>
            </w:pPr>
            <w:r>
              <w:rPr>
                <w:rFonts w:hint="eastAsia" w:hAnsi="宋体" w:cs="宋体"/>
                <w:bCs/>
                <w:sz w:val="24"/>
              </w:rPr>
              <w:t>正面：                                 反面：</w:t>
            </w:r>
          </w:p>
          <w:p>
            <w:pPr>
              <w:pStyle w:val="9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6"/>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sz w:val="24"/>
              </w:rPr>
            </w:pPr>
            <w:r>
              <w:rPr>
                <w:rFonts w:hint="eastAsia" w:ascii="宋体" w:hAnsi="宋体" w:cs="宋体"/>
                <w:sz w:val="24"/>
              </w:rPr>
              <w:t>1</w:t>
            </w:r>
          </w:p>
        </w:tc>
        <w:tc>
          <w:tcPr>
            <w:tcW w:w="3873"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sz w:val="24"/>
              </w:rPr>
            </w:pPr>
            <w:r>
              <w:rPr>
                <w:rFonts w:hint="eastAsia" w:ascii="宋体" w:hAnsi="宋体" w:cs="宋体"/>
                <w:sz w:val="24"/>
              </w:rPr>
              <w:t>2</w:t>
            </w:r>
          </w:p>
        </w:tc>
        <w:tc>
          <w:tcPr>
            <w:tcW w:w="3873"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sz w:val="24"/>
              </w:rPr>
            </w:pPr>
            <w:r>
              <w:rPr>
                <w:rFonts w:hint="eastAsia" w:ascii="宋体" w:hAnsi="宋体" w:cs="宋体"/>
                <w:sz w:val="24"/>
              </w:rPr>
              <w:t>3</w:t>
            </w:r>
          </w:p>
        </w:tc>
        <w:tc>
          <w:tcPr>
            <w:tcW w:w="3873"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eastAsia="宋体" w:cs="宋体"/>
          <w:b/>
          <w:kern w:val="0"/>
        </w:rPr>
      </w:pPr>
    </w:p>
    <w:p>
      <w:pPr>
        <w:rPr>
          <w:rFonts w:ascii="宋体" w:hAnsi="宋体" w:cs="宋体"/>
          <w:b/>
          <w:kern w:val="0"/>
        </w:rPr>
      </w:pPr>
    </w:p>
    <w:p>
      <w:pPr>
        <w:pStyle w:val="23"/>
        <w:rPr>
          <w:rFonts w:hAnsi="宋体" w:cs="宋体"/>
          <w:b/>
          <w:kern w:val="0"/>
        </w:rPr>
      </w:pPr>
    </w:p>
    <w:p>
      <w:pPr>
        <w:pStyle w:val="24"/>
        <w:rPr>
          <w:rFonts w:hAnsi="宋体" w:cs="宋体"/>
          <w:b/>
          <w:kern w:val="0"/>
        </w:rPr>
      </w:pPr>
    </w:p>
    <w:p>
      <w:pPr>
        <w:pStyle w:val="25"/>
        <w:rPr>
          <w:rFonts w:ascii="宋体" w:hAnsi="宋体" w:cs="宋体"/>
          <w:b/>
          <w:kern w:val="0"/>
        </w:rPr>
      </w:pPr>
    </w:p>
    <w:p>
      <w:pPr>
        <w:rPr>
          <w:rFonts w:ascii="宋体" w:hAnsi="宋体" w:cs="宋体"/>
          <w:b/>
          <w:kern w:val="0"/>
        </w:rPr>
      </w:pPr>
    </w:p>
    <w:p>
      <w:pPr>
        <w:pStyle w:val="23"/>
        <w:rPr>
          <w:rFonts w:hAnsi="宋体" w:cs="宋体"/>
          <w:b/>
          <w:kern w:val="0"/>
        </w:rPr>
      </w:pPr>
    </w:p>
    <w:p>
      <w:pPr>
        <w:pStyle w:val="24"/>
        <w:rPr>
          <w:rFonts w:hAnsi="宋体" w:cs="宋体"/>
          <w:b/>
          <w:kern w:val="0"/>
        </w:rPr>
      </w:pPr>
    </w:p>
    <w:p>
      <w:pPr>
        <w:pStyle w:val="25"/>
        <w:rPr>
          <w:rFonts w:ascii="宋体" w:hAnsi="宋体" w:cs="宋体"/>
          <w:b/>
          <w:kern w:val="0"/>
        </w:rPr>
      </w:pPr>
    </w:p>
    <w:p>
      <w:pPr>
        <w:rPr>
          <w:rFonts w:ascii="宋体" w:hAnsi="宋体" w:cs="宋体"/>
          <w:b/>
          <w:kern w:val="0"/>
        </w:rPr>
      </w:pPr>
    </w:p>
    <w:p>
      <w:pPr>
        <w:pStyle w:val="23"/>
        <w:rPr>
          <w:rFonts w:hAnsi="宋体" w:cs="宋体"/>
          <w:b/>
          <w:kern w:val="0"/>
        </w:rPr>
      </w:pPr>
    </w:p>
    <w:p>
      <w:pPr>
        <w:pStyle w:val="24"/>
        <w:rPr>
          <w:rFonts w:hAnsi="宋体" w:cs="宋体"/>
          <w:b/>
          <w:kern w:val="0"/>
        </w:rPr>
      </w:pPr>
    </w:p>
    <w:p>
      <w:pPr>
        <w:pStyle w:val="25"/>
        <w:rPr>
          <w:rFonts w:ascii="宋体" w:hAnsi="宋体" w:cs="宋体"/>
          <w:b/>
          <w:kern w:val="0"/>
        </w:rPr>
      </w:pPr>
    </w:p>
    <w:p>
      <w:pPr>
        <w:rPr>
          <w:rFonts w:ascii="宋体" w:hAnsi="宋体" w:cs="宋体"/>
          <w:b/>
          <w:kern w:val="0"/>
        </w:rPr>
      </w:pPr>
    </w:p>
    <w:p>
      <w:pPr>
        <w:pStyle w:val="23"/>
        <w:rPr>
          <w:rFonts w:hAnsi="宋体" w:cs="宋体"/>
          <w:b/>
          <w:kern w:val="0"/>
        </w:rPr>
      </w:pPr>
    </w:p>
    <w:p>
      <w:pPr>
        <w:pStyle w:val="24"/>
        <w:rPr>
          <w:rFonts w:hAnsi="宋体" w:cs="宋体"/>
          <w:b/>
          <w:kern w:val="0"/>
        </w:rPr>
      </w:pPr>
    </w:p>
    <w:p>
      <w:pPr>
        <w:pStyle w:val="25"/>
        <w:rPr>
          <w:rFonts w:ascii="宋体" w:hAnsi="宋体" w:cs="宋体"/>
          <w:b/>
          <w:kern w:val="0"/>
        </w:rPr>
      </w:pPr>
    </w:p>
    <w:p>
      <w:pPr>
        <w:rPr>
          <w:rFonts w:ascii="宋体" w:hAnsi="宋体" w:cs="宋体"/>
          <w:b/>
          <w:kern w:val="0"/>
        </w:rPr>
      </w:pPr>
    </w:p>
    <w:p>
      <w:pPr>
        <w:pStyle w:val="23"/>
        <w:rPr>
          <w:rFonts w:hAnsi="宋体" w:cs="宋体"/>
          <w:b/>
          <w:kern w:val="0"/>
        </w:rPr>
      </w:pPr>
    </w:p>
    <w:p>
      <w:pPr>
        <w:pStyle w:val="24"/>
        <w:rPr>
          <w:rFonts w:hAnsi="宋体" w:cs="宋体"/>
          <w:b/>
          <w:kern w:val="0"/>
        </w:rPr>
      </w:pPr>
    </w:p>
    <w:p>
      <w:pPr>
        <w:pStyle w:val="25"/>
        <w:rPr>
          <w:rFonts w:ascii="宋体" w:hAnsi="宋体" w:cs="宋体"/>
          <w:b/>
          <w:kern w:val="0"/>
        </w:rPr>
      </w:pPr>
    </w:p>
    <w:p>
      <w:pPr>
        <w:rPr>
          <w:rFonts w:ascii="宋体" w:hAnsi="宋体" w:cs="宋体"/>
          <w:b/>
          <w:kern w:val="0"/>
        </w:rPr>
      </w:pPr>
    </w:p>
    <w:p>
      <w:pPr>
        <w:pStyle w:val="23"/>
        <w:rPr>
          <w:rFonts w:hAnsi="宋体" w:cs="宋体"/>
          <w:b/>
          <w:kern w:val="0"/>
        </w:rPr>
      </w:pPr>
    </w:p>
    <w:p>
      <w:pPr>
        <w:pStyle w:val="24"/>
        <w:rPr>
          <w:rFonts w:hAnsi="宋体" w:cs="宋体"/>
          <w:b/>
          <w:kern w:val="0"/>
        </w:rPr>
      </w:pPr>
    </w:p>
    <w:p>
      <w:pPr>
        <w:pStyle w:val="25"/>
      </w:pPr>
    </w:p>
    <w:p>
      <w:pPr>
        <w:rPr>
          <w:rFonts w:ascii="宋体" w:hAnsi="宋体" w:cs="宋体"/>
          <w:b/>
          <w:kern w:val="0"/>
          <w:sz w:val="32"/>
          <w:szCs w:val="32"/>
        </w:rPr>
      </w:pPr>
    </w:p>
    <w:p>
      <w:pPr>
        <w:pStyle w:val="2"/>
        <w:rPr>
          <w:rFonts w:ascii="宋体" w:hAnsi="宋体" w:eastAsia="宋体" w:cs="宋体"/>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75"/>
        <w:gridCol w:w="1475"/>
        <w:gridCol w:w="2299"/>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2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2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2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pStyle w:val="2"/>
        <w:rPr>
          <w:rFonts w:ascii="宋体" w:hAnsi="宋体" w:eastAsia="宋体" w:cs="宋体"/>
          <w:b/>
          <w:kern w:val="0"/>
          <w:lang w:val="en-US"/>
        </w:rPr>
      </w:pPr>
    </w:p>
    <w:p>
      <w:pPr>
        <w:rPr>
          <w:rFonts w:ascii="宋体" w:hAnsi="宋体" w:cs="宋体"/>
          <w:b/>
          <w:kern w:val="0"/>
          <w:sz w:val="32"/>
          <w:szCs w:val="32"/>
        </w:rPr>
      </w:pPr>
    </w:p>
    <w:p>
      <w:pPr>
        <w:pStyle w:val="2"/>
        <w:rPr>
          <w:rFonts w:ascii="宋体" w:hAnsi="宋体" w:eastAsia="宋体" w:cs="宋体"/>
          <w:b/>
          <w:kern w:val="0"/>
          <w:lang w:val="en-US"/>
        </w:rPr>
      </w:pPr>
    </w:p>
    <w:p>
      <w:pPr>
        <w:rPr>
          <w:rFonts w:ascii="宋体" w:hAnsi="宋体" w:cs="宋体"/>
          <w:b/>
          <w:kern w:val="0"/>
          <w:sz w:val="32"/>
          <w:szCs w:val="32"/>
        </w:rPr>
      </w:pPr>
    </w:p>
    <w:p>
      <w:pP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Change w:id="0">
          <w:tblGrid>
            <w:gridCol w:w="959"/>
            <w:gridCol w:w="3683"/>
            <w:gridCol w:w="3546"/>
            <w:gridCol w:w="127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招标文件第三部分采购需求章节及具体内容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pStyle w:val="2"/>
        <w:rPr>
          <w:rFonts w:ascii="宋体" w:hAnsi="宋体" w:eastAsia="宋体" w:cs="宋体"/>
          <w:b/>
          <w:bCs/>
          <w:lang w:val="en-US"/>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rPr>
          <w:rFonts w:ascii="宋体" w:hAnsi="宋体" w:cs="宋体"/>
          <w:b/>
          <w:bCs/>
          <w:sz w:val="32"/>
          <w:szCs w:val="32"/>
        </w:rPr>
      </w:pPr>
    </w:p>
    <w:p>
      <w:pPr>
        <w:pStyle w:val="2"/>
        <w:rPr>
          <w:rFonts w:ascii="宋体" w:hAnsi="宋体" w:eastAsia="宋体" w:cs="宋体"/>
          <w:b/>
          <w:bCs/>
        </w:rPr>
      </w:pPr>
    </w:p>
    <w:p>
      <w:pPr>
        <w:rPr>
          <w:rFonts w:ascii="宋体" w:hAnsi="宋体" w:cs="宋体"/>
          <w:b/>
          <w:bCs/>
          <w:sz w:val="32"/>
          <w:szCs w:val="32"/>
        </w:rPr>
      </w:pPr>
    </w:p>
    <w:p>
      <w:pPr>
        <w:pStyle w:val="2"/>
        <w:rPr>
          <w:rFonts w:ascii="宋体" w:hAnsi="宋体" w:eastAsia="宋体" w:cs="宋体"/>
          <w:b/>
          <w:bCs/>
        </w:rPr>
      </w:pPr>
    </w:p>
    <w:p>
      <w:pPr>
        <w:rPr>
          <w:rFonts w:ascii="宋体" w:hAnsi="宋体" w:cs="宋体"/>
          <w:b/>
          <w:bCs/>
          <w:sz w:val="32"/>
          <w:szCs w:val="32"/>
        </w:rPr>
      </w:pPr>
    </w:p>
    <w:p>
      <w:pPr>
        <w:pStyle w:val="2"/>
        <w:rPr>
          <w:rFonts w:ascii="宋体" w:hAnsi="宋体" w:eastAsia="宋体" w:cs="宋体"/>
          <w:b/>
          <w:bCs/>
        </w:rPr>
      </w:pPr>
    </w:p>
    <w:p>
      <w:pPr>
        <w:rPr>
          <w:rFonts w:ascii="宋体" w:hAnsi="宋体" w:cs="宋体"/>
          <w:b/>
          <w:bCs/>
          <w:sz w:val="32"/>
          <w:szCs w:val="32"/>
        </w:rPr>
      </w:pPr>
    </w:p>
    <w:p>
      <w:pPr>
        <w:pStyle w:val="2"/>
        <w:rPr>
          <w:rFonts w:ascii="宋体" w:hAnsi="宋体" w:eastAsia="宋体" w:cs="宋体"/>
          <w:b/>
          <w:bCs/>
        </w:rPr>
      </w:pPr>
    </w:p>
    <w:p>
      <w:pPr>
        <w:rPr>
          <w:rFonts w:ascii="宋体" w:hAnsi="宋体" w:cs="宋体"/>
          <w:b/>
          <w:bCs/>
          <w:sz w:val="32"/>
          <w:szCs w:val="32"/>
        </w:rPr>
      </w:pPr>
    </w:p>
    <w:p>
      <w:pPr>
        <w:pStyle w:val="2"/>
        <w:rPr>
          <w:rFonts w:ascii="宋体" w:hAnsi="宋体" w:eastAsia="宋体" w:cs="宋体"/>
          <w:b/>
          <w:bCs/>
        </w:rPr>
      </w:pPr>
    </w:p>
    <w:p>
      <w:pPr>
        <w:rPr>
          <w:rFonts w:ascii="宋体" w:hAnsi="宋体" w:cs="宋体"/>
          <w:b/>
          <w:bCs/>
          <w:sz w:val="32"/>
          <w:szCs w:val="32"/>
        </w:rPr>
      </w:pPr>
    </w:p>
    <w:p>
      <w:pPr>
        <w:pStyle w:val="2"/>
        <w:rPr>
          <w:rFonts w:ascii="宋体" w:hAnsi="宋体" w:eastAsia="宋体" w:cs="宋体"/>
          <w:b/>
          <w:bCs/>
        </w:rPr>
      </w:pPr>
    </w:p>
    <w:p>
      <w:pPr>
        <w:rPr>
          <w:rFonts w:ascii="宋体" w:hAnsi="宋体" w:cs="宋体"/>
          <w:b/>
          <w:bCs/>
          <w:sz w:val="32"/>
          <w:szCs w:val="32"/>
        </w:rPr>
      </w:pPr>
      <w:r>
        <w:rPr>
          <w:rFonts w:hint="eastAsia" w:ascii="宋体" w:hAnsi="宋体" w:cs="宋体"/>
          <w:b/>
          <w:bCs/>
          <w:sz w:val="32"/>
          <w:szCs w:val="32"/>
        </w:rPr>
        <w:br w:type="page"/>
      </w:r>
    </w:p>
    <w:p>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979"/>
        <w:snapToGrid w:val="0"/>
        <w:spacing w:before="157" w:after="157"/>
        <w:rPr>
          <w:rFonts w:hAnsi="宋体" w:cs="宋体"/>
          <w:b/>
          <w:sz w:val="28"/>
          <w:szCs w:val="28"/>
        </w:rPr>
      </w:pPr>
      <w:r>
        <w:rPr>
          <w:rFonts w:hint="eastAsia" w:hAnsi="宋体" w:cs="宋体"/>
          <w:b/>
          <w:sz w:val="28"/>
          <w:szCs w:val="28"/>
        </w:rPr>
        <w:t>确认声明书（将以下表格填写完成后，与投标文件同步制作递交）</w:t>
      </w:r>
    </w:p>
    <w:p>
      <w:pPr>
        <w:pStyle w:val="979"/>
        <w:snapToGrid w:val="0"/>
        <w:spacing w:before="157" w:after="157"/>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pPr>
        <w:pStyle w:val="979"/>
        <w:snapToGrid w:val="0"/>
        <w:spacing w:before="157" w:after="157"/>
        <w:jc w:val="center"/>
        <w:rPr>
          <w:rFonts w:hAnsi="宋体" w:cs="宋体"/>
          <w:b/>
          <w:sz w:val="32"/>
          <w:szCs w:val="32"/>
        </w:rPr>
      </w:pPr>
    </w:p>
    <w:p>
      <w:pPr>
        <w:pStyle w:val="979"/>
        <w:snapToGrid w:val="0"/>
        <w:spacing w:before="157" w:after="157"/>
        <w:jc w:val="center"/>
        <w:rPr>
          <w:rFonts w:hAnsi="宋体" w:cs="宋体"/>
          <w:b/>
          <w:sz w:val="32"/>
          <w:szCs w:val="32"/>
        </w:rPr>
      </w:pPr>
      <w:r>
        <w:rPr>
          <w:rFonts w:hint="eastAsia" w:hAnsi="宋体" w:cs="宋体"/>
          <w:b/>
          <w:sz w:val="32"/>
          <w:szCs w:val="32"/>
        </w:rPr>
        <w:t>政府采购活动现场确认声明书</w:t>
      </w:r>
    </w:p>
    <w:p>
      <w:pPr>
        <w:pStyle w:val="979"/>
        <w:snapToGrid w:val="0"/>
        <w:spacing w:before="157" w:after="157"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pPr>
        <w:pStyle w:val="979"/>
        <w:snapToGrid w:val="0"/>
        <w:spacing w:before="157" w:after="157"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）政府采购活动，经与本单位法人代表（负责人）联系确认，现就有关公平竞争事项郑重声明如下： </w:t>
      </w:r>
    </w:p>
    <w:p>
      <w:pPr>
        <w:pStyle w:val="980"/>
        <w:widowControl/>
        <w:numPr>
          <w:ilvl w:val="0"/>
          <w:numId w:val="9"/>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pPr>
        <w:pStyle w:val="980"/>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pPr>
        <w:pStyle w:val="980"/>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980"/>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pPr>
        <w:pStyle w:val="979"/>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pPr>
        <w:pStyle w:val="979"/>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pPr>
        <w:pStyle w:val="979"/>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pPr>
        <w:pStyle w:val="979"/>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pPr>
        <w:pStyle w:val="979"/>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pPr>
        <w:pStyle w:val="979"/>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pPr>
        <w:pStyle w:val="979"/>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pPr>
        <w:pStyle w:val="979"/>
        <w:adjustRightInd/>
        <w:snapToGrid w:val="0"/>
        <w:spacing w:before="157" w:after="157"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pPr>
        <w:pStyle w:val="979"/>
        <w:snapToGrid w:val="0"/>
        <w:spacing w:before="157" w:after="157"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pPr>
        <w:pStyle w:val="980"/>
        <w:widowControl/>
        <w:numPr>
          <w:ilvl w:val="0"/>
          <w:numId w:val="10"/>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980"/>
        <w:widowControl/>
        <w:numPr>
          <w:ilvl w:val="0"/>
          <w:numId w:val="10"/>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pPr>
        <w:pStyle w:val="979"/>
        <w:snapToGrid w:val="0"/>
        <w:spacing w:before="157" w:after="157"/>
        <w:ind w:firstLine="420" w:firstLineChars="200"/>
        <w:rPr>
          <w:rFonts w:hAnsi="宋体" w:cs="宋体"/>
          <w:sz w:val="21"/>
          <w:szCs w:val="21"/>
        </w:rPr>
      </w:pPr>
      <w:r>
        <w:rPr>
          <w:rFonts w:hint="eastAsia" w:hAnsi="宋体" w:cs="宋体"/>
          <w:sz w:val="21"/>
          <w:szCs w:val="21"/>
        </w:rPr>
        <w:t xml:space="preserve">                                          供应商盖章：</w:t>
      </w:r>
    </w:p>
    <w:p>
      <w:pPr>
        <w:pStyle w:val="979"/>
        <w:snapToGrid w:val="0"/>
        <w:spacing w:before="157" w:after="157"/>
        <w:ind w:firstLine="4830" w:firstLineChars="2300"/>
        <w:rPr>
          <w:rFonts w:hAnsi="宋体" w:cs="宋体"/>
          <w:sz w:val="21"/>
          <w:szCs w:val="21"/>
        </w:rPr>
      </w:pPr>
      <w:r>
        <w:rPr>
          <w:rFonts w:hint="eastAsia" w:hAnsi="宋体" w:cs="宋体"/>
          <w:sz w:val="21"/>
          <w:szCs w:val="21"/>
        </w:rPr>
        <w:t>授权委托代表签名：</w:t>
      </w:r>
    </w:p>
    <w:p>
      <w:pPr>
        <w:snapToGrid w:val="0"/>
        <w:spacing w:line="360" w:lineRule="auto"/>
        <w:jc w:val="left"/>
        <w:rPr>
          <w:rFonts w:ascii="宋体" w:hAnsi="宋体" w:cs="宋体"/>
        </w:rPr>
      </w:pPr>
      <w:r>
        <w:rPr>
          <w:rFonts w:hint="eastAsia" w:ascii="宋体" w:hAnsi="宋体" w:cs="宋体"/>
          <w:szCs w:val="21"/>
        </w:rPr>
        <w:t xml:space="preserve">                                               年    月    日</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报价文件部分</w:t>
      </w:r>
      <w:r>
        <w:rPr>
          <w:rFonts w:hint="eastAsia" w:ascii="宋体" w:hAnsi="宋体" w:cs="宋体"/>
          <w:b/>
          <w:bCs/>
          <w:sz w:val="44"/>
          <w:szCs w:val="44"/>
        </w:rPr>
        <w:t>（封面）</w:t>
      </w:r>
    </w:p>
    <w:p>
      <w:pPr>
        <w:spacing w:line="360" w:lineRule="auto"/>
        <w:jc w:val="center"/>
        <w:outlineLvl w:val="0"/>
        <w:rPr>
          <w:rFonts w:ascii="宋体" w:hAnsi="宋体" w:cs="宋体"/>
          <w:b/>
          <w:kern w:val="0"/>
          <w:sz w:val="36"/>
          <w:szCs w:val="36"/>
        </w:rPr>
      </w:pPr>
    </w:p>
    <w:p>
      <w:pPr>
        <w:shd w:val="clear" w:color="auto" w:fill="FFFFFF"/>
        <w:snapToGrid w:val="0"/>
        <w:spacing w:line="360" w:lineRule="auto"/>
        <w:jc w:val="center"/>
        <w:outlineLvl w:val="0"/>
        <w:rPr>
          <w:rFonts w:ascii="宋体" w:hAnsi="宋体" w:cs="宋体"/>
          <w:b/>
          <w:bCs/>
          <w:sz w:val="36"/>
          <w:szCs w:val="36"/>
        </w:rPr>
      </w:pPr>
      <w:r>
        <w:rPr>
          <w:rFonts w:hint="eastAsia" w:ascii="宋体" w:hAnsi="宋体" w:cs="宋体"/>
          <w:b/>
          <w:bCs/>
          <w:sz w:val="36"/>
          <w:szCs w:val="36"/>
        </w:rPr>
        <w:t xml:space="preserve"> （项目名称）</w:t>
      </w:r>
    </w:p>
    <w:p>
      <w:pPr>
        <w:shd w:val="clear" w:color="auto" w:fill="FFFFFF"/>
        <w:snapToGrid w:val="0"/>
        <w:spacing w:line="360" w:lineRule="auto"/>
        <w:jc w:val="center"/>
        <w:outlineLvl w:val="0"/>
        <w:rPr>
          <w:rFonts w:ascii="宋体" w:hAnsi="宋体" w:cs="宋体"/>
          <w:b/>
          <w:bCs/>
          <w:sz w:val="52"/>
          <w:szCs w:val="52"/>
        </w:rPr>
      </w:pPr>
      <w:bookmarkStart w:id="454" w:name="_Toc105"/>
      <w:r>
        <w:rPr>
          <w:rFonts w:hint="eastAsia" w:ascii="宋体" w:hAnsi="宋体" w:cs="宋体"/>
          <w:b/>
          <w:bCs/>
          <w:sz w:val="52"/>
          <w:szCs w:val="52"/>
        </w:rPr>
        <w:t>报 价 文 件</w:t>
      </w:r>
      <w:bookmarkEnd w:id="454"/>
    </w:p>
    <w:p>
      <w:pPr>
        <w:widowControl/>
        <w:spacing w:line="360" w:lineRule="auto"/>
        <w:ind w:right="-2"/>
        <w:jc w:val="center"/>
        <w:outlineLvl w:val="1"/>
        <w:rPr>
          <w:rFonts w:ascii="宋体" w:hAnsi="宋体" w:cs="宋体"/>
          <w:b/>
          <w:sz w:val="36"/>
          <w:szCs w:val="36"/>
        </w:rPr>
      </w:pPr>
      <w:bookmarkStart w:id="455" w:name="_Toc22501"/>
      <w:r>
        <w:rPr>
          <w:rFonts w:hint="eastAsia" w:ascii="宋体" w:hAnsi="宋体" w:cs="宋体"/>
          <w:b/>
          <w:sz w:val="36"/>
          <w:szCs w:val="36"/>
        </w:rPr>
        <w:t>（线上电子招投标）</w:t>
      </w:r>
      <w:bookmarkEnd w:id="455"/>
    </w:p>
    <w:p>
      <w:pPr>
        <w:shd w:val="clear" w:color="auto" w:fill="FFFFFF"/>
        <w:snapToGrid w:val="0"/>
        <w:spacing w:line="360" w:lineRule="auto"/>
        <w:jc w:val="center"/>
        <w:outlineLvl w:val="1"/>
        <w:rPr>
          <w:rFonts w:ascii="宋体" w:hAnsi="宋体" w:cs="宋体"/>
          <w:b/>
          <w:bCs/>
          <w:sz w:val="36"/>
          <w:szCs w:val="36"/>
        </w:rPr>
      </w:pPr>
      <w:bookmarkStart w:id="456" w:name="_Toc13670"/>
    </w:p>
    <w:p>
      <w:pPr>
        <w:shd w:val="clear" w:color="auto" w:fill="FFFFFF"/>
        <w:snapToGrid w:val="0"/>
        <w:spacing w:line="360" w:lineRule="auto"/>
        <w:jc w:val="center"/>
        <w:outlineLvl w:val="1"/>
        <w:rPr>
          <w:rFonts w:ascii="宋体" w:hAnsi="宋体" w:cs="宋体"/>
          <w:b/>
          <w:bCs/>
          <w:sz w:val="36"/>
          <w:szCs w:val="36"/>
        </w:rPr>
      </w:pPr>
      <w:r>
        <w:rPr>
          <w:rFonts w:hint="eastAsia" w:ascii="宋体" w:hAnsi="宋体" w:cs="宋体"/>
          <w:b/>
          <w:bCs/>
          <w:sz w:val="36"/>
          <w:szCs w:val="36"/>
        </w:rPr>
        <w:t xml:space="preserve">  招标编号：</w:t>
      </w:r>
      <w:bookmarkEnd w:id="456"/>
      <w:r>
        <w:rPr>
          <w:rFonts w:hint="eastAsia" w:ascii="宋体" w:hAnsi="宋体" w:cs="宋体"/>
          <w:b/>
          <w:bCs/>
          <w:sz w:val="36"/>
          <w:szCs w:val="36"/>
        </w:rPr>
        <w:t xml:space="preserve">YHZFCG2024- </w:t>
      </w:r>
    </w:p>
    <w:p>
      <w:pPr>
        <w:snapToGrid w:val="0"/>
        <w:spacing w:line="360" w:lineRule="auto"/>
        <w:jc w:val="center"/>
        <w:rPr>
          <w:rFonts w:ascii="宋体" w:hAnsi="宋体" w:cs="宋体"/>
          <w:sz w:val="44"/>
          <w:szCs w:val="44"/>
        </w:rPr>
      </w:pPr>
      <w:r>
        <w:rPr>
          <w:rFonts w:hint="eastAsia" w:ascii="宋体" w:hAnsi="宋体" w:cs="宋体"/>
          <w:sz w:val="44"/>
          <w:szCs w:val="44"/>
        </w:rPr>
        <w:t>投</w:t>
      </w:r>
    </w:p>
    <w:p>
      <w:pPr>
        <w:snapToGrid w:val="0"/>
        <w:spacing w:line="360" w:lineRule="auto"/>
        <w:jc w:val="center"/>
        <w:rPr>
          <w:rFonts w:ascii="宋体" w:hAnsi="宋体" w:cs="宋体"/>
          <w:sz w:val="44"/>
          <w:szCs w:val="44"/>
        </w:rPr>
      </w:pPr>
      <w:r>
        <w:rPr>
          <w:rFonts w:hint="eastAsia" w:ascii="宋体" w:hAnsi="宋体" w:cs="宋体"/>
          <w:sz w:val="44"/>
          <w:szCs w:val="44"/>
        </w:rPr>
        <w:t>标</w:t>
      </w:r>
    </w:p>
    <w:p>
      <w:pPr>
        <w:snapToGrid w:val="0"/>
        <w:spacing w:line="360" w:lineRule="auto"/>
        <w:jc w:val="center"/>
        <w:rPr>
          <w:rFonts w:ascii="宋体" w:hAnsi="宋体" w:cs="宋体"/>
          <w:sz w:val="44"/>
          <w:szCs w:val="44"/>
        </w:rPr>
      </w:pPr>
      <w:r>
        <w:rPr>
          <w:rFonts w:hint="eastAsia" w:ascii="宋体" w:hAnsi="宋体" w:cs="宋体"/>
          <w:sz w:val="44"/>
          <w:szCs w:val="44"/>
        </w:rPr>
        <w:t>文</w:t>
      </w:r>
    </w:p>
    <w:p>
      <w:pPr>
        <w:snapToGrid w:val="0"/>
        <w:spacing w:line="360" w:lineRule="auto"/>
        <w:jc w:val="center"/>
        <w:rPr>
          <w:rFonts w:ascii="宋体" w:hAnsi="宋体" w:cs="宋体"/>
          <w:sz w:val="44"/>
          <w:szCs w:val="44"/>
        </w:rPr>
      </w:pPr>
      <w:r>
        <w:rPr>
          <w:rFonts w:hint="eastAsia" w:ascii="宋体" w:hAnsi="宋体" w:cs="宋体"/>
          <w:sz w:val="44"/>
          <w:szCs w:val="44"/>
        </w:rPr>
        <w:t>件</w:t>
      </w:r>
    </w:p>
    <w:p>
      <w:pPr>
        <w:snapToGrid w:val="0"/>
        <w:spacing w:line="360" w:lineRule="auto"/>
        <w:ind w:firstLine="1680" w:firstLineChars="600"/>
        <w:rPr>
          <w:rFonts w:ascii="宋体" w:hAnsi="宋体" w:cs="宋体"/>
          <w:sz w:val="28"/>
          <w:szCs w:val="28"/>
        </w:rPr>
      </w:pPr>
    </w:p>
    <w:p>
      <w:pPr>
        <w:snapToGrid w:val="0"/>
        <w:spacing w:line="360" w:lineRule="auto"/>
        <w:ind w:firstLine="1680" w:firstLineChars="600"/>
        <w:rPr>
          <w:rFonts w:ascii="宋体" w:hAnsi="宋体" w:cs="宋体"/>
          <w:sz w:val="28"/>
          <w:szCs w:val="28"/>
        </w:rPr>
      </w:pPr>
      <w:r>
        <w:rPr>
          <w:rFonts w:hint="eastAsia" w:ascii="宋体" w:hAnsi="宋体" w:cs="宋体"/>
          <w:sz w:val="28"/>
          <w:szCs w:val="28"/>
        </w:rPr>
        <w:t>投标人全称：（单位公章或电子公章）</w:t>
      </w:r>
    </w:p>
    <w:p>
      <w:pPr>
        <w:snapToGrid w:val="0"/>
        <w:spacing w:line="360" w:lineRule="auto"/>
        <w:ind w:firstLine="1680" w:firstLineChars="600"/>
        <w:rPr>
          <w:rFonts w:ascii="宋体" w:hAnsi="宋体" w:cs="宋体"/>
          <w:sz w:val="28"/>
          <w:szCs w:val="28"/>
        </w:rPr>
      </w:pPr>
      <w:r>
        <w:rPr>
          <w:rFonts w:hint="eastAsia" w:ascii="宋体" w:hAnsi="宋体" w:cs="宋体"/>
          <w:sz w:val="28"/>
          <w:szCs w:val="28"/>
        </w:rPr>
        <w:t>投标人地址：</w:t>
      </w:r>
    </w:p>
    <w:p>
      <w:pPr>
        <w:snapToGrid w:val="0"/>
        <w:spacing w:line="360" w:lineRule="auto"/>
        <w:jc w:val="center"/>
        <w:rPr>
          <w:rFonts w:ascii="宋体" w:hAnsi="宋体" w:cs="宋体"/>
          <w:b/>
          <w:bCs/>
          <w:kern w:val="0"/>
          <w:sz w:val="28"/>
          <w:szCs w:val="28"/>
        </w:rPr>
      </w:pPr>
      <w:r>
        <w:rPr>
          <w:rFonts w:hint="eastAsia" w:ascii="宋体" w:hAnsi="宋体" w:cs="宋体"/>
          <w:sz w:val="28"/>
          <w:szCs w:val="28"/>
        </w:rPr>
        <w:t>年   月   日</w:t>
      </w:r>
    </w:p>
    <w:p>
      <w:pPr>
        <w:pageBreakBefore/>
        <w:shd w:val="clear" w:color="auto" w:fill="FFFFFF"/>
        <w:snapToGrid w:val="0"/>
        <w:spacing w:line="360" w:lineRule="auto"/>
        <w:jc w:val="center"/>
        <w:rPr>
          <w:rFonts w:ascii="宋体" w:hAnsi="宋体" w:cs="宋体"/>
          <w:b/>
          <w:bCs/>
          <w:kern w:val="0"/>
          <w:sz w:val="32"/>
          <w:szCs w:val="32"/>
        </w:rPr>
        <w:sectPr>
          <w:headerReference r:id="rId21" w:type="default"/>
          <w:footerReference r:id="rId22"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pStyle w:val="2"/>
        <w:rPr>
          <w:rFonts w:ascii="宋体" w:hAnsi="宋体" w:eastAsia="宋体" w:cs="宋体"/>
          <w:lang w:val="en-US"/>
        </w:rPr>
      </w:pP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pStyle w:val="387"/>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kern w:val="0"/>
          <w:sz w:val="24"/>
          <w:u w:val="single"/>
        </w:rPr>
        <w:t xml:space="preserve">    </w:t>
      </w:r>
      <w:r>
        <w:rPr>
          <w:rFonts w:hint="eastAsia" w:ascii="宋体" w:hAnsi="宋体" w:cs="宋体"/>
          <w:b/>
          <w:bCs/>
          <w:sz w:val="24"/>
          <w:u w:val="single"/>
        </w:rPr>
        <w:t xml:space="preserve">（项目名称）   </w:t>
      </w:r>
      <w:r>
        <w:rPr>
          <w:rFonts w:hint="eastAsia" w:ascii="宋体" w:hAnsi="宋体" w:cs="宋体"/>
          <w:kern w:val="0"/>
          <w:sz w:val="24"/>
          <w:u w:val="none"/>
          <w:lang w:val="zh-CN"/>
        </w:rPr>
        <w:t>【</w:t>
      </w:r>
      <w:r>
        <w:rPr>
          <w:rFonts w:hint="eastAsia" w:ascii="宋体" w:hAnsi="宋体" w:cs="宋体"/>
          <w:kern w:val="0"/>
          <w:sz w:val="24"/>
          <w:lang w:val="zh-CN"/>
        </w:rPr>
        <w:t>招标编号：</w:t>
      </w:r>
      <w:r>
        <w:rPr>
          <w:rFonts w:hint="eastAsia" w:ascii="宋体" w:hAnsi="宋体" w:cs="宋体"/>
          <w:b/>
          <w:bCs/>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6"/>
        <w:tblW w:w="95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69"/>
        <w:gridCol w:w="2172"/>
        <w:gridCol w:w="2424"/>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369" w:type="dxa"/>
            <w:tcBorders>
              <w:right w:val="single" w:color="auto" w:sz="4" w:space="0"/>
            </w:tcBorders>
            <w:vAlign w:val="center"/>
          </w:tcPr>
          <w:p>
            <w:pPr>
              <w:spacing w:line="360" w:lineRule="auto"/>
              <w:jc w:val="center"/>
              <w:rPr>
                <w:rFonts w:ascii="宋体" w:hAnsi="宋体" w:cs="宋体"/>
                <w:b/>
                <w:bCs/>
                <w:sz w:val="24"/>
                <w:szCs w:val="22"/>
              </w:rPr>
            </w:pPr>
            <w:r>
              <w:rPr>
                <w:rFonts w:hint="eastAsia" w:ascii="宋体" w:hAnsi="宋体" w:cs="宋体"/>
                <w:b/>
                <w:bCs/>
                <w:sz w:val="24"/>
                <w:szCs w:val="22"/>
              </w:rPr>
              <w:t>采购内容</w:t>
            </w:r>
          </w:p>
        </w:tc>
        <w:tc>
          <w:tcPr>
            <w:tcW w:w="2172" w:type="dxa"/>
            <w:tcBorders>
              <w:left w:val="single" w:color="auto" w:sz="4" w:space="0"/>
              <w:right w:val="single" w:color="auto" w:sz="4" w:space="0"/>
            </w:tcBorders>
            <w:vAlign w:val="center"/>
          </w:tcPr>
          <w:p>
            <w:pPr>
              <w:spacing w:line="360" w:lineRule="auto"/>
              <w:jc w:val="center"/>
              <w:rPr>
                <w:rFonts w:ascii="宋体" w:hAnsi="宋体" w:cs="宋体"/>
                <w:b/>
                <w:bCs/>
                <w:sz w:val="24"/>
                <w:szCs w:val="22"/>
              </w:rPr>
            </w:pPr>
            <w:r>
              <w:rPr>
                <w:rFonts w:hint="eastAsia" w:ascii="宋体" w:hAnsi="宋体" w:cs="宋体"/>
                <w:b/>
                <w:bCs/>
                <w:sz w:val="24"/>
                <w:szCs w:val="22"/>
              </w:rPr>
              <w:t>服务期</w:t>
            </w:r>
          </w:p>
        </w:tc>
        <w:tc>
          <w:tcPr>
            <w:tcW w:w="2424" w:type="dxa"/>
            <w:tcBorders>
              <w:left w:val="single" w:color="auto" w:sz="4" w:space="0"/>
              <w:right w:val="single" w:color="auto" w:sz="4" w:space="0"/>
            </w:tcBorders>
            <w:vAlign w:val="center"/>
          </w:tcPr>
          <w:p>
            <w:pPr>
              <w:spacing w:line="360" w:lineRule="auto"/>
              <w:jc w:val="center"/>
              <w:rPr>
                <w:rFonts w:ascii="宋体" w:hAnsi="宋体" w:cs="宋体"/>
                <w:b/>
                <w:bCs/>
                <w:sz w:val="24"/>
                <w:szCs w:val="22"/>
              </w:rPr>
            </w:pPr>
            <w:r>
              <w:rPr>
                <w:rFonts w:hint="eastAsia" w:ascii="宋体" w:hAnsi="宋体" w:cs="宋体"/>
                <w:b/>
                <w:bCs/>
                <w:sz w:val="24"/>
                <w:szCs w:val="22"/>
              </w:rPr>
              <w:t>投标总报价</w:t>
            </w:r>
          </w:p>
        </w:tc>
        <w:tc>
          <w:tcPr>
            <w:tcW w:w="1630" w:type="dxa"/>
            <w:tcBorders>
              <w:left w:val="single" w:color="auto" w:sz="4" w:space="0"/>
              <w:right w:val="single" w:color="auto" w:sz="4" w:space="0"/>
            </w:tcBorders>
            <w:vAlign w:val="center"/>
          </w:tcPr>
          <w:p>
            <w:pPr>
              <w:spacing w:line="360" w:lineRule="auto"/>
              <w:jc w:val="center"/>
              <w:rPr>
                <w:rFonts w:ascii="宋体" w:hAnsi="宋体" w:cs="宋体"/>
                <w:b/>
                <w:bCs/>
                <w:sz w:val="24"/>
                <w:szCs w:val="22"/>
              </w:rPr>
            </w:pPr>
            <w:r>
              <w:rPr>
                <w:rFonts w:hint="eastAsia" w:ascii="宋体" w:hAnsi="宋体" w:cs="宋体"/>
                <w:b/>
                <w:bCs/>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369" w:type="dxa"/>
            <w:tcBorders>
              <w:right w:val="single" w:color="auto" w:sz="4" w:space="0"/>
            </w:tcBorders>
            <w:vAlign w:val="center"/>
          </w:tcPr>
          <w:p>
            <w:pPr>
              <w:spacing w:line="360" w:lineRule="auto"/>
              <w:jc w:val="center"/>
              <w:rPr>
                <w:rFonts w:ascii="宋体" w:hAnsi="宋体" w:cs="宋体"/>
                <w:sz w:val="24"/>
                <w:szCs w:val="22"/>
              </w:rPr>
            </w:pPr>
          </w:p>
        </w:tc>
        <w:tc>
          <w:tcPr>
            <w:tcW w:w="2172" w:type="dxa"/>
            <w:tcBorders>
              <w:left w:val="single" w:color="auto" w:sz="4" w:space="0"/>
              <w:right w:val="single" w:color="auto" w:sz="4" w:space="0"/>
            </w:tcBorders>
            <w:vAlign w:val="center"/>
          </w:tcPr>
          <w:p>
            <w:pPr>
              <w:spacing w:line="360" w:lineRule="auto"/>
              <w:jc w:val="center"/>
              <w:rPr>
                <w:rFonts w:ascii="宋体" w:hAnsi="宋体" w:cs="宋体"/>
                <w:sz w:val="24"/>
                <w:szCs w:val="22"/>
              </w:rPr>
            </w:pPr>
            <w:r>
              <w:rPr>
                <w:rFonts w:hint="eastAsia" w:ascii="宋体" w:hAnsi="宋体" w:cs="宋体"/>
                <w:sz w:val="24"/>
                <w:szCs w:val="22"/>
              </w:rPr>
              <w:t>响应招标文件要求</w:t>
            </w:r>
          </w:p>
        </w:tc>
        <w:tc>
          <w:tcPr>
            <w:tcW w:w="2424" w:type="dxa"/>
            <w:tcBorders>
              <w:left w:val="single" w:color="auto" w:sz="4" w:space="0"/>
              <w:right w:val="single" w:color="auto" w:sz="4" w:space="0"/>
            </w:tcBorders>
            <w:vAlign w:val="center"/>
          </w:tcPr>
          <w:p>
            <w:pPr>
              <w:spacing w:line="360" w:lineRule="auto"/>
              <w:rPr>
                <w:rFonts w:ascii="宋体" w:hAnsi="宋体" w:cs="宋体"/>
                <w:sz w:val="24"/>
                <w:szCs w:val="22"/>
              </w:rPr>
            </w:pPr>
            <w:r>
              <w:rPr>
                <w:rFonts w:hint="eastAsia" w:ascii="宋体" w:hAnsi="宋体" w:cs="宋体"/>
                <w:sz w:val="24"/>
                <w:szCs w:val="22"/>
              </w:rPr>
              <w:t>小写：</w:t>
            </w:r>
            <w:r>
              <w:rPr>
                <w:rFonts w:hint="eastAsia" w:ascii="宋体" w:hAnsi="宋体" w:cs="宋体"/>
                <w:sz w:val="24"/>
                <w:szCs w:val="22"/>
                <w:u w:val="single"/>
              </w:rPr>
              <w:t xml:space="preserve">          </w:t>
            </w:r>
            <w:r>
              <w:rPr>
                <w:rFonts w:hint="eastAsia" w:ascii="宋体" w:hAnsi="宋体" w:cs="宋体"/>
                <w:sz w:val="24"/>
                <w:szCs w:val="22"/>
              </w:rPr>
              <w:t>元；</w:t>
            </w:r>
          </w:p>
          <w:p>
            <w:pPr>
              <w:spacing w:line="360" w:lineRule="auto"/>
              <w:rPr>
                <w:rFonts w:ascii="宋体" w:hAnsi="宋体" w:cs="宋体"/>
              </w:rPr>
            </w:pPr>
            <w:r>
              <w:rPr>
                <w:rFonts w:hint="eastAsia" w:ascii="宋体" w:hAnsi="宋体" w:cs="宋体"/>
                <w:sz w:val="24"/>
                <w:szCs w:val="22"/>
              </w:rPr>
              <w:t>大写：</w:t>
            </w:r>
            <w:r>
              <w:rPr>
                <w:rFonts w:hint="eastAsia" w:ascii="宋体" w:hAnsi="宋体" w:cs="宋体"/>
                <w:sz w:val="24"/>
                <w:szCs w:val="22"/>
                <w:u w:val="single"/>
              </w:rPr>
              <w:t xml:space="preserve">          </w:t>
            </w:r>
            <w:r>
              <w:rPr>
                <w:rFonts w:hint="eastAsia" w:ascii="宋体" w:hAnsi="宋体" w:cs="宋体"/>
                <w:sz w:val="24"/>
                <w:szCs w:val="22"/>
              </w:rPr>
              <w:t>元；</w:t>
            </w:r>
          </w:p>
        </w:tc>
        <w:tc>
          <w:tcPr>
            <w:tcW w:w="1630" w:type="dxa"/>
            <w:tcBorders>
              <w:left w:val="single" w:color="auto" w:sz="4" w:space="0"/>
              <w:right w:val="single" w:color="auto" w:sz="4" w:space="0"/>
            </w:tcBorders>
            <w:vAlign w:val="center"/>
          </w:tcPr>
          <w:p>
            <w:pPr>
              <w:spacing w:line="360" w:lineRule="auto"/>
              <w:rPr>
                <w:rFonts w:ascii="宋体" w:hAnsi="宋体" w:cs="宋体"/>
                <w:sz w:val="24"/>
                <w:szCs w:val="22"/>
              </w:rPr>
            </w:pPr>
            <w:r>
              <w:rPr>
                <w:rFonts w:hint="eastAsia" w:ascii="宋体" w:hAnsi="宋体" w:cs="宋体"/>
                <w:sz w:val="24"/>
                <w:szCs w:val="22"/>
              </w:rPr>
              <w:t>下附：报价各分项报价明细清单；</w:t>
            </w:r>
          </w:p>
        </w:tc>
      </w:tr>
    </w:tbl>
    <w:p>
      <w:pPr>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注：</w:t>
      </w:r>
      <w:r>
        <w:rPr>
          <w:rFonts w:hint="eastAsia" w:ascii="宋体" w:hAnsi="宋体" w:cs="宋体"/>
          <w:b/>
          <w:kern w:val="0"/>
          <w:sz w:val="24"/>
        </w:rPr>
        <w:t>1</w:t>
      </w:r>
      <w:r>
        <w:rPr>
          <w:rFonts w:hint="eastAsia" w:ascii="宋体" w:hAnsi="宋体" w:cs="宋体"/>
          <w:kern w:val="0"/>
          <w:sz w:val="24"/>
          <w:lang w:val="zh-CN"/>
        </w:rPr>
        <w:t>、有关本项目实施所涉及的一切费用均计入报价。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kern w:val="0"/>
          <w:sz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、特别提示：采购机构将对项目名称和项目编号，中标供应商名称、地址和中标金</w:t>
      </w:r>
      <w:r>
        <w:rPr>
          <w:rFonts w:hint="eastAsia" w:ascii="宋体" w:hAnsi="宋体" w:cs="宋体"/>
          <w:kern w:val="0"/>
          <w:sz w:val="24"/>
        </w:rPr>
        <w:t>额，主要中标标的的名称、数量、单价、服务要求等予以公示。</w:t>
      </w:r>
    </w:p>
    <w:p>
      <w:pPr>
        <w:snapToGrid w:val="0"/>
        <w:spacing w:line="360" w:lineRule="auto"/>
        <w:ind w:firstLine="480"/>
        <w:rPr>
          <w:rFonts w:ascii="宋体" w:hAnsi="宋体" w:cs="宋体"/>
          <w:kern w:val="0"/>
          <w:sz w:val="24"/>
        </w:rPr>
      </w:pPr>
      <w:r>
        <w:rPr>
          <w:rFonts w:hint="eastAsia" w:ascii="宋体" w:hAnsi="宋体" w:cs="宋体"/>
          <w:kern w:val="0"/>
          <w:sz w:val="24"/>
        </w:rPr>
        <w:t>注：投标人提供的中小企业声明函内容不实的，属于提供虚假材料谋取中标、成交，依照《中华人民共和国政府采购法》等国家有关规定追究相应责任。</w:t>
      </w:r>
    </w:p>
    <w:p>
      <w:pPr>
        <w:spacing w:line="360" w:lineRule="auto"/>
        <w:rPr>
          <w:rFonts w:ascii="宋体" w:hAnsi="宋体" w:cs="宋体"/>
          <w:b/>
          <w:kern w:val="0"/>
          <w:sz w:val="24"/>
        </w:rPr>
      </w:pPr>
    </w:p>
    <w:p>
      <w:pPr>
        <w:spacing w:line="360" w:lineRule="auto"/>
        <w:ind w:firstLine="480" w:firstLineChars="200"/>
        <w:jc w:val="right"/>
        <w:rPr>
          <w:rFonts w:ascii="宋体" w:hAnsi="宋体" w:cs="宋体"/>
          <w:bCs/>
          <w:kern w:val="0"/>
          <w:sz w:val="24"/>
        </w:rPr>
      </w:pPr>
      <w:r>
        <w:rPr>
          <w:rFonts w:hint="eastAsia" w:ascii="宋体" w:hAnsi="宋体" w:cs="宋体"/>
          <w:bCs/>
          <w:kern w:val="0"/>
          <w:sz w:val="24"/>
        </w:rPr>
        <w:t xml:space="preserve">投标人名称（电子签名）：                                                                                                                                                                                                               </w:t>
      </w:r>
    </w:p>
    <w:p>
      <w:pPr>
        <w:spacing w:line="360" w:lineRule="auto"/>
        <w:ind w:firstLine="480" w:firstLineChars="200"/>
        <w:jc w:val="right"/>
        <w:rPr>
          <w:rFonts w:ascii="宋体" w:hAnsi="宋体" w:cs="宋体"/>
          <w:bCs/>
          <w:kern w:val="0"/>
          <w:sz w:val="24"/>
        </w:rPr>
      </w:pPr>
      <w:r>
        <w:rPr>
          <w:rFonts w:hint="eastAsia" w:ascii="宋体" w:hAnsi="宋体" w:cs="宋体"/>
          <w:bCs/>
          <w:kern w:val="0"/>
          <w:sz w:val="24"/>
        </w:rPr>
        <w:t>日期：   年   月   日</w:t>
      </w:r>
    </w:p>
    <w:p>
      <w:pPr>
        <w:rPr>
          <w:rFonts w:ascii="宋体" w:hAnsi="宋体" w:cs="宋体"/>
        </w:rPr>
      </w:pPr>
      <w:r>
        <w:rPr>
          <w:rFonts w:hint="eastAsia" w:ascii="宋体" w:hAnsi="宋体" w:cs="宋体"/>
        </w:rPr>
        <w:br w:type="page"/>
      </w:r>
    </w:p>
    <w:p>
      <w:pPr>
        <w:rPr>
          <w:rFonts w:ascii="宋体" w:hAnsi="宋体" w:cs="宋体"/>
          <w:b/>
          <w:bCs/>
          <w:kern w:val="0"/>
          <w:sz w:val="24"/>
        </w:rPr>
      </w:pPr>
      <w:r>
        <w:rPr>
          <w:rFonts w:hint="eastAsia" w:ascii="宋体" w:hAnsi="宋体" w:cs="宋体"/>
          <w:b/>
          <w:bCs/>
          <w:kern w:val="0"/>
          <w:sz w:val="24"/>
        </w:rPr>
        <w:t>附：</w:t>
      </w:r>
      <w:r>
        <w:rPr>
          <w:rFonts w:hint="eastAsia" w:ascii="宋体" w:hAnsi="宋体" w:cs="宋体"/>
          <w:sz w:val="24"/>
          <w:szCs w:val="22"/>
        </w:rPr>
        <w:t>报价明细分析清单</w:t>
      </w:r>
    </w:p>
    <w:p>
      <w:pPr>
        <w:pStyle w:val="626"/>
        <w:rPr>
          <w:rFonts w:cs="宋体"/>
          <w:lang w:val="en-US"/>
        </w:rPr>
      </w:pPr>
      <w:r>
        <w:rPr>
          <w:rFonts w:hint="eastAsia" w:cs="宋体"/>
          <w:lang w:val="en-US"/>
        </w:rPr>
        <w:t xml:space="preserve">                  </w:t>
      </w:r>
    </w:p>
    <w:tbl>
      <w:tblPr>
        <w:tblStyle w:val="66"/>
        <w:tblW w:w="941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1"/>
        <w:gridCol w:w="2973"/>
        <w:gridCol w:w="1515"/>
        <w:gridCol w:w="1551"/>
        <w:gridCol w:w="1285"/>
        <w:gridCol w:w="123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4" w:hRule="atLeast"/>
          <w:jc w:val="center"/>
        </w:trPr>
        <w:tc>
          <w:tcPr>
            <w:tcW w:w="861" w:type="dxa"/>
            <w:tcBorders>
              <w:top w:val="single" w:color="auto" w:sz="8" w:space="0"/>
              <w:left w:val="single" w:color="auto" w:sz="8" w:space="0"/>
              <w:bottom w:val="single" w:color="auto" w:sz="2"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序号</w:t>
            </w:r>
          </w:p>
        </w:tc>
        <w:tc>
          <w:tcPr>
            <w:tcW w:w="2973" w:type="dxa"/>
            <w:tcBorders>
              <w:top w:val="single" w:color="auto" w:sz="8" w:space="0"/>
              <w:left w:val="single" w:color="auto" w:sz="2" w:space="0"/>
              <w:bottom w:val="single" w:color="auto" w:sz="2"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分项内容</w:t>
            </w:r>
          </w:p>
        </w:tc>
        <w:tc>
          <w:tcPr>
            <w:tcW w:w="1515"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数量</w:t>
            </w:r>
          </w:p>
        </w:tc>
        <w:tc>
          <w:tcPr>
            <w:tcW w:w="1551"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单价</w:t>
            </w:r>
          </w:p>
        </w:tc>
        <w:tc>
          <w:tcPr>
            <w:tcW w:w="1285"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小计</w:t>
            </w:r>
          </w:p>
        </w:tc>
        <w:tc>
          <w:tcPr>
            <w:tcW w:w="1231" w:type="dxa"/>
            <w:tcBorders>
              <w:top w:val="single" w:color="auto" w:sz="8" w:space="0"/>
              <w:left w:val="single" w:color="auto" w:sz="4" w:space="0"/>
              <w:bottom w:val="single" w:color="auto" w:sz="2" w:space="0"/>
              <w:right w:val="single" w:color="auto" w:sz="8"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861" w:type="dxa"/>
            <w:tcBorders>
              <w:top w:val="single" w:color="auto" w:sz="2"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1</w:t>
            </w:r>
          </w:p>
        </w:tc>
        <w:tc>
          <w:tcPr>
            <w:tcW w:w="2973" w:type="dxa"/>
            <w:tcBorders>
              <w:top w:val="single" w:color="auto" w:sz="2" w:space="0"/>
              <w:left w:val="single" w:color="auto" w:sz="2" w:space="0"/>
              <w:bottom w:val="single" w:color="auto" w:sz="4" w:space="0"/>
              <w:right w:val="single" w:color="auto" w:sz="2" w:space="0"/>
            </w:tcBorders>
            <w:vAlign w:val="center"/>
          </w:tcPr>
          <w:p>
            <w:pPr>
              <w:pStyle w:val="24"/>
              <w:ind w:firstLine="0"/>
              <w:jc w:val="center"/>
              <w:rPr>
                <w:rFonts w:hAnsi="宋体" w:cs="宋体"/>
                <w:b/>
                <w:szCs w:val="21"/>
              </w:rPr>
            </w:pPr>
          </w:p>
        </w:tc>
        <w:tc>
          <w:tcPr>
            <w:tcW w:w="1515" w:type="dxa"/>
            <w:tcBorders>
              <w:top w:val="single" w:color="auto" w:sz="2" w:space="0"/>
              <w:left w:val="single" w:color="auto" w:sz="2" w:space="0"/>
              <w:bottom w:val="single" w:color="auto" w:sz="4" w:space="0"/>
              <w:right w:val="single" w:color="auto" w:sz="4" w:space="0"/>
            </w:tcBorders>
            <w:vAlign w:val="center"/>
          </w:tcPr>
          <w:p>
            <w:pPr>
              <w:pStyle w:val="24"/>
              <w:ind w:firstLine="0"/>
              <w:jc w:val="center"/>
              <w:rPr>
                <w:rFonts w:hAnsi="宋体" w:cs="宋体"/>
                <w:szCs w:val="21"/>
              </w:rPr>
            </w:pPr>
          </w:p>
        </w:tc>
        <w:tc>
          <w:tcPr>
            <w:tcW w:w="1551" w:type="dxa"/>
            <w:tcBorders>
              <w:top w:val="single" w:color="auto" w:sz="2"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85" w:type="dxa"/>
            <w:tcBorders>
              <w:top w:val="single" w:color="auto" w:sz="2"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31" w:type="dxa"/>
            <w:tcBorders>
              <w:top w:val="single" w:color="auto" w:sz="2"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2</w:t>
            </w:r>
          </w:p>
        </w:tc>
        <w:tc>
          <w:tcPr>
            <w:tcW w:w="2973" w:type="dxa"/>
            <w:tcBorders>
              <w:top w:val="single" w:color="auto" w:sz="4" w:space="0"/>
              <w:left w:val="single" w:color="auto" w:sz="2" w:space="0"/>
              <w:bottom w:val="single" w:color="auto" w:sz="4" w:space="0"/>
              <w:right w:val="single" w:color="auto" w:sz="2" w:space="0"/>
            </w:tcBorders>
            <w:vAlign w:val="center"/>
          </w:tcPr>
          <w:p>
            <w:pPr>
              <w:pStyle w:val="24"/>
              <w:ind w:firstLine="0"/>
              <w:jc w:val="center"/>
              <w:rPr>
                <w:rFonts w:hAnsi="宋体" w:cs="宋体"/>
                <w:szCs w:val="21"/>
              </w:rPr>
            </w:pPr>
          </w:p>
        </w:tc>
        <w:tc>
          <w:tcPr>
            <w:tcW w:w="1515" w:type="dxa"/>
            <w:tcBorders>
              <w:top w:val="single" w:color="auto" w:sz="4" w:space="0"/>
              <w:left w:val="single" w:color="auto" w:sz="2" w:space="0"/>
              <w:bottom w:val="single" w:color="auto" w:sz="4" w:space="0"/>
              <w:right w:val="single" w:color="auto" w:sz="4" w:space="0"/>
            </w:tcBorders>
            <w:vAlign w:val="center"/>
          </w:tcPr>
          <w:p>
            <w:pPr>
              <w:pStyle w:val="24"/>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3</w:t>
            </w:r>
          </w:p>
        </w:tc>
        <w:tc>
          <w:tcPr>
            <w:tcW w:w="2973" w:type="dxa"/>
            <w:tcBorders>
              <w:top w:val="single" w:color="auto" w:sz="4" w:space="0"/>
              <w:left w:val="single" w:color="auto" w:sz="2" w:space="0"/>
              <w:bottom w:val="single" w:color="auto" w:sz="4" w:space="0"/>
              <w:right w:val="single" w:color="auto" w:sz="2" w:space="0"/>
            </w:tcBorders>
            <w:vAlign w:val="center"/>
          </w:tcPr>
          <w:p>
            <w:pPr>
              <w:pStyle w:val="37"/>
              <w:spacing w:line="360" w:lineRule="auto"/>
              <w:rPr>
                <w:rFonts w:hAnsi="宋体" w:cs="宋体"/>
                <w:sz w:val="24"/>
              </w:rPr>
            </w:pPr>
          </w:p>
        </w:tc>
        <w:tc>
          <w:tcPr>
            <w:tcW w:w="1515" w:type="dxa"/>
            <w:tcBorders>
              <w:top w:val="single" w:color="auto" w:sz="4" w:space="0"/>
              <w:left w:val="single" w:color="auto" w:sz="2" w:space="0"/>
              <w:bottom w:val="single" w:color="auto" w:sz="4" w:space="0"/>
              <w:right w:val="single" w:color="auto" w:sz="4" w:space="0"/>
            </w:tcBorders>
            <w:vAlign w:val="center"/>
          </w:tcPr>
          <w:p>
            <w:pPr>
              <w:pStyle w:val="24"/>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4</w:t>
            </w:r>
          </w:p>
        </w:tc>
        <w:tc>
          <w:tcPr>
            <w:tcW w:w="2973" w:type="dxa"/>
            <w:tcBorders>
              <w:top w:val="single" w:color="auto" w:sz="4" w:space="0"/>
              <w:left w:val="single" w:color="auto" w:sz="2" w:space="0"/>
              <w:bottom w:val="single" w:color="auto" w:sz="4" w:space="0"/>
              <w:right w:val="single" w:color="auto" w:sz="2" w:space="0"/>
            </w:tcBorders>
            <w:vAlign w:val="center"/>
          </w:tcPr>
          <w:p>
            <w:pPr>
              <w:pStyle w:val="37"/>
              <w:spacing w:line="360" w:lineRule="auto"/>
              <w:rPr>
                <w:rFonts w:hAnsi="宋体" w:cs="宋体"/>
                <w:sz w:val="24"/>
                <w:szCs w:val="24"/>
              </w:rPr>
            </w:pPr>
          </w:p>
        </w:tc>
        <w:tc>
          <w:tcPr>
            <w:tcW w:w="1515" w:type="dxa"/>
            <w:tcBorders>
              <w:top w:val="single" w:color="auto" w:sz="4" w:space="0"/>
              <w:left w:val="single" w:color="auto" w:sz="2" w:space="0"/>
              <w:bottom w:val="single" w:color="auto" w:sz="4" w:space="0"/>
              <w:right w:val="single" w:color="auto" w:sz="4" w:space="0"/>
            </w:tcBorders>
            <w:vAlign w:val="center"/>
          </w:tcPr>
          <w:p>
            <w:pPr>
              <w:pStyle w:val="24"/>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5</w:t>
            </w:r>
          </w:p>
        </w:tc>
        <w:tc>
          <w:tcPr>
            <w:tcW w:w="2973" w:type="dxa"/>
            <w:tcBorders>
              <w:top w:val="single" w:color="auto" w:sz="4" w:space="0"/>
              <w:left w:val="single" w:color="auto" w:sz="2" w:space="0"/>
              <w:bottom w:val="single" w:color="auto" w:sz="4" w:space="0"/>
              <w:right w:val="single" w:color="auto" w:sz="2" w:space="0"/>
            </w:tcBorders>
            <w:vAlign w:val="center"/>
          </w:tcPr>
          <w:p>
            <w:pPr>
              <w:pStyle w:val="37"/>
              <w:spacing w:line="360" w:lineRule="auto"/>
              <w:rPr>
                <w:rFonts w:hAnsi="宋体" w:cs="宋体"/>
                <w:sz w:val="24"/>
                <w:szCs w:val="24"/>
              </w:rPr>
            </w:pPr>
          </w:p>
        </w:tc>
        <w:tc>
          <w:tcPr>
            <w:tcW w:w="1515" w:type="dxa"/>
            <w:tcBorders>
              <w:top w:val="single" w:color="auto" w:sz="4" w:space="0"/>
              <w:left w:val="single" w:color="auto" w:sz="2" w:space="0"/>
              <w:bottom w:val="single" w:color="auto" w:sz="4" w:space="0"/>
              <w:right w:val="single" w:color="auto" w:sz="4" w:space="0"/>
            </w:tcBorders>
            <w:vAlign w:val="center"/>
          </w:tcPr>
          <w:p>
            <w:pPr>
              <w:pStyle w:val="24"/>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6</w:t>
            </w:r>
          </w:p>
        </w:tc>
        <w:tc>
          <w:tcPr>
            <w:tcW w:w="2973" w:type="dxa"/>
            <w:tcBorders>
              <w:top w:val="single" w:color="auto" w:sz="4" w:space="0"/>
              <w:left w:val="single" w:color="auto" w:sz="2" w:space="0"/>
              <w:bottom w:val="single" w:color="auto" w:sz="4" w:space="0"/>
              <w:right w:val="single" w:color="auto" w:sz="2" w:space="0"/>
            </w:tcBorders>
            <w:vAlign w:val="center"/>
          </w:tcPr>
          <w:p>
            <w:pPr>
              <w:pStyle w:val="37"/>
              <w:spacing w:line="360" w:lineRule="auto"/>
              <w:rPr>
                <w:rFonts w:hAnsi="宋体" w:cs="宋体"/>
                <w:sz w:val="24"/>
                <w:szCs w:val="24"/>
              </w:rPr>
            </w:pPr>
          </w:p>
        </w:tc>
        <w:tc>
          <w:tcPr>
            <w:tcW w:w="1515" w:type="dxa"/>
            <w:tcBorders>
              <w:top w:val="single" w:color="auto" w:sz="4" w:space="0"/>
              <w:left w:val="single" w:color="auto" w:sz="2" w:space="0"/>
              <w:bottom w:val="single" w:color="auto" w:sz="4" w:space="0"/>
              <w:right w:val="single" w:color="auto" w:sz="4" w:space="0"/>
            </w:tcBorders>
            <w:vAlign w:val="center"/>
          </w:tcPr>
          <w:p>
            <w:pPr>
              <w:pStyle w:val="24"/>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7</w:t>
            </w:r>
          </w:p>
        </w:tc>
        <w:tc>
          <w:tcPr>
            <w:tcW w:w="2973" w:type="dxa"/>
            <w:tcBorders>
              <w:top w:val="single" w:color="auto" w:sz="4" w:space="0"/>
              <w:left w:val="single" w:color="auto" w:sz="2" w:space="0"/>
              <w:bottom w:val="single" w:color="auto" w:sz="4" w:space="0"/>
              <w:right w:val="single" w:color="auto" w:sz="2" w:space="0"/>
            </w:tcBorders>
            <w:vAlign w:val="center"/>
          </w:tcPr>
          <w:p>
            <w:pPr>
              <w:pStyle w:val="37"/>
              <w:spacing w:line="360" w:lineRule="auto"/>
              <w:rPr>
                <w:rFonts w:hAnsi="宋体" w:cs="宋体"/>
                <w:sz w:val="24"/>
                <w:szCs w:val="24"/>
              </w:rPr>
            </w:pPr>
            <w:r>
              <w:rPr>
                <w:rFonts w:hint="eastAsia" w:hAnsi="宋体" w:cs="宋体"/>
                <w:sz w:val="24"/>
                <w:szCs w:val="24"/>
              </w:rPr>
              <w:t>……</w:t>
            </w:r>
          </w:p>
        </w:tc>
        <w:tc>
          <w:tcPr>
            <w:tcW w:w="1515" w:type="dxa"/>
            <w:tcBorders>
              <w:top w:val="single" w:color="auto" w:sz="4" w:space="0"/>
              <w:left w:val="single" w:color="auto" w:sz="2" w:space="0"/>
              <w:bottom w:val="single" w:color="auto" w:sz="4" w:space="0"/>
              <w:right w:val="single" w:color="auto" w:sz="4" w:space="0"/>
            </w:tcBorders>
            <w:vAlign w:val="center"/>
          </w:tcPr>
          <w:p>
            <w:pPr>
              <w:pStyle w:val="24"/>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3834" w:type="dxa"/>
            <w:gridSpan w:val="2"/>
            <w:vMerge w:val="restart"/>
            <w:tcBorders>
              <w:top w:val="single" w:color="auto" w:sz="2" w:space="0"/>
              <w:left w:val="single" w:color="auto" w:sz="8" w:space="0"/>
              <w:bottom w:val="single" w:color="auto" w:sz="8" w:space="0"/>
              <w:right w:val="single" w:color="auto" w:sz="4"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投标总报价</w:t>
            </w:r>
          </w:p>
        </w:tc>
        <w:tc>
          <w:tcPr>
            <w:tcW w:w="1515" w:type="dxa"/>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大写</w:t>
            </w:r>
          </w:p>
        </w:tc>
        <w:tc>
          <w:tcPr>
            <w:tcW w:w="4067" w:type="dxa"/>
            <w:gridSpan w:val="3"/>
            <w:tcBorders>
              <w:top w:val="single" w:color="auto" w:sz="2" w:space="0"/>
              <w:left w:val="single" w:color="auto" w:sz="4" w:space="0"/>
              <w:bottom w:val="single" w:color="auto" w:sz="2" w:space="0"/>
              <w:right w:val="single" w:color="auto" w:sz="8" w:space="0"/>
            </w:tcBorders>
            <w:vAlign w:val="center"/>
          </w:tcPr>
          <w:p>
            <w:pPr>
              <w:snapToGrid w:val="0"/>
              <w:spacing w:line="360" w:lineRule="auto"/>
              <w:jc w:val="center"/>
              <w:rPr>
                <w:rFonts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3834" w:type="dxa"/>
            <w:gridSpan w:val="2"/>
            <w:vMerge w:val="continue"/>
            <w:tcBorders>
              <w:top w:val="single" w:color="auto" w:sz="2" w:space="0"/>
              <w:left w:val="single" w:color="auto" w:sz="8" w:space="0"/>
              <w:bottom w:val="single" w:color="auto" w:sz="8" w:space="0"/>
              <w:right w:val="single" w:color="auto" w:sz="4" w:space="0"/>
            </w:tcBorders>
            <w:vAlign w:val="center"/>
          </w:tcPr>
          <w:p>
            <w:pPr>
              <w:widowControl/>
              <w:snapToGrid w:val="0"/>
              <w:spacing w:line="360" w:lineRule="auto"/>
              <w:jc w:val="center"/>
              <w:rPr>
                <w:rFonts w:ascii="宋体" w:hAnsi="宋体" w:cs="宋体"/>
                <w:sz w:val="24"/>
                <w:szCs w:val="21"/>
              </w:rPr>
            </w:pPr>
          </w:p>
        </w:tc>
        <w:tc>
          <w:tcPr>
            <w:tcW w:w="1515" w:type="dxa"/>
            <w:tcBorders>
              <w:top w:val="single" w:color="auto" w:sz="2" w:space="0"/>
              <w:left w:val="single" w:color="auto" w:sz="4" w:space="0"/>
              <w:bottom w:val="single" w:color="auto" w:sz="8" w:space="0"/>
              <w:right w:val="single" w:color="auto" w:sz="2" w:space="0"/>
            </w:tcBorders>
            <w:vAlign w:val="center"/>
          </w:tcPr>
          <w:p>
            <w:pPr>
              <w:snapToGrid w:val="0"/>
              <w:spacing w:line="360" w:lineRule="auto"/>
              <w:jc w:val="center"/>
              <w:rPr>
                <w:rFonts w:ascii="宋体" w:hAnsi="宋体" w:cs="宋体"/>
                <w:sz w:val="24"/>
                <w:szCs w:val="21"/>
              </w:rPr>
            </w:pPr>
            <w:r>
              <w:rPr>
                <w:rFonts w:hint="eastAsia" w:ascii="宋体" w:hAnsi="宋体" w:cs="宋体"/>
                <w:sz w:val="24"/>
                <w:szCs w:val="21"/>
              </w:rPr>
              <w:t>小写</w:t>
            </w:r>
          </w:p>
        </w:tc>
        <w:tc>
          <w:tcPr>
            <w:tcW w:w="4067" w:type="dxa"/>
            <w:gridSpan w:val="3"/>
            <w:tcBorders>
              <w:top w:val="single" w:color="auto" w:sz="2" w:space="0"/>
              <w:left w:val="single" w:color="auto" w:sz="4" w:space="0"/>
              <w:bottom w:val="single" w:color="auto" w:sz="8" w:space="0"/>
              <w:right w:val="single" w:color="auto" w:sz="8" w:space="0"/>
            </w:tcBorders>
            <w:vAlign w:val="center"/>
          </w:tcPr>
          <w:p>
            <w:pPr>
              <w:snapToGrid w:val="0"/>
              <w:spacing w:line="360" w:lineRule="auto"/>
              <w:jc w:val="center"/>
              <w:rPr>
                <w:rFonts w:ascii="宋体" w:hAnsi="宋体" w:cs="宋体"/>
                <w:sz w:val="24"/>
                <w:szCs w:val="21"/>
              </w:rPr>
            </w:pPr>
          </w:p>
        </w:tc>
      </w:tr>
    </w:tbl>
    <w:p>
      <w:pPr>
        <w:pStyle w:val="626"/>
        <w:rPr>
          <w:rFonts w:cs="宋体"/>
          <w:lang w:val="en-US"/>
        </w:rPr>
      </w:pPr>
      <w:r>
        <w:rPr>
          <w:rFonts w:hint="eastAsia" w:cs="宋体"/>
          <w:lang w:val="en-US"/>
        </w:rPr>
        <w:t xml:space="preserve">                  </w:t>
      </w:r>
    </w:p>
    <w:p>
      <w:pPr>
        <w:pStyle w:val="37"/>
        <w:snapToGrid w:val="0"/>
        <w:spacing w:line="360" w:lineRule="auto"/>
        <w:ind w:firstLine="720" w:firstLineChars="300"/>
        <w:rPr>
          <w:rFonts w:hAnsi="宋体" w:cs="宋体"/>
          <w:sz w:val="24"/>
          <w:szCs w:val="24"/>
        </w:rPr>
      </w:pPr>
      <w:r>
        <w:rPr>
          <w:rFonts w:hint="eastAsia" w:hAnsi="宋体" w:cs="宋体"/>
          <w:kern w:val="0"/>
          <w:sz w:val="24"/>
          <w:szCs w:val="24"/>
          <w:lang w:val="zh-CN"/>
        </w:rPr>
        <w:t>注：</w:t>
      </w:r>
      <w:r>
        <w:rPr>
          <w:rFonts w:hint="eastAsia" w:hAnsi="宋体" w:cs="宋体"/>
          <w:kern w:val="0"/>
          <w:sz w:val="24"/>
          <w:szCs w:val="24"/>
        </w:rPr>
        <w:t>1、</w:t>
      </w:r>
      <w:r>
        <w:rPr>
          <w:rFonts w:hint="eastAsia" w:hAnsi="宋体" w:cs="宋体"/>
          <w:sz w:val="24"/>
          <w:szCs w:val="24"/>
        </w:rPr>
        <w:t>可根据具体情况调整报价明细清单格式，但应包括项目涉及的一切相关税费等费用。</w:t>
      </w:r>
    </w:p>
    <w:p>
      <w:pPr>
        <w:snapToGrid w:val="0"/>
        <w:spacing w:line="360" w:lineRule="auto"/>
        <w:ind w:firstLine="960" w:firstLineChars="400"/>
        <w:rPr>
          <w:rFonts w:ascii="宋体" w:hAnsi="宋体" w:cs="宋体"/>
          <w:kern w:val="0"/>
          <w:sz w:val="24"/>
        </w:rPr>
      </w:pPr>
      <w:r>
        <w:rPr>
          <w:rFonts w:hint="eastAsia" w:ascii="宋体" w:hAnsi="宋体" w:cs="宋体"/>
          <w:kern w:val="0"/>
          <w:sz w:val="24"/>
        </w:rPr>
        <w:t>2、分项报价表中合计总价应与开标一览表中的各项相应报价相一致。</w:t>
      </w:r>
    </w:p>
    <w:p>
      <w:pPr>
        <w:snapToGrid w:val="0"/>
        <w:spacing w:line="360" w:lineRule="auto"/>
        <w:ind w:firstLine="960" w:firstLineChars="400"/>
        <w:rPr>
          <w:rFonts w:ascii="宋体" w:hAnsi="宋体" w:cs="宋体"/>
          <w:sz w:val="24"/>
        </w:rPr>
      </w:pPr>
      <w:r>
        <w:rPr>
          <w:rFonts w:hint="eastAsia" w:ascii="宋体" w:hAnsi="宋体" w:cs="宋体"/>
          <w:kern w:val="0"/>
          <w:sz w:val="24"/>
        </w:rPr>
        <w:t>3、漏报视作包含在投标总价内。重大漏项的视为无效投标。</w:t>
      </w:r>
    </w:p>
    <w:p>
      <w:pPr>
        <w:autoSpaceDE w:val="0"/>
        <w:autoSpaceDN w:val="0"/>
        <w:spacing w:line="360" w:lineRule="auto"/>
        <w:ind w:right="1120" w:firstLine="5120" w:firstLineChars="1600"/>
        <w:jc w:val="left"/>
        <w:rPr>
          <w:rFonts w:ascii="宋体" w:hAnsi="宋体" w:cs="宋体"/>
          <w:sz w:val="32"/>
          <w:szCs w:val="32"/>
        </w:rPr>
      </w:pPr>
    </w:p>
    <w:p>
      <w:pPr>
        <w:autoSpaceDE w:val="0"/>
        <w:autoSpaceDN w:val="0"/>
        <w:spacing w:line="360" w:lineRule="auto"/>
        <w:ind w:right="1120" w:firstLine="5120" w:firstLineChars="1600"/>
        <w:jc w:val="left"/>
        <w:rPr>
          <w:rFonts w:ascii="宋体" w:hAnsi="宋体" w:cs="宋体"/>
          <w:sz w:val="32"/>
          <w:szCs w:val="32"/>
        </w:rPr>
      </w:pPr>
    </w:p>
    <w:p>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pStyle w:val="626"/>
        <w:jc w:val="center"/>
        <w:rPr>
          <w:rFonts w:cs="宋体"/>
        </w:rPr>
      </w:pPr>
      <w:r>
        <w:rPr>
          <w:rFonts w:hint="eastAsia" w:cs="宋体"/>
          <w:lang w:val="en-US"/>
        </w:rPr>
        <w:t xml:space="preserve">                     </w:t>
      </w:r>
      <w:r>
        <w:rPr>
          <w:rFonts w:hint="eastAsia" w:cs="宋体"/>
        </w:rPr>
        <w:t>日期：   年   月   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br w:type="page"/>
      </w:r>
    </w:p>
    <w:p>
      <w:pPr>
        <w:pStyle w:val="2"/>
        <w:rPr>
          <w:rFonts w:ascii="宋体" w:hAnsi="宋体" w:eastAsia="宋体" w:cs="宋体"/>
        </w:rPr>
      </w:pPr>
      <w:r>
        <w:rPr>
          <w:rFonts w:hint="eastAsia" w:ascii="宋体" w:hAnsi="宋体" w:eastAsia="宋体" w:cs="宋体"/>
        </w:rPr>
        <w:t>二、报价情况说明（如果有）</w:t>
      </w:r>
    </w:p>
    <w:p>
      <w:pPr>
        <w:spacing w:line="360" w:lineRule="auto"/>
        <w:rPr>
          <w:rFonts w:ascii="宋体" w:hAnsi="宋体" w:cs="宋体"/>
          <w:sz w:val="28"/>
          <w:szCs w:val="36"/>
        </w:rPr>
      </w:pPr>
      <w:r>
        <w:rPr>
          <w:rFonts w:hint="eastAsia" w:ascii="宋体" w:hAnsi="宋体" w:cs="宋体"/>
          <w:sz w:val="28"/>
          <w:szCs w:val="36"/>
        </w:rPr>
        <w:t>（如供应商报价低于项目预算50%的，应当提交本文档，详细阐述不影响产品质量或者诚信履约的具体原因）</w:t>
      </w:r>
    </w:p>
    <w:p>
      <w:pPr>
        <w:rPr>
          <w:rFonts w:ascii="宋体" w:hAnsi="宋体" w:cs="宋体"/>
        </w:rPr>
      </w:pPr>
    </w:p>
    <w:p>
      <w:pPr>
        <w:rPr>
          <w:rFonts w:ascii="宋体" w:hAnsi="宋体" w:cs="宋体"/>
        </w:rPr>
      </w:pPr>
    </w:p>
    <w:p>
      <w:pPr>
        <w:pStyle w:val="85"/>
        <w:rPr>
          <w:rFonts w:ascii="宋体" w:hAnsi="宋体" w:eastAsia="宋体" w:cs="宋体"/>
        </w:rPr>
      </w:pPr>
    </w:p>
    <w:p>
      <w:pPr>
        <w:pStyle w:val="85"/>
        <w:rPr>
          <w:rFonts w:ascii="宋体" w:hAnsi="宋体" w:eastAsia="宋体" w:cs="宋体"/>
        </w:rPr>
      </w:pPr>
    </w:p>
    <w:p>
      <w:pPr>
        <w:pStyle w:val="85"/>
        <w:rPr>
          <w:rFonts w:ascii="宋体" w:hAnsi="宋体" w:eastAsia="宋体" w:cs="宋体"/>
        </w:rPr>
      </w:pPr>
    </w:p>
    <w:p>
      <w:pPr>
        <w:pStyle w:val="85"/>
        <w:rPr>
          <w:rFonts w:ascii="宋体" w:hAnsi="宋体" w:eastAsia="宋体" w:cs="宋体"/>
        </w:rPr>
      </w:pPr>
    </w:p>
    <w:p>
      <w:pPr>
        <w:rPr>
          <w:rFonts w:ascii="宋体" w:hAnsi="宋体" w:cs="宋体"/>
        </w:rPr>
      </w:pPr>
    </w:p>
    <w:p>
      <w:pPr>
        <w:pStyle w:val="2"/>
        <w:rPr>
          <w:rFonts w:ascii="宋体" w:hAnsi="宋体" w:eastAsia="宋体" w:cs="宋体"/>
        </w:rPr>
      </w:pPr>
      <w:r>
        <w:rPr>
          <w:rFonts w:hint="eastAsia" w:ascii="宋体" w:hAnsi="宋体" w:eastAsia="宋体" w:cs="宋体"/>
        </w:rPr>
        <w:t>三、中小企业声明函</w:t>
      </w:r>
      <w:bookmarkStart w:id="457" w:name="_Hlk101259491"/>
      <w:r>
        <w:rPr>
          <w:rFonts w:hint="eastAsia" w:ascii="宋体" w:hAnsi="宋体" w:eastAsia="宋体" w:cs="宋体"/>
        </w:rPr>
        <w:t>（如果有）</w:t>
      </w:r>
      <w:bookmarkEnd w:id="457"/>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rPr>
          <w:rFonts w:ascii="宋体" w:hAnsi="宋体" w:cs="宋体"/>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日期：    年   月   日</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5" name="矩形 15"/>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z/jB2AAAAAoBAAAPAAAAAAAAAAEAIAAAACIAAABkcnMv&#10;ZG93bnJldi54bWxQSwECFAAUAAAACACHTuJAtc1efAMCAAAsBAAADgAAAAAAAAABACAAAAAnAQAA&#10;ZHJzL2Uyb0RvYy54bWxQSwUGAAAAAAYABgBZAQAAnAU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9" name="矩形 29"/>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3TsFjYAAAACgEAAA8AAAAAAAAAAQAgAAAAIgAAAGRycy9k&#10;b3ducmV2LnhtbFBLAQIUABQAAAAIAIdO4kDBWb5oAgIAACwEAAAOAAAAAAAAAAEAIAAAACcBAABk&#10;cnMvZTJvRG9jLnhtbFBLBQYAAAAABgAGAFkBAACb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8" w:firstLineChars="95"/>
        <w:rPr>
          <w:rFonts w:ascii="宋体" w:hAnsi="宋体" w:eastAsia="宋体" w:cs="宋体"/>
          <w:kern w:val="0"/>
          <w:sz w:val="24"/>
          <w:szCs w:val="24"/>
        </w:rPr>
      </w:pPr>
      <w:r>
        <w:rPr>
          <w:rFonts w:hint="eastAsia" w:ascii="宋体" w:hAnsi="宋体" w:eastAsia="宋体" w:cs="宋体"/>
          <w:kern w:val="0"/>
          <w:sz w:val="24"/>
          <w:szCs w:val="24"/>
        </w:rPr>
        <w:t>……</w:t>
      </w:r>
    </w:p>
    <w:p>
      <w:pPr>
        <w:rPr>
          <w:rFonts w:ascii="宋体" w:hAnsi="宋体" w:cs="宋体"/>
        </w:rPr>
      </w:pPr>
      <w:r>
        <w:rPr>
          <w:rFonts w:hint="eastAsia" w:ascii="宋体" w:hAnsi="宋体" w:cs="宋体"/>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 xml:space="preserve">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 xml:space="preserve">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r>
        <w:rPr>
          <w:rFonts w:hint="eastAsia" w:ascii="宋体" w:hAnsi="宋体" w:cs="宋体"/>
        </w:rPr>
        <w:br w:type="page"/>
      </w:r>
    </w:p>
    <w:tbl>
      <w:tblPr>
        <w:tblStyle w:val="66"/>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2"/>
        <w:rPr>
          <w:rFonts w:ascii="宋体" w:hAnsi="宋体" w:eastAsia="宋体" w:cs="宋体"/>
          <w:lang w:val="en-US"/>
        </w:rPr>
      </w:pPr>
    </w:p>
    <w:p>
      <w:pPr>
        <w:rPr>
          <w:rFonts w:ascii="宋体" w:hAnsi="宋体" w:cs="宋体"/>
          <w:sz w:val="30"/>
          <w:szCs w:val="30"/>
        </w:rPr>
        <w:sectPr>
          <w:pgSz w:w="16838" w:h="11906" w:orient="landscape"/>
          <w:pgMar w:top="1418" w:right="1276" w:bottom="1418" w:left="1247" w:header="851" w:footer="992" w:gutter="0"/>
          <w:cols w:space="720" w:num="1"/>
          <w:titlePg/>
          <w:docGrid w:linePitch="312" w:charSpace="0"/>
        </w:sectPr>
      </w:pPr>
    </w:p>
    <w:p>
      <w:pPr>
        <w:rPr>
          <w:rFonts w:ascii="宋体" w:hAnsi="宋体" w:cs="宋体"/>
          <w:b/>
          <w:sz w:val="48"/>
          <w:szCs w:val="48"/>
        </w:rPr>
      </w:pPr>
      <w:r>
        <w:rPr>
          <w:rFonts w:hint="eastAsia" w:ascii="宋体" w:hAnsi="宋体" w:cs="宋体"/>
          <w:sz w:val="30"/>
          <w:szCs w:val="30"/>
        </w:rPr>
        <w:t>附件8（中标后提供）：</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承 诺 书</w:t>
      </w:r>
    </w:p>
    <w:p>
      <w:pPr>
        <w:rPr>
          <w:rFonts w:ascii="宋体" w:hAnsi="宋体" w:cs="宋体"/>
          <w:sz w:val="30"/>
          <w:szCs w:val="30"/>
        </w:rPr>
      </w:pPr>
    </w:p>
    <w:p>
      <w:pPr>
        <w:rPr>
          <w:rFonts w:ascii="宋体" w:hAnsi="宋体" w:cs="宋体"/>
          <w:sz w:val="30"/>
          <w:szCs w:val="30"/>
        </w:rPr>
      </w:pPr>
      <w:r>
        <w:rPr>
          <w:rFonts w:hint="eastAsia" w:ascii="宋体" w:hAnsi="宋体" w:cs="宋体"/>
          <w:sz w:val="30"/>
          <w:szCs w:val="30"/>
          <w:u w:val="single"/>
        </w:rPr>
        <w:t xml:space="preserve">耀华建设管理有限公司 </w:t>
      </w:r>
      <w:r>
        <w:rPr>
          <w:rFonts w:hint="eastAsia" w:ascii="宋体" w:hAnsi="宋体" w:cs="宋体"/>
          <w:sz w:val="30"/>
          <w:szCs w:val="30"/>
        </w:rPr>
        <w:t>：</w:t>
      </w:r>
    </w:p>
    <w:p>
      <w:pPr>
        <w:spacing w:line="780" w:lineRule="exact"/>
        <w:ind w:firstLine="600" w:firstLineChars="200"/>
        <w:rPr>
          <w:rFonts w:ascii="宋体" w:hAnsi="宋体" w:cs="宋体"/>
          <w:sz w:val="30"/>
          <w:szCs w:val="30"/>
        </w:rPr>
      </w:pPr>
      <w:r>
        <w:rPr>
          <w:rFonts w:hint="eastAsia" w:ascii="宋体" w:hAnsi="宋体" w:cs="宋体"/>
          <w:sz w:val="30"/>
          <w:szCs w:val="30"/>
        </w:rPr>
        <w:t>我单位参与投标的</w:t>
      </w:r>
      <w:r>
        <w:rPr>
          <w:rFonts w:hint="eastAsia" w:ascii="宋体" w:hAnsi="宋体" w:cs="宋体"/>
          <w:sz w:val="30"/>
          <w:szCs w:val="30"/>
          <w:u w:val="single"/>
        </w:rPr>
        <w:t xml:space="preserve">   （项目名称）   </w:t>
      </w:r>
      <w:r>
        <w:rPr>
          <w:rFonts w:hint="eastAsia" w:ascii="宋体" w:hAnsi="宋体" w:cs="宋体"/>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ascii="宋体" w:hAnsi="宋体" w:cs="宋体"/>
          <w:sz w:val="30"/>
          <w:szCs w:val="30"/>
        </w:rPr>
      </w:pPr>
      <w:r>
        <w:rPr>
          <w:rFonts w:hint="eastAsia" w:ascii="宋体" w:hAnsi="宋体" w:cs="宋体"/>
          <w:sz w:val="30"/>
          <w:szCs w:val="30"/>
        </w:rPr>
        <w:t>本单位提交给招标代理机构备案的</w:t>
      </w:r>
      <w:r>
        <w:rPr>
          <w:rFonts w:hint="eastAsia" w:ascii="宋体" w:hAnsi="宋体" w:cs="宋体"/>
          <w:sz w:val="30"/>
          <w:szCs w:val="30"/>
          <w:u w:val="single"/>
        </w:rPr>
        <w:t>投标文件纸质版</w:t>
      </w:r>
      <w:r>
        <w:rPr>
          <w:rFonts w:hint="eastAsia" w:ascii="宋体" w:hAnsi="宋体" w:cs="宋体"/>
          <w:sz w:val="30"/>
          <w:szCs w:val="30"/>
        </w:rPr>
        <w:t>与</w:t>
      </w:r>
      <w:r>
        <w:rPr>
          <w:rFonts w:hint="eastAsia" w:ascii="宋体" w:hAnsi="宋体" w:cs="宋体"/>
          <w:sz w:val="30"/>
          <w:szCs w:val="30"/>
          <w:u w:val="single"/>
        </w:rPr>
        <w:t>电子投标文件</w:t>
      </w:r>
      <w:r>
        <w:rPr>
          <w:rFonts w:hint="eastAsia" w:ascii="宋体" w:hAnsi="宋体" w:cs="宋体"/>
          <w:sz w:val="30"/>
          <w:szCs w:val="30"/>
        </w:rPr>
        <w:t>内容均一致，如不一致导致的任何法律责任自负。特此承诺！</w:t>
      </w:r>
    </w:p>
    <w:p>
      <w:pPr>
        <w:spacing w:line="780" w:lineRule="exact"/>
        <w:ind w:firstLine="450" w:firstLineChars="150"/>
        <w:rPr>
          <w:rFonts w:ascii="宋体" w:hAnsi="宋体" w:cs="宋体"/>
          <w:sz w:val="30"/>
          <w:szCs w:val="30"/>
        </w:rPr>
      </w:pPr>
    </w:p>
    <w:p>
      <w:pPr>
        <w:spacing w:line="780" w:lineRule="exact"/>
        <w:rPr>
          <w:rFonts w:ascii="宋体" w:hAnsi="宋体" w:cs="宋体"/>
          <w:sz w:val="30"/>
          <w:szCs w:val="30"/>
        </w:rPr>
      </w:pPr>
    </w:p>
    <w:p>
      <w:pPr>
        <w:spacing w:line="780" w:lineRule="exact"/>
        <w:rPr>
          <w:rFonts w:ascii="宋体" w:hAnsi="宋体" w:cs="宋体"/>
          <w:sz w:val="30"/>
          <w:szCs w:val="30"/>
        </w:rPr>
      </w:pPr>
    </w:p>
    <w:p>
      <w:pPr>
        <w:spacing w:line="780" w:lineRule="exact"/>
        <w:rPr>
          <w:rFonts w:ascii="宋体" w:hAnsi="宋体" w:cs="宋体"/>
          <w:sz w:val="30"/>
          <w:szCs w:val="30"/>
        </w:rPr>
      </w:pPr>
      <w:r>
        <w:rPr>
          <w:rFonts w:hint="eastAsia" w:ascii="宋体" w:hAnsi="宋体" w:cs="宋体"/>
          <w:sz w:val="30"/>
          <w:szCs w:val="30"/>
        </w:rPr>
        <w:t>投标人名称（盖公章）：</w:t>
      </w:r>
    </w:p>
    <w:p>
      <w:pPr>
        <w:spacing w:line="780" w:lineRule="exact"/>
        <w:ind w:firstLine="5850" w:firstLineChars="1950"/>
        <w:rPr>
          <w:rFonts w:ascii="宋体" w:hAnsi="宋体" w:cs="宋体"/>
          <w:sz w:val="30"/>
          <w:szCs w:val="30"/>
        </w:rPr>
      </w:pPr>
      <w:r>
        <w:rPr>
          <w:rFonts w:hint="eastAsia" w:ascii="宋体" w:hAnsi="宋体" w:cs="宋体"/>
          <w:sz w:val="30"/>
          <w:szCs w:val="30"/>
        </w:rPr>
        <w:t>2024年   月   日</w:t>
      </w:r>
    </w:p>
    <w:p>
      <w:pPr>
        <w:rPr>
          <w:rFonts w:ascii="宋体" w:hAnsi="宋体" w:cs="宋体"/>
        </w:rPr>
      </w:pPr>
    </w:p>
    <w:p>
      <w:pPr>
        <w:spacing w:line="360" w:lineRule="auto"/>
        <w:rPr>
          <w:rFonts w:ascii="宋体" w:hAnsi="宋体" w:cs="宋体"/>
          <w:bCs/>
          <w:sz w:val="24"/>
        </w:rPr>
      </w:pPr>
    </w:p>
    <w:p>
      <w:pPr>
        <w:rPr>
          <w:rFonts w:ascii="宋体" w:hAnsi="宋体" w:cs="宋体"/>
        </w:rPr>
      </w:pPr>
    </w:p>
    <w:p>
      <w:pPr>
        <w:pStyle w:val="2"/>
        <w:rPr>
          <w:rFonts w:ascii="宋体" w:hAnsi="宋体" w:eastAsia="宋体" w:cs="宋体"/>
        </w:rPr>
      </w:pPr>
    </w:p>
    <w:p>
      <w:pPr>
        <w:rPr>
          <w:rFonts w:ascii="宋体" w:hAnsi="宋体" w:cs="宋体"/>
        </w:rPr>
      </w:pPr>
    </w:p>
    <w:p>
      <w:pPr>
        <w:spacing w:line="360" w:lineRule="auto"/>
        <w:rPr>
          <w:rFonts w:ascii="宋体" w:hAnsi="宋体" w:cs="宋体"/>
          <w:bCs/>
          <w:sz w:val="24"/>
        </w:rPr>
      </w:pPr>
    </w:p>
    <w:p>
      <w:pPr>
        <w:spacing w:line="360" w:lineRule="auto"/>
        <w:rPr>
          <w:rFonts w:ascii="宋体" w:hAnsi="宋体" w:cs="宋体"/>
          <w:bCs/>
          <w:sz w:val="24"/>
        </w:rPr>
      </w:pPr>
    </w:p>
    <w:p>
      <w:pPr>
        <w:rPr>
          <w:rFonts w:ascii="宋体" w:hAnsi="宋体" w:cs="宋体"/>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shape id="Quad Arrow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Z4XlL4BAACc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MNbcKaMycsTfxHLxp2jwgD29ymDg0+VJT46ik1&#10;jg8wUvbiD+RMwscWbfqSJEZx6u/l2l81RibTo+1muy0pJCm2XAi/eHvuMcQnBZYlo+ZIA8x9FeeX&#10;EKfUJSVVc/CojclDNO4vB2EmT5G4TxyTFcfjOAs6QnMhPQPNvuaOVp0z8+yotWlNFgMX47gYvUd9&#10;6ojaOvMK/r6PRCJzSxUm2LkwDS2rmxcsbcWf95z19lP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Z4XlL4BAACcAwAADgAAAAAAAAABACAAAAAeAQAAZHJzL2Uyb0RvYy54bWxQSwUGAAAA&#10;AAYABgBZAQAATgUAAAAA&#10;">
              <v:fill on="f" focussize="0,0"/>
              <v:stroke on="f"/>
              <v:imagedata o:title=""/>
              <o:lock v:ext="edit" aspectratio="f"/>
              <v:textbox inset="0mm,0mm,0mm,0mm" style="mso-fit-shape-to-text:t;">
                <w:txbxContent>
                  <w:p>
                    <w:pPr>
                      <w:pStyle w:val="44"/>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color w:val="0000FF"/>
        <w:u w:val="thick"/>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- 41 -</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-135890</wp:posOffset>
          </wp:positionV>
          <wp:extent cx="1023620" cy="351155"/>
          <wp:effectExtent l="0" t="0" r="5080" b="1270"/>
          <wp:wrapNone/>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Rectangle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Rectangle 18"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JgG&#10;nV61AQAAkQMAAA4AAAAAAAAAAQAgAAAAHwEAAGRycy9lMm9Eb2MueG1sUEsFBgAAAAAGAAYAWQEA&#10;AEYFA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3DnJ3NAQAAmQMAAA4AAAAAAAAAAQAgAAAAIgEAAGRy&#10;cy9lMm9Eb2MueG1sUEsFBgAAAAAGAAYAWQEAAGEFA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矩形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center"/>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1yxJfBAQAAjgMAAA4AAABkcnMvZTJvRG9jLnhtbK1TzWrbQBC+F/IO&#10;y95jyaY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q/ec+aEpRv/9fX7zx/fGBXI&#10;nT5gRU3P4QmmDClMUocWbHqTCDZkR88XR9UQmaTicr1ar0syW9LZnBBO8fJ5AIz3yluWgpoDXVl2&#10;UpweMI6tc0ua5vydNobqojLurwJhpkqRGI8cUxSH/TAR3/vmTGJ7uu2aO1puzsxHR2amxZgDmIP9&#10;HBwD6ENH1JaZF4bbYyQSmVuaMMJOg+masrpppdIe/Jnnrp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1yxJfBAQAAjgMAAA4AAAAAAAAAAQAgAAAAHwEAAGRycy9lMm9Eb2MueG1sUEsF&#10;BgAAAAAGAAYAWQEAAFIFAAAAAA==&#10;">
              <v:fill on="f" focussize="0,0"/>
              <v:stroke on="f"/>
              <v:imagedata o:title=""/>
              <o:lock v:ext="edit" aspectratio="f"/>
              <v:textbox inset="0mm,0mm,0mm,0mm" style="mso-fit-shape-to-text:t;">
                <w:txbxContent>
                  <w:p>
                    <w:pPr>
                      <w:pStyle w:val="44"/>
                      <w:jc w:val="center"/>
                    </w:pPr>
                  </w:p>
                  <w:p/>
                </w:txbxContent>
              </v:textbox>
            </v:rect>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Ptuu/MAQAAm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NvQ1ZISywxO/Pzr5/n3&#10;3/OfHwR9KFDvoca8e4+ZcfjoBlyb2Q/oTLwHGUz6IiOCcZT3dJFXDJHw9KhaVVWJIY6x+YL4xeNz&#10;HyDeCWdIMhoacH5ZVnb8DHFMnVNSNetuldZ5htqSHlGvq/fX+cUlhOjaYpHEYuw2WXHYDRO1nWtP&#10;yKzHJWioxZ2nRH+yqHHal9kIs7GbjFQe/IdDxBZyZwl1hJqK4cQyt2m70ko8veesxz9q8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k+2678wBAACZAwAADgAAAAAAAAABACAAAAAiAQAAZHJz&#10;L2Uyb0RvYy54bWxQSwUGAAAAAAYABgBZAQAAYAU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53</w:t>
                    </w:r>
                    <w:r>
                      <w:fldChar w:fldCharType="end"/>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矩形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center"/>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5M7lLAAQAAjg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VXFmROWbvzP95+/f/1gVCB3&#10;hoA1NT2Ee5gzpDBJHTuw6U0i2JgdvVwdVWNkkorrTbXZlGS2pLMlIZzi8fMAGD8ob1kKGg50ZdlJ&#10;cf6EcWpdWtI05++0MVQXtXH/FAgzVYrEeOKYojgexpn4wbcXEjvQbTfc0XJzZj46MjMtxhLAEhyW&#10;4BRAH3uits68MNyeIpHI3NKECXYeTNeU1c0rlfbgaZ67Hn+j3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kzuUsABAACOAwAADgAAAAAAAAABACAAAAAfAQAAZHJzL2Uyb0RvYy54bWxQSwUG&#10;AAAAAAYABgBZAQAAUQUAAAAA&#10;">
              <v:fill on="f" focussize="0,0"/>
              <v:stroke on="f"/>
              <v:imagedata o:title=""/>
              <o:lock v:ext="edit" aspectratio="f"/>
              <v:textbox inset="0mm,0mm,0mm,0mm" style="mso-fit-shape-to-text:t;">
                <w:txbxContent>
                  <w:p>
                    <w:pPr>
                      <w:pStyle w:val="44"/>
                      <w:jc w:val="center"/>
                    </w:pPr>
                  </w:p>
                  <w:p/>
                </w:txbxContent>
              </v:textbox>
            </v:rect>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wlGHMAQAAm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TkcqDv91HbCF3llBHqKkYTixzm7YrrcS/95z19Ee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hXCUYcwBAACZAwAADgAAAAAAAAABACAAAAAiAQAAZHJz&#10;L2Uyb0RvYy54bWxQSwUGAAAAAAYABgBZAQAAYAU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szCs w:val="24"/>
      </w:rP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GyAhSDNAQAAmQMAAA4AAAAAAAAAAQAgAAAAIgEAAGRy&#10;cy9lMm9Eb2MueG1sUEsFBgAAAAAGAAYAWQEAAGEFA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矩形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u6RjBAQAAjgMAAA4AAABkcnMvZTJvRG9jLnhtbK1TS27bMBDdF8gd&#10;CO5jyV60h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NNzVcfOHPC0o3/+vr9549vjArk&#10;Th+woqbn8ARThhQmqUMLNr1JBBuyo+eLo2qITFJxuV6t1yWZLelsTginePk8AMZ75S1LQc2Briw7&#10;KU4PGMfWuSVNc/5OG0N1URn3V4EwU6VIjEeOKYrDfpiI731zJrE93XbNHS03Z+ajIzPTYswBzMF+&#10;Do4B9KEjasvMC8PtMRKJzC1NGGGnwXRNWd20UmkP/sxz18tvt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MTu6RjBAQAAjgMAAA4AAAAAAAAAAQAgAAAAHwEAAGRycy9lMm9Eb2MueG1sUEsF&#10;BgAAAAAGAAYAWQEAAFIFAAAAAA==&#10;">
              <v:fill on="f" focussize="0,0"/>
              <v:stroke on="f"/>
              <v:imagedata o:title=""/>
              <o:lock v:ext="edit" aspectratio="f"/>
              <v:textbox inset="0mm,0mm,0mm,0mm" style="mso-fit-shape-to-text:t;">
                <w:txbxContent>
                  <w:p>
                    <w:pPr>
                      <w:pStyle w:val="44"/>
                    </w:pPr>
                  </w:p>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65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Ev4PPMAQAAm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y7ZQYnfvr96/Tn&#10;3+nvT4I+FKj3UGPevcfMOHxyA67N7Ad0Jt6DDCZ9kRHBOMp7PMsrhkh4elQtq6rEEMfYfEH84vG5&#10;DxA/C2dIMhoacH5ZVnb4CnFMnVNSNetuldZ5htqSHlEvq6vL/OIcQnRtsUhiMXabrDhsh4na1rVH&#10;ZNbjEjTU4s5Tor9Y1Djty2yE2dhORioP/mYfsYXcWUIdoaZiOLHMbdqutBJP7znr8Y9a/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MS/g88wBAACZAwAADgAAAAAAAAABACAAAAAiAQAAZHJz&#10;L2Uyb0RvYy54bWxQSwUGAAAAAAYABgBZAQAAYAU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矩形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HCij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q/ec+aEpRv/9fX7zx/fGBXI&#10;nT5gRU3P4QmmDClMUocWbHqTCDZkR88XR9UQmaTicr1ar0syW9LZnBBO8fJ5AIz3yluWgpoDXVl2&#10;UpweMI6tc0ua5vydNobqojLurwJhpkqRGI8cUxSH/TAR3/vmTGJ7uu2aO1puzsxHR2amxZgDmIP9&#10;HBwD6ENH1JaZF4bbYyQSmVuaMMJOg+masrpppdIe/Jnnrp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BnHCijBAQAAjgMAAA4AAAAAAAAAAQAgAAAAHwEAAGRycy9lMm9Eb2MueG1sUEsF&#10;BgAAAAAGAAYAWQEAAFIFAAAAAA==&#10;">
              <v:fill on="f" focussize="0,0"/>
              <v:stroke on="f"/>
              <v:imagedata o:title=""/>
              <o:lock v:ext="edit" aspectratio="f"/>
              <v:textbox inset="0mm,0mm,0mm,0mm" style="mso-fit-shape-to-text:t;">
                <w:txbxContent>
                  <w:p>
                    <w:pPr>
                      <w:pStyle w:val="44"/>
                    </w:pPr>
                  </w:p>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LUbeUi8AQAAmwMAAA4AAAAAAAAAAQAgAAAAHgEAAGRycy9lMm9Eb2MueG1sUEsFBgAAAAAG&#10;AAYAWQEAAEwFAAAAAA==&#10;">
              <v:fill on="f" focussize="0,0"/>
              <v:stroke on="f"/>
              <v:imagedata o:title=""/>
              <o:lock v:ext="edit" aspectratio="f"/>
              <v:textbox inset="0mm,0mm,0mm,0mm" style="mso-fit-shape-to-text:t;">
                <w:txbxContent>
                  <w:p>
                    <w:pPr>
                      <w:pStyle w:val="44"/>
                    </w:pPr>
                  </w:p>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- 83 -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- 83 -</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et0m0vQEAAJsDAAAOAAAAAAAAAAEAIAAAAB4BAABkcnMvZTJvRG9jLnhtbFBLBQYAAAAA&#10;BgAGAFkBAABNBQAAAAA=&#10;">
              <v:fill on="f" focussize="0,0"/>
              <v:stroke on="f"/>
              <v:imagedata o:title=""/>
              <o:lock v:ext="edit" aspectratio="f"/>
              <v:textbox inset="0mm,0mm,0mm,0mm" style="mso-fit-shape-to-text:t;">
                <w:txbxContent>
                  <w:p>
                    <w:pPr>
                      <w:pStyle w:val="44"/>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shape id="Quad Arrow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hYGJvQEAAJwDAAAOAAAAAAAAAAEAIAAAAB4BAABkcnMvZTJvRG9jLnhtbFBLBQYAAAAA&#10;BgAGAFkBAABNBQAAAAA=&#10;">
              <v:fill on="f" focussize="0,0"/>
              <v:stroke on="f"/>
              <v:imagedata o:title=""/>
              <o:lock v:ext="edit" aspectratio="f"/>
              <v:textbox inset="0mm,0mm,0mm,0mm" style="mso-fit-shape-to-text:t;">
                <w:txbxContent>
                  <w:p>
                    <w:pPr>
                      <w:pStyle w:val="44"/>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Quad Arrow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shape id="Quad Arrow 2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x/ySi8AQAAnAMAAA4AAAAAAAAAAQAgAAAAHgEAAGRycy9lMm9Eb2MueG1sUEsFBgAAAAAG&#10;AAYAWQEAAEwFAAAAAA==&#10;">
              <v:fill on="f" focussize="0,0"/>
              <v:stroke on="f"/>
              <v:imagedata o:title=""/>
              <o:lock v:ext="edit" aspectratio="f"/>
              <v:textbox inset="0mm,0mm,0mm,0mm" style="mso-fit-shape-to-text:t;">
                <w:txbxContent>
                  <w:p>
                    <w:pPr>
                      <w:pStyle w:val="44"/>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Quad Arrow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shape id="Quad Arrow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eK+xvQEAAJwDAAAOAAAAAAAAAAEAIAAAAB4BAABkcnMvZTJvRG9jLnhtbFBLBQYAAAAA&#10;BgAGAFkBAABNBQAAAAA=&#10;">
              <v:fill on="f" focussize="0,0"/>
              <v:stroke on="f"/>
              <v:imagedata o:title=""/>
              <o:lock v:ext="edit" aspectratio="f"/>
              <v:textbox inset="0mm,0mm,0mm,0mm" style="mso-fit-shape-to-text:t;">
                <w:txbxContent>
                  <w:p>
                    <w:pPr>
                      <w:pStyle w:val="44"/>
                    </w:pPr>
                  </w:p>
                  <w:p/>
                </w:txbxContent>
              </v:textbox>
            </v:shape>
          </w:pict>
        </mc:Fallback>
      </mc:AlternateContent>
    </w:r>
    <w:r>
      <w:rPr>
        <w:rFonts w:ascii="楷体_GB2312" w:eastAsia="楷体_GB2312"/>
        <w:color w:val="0000FF"/>
        <w:u w:val="thick"/>
      </w:rPr>
      <w:drawing>
        <wp:anchor distT="0" distB="0" distL="114300" distR="114300" simplePos="0" relativeHeight="251660288" behindDoc="0" locked="0" layoutInCell="1" allowOverlap="1">
          <wp:simplePos x="0" y="0"/>
          <wp:positionH relativeFrom="column">
            <wp:posOffset>-181610</wp:posOffset>
          </wp:positionH>
          <wp:positionV relativeFrom="paragraph">
            <wp:posOffset>-91440</wp:posOffset>
          </wp:positionV>
          <wp:extent cx="1023620" cy="351155"/>
          <wp:effectExtent l="0" t="0" r="5080" b="127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26</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pPr>
                      <w:pStyle w:val="44"/>
                    </w:pP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9A51A"/>
    <w:multiLevelType w:val="singleLevel"/>
    <w:tmpl w:val="98E9A51A"/>
    <w:lvl w:ilvl="0" w:tentative="0">
      <w:start w:val="16"/>
      <w:numFmt w:val="decimal"/>
      <w:suff w:val="space"/>
      <w:lvlText w:val="%1."/>
      <w:lvlJc w:val="left"/>
    </w:lvl>
  </w:abstractNum>
  <w:abstractNum w:abstractNumId="1">
    <w:nsid w:val="ABE733F6"/>
    <w:multiLevelType w:val="singleLevel"/>
    <w:tmpl w:val="ABE733F6"/>
    <w:lvl w:ilvl="0" w:tentative="0">
      <w:start w:val="2"/>
      <w:numFmt w:val="decimal"/>
      <w:suff w:val="nothing"/>
      <w:lvlText w:val="%1、"/>
      <w:lvlJc w:val="left"/>
    </w:lvl>
  </w:abstractNum>
  <w:abstractNum w:abstractNumId="2">
    <w:nsid w:val="D55AF4A7"/>
    <w:multiLevelType w:val="singleLevel"/>
    <w:tmpl w:val="D55AF4A7"/>
    <w:lvl w:ilvl="0" w:tentative="0">
      <w:start w:val="4"/>
      <w:numFmt w:val="decimal"/>
      <w:suff w:val="nothing"/>
      <w:lvlText w:val="%1、"/>
      <w:lvlJc w:val="left"/>
    </w:lvl>
  </w:abstractNum>
  <w:abstractNum w:abstractNumId="3">
    <w:nsid w:val="1D3F4050"/>
    <w:multiLevelType w:val="singleLevel"/>
    <w:tmpl w:val="1D3F4050"/>
    <w:lvl w:ilvl="0" w:tentative="0">
      <w:start w:val="4"/>
      <w:numFmt w:val="chineseCounting"/>
      <w:suff w:val="space"/>
      <w:lvlText w:val="第%1部分"/>
      <w:lvlJc w:val="left"/>
      <w:rPr>
        <w:rFonts w:hint="eastAsia"/>
      </w:rPr>
    </w:lvl>
  </w:abstractNum>
  <w:abstractNum w:abstractNumId="4">
    <w:nsid w:val="2A107D1F"/>
    <w:multiLevelType w:val="singleLevel"/>
    <w:tmpl w:val="2A107D1F"/>
    <w:lvl w:ilvl="0" w:tentative="0">
      <w:start w:val="13"/>
      <w:numFmt w:val="decimal"/>
      <w:suff w:val="space"/>
      <w:lvlText w:val="%1."/>
      <w:lvlJc w:val="left"/>
    </w:lvl>
  </w:abstractNum>
  <w:abstractNum w:abstractNumId="5">
    <w:nsid w:val="4E7D5A70"/>
    <w:multiLevelType w:val="multilevel"/>
    <w:tmpl w:val="4E7D5A70"/>
    <w:lvl w:ilvl="0" w:tentative="0">
      <w:start w:val="1"/>
      <w:numFmt w:val="decimal"/>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3414110"/>
    <w:multiLevelType w:val="singleLevel"/>
    <w:tmpl w:val="73414110"/>
    <w:lvl w:ilvl="0" w:tentative="0">
      <w:start w:val="8"/>
      <w:numFmt w:val="decimal"/>
      <w:suff w:val="space"/>
      <w:lvlText w:val="%1."/>
      <w:lvlJc w:val="left"/>
    </w:lvl>
  </w:abstractNum>
  <w:abstractNum w:abstractNumId="9">
    <w:nsid w:val="79D87A4F"/>
    <w:multiLevelType w:val="singleLevel"/>
    <w:tmpl w:val="79D87A4F"/>
    <w:lvl w:ilvl="0" w:tentative="0">
      <w:start w:val="1"/>
      <w:numFmt w:val="chineseCounting"/>
      <w:suff w:val="nothing"/>
      <w:lvlText w:val="%1、"/>
      <w:lvlJc w:val="left"/>
      <w:rPr>
        <w:rFonts w:hint="eastAsia"/>
      </w:rPr>
    </w:lvl>
  </w:abstractNum>
  <w:num w:numId="1">
    <w:abstractNumId w:val="8"/>
  </w:num>
  <w:num w:numId="2">
    <w:abstractNumId w:val="4"/>
  </w:num>
  <w:num w:numId="3">
    <w:abstractNumId w:val="0"/>
  </w:num>
  <w:num w:numId="4">
    <w:abstractNumId w:val="9"/>
  </w:num>
  <w:num w:numId="5">
    <w:abstractNumId w:val="1"/>
  </w:num>
  <w:num w:numId="6">
    <w:abstractNumId w:val="5"/>
  </w:num>
  <w:num w:numId="7">
    <w:abstractNumId w:val="3"/>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MzBjMDNlYTUwODU5MGU1ODY3ZDM1Yzg3NjhlO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5E69"/>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6ED2"/>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E68"/>
    <w:rsid w:val="000E5B7E"/>
    <w:rsid w:val="000E5FF9"/>
    <w:rsid w:val="000E6AE1"/>
    <w:rsid w:val="000E7142"/>
    <w:rsid w:val="000E7632"/>
    <w:rsid w:val="000E7737"/>
    <w:rsid w:val="000E7739"/>
    <w:rsid w:val="000E77EE"/>
    <w:rsid w:val="000F0E4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3AC"/>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39A"/>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27E7B"/>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5E38"/>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4C6"/>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E22"/>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C9"/>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564"/>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78C"/>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B59"/>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D7E"/>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BB"/>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59B3"/>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973"/>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C80"/>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D6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672"/>
    <w:rsid w:val="00712896"/>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A"/>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059"/>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4AC7"/>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B80"/>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40F"/>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0F"/>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33B"/>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850"/>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397"/>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C5C"/>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895"/>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730"/>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079"/>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B54"/>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598"/>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B47"/>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F2"/>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3D5"/>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FA"/>
    <w:rsid w:val="00B70E01"/>
    <w:rsid w:val="00B71F65"/>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7FF"/>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AE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D17"/>
    <w:rsid w:val="00CD4E50"/>
    <w:rsid w:val="00CD57CB"/>
    <w:rsid w:val="00CD64E1"/>
    <w:rsid w:val="00CD66BA"/>
    <w:rsid w:val="00CD699D"/>
    <w:rsid w:val="00CD6BA3"/>
    <w:rsid w:val="00CD70DB"/>
    <w:rsid w:val="00CD7544"/>
    <w:rsid w:val="00CD78D4"/>
    <w:rsid w:val="00CD79D6"/>
    <w:rsid w:val="00CE0697"/>
    <w:rsid w:val="00CE14CB"/>
    <w:rsid w:val="00CE2E2E"/>
    <w:rsid w:val="00CE3A51"/>
    <w:rsid w:val="00CE41F9"/>
    <w:rsid w:val="00CE45CD"/>
    <w:rsid w:val="00CE59F6"/>
    <w:rsid w:val="00CE66CD"/>
    <w:rsid w:val="00CE6BA9"/>
    <w:rsid w:val="00CE71C3"/>
    <w:rsid w:val="00CE727A"/>
    <w:rsid w:val="00CF003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6F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1C7"/>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286"/>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586"/>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A17"/>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976"/>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6C58"/>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7B"/>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0EA8"/>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2A6"/>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48B"/>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0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82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C7CCD"/>
    <w:rsid w:val="019F7441"/>
    <w:rsid w:val="01B37585"/>
    <w:rsid w:val="01BA1319"/>
    <w:rsid w:val="01D55165"/>
    <w:rsid w:val="01DF6BF8"/>
    <w:rsid w:val="01EC2C57"/>
    <w:rsid w:val="01ED6FD3"/>
    <w:rsid w:val="02642858"/>
    <w:rsid w:val="026B2E25"/>
    <w:rsid w:val="02824D4D"/>
    <w:rsid w:val="02DC4B10"/>
    <w:rsid w:val="02DD76CE"/>
    <w:rsid w:val="02F36323"/>
    <w:rsid w:val="02F5619C"/>
    <w:rsid w:val="0326446A"/>
    <w:rsid w:val="0327517C"/>
    <w:rsid w:val="032D5555"/>
    <w:rsid w:val="036634D2"/>
    <w:rsid w:val="038C7DA2"/>
    <w:rsid w:val="03DC7204"/>
    <w:rsid w:val="03DD35E4"/>
    <w:rsid w:val="04076900"/>
    <w:rsid w:val="041A5A3B"/>
    <w:rsid w:val="0421059C"/>
    <w:rsid w:val="042311BA"/>
    <w:rsid w:val="042B157A"/>
    <w:rsid w:val="048F763B"/>
    <w:rsid w:val="049F330E"/>
    <w:rsid w:val="04AA775C"/>
    <w:rsid w:val="04AF1889"/>
    <w:rsid w:val="04F66F48"/>
    <w:rsid w:val="05251E14"/>
    <w:rsid w:val="05A16594"/>
    <w:rsid w:val="05A7762D"/>
    <w:rsid w:val="05D723D3"/>
    <w:rsid w:val="060E5941"/>
    <w:rsid w:val="06110FAF"/>
    <w:rsid w:val="06493CA7"/>
    <w:rsid w:val="064D67D9"/>
    <w:rsid w:val="065A6178"/>
    <w:rsid w:val="066F1CF3"/>
    <w:rsid w:val="06930BB8"/>
    <w:rsid w:val="06DA4BFF"/>
    <w:rsid w:val="07126147"/>
    <w:rsid w:val="07245D42"/>
    <w:rsid w:val="07264C62"/>
    <w:rsid w:val="0779354C"/>
    <w:rsid w:val="08061376"/>
    <w:rsid w:val="08197612"/>
    <w:rsid w:val="08452D77"/>
    <w:rsid w:val="084F7559"/>
    <w:rsid w:val="086401F8"/>
    <w:rsid w:val="08751CAA"/>
    <w:rsid w:val="087E4C40"/>
    <w:rsid w:val="08D66AD6"/>
    <w:rsid w:val="08DA33A3"/>
    <w:rsid w:val="08E80F13"/>
    <w:rsid w:val="08FD1DEA"/>
    <w:rsid w:val="09335624"/>
    <w:rsid w:val="0944690F"/>
    <w:rsid w:val="09535675"/>
    <w:rsid w:val="095F057D"/>
    <w:rsid w:val="09642282"/>
    <w:rsid w:val="09733572"/>
    <w:rsid w:val="09772C16"/>
    <w:rsid w:val="098353B5"/>
    <w:rsid w:val="098E09A3"/>
    <w:rsid w:val="09A92330"/>
    <w:rsid w:val="09B06B87"/>
    <w:rsid w:val="09C13146"/>
    <w:rsid w:val="09E04166"/>
    <w:rsid w:val="0A1C0718"/>
    <w:rsid w:val="0A3E7710"/>
    <w:rsid w:val="0A5B7E63"/>
    <w:rsid w:val="0AA374A5"/>
    <w:rsid w:val="0AAB7649"/>
    <w:rsid w:val="0ABC5606"/>
    <w:rsid w:val="0AF4451F"/>
    <w:rsid w:val="0B30404E"/>
    <w:rsid w:val="0B492CC2"/>
    <w:rsid w:val="0B4C6C14"/>
    <w:rsid w:val="0B631A88"/>
    <w:rsid w:val="0B683D45"/>
    <w:rsid w:val="0B7F3F11"/>
    <w:rsid w:val="0B884417"/>
    <w:rsid w:val="0B8F4947"/>
    <w:rsid w:val="0B953FC7"/>
    <w:rsid w:val="0BC042E6"/>
    <w:rsid w:val="0BDB4CD8"/>
    <w:rsid w:val="0BF6188C"/>
    <w:rsid w:val="0BF73C91"/>
    <w:rsid w:val="0C0360CB"/>
    <w:rsid w:val="0C170175"/>
    <w:rsid w:val="0C370E2F"/>
    <w:rsid w:val="0C571A41"/>
    <w:rsid w:val="0C5C1171"/>
    <w:rsid w:val="0C5E1CBC"/>
    <w:rsid w:val="0C615B50"/>
    <w:rsid w:val="0C6E3780"/>
    <w:rsid w:val="0C8445DA"/>
    <w:rsid w:val="0C87121B"/>
    <w:rsid w:val="0CC007F7"/>
    <w:rsid w:val="0CFE707A"/>
    <w:rsid w:val="0D063BDA"/>
    <w:rsid w:val="0D08375F"/>
    <w:rsid w:val="0D184CFB"/>
    <w:rsid w:val="0D4A7419"/>
    <w:rsid w:val="0D676AC1"/>
    <w:rsid w:val="0D827401"/>
    <w:rsid w:val="0D84094E"/>
    <w:rsid w:val="0D8A00E9"/>
    <w:rsid w:val="0D8D589E"/>
    <w:rsid w:val="0DA01C73"/>
    <w:rsid w:val="0DD63300"/>
    <w:rsid w:val="0DF50604"/>
    <w:rsid w:val="0DF702FE"/>
    <w:rsid w:val="0E060E51"/>
    <w:rsid w:val="0E5604B2"/>
    <w:rsid w:val="0E5C414B"/>
    <w:rsid w:val="0E6D5D79"/>
    <w:rsid w:val="0E8D69FB"/>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319CE"/>
    <w:rsid w:val="10646583"/>
    <w:rsid w:val="10743176"/>
    <w:rsid w:val="107D4B15"/>
    <w:rsid w:val="108A3C80"/>
    <w:rsid w:val="10A02A07"/>
    <w:rsid w:val="10A22BBA"/>
    <w:rsid w:val="10C26171"/>
    <w:rsid w:val="10F33360"/>
    <w:rsid w:val="10FC16EA"/>
    <w:rsid w:val="110F1D40"/>
    <w:rsid w:val="111B5819"/>
    <w:rsid w:val="11266F33"/>
    <w:rsid w:val="116023BF"/>
    <w:rsid w:val="118963A1"/>
    <w:rsid w:val="11C6522A"/>
    <w:rsid w:val="11E104CC"/>
    <w:rsid w:val="11E20309"/>
    <w:rsid w:val="12255233"/>
    <w:rsid w:val="12530213"/>
    <w:rsid w:val="127723A9"/>
    <w:rsid w:val="12862074"/>
    <w:rsid w:val="12883966"/>
    <w:rsid w:val="129427A7"/>
    <w:rsid w:val="129E45B4"/>
    <w:rsid w:val="12BB58E4"/>
    <w:rsid w:val="12D81596"/>
    <w:rsid w:val="13072A44"/>
    <w:rsid w:val="13172C53"/>
    <w:rsid w:val="135F4BE2"/>
    <w:rsid w:val="139B1A0A"/>
    <w:rsid w:val="139D25C7"/>
    <w:rsid w:val="13BF3CE4"/>
    <w:rsid w:val="13FB2D35"/>
    <w:rsid w:val="141008D8"/>
    <w:rsid w:val="14125FE6"/>
    <w:rsid w:val="146D271E"/>
    <w:rsid w:val="14731F34"/>
    <w:rsid w:val="14982588"/>
    <w:rsid w:val="149A5AD9"/>
    <w:rsid w:val="14A7619D"/>
    <w:rsid w:val="150536C3"/>
    <w:rsid w:val="150C1963"/>
    <w:rsid w:val="151447A0"/>
    <w:rsid w:val="154A6454"/>
    <w:rsid w:val="15762120"/>
    <w:rsid w:val="15DE6F34"/>
    <w:rsid w:val="16A8729C"/>
    <w:rsid w:val="16B33777"/>
    <w:rsid w:val="16BC70A7"/>
    <w:rsid w:val="16BE1161"/>
    <w:rsid w:val="16C6339E"/>
    <w:rsid w:val="16F36C8C"/>
    <w:rsid w:val="172F2D79"/>
    <w:rsid w:val="17557BEF"/>
    <w:rsid w:val="177E0790"/>
    <w:rsid w:val="178E5663"/>
    <w:rsid w:val="17BF5F86"/>
    <w:rsid w:val="17D349C1"/>
    <w:rsid w:val="17E97229"/>
    <w:rsid w:val="1830729E"/>
    <w:rsid w:val="1870062C"/>
    <w:rsid w:val="18817102"/>
    <w:rsid w:val="18830A15"/>
    <w:rsid w:val="18852B28"/>
    <w:rsid w:val="188B5321"/>
    <w:rsid w:val="19401D80"/>
    <w:rsid w:val="19932372"/>
    <w:rsid w:val="19A20DD5"/>
    <w:rsid w:val="19AE03F1"/>
    <w:rsid w:val="1A071A03"/>
    <w:rsid w:val="1A1F16AE"/>
    <w:rsid w:val="1A336431"/>
    <w:rsid w:val="1A3B541D"/>
    <w:rsid w:val="1A3B5C77"/>
    <w:rsid w:val="1A984BAD"/>
    <w:rsid w:val="1AB8220E"/>
    <w:rsid w:val="1ABF0FF7"/>
    <w:rsid w:val="1AE4166C"/>
    <w:rsid w:val="1AF06CFB"/>
    <w:rsid w:val="1AF11B8D"/>
    <w:rsid w:val="1B11359C"/>
    <w:rsid w:val="1B2A271F"/>
    <w:rsid w:val="1B530544"/>
    <w:rsid w:val="1B713184"/>
    <w:rsid w:val="1BA209CF"/>
    <w:rsid w:val="1BB4777D"/>
    <w:rsid w:val="1BD75AB8"/>
    <w:rsid w:val="1BE04958"/>
    <w:rsid w:val="1C0459C2"/>
    <w:rsid w:val="1C1B3B4A"/>
    <w:rsid w:val="1C88086E"/>
    <w:rsid w:val="1D266CE1"/>
    <w:rsid w:val="1D3963AF"/>
    <w:rsid w:val="1D461625"/>
    <w:rsid w:val="1D6A673C"/>
    <w:rsid w:val="1D9247AE"/>
    <w:rsid w:val="1DB567EC"/>
    <w:rsid w:val="1DE83887"/>
    <w:rsid w:val="1DF51A98"/>
    <w:rsid w:val="1E301EA9"/>
    <w:rsid w:val="1E3D060F"/>
    <w:rsid w:val="1E3F7D2E"/>
    <w:rsid w:val="1E4134E4"/>
    <w:rsid w:val="1E5062B3"/>
    <w:rsid w:val="1E523514"/>
    <w:rsid w:val="1E714A66"/>
    <w:rsid w:val="1E802593"/>
    <w:rsid w:val="1EA703CC"/>
    <w:rsid w:val="1EB27A1A"/>
    <w:rsid w:val="1EB7330C"/>
    <w:rsid w:val="1EEA475D"/>
    <w:rsid w:val="1F0A0FF3"/>
    <w:rsid w:val="1F5771FF"/>
    <w:rsid w:val="1F5E1D3F"/>
    <w:rsid w:val="1F6B09CC"/>
    <w:rsid w:val="1F710C26"/>
    <w:rsid w:val="1F796E16"/>
    <w:rsid w:val="1FE868A9"/>
    <w:rsid w:val="20034907"/>
    <w:rsid w:val="20173E4B"/>
    <w:rsid w:val="204E48BC"/>
    <w:rsid w:val="208921B3"/>
    <w:rsid w:val="20973DEB"/>
    <w:rsid w:val="20B26522"/>
    <w:rsid w:val="20B44310"/>
    <w:rsid w:val="20FE5F27"/>
    <w:rsid w:val="211116EB"/>
    <w:rsid w:val="216133FC"/>
    <w:rsid w:val="21D56769"/>
    <w:rsid w:val="21E52EF3"/>
    <w:rsid w:val="21FB5D7B"/>
    <w:rsid w:val="220B1C3D"/>
    <w:rsid w:val="221D1D20"/>
    <w:rsid w:val="22334A87"/>
    <w:rsid w:val="22477E35"/>
    <w:rsid w:val="2265761B"/>
    <w:rsid w:val="22981382"/>
    <w:rsid w:val="22BE6801"/>
    <w:rsid w:val="233500BF"/>
    <w:rsid w:val="23377FF7"/>
    <w:rsid w:val="23541B28"/>
    <w:rsid w:val="23651C9F"/>
    <w:rsid w:val="236B425F"/>
    <w:rsid w:val="23836192"/>
    <w:rsid w:val="23901F29"/>
    <w:rsid w:val="239816A9"/>
    <w:rsid w:val="239C0061"/>
    <w:rsid w:val="23B908A4"/>
    <w:rsid w:val="23D47425"/>
    <w:rsid w:val="23E95BEF"/>
    <w:rsid w:val="23F8419A"/>
    <w:rsid w:val="23FD0064"/>
    <w:rsid w:val="240A0748"/>
    <w:rsid w:val="24525BA6"/>
    <w:rsid w:val="245375B0"/>
    <w:rsid w:val="2455721C"/>
    <w:rsid w:val="24642C0A"/>
    <w:rsid w:val="24B22173"/>
    <w:rsid w:val="24B95AD9"/>
    <w:rsid w:val="24BE24DA"/>
    <w:rsid w:val="24CF5825"/>
    <w:rsid w:val="24D663E6"/>
    <w:rsid w:val="24D77F2B"/>
    <w:rsid w:val="25467169"/>
    <w:rsid w:val="256C0A82"/>
    <w:rsid w:val="258B00E2"/>
    <w:rsid w:val="25A917A6"/>
    <w:rsid w:val="25BE27CC"/>
    <w:rsid w:val="25F74A5C"/>
    <w:rsid w:val="2628662C"/>
    <w:rsid w:val="262D45DE"/>
    <w:rsid w:val="26A53EF9"/>
    <w:rsid w:val="26A94201"/>
    <w:rsid w:val="26AC274F"/>
    <w:rsid w:val="27044A29"/>
    <w:rsid w:val="271D34C8"/>
    <w:rsid w:val="276142BF"/>
    <w:rsid w:val="276A793C"/>
    <w:rsid w:val="27783712"/>
    <w:rsid w:val="27907362"/>
    <w:rsid w:val="27D65640"/>
    <w:rsid w:val="28333E1D"/>
    <w:rsid w:val="28454BD6"/>
    <w:rsid w:val="28455253"/>
    <w:rsid w:val="28551971"/>
    <w:rsid w:val="28562DBC"/>
    <w:rsid w:val="285B1C53"/>
    <w:rsid w:val="28865754"/>
    <w:rsid w:val="289F7086"/>
    <w:rsid w:val="28C32028"/>
    <w:rsid w:val="28CC490F"/>
    <w:rsid w:val="28CE678A"/>
    <w:rsid w:val="28DE40AA"/>
    <w:rsid w:val="29345E77"/>
    <w:rsid w:val="294C65AD"/>
    <w:rsid w:val="29806583"/>
    <w:rsid w:val="298B3C4C"/>
    <w:rsid w:val="29AA44E3"/>
    <w:rsid w:val="29F26D24"/>
    <w:rsid w:val="2A135BAE"/>
    <w:rsid w:val="2A15033F"/>
    <w:rsid w:val="2A1662C1"/>
    <w:rsid w:val="2A1C7367"/>
    <w:rsid w:val="2A2815FA"/>
    <w:rsid w:val="2A6D6092"/>
    <w:rsid w:val="2A7D76B4"/>
    <w:rsid w:val="2AB04AFB"/>
    <w:rsid w:val="2ADF169D"/>
    <w:rsid w:val="2B01378D"/>
    <w:rsid w:val="2B184983"/>
    <w:rsid w:val="2B437463"/>
    <w:rsid w:val="2B54647E"/>
    <w:rsid w:val="2B717030"/>
    <w:rsid w:val="2B7807EE"/>
    <w:rsid w:val="2BBF00EC"/>
    <w:rsid w:val="2BC37CFD"/>
    <w:rsid w:val="2BD5237F"/>
    <w:rsid w:val="2BE536CE"/>
    <w:rsid w:val="2BE758D9"/>
    <w:rsid w:val="2C07444B"/>
    <w:rsid w:val="2C09049E"/>
    <w:rsid w:val="2C0A653C"/>
    <w:rsid w:val="2C191F85"/>
    <w:rsid w:val="2CBA6413"/>
    <w:rsid w:val="2CE82D6F"/>
    <w:rsid w:val="2D343236"/>
    <w:rsid w:val="2DD15014"/>
    <w:rsid w:val="2DD94284"/>
    <w:rsid w:val="2DF72DE4"/>
    <w:rsid w:val="2E0220AF"/>
    <w:rsid w:val="2E4B082A"/>
    <w:rsid w:val="2E5D4E86"/>
    <w:rsid w:val="2E5D790B"/>
    <w:rsid w:val="2E843E79"/>
    <w:rsid w:val="2E9A3C18"/>
    <w:rsid w:val="2EBB0FEE"/>
    <w:rsid w:val="2EC63002"/>
    <w:rsid w:val="2F0A6B38"/>
    <w:rsid w:val="2F4352DD"/>
    <w:rsid w:val="2F9341F7"/>
    <w:rsid w:val="2F946CCB"/>
    <w:rsid w:val="2FC531C8"/>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482AEC"/>
    <w:rsid w:val="336963EB"/>
    <w:rsid w:val="33816EEB"/>
    <w:rsid w:val="33CA65B2"/>
    <w:rsid w:val="33EB55CD"/>
    <w:rsid w:val="33EC4C02"/>
    <w:rsid w:val="340D2360"/>
    <w:rsid w:val="3410665D"/>
    <w:rsid w:val="34211214"/>
    <w:rsid w:val="342E63AB"/>
    <w:rsid w:val="34923951"/>
    <w:rsid w:val="34950E68"/>
    <w:rsid w:val="34986E94"/>
    <w:rsid w:val="34AF62C9"/>
    <w:rsid w:val="34CB4388"/>
    <w:rsid w:val="34FA6E12"/>
    <w:rsid w:val="350F1991"/>
    <w:rsid w:val="358D5588"/>
    <w:rsid w:val="35981D80"/>
    <w:rsid w:val="360D5E4C"/>
    <w:rsid w:val="36254B21"/>
    <w:rsid w:val="363A3B40"/>
    <w:rsid w:val="365302AE"/>
    <w:rsid w:val="36607A0A"/>
    <w:rsid w:val="366E227C"/>
    <w:rsid w:val="366F2E0D"/>
    <w:rsid w:val="367B6A5C"/>
    <w:rsid w:val="367E61E3"/>
    <w:rsid w:val="36A74ADA"/>
    <w:rsid w:val="36AD60D5"/>
    <w:rsid w:val="36B224F9"/>
    <w:rsid w:val="36EC0CC9"/>
    <w:rsid w:val="36FC5E87"/>
    <w:rsid w:val="37224F7B"/>
    <w:rsid w:val="37310EE3"/>
    <w:rsid w:val="373F410B"/>
    <w:rsid w:val="378660C8"/>
    <w:rsid w:val="37EE7094"/>
    <w:rsid w:val="38296C89"/>
    <w:rsid w:val="383002EB"/>
    <w:rsid w:val="38565037"/>
    <w:rsid w:val="38586797"/>
    <w:rsid w:val="38BC0149"/>
    <w:rsid w:val="38D87D1C"/>
    <w:rsid w:val="39636459"/>
    <w:rsid w:val="396B7F6C"/>
    <w:rsid w:val="39A32C64"/>
    <w:rsid w:val="39B417A9"/>
    <w:rsid w:val="39DA0497"/>
    <w:rsid w:val="39F06197"/>
    <w:rsid w:val="39FC5695"/>
    <w:rsid w:val="3A006D8E"/>
    <w:rsid w:val="3A3651E5"/>
    <w:rsid w:val="3A616A18"/>
    <w:rsid w:val="3A744481"/>
    <w:rsid w:val="3A8C7BEF"/>
    <w:rsid w:val="3A906246"/>
    <w:rsid w:val="3AC05E20"/>
    <w:rsid w:val="3ADE3FB6"/>
    <w:rsid w:val="3B0741BF"/>
    <w:rsid w:val="3B2319C9"/>
    <w:rsid w:val="3B2349B7"/>
    <w:rsid w:val="3B616CFF"/>
    <w:rsid w:val="3B6259F6"/>
    <w:rsid w:val="3B976654"/>
    <w:rsid w:val="3BC01EFC"/>
    <w:rsid w:val="3BCA786A"/>
    <w:rsid w:val="3BD31E2F"/>
    <w:rsid w:val="3BF15831"/>
    <w:rsid w:val="3BFF5887"/>
    <w:rsid w:val="3C063CB7"/>
    <w:rsid w:val="3C105946"/>
    <w:rsid w:val="3C471448"/>
    <w:rsid w:val="3C5F759A"/>
    <w:rsid w:val="3C6C525A"/>
    <w:rsid w:val="3CCE23CB"/>
    <w:rsid w:val="3CD17D17"/>
    <w:rsid w:val="3D3C7F39"/>
    <w:rsid w:val="3D440F09"/>
    <w:rsid w:val="3D4504A0"/>
    <w:rsid w:val="3D8734BB"/>
    <w:rsid w:val="3D9A11D4"/>
    <w:rsid w:val="3DA16D89"/>
    <w:rsid w:val="3DA364BE"/>
    <w:rsid w:val="3DD5344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A3C9D"/>
    <w:rsid w:val="3FF46A69"/>
    <w:rsid w:val="4019356B"/>
    <w:rsid w:val="40592157"/>
    <w:rsid w:val="406E1CAE"/>
    <w:rsid w:val="40A0133A"/>
    <w:rsid w:val="40A74181"/>
    <w:rsid w:val="40C31A53"/>
    <w:rsid w:val="40FF545D"/>
    <w:rsid w:val="410067C8"/>
    <w:rsid w:val="418F0D2A"/>
    <w:rsid w:val="41D01505"/>
    <w:rsid w:val="41D63FD8"/>
    <w:rsid w:val="41E2613A"/>
    <w:rsid w:val="41F76AC7"/>
    <w:rsid w:val="4214206C"/>
    <w:rsid w:val="42474939"/>
    <w:rsid w:val="424C3C57"/>
    <w:rsid w:val="42613FF3"/>
    <w:rsid w:val="42660D96"/>
    <w:rsid w:val="428667D2"/>
    <w:rsid w:val="42CD1CE0"/>
    <w:rsid w:val="42E1381E"/>
    <w:rsid w:val="42ED6459"/>
    <w:rsid w:val="42FE58DD"/>
    <w:rsid w:val="43174B3D"/>
    <w:rsid w:val="434B790E"/>
    <w:rsid w:val="4352109E"/>
    <w:rsid w:val="4360274F"/>
    <w:rsid w:val="43977AB6"/>
    <w:rsid w:val="43A3342B"/>
    <w:rsid w:val="43C168D5"/>
    <w:rsid w:val="43C77C27"/>
    <w:rsid w:val="43DE09EE"/>
    <w:rsid w:val="44002FAD"/>
    <w:rsid w:val="44467546"/>
    <w:rsid w:val="449101DD"/>
    <w:rsid w:val="44A56A9D"/>
    <w:rsid w:val="44DE1391"/>
    <w:rsid w:val="451B225C"/>
    <w:rsid w:val="452410C9"/>
    <w:rsid w:val="4530540F"/>
    <w:rsid w:val="45317DFB"/>
    <w:rsid w:val="456D3CE4"/>
    <w:rsid w:val="4579042C"/>
    <w:rsid w:val="457F0571"/>
    <w:rsid w:val="45851176"/>
    <w:rsid w:val="45C63B94"/>
    <w:rsid w:val="460E7DA5"/>
    <w:rsid w:val="463074C6"/>
    <w:rsid w:val="46422483"/>
    <w:rsid w:val="4659254A"/>
    <w:rsid w:val="465B0637"/>
    <w:rsid w:val="465E3F0D"/>
    <w:rsid w:val="4666131C"/>
    <w:rsid w:val="466A16E6"/>
    <w:rsid w:val="46893F2B"/>
    <w:rsid w:val="46C4686E"/>
    <w:rsid w:val="477B778F"/>
    <w:rsid w:val="478203EC"/>
    <w:rsid w:val="47B025FA"/>
    <w:rsid w:val="47B2272C"/>
    <w:rsid w:val="47CB3490"/>
    <w:rsid w:val="4809698F"/>
    <w:rsid w:val="4811697D"/>
    <w:rsid w:val="48135E3E"/>
    <w:rsid w:val="48542939"/>
    <w:rsid w:val="487A3E25"/>
    <w:rsid w:val="487F17BC"/>
    <w:rsid w:val="488B5503"/>
    <w:rsid w:val="48937E21"/>
    <w:rsid w:val="489A0361"/>
    <w:rsid w:val="48B94FF3"/>
    <w:rsid w:val="48E37AAB"/>
    <w:rsid w:val="48F863BB"/>
    <w:rsid w:val="48FD4B4C"/>
    <w:rsid w:val="490A68E0"/>
    <w:rsid w:val="491055FE"/>
    <w:rsid w:val="494347C5"/>
    <w:rsid w:val="495551F2"/>
    <w:rsid w:val="495F5B3E"/>
    <w:rsid w:val="496F77D7"/>
    <w:rsid w:val="497654FD"/>
    <w:rsid w:val="49B64211"/>
    <w:rsid w:val="49F6167F"/>
    <w:rsid w:val="4A064FA0"/>
    <w:rsid w:val="4A16615C"/>
    <w:rsid w:val="4A3239D7"/>
    <w:rsid w:val="4A4424D7"/>
    <w:rsid w:val="4A86097D"/>
    <w:rsid w:val="4AB82D0F"/>
    <w:rsid w:val="4AEB7664"/>
    <w:rsid w:val="4AFD7C19"/>
    <w:rsid w:val="4B0567D1"/>
    <w:rsid w:val="4B071261"/>
    <w:rsid w:val="4B236AAE"/>
    <w:rsid w:val="4B3527A5"/>
    <w:rsid w:val="4B707271"/>
    <w:rsid w:val="4B9739F7"/>
    <w:rsid w:val="4BD45567"/>
    <w:rsid w:val="4BEE2503"/>
    <w:rsid w:val="4BF75105"/>
    <w:rsid w:val="4C245A30"/>
    <w:rsid w:val="4C864D29"/>
    <w:rsid w:val="4CB6685F"/>
    <w:rsid w:val="4CC367FE"/>
    <w:rsid w:val="4D077F3C"/>
    <w:rsid w:val="4D123355"/>
    <w:rsid w:val="4D2A3B31"/>
    <w:rsid w:val="4D312C52"/>
    <w:rsid w:val="4D905305"/>
    <w:rsid w:val="4D964A72"/>
    <w:rsid w:val="4D9C1254"/>
    <w:rsid w:val="4DAE7818"/>
    <w:rsid w:val="4E2D2E33"/>
    <w:rsid w:val="4E793892"/>
    <w:rsid w:val="4E800872"/>
    <w:rsid w:val="4EC569ED"/>
    <w:rsid w:val="4EC704B1"/>
    <w:rsid w:val="4ED50EA1"/>
    <w:rsid w:val="4EE72817"/>
    <w:rsid w:val="4EEC050C"/>
    <w:rsid w:val="4F0A3800"/>
    <w:rsid w:val="4F104EC3"/>
    <w:rsid w:val="4F141E26"/>
    <w:rsid w:val="4F47354A"/>
    <w:rsid w:val="4F911C54"/>
    <w:rsid w:val="4FD90BCF"/>
    <w:rsid w:val="4FE20470"/>
    <w:rsid w:val="4FE625E0"/>
    <w:rsid w:val="4FFE6C3E"/>
    <w:rsid w:val="5021480F"/>
    <w:rsid w:val="50394D6F"/>
    <w:rsid w:val="50750E8F"/>
    <w:rsid w:val="50962ECB"/>
    <w:rsid w:val="50A42E38"/>
    <w:rsid w:val="50A4577F"/>
    <w:rsid w:val="50B73D1F"/>
    <w:rsid w:val="50BD5BC9"/>
    <w:rsid w:val="50C11EEE"/>
    <w:rsid w:val="50E97CFC"/>
    <w:rsid w:val="50FA4028"/>
    <w:rsid w:val="510D65B7"/>
    <w:rsid w:val="511157AB"/>
    <w:rsid w:val="5142540C"/>
    <w:rsid w:val="518832C8"/>
    <w:rsid w:val="519F5234"/>
    <w:rsid w:val="51A0432A"/>
    <w:rsid w:val="51A86090"/>
    <w:rsid w:val="51B7396D"/>
    <w:rsid w:val="521F3107"/>
    <w:rsid w:val="522E4CC3"/>
    <w:rsid w:val="5244713B"/>
    <w:rsid w:val="52615633"/>
    <w:rsid w:val="52977FD4"/>
    <w:rsid w:val="52A25790"/>
    <w:rsid w:val="52A96B6F"/>
    <w:rsid w:val="52B45975"/>
    <w:rsid w:val="52D94AA4"/>
    <w:rsid w:val="52EA3A62"/>
    <w:rsid w:val="52F50BB8"/>
    <w:rsid w:val="53097272"/>
    <w:rsid w:val="531526DC"/>
    <w:rsid w:val="53414394"/>
    <w:rsid w:val="53544462"/>
    <w:rsid w:val="5397158E"/>
    <w:rsid w:val="53C25DCC"/>
    <w:rsid w:val="54013861"/>
    <w:rsid w:val="542A104D"/>
    <w:rsid w:val="54431441"/>
    <w:rsid w:val="54487265"/>
    <w:rsid w:val="544D6070"/>
    <w:rsid w:val="545E28FC"/>
    <w:rsid w:val="54605E1E"/>
    <w:rsid w:val="54B3506A"/>
    <w:rsid w:val="54B40BE7"/>
    <w:rsid w:val="54C61495"/>
    <w:rsid w:val="54CA0D16"/>
    <w:rsid w:val="54CB65CA"/>
    <w:rsid w:val="54DD4057"/>
    <w:rsid w:val="54E7490F"/>
    <w:rsid w:val="54ED3438"/>
    <w:rsid w:val="5501462D"/>
    <w:rsid w:val="550764A4"/>
    <w:rsid w:val="550B2BF6"/>
    <w:rsid w:val="55214EB5"/>
    <w:rsid w:val="55364EFD"/>
    <w:rsid w:val="555D4828"/>
    <w:rsid w:val="557A4C8B"/>
    <w:rsid w:val="557B0F98"/>
    <w:rsid w:val="558931E1"/>
    <w:rsid w:val="55923347"/>
    <w:rsid w:val="55925180"/>
    <w:rsid w:val="55983B1B"/>
    <w:rsid w:val="55A8376B"/>
    <w:rsid w:val="55DC29B6"/>
    <w:rsid w:val="55DD4241"/>
    <w:rsid w:val="563D798B"/>
    <w:rsid w:val="56633D1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D59B3"/>
    <w:rsid w:val="58917D2F"/>
    <w:rsid w:val="5894085C"/>
    <w:rsid w:val="58AE4F0C"/>
    <w:rsid w:val="58B85899"/>
    <w:rsid w:val="58E363A9"/>
    <w:rsid w:val="595E1678"/>
    <w:rsid w:val="596D5BD4"/>
    <w:rsid w:val="597832C3"/>
    <w:rsid w:val="597E3DD8"/>
    <w:rsid w:val="59F80043"/>
    <w:rsid w:val="5A09252F"/>
    <w:rsid w:val="5A0B2778"/>
    <w:rsid w:val="5A1E7905"/>
    <w:rsid w:val="5A2A7C7B"/>
    <w:rsid w:val="5A3E2560"/>
    <w:rsid w:val="5A5D3B6E"/>
    <w:rsid w:val="5A637A76"/>
    <w:rsid w:val="5A6D33BA"/>
    <w:rsid w:val="5A7002B7"/>
    <w:rsid w:val="5A792B1F"/>
    <w:rsid w:val="5A824FB6"/>
    <w:rsid w:val="5A874767"/>
    <w:rsid w:val="5A9102A6"/>
    <w:rsid w:val="5AAD6F28"/>
    <w:rsid w:val="5AC635BB"/>
    <w:rsid w:val="5AD50114"/>
    <w:rsid w:val="5AD63A24"/>
    <w:rsid w:val="5B2E1A1D"/>
    <w:rsid w:val="5B843A1C"/>
    <w:rsid w:val="5B873E3F"/>
    <w:rsid w:val="5B997D9D"/>
    <w:rsid w:val="5C02690E"/>
    <w:rsid w:val="5C196DA7"/>
    <w:rsid w:val="5C2A048C"/>
    <w:rsid w:val="5C5C6AEF"/>
    <w:rsid w:val="5C80234E"/>
    <w:rsid w:val="5C8A680C"/>
    <w:rsid w:val="5CC24902"/>
    <w:rsid w:val="5CFA37F2"/>
    <w:rsid w:val="5CFD4B9E"/>
    <w:rsid w:val="5D0C4701"/>
    <w:rsid w:val="5D0F0395"/>
    <w:rsid w:val="5D221076"/>
    <w:rsid w:val="5D397964"/>
    <w:rsid w:val="5D5A391C"/>
    <w:rsid w:val="5D5F10C0"/>
    <w:rsid w:val="5D891B7B"/>
    <w:rsid w:val="5DAD38EE"/>
    <w:rsid w:val="5DB500A0"/>
    <w:rsid w:val="5DEB56F0"/>
    <w:rsid w:val="5DFC1D1E"/>
    <w:rsid w:val="5E006862"/>
    <w:rsid w:val="5E0207B9"/>
    <w:rsid w:val="5E1834A1"/>
    <w:rsid w:val="5E261785"/>
    <w:rsid w:val="5E4A7017"/>
    <w:rsid w:val="5E552BBA"/>
    <w:rsid w:val="5E611C10"/>
    <w:rsid w:val="5EE11F1E"/>
    <w:rsid w:val="5EFC7377"/>
    <w:rsid w:val="5F06174D"/>
    <w:rsid w:val="5F0D4B03"/>
    <w:rsid w:val="5F3A3602"/>
    <w:rsid w:val="5F6277C6"/>
    <w:rsid w:val="5F6D0B1D"/>
    <w:rsid w:val="5F8D0B82"/>
    <w:rsid w:val="5FCC5339"/>
    <w:rsid w:val="5FE34A5B"/>
    <w:rsid w:val="5FFE1E36"/>
    <w:rsid w:val="60232584"/>
    <w:rsid w:val="605E54D0"/>
    <w:rsid w:val="607330CE"/>
    <w:rsid w:val="60825176"/>
    <w:rsid w:val="609F2AC4"/>
    <w:rsid w:val="60FA2EE8"/>
    <w:rsid w:val="61054A27"/>
    <w:rsid w:val="610A52BC"/>
    <w:rsid w:val="611D2366"/>
    <w:rsid w:val="61322180"/>
    <w:rsid w:val="61421856"/>
    <w:rsid w:val="614E6D02"/>
    <w:rsid w:val="615227C4"/>
    <w:rsid w:val="61654E3F"/>
    <w:rsid w:val="6182292A"/>
    <w:rsid w:val="619F7F92"/>
    <w:rsid w:val="61A93B54"/>
    <w:rsid w:val="61F94C26"/>
    <w:rsid w:val="62000E56"/>
    <w:rsid w:val="620152D8"/>
    <w:rsid w:val="624F3E49"/>
    <w:rsid w:val="62632286"/>
    <w:rsid w:val="62885958"/>
    <w:rsid w:val="62F40B65"/>
    <w:rsid w:val="62FC2CFE"/>
    <w:rsid w:val="63024505"/>
    <w:rsid w:val="63031170"/>
    <w:rsid w:val="635B1DB5"/>
    <w:rsid w:val="63711FED"/>
    <w:rsid w:val="63766BFE"/>
    <w:rsid w:val="63880DDC"/>
    <w:rsid w:val="638D750D"/>
    <w:rsid w:val="63AC6CC0"/>
    <w:rsid w:val="63DF054D"/>
    <w:rsid w:val="64055776"/>
    <w:rsid w:val="64184872"/>
    <w:rsid w:val="64240056"/>
    <w:rsid w:val="643E143A"/>
    <w:rsid w:val="64786860"/>
    <w:rsid w:val="648B6EEF"/>
    <w:rsid w:val="64C158BF"/>
    <w:rsid w:val="64CE2EAA"/>
    <w:rsid w:val="653C3090"/>
    <w:rsid w:val="65854376"/>
    <w:rsid w:val="658767BE"/>
    <w:rsid w:val="65892531"/>
    <w:rsid w:val="659E54BA"/>
    <w:rsid w:val="65C90E69"/>
    <w:rsid w:val="65EA4748"/>
    <w:rsid w:val="65FE181C"/>
    <w:rsid w:val="66195831"/>
    <w:rsid w:val="662E75B1"/>
    <w:rsid w:val="66342C2E"/>
    <w:rsid w:val="663E784C"/>
    <w:rsid w:val="668B6A45"/>
    <w:rsid w:val="669C4947"/>
    <w:rsid w:val="672F3F24"/>
    <w:rsid w:val="673E055F"/>
    <w:rsid w:val="67551CE3"/>
    <w:rsid w:val="675E5CB8"/>
    <w:rsid w:val="67625388"/>
    <w:rsid w:val="67A22552"/>
    <w:rsid w:val="67B22DCC"/>
    <w:rsid w:val="67BE71AA"/>
    <w:rsid w:val="67D87514"/>
    <w:rsid w:val="67D90273"/>
    <w:rsid w:val="67DE5875"/>
    <w:rsid w:val="67DF08A2"/>
    <w:rsid w:val="67E55852"/>
    <w:rsid w:val="67EB1AB4"/>
    <w:rsid w:val="67FA1285"/>
    <w:rsid w:val="68551F4F"/>
    <w:rsid w:val="687C10C9"/>
    <w:rsid w:val="68840C16"/>
    <w:rsid w:val="68876EFB"/>
    <w:rsid w:val="68884654"/>
    <w:rsid w:val="68891E3A"/>
    <w:rsid w:val="689B3ABC"/>
    <w:rsid w:val="689F444F"/>
    <w:rsid w:val="68A009F8"/>
    <w:rsid w:val="68B96DBB"/>
    <w:rsid w:val="68CA2805"/>
    <w:rsid w:val="68E937A3"/>
    <w:rsid w:val="693E15D3"/>
    <w:rsid w:val="69627681"/>
    <w:rsid w:val="6977531D"/>
    <w:rsid w:val="69CC2BFF"/>
    <w:rsid w:val="69FD55B8"/>
    <w:rsid w:val="6A0B1C62"/>
    <w:rsid w:val="6A2406C8"/>
    <w:rsid w:val="6A3C36CD"/>
    <w:rsid w:val="6A8F5999"/>
    <w:rsid w:val="6ADE0BD1"/>
    <w:rsid w:val="6AE96859"/>
    <w:rsid w:val="6B147746"/>
    <w:rsid w:val="6B24787C"/>
    <w:rsid w:val="6B573233"/>
    <w:rsid w:val="6B5B6274"/>
    <w:rsid w:val="6B935D53"/>
    <w:rsid w:val="6BD61E9B"/>
    <w:rsid w:val="6BEB6FC7"/>
    <w:rsid w:val="6C196F71"/>
    <w:rsid w:val="6C1D0DCA"/>
    <w:rsid w:val="6C226FCB"/>
    <w:rsid w:val="6C31226F"/>
    <w:rsid w:val="6C552F0B"/>
    <w:rsid w:val="6C6116EB"/>
    <w:rsid w:val="6C8C67B7"/>
    <w:rsid w:val="6C9D744C"/>
    <w:rsid w:val="6D167928"/>
    <w:rsid w:val="6D26299B"/>
    <w:rsid w:val="6D4772EC"/>
    <w:rsid w:val="6D5476CB"/>
    <w:rsid w:val="6D9078AF"/>
    <w:rsid w:val="6DAA3FEF"/>
    <w:rsid w:val="6DC0172B"/>
    <w:rsid w:val="6DCB690C"/>
    <w:rsid w:val="6DD41A5B"/>
    <w:rsid w:val="6DF43C2E"/>
    <w:rsid w:val="6DF51CA3"/>
    <w:rsid w:val="6E624D93"/>
    <w:rsid w:val="6E8335BD"/>
    <w:rsid w:val="6E8E12EF"/>
    <w:rsid w:val="6E972936"/>
    <w:rsid w:val="6ED446C5"/>
    <w:rsid w:val="6F2A7D94"/>
    <w:rsid w:val="6F743CD3"/>
    <w:rsid w:val="6F8331F1"/>
    <w:rsid w:val="6FAE1A09"/>
    <w:rsid w:val="6FCD2CB0"/>
    <w:rsid w:val="6FD75BF8"/>
    <w:rsid w:val="707723D0"/>
    <w:rsid w:val="70CB08AF"/>
    <w:rsid w:val="70D93627"/>
    <w:rsid w:val="70F20971"/>
    <w:rsid w:val="70F5661B"/>
    <w:rsid w:val="71360107"/>
    <w:rsid w:val="713B688E"/>
    <w:rsid w:val="7143471F"/>
    <w:rsid w:val="71D43752"/>
    <w:rsid w:val="71E40621"/>
    <w:rsid w:val="71F1796A"/>
    <w:rsid w:val="72154626"/>
    <w:rsid w:val="72166298"/>
    <w:rsid w:val="721B4BCD"/>
    <w:rsid w:val="72262B5D"/>
    <w:rsid w:val="72283FF7"/>
    <w:rsid w:val="722E7212"/>
    <w:rsid w:val="723A0474"/>
    <w:rsid w:val="72562F72"/>
    <w:rsid w:val="725923E4"/>
    <w:rsid w:val="72864BF7"/>
    <w:rsid w:val="729023FC"/>
    <w:rsid w:val="72FE7326"/>
    <w:rsid w:val="73C0646E"/>
    <w:rsid w:val="73CB514E"/>
    <w:rsid w:val="742222F5"/>
    <w:rsid w:val="742D557A"/>
    <w:rsid w:val="74476126"/>
    <w:rsid w:val="74706664"/>
    <w:rsid w:val="747F3682"/>
    <w:rsid w:val="749C4185"/>
    <w:rsid w:val="74D45408"/>
    <w:rsid w:val="75067759"/>
    <w:rsid w:val="752E6DCD"/>
    <w:rsid w:val="7551380D"/>
    <w:rsid w:val="75600BE5"/>
    <w:rsid w:val="7564475C"/>
    <w:rsid w:val="7583797F"/>
    <w:rsid w:val="75D20F1D"/>
    <w:rsid w:val="75DA2C18"/>
    <w:rsid w:val="75F45DEB"/>
    <w:rsid w:val="75F54412"/>
    <w:rsid w:val="761D08E0"/>
    <w:rsid w:val="762C0135"/>
    <w:rsid w:val="765D347C"/>
    <w:rsid w:val="76826699"/>
    <w:rsid w:val="76C87133"/>
    <w:rsid w:val="76CD08D5"/>
    <w:rsid w:val="76DB4B92"/>
    <w:rsid w:val="76FE2BEF"/>
    <w:rsid w:val="77052AA4"/>
    <w:rsid w:val="77136511"/>
    <w:rsid w:val="77340A39"/>
    <w:rsid w:val="77351FD0"/>
    <w:rsid w:val="77472422"/>
    <w:rsid w:val="777F31F2"/>
    <w:rsid w:val="77B512EC"/>
    <w:rsid w:val="77D1700D"/>
    <w:rsid w:val="77EC04CC"/>
    <w:rsid w:val="78775729"/>
    <w:rsid w:val="78A42DB0"/>
    <w:rsid w:val="78A656AB"/>
    <w:rsid w:val="78B2245C"/>
    <w:rsid w:val="78C627C0"/>
    <w:rsid w:val="78E172CC"/>
    <w:rsid w:val="78EA1D1F"/>
    <w:rsid w:val="7904172F"/>
    <w:rsid w:val="790F7E27"/>
    <w:rsid w:val="792A231A"/>
    <w:rsid w:val="79316829"/>
    <w:rsid w:val="797E66A9"/>
    <w:rsid w:val="79A97383"/>
    <w:rsid w:val="79E27E8B"/>
    <w:rsid w:val="79F850CE"/>
    <w:rsid w:val="79FD443C"/>
    <w:rsid w:val="7A1D1975"/>
    <w:rsid w:val="7A1F16A2"/>
    <w:rsid w:val="7A3E5150"/>
    <w:rsid w:val="7A4670D6"/>
    <w:rsid w:val="7A534B63"/>
    <w:rsid w:val="7A615382"/>
    <w:rsid w:val="7A67303B"/>
    <w:rsid w:val="7A977FA2"/>
    <w:rsid w:val="7A990D85"/>
    <w:rsid w:val="7AAB1D04"/>
    <w:rsid w:val="7ABA4368"/>
    <w:rsid w:val="7AD05746"/>
    <w:rsid w:val="7B257FFD"/>
    <w:rsid w:val="7B343476"/>
    <w:rsid w:val="7B453BB9"/>
    <w:rsid w:val="7B5A2978"/>
    <w:rsid w:val="7B5A7E4C"/>
    <w:rsid w:val="7B667AF9"/>
    <w:rsid w:val="7B7468F8"/>
    <w:rsid w:val="7BEE0103"/>
    <w:rsid w:val="7C0A0FE4"/>
    <w:rsid w:val="7C254906"/>
    <w:rsid w:val="7C590818"/>
    <w:rsid w:val="7C6819CF"/>
    <w:rsid w:val="7C701FB9"/>
    <w:rsid w:val="7C7C10F6"/>
    <w:rsid w:val="7C853BEA"/>
    <w:rsid w:val="7C881368"/>
    <w:rsid w:val="7CE27788"/>
    <w:rsid w:val="7CF7112C"/>
    <w:rsid w:val="7D0C32F1"/>
    <w:rsid w:val="7D0F408D"/>
    <w:rsid w:val="7D3E59E9"/>
    <w:rsid w:val="7D491C6C"/>
    <w:rsid w:val="7D5429C0"/>
    <w:rsid w:val="7D553C43"/>
    <w:rsid w:val="7D6E6D43"/>
    <w:rsid w:val="7DB57A34"/>
    <w:rsid w:val="7DE60973"/>
    <w:rsid w:val="7DEF0916"/>
    <w:rsid w:val="7E1E5218"/>
    <w:rsid w:val="7E1E5516"/>
    <w:rsid w:val="7E9A4E1F"/>
    <w:rsid w:val="7EA7723A"/>
    <w:rsid w:val="7ED152B8"/>
    <w:rsid w:val="7EF56FBB"/>
    <w:rsid w:val="7F0768EB"/>
    <w:rsid w:val="7F143BEC"/>
    <w:rsid w:val="7F715AF2"/>
    <w:rsid w:val="7F886E69"/>
    <w:rsid w:val="7FC05959"/>
    <w:rsid w:val="7FC248D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708"/>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uiPriority w:val="1"/>
  </w:style>
  <w:style w:type="table" w:default="1" w:styleId="66">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5"/>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0"/>
    <w:qFormat/>
    <w:uiPriority w:val="0"/>
    <w:pPr>
      <w:shd w:val="clear" w:color="auto" w:fill="000080"/>
    </w:pPr>
  </w:style>
  <w:style w:type="paragraph" w:styleId="19">
    <w:name w:val="annotation text"/>
    <w:basedOn w:val="1"/>
    <w:link w:val="868"/>
    <w:qFormat/>
    <w:uiPriority w:val="99"/>
    <w:pPr>
      <w:jc w:val="left"/>
    </w:pPr>
  </w:style>
  <w:style w:type="paragraph" w:styleId="20">
    <w:name w:val="Salutation"/>
    <w:basedOn w:val="1"/>
    <w:next w:val="1"/>
    <w:link w:val="828"/>
    <w:qFormat/>
    <w:uiPriority w:val="0"/>
    <w:rPr>
      <w:rFonts w:ascii="仿宋_GB2312" w:eastAsia="仿宋_GB2312"/>
      <w:sz w:val="28"/>
      <w:szCs w:val="20"/>
    </w:rPr>
  </w:style>
  <w:style w:type="paragraph" w:styleId="21">
    <w:name w:val="Body Text 3"/>
    <w:basedOn w:val="1"/>
    <w:link w:val="85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7"/>
    <w:qFormat/>
    <w:uiPriority w:val="0"/>
    <w:pPr>
      <w:ind w:firstLine="420"/>
    </w:pPr>
    <w:rPr>
      <w:rFonts w:hAnsi="Calibri" w:cs="Times New Roman"/>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796"/>
    <w:autoRedefine/>
    <w:qFormat/>
    <w:uiPriority w:val="0"/>
    <w:pPr>
      <w:spacing w:line="480" w:lineRule="exact"/>
      <w:ind w:firstLine="480" w:firstLineChars="200"/>
    </w:pPr>
    <w:rPr>
      <w:rFonts w:ascii="宋体" w:hAnsi="宋体"/>
      <w:sz w:val="24"/>
    </w:rPr>
  </w:style>
  <w:style w:type="paragraph" w:customStyle="1" w:styleId="27">
    <w:name w:val="正文文本首行缩进 21"/>
    <w:basedOn w:val="28"/>
    <w:autoRedefine/>
    <w:qFormat/>
    <w:uiPriority w:val="99"/>
    <w:pPr>
      <w:tabs>
        <w:tab w:val="right" w:leader="dot" w:pos="8268"/>
      </w:tabs>
      <w:spacing w:line="200" w:lineRule="atLeast"/>
      <w:ind w:firstLine="420"/>
    </w:pPr>
    <w:rPr>
      <w:spacing w:val="-4"/>
      <w:sz w:val="18"/>
    </w:rPr>
  </w:style>
  <w:style w:type="paragraph" w:customStyle="1" w:styleId="28">
    <w:name w:val="正文缩进1"/>
    <w:basedOn w:val="29"/>
    <w:next w:val="27"/>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9">
    <w:name w:val="正文1"/>
    <w:basedOn w:val="30"/>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7"/>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next w:val="1"/>
    <w:link w:val="672"/>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722"/>
    <w:autoRedefine/>
    <w:qFormat/>
    <w:uiPriority w:val="0"/>
    <w:pPr>
      <w:ind w:left="100" w:leftChars="2500"/>
    </w:pPr>
    <w:rPr>
      <w:rFonts w:ascii="宋体"/>
      <w:sz w:val="24"/>
      <w:szCs w:val="21"/>
      <w:lang w:val="zh-CN"/>
    </w:rPr>
  </w:style>
  <w:style w:type="paragraph" w:styleId="41">
    <w:name w:val="Body Text Indent 2"/>
    <w:basedOn w:val="1"/>
    <w:link w:val="836"/>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53"/>
    <w:autoRedefine/>
    <w:qFormat/>
    <w:uiPriority w:val="0"/>
    <w:rPr>
      <w:lang w:val="zh-CN"/>
    </w:rPr>
  </w:style>
  <w:style w:type="paragraph" w:styleId="43">
    <w:name w:val="Balloon Text"/>
    <w:basedOn w:val="1"/>
    <w:link w:val="729"/>
    <w:autoRedefine/>
    <w:qFormat/>
    <w:uiPriority w:val="0"/>
    <w:rPr>
      <w:sz w:val="18"/>
      <w:szCs w:val="18"/>
    </w:rPr>
  </w:style>
  <w:style w:type="paragraph" w:styleId="44">
    <w:name w:val="footer"/>
    <w:basedOn w:val="1"/>
    <w:link w:val="904"/>
    <w:autoRedefine/>
    <w:qFormat/>
    <w:uiPriority w:val="99"/>
    <w:pPr>
      <w:tabs>
        <w:tab w:val="center" w:pos="4153"/>
        <w:tab w:val="right" w:pos="8306"/>
      </w:tabs>
      <w:snapToGrid w:val="0"/>
      <w:jc w:val="left"/>
    </w:pPr>
    <w:rPr>
      <w:sz w:val="18"/>
      <w:szCs w:val="18"/>
    </w:rPr>
  </w:style>
  <w:style w:type="paragraph" w:styleId="45">
    <w:name w:val="header"/>
    <w:basedOn w:val="1"/>
    <w:next w:val="46"/>
    <w:link w:val="912"/>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6">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7">
    <w:name w:val="Signature"/>
    <w:basedOn w:val="1"/>
    <w:link w:val="869"/>
    <w:autoRedefine/>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autoRedefine/>
    <w:qFormat/>
    <w:uiPriority w:val="0"/>
  </w:style>
  <w:style w:type="paragraph" w:styleId="49">
    <w:name w:val="toc 4"/>
    <w:basedOn w:val="1"/>
    <w:next w:val="1"/>
    <w:autoRedefine/>
    <w:qFormat/>
    <w:uiPriority w:val="0"/>
    <w:pPr>
      <w:ind w:left="1260" w:leftChars="600"/>
    </w:pPr>
  </w:style>
  <w:style w:type="paragraph" w:styleId="50">
    <w:name w:val="index heading"/>
    <w:basedOn w:val="1"/>
    <w:next w:val="51"/>
    <w:autoRedefine/>
    <w:qFormat/>
    <w:uiPriority w:val="0"/>
    <w:pPr>
      <w:adjustRightInd/>
      <w:ind w:firstLine="200" w:firstLineChars="200"/>
    </w:pPr>
  </w:style>
  <w:style w:type="paragraph" w:styleId="51">
    <w:name w:val="index 1"/>
    <w:basedOn w:val="1"/>
    <w:next w:val="1"/>
    <w:autoRedefine/>
    <w:qFormat/>
    <w:uiPriority w:val="0"/>
    <w:pPr>
      <w:adjustRightInd/>
      <w:spacing w:line="360" w:lineRule="auto"/>
      <w:ind w:firstLine="200" w:firstLineChars="200"/>
      <w:jc w:val="center"/>
    </w:pPr>
    <w:rPr>
      <w:sz w:val="24"/>
      <w:szCs w:val="20"/>
    </w:rPr>
  </w:style>
  <w:style w:type="paragraph" w:styleId="52">
    <w:name w:val="Subtitle"/>
    <w:link w:val="67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autoRedefine/>
    <w:qFormat/>
    <w:uiPriority w:val="0"/>
    <w:pPr>
      <w:tabs>
        <w:tab w:val="left" w:pos="902"/>
      </w:tabs>
      <w:adjustRightInd/>
      <w:spacing w:line="400" w:lineRule="exact"/>
      <w:ind w:left="902" w:hanging="420"/>
    </w:pPr>
    <w:rPr>
      <w:sz w:val="24"/>
      <w:szCs w:val="20"/>
    </w:rPr>
  </w:style>
  <w:style w:type="paragraph" w:styleId="54">
    <w:name w:val="List"/>
    <w:basedOn w:val="1"/>
    <w:autoRedefine/>
    <w:qFormat/>
    <w:uiPriority w:val="0"/>
    <w:pPr>
      <w:ind w:left="200" w:hanging="200" w:hangingChars="200"/>
    </w:pPr>
  </w:style>
  <w:style w:type="paragraph" w:styleId="55">
    <w:name w:val="footnote text"/>
    <w:basedOn w:val="15"/>
    <w:link w:val="838"/>
    <w:autoRedefine/>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897"/>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832"/>
    <w:autoRedefine/>
    <w:qFormat/>
    <w:uiPriority w:val="0"/>
    <w:pPr>
      <w:spacing w:after="120" w:line="480" w:lineRule="auto"/>
    </w:pPr>
  </w:style>
  <w:style w:type="paragraph" w:styleId="61">
    <w:name w:val="HTML Preformatted"/>
    <w:basedOn w:val="1"/>
    <w:link w:val="83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6"/>
    <w:autoRedefine/>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45"/>
    <w:autoRedefine/>
    <w:qFormat/>
    <w:uiPriority w:val="0"/>
    <w:rPr>
      <w:b/>
      <w:bCs/>
    </w:rPr>
  </w:style>
  <w:style w:type="paragraph" w:styleId="65">
    <w:name w:val="Body Text First Indent 2"/>
    <w:basedOn w:val="26"/>
    <w:next w:val="24"/>
    <w:link w:val="668"/>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正文文本首行缩进 2"/>
    <w:basedOn w:val="28"/>
    <w:autoRedefine/>
    <w:qFormat/>
    <w:uiPriority w:val="99"/>
    <w:pPr>
      <w:spacing w:line="200" w:lineRule="atLeast"/>
      <w:ind w:firstLine="420"/>
    </w:pPr>
    <w:rPr>
      <w:rFonts w:ascii="宋体"/>
      <w:spacing w:val="-4"/>
      <w:sz w:val="18"/>
    </w:rPr>
  </w:style>
  <w:style w:type="paragraph" w:customStyle="1" w:styleId="84">
    <w:name w:val="标题 21"/>
    <w:basedOn w:val="29"/>
    <w:next w:val="29"/>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正文空2字"/>
    <w:basedOn w:val="8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autoRedefine/>
    <w:qFormat/>
    <w:uiPriority w:val="99"/>
    <w:rPr>
      <w:rFonts w:ascii="Calibri" w:hAnsi="Calibri" w:eastAsia="仿宋_GB2312" w:cs="Calibri"/>
      <w:kern w:val="2"/>
      <w:sz w:val="32"/>
      <w:szCs w:val="32"/>
      <w:lang w:val="en-US" w:eastAsia="zh-CN" w:bidi="ar-SA"/>
    </w:rPr>
  </w:style>
  <w:style w:type="paragraph" w:customStyle="1" w:styleId="87">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8">
    <w:name w:val="正文首行缩进 21"/>
    <w:basedOn w:val="89"/>
    <w:next w:val="1"/>
    <w:autoRedefine/>
    <w:qFormat/>
    <w:uiPriority w:val="0"/>
    <w:pPr>
      <w:ind w:firstLine="210"/>
    </w:pPr>
  </w:style>
  <w:style w:type="paragraph" w:customStyle="1" w:styleId="89">
    <w:name w:val="正文文本缩进1"/>
    <w:basedOn w:val="1"/>
    <w:next w:val="1"/>
    <w:autoRedefine/>
    <w:qFormat/>
    <w:uiPriority w:val="0"/>
    <w:pPr>
      <w:widowControl/>
      <w:ind w:left="420"/>
    </w:pPr>
    <w:rPr>
      <w:color w:val="000000"/>
    </w:rPr>
  </w:style>
  <w:style w:type="paragraph" w:customStyle="1" w:styleId="90">
    <w:name w:val="表格非标题文字"/>
    <w:link w:val="63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5"/>
    <w:autoRedefine/>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43"/>
    <w:autoRedefine/>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50"/>
    <w:autoRedefine/>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6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96"/>
    <w:link w:val="677"/>
    <w:autoRedefine/>
    <w:qFormat/>
    <w:uiPriority w:val="0"/>
    <w:pPr>
      <w:spacing w:before="156" w:line="360" w:lineRule="auto"/>
      <w:ind w:firstLine="510" w:firstLineChars="200"/>
    </w:pPr>
    <w:rPr>
      <w:sz w:val="24"/>
    </w:rPr>
  </w:style>
  <w:style w:type="paragraph" w:customStyle="1" w:styleId="96">
    <w:name w:val="正文11"/>
    <w:next w:val="84"/>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97">
    <w:name w:val="无间隔1"/>
    <w:link w:val="685"/>
    <w:autoRedefine/>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3"/>
    <w:autoRedefine/>
    <w:qFormat/>
    <w:uiPriority w:val="0"/>
    <w:rPr>
      <w:rFonts w:ascii="宋体" w:hAnsi="Courier New"/>
      <w:szCs w:val="21"/>
    </w:rPr>
  </w:style>
  <w:style w:type="paragraph" w:customStyle="1" w:styleId="9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3"/>
    <w:autoRedefine/>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2"/>
    <w:link w:val="712"/>
    <w:autoRedefine/>
    <w:qFormat/>
    <w:uiPriority w:val="0"/>
    <w:pPr>
      <w:snapToGrid w:val="0"/>
      <w:spacing w:before="240" w:after="240" w:line="240" w:lineRule="auto"/>
      <w:jc w:val="center"/>
    </w:pPr>
    <w:rPr>
      <w:rFonts w:ascii="Calibri" w:hAnsi="Calibri" w:eastAsia="宋体"/>
      <w:kern w:val="0"/>
      <w:szCs w:val="20"/>
    </w:rPr>
  </w:style>
  <w:style w:type="paragraph" w:customStyle="1" w:styleId="102">
    <w:name w:val="my正文"/>
    <w:basedOn w:val="1"/>
    <w:link w:val="732"/>
    <w:autoRedefine/>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38"/>
    <w:autoRedefine/>
    <w:qFormat/>
    <w:uiPriority w:val="0"/>
    <w:pPr>
      <w:ind w:left="0" w:right="466" w:firstLine="288"/>
    </w:pPr>
    <w:rPr>
      <w:rFonts w:hAnsi="宋体"/>
    </w:rPr>
  </w:style>
  <w:style w:type="paragraph" w:customStyle="1" w:styleId="104">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5"/>
    <w:link w:val="76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62"/>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Default"/>
    <w:link w:val="77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8">
    <w:name w:val="正文样式"/>
    <w:basedOn w:val="1"/>
    <w:link w:val="780"/>
    <w:autoRedefine/>
    <w:qFormat/>
    <w:uiPriority w:val="0"/>
    <w:pPr>
      <w:adjustRightInd/>
      <w:spacing w:line="360" w:lineRule="auto"/>
      <w:ind w:firstLine="480" w:firstLineChars="200"/>
    </w:pPr>
    <w:rPr>
      <w:kern w:val="0"/>
      <w:sz w:val="24"/>
    </w:rPr>
  </w:style>
  <w:style w:type="paragraph" w:customStyle="1" w:styleId="109">
    <w:name w:val="gf正文1"/>
    <w:basedOn w:val="1"/>
    <w:link w:val="786"/>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0">
    <w:name w:val="列表1"/>
    <w:basedOn w:val="1"/>
    <w:next w:val="111"/>
    <w:link w:val="78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1">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12">
    <w:name w:val="此正文"/>
    <w:basedOn w:val="1"/>
    <w:link w:val="811"/>
    <w:autoRedefine/>
    <w:qFormat/>
    <w:uiPriority w:val="0"/>
    <w:pPr>
      <w:adjustRightInd/>
      <w:spacing w:line="360" w:lineRule="auto"/>
      <w:ind w:firstLine="200" w:firstLineChars="200"/>
    </w:pPr>
    <w:rPr>
      <w:sz w:val="24"/>
    </w:rPr>
  </w:style>
  <w:style w:type="paragraph" w:customStyle="1" w:styleId="113">
    <w:name w:val="样式 样式 标题 4h4H4Fab-4T5Ref Heading 1rh1Heading sqlsect 1.2.3.... +..."/>
    <w:basedOn w:val="114"/>
    <w:link w:val="833"/>
    <w:autoRedefine/>
    <w:qFormat/>
    <w:uiPriority w:val="0"/>
    <w:pPr>
      <w:tabs>
        <w:tab w:val="left" w:pos="2356"/>
      </w:tabs>
    </w:pPr>
  </w:style>
  <w:style w:type="paragraph" w:customStyle="1" w:styleId="114">
    <w:name w:val="样式 标题 4h4H4Fab-4T5Ref Heading 1rh1Heading sqlsect 1.2.3...."/>
    <w:basedOn w:val="5"/>
    <w:link w:val="93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4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46"/>
    <w:autoRedefine/>
    <w:qFormat/>
    <w:uiPriority w:val="0"/>
    <w:pPr>
      <w:adjustRightInd/>
    </w:pPr>
    <w:rPr>
      <w:rFonts w:ascii="宋体" w:hAnsi="Courier New"/>
      <w:kern w:val="0"/>
      <w:sz w:val="20"/>
      <w:szCs w:val="20"/>
    </w:rPr>
  </w:style>
  <w:style w:type="paragraph" w:customStyle="1" w:styleId="117">
    <w:name w:val="正文说明"/>
    <w:basedOn w:val="1"/>
    <w:link w:val="858"/>
    <w:autoRedefine/>
    <w:qFormat/>
    <w:uiPriority w:val="0"/>
    <w:pPr>
      <w:adjustRightInd/>
      <w:spacing w:line="360" w:lineRule="auto"/>
    </w:pPr>
    <w:rPr>
      <w:kern w:val="0"/>
      <w:sz w:val="24"/>
    </w:rPr>
  </w:style>
  <w:style w:type="paragraph" w:customStyle="1" w:styleId="118">
    <w:name w:val="Table Text"/>
    <w:basedOn w:val="1"/>
    <w:link w:val="864"/>
    <w:autoRedefine/>
    <w:qFormat/>
    <w:uiPriority w:val="0"/>
    <w:pPr>
      <w:widowControl/>
      <w:spacing w:before="60" w:after="60"/>
      <w:jc w:val="left"/>
    </w:pPr>
    <w:rPr>
      <w:kern w:val="0"/>
      <w:sz w:val="24"/>
    </w:rPr>
  </w:style>
  <w:style w:type="paragraph" w:customStyle="1" w:styleId="119">
    <w:name w:val="公文正文"/>
    <w:basedOn w:val="1"/>
    <w:link w:val="876"/>
    <w:autoRedefine/>
    <w:qFormat/>
    <w:uiPriority w:val="0"/>
    <w:pPr>
      <w:adjustRightInd/>
      <w:spacing w:before="156" w:line="360" w:lineRule="auto"/>
      <w:ind w:firstLine="360" w:firstLineChars="200"/>
    </w:pPr>
    <w:rPr>
      <w:rFonts w:ascii="仿宋_GB2312" w:eastAsia="仿宋_GB2312"/>
      <w:sz w:val="24"/>
    </w:rPr>
  </w:style>
  <w:style w:type="paragraph" w:customStyle="1" w:styleId="120">
    <w:name w:val="正文（缩进2汉字）"/>
    <w:basedOn w:val="1"/>
    <w:link w:val="87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1">
    <w:name w:val="b11_01b"/>
    <w:basedOn w:val="1"/>
    <w:next w:val="1"/>
    <w:link w:val="90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2">
    <w:name w:val="段落"/>
    <w:basedOn w:val="1"/>
    <w:link w:val="909"/>
    <w:autoRedefine/>
    <w:qFormat/>
    <w:uiPriority w:val="0"/>
    <w:pPr>
      <w:adjustRightInd/>
      <w:spacing w:line="360" w:lineRule="auto"/>
      <w:ind w:firstLine="480" w:firstLineChars="200"/>
    </w:pPr>
    <w:rPr>
      <w:rFonts w:ascii="宋体" w:hAnsi="宋体"/>
      <w:kern w:val="0"/>
      <w:sz w:val="24"/>
      <w:szCs w:val="20"/>
    </w:rPr>
  </w:style>
  <w:style w:type="paragraph" w:customStyle="1" w:styleId="123">
    <w:name w:val="正文段"/>
    <w:basedOn w:val="1"/>
    <w:link w:val="916"/>
    <w:autoRedefine/>
    <w:qFormat/>
    <w:uiPriority w:val="0"/>
    <w:pPr>
      <w:widowControl/>
      <w:snapToGrid w:val="0"/>
      <w:spacing w:afterLines="50"/>
      <w:ind w:firstLine="200" w:firstLineChars="200"/>
    </w:pPr>
    <w:rPr>
      <w:kern w:val="0"/>
      <w:sz w:val="24"/>
      <w:szCs w:val="20"/>
    </w:rPr>
  </w:style>
  <w:style w:type="paragraph" w:customStyle="1" w:styleId="124">
    <w:name w:val="冯广丽"/>
    <w:basedOn w:val="1"/>
    <w:link w:val="919"/>
    <w:autoRedefine/>
    <w:qFormat/>
    <w:uiPriority w:val="0"/>
    <w:pPr>
      <w:adjustRightInd/>
      <w:spacing w:line="360" w:lineRule="auto"/>
      <w:ind w:firstLine="480" w:firstLineChars="200"/>
    </w:pPr>
    <w:rPr>
      <w:rFonts w:ascii="宋体" w:hAnsi="宋体"/>
      <w:sz w:val="24"/>
      <w:szCs w:val="22"/>
    </w:rPr>
  </w:style>
  <w:style w:type="paragraph" w:customStyle="1" w:styleId="125">
    <w:name w:val="编号，小四"/>
    <w:basedOn w:val="1"/>
    <w:link w:val="925"/>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6">
    <w:name w:val="仿宋正文"/>
    <w:basedOn w:val="1"/>
    <w:link w:val="932"/>
    <w:autoRedefine/>
    <w:qFormat/>
    <w:uiPriority w:val="0"/>
    <w:pPr>
      <w:adjustRightInd/>
      <w:spacing w:line="360" w:lineRule="auto"/>
      <w:ind w:firstLine="480" w:firstLineChars="200"/>
    </w:pPr>
    <w:rPr>
      <w:rFonts w:ascii="仿宋_GB2312" w:eastAsia="仿宋_GB2312"/>
      <w:sz w:val="24"/>
      <w:szCs w:val="20"/>
    </w:rPr>
  </w:style>
  <w:style w:type="paragraph" w:customStyle="1" w:styleId="127">
    <w:name w:val="样式 正文缩进 + 首行缩进:  2 字符"/>
    <w:basedOn w:val="15"/>
    <w:link w:val="944"/>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3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autoRedefine/>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autoRedefine/>
    <w:qFormat/>
    <w:uiPriority w:val="0"/>
    <w:pPr>
      <w:spacing w:before="120" w:line="360" w:lineRule="auto"/>
      <w:ind w:firstLine="567"/>
    </w:pPr>
    <w:rPr>
      <w:rFonts w:ascii="Arial" w:hAnsi="Arial"/>
      <w:sz w:val="20"/>
      <w:szCs w:val="20"/>
    </w:rPr>
  </w:style>
  <w:style w:type="paragraph" w:customStyle="1" w:styleId="13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4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1">
    <w:name w:val="修订2"/>
    <w:autoRedefine/>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4">
    <w:name w:val="文章标题"/>
    <w:next w:val="14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autoRedefine/>
    <w:qFormat/>
    <w:uiPriority w:val="0"/>
    <w:pPr>
      <w:adjustRightInd/>
      <w:ind w:firstLine="200" w:firstLineChars="200"/>
    </w:pPr>
    <w:rPr>
      <w:rFonts w:ascii="Tahoma" w:hAnsi="Tahoma"/>
      <w:sz w:val="24"/>
      <w:szCs w:val="20"/>
    </w:rPr>
  </w:style>
  <w:style w:type="paragraph" w:customStyle="1" w:styleId="14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9">
    <w:name w:val="Char Char Char Char Char Char Char Char"/>
    <w:basedOn w:val="1"/>
    <w:autoRedefine/>
    <w:qFormat/>
    <w:uiPriority w:val="0"/>
    <w:pPr>
      <w:tabs>
        <w:tab w:val="left" w:pos="360"/>
      </w:tabs>
    </w:pPr>
    <w:rPr>
      <w:sz w:val="24"/>
      <w:szCs w:val="20"/>
    </w:rPr>
  </w:style>
  <w:style w:type="paragraph" w:customStyle="1" w:styleId="150">
    <w:name w:val="Char Char11 Char Char Char"/>
    <w:basedOn w:val="1"/>
    <w:autoRedefine/>
    <w:qFormat/>
    <w:uiPriority w:val="0"/>
    <w:pPr>
      <w:spacing w:line="360" w:lineRule="auto"/>
    </w:pPr>
    <w:rPr>
      <w:szCs w:val="20"/>
    </w:rPr>
  </w:style>
  <w:style w:type="paragraph" w:customStyle="1" w:styleId="15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autoRedefine/>
    <w:qFormat/>
    <w:uiPriority w:val="0"/>
    <w:pPr>
      <w:tabs>
        <w:tab w:val="left" w:pos="2790"/>
        <w:tab w:val="left" w:pos="4230"/>
      </w:tabs>
      <w:spacing w:beforeLines="100"/>
      <w:jc w:val="left"/>
    </w:pPr>
  </w:style>
  <w:style w:type="paragraph" w:customStyle="1" w:styleId="15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autoRedefine/>
    <w:qFormat/>
    <w:uiPriority w:val="0"/>
    <w:pPr>
      <w:tabs>
        <w:tab w:val="left" w:pos="840"/>
      </w:tabs>
      <w:ind w:left="840" w:hanging="420"/>
    </w:pPr>
    <w:rPr>
      <w:rFonts w:ascii="Tahoma" w:hAnsi="Tahoma"/>
      <w:sz w:val="24"/>
    </w:rPr>
  </w:style>
  <w:style w:type="paragraph" w:customStyle="1" w:styleId="15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9">
    <w:name w:val="正文21"/>
    <w:basedOn w:val="1"/>
    <w:autoRedefine/>
    <w:qFormat/>
    <w:uiPriority w:val="0"/>
    <w:pPr>
      <w:adjustRightInd/>
      <w:spacing w:before="156" w:line="360" w:lineRule="auto"/>
      <w:ind w:firstLine="510" w:firstLineChars="200"/>
    </w:pPr>
    <w:rPr>
      <w:sz w:val="24"/>
      <w:szCs w:val="20"/>
    </w:rPr>
  </w:style>
  <w:style w:type="paragraph" w:customStyle="1" w:styleId="160">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autoRedefine/>
    <w:qFormat/>
    <w:uiPriority w:val="0"/>
    <w:rPr>
      <w:rFonts w:ascii="仿宋_GB2312" w:eastAsia="仿宋_GB2312"/>
      <w:b/>
      <w:sz w:val="32"/>
      <w:szCs w:val="32"/>
    </w:rPr>
  </w:style>
  <w:style w:type="paragraph" w:customStyle="1" w:styleId="16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7">
    <w:name w:val="6级标题"/>
    <w:basedOn w:val="168"/>
    <w:autoRedefine/>
    <w:qFormat/>
    <w:uiPriority w:val="0"/>
    <w:pPr>
      <w:keepNext/>
      <w:tabs>
        <w:tab w:val="left" w:pos="360"/>
      </w:tabs>
      <w:outlineLvl w:val="5"/>
    </w:pPr>
  </w:style>
  <w:style w:type="paragraph" w:customStyle="1" w:styleId="168">
    <w:name w:val="5级标题"/>
    <w:basedOn w:val="169"/>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9">
    <w:name w:val="4级标题"/>
    <w:basedOn w:val="11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71">
    <w:name w:val="Char2 Char Char"/>
    <w:basedOn w:val="1"/>
    <w:autoRedefine/>
    <w:qFormat/>
    <w:uiPriority w:val="0"/>
    <w:pPr>
      <w:adjustRightInd/>
    </w:pPr>
    <w:rPr>
      <w:rFonts w:ascii="Tahoma" w:hAnsi="Tahoma"/>
      <w:sz w:val="24"/>
      <w:szCs w:val="20"/>
    </w:rPr>
  </w:style>
  <w:style w:type="paragraph" w:customStyle="1" w:styleId="172">
    <w:name w:val="_Style 11"/>
    <w:basedOn w:val="1"/>
    <w:autoRedefine/>
    <w:qFormat/>
    <w:uiPriority w:val="34"/>
    <w:pPr>
      <w:adjustRightInd/>
      <w:ind w:firstLine="420" w:firstLineChars="200"/>
    </w:pPr>
    <w:rPr>
      <w:rFonts w:eastAsia="仿宋_GB2312"/>
      <w:sz w:val="28"/>
    </w:rPr>
  </w:style>
  <w:style w:type="paragraph" w:customStyle="1" w:styleId="17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4">
    <w:name w:val="Char Char Char"/>
    <w:basedOn w:val="1"/>
    <w:autoRedefine/>
    <w:qFormat/>
    <w:uiPriority w:val="0"/>
    <w:rPr>
      <w:rFonts w:ascii="Tahoma" w:hAnsi="Tahoma"/>
      <w:sz w:val="24"/>
      <w:szCs w:val="20"/>
    </w:rPr>
  </w:style>
  <w:style w:type="paragraph" w:customStyle="1" w:styleId="175">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无间隔2"/>
    <w:basedOn w:val="1"/>
    <w:link w:val="954"/>
    <w:autoRedefine/>
    <w:qFormat/>
    <w:uiPriority w:val="99"/>
    <w:rPr>
      <w:szCs w:val="22"/>
    </w:rPr>
  </w:style>
  <w:style w:type="paragraph" w:customStyle="1" w:styleId="1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autoRedefine/>
    <w:qFormat/>
    <w:uiPriority w:val="6"/>
    <w:rPr>
      <w:rFonts w:ascii="Tahoma" w:hAnsi="Tahoma" w:cs="仿宋_GB2312"/>
      <w:sz w:val="24"/>
      <w:szCs w:val="2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3">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84">
    <w:name w:val="五级无标题条"/>
    <w:basedOn w:val="1"/>
    <w:autoRedefine/>
    <w:qFormat/>
    <w:uiPriority w:val="0"/>
    <w:pPr>
      <w:adjustRightInd/>
    </w:pPr>
  </w:style>
  <w:style w:type="paragraph" w:customStyle="1" w:styleId="185">
    <w:name w:val="Char5"/>
    <w:basedOn w:val="1"/>
    <w:autoRedefine/>
    <w:qFormat/>
    <w:uiPriority w:val="0"/>
    <w:rPr>
      <w:rFonts w:ascii="仿宋_GB2312" w:eastAsia="仿宋_GB2312"/>
      <w:b/>
      <w:sz w:val="32"/>
      <w:szCs w:val="32"/>
    </w:rPr>
  </w:style>
  <w:style w:type="paragraph" w:customStyle="1" w:styleId="18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7">
    <w:name w:val="彩色列表 - 强调文字颜色 12"/>
    <w:basedOn w:val="1"/>
    <w:autoRedefine/>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2"/>
    <w:basedOn w:val="1"/>
    <w:autoRedefine/>
    <w:qFormat/>
    <w:uiPriority w:val="0"/>
    <w:rPr>
      <w:rFonts w:ascii="仿宋_GB2312" w:eastAsia="仿宋_GB2312"/>
      <w:b/>
      <w:sz w:val="32"/>
      <w:szCs w:val="32"/>
    </w:rPr>
  </w:style>
  <w:style w:type="paragraph" w:customStyle="1" w:styleId="190">
    <w:name w:val="数字标题3"/>
    <w:basedOn w:val="4"/>
    <w:next w:val="1"/>
    <w:autoRedefine/>
    <w:qFormat/>
    <w:uiPriority w:val="0"/>
    <w:pPr>
      <w:spacing w:line="240" w:lineRule="auto"/>
    </w:pPr>
    <w:rPr>
      <w:sz w:val="28"/>
      <w:szCs w:val="28"/>
    </w:rPr>
  </w:style>
  <w:style w:type="paragraph" w:customStyle="1" w:styleId="191">
    <w:name w:val="FA正文"/>
    <w:basedOn w:val="1"/>
    <w:autoRedefine/>
    <w:qFormat/>
    <w:uiPriority w:val="0"/>
    <w:pPr>
      <w:spacing w:line="360" w:lineRule="auto"/>
      <w:ind w:firstLine="480" w:firstLineChars="200"/>
    </w:pPr>
    <w:rPr>
      <w:rFonts w:hAnsi="宋体"/>
      <w:sz w:val="24"/>
      <w:szCs w:val="20"/>
    </w:rPr>
  </w:style>
  <w:style w:type="paragraph" w:customStyle="1" w:styleId="192">
    <w:name w:val="MM Topic 5"/>
    <w:basedOn w:val="6"/>
    <w:autoRedefine/>
    <w:qFormat/>
    <w:uiPriority w:val="0"/>
    <w:pPr>
      <w:tabs>
        <w:tab w:val="left" w:pos="2520"/>
        <w:tab w:val="clear" w:pos="1008"/>
      </w:tabs>
      <w:adjustRightInd/>
      <w:ind w:left="2520" w:hanging="420"/>
    </w:pPr>
  </w:style>
  <w:style w:type="paragraph" w:customStyle="1" w:styleId="193">
    <w:name w:val="Char Char Char Char Char Char Char Char Char Char1"/>
    <w:basedOn w:val="1"/>
    <w:autoRedefine/>
    <w:qFormat/>
    <w:uiPriority w:val="0"/>
    <w:rPr>
      <w:rFonts w:ascii="仿宋_GB2312" w:eastAsia="仿宋_GB2312"/>
      <w:b/>
      <w:sz w:val="32"/>
      <w:szCs w:val="32"/>
    </w:rPr>
  </w:style>
  <w:style w:type="paragraph" w:customStyle="1" w:styleId="19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autoRedefine/>
    <w:qFormat/>
    <w:uiPriority w:val="0"/>
    <w:rPr>
      <w:rFonts w:ascii="仿宋_GB2312" w:eastAsia="仿宋_GB2312"/>
      <w:b/>
      <w:sz w:val="32"/>
      <w:szCs w:val="32"/>
    </w:rPr>
  </w:style>
  <w:style w:type="paragraph" w:customStyle="1" w:styleId="197">
    <w:name w:val="Char2 Char Char Char1"/>
    <w:basedOn w:val="1"/>
    <w:autoRedefine/>
    <w:qFormat/>
    <w:uiPriority w:val="6"/>
    <w:rPr>
      <w:rFonts w:ascii="仿宋_GB2312" w:eastAsia="仿宋_GB2312"/>
      <w:b/>
      <w:sz w:val="32"/>
      <w:szCs w:val="32"/>
    </w:rPr>
  </w:style>
  <w:style w:type="paragraph" w:customStyle="1" w:styleId="198">
    <w:name w:val="默认段落样式"/>
    <w:basedOn w:val="95"/>
    <w:autoRedefine/>
    <w:qFormat/>
    <w:uiPriority w:val="0"/>
    <w:pPr>
      <w:spacing w:before="0"/>
      <w:ind w:firstLine="480"/>
      <w:outlineLvl w:val="2"/>
    </w:pPr>
    <w:rPr>
      <w:rFonts w:ascii="仿宋_GB2312" w:hAnsi="宋体" w:eastAsia="仿宋_GB2312"/>
      <w:color w:val="000000"/>
      <w:szCs w:val="24"/>
    </w:rPr>
  </w:style>
  <w:style w:type="paragraph" w:customStyle="1" w:styleId="19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20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MM Topic 3"/>
    <w:basedOn w:val="4"/>
    <w:autoRedefine/>
    <w:qFormat/>
    <w:uiPriority w:val="0"/>
    <w:pPr>
      <w:tabs>
        <w:tab w:val="left" w:pos="1680"/>
        <w:tab w:val="clear" w:pos="900"/>
      </w:tabs>
      <w:adjustRightInd/>
      <w:ind w:left="1680" w:hanging="420"/>
    </w:pPr>
  </w:style>
  <w:style w:type="paragraph" w:customStyle="1" w:styleId="202">
    <w:name w:val="标准小四"/>
    <w:basedOn w:val="1"/>
    <w:autoRedefine/>
    <w:qFormat/>
    <w:uiPriority w:val="0"/>
    <w:pPr>
      <w:spacing w:line="360" w:lineRule="auto"/>
      <w:ind w:firstLine="480" w:firstLineChars="200"/>
    </w:pPr>
    <w:rPr>
      <w:rFonts w:ascii="Arial" w:hAnsi="Arial"/>
      <w:sz w:val="24"/>
      <w:szCs w:val="21"/>
    </w:rPr>
  </w:style>
  <w:style w:type="paragraph" w:customStyle="1" w:styleId="203">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204">
    <w:name w:val="表格（小）"/>
    <w:basedOn w:val="1"/>
    <w:autoRedefine/>
    <w:qFormat/>
    <w:uiPriority w:val="0"/>
    <w:pPr>
      <w:adjustRightInd/>
      <w:snapToGrid w:val="0"/>
      <w:spacing w:line="300" w:lineRule="auto"/>
    </w:pPr>
    <w:rPr>
      <w:rFonts w:eastAsia="仿宋"/>
      <w:szCs w:val="21"/>
    </w:rPr>
  </w:style>
  <w:style w:type="paragraph" w:customStyle="1" w:styleId="20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6">
    <w:name w:val="Char2 Char Char1"/>
    <w:basedOn w:val="1"/>
    <w:autoRedefine/>
    <w:qFormat/>
    <w:uiPriority w:val="6"/>
    <w:pPr>
      <w:adjustRightInd/>
    </w:pPr>
    <w:rPr>
      <w:rFonts w:ascii="Tahoma" w:hAnsi="Tahoma"/>
      <w:sz w:val="24"/>
      <w:szCs w:val="20"/>
    </w:rPr>
  </w:style>
  <w:style w:type="paragraph" w:customStyle="1" w:styleId="20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21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autoRedefine/>
    <w:qFormat/>
    <w:uiPriority w:val="0"/>
    <w:pPr>
      <w:adjustRightInd/>
      <w:ind w:firstLine="420" w:firstLineChars="200"/>
    </w:pPr>
    <w:rPr>
      <w:rFonts w:eastAsia="仿宋_GB2312"/>
      <w:sz w:val="28"/>
    </w:rPr>
  </w:style>
  <w:style w:type="paragraph" w:customStyle="1" w:styleId="21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autoRedefine/>
    <w:qFormat/>
    <w:uiPriority w:val="0"/>
    <w:pPr>
      <w:adjustRightInd/>
      <w:ind w:firstLine="200" w:firstLineChars="200"/>
      <w:jc w:val="right"/>
    </w:pPr>
  </w:style>
  <w:style w:type="paragraph" w:customStyle="1" w:styleId="219">
    <w:name w:val="Char Char11 Char Char Char Char Char Char Char Char Char"/>
    <w:basedOn w:val="1"/>
    <w:autoRedefine/>
    <w:qFormat/>
    <w:uiPriority w:val="0"/>
    <w:pPr>
      <w:spacing w:line="360" w:lineRule="auto"/>
    </w:pPr>
    <w:rPr>
      <w:szCs w:val="20"/>
    </w:rPr>
  </w:style>
  <w:style w:type="paragraph" w:customStyle="1" w:styleId="220">
    <w:name w:val="正文1.25"/>
    <w:basedOn w:val="1"/>
    <w:autoRedefine/>
    <w:qFormat/>
    <w:uiPriority w:val="0"/>
    <w:pPr>
      <w:adjustRightInd/>
      <w:spacing w:line="300" w:lineRule="auto"/>
      <w:ind w:firstLine="480" w:firstLineChars="200"/>
    </w:pPr>
    <w:rPr>
      <w:sz w:val="24"/>
      <w:szCs w:val="20"/>
    </w:rPr>
  </w:style>
  <w:style w:type="paragraph" w:customStyle="1" w:styleId="22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autoRedefine/>
    <w:qFormat/>
    <w:uiPriority w:val="6"/>
    <w:rPr>
      <w:rFonts w:ascii="仿宋_GB2312" w:eastAsia="仿宋_GB2312"/>
      <w:b/>
      <w:sz w:val="32"/>
      <w:szCs w:val="20"/>
    </w:rPr>
  </w:style>
  <w:style w:type="paragraph" w:customStyle="1" w:styleId="225">
    <w:name w:val="列出段落2"/>
    <w:basedOn w:val="1"/>
    <w:autoRedefine/>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autoRedefine/>
    <w:qFormat/>
    <w:uiPriority w:val="0"/>
    <w:rPr>
      <w:rFonts w:eastAsia="仿宋_GB2312"/>
      <w:sz w:val="28"/>
      <w:szCs w:val="20"/>
    </w:rPr>
  </w:style>
  <w:style w:type="paragraph" w:customStyle="1" w:styleId="22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5"/>
    <w:autoRedefine/>
    <w:qFormat/>
    <w:uiPriority w:val="0"/>
    <w:pPr>
      <w:widowControl/>
      <w:jc w:val="left"/>
    </w:pPr>
    <w:rPr>
      <w:rFonts w:cs="宋体"/>
      <w:sz w:val="24"/>
      <w:szCs w:val="20"/>
    </w:rPr>
  </w:style>
  <w:style w:type="paragraph" w:customStyle="1" w:styleId="229">
    <w:name w:val="彩色列表 - 强调文字颜色 11"/>
    <w:basedOn w:val="1"/>
    <w:autoRedefine/>
    <w:qFormat/>
    <w:uiPriority w:val="0"/>
    <w:pPr>
      <w:adjustRightInd/>
      <w:ind w:firstLine="420" w:firstLineChars="200"/>
    </w:pPr>
    <w:rPr>
      <w:rFonts w:ascii="Calibri" w:hAnsi="Calibri"/>
      <w:szCs w:val="22"/>
    </w:rPr>
  </w:style>
  <w:style w:type="paragraph" w:customStyle="1" w:styleId="23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autoRedefine/>
    <w:qFormat/>
    <w:uiPriority w:val="6"/>
    <w:rPr>
      <w:szCs w:val="20"/>
    </w:rPr>
  </w:style>
  <w:style w:type="paragraph" w:customStyle="1" w:styleId="23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2"/>
    <w:autoRedefine/>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23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107"/>
    <w:next w:val="107"/>
    <w:autoRedefine/>
    <w:qFormat/>
    <w:uiPriority w:val="0"/>
    <w:pPr>
      <w:spacing w:after="68"/>
    </w:pPr>
    <w:rPr>
      <w:rFonts w:ascii="FHLHE E+ Futura Bk" w:eastAsia="FHLHE E+ Futura Bk" w:cs="Times New Roman"/>
      <w:color w:val="auto"/>
    </w:rPr>
  </w:style>
  <w:style w:type="paragraph" w:customStyle="1" w:styleId="24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107"/>
    <w:next w:val="107"/>
    <w:autoRedefine/>
    <w:qFormat/>
    <w:uiPriority w:val="0"/>
    <w:rPr>
      <w:rFonts w:ascii="宋体" w:eastAsia="宋体" w:cs="Times New Roman"/>
      <w:color w:val="auto"/>
    </w:rPr>
  </w:style>
  <w:style w:type="paragraph" w:customStyle="1" w:styleId="24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autoRedefine/>
    <w:qFormat/>
    <w:uiPriority w:val="0"/>
    <w:rPr>
      <w:rFonts w:ascii="仿宋_GB2312" w:eastAsia="仿宋_GB2312"/>
      <w:b/>
      <w:sz w:val="32"/>
      <w:szCs w:val="32"/>
    </w:rPr>
  </w:style>
  <w:style w:type="paragraph" w:customStyle="1" w:styleId="24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autoRedefine/>
    <w:qFormat/>
    <w:uiPriority w:val="0"/>
    <w:pPr>
      <w:spacing w:line="360" w:lineRule="auto"/>
    </w:pPr>
    <w:rPr>
      <w:szCs w:val="20"/>
    </w:rPr>
  </w:style>
  <w:style w:type="paragraph" w:customStyle="1" w:styleId="249">
    <w:name w:val="Char"/>
    <w:basedOn w:val="1"/>
    <w:autoRedefine/>
    <w:qFormat/>
    <w:uiPriority w:val="0"/>
    <w:rPr>
      <w:rFonts w:ascii="仿宋_GB2312" w:eastAsia="仿宋_GB2312"/>
      <w:b/>
      <w:sz w:val="32"/>
      <w:szCs w:val="32"/>
    </w:rPr>
  </w:style>
  <w:style w:type="paragraph" w:customStyle="1" w:styleId="25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autoRedefine/>
    <w:qFormat/>
    <w:uiPriority w:val="0"/>
    <w:rPr>
      <w:szCs w:val="20"/>
    </w:rPr>
  </w:style>
  <w:style w:type="paragraph" w:customStyle="1" w:styleId="25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6">
    <w:name w:val="Char Char Char Char Char Char Char Char Char Char"/>
    <w:basedOn w:val="1"/>
    <w:autoRedefine/>
    <w:qFormat/>
    <w:uiPriority w:val="0"/>
    <w:rPr>
      <w:rFonts w:ascii="仿宋_GB2312" w:eastAsia="仿宋_GB2312"/>
      <w:b/>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8">
    <w:name w:val="_正文段落"/>
    <w:basedOn w:val="1"/>
    <w:qFormat/>
    <w:uiPriority w:val="0"/>
    <w:pPr>
      <w:adjustRightInd/>
      <w:ind w:firstLine="560"/>
    </w:pPr>
    <w:rPr>
      <w:rFonts w:ascii="仿宋_GB2312" w:hAnsi="仿宋" w:eastAsia="仿宋_GB2312"/>
      <w:kern w:val="0"/>
      <w:sz w:val="28"/>
      <w:szCs w:val="28"/>
    </w:rPr>
  </w:style>
  <w:style w:type="paragraph" w:customStyle="1" w:styleId="26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1">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0"/>
    <w:rPr>
      <w:szCs w:val="20"/>
    </w:rPr>
  </w:style>
  <w:style w:type="paragraph" w:customStyle="1" w:styleId="27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7">
    <w:name w:val="默认段落字体 Para Char"/>
    <w:basedOn w:val="1"/>
    <w:qFormat/>
    <w:uiPriority w:val="0"/>
    <w:rPr>
      <w:rFonts w:ascii="Tahoma" w:hAnsi="Tahoma"/>
      <w:sz w:val="24"/>
      <w:szCs w:val="20"/>
    </w:rPr>
  </w:style>
  <w:style w:type="paragraph" w:customStyle="1" w:styleId="278">
    <w:name w:val="标题五"/>
    <w:basedOn w:val="1"/>
    <w:qFormat/>
    <w:uiPriority w:val="0"/>
    <w:pPr>
      <w:adjustRightInd/>
      <w:spacing w:beforeLines="50" w:line="360" w:lineRule="auto"/>
    </w:pPr>
    <w:rPr>
      <w:b/>
      <w:sz w:val="24"/>
    </w:rPr>
  </w:style>
  <w:style w:type="paragraph" w:customStyle="1" w:styleId="279">
    <w:name w:val="Char Char1101"/>
    <w:basedOn w:val="1"/>
    <w:qFormat/>
    <w:uiPriority w:val="0"/>
    <w:pPr>
      <w:spacing w:line="360" w:lineRule="auto"/>
    </w:pPr>
    <w:rPr>
      <w:rFonts w:ascii="Tahoma" w:hAnsi="Tahoma"/>
      <w:sz w:val="24"/>
      <w:szCs w:val="20"/>
    </w:rPr>
  </w:style>
  <w:style w:type="paragraph" w:customStyle="1" w:styleId="280">
    <w:name w:val="Char Char Char Char Char Char Char Char1"/>
    <w:basedOn w:val="1"/>
    <w:qFormat/>
    <w:uiPriority w:val="0"/>
    <w:pPr>
      <w:tabs>
        <w:tab w:val="left" w:pos="360"/>
      </w:tabs>
    </w:pPr>
    <w:rPr>
      <w:sz w:val="24"/>
      <w:szCs w:val="20"/>
    </w:rPr>
  </w:style>
  <w:style w:type="paragraph" w:customStyle="1" w:styleId="281">
    <w:name w:val="Char Char Char 字元 字元"/>
    <w:basedOn w:val="1"/>
    <w:qFormat/>
    <w:uiPriority w:val="0"/>
    <w:pPr>
      <w:adjustRightInd/>
      <w:spacing w:line="360" w:lineRule="auto"/>
      <w:ind w:firstLine="200" w:firstLineChars="200"/>
    </w:pPr>
    <w:rPr>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Char Char Char Char Char Char Char"/>
    <w:basedOn w:val="1"/>
    <w:qFormat/>
    <w:uiPriority w:val="0"/>
    <w:rPr>
      <w:rFonts w:ascii="仿宋_GB2312" w:eastAsia="仿宋_GB2312"/>
      <w:b/>
      <w:sz w:val="32"/>
      <w:szCs w:val="32"/>
    </w:rPr>
  </w:style>
  <w:style w:type="paragraph" w:customStyle="1" w:styleId="28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7">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8">
    <w:name w:val="批注框文本 Char Char"/>
    <w:basedOn w:val="1"/>
    <w:qFormat/>
    <w:uiPriority w:val="0"/>
    <w:pPr>
      <w:adjustRightInd/>
    </w:pPr>
    <w:rPr>
      <w:sz w:val="18"/>
      <w:szCs w:val="20"/>
    </w:rPr>
  </w:style>
  <w:style w:type="paragraph" w:customStyle="1" w:styleId="28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3">
    <w:name w:val="索引 11"/>
    <w:basedOn w:val="1"/>
    <w:next w:val="1"/>
    <w:qFormat/>
    <w:uiPriority w:val="99"/>
    <w:pPr>
      <w:adjustRightInd/>
      <w:spacing w:line="360" w:lineRule="auto"/>
    </w:pPr>
    <w:rPr>
      <w:rFonts w:ascii="仿宋_GB2312" w:eastAsia="仿宋_GB2312"/>
      <w:sz w:val="24"/>
      <w:szCs w:val="20"/>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7">
    <w:name w:val="文档正文"/>
    <w:basedOn w:val="1"/>
    <w:qFormat/>
    <w:uiPriority w:val="0"/>
    <w:pPr>
      <w:spacing w:line="480" w:lineRule="atLeast"/>
      <w:ind w:firstLine="567"/>
      <w:textAlignment w:val="baseline"/>
    </w:pPr>
    <w:rPr>
      <w:kern w:val="0"/>
      <w:sz w:val="24"/>
      <w:szCs w:val="20"/>
    </w:rPr>
  </w:style>
  <w:style w:type="paragraph" w:customStyle="1" w:styleId="298">
    <w:name w:val="正文文字表格居中"/>
    <w:basedOn w:val="1"/>
    <w:next w:val="60"/>
    <w:qFormat/>
    <w:uiPriority w:val="0"/>
    <w:pPr>
      <w:snapToGrid w:val="0"/>
      <w:spacing w:line="360" w:lineRule="auto"/>
    </w:pPr>
    <w:rPr>
      <w:rFonts w:ascii="宋体"/>
      <w:b/>
      <w:sz w:val="24"/>
      <w:szCs w:val="20"/>
    </w:rPr>
  </w:style>
  <w:style w:type="paragraph" w:customStyle="1" w:styleId="29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1">
    <w:name w:val="Plain Text1"/>
    <w:basedOn w:val="1"/>
    <w:qFormat/>
    <w:uiPriority w:val="7"/>
    <w:pPr>
      <w:adjustRightInd/>
    </w:pPr>
    <w:rPr>
      <w:rFonts w:ascii="宋体" w:hAnsi="Courier New"/>
    </w:rPr>
  </w:style>
  <w:style w:type="paragraph" w:customStyle="1" w:styleId="302">
    <w:name w:val="Char3"/>
    <w:basedOn w:val="1"/>
    <w:qFormat/>
    <w:uiPriority w:val="0"/>
    <w:pPr>
      <w:adjustRightInd/>
    </w:pPr>
    <w:rPr>
      <w:rFonts w:ascii="仿宋_GB2312" w:eastAsia="仿宋_GB2312"/>
      <w:b/>
      <w:sz w:val="32"/>
      <w:szCs w:val="32"/>
    </w:rPr>
  </w:style>
  <w:style w:type="paragraph" w:customStyle="1" w:styleId="30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5">
    <w:name w:val="标题2"/>
    <w:basedOn w:val="2"/>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6">
    <w:name w:val="List Paragraph1"/>
    <w:basedOn w:val="1"/>
    <w:qFormat/>
    <w:uiPriority w:val="0"/>
    <w:pPr>
      <w:spacing w:line="360" w:lineRule="auto"/>
      <w:ind w:firstLine="200" w:firstLineChars="200"/>
    </w:pPr>
    <w:rPr>
      <w:rFonts w:eastAsia="楷体_GB2312" w:cs="Lucida Sans"/>
      <w:sz w:val="24"/>
    </w:rPr>
  </w:style>
  <w:style w:type="paragraph" w:customStyle="1" w:styleId="3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0">
    <w:name w:val="Char3 Char Char Char"/>
    <w:basedOn w:val="1"/>
    <w:qFormat/>
    <w:uiPriority w:val="0"/>
    <w:pPr>
      <w:widowControl/>
      <w:adjustRightInd/>
      <w:spacing w:after="160" w:line="240" w:lineRule="exact"/>
      <w:jc w:val="left"/>
    </w:pPr>
    <w:rPr>
      <w:szCs w:val="20"/>
    </w:rPr>
  </w:style>
  <w:style w:type="paragraph" w:customStyle="1" w:styleId="311">
    <w:name w:val="表格标题2"/>
    <w:basedOn w:val="312"/>
    <w:qFormat/>
    <w:uiPriority w:val="0"/>
    <w:rPr>
      <w:b/>
    </w:rPr>
  </w:style>
  <w:style w:type="paragraph" w:customStyle="1" w:styleId="312">
    <w:name w:val="表格内文"/>
    <w:basedOn w:val="1"/>
    <w:qFormat/>
    <w:uiPriority w:val="0"/>
    <w:pPr>
      <w:adjustRightInd/>
      <w:spacing w:line="360" w:lineRule="auto"/>
    </w:pPr>
    <w:rPr>
      <w:rFonts w:ascii="宋体" w:hAnsi="宋体" w:cs="宋体"/>
      <w:color w:val="000000"/>
      <w:szCs w:val="20"/>
    </w:rPr>
  </w:style>
  <w:style w:type="paragraph" w:customStyle="1" w:styleId="313">
    <w:name w:val="Char Char Char Char Char Char Char Char Char Char2"/>
    <w:basedOn w:val="1"/>
    <w:qFormat/>
    <w:uiPriority w:val="0"/>
    <w:rPr>
      <w:rFonts w:ascii="仿宋_GB2312" w:eastAsia="仿宋_GB2312"/>
      <w:b/>
      <w:sz w:val="32"/>
      <w:szCs w:val="32"/>
    </w:rPr>
  </w:style>
  <w:style w:type="paragraph" w:customStyle="1" w:styleId="3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6">
    <w:name w:val="Char Char11 Char Char Char Char Char Char Char Char Char11"/>
    <w:basedOn w:val="1"/>
    <w:qFormat/>
    <w:uiPriority w:val="0"/>
    <w:pPr>
      <w:spacing w:line="360" w:lineRule="auto"/>
    </w:pPr>
    <w:rPr>
      <w:szCs w:val="20"/>
    </w:rPr>
  </w:style>
  <w:style w:type="paragraph" w:customStyle="1" w:styleId="31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9">
    <w:name w:val="MM Topic 1"/>
    <w:basedOn w:val="3"/>
    <w:qFormat/>
    <w:uiPriority w:val="0"/>
    <w:pPr>
      <w:tabs>
        <w:tab w:val="left" w:pos="840"/>
        <w:tab w:val="clear" w:pos="432"/>
      </w:tabs>
      <w:adjustRightInd/>
      <w:ind w:left="840" w:hanging="420"/>
    </w:pPr>
  </w:style>
  <w:style w:type="paragraph" w:customStyle="1" w:styleId="320">
    <w:name w:val="样式 标题 2标题2H2Heading 2 HiddenHeading 2 CCBSheading 22nd lev..."/>
    <w:basedOn w:val="2"/>
    <w:qFormat/>
    <w:uiPriority w:val="0"/>
    <w:pPr>
      <w:widowControl/>
      <w:spacing w:before="260" w:after="260" w:line="416" w:lineRule="auto"/>
    </w:pPr>
    <w:rPr>
      <w:rFonts w:ascii="Arial" w:hAnsi="Arial" w:eastAsia="黑体"/>
      <w:sz w:val="30"/>
      <w:szCs w:val="21"/>
    </w:rPr>
  </w:style>
  <w:style w:type="paragraph" w:customStyle="1" w:styleId="321">
    <w:name w:val="文本正文 Char"/>
    <w:basedOn w:val="1"/>
    <w:qFormat/>
    <w:uiPriority w:val="0"/>
    <w:pPr>
      <w:spacing w:line="360" w:lineRule="auto"/>
      <w:ind w:firstLine="200" w:firstLineChars="200"/>
    </w:pPr>
    <w:rPr>
      <w:kern w:val="0"/>
      <w:sz w:val="24"/>
      <w:szCs w:val="20"/>
    </w:rPr>
  </w:style>
  <w:style w:type="paragraph" w:customStyle="1" w:styleId="322">
    <w:name w:val="表格"/>
    <w:basedOn w:val="1"/>
    <w:qFormat/>
    <w:uiPriority w:val="0"/>
    <w:pPr>
      <w:snapToGrid w:val="0"/>
      <w:ind w:firstLine="42" w:firstLineChars="21"/>
    </w:pPr>
    <w:rPr>
      <w:rFonts w:ascii="宋体" w:hAnsi="宋体"/>
      <w:kern w:val="0"/>
      <w:sz w:val="20"/>
      <w:szCs w:val="20"/>
    </w:rPr>
  </w:style>
  <w:style w:type="paragraph" w:customStyle="1" w:styleId="323">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6">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7">
    <w:name w:val="EB_表格"/>
    <w:basedOn w:val="1"/>
    <w:qFormat/>
    <w:uiPriority w:val="0"/>
    <w:pPr>
      <w:adjustRightInd/>
      <w:spacing w:line="300" w:lineRule="auto"/>
      <w:jc w:val="center"/>
    </w:pPr>
  </w:style>
  <w:style w:type="paragraph" w:customStyle="1" w:styleId="328">
    <w:name w:val="_Style 6"/>
    <w:basedOn w:val="1"/>
    <w:qFormat/>
    <w:uiPriority w:val="34"/>
    <w:pPr>
      <w:adjustRightInd/>
      <w:ind w:firstLine="420" w:firstLineChars="200"/>
    </w:pPr>
    <w:rPr>
      <w:rFonts w:eastAsia="仿宋_GB2312"/>
      <w:sz w:val="28"/>
    </w:rPr>
  </w:style>
  <w:style w:type="paragraph" w:customStyle="1" w:styleId="32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3">
    <w:name w:val="正文表标题"/>
    <w:next w:val="33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6">
    <w:name w:val="trademark"/>
    <w:qFormat/>
    <w:uiPriority w:val="0"/>
    <w:pPr>
      <w:spacing w:after="60"/>
    </w:pPr>
    <w:rPr>
      <w:rFonts w:ascii="Futura Bk" w:hAnsi="Futura Bk" w:eastAsia="宋体" w:cs="Times New Roman"/>
      <w:sz w:val="15"/>
      <w:lang w:val="en-US" w:eastAsia="en-US" w:bidi="ar-SA"/>
    </w:rPr>
  </w:style>
  <w:style w:type="paragraph" w:customStyle="1" w:styleId="33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8">
    <w:name w:val="Char Char1 Char Char Char Char Char Char1"/>
    <w:basedOn w:val="1"/>
    <w:qFormat/>
    <w:uiPriority w:val="0"/>
    <w:rPr>
      <w:rFonts w:ascii="仿宋_GB2312" w:eastAsia="仿宋_GB2312"/>
      <w:b/>
      <w:sz w:val="32"/>
      <w:szCs w:val="20"/>
    </w:rPr>
  </w:style>
  <w:style w:type="paragraph" w:customStyle="1" w:styleId="33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样式7"/>
    <w:basedOn w:val="343"/>
    <w:next w:val="1"/>
    <w:qFormat/>
    <w:uiPriority w:val="0"/>
    <w:pPr>
      <w:spacing w:afterLines="50"/>
      <w:jc w:val="left"/>
      <w:outlineLvl w:val="3"/>
    </w:pPr>
    <w:rPr>
      <w:sz w:val="24"/>
      <w:szCs w:val="24"/>
    </w:rPr>
  </w:style>
  <w:style w:type="paragraph" w:customStyle="1" w:styleId="3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6">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7">
    <w:name w:val="Char2 Char Char2"/>
    <w:basedOn w:val="1"/>
    <w:qFormat/>
    <w:uiPriority w:val="0"/>
    <w:pPr>
      <w:adjustRightInd/>
    </w:pPr>
    <w:rPr>
      <w:rFonts w:ascii="Tahoma" w:hAnsi="Tahoma"/>
      <w:sz w:val="24"/>
      <w:szCs w:val="20"/>
    </w:rPr>
  </w:style>
  <w:style w:type="paragraph" w:customStyle="1" w:styleId="34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9">
    <w:name w:val="三级条标题"/>
    <w:basedOn w:val="350"/>
    <w:next w:val="334"/>
    <w:qFormat/>
    <w:uiPriority w:val="0"/>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0"/>
    <w:pPr>
      <w:tabs>
        <w:tab w:val="left" w:pos="1260"/>
        <w:tab w:val="left" w:pos="1680"/>
        <w:tab w:val="left" w:pos="2100"/>
      </w:tabs>
      <w:ind w:left="0"/>
      <w:outlineLvl w:val="3"/>
    </w:pPr>
  </w:style>
  <w:style w:type="paragraph" w:customStyle="1" w:styleId="351">
    <w:name w:val="一级条标题"/>
    <w:basedOn w:val="352"/>
    <w:next w:val="334"/>
    <w:qFormat/>
    <w:uiPriority w:val="0"/>
    <w:pPr>
      <w:tabs>
        <w:tab w:val="left" w:pos="1260"/>
        <w:tab w:val="left" w:pos="1680"/>
      </w:tabs>
      <w:spacing w:beforeLines="0" w:afterLines="0"/>
      <w:ind w:left="1680"/>
      <w:outlineLvl w:val="2"/>
    </w:pPr>
  </w:style>
  <w:style w:type="paragraph" w:customStyle="1" w:styleId="352">
    <w:name w:val="章标题"/>
    <w:next w:val="33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3">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9">
    <w:name w:val="正文 项目2"/>
    <w:basedOn w:val="360"/>
    <w:qFormat/>
    <w:uiPriority w:val="0"/>
    <w:pPr>
      <w:tabs>
        <w:tab w:val="left" w:pos="840"/>
      </w:tabs>
      <w:spacing w:after="0"/>
      <w:ind w:left="900"/>
    </w:pPr>
  </w:style>
  <w:style w:type="paragraph" w:customStyle="1" w:styleId="36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Body Text 2*"/>
    <w:basedOn w:val="1"/>
    <w:qFormat/>
    <w:uiPriority w:val="6"/>
    <w:pPr>
      <w:widowControl/>
      <w:adjustRightInd/>
      <w:ind w:left="720" w:hanging="720"/>
    </w:pPr>
    <w:rPr>
      <w:color w:val="000000"/>
      <w:kern w:val="0"/>
      <w:sz w:val="24"/>
      <w:szCs w:val="20"/>
    </w:rPr>
  </w:style>
  <w:style w:type="paragraph" w:customStyle="1" w:styleId="362">
    <w:name w:val="表1"/>
    <w:basedOn w:val="1"/>
    <w:qFormat/>
    <w:uiPriority w:val="0"/>
    <w:pPr>
      <w:tabs>
        <w:tab w:val="left" w:pos="703"/>
      </w:tabs>
      <w:adjustRightInd/>
      <w:spacing w:line="360" w:lineRule="auto"/>
      <w:ind w:left="703"/>
      <w:jc w:val="center"/>
    </w:pPr>
  </w:style>
  <w:style w:type="paragraph" w:customStyle="1" w:styleId="36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6">
    <w:name w:val="2级标题"/>
    <w:basedOn w:val="367"/>
    <w:qFormat/>
    <w:uiPriority w:val="0"/>
    <w:pPr>
      <w:jc w:val="left"/>
      <w:outlineLvl w:val="1"/>
    </w:pPr>
    <w:rPr>
      <w:rFonts w:ascii="Times New Roman" w:hAnsi="Times New Roman" w:eastAsia="仿宋"/>
      <w:sz w:val="30"/>
    </w:rPr>
  </w:style>
  <w:style w:type="paragraph" w:customStyle="1" w:styleId="36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2">
    <w:name w:val="bullet"/>
    <w:basedOn w:val="1"/>
    <w:qFormat/>
    <w:uiPriority w:val="0"/>
    <w:pPr>
      <w:tabs>
        <w:tab w:val="left" w:pos="840"/>
      </w:tabs>
      <w:adjustRightInd/>
      <w:ind w:left="840" w:hanging="420"/>
    </w:pPr>
  </w:style>
  <w:style w:type="paragraph" w:customStyle="1" w:styleId="37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0">
    <w:name w:val="MM Topic 4"/>
    <w:basedOn w:val="5"/>
    <w:qFormat/>
    <w:uiPriority w:val="0"/>
    <w:pPr>
      <w:tabs>
        <w:tab w:val="left" w:pos="2100"/>
        <w:tab w:val="clear" w:pos="864"/>
      </w:tabs>
      <w:adjustRightInd/>
      <w:ind w:left="2100" w:hanging="420"/>
    </w:pPr>
    <w:rPr>
      <w:lang w:val="en-US"/>
    </w:rPr>
  </w:style>
  <w:style w:type="paragraph" w:customStyle="1" w:styleId="381">
    <w:name w:val="Char11"/>
    <w:basedOn w:val="1"/>
    <w:qFormat/>
    <w:uiPriority w:val="0"/>
    <w:pPr>
      <w:tabs>
        <w:tab w:val="left" w:pos="432"/>
      </w:tabs>
      <w:adjustRightInd/>
      <w:spacing w:beforeLines="50" w:afterLines="50"/>
      <w:ind w:left="432" w:hanging="432" w:firstLineChars="200"/>
    </w:pPr>
    <w:rPr>
      <w:sz w:val="24"/>
    </w:rPr>
  </w:style>
  <w:style w:type="paragraph" w:customStyle="1" w:styleId="38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3">
    <w:name w:val="Char Char11 Char Char Char Char Char Char Char Char Char1"/>
    <w:basedOn w:val="1"/>
    <w:qFormat/>
    <w:uiPriority w:val="6"/>
    <w:pPr>
      <w:spacing w:line="360" w:lineRule="auto"/>
    </w:pPr>
    <w:rPr>
      <w:szCs w:val="20"/>
    </w:rPr>
  </w:style>
  <w:style w:type="paragraph" w:customStyle="1" w:styleId="38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0"/>
    <w:pPr>
      <w:adjustRightInd/>
      <w:spacing w:line="360" w:lineRule="auto"/>
      <w:jc w:val="center"/>
    </w:pPr>
    <w:rPr>
      <w:sz w:val="24"/>
    </w:rPr>
  </w:style>
  <w:style w:type="paragraph" w:customStyle="1" w:styleId="39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5">
    <w:name w:val="Char Char Char Char Char Char Char1"/>
    <w:basedOn w:val="1"/>
    <w:qFormat/>
    <w:uiPriority w:val="6"/>
    <w:rPr>
      <w:rFonts w:ascii="仿宋_GB2312" w:eastAsia="仿宋_GB2312"/>
      <w:b/>
      <w:sz w:val="32"/>
      <w:szCs w:val="32"/>
    </w:rPr>
  </w:style>
  <w:style w:type="paragraph" w:customStyle="1" w:styleId="3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7">
    <w:name w:val="Char3 Char Char Char11"/>
    <w:basedOn w:val="1"/>
    <w:qFormat/>
    <w:uiPriority w:val="0"/>
    <w:pPr>
      <w:widowControl/>
      <w:adjustRightInd/>
      <w:spacing w:after="160" w:line="240" w:lineRule="exact"/>
      <w:jc w:val="left"/>
    </w:pPr>
    <w:rPr>
      <w:szCs w:val="20"/>
    </w:rPr>
  </w:style>
  <w:style w:type="paragraph" w:customStyle="1" w:styleId="398">
    <w:name w:val="Char Char1121"/>
    <w:basedOn w:val="1"/>
    <w:qFormat/>
    <w:uiPriority w:val="0"/>
    <w:pPr>
      <w:spacing w:line="360" w:lineRule="auto"/>
    </w:pPr>
    <w:rPr>
      <w:szCs w:val="20"/>
    </w:rPr>
  </w:style>
  <w:style w:type="paragraph" w:customStyle="1" w:styleId="39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1">
    <w:name w:val="Normal0"/>
    <w:qFormat/>
    <w:uiPriority w:val="0"/>
    <w:rPr>
      <w:rFonts w:ascii="Times New Roman" w:hAnsi="Times New Roman" w:eastAsia="宋体" w:cs="Times New Roman"/>
      <w:lang w:val="en-US" w:eastAsia="en-US" w:bidi="ar-SA"/>
    </w:rPr>
  </w:style>
  <w:style w:type="paragraph" w:customStyle="1" w:styleId="402">
    <w:name w:val="带编号样式"/>
    <w:basedOn w:val="321"/>
    <w:qFormat/>
    <w:uiPriority w:val="0"/>
    <w:pPr>
      <w:tabs>
        <w:tab w:val="left" w:pos="840"/>
      </w:tabs>
      <w:snapToGrid w:val="0"/>
      <w:ind w:left="840" w:hanging="420" w:firstLineChars="0"/>
    </w:pPr>
    <w:rPr>
      <w:rFonts w:ascii="仿宋_GB2312" w:eastAsia="仿宋_GB2312"/>
      <w:color w:val="000000"/>
    </w:rPr>
  </w:style>
  <w:style w:type="paragraph" w:customStyle="1" w:styleId="40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5">
    <w:name w:val="封面"/>
    <w:basedOn w:val="1"/>
    <w:qFormat/>
    <w:uiPriority w:val="0"/>
    <w:pPr>
      <w:spacing w:line="360" w:lineRule="atLeast"/>
      <w:jc w:val="right"/>
      <w:textAlignment w:val="baseline"/>
    </w:pPr>
    <w:rPr>
      <w:rFonts w:ascii="Symbol" w:hAnsi="Symbol"/>
      <w:kern w:val="0"/>
      <w:szCs w:val="20"/>
    </w:rPr>
  </w:style>
  <w:style w:type="paragraph" w:customStyle="1" w:styleId="4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WW-正文文字缩进 2"/>
    <w:basedOn w:val="1"/>
    <w:qFormat/>
    <w:uiPriority w:val="0"/>
    <w:pPr>
      <w:suppressAutoHyphens/>
      <w:adjustRightInd/>
      <w:ind w:firstLine="420"/>
    </w:pPr>
    <w:rPr>
      <w:kern w:val="1"/>
      <w:szCs w:val="20"/>
    </w:rPr>
  </w:style>
  <w:style w:type="paragraph" w:customStyle="1" w:styleId="4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1">
    <w:name w:val="样式 标题 2 + 四号"/>
    <w:basedOn w:val="2"/>
    <w:qFormat/>
    <w:uiPriority w:val="0"/>
    <w:pPr>
      <w:spacing w:before="120" w:after="120"/>
      <w:jc w:val="both"/>
    </w:pPr>
    <w:rPr>
      <w:rFonts w:ascii="宋体" w:hAnsi="Arial" w:eastAsia="宋体"/>
      <w:sz w:val="28"/>
      <w:lang w:val="en-US"/>
    </w:rPr>
  </w:style>
  <w:style w:type="paragraph" w:customStyle="1" w:styleId="412">
    <w:name w:val="有符号正文"/>
    <w:basedOn w:val="1"/>
    <w:qFormat/>
    <w:uiPriority w:val="0"/>
    <w:pPr>
      <w:adjustRightInd/>
      <w:spacing w:line="400" w:lineRule="exact"/>
      <w:ind w:firstLine="200" w:firstLineChars="200"/>
    </w:pPr>
    <w:rPr>
      <w:rFonts w:ascii="Arial" w:hAnsi="Arial"/>
    </w:rPr>
  </w:style>
  <w:style w:type="paragraph" w:customStyle="1" w:styleId="4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5">
    <w:name w:val="4"/>
    <w:basedOn w:val="1"/>
    <w:next w:val="41"/>
    <w:qFormat/>
    <w:uiPriority w:val="0"/>
    <w:pPr>
      <w:spacing w:after="120" w:line="480" w:lineRule="auto"/>
      <w:ind w:left="420" w:leftChars="200"/>
    </w:pPr>
    <w:rPr>
      <w:sz w:val="24"/>
      <w:szCs w:val="20"/>
    </w:rPr>
  </w:style>
  <w:style w:type="paragraph" w:customStyle="1" w:styleId="41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8">
    <w:name w:val="样式 标题 3H3 + 两端对齐"/>
    <w:basedOn w:val="4"/>
    <w:qFormat/>
    <w:uiPriority w:val="0"/>
    <w:pPr>
      <w:spacing w:before="0" w:after="0" w:line="240" w:lineRule="auto"/>
      <w:jc w:val="left"/>
    </w:pPr>
    <w:rPr>
      <w:rFonts w:cs="宋体"/>
      <w:sz w:val="21"/>
      <w:szCs w:val="20"/>
    </w:rPr>
  </w:style>
  <w:style w:type="paragraph" w:customStyle="1" w:styleId="41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4">
    <w:name w:val="Char Char1 Char Char Char"/>
    <w:basedOn w:val="1"/>
    <w:qFormat/>
    <w:uiPriority w:val="0"/>
    <w:rPr>
      <w:rFonts w:ascii="仿宋_GB2312" w:eastAsia="仿宋_GB2312"/>
      <w:b/>
      <w:sz w:val="32"/>
      <w:szCs w:val="20"/>
    </w:rPr>
  </w:style>
  <w:style w:type="paragraph" w:customStyle="1" w:styleId="42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8">
    <w:name w:val="Char Char1 Char Char Char2"/>
    <w:basedOn w:val="1"/>
    <w:qFormat/>
    <w:uiPriority w:val="0"/>
    <w:rPr>
      <w:rFonts w:ascii="仿宋_GB2312" w:eastAsia="仿宋_GB2312"/>
      <w:b/>
      <w:sz w:val="32"/>
      <w:szCs w:val="32"/>
    </w:rPr>
  </w:style>
  <w:style w:type="paragraph" w:customStyle="1" w:styleId="429">
    <w:name w:val="Char3 Char Char Char1"/>
    <w:basedOn w:val="1"/>
    <w:qFormat/>
    <w:uiPriority w:val="6"/>
    <w:pPr>
      <w:widowControl/>
      <w:adjustRightInd/>
      <w:spacing w:after="160" w:line="240" w:lineRule="exact"/>
      <w:jc w:val="left"/>
    </w:pPr>
    <w:rPr>
      <w:szCs w:val="20"/>
    </w:rPr>
  </w:style>
  <w:style w:type="paragraph" w:customStyle="1" w:styleId="430">
    <w:name w:val="Char1 Char Char Char21"/>
    <w:basedOn w:val="1"/>
    <w:qFormat/>
    <w:uiPriority w:val="0"/>
    <w:rPr>
      <w:rFonts w:ascii="Tahoma" w:hAnsi="Tahoma"/>
      <w:sz w:val="24"/>
      <w:szCs w:val="20"/>
    </w:rPr>
  </w:style>
  <w:style w:type="paragraph" w:customStyle="1" w:styleId="4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2">
    <w:name w:val="正文（标题三）"/>
    <w:basedOn w:val="1"/>
    <w:qFormat/>
    <w:uiPriority w:val="0"/>
    <w:pPr>
      <w:spacing w:line="360" w:lineRule="auto"/>
      <w:ind w:firstLine="200" w:firstLineChars="200"/>
    </w:pPr>
    <w:rPr>
      <w:sz w:val="24"/>
    </w:rPr>
  </w:style>
  <w:style w:type="paragraph" w:customStyle="1" w:styleId="43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8">
    <w:name w:val="Char1 Char Char Char4"/>
    <w:basedOn w:val="1"/>
    <w:qFormat/>
    <w:uiPriority w:val="0"/>
    <w:pPr>
      <w:adjustRightInd/>
      <w:ind w:firstLine="200" w:firstLineChars="200"/>
    </w:pPr>
    <w:rPr>
      <w:rFonts w:ascii="Tahoma" w:hAnsi="Tahoma"/>
      <w:sz w:val="24"/>
      <w:szCs w:val="20"/>
    </w:rPr>
  </w:style>
  <w:style w:type="paragraph" w:customStyle="1" w:styleId="439">
    <w:name w:val="_标题2"/>
    <w:basedOn w:val="406"/>
    <w:next w:val="40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0">
    <w:name w:val="样式1 + (中宋体"/>
    <w:basedOn w:val="41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4">
    <w:name w:val="四号　首行缩进"/>
    <w:basedOn w:val="1"/>
    <w:qFormat/>
    <w:uiPriority w:val="0"/>
    <w:pPr>
      <w:adjustRightInd/>
      <w:spacing w:line="360" w:lineRule="auto"/>
    </w:pPr>
    <w:rPr>
      <w:rFonts w:ascii="宋体" w:hAnsi="宋体"/>
      <w:szCs w:val="20"/>
    </w:rPr>
  </w:style>
  <w:style w:type="paragraph" w:customStyle="1" w:styleId="44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6">
    <w:name w:val="Char Char Char Char Char Char Char Char Char Char Char1 Char"/>
    <w:basedOn w:val="1"/>
    <w:qFormat/>
    <w:uiPriority w:val="0"/>
    <w:pPr>
      <w:adjustRightInd/>
    </w:pPr>
    <w:rPr>
      <w:rFonts w:ascii="Tahoma" w:hAnsi="Tahoma"/>
      <w:sz w:val="24"/>
    </w:rPr>
  </w:style>
  <w:style w:type="paragraph" w:customStyle="1" w:styleId="447">
    <w:name w:val="Char Char Char Char11"/>
    <w:basedOn w:val="1"/>
    <w:qFormat/>
    <w:uiPriority w:val="0"/>
    <w:rPr>
      <w:rFonts w:ascii="Tahoma" w:hAnsi="Tahoma"/>
      <w:sz w:val="24"/>
      <w:szCs w:val="20"/>
    </w:rPr>
  </w:style>
  <w:style w:type="paragraph" w:customStyle="1" w:styleId="44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9">
    <w:name w:val="Char Char Char Char"/>
    <w:basedOn w:val="1"/>
    <w:qFormat/>
    <w:uiPriority w:val="0"/>
    <w:rPr>
      <w:rFonts w:ascii="Tahoma" w:hAnsi="Tahoma"/>
      <w:sz w:val="24"/>
      <w:szCs w:val="20"/>
    </w:rPr>
  </w:style>
  <w:style w:type="paragraph" w:customStyle="1" w:styleId="45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1">
    <w:name w:val="Char19"/>
    <w:basedOn w:val="1"/>
    <w:qFormat/>
    <w:uiPriority w:val="0"/>
    <w:pPr>
      <w:adjustRightInd/>
    </w:pPr>
    <w:rPr>
      <w:szCs w:val="20"/>
    </w:rPr>
  </w:style>
  <w:style w:type="paragraph" w:customStyle="1" w:styleId="45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54">
    <w:name w:val="_Style 5"/>
    <w:basedOn w:val="1"/>
    <w:qFormat/>
    <w:uiPriority w:val="34"/>
    <w:pPr>
      <w:adjustRightInd/>
      <w:ind w:firstLine="420" w:firstLineChars="200"/>
    </w:pPr>
    <w:rPr>
      <w:rFonts w:eastAsia="仿宋_GB2312"/>
      <w:sz w:val="28"/>
    </w:rPr>
  </w:style>
  <w:style w:type="paragraph" w:customStyle="1" w:styleId="45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标书表格字体格式"/>
    <w:next w:val="452"/>
    <w:qFormat/>
    <w:uiPriority w:val="0"/>
    <w:rPr>
      <w:rFonts w:ascii="Times New Roman" w:hAnsi="Times New Roman" w:eastAsia="宋体" w:cs="Times New Roman"/>
      <w:kern w:val="2"/>
      <w:sz w:val="21"/>
      <w:szCs w:val="24"/>
      <w:lang w:val="en-US" w:eastAsia="zh-CN" w:bidi="ar-SA"/>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1">
    <w:name w:val="修订3"/>
    <w:qFormat/>
    <w:uiPriority w:val="0"/>
    <w:rPr>
      <w:rFonts w:ascii="Times New Roman" w:hAnsi="Times New Roman" w:eastAsia="宋体" w:cs="Times New Roman"/>
      <w:kern w:val="2"/>
      <w:sz w:val="21"/>
      <w:lang w:val="en-US" w:eastAsia="zh-CN" w:bidi="ar-SA"/>
    </w:rPr>
  </w:style>
  <w:style w:type="paragraph" w:customStyle="1" w:styleId="462">
    <w:name w:val="CSS1级正文 Char"/>
    <w:basedOn w:val="23"/>
    <w:qFormat/>
    <w:uiPriority w:val="0"/>
    <w:pPr>
      <w:snapToGrid w:val="0"/>
      <w:ind w:firstLine="480" w:firstLineChars="200"/>
    </w:pPr>
    <w:rPr>
      <w:rFonts w:ascii="Times New Roman"/>
      <w:szCs w:val="24"/>
      <w:lang w:val="en-US"/>
    </w:rPr>
  </w:style>
  <w:style w:type="paragraph" w:customStyle="1" w:styleId="46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4">
    <w:name w:val="表文字"/>
    <w:qFormat/>
    <w:uiPriority w:val="0"/>
    <w:rPr>
      <w:rFonts w:ascii="宋体" w:hAnsi="Times New Roman" w:eastAsia="宋体" w:cs="Times New Roman"/>
      <w:kern w:val="2"/>
      <w:lang w:val="en-US" w:eastAsia="zh-CN" w:bidi="ar-SA"/>
    </w:rPr>
  </w:style>
  <w:style w:type="paragraph" w:customStyle="1" w:styleId="465">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8">
    <w:name w:val="Char Char Char Char Char Char Char Char2"/>
    <w:basedOn w:val="1"/>
    <w:qFormat/>
    <w:uiPriority w:val="0"/>
    <w:pPr>
      <w:tabs>
        <w:tab w:val="left" w:pos="360"/>
      </w:tabs>
    </w:pPr>
    <w:rPr>
      <w:sz w:val="24"/>
      <w:szCs w:val="20"/>
    </w:rPr>
  </w:style>
  <w:style w:type="paragraph" w:customStyle="1" w:styleId="46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4">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7">
    <w:name w:val="p0"/>
    <w:basedOn w:val="1"/>
    <w:qFormat/>
    <w:uiPriority w:val="0"/>
    <w:pPr>
      <w:widowControl/>
      <w:adjustRightInd/>
    </w:pPr>
    <w:rPr>
      <w:kern w:val="0"/>
      <w:szCs w:val="21"/>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4"/>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9"/>
    <w:next w:val="334"/>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8"/>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3"/>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8"/>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1"/>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6"/>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2"/>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2"/>
    <w:qFormat/>
    <w:uiPriority w:val="0"/>
    <w:rPr>
      <w:b w:val="0"/>
      <w:sz w:val="20"/>
    </w:rPr>
  </w:style>
  <w:style w:type="paragraph" w:customStyle="1" w:styleId="585">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6"/>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7"/>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6"/>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5"/>
    <w:qFormat/>
    <w:uiPriority w:val="0"/>
    <w:pPr>
      <w:adjustRightInd/>
      <w:spacing w:line="360" w:lineRule="auto"/>
      <w:ind w:firstLine="480" w:firstLineChars="200"/>
    </w:pPr>
    <w:rPr>
      <w:rFonts w:cs="宋体"/>
      <w:sz w:val="24"/>
      <w:szCs w:val="20"/>
    </w:rPr>
  </w:style>
  <w:style w:type="paragraph" w:customStyle="1" w:styleId="614">
    <w:name w:val="_Style 947"/>
    <w:basedOn w:val="1"/>
    <w:next w:val="111"/>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2"/>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No Spacing1"/>
    <w:qFormat/>
    <w:uiPriority w:val="0"/>
    <w:rPr>
      <w:rFonts w:ascii="Times New Roman" w:hAnsi="Times New Roman" w:eastAsia="??" w:cs="宋体"/>
      <w:sz w:val="22"/>
      <w:szCs w:val="22"/>
      <w:lang w:val="en-US" w:eastAsia="en-US" w:bidi="ar-SA"/>
    </w:rPr>
  </w:style>
  <w:style w:type="paragraph" w:customStyle="1" w:styleId="62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9">
    <w:name w:val="Normal Indent1"/>
    <w:basedOn w:val="1"/>
    <w:qFormat/>
    <w:uiPriority w:val="0"/>
    <w:pPr>
      <w:ind w:firstLine="420"/>
    </w:pPr>
    <w:rPr>
      <w:szCs w:val="20"/>
    </w:rPr>
  </w:style>
  <w:style w:type="paragraph" w:customStyle="1" w:styleId="630">
    <w:name w:val="列出段落6"/>
    <w:basedOn w:val="1"/>
    <w:qFormat/>
    <w:uiPriority w:val="34"/>
    <w:pPr>
      <w:ind w:firstLine="420" w:firstLineChars="200"/>
    </w:pPr>
  </w:style>
  <w:style w:type="paragraph" w:customStyle="1" w:styleId="631">
    <w:name w:val="纯文本3"/>
    <w:basedOn w:val="1"/>
    <w:qFormat/>
    <w:uiPriority w:val="0"/>
    <w:pPr>
      <w:spacing w:beforeLines="50" w:afterLines="50" w:line="400" w:lineRule="exact"/>
    </w:pPr>
    <w:rPr>
      <w:rFonts w:ascii="宋体" w:hAnsi="Courier New"/>
      <w:sz w:val="24"/>
    </w:rPr>
  </w:style>
  <w:style w:type="paragraph" w:customStyle="1" w:styleId="632">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3">
    <w:name w:val="公文标2级"/>
    <w:basedOn w:val="1"/>
    <w:qFormat/>
    <w:uiPriority w:val="0"/>
    <w:rPr>
      <w:rFonts w:ascii="楷体_GB2312" w:hAnsi="楷体_GB2312" w:eastAsia="楷体" w:cs="楷体"/>
      <w:color w:val="000000"/>
      <w:kern w:val="1"/>
      <w:sz w:val="32"/>
    </w:rPr>
  </w:style>
  <w:style w:type="character" w:customStyle="1" w:styleId="634">
    <w:name w:val="表格非标题文字 Char"/>
    <w:link w:val="90"/>
    <w:qFormat/>
    <w:uiPriority w:val="0"/>
    <w:rPr>
      <w:rFonts w:ascii="Futura Bk" w:hAnsi="Futura Bk"/>
      <w:kern w:val="2"/>
      <w:sz w:val="18"/>
      <w:szCs w:val="21"/>
      <w:lang w:val="en-US" w:eastAsia="zh-CN" w:bidi="ar-SA"/>
    </w:rPr>
  </w:style>
  <w:style w:type="character" w:customStyle="1" w:styleId="635">
    <w:name w:val="*正文 Char"/>
    <w:link w:val="91"/>
    <w:qFormat/>
    <w:locked/>
    <w:uiPriority w:val="0"/>
    <w:rPr>
      <w:rFonts w:ascii="宋体" w:hAnsi="宋体"/>
      <w:sz w:val="24"/>
    </w:rPr>
  </w:style>
  <w:style w:type="character" w:customStyle="1" w:styleId="636">
    <w:name w:val="Char Char71"/>
    <w:semiHidden/>
    <w:qFormat/>
    <w:uiPriority w:val="0"/>
    <w:rPr>
      <w:rFonts w:eastAsia="宋体"/>
      <w:kern w:val="2"/>
      <w:sz w:val="21"/>
      <w:szCs w:val="24"/>
      <w:lang w:val="en-US" w:eastAsia="zh-CN" w:bidi="ar-SA"/>
    </w:rPr>
  </w:style>
  <w:style w:type="character" w:customStyle="1" w:styleId="637">
    <w:name w:val="Char Char6"/>
    <w:qFormat/>
    <w:uiPriority w:val="0"/>
    <w:rPr>
      <w:rFonts w:eastAsia="宋体"/>
      <w:kern w:val="2"/>
      <w:sz w:val="21"/>
      <w:szCs w:val="24"/>
      <w:lang w:val="en-US" w:eastAsia="zh-CN" w:bidi="ar-SA"/>
    </w:rPr>
  </w:style>
  <w:style w:type="character" w:customStyle="1" w:styleId="638">
    <w:name w:val="正文缩进 Char"/>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
    <w:qFormat/>
    <w:uiPriority w:val="6"/>
    <w:rPr>
      <w:rFonts w:ascii="Times New Roman" w:hAnsi="Times New Roman" w:eastAsia="黑体" w:cs="Times New Roman"/>
      <w:b/>
      <w:kern w:val="0"/>
      <w:sz w:val="24"/>
      <w:szCs w:val="24"/>
    </w:rPr>
  </w:style>
  <w:style w:type="character" w:customStyle="1" w:styleId="643">
    <w:name w:val="U_正文 Char"/>
    <w:link w:val="92"/>
    <w:qFormat/>
    <w:uiPriority w:val="0"/>
    <w:rPr>
      <w:sz w:val="24"/>
      <w:szCs w:val="24"/>
    </w:rPr>
  </w:style>
  <w:style w:type="character" w:customStyle="1" w:styleId="644">
    <w:name w:val="HTML 地址 Char1"/>
    <w:qFormat/>
    <w:uiPriority w:val="0"/>
    <w:rPr>
      <w:rFonts w:ascii="Times New Roman" w:hAnsi="Times New Roman" w:eastAsia="宋体" w:cs="Times New Roman"/>
      <w:i/>
      <w:iCs/>
      <w:szCs w:val="24"/>
    </w:rPr>
  </w:style>
  <w:style w:type="character" w:customStyle="1" w:styleId="645">
    <w:name w:val="批注主题 字符"/>
    <w:link w:val="64"/>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0">
    <w:name w:val="哈哈正文 Char"/>
    <w:link w:val="93"/>
    <w:qFormat/>
    <w:uiPriority w:val="0"/>
    <w:rPr>
      <w:rFonts w:ascii="宋体" w:hAnsi="宋体" w:eastAsia="宋体"/>
      <w:kern w:val="2"/>
      <w:sz w:val="24"/>
      <w:lang w:bidi="ar-SA"/>
    </w:rPr>
  </w:style>
  <w:style w:type="character" w:customStyle="1" w:styleId="651">
    <w:name w:val="未处理的提及1"/>
    <w:qFormat/>
    <w:uiPriority w:val="0"/>
    <w:rPr>
      <w:color w:val="808080"/>
      <w:shd w:val="clear" w:color="auto" w:fill="E6E6E6"/>
    </w:rPr>
  </w:style>
  <w:style w:type="character" w:customStyle="1" w:styleId="652">
    <w:name w:val="txt"/>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qFormat/>
    <w:uiPriority w:val="0"/>
    <w:rPr>
      <w:color w:val="0000FF"/>
    </w:rPr>
  </w:style>
  <w:style w:type="character" w:customStyle="1" w:styleId="657">
    <w:name w:val="Footer Char"/>
    <w:qFormat/>
    <w:locked/>
    <w:uiPriority w:val="0"/>
    <w:rPr>
      <w:rFonts w:eastAsia="宋体"/>
      <w:kern w:val="2"/>
      <w:sz w:val="18"/>
      <w:lang w:val="en-US" w:eastAsia="zh-CN" w:bidi="ar-SA"/>
    </w:rPr>
  </w:style>
  <w:style w:type="character" w:customStyle="1" w:styleId="658">
    <w:name w:val="普通文字 Char Char1"/>
    <w:qFormat/>
    <w:uiPriority w:val="0"/>
    <w:rPr>
      <w:rFonts w:ascii="宋体" w:hAnsi="Courier New"/>
      <w:kern w:val="2"/>
      <w:sz w:val="21"/>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94"/>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字符"/>
    <w:link w:val="65"/>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3"/>
    <w:qFormat/>
    <w:uiPriority w:val="0"/>
    <w:rPr>
      <w:rFonts w:ascii="Arial" w:hAnsi="Arial" w:eastAsia="黑体" w:cs="Arial"/>
      <w:snapToGrid w:val="0"/>
      <w:kern w:val="0"/>
      <w:szCs w:val="21"/>
    </w:rPr>
  </w:style>
  <w:style w:type="character" w:customStyle="1" w:styleId="672">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95"/>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字符"/>
    <w:link w:val="52"/>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97"/>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autoRedefine/>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qFormat/>
    <w:uiPriority w:val="0"/>
    <w:rPr>
      <w:rFonts w:hint="eastAsia" w:ascii="仿宋_GB2312" w:eastAsia="仿宋_GB2312" w:cs="仿宋_GB2312"/>
      <w:color w:val="000000"/>
      <w:sz w:val="22"/>
      <w:szCs w:val="22"/>
      <w:u w:val="none"/>
    </w:rPr>
  </w:style>
  <w:style w:type="character" w:customStyle="1" w:styleId="692">
    <w:name w:val="标题 6 字符"/>
    <w:link w:val="7"/>
    <w:qFormat/>
    <w:uiPriority w:val="0"/>
    <w:rPr>
      <w:rFonts w:ascii="Arial" w:hAnsi="Arial" w:eastAsia="黑体"/>
      <w:b/>
      <w:bCs/>
      <w:kern w:val="2"/>
      <w:sz w:val="24"/>
      <w:szCs w:val="24"/>
    </w:rPr>
  </w:style>
  <w:style w:type="character" w:customStyle="1" w:styleId="693">
    <w:name w:val="纯文本 Char_0"/>
    <w:link w:val="98"/>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00"/>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link w:val="2"/>
    <w:qFormat/>
    <w:uiPriority w:val="1"/>
    <w:rPr>
      <w:rFonts w:ascii="仿宋_GB2312" w:hAnsi="仿宋" w:eastAsia="仿宋_GB2312"/>
      <w:sz w:val="32"/>
      <w:szCs w:val="32"/>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01"/>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字符"/>
    <w:link w:val="40"/>
    <w:qFormat/>
    <w:uiPriority w:val="0"/>
    <w:rPr>
      <w:rFonts w:ascii="宋体"/>
      <w:kern w:val="2"/>
      <w:sz w:val="24"/>
      <w:szCs w:val="21"/>
      <w:lang w:val="zh-CN"/>
    </w:rPr>
  </w:style>
  <w:style w:type="character" w:customStyle="1" w:styleId="723">
    <w:name w:val="标题 9 字符"/>
    <w:link w:val="10"/>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字符1"/>
    <w:link w:val="43"/>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02"/>
    <w:qFormat/>
    <w:locked/>
    <w:uiPriority w:val="0"/>
    <w:rPr>
      <w:rFonts w:ascii="Tahoma" w:hAnsi="Tahoma"/>
      <w:sz w:val="24"/>
      <w:szCs w:val="24"/>
    </w:rPr>
  </w:style>
  <w:style w:type="character" w:customStyle="1" w:styleId="733">
    <w:name w:val="正文缩进 字符2"/>
    <w:link w:val="15"/>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03"/>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字符"/>
    <w:link w:val="18"/>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标题 2 Char"/>
    <w:qFormat/>
    <w:uiPriority w:val="0"/>
    <w:rPr>
      <w:rFonts w:ascii="Arial" w:hAnsi="Arial" w:eastAsia="黑体"/>
      <w:b/>
      <w:kern w:val="2"/>
      <w:sz w:val="32"/>
      <w:lang w:val="en-US" w:eastAsia="zh-CN"/>
    </w:rPr>
  </w:style>
  <w:style w:type="character" w:customStyle="1" w:styleId="748">
    <w:name w:val="maywed421"/>
    <w:qFormat/>
    <w:uiPriority w:val="0"/>
    <w:rPr>
      <w:color w:val="366FB6"/>
      <w:u w:val="none"/>
    </w:rPr>
  </w:style>
  <w:style w:type="character" w:customStyle="1" w:styleId="749">
    <w:name w:val="正文文本缩进 Char"/>
    <w:qFormat/>
    <w:uiPriority w:val="0"/>
    <w:rPr>
      <w:rFonts w:ascii="宋体" w:hAnsi="宋体"/>
      <w:kern w:val="2"/>
      <w:sz w:val="24"/>
      <w:szCs w:val="24"/>
    </w:rPr>
  </w:style>
  <w:style w:type="character" w:customStyle="1" w:styleId="750">
    <w:name w:val="Char Char102"/>
    <w:semiHidden/>
    <w:qFormat/>
    <w:uiPriority w:val="0"/>
    <w:rPr>
      <w:rFonts w:ascii="宋体" w:hAnsi="宋体"/>
      <w:kern w:val="2"/>
      <w:sz w:val="21"/>
      <w:szCs w:val="24"/>
      <w:lang w:val="en-US" w:eastAsia="zh-CN"/>
    </w:rPr>
  </w:style>
  <w:style w:type="character" w:customStyle="1" w:styleId="751">
    <w:name w:val="页眉 Char1"/>
    <w:qFormat/>
    <w:uiPriority w:val="0"/>
    <w:rPr>
      <w:rFonts w:eastAsia="宋体"/>
      <w:kern w:val="2"/>
      <w:sz w:val="18"/>
      <w:szCs w:val="18"/>
      <w:lang w:val="en-US" w:eastAsia="zh-CN" w:bidi="ar-SA"/>
    </w:rPr>
  </w:style>
  <w:style w:type="character" w:customStyle="1" w:styleId="752">
    <w:name w:val="md"/>
    <w:basedOn w:val="73"/>
    <w:qFormat/>
    <w:uiPriority w:val="0"/>
    <w:rPr>
      <w:rFonts w:ascii="Arial" w:hAnsi="Arial" w:eastAsia="黑体" w:cs="Arial"/>
      <w:snapToGrid w:val="0"/>
      <w:kern w:val="0"/>
      <w:szCs w:val="21"/>
    </w:rPr>
  </w:style>
  <w:style w:type="character" w:customStyle="1" w:styleId="753">
    <w:name w:val="big1"/>
    <w:qFormat/>
    <w:uiPriority w:val="0"/>
    <w:rPr>
      <w:rFonts w:hint="eastAsia" w:ascii="宋体" w:hAnsi="宋体" w:eastAsia="宋体"/>
      <w:color w:val="333333"/>
      <w:sz w:val="22"/>
      <w:szCs w:val="22"/>
    </w:rPr>
  </w:style>
  <w:style w:type="character" w:customStyle="1" w:styleId="754">
    <w:name w:val="Char Char311"/>
    <w:qFormat/>
    <w:uiPriority w:val="0"/>
    <w:rPr>
      <w:rFonts w:eastAsia="宋体"/>
      <w:kern w:val="2"/>
      <w:sz w:val="21"/>
      <w:szCs w:val="24"/>
      <w:lang w:val="en-US" w:eastAsia="zh-CN" w:bidi="ar-SA"/>
    </w:rPr>
  </w:style>
  <w:style w:type="character" w:customStyle="1" w:styleId="755">
    <w:name w:val="Char Char81"/>
    <w:qFormat/>
    <w:uiPriority w:val="6"/>
    <w:rPr>
      <w:rFonts w:eastAsia="宋体"/>
      <w:b/>
      <w:sz w:val="24"/>
      <w:lang w:eastAsia="zh-CN"/>
    </w:rPr>
  </w:style>
  <w:style w:type="character" w:customStyle="1" w:styleId="756">
    <w:name w:val="样式3 Char"/>
    <w:basedOn w:val="711"/>
    <w:qFormat/>
    <w:uiPriority w:val="0"/>
    <w:rPr>
      <w:rFonts w:ascii="仿宋_GB2312" w:hAnsi="仿宋" w:eastAsia="仿宋_GB2312" w:cs="仿宋_GB2312"/>
      <w:sz w:val="32"/>
      <w:szCs w:val="30"/>
      <w:lang w:val="zh-CN"/>
    </w:rPr>
  </w:style>
  <w:style w:type="character" w:customStyle="1" w:styleId="757">
    <w:name w:val="HTML 地址 字符"/>
    <w:link w:val="35"/>
    <w:qFormat/>
    <w:uiPriority w:val="0"/>
    <w:rPr>
      <w:rFonts w:ascii="宋体" w:hAnsi="宋体"/>
      <w:i/>
      <w:iCs/>
      <w:sz w:val="24"/>
      <w:szCs w:val="24"/>
    </w:rPr>
  </w:style>
  <w:style w:type="character" w:customStyle="1" w:styleId="758">
    <w:name w:val="正文首行缩进 2 Char1"/>
    <w:qFormat/>
    <w:uiPriority w:val="0"/>
    <w:rPr>
      <w:rFonts w:ascii="Times New Roman" w:hAnsi="Times New Roman" w:eastAsia="宋体" w:cs="Times New Roman"/>
      <w:kern w:val="2"/>
      <w:sz w:val="24"/>
      <w:szCs w:val="24"/>
    </w:rPr>
  </w:style>
  <w:style w:type="character" w:customStyle="1" w:styleId="759">
    <w:name w:val="副标题 Char2"/>
    <w:qFormat/>
    <w:uiPriority w:val="0"/>
    <w:rPr>
      <w:rFonts w:ascii="Cambria" w:hAnsi="Cambria" w:eastAsia="宋体" w:cs="Times New Roman"/>
      <w:b/>
      <w:bCs/>
      <w:snapToGrid w:val="0"/>
      <w:kern w:val="28"/>
      <w:sz w:val="32"/>
      <w:szCs w:val="32"/>
    </w:rPr>
  </w:style>
  <w:style w:type="character" w:customStyle="1" w:styleId="760">
    <w:name w:val="标题4-dyf Char"/>
    <w:link w:val="105"/>
    <w:qFormat/>
    <w:uiPriority w:val="0"/>
    <w:rPr>
      <w:rFonts w:ascii="Cambria" w:hAnsi="Cambria"/>
      <w:b/>
      <w:bCs/>
      <w:color w:val="000000"/>
      <w:kern w:val="2"/>
      <w:sz w:val="21"/>
      <w:szCs w:val="21"/>
    </w:rPr>
  </w:style>
  <w:style w:type="character" w:customStyle="1" w:styleId="761">
    <w:name w:val="dectext1"/>
    <w:qFormat/>
    <w:uiPriority w:val="0"/>
    <w:rPr>
      <w:rFonts w:ascii="宋体" w:hAnsi="宋体" w:eastAsia="宋体"/>
      <w:color w:val="333333"/>
      <w:sz w:val="21"/>
      <w:szCs w:val="21"/>
      <w:u w:val="none"/>
    </w:rPr>
  </w:style>
  <w:style w:type="character" w:customStyle="1" w:styleId="762">
    <w:name w:val="冯 Char"/>
    <w:link w:val="106"/>
    <w:qFormat/>
    <w:uiPriority w:val="0"/>
    <w:rPr>
      <w:rFonts w:ascii="宋体" w:hAnsi="宋体"/>
      <w:color w:val="000000"/>
      <w:sz w:val="24"/>
      <w:szCs w:val="24"/>
    </w:rPr>
  </w:style>
  <w:style w:type="character" w:customStyle="1" w:styleId="763">
    <w:name w:val="Header Char"/>
    <w:qFormat/>
    <w:locked/>
    <w:uiPriority w:val="0"/>
    <w:rPr>
      <w:rFonts w:eastAsia="宋体"/>
      <w:kern w:val="2"/>
      <w:sz w:val="18"/>
      <w:szCs w:val="18"/>
      <w:lang w:val="en-US" w:eastAsia="zh-CN" w:bidi="ar-SA"/>
    </w:rPr>
  </w:style>
  <w:style w:type="character" w:customStyle="1" w:styleId="764">
    <w:name w:val="Char Char12"/>
    <w:qFormat/>
    <w:uiPriority w:val="0"/>
    <w:rPr>
      <w:rFonts w:ascii="仿宋_GB2312" w:eastAsia="仿宋_GB2312"/>
      <w:b/>
      <w:bCs/>
      <w:kern w:val="2"/>
      <w:sz w:val="24"/>
      <w:szCs w:val="24"/>
      <w:lang w:val="zh-CN" w:eastAsia="zh-CN" w:bidi="ar-SA"/>
    </w:rPr>
  </w:style>
  <w:style w:type="character" w:customStyle="1" w:styleId="765">
    <w:name w:val="题注 字符"/>
    <w:link w:val="16"/>
    <w:qFormat/>
    <w:uiPriority w:val="0"/>
    <w:rPr>
      <w:b/>
      <w:kern w:val="2"/>
      <w:sz w:val="28"/>
    </w:rPr>
  </w:style>
  <w:style w:type="character" w:customStyle="1" w:styleId="766">
    <w:name w:val="普通文字 Char3"/>
    <w:qFormat/>
    <w:uiPriority w:val="0"/>
    <w:rPr>
      <w:rFonts w:ascii="宋体" w:hAnsi="Courier New" w:eastAsia="宋体"/>
      <w:kern w:val="2"/>
      <w:sz w:val="21"/>
      <w:lang w:val="en-US" w:eastAsia="zh-CN" w:bidi="ar-SA"/>
    </w:rPr>
  </w:style>
  <w:style w:type="character" w:customStyle="1" w:styleId="767">
    <w:name w:val="公文正文 Char"/>
    <w:qFormat/>
    <w:uiPriority w:val="0"/>
    <w:rPr>
      <w:rFonts w:ascii="仿宋_GB2312" w:eastAsia="仿宋_GB2312"/>
      <w:kern w:val="2"/>
      <w:sz w:val="24"/>
      <w:szCs w:val="24"/>
      <w:lang w:val="en-US" w:eastAsia="zh-CN" w:bidi="ar-SA"/>
    </w:rPr>
  </w:style>
  <w:style w:type="character" w:customStyle="1" w:styleId="768">
    <w:name w:val="正文首行缩进 Char Char Char Char Char"/>
    <w:qFormat/>
    <w:uiPriority w:val="0"/>
    <w:rPr>
      <w:rFonts w:ascii="宋体"/>
      <w:kern w:val="2"/>
      <w:sz w:val="24"/>
      <w:lang w:val="zh-CN"/>
    </w:rPr>
  </w:style>
  <w:style w:type="character" w:customStyle="1" w:styleId="769">
    <w:name w:val="PI Char"/>
    <w:qFormat/>
    <w:uiPriority w:val="0"/>
    <w:rPr>
      <w:rFonts w:ascii="宋体" w:hAnsi="宋体" w:eastAsia="宋体"/>
      <w:kern w:val="2"/>
      <w:sz w:val="24"/>
      <w:szCs w:val="24"/>
      <w:lang w:val="en-US" w:eastAsia="zh-CN" w:bidi="ar-SA"/>
    </w:rPr>
  </w:style>
  <w:style w:type="character" w:customStyle="1" w:styleId="770">
    <w:name w:val="Default Char"/>
    <w:link w:val="107"/>
    <w:qFormat/>
    <w:uiPriority w:val="0"/>
    <w:rPr>
      <w:rFonts w:ascii="仿宋_GB2312" w:eastAsia="仿宋_GB2312" w:cs="仿宋_GB2312"/>
      <w:color w:val="000000"/>
      <w:sz w:val="24"/>
      <w:szCs w:val="24"/>
      <w:lang w:val="en-US" w:eastAsia="zh-CN" w:bidi="ar-SA"/>
    </w:rPr>
  </w:style>
  <w:style w:type="character" w:customStyle="1" w:styleId="771">
    <w:name w:val="style91"/>
    <w:qFormat/>
    <w:uiPriority w:val="0"/>
    <w:rPr>
      <w:color w:val="333333"/>
    </w:rPr>
  </w:style>
  <w:style w:type="character" w:customStyle="1" w:styleId="772">
    <w:name w:val="列出段落 Char2"/>
    <w:qFormat/>
    <w:uiPriority w:val="34"/>
    <w:rPr>
      <w:rFonts w:ascii="Calibri" w:hAnsi="Calibri"/>
      <w:kern w:val="2"/>
      <w:sz w:val="28"/>
    </w:rPr>
  </w:style>
  <w:style w:type="character" w:customStyle="1" w:styleId="773">
    <w:name w:val="mdeck"/>
    <w:qFormat/>
    <w:uiPriority w:val="0"/>
    <w:rPr>
      <w:rFonts w:ascii="仿宋_GB2312" w:eastAsia="微软雅黑"/>
      <w:b/>
      <w:kern w:val="2"/>
      <w:sz w:val="32"/>
      <w:szCs w:val="32"/>
      <w:lang w:val="en-US" w:eastAsia="zh-CN" w:bidi="ar-SA"/>
    </w:rPr>
  </w:style>
  <w:style w:type="character" w:customStyle="1" w:styleId="774">
    <w:name w:val="unnamed11"/>
    <w:qFormat/>
    <w:uiPriority w:val="0"/>
    <w:rPr>
      <w:sz w:val="20"/>
      <w:szCs w:val="20"/>
    </w:rPr>
  </w:style>
  <w:style w:type="character" w:customStyle="1" w:styleId="775">
    <w:name w:val="正文文本 Char2"/>
    <w:semiHidden/>
    <w:qFormat/>
    <w:uiPriority w:val="99"/>
    <w:rPr>
      <w:rFonts w:ascii="Times New Roman" w:hAnsi="Times New Roman" w:eastAsia="宋体" w:cs="Times New Roman"/>
      <w:snapToGrid w:val="0"/>
      <w:kern w:val="0"/>
      <w:szCs w:val="24"/>
    </w:rPr>
  </w:style>
  <w:style w:type="character" w:customStyle="1" w:styleId="776">
    <w:name w:val="标书正文格式 Char"/>
    <w:qFormat/>
    <w:uiPriority w:val="0"/>
    <w:rPr>
      <w:rFonts w:eastAsia="楷体_GB2312"/>
      <w:kern w:val="2"/>
      <w:sz w:val="24"/>
      <w:szCs w:val="24"/>
      <w:lang w:bidi="ar-SA"/>
    </w:rPr>
  </w:style>
  <w:style w:type="character" w:customStyle="1" w:styleId="777">
    <w:name w:val="Char Char11"/>
    <w:qFormat/>
    <w:locked/>
    <w:uiPriority w:val="0"/>
    <w:rPr>
      <w:rFonts w:ascii="宋体" w:hAnsi="宋体" w:eastAsia="宋体"/>
      <w:b/>
      <w:kern w:val="2"/>
      <w:sz w:val="24"/>
      <w:szCs w:val="24"/>
      <w:lang w:val="en-US" w:eastAsia="zh-CN" w:bidi="ar-SA"/>
    </w:rPr>
  </w:style>
  <w:style w:type="character" w:customStyle="1" w:styleId="778">
    <w:name w:val="ca-131"/>
    <w:qFormat/>
    <w:uiPriority w:val="0"/>
    <w:rPr>
      <w:rFonts w:hint="eastAsia" w:ascii="仿宋_GB2312" w:eastAsia="仿宋_GB2312"/>
      <w:b/>
      <w:bCs/>
      <w:color w:val="000000"/>
      <w:spacing w:val="-20"/>
      <w:sz w:val="24"/>
      <w:szCs w:val="24"/>
    </w:rPr>
  </w:style>
  <w:style w:type="character" w:customStyle="1" w:styleId="779">
    <w:name w:val="tw4winMark"/>
    <w:qFormat/>
    <w:uiPriority w:val="0"/>
    <w:rPr>
      <w:rFonts w:ascii="Courier New" w:hAnsi="Courier New" w:cs="Courier New"/>
      <w:vanish/>
      <w:color w:val="800080"/>
      <w:sz w:val="24"/>
      <w:szCs w:val="24"/>
      <w:vertAlign w:val="subscript"/>
    </w:rPr>
  </w:style>
  <w:style w:type="character" w:customStyle="1" w:styleId="780">
    <w:name w:val="正文样式 Char"/>
    <w:link w:val="108"/>
    <w:qFormat/>
    <w:uiPriority w:val="0"/>
    <w:rPr>
      <w:rFonts w:ascii="Calibri" w:hAnsi="Calibri"/>
      <w:sz w:val="24"/>
      <w:szCs w:val="24"/>
    </w:rPr>
  </w:style>
  <w:style w:type="character" w:customStyle="1" w:styleId="781">
    <w:name w:val="表正文 Char3"/>
    <w:qFormat/>
    <w:uiPriority w:val="0"/>
    <w:rPr>
      <w:rFonts w:eastAsia="宋体"/>
    </w:rPr>
  </w:style>
  <w:style w:type="character" w:customStyle="1" w:styleId="782">
    <w:name w:val="H5 Char"/>
    <w:qFormat/>
    <w:uiPriority w:val="0"/>
    <w:rPr>
      <w:b/>
      <w:bCs/>
      <w:kern w:val="2"/>
      <w:sz w:val="28"/>
      <w:szCs w:val="28"/>
    </w:rPr>
  </w:style>
  <w:style w:type="character" w:customStyle="1" w:styleId="783">
    <w:name w:val="Char Char3"/>
    <w:qFormat/>
    <w:uiPriority w:val="0"/>
    <w:rPr>
      <w:rFonts w:eastAsia="宋体"/>
      <w:kern w:val="2"/>
      <w:sz w:val="21"/>
      <w:szCs w:val="24"/>
      <w:lang w:val="en-US" w:eastAsia="zh-CN" w:bidi="ar-SA"/>
    </w:rPr>
  </w:style>
  <w:style w:type="character" w:customStyle="1" w:styleId="784">
    <w:name w:val="正文 编号 Char"/>
    <w:qFormat/>
    <w:uiPriority w:val="0"/>
    <w:rPr>
      <w:rFonts w:ascii="仿宋_GB2312" w:hAnsi="仿宋_GB2312" w:eastAsia="仿宋_GB2312"/>
      <w:kern w:val="2"/>
      <w:sz w:val="24"/>
      <w:lang w:bidi="ar-SA"/>
    </w:rPr>
  </w:style>
  <w:style w:type="character" w:customStyle="1" w:styleId="785">
    <w:name w:val="question-title2"/>
    <w:qFormat/>
    <w:uiPriority w:val="6"/>
    <w:rPr>
      <w:rFonts w:ascii="Arial" w:hAnsi="Arial" w:eastAsia="黑体" w:cs="Arial"/>
      <w:snapToGrid w:val="0"/>
      <w:kern w:val="0"/>
      <w:szCs w:val="21"/>
    </w:rPr>
  </w:style>
  <w:style w:type="character" w:customStyle="1" w:styleId="786">
    <w:name w:val="gf正文1 Char Char"/>
    <w:link w:val="109"/>
    <w:qFormat/>
    <w:uiPriority w:val="0"/>
    <w:rPr>
      <w:rFonts w:ascii="宋体" w:hAnsi="宋体" w:cs="宋体"/>
      <w:kern w:val="2"/>
      <w:sz w:val="24"/>
      <w:szCs w:val="24"/>
    </w:rPr>
  </w:style>
  <w:style w:type="character" w:customStyle="1" w:styleId="787">
    <w:name w:val="Char Char15"/>
    <w:qFormat/>
    <w:uiPriority w:val="6"/>
    <w:rPr>
      <w:rFonts w:ascii="宋体" w:hAnsi="宋体"/>
      <w:kern w:val="1"/>
      <w:sz w:val="21"/>
    </w:rPr>
  </w:style>
  <w:style w:type="character" w:customStyle="1" w:styleId="788">
    <w:name w:val="正文缩进 Char3"/>
    <w:qFormat/>
    <w:uiPriority w:val="0"/>
    <w:rPr>
      <w:rFonts w:ascii="宋体" w:eastAsia="宋体"/>
      <w:snapToGrid w:val="0"/>
      <w:color w:val="000000"/>
      <w:kern w:val="28"/>
      <w:sz w:val="28"/>
      <w:lang w:val="en-US" w:eastAsia="zh-CN" w:bidi="ar-SA"/>
    </w:rPr>
  </w:style>
  <w:style w:type="character" w:customStyle="1" w:styleId="789">
    <w:name w:val="列出段落 Char1"/>
    <w:link w:val="110"/>
    <w:qFormat/>
    <w:uiPriority w:val="0"/>
    <w:rPr>
      <w:rFonts w:ascii="Calibri" w:hAnsi="Calibri"/>
      <w:sz w:val="24"/>
      <w:lang w:eastAsia="en-US"/>
    </w:rPr>
  </w:style>
  <w:style w:type="character" w:customStyle="1" w:styleId="790">
    <w:name w:val="Char Char8"/>
    <w:qFormat/>
    <w:uiPriority w:val="0"/>
    <w:rPr>
      <w:rFonts w:eastAsia="宋体"/>
      <w:b/>
      <w:sz w:val="24"/>
      <w:lang w:eastAsia="zh-CN"/>
    </w:rPr>
  </w:style>
  <w:style w:type="character" w:customStyle="1" w:styleId="791">
    <w:name w:val="Normal Indent Char Char"/>
    <w:qFormat/>
    <w:uiPriority w:val="0"/>
    <w:rPr>
      <w:rFonts w:eastAsia="宋体"/>
      <w:kern w:val="2"/>
      <w:sz w:val="21"/>
      <w:lang w:val="en-US" w:eastAsia="zh-CN" w:bidi="ar-SA"/>
    </w:rPr>
  </w:style>
  <w:style w:type="character" w:customStyle="1" w:styleId="792">
    <w:name w:val="列表段落 字符"/>
    <w:qFormat/>
    <w:uiPriority w:val="99"/>
  </w:style>
  <w:style w:type="character" w:customStyle="1" w:styleId="793">
    <w:name w:val="Ò³Ã¼ Char Char1"/>
    <w:qFormat/>
    <w:uiPriority w:val="0"/>
    <w:rPr>
      <w:rFonts w:eastAsia="宋体"/>
      <w:kern w:val="2"/>
      <w:sz w:val="18"/>
      <w:szCs w:val="18"/>
      <w:lang w:val="en-US" w:eastAsia="zh-CN" w:bidi="ar-SA"/>
    </w:rPr>
  </w:style>
  <w:style w:type="character" w:customStyle="1" w:styleId="794">
    <w:name w:val="方案正文 Char"/>
    <w:qFormat/>
    <w:uiPriority w:val="0"/>
    <w:rPr>
      <w:rFonts w:ascii="仿宋_GB2312" w:eastAsia="仿宋_GB2312"/>
      <w:b/>
      <w:color w:val="000000"/>
      <w:kern w:val="2"/>
      <w:sz w:val="24"/>
      <w:lang w:val="en-US" w:eastAsia="zh-CN" w:bidi="ar-SA"/>
    </w:rPr>
  </w:style>
  <w:style w:type="character" w:customStyle="1" w:styleId="795">
    <w:name w:val="Char Char30"/>
    <w:qFormat/>
    <w:uiPriority w:val="6"/>
    <w:rPr>
      <w:rFonts w:ascii="Arial" w:hAnsi="Arial" w:eastAsia="黑体"/>
      <w:kern w:val="1"/>
      <w:sz w:val="21"/>
      <w:szCs w:val="21"/>
    </w:rPr>
  </w:style>
  <w:style w:type="character" w:customStyle="1" w:styleId="796">
    <w:name w:val="正文文本缩进 字符1"/>
    <w:link w:val="26"/>
    <w:qFormat/>
    <w:uiPriority w:val="0"/>
    <w:rPr>
      <w:rFonts w:ascii="宋体" w:hAnsi="宋体"/>
      <w:kern w:val="2"/>
      <w:sz w:val="24"/>
      <w:szCs w:val="24"/>
    </w:rPr>
  </w:style>
  <w:style w:type="character" w:customStyle="1" w:styleId="797">
    <w:name w:val="font01"/>
    <w:qFormat/>
    <w:uiPriority w:val="0"/>
    <w:rPr>
      <w:rFonts w:hint="eastAsia" w:ascii="微软雅黑" w:hAnsi="微软雅黑" w:eastAsia="微软雅黑" w:cs="微软雅黑"/>
      <w:color w:val="000000"/>
      <w:sz w:val="20"/>
      <w:szCs w:val="20"/>
      <w:u w:val="none"/>
    </w:rPr>
  </w:style>
  <w:style w:type="character" w:customStyle="1" w:styleId="798">
    <w:name w:val="Char Char20"/>
    <w:qFormat/>
    <w:uiPriority w:val="6"/>
    <w:rPr>
      <w:kern w:val="1"/>
      <w:sz w:val="24"/>
    </w:rPr>
  </w:style>
  <w:style w:type="character" w:customStyle="1" w:styleId="799">
    <w:name w:val="tw4winExternal"/>
    <w:qFormat/>
    <w:uiPriority w:val="0"/>
    <w:rPr>
      <w:rFonts w:ascii="Courier New" w:hAnsi="Courier New" w:cs="Courier New"/>
      <w:color w:val="808080"/>
      <w:lang w:val="en-US" w:eastAsia="zh-CN"/>
    </w:rPr>
  </w:style>
  <w:style w:type="character" w:customStyle="1" w:styleId="800">
    <w:name w:val="标题 4 Char1"/>
    <w:qFormat/>
    <w:uiPriority w:val="9"/>
    <w:rPr>
      <w:rFonts w:ascii="Cambria" w:hAnsi="Cambria" w:eastAsia="宋体" w:cs="Times New Roman"/>
      <w:b/>
      <w:bCs/>
      <w:kern w:val="2"/>
      <w:sz w:val="28"/>
      <w:szCs w:val="28"/>
    </w:rPr>
  </w:style>
  <w:style w:type="character" w:customStyle="1" w:styleId="801">
    <w:name w:val="批注文字 Char2"/>
    <w:qFormat/>
    <w:uiPriority w:val="99"/>
    <w:rPr>
      <w:rFonts w:ascii="Times New Roman" w:hAnsi="Times New Roman" w:eastAsia="宋体" w:cs="Times New Roman"/>
      <w:snapToGrid w:val="0"/>
      <w:kern w:val="0"/>
      <w:szCs w:val="24"/>
    </w:rPr>
  </w:style>
  <w:style w:type="character" w:customStyle="1" w:styleId="802">
    <w:name w:val="正文文本 2 Char"/>
    <w:qFormat/>
    <w:uiPriority w:val="0"/>
    <w:rPr>
      <w:rFonts w:eastAsia="宋体"/>
      <w:kern w:val="2"/>
      <w:sz w:val="21"/>
      <w:szCs w:val="24"/>
      <w:lang w:val="en-US" w:eastAsia="zh-CN" w:bidi="ar-SA"/>
    </w:rPr>
  </w:style>
  <w:style w:type="character" w:customStyle="1" w:styleId="803">
    <w:name w:val="Ò³Ã¼ Char Char"/>
    <w:qFormat/>
    <w:uiPriority w:val="0"/>
    <w:rPr>
      <w:rFonts w:eastAsia="宋体"/>
      <w:kern w:val="2"/>
      <w:sz w:val="18"/>
      <w:lang w:val="en-US" w:eastAsia="zh-CN" w:bidi="ar-SA"/>
    </w:rPr>
  </w:style>
  <w:style w:type="character" w:customStyle="1" w:styleId="804">
    <w:name w:val="message1"/>
    <w:qFormat/>
    <w:uiPriority w:val="0"/>
    <w:rPr>
      <w:rFonts w:hint="default" w:ascii="Tahoma" w:hAnsi="Tahoma" w:cs="Tahoma"/>
      <w:sz w:val="18"/>
      <w:szCs w:val="18"/>
    </w:rPr>
  </w:style>
  <w:style w:type="character" w:customStyle="1" w:styleId="805">
    <w:name w:val="Char Char23"/>
    <w:qFormat/>
    <w:uiPriority w:val="6"/>
    <w:rPr>
      <w:color w:val="0000FF"/>
      <w:sz w:val="21"/>
    </w:rPr>
  </w:style>
  <w:style w:type="character" w:customStyle="1" w:styleId="806">
    <w:name w:val="批注框文本 字符"/>
    <w:qFormat/>
    <w:uiPriority w:val="0"/>
    <w:rPr>
      <w:rFonts w:ascii="Arial" w:hAnsi="Arial" w:eastAsia="黑体" w:cs="Arial"/>
      <w:snapToGrid w:val="0"/>
      <w:kern w:val="0"/>
      <w:sz w:val="18"/>
      <w:szCs w:val="18"/>
    </w:rPr>
  </w:style>
  <w:style w:type="character" w:customStyle="1" w:styleId="807">
    <w:name w:val="纯文本 Char2"/>
    <w:semiHidden/>
    <w:qFormat/>
    <w:uiPriority w:val="99"/>
    <w:rPr>
      <w:rFonts w:ascii="宋体" w:hAnsi="Courier New" w:eastAsia="宋体" w:cs="Courier New"/>
    </w:rPr>
  </w:style>
  <w:style w:type="character" w:customStyle="1" w:styleId="808">
    <w:name w:val="Char Char25"/>
    <w:qFormat/>
    <w:uiPriority w:val="6"/>
    <w:rPr>
      <w:rFonts w:ascii="宋体" w:hAnsi="宋体"/>
      <w:kern w:val="1"/>
      <w:sz w:val="24"/>
      <w:lang w:val="zh-CN"/>
    </w:rPr>
  </w:style>
  <w:style w:type="character" w:customStyle="1" w:styleId="809">
    <w:name w:val="Char Char411"/>
    <w:qFormat/>
    <w:uiPriority w:val="0"/>
    <w:rPr>
      <w:rFonts w:eastAsia="宋体"/>
      <w:b/>
      <w:sz w:val="24"/>
      <w:lang w:eastAsia="zh-CN" w:bidi="ar-SA"/>
    </w:rPr>
  </w:style>
  <w:style w:type="character" w:customStyle="1" w:styleId="810">
    <w:name w:val="Heading 7 Char"/>
    <w:qFormat/>
    <w:locked/>
    <w:uiPriority w:val="0"/>
    <w:rPr>
      <w:rFonts w:ascii="宋体" w:hAnsi="宋体" w:eastAsia="宋体"/>
      <w:b/>
      <w:bCs/>
      <w:kern w:val="2"/>
      <w:sz w:val="24"/>
      <w:szCs w:val="24"/>
      <w:lang w:val="en-US" w:eastAsia="zh-CN" w:bidi="ar-SA"/>
    </w:rPr>
  </w:style>
  <w:style w:type="character" w:customStyle="1" w:styleId="811">
    <w:name w:val="此正文 Char"/>
    <w:link w:val="112"/>
    <w:qFormat/>
    <w:uiPriority w:val="0"/>
    <w:rPr>
      <w:kern w:val="2"/>
      <w:sz w:val="24"/>
      <w:szCs w:val="24"/>
    </w:rPr>
  </w:style>
  <w:style w:type="character" w:customStyle="1" w:styleId="812">
    <w:name w:val="Char Char2"/>
    <w:qFormat/>
    <w:uiPriority w:val="0"/>
    <w:rPr>
      <w:rFonts w:eastAsia="宋体"/>
      <w:b/>
      <w:bCs/>
      <w:kern w:val="2"/>
      <w:sz w:val="21"/>
      <w:szCs w:val="24"/>
      <w:lang w:val="en-US" w:eastAsia="zh-CN" w:bidi="ar-SA"/>
    </w:rPr>
  </w:style>
  <w:style w:type="character" w:customStyle="1" w:styleId="813">
    <w:name w:val="标题 1 字符1"/>
    <w:link w:val="3"/>
    <w:qFormat/>
    <w:uiPriority w:val="9"/>
    <w:rPr>
      <w:b/>
      <w:bCs/>
      <w:kern w:val="44"/>
      <w:sz w:val="44"/>
      <w:szCs w:val="44"/>
    </w:rPr>
  </w:style>
  <w:style w:type="character" w:customStyle="1" w:styleId="814">
    <w:name w:val="Footer-Even Char1"/>
    <w:qFormat/>
    <w:uiPriority w:val="0"/>
    <w:rPr>
      <w:rFonts w:eastAsia="宋体"/>
      <w:kern w:val="2"/>
      <w:sz w:val="18"/>
      <w:szCs w:val="18"/>
      <w:lang w:val="en-US" w:eastAsia="zh-CN" w:bidi="ar-SA"/>
    </w:rPr>
  </w:style>
  <w:style w:type="character" w:customStyle="1" w:styleId="815">
    <w:name w:val="Char Char29"/>
    <w:qFormat/>
    <w:uiPriority w:val="6"/>
    <w:rPr>
      <w:rFonts w:ascii="Arial" w:hAnsi="Arial" w:eastAsia="微软雅黑"/>
      <w:b/>
      <w:kern w:val="1"/>
      <w:sz w:val="44"/>
      <w:szCs w:val="32"/>
      <w:lang w:val="en-US" w:eastAsia="zh-CN" w:bidi="ar-SA"/>
    </w:rPr>
  </w:style>
  <w:style w:type="character" w:customStyle="1" w:styleId="816">
    <w:name w:val="标题 字符"/>
    <w:link w:val="63"/>
    <w:qFormat/>
    <w:uiPriority w:val="10"/>
    <w:rPr>
      <w:b/>
      <w:sz w:val="24"/>
    </w:rPr>
  </w:style>
  <w:style w:type="character" w:customStyle="1" w:styleId="817">
    <w:name w:val="font81"/>
    <w:qFormat/>
    <w:uiPriority w:val="0"/>
    <w:rPr>
      <w:rFonts w:ascii="微软雅黑" w:hAnsi="微软雅黑" w:eastAsia="微软雅黑" w:cs="微软雅黑"/>
      <w:color w:val="000000"/>
      <w:sz w:val="20"/>
      <w:szCs w:val="20"/>
      <w:u w:val="none"/>
    </w:rPr>
  </w:style>
  <w:style w:type="character" w:customStyle="1" w:styleId="818">
    <w:name w:val="Char Char312"/>
    <w:qFormat/>
    <w:uiPriority w:val="0"/>
    <w:rPr>
      <w:rFonts w:ascii="Times New Roman" w:hAnsi="Times New Roman" w:eastAsia="宋体" w:cs="Times New Roman"/>
      <w:b/>
      <w:kern w:val="2"/>
      <w:sz w:val="32"/>
      <w:szCs w:val="24"/>
      <w:lang w:val="en-US" w:eastAsia="zh-CN" w:bidi="ar-SA"/>
    </w:rPr>
  </w:style>
  <w:style w:type="character" w:customStyle="1" w:styleId="819">
    <w:name w:val="t21"/>
    <w:qFormat/>
    <w:uiPriority w:val="0"/>
    <w:rPr>
      <w:rFonts w:ascii="仿宋_GB2312" w:eastAsia="微软雅黑"/>
      <w:b/>
      <w:kern w:val="2"/>
      <w:sz w:val="23"/>
      <w:szCs w:val="23"/>
      <w:lang w:val="en-US" w:eastAsia="zh-CN" w:bidi="ar-SA"/>
    </w:rPr>
  </w:style>
  <w:style w:type="character" w:customStyle="1" w:styleId="820">
    <w:name w:val="样式8 Char"/>
    <w:qFormat/>
    <w:uiPriority w:val="0"/>
    <w:rPr>
      <w:rFonts w:ascii="仿宋_GB2312" w:hAnsi="宋体" w:eastAsia="仿宋_GB2312"/>
      <w:b/>
      <w:bCs/>
      <w:kern w:val="2"/>
      <w:sz w:val="24"/>
      <w:szCs w:val="24"/>
    </w:rPr>
  </w:style>
  <w:style w:type="character" w:customStyle="1" w:styleId="821">
    <w:name w:val="表格 Char Char"/>
    <w:qFormat/>
    <w:uiPriority w:val="0"/>
    <w:rPr>
      <w:rFonts w:ascii="宋体" w:hAnsi="宋体" w:eastAsia="宋体"/>
      <w:lang w:bidi="ar-SA"/>
    </w:rPr>
  </w:style>
  <w:style w:type="character" w:customStyle="1" w:styleId="822">
    <w:name w:val="正文文本 字符1"/>
    <w:qFormat/>
    <w:uiPriority w:val="0"/>
    <w:rPr>
      <w:rFonts w:ascii="Calibri" w:hAnsi="Calibri" w:eastAsia="黑体" w:cs="Arial"/>
      <w:snapToGrid w:val="0"/>
      <w:kern w:val="2"/>
      <w:sz w:val="28"/>
      <w:szCs w:val="21"/>
    </w:rPr>
  </w:style>
  <w:style w:type="character" w:customStyle="1" w:styleId="823">
    <w:name w:val="标题 5 字符"/>
    <w:link w:val="6"/>
    <w:qFormat/>
    <w:uiPriority w:val="9"/>
    <w:rPr>
      <w:b/>
      <w:bCs/>
      <w:kern w:val="2"/>
      <w:sz w:val="28"/>
      <w:szCs w:val="28"/>
    </w:rPr>
  </w:style>
  <w:style w:type="character" w:customStyle="1" w:styleId="824">
    <w:name w:val="标题 6 Char1"/>
    <w:qFormat/>
    <w:uiPriority w:val="0"/>
    <w:rPr>
      <w:rFonts w:ascii="Arial" w:hAnsi="Arial" w:eastAsia="黑体" w:cs="Times New Roman"/>
      <w:b/>
      <w:sz w:val="24"/>
      <w:szCs w:val="20"/>
      <w:lang w:bidi="ar-SA"/>
    </w:rPr>
  </w:style>
  <w:style w:type="character" w:customStyle="1" w:styleId="825">
    <w:name w:val="带编号样式 Char"/>
    <w:qFormat/>
    <w:uiPriority w:val="0"/>
    <w:rPr>
      <w:rFonts w:ascii="仿宋_GB2312" w:eastAsia="仿宋_GB2312"/>
      <w:color w:val="000000"/>
      <w:sz w:val="24"/>
      <w:lang w:bidi="ar-SA"/>
    </w:rPr>
  </w:style>
  <w:style w:type="character" w:customStyle="1" w:styleId="826">
    <w:name w:val="unnamed31"/>
    <w:qFormat/>
    <w:uiPriority w:val="0"/>
    <w:rPr>
      <w:rFonts w:ascii="Tahoma" w:hAnsi="Tahoma" w:eastAsia="宋体"/>
      <w:b/>
      <w:kern w:val="2"/>
      <w:sz w:val="24"/>
      <w:szCs w:val="32"/>
      <w:u w:val="none"/>
      <w:lang w:val="en-US" w:eastAsia="zh-CN" w:bidi="ar-SA"/>
    </w:rPr>
  </w:style>
  <w:style w:type="character" w:customStyle="1" w:styleId="827">
    <w:name w:val="正文首行缩进 Char Char Char Char Char Char1"/>
    <w:qFormat/>
    <w:uiPriority w:val="0"/>
    <w:rPr>
      <w:rFonts w:ascii="宋体" w:eastAsia="宋体"/>
      <w:kern w:val="2"/>
      <w:sz w:val="24"/>
      <w:szCs w:val="24"/>
      <w:lang w:val="zh-CN" w:bidi="ar-SA"/>
    </w:rPr>
  </w:style>
  <w:style w:type="character" w:customStyle="1" w:styleId="828">
    <w:name w:val="称呼 字符"/>
    <w:link w:val="20"/>
    <w:qFormat/>
    <w:uiPriority w:val="0"/>
    <w:rPr>
      <w:rFonts w:ascii="仿宋_GB2312" w:eastAsia="仿宋_GB2312"/>
      <w:kern w:val="2"/>
      <w:sz w:val="28"/>
    </w:rPr>
  </w:style>
  <w:style w:type="character" w:customStyle="1" w:styleId="829">
    <w:name w:val="文本正文 Char Char"/>
    <w:qFormat/>
    <w:locked/>
    <w:uiPriority w:val="0"/>
    <w:rPr>
      <w:sz w:val="24"/>
      <w:lang w:bidi="ar-SA"/>
    </w:rPr>
  </w:style>
  <w:style w:type="character" w:customStyle="1" w:styleId="830">
    <w:name w:val="正文缩进 字符"/>
    <w:qFormat/>
    <w:uiPriority w:val="0"/>
    <w:rPr>
      <w:rFonts w:ascii="宋体" w:eastAsia="宋体"/>
      <w:snapToGrid w:val="0"/>
      <w:color w:val="000000"/>
      <w:kern w:val="28"/>
      <w:sz w:val="28"/>
      <w:lang w:val="en-US" w:eastAsia="zh-CN" w:bidi="ar-SA"/>
    </w:rPr>
  </w:style>
  <w:style w:type="character" w:customStyle="1" w:styleId="831">
    <w:name w:val="HTML 预设格式 字符"/>
    <w:link w:val="61"/>
    <w:qFormat/>
    <w:uiPriority w:val="0"/>
    <w:rPr>
      <w:rFonts w:ascii="黑体" w:hAnsi="Courier New" w:eastAsia="黑体"/>
    </w:rPr>
  </w:style>
  <w:style w:type="character" w:customStyle="1" w:styleId="832">
    <w:name w:val="正文文本 2 字符1"/>
    <w:link w:val="60"/>
    <w:qFormat/>
    <w:uiPriority w:val="0"/>
    <w:rPr>
      <w:kern w:val="2"/>
      <w:sz w:val="21"/>
      <w:szCs w:val="24"/>
    </w:rPr>
  </w:style>
  <w:style w:type="character" w:customStyle="1" w:styleId="833">
    <w:name w:val="样式 样式 标题 4h4H4Fab-4T5Ref Heading 1rh1Heading sqlsect 1.2.3.... +... Char"/>
    <w:link w:val="113"/>
    <w:qFormat/>
    <w:uiPriority w:val="0"/>
    <w:rPr>
      <w:rFonts w:ascii="微软雅黑" w:hAnsi="微软雅黑" w:eastAsia="微软雅黑"/>
      <w:b/>
      <w:bCs/>
      <w:kern w:val="2"/>
      <w:sz w:val="24"/>
      <w:szCs w:val="28"/>
    </w:rPr>
  </w:style>
  <w:style w:type="character" w:customStyle="1" w:styleId="834">
    <w:name w:val="正文非缩进 Char"/>
    <w:qFormat/>
    <w:uiPriority w:val="0"/>
    <w:rPr>
      <w:rFonts w:ascii="宋体" w:eastAsia="宋体"/>
      <w:snapToGrid w:val="0"/>
      <w:color w:val="000000"/>
      <w:kern w:val="28"/>
      <w:sz w:val="28"/>
      <w:lang w:val="en-US" w:eastAsia="zh-CN" w:bidi="ar-SA"/>
    </w:rPr>
  </w:style>
  <w:style w:type="character" w:customStyle="1" w:styleId="835">
    <w:name w:val="标题 7 字符"/>
    <w:link w:val="8"/>
    <w:qFormat/>
    <w:uiPriority w:val="0"/>
    <w:rPr>
      <w:b/>
      <w:bCs/>
      <w:kern w:val="2"/>
      <w:sz w:val="24"/>
      <w:szCs w:val="24"/>
    </w:rPr>
  </w:style>
  <w:style w:type="character" w:customStyle="1" w:styleId="836">
    <w:name w:val="正文文本缩进 2 字符"/>
    <w:link w:val="41"/>
    <w:qFormat/>
    <w:uiPriority w:val="0"/>
    <w:rPr>
      <w:rFonts w:ascii="宋体"/>
      <w:sz w:val="28"/>
    </w:rPr>
  </w:style>
  <w:style w:type="character" w:customStyle="1" w:styleId="837">
    <w:name w:val="Char Char5"/>
    <w:qFormat/>
    <w:uiPriority w:val="0"/>
    <w:rPr>
      <w:rFonts w:ascii="宋体" w:hAnsi="Courier New" w:eastAsia="宋体"/>
      <w:kern w:val="2"/>
      <w:sz w:val="21"/>
      <w:lang w:val="en-US" w:eastAsia="zh-CN"/>
    </w:rPr>
  </w:style>
  <w:style w:type="character" w:customStyle="1" w:styleId="838">
    <w:name w:val="脚注文本 字符"/>
    <w:link w:val="55"/>
    <w:qFormat/>
    <w:uiPriority w:val="0"/>
    <w:rPr>
      <w:color w:val="0000FF"/>
      <w:sz w:val="21"/>
    </w:rPr>
  </w:style>
  <w:style w:type="character" w:customStyle="1" w:styleId="839">
    <w:name w:val="称呼 Char1"/>
    <w:qFormat/>
    <w:uiPriority w:val="0"/>
    <w:rPr>
      <w:rFonts w:ascii="Times New Roman" w:hAnsi="Times New Roman" w:eastAsia="宋体" w:cs="Times New Roman"/>
      <w:szCs w:val="24"/>
    </w:rPr>
  </w:style>
  <w:style w:type="character" w:customStyle="1" w:styleId="840">
    <w:name w:val="正文1 Char"/>
    <w:qFormat/>
    <w:uiPriority w:val="0"/>
    <w:rPr>
      <w:rFonts w:ascii="宋体" w:eastAsia="宋体"/>
      <w:snapToGrid w:val="0"/>
      <w:color w:val="000000"/>
      <w:kern w:val="28"/>
      <w:sz w:val="28"/>
      <w:lang w:val="en-US" w:eastAsia="zh-CN" w:bidi="ar-SA"/>
    </w:rPr>
  </w:style>
  <w:style w:type="character" w:customStyle="1" w:styleId="841">
    <w:name w:val="正文缩进 Char1"/>
    <w:qFormat/>
    <w:uiPriority w:val="0"/>
    <w:rPr>
      <w:rFonts w:ascii="宋体" w:eastAsia="宋体"/>
      <w:snapToGrid w:val="0"/>
      <w:color w:val="000000"/>
      <w:kern w:val="28"/>
      <w:sz w:val="28"/>
      <w:lang w:val="en-US" w:eastAsia="zh-CN" w:bidi="ar-SA"/>
    </w:rPr>
  </w:style>
  <w:style w:type="character" w:customStyle="1" w:styleId="842">
    <w:name w:val="font21"/>
    <w:qFormat/>
    <w:uiPriority w:val="0"/>
    <w:rPr>
      <w:rFonts w:hint="eastAsia" w:ascii="宋体" w:hAnsi="宋体" w:eastAsia="宋体"/>
      <w:kern w:val="2"/>
      <w:sz w:val="28"/>
      <w:szCs w:val="28"/>
      <w:lang w:val="en-US" w:eastAsia="zh-CN" w:bidi="ar-SA"/>
    </w:rPr>
  </w:style>
  <w:style w:type="character" w:customStyle="1" w:styleId="843">
    <w:name w:val="Char Char26"/>
    <w:qFormat/>
    <w:uiPriority w:val="6"/>
    <w:rPr>
      <w:kern w:val="1"/>
      <w:sz w:val="21"/>
      <w:szCs w:val="24"/>
    </w:rPr>
  </w:style>
  <w:style w:type="character" w:customStyle="1" w:styleId="844">
    <w:name w:val="Item List Char"/>
    <w:link w:val="115"/>
    <w:qFormat/>
    <w:uiPriority w:val="0"/>
    <w:rPr>
      <w:rFonts w:ascii="Arial"/>
      <w:bCs/>
      <w:sz w:val="21"/>
      <w:szCs w:val="21"/>
      <w:lang w:val="en-US" w:eastAsia="zh-CN" w:bidi="ar-SA"/>
    </w:rPr>
  </w:style>
  <w:style w:type="character" w:customStyle="1" w:styleId="845">
    <w:name w:val="批注框文本 Char1"/>
    <w:qFormat/>
    <w:uiPriority w:val="0"/>
    <w:rPr>
      <w:rFonts w:ascii="Times New Roman" w:hAnsi="Times New Roman" w:eastAsia="宋体" w:cs="Times New Roman"/>
      <w:sz w:val="18"/>
      <w:szCs w:val="18"/>
    </w:rPr>
  </w:style>
  <w:style w:type="character" w:customStyle="1" w:styleId="846">
    <w:name w:val="纯文本 Char1"/>
    <w:link w:val="116"/>
    <w:qFormat/>
    <w:uiPriority w:val="0"/>
    <w:rPr>
      <w:rFonts w:ascii="宋体" w:hAnsi="Courier New"/>
    </w:rPr>
  </w:style>
  <w:style w:type="character" w:customStyle="1" w:styleId="847">
    <w:name w:val="正文首行缩进 字符"/>
    <w:link w:val="24"/>
    <w:qFormat/>
    <w:uiPriority w:val="0"/>
    <w:rPr>
      <w:rFonts w:ascii="宋体"/>
      <w:kern w:val="2"/>
      <w:sz w:val="24"/>
      <w:lang w:val="zh-CN"/>
    </w:rPr>
  </w:style>
  <w:style w:type="character" w:customStyle="1" w:styleId="848">
    <w:name w:val="h3 Char"/>
    <w:qFormat/>
    <w:uiPriority w:val="0"/>
    <w:rPr>
      <w:rFonts w:eastAsia="宋体"/>
      <w:b/>
      <w:kern w:val="2"/>
      <w:sz w:val="32"/>
      <w:lang w:val="en-US" w:eastAsia="zh-CN" w:bidi="ar-SA"/>
    </w:rPr>
  </w:style>
  <w:style w:type="character" w:customStyle="1" w:styleId="849">
    <w:name w:val="dandyren_title1"/>
    <w:qFormat/>
    <w:uiPriority w:val="0"/>
    <w:rPr>
      <w:b/>
      <w:bCs/>
      <w:color w:val="FF6633"/>
      <w:sz w:val="18"/>
      <w:szCs w:val="18"/>
    </w:rPr>
  </w:style>
  <w:style w:type="character" w:customStyle="1" w:styleId="850">
    <w:name w:val="Char Char31"/>
    <w:qFormat/>
    <w:uiPriority w:val="6"/>
    <w:rPr>
      <w:rFonts w:ascii="Arial" w:hAnsi="Arial" w:eastAsia="黑体"/>
      <w:kern w:val="1"/>
      <w:sz w:val="24"/>
      <w:szCs w:val="24"/>
    </w:rPr>
  </w:style>
  <w:style w:type="character" w:customStyle="1" w:styleId="851">
    <w:name w:val="h Char1"/>
    <w:qFormat/>
    <w:uiPriority w:val="0"/>
    <w:rPr>
      <w:sz w:val="18"/>
      <w:szCs w:val="18"/>
    </w:rPr>
  </w:style>
  <w:style w:type="character" w:customStyle="1" w:styleId="852">
    <w:name w:val="solutionfonts"/>
    <w:qFormat/>
    <w:uiPriority w:val="0"/>
  </w:style>
  <w:style w:type="character" w:customStyle="1" w:styleId="853">
    <w:name w:val="标题 4 字符1"/>
    <w:link w:val="5"/>
    <w:qFormat/>
    <w:uiPriority w:val="9"/>
    <w:rPr>
      <w:rFonts w:ascii="Arial" w:hAnsi="Arial" w:eastAsia="黑体"/>
      <w:b/>
      <w:bCs/>
      <w:kern w:val="2"/>
      <w:sz w:val="28"/>
      <w:szCs w:val="28"/>
      <w:lang w:val="zh-CN"/>
    </w:rPr>
  </w:style>
  <w:style w:type="character" w:customStyle="1" w:styleId="854">
    <w:name w:val="首行缩进 Char"/>
    <w:qFormat/>
    <w:uiPriority w:val="0"/>
    <w:rPr>
      <w:rFonts w:ascii="宋体" w:eastAsia="宋体"/>
      <w:kern w:val="2"/>
      <w:sz w:val="24"/>
      <w:lang w:val="en-US" w:eastAsia="zh-CN" w:bidi="ar-SA"/>
    </w:rPr>
  </w:style>
  <w:style w:type="character" w:customStyle="1" w:styleId="855">
    <w:name w:val="Char Char52"/>
    <w:qFormat/>
    <w:uiPriority w:val="0"/>
    <w:rPr>
      <w:rFonts w:ascii="宋体" w:hAnsi="Courier New" w:eastAsia="宋体"/>
      <w:kern w:val="2"/>
      <w:sz w:val="21"/>
      <w:lang w:val="en-US" w:eastAsia="zh-CN"/>
    </w:rPr>
  </w:style>
  <w:style w:type="character" w:customStyle="1" w:styleId="856">
    <w:name w:val="正文文本 3 字符"/>
    <w:link w:val="21"/>
    <w:qFormat/>
    <w:uiPriority w:val="0"/>
    <w:rPr>
      <w:kern w:val="2"/>
      <w:sz w:val="21"/>
    </w:rPr>
  </w:style>
  <w:style w:type="character" w:customStyle="1" w:styleId="857">
    <w:name w:val="font31"/>
    <w:qFormat/>
    <w:uiPriority w:val="0"/>
    <w:rPr>
      <w:rFonts w:hint="eastAsia" w:ascii="仿宋" w:hAnsi="仿宋" w:eastAsia="仿宋" w:cs="仿宋"/>
      <w:color w:val="000000"/>
      <w:sz w:val="20"/>
      <w:szCs w:val="20"/>
      <w:u w:val="none"/>
    </w:rPr>
  </w:style>
  <w:style w:type="character" w:customStyle="1" w:styleId="858">
    <w:name w:val="正文说明 Char"/>
    <w:link w:val="117"/>
    <w:qFormat/>
    <w:uiPriority w:val="0"/>
    <w:rPr>
      <w:sz w:val="24"/>
      <w:szCs w:val="24"/>
    </w:rPr>
  </w:style>
  <w:style w:type="character" w:customStyle="1" w:styleId="859">
    <w:name w:val="脚注文本 Char1"/>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标题 Char"/>
    <w:qFormat/>
    <w:uiPriority w:val="0"/>
    <w:rPr>
      <w:rFonts w:eastAsia="宋体"/>
      <w:b/>
      <w:sz w:val="24"/>
      <w:lang w:eastAsia="zh-CN" w:bidi="ar-SA"/>
    </w:rPr>
  </w:style>
  <w:style w:type="character" w:customStyle="1" w:styleId="862">
    <w:name w:val="Char Char35"/>
    <w:qFormat/>
    <w:uiPriority w:val="6"/>
    <w:rPr>
      <w:rFonts w:ascii="Arial" w:hAnsi="Arial" w:eastAsia="黑体"/>
      <w:b/>
      <w:kern w:val="1"/>
      <w:sz w:val="28"/>
      <w:szCs w:val="28"/>
      <w:lang w:val="zh-CN"/>
    </w:rPr>
  </w:style>
  <w:style w:type="character" w:customStyle="1" w:styleId="863">
    <w:name w:val="纯文本 Char Char Char"/>
    <w:qFormat/>
    <w:uiPriority w:val="0"/>
    <w:rPr>
      <w:rFonts w:ascii="宋体" w:hAnsi="Courier New" w:eastAsia="宋体"/>
      <w:kern w:val="2"/>
      <w:sz w:val="21"/>
      <w:lang w:val="en-US" w:eastAsia="zh-CN" w:bidi="ar-SA"/>
    </w:rPr>
  </w:style>
  <w:style w:type="character" w:customStyle="1" w:styleId="864">
    <w:name w:val="Table Text Char"/>
    <w:link w:val="118"/>
    <w:qFormat/>
    <w:uiPriority w:val="0"/>
    <w:rPr>
      <w:sz w:val="24"/>
      <w:szCs w:val="24"/>
    </w:rPr>
  </w:style>
  <w:style w:type="character" w:customStyle="1" w:styleId="865">
    <w:name w:val="正文1 Char1"/>
    <w:qFormat/>
    <w:uiPriority w:val="0"/>
    <w:rPr>
      <w:rFonts w:ascii="仿宋_GB2312" w:hAnsi="Courier New" w:eastAsia="仿宋_GB2312"/>
      <w:kern w:val="28"/>
      <w:sz w:val="24"/>
      <w:szCs w:val="24"/>
      <w:lang w:val="en-US" w:eastAsia="zh-CN"/>
    </w:rPr>
  </w:style>
  <w:style w:type="character" w:customStyle="1" w:styleId="866">
    <w:name w:val="页脚 Char1"/>
    <w:qFormat/>
    <w:uiPriority w:val="0"/>
    <w:rPr>
      <w:rFonts w:eastAsia="宋体"/>
      <w:kern w:val="2"/>
      <w:sz w:val="18"/>
      <w:szCs w:val="18"/>
      <w:lang w:val="en-US" w:eastAsia="zh-CN" w:bidi="ar-SA"/>
    </w:rPr>
  </w:style>
  <w:style w:type="character" w:customStyle="1" w:styleId="867">
    <w:name w:val="Bold"/>
    <w:qFormat/>
    <w:uiPriority w:val="0"/>
    <w:rPr>
      <w:rFonts w:ascii="Arial" w:hAnsi="Arial" w:eastAsia="黑体" w:cs="Times New Roman"/>
      <w:b/>
      <w:kern w:val="2"/>
      <w:sz w:val="32"/>
      <w:szCs w:val="32"/>
      <w:lang w:val="en-US" w:eastAsia="zh-CN" w:bidi="ar-SA"/>
    </w:rPr>
  </w:style>
  <w:style w:type="character" w:customStyle="1" w:styleId="868">
    <w:name w:val="批注文字 字符1"/>
    <w:link w:val="19"/>
    <w:qFormat/>
    <w:uiPriority w:val="0"/>
    <w:rPr>
      <w:kern w:val="2"/>
      <w:sz w:val="21"/>
      <w:szCs w:val="24"/>
    </w:rPr>
  </w:style>
  <w:style w:type="character" w:customStyle="1" w:styleId="869">
    <w:name w:val="签名 字符"/>
    <w:link w:val="47"/>
    <w:qFormat/>
    <w:uiPriority w:val="0"/>
    <w:rPr>
      <w:rFonts w:eastAsia="仿宋_GB2312"/>
      <w:sz w:val="24"/>
    </w:rPr>
  </w:style>
  <w:style w:type="character" w:customStyle="1" w:styleId="870">
    <w:name w:val="hui3"/>
    <w:qFormat/>
    <w:uiPriority w:val="0"/>
    <w:rPr>
      <w:color w:val="333333"/>
    </w:rPr>
  </w:style>
  <w:style w:type="character" w:customStyle="1" w:styleId="871">
    <w:name w:val="Char Char17"/>
    <w:qFormat/>
    <w:uiPriority w:val="6"/>
    <w:rPr>
      <w:rFonts w:eastAsia="仿宋_GB2312"/>
      <w:sz w:val="24"/>
    </w:rPr>
  </w:style>
  <w:style w:type="character" w:customStyle="1" w:styleId="872">
    <w:name w:val="标题 4 字符"/>
    <w:qFormat/>
    <w:uiPriority w:val="9"/>
    <w:rPr>
      <w:rFonts w:ascii="等线 Light" w:hAnsi="等线 Light" w:eastAsia="等线 Light" w:cs="Times New Roman"/>
      <w:b/>
      <w:bCs/>
      <w:snapToGrid w:val="0"/>
      <w:kern w:val="0"/>
      <w:sz w:val="28"/>
      <w:szCs w:val="28"/>
    </w:rPr>
  </w:style>
  <w:style w:type="character" w:customStyle="1" w:styleId="873">
    <w:name w:val="Char Char37"/>
    <w:qFormat/>
    <w:uiPriority w:val="6"/>
    <w:rPr>
      <w:b/>
      <w:kern w:val="1"/>
      <w:sz w:val="44"/>
      <w:szCs w:val="44"/>
    </w:rPr>
  </w:style>
  <w:style w:type="character" w:customStyle="1" w:styleId="874">
    <w:name w:val="列出段落 Char"/>
    <w:qFormat/>
    <w:uiPriority w:val="0"/>
    <w:rPr>
      <w:rFonts w:eastAsia="楷体_GB2312" w:cs="Lucida Sans"/>
      <w:kern w:val="2"/>
      <w:sz w:val="24"/>
      <w:szCs w:val="24"/>
      <w:lang w:val="en-US" w:eastAsia="zh-CN" w:bidi="ar-SA"/>
    </w:rPr>
  </w:style>
  <w:style w:type="character" w:customStyle="1" w:styleId="875">
    <w:name w:val="正文文本缩进 3 Char1"/>
    <w:semiHidden/>
    <w:qFormat/>
    <w:uiPriority w:val="99"/>
    <w:rPr>
      <w:rFonts w:ascii="Times New Roman" w:hAnsi="Times New Roman" w:eastAsia="宋体" w:cs="Times New Roman"/>
      <w:sz w:val="16"/>
      <w:szCs w:val="16"/>
    </w:rPr>
  </w:style>
  <w:style w:type="character" w:customStyle="1" w:styleId="876">
    <w:name w:val="公文正文 Char Char"/>
    <w:link w:val="119"/>
    <w:qFormat/>
    <w:uiPriority w:val="0"/>
    <w:rPr>
      <w:rFonts w:ascii="仿宋_GB2312" w:eastAsia="仿宋_GB2312"/>
      <w:kern w:val="2"/>
      <w:sz w:val="24"/>
      <w:szCs w:val="24"/>
    </w:rPr>
  </w:style>
  <w:style w:type="character" w:customStyle="1" w:styleId="877">
    <w:name w:val="Table Text Char1"/>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w:link w:val="120"/>
    <w:qFormat/>
    <w:uiPriority w:val="0"/>
    <w:rPr>
      <w:rFonts w:ascii="宋体"/>
    </w:rPr>
  </w:style>
  <w:style w:type="character" w:customStyle="1" w:styleId="880">
    <w:name w:val="标题 8 字符"/>
    <w:link w:val="9"/>
    <w:qFormat/>
    <w:uiPriority w:val="0"/>
    <w:rPr>
      <w:rFonts w:ascii="Arial" w:hAnsi="Arial" w:eastAsia="黑体"/>
      <w:kern w:val="2"/>
      <w:sz w:val="24"/>
      <w:szCs w:val="24"/>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正文文本缩进 3 字符"/>
    <w:link w:val="57"/>
    <w:qFormat/>
    <w:uiPriority w:val="0"/>
    <w:rPr>
      <w:kern w:val="2"/>
      <w:sz w:val="24"/>
    </w:rPr>
  </w:style>
  <w:style w:type="character" w:customStyle="1" w:styleId="898">
    <w:name w:val="日期 Char1"/>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qFormat/>
    <w:uiPriority w:val="6"/>
    <w:rPr>
      <w:rFonts w:ascii="Arial" w:hAnsi="Arial" w:eastAsia="黑体"/>
      <w:b/>
      <w:kern w:val="1"/>
      <w:sz w:val="24"/>
      <w:szCs w:val="24"/>
    </w:rPr>
  </w:style>
  <w:style w:type="character" w:customStyle="1" w:styleId="901">
    <w:name w:val="b11_01b Char"/>
    <w:link w:val="121"/>
    <w:qFormat/>
    <w:uiPriority w:val="0"/>
    <w:rPr>
      <w:rFonts w:ascii="Verdana" w:hAnsi="Verdana"/>
      <w:b/>
      <w:bCs/>
      <w:color w:val="4A82CA"/>
      <w:sz w:val="17"/>
      <w:szCs w:val="17"/>
    </w:rPr>
  </w:style>
  <w:style w:type="character" w:customStyle="1" w:styleId="902">
    <w:name w:val="Char Char121"/>
    <w:qFormat/>
    <w:uiPriority w:val="6"/>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页脚 字符2"/>
    <w:link w:val="44"/>
    <w:qFormat/>
    <w:locked/>
    <w:uiPriority w:val="99"/>
    <w:rPr>
      <w:kern w:val="2"/>
      <w:sz w:val="18"/>
      <w:szCs w:val="18"/>
    </w:rPr>
  </w:style>
  <w:style w:type="character" w:customStyle="1" w:styleId="905">
    <w:name w:val="Char Char36"/>
    <w:qFormat/>
    <w:uiPriority w:val="6"/>
    <w:rPr>
      <w:rFonts w:ascii="仿宋_GB2312" w:hAnsi="仿宋_GB2312" w:eastAsia="仿宋_GB2312" w:cs="Arial"/>
      <w:b/>
      <w:kern w:val="1"/>
      <w:sz w:val="32"/>
      <w:szCs w:val="32"/>
      <w:lang w:val="zh-CN" w:eastAsia="zh-CN" w:bidi="ar-SA"/>
    </w:rPr>
  </w:style>
  <w:style w:type="character" w:customStyle="1" w:styleId="906">
    <w:name w:val="Char Char61"/>
    <w:qFormat/>
    <w:uiPriority w:val="6"/>
    <w:rPr>
      <w:rFonts w:eastAsia="宋体"/>
      <w:kern w:val="2"/>
      <w:sz w:val="21"/>
      <w:szCs w:val="24"/>
      <w:lang w:val="en-US" w:eastAsia="zh-CN" w:bidi="ar-SA"/>
    </w:rPr>
  </w:style>
  <w:style w:type="character" w:customStyle="1" w:styleId="907">
    <w:name w:val="正文文字缩进 2 Char Char"/>
    <w:qFormat/>
    <w:uiPriority w:val="0"/>
    <w:rPr>
      <w:rFonts w:ascii="宋体"/>
      <w:sz w:val="28"/>
    </w:rPr>
  </w:style>
  <w:style w:type="character" w:customStyle="1" w:styleId="908">
    <w:name w:val="f141"/>
    <w:qFormat/>
    <w:uiPriority w:val="0"/>
    <w:rPr>
      <w:rFonts w:ascii="Tahoma" w:hAnsi="Tahoma" w:eastAsia="宋体"/>
      <w:b/>
      <w:kern w:val="2"/>
      <w:sz w:val="21"/>
      <w:szCs w:val="21"/>
      <w:lang w:val="en-US" w:eastAsia="zh-CN" w:bidi="ar-SA"/>
    </w:rPr>
  </w:style>
  <w:style w:type="character" w:customStyle="1" w:styleId="909">
    <w:name w:val="段落 Char Char"/>
    <w:link w:val="122"/>
    <w:qFormat/>
    <w:uiPriority w:val="0"/>
    <w:rPr>
      <w:rFonts w:ascii="宋体" w:hAnsi="宋体"/>
      <w:sz w:val="24"/>
    </w:rPr>
  </w:style>
  <w:style w:type="character" w:customStyle="1" w:styleId="910">
    <w:name w:val="标题 3 Char2"/>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字符2"/>
    <w:link w:val="45"/>
    <w:qFormat/>
    <w:uiPriority w:val="99"/>
    <w:rPr>
      <w:kern w:val="2"/>
      <w:sz w:val="18"/>
      <w:szCs w:val="18"/>
    </w:rPr>
  </w:style>
  <w:style w:type="character" w:customStyle="1" w:styleId="913">
    <w:name w:val="Char Char9"/>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qFormat/>
    <w:uiPriority w:val="0"/>
    <w:rPr>
      <w:rFonts w:hint="eastAsia" w:ascii="宋体" w:hAnsi="宋体" w:eastAsia="宋体"/>
      <w:sz w:val="21"/>
      <w:szCs w:val="21"/>
    </w:rPr>
  </w:style>
  <w:style w:type="character" w:customStyle="1" w:styleId="916">
    <w:name w:val="正文段 Char"/>
    <w:link w:val="123"/>
    <w:qFormat/>
    <w:uiPriority w:val="0"/>
    <w:rPr>
      <w:sz w:val="24"/>
    </w:rPr>
  </w:style>
  <w:style w:type="character" w:customStyle="1" w:styleId="917">
    <w:name w:val="Char Char13"/>
    <w:qFormat/>
    <w:uiPriority w:val="6"/>
    <w:rPr>
      <w:rFonts w:ascii="宋体" w:hAnsi="宋体"/>
      <w:kern w:val="1"/>
      <w:sz w:val="21"/>
      <w:szCs w:val="24"/>
    </w:rPr>
  </w:style>
  <w:style w:type="character" w:customStyle="1" w:styleId="9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w:link w:val="124"/>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25"/>
    <w:qFormat/>
    <w:uiPriority w:val="0"/>
    <w:rPr>
      <w:rFonts w:ascii="Arial" w:hAnsi="Arial"/>
      <w:sz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w:link w:val="114"/>
    <w:qFormat/>
    <w:uiPriority w:val="0"/>
    <w:rPr>
      <w:rFonts w:ascii="微软雅黑" w:hAnsi="微软雅黑" w:eastAsia="微软雅黑"/>
      <w:b/>
      <w:bCs/>
      <w:kern w:val="2"/>
      <w:sz w:val="24"/>
      <w:szCs w:val="28"/>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26"/>
    <w:qFormat/>
    <w:uiPriority w:val="0"/>
    <w:rPr>
      <w:rFonts w:ascii="仿宋_GB2312" w:eastAsia="仿宋_GB2312"/>
      <w:kern w:val="2"/>
      <w:sz w:val="24"/>
      <w:lang w:val="en-US" w:eastAsia="zh-CN" w:bidi="ar-SA"/>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标题 1 字符"/>
    <w:qFormat/>
    <w:uiPriority w:val="9"/>
    <w:rPr>
      <w:rFonts w:ascii="Arial" w:hAnsi="Arial" w:eastAsia="黑体" w:cs="Arial"/>
      <w:b/>
      <w:bCs/>
      <w:snapToGrid w:val="0"/>
      <w:kern w:val="44"/>
      <w:sz w:val="44"/>
      <w:szCs w:val="44"/>
    </w:rPr>
  </w:style>
  <w:style w:type="character" w:customStyle="1" w:styleId="937">
    <w:name w:val="style36"/>
    <w:basedOn w:val="73"/>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qFormat/>
    <w:uiPriority w:val="0"/>
    <w:rPr>
      <w:rFonts w:eastAsia="宋体"/>
      <w:b/>
      <w:bCs/>
      <w:kern w:val="44"/>
      <w:sz w:val="44"/>
      <w:szCs w:val="44"/>
      <w:lang w:val="en-US" w:eastAsia="zh-CN" w:bidi="ar-SA"/>
    </w:rPr>
  </w:style>
  <w:style w:type="character" w:customStyle="1" w:styleId="941">
    <w:name w:val="页脚 字符"/>
    <w:qFormat/>
    <w:uiPriority w:val="99"/>
    <w:rPr>
      <w:kern w:val="2"/>
      <w:sz w:val="18"/>
      <w:szCs w:val="18"/>
    </w:rPr>
  </w:style>
  <w:style w:type="character" w:customStyle="1" w:styleId="942">
    <w:name w:val="正文2 Char"/>
    <w:qFormat/>
    <w:uiPriority w:val="0"/>
    <w:rPr>
      <w:rFonts w:eastAsia="宋体"/>
      <w:kern w:val="2"/>
      <w:sz w:val="24"/>
      <w:lang w:val="en-US" w:eastAsia="zh-CN" w:bidi="ar-SA"/>
    </w:rPr>
  </w:style>
  <w:style w:type="character" w:customStyle="1" w:styleId="943">
    <w:name w:val="Char Char21"/>
    <w:qFormat/>
    <w:uiPriority w:val="6"/>
    <w:rPr>
      <w:rFonts w:ascii="宋体" w:hAnsi="宋体"/>
      <w:kern w:val="1"/>
      <w:sz w:val="24"/>
      <w:szCs w:val="21"/>
      <w:lang w:val="zh-CN"/>
    </w:rPr>
  </w:style>
  <w:style w:type="character" w:customStyle="1" w:styleId="944">
    <w:name w:val="样式 正文缩进 + 首行缩进:  2 字符 Char Char"/>
    <w:link w:val="127"/>
    <w:qFormat/>
    <w:uiPriority w:val="0"/>
    <w:rPr>
      <w:rFonts w:cs="宋体"/>
      <w:kern w:val="2"/>
      <w:sz w:val="24"/>
    </w:rPr>
  </w:style>
  <w:style w:type="character" w:customStyle="1" w:styleId="94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6">
    <w:name w:val="gray6"/>
    <w:basedOn w:val="73"/>
    <w:qFormat/>
    <w:uiPriority w:val="0"/>
    <w:rPr>
      <w:rFonts w:ascii="Arial" w:hAnsi="Arial" w:eastAsia="黑体" w:cs="Arial"/>
      <w:snapToGrid w:val="0"/>
      <w:kern w:val="0"/>
      <w:szCs w:val="21"/>
    </w:rPr>
  </w:style>
  <w:style w:type="character" w:customStyle="1" w:styleId="947">
    <w:name w:val="hui"/>
    <w:basedOn w:val="73"/>
    <w:qFormat/>
    <w:uiPriority w:val="0"/>
    <w:rPr>
      <w:rFonts w:ascii="Arial" w:hAnsi="Arial" w:eastAsia="黑体" w:cs="Arial"/>
      <w:snapToGrid w:val="0"/>
      <w:kern w:val="0"/>
      <w:szCs w:val="21"/>
    </w:rPr>
  </w:style>
  <w:style w:type="character" w:customStyle="1" w:styleId="948">
    <w:name w:val="哈哈正文 Char Char"/>
    <w:qFormat/>
    <w:uiPriority w:val="0"/>
    <w:rPr>
      <w:rFonts w:ascii="宋体" w:hAnsi="宋体" w:eastAsia="宋体" w:cs="宋体"/>
      <w:kern w:val="2"/>
      <w:sz w:val="24"/>
      <w:lang w:val="en-US" w:eastAsia="zh-CN" w:bidi="ar-SA"/>
    </w:rPr>
  </w:style>
  <w:style w:type="character" w:customStyle="1" w:styleId="949">
    <w:name w:val="交叉引用"/>
    <w:qFormat/>
    <w:uiPriority w:val="1"/>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locked/>
    <w:uiPriority w:val="99"/>
    <w:rPr>
      <w:kern w:val="2"/>
      <w:sz w:val="18"/>
      <w:szCs w:val="18"/>
    </w:rPr>
  </w:style>
  <w:style w:type="character" w:customStyle="1" w:styleId="952">
    <w:name w:val="页眉 字符1"/>
    <w:qFormat/>
    <w:uiPriority w:val="99"/>
    <w:rPr>
      <w:kern w:val="2"/>
      <w:sz w:val="18"/>
      <w:szCs w:val="18"/>
    </w:rPr>
  </w:style>
  <w:style w:type="character" w:customStyle="1" w:styleId="953">
    <w:name w:val="尾注文本 字符"/>
    <w:link w:val="42"/>
    <w:qFormat/>
    <w:uiPriority w:val="0"/>
    <w:rPr>
      <w:kern w:val="2"/>
      <w:sz w:val="21"/>
      <w:szCs w:val="24"/>
      <w:lang w:val="zh-CN"/>
    </w:rPr>
  </w:style>
  <w:style w:type="character" w:customStyle="1" w:styleId="954">
    <w:name w:val="无间隔 Char"/>
    <w:link w:val="177"/>
    <w:qFormat/>
    <w:uiPriority w:val="99"/>
    <w:rPr>
      <w:kern w:val="2"/>
      <w:sz w:val="21"/>
      <w:szCs w:val="22"/>
    </w:rPr>
  </w:style>
  <w:style w:type="character" w:customStyle="1" w:styleId="955">
    <w:name w:val="标准文本 Char Char"/>
    <w:link w:val="613"/>
    <w:qFormat/>
    <w:uiPriority w:val="0"/>
    <w:rPr>
      <w:rFonts w:cs="宋体"/>
      <w:kern w:val="2"/>
      <w:sz w:val="24"/>
    </w:rPr>
  </w:style>
  <w:style w:type="character" w:customStyle="1" w:styleId="956">
    <w:name w:val="Char Char213"/>
    <w:qFormat/>
    <w:uiPriority w:val="0"/>
    <w:rPr>
      <w:rFonts w:eastAsia="Century Gothic"/>
      <w:b/>
      <w:bCs/>
      <w:kern w:val="44"/>
      <w:sz w:val="32"/>
      <w:szCs w:val="44"/>
      <w:lang w:val="en-US" w:eastAsia="zh-CN" w:bidi="ar-SA"/>
    </w:rPr>
  </w:style>
  <w:style w:type="character" w:customStyle="1" w:styleId="957">
    <w:name w:val="apple-style-span"/>
    <w:qFormat/>
    <w:uiPriority w:val="0"/>
    <w:rPr>
      <w:rFonts w:ascii="Arial" w:hAnsi="Arial" w:eastAsia="黑体" w:cs="Arial"/>
      <w:snapToGrid w:val="0"/>
      <w:kern w:val="0"/>
      <w:szCs w:val="21"/>
    </w:rPr>
  </w:style>
  <w:style w:type="character" w:customStyle="1" w:styleId="958">
    <w:name w:val="15"/>
    <w:qFormat/>
    <w:uiPriority w:val="0"/>
    <w:rPr>
      <w:rFonts w:hint="default" w:ascii="Calibri" w:hAnsi="Calibri"/>
      <w:color w:val="0000FF"/>
      <w:u w:val="single"/>
    </w:rPr>
  </w:style>
  <w:style w:type="character" w:customStyle="1" w:styleId="959">
    <w:name w:val="16"/>
    <w:qFormat/>
    <w:uiPriority w:val="0"/>
    <w:rPr>
      <w:rFonts w:hint="eastAsia" w:ascii="宋体" w:hAnsi="宋体" w:eastAsia="宋体"/>
      <w:color w:val="000000"/>
      <w:sz w:val="20"/>
      <w:szCs w:val="20"/>
    </w:rPr>
  </w:style>
  <w:style w:type="character" w:customStyle="1" w:styleId="960">
    <w:name w:val="edui-unclickable"/>
    <w:qFormat/>
    <w:uiPriority w:val="0"/>
    <w:rPr>
      <w:color w:val="808080"/>
    </w:rPr>
  </w:style>
  <w:style w:type="character" w:customStyle="1" w:styleId="961">
    <w:name w:val="tpc_content1"/>
    <w:qFormat/>
    <w:uiPriority w:val="0"/>
    <w:rPr>
      <w:sz w:val="20"/>
      <w:szCs w:val="20"/>
    </w:rPr>
  </w:style>
  <w:style w:type="character" w:customStyle="1" w:styleId="962">
    <w:name w:val="正文文本缩进 字符"/>
    <w:qFormat/>
    <w:uiPriority w:val="0"/>
    <w:rPr>
      <w:rFonts w:ascii="Century Gothic" w:hAnsi="Century Gothic" w:eastAsia="Century Gothic"/>
      <w:kern w:val="2"/>
      <w:sz w:val="24"/>
      <w:lang w:val="en-US" w:eastAsia="zh-CN" w:bidi="ar-SA"/>
    </w:rPr>
  </w:style>
  <w:style w:type="character" w:customStyle="1" w:styleId="963">
    <w:name w:val="正文文本 2 字符"/>
    <w:qFormat/>
    <w:uiPriority w:val="0"/>
    <w:rPr>
      <w:rFonts w:ascii="Arial" w:hAnsi="Arial" w:eastAsia="宋体"/>
      <w:kern w:val="2"/>
      <w:sz w:val="24"/>
      <w:szCs w:val="24"/>
      <w:lang w:val="en-US" w:eastAsia="zh-CN" w:bidi="ar-SA"/>
    </w:rPr>
  </w:style>
  <w:style w:type="character" w:customStyle="1" w:styleId="964">
    <w:name w:val="edui-clickable2"/>
    <w:qFormat/>
    <w:uiPriority w:val="0"/>
    <w:rPr>
      <w:color w:val="0000FF"/>
      <w:u w:val="single"/>
    </w:rPr>
  </w:style>
  <w:style w:type="character" w:customStyle="1" w:styleId="965">
    <w:name w:val="style1"/>
    <w:qFormat/>
    <w:uiPriority w:val="0"/>
    <w:rPr>
      <w:rFonts w:ascii="Arial" w:hAnsi="Arial" w:eastAsia="黑体" w:cs="Arial"/>
      <w:snapToGrid w:val="0"/>
      <w:kern w:val="0"/>
      <w:szCs w:val="21"/>
    </w:rPr>
  </w:style>
  <w:style w:type="character" w:customStyle="1" w:styleId="966">
    <w:name w:val="zbggtop11 style5"/>
    <w:qFormat/>
    <w:uiPriority w:val="0"/>
    <w:rPr>
      <w:rFonts w:ascii="Arial" w:hAnsi="Arial" w:eastAsia="黑体" w:cs="Arial"/>
      <w:snapToGrid w:val="0"/>
      <w:kern w:val="0"/>
      <w:szCs w:val="21"/>
    </w:rPr>
  </w:style>
  <w:style w:type="character" w:customStyle="1" w:styleId="96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8">
    <w:name w:val="bulletintext1"/>
    <w:qFormat/>
    <w:uiPriority w:val="0"/>
    <w:rPr>
      <w:color w:val="000000"/>
      <w:sz w:val="18"/>
    </w:rPr>
  </w:style>
  <w:style w:type="character" w:customStyle="1" w:styleId="969">
    <w:name w:val="ksfind_class_select1"/>
    <w:basedOn w:val="73"/>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table" w:customStyle="1" w:styleId="97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8">
    <w:name w:val="Char Char Char Char Char Char Char Char Char Char Char Char Char"/>
    <w:basedOn w:val="1"/>
    <w:qFormat/>
    <w:uiPriority w:val="0"/>
    <w:rPr>
      <w:rFonts w:ascii="仿宋_GB2312" w:eastAsia="仿宋_GB2312"/>
      <w:b/>
      <w:sz w:val="32"/>
      <w:szCs w:val="32"/>
    </w:rPr>
  </w:style>
  <w:style w:type="paragraph" w:customStyle="1" w:styleId="979">
    <w:name w:val="纯文本4"/>
    <w:basedOn w:val="1"/>
    <w:qFormat/>
    <w:uiPriority w:val="0"/>
    <w:pPr>
      <w:spacing w:before="156" w:beforeLines="50" w:after="156" w:afterLines="50" w:line="400" w:lineRule="exact"/>
    </w:pPr>
    <w:rPr>
      <w:rFonts w:ascii="宋体" w:hAnsi="Courier New"/>
      <w:sz w:val="24"/>
    </w:rPr>
  </w:style>
  <w:style w:type="paragraph" w:customStyle="1" w:styleId="980">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981">
    <w:name w:val="List Paragraph"/>
    <w:basedOn w:val="1"/>
    <w:qFormat/>
    <w:uiPriority w:val="0"/>
  </w:style>
  <w:style w:type="paragraph" w:customStyle="1" w:styleId="982">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character" w:customStyle="1" w:styleId="983">
    <w:name w:val="无"/>
    <w:qFormat/>
    <w:uiPriority w:val="99"/>
  </w:style>
  <w:style w:type="paragraph" w:customStyle="1" w:styleId="98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header" Target="header11.xml"/><Relationship Id="rId28" Type="http://schemas.openxmlformats.org/officeDocument/2006/relationships/header" Target="header10.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83830-B2BC-4926-8D9F-91B8B66D5864}">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37988</Words>
  <Characters>40122</Characters>
  <Lines>345</Lines>
  <Paragraphs>97</Paragraphs>
  <TotalTime>203</TotalTime>
  <ScaleCrop>false</ScaleCrop>
  <LinksUpToDate>false</LinksUpToDate>
  <CharactersWithSpaces>46232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2024-04-09T01:23:00Z</dcterms:created>
  <dc:creator>耀华代理</dc:creator>
  <cp:lastModifiedBy>Administrator</cp:lastModifiedBy>
  <cp:lastPrinted>2024-04-09T01:23:00Z</cp:lastPrinted>
  <dcterms:modified xsi:type="dcterms:W3CDTF">2024-04-30T12:50:24Z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760BA84F9B274D2B81FAA5B63D89510C_13</vt:lpwstr>
  </property>
</Properties>
</file>