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bookmarkStart w:id="531" w:name="_GoBack"/>
      <w:bookmarkEnd w:id="531"/>
    </w:p>
    <w:p>
      <w:pPr>
        <w:pStyle w:val="81"/>
        <w:rPr>
          <w:rFonts w:cs="宋体"/>
          <w:b/>
        </w:rPr>
      </w:pPr>
    </w:p>
    <w:p>
      <w:pPr>
        <w:pStyle w:val="81"/>
        <w:rPr>
          <w:rFonts w:cs="宋体"/>
          <w:b/>
        </w:rPr>
      </w:pPr>
    </w:p>
    <w:p>
      <w:pPr>
        <w:spacing w:line="360" w:lineRule="auto"/>
        <w:jc w:val="center"/>
        <w:rPr>
          <w:rFonts w:ascii="宋体" w:hAnsi="宋体" w:cs="宋体"/>
          <w:b/>
          <w:sz w:val="24"/>
        </w:rPr>
      </w:pPr>
    </w:p>
    <w:p>
      <w:pPr>
        <w:adjustRightInd/>
        <w:spacing w:line="360" w:lineRule="auto"/>
        <w:jc w:val="center"/>
        <w:rPr>
          <w:rFonts w:ascii="宋体" w:hAnsi="宋体" w:cs="宋体"/>
          <w:b/>
          <w:bCs/>
          <w:sz w:val="52"/>
          <w:szCs w:val="52"/>
        </w:rPr>
      </w:pPr>
      <w:r>
        <w:rPr>
          <w:rFonts w:hint="eastAsia" w:ascii="宋体" w:hAnsi="宋体" w:cs="宋体"/>
          <w:b/>
          <w:bCs/>
          <w:sz w:val="52"/>
          <w:szCs w:val="52"/>
        </w:rPr>
        <w:t xml:space="preserve">杭州市临平区人民法院档案扫描加工服务项目 </w:t>
      </w:r>
    </w:p>
    <w:p>
      <w:pPr>
        <w:pStyle w:val="2"/>
      </w:pPr>
    </w:p>
    <w:p/>
    <w:p>
      <w:pPr>
        <w:pStyle w:val="2"/>
      </w:pPr>
    </w:p>
    <w:p/>
    <w:p>
      <w:pPr>
        <w:adjustRightInd/>
        <w:spacing w:line="360" w:lineRule="auto"/>
        <w:jc w:val="center"/>
        <w:rPr>
          <w:rFonts w:ascii="宋体" w:hAnsi="宋体" w:cs="宋体"/>
          <w:b/>
          <w:bCs/>
          <w:sz w:val="84"/>
          <w:szCs w:val="84"/>
        </w:rPr>
      </w:pPr>
      <w:r>
        <w:rPr>
          <w:rFonts w:hint="eastAsia" w:ascii="宋体" w:hAnsi="宋体" w:cs="宋体"/>
          <w:b/>
          <w:bCs/>
          <w:sz w:val="84"/>
          <w:szCs w:val="84"/>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2"/>
          <w:szCs w:val="32"/>
        </w:rPr>
      </w:pPr>
      <w:r>
        <w:rPr>
          <w:rFonts w:hint="eastAsia" w:ascii="宋体" w:hAnsi="宋体" w:cs="宋体"/>
          <w:sz w:val="32"/>
          <w:szCs w:val="32"/>
        </w:rPr>
        <w:t>编号:YHZFCG2024-108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pStyle w:val="62"/>
        <w:ind w:firstLine="883"/>
        <w:rPr>
          <w:rFonts w:cs="宋体"/>
          <w:b/>
          <w:sz w:val="44"/>
          <w:szCs w:val="44"/>
        </w:rPr>
      </w:pPr>
    </w:p>
    <w:p/>
    <w:p>
      <w:pPr>
        <w:pStyle w:val="2"/>
      </w:pPr>
    </w:p>
    <w:p>
      <w:pPr>
        <w:pStyle w:val="25"/>
      </w:pPr>
    </w:p>
    <w:p>
      <w:pPr>
        <w:snapToGrid w:val="0"/>
        <w:spacing w:line="360" w:lineRule="auto"/>
        <w:jc w:val="center"/>
        <w:rPr>
          <w:rFonts w:ascii="宋体" w:hAnsi="宋体" w:cs="宋体"/>
          <w:sz w:val="32"/>
          <w:szCs w:val="32"/>
        </w:rPr>
      </w:pPr>
      <w:r>
        <w:rPr>
          <w:rFonts w:hint="eastAsia" w:ascii="宋体" w:hAnsi="宋体" w:cs="宋体"/>
          <w:sz w:val="32"/>
          <w:szCs w:val="32"/>
        </w:rPr>
        <w:t>采购人：杭州市临平区人民法院</w:t>
      </w:r>
    </w:p>
    <w:p>
      <w:pPr>
        <w:spacing w:line="360" w:lineRule="auto"/>
        <w:jc w:val="center"/>
        <w:rPr>
          <w:rFonts w:ascii="宋体" w:hAnsi="宋体" w:cs="宋体"/>
          <w:bCs/>
          <w:sz w:val="32"/>
          <w:szCs w:val="32"/>
        </w:rPr>
      </w:pPr>
      <w:r>
        <w:rPr>
          <w:rFonts w:hint="eastAsia" w:ascii="宋体" w:hAnsi="宋体" w:cs="宋体"/>
          <w:bCs/>
          <w:sz w:val="32"/>
          <w:szCs w:val="32"/>
        </w:rPr>
        <w:t>采购代理机构：</w:t>
      </w:r>
      <w:r>
        <w:rPr>
          <w:rFonts w:hint="eastAsia" w:ascii="宋体" w:hAnsi="宋体" w:cs="宋体"/>
          <w:sz w:val="32"/>
          <w:szCs w:val="32"/>
        </w:rPr>
        <w:t>耀华建设管理有限公司</w:t>
      </w:r>
    </w:p>
    <w:p>
      <w:pPr>
        <w:snapToGrid w:val="0"/>
        <w:spacing w:line="360" w:lineRule="auto"/>
        <w:jc w:val="center"/>
        <w:rPr>
          <w:rFonts w:ascii="宋体" w:hAnsi="宋体" w:cs="宋体"/>
          <w:sz w:val="24"/>
        </w:rPr>
      </w:pPr>
      <w:r>
        <w:rPr>
          <w:rFonts w:hint="eastAsia" w:ascii="宋体" w:hAnsi="宋体" w:cs="宋体"/>
          <w:bCs/>
          <w:sz w:val="32"/>
          <w:szCs w:val="32"/>
        </w:rPr>
        <w:t>二〇二</w:t>
      </w:r>
      <w:r>
        <w:rPr>
          <w:rFonts w:hint="eastAsia" w:ascii="宋体" w:hAnsi="宋体" w:cs="宋体"/>
          <w:bCs/>
          <w:sz w:val="32"/>
          <w:szCs w:val="32"/>
          <w:highlight w:val="none"/>
        </w:rPr>
        <w:t>四年</w:t>
      </w:r>
      <w:r>
        <w:rPr>
          <w:rFonts w:hint="eastAsia" w:ascii="宋体" w:hAnsi="宋体" w:cs="宋体"/>
          <w:bCs/>
          <w:sz w:val="32"/>
          <w:szCs w:val="32"/>
          <w:highlight w:val="none"/>
          <w:lang w:val="en-US" w:eastAsia="zh-CN"/>
        </w:rPr>
        <w:t xml:space="preserve"> 四 </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 xml:space="preserve"> 三十</w:t>
      </w:r>
      <w:r>
        <w:rPr>
          <w:rFonts w:hint="eastAsia" w:ascii="宋体" w:hAnsi="宋体" w:cs="宋体"/>
          <w:bCs/>
          <w:sz w:val="32"/>
          <w:szCs w:val="32"/>
          <w:highlight w:val="none"/>
          <w:lang w:eastAsia="zh-CN"/>
        </w:rPr>
        <w:t xml:space="preserve"> </w:t>
      </w:r>
      <w:r>
        <w:rPr>
          <w:rFonts w:hint="eastAsia" w:ascii="宋体" w:hAnsi="宋体" w:cs="宋体"/>
          <w:bCs/>
          <w:sz w:val="32"/>
          <w:szCs w:val="32"/>
          <w:highlight w:val="none"/>
        </w:rPr>
        <w:t>日</w:t>
      </w:r>
      <w:r>
        <w:rPr>
          <w:rFonts w:hint="eastAsia" w:ascii="宋体" w:hAnsi="宋体" w:cs="宋体"/>
          <w:sz w:val="24"/>
          <w:highlight w:val="none"/>
        </w:rPr>
        <w:br w:type="page"/>
      </w:r>
      <w:bookmarkStart w:id="0" w:name="_Hlt67893495"/>
      <w:bookmarkEnd w:id="0"/>
    </w:p>
    <w:p>
      <w:pPr>
        <w:pStyle w:val="323"/>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rPr>
        <w:t>（杭州市临平区人民法院档案扫描加工服务项目 ）</w:t>
      </w:r>
      <w:r>
        <w:rPr>
          <w:rFonts w:hint="eastAsia" w:ascii="宋体" w:hAnsi="宋体" w:cs="宋体"/>
          <w:sz w:val="24"/>
        </w:rPr>
        <w:t>招标</w:t>
      </w:r>
      <w:r>
        <w:rPr>
          <w:rFonts w:hint="eastAsia" w:ascii="宋体" w:hAnsi="宋体" w:cs="宋体"/>
          <w:sz w:val="24"/>
          <w:highlight w:val="none"/>
        </w:rPr>
        <w:t>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https://www.zcygov.cn/）获取（下载）招标文件，并于202</w:t>
      </w:r>
      <w:r>
        <w:rPr>
          <w:rStyle w:val="77"/>
          <w:rFonts w:hint="eastAsia" w:ascii="宋体" w:hAnsi="宋体" w:cs="宋体"/>
          <w:color w:val="auto"/>
          <w:kern w:val="2"/>
          <w:sz w:val="24"/>
          <w:szCs w:val="24"/>
          <w:highlight w:val="none"/>
        </w:rPr>
        <w:t>4</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05</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21</w:t>
      </w:r>
      <w:r>
        <w:rPr>
          <w:rStyle w:val="77"/>
          <w:rFonts w:hint="eastAsia" w:ascii="宋体" w:hAnsi="宋体" w:eastAsia="宋体" w:cs="宋体"/>
          <w:color w:val="auto"/>
          <w:kern w:val="2"/>
          <w:sz w:val="24"/>
          <w:szCs w:val="24"/>
          <w:highlight w:val="none"/>
        </w:rPr>
        <w:t>日</w:t>
      </w:r>
      <w:r>
        <w:rPr>
          <w:rStyle w:val="77"/>
          <w:rFonts w:hint="eastAsia" w:ascii="宋体" w:hAnsi="宋体" w:cs="宋体"/>
          <w:color w:val="auto"/>
          <w:kern w:val="2"/>
          <w:sz w:val="24"/>
          <w:szCs w:val="24"/>
          <w:highlight w:val="none"/>
          <w:lang w:val="en-US" w:eastAsia="zh-CN"/>
        </w:rPr>
        <w:t>14</w:t>
      </w:r>
      <w:r>
        <w:rPr>
          <w:rStyle w:val="77"/>
          <w:rFonts w:hint="eastAsia" w:ascii="宋体" w:hAnsi="宋体" w:eastAsia="宋体" w:cs="宋体"/>
          <w:color w:val="auto"/>
          <w:kern w:val="2"/>
          <w:sz w:val="24"/>
          <w:szCs w:val="24"/>
          <w:highlight w:val="none"/>
        </w:rPr>
        <w:t>点</w:t>
      </w:r>
      <w:r>
        <w:rPr>
          <w:rStyle w:val="77"/>
          <w:rFonts w:hint="eastAsia" w:ascii="宋体" w:hAnsi="宋体" w:cs="宋体"/>
          <w:color w:val="auto"/>
          <w:kern w:val="2"/>
          <w:sz w:val="24"/>
          <w:szCs w:val="24"/>
          <w:highlight w:val="none"/>
          <w:lang w:val="en-US" w:eastAsia="zh-CN"/>
        </w:rPr>
        <w:t>00</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bCs/>
          <w:color w:val="auto"/>
          <w:kern w:val="2"/>
          <w:sz w:val="24"/>
          <w:szCs w:val="24"/>
          <w:highlight w:val="none"/>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bCs/>
          <w:sz w:val="24"/>
        </w:rPr>
        <w:t>YHZFCG2024-108</w:t>
      </w:r>
    </w:p>
    <w:p>
      <w:pPr>
        <w:spacing w:line="360" w:lineRule="auto"/>
        <w:ind w:firstLine="482" w:firstLineChars="200"/>
        <w:rPr>
          <w:rFonts w:hint="eastAsia" w:ascii="宋体" w:hAnsi="宋体" w:cs="宋体"/>
          <w:bCs/>
          <w:sz w:val="24"/>
        </w:rPr>
      </w:pPr>
      <w:r>
        <w:rPr>
          <w:rFonts w:hint="eastAsia" w:ascii="宋体" w:hAnsi="宋体" w:cs="宋体"/>
          <w:b/>
          <w:sz w:val="24"/>
        </w:rPr>
        <w:t>项目名称：</w:t>
      </w:r>
      <w:r>
        <w:rPr>
          <w:rFonts w:hint="eastAsia" w:ascii="宋体" w:hAnsi="宋体" w:cs="宋体"/>
          <w:bCs/>
          <w:sz w:val="24"/>
        </w:rPr>
        <w:t>杭州市临平区人民法院档案扫描加工服务项目</w:t>
      </w:r>
    </w:p>
    <w:p>
      <w:pPr>
        <w:spacing w:line="360" w:lineRule="auto"/>
        <w:ind w:firstLine="0" w:firstLineChars="0"/>
        <w:rPr>
          <w:rFonts w:ascii="宋体" w:hAnsi="宋体" w:cs="宋体"/>
          <w:sz w:val="24"/>
        </w:rPr>
      </w:pPr>
      <w:r>
        <w:rPr>
          <w:rFonts w:hint="eastAsia" w:ascii="宋体" w:hAnsi="宋体" w:cs="宋体"/>
          <w:b/>
          <w:sz w:val="24"/>
          <w:lang w:val="en-US" w:eastAsia="zh-CN"/>
        </w:rPr>
        <w:t xml:space="preserve">    </w:t>
      </w:r>
      <w:r>
        <w:rPr>
          <w:rFonts w:hint="eastAsia" w:ascii="宋体" w:hAnsi="宋体" w:cs="宋体"/>
          <w:b/>
          <w:sz w:val="24"/>
        </w:rPr>
        <w:t>预算金额（元）：</w:t>
      </w:r>
      <w:r>
        <w:rPr>
          <w:rFonts w:hint="eastAsia" w:ascii="宋体" w:hAnsi="宋体" w:cs="宋体"/>
          <w:bCs/>
          <w:sz w:val="24"/>
        </w:rPr>
        <w:t>900000.00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900000.00</w:t>
      </w:r>
    </w:p>
    <w:p>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rPr>
        <w:t>杭州市临平区人民法院档案扫描加工服务项目 ,主要内容</w:t>
      </w:r>
      <w:r>
        <w:rPr>
          <w:rFonts w:hint="eastAsia" w:hAnsi="宋体"/>
          <w:color w:val="auto"/>
          <w:kern w:val="2"/>
          <w:sz w:val="24"/>
          <w:szCs w:val="24"/>
        </w:rPr>
        <w:t>具体以招标文件第三部分采购需求为准，供应商可点击本公告下方“浏览采购文件”查看采购需求。</w:t>
      </w:r>
    </w:p>
    <w:p>
      <w:pPr>
        <w:pStyle w:val="88"/>
        <w:ind w:firstLine="482"/>
        <w:outlineLvl w:val="2"/>
        <w:rPr>
          <w:rFonts w:ascii="宋体" w:hAnsi="宋体" w:cs="宋体"/>
        </w:rPr>
      </w:pPr>
      <w:r>
        <w:rPr>
          <w:rFonts w:hint="eastAsia" w:ascii="宋体" w:hAnsi="宋体" w:cs="宋体"/>
          <w:b/>
        </w:rPr>
        <w:t>合同履约期限：</w:t>
      </w:r>
      <w:r>
        <w:rPr>
          <w:rFonts w:hint="eastAsia" w:ascii="宋体" w:hAnsi="宋体" w:cs="宋体"/>
          <w:bCs/>
          <w:szCs w:val="24"/>
          <w:u w:val="none"/>
        </w:rPr>
        <w:t>具体内容详见招标文件第三部分采购需求。</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r>
        <w:rPr>
          <w:rFonts w:hint="eastAsia" w:ascii="MS Gothic" w:hAnsi="MS Gothic" w:eastAsia="MS Gothic"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r>
        <w:rPr>
          <w:rFonts w:ascii="Wingdings" w:hAnsi="Wingdings" w:eastAsia="MS Gothic" w:cs="宋体"/>
          <w:kern w:val="0"/>
          <w:sz w:val="24"/>
        </w:rPr>
        <w:t></w:t>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 ，小微企业合同金额应当达到%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05</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05</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05</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名称：杭州市临平区人民法院</w:t>
      </w:r>
    </w:p>
    <w:p>
      <w:pPr>
        <w:spacing w:line="360" w:lineRule="auto"/>
        <w:ind w:firstLine="480" w:firstLineChars="200"/>
        <w:rPr>
          <w:rFonts w:ascii="宋体" w:hAnsi="宋体" w:cs="宋体"/>
          <w:sz w:val="24"/>
        </w:rPr>
      </w:pPr>
      <w:r>
        <w:rPr>
          <w:rFonts w:hint="eastAsia" w:ascii="宋体" w:hAnsi="宋体" w:cs="宋体"/>
          <w:sz w:val="24"/>
        </w:rPr>
        <w:t>地址：杭州市临平区南苑街道世纪大道西158号。</w:t>
      </w:r>
    </w:p>
    <w:p>
      <w:pPr>
        <w:spacing w:line="360" w:lineRule="auto"/>
        <w:ind w:firstLine="480" w:firstLineChars="200"/>
        <w:rPr>
          <w:rFonts w:ascii="宋体" w:hAnsi="宋体" w:cs="宋体"/>
          <w:sz w:val="24"/>
        </w:rPr>
      </w:pPr>
      <w:r>
        <w:rPr>
          <w:rFonts w:hint="eastAsia" w:ascii="宋体" w:hAnsi="宋体" w:cs="宋体"/>
          <w:sz w:val="24"/>
        </w:rPr>
        <w:t>项目联系人（询问）：赵春莉       联系电话：0571-86245418</w:t>
      </w:r>
    </w:p>
    <w:p>
      <w:pPr>
        <w:spacing w:line="360" w:lineRule="auto"/>
        <w:ind w:firstLine="480" w:firstLineChars="200"/>
        <w:rPr>
          <w:rFonts w:ascii="宋体" w:hAnsi="宋体" w:cs="宋体"/>
          <w:sz w:val="24"/>
        </w:rPr>
      </w:pPr>
      <w:r>
        <w:rPr>
          <w:rFonts w:hint="eastAsia" w:ascii="宋体" w:hAnsi="宋体" w:cs="宋体"/>
          <w:sz w:val="24"/>
        </w:rPr>
        <w:t>质疑联系人：虞燕芬               联系电话：0571-86245421</w:t>
      </w:r>
    </w:p>
    <w:p>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pacing w:line="360" w:lineRule="auto"/>
        <w:ind w:firstLine="480" w:firstLineChars="200"/>
        <w:rPr>
          <w:rFonts w:ascii="宋体" w:hAnsi="宋体" w:cs="宋体"/>
          <w:sz w:val="24"/>
        </w:rPr>
      </w:pPr>
      <w:r>
        <w:rPr>
          <w:rFonts w:hint="eastAsia" w:ascii="宋体" w:hAnsi="宋体" w:cs="宋体"/>
          <w:sz w:val="24"/>
        </w:rPr>
        <w:t>名称：耀华建设管理有限公司</w:t>
      </w:r>
    </w:p>
    <w:p>
      <w:pPr>
        <w:spacing w:line="360" w:lineRule="auto"/>
        <w:ind w:firstLine="480" w:firstLineChars="200"/>
        <w:rPr>
          <w:rFonts w:ascii="宋体" w:hAnsi="宋体" w:cs="宋体"/>
          <w:sz w:val="24"/>
        </w:rPr>
      </w:pPr>
      <w:r>
        <w:rPr>
          <w:rFonts w:hint="eastAsia" w:ascii="宋体" w:hAnsi="宋体" w:cs="宋体"/>
          <w:sz w:val="24"/>
        </w:rPr>
        <w:t xml:space="preserve">地址：杭州市临平区南苑街道华元欢乐城-华元大厦20层。 </w:t>
      </w:r>
    </w:p>
    <w:p>
      <w:pPr>
        <w:spacing w:line="360" w:lineRule="auto"/>
        <w:rPr>
          <w:rFonts w:ascii="宋体" w:hAnsi="宋体" w:cs="宋体"/>
          <w:sz w:val="24"/>
        </w:rPr>
      </w:pPr>
      <w:r>
        <w:rPr>
          <w:rFonts w:hint="eastAsia" w:ascii="宋体" w:hAnsi="宋体" w:cs="宋体"/>
          <w:sz w:val="24"/>
        </w:rPr>
        <w:t xml:space="preserve">    项目联系人（询问）：刘瑶    联系方式（询问）：0571-86320706/13857413671</w:t>
      </w:r>
    </w:p>
    <w:p>
      <w:pPr>
        <w:spacing w:line="360" w:lineRule="auto"/>
        <w:rPr>
          <w:rFonts w:ascii="宋体" w:hAnsi="宋体" w:cs="宋体"/>
          <w:sz w:val="24"/>
        </w:rPr>
      </w:pPr>
      <w:r>
        <w:rPr>
          <w:rFonts w:hint="eastAsia" w:ascii="宋体" w:hAnsi="宋体" w:cs="宋体"/>
          <w:sz w:val="24"/>
        </w:rPr>
        <w:t xml:space="preserve">    质疑联系人：单成燕       联系方式：0571-86320727/18072887619</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名称：杭州市临平区财政局  /浙江省政府采购行政裁决服务中心（杭州）</w:t>
      </w:r>
    </w:p>
    <w:p>
      <w:pPr>
        <w:spacing w:line="360" w:lineRule="auto"/>
        <w:rPr>
          <w:rFonts w:ascii="宋体" w:hAnsi="宋体" w:cs="宋体"/>
          <w:sz w:val="24"/>
        </w:rPr>
      </w:pPr>
      <w:r>
        <w:rPr>
          <w:rFonts w:hint="eastAsia" w:ascii="宋体" w:hAnsi="宋体" w:cs="宋体"/>
          <w:sz w:val="24"/>
        </w:rPr>
        <w:t xml:space="preserve">    地址：杭州市上城区四季青街道新业路市民之家G03办公室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rPr>
          <w:rFonts w:ascii="宋体" w:hAnsi="宋体" w:cs="宋体"/>
          <w:sz w:val="24"/>
        </w:rPr>
      </w:pPr>
      <w:r>
        <w:rPr>
          <w:rFonts w:hint="eastAsia" w:ascii="宋体" w:hAnsi="宋体" w:cs="宋体"/>
          <w:sz w:val="24"/>
        </w:rPr>
        <w:t xml:space="preserve">    监督投诉电话：电话：0571-85252453   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728" w:type="dxa"/>
        <w:tblInd w:w="-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90"/>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 杭州市临平区人民法院档案扫描加工服务项目 ；</w:t>
            </w:r>
          </w:p>
          <w:p>
            <w:pPr>
              <w:widowControl/>
              <w:numPr>
                <w:ilvl w:val="0"/>
                <w:numId w:val="1"/>
              </w:numPr>
              <w:rPr>
                <w:rFonts w:ascii="宋体" w:hAnsi="宋体" w:cs="宋体"/>
                <w:b/>
                <w:bCs/>
                <w:sz w:val="24"/>
                <w:shd w:val="clear" w:color="auto" w:fill="FFFFFF"/>
                <w:lang w:val="zh-CN" w:bidi="zh-CN"/>
              </w:rPr>
            </w:pPr>
            <w:r>
              <w:rPr>
                <w:rFonts w:hint="eastAsia" w:ascii="宋体" w:hAnsi="宋体" w:cs="宋体"/>
                <w:kern w:val="0"/>
                <w:sz w:val="24"/>
              </w:rPr>
              <w:t>属于</w:t>
            </w:r>
            <w:r>
              <w:rPr>
                <w:rFonts w:hint="eastAsia" w:ascii="宋体" w:hAnsi="宋体" w:cs="宋体"/>
                <w:kern w:val="0"/>
                <w:sz w:val="24"/>
                <w:u w:val="single"/>
              </w:rPr>
              <w:t xml:space="preserve"> 其他未列明行业</w:t>
            </w:r>
            <w:r>
              <w:rPr>
                <w:rFonts w:hint="eastAsia" w:ascii="宋体" w:hAnsi="宋体" w:cs="宋体"/>
                <w:kern w:val="0"/>
                <w:sz w:val="24"/>
              </w:rPr>
              <w:t>；</w:t>
            </w:r>
          </w:p>
          <w:p>
            <w:pPr>
              <w:pStyle w:val="617"/>
              <w:tabs>
                <w:tab w:val="left" w:pos="1070"/>
              </w:tabs>
              <w:spacing w:line="264" w:lineRule="auto"/>
              <w:ind w:right="52"/>
            </w:pPr>
            <w:r>
              <w:rPr>
                <w:sz w:val="24"/>
              </w:rPr>
              <w:pict>
                <v:shape id="图片 41" o:spid="_x0000_s1043" o:spt="75" type="#_x0000_t75" style="position:absolute;left:0pt;margin-left:0.05pt;margin-top:62.4pt;height:38.8pt;width:300.3pt;mso-position-vertical-relative:page;mso-wrap-distance-left:0pt;mso-wrap-distance-right:0pt;z-index:-251657216;mso-width-relative:page;mso-height-relative:page;" filled="f" o:preferrelative="t" stroked="f" coordsize="21600,21600" wrapcoords="0 0 0 20876 21471 20876 21471 0 0 0">
                  <v:path/>
                  <v:fill on="f" focussize="0,0"/>
                  <v:stroke on="f" joinstyle="miter"/>
                  <v:imagedata r:id="rId29" o:title=""/>
                  <o:lock v:ext="edit" aspectratio="t"/>
                  <w10:wrap type="tight"/>
                </v:shape>
              </w:pict>
            </w:r>
            <w:r>
              <w:rPr>
                <w:lang w:eastAsia="zh-CN"/>
              </w:rPr>
              <w:drawing>
                <wp:inline distT="0" distB="0" distL="114300" distR="114300">
                  <wp:extent cx="3830320" cy="189865"/>
                  <wp:effectExtent l="0" t="0" r="1778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0"/>
                          <a:stretch>
                            <a:fillRect/>
                          </a:stretch>
                        </pic:blipFill>
                        <pic:spPr>
                          <a:xfrm>
                            <a:off x="0" y="0"/>
                            <a:ext cx="3830320" cy="189865"/>
                          </a:xfrm>
                          <a:prstGeom prst="rect">
                            <a:avLst/>
                          </a:prstGeom>
                          <a:noFill/>
                          <a:ln>
                            <a:noFill/>
                          </a:ln>
                        </pic:spPr>
                      </pic:pic>
                    </a:graphicData>
                  </a:graphic>
                </wp:inline>
              </w:drawing>
            </w:r>
          </w:p>
          <w:p>
            <w:pPr>
              <w:pStyle w:val="617"/>
              <w:tabs>
                <w:tab w:val="left" w:pos="1070"/>
              </w:tabs>
              <w:spacing w:line="264" w:lineRule="auto"/>
              <w:ind w:right="52"/>
            </w:pPr>
          </w:p>
          <w:p>
            <w:pPr>
              <w:pStyle w:val="617"/>
              <w:tabs>
                <w:tab w:val="left" w:pos="1070"/>
              </w:tabs>
              <w:spacing w:line="264" w:lineRule="auto"/>
              <w:ind w:right="52"/>
              <w:rPr>
                <w:rFonts w:ascii="宋体" w:hAnsi="宋体" w:cs="宋体"/>
                <w:b/>
                <w:bCs/>
                <w:sz w:val="24"/>
                <w:shd w:val="clear" w:color="auto" w:fill="FFFFFF"/>
                <w:lang w:val="zh-CN" w:eastAsia="zh-CN" w:bidi="zh-CN"/>
              </w:rPr>
            </w:pPr>
            <w:r>
              <w:rPr>
                <w:rFonts w:hint="eastAsia" w:ascii="宋体" w:hAnsi="宋体" w:cs="宋体"/>
                <w:b/>
                <w:bCs/>
                <w:sz w:val="24"/>
                <w:shd w:val="clear" w:color="auto" w:fill="FFFFFF"/>
                <w:lang w:val="zh-CN" w:eastAsia="zh-CN" w:bidi="zh-CN"/>
              </w:rPr>
              <w:t>说明： 　　</w:t>
            </w:r>
          </w:p>
          <w:p>
            <w:pPr>
              <w:snapToGrid w:val="0"/>
              <w:spacing w:line="264"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1.大型、中型和小型企业须同时满足所列指标的下限，否则下划一档；微型企业只须满足所列指标中的一项即可。 　　</w:t>
            </w:r>
          </w:p>
          <w:p>
            <w:pPr>
              <w:snapToGrid w:val="0"/>
              <w:spacing w:line="264"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2.附表中各行业的范围以《国民经济行业分类》（GB/T4754-2017）为准。</w:t>
            </w:r>
          </w:p>
          <w:p>
            <w:pPr>
              <w:snapToGrid w:val="0"/>
              <w:spacing w:line="264"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3.企业划分指标以现行统计制度为准。</w:t>
            </w:r>
          </w:p>
          <w:p>
            <w:pPr>
              <w:snapToGrid w:val="0"/>
              <w:spacing w:line="264"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1）从业人员，是指期末从业人员数，没有期末从业人员数的，采用全年平均人员数代替。</w:t>
            </w:r>
          </w:p>
          <w:p>
            <w:pPr>
              <w:snapToGrid w:val="0"/>
              <w:spacing w:line="264"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7"/>
              <w:tabs>
                <w:tab w:val="left" w:pos="1070"/>
              </w:tabs>
              <w:spacing w:line="264" w:lineRule="auto"/>
              <w:ind w:right="52" w:firstLine="422" w:firstLineChars="200"/>
              <w:rPr>
                <w:rFonts w:ascii="宋体" w:hAnsi="宋体" w:cs="宋体"/>
                <w:b/>
                <w:bCs/>
                <w:sz w:val="21"/>
                <w:szCs w:val="21"/>
                <w:u w:val="single"/>
                <w:lang w:val="zh-CN" w:eastAsia="zh-CN"/>
              </w:rPr>
            </w:pPr>
            <w:r>
              <w:rPr>
                <w:rFonts w:hint="eastAsia" w:ascii="宋体" w:hAnsi="宋体" w:cs="宋体"/>
                <w:b/>
                <w:bCs/>
                <w:sz w:val="21"/>
                <w:szCs w:val="21"/>
                <w:u w:val="single"/>
                <w:lang w:val="zh-CN" w:eastAsia="zh-CN"/>
              </w:rPr>
              <w:t>3）资产总额，采用资产总计代替。</w:t>
            </w:r>
          </w:p>
          <w:p>
            <w:pPr>
              <w:pStyle w:val="617"/>
              <w:tabs>
                <w:tab w:val="left" w:pos="1070"/>
              </w:tabs>
              <w:spacing w:line="264" w:lineRule="auto"/>
              <w:ind w:right="52" w:firstLine="240" w:firstLineChars="100"/>
              <w:rPr>
                <w:rFonts w:ascii="宋体" w:hAnsi="宋体" w:cs="宋体"/>
                <w:sz w:val="24"/>
                <w:szCs w:val="24"/>
                <w:lang w:eastAsia="zh-CN"/>
              </w:rPr>
            </w:pPr>
            <w:r>
              <w:rPr>
                <w:rFonts w:hint="eastAsia" w:ascii="宋体" w:hAnsi="宋体" w:cs="宋体"/>
                <w:sz w:val="24"/>
                <w:szCs w:val="24"/>
                <w:lang w:eastAsia="zh-CN"/>
              </w:rPr>
              <w:t>（3）根据《政府采购促进中小企业发展管理办法》（财库﹝2020﹞46 号）要求，本次采购为</w:t>
            </w:r>
            <w:r>
              <w:rPr>
                <w:rFonts w:hint="eastAsia" w:ascii="宋体" w:hAnsi="宋体" w:cs="宋体"/>
                <w:b/>
                <w:bCs/>
                <w:sz w:val="24"/>
                <w:szCs w:val="24"/>
                <w:u w:val="single"/>
                <w:lang w:eastAsia="zh-CN"/>
              </w:rPr>
              <w:t>专门面向中小企业预留采购份额的采购项目</w:t>
            </w:r>
            <w:r>
              <w:rPr>
                <w:rFonts w:hint="eastAsia" w:ascii="宋体" w:hAnsi="宋体" w:cs="宋体"/>
                <w:sz w:val="24"/>
                <w:szCs w:val="24"/>
                <w:lang w:eastAsia="zh-CN"/>
              </w:rPr>
              <w:t>。对小型和微型企业的投标报价不予扣除评审。</w:t>
            </w:r>
          </w:p>
          <w:p>
            <w:pPr>
              <w:pStyle w:val="617"/>
              <w:tabs>
                <w:tab w:val="left" w:pos="1070"/>
              </w:tabs>
              <w:spacing w:line="264" w:lineRule="auto"/>
              <w:ind w:right="52" w:firstLine="240" w:firstLineChars="100"/>
              <w:rPr>
                <w:rFonts w:ascii="宋体" w:hAnsi="宋体" w:cs="宋体"/>
                <w:sz w:val="24"/>
                <w:szCs w:val="24"/>
                <w:lang w:eastAsia="zh-CN"/>
              </w:rPr>
            </w:pPr>
            <w:r>
              <w:rPr>
                <w:rFonts w:hint="eastAsia" w:ascii="宋体" w:hAnsi="宋体" w:cs="宋体"/>
                <w:sz w:val="24"/>
                <w:szCs w:val="24"/>
                <w:lang w:eastAsia="zh-CN"/>
              </w:rPr>
              <w:t>(4)符合小微企业划分标准的个体工商户，视同小微企业。</w:t>
            </w:r>
          </w:p>
          <w:p>
            <w:pPr>
              <w:pStyle w:val="617"/>
              <w:tabs>
                <w:tab w:val="left" w:pos="1070"/>
              </w:tabs>
              <w:spacing w:line="264" w:lineRule="auto"/>
              <w:ind w:right="52" w:firstLine="240" w:firstLineChars="100"/>
              <w:rPr>
                <w:rFonts w:ascii="宋体" w:hAnsi="宋体" w:cs="宋体"/>
                <w:lang w:eastAsia="zh-CN"/>
              </w:rPr>
            </w:pPr>
            <w:r>
              <w:rPr>
                <w:rFonts w:hint="eastAsia" w:ascii="宋体" w:hAnsi="宋体" w:cs="宋体"/>
                <w:sz w:val="24"/>
                <w:szCs w:val="24"/>
                <w:lang w:eastAsia="zh-CN"/>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同意将非主体、非关键性的工作分包。</w:t>
            </w:r>
            <w:r>
              <w:rPr>
                <w:rFonts w:ascii="Wingdings" w:hAnsi="Wingdings"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Wingdings" w:hAnsi="Wingdings" w:eastAsia="MS Gothic" w:cs="宋体"/>
                <w:kern w:val="0"/>
                <w:sz w:val="24"/>
              </w:rPr>
              <w:sym w:font="Wingdings" w:char="00A8"/>
            </w: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9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79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9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9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ind w:firstLine="280" w:firstLineChars="100"/>
              <w:jc w:val="left"/>
              <w:rPr>
                <w:rFonts w:ascii="仿宋_GB2312" w:hAnsi="仿宋" w:eastAsia="仿宋_GB2312" w:cs="仿宋_GB2312"/>
                <w:b/>
                <w:kern w:val="0"/>
                <w:sz w:val="24"/>
                <w:lang w:val="zh-CN"/>
              </w:rPr>
            </w:pPr>
            <w:r>
              <w:rPr>
                <w:rFonts w:hint="eastAsia" w:ascii="仿宋_GB2312" w:hAnsi="仿宋" w:eastAsia="仿宋_GB2312"/>
                <w:sz w:val="28"/>
                <w:szCs w:val="28"/>
              </w:rPr>
              <w:t>▲</w:t>
            </w: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cs="仿宋_GB2312"/>
                <w:b/>
                <w:kern w:val="0"/>
                <w:sz w:val="24"/>
              </w:rPr>
            </w:pPr>
            <w:r>
              <w:rPr>
                <w:rFonts w:hint="eastAsia" w:ascii="仿宋_GB2312" w:hAnsi="仿宋" w:eastAsia="仿宋_GB2312" w:cs="仿宋_GB2312"/>
                <w:b/>
                <w:kern w:val="0"/>
                <w:sz w:val="24"/>
              </w:rPr>
              <w:t>1.1</w:t>
            </w:r>
            <w:r>
              <w:rPr>
                <w:rFonts w:hint="eastAsia" w:ascii="仿宋_GB2312" w:hAnsi="仿宋" w:eastAsia="仿宋_GB2312" w:cs="仿宋_GB2312"/>
                <w:b/>
                <w:kern w:val="0"/>
                <w:sz w:val="24"/>
                <w:lang w:val="zh-CN"/>
              </w:rPr>
              <w:t>采购预算/最高限价：</w:t>
            </w:r>
            <w:r>
              <w:rPr>
                <w:rFonts w:hint="eastAsia" w:ascii="仿宋_GB2312" w:hAnsi="仿宋" w:eastAsia="仿宋_GB2312" w:cs="仿宋_GB2312"/>
                <w:b/>
                <w:kern w:val="0"/>
                <w:sz w:val="24"/>
              </w:rPr>
              <w:t>1年合计</w:t>
            </w:r>
            <w:r>
              <w:rPr>
                <w:rFonts w:hint="eastAsia" w:ascii="仿宋" w:hAnsi="仿宋" w:eastAsia="仿宋" w:cs="仿宋"/>
                <w:b/>
                <w:kern w:val="0"/>
                <w:sz w:val="24"/>
              </w:rPr>
              <w:t>900000</w:t>
            </w:r>
            <w:r>
              <w:rPr>
                <w:rFonts w:hint="eastAsia" w:ascii="仿宋_GB2312" w:hAnsi="仿宋" w:eastAsia="仿宋_GB2312" w:cs="仿宋_GB2312"/>
                <w:b/>
                <w:kern w:val="0"/>
                <w:sz w:val="24"/>
              </w:rPr>
              <w:t>元，</w:t>
            </w:r>
            <w:r>
              <w:rPr>
                <w:rFonts w:hint="eastAsia" w:ascii="宋体" w:hAnsi="宋体" w:cs="宋体"/>
                <w:b/>
                <w:bCs/>
              </w:rPr>
              <w:t>最高单价限价详见采购需求；</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投标人针对本项目的投标报价不得超过采购预算金额和最高单价限价，否则其投标无效。</w:t>
            </w:r>
          </w:p>
          <w:p>
            <w:pPr>
              <w:snapToGrid w:val="0"/>
              <w:spacing w:line="360" w:lineRule="auto"/>
              <w:ind w:firstLine="241" w:firstLineChars="100"/>
              <w:jc w:val="left"/>
              <w:rPr>
                <w:rFonts w:ascii="仿宋_GB2312" w:hAnsi="仿宋" w:eastAsia="仿宋_GB2312" w:cs="仿宋_GB2312"/>
                <w:b/>
                <w:sz w:val="24"/>
              </w:rPr>
            </w:pPr>
            <w:r>
              <w:rPr>
                <w:rFonts w:hint="eastAsia" w:ascii="仿宋_GB2312" w:hAnsi="仿宋" w:eastAsia="仿宋_GB2312" w:cs="Arial"/>
                <w:b/>
                <w:kern w:val="0"/>
                <w:sz w:val="24"/>
              </w:rPr>
              <w:t>1.2报价明显低于其他通过符合性审查投标人的报价，有可能影响产品质量或者不能诚信履约的，未能按要求提供书面说明或者提交相关证明材料证明其报价合理性的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napToGrid w:val="0"/>
              <w:spacing w:line="360" w:lineRule="auto"/>
              <w:ind w:firstLine="241" w:firstLineChars="100"/>
              <w:jc w:val="left"/>
              <w:rPr>
                <w:rFonts w:ascii="仿宋_GB2312" w:hAnsi="仿宋" w:eastAsia="仿宋_GB2312"/>
                <w:b/>
                <w:sz w:val="24"/>
              </w:rPr>
            </w:pPr>
            <w:r>
              <w:rPr>
                <w:rFonts w:hint="eastAsia" w:ascii="仿宋_GB2312" w:hAnsi="仿宋" w:eastAsia="仿宋_GB2312" w:cs="Arial"/>
                <w:b/>
                <w:kern w:val="0"/>
                <w:sz w:val="24"/>
              </w:rPr>
              <w:t>1.3投标人对根据修正原则修正后的报价不确认的；</w:t>
            </w:r>
          </w:p>
          <w:p>
            <w:pPr>
              <w:spacing w:line="360" w:lineRule="auto"/>
              <w:ind w:firstLine="241" w:firstLineChars="100"/>
              <w:rPr>
                <w:rFonts w:ascii="宋体" w:hAnsi="宋体" w:cs="宋体"/>
                <w:sz w:val="24"/>
              </w:rPr>
            </w:pPr>
            <w:r>
              <w:rPr>
                <w:rFonts w:hint="eastAsia" w:ascii="仿宋_GB2312" w:hAnsi="仿宋" w:eastAsia="仿宋_GB2312" w:cs="仿宋_GB2312"/>
                <w:b/>
                <w:kern w:val="0"/>
                <w:sz w:val="24"/>
              </w:rPr>
              <w:t>1.4</w:t>
            </w:r>
            <w:r>
              <w:rPr>
                <w:rFonts w:hint="eastAsia" w:ascii="仿宋_GB2312" w:hAnsi="仿宋" w:eastAsia="仿宋_GB2312" w:cs="仿宋_GB2312"/>
                <w:b/>
                <w:kern w:val="0"/>
                <w:sz w:val="24"/>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790"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79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密封包装后（建议快递邮寄形式）投标截止时间前递交、一份（邮寄地址：杭州市临平区南苑街道迎宾路与望梅路交汇处华元欢乐城-华元大厦20层2022办公室</w:t>
            </w:r>
            <w:r>
              <w:rPr>
                <w:rFonts w:hint="eastAsia" w:hAnsi="宋体" w:cs="宋体"/>
                <w:kern w:val="28"/>
                <w:sz w:val="24"/>
                <w:szCs w:val="24"/>
              </w:rPr>
              <w:t>；备份投标文件签收人员联系电话：</w:t>
            </w:r>
            <w:r>
              <w:rPr>
                <w:rFonts w:hint="eastAsia" w:hAnsi="宋体" w:cs="宋体"/>
                <w:sz w:val="24"/>
                <w:u w:val="single"/>
              </w:rPr>
              <w:t>刘瑶收，13857413671</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9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90"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4" w:hRule="atLeast"/>
        </w:trPr>
        <w:tc>
          <w:tcPr>
            <w:tcW w:w="7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bCs/>
                <w:sz w:val="24"/>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rPr>
            </w:pPr>
            <w:r>
              <w:rPr>
                <w:rFonts w:ascii="宋体" w:hAnsi="宋体" w:cs="宋体"/>
                <w:b/>
                <w:bCs/>
                <w:sz w:val="24"/>
              </w:rPr>
              <w:pict>
                <v:shape id="图片 16" o:spid="_x0000_s1045" o:spt="75" type="#_x0000_t75" style="position:absolute;left:0pt;margin-left:13.8pt;margin-top:114pt;height:123.6pt;width:269.55pt;mso-wrap-distance-bottom:0pt;mso-wrap-distance-left:9pt;mso-wrap-distance-right:9pt;mso-wrap-distance-top:0pt;z-index:251662336;mso-width-relative:page;mso-height-relative:page;" filled="f" o:preferrelative="t" stroked="f" coordsize="21600,21600">
                  <v:path/>
                  <v:fill on="f" focussize="0,0"/>
                  <v:stroke on="f" joinstyle="miter"/>
                  <v:imagedata r:id="rId31" o:title=""/>
                  <o:lock v:ext="edit" aspectratio="t"/>
                  <w10:wrap type="square"/>
                </v:shape>
              </w:pict>
            </w:r>
            <w:r>
              <w:rPr>
                <w:rFonts w:hint="eastAsia" w:ascii="宋体" w:hAnsi="宋体" w:cs="宋体"/>
                <w:b/>
                <w:bCs/>
                <w:sz w:val="24"/>
              </w:rPr>
              <w:t>本项目的招标代理费用由中标单位支付，代理费用付款参照《招标代理服务收费管理暂行办法》的通知（计价格[2002]1980号）文件以中标金额为收费基数进行计取。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rPr>
        <w:tc>
          <w:tcPr>
            <w:tcW w:w="79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bCs/>
                <w:sz w:val="24"/>
              </w:rPr>
            </w:pPr>
            <w:r>
              <w:rPr>
                <w:rFonts w:hint="eastAsia" w:ascii="宋体" w:hAnsi="宋体" w:cs="宋体"/>
                <w:b/>
                <w:bCs/>
                <w:sz w:val="24"/>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10"/>
    <w:p>
      <w:pPr>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仿宋" w:hAnsi="仿宋" w:eastAsia="仿宋" w:cs="仿宋"/>
          <w:b/>
          <w:sz w:val="24"/>
        </w:rPr>
        <w:t>、补偿救济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5"/>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pPr>
      <w:r>
        <w:rPr>
          <w:rFonts w:hint="eastAsia"/>
        </w:rPr>
        <w:t>质疑函范本及制作说明详见附件2。</w:t>
      </w:r>
    </w:p>
    <w:p>
      <w:pPr>
        <w:pStyle w:val="575"/>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5"/>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5"/>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5"/>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pPr>
      <w:r>
        <w:rPr>
          <w:rFonts w:hint="eastAsia"/>
        </w:rPr>
        <w:t>4.4.5杭州市临平区政府采购项目投诉材料可寄送浙江省政府采购行政裁决服务中心（杭州），地址：杭州市上城区四季青街道新业路市民之家G03办公室，收件人：收件人：朱女士、王女士 ，电话：0571-89185312。</w:t>
      </w:r>
    </w:p>
    <w:p>
      <w:pPr>
        <w:pStyle w:val="575"/>
        <w:shd w:val="clear" w:color="auto" w:fill="FFFFFF"/>
        <w:snapToGrid w:val="0"/>
        <w:spacing w:after="240" w:afterAutospacing="0" w:line="360" w:lineRule="auto"/>
        <w:ind w:firstLine="400"/>
        <w:contextualSpacing/>
      </w:pPr>
      <w:r>
        <w:rPr>
          <w:rFonts w:hint="eastAsia"/>
        </w:rPr>
        <w:t>投诉书范本及制作说明详见附件3。</w:t>
      </w:r>
    </w:p>
    <w:p>
      <w:pPr>
        <w:pStyle w:val="575"/>
        <w:shd w:val="clear" w:color="auto" w:fill="FFFFFF"/>
        <w:snapToGrid w:val="0"/>
        <w:spacing w:after="240" w:afterAutospacing="0" w:line="360" w:lineRule="auto"/>
        <w:ind w:firstLine="400"/>
        <w:contextualSpacing/>
      </w:pPr>
      <w:r>
        <w:rPr>
          <w:rFonts w:hint="eastAsia"/>
        </w:rPr>
        <w:t>4.5 补偿救济</w:t>
      </w:r>
    </w:p>
    <w:p>
      <w:pPr>
        <w:pStyle w:val="575"/>
        <w:shd w:val="clear" w:color="auto" w:fill="FFFFFF"/>
        <w:snapToGrid w:val="0"/>
        <w:spacing w:after="240" w:afterAutospacing="0" w:line="360" w:lineRule="auto"/>
        <w:ind w:firstLine="400"/>
        <w:contextualSpacing/>
      </w:pPr>
      <w:r>
        <w:rPr>
          <w:rFonts w:hint="eastAsia"/>
        </w:rPr>
        <w:t>采购人（行政机关）因政策变化、规划调整而不履行政府采购合同的，供应商可依据《杭州市涉企补偿救济实施办法（试行）》向采购人（行政机关）提起补偿申请。</w:t>
      </w:r>
    </w:p>
    <w:p>
      <w:pPr>
        <w:pStyle w:val="575"/>
        <w:shd w:val="clear" w:color="auto" w:fill="FFFFFF"/>
        <w:snapToGrid w:val="0"/>
        <w:spacing w:after="240" w:afterAutospacing="0" w:line="360" w:lineRule="auto"/>
        <w:ind w:firstLine="400"/>
        <w:contextualSpacing/>
      </w:pPr>
    </w:p>
    <w:p>
      <w:pPr>
        <w:pStyle w:val="8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8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8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仿宋" w:hAnsi="仿宋" w:eastAsia="仿宋" w:cs="仿宋"/>
          <w:sz w:val="24"/>
        </w:rPr>
        <w:t>▲</w:t>
      </w: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pPr>
        <w:snapToGrid w:val="0"/>
        <w:spacing w:line="360" w:lineRule="auto"/>
        <w:ind w:firstLine="480" w:firstLineChars="200"/>
        <w:rPr>
          <w:rFonts w:ascii="宋体" w:hAnsi="宋体" w:cs="宋体"/>
          <w:b/>
          <w:bCs/>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r>
        <w:rPr>
          <w:rFonts w:hint="eastAsia" w:ascii="宋体" w:hAnsi="宋体" w:cs="宋体"/>
          <w:b/>
          <w:bCs/>
          <w:sz w:val="24"/>
        </w:rPr>
        <w:t>本项目为专门面向中小企业采购的项目,投标单位应为中型、小型、微型企业或监狱企业和残疾人福利性单位；否则作无效标处理。</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 xml:space="preserve">11.1.4营业执照(或事业法人登记证书或其它登记证明材料）复印件加盖公章； </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宋体" w:hAnsi="宋体" w:cs="宋体"/>
          <w:sz w:val="24"/>
        </w:rPr>
      </w:pPr>
      <w:r>
        <w:rPr>
          <w:rFonts w:hint="eastAsia" w:ascii="宋体" w:hAnsi="宋体" w:cs="宋体"/>
          <w:sz w:val="24"/>
        </w:rPr>
        <w:t>11.1.5本项目的特定资格要求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仿宋" w:hAnsi="仿宋" w:eastAsia="仿宋" w:cs="仿宋"/>
          <w:sz w:val="24"/>
        </w:rPr>
        <w:t>▲</w:t>
      </w: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仿宋" w:hAnsi="仿宋" w:eastAsia="仿宋" w:cs="仿宋"/>
          <w:sz w:val="24"/>
        </w:rPr>
        <w:t>▲</w:t>
      </w:r>
      <w:r>
        <w:rPr>
          <w:rFonts w:hint="eastAsia" w:ascii="宋体" w:hAnsi="宋体" w:cs="宋体"/>
          <w:sz w:val="24"/>
        </w:rPr>
        <w:t>11.2.2授权委托书或法定代表人（单位负责人、自然人本人）身份证明；格式详见第六部分。</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720" w:firstLineChars="300"/>
        <w:rPr>
          <w:rFonts w:ascii="宋体" w:hAnsi="宋体" w:cs="宋体"/>
          <w:sz w:val="24"/>
        </w:rPr>
      </w:pPr>
      <w:r>
        <w:rPr>
          <w:rFonts w:hint="eastAsia" w:ascii="仿宋" w:hAnsi="仿宋" w:eastAsia="仿宋" w:cs="仿宋"/>
          <w:sz w:val="24"/>
        </w:rPr>
        <w:t>▲</w:t>
      </w:r>
      <w:r>
        <w:rPr>
          <w:rFonts w:hint="eastAsia" w:ascii="宋体" w:hAnsi="宋体" w:cs="宋体"/>
          <w:sz w:val="24"/>
        </w:rPr>
        <w:t>11.2.</w:t>
      </w:r>
      <w:r>
        <w:rPr>
          <w:rFonts w:ascii="宋体" w:hAnsi="宋体" w:cs="宋体"/>
          <w:sz w:val="24"/>
        </w:rPr>
        <w:t>4</w:t>
      </w:r>
      <w:r>
        <w:rPr>
          <w:rFonts w:hint="eastAsia" w:ascii="宋体" w:hAnsi="宋体" w:cs="宋体"/>
          <w:sz w:val="24"/>
        </w:rPr>
        <w:t>符合性审查资料；格式详见第六部分；</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仿宋" w:hAnsi="仿宋" w:eastAsia="仿宋" w:cs="仿宋"/>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pStyle w:val="2"/>
        <w:ind w:left="0" w:firstLine="482" w:firstLineChars="200"/>
        <w:rPr>
          <w:rFonts w:ascii="宋体" w:hAnsi="宋体" w:eastAsia="宋体" w:cs="宋体"/>
          <w:sz w:val="24"/>
          <w:lang w:val="en-US"/>
        </w:rPr>
      </w:pPr>
      <w:r>
        <w:rPr>
          <w:rFonts w:hint="eastAsia" w:ascii="宋体" w:hAnsi="宋体" w:eastAsia="宋体" w:cs="宋体"/>
          <w:sz w:val="24"/>
        </w:rPr>
        <w:t>▲11.2.</w:t>
      </w:r>
      <w:r>
        <w:rPr>
          <w:rFonts w:hint="eastAsia" w:ascii="宋体" w:hAnsi="宋体" w:eastAsia="宋体" w:cs="宋体"/>
          <w:sz w:val="24"/>
          <w:lang w:val="en-US"/>
        </w:rPr>
        <w:t>9投标人签署的《政府采购活动现场确认声明书》；格式详见第六部分；</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10</w:t>
      </w:r>
      <w:r>
        <w:rPr>
          <w:rFonts w:hint="eastAsia" w:ascii="宋体" w:hAnsi="宋体" w:cs="宋体"/>
          <w:sz w:val="24"/>
          <w:lang w:val="zh-CN"/>
        </w:rPr>
        <w:t>关于对招标文件中有关条款的拒绝声明（如果有的话）；</w:t>
      </w:r>
    </w:p>
    <w:p>
      <w:pPr>
        <w:snapToGrid w:val="0"/>
        <w:spacing w:line="360" w:lineRule="auto"/>
        <w:ind w:firstLine="720" w:firstLineChars="300"/>
        <w:rPr>
          <w:rFonts w:ascii="宋体" w:hAnsi="宋体" w:cs="宋体"/>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11投标人认为需要提供的与本项目有关的其他文件和说明</w:t>
      </w:r>
      <w:r>
        <w:rPr>
          <w:rFonts w:hint="eastAsia" w:ascii="宋体" w:hAnsi="宋体" w:cs="宋体"/>
          <w:sz w:val="24"/>
          <w:lang w:val="zh-CN"/>
        </w:rPr>
        <w:t>。</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仿宋" w:hAnsi="仿宋" w:eastAsia="仿宋" w:cs="仿宋"/>
          <w:sz w:val="24"/>
        </w:rPr>
        <w:t>▲</w:t>
      </w: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11.3.2中小企业声明函。（如有）</w:t>
      </w:r>
    </w:p>
    <w:p>
      <w:pPr>
        <w:pStyle w:val="2"/>
        <w:adjustRightInd w:val="0"/>
        <w:snapToGrid w:val="0"/>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11.3.3 报价情况说明（如供应商报价低于项目预算50%的，应当提交本文档，详细阐述不影响产品质量或者诚信履约的具体原因）；</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8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8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8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8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88"/>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8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8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8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ascii="宋体" w:hAnsi="宋体" w:cs="宋体"/>
          <w:b/>
          <w:sz w:val="32"/>
        </w:rPr>
      </w:pPr>
    </w:p>
    <w:p>
      <w:pPr>
        <w:pStyle w:val="8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3"/>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243"/>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8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8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8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8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88"/>
        <w:spacing w:before="0"/>
        <w:ind w:firstLine="480"/>
        <w:rPr>
          <w:rFonts w:ascii="宋体" w:hAnsi="宋体" w:cs="宋体"/>
        </w:rPr>
      </w:pPr>
      <w:r>
        <w:rPr>
          <w:rFonts w:hint="eastAsia" w:ascii="宋体" w:hAnsi="宋体" w:cs="宋体"/>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8"/>
        <w:spacing w:before="0"/>
        <w:ind w:firstLine="0" w:firstLineChars="0"/>
        <w:rPr>
          <w:rFonts w:ascii="宋体" w:hAnsi="宋体" w:cs="宋体"/>
          <w:b/>
          <w:szCs w:val="24"/>
        </w:rPr>
      </w:pPr>
      <w:r>
        <w:rPr>
          <w:rFonts w:hint="eastAsia" w:ascii="宋体" w:hAnsi="宋体" w:cs="宋体"/>
          <w:b/>
          <w:szCs w:val="24"/>
        </w:rPr>
        <w:t>20、信用信息查询</w:t>
      </w:r>
    </w:p>
    <w:p>
      <w:pPr>
        <w:pStyle w:val="8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8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8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8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8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8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8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8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8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8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pStyle w:val="622"/>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29768"/>
      <w:bookmarkEnd w:id="16"/>
      <w:bookmarkStart w:id="17" w:name="_Hlt74730295"/>
      <w:bookmarkEnd w:id="17"/>
      <w:bookmarkStart w:id="18" w:name="_Hlt75236011"/>
      <w:bookmarkEnd w:id="18"/>
      <w:bookmarkStart w:id="19" w:name="_Hlt75236101"/>
      <w:bookmarkEnd w:id="19"/>
      <w:bookmarkStart w:id="20" w:name="_Hlt68403820"/>
      <w:bookmarkEnd w:id="20"/>
      <w:bookmarkStart w:id="21" w:name="_Hlt74707468"/>
      <w:bookmarkEnd w:id="21"/>
      <w:bookmarkStart w:id="22" w:name="_Hlt68057669"/>
      <w:bookmarkEnd w:id="22"/>
      <w:bookmarkStart w:id="23" w:name="_Hlt74714665"/>
      <w:bookmarkEnd w:id="23"/>
      <w:bookmarkStart w:id="24" w:name="_Hlt68072998"/>
      <w:bookmarkEnd w:id="24"/>
      <w:bookmarkStart w:id="25" w:name="_Hlt75236290"/>
      <w:bookmarkEnd w:id="25"/>
      <w:bookmarkStart w:id="26" w:name="_Hlt68073093"/>
      <w:bookmarkEnd w:id="26"/>
      <w:r>
        <w:rPr>
          <w:rFonts w:hint="eastAsia" w:ascii="宋体" w:hAnsi="宋体" w:eastAsia="宋体" w:cs="宋体"/>
          <w:kern w:val="0"/>
          <w:sz w:val="24"/>
          <w:szCs w:val="24"/>
          <w:lang w:val="en-US"/>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2"/>
        <w:rPr>
          <w:rFonts w:ascii="仿宋" w:eastAsia="仿宋" w:cs="仿宋"/>
          <w:sz w:val="24"/>
          <w:szCs w:val="24"/>
        </w:rPr>
      </w:pPr>
      <w:bookmarkStart w:id="28" w:name="_Toc50977408"/>
      <w:bookmarkStart w:id="29" w:name="_Toc446918355"/>
      <w:bookmarkStart w:id="30" w:name="_Toc491947581"/>
      <w:bookmarkStart w:id="31" w:name="_Toc491947263"/>
      <w:bookmarkStart w:id="32" w:name="_Toc351971206"/>
      <w:bookmarkStart w:id="33" w:name="_Toc16157"/>
      <w:bookmarkStart w:id="34" w:name="_Toc15287644"/>
      <w:bookmarkStart w:id="35" w:name="_Toc365897805"/>
      <w:bookmarkStart w:id="36" w:name="_Toc379811066"/>
      <w:bookmarkStart w:id="37" w:name="_Toc274303247"/>
      <w:bookmarkStart w:id="38" w:name="_Toc16199"/>
      <w:bookmarkStart w:id="39" w:name="_Toc39844011"/>
      <w:bookmarkStart w:id="40" w:name="_Toc491947899"/>
      <w:r>
        <w:rPr>
          <w:rFonts w:hint="eastAsia" w:ascii="仿宋" w:eastAsia="仿宋" w:cs="仿宋"/>
          <w:sz w:val="24"/>
          <w:szCs w:val="24"/>
        </w:rPr>
        <w:t>一、项目背景</w:t>
      </w:r>
    </w:p>
    <w:p>
      <w:pPr>
        <w:spacing w:line="360" w:lineRule="auto"/>
        <w:ind w:firstLine="480" w:firstLineChars="200"/>
        <w:rPr>
          <w:rFonts w:ascii="仿宋" w:hAnsi="仿宋" w:eastAsia="仿宋" w:cs="仿宋"/>
          <w:sz w:val="24"/>
        </w:rPr>
      </w:pPr>
      <w:r>
        <w:rPr>
          <w:rFonts w:hint="eastAsia" w:ascii="仿宋" w:hAnsi="仿宋" w:eastAsia="仿宋" w:cs="仿宋"/>
          <w:sz w:val="24"/>
        </w:rPr>
        <w:t>1.1随着互联网技术和信息技术的快速发展，诉讼档案数字化成为时代发展的必然要求。为加强杭州市临平区人民法院的案卷档案数字化建设工作，为审判人员和其他诉讼参与人提供高效便捷的档案查阅使用服务，现计划将本院历史案卷中的公安卷，以及在案件受理时接收的纸质材料、案件审理过程中形成的纸质材料进行扫描加工，并导入浙江省高级人民法院统一开发的办案办公业务管理系统。</w:t>
      </w:r>
    </w:p>
    <w:p>
      <w:pPr>
        <w:spacing w:line="360" w:lineRule="auto"/>
        <w:ind w:firstLine="480" w:firstLineChars="200"/>
        <w:rPr>
          <w:rFonts w:ascii="仿宋" w:hAnsi="仿宋" w:eastAsia="仿宋" w:cs="仿宋"/>
          <w:sz w:val="24"/>
        </w:rPr>
      </w:pPr>
      <w:r>
        <w:rPr>
          <w:rFonts w:hint="eastAsia" w:ascii="仿宋" w:hAnsi="仿宋" w:eastAsia="仿宋" w:cs="仿宋"/>
          <w:sz w:val="24"/>
        </w:rPr>
        <w:t>1.2采购需求表：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35"/>
        <w:gridCol w:w="1755"/>
        <w:gridCol w:w="1710"/>
        <w:gridCol w:w="1380"/>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2292" w:type="dxa"/>
            <w:gridSpan w:val="2"/>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项目</w:t>
            </w:r>
          </w:p>
        </w:tc>
        <w:tc>
          <w:tcPr>
            <w:tcW w:w="1755" w:type="dxa"/>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工作描述</w:t>
            </w:r>
          </w:p>
        </w:tc>
        <w:tc>
          <w:tcPr>
            <w:tcW w:w="1710" w:type="dxa"/>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数量估算</w:t>
            </w:r>
          </w:p>
        </w:tc>
        <w:tc>
          <w:tcPr>
            <w:tcW w:w="1380" w:type="dxa"/>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最高单价限价</w:t>
            </w:r>
          </w:p>
        </w:tc>
        <w:tc>
          <w:tcPr>
            <w:tcW w:w="2035" w:type="dxa"/>
            <w:noWrap/>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957"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杭州市临平区人民法院档案扫描加工服务项目   </w:t>
            </w:r>
          </w:p>
        </w:tc>
        <w:tc>
          <w:tcPr>
            <w:tcW w:w="1335"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历史公安案卷</w:t>
            </w:r>
          </w:p>
        </w:tc>
        <w:tc>
          <w:tcPr>
            <w:tcW w:w="1755" w:type="dxa"/>
            <w:noWrap/>
            <w:vAlign w:val="center"/>
          </w:tcPr>
          <w:p>
            <w:pPr>
              <w:spacing w:line="360" w:lineRule="auto"/>
              <w:jc w:val="left"/>
              <w:rPr>
                <w:rFonts w:ascii="仿宋" w:hAnsi="仿宋" w:eastAsia="仿宋" w:cs="仿宋"/>
                <w:sz w:val="24"/>
              </w:rPr>
            </w:pPr>
            <w:r>
              <w:rPr>
                <w:rFonts w:hint="eastAsia" w:ascii="仿宋" w:hAnsi="仿宋" w:eastAsia="仿宋" w:cs="仿宋"/>
                <w:sz w:val="24"/>
              </w:rPr>
              <w:t>对历史公安卷扫描加工服务，并引入法院案卷档案管理系统；</w:t>
            </w:r>
          </w:p>
        </w:tc>
        <w:tc>
          <w:tcPr>
            <w:tcW w:w="1710" w:type="dxa"/>
            <w:vMerge w:val="restart"/>
            <w:noWrap/>
            <w:vAlign w:val="center"/>
          </w:tcPr>
          <w:p>
            <w:pPr>
              <w:spacing w:line="360" w:lineRule="auto"/>
              <w:jc w:val="center"/>
              <w:rPr>
                <w:rFonts w:ascii="仿宋" w:hAnsi="仿宋" w:eastAsia="仿宋" w:cs="仿宋"/>
                <w:spacing w:val="26"/>
                <w:sz w:val="24"/>
              </w:rPr>
            </w:pPr>
            <w:r>
              <w:rPr>
                <w:rFonts w:hint="eastAsia" w:ascii="仿宋" w:hAnsi="仿宋" w:eastAsia="仿宋" w:cs="仿宋"/>
                <w:sz w:val="24"/>
              </w:rPr>
              <w:t>2018年至2020年的公安卷档案约137.66万页，约15000册。</w:t>
            </w:r>
          </w:p>
        </w:tc>
        <w:tc>
          <w:tcPr>
            <w:tcW w:w="1380"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最高限价440500元，单价不高于</w:t>
            </w:r>
            <w:r>
              <w:rPr>
                <w:rFonts w:hint="eastAsia" w:ascii="仿宋" w:hAnsi="仿宋" w:eastAsia="仿宋" w:cs="仿宋"/>
                <w:spacing w:val="-4"/>
                <w:sz w:val="24"/>
              </w:rPr>
              <w:t>0.3</w:t>
            </w:r>
            <w:r>
              <w:rPr>
                <w:rFonts w:hint="eastAsia" w:ascii="仿宋" w:hAnsi="仿宋" w:eastAsia="仿宋" w:cs="仿宋"/>
                <w:spacing w:val="-43"/>
                <w:sz w:val="24"/>
              </w:rPr>
              <w:t xml:space="preserve"> 2</w:t>
            </w:r>
            <w:r>
              <w:rPr>
                <w:rFonts w:hint="eastAsia" w:ascii="仿宋" w:hAnsi="仿宋" w:eastAsia="仿宋" w:cs="仿宋"/>
                <w:sz w:val="24"/>
              </w:rPr>
              <w:t>元/页；</w:t>
            </w:r>
          </w:p>
        </w:tc>
        <w:tc>
          <w:tcPr>
            <w:tcW w:w="2035" w:type="dxa"/>
            <w:noWrap/>
            <w:vAlign w:val="center"/>
          </w:tcPr>
          <w:p>
            <w:pPr>
              <w:jc w:val="center"/>
              <w:rPr>
                <w:rFonts w:ascii="仿宋" w:hAnsi="仿宋" w:eastAsia="仿宋" w:cs="仿宋"/>
                <w:sz w:val="24"/>
              </w:rPr>
            </w:pPr>
            <w:r>
              <w:rPr>
                <w:rFonts w:hint="eastAsia" w:ascii="仿宋" w:hAnsi="仿宋" w:eastAsia="仿宋" w:cs="仿宋"/>
                <w:sz w:val="24"/>
              </w:rPr>
              <w:t>中标单位提供项目所需设备（不限于高速扫描仪、平板扫描仪、三孔电动档案装订机、电脑等设备。项目完成后资料硬盘交给法院保管）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7" w:type="dxa"/>
            <w:vMerge w:val="continue"/>
            <w:noWrap/>
            <w:vAlign w:val="center"/>
          </w:tcPr>
          <w:p>
            <w:pPr>
              <w:spacing w:line="360" w:lineRule="auto"/>
              <w:jc w:val="center"/>
              <w:rPr>
                <w:rFonts w:ascii="仿宋" w:hAnsi="仿宋" w:eastAsia="仿宋" w:cs="仿宋"/>
                <w:sz w:val="24"/>
                <w:highlight w:val="yellow"/>
              </w:rPr>
            </w:pPr>
          </w:p>
        </w:tc>
        <w:tc>
          <w:tcPr>
            <w:tcW w:w="1335" w:type="dxa"/>
            <w:vMerge w:val="continue"/>
            <w:noWrap/>
            <w:vAlign w:val="center"/>
          </w:tcPr>
          <w:p>
            <w:pPr>
              <w:spacing w:line="360" w:lineRule="auto"/>
              <w:jc w:val="center"/>
              <w:rPr>
                <w:rFonts w:ascii="仿宋" w:hAnsi="仿宋" w:eastAsia="仿宋" w:cs="仿宋"/>
                <w:sz w:val="24"/>
              </w:rPr>
            </w:pPr>
          </w:p>
        </w:tc>
        <w:tc>
          <w:tcPr>
            <w:tcW w:w="1755" w:type="dxa"/>
            <w:noWrap/>
            <w:vAlign w:val="center"/>
          </w:tcPr>
          <w:p>
            <w:pPr>
              <w:spacing w:line="360" w:lineRule="auto"/>
              <w:jc w:val="left"/>
              <w:rPr>
                <w:rFonts w:ascii="仿宋" w:hAnsi="仿宋" w:eastAsia="仿宋" w:cs="仿宋"/>
                <w:sz w:val="24"/>
              </w:rPr>
            </w:pPr>
            <w:r>
              <w:rPr>
                <w:rFonts w:hint="eastAsia" w:ascii="仿宋" w:hAnsi="仿宋" w:eastAsia="仿宋" w:cs="仿宋"/>
                <w:sz w:val="24"/>
              </w:rPr>
              <w:t>档案辅助工作：档案打印、整理上架、倒架、借调卷服务。</w:t>
            </w:r>
          </w:p>
        </w:tc>
        <w:tc>
          <w:tcPr>
            <w:tcW w:w="1710" w:type="dxa"/>
            <w:vMerge w:val="continue"/>
            <w:noWrap/>
            <w:vAlign w:val="center"/>
          </w:tcPr>
          <w:p>
            <w:pPr>
              <w:spacing w:line="360" w:lineRule="auto"/>
              <w:jc w:val="center"/>
              <w:rPr>
                <w:rFonts w:ascii="仿宋" w:hAnsi="仿宋" w:eastAsia="仿宋" w:cs="仿宋"/>
                <w:sz w:val="24"/>
              </w:rPr>
            </w:pPr>
          </w:p>
        </w:tc>
        <w:tc>
          <w:tcPr>
            <w:tcW w:w="1380"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最高限价259500元，单价不高于17.3元/册；</w:t>
            </w:r>
          </w:p>
        </w:tc>
        <w:tc>
          <w:tcPr>
            <w:tcW w:w="2035" w:type="dxa"/>
            <w:noWrap/>
            <w:vAlign w:val="center"/>
          </w:tcPr>
          <w:p>
            <w:pPr>
              <w:rPr>
                <w:rFonts w:ascii="仿宋" w:hAnsi="仿宋" w:eastAsia="仿宋" w:cs="仿宋"/>
                <w:sz w:val="24"/>
                <w:highlight w:val="yellow"/>
              </w:rPr>
            </w:pPr>
            <w:r>
              <w:rPr>
                <w:rFonts w:hint="eastAsia" w:ascii="仿宋" w:hAnsi="仿宋" w:eastAsia="仿宋" w:cs="仿宋"/>
                <w:sz w:val="24"/>
              </w:rPr>
              <w:t>整体工作配备人员应不少于4人，中标单位提供封皮打印机设备。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57" w:type="dxa"/>
            <w:vMerge w:val="continue"/>
            <w:noWrap/>
            <w:vAlign w:val="center"/>
          </w:tcPr>
          <w:p>
            <w:pPr>
              <w:spacing w:line="360" w:lineRule="auto"/>
              <w:jc w:val="center"/>
              <w:rPr>
                <w:rFonts w:ascii="仿宋" w:hAnsi="仿宋" w:eastAsia="仿宋" w:cs="仿宋"/>
                <w:sz w:val="24"/>
                <w:highlight w:val="yellow"/>
              </w:rPr>
            </w:pPr>
          </w:p>
        </w:tc>
        <w:tc>
          <w:tcPr>
            <w:tcW w:w="1335"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新增诉讼档案电子卷宗随案扫描，归档案卷补充材料扫描</w:t>
            </w:r>
          </w:p>
        </w:tc>
        <w:tc>
          <w:tcPr>
            <w:tcW w:w="1755" w:type="dxa"/>
            <w:noWrap/>
            <w:vAlign w:val="center"/>
          </w:tcPr>
          <w:p>
            <w:pPr>
              <w:spacing w:line="360" w:lineRule="auto"/>
              <w:jc w:val="left"/>
              <w:rPr>
                <w:rFonts w:ascii="仿宋" w:hAnsi="仿宋" w:eastAsia="仿宋" w:cs="仿宋"/>
                <w:sz w:val="24"/>
              </w:rPr>
            </w:pPr>
            <w:r>
              <w:rPr>
                <w:rFonts w:hint="eastAsia" w:ascii="仿宋" w:hAnsi="仿宋" w:eastAsia="仿宋" w:cs="仿宋"/>
                <w:sz w:val="24"/>
              </w:rPr>
              <w:t>提供电子随案的实时扫描加工服务，并引入法院办案办公系统；</w:t>
            </w:r>
          </w:p>
        </w:tc>
        <w:tc>
          <w:tcPr>
            <w:tcW w:w="1710"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约14500件</w:t>
            </w:r>
          </w:p>
        </w:tc>
        <w:tc>
          <w:tcPr>
            <w:tcW w:w="1380"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最高限价200000.00元，单价不高于13.79元/件</w:t>
            </w:r>
          </w:p>
        </w:tc>
        <w:tc>
          <w:tcPr>
            <w:tcW w:w="2035" w:type="dxa"/>
            <w:noWrap/>
            <w:vAlign w:val="center"/>
          </w:tcPr>
          <w:p>
            <w:pPr>
              <w:rPr>
                <w:rFonts w:ascii="仿宋" w:hAnsi="仿宋" w:eastAsia="仿宋" w:cs="仿宋"/>
                <w:sz w:val="24"/>
              </w:rPr>
            </w:pPr>
            <w:r>
              <w:rPr>
                <w:rFonts w:hint="eastAsia" w:ascii="仿宋" w:hAnsi="仿宋" w:eastAsia="仿宋" w:cs="仿宋"/>
                <w:sz w:val="24"/>
              </w:rPr>
              <w:t>整体工作配备人员应不少于3人，中标单位提供服务所需设备，当天的案卷材料必须当天完成扫描加工并引入法院办案办公系统。</w:t>
            </w:r>
          </w:p>
        </w:tc>
      </w:tr>
    </w:tbl>
    <w:p>
      <w:pPr>
        <w:spacing w:line="360" w:lineRule="auto"/>
        <w:ind w:firstLine="480" w:firstLineChars="200"/>
        <w:rPr>
          <w:rFonts w:ascii="仿宋" w:hAnsi="仿宋" w:eastAsia="仿宋" w:cs="仿宋"/>
          <w:sz w:val="24"/>
        </w:rPr>
      </w:pPr>
    </w:p>
    <w:bookmarkEnd w:id="28"/>
    <w:p>
      <w:pPr>
        <w:spacing w:line="360" w:lineRule="auto"/>
        <w:ind w:firstLine="480" w:firstLineChars="200"/>
        <w:rPr>
          <w:rFonts w:ascii="仿宋" w:hAnsi="仿宋" w:eastAsia="仿宋" w:cs="仿宋"/>
          <w:sz w:val="24"/>
        </w:rPr>
      </w:pPr>
      <w:r>
        <w:rPr>
          <w:rFonts w:hint="eastAsia" w:ascii="仿宋" w:hAnsi="仿宋" w:eastAsia="仿宋" w:cs="仿宋"/>
          <w:sz w:val="24"/>
        </w:rPr>
        <w:t>1.2.1历史公安卷扫描服务：档案接收、档案拆分、档案扫描、影像预处理、著录索引、档案质检、装卷盖章等流程。扫描精度不低于300DPI，质量抽检的合格率达到95%以上。</w:t>
      </w:r>
    </w:p>
    <w:p>
      <w:pPr>
        <w:spacing w:line="360" w:lineRule="auto"/>
        <w:ind w:firstLine="480" w:firstLineChars="200"/>
        <w:rPr>
          <w:rFonts w:ascii="仿宋" w:hAnsi="仿宋" w:eastAsia="仿宋" w:cs="仿宋"/>
          <w:sz w:val="24"/>
        </w:rPr>
      </w:pPr>
      <w:r>
        <w:rPr>
          <w:rFonts w:hint="eastAsia" w:ascii="仿宋" w:hAnsi="仿宋" w:eastAsia="仿宋" w:cs="仿宋"/>
          <w:sz w:val="24"/>
        </w:rPr>
        <w:t>1.2.</w:t>
      </w:r>
      <w:r>
        <w:rPr>
          <w:rFonts w:ascii="仿宋" w:hAnsi="仿宋" w:eastAsia="仿宋" w:cs="仿宋"/>
          <w:sz w:val="24"/>
        </w:rPr>
        <w:t>2</w:t>
      </w:r>
      <w:r>
        <w:rPr>
          <w:rFonts w:hint="eastAsia" w:ascii="仿宋" w:hAnsi="仿宋" w:eastAsia="仿宋" w:cs="仿宋"/>
          <w:sz w:val="24"/>
        </w:rPr>
        <w:t>档案辅助工作：包括档案装订、封面打印、整理归档、档案上架、档案倒架借调卷等工作。</w:t>
      </w:r>
    </w:p>
    <w:p>
      <w:pPr>
        <w:spacing w:line="360" w:lineRule="auto"/>
        <w:ind w:firstLine="480" w:firstLineChars="200"/>
        <w:rPr>
          <w:rFonts w:ascii="仿宋" w:hAnsi="仿宋" w:eastAsia="仿宋" w:cs="仿宋"/>
          <w:sz w:val="24"/>
        </w:rPr>
      </w:pPr>
      <w:r>
        <w:rPr>
          <w:rFonts w:hint="eastAsia" w:ascii="仿宋" w:hAnsi="仿宋" w:eastAsia="仿宋" w:cs="仿宋"/>
          <w:sz w:val="24"/>
        </w:rPr>
        <w:t>1.2.3随案扫描服务：包括立案材料的接收登记、诉讼材料扫描、零星编目、材料挂接移送等工作。</w:t>
      </w:r>
    </w:p>
    <w:p>
      <w:pPr>
        <w:spacing w:line="360" w:lineRule="auto"/>
        <w:ind w:firstLine="480" w:firstLineChars="200"/>
        <w:rPr>
          <w:rFonts w:ascii="仿宋" w:hAnsi="仿宋" w:eastAsia="仿宋" w:cs="仿宋"/>
          <w:sz w:val="24"/>
        </w:rPr>
      </w:pPr>
      <w:r>
        <w:rPr>
          <w:rFonts w:ascii="仿宋" w:hAnsi="仿宋" w:eastAsia="仿宋" w:cs="仿宋"/>
          <w:sz w:val="24"/>
        </w:rPr>
        <w:t>1.2.</w:t>
      </w:r>
      <w:r>
        <w:rPr>
          <w:rFonts w:hint="eastAsia" w:ascii="仿宋" w:hAnsi="仿宋" w:eastAsia="仿宋" w:cs="仿宋"/>
          <w:sz w:val="24"/>
        </w:rPr>
        <w:t>4随案扫描服务时效：书记员送交的纸质材料，当天</w:t>
      </w:r>
      <w:r>
        <w:rPr>
          <w:rFonts w:hint="eastAsia" w:ascii="仿宋" w:hAnsi="仿宋" w:eastAsia="仿宋" w:cs="仿宋"/>
          <w:sz w:val="24"/>
          <w:lang w:val="en-US" w:eastAsia="zh-CN"/>
        </w:rPr>
        <w:t>16</w:t>
      </w:r>
      <w:r>
        <w:rPr>
          <w:rFonts w:ascii="仿宋" w:hAnsi="仿宋" w:eastAsia="仿宋" w:cs="仿宋"/>
          <w:sz w:val="24"/>
        </w:rPr>
        <w:t>点之前的</w:t>
      </w:r>
      <w:r>
        <w:rPr>
          <w:rFonts w:hint="eastAsia" w:ascii="仿宋" w:hAnsi="仿宋" w:eastAsia="仿宋" w:cs="仿宋"/>
          <w:sz w:val="24"/>
        </w:rPr>
        <w:t>当日内完成数字化处理并上传法院办案办公系统；</w:t>
      </w:r>
      <w:r>
        <w:rPr>
          <w:rFonts w:hint="eastAsia" w:ascii="仿宋" w:hAnsi="仿宋" w:eastAsia="仿宋" w:cs="仿宋"/>
          <w:sz w:val="24"/>
          <w:lang w:val="en-US" w:eastAsia="zh-CN"/>
        </w:rPr>
        <w:t>16</w:t>
      </w:r>
      <w:r>
        <w:rPr>
          <w:rFonts w:ascii="仿宋" w:hAnsi="仿宋" w:eastAsia="仿宋" w:cs="仿宋"/>
          <w:sz w:val="24"/>
        </w:rPr>
        <w:t>点之后的</w:t>
      </w:r>
      <w:r>
        <w:rPr>
          <w:rFonts w:hint="eastAsia" w:ascii="仿宋" w:hAnsi="仿宋" w:eastAsia="仿宋" w:cs="仿宋"/>
          <w:sz w:val="24"/>
        </w:rPr>
        <w:t>数字化处理并上传法院办案办公系统</w:t>
      </w:r>
      <w:r>
        <w:rPr>
          <w:rFonts w:ascii="仿宋" w:hAnsi="仿宋" w:eastAsia="仿宋" w:cs="仿宋"/>
          <w:sz w:val="24"/>
        </w:rPr>
        <w:t>次日9点30分前完成</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1.2.5扫描加工服务实施过程中需要的设备及配套软件，由投标供应商自行提供。</w:t>
      </w:r>
    </w:p>
    <w:p>
      <w:pPr>
        <w:pStyle w:val="2"/>
        <w:rPr>
          <w:rFonts w:ascii="仿宋" w:eastAsia="仿宋" w:cs="仿宋"/>
          <w:sz w:val="24"/>
          <w:szCs w:val="24"/>
        </w:rPr>
      </w:pPr>
      <w:r>
        <w:rPr>
          <w:rFonts w:hint="eastAsia" w:ascii="仿宋" w:eastAsia="仿宋" w:cs="仿宋"/>
          <w:sz w:val="24"/>
          <w:szCs w:val="24"/>
        </w:rPr>
        <w:t>二、项目总体要求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sz w:val="24"/>
        </w:rPr>
        <w:t>、</w:t>
      </w:r>
      <w:r>
        <w:rPr>
          <w:rFonts w:hint="eastAsia" w:ascii="仿宋" w:hAnsi="仿宋" w:eastAsia="仿宋" w:cs="仿宋"/>
          <w:color w:val="000000"/>
          <w:sz w:val="24"/>
        </w:rPr>
        <w:t>中标供应商在采购人单位实施各项工作。</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2</w:t>
      </w:r>
      <w:r>
        <w:rPr>
          <w:rFonts w:hint="eastAsia" w:ascii="仿宋" w:hAnsi="仿宋" w:eastAsia="仿宋" w:cs="仿宋"/>
          <w:sz w:val="24"/>
        </w:rPr>
        <w:t>、</w:t>
      </w:r>
      <w:r>
        <w:rPr>
          <w:rFonts w:hint="eastAsia" w:ascii="仿宋" w:hAnsi="仿宋" w:eastAsia="仿宋" w:cs="仿宋"/>
          <w:color w:val="000000"/>
          <w:sz w:val="24"/>
        </w:rPr>
        <w:t>采购人提供装订线、粘贴纸、档案封面（其他设</w:t>
      </w:r>
      <w:r>
        <w:rPr>
          <w:rFonts w:hint="eastAsia" w:ascii="仿宋" w:hAnsi="仿宋" w:eastAsia="仿宋" w:cs="仿宋"/>
          <w:sz w:val="24"/>
        </w:rPr>
        <w:t>施中标供应商自备）。</w:t>
      </w:r>
    </w:p>
    <w:p>
      <w:pPr>
        <w:spacing w:line="360" w:lineRule="auto"/>
        <w:ind w:firstLine="480" w:firstLineChars="200"/>
        <w:rPr>
          <w:rFonts w:ascii="仿宋" w:hAnsi="仿宋" w:eastAsia="仿宋" w:cs="仿宋"/>
          <w:sz w:val="24"/>
        </w:rPr>
      </w:pPr>
      <w:r>
        <w:rPr>
          <w:rFonts w:hint="eastAsia" w:ascii="仿宋" w:hAnsi="仿宋" w:eastAsia="仿宋" w:cs="仿宋"/>
          <w:sz w:val="24"/>
        </w:rPr>
        <w:t>3、采购人不提供档案扫描所需的任何相应设备和数字化加工软件，所有扫描加工的硬件、软件设备均由中标供应商提供。</w:t>
      </w:r>
    </w:p>
    <w:p>
      <w:pPr>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kern w:val="0"/>
          <w:sz w:val="24"/>
        </w:rPr>
        <w:t>供应商拟安排的工作人员资历和人数应保证本项目工作的顺利进行，并在投标文件中明确项目负责人及相关人员信息。项目</w:t>
      </w:r>
      <w:r>
        <w:rPr>
          <w:rFonts w:hint="eastAsia" w:ascii="仿宋" w:hAnsi="仿宋" w:eastAsia="仿宋" w:cs="仿宋"/>
          <w:sz w:val="24"/>
        </w:rPr>
        <w:t>负责人不得随意更换，若确需更换须征得采购人同意。</w:t>
      </w:r>
    </w:p>
    <w:p>
      <w:pPr>
        <w:spacing w:line="360" w:lineRule="auto"/>
        <w:ind w:firstLine="480" w:firstLineChars="200"/>
        <w:rPr>
          <w:rFonts w:ascii="仿宋" w:hAnsi="仿宋" w:eastAsia="仿宋" w:cs="仿宋"/>
          <w:sz w:val="24"/>
        </w:rPr>
      </w:pPr>
      <w:r>
        <w:rPr>
          <w:rFonts w:hint="eastAsia" w:ascii="仿宋" w:hAnsi="仿宋" w:eastAsia="仿宋" w:cs="仿宋"/>
          <w:sz w:val="24"/>
        </w:rPr>
        <w:t>5、要求中标供应商配有档案扫描工作流程管理系统，加强全过程管理。</w:t>
      </w:r>
    </w:p>
    <w:p>
      <w:pPr>
        <w:spacing w:line="360" w:lineRule="auto"/>
        <w:ind w:firstLine="480" w:firstLineChars="200"/>
        <w:rPr>
          <w:rFonts w:ascii="仿宋" w:hAnsi="仿宋" w:eastAsia="仿宋" w:cs="仿宋"/>
          <w:sz w:val="24"/>
        </w:rPr>
      </w:pPr>
      <w:r>
        <w:rPr>
          <w:rFonts w:hint="eastAsia" w:ascii="仿宋" w:hAnsi="仿宋" w:eastAsia="仿宋" w:cs="仿宋"/>
          <w:sz w:val="24"/>
        </w:rPr>
        <w:t>6、严格遵守《保密守则》及采购人的有关规定，中标供应商应与采购人签订保密协议。档案扫描工作必须在采购人指定的场所内进行，确保场所正常秩序和安全。不得遗失、损坏档案，如有违法者，将追究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7、人员进场后未经采购人单位同意不得擅自撤离。</w:t>
      </w:r>
    </w:p>
    <w:p>
      <w:pPr>
        <w:pStyle w:val="2"/>
        <w:rPr>
          <w:rFonts w:ascii="仿宋" w:eastAsia="仿宋" w:cs="仿宋"/>
          <w:sz w:val="24"/>
          <w:szCs w:val="24"/>
        </w:rPr>
      </w:pPr>
      <w:r>
        <w:rPr>
          <w:rFonts w:hint="eastAsia" w:ascii="仿宋" w:eastAsia="仿宋" w:cs="仿宋"/>
          <w:sz w:val="24"/>
          <w:szCs w:val="24"/>
        </w:rPr>
        <w:t>三、服务质量要求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1、总则</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严格管理，明确责任，落实安全保密管理机制和质量管理机制，确保档案原件和数字化档案信息的安全，确保各环节工作符合质量要求，建立完整、规范的工作记录。</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2、电子卷宗材料的收集方式和要求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电子卷宗制作实行分段管理，随案同步录入，系统自动生成，卷宗直接归档。</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随案同步电子化材料扫描范围：从受理到结案过程中所有应入卷的材料，包括未留存于纸质卷宗的程序性材料。</w:t>
      </w:r>
    </w:p>
    <w:p>
      <w:pPr>
        <w:numPr>
          <w:ilvl w:val="0"/>
          <w:numId w:val="2"/>
        </w:numPr>
        <w:spacing w:line="360" w:lineRule="auto"/>
        <w:ind w:firstLine="480" w:firstLineChars="200"/>
        <w:rPr>
          <w:rFonts w:ascii="仿宋" w:hAnsi="仿宋" w:eastAsia="仿宋" w:cs="仿宋"/>
          <w:bCs/>
          <w:sz w:val="24"/>
        </w:rPr>
      </w:pPr>
      <w:r>
        <w:rPr>
          <w:rFonts w:hint="eastAsia" w:ascii="仿宋" w:hAnsi="仿宋" w:eastAsia="仿宋" w:cs="仿宋"/>
          <w:bCs/>
          <w:sz w:val="24"/>
        </w:rPr>
        <w:t>立案阶段。案件立案阶段的电子卷宗由诉讼服务中心档案窗口专职人员对案件材料进行统一扫描，并引入</w:t>
      </w:r>
      <w:r>
        <w:rPr>
          <w:rFonts w:hint="eastAsia" w:ascii="仿宋" w:hAnsi="仿宋" w:eastAsia="仿宋" w:cs="仿宋"/>
          <w:sz w:val="24"/>
        </w:rPr>
        <w:t>法院办案办公系统</w:t>
      </w:r>
      <w:r>
        <w:rPr>
          <w:rFonts w:hint="eastAsia" w:ascii="仿宋" w:hAnsi="仿宋" w:eastAsia="仿宋" w:cs="仿宋"/>
          <w:bCs/>
          <w:sz w:val="24"/>
        </w:rPr>
        <w:t>；立案人员对电子卷宗质量和完整性负责，案件受理庭室在接收案件时如发现电子卷宗材料质量和完整性不合要求的应予退回。</w:t>
      </w:r>
    </w:p>
    <w:p>
      <w:pPr>
        <w:numPr>
          <w:ilvl w:val="0"/>
          <w:numId w:val="2"/>
        </w:numPr>
        <w:spacing w:line="360" w:lineRule="auto"/>
        <w:ind w:firstLine="480" w:firstLineChars="200"/>
        <w:rPr>
          <w:rFonts w:ascii="仿宋" w:hAnsi="仿宋" w:eastAsia="仿宋" w:cs="仿宋"/>
          <w:bCs/>
          <w:sz w:val="24"/>
        </w:rPr>
      </w:pPr>
      <w:r>
        <w:rPr>
          <w:rFonts w:hint="eastAsia" w:ascii="仿宋" w:hAnsi="仿宋" w:eastAsia="仿宋" w:cs="仿宋"/>
          <w:bCs/>
          <w:sz w:val="24"/>
        </w:rPr>
        <w:t>审理阶段。案件流转至业务庭室后，在案件审理过程中至报结前，对随案产生的纸质材料进行扫描，并编目对应引入</w:t>
      </w:r>
      <w:r>
        <w:rPr>
          <w:rFonts w:hint="eastAsia" w:ascii="仿宋" w:hAnsi="仿宋" w:eastAsia="仿宋" w:cs="仿宋"/>
          <w:sz w:val="24"/>
        </w:rPr>
        <w:t>法院办案办公系统</w:t>
      </w:r>
      <w:r>
        <w:rPr>
          <w:rFonts w:hint="eastAsia" w:ascii="仿宋" w:hAnsi="仿宋" w:eastAsia="仿宋" w:cs="仿宋"/>
          <w:bCs/>
          <w:sz w:val="24"/>
        </w:rPr>
        <w:t>。转交至随案扫描人员集中扫描的，需做好材料交接登记（需提交目录及各条目需扫描的页数、系原件或复印件等信息），完成后通知办案人员领取纸质卷宗材料，并做好签收登记。一般需当天完成。</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3）归档阶段。档案室在接收归档案卷时，由随案扫描人员核对电子卷宗与纸质卷宗，比对页数、目录、相对应的内容等，符合形式要求的，予以装订封皮归档；不符合要求的，予以退回。</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4）归档后阶段。归档后收集到的材料，如送达回证、发票等，由档案室指定扫描人员补扫并引入系统。</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3、数字化加工质量要求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3.1拆卷流程</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拆卷是指将档案拆线，形成散页，便于扫描的过程。该过程相关要求如下：</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3.1.1检查案卷的完整性，是否有缺页、漏页、错编现象，正、副卷标注是否正确。拆卷时应注意保护档案不受损害。</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3.1.2将案卷内页逐一分开，对特殊页（如双面有页码，需做合页）做出标识提醒扫描人员注意。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3.1.3注明每卷案卷（包括正副卷）的页数及其他的特殊情况。</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3.2扫描流程</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扫描是指对档案散页进行快速扫描，形成影像文件的过程。该过程相关要求如下：</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3.2.1根据数据交换规则设置扫描影像的输出存放位置。</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3.2.2对于封面、内页、手写诉状或是发票等各类不同证据材料，需用不同的比例或是扫描方法进行扫描。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3.2.3将扫描页数和拆卷人所注明的页数核对，确保不能重扫、漏扫、多扫，同时要确保案卷的清晰度。</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3.2.4区分同一案卷中的扫描件和非扫描件，其中普发性文件区分的原则是：无关的、重份的文件要剔除，有正式件的文件不扫描原稿，附着在文件上的处理单等小纸片需扫描。诉讼档案案卷中的内容均需扫描。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3.2.5页面为黑白两色，且字迹清晰，不带插图的档案，通常采用黑白二值模式扫描；页面为黑白两色，但字迹清晰度差或带有插图的档案，以及页面为多色文字的档案，采用灰度模式扫描；页面中有红头、印章或插有黑白、彩色照片及彩色插图的档案，尽量采用全彩模式进行扫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3.2.6在保证影像质量的前提下，以尽量减小存储容量为准则。</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3.2.7采用不低于300DPI的分辨率进行扫描，扫描形成文件以JPG格式存储（影像保持原有文件格式，不作任何格式处理）。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3.2.8用每份文件对应的唯一档号来命名其扫描形成的影像文件。多页文件可采用该档号建立相应文件夹，按页码顺序对影像文件命名。</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3.3影像处理流程</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影像处理是指对扫描的影像文件进行修整，提高扫描文件的质量的过程。该过程相关要求如下：</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3.3.1处理过程中应遵循在不影响可懂度的前提下展现档案原貌的原则。</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3.3.2对影响图像质量的杂质如黑点、黑线、黑框及黑边等应进行去污处理。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3.3.3对案卷中未编码的页面进行合页处理，确保扫描好的影像页数与原案卷页数一致。</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3.3.4扫描图像的排列顺序与档案原件不一致时，应及时进行调整。</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3.3.5对出现倾斜的图像进行纠偏处理，要求倾斜度小于1度（以标题所在水平线为准）。对方向不正确的图像应进行旋转还原，以符合阅读习惯。</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3.3.6扫描的页面内容居中显示，不可出现明显偏左或偏右的现象，正文内容、页眉、页脚、反面印章、附件、手写注释等信息完整；图像内容与原件完全对应，不得出现内容残缺或将旁边页面信息扫入本页的现象。</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3.3.7采用彩色模式扫描的图像应进行裁边处理，去除多余的白边，以缩小图像文件的容量。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3.3.8扫描图像字迹清晰、颜色恰当，不宜过浅和过深，并且不得出现字迹笔画残缺或字迹笔画叠合而影响阅读的情况，即使档案原件存在</w:t>
      </w:r>
      <w:r>
        <w:rPr>
          <w:rFonts w:hint="eastAsia" w:ascii="仿宋" w:hAnsi="仿宋" w:eastAsia="仿宋" w:cs="仿宋"/>
          <w:kern w:val="0"/>
          <w:sz w:val="24"/>
          <w:lang w:eastAsia="zh-CN"/>
        </w:rPr>
        <w:t>锈斑</w:t>
      </w:r>
      <w:r>
        <w:rPr>
          <w:rFonts w:hint="eastAsia" w:ascii="仿宋" w:hAnsi="仿宋" w:eastAsia="仿宋" w:cs="仿宋"/>
          <w:kern w:val="0"/>
          <w:sz w:val="24"/>
        </w:rPr>
        <w:t>变质、颜色过浅或深浅不一致，也应保证扫描图像可读。</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3.4索引流程</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索引是指根据案卷卷皮信息和案卷内容，对所扫描的影像文件建立索引的过程。该流程相关要求如下：</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3.4.1索引对应的“卷面信息”、“卷内目录”、“备考表”等相关信息，建立档案目录数据库。</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3.4.2检查全案卷有否缺页，少页，无法看清楚的影像，如有必须通知扫描人员重新扫描，确保全案卷的页数和案卷目录信息完全一致。</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3.4.3如发现原目录有少编、错编现象，就按实际页码编写卷内目录，以卷内目录的页码内容和电子影像页码内容一致为标准，并登记在册备查。</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3.4.4索引必须针对同一影像包，形成两份索引文件，以便在数据交换时进行索引比对，保证数据索引的正确性。</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3.4.5 将索引完成的案卷上传至法院</w:t>
      </w:r>
      <w:r>
        <w:rPr>
          <w:rFonts w:hint="eastAsia" w:ascii="仿宋" w:hAnsi="仿宋" w:eastAsia="仿宋" w:cs="仿宋"/>
          <w:sz w:val="24"/>
        </w:rPr>
        <w:t>办案办公系统</w:t>
      </w:r>
      <w:r>
        <w:rPr>
          <w:rFonts w:hint="eastAsia" w:ascii="仿宋" w:hAnsi="仿宋" w:eastAsia="仿宋" w:cs="仿宋"/>
          <w:kern w:val="0"/>
          <w:sz w:val="24"/>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3.5质检流程</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质检是指对建立索引的影像文件进行全面统一检查，确保质量的过程。该过程相关要求如下：</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3.5.1检查电子影像的页数与原始案卷是否一致。</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3.5.2检查索引人员录入的“卷面信息”、“卷内目录”、“备考表”是否正确。</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3.5.3检查电子影像是否清晰。</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3.5.4检查目录与对应影像的挂接是否正确。</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3.6装订流程</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装订是指将扫描加工完成质检的案卷重新装订，并加盖电子化印章的过程。该过程相关要求如下：</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3.6.1对已完成扫描、索引、质检工序的案卷进行重新装订。</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3.6.2重新装订的案卷，必须检查案卷内的页数是否完整，有无顺序混乱，正反颠倒等现象，并加以整理。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3.6.3按原装订的孔重新将案卷装订，以左边和下边对齐为标准。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3.6.4对重新装订的案卷粘上封条并盖章。</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3.6.5装订材料应满足档案长期保管的需要。</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3.6.6案卷装订后应使用有数字化处理标识的封条加封。</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4、电子卷宗同步生成加工流程要求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流程方案需详细完备，具由科学性、严谨性、安全性、规范性。涉及有审判材料收录清点、目录建库、卷宗扫描、图像处理、图像质检、数据分类挂接、数据上传、归档材料装订等工作。</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4.1审判材料收录清点</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项目管理人员逐页清点并登记书记员送来的立案材料，同时做好系统录入和记录表交接。</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4.2二维码生成</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对每份送来的材料进行整理，生成二维码处理方便使用。</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4.3卷宗扫描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（1）扫描方式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根据卷宗幅面大小和纸张状况，选择高速扫描仪或平板扫描仪。其中大幅面卷宗可采用大幅面数码平台，也可以采用小幅面扫描后的图像拼接方式处理。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（2）扫描质量要求：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①扫描时做到不缺页、不重页、图像内容完整。</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②卷宗扫描时不可折角、遮字，不得有非卷宗的杂物，如头发、纸屑等。</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③扫描后的影像做到清晰、不失真、完整、不影响图像的利用效果。</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④扫描模式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采用彩色模式进行扫描。扫描分辨率彩色300dpi格式。图像文件格式随案扫描的相关要求进行保存。</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（3）文件目录结构和命名方式：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材料接收后，分类建立文件夹，在案号文件夹内再根据材料分类建立子文件夹，每个材料子文件夹内存放扫描文件。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4.4图像处理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应对扫描后的图像根据实际情况进行逐页纠偏、去污、图像拼接、裁边处理和排列顺序调整，保证图像符合正常的阅读习惯。图像偏度不得大于1度，原件倾斜不用处理。图像拼接处信息要完整，不能缺少任何信息。</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（1）纠偏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对出现偏斜的图像应进行纠偏处理，图像偏度不得大于1度，图像拼接处信息要完整，不能缺少任何信息。</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（2）裁边处理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 采用彩色模式扫描的图像应进行裁边处理，去除图像外多余白边，以有效缩小图像文件的容量，节省存储空间。</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4.5图像质检</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按卷宗扫描的质量要求对扫描生成的图像文件逐页进行检查，发现漏扫的要及时补扫，对不符合质量要求的图像，需重新扫描后进行替换。</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4.6数据分类挂接</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针对于不同的卷宗文件类别，将文件扫描挂接进相对应的案号目录下，确保每个卷宗材料均归属于正确的案号下。</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4.7数据上传</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将确认无误后的电子卷宗数据分类上传至法院系统，确保卷宗能够即时、有效的呈现给办案人及当事人。</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4.8影像卷与实体卷的交接</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随案人员需将上传完毕后的材料跟实体归档的材料进行质检、比对，准确无误后归还给法院相关档案人员，入库。</w:t>
      </w:r>
    </w:p>
    <w:p>
      <w:pPr>
        <w:pStyle w:val="2"/>
        <w:rPr>
          <w:rFonts w:ascii="仿宋" w:eastAsia="仿宋" w:cs="仿宋"/>
          <w:sz w:val="24"/>
          <w:szCs w:val="24"/>
        </w:rPr>
      </w:pPr>
      <w:bookmarkStart w:id="41" w:name="_Toc41925375"/>
      <w:r>
        <w:rPr>
          <w:rFonts w:hint="eastAsia" w:ascii="仿宋" w:eastAsia="仿宋" w:cs="仿宋"/>
          <w:sz w:val="24"/>
          <w:szCs w:val="24"/>
        </w:rPr>
        <w:t>四、验收要求</w:t>
      </w:r>
      <w:bookmarkEnd w:id="41"/>
      <w:r>
        <w:rPr>
          <w:rFonts w:hint="eastAsia" w:ascii="仿宋" w:eastAsia="仿宋" w:cs="仿宋"/>
          <w:sz w:val="24"/>
          <w:szCs w:val="24"/>
        </w:rPr>
        <w:t>及验收细则</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（一）验收要求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1、验收包括对电子档案及档案原件两者的验收。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2、必须制定严格的质量控制方案，对加工的数据进行自检，自检达标的数据才能递交杭州市临平区人民法院验收。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档案原件验收必须逐卷清点，按档案数量、文件状况、卷内文件页数与顺序、装订要求等进行检查，如发现档案丢失、损坏、圈划或涂改等将追究法律责任；顺序错误、装订不符要求、卷间文件颠倒等作为差错，需要重新调整。</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4、完成所有数字化扫描加工任务一个月后，由双方共同进行验收，验收通过以双方签署项目验收单为准。</w:t>
      </w:r>
    </w:p>
    <w:p>
      <w:pPr>
        <w:spacing w:line="360" w:lineRule="auto"/>
        <w:ind w:firstLine="480" w:firstLineChars="200"/>
        <w:rPr>
          <w:rFonts w:ascii="仿宋" w:hAnsi="仿宋" w:eastAsia="仿宋" w:cs="仿宋"/>
          <w:sz w:val="24"/>
        </w:rPr>
      </w:pPr>
      <w:r>
        <w:rPr>
          <w:rFonts w:hint="eastAsia" w:ascii="仿宋" w:hAnsi="仿宋" w:eastAsia="仿宋" w:cs="仿宋"/>
          <w:sz w:val="24"/>
        </w:rPr>
        <w:t>（二）验收细则：</w:t>
      </w:r>
    </w:p>
    <w:p>
      <w:pPr>
        <w:spacing w:line="360" w:lineRule="auto"/>
        <w:ind w:firstLine="480" w:firstLineChars="200"/>
        <w:rPr>
          <w:rFonts w:ascii="仿宋" w:hAnsi="仿宋" w:eastAsia="仿宋" w:cs="仿宋"/>
          <w:sz w:val="24"/>
        </w:rPr>
      </w:pPr>
      <w:r>
        <w:rPr>
          <w:rFonts w:hint="eastAsia" w:ascii="仿宋" w:hAnsi="仿宋" w:eastAsia="仿宋" w:cs="仿宋"/>
          <w:sz w:val="24"/>
        </w:rPr>
        <w:t>1、影像、字迹清晰、无错扫、无漏扫、顺序正确。</w:t>
      </w:r>
    </w:p>
    <w:p>
      <w:pPr>
        <w:spacing w:line="360" w:lineRule="auto"/>
        <w:ind w:firstLine="480" w:firstLineChars="200"/>
        <w:rPr>
          <w:rFonts w:ascii="仿宋" w:hAnsi="仿宋" w:eastAsia="仿宋" w:cs="仿宋"/>
          <w:sz w:val="24"/>
        </w:rPr>
      </w:pPr>
      <w:r>
        <w:rPr>
          <w:rFonts w:hint="eastAsia" w:ascii="仿宋" w:hAnsi="仿宋" w:eastAsia="仿宋" w:cs="仿宋"/>
          <w:sz w:val="24"/>
        </w:rPr>
        <w:t>2、A3以下文档：全文字：</w:t>
      </w:r>
      <w:r>
        <w:rPr>
          <w:rFonts w:ascii="仿宋" w:hAnsi="仿宋" w:eastAsia="仿宋" w:cs="仿宋"/>
          <w:sz w:val="24"/>
        </w:rPr>
        <w:t>300dpi</w:t>
      </w:r>
      <w:r>
        <w:rPr>
          <w:rFonts w:hint="eastAsia" w:ascii="仿宋" w:hAnsi="仿宋" w:eastAsia="仿宋" w:cs="仿宋"/>
          <w:sz w:val="24"/>
        </w:rPr>
        <w:t>全彩，JPG格式，倾斜不超过±2度。</w:t>
      </w:r>
    </w:p>
    <w:p>
      <w:pPr>
        <w:spacing w:line="360" w:lineRule="auto"/>
        <w:ind w:firstLine="480" w:firstLineChars="200"/>
        <w:rPr>
          <w:rFonts w:ascii="仿宋" w:hAnsi="仿宋" w:eastAsia="仿宋" w:cs="仿宋"/>
          <w:sz w:val="24"/>
        </w:rPr>
      </w:pPr>
      <w:r>
        <w:rPr>
          <w:rFonts w:hint="eastAsia" w:ascii="仿宋" w:hAnsi="仿宋" w:eastAsia="仿宋" w:cs="仿宋"/>
          <w:sz w:val="24"/>
        </w:rPr>
        <w:t>3、尽量保持纸质档案影像与原件的一致性和原样性。</w:t>
      </w:r>
    </w:p>
    <w:p>
      <w:pPr>
        <w:spacing w:line="360" w:lineRule="auto"/>
        <w:ind w:firstLine="480" w:firstLineChars="200"/>
        <w:rPr>
          <w:rFonts w:ascii="仿宋" w:hAnsi="仿宋" w:eastAsia="仿宋" w:cs="仿宋"/>
          <w:sz w:val="24"/>
        </w:rPr>
      </w:pPr>
      <w:r>
        <w:rPr>
          <w:rFonts w:hint="eastAsia" w:ascii="仿宋" w:hAnsi="仿宋" w:eastAsia="仿宋" w:cs="仿宋"/>
          <w:sz w:val="24"/>
        </w:rPr>
        <w:t>4、影像文件一律文字正面朝上。</w:t>
      </w:r>
    </w:p>
    <w:p>
      <w:pPr>
        <w:spacing w:line="360" w:lineRule="auto"/>
        <w:ind w:firstLine="480" w:firstLineChars="200"/>
        <w:rPr>
          <w:rFonts w:ascii="仿宋" w:hAnsi="仿宋" w:eastAsia="仿宋" w:cs="仿宋"/>
          <w:sz w:val="24"/>
        </w:rPr>
      </w:pPr>
      <w:r>
        <w:rPr>
          <w:rFonts w:hint="eastAsia" w:ascii="仿宋" w:hAnsi="仿宋" w:eastAsia="仿宋" w:cs="仿宋"/>
          <w:sz w:val="24"/>
        </w:rPr>
        <w:t>5．遇到少量漏编页码时（有文件，无编号），将该页码与前页或后页合并成一张影像扫描。</w:t>
      </w:r>
    </w:p>
    <w:p>
      <w:pPr>
        <w:pStyle w:val="2"/>
        <w:rPr>
          <w:rFonts w:ascii="仿宋" w:eastAsia="仿宋" w:cs="仿宋"/>
          <w:sz w:val="24"/>
          <w:szCs w:val="24"/>
        </w:rPr>
      </w:pPr>
      <w:r>
        <w:rPr>
          <w:rFonts w:hint="eastAsia" w:ascii="仿宋" w:eastAsia="仿宋" w:cs="仿宋"/>
          <w:sz w:val="24"/>
          <w:szCs w:val="24"/>
        </w:rPr>
        <w:t>五、考核要求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杭州市临平区人民法院对中标服务商服务质量进行客观评估，具体考核办法如下：</w:t>
      </w:r>
    </w:p>
    <w:p>
      <w:pPr>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1.遵守廉政制度情况（10分）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与法院相关人员保持正常业务关系，按照有关法律法规和程序规定开展业务，严格执行项目廉政管理规定，不得以任何方式向法院人员或其他相关人员行贿、给予不当利益。</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投标单位有违反前项义务行为的，本考核不得分，造成其他损失的，按照相关规定予以赔偿。</w:t>
      </w:r>
    </w:p>
    <w:p>
      <w:pPr>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2.遵守管理制度情况（15分）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遵守法院工作纪律（包括作息、挂工作牌、办公、网络安全要求等纪律）、保密制度等，服从法院管理（7分）；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执行日常理性检查制度、巡检制度（5分）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公司内部有效管理和监督（3分）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临平区人民法院对人员的岗位考勤等情况进行随机抽查。</w:t>
      </w:r>
    </w:p>
    <w:p>
      <w:pPr>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3.服务质量（45分）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全面履行合同规定的义务，扫描工作人员稳定性，不得随意更换人员（25分）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响应及时，问题处理及时（20分）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公司工作人员因服务质量问题被投诉3次以上并查证属实的，扣除该公司当月服务费的10%。</w:t>
      </w:r>
    </w:p>
    <w:p>
      <w:pPr>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4.服务水平（30分）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运维人员素质、资质符合合同要求（7分）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能及时发现问题（10分）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技术文档及时齐全（3分）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运维记录及时齐全（10分）</w:t>
      </w:r>
    </w:p>
    <w:p>
      <w:pPr>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5.责任事故</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由于公司工作人员不尽责、操作不当等原因，造成系统运行故障的，视情况严重程度，扣除该公司当月服务费的10%，造成数据丢失、影响庭审等严重责任事故或者失泄密的，扣除全年服务费的10%-50%，后果特别严重的，扣除全年服务费，并提前终止服务合同。</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考核时根据本章规定打分，考核最终得分在85分以上的，不扣款；75-84分的，扣考核期间合同金额的3%；65-74分的，扣考核期间合同金额的6%；64分以下的，扣考核期间合同金额的10%（造成重大责任事故的不受上述限制），以上分值均包括本数。</w:t>
      </w:r>
    </w:p>
    <w:p>
      <w:pPr>
        <w:pStyle w:val="2"/>
        <w:rPr>
          <w:rFonts w:ascii="仿宋" w:eastAsia="仿宋" w:cs="仿宋"/>
          <w:sz w:val="24"/>
          <w:szCs w:val="24"/>
        </w:rPr>
      </w:pPr>
      <w:r>
        <w:rPr>
          <w:rFonts w:hint="eastAsia" w:ascii="仿宋" w:eastAsia="仿宋" w:cs="仿宋"/>
          <w:sz w:val="24"/>
          <w:szCs w:val="24"/>
        </w:rPr>
        <w:t>六、安全保密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1、签订并严格落实安全保密协议书，保证档案资料的安全保密性，做到绝对不外泄任何信息。</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2、提供组成扫描加工服务中心的组织机构表（包括多少管理人员及多少操作人员等）。</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3、所有进入加工场所的工作人员实行挂牌制度。杜绝工作人员对档案及档案信息的私自复制行为。</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4、本项目制作的数字化产品的所有权归杭州市临平区人民法院所有，在未经其同意、授权的情况下，不得擅自将产品转让给第三方使用及用于样本展示，否则将承担一切经济和法律责任。</w:t>
      </w:r>
    </w:p>
    <w:p>
      <w:pPr>
        <w:pStyle w:val="24"/>
        <w:ind w:firstLine="480" w:firstLineChars="200"/>
        <w:rPr>
          <w:rFonts w:ascii="仿宋" w:hAnsi="仿宋" w:eastAsia="仿宋" w:cs="仿宋"/>
          <w:szCs w:val="24"/>
        </w:rPr>
      </w:pPr>
      <w:r>
        <w:rPr>
          <w:rFonts w:hint="eastAsia" w:ascii="仿宋" w:hAnsi="仿宋" w:eastAsia="仿宋" w:cs="仿宋"/>
          <w:szCs w:val="24"/>
        </w:rPr>
        <w:t>5、进行数据移交时，工作站上的数据必须在杭州市临平区人民法院工作人员的现场监督下销毁，同时移交该批次数字化加工的监管记录。</w:t>
      </w:r>
    </w:p>
    <w:p>
      <w:pPr>
        <w:pStyle w:val="2"/>
        <w:rPr>
          <w:rFonts w:ascii="仿宋" w:eastAsia="仿宋" w:cs="仿宋"/>
          <w:sz w:val="24"/>
          <w:szCs w:val="24"/>
        </w:rPr>
      </w:pPr>
      <w:r>
        <w:rPr>
          <w:rFonts w:hint="eastAsia" w:ascii="仿宋" w:eastAsia="仿宋" w:cs="仿宋"/>
          <w:sz w:val="24"/>
          <w:szCs w:val="24"/>
        </w:rPr>
        <w:t>七、服务期</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历史公安案卷、</w:t>
      </w:r>
      <w:r>
        <w:rPr>
          <w:rFonts w:hint="eastAsia" w:ascii="仿宋" w:hAnsi="仿宋" w:eastAsia="仿宋" w:cs="仿宋"/>
          <w:kern w:val="0"/>
          <w:sz w:val="24"/>
        </w:rPr>
        <w:t>新增诉讼档案电子卷宗随案扫描，归档案卷补充材料扫描，服务期为</w:t>
      </w:r>
      <w:r>
        <w:rPr>
          <w:rFonts w:hint="eastAsia" w:ascii="仿宋" w:hAnsi="仿宋" w:eastAsia="仿宋" w:cs="仿宋"/>
          <w:color w:val="000000"/>
          <w:sz w:val="24"/>
        </w:rPr>
        <w:t>自合同签订之日</w:t>
      </w:r>
      <w:r>
        <w:rPr>
          <w:rFonts w:hint="eastAsia" w:ascii="仿宋" w:hAnsi="仿宋" w:eastAsia="仿宋" w:cs="仿宋"/>
          <w:kern w:val="0"/>
          <w:sz w:val="24"/>
        </w:rPr>
        <w:t>起一年</w:t>
      </w:r>
      <w:r>
        <w:rPr>
          <w:rFonts w:hint="eastAsia" w:ascii="仿宋" w:hAnsi="仿宋" w:eastAsia="仿宋" w:cs="仿宋"/>
          <w:sz w:val="24"/>
        </w:rPr>
        <w:t>，中标人应制定合理的项目进度计划及按期完成保证措施，确保招标项目保质保量按期完成。</w:t>
      </w:r>
    </w:p>
    <w:p>
      <w:pPr>
        <w:pStyle w:val="2"/>
        <w:rPr>
          <w:rFonts w:ascii="仿宋" w:eastAsia="仿宋" w:cs="仿宋"/>
          <w:sz w:val="24"/>
          <w:szCs w:val="24"/>
        </w:rPr>
      </w:pPr>
      <w:r>
        <w:rPr>
          <w:rFonts w:hint="eastAsia" w:ascii="仿宋" w:eastAsia="仿宋" w:cs="仿宋"/>
          <w:sz w:val="24"/>
          <w:szCs w:val="24"/>
        </w:rPr>
        <w:t>八、验收要求</w:t>
      </w:r>
    </w:p>
    <w:p>
      <w:pPr>
        <w:tabs>
          <w:tab w:val="left" w:pos="540"/>
        </w:tabs>
        <w:autoSpaceDE w:val="0"/>
        <w:autoSpaceDN w:val="0"/>
        <w:spacing w:line="360" w:lineRule="auto"/>
        <w:ind w:firstLine="480" w:firstLineChars="200"/>
        <w:jc w:val="left"/>
        <w:textAlignment w:val="baseline"/>
        <w:rPr>
          <w:rFonts w:ascii="仿宋" w:hAnsi="仿宋" w:eastAsia="仿宋" w:cs="仿宋"/>
          <w:bCs/>
          <w:kern w:val="0"/>
          <w:sz w:val="24"/>
        </w:rPr>
      </w:pPr>
      <w:r>
        <w:rPr>
          <w:rFonts w:hint="eastAsia" w:ascii="仿宋" w:hAnsi="仿宋" w:eastAsia="仿宋" w:cs="仿宋"/>
          <w:bCs/>
          <w:kern w:val="0"/>
          <w:sz w:val="24"/>
        </w:rPr>
        <w:t>验收标准：最终成果应符合招标文件、投标单位承诺及有关规定的要求，档案电子化工作以档案数据导入杭州市临平区人民法院指定系统。</w:t>
      </w:r>
    </w:p>
    <w:p>
      <w:pPr>
        <w:pStyle w:val="2"/>
        <w:rPr>
          <w:rFonts w:ascii="仿宋" w:eastAsia="仿宋" w:cs="仿宋"/>
          <w:sz w:val="24"/>
          <w:szCs w:val="24"/>
        </w:rPr>
      </w:pPr>
      <w:r>
        <w:rPr>
          <w:rFonts w:hint="eastAsia" w:ascii="仿宋" w:eastAsia="仿宋" w:cs="仿宋"/>
          <w:sz w:val="24"/>
          <w:szCs w:val="24"/>
        </w:rPr>
        <w:t xml:space="preserve">九、费用支付 </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支付方式：合同签订后支付合同总价的50%作为预付款，服务期结束后进行项目验收，验收完毕后根据项目单价和实际扫描数量、操作人员考勤等情况支付合同尾款，验收扣款在尾款支付时予以清算。</w:t>
      </w:r>
    </w:p>
    <w:p>
      <w:pPr>
        <w:widowControl/>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在签订合同时，中标方明确表示无需预付款或者主动要求降低预付款比例的，采购方可不适用前述规定。</w:t>
      </w:r>
    </w:p>
    <w:p>
      <w:pPr>
        <w:pStyle w:val="2"/>
        <w:rPr>
          <w:rFonts w:ascii="仿宋" w:eastAsia="仿宋" w:cs="仿宋"/>
          <w:sz w:val="24"/>
          <w:szCs w:val="24"/>
        </w:rPr>
      </w:pPr>
      <w:r>
        <w:rPr>
          <w:rFonts w:hint="eastAsia" w:ascii="仿宋" w:eastAsia="仿宋" w:cs="仿宋"/>
          <w:sz w:val="24"/>
          <w:szCs w:val="24"/>
        </w:rPr>
        <w:t>十、其他事项</w:t>
      </w:r>
    </w:p>
    <w:p>
      <w:pPr>
        <w:widowControl/>
        <w:spacing w:line="360" w:lineRule="auto"/>
        <w:ind w:firstLine="480" w:firstLineChars="200"/>
        <w:jc w:val="left"/>
        <w:rPr>
          <w:rFonts w:ascii="仿宋" w:hAnsi="仿宋" w:eastAsia="仿宋" w:cs="仿宋"/>
          <w:bCs/>
          <w:kern w:val="0"/>
          <w:sz w:val="24"/>
        </w:rPr>
      </w:pPr>
      <w:r>
        <w:rPr>
          <w:rFonts w:hint="eastAsia" w:ascii="仿宋" w:hAnsi="仿宋" w:eastAsia="仿宋" w:cs="仿宋"/>
          <w:bCs/>
          <w:kern w:val="0"/>
          <w:sz w:val="24"/>
        </w:rPr>
        <w:t>1、以上事项未尽事宜，根据《档案著录规则》（DA/T18）、最高院《人民法院纸质档案数字化技术标准》、省高院《浙江法院电子卷宗随案同步生成及深度利用技术标准（试行）》、《电子诉讼档案著录规则》、浙江省人民高级法院的电子档案管理系统及其他相关行业标准的要求执行。</w:t>
      </w:r>
    </w:p>
    <w:p>
      <w:pPr>
        <w:tabs>
          <w:tab w:val="left" w:pos="540"/>
        </w:tabs>
        <w:autoSpaceDE w:val="0"/>
        <w:autoSpaceDN w:val="0"/>
        <w:spacing w:line="360" w:lineRule="auto"/>
        <w:ind w:firstLine="480" w:firstLineChars="200"/>
        <w:jc w:val="left"/>
        <w:textAlignment w:val="baseline"/>
        <w:rPr>
          <w:rFonts w:ascii="仿宋" w:hAnsi="仿宋" w:eastAsia="仿宋" w:cs="仿宋"/>
          <w:sz w:val="24"/>
        </w:rPr>
      </w:pPr>
      <w:r>
        <w:rPr>
          <w:rFonts w:hint="eastAsia" w:ascii="仿宋" w:hAnsi="仿宋" w:eastAsia="仿宋" w:cs="仿宋"/>
          <w:bCs/>
          <w:kern w:val="0"/>
          <w:sz w:val="24"/>
        </w:rPr>
        <w:t>2、项目地点：杭州市临平区人民法院。</w:t>
      </w:r>
    </w:p>
    <w:p>
      <w:pPr>
        <w:rPr>
          <w:rFonts w:ascii="仿宋" w:hAnsi="仿宋" w:eastAsia="仿宋" w:cs="仿宋"/>
          <w:sz w:val="24"/>
        </w:rPr>
      </w:pPr>
    </w:p>
    <w:p>
      <w:pPr>
        <w:rPr>
          <w:rFonts w:ascii="仿宋" w:hAnsi="仿宋" w:eastAsia="仿宋" w:cs="仿宋"/>
          <w:sz w:val="24"/>
        </w:rPr>
      </w:pPr>
    </w:p>
    <w:bookmarkEnd w:id="29"/>
    <w:bookmarkEnd w:id="30"/>
    <w:bookmarkEnd w:id="31"/>
    <w:bookmarkEnd w:id="32"/>
    <w:bookmarkEnd w:id="33"/>
    <w:bookmarkEnd w:id="34"/>
    <w:bookmarkEnd w:id="35"/>
    <w:bookmarkEnd w:id="36"/>
    <w:bookmarkEnd w:id="37"/>
    <w:bookmarkEnd w:id="38"/>
    <w:bookmarkEnd w:id="39"/>
    <w:bookmarkEnd w:id="40"/>
    <w:p>
      <w:pPr>
        <w:jc w:val="left"/>
        <w:rPr>
          <w:rFonts w:ascii="仿宋" w:hAnsi="仿宋" w:eastAsia="仿宋" w:cs="仿宋"/>
          <w:b/>
          <w:sz w:val="24"/>
        </w:rPr>
      </w:pPr>
      <w:r>
        <w:rPr>
          <w:rFonts w:hint="eastAsia" w:ascii="仿宋" w:hAnsi="仿宋" w:eastAsia="仿宋" w:cs="仿宋"/>
          <w:b/>
          <w:sz w:val="24"/>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2" w:name="_Toc184314427"/>
      <w:bookmarkEnd w:id="42"/>
      <w:bookmarkStart w:id="43" w:name="_Toc184310313"/>
      <w:bookmarkEnd w:id="43"/>
      <w:bookmarkStart w:id="44" w:name="_Toc184314410"/>
      <w:bookmarkEnd w:id="44"/>
      <w:bookmarkStart w:id="45" w:name="_Toc184312114"/>
      <w:bookmarkEnd w:id="45"/>
      <w:bookmarkStart w:id="46" w:name="_Toc184313305"/>
      <w:bookmarkEnd w:id="46"/>
      <w:bookmarkStart w:id="47" w:name="_Toc184314450"/>
      <w:bookmarkEnd w:id="47"/>
      <w:bookmarkStart w:id="48" w:name="_Toc184310283"/>
      <w:bookmarkEnd w:id="48"/>
      <w:bookmarkStart w:id="49" w:name="_Toc184313278"/>
      <w:bookmarkEnd w:id="49"/>
      <w:bookmarkStart w:id="50" w:name="_Toc184310330"/>
      <w:bookmarkEnd w:id="50"/>
      <w:bookmarkStart w:id="51" w:name="_Toc184314421"/>
      <w:bookmarkEnd w:id="51"/>
      <w:bookmarkStart w:id="52" w:name="_Toc184314448"/>
      <w:bookmarkEnd w:id="52"/>
      <w:bookmarkStart w:id="53" w:name="_Toc184313276"/>
      <w:bookmarkEnd w:id="53"/>
      <w:bookmarkStart w:id="54" w:name="_Toc184314446"/>
      <w:bookmarkEnd w:id="54"/>
      <w:bookmarkStart w:id="55" w:name="_Toc184314455"/>
      <w:bookmarkEnd w:id="55"/>
      <w:bookmarkStart w:id="56" w:name="_Toc184313303"/>
      <w:bookmarkEnd w:id="56"/>
      <w:bookmarkStart w:id="57" w:name="_Toc184314464"/>
      <w:bookmarkEnd w:id="57"/>
      <w:bookmarkStart w:id="58" w:name="_Toc184308036"/>
      <w:bookmarkEnd w:id="58"/>
      <w:bookmarkStart w:id="59" w:name="_Toc184313289"/>
      <w:bookmarkEnd w:id="59"/>
      <w:bookmarkStart w:id="60" w:name="_Toc184310298"/>
      <w:bookmarkEnd w:id="60"/>
      <w:bookmarkStart w:id="61" w:name="_Toc184312131"/>
      <w:bookmarkEnd w:id="61"/>
      <w:bookmarkStart w:id="62" w:name="_Toc184314437"/>
      <w:bookmarkEnd w:id="62"/>
      <w:bookmarkStart w:id="63" w:name="_Toc184308073"/>
      <w:bookmarkEnd w:id="63"/>
      <w:bookmarkStart w:id="64" w:name="_Toc184308058"/>
      <w:bookmarkEnd w:id="64"/>
      <w:bookmarkStart w:id="65" w:name="_Toc184313297"/>
      <w:bookmarkEnd w:id="65"/>
      <w:bookmarkStart w:id="66" w:name="_Toc184314472"/>
      <w:bookmarkEnd w:id="66"/>
      <w:bookmarkStart w:id="67" w:name="_Toc184310280"/>
      <w:bookmarkEnd w:id="67"/>
      <w:bookmarkStart w:id="68" w:name="_Toc184308077"/>
      <w:bookmarkEnd w:id="68"/>
      <w:bookmarkStart w:id="69" w:name="_Toc184308080"/>
      <w:bookmarkEnd w:id="69"/>
      <w:bookmarkStart w:id="70" w:name="_Toc184313240"/>
      <w:bookmarkEnd w:id="70"/>
      <w:bookmarkStart w:id="71" w:name="_Toc184313279"/>
      <w:bookmarkEnd w:id="71"/>
      <w:bookmarkStart w:id="72" w:name="_Toc184313252"/>
      <w:bookmarkEnd w:id="72"/>
      <w:bookmarkStart w:id="73" w:name="_Toc184313307"/>
      <w:bookmarkEnd w:id="73"/>
      <w:bookmarkStart w:id="74" w:name="_Toc184313288"/>
      <w:bookmarkEnd w:id="74"/>
      <w:bookmarkStart w:id="75" w:name="_Toc184308068"/>
      <w:bookmarkEnd w:id="75"/>
      <w:bookmarkStart w:id="76" w:name="_Toc184310307"/>
      <w:bookmarkEnd w:id="76"/>
      <w:bookmarkStart w:id="77" w:name="_Toc184314456"/>
      <w:bookmarkEnd w:id="77"/>
      <w:bookmarkStart w:id="78" w:name="_Toc184310343"/>
      <w:bookmarkEnd w:id="78"/>
      <w:bookmarkStart w:id="79" w:name="_Toc184312080"/>
      <w:bookmarkEnd w:id="79"/>
      <w:bookmarkStart w:id="80" w:name="_Toc184310296"/>
      <w:bookmarkEnd w:id="80"/>
      <w:bookmarkStart w:id="81" w:name="_Toc184310299"/>
      <w:bookmarkEnd w:id="81"/>
      <w:bookmarkStart w:id="82" w:name="_Toc184308076"/>
      <w:bookmarkEnd w:id="82"/>
      <w:bookmarkStart w:id="83" w:name="_Toc184313269"/>
      <w:bookmarkEnd w:id="83"/>
      <w:bookmarkStart w:id="84" w:name="_Toc184308098"/>
      <w:bookmarkEnd w:id="84"/>
      <w:bookmarkStart w:id="85" w:name="_Toc184314465"/>
      <w:bookmarkEnd w:id="85"/>
      <w:bookmarkStart w:id="86" w:name="_Toc184310304"/>
      <w:bookmarkEnd w:id="86"/>
      <w:bookmarkStart w:id="87" w:name="_Toc184312126"/>
      <w:bookmarkEnd w:id="87"/>
      <w:bookmarkStart w:id="88" w:name="_Toc184313286"/>
      <w:bookmarkEnd w:id="88"/>
      <w:bookmarkStart w:id="89" w:name="_Toc184313242"/>
      <w:bookmarkEnd w:id="89"/>
      <w:bookmarkStart w:id="90" w:name="_Toc184313247"/>
      <w:bookmarkEnd w:id="90"/>
      <w:bookmarkStart w:id="91" w:name="_Toc184313290"/>
      <w:bookmarkEnd w:id="91"/>
      <w:bookmarkStart w:id="92" w:name="_Toc184313249"/>
      <w:bookmarkEnd w:id="92"/>
      <w:bookmarkStart w:id="93" w:name="_Toc184308104"/>
      <w:bookmarkEnd w:id="93"/>
      <w:bookmarkStart w:id="94" w:name="_Toc184312118"/>
      <w:bookmarkEnd w:id="94"/>
      <w:bookmarkStart w:id="95" w:name="_Toc184313293"/>
      <w:bookmarkEnd w:id="95"/>
      <w:bookmarkStart w:id="96" w:name="_Toc184314414"/>
      <w:bookmarkEnd w:id="96"/>
      <w:bookmarkStart w:id="97" w:name="_Toc184308046"/>
      <w:bookmarkEnd w:id="97"/>
      <w:bookmarkStart w:id="98" w:name="_Toc184313280"/>
      <w:bookmarkEnd w:id="98"/>
      <w:bookmarkStart w:id="99" w:name="_Toc184310310"/>
      <w:bookmarkEnd w:id="99"/>
      <w:bookmarkStart w:id="100" w:name="_Toc184312117"/>
      <w:bookmarkEnd w:id="100"/>
      <w:bookmarkStart w:id="101" w:name="_Toc184312133"/>
      <w:bookmarkEnd w:id="101"/>
      <w:bookmarkStart w:id="102" w:name="_Toc184312090"/>
      <w:bookmarkEnd w:id="102"/>
      <w:bookmarkStart w:id="103" w:name="_Toc184313253"/>
      <w:bookmarkEnd w:id="103"/>
      <w:bookmarkStart w:id="104" w:name="_Toc184310338"/>
      <w:bookmarkEnd w:id="104"/>
      <w:bookmarkStart w:id="105" w:name="_Toc184310334"/>
      <w:bookmarkEnd w:id="105"/>
      <w:bookmarkStart w:id="106" w:name="_Toc184312103"/>
      <w:bookmarkEnd w:id="106"/>
      <w:bookmarkStart w:id="107" w:name="_Toc184310293"/>
      <w:bookmarkEnd w:id="107"/>
      <w:bookmarkStart w:id="108" w:name="_Toc184312115"/>
      <w:bookmarkEnd w:id="108"/>
      <w:bookmarkStart w:id="109" w:name="_Toc184308045"/>
      <w:bookmarkEnd w:id="109"/>
      <w:bookmarkStart w:id="110" w:name="_Toc184310320"/>
      <w:bookmarkEnd w:id="110"/>
      <w:bookmarkStart w:id="111" w:name="_Toc184310292"/>
      <w:bookmarkEnd w:id="111"/>
      <w:bookmarkStart w:id="112" w:name="_Toc184312070"/>
      <w:bookmarkEnd w:id="112"/>
      <w:bookmarkStart w:id="113" w:name="_Toc184312087"/>
      <w:bookmarkEnd w:id="113"/>
      <w:bookmarkStart w:id="114" w:name="_Toc184308052"/>
      <w:bookmarkEnd w:id="114"/>
      <w:bookmarkStart w:id="115" w:name="_Toc184314429"/>
      <w:bookmarkEnd w:id="115"/>
      <w:bookmarkStart w:id="116" w:name="_Toc184308063"/>
      <w:bookmarkEnd w:id="116"/>
      <w:bookmarkStart w:id="117" w:name="_Toc184314422"/>
      <w:bookmarkEnd w:id="117"/>
      <w:bookmarkStart w:id="118" w:name="_Toc184314466"/>
      <w:bookmarkEnd w:id="118"/>
      <w:bookmarkStart w:id="119" w:name="_Toc184313255"/>
      <w:bookmarkEnd w:id="119"/>
      <w:bookmarkStart w:id="120" w:name="_Toc184310336"/>
      <w:bookmarkEnd w:id="120"/>
      <w:bookmarkStart w:id="121" w:name="_Toc184313309"/>
      <w:bookmarkEnd w:id="121"/>
      <w:bookmarkStart w:id="122" w:name="_Toc184312107"/>
      <w:bookmarkEnd w:id="122"/>
      <w:bookmarkStart w:id="123" w:name="_Toc184312116"/>
      <w:bookmarkEnd w:id="123"/>
      <w:bookmarkStart w:id="124" w:name="_Toc184310286"/>
      <w:bookmarkEnd w:id="124"/>
      <w:bookmarkStart w:id="125" w:name="_Toc184313302"/>
      <w:bookmarkEnd w:id="125"/>
      <w:bookmarkStart w:id="126" w:name="_Toc184308050"/>
      <w:bookmarkEnd w:id="126"/>
      <w:bookmarkStart w:id="127" w:name="_Toc184310281"/>
      <w:bookmarkEnd w:id="127"/>
      <w:bookmarkStart w:id="128" w:name="_Toc184314428"/>
      <w:bookmarkEnd w:id="128"/>
      <w:bookmarkStart w:id="129" w:name="_Toc184310308"/>
      <w:bookmarkEnd w:id="129"/>
      <w:bookmarkStart w:id="130" w:name="_Toc184310294"/>
      <w:bookmarkEnd w:id="130"/>
      <w:bookmarkStart w:id="131" w:name="_Toc184308093"/>
      <w:bookmarkEnd w:id="131"/>
      <w:bookmarkStart w:id="132" w:name="_Toc184313296"/>
      <w:bookmarkEnd w:id="132"/>
      <w:bookmarkStart w:id="133" w:name="_Toc184310332"/>
      <w:bookmarkEnd w:id="133"/>
      <w:bookmarkStart w:id="134" w:name="_Toc184313268"/>
      <w:bookmarkEnd w:id="134"/>
      <w:bookmarkStart w:id="135" w:name="_Toc184308082"/>
      <w:bookmarkEnd w:id="135"/>
      <w:bookmarkStart w:id="136" w:name="_Toc184312132"/>
      <w:bookmarkEnd w:id="136"/>
      <w:bookmarkStart w:id="137" w:name="_Toc184312101"/>
      <w:bookmarkEnd w:id="137"/>
      <w:bookmarkStart w:id="138" w:name="_Toc184308100"/>
      <w:bookmarkEnd w:id="138"/>
      <w:bookmarkStart w:id="139" w:name="_Toc184314426"/>
      <w:bookmarkEnd w:id="139"/>
      <w:bookmarkStart w:id="140" w:name="_Toc184314423"/>
      <w:bookmarkEnd w:id="140"/>
      <w:bookmarkStart w:id="141" w:name="_Toc184314413"/>
      <w:bookmarkEnd w:id="141"/>
      <w:bookmarkStart w:id="142" w:name="_Toc184313275"/>
      <w:bookmarkEnd w:id="142"/>
      <w:bookmarkStart w:id="143" w:name="_Toc184314460"/>
      <w:bookmarkEnd w:id="143"/>
      <w:bookmarkStart w:id="144" w:name="_Toc184308074"/>
      <w:bookmarkEnd w:id="144"/>
      <w:bookmarkStart w:id="145" w:name="_Toc184312083"/>
      <w:bookmarkEnd w:id="145"/>
      <w:bookmarkStart w:id="146" w:name="_Toc184313283"/>
      <w:bookmarkEnd w:id="146"/>
      <w:bookmarkStart w:id="147" w:name="_Toc184314430"/>
      <w:bookmarkEnd w:id="147"/>
      <w:bookmarkStart w:id="148" w:name="_Toc184314471"/>
      <w:bookmarkEnd w:id="148"/>
      <w:bookmarkStart w:id="149" w:name="_Toc184312105"/>
      <w:bookmarkEnd w:id="149"/>
      <w:bookmarkStart w:id="150" w:name="_Toc184313284"/>
      <w:bookmarkEnd w:id="150"/>
      <w:bookmarkStart w:id="151" w:name="_Toc184314420"/>
      <w:bookmarkEnd w:id="151"/>
      <w:bookmarkStart w:id="152" w:name="_Toc184310272"/>
      <w:bookmarkEnd w:id="152"/>
      <w:bookmarkStart w:id="153" w:name="_Toc184313271"/>
      <w:bookmarkEnd w:id="153"/>
      <w:bookmarkStart w:id="154" w:name="_Toc184310285"/>
      <w:bookmarkEnd w:id="154"/>
      <w:bookmarkStart w:id="155" w:name="_Toc184312074"/>
      <w:bookmarkEnd w:id="155"/>
      <w:bookmarkStart w:id="156" w:name="_Toc184314457"/>
      <w:bookmarkEnd w:id="156"/>
      <w:bookmarkStart w:id="157" w:name="_Toc184310316"/>
      <w:bookmarkEnd w:id="157"/>
      <w:bookmarkStart w:id="158" w:name="_Toc184308095"/>
      <w:bookmarkEnd w:id="158"/>
      <w:bookmarkStart w:id="159" w:name="_Toc184312078"/>
      <w:bookmarkEnd w:id="159"/>
      <w:bookmarkStart w:id="160" w:name="_Toc184312110"/>
      <w:bookmarkEnd w:id="160"/>
      <w:bookmarkStart w:id="161" w:name="_Toc184308039"/>
      <w:bookmarkEnd w:id="161"/>
      <w:bookmarkStart w:id="162" w:name="_Toc184308078"/>
      <w:bookmarkEnd w:id="162"/>
      <w:bookmarkStart w:id="163" w:name="_Toc184308053"/>
      <w:bookmarkEnd w:id="163"/>
      <w:bookmarkStart w:id="164" w:name="_Toc184313277"/>
      <w:bookmarkEnd w:id="164"/>
      <w:bookmarkStart w:id="165" w:name="_Toc184308086"/>
      <w:bookmarkEnd w:id="165"/>
      <w:bookmarkStart w:id="166" w:name="_Toc184313256"/>
      <w:bookmarkEnd w:id="166"/>
      <w:bookmarkStart w:id="167" w:name="_Toc184310324"/>
      <w:bookmarkEnd w:id="167"/>
      <w:bookmarkStart w:id="168" w:name="_Toc184314432"/>
      <w:bookmarkEnd w:id="168"/>
      <w:bookmarkStart w:id="169" w:name="_Toc184314476"/>
      <w:bookmarkEnd w:id="169"/>
      <w:bookmarkStart w:id="170" w:name="_Toc184310287"/>
      <w:bookmarkEnd w:id="170"/>
      <w:bookmarkStart w:id="171" w:name="_Toc184313264"/>
      <w:bookmarkEnd w:id="171"/>
      <w:bookmarkStart w:id="172" w:name="_Toc184310328"/>
      <w:bookmarkEnd w:id="172"/>
      <w:bookmarkStart w:id="173" w:name="_Toc184312100"/>
      <w:bookmarkEnd w:id="173"/>
      <w:bookmarkStart w:id="174" w:name="_Toc184312095"/>
      <w:bookmarkEnd w:id="174"/>
      <w:bookmarkStart w:id="175" w:name="_Toc184313301"/>
      <w:bookmarkEnd w:id="175"/>
      <w:bookmarkStart w:id="176" w:name="_Toc184308044"/>
      <w:bookmarkEnd w:id="176"/>
      <w:bookmarkStart w:id="177" w:name="_Toc184310318"/>
      <w:bookmarkEnd w:id="177"/>
      <w:bookmarkStart w:id="178" w:name="_Toc184312089"/>
      <w:bookmarkEnd w:id="178"/>
      <w:bookmarkStart w:id="179" w:name="_Toc184308041"/>
      <w:bookmarkEnd w:id="179"/>
      <w:bookmarkStart w:id="180" w:name="_Toc184310295"/>
      <w:bookmarkEnd w:id="180"/>
      <w:bookmarkStart w:id="181" w:name="_Toc184310339"/>
      <w:bookmarkEnd w:id="181"/>
      <w:bookmarkStart w:id="182" w:name="_Toc184310297"/>
      <w:bookmarkEnd w:id="182"/>
      <w:bookmarkStart w:id="183" w:name="_Toc184313265"/>
      <w:bookmarkEnd w:id="183"/>
      <w:bookmarkStart w:id="184" w:name="_Toc184310314"/>
      <w:bookmarkEnd w:id="184"/>
      <w:bookmarkStart w:id="185" w:name="_Toc184314462"/>
      <w:bookmarkEnd w:id="185"/>
      <w:bookmarkStart w:id="186" w:name="_Toc184310319"/>
      <w:bookmarkEnd w:id="186"/>
      <w:bookmarkStart w:id="187" w:name="_Toc184313246"/>
      <w:bookmarkEnd w:id="187"/>
      <w:bookmarkStart w:id="188" w:name="_Toc184310300"/>
      <w:bookmarkEnd w:id="188"/>
      <w:bookmarkStart w:id="189" w:name="_Toc184312073"/>
      <w:bookmarkEnd w:id="189"/>
      <w:bookmarkStart w:id="190" w:name="_Toc184313243"/>
      <w:bookmarkEnd w:id="190"/>
      <w:bookmarkStart w:id="191" w:name="_Toc184314411"/>
      <w:bookmarkEnd w:id="191"/>
      <w:bookmarkStart w:id="192" w:name="_Toc184314445"/>
      <w:bookmarkEnd w:id="192"/>
      <w:bookmarkStart w:id="193" w:name="_Toc184310311"/>
      <w:bookmarkEnd w:id="193"/>
      <w:bookmarkStart w:id="194" w:name="_Toc184310284"/>
      <w:bookmarkEnd w:id="194"/>
      <w:bookmarkStart w:id="195" w:name="_Toc184310312"/>
      <w:bookmarkEnd w:id="195"/>
      <w:bookmarkStart w:id="196" w:name="_Toc184308066"/>
      <w:bookmarkEnd w:id="196"/>
      <w:bookmarkStart w:id="197" w:name="_Toc184312129"/>
      <w:bookmarkEnd w:id="197"/>
      <w:bookmarkStart w:id="198" w:name="_Toc184313272"/>
      <w:bookmarkEnd w:id="198"/>
      <w:bookmarkStart w:id="199" w:name="_Toc184308108"/>
      <w:bookmarkEnd w:id="199"/>
      <w:bookmarkStart w:id="200" w:name="_Toc184310333"/>
      <w:bookmarkEnd w:id="200"/>
      <w:bookmarkStart w:id="201" w:name="_Toc184314478"/>
      <w:bookmarkEnd w:id="201"/>
      <w:bookmarkStart w:id="202" w:name="_Toc184310344"/>
      <w:bookmarkEnd w:id="202"/>
      <w:bookmarkStart w:id="203" w:name="_Toc184314416"/>
      <w:bookmarkEnd w:id="203"/>
      <w:bookmarkStart w:id="204" w:name="_Toc184314473"/>
      <w:bookmarkEnd w:id="204"/>
      <w:bookmarkStart w:id="205" w:name="_Toc184312093"/>
      <w:bookmarkEnd w:id="205"/>
      <w:bookmarkStart w:id="206" w:name="_Toc184312102"/>
      <w:bookmarkEnd w:id="206"/>
      <w:bookmarkStart w:id="207" w:name="_Toc184313261"/>
      <w:bookmarkEnd w:id="207"/>
      <w:bookmarkStart w:id="208" w:name="_Toc184313260"/>
      <w:bookmarkEnd w:id="208"/>
      <w:bookmarkStart w:id="209" w:name="_Toc184308106"/>
      <w:bookmarkEnd w:id="209"/>
      <w:bookmarkStart w:id="210" w:name="_Toc184308042"/>
      <w:bookmarkEnd w:id="210"/>
      <w:bookmarkStart w:id="211" w:name="_Toc184314442"/>
      <w:bookmarkEnd w:id="211"/>
      <w:bookmarkStart w:id="212" w:name="_Toc184308094"/>
      <w:bookmarkEnd w:id="212"/>
      <w:bookmarkStart w:id="213" w:name="_Toc184313299"/>
      <w:bookmarkEnd w:id="213"/>
      <w:bookmarkStart w:id="214" w:name="_Toc184312071"/>
      <w:bookmarkEnd w:id="214"/>
      <w:bookmarkStart w:id="215" w:name="_Toc184314479"/>
      <w:bookmarkEnd w:id="215"/>
      <w:bookmarkStart w:id="216" w:name="_Toc184310279"/>
      <w:bookmarkEnd w:id="216"/>
      <w:bookmarkStart w:id="217" w:name="_Toc184308096"/>
      <w:bookmarkEnd w:id="217"/>
      <w:bookmarkStart w:id="218" w:name="_Toc184314447"/>
      <w:bookmarkEnd w:id="218"/>
      <w:bookmarkStart w:id="219" w:name="_Toc184313245"/>
      <w:bookmarkEnd w:id="219"/>
      <w:bookmarkStart w:id="220" w:name="_Toc184314440"/>
      <w:bookmarkEnd w:id="220"/>
      <w:bookmarkStart w:id="221" w:name="_Toc184313239"/>
      <w:bookmarkEnd w:id="221"/>
      <w:bookmarkStart w:id="222" w:name="_Toc184313270"/>
      <w:bookmarkEnd w:id="222"/>
      <w:bookmarkStart w:id="223" w:name="_Toc184314418"/>
      <w:bookmarkEnd w:id="223"/>
      <w:bookmarkStart w:id="224" w:name="_Toc184308105"/>
      <w:bookmarkEnd w:id="224"/>
      <w:bookmarkStart w:id="225" w:name="_Toc184312099"/>
      <w:bookmarkEnd w:id="225"/>
      <w:bookmarkStart w:id="226" w:name="_Toc184312081"/>
      <w:bookmarkEnd w:id="226"/>
      <w:bookmarkStart w:id="227" w:name="_Toc184310277"/>
      <w:bookmarkEnd w:id="227"/>
      <w:bookmarkStart w:id="228" w:name="_Toc184308059"/>
      <w:bookmarkEnd w:id="228"/>
      <w:bookmarkStart w:id="229" w:name="_Toc184310274"/>
      <w:bookmarkEnd w:id="229"/>
      <w:bookmarkStart w:id="230" w:name="_Toc184312111"/>
      <w:bookmarkEnd w:id="230"/>
      <w:bookmarkStart w:id="231" w:name="_Toc184312092"/>
      <w:bookmarkEnd w:id="231"/>
      <w:bookmarkStart w:id="232" w:name="_Toc184313266"/>
      <w:bookmarkEnd w:id="232"/>
      <w:bookmarkStart w:id="233" w:name="_Toc184312086"/>
      <w:bookmarkEnd w:id="233"/>
      <w:bookmarkStart w:id="234" w:name="_Toc184312084"/>
      <w:bookmarkEnd w:id="234"/>
      <w:bookmarkStart w:id="235" w:name="_Toc184308067"/>
      <w:bookmarkEnd w:id="235"/>
      <w:bookmarkStart w:id="236" w:name="_Toc184310337"/>
      <w:bookmarkEnd w:id="236"/>
      <w:bookmarkStart w:id="237" w:name="_Toc184312097"/>
      <w:bookmarkEnd w:id="237"/>
      <w:bookmarkStart w:id="238" w:name="_Toc184310341"/>
      <w:bookmarkEnd w:id="238"/>
      <w:bookmarkStart w:id="239" w:name="_Toc184312123"/>
      <w:bookmarkEnd w:id="239"/>
      <w:bookmarkStart w:id="240" w:name="_Toc184314461"/>
      <w:bookmarkEnd w:id="240"/>
      <w:bookmarkStart w:id="241" w:name="_Toc184308061"/>
      <w:bookmarkEnd w:id="241"/>
      <w:bookmarkStart w:id="242" w:name="_Toc184310278"/>
      <w:bookmarkEnd w:id="242"/>
      <w:bookmarkStart w:id="243" w:name="_Toc184314467"/>
      <w:bookmarkEnd w:id="243"/>
      <w:bookmarkStart w:id="244" w:name="_Toc184313300"/>
      <w:bookmarkEnd w:id="244"/>
      <w:bookmarkStart w:id="245" w:name="_Toc184310276"/>
      <w:bookmarkEnd w:id="245"/>
      <w:bookmarkStart w:id="246" w:name="_Toc184314438"/>
      <w:bookmarkEnd w:id="246"/>
      <w:bookmarkStart w:id="247" w:name="_Toc184314480"/>
      <w:bookmarkEnd w:id="247"/>
      <w:bookmarkStart w:id="248" w:name="_Toc184310335"/>
      <w:bookmarkEnd w:id="248"/>
      <w:bookmarkStart w:id="249" w:name="_Toc184308065"/>
      <w:bookmarkEnd w:id="249"/>
      <w:bookmarkStart w:id="250" w:name="_Toc184308091"/>
      <w:bookmarkEnd w:id="250"/>
      <w:bookmarkStart w:id="251" w:name="_Toc184312127"/>
      <w:bookmarkEnd w:id="251"/>
      <w:bookmarkStart w:id="252" w:name="_Toc184314417"/>
      <w:bookmarkEnd w:id="252"/>
      <w:bookmarkStart w:id="253" w:name="_Toc184308071"/>
      <w:bookmarkEnd w:id="253"/>
      <w:bookmarkStart w:id="254" w:name="_Toc184308062"/>
      <w:bookmarkEnd w:id="254"/>
      <w:bookmarkStart w:id="255" w:name="_Toc184313259"/>
      <w:bookmarkEnd w:id="255"/>
      <w:bookmarkStart w:id="256" w:name="_Toc184310342"/>
      <w:bookmarkEnd w:id="256"/>
      <w:bookmarkStart w:id="257" w:name="_Toc184314431"/>
      <w:bookmarkEnd w:id="257"/>
      <w:bookmarkStart w:id="258" w:name="_Toc184314463"/>
      <w:bookmarkEnd w:id="258"/>
      <w:bookmarkStart w:id="259" w:name="_Toc184312106"/>
      <w:bookmarkEnd w:id="259"/>
      <w:bookmarkStart w:id="260" w:name="_Toc184314453"/>
      <w:bookmarkEnd w:id="260"/>
      <w:bookmarkStart w:id="261" w:name="_Toc184313267"/>
      <w:bookmarkEnd w:id="261"/>
      <w:bookmarkStart w:id="262" w:name="_Toc184313254"/>
      <w:bookmarkEnd w:id="262"/>
      <w:bookmarkStart w:id="263" w:name="_Toc184308057"/>
      <w:bookmarkEnd w:id="263"/>
      <w:bookmarkStart w:id="264" w:name="_Toc184314433"/>
      <w:bookmarkEnd w:id="264"/>
      <w:bookmarkStart w:id="265" w:name="_Toc184308089"/>
      <w:bookmarkEnd w:id="265"/>
      <w:bookmarkStart w:id="266" w:name="_Toc184312082"/>
      <w:bookmarkEnd w:id="266"/>
      <w:bookmarkStart w:id="267" w:name="_Toc184308103"/>
      <w:bookmarkEnd w:id="267"/>
      <w:bookmarkStart w:id="268" w:name="_Toc184314434"/>
      <w:bookmarkEnd w:id="268"/>
      <w:bookmarkStart w:id="269" w:name="_Toc184312136"/>
      <w:bookmarkEnd w:id="269"/>
      <w:bookmarkStart w:id="270" w:name="_Toc184313308"/>
      <w:bookmarkEnd w:id="270"/>
      <w:bookmarkStart w:id="271" w:name="_Toc184308038"/>
      <w:bookmarkEnd w:id="271"/>
      <w:bookmarkStart w:id="272" w:name="_Toc184312120"/>
      <w:bookmarkEnd w:id="272"/>
      <w:bookmarkStart w:id="273" w:name="_Toc184312134"/>
      <w:bookmarkEnd w:id="273"/>
      <w:bookmarkStart w:id="274" w:name="_Toc184308084"/>
      <w:bookmarkEnd w:id="274"/>
      <w:bookmarkStart w:id="275" w:name="_Toc184314474"/>
      <w:bookmarkEnd w:id="275"/>
      <w:bookmarkStart w:id="276" w:name="_Toc184308090"/>
      <w:bookmarkEnd w:id="276"/>
      <w:bookmarkStart w:id="277" w:name="_Toc184308083"/>
      <w:bookmarkEnd w:id="277"/>
      <w:bookmarkStart w:id="278" w:name="_Toc184310273"/>
      <w:bookmarkEnd w:id="278"/>
      <w:bookmarkStart w:id="279" w:name="_Toc184314459"/>
      <w:bookmarkEnd w:id="279"/>
      <w:bookmarkStart w:id="280" w:name="_Toc184314477"/>
      <w:bookmarkEnd w:id="280"/>
      <w:bookmarkStart w:id="281" w:name="_Toc184310325"/>
      <w:bookmarkEnd w:id="281"/>
      <w:bookmarkStart w:id="282" w:name="_Toc184314443"/>
      <w:bookmarkEnd w:id="282"/>
      <w:bookmarkStart w:id="283" w:name="_Toc184312109"/>
      <w:bookmarkEnd w:id="283"/>
      <w:bookmarkStart w:id="284" w:name="_Toc184310326"/>
      <w:bookmarkEnd w:id="284"/>
      <w:bookmarkStart w:id="285" w:name="_Toc184310301"/>
      <w:bookmarkEnd w:id="285"/>
      <w:bookmarkStart w:id="286" w:name="_Toc184313310"/>
      <w:bookmarkEnd w:id="286"/>
      <w:bookmarkStart w:id="287" w:name="_Toc184308043"/>
      <w:bookmarkEnd w:id="287"/>
      <w:bookmarkStart w:id="288" w:name="_Toc184308081"/>
      <w:bookmarkEnd w:id="288"/>
      <w:bookmarkStart w:id="289" w:name="_Toc184308087"/>
      <w:bookmarkEnd w:id="289"/>
      <w:bookmarkStart w:id="290" w:name="_Toc184314470"/>
      <w:bookmarkEnd w:id="290"/>
      <w:bookmarkStart w:id="291" w:name="_Toc184313294"/>
      <w:bookmarkEnd w:id="291"/>
      <w:bookmarkStart w:id="292" w:name="_Toc184313257"/>
      <w:bookmarkEnd w:id="292"/>
      <w:bookmarkStart w:id="293" w:name="_Toc184310290"/>
      <w:bookmarkEnd w:id="293"/>
      <w:bookmarkStart w:id="294" w:name="_Toc184310303"/>
      <w:bookmarkEnd w:id="294"/>
      <w:bookmarkStart w:id="295" w:name="_Toc184308064"/>
      <w:bookmarkEnd w:id="295"/>
      <w:bookmarkStart w:id="296" w:name="_Toc184308075"/>
      <w:bookmarkEnd w:id="296"/>
      <w:bookmarkStart w:id="297" w:name="_Toc184310275"/>
      <w:bookmarkEnd w:id="297"/>
      <w:bookmarkStart w:id="298" w:name="_Toc184308040"/>
      <w:bookmarkEnd w:id="298"/>
      <w:bookmarkStart w:id="299" w:name="_Toc184314435"/>
      <w:bookmarkEnd w:id="299"/>
      <w:bookmarkStart w:id="300" w:name="_Toc184308037"/>
      <w:bookmarkEnd w:id="300"/>
      <w:bookmarkStart w:id="301" w:name="_Toc184308048"/>
      <w:bookmarkEnd w:id="301"/>
      <w:bookmarkStart w:id="302" w:name="_Toc184308088"/>
      <w:bookmarkEnd w:id="302"/>
      <w:bookmarkStart w:id="303" w:name="_Toc184312091"/>
      <w:bookmarkEnd w:id="303"/>
      <w:bookmarkStart w:id="304" w:name="_Toc184314458"/>
      <w:bookmarkEnd w:id="304"/>
      <w:bookmarkStart w:id="305" w:name="_Toc184314468"/>
      <w:bookmarkEnd w:id="305"/>
      <w:bookmarkStart w:id="306" w:name="_Toc184308085"/>
      <w:bookmarkEnd w:id="306"/>
      <w:bookmarkStart w:id="307" w:name="_Toc184312094"/>
      <w:bookmarkEnd w:id="307"/>
      <w:bookmarkStart w:id="308" w:name="_Toc184312112"/>
      <w:bookmarkEnd w:id="308"/>
      <w:bookmarkStart w:id="309" w:name="_Toc184312121"/>
      <w:bookmarkEnd w:id="309"/>
      <w:bookmarkStart w:id="310" w:name="_Toc184310317"/>
      <w:bookmarkEnd w:id="310"/>
      <w:bookmarkStart w:id="311" w:name="_Toc184314425"/>
      <w:bookmarkEnd w:id="311"/>
      <w:bookmarkStart w:id="312" w:name="_Toc184314419"/>
      <w:bookmarkEnd w:id="312"/>
      <w:bookmarkStart w:id="313" w:name="_Toc184308055"/>
      <w:bookmarkEnd w:id="313"/>
      <w:bookmarkStart w:id="314" w:name="_Toc184313273"/>
      <w:bookmarkEnd w:id="314"/>
      <w:bookmarkStart w:id="315" w:name="_Toc184314412"/>
      <w:bookmarkEnd w:id="315"/>
      <w:bookmarkStart w:id="316" w:name="_Toc184314439"/>
      <w:bookmarkEnd w:id="316"/>
      <w:bookmarkStart w:id="317" w:name="_Toc184313287"/>
      <w:bookmarkEnd w:id="317"/>
      <w:bookmarkStart w:id="318" w:name="_Toc184314441"/>
      <w:bookmarkEnd w:id="318"/>
      <w:bookmarkStart w:id="319" w:name="_Toc184310305"/>
      <w:bookmarkEnd w:id="319"/>
      <w:bookmarkStart w:id="320" w:name="_Toc184313298"/>
      <w:bookmarkEnd w:id="320"/>
      <w:bookmarkStart w:id="321" w:name="_Toc184312068"/>
      <w:bookmarkEnd w:id="321"/>
      <w:bookmarkStart w:id="322" w:name="_Toc184310291"/>
      <w:bookmarkEnd w:id="322"/>
      <w:bookmarkStart w:id="323" w:name="_Toc184312077"/>
      <w:bookmarkEnd w:id="323"/>
      <w:bookmarkStart w:id="324" w:name="_Toc184310331"/>
      <w:bookmarkEnd w:id="324"/>
      <w:bookmarkStart w:id="325" w:name="_Toc184314469"/>
      <w:bookmarkEnd w:id="325"/>
      <w:bookmarkStart w:id="326" w:name="_Toc184313304"/>
      <w:bookmarkEnd w:id="326"/>
      <w:bookmarkStart w:id="327" w:name="_Toc184312108"/>
      <w:bookmarkEnd w:id="327"/>
      <w:bookmarkStart w:id="328" w:name="_Toc184312119"/>
      <w:bookmarkEnd w:id="328"/>
      <w:bookmarkStart w:id="329" w:name="_Toc184312076"/>
      <w:bookmarkEnd w:id="329"/>
      <w:bookmarkStart w:id="330" w:name="_Toc184308079"/>
      <w:bookmarkEnd w:id="330"/>
      <w:bookmarkStart w:id="331" w:name="_Toc184308101"/>
      <w:bookmarkEnd w:id="331"/>
      <w:bookmarkStart w:id="332" w:name="_Toc184312135"/>
      <w:bookmarkEnd w:id="332"/>
      <w:bookmarkStart w:id="333" w:name="_Toc184308051"/>
      <w:bookmarkEnd w:id="333"/>
      <w:bookmarkStart w:id="334" w:name="_Toc184312122"/>
      <w:bookmarkEnd w:id="334"/>
      <w:bookmarkStart w:id="335" w:name="_Toc184312113"/>
      <w:bookmarkEnd w:id="335"/>
      <w:bookmarkStart w:id="336" w:name="_Toc184308072"/>
      <w:bookmarkEnd w:id="336"/>
      <w:bookmarkStart w:id="337" w:name="_Toc184312104"/>
      <w:bookmarkEnd w:id="337"/>
      <w:bookmarkStart w:id="338" w:name="_Toc184312137"/>
      <w:bookmarkEnd w:id="338"/>
      <w:bookmarkStart w:id="339" w:name="_Toc184314475"/>
      <w:bookmarkEnd w:id="339"/>
      <w:bookmarkStart w:id="340" w:name="_Toc184312130"/>
      <w:bookmarkEnd w:id="340"/>
      <w:bookmarkStart w:id="341" w:name="_Toc184313248"/>
      <w:bookmarkEnd w:id="341"/>
      <w:bookmarkStart w:id="342" w:name="_Toc184308049"/>
      <w:bookmarkEnd w:id="342"/>
      <w:bookmarkStart w:id="343" w:name="_Toc184312096"/>
      <w:bookmarkEnd w:id="343"/>
      <w:bookmarkStart w:id="344" w:name="_Toc184308054"/>
      <w:bookmarkEnd w:id="344"/>
      <w:bookmarkStart w:id="345" w:name="_Toc184313241"/>
      <w:bookmarkEnd w:id="345"/>
      <w:bookmarkStart w:id="346" w:name="_Toc184310282"/>
      <w:bookmarkEnd w:id="346"/>
      <w:bookmarkStart w:id="347" w:name="_Toc184312088"/>
      <w:bookmarkEnd w:id="347"/>
      <w:bookmarkStart w:id="348" w:name="_Toc184308102"/>
      <w:bookmarkEnd w:id="348"/>
      <w:bookmarkStart w:id="349" w:name="_Toc184313281"/>
      <w:bookmarkEnd w:id="349"/>
      <w:bookmarkStart w:id="350" w:name="_Toc184314436"/>
      <w:bookmarkEnd w:id="350"/>
      <w:bookmarkStart w:id="351" w:name="_Toc184308047"/>
      <w:bookmarkEnd w:id="351"/>
      <w:bookmarkStart w:id="352" w:name="_Toc184308056"/>
      <w:bookmarkEnd w:id="352"/>
      <w:bookmarkStart w:id="353" w:name="_Toc184314451"/>
      <w:bookmarkEnd w:id="353"/>
      <w:bookmarkStart w:id="354" w:name="_Toc184310306"/>
      <w:bookmarkEnd w:id="354"/>
      <w:bookmarkStart w:id="355" w:name="_Toc184314424"/>
      <w:bookmarkEnd w:id="355"/>
      <w:bookmarkStart w:id="356" w:name="_Toc184312069"/>
      <w:bookmarkEnd w:id="356"/>
      <w:bookmarkStart w:id="357" w:name="_Toc184310309"/>
      <w:bookmarkEnd w:id="357"/>
      <w:bookmarkStart w:id="358" w:name="_Toc184308107"/>
      <w:bookmarkEnd w:id="358"/>
      <w:bookmarkStart w:id="359" w:name="_Toc184314481"/>
      <w:bookmarkEnd w:id="359"/>
      <w:bookmarkStart w:id="360" w:name="_Toc184312079"/>
      <w:bookmarkEnd w:id="360"/>
      <w:bookmarkStart w:id="361" w:name="_Toc184310289"/>
      <w:bookmarkEnd w:id="361"/>
      <w:bookmarkStart w:id="362" w:name="_Toc184314454"/>
      <w:bookmarkEnd w:id="362"/>
      <w:bookmarkStart w:id="363" w:name="_Toc184312067"/>
      <w:bookmarkEnd w:id="363"/>
      <w:bookmarkStart w:id="364" w:name="_Toc184312124"/>
      <w:bookmarkEnd w:id="364"/>
      <w:bookmarkStart w:id="365" w:name="_Toc184313258"/>
      <w:bookmarkEnd w:id="365"/>
      <w:bookmarkStart w:id="366" w:name="_Toc184313274"/>
      <w:bookmarkEnd w:id="366"/>
      <w:bookmarkStart w:id="367" w:name="_Toc184310315"/>
      <w:bookmarkEnd w:id="367"/>
      <w:bookmarkStart w:id="368" w:name="_Toc184312098"/>
      <w:bookmarkEnd w:id="368"/>
      <w:bookmarkStart w:id="369" w:name="_Toc184308060"/>
      <w:bookmarkEnd w:id="369"/>
      <w:bookmarkStart w:id="370" w:name="_Toc184310323"/>
      <w:bookmarkEnd w:id="370"/>
      <w:bookmarkStart w:id="371" w:name="_Toc184314449"/>
      <w:bookmarkEnd w:id="371"/>
      <w:bookmarkStart w:id="372" w:name="_Toc184308092"/>
      <w:bookmarkEnd w:id="372"/>
      <w:bookmarkStart w:id="373" w:name="_Toc184313306"/>
      <w:bookmarkEnd w:id="373"/>
      <w:bookmarkStart w:id="374" w:name="_Toc184313285"/>
      <w:bookmarkEnd w:id="374"/>
      <w:bookmarkStart w:id="375" w:name="_Toc184308099"/>
      <w:bookmarkEnd w:id="375"/>
      <w:bookmarkStart w:id="376" w:name="_Toc184308097"/>
      <w:bookmarkEnd w:id="376"/>
      <w:bookmarkStart w:id="377" w:name="_Toc184313295"/>
      <w:bookmarkEnd w:id="377"/>
      <w:bookmarkStart w:id="378" w:name="_Toc184313292"/>
      <w:bookmarkEnd w:id="378"/>
      <w:bookmarkStart w:id="379" w:name="_Toc184310329"/>
      <w:bookmarkEnd w:id="379"/>
      <w:bookmarkStart w:id="380" w:name="_Toc184312085"/>
      <w:bookmarkEnd w:id="380"/>
      <w:bookmarkStart w:id="381" w:name="_Toc184310321"/>
      <w:bookmarkEnd w:id="381"/>
      <w:bookmarkStart w:id="382" w:name="_Toc184312125"/>
      <w:bookmarkEnd w:id="382"/>
      <w:bookmarkStart w:id="383" w:name="_Toc184313262"/>
      <w:bookmarkEnd w:id="383"/>
      <w:bookmarkStart w:id="384" w:name="_Toc184310288"/>
      <w:bookmarkEnd w:id="384"/>
      <w:bookmarkStart w:id="385" w:name="_Toc184313250"/>
      <w:bookmarkEnd w:id="385"/>
      <w:bookmarkStart w:id="386" w:name="_Toc184314452"/>
      <w:bookmarkEnd w:id="386"/>
      <w:bookmarkStart w:id="387" w:name="_Toc184312075"/>
      <w:bookmarkEnd w:id="387"/>
      <w:bookmarkStart w:id="388" w:name="_Toc184310327"/>
      <w:bookmarkEnd w:id="388"/>
      <w:bookmarkStart w:id="389" w:name="_Toc184310302"/>
      <w:bookmarkEnd w:id="389"/>
      <w:bookmarkStart w:id="390" w:name="_Toc184312138"/>
      <w:bookmarkEnd w:id="390"/>
      <w:bookmarkStart w:id="391" w:name="_Toc184314415"/>
      <w:bookmarkEnd w:id="391"/>
      <w:bookmarkStart w:id="392" w:name="_Toc184312072"/>
      <w:bookmarkEnd w:id="392"/>
      <w:bookmarkStart w:id="393" w:name="_Toc184312128"/>
      <w:bookmarkEnd w:id="393"/>
      <w:bookmarkStart w:id="394" w:name="_Toc184314482"/>
      <w:bookmarkEnd w:id="394"/>
      <w:bookmarkStart w:id="395" w:name="_Toc184312139"/>
      <w:bookmarkEnd w:id="395"/>
      <w:bookmarkStart w:id="396" w:name="_Toc184313251"/>
      <w:bookmarkEnd w:id="396"/>
      <w:bookmarkStart w:id="397" w:name="_Toc184313291"/>
      <w:bookmarkEnd w:id="397"/>
      <w:bookmarkStart w:id="398" w:name="_Toc184313282"/>
      <w:bookmarkEnd w:id="398"/>
      <w:bookmarkStart w:id="399" w:name="_Toc184308069"/>
      <w:bookmarkEnd w:id="399"/>
      <w:bookmarkStart w:id="400" w:name="_Toc184313244"/>
      <w:bookmarkEnd w:id="400"/>
      <w:bookmarkStart w:id="401" w:name="_Toc184313238"/>
      <w:bookmarkEnd w:id="401"/>
      <w:bookmarkStart w:id="402" w:name="_Toc184310322"/>
      <w:bookmarkEnd w:id="402"/>
      <w:bookmarkStart w:id="403" w:name="_Toc184313263"/>
      <w:bookmarkEnd w:id="403"/>
      <w:bookmarkStart w:id="404" w:name="_Toc184314444"/>
      <w:bookmarkEnd w:id="404"/>
      <w:bookmarkStart w:id="405" w:name="_Toc184310340"/>
      <w:bookmarkEnd w:id="405"/>
      <w:bookmarkStart w:id="406" w:name="_Toc184308070"/>
      <w:bookmarkEnd w:id="40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spacing w:line="360" w:lineRule="auto"/>
        <w:ind w:firstLine="480" w:firstLineChars="200"/>
        <w:rPr>
          <w:rFonts w:ascii="宋体" w:hAnsi="宋体" w:cs="宋体"/>
          <w:sz w:val="24"/>
        </w:rPr>
      </w:pPr>
      <w:r>
        <w:rPr>
          <w:rFonts w:hint="eastAsia" w:ascii="宋体" w:hAnsi="宋体" w:cs="宋体"/>
          <w:sz w:val="24"/>
        </w:rPr>
        <w:t>为公正、公平、科学地选择中标供应商，根据《中华人民共和国政府采购法》等有关法律法规的规定，并结合本项目的实际，制定本办法。</w:t>
      </w:r>
    </w:p>
    <w:p>
      <w:pPr>
        <w:spacing w:beforeLines="50" w:afterLines="50" w:line="360" w:lineRule="auto"/>
        <w:ind w:firstLine="482" w:firstLineChars="200"/>
        <w:rPr>
          <w:rFonts w:ascii="宋体" w:hAnsi="宋体" w:cs="宋体"/>
          <w:b/>
          <w:sz w:val="24"/>
        </w:rPr>
      </w:pPr>
      <w:r>
        <w:rPr>
          <w:rFonts w:hint="eastAsia" w:ascii="宋体" w:hAnsi="宋体" w:cs="宋体"/>
          <w:b/>
          <w:sz w:val="24"/>
        </w:rPr>
        <w:t>一、总则</w:t>
      </w:r>
    </w:p>
    <w:p>
      <w:pPr>
        <w:spacing w:line="360" w:lineRule="auto"/>
        <w:ind w:firstLine="480" w:firstLineChars="200"/>
        <w:rPr>
          <w:rFonts w:ascii="宋体" w:hAnsi="宋体" w:cs="宋体"/>
          <w:sz w:val="24"/>
        </w:rPr>
      </w:pPr>
      <w:r>
        <w:rPr>
          <w:rFonts w:hint="eastAsia" w:ascii="宋体" w:hAnsi="宋体" w:cs="宋体"/>
          <w:sz w:val="24"/>
        </w:rPr>
        <w:t>本次评审采用综合评分法，</w:t>
      </w:r>
      <w:r>
        <w:rPr>
          <w:rFonts w:hint="eastAsia" w:ascii="宋体" w:hAnsi="宋体" w:cs="宋体"/>
          <w:b/>
          <w:sz w:val="24"/>
        </w:rPr>
        <w:t>总分为100分，其中价格分10分、商务技术分90分</w:t>
      </w:r>
      <w:r>
        <w:rPr>
          <w:rFonts w:hint="eastAsia" w:ascii="宋体" w:hAnsi="宋体" w:cs="宋体"/>
          <w:sz w:val="24"/>
        </w:rPr>
        <w:t>。合格投标供应商的评审得分为各项目汇总得分。本项目由采购人授权的评审小组直接确定中标供应商。评分过程中采用四舍五入法，并保留小数2位。</w:t>
      </w:r>
    </w:p>
    <w:p>
      <w:pPr>
        <w:spacing w:line="360" w:lineRule="auto"/>
        <w:ind w:firstLine="480" w:firstLineChars="200"/>
        <w:rPr>
          <w:rFonts w:ascii="宋体" w:hAnsi="宋体" w:cs="宋体"/>
          <w:bCs/>
          <w:sz w:val="24"/>
        </w:rPr>
      </w:pPr>
      <w:r>
        <w:rPr>
          <w:rFonts w:hint="eastAsia" w:ascii="宋体" w:hAnsi="宋体" w:cs="宋体"/>
          <w:bCs/>
          <w:sz w:val="24"/>
        </w:rPr>
        <w:t>各投标供应商最终得分=商务技术分+价格分得分。</w:t>
      </w:r>
    </w:p>
    <w:p>
      <w:pPr>
        <w:spacing w:line="360" w:lineRule="auto"/>
        <w:ind w:firstLine="480" w:firstLineChars="200"/>
        <w:rPr>
          <w:rFonts w:ascii="宋体" w:hAnsi="宋体" w:cs="宋体"/>
          <w:sz w:val="24"/>
        </w:rPr>
      </w:pPr>
      <w:r>
        <w:rPr>
          <w:rFonts w:hint="eastAsia" w:ascii="宋体" w:hAnsi="宋体" w:cs="宋体"/>
          <w:sz w:val="24"/>
        </w:rPr>
        <w:t>评审小组将对实质上投标响应本项目的投标供应商根据其报价、商务资信、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pPr>
        <w:spacing w:beforeLines="50" w:afterLines="50" w:line="360" w:lineRule="auto"/>
        <w:ind w:firstLine="482" w:firstLineChars="200"/>
        <w:rPr>
          <w:rFonts w:ascii="宋体" w:hAnsi="宋体" w:cs="宋体"/>
          <w:b/>
          <w:sz w:val="24"/>
        </w:rPr>
      </w:pPr>
      <w:r>
        <w:rPr>
          <w:rFonts w:hint="eastAsia" w:ascii="宋体" w:hAnsi="宋体" w:cs="宋体"/>
          <w:b/>
          <w:sz w:val="24"/>
        </w:rPr>
        <w:t>二、评审内容及标准</w:t>
      </w:r>
    </w:p>
    <w:p>
      <w:pPr>
        <w:spacing w:line="360" w:lineRule="auto"/>
        <w:ind w:firstLine="482" w:firstLineChars="200"/>
        <w:rPr>
          <w:rFonts w:ascii="宋体" w:hAnsi="宋体" w:cs="宋体"/>
          <w:b/>
          <w:sz w:val="24"/>
        </w:rPr>
      </w:pPr>
      <w:r>
        <w:rPr>
          <w:rFonts w:hint="eastAsia" w:ascii="宋体" w:hAnsi="宋体" w:cs="宋体"/>
          <w:b/>
          <w:sz w:val="24"/>
        </w:rPr>
        <w:t>（1）价格分10分</w:t>
      </w:r>
    </w:p>
    <w:p>
      <w:pPr>
        <w:pStyle w:val="6"/>
        <w:spacing w:line="360" w:lineRule="auto"/>
        <w:rPr>
          <w:rFonts w:cs="宋体"/>
          <w:b/>
          <w:bCs/>
        </w:rPr>
      </w:pPr>
      <w:r>
        <w:rPr>
          <w:rFonts w:hint="eastAsia" w:cs="宋体"/>
          <w:bCs/>
        </w:rPr>
        <w:t>价格分采用低价优先法计算，取所有技术入围投标供应商中最终报价最低的投标报价为评标基准价，其他投标供应商的价格分按照</w:t>
      </w:r>
      <w:r>
        <w:rPr>
          <w:rFonts w:hint="eastAsia" w:cs="宋体"/>
          <w:b/>
          <w:bCs/>
        </w:rPr>
        <w:t>下列公式计算：</w:t>
      </w:r>
    </w:p>
    <w:p>
      <w:pPr>
        <w:pStyle w:val="6"/>
        <w:spacing w:line="360" w:lineRule="auto"/>
        <w:ind w:firstLine="482"/>
        <w:rPr>
          <w:rFonts w:cs="宋体"/>
          <w:b/>
          <w:bCs/>
        </w:rPr>
      </w:pPr>
      <w:r>
        <w:rPr>
          <w:rFonts w:hint="eastAsia" w:cs="宋体"/>
          <w:b/>
          <w:bCs/>
        </w:rPr>
        <w:t>价格分=（评标基准价/最终投标报价）×10%×100</w:t>
      </w:r>
    </w:p>
    <w:p>
      <w:pPr>
        <w:spacing w:line="360" w:lineRule="auto"/>
        <w:ind w:firstLine="472" w:firstLineChars="196"/>
        <w:rPr>
          <w:rFonts w:ascii="宋体" w:hAnsi="宋体" w:cs="宋体"/>
          <w:b/>
          <w:sz w:val="24"/>
        </w:rPr>
      </w:pPr>
      <w:r>
        <w:rPr>
          <w:rFonts w:hint="eastAsia" w:ascii="宋体" w:hAnsi="宋体" w:cs="宋体"/>
          <w:b/>
          <w:sz w:val="24"/>
        </w:rPr>
        <w:t>报价是中标的一个重要因素，但最低报价不是中标的唯一依据。</w:t>
      </w:r>
    </w:p>
    <w:p>
      <w:pPr>
        <w:widowControl/>
        <w:snapToGrid w:val="0"/>
        <w:spacing w:line="360" w:lineRule="auto"/>
        <w:ind w:firstLine="480" w:firstLineChars="200"/>
        <w:rPr>
          <w:rFonts w:ascii="宋体" w:hAnsi="宋体" w:cs="宋体"/>
          <w:b/>
          <w:bCs/>
          <w:sz w:val="24"/>
        </w:rPr>
      </w:pPr>
      <w:r>
        <w:rPr>
          <w:rFonts w:hint="eastAsia" w:ascii="宋体" w:hAnsi="宋体" w:cs="宋体"/>
          <w:sz w:val="24"/>
        </w:rPr>
        <w:t>本项目专门面向中小企业，</w:t>
      </w:r>
      <w:r>
        <w:rPr>
          <w:rFonts w:hint="eastAsia" w:ascii="宋体" w:hAnsi="宋体" w:cs="宋体"/>
          <w:b/>
          <w:bCs/>
          <w:sz w:val="24"/>
        </w:rPr>
        <w:t>对小型或微型企业</w:t>
      </w:r>
      <w:r>
        <w:rPr>
          <w:rFonts w:hint="eastAsia" w:ascii="宋体" w:hAnsi="宋体" w:cs="宋体"/>
          <w:sz w:val="24"/>
        </w:rPr>
        <w:t>的投标报价不予扣除。</w:t>
      </w:r>
    </w:p>
    <w:p>
      <w:pPr>
        <w:pStyle w:val="6"/>
        <w:spacing w:line="360" w:lineRule="auto"/>
        <w:ind w:firstLine="482"/>
        <w:rPr>
          <w:rFonts w:cs="宋体"/>
          <w:b/>
          <w:bCs/>
        </w:rPr>
      </w:pPr>
      <w:r>
        <w:rPr>
          <w:rFonts w:hint="eastAsia" w:cs="宋体"/>
          <w:b/>
          <w:bCs/>
        </w:rPr>
        <w:t>（2）商务技术分90分</w:t>
      </w:r>
    </w:p>
    <w:p>
      <w:pPr>
        <w:tabs>
          <w:tab w:val="left" w:pos="1154"/>
        </w:tabs>
        <w:spacing w:line="360" w:lineRule="auto"/>
        <w:ind w:firstLine="482" w:firstLineChars="200"/>
        <w:rPr>
          <w:rFonts w:ascii="宋体" w:hAnsi="宋体" w:cs="宋体"/>
          <w:sz w:val="24"/>
        </w:rPr>
      </w:pPr>
      <w:r>
        <w:rPr>
          <w:rFonts w:hint="eastAsia" w:ascii="宋体" w:hAnsi="宋体" w:cs="宋体"/>
          <w:b/>
          <w:bCs/>
          <w:sz w:val="24"/>
        </w:rPr>
        <w:t>商务技术分的计算：</w:t>
      </w:r>
      <w:r>
        <w:rPr>
          <w:rFonts w:hint="eastAsia" w:ascii="宋体" w:hAnsi="宋体" w:cs="宋体"/>
          <w:sz w:val="24"/>
        </w:rPr>
        <w:t>商务技术部分得分=评审小组所有成员评分合计数/评审小组人员数；</w:t>
      </w:r>
    </w:p>
    <w:p>
      <w:pPr>
        <w:spacing w:line="360" w:lineRule="auto"/>
        <w:ind w:firstLine="482" w:firstLineChars="200"/>
        <w:rPr>
          <w:rFonts w:ascii="宋体" w:hAnsi="宋体" w:cs="宋体"/>
          <w:b/>
          <w:sz w:val="24"/>
        </w:rPr>
      </w:pPr>
      <w:r>
        <w:rPr>
          <w:rFonts w:hint="eastAsia" w:ascii="宋体" w:hAnsi="宋体" w:cs="宋体"/>
          <w:b/>
          <w:sz w:val="24"/>
        </w:rPr>
        <w:t>附件：评分表（商务技术分，共90分）；</w:t>
      </w:r>
    </w:p>
    <w:tbl>
      <w:tblPr>
        <w:tblStyle w:val="63"/>
        <w:tblpPr w:leftFromText="180" w:rightFromText="180" w:vertAnchor="text" w:horzAnchor="page" w:tblpX="1065" w:tblpY="444"/>
        <w:tblOverlap w:val="never"/>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255"/>
        <w:gridCol w:w="121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trPr>
        <w:tc>
          <w:tcPr>
            <w:tcW w:w="1625" w:type="dxa"/>
            <w:noWrap/>
            <w:vAlign w:val="center"/>
          </w:tcPr>
          <w:p>
            <w:pPr>
              <w:pStyle w:val="33"/>
              <w:snapToGrid w:val="0"/>
              <w:spacing w:line="360" w:lineRule="auto"/>
              <w:jc w:val="center"/>
              <w:rPr>
                <w:rFonts w:hAnsi="宋体" w:cs="宋体"/>
                <w:b/>
                <w:sz w:val="24"/>
                <w:szCs w:val="24"/>
              </w:rPr>
            </w:pPr>
            <w:r>
              <w:rPr>
                <w:rFonts w:hint="eastAsia" w:hAnsi="宋体" w:cs="宋体"/>
                <w:b/>
                <w:sz w:val="24"/>
                <w:szCs w:val="24"/>
              </w:rPr>
              <w:t>序号</w:t>
            </w:r>
          </w:p>
        </w:tc>
        <w:tc>
          <w:tcPr>
            <w:tcW w:w="5255" w:type="dxa"/>
            <w:noWrap/>
            <w:vAlign w:val="center"/>
          </w:tcPr>
          <w:p>
            <w:pPr>
              <w:pStyle w:val="33"/>
              <w:snapToGrid w:val="0"/>
              <w:spacing w:line="360" w:lineRule="auto"/>
              <w:jc w:val="center"/>
              <w:rPr>
                <w:rFonts w:hAnsi="宋体" w:cs="宋体"/>
                <w:b/>
                <w:sz w:val="24"/>
                <w:szCs w:val="24"/>
              </w:rPr>
            </w:pPr>
            <w:r>
              <w:rPr>
                <w:rFonts w:hint="eastAsia" w:hAnsi="宋体" w:cs="宋体"/>
                <w:b/>
                <w:sz w:val="24"/>
                <w:szCs w:val="24"/>
              </w:rPr>
              <w:t>评审内容及评分细则</w:t>
            </w:r>
          </w:p>
        </w:tc>
        <w:tc>
          <w:tcPr>
            <w:tcW w:w="1218" w:type="dxa"/>
            <w:noWrap/>
            <w:vAlign w:val="center"/>
          </w:tcPr>
          <w:p>
            <w:pPr>
              <w:pStyle w:val="33"/>
              <w:snapToGrid w:val="0"/>
              <w:spacing w:line="360" w:lineRule="auto"/>
              <w:jc w:val="center"/>
              <w:rPr>
                <w:rFonts w:hAnsi="宋体" w:cs="宋体"/>
                <w:b/>
                <w:sz w:val="24"/>
                <w:szCs w:val="24"/>
              </w:rPr>
            </w:pPr>
            <w:r>
              <w:rPr>
                <w:rFonts w:hint="eastAsia" w:hAnsi="宋体" w:cs="宋体"/>
                <w:b/>
                <w:sz w:val="24"/>
                <w:szCs w:val="24"/>
              </w:rPr>
              <w:t>分值</w:t>
            </w:r>
          </w:p>
        </w:tc>
        <w:tc>
          <w:tcPr>
            <w:tcW w:w="1368" w:type="dxa"/>
            <w:noWrap/>
            <w:vAlign w:val="center"/>
          </w:tcPr>
          <w:p>
            <w:pPr>
              <w:pStyle w:val="33"/>
              <w:snapToGrid w:val="0"/>
              <w:spacing w:line="360" w:lineRule="auto"/>
              <w:jc w:val="center"/>
              <w:rPr>
                <w:rFonts w:hint="eastAsia" w:hAnsi="宋体" w:cs="宋体"/>
                <w:b/>
                <w:sz w:val="24"/>
                <w:szCs w:val="24"/>
              </w:rPr>
            </w:pPr>
            <w:r>
              <w:rPr>
                <w:rFonts w:hint="eastAsia" w:ascii="宋体" w:hAnsi="宋体" w:cs="宋体"/>
                <w:bCs/>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25" w:type="dxa"/>
            <w:vMerge w:val="restart"/>
            <w:noWrap/>
            <w:vAlign w:val="center"/>
          </w:tcPr>
          <w:p>
            <w:pPr>
              <w:pStyle w:val="33"/>
              <w:widowControl/>
              <w:snapToGrid w:val="0"/>
              <w:spacing w:line="360" w:lineRule="auto"/>
              <w:jc w:val="center"/>
              <w:rPr>
                <w:rFonts w:hAnsi="宋体" w:cs="宋体"/>
                <w:b/>
                <w:bCs/>
                <w:sz w:val="24"/>
                <w:szCs w:val="24"/>
              </w:rPr>
            </w:pPr>
            <w:r>
              <w:rPr>
                <w:rFonts w:hint="eastAsia" w:hAnsi="宋体" w:cs="宋体"/>
                <w:b/>
                <w:bCs/>
                <w:sz w:val="24"/>
                <w:szCs w:val="24"/>
              </w:rPr>
              <w:t>一、投标人综合实力</w:t>
            </w:r>
          </w:p>
        </w:tc>
        <w:tc>
          <w:tcPr>
            <w:tcW w:w="5255" w:type="dxa"/>
            <w:noWrap/>
            <w:vAlign w:val="center"/>
          </w:tcPr>
          <w:p>
            <w:pPr>
              <w:pStyle w:val="33"/>
              <w:spacing w:line="360" w:lineRule="auto"/>
              <w:jc w:val="left"/>
              <w:rPr>
                <w:rFonts w:hAnsi="宋体" w:cs="宋体"/>
                <w:bCs/>
                <w:sz w:val="24"/>
                <w:szCs w:val="24"/>
              </w:rPr>
            </w:pPr>
            <w:r>
              <w:rPr>
                <w:rFonts w:hint="eastAsia" w:hAnsi="宋体" w:cs="宋体"/>
                <w:bCs/>
                <w:sz w:val="24"/>
                <w:szCs w:val="24"/>
              </w:rPr>
              <w:t>（1）投标人具有有效期内的ISO9001质量管理体系认证证书（认证范围包含档案数字化加工或数据处理）得1分，没有不得分；</w:t>
            </w:r>
          </w:p>
          <w:p>
            <w:pPr>
              <w:pStyle w:val="33"/>
              <w:numPr>
                <w:ilvl w:val="0"/>
                <w:numId w:val="3"/>
              </w:numPr>
              <w:spacing w:line="360" w:lineRule="auto"/>
              <w:jc w:val="left"/>
              <w:rPr>
                <w:rFonts w:hAnsi="宋体" w:cs="宋体"/>
                <w:bCs/>
                <w:sz w:val="24"/>
                <w:szCs w:val="24"/>
              </w:rPr>
            </w:pPr>
            <w:r>
              <w:rPr>
                <w:rFonts w:hint="eastAsia" w:hAnsi="宋体" w:cs="宋体"/>
                <w:bCs/>
                <w:sz w:val="24"/>
                <w:szCs w:val="24"/>
              </w:rPr>
              <w:t>投标人具有有效期内的ISO14001环境管理体系认证证书（认证范围包含档案数字化加工或数据处理）得1分，没有不得分；</w:t>
            </w:r>
          </w:p>
          <w:p>
            <w:pPr>
              <w:pStyle w:val="33"/>
              <w:numPr>
                <w:ilvl w:val="0"/>
                <w:numId w:val="4"/>
              </w:numPr>
              <w:spacing w:line="360" w:lineRule="auto"/>
              <w:jc w:val="left"/>
              <w:rPr>
                <w:rFonts w:hAnsi="宋体" w:cs="宋体"/>
                <w:bCs/>
                <w:sz w:val="24"/>
                <w:szCs w:val="24"/>
              </w:rPr>
            </w:pPr>
            <w:r>
              <w:rPr>
                <w:rFonts w:hint="eastAsia" w:hAnsi="宋体" w:cs="宋体"/>
                <w:bCs/>
                <w:sz w:val="24"/>
                <w:szCs w:val="24"/>
              </w:rPr>
              <w:t>投标人具有有效期内的ISO27001信息安全管理体系认证证书（认证范围包含档案数字化加工或数据处理）得1分，没有不得分；</w:t>
            </w:r>
          </w:p>
          <w:p>
            <w:pPr>
              <w:pStyle w:val="33"/>
              <w:numPr>
                <w:ilvl w:val="0"/>
                <w:numId w:val="5"/>
              </w:numPr>
              <w:spacing w:line="360" w:lineRule="auto"/>
              <w:jc w:val="left"/>
              <w:rPr>
                <w:rFonts w:hAnsi="宋体" w:cs="宋体"/>
                <w:bCs/>
                <w:sz w:val="24"/>
                <w:szCs w:val="24"/>
              </w:rPr>
            </w:pPr>
            <w:r>
              <w:rPr>
                <w:rFonts w:hint="eastAsia" w:hAnsi="宋体" w:cs="宋体"/>
                <w:bCs/>
                <w:sz w:val="24"/>
                <w:szCs w:val="24"/>
              </w:rPr>
              <w:t>投标人具有有效期内的GB/T28001职业健康安全管理体系认证证书（认证范围包含档案数字化加工或数据处理）得1分，没有不得分；</w:t>
            </w:r>
          </w:p>
          <w:p>
            <w:pPr>
              <w:pStyle w:val="33"/>
              <w:spacing w:line="360" w:lineRule="auto"/>
              <w:jc w:val="left"/>
              <w:rPr>
                <w:rFonts w:hAnsi="宋体" w:cs="宋体"/>
                <w:bCs/>
                <w:sz w:val="24"/>
                <w:szCs w:val="24"/>
              </w:rPr>
            </w:pPr>
            <w:r>
              <w:rPr>
                <w:rFonts w:hint="eastAsia" w:hAnsi="宋体" w:cs="宋体"/>
                <w:b/>
                <w:sz w:val="24"/>
                <w:szCs w:val="24"/>
              </w:rPr>
              <w:t>（提供认证体系证书及国家认证认可监督管理委员会官网截图证明材料复印件或扫描件并加盖公章，两者缺一单项不得分。）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4分</w:t>
            </w:r>
          </w:p>
        </w:tc>
        <w:tc>
          <w:tcPr>
            <w:tcW w:w="1368" w:type="dxa"/>
            <w:noWrap/>
            <w:vAlign w:val="center"/>
          </w:tcPr>
          <w:p>
            <w:pPr>
              <w:pStyle w:val="33"/>
              <w:spacing w:line="360" w:lineRule="auto"/>
              <w:jc w:val="center"/>
              <w:rPr>
                <w:rFonts w:hint="eastAsia" w:hAnsi="宋体" w:eastAsia="宋体" w:cs="宋体"/>
                <w:bCs/>
                <w:sz w:val="24"/>
                <w:szCs w:val="24"/>
                <w:lang w:val="en-US" w:eastAsia="zh-CN"/>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25" w:type="dxa"/>
            <w:vMerge w:val="continue"/>
            <w:noWrap/>
            <w:vAlign w:val="center"/>
          </w:tcPr>
          <w:p>
            <w:pPr>
              <w:pStyle w:val="33"/>
              <w:adjustRightInd/>
              <w:snapToGrid w:val="0"/>
              <w:spacing w:line="360" w:lineRule="auto"/>
              <w:jc w:val="center"/>
              <w:rPr>
                <w:rFonts w:hAnsi="宋体" w:cs="宋体"/>
                <w:b/>
                <w:bCs/>
                <w:sz w:val="24"/>
                <w:szCs w:val="24"/>
              </w:rPr>
            </w:pPr>
          </w:p>
        </w:tc>
        <w:tc>
          <w:tcPr>
            <w:tcW w:w="5255" w:type="dxa"/>
            <w:noWrap/>
            <w:vAlign w:val="center"/>
          </w:tcPr>
          <w:p>
            <w:pPr>
              <w:spacing w:line="360" w:lineRule="auto"/>
              <w:rPr>
                <w:rFonts w:ascii="宋体" w:hAnsi="宋体" w:cs="宋体"/>
                <w:sz w:val="24"/>
              </w:rPr>
            </w:pPr>
            <w:r>
              <w:rPr>
                <w:rFonts w:hint="eastAsia" w:ascii="宋体" w:hAnsi="宋体" w:cs="宋体"/>
                <w:spacing w:val="4"/>
                <w:sz w:val="24"/>
              </w:rPr>
              <w:t>(5)投标人具有有效期内的档案产品与服务类企业认证证书(档案数</w:t>
            </w:r>
            <w:r>
              <w:rPr>
                <w:rFonts w:hint="eastAsia" w:ascii="宋体" w:hAnsi="宋体" w:cs="宋体"/>
                <w:spacing w:val="15"/>
                <w:sz w:val="24"/>
              </w:rPr>
              <w:t>字化加工服务类),5星（及以上）认证的得1.5分；4星认证的得1分；3</w:t>
            </w:r>
            <w:r>
              <w:rPr>
                <w:rFonts w:hint="eastAsia" w:ascii="宋体" w:hAnsi="宋体" w:cs="宋体"/>
                <w:spacing w:val="14"/>
                <w:sz w:val="24"/>
              </w:rPr>
              <w:t>星(及</w:t>
            </w:r>
            <w:r>
              <w:rPr>
                <w:rFonts w:hint="eastAsia" w:ascii="宋体" w:hAnsi="宋体" w:cs="宋体"/>
                <w:spacing w:val="8"/>
                <w:sz w:val="24"/>
              </w:rPr>
              <w:t>以下)认证或没有的不得分。</w:t>
            </w:r>
          </w:p>
          <w:p>
            <w:pPr>
              <w:spacing w:line="360" w:lineRule="auto"/>
              <w:rPr>
                <w:rFonts w:ascii="宋体" w:hAnsi="宋体" w:cs="宋体"/>
                <w:sz w:val="24"/>
              </w:rPr>
            </w:pPr>
            <w:r>
              <w:rPr>
                <w:rFonts w:hint="eastAsia" w:ascii="宋体" w:hAnsi="宋体" w:cs="宋体"/>
                <w:spacing w:val="3"/>
                <w:sz w:val="24"/>
              </w:rPr>
              <w:t>(6)投标人具有有效期内的</w:t>
            </w:r>
            <w:r>
              <w:rPr>
                <w:rFonts w:hint="eastAsia" w:ascii="宋体" w:hAnsi="宋体" w:cs="宋体"/>
                <w:sz w:val="24"/>
              </w:rPr>
              <w:t>GB</w:t>
            </w:r>
            <w:r>
              <w:rPr>
                <w:rFonts w:hint="eastAsia" w:ascii="宋体" w:hAnsi="宋体" w:cs="宋体"/>
                <w:spacing w:val="3"/>
                <w:sz w:val="24"/>
              </w:rPr>
              <w:t>/T27922-2011售后服务认证证</w:t>
            </w:r>
            <w:r>
              <w:rPr>
                <w:rFonts w:hint="eastAsia" w:ascii="宋体" w:hAnsi="宋体" w:cs="宋体"/>
                <w:spacing w:val="2"/>
                <w:sz w:val="24"/>
              </w:rPr>
              <w:t>书</w:t>
            </w:r>
            <w:r>
              <w:rPr>
                <w:rFonts w:hint="eastAsia" w:ascii="宋体" w:hAnsi="宋体" w:cs="宋体"/>
                <w:spacing w:val="4"/>
                <w:sz w:val="24"/>
              </w:rPr>
              <w:t>(认证范围包含档案数字化或档案数据加工),5星</w:t>
            </w:r>
            <w:r>
              <w:rPr>
                <w:rFonts w:hint="eastAsia" w:ascii="宋体" w:hAnsi="宋体" w:cs="宋体"/>
                <w:spacing w:val="15"/>
                <w:sz w:val="24"/>
              </w:rPr>
              <w:t>（及以上）</w:t>
            </w:r>
            <w:r>
              <w:rPr>
                <w:rFonts w:hint="eastAsia" w:ascii="宋体" w:hAnsi="宋体" w:cs="宋体"/>
                <w:spacing w:val="4"/>
                <w:sz w:val="24"/>
              </w:rPr>
              <w:t>认证的得1.5分；4</w:t>
            </w:r>
            <w:r>
              <w:rPr>
                <w:rFonts w:hint="eastAsia" w:ascii="宋体" w:hAnsi="宋体" w:cs="宋体"/>
                <w:spacing w:val="8"/>
                <w:sz w:val="24"/>
              </w:rPr>
              <w:t>星认证的得1分；3星(及以下)认证或没有的不得分。</w:t>
            </w:r>
          </w:p>
          <w:p>
            <w:pPr>
              <w:pStyle w:val="33"/>
              <w:adjustRightInd/>
              <w:spacing w:line="360" w:lineRule="auto"/>
              <w:jc w:val="left"/>
              <w:rPr>
                <w:rFonts w:hAnsi="宋体" w:cs="宋体"/>
                <w:bCs/>
                <w:sz w:val="24"/>
                <w:szCs w:val="24"/>
              </w:rPr>
            </w:pPr>
            <w:r>
              <w:rPr>
                <w:rFonts w:hint="eastAsia" w:hAnsi="宋体" w:cs="宋体"/>
                <w:b/>
                <w:bCs/>
                <w:spacing w:val="-1"/>
                <w:sz w:val="24"/>
                <w:szCs w:val="24"/>
              </w:rPr>
              <w:t>(提供证书复印件或扫描件并加盖公章，未提供不得分。)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3分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25" w:type="dxa"/>
            <w:vMerge w:val="continue"/>
            <w:noWrap/>
            <w:vAlign w:val="center"/>
          </w:tcPr>
          <w:p>
            <w:pPr>
              <w:pStyle w:val="33"/>
              <w:adjustRightInd/>
              <w:snapToGrid w:val="0"/>
              <w:spacing w:line="360" w:lineRule="auto"/>
              <w:jc w:val="center"/>
              <w:rPr>
                <w:rFonts w:hAnsi="宋体" w:cs="宋体"/>
                <w:b/>
                <w:bCs/>
                <w:sz w:val="24"/>
                <w:szCs w:val="24"/>
              </w:rPr>
            </w:pPr>
          </w:p>
        </w:tc>
        <w:tc>
          <w:tcPr>
            <w:tcW w:w="5255" w:type="dxa"/>
            <w:noWrap/>
            <w:vAlign w:val="center"/>
          </w:tcPr>
          <w:p>
            <w:pPr>
              <w:pStyle w:val="33"/>
              <w:adjustRightInd/>
              <w:spacing w:line="360" w:lineRule="auto"/>
              <w:jc w:val="left"/>
              <w:rPr>
                <w:rFonts w:hAnsi="宋体" w:cs="宋体"/>
                <w:b/>
                <w:bCs/>
                <w:spacing w:val="-1"/>
                <w:sz w:val="24"/>
                <w:szCs w:val="24"/>
              </w:rPr>
            </w:pPr>
            <w:r>
              <w:rPr>
                <w:rFonts w:hint="eastAsia" w:hAnsi="宋体" w:cs="宋体"/>
                <w:spacing w:val="4"/>
                <w:sz w:val="24"/>
                <w:szCs w:val="24"/>
              </w:rPr>
              <w:t>（7）投标人具有有效期内的乙级及以上涉密档案数字化加工资质证书得2分，没有不得分。</w:t>
            </w:r>
            <w:r>
              <w:rPr>
                <w:rFonts w:hint="eastAsia" w:hAnsi="宋体" w:cs="宋体"/>
                <w:b/>
                <w:bCs/>
                <w:spacing w:val="-1"/>
                <w:sz w:val="24"/>
                <w:szCs w:val="24"/>
              </w:rPr>
              <w:t>(提供证书复印件或扫描件并加盖公章，未提供不得分。)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2分</w:t>
            </w:r>
          </w:p>
        </w:tc>
        <w:tc>
          <w:tcPr>
            <w:tcW w:w="1368" w:type="dxa"/>
            <w:noWrap/>
            <w:vAlign w:val="center"/>
          </w:tcPr>
          <w:p>
            <w:pPr>
              <w:pStyle w:val="33"/>
              <w:spacing w:line="360" w:lineRule="auto"/>
              <w:jc w:val="center"/>
              <w:rPr>
                <w:rFonts w:hint="eastAsia" w:hAnsi="宋体" w:eastAsia="宋体" w:cs="宋体"/>
                <w:bCs/>
                <w:sz w:val="24"/>
                <w:szCs w:val="24"/>
                <w:lang w:val="en-US" w:eastAsia="zh-CN"/>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25" w:type="dxa"/>
            <w:vMerge w:val="restart"/>
            <w:noWrap/>
            <w:vAlign w:val="center"/>
          </w:tcPr>
          <w:p>
            <w:pPr>
              <w:pStyle w:val="33"/>
              <w:adjustRightInd/>
              <w:snapToGrid w:val="0"/>
              <w:spacing w:line="360" w:lineRule="auto"/>
              <w:jc w:val="center"/>
              <w:rPr>
                <w:rFonts w:hAnsi="宋体" w:cs="宋体"/>
                <w:b/>
                <w:bCs/>
                <w:sz w:val="24"/>
                <w:szCs w:val="24"/>
              </w:rPr>
            </w:pPr>
            <w:r>
              <w:rPr>
                <w:rFonts w:hint="eastAsia" w:hAnsi="宋体" w:cs="宋体"/>
                <w:b/>
                <w:bCs/>
                <w:sz w:val="24"/>
                <w:szCs w:val="24"/>
              </w:rPr>
              <w:t>二、项目的实施能力</w:t>
            </w:r>
          </w:p>
        </w:tc>
        <w:tc>
          <w:tcPr>
            <w:tcW w:w="5255" w:type="dxa"/>
            <w:noWrap/>
            <w:vAlign w:val="center"/>
          </w:tcPr>
          <w:p>
            <w:pPr>
              <w:pStyle w:val="33"/>
              <w:numPr>
                <w:ilvl w:val="0"/>
                <w:numId w:val="6"/>
              </w:numPr>
              <w:adjustRightInd/>
              <w:spacing w:line="360" w:lineRule="auto"/>
              <w:rPr>
                <w:rFonts w:hAnsi="宋体" w:cs="宋体"/>
                <w:bCs/>
                <w:sz w:val="24"/>
                <w:szCs w:val="24"/>
              </w:rPr>
            </w:pPr>
            <w:r>
              <w:rPr>
                <w:rFonts w:hint="eastAsia" w:hAnsi="宋体" w:cs="宋体"/>
                <w:bCs/>
                <w:sz w:val="24"/>
                <w:szCs w:val="24"/>
              </w:rPr>
              <w:t>项目的项目负责人具备法学专业全日制本科学历的得3分</w:t>
            </w:r>
            <w:r>
              <w:rPr>
                <w:rFonts w:hint="eastAsia" w:hAnsi="宋体" w:cs="宋体"/>
                <w:bCs/>
                <w:sz w:val="24"/>
                <w:szCs w:val="24"/>
                <w:lang w:eastAsia="zh-CN"/>
              </w:rPr>
              <w:t>，</w:t>
            </w:r>
            <w:r>
              <w:rPr>
                <w:rFonts w:hint="eastAsia" w:hAnsi="宋体" w:cs="宋体"/>
                <w:bCs/>
                <w:sz w:val="24"/>
                <w:szCs w:val="24"/>
              </w:rPr>
              <w:t>具有档案管理中级证书的得1分，具有省级保密单位颁发的保密教育培训证书1分。</w:t>
            </w:r>
          </w:p>
          <w:p>
            <w:pPr>
              <w:pStyle w:val="33"/>
              <w:adjustRightInd/>
              <w:spacing w:line="360" w:lineRule="auto"/>
              <w:rPr>
                <w:rFonts w:hAnsi="宋体" w:cs="宋体"/>
                <w:bCs/>
                <w:sz w:val="24"/>
                <w:szCs w:val="24"/>
              </w:rPr>
            </w:pPr>
            <w:r>
              <w:rPr>
                <w:rFonts w:hint="eastAsia" w:hAnsi="宋体" w:cs="宋体"/>
                <w:b/>
                <w:bCs w:val="0"/>
                <w:sz w:val="24"/>
                <w:szCs w:val="24"/>
              </w:rPr>
              <w:t>（提供相关人员证书及社保机构出具的投标人为以上人员缴纳的近6个月社保证明复印件或扫描件并加盖公章，未提供不得分。）</w:t>
            </w:r>
          </w:p>
        </w:tc>
        <w:tc>
          <w:tcPr>
            <w:tcW w:w="1218" w:type="dxa"/>
            <w:noWrap/>
            <w:vAlign w:val="center"/>
          </w:tcPr>
          <w:p>
            <w:pPr>
              <w:pStyle w:val="33"/>
              <w:adjustRightInd/>
              <w:spacing w:line="360" w:lineRule="auto"/>
              <w:jc w:val="center"/>
              <w:rPr>
                <w:rFonts w:hAnsi="宋体" w:cs="宋体"/>
                <w:bCs/>
                <w:sz w:val="24"/>
                <w:szCs w:val="24"/>
              </w:rPr>
            </w:pPr>
            <w:r>
              <w:rPr>
                <w:rFonts w:hint="eastAsia" w:hAnsi="宋体" w:cs="宋体"/>
                <w:bCs/>
                <w:sz w:val="24"/>
                <w:szCs w:val="24"/>
              </w:rPr>
              <w:t>5分</w:t>
            </w:r>
          </w:p>
        </w:tc>
        <w:tc>
          <w:tcPr>
            <w:tcW w:w="1368" w:type="dxa"/>
            <w:noWrap/>
            <w:vAlign w:val="center"/>
          </w:tcPr>
          <w:p>
            <w:pPr>
              <w:pStyle w:val="33"/>
              <w:adjustRightInd/>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25" w:type="dxa"/>
            <w:vMerge w:val="continue"/>
            <w:noWrap/>
            <w:vAlign w:val="center"/>
          </w:tcPr>
          <w:p>
            <w:pPr>
              <w:pStyle w:val="33"/>
              <w:adjustRightInd/>
              <w:snapToGrid w:val="0"/>
              <w:spacing w:line="360" w:lineRule="auto"/>
              <w:jc w:val="center"/>
              <w:rPr>
                <w:rFonts w:hAnsi="宋体" w:cs="宋体"/>
                <w:b/>
                <w:bCs/>
                <w:sz w:val="24"/>
                <w:szCs w:val="24"/>
              </w:rPr>
            </w:pPr>
          </w:p>
        </w:tc>
        <w:tc>
          <w:tcPr>
            <w:tcW w:w="5255" w:type="dxa"/>
            <w:noWrap/>
            <w:vAlign w:val="center"/>
          </w:tcPr>
          <w:p>
            <w:pPr>
              <w:pStyle w:val="33"/>
              <w:adjustRightInd/>
              <w:spacing w:line="360" w:lineRule="auto"/>
              <w:rPr>
                <w:rFonts w:hAnsi="宋体" w:cs="宋体"/>
                <w:bCs/>
                <w:sz w:val="24"/>
                <w:szCs w:val="24"/>
              </w:rPr>
            </w:pPr>
            <w:r>
              <w:rPr>
                <w:rFonts w:hint="eastAsia" w:hAnsi="宋体" w:cs="宋体"/>
                <w:bCs/>
                <w:sz w:val="24"/>
                <w:szCs w:val="24"/>
              </w:rPr>
              <w:t>（2）参与实施本项目的工作人员同时具有“档案管理岗位培训证书“和“安全保密培训证书”，3人及以下不得分，每增加1人得1分，最高得4分。</w:t>
            </w:r>
          </w:p>
          <w:p>
            <w:pPr>
              <w:pStyle w:val="33"/>
              <w:adjustRightInd/>
              <w:spacing w:line="360" w:lineRule="auto"/>
              <w:rPr>
                <w:rFonts w:hAnsi="宋体" w:cs="宋体"/>
                <w:bCs/>
                <w:sz w:val="24"/>
                <w:szCs w:val="24"/>
              </w:rPr>
            </w:pPr>
            <w:r>
              <w:rPr>
                <w:rFonts w:hint="eastAsia" w:hAnsi="宋体" w:cs="宋体"/>
                <w:b/>
                <w:bCs w:val="0"/>
                <w:sz w:val="24"/>
                <w:szCs w:val="24"/>
              </w:rPr>
              <w:t>（提供相关人员证书及社保机构出具的投标人为以上人员缴纳的近6个月社保证明复印件或扫描件并加盖公章，未提供不得分。）</w:t>
            </w:r>
          </w:p>
        </w:tc>
        <w:tc>
          <w:tcPr>
            <w:tcW w:w="1218" w:type="dxa"/>
            <w:noWrap/>
            <w:vAlign w:val="center"/>
          </w:tcPr>
          <w:p>
            <w:pPr>
              <w:pStyle w:val="33"/>
              <w:adjustRightInd/>
              <w:spacing w:line="360" w:lineRule="auto"/>
              <w:jc w:val="center"/>
              <w:rPr>
                <w:rFonts w:hAnsi="宋体" w:cs="宋体"/>
                <w:bCs/>
                <w:sz w:val="24"/>
                <w:szCs w:val="24"/>
              </w:rPr>
            </w:pPr>
            <w:r>
              <w:rPr>
                <w:rFonts w:hint="eastAsia" w:hAnsi="宋体" w:cs="宋体"/>
                <w:bCs/>
                <w:sz w:val="24"/>
                <w:szCs w:val="24"/>
              </w:rPr>
              <w:t>4分</w:t>
            </w:r>
          </w:p>
        </w:tc>
        <w:tc>
          <w:tcPr>
            <w:tcW w:w="1368" w:type="dxa"/>
            <w:noWrap/>
            <w:vAlign w:val="center"/>
          </w:tcPr>
          <w:p>
            <w:pPr>
              <w:pStyle w:val="33"/>
              <w:adjustRightInd/>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25" w:type="dxa"/>
            <w:vMerge w:val="continue"/>
            <w:noWrap/>
            <w:vAlign w:val="center"/>
          </w:tcPr>
          <w:p>
            <w:pPr>
              <w:pStyle w:val="33"/>
              <w:adjustRightInd/>
              <w:snapToGrid w:val="0"/>
              <w:spacing w:line="360" w:lineRule="auto"/>
              <w:jc w:val="center"/>
              <w:rPr>
                <w:rFonts w:hAnsi="宋体" w:cs="宋体"/>
                <w:b/>
                <w:bCs/>
                <w:sz w:val="24"/>
                <w:szCs w:val="24"/>
              </w:rPr>
            </w:pPr>
          </w:p>
        </w:tc>
        <w:tc>
          <w:tcPr>
            <w:tcW w:w="5255" w:type="dxa"/>
            <w:noWrap/>
            <w:vAlign w:val="center"/>
          </w:tcPr>
          <w:p>
            <w:pPr>
              <w:pStyle w:val="33"/>
              <w:adjustRightInd/>
              <w:spacing w:line="360" w:lineRule="auto"/>
              <w:rPr>
                <w:rFonts w:hAnsi="宋体" w:cs="宋体"/>
                <w:bCs/>
                <w:sz w:val="24"/>
                <w:szCs w:val="24"/>
              </w:rPr>
            </w:pPr>
            <w:r>
              <w:rPr>
                <w:rFonts w:hint="eastAsia" w:hAnsi="宋体" w:cs="宋体"/>
                <w:bCs/>
                <w:sz w:val="24"/>
                <w:szCs w:val="24"/>
              </w:rPr>
              <w:t>（3</w:t>
            </w:r>
            <w:r>
              <w:rPr>
                <w:rFonts w:hint="eastAsia" w:hAnsi="宋体" w:cs="宋体"/>
                <w:bCs/>
                <w:color w:val="000000"/>
                <w:sz w:val="24"/>
                <w:szCs w:val="24"/>
              </w:rPr>
              <w:t>）参与实施本项目的工作人员具有“机关档案管理培训证书”的得1</w:t>
            </w:r>
            <w:r>
              <w:rPr>
                <w:rFonts w:hint="eastAsia" w:hAnsi="宋体" w:cs="宋体"/>
                <w:bCs/>
                <w:sz w:val="24"/>
                <w:szCs w:val="24"/>
              </w:rPr>
              <w:t>分。</w:t>
            </w:r>
          </w:p>
          <w:p>
            <w:pPr>
              <w:pStyle w:val="33"/>
              <w:adjustRightInd/>
              <w:spacing w:line="360" w:lineRule="auto"/>
              <w:rPr>
                <w:rFonts w:hAnsi="宋体" w:cs="宋体"/>
                <w:bCs/>
                <w:sz w:val="24"/>
                <w:szCs w:val="24"/>
              </w:rPr>
            </w:pPr>
            <w:r>
              <w:rPr>
                <w:rFonts w:hint="eastAsia" w:hAnsi="宋体" w:cs="宋体"/>
                <w:bCs/>
                <w:sz w:val="24"/>
                <w:szCs w:val="24"/>
              </w:rPr>
              <w:t>（4）参与实施本项目的工作人员具有“档案抢救和保护技术岗位培训证书”的得1分。</w:t>
            </w:r>
          </w:p>
          <w:p>
            <w:pPr>
              <w:spacing w:line="360" w:lineRule="auto"/>
              <w:rPr>
                <w:rFonts w:ascii="宋体" w:hAnsi="宋体" w:cs="宋体"/>
                <w:bCs/>
                <w:sz w:val="24"/>
              </w:rPr>
            </w:pPr>
            <w:r>
              <w:rPr>
                <w:rFonts w:hint="eastAsia" w:ascii="宋体" w:hAnsi="宋体" w:cs="宋体"/>
                <w:bCs/>
                <w:sz w:val="24"/>
              </w:rPr>
              <w:t>（5）参与实施本项目的工作人员具有档案专业中级资格证书的，每人得1分，最多得4分。</w:t>
            </w:r>
          </w:p>
          <w:p>
            <w:pPr>
              <w:pStyle w:val="33"/>
              <w:adjustRightInd/>
              <w:spacing w:line="360" w:lineRule="auto"/>
              <w:rPr>
                <w:rFonts w:hAnsi="宋体" w:cs="宋体"/>
                <w:bCs/>
                <w:sz w:val="24"/>
                <w:szCs w:val="24"/>
              </w:rPr>
            </w:pPr>
            <w:r>
              <w:rPr>
                <w:rFonts w:hint="eastAsia" w:hAnsi="宋体" w:cs="宋体"/>
                <w:b/>
                <w:bCs w:val="0"/>
                <w:sz w:val="24"/>
                <w:szCs w:val="24"/>
              </w:rPr>
              <w:t>（提供相关人员证书及社保机构出具的投标人为以上人员缴纳的近6个月社保证明复印件或扫描件并加盖公章，未提供不得分。）</w:t>
            </w:r>
          </w:p>
        </w:tc>
        <w:tc>
          <w:tcPr>
            <w:tcW w:w="1218" w:type="dxa"/>
            <w:noWrap/>
            <w:vAlign w:val="center"/>
          </w:tcPr>
          <w:p>
            <w:pPr>
              <w:pStyle w:val="33"/>
              <w:adjustRightInd/>
              <w:spacing w:line="360" w:lineRule="auto"/>
              <w:jc w:val="center"/>
              <w:rPr>
                <w:rFonts w:hAnsi="宋体" w:cs="宋体"/>
                <w:bCs/>
                <w:sz w:val="24"/>
                <w:szCs w:val="24"/>
              </w:rPr>
            </w:pPr>
            <w:r>
              <w:rPr>
                <w:rFonts w:hint="eastAsia" w:hAnsi="宋体" w:cs="宋体"/>
                <w:bCs/>
                <w:sz w:val="24"/>
                <w:szCs w:val="24"/>
              </w:rPr>
              <w:t>6分</w:t>
            </w:r>
          </w:p>
        </w:tc>
        <w:tc>
          <w:tcPr>
            <w:tcW w:w="1368" w:type="dxa"/>
            <w:noWrap/>
            <w:vAlign w:val="center"/>
          </w:tcPr>
          <w:p>
            <w:pPr>
              <w:pStyle w:val="33"/>
              <w:adjustRightInd/>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25" w:type="dxa"/>
            <w:vMerge w:val="continue"/>
            <w:noWrap/>
            <w:vAlign w:val="center"/>
          </w:tcPr>
          <w:p>
            <w:pPr>
              <w:pStyle w:val="33"/>
              <w:adjustRightInd/>
              <w:snapToGrid w:val="0"/>
              <w:spacing w:line="360" w:lineRule="auto"/>
              <w:jc w:val="center"/>
              <w:rPr>
                <w:rFonts w:hAnsi="宋体" w:cs="宋体"/>
                <w:b/>
                <w:bCs/>
                <w:sz w:val="24"/>
                <w:szCs w:val="24"/>
              </w:rPr>
            </w:pPr>
          </w:p>
        </w:tc>
        <w:tc>
          <w:tcPr>
            <w:tcW w:w="5255" w:type="dxa"/>
            <w:noWrap/>
            <w:vAlign w:val="center"/>
          </w:tcPr>
          <w:p>
            <w:pPr>
              <w:pStyle w:val="33"/>
              <w:adjustRightInd/>
              <w:spacing w:line="360" w:lineRule="auto"/>
              <w:rPr>
                <w:rFonts w:hAnsi="宋体" w:cs="宋体"/>
                <w:bCs/>
                <w:sz w:val="24"/>
                <w:szCs w:val="24"/>
              </w:rPr>
            </w:pPr>
            <w:r>
              <w:rPr>
                <w:rFonts w:hint="eastAsia" w:hAnsi="宋体" w:cs="宋体"/>
                <w:bCs/>
                <w:sz w:val="24"/>
                <w:szCs w:val="24"/>
              </w:rPr>
              <w:t>（6）投标人拥有具有自主产权法院档案归集系统软件的得2分，</w:t>
            </w:r>
            <w:r>
              <w:rPr>
                <w:rFonts w:hint="eastAsia" w:hAnsi="宋体" w:cs="宋体"/>
                <w:b/>
                <w:bCs w:val="0"/>
                <w:sz w:val="24"/>
                <w:szCs w:val="24"/>
              </w:rPr>
              <w:t>投标时提供软件著作权登记证书复印件或扫描件并加盖公章。</w:t>
            </w:r>
          </w:p>
        </w:tc>
        <w:tc>
          <w:tcPr>
            <w:tcW w:w="1218" w:type="dxa"/>
            <w:noWrap/>
            <w:vAlign w:val="center"/>
          </w:tcPr>
          <w:p>
            <w:pPr>
              <w:pStyle w:val="33"/>
              <w:adjustRightInd/>
              <w:spacing w:line="360" w:lineRule="auto"/>
              <w:jc w:val="center"/>
              <w:rPr>
                <w:rFonts w:hAnsi="宋体" w:cs="宋体"/>
                <w:bCs/>
                <w:sz w:val="24"/>
                <w:szCs w:val="24"/>
              </w:rPr>
            </w:pPr>
            <w:r>
              <w:rPr>
                <w:rFonts w:hint="eastAsia" w:hAnsi="宋体" w:cs="宋体"/>
                <w:bCs/>
                <w:sz w:val="24"/>
                <w:szCs w:val="24"/>
              </w:rPr>
              <w:t>2分</w:t>
            </w:r>
          </w:p>
        </w:tc>
        <w:tc>
          <w:tcPr>
            <w:tcW w:w="1368" w:type="dxa"/>
            <w:noWrap/>
            <w:vAlign w:val="center"/>
          </w:tcPr>
          <w:p>
            <w:pPr>
              <w:pStyle w:val="33"/>
              <w:adjustRightInd/>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25" w:type="dxa"/>
            <w:vMerge w:val="continue"/>
            <w:noWrap/>
            <w:vAlign w:val="center"/>
          </w:tcPr>
          <w:p>
            <w:pPr>
              <w:pStyle w:val="33"/>
              <w:adjustRightInd/>
              <w:snapToGrid w:val="0"/>
              <w:spacing w:line="360" w:lineRule="auto"/>
              <w:jc w:val="center"/>
              <w:rPr>
                <w:rFonts w:hAnsi="宋体" w:cs="宋体"/>
                <w:b/>
                <w:bCs/>
                <w:sz w:val="24"/>
                <w:szCs w:val="24"/>
              </w:rPr>
            </w:pPr>
          </w:p>
        </w:tc>
        <w:tc>
          <w:tcPr>
            <w:tcW w:w="5255" w:type="dxa"/>
            <w:noWrap/>
            <w:vAlign w:val="center"/>
          </w:tcPr>
          <w:p>
            <w:pPr>
              <w:pStyle w:val="33"/>
              <w:adjustRightInd/>
              <w:spacing w:line="360" w:lineRule="auto"/>
              <w:rPr>
                <w:rFonts w:hAnsi="宋体" w:cs="宋体"/>
                <w:bCs/>
                <w:sz w:val="24"/>
                <w:szCs w:val="24"/>
              </w:rPr>
            </w:pPr>
            <w:r>
              <w:rPr>
                <w:rFonts w:hint="eastAsia" w:hAnsi="宋体" w:cs="宋体"/>
                <w:bCs/>
                <w:sz w:val="24"/>
                <w:szCs w:val="24"/>
              </w:rPr>
              <w:t>（7）投标人拥有自主产权法院随案电子卷宗信息系统软件的得2分，投标时提供软件著作权登记证书复印件或扫描件并加盖公章。</w:t>
            </w:r>
          </w:p>
        </w:tc>
        <w:tc>
          <w:tcPr>
            <w:tcW w:w="1218" w:type="dxa"/>
            <w:noWrap/>
            <w:vAlign w:val="center"/>
          </w:tcPr>
          <w:p>
            <w:pPr>
              <w:pStyle w:val="33"/>
              <w:adjustRightInd/>
              <w:spacing w:line="360" w:lineRule="auto"/>
              <w:jc w:val="center"/>
              <w:rPr>
                <w:rFonts w:hAnsi="宋体" w:cs="宋体"/>
                <w:bCs/>
                <w:sz w:val="24"/>
                <w:szCs w:val="24"/>
              </w:rPr>
            </w:pPr>
            <w:r>
              <w:rPr>
                <w:rFonts w:hint="eastAsia" w:hAnsi="宋体" w:cs="宋体"/>
                <w:bCs/>
                <w:sz w:val="24"/>
                <w:szCs w:val="24"/>
              </w:rPr>
              <w:t>2分</w:t>
            </w:r>
          </w:p>
        </w:tc>
        <w:tc>
          <w:tcPr>
            <w:tcW w:w="1368" w:type="dxa"/>
            <w:noWrap/>
            <w:vAlign w:val="center"/>
          </w:tcPr>
          <w:p>
            <w:pPr>
              <w:pStyle w:val="33"/>
              <w:adjustRightInd/>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25" w:type="dxa"/>
            <w:vMerge w:val="continue"/>
            <w:noWrap/>
            <w:vAlign w:val="center"/>
          </w:tcPr>
          <w:p>
            <w:pPr>
              <w:pStyle w:val="33"/>
              <w:adjustRightInd/>
              <w:snapToGrid w:val="0"/>
              <w:spacing w:line="360" w:lineRule="auto"/>
              <w:jc w:val="center"/>
              <w:rPr>
                <w:rFonts w:hAnsi="宋体" w:cs="宋体"/>
                <w:b/>
                <w:bCs/>
                <w:sz w:val="24"/>
                <w:szCs w:val="24"/>
              </w:rPr>
            </w:pPr>
          </w:p>
        </w:tc>
        <w:tc>
          <w:tcPr>
            <w:tcW w:w="5255" w:type="dxa"/>
            <w:noWrap/>
            <w:vAlign w:val="center"/>
          </w:tcPr>
          <w:p>
            <w:pPr>
              <w:pStyle w:val="33"/>
              <w:adjustRightInd/>
              <w:spacing w:line="360" w:lineRule="auto"/>
              <w:rPr>
                <w:rFonts w:hAnsi="宋体" w:cs="宋体"/>
                <w:bCs/>
                <w:sz w:val="24"/>
                <w:szCs w:val="24"/>
              </w:rPr>
            </w:pPr>
            <w:r>
              <w:rPr>
                <w:rFonts w:hint="eastAsia" w:hAnsi="宋体" w:cs="宋体"/>
                <w:bCs/>
                <w:sz w:val="24"/>
                <w:szCs w:val="24"/>
              </w:rPr>
              <w:t>（8）投标人拥有自主产权公安档案信息管理系统软件的得2分，</w:t>
            </w:r>
            <w:r>
              <w:rPr>
                <w:rFonts w:hint="eastAsia" w:hAnsi="宋体" w:cs="宋体"/>
                <w:b/>
                <w:bCs w:val="0"/>
                <w:sz w:val="24"/>
                <w:szCs w:val="24"/>
              </w:rPr>
              <w:t>投标时提供软件著作权登记证书复印件或扫描件并加盖公章。</w:t>
            </w:r>
          </w:p>
        </w:tc>
        <w:tc>
          <w:tcPr>
            <w:tcW w:w="1218" w:type="dxa"/>
            <w:noWrap/>
            <w:vAlign w:val="center"/>
          </w:tcPr>
          <w:p>
            <w:pPr>
              <w:pStyle w:val="33"/>
              <w:adjustRightInd/>
              <w:spacing w:line="360" w:lineRule="auto"/>
              <w:jc w:val="center"/>
              <w:rPr>
                <w:rFonts w:hAnsi="宋体" w:cs="宋体"/>
                <w:bCs/>
                <w:sz w:val="24"/>
                <w:szCs w:val="24"/>
              </w:rPr>
            </w:pPr>
            <w:r>
              <w:rPr>
                <w:rFonts w:hint="eastAsia" w:hAnsi="宋体" w:cs="宋体"/>
                <w:bCs/>
                <w:sz w:val="24"/>
                <w:szCs w:val="24"/>
              </w:rPr>
              <w:t>2分</w:t>
            </w:r>
          </w:p>
        </w:tc>
        <w:tc>
          <w:tcPr>
            <w:tcW w:w="1368" w:type="dxa"/>
            <w:noWrap/>
            <w:vAlign w:val="center"/>
          </w:tcPr>
          <w:p>
            <w:pPr>
              <w:pStyle w:val="33"/>
              <w:adjustRightInd/>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25" w:type="dxa"/>
            <w:vMerge w:val="continue"/>
            <w:noWrap/>
            <w:vAlign w:val="center"/>
          </w:tcPr>
          <w:p>
            <w:pPr>
              <w:pStyle w:val="33"/>
              <w:adjustRightInd/>
              <w:snapToGrid w:val="0"/>
              <w:spacing w:line="360" w:lineRule="auto"/>
              <w:jc w:val="center"/>
              <w:rPr>
                <w:rFonts w:hAnsi="宋体" w:cs="宋体"/>
                <w:b/>
                <w:bCs/>
                <w:sz w:val="24"/>
                <w:szCs w:val="24"/>
              </w:rPr>
            </w:pPr>
          </w:p>
        </w:tc>
        <w:tc>
          <w:tcPr>
            <w:tcW w:w="5255" w:type="dxa"/>
            <w:noWrap/>
            <w:vAlign w:val="center"/>
          </w:tcPr>
          <w:p>
            <w:pPr>
              <w:pStyle w:val="33"/>
              <w:adjustRightInd/>
              <w:spacing w:line="360" w:lineRule="auto"/>
              <w:rPr>
                <w:rFonts w:hAnsi="宋体" w:cs="宋体"/>
                <w:bCs/>
                <w:sz w:val="24"/>
                <w:szCs w:val="24"/>
              </w:rPr>
            </w:pPr>
            <w:r>
              <w:rPr>
                <w:rFonts w:hint="eastAsia" w:hAnsi="宋体" w:cs="宋体"/>
                <w:bCs/>
                <w:sz w:val="24"/>
                <w:szCs w:val="24"/>
              </w:rPr>
              <w:t>（9）投标人拥有自主产权档案数字化安全检测系统的得2分，</w:t>
            </w:r>
            <w:r>
              <w:rPr>
                <w:rFonts w:hint="eastAsia" w:hAnsi="宋体" w:cs="宋体"/>
                <w:b/>
                <w:bCs w:val="0"/>
                <w:sz w:val="24"/>
                <w:szCs w:val="24"/>
              </w:rPr>
              <w:t>投标时提供软件著作权登记证书复印件或扫描件并加盖公章。</w:t>
            </w:r>
          </w:p>
        </w:tc>
        <w:tc>
          <w:tcPr>
            <w:tcW w:w="1218" w:type="dxa"/>
            <w:noWrap/>
            <w:vAlign w:val="center"/>
          </w:tcPr>
          <w:p>
            <w:pPr>
              <w:pStyle w:val="33"/>
              <w:adjustRightInd/>
              <w:spacing w:line="360" w:lineRule="auto"/>
              <w:jc w:val="center"/>
              <w:rPr>
                <w:rFonts w:hAnsi="宋体" w:cs="宋体"/>
                <w:bCs/>
                <w:sz w:val="24"/>
                <w:szCs w:val="24"/>
              </w:rPr>
            </w:pPr>
            <w:r>
              <w:rPr>
                <w:rFonts w:hint="eastAsia" w:hAnsi="宋体" w:cs="宋体"/>
                <w:bCs/>
                <w:sz w:val="24"/>
                <w:szCs w:val="24"/>
              </w:rPr>
              <w:t>2分</w:t>
            </w:r>
          </w:p>
        </w:tc>
        <w:tc>
          <w:tcPr>
            <w:tcW w:w="1368" w:type="dxa"/>
            <w:noWrap/>
            <w:vAlign w:val="center"/>
          </w:tcPr>
          <w:p>
            <w:pPr>
              <w:pStyle w:val="33"/>
              <w:adjustRightInd/>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25" w:type="dxa"/>
            <w:noWrap/>
            <w:vAlign w:val="center"/>
          </w:tcPr>
          <w:p>
            <w:pPr>
              <w:spacing w:line="360" w:lineRule="auto"/>
              <w:rPr>
                <w:rFonts w:ascii="宋体" w:hAnsi="宋体" w:cs="宋体"/>
                <w:sz w:val="24"/>
              </w:rPr>
            </w:pPr>
          </w:p>
          <w:p>
            <w:pPr>
              <w:pStyle w:val="33"/>
              <w:snapToGrid w:val="0"/>
              <w:spacing w:line="360" w:lineRule="auto"/>
              <w:jc w:val="center"/>
              <w:rPr>
                <w:rFonts w:hAnsi="宋体" w:cs="宋体"/>
                <w:b/>
                <w:bCs/>
                <w:sz w:val="24"/>
                <w:szCs w:val="24"/>
              </w:rPr>
            </w:pPr>
            <w:r>
              <w:rPr>
                <w:rFonts w:hint="eastAsia" w:hAnsi="宋体" w:cs="宋体"/>
                <w:b/>
                <w:bCs/>
                <w:sz w:val="24"/>
                <w:szCs w:val="24"/>
              </w:rPr>
              <w:t>三、投标人履约能力</w:t>
            </w:r>
          </w:p>
        </w:tc>
        <w:tc>
          <w:tcPr>
            <w:tcW w:w="5255" w:type="dxa"/>
            <w:noWrap/>
            <w:vAlign w:val="center"/>
          </w:tcPr>
          <w:p>
            <w:pPr>
              <w:pStyle w:val="33"/>
              <w:spacing w:line="360" w:lineRule="auto"/>
              <w:jc w:val="left"/>
              <w:rPr>
                <w:rFonts w:hAnsi="宋体" w:cs="宋体"/>
                <w:bCs/>
                <w:sz w:val="24"/>
                <w:szCs w:val="24"/>
              </w:rPr>
            </w:pPr>
            <w:r>
              <w:rPr>
                <w:rFonts w:hint="eastAsia" w:hAnsi="宋体" w:cs="宋体"/>
                <w:bCs/>
                <w:sz w:val="24"/>
                <w:szCs w:val="24"/>
              </w:rPr>
              <w:t>投标单位能与法院系统进行无缝数据挂接的得3分，</w:t>
            </w:r>
            <w:r>
              <w:rPr>
                <w:rFonts w:hint="eastAsia" w:hAnsi="宋体" w:cs="宋体"/>
                <w:b/>
                <w:bCs w:val="0"/>
                <w:sz w:val="24"/>
                <w:szCs w:val="24"/>
              </w:rPr>
              <w:t>提供相关证明材料（须具有法院系印章）并加盖投标人公章</w:t>
            </w:r>
            <w:r>
              <w:rPr>
                <w:rFonts w:hint="eastAsia" w:hAnsi="宋体" w:cs="宋体"/>
                <w:bCs/>
                <w:sz w:val="24"/>
                <w:szCs w:val="24"/>
              </w:rPr>
              <w:t>，未提供不得分。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3分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1625" w:type="dxa"/>
            <w:noWrap/>
            <w:vAlign w:val="center"/>
          </w:tcPr>
          <w:p>
            <w:pPr>
              <w:spacing w:line="360" w:lineRule="auto"/>
              <w:rPr>
                <w:rFonts w:ascii="宋体" w:hAnsi="宋体" w:cs="宋体"/>
                <w:sz w:val="24"/>
              </w:rPr>
            </w:pPr>
          </w:p>
          <w:p>
            <w:pPr>
              <w:pStyle w:val="33"/>
              <w:snapToGrid w:val="0"/>
              <w:spacing w:line="360" w:lineRule="auto"/>
              <w:jc w:val="center"/>
              <w:rPr>
                <w:rFonts w:hAnsi="宋体" w:cs="宋体"/>
                <w:b/>
                <w:bCs/>
                <w:sz w:val="24"/>
                <w:szCs w:val="24"/>
              </w:rPr>
            </w:pPr>
            <w:r>
              <w:rPr>
                <w:rFonts w:hint="eastAsia" w:hAnsi="宋体" w:cs="宋体"/>
                <w:b/>
                <w:bCs/>
                <w:sz w:val="24"/>
                <w:szCs w:val="24"/>
              </w:rPr>
              <w:t>四、同类业绩</w:t>
            </w:r>
          </w:p>
        </w:tc>
        <w:tc>
          <w:tcPr>
            <w:tcW w:w="5255" w:type="dxa"/>
            <w:noWrap/>
            <w:vAlign w:val="center"/>
          </w:tcPr>
          <w:p>
            <w:pPr>
              <w:pStyle w:val="33"/>
              <w:spacing w:line="360" w:lineRule="auto"/>
              <w:jc w:val="left"/>
              <w:rPr>
                <w:rFonts w:hAnsi="宋体" w:cs="宋体"/>
                <w:bCs/>
                <w:sz w:val="24"/>
                <w:szCs w:val="24"/>
              </w:rPr>
            </w:pPr>
            <w:r>
              <w:rPr>
                <w:rFonts w:hint="eastAsia" w:hAnsi="宋体" w:cs="宋体"/>
                <w:bCs/>
                <w:sz w:val="24"/>
                <w:szCs w:val="24"/>
              </w:rPr>
              <w:t>投标人自2021年1月1日（以合同签订时间为准）至今完成过档案数字化加工项目业绩，每个0.5分，最高1分；</w:t>
            </w:r>
            <w:r>
              <w:rPr>
                <w:rFonts w:hint="eastAsia" w:hAnsi="宋体" w:cs="宋体"/>
                <w:b/>
                <w:bCs w:val="0"/>
                <w:sz w:val="24"/>
                <w:szCs w:val="24"/>
              </w:rPr>
              <w:t>（提供合同复印件并加盖公章，未提供不得分。）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1分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1625" w:type="dxa"/>
            <w:noWrap/>
            <w:vAlign w:val="center"/>
          </w:tcPr>
          <w:p>
            <w:pPr>
              <w:spacing w:line="360" w:lineRule="auto"/>
              <w:jc w:val="center"/>
              <w:rPr>
                <w:rFonts w:ascii="宋体" w:hAnsi="宋体" w:cs="宋体"/>
                <w:b/>
                <w:bCs/>
                <w:snapToGrid w:val="0"/>
                <w:sz w:val="24"/>
              </w:rPr>
            </w:pPr>
            <w:r>
              <w:rPr>
                <w:rFonts w:hint="eastAsia" w:ascii="宋体" w:hAnsi="宋体" w:cs="宋体"/>
                <w:b/>
                <w:bCs/>
                <w:snapToGrid w:val="0"/>
                <w:sz w:val="24"/>
              </w:rPr>
              <w:t>五、拟投入人员保障</w:t>
            </w:r>
          </w:p>
        </w:tc>
        <w:tc>
          <w:tcPr>
            <w:tcW w:w="5255" w:type="dxa"/>
            <w:noWrap/>
            <w:vAlign w:val="center"/>
          </w:tcPr>
          <w:p>
            <w:pPr>
              <w:numPr>
                <w:ilvl w:val="255"/>
                <w:numId w:val="0"/>
              </w:numPr>
              <w:spacing w:line="360" w:lineRule="auto"/>
              <w:rPr>
                <w:rFonts w:ascii="宋体" w:hAnsi="宋体" w:cs="宋体"/>
                <w:bCs/>
                <w:sz w:val="24"/>
              </w:rPr>
            </w:pPr>
            <w:r>
              <w:rPr>
                <w:rFonts w:hint="eastAsia" w:ascii="宋体" w:hAnsi="宋体" w:cs="宋体"/>
                <w:bCs/>
                <w:sz w:val="24"/>
              </w:rPr>
              <w:t>根据拟投入项目班子人员的稳定性、工作经验的完善性进行打分；</w:t>
            </w:r>
          </w:p>
          <w:p>
            <w:pPr>
              <w:numPr>
                <w:ilvl w:val="255"/>
                <w:numId w:val="0"/>
              </w:numPr>
              <w:spacing w:line="360" w:lineRule="auto"/>
              <w:rPr>
                <w:rFonts w:ascii="宋体" w:hAnsi="宋体" w:cs="宋体"/>
                <w:bCs/>
                <w:sz w:val="24"/>
              </w:rPr>
            </w:pPr>
            <w:r>
              <w:rPr>
                <w:rFonts w:hint="eastAsia" w:ascii="宋体" w:hAnsi="宋体" w:cs="宋体"/>
                <w:sz w:val="24"/>
              </w:rPr>
              <w:t>拟投入人员配备合理的，得</w:t>
            </w:r>
            <w:r>
              <w:rPr>
                <w:rFonts w:hint="eastAsia" w:ascii="宋体" w:hAnsi="宋体" w:cs="宋体"/>
                <w:bCs/>
                <w:sz w:val="24"/>
              </w:rPr>
              <w:t>4分，人员配备基本合理且与项目匹配度较好的得2分，</w:t>
            </w:r>
            <w:r>
              <w:rPr>
                <w:rFonts w:hint="eastAsia" w:ascii="宋体" w:hAnsi="宋体" w:cs="宋体"/>
                <w:bCs/>
                <w:sz w:val="24"/>
                <w:lang w:val="zh-CN"/>
              </w:rPr>
              <w:t>方案较为简单或存在缺漏的得1分，未提供不得分。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4分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1625" w:type="dxa"/>
            <w:vMerge w:val="restart"/>
            <w:noWrap/>
            <w:vAlign w:val="center"/>
          </w:tcPr>
          <w:p>
            <w:pPr>
              <w:pStyle w:val="33"/>
              <w:snapToGrid w:val="0"/>
              <w:spacing w:line="360" w:lineRule="auto"/>
              <w:jc w:val="center"/>
              <w:rPr>
                <w:rFonts w:hAnsi="宋体" w:cs="宋体"/>
                <w:b/>
                <w:bCs/>
                <w:sz w:val="24"/>
                <w:szCs w:val="24"/>
              </w:rPr>
            </w:pPr>
            <w:r>
              <w:rPr>
                <w:rFonts w:hint="eastAsia" w:hAnsi="宋体" w:cs="宋体"/>
                <w:b/>
                <w:bCs/>
                <w:sz w:val="24"/>
                <w:szCs w:val="24"/>
              </w:rPr>
              <w:t>六、扫描加工流程整体设计方案</w:t>
            </w:r>
          </w:p>
        </w:tc>
        <w:tc>
          <w:tcPr>
            <w:tcW w:w="5255" w:type="dxa"/>
            <w:noWrap/>
            <w:vAlign w:val="center"/>
          </w:tcPr>
          <w:p>
            <w:pPr>
              <w:pStyle w:val="33"/>
              <w:spacing w:line="360" w:lineRule="auto"/>
              <w:jc w:val="left"/>
              <w:rPr>
                <w:rFonts w:hAnsi="宋体" w:cs="宋体"/>
                <w:bCs/>
                <w:sz w:val="24"/>
                <w:szCs w:val="24"/>
              </w:rPr>
            </w:pPr>
            <w:r>
              <w:rPr>
                <w:rFonts w:hint="eastAsia" w:hAnsi="宋体" w:cs="宋体"/>
                <w:bCs/>
                <w:sz w:val="24"/>
                <w:szCs w:val="24"/>
              </w:rPr>
              <w:t>（1）有详细的加工流程整体设计方案。主要包括拆卷流程、扫描流程、影像处理流程、索引流程、质检流程、装订流程打分，最高得5分。内容完善且承诺可行、针</w:t>
            </w:r>
            <w:r>
              <w:rPr>
                <w:rFonts w:hint="eastAsia" w:hAnsi="宋体" w:cs="宋体"/>
                <w:kern w:val="0"/>
                <w:sz w:val="24"/>
                <w:szCs w:val="24"/>
              </w:rPr>
              <w:t>对性强的得5分；</w:t>
            </w:r>
            <w:r>
              <w:rPr>
                <w:rFonts w:hint="eastAsia" w:hAnsi="宋体" w:cs="宋体"/>
                <w:bCs/>
                <w:sz w:val="24"/>
                <w:szCs w:val="24"/>
              </w:rPr>
              <w:t>内容不够详实</w:t>
            </w:r>
            <w:r>
              <w:rPr>
                <w:rFonts w:hint="eastAsia" w:hAnsi="宋体" w:cs="宋体"/>
                <w:kern w:val="0"/>
                <w:sz w:val="24"/>
                <w:szCs w:val="24"/>
              </w:rPr>
              <w:t>的得3分；内容表达较欠缺，针对性较差的得1分。其他不得分。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5分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625" w:type="dxa"/>
            <w:vMerge w:val="continue"/>
            <w:noWrap/>
            <w:vAlign w:val="center"/>
          </w:tcPr>
          <w:p>
            <w:pPr>
              <w:pStyle w:val="33"/>
              <w:snapToGrid w:val="0"/>
              <w:spacing w:line="360" w:lineRule="auto"/>
              <w:jc w:val="center"/>
              <w:rPr>
                <w:rFonts w:hAnsi="宋体" w:cs="宋体"/>
                <w:b/>
                <w:bCs/>
                <w:sz w:val="24"/>
                <w:szCs w:val="24"/>
              </w:rPr>
            </w:pPr>
          </w:p>
        </w:tc>
        <w:tc>
          <w:tcPr>
            <w:tcW w:w="5255" w:type="dxa"/>
            <w:noWrap/>
            <w:vAlign w:val="center"/>
          </w:tcPr>
          <w:p>
            <w:pPr>
              <w:pStyle w:val="33"/>
              <w:spacing w:line="360" w:lineRule="auto"/>
              <w:jc w:val="left"/>
              <w:rPr>
                <w:rFonts w:ascii="宋体" w:hAnsi="宋体" w:cs="宋体"/>
                <w:sz w:val="24"/>
                <w:szCs w:val="24"/>
              </w:rPr>
            </w:pPr>
            <w:r>
              <w:rPr>
                <w:rFonts w:hint="eastAsia" w:hAnsi="宋体" w:cs="宋体"/>
                <w:bCs/>
                <w:sz w:val="24"/>
                <w:szCs w:val="24"/>
              </w:rPr>
              <w:t>（2）根据项目管理情况（1分）、工作流程（1分）、质量控制（1分）及差错防范（1分）的合理性、规范性和可操作性进行打分。各项内容合理内容完善、针</w:t>
            </w:r>
            <w:r>
              <w:rPr>
                <w:rFonts w:hint="eastAsia" w:hAnsi="宋体" w:cs="宋体"/>
                <w:kern w:val="0"/>
                <w:sz w:val="24"/>
                <w:szCs w:val="24"/>
              </w:rPr>
              <w:t>对性强的得1分；</w:t>
            </w:r>
            <w:r>
              <w:rPr>
                <w:rFonts w:hint="eastAsia" w:hAnsi="宋体" w:cs="宋体"/>
                <w:bCs/>
                <w:sz w:val="24"/>
                <w:szCs w:val="24"/>
              </w:rPr>
              <w:t>内容不够详实</w:t>
            </w:r>
            <w:r>
              <w:rPr>
                <w:rFonts w:hint="eastAsia" w:hAnsi="宋体" w:cs="宋体"/>
                <w:kern w:val="0"/>
                <w:sz w:val="24"/>
                <w:szCs w:val="24"/>
              </w:rPr>
              <w:t>得0.5分；</w:t>
            </w:r>
            <w:r>
              <w:rPr>
                <w:rFonts w:hint="eastAsia" w:hAnsi="宋体" w:cs="宋体"/>
                <w:sz w:val="24"/>
                <w:szCs w:val="24"/>
              </w:rPr>
              <w:t>未提供或内容不合理不得分。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4分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1625" w:type="dxa"/>
            <w:noWrap/>
          </w:tcPr>
          <w:p>
            <w:pPr>
              <w:pStyle w:val="33"/>
              <w:snapToGrid w:val="0"/>
              <w:spacing w:line="360" w:lineRule="auto"/>
              <w:jc w:val="center"/>
              <w:rPr>
                <w:rFonts w:hAnsi="宋体" w:cs="宋体"/>
                <w:b/>
                <w:bCs/>
                <w:sz w:val="24"/>
                <w:szCs w:val="24"/>
              </w:rPr>
            </w:pPr>
            <w:r>
              <w:rPr>
                <w:rFonts w:hint="eastAsia" w:hAnsi="宋体" w:cs="宋体"/>
                <w:b/>
                <w:bCs/>
                <w:sz w:val="24"/>
                <w:szCs w:val="24"/>
              </w:rPr>
              <w:t>七、随案扫描设计方案</w:t>
            </w:r>
          </w:p>
        </w:tc>
        <w:tc>
          <w:tcPr>
            <w:tcW w:w="5255" w:type="dxa"/>
            <w:noWrap/>
          </w:tcPr>
          <w:p>
            <w:pPr>
              <w:pStyle w:val="88"/>
              <w:spacing w:before="0"/>
              <w:ind w:firstLine="0" w:firstLineChars="0"/>
              <w:rPr>
                <w:rFonts w:ascii="宋体" w:hAnsi="宋体" w:cs="宋体"/>
                <w:bCs/>
                <w:szCs w:val="24"/>
              </w:rPr>
            </w:pPr>
            <w:r>
              <w:rPr>
                <w:rFonts w:hint="eastAsia" w:ascii="宋体" w:hAnsi="宋体" w:cs="宋体"/>
                <w:bCs/>
                <w:szCs w:val="24"/>
              </w:rPr>
              <w:t>根据采购需求中电子卷宗随案扫描，归档案卷补充材料扫描，提供服务方案，方案与需求对应吻合度打分。内容全面、准确、合理得5分；</w:t>
            </w:r>
          </w:p>
          <w:p>
            <w:pPr>
              <w:pStyle w:val="88"/>
              <w:spacing w:before="0"/>
              <w:ind w:firstLine="0" w:firstLineChars="0"/>
              <w:rPr>
                <w:rFonts w:ascii="宋体" w:hAnsi="宋体" w:cs="宋体"/>
                <w:bCs/>
                <w:szCs w:val="24"/>
              </w:rPr>
            </w:pPr>
            <w:r>
              <w:rPr>
                <w:rFonts w:hint="eastAsia" w:ascii="宋体" w:hAnsi="宋体" w:cs="宋体"/>
                <w:bCs/>
                <w:szCs w:val="24"/>
              </w:rPr>
              <w:t>内容部分全面、准确、合理得3分；内容不全面或不合理的得1分；未提供此项不得分。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5分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1625" w:type="dxa"/>
            <w:noWrap/>
          </w:tcPr>
          <w:p>
            <w:pPr>
              <w:pStyle w:val="33"/>
              <w:snapToGrid w:val="0"/>
              <w:spacing w:line="360" w:lineRule="auto"/>
              <w:jc w:val="center"/>
              <w:rPr>
                <w:rFonts w:hAnsi="宋体" w:cs="宋体"/>
                <w:b/>
                <w:bCs/>
                <w:sz w:val="24"/>
                <w:szCs w:val="24"/>
              </w:rPr>
            </w:pPr>
            <w:r>
              <w:rPr>
                <w:rFonts w:hint="eastAsia" w:hAnsi="宋体" w:cs="宋体"/>
                <w:b/>
                <w:bCs/>
                <w:sz w:val="24"/>
                <w:szCs w:val="24"/>
              </w:rPr>
              <w:t>八、数字化挂接服务方案</w:t>
            </w:r>
          </w:p>
        </w:tc>
        <w:tc>
          <w:tcPr>
            <w:tcW w:w="5255" w:type="dxa"/>
            <w:noWrap/>
          </w:tcPr>
          <w:p>
            <w:pPr>
              <w:pStyle w:val="88"/>
              <w:spacing w:line="360" w:lineRule="auto"/>
              <w:jc w:val="left"/>
              <w:rPr>
                <w:rFonts w:hAnsi="宋体" w:cs="宋体"/>
                <w:bCs/>
                <w:sz w:val="24"/>
                <w:szCs w:val="24"/>
              </w:rPr>
            </w:pPr>
            <w:r>
              <w:rPr>
                <w:rFonts w:hint="eastAsia" w:hAnsi="宋体" w:cs="宋体"/>
                <w:bCs/>
                <w:sz w:val="24"/>
                <w:szCs w:val="24"/>
              </w:rPr>
              <w:t>根据数字化档案挂接导入杭州市临平区人民法院指定系统以及日常服务要求，提供的服务方案与需求的对应性进行打分，</w:t>
            </w:r>
            <w:r>
              <w:rPr>
                <w:rFonts w:hint="eastAsia" w:ascii="宋体" w:hAnsi="宋体" w:cs="宋体"/>
                <w:bCs/>
                <w:szCs w:val="24"/>
              </w:rPr>
              <w:t>内容全面、准确、合理得5分；内容部分全面、准确、合理得3分；内容不全面或不合理的得1分；未提供此项不得分。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5分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625" w:type="dxa"/>
            <w:vMerge w:val="restart"/>
            <w:noWrap/>
            <w:vAlign w:val="center"/>
          </w:tcPr>
          <w:p>
            <w:pPr>
              <w:pStyle w:val="33"/>
              <w:snapToGrid w:val="0"/>
              <w:spacing w:line="360" w:lineRule="auto"/>
              <w:jc w:val="center"/>
              <w:rPr>
                <w:rFonts w:hAnsi="宋体" w:cs="宋体"/>
                <w:b/>
                <w:bCs/>
                <w:sz w:val="24"/>
                <w:szCs w:val="24"/>
              </w:rPr>
            </w:pPr>
            <w:r>
              <w:rPr>
                <w:rFonts w:hint="eastAsia" w:hAnsi="宋体" w:cs="宋体"/>
                <w:b/>
                <w:bCs/>
                <w:sz w:val="24"/>
                <w:szCs w:val="24"/>
              </w:rPr>
              <w:t>九、质量控制方案</w:t>
            </w:r>
          </w:p>
        </w:tc>
        <w:tc>
          <w:tcPr>
            <w:tcW w:w="5255" w:type="dxa"/>
            <w:noWrap/>
            <w:vAlign w:val="center"/>
          </w:tcPr>
          <w:p>
            <w:pPr>
              <w:pStyle w:val="33"/>
              <w:spacing w:line="360" w:lineRule="auto"/>
              <w:jc w:val="left"/>
              <w:rPr>
                <w:rFonts w:hAnsi="宋体" w:cs="宋体"/>
                <w:bCs/>
                <w:sz w:val="24"/>
                <w:szCs w:val="24"/>
              </w:rPr>
            </w:pPr>
            <w:r>
              <w:rPr>
                <w:rFonts w:hint="eastAsia" w:hAnsi="宋体" w:cs="宋体"/>
                <w:bCs/>
                <w:sz w:val="24"/>
                <w:szCs w:val="24"/>
              </w:rPr>
              <w:t>（1）项目的实施方案中有详细质量控制要求，根据质量控制方案中各环节质检方法是否合理有效情况打分，</w:t>
            </w:r>
            <w:r>
              <w:rPr>
                <w:rFonts w:hint="eastAsia" w:hAnsi="宋体" w:cs="宋体"/>
                <w:kern w:val="0"/>
                <w:sz w:val="24"/>
                <w:szCs w:val="24"/>
              </w:rPr>
              <w:t>方案全面的、合理性高的、针对性强的，得5分；方案较全面、内容基本合理得3分。方案不全面、合理性较差、针对性较差的，得1分；</w:t>
            </w:r>
            <w:r>
              <w:rPr>
                <w:rFonts w:hint="eastAsia" w:hAnsi="宋体" w:cs="宋体"/>
                <w:sz w:val="24"/>
                <w:szCs w:val="24"/>
              </w:rPr>
              <w:t>未提供或内容不合理不得分。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5分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1625" w:type="dxa"/>
            <w:vMerge w:val="continue"/>
            <w:noWrap/>
            <w:vAlign w:val="center"/>
          </w:tcPr>
          <w:p>
            <w:pPr>
              <w:pStyle w:val="33"/>
              <w:snapToGrid w:val="0"/>
              <w:spacing w:line="360" w:lineRule="auto"/>
              <w:jc w:val="center"/>
              <w:rPr>
                <w:rFonts w:hAnsi="宋体" w:cs="宋体"/>
                <w:b/>
                <w:bCs/>
                <w:sz w:val="24"/>
                <w:szCs w:val="24"/>
              </w:rPr>
            </w:pPr>
          </w:p>
        </w:tc>
        <w:tc>
          <w:tcPr>
            <w:tcW w:w="5255" w:type="dxa"/>
            <w:noWrap/>
            <w:vAlign w:val="center"/>
          </w:tcPr>
          <w:p>
            <w:pPr>
              <w:pStyle w:val="33"/>
              <w:spacing w:line="360" w:lineRule="auto"/>
              <w:jc w:val="left"/>
              <w:rPr>
                <w:rFonts w:hAnsi="宋体" w:cs="宋体"/>
                <w:bCs/>
                <w:sz w:val="24"/>
                <w:szCs w:val="24"/>
              </w:rPr>
            </w:pPr>
            <w:r>
              <w:rPr>
                <w:rFonts w:hint="eastAsia" w:hAnsi="宋体" w:cs="宋体"/>
                <w:bCs/>
                <w:sz w:val="24"/>
                <w:szCs w:val="24"/>
              </w:rPr>
              <w:t>（2）针对本项目的应急预案，根据预案的完整性、与采购方的实际的匹配性情况进行打分，</w:t>
            </w:r>
            <w:r>
              <w:rPr>
                <w:rFonts w:hint="eastAsia" w:hAnsi="宋体" w:cs="宋体"/>
                <w:kern w:val="0"/>
                <w:sz w:val="24"/>
                <w:szCs w:val="24"/>
              </w:rPr>
              <w:t>根据对应急事件的响应时间、调配人数与处理方案的合理性、全面性进行打分。内容合理、全面的得5分；内容较完整、全面性不足的得3分；内容合理性较差、全面性较差的得1分；</w:t>
            </w:r>
            <w:r>
              <w:rPr>
                <w:rFonts w:hint="eastAsia" w:hAnsi="宋体" w:cs="宋体"/>
                <w:sz w:val="24"/>
                <w:szCs w:val="24"/>
              </w:rPr>
              <w:t>未提供或内容不合理不得分。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5分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trPr>
        <w:tc>
          <w:tcPr>
            <w:tcW w:w="1625" w:type="dxa"/>
            <w:noWrap/>
            <w:vAlign w:val="center"/>
          </w:tcPr>
          <w:p>
            <w:pPr>
              <w:pStyle w:val="33"/>
              <w:snapToGrid w:val="0"/>
              <w:spacing w:line="360" w:lineRule="auto"/>
              <w:jc w:val="center"/>
              <w:rPr>
                <w:rFonts w:hAnsi="宋体" w:cs="宋体"/>
                <w:b/>
                <w:bCs/>
                <w:sz w:val="24"/>
                <w:szCs w:val="24"/>
              </w:rPr>
            </w:pPr>
            <w:r>
              <w:rPr>
                <w:rFonts w:hint="eastAsia" w:hAnsi="宋体" w:cs="宋体"/>
                <w:b/>
                <w:bCs/>
                <w:sz w:val="24"/>
                <w:szCs w:val="24"/>
              </w:rPr>
              <w:t>十、进度控制方案</w:t>
            </w:r>
          </w:p>
        </w:tc>
        <w:tc>
          <w:tcPr>
            <w:tcW w:w="5255" w:type="dxa"/>
            <w:noWrap/>
            <w:vAlign w:val="center"/>
          </w:tcPr>
          <w:p>
            <w:pPr>
              <w:pStyle w:val="33"/>
              <w:spacing w:line="360" w:lineRule="auto"/>
              <w:jc w:val="left"/>
              <w:rPr>
                <w:rFonts w:hAnsi="宋体" w:cs="宋体"/>
                <w:bCs/>
                <w:sz w:val="24"/>
                <w:szCs w:val="24"/>
              </w:rPr>
            </w:pPr>
            <w:r>
              <w:rPr>
                <w:rFonts w:hint="eastAsia" w:hAnsi="宋体" w:cs="宋体"/>
                <w:bCs/>
                <w:sz w:val="24"/>
                <w:szCs w:val="24"/>
              </w:rPr>
              <w:t>项目的实施方案中进度控制要求，根据组织是否合理、可控，工期进度是否达到招标文件要求情况打分，方案考虑充分、措施有效的得5分，方案考虑较充分、措施有效性一般的得3分，方案考虑欠佳、措施欠佳的得1分，</w:t>
            </w:r>
            <w:r>
              <w:rPr>
                <w:rFonts w:hint="eastAsia" w:hAnsi="宋体" w:cs="宋体"/>
                <w:sz w:val="24"/>
                <w:szCs w:val="24"/>
              </w:rPr>
              <w:t>未提供或内容不合理不得分。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5分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625" w:type="dxa"/>
            <w:vMerge w:val="restart"/>
            <w:noWrap/>
            <w:vAlign w:val="center"/>
          </w:tcPr>
          <w:p>
            <w:pPr>
              <w:pStyle w:val="33"/>
              <w:snapToGrid w:val="0"/>
              <w:spacing w:line="360" w:lineRule="auto"/>
              <w:jc w:val="center"/>
              <w:rPr>
                <w:rFonts w:hAnsi="宋体" w:cs="宋体"/>
                <w:b/>
                <w:bCs/>
                <w:sz w:val="24"/>
                <w:szCs w:val="24"/>
              </w:rPr>
            </w:pPr>
            <w:r>
              <w:rPr>
                <w:rFonts w:hint="eastAsia" w:hAnsi="宋体" w:cs="宋体"/>
                <w:b/>
                <w:bCs/>
                <w:sz w:val="24"/>
                <w:szCs w:val="24"/>
              </w:rPr>
              <w:t>十一、安全与保密控制方案</w:t>
            </w:r>
          </w:p>
        </w:tc>
        <w:tc>
          <w:tcPr>
            <w:tcW w:w="5255" w:type="dxa"/>
            <w:noWrap/>
            <w:vAlign w:val="center"/>
          </w:tcPr>
          <w:p>
            <w:pPr>
              <w:pStyle w:val="33"/>
              <w:spacing w:line="360" w:lineRule="auto"/>
              <w:jc w:val="left"/>
              <w:rPr>
                <w:rFonts w:hAnsi="宋体" w:cs="宋体"/>
                <w:bCs/>
                <w:sz w:val="24"/>
                <w:szCs w:val="24"/>
              </w:rPr>
            </w:pPr>
            <w:r>
              <w:rPr>
                <w:rFonts w:hint="eastAsia" w:hAnsi="宋体" w:cs="宋体"/>
                <w:bCs/>
                <w:sz w:val="24"/>
                <w:szCs w:val="24"/>
              </w:rPr>
              <w:t>（1）投标人提供完善的项目安全与保密控制方案（包括人员的安全管理、工作日志管理、档案安全管理、设备及数据安全管理、安全管理软件）情况打分，根据安全与保密控制方案切实可行的得5分；安全与保密控制方案，可行性不高的得3分；安全与保密控制方案较差，可行性较差的得1分；</w:t>
            </w:r>
            <w:r>
              <w:rPr>
                <w:rFonts w:hint="eastAsia" w:hAnsi="宋体" w:cs="宋体"/>
                <w:sz w:val="24"/>
                <w:szCs w:val="24"/>
              </w:rPr>
              <w:t>未提供或内容不合理不得分。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5分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625" w:type="dxa"/>
            <w:vMerge w:val="continue"/>
            <w:noWrap/>
            <w:vAlign w:val="center"/>
          </w:tcPr>
          <w:p>
            <w:pPr>
              <w:pStyle w:val="33"/>
              <w:snapToGrid w:val="0"/>
              <w:spacing w:line="360" w:lineRule="auto"/>
              <w:jc w:val="center"/>
              <w:rPr>
                <w:rFonts w:hAnsi="宋体" w:cs="宋体"/>
                <w:b/>
                <w:bCs/>
                <w:sz w:val="24"/>
                <w:szCs w:val="24"/>
              </w:rPr>
            </w:pPr>
          </w:p>
        </w:tc>
        <w:tc>
          <w:tcPr>
            <w:tcW w:w="5255" w:type="dxa"/>
            <w:noWrap/>
            <w:vAlign w:val="center"/>
          </w:tcPr>
          <w:p>
            <w:pPr>
              <w:pStyle w:val="33"/>
              <w:spacing w:line="360" w:lineRule="auto"/>
              <w:jc w:val="left"/>
              <w:rPr>
                <w:rFonts w:hAnsi="宋体" w:cs="宋体"/>
                <w:bCs/>
                <w:sz w:val="24"/>
                <w:szCs w:val="24"/>
              </w:rPr>
            </w:pPr>
            <w:r>
              <w:rPr>
                <w:rFonts w:hint="eastAsia" w:hAnsi="宋体" w:cs="宋体"/>
                <w:b/>
                <w:bCs w:val="0"/>
                <w:sz w:val="24"/>
                <w:szCs w:val="24"/>
              </w:rPr>
              <w:t>（2）安全保密工作日志表式，</w:t>
            </w:r>
            <w:r>
              <w:rPr>
                <w:rFonts w:hint="eastAsia" w:hAnsi="宋体" w:cs="宋体"/>
                <w:b/>
                <w:sz w:val="24"/>
                <w:szCs w:val="24"/>
              </w:rPr>
              <w:t>需提供</w:t>
            </w:r>
            <w:r>
              <w:rPr>
                <w:rFonts w:hint="eastAsia" w:hAnsi="宋体" w:cs="宋体"/>
                <w:b/>
                <w:bCs w:val="0"/>
                <w:sz w:val="24"/>
                <w:szCs w:val="24"/>
              </w:rPr>
              <w:t>安全保密工作日志表式的得1分。提供安全保密工作日志表式承诺函得分。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1分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625" w:type="dxa"/>
            <w:vMerge w:val="restart"/>
            <w:noWrap/>
            <w:vAlign w:val="center"/>
          </w:tcPr>
          <w:p>
            <w:pPr>
              <w:pStyle w:val="33"/>
              <w:snapToGrid w:val="0"/>
              <w:spacing w:line="360" w:lineRule="auto"/>
              <w:jc w:val="center"/>
              <w:rPr>
                <w:rFonts w:hAnsi="宋体" w:cs="宋体"/>
                <w:b/>
                <w:bCs/>
                <w:sz w:val="24"/>
                <w:szCs w:val="24"/>
              </w:rPr>
            </w:pPr>
            <w:r>
              <w:rPr>
                <w:rFonts w:hint="eastAsia" w:hAnsi="宋体" w:cs="宋体"/>
                <w:b/>
                <w:bCs/>
                <w:sz w:val="24"/>
                <w:szCs w:val="24"/>
              </w:rPr>
              <w:t>十二、售后及本地化服务</w:t>
            </w:r>
          </w:p>
        </w:tc>
        <w:tc>
          <w:tcPr>
            <w:tcW w:w="5255" w:type="dxa"/>
            <w:noWrap/>
            <w:vAlign w:val="center"/>
          </w:tcPr>
          <w:p>
            <w:pPr>
              <w:pStyle w:val="33"/>
              <w:spacing w:line="360" w:lineRule="auto"/>
              <w:jc w:val="left"/>
              <w:rPr>
                <w:rFonts w:hAnsi="宋体" w:cs="宋体"/>
                <w:bCs/>
                <w:sz w:val="24"/>
                <w:szCs w:val="24"/>
              </w:rPr>
            </w:pPr>
            <w:r>
              <w:rPr>
                <w:rFonts w:hint="eastAsia" w:hAnsi="宋体" w:cs="宋体"/>
                <w:bCs/>
                <w:sz w:val="24"/>
                <w:szCs w:val="24"/>
              </w:rPr>
              <w:t>（1）根据投标人所提供的本地化服务能力、机构设置的便利性、售后服务承诺及售后服务的措施情况打分，</w:t>
            </w:r>
            <w:r>
              <w:rPr>
                <w:rFonts w:hint="eastAsia" w:hAnsi="宋体" w:cs="宋体"/>
                <w:kern w:val="0"/>
                <w:sz w:val="24"/>
                <w:szCs w:val="24"/>
              </w:rPr>
              <w:t>根据售后服务方案保障措施完善性高、后续技术及维护能力好的得3分；服务方案保障措施完善性一般、后续技术及维护能力一般的得2分；服务方案保障措施完善性较差、后续技术及维护能力较差的最多得1分；</w:t>
            </w:r>
            <w:r>
              <w:rPr>
                <w:rFonts w:hint="eastAsia" w:hAnsi="宋体" w:cs="宋体"/>
                <w:sz w:val="24"/>
                <w:szCs w:val="24"/>
              </w:rPr>
              <w:t>未提供或内容不合理不得分。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3分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625" w:type="dxa"/>
            <w:vMerge w:val="continue"/>
            <w:noWrap/>
            <w:vAlign w:val="center"/>
          </w:tcPr>
          <w:p>
            <w:pPr>
              <w:pStyle w:val="33"/>
              <w:snapToGrid w:val="0"/>
              <w:spacing w:line="360" w:lineRule="auto"/>
              <w:jc w:val="center"/>
              <w:rPr>
                <w:rFonts w:hAnsi="宋体" w:cs="宋体"/>
                <w:b/>
                <w:bCs/>
                <w:sz w:val="24"/>
                <w:szCs w:val="24"/>
              </w:rPr>
            </w:pPr>
          </w:p>
        </w:tc>
        <w:tc>
          <w:tcPr>
            <w:tcW w:w="5255" w:type="dxa"/>
            <w:noWrap/>
            <w:vAlign w:val="center"/>
          </w:tcPr>
          <w:p>
            <w:pPr>
              <w:pStyle w:val="33"/>
              <w:spacing w:line="360" w:lineRule="auto"/>
              <w:jc w:val="left"/>
              <w:rPr>
                <w:rFonts w:hAnsi="宋体" w:cs="宋体"/>
                <w:bCs/>
                <w:sz w:val="24"/>
                <w:szCs w:val="24"/>
              </w:rPr>
            </w:pPr>
            <w:r>
              <w:rPr>
                <w:rFonts w:hint="eastAsia" w:hAnsi="宋体" w:cs="宋体"/>
                <w:bCs/>
                <w:sz w:val="24"/>
                <w:szCs w:val="24"/>
              </w:rPr>
              <w:t>（2）根据投标人以往售后服务情况打分，具有法院系统单位开具的数字化加工零投诉证明的得3分；具有其他政务单位开具的数字化加工零投诉证明的得1分；本小项最高得3分。</w:t>
            </w:r>
          </w:p>
          <w:p>
            <w:pPr>
              <w:pStyle w:val="33"/>
              <w:spacing w:line="360" w:lineRule="auto"/>
              <w:jc w:val="left"/>
              <w:rPr>
                <w:rFonts w:hAnsi="宋体" w:cs="宋体"/>
                <w:bCs/>
                <w:sz w:val="24"/>
                <w:szCs w:val="24"/>
              </w:rPr>
            </w:pPr>
            <w:r>
              <w:rPr>
                <w:rFonts w:hint="eastAsia" w:hAnsi="宋体" w:cs="宋体"/>
                <w:b/>
                <w:bCs w:val="0"/>
                <w:sz w:val="24"/>
                <w:szCs w:val="24"/>
              </w:rPr>
              <w:t>（投标时提供上述服务项目合同和零投诉证明资料，证明材料须加盖合同采购单位公章，未提供不得分。）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3分</w:t>
            </w:r>
          </w:p>
        </w:tc>
        <w:tc>
          <w:tcPr>
            <w:tcW w:w="1368" w:type="dxa"/>
            <w:noWrap/>
            <w:vAlign w:val="center"/>
          </w:tcPr>
          <w:p>
            <w:pPr>
              <w:pStyle w:val="33"/>
              <w:spacing w:line="360" w:lineRule="auto"/>
              <w:jc w:val="center"/>
              <w:rPr>
                <w:rFonts w:hint="eastAsia" w:hAnsi="宋体" w:cs="宋体"/>
                <w:bCs/>
                <w:sz w:val="24"/>
                <w:szCs w:val="24"/>
              </w:rPr>
            </w:pPr>
            <w:r>
              <w:rPr>
                <w:rFonts w:hint="eastAsia" w:hAnsi="宋体" w:cs="宋体"/>
                <w:bCs/>
                <w:sz w:val="24"/>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1625" w:type="dxa"/>
            <w:noWrap/>
            <w:vAlign w:val="center"/>
          </w:tcPr>
          <w:p>
            <w:pPr>
              <w:pStyle w:val="33"/>
              <w:snapToGrid w:val="0"/>
              <w:spacing w:line="360" w:lineRule="auto"/>
              <w:jc w:val="center"/>
              <w:rPr>
                <w:rFonts w:hAnsi="宋体" w:cs="宋体"/>
                <w:b/>
                <w:bCs/>
                <w:sz w:val="24"/>
                <w:szCs w:val="24"/>
              </w:rPr>
            </w:pPr>
            <w:r>
              <w:rPr>
                <w:rFonts w:hint="eastAsia" w:hAnsi="宋体" w:cs="宋体"/>
                <w:b/>
                <w:bCs/>
                <w:sz w:val="24"/>
                <w:szCs w:val="24"/>
              </w:rPr>
              <w:t>十三、增值服务</w:t>
            </w:r>
          </w:p>
        </w:tc>
        <w:tc>
          <w:tcPr>
            <w:tcW w:w="5255" w:type="dxa"/>
            <w:noWrap/>
            <w:vAlign w:val="center"/>
          </w:tcPr>
          <w:p>
            <w:pPr>
              <w:pStyle w:val="33"/>
              <w:spacing w:line="360" w:lineRule="auto"/>
              <w:jc w:val="left"/>
              <w:rPr>
                <w:rFonts w:hAnsi="宋体" w:cs="宋体"/>
                <w:bCs/>
                <w:sz w:val="24"/>
                <w:szCs w:val="24"/>
              </w:rPr>
            </w:pPr>
            <w:r>
              <w:rPr>
                <w:rFonts w:hint="eastAsia" w:hAnsi="宋体" w:cs="宋体"/>
                <w:bCs/>
                <w:sz w:val="24"/>
                <w:szCs w:val="24"/>
              </w:rPr>
              <w:t>投标人根据对本项目的需求和理解提出的合理性增值服务情况打分，增值服务合理并可行性好的得4分；增值服务合理性一般、可行性一般的得2分；</w:t>
            </w:r>
            <w:r>
              <w:rPr>
                <w:rFonts w:hint="eastAsia" w:hAnsi="宋体" w:cs="宋体"/>
                <w:kern w:val="0"/>
                <w:sz w:val="24"/>
                <w:szCs w:val="24"/>
              </w:rPr>
              <w:t>方案不全面、合理性较差、针对性较差的，得1分；</w:t>
            </w:r>
            <w:r>
              <w:rPr>
                <w:rFonts w:hint="eastAsia" w:hAnsi="宋体" w:cs="宋体"/>
                <w:sz w:val="24"/>
                <w:szCs w:val="24"/>
              </w:rPr>
              <w:t>未提供或内容不合理不得分。</w:t>
            </w:r>
          </w:p>
        </w:tc>
        <w:tc>
          <w:tcPr>
            <w:tcW w:w="1218" w:type="dxa"/>
            <w:noWrap/>
            <w:vAlign w:val="center"/>
          </w:tcPr>
          <w:p>
            <w:pPr>
              <w:pStyle w:val="33"/>
              <w:spacing w:line="360" w:lineRule="auto"/>
              <w:jc w:val="center"/>
              <w:rPr>
                <w:rFonts w:hAnsi="宋体" w:cs="宋体"/>
                <w:bCs/>
                <w:sz w:val="24"/>
                <w:szCs w:val="24"/>
              </w:rPr>
            </w:pPr>
            <w:r>
              <w:rPr>
                <w:rFonts w:hint="eastAsia" w:hAnsi="宋体" w:cs="宋体"/>
                <w:bCs/>
                <w:sz w:val="24"/>
                <w:szCs w:val="24"/>
              </w:rPr>
              <w:t>4分</w:t>
            </w:r>
          </w:p>
        </w:tc>
        <w:tc>
          <w:tcPr>
            <w:tcW w:w="1368" w:type="dxa"/>
            <w:noWrap/>
            <w:vAlign w:val="center"/>
          </w:tcPr>
          <w:p>
            <w:pPr>
              <w:pStyle w:val="33"/>
              <w:spacing w:line="360" w:lineRule="auto"/>
              <w:jc w:val="center"/>
              <w:rPr>
                <w:rFonts w:hint="eastAsia" w:hAnsi="宋体" w:eastAsia="宋体" w:cs="宋体"/>
                <w:bCs/>
                <w:sz w:val="24"/>
                <w:szCs w:val="24"/>
                <w:lang w:val="en-US" w:eastAsia="zh-CN"/>
              </w:rPr>
            </w:pPr>
            <w:r>
              <w:rPr>
                <w:rFonts w:hint="eastAsia" w:hAnsi="宋体" w:cs="宋体"/>
                <w:bCs/>
                <w:sz w:val="24"/>
                <w:szCs w:val="24"/>
                <w:lang w:val="en-US" w:eastAsia="zh-CN"/>
              </w:rPr>
              <w:t>主观分</w:t>
            </w:r>
          </w:p>
        </w:tc>
      </w:tr>
    </w:tbl>
    <w:p/>
    <w:p>
      <w:pPr>
        <w:rPr>
          <w:rFonts w:ascii="宋体" w:hAnsi="宋体" w:cs="宋体"/>
          <w:b/>
          <w:sz w:val="32"/>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8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8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8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8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8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8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8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废标后，采购机构应当将废标理由通知所有投标人。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rPr>
      </w:pPr>
    </w:p>
    <w:bookmarkEnd w:id="27"/>
    <w:p>
      <w:bookmarkStart w:id="407" w:name="_Toc86217003"/>
      <w:bookmarkStart w:id="408" w:name="第五部分"/>
    </w:p>
    <w:p>
      <w:pPr>
        <w:rPr>
          <w:rFonts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388"/>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p>
    <w:p>
      <w:pPr>
        <w:pStyle w:val="285"/>
        <w:spacing w:before="120" w:line="22" w:lineRule="atLeast"/>
        <w:rPr>
          <w:rFonts w:ascii="宋体" w:hAnsi="宋体" w:eastAsia="宋体" w:cs="宋体"/>
          <w:szCs w:val="24"/>
        </w:rPr>
      </w:pPr>
    </w:p>
    <w:p>
      <w:pPr>
        <w:pStyle w:val="285"/>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宋体" w:hAnsi="宋体" w:cs="宋体"/>
          <w:color w:val="0000FF"/>
          <w:sz w:val="24"/>
          <w:u w:val="single"/>
        </w:rPr>
        <w:t>（采购人）</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hint="eastAsia" w:ascii="宋体" w:hAnsi="宋体" w:cs="宋体"/>
          <w:color w:val="0000FF"/>
          <w:sz w:val="24"/>
          <w:u w:val="single"/>
        </w:rPr>
        <w:t xml:space="preserve">（项目名称）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（中标供应商名称） </w:t>
      </w:r>
      <w:r>
        <w:rPr>
          <w:rFonts w:hint="eastAsia" w:ascii="宋体" w:hAnsi="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color w:val="0000FF"/>
          <w:sz w:val="24"/>
          <w:u w:val="single"/>
        </w:rPr>
        <w:t xml:space="preserve">（采购人） </w:t>
      </w:r>
      <w:r>
        <w:rPr>
          <w:rFonts w:ascii="宋体" w:hAnsi="宋体"/>
          <w:sz w:val="24"/>
          <w:lang w:val="zh-CN"/>
        </w:rPr>
        <w:t>(以下简称：甲方)和</w:t>
      </w:r>
      <w:r>
        <w:rPr>
          <w:rFonts w:ascii="宋体" w:hAnsi="宋体"/>
          <w:sz w:val="24"/>
          <w:u w:val="single"/>
        </w:rPr>
        <w:t xml:space="preserve">   （中标供应商名称）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409" w:name="_Toc22967"/>
      <w:bookmarkStart w:id="410" w:name="_Toc20421"/>
      <w:bookmarkStart w:id="411" w:name="_Toc28855"/>
      <w:bookmarkStart w:id="412" w:name="_Toc19273"/>
      <w:bookmarkStart w:id="413" w:name="_Toc15367"/>
      <w:r>
        <w:rPr>
          <w:rFonts w:ascii="宋体" w:hAnsi="宋体"/>
          <w:b/>
          <w:sz w:val="24"/>
        </w:rPr>
        <w:t xml:space="preserve">1.1 </w:t>
      </w:r>
      <w:r>
        <w:rPr>
          <w:rFonts w:hint="eastAsia" w:ascii="宋体" w:hAnsi="宋体"/>
          <w:b/>
          <w:sz w:val="24"/>
        </w:rPr>
        <w:t>合同组成部分</w:t>
      </w:r>
      <w:bookmarkEnd w:id="409"/>
      <w:bookmarkEnd w:id="410"/>
      <w:bookmarkEnd w:id="411"/>
      <w:bookmarkEnd w:id="412"/>
      <w:bookmarkEnd w:id="413"/>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招标文件（含澄清或者修改文件）；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14" w:name="_Toc22185"/>
      <w:bookmarkStart w:id="415" w:name="_Toc2918"/>
      <w:bookmarkStart w:id="416" w:name="_Toc6311"/>
      <w:bookmarkStart w:id="417" w:name="_Toc18585"/>
      <w:bookmarkStart w:id="418" w:name="_Toc6773"/>
      <w:r>
        <w:rPr>
          <w:rFonts w:ascii="宋体" w:hAnsi="宋体"/>
          <w:b/>
          <w:sz w:val="24"/>
        </w:rPr>
        <w:t xml:space="preserve">1.2 </w:t>
      </w:r>
      <w:r>
        <w:rPr>
          <w:rFonts w:hint="eastAsia" w:ascii="宋体" w:hAnsi="宋体"/>
          <w:b/>
          <w:sz w:val="24"/>
        </w:rPr>
        <w:t>标的</w:t>
      </w:r>
      <w:bookmarkEnd w:id="414"/>
      <w:bookmarkEnd w:id="415"/>
      <w:bookmarkEnd w:id="416"/>
      <w:bookmarkEnd w:id="417"/>
      <w:bookmarkEnd w:id="418"/>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20"/>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否）涉及货物。若涉及货物的，则：</w:t>
      </w:r>
    </w:p>
    <w:p>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lang w:val="en-US" w:eastAsia="zh-CN"/>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jc w:val="center"/>
              <w:rPr>
                <w:rFonts w:hAnsi="宋体"/>
                <w:sz w:val="24"/>
                <w:szCs w:val="24"/>
              </w:rPr>
            </w:pPr>
            <w:r>
              <w:rPr>
                <w:rFonts w:hAnsi="宋体"/>
                <w:sz w:val="24"/>
                <w:szCs w:val="24"/>
              </w:rPr>
              <w:t>序号</w:t>
            </w:r>
          </w:p>
        </w:tc>
        <w:tc>
          <w:tcPr>
            <w:tcW w:w="3402" w:type="dxa"/>
            <w:vAlign w:val="center"/>
          </w:tcPr>
          <w:p>
            <w:pPr>
              <w:pStyle w:val="10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10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Ansi="宋体"/>
                <w:sz w:val="24"/>
                <w:szCs w:val="24"/>
              </w:rPr>
            </w:pPr>
          </w:p>
        </w:tc>
        <w:tc>
          <w:tcPr>
            <w:tcW w:w="3402" w:type="dxa"/>
            <w:vAlign w:val="center"/>
          </w:tcPr>
          <w:p>
            <w:pPr>
              <w:pStyle w:val="108"/>
              <w:spacing w:line="560" w:lineRule="exact"/>
              <w:ind w:firstLine="200"/>
              <w:jc w:val="center"/>
              <w:rPr>
                <w:rFonts w:hAnsi="宋体"/>
                <w:sz w:val="24"/>
                <w:szCs w:val="24"/>
              </w:rPr>
            </w:pPr>
          </w:p>
        </w:tc>
        <w:tc>
          <w:tcPr>
            <w:tcW w:w="2552" w:type="dxa"/>
            <w:vAlign w:val="center"/>
          </w:tcPr>
          <w:p>
            <w:pPr>
              <w:pStyle w:val="10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Ansi="宋体"/>
                <w:sz w:val="24"/>
                <w:szCs w:val="24"/>
              </w:rPr>
            </w:pPr>
          </w:p>
        </w:tc>
        <w:tc>
          <w:tcPr>
            <w:tcW w:w="3402" w:type="dxa"/>
            <w:vAlign w:val="center"/>
          </w:tcPr>
          <w:p>
            <w:pPr>
              <w:pStyle w:val="108"/>
              <w:spacing w:line="560" w:lineRule="exact"/>
              <w:ind w:firstLine="200"/>
              <w:jc w:val="center"/>
              <w:rPr>
                <w:rFonts w:hAnsi="宋体"/>
                <w:sz w:val="24"/>
                <w:szCs w:val="24"/>
              </w:rPr>
            </w:pPr>
          </w:p>
        </w:tc>
        <w:tc>
          <w:tcPr>
            <w:tcW w:w="2552" w:type="dxa"/>
            <w:vAlign w:val="center"/>
          </w:tcPr>
          <w:p>
            <w:pPr>
              <w:pStyle w:val="10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Ansi="宋体"/>
                <w:sz w:val="24"/>
                <w:szCs w:val="24"/>
              </w:rPr>
            </w:pPr>
          </w:p>
        </w:tc>
        <w:tc>
          <w:tcPr>
            <w:tcW w:w="3402" w:type="dxa"/>
            <w:vAlign w:val="center"/>
          </w:tcPr>
          <w:p>
            <w:pPr>
              <w:pStyle w:val="108"/>
              <w:spacing w:line="560" w:lineRule="exact"/>
              <w:ind w:firstLine="200"/>
              <w:jc w:val="center"/>
              <w:rPr>
                <w:rFonts w:hAnsi="宋体"/>
                <w:sz w:val="24"/>
                <w:szCs w:val="24"/>
              </w:rPr>
            </w:pPr>
          </w:p>
        </w:tc>
        <w:tc>
          <w:tcPr>
            <w:tcW w:w="2552" w:type="dxa"/>
            <w:vAlign w:val="center"/>
          </w:tcPr>
          <w:p>
            <w:pPr>
              <w:pStyle w:val="10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Ansi="宋体"/>
                <w:sz w:val="24"/>
                <w:szCs w:val="24"/>
              </w:rPr>
            </w:pPr>
          </w:p>
        </w:tc>
        <w:tc>
          <w:tcPr>
            <w:tcW w:w="3402" w:type="dxa"/>
            <w:vAlign w:val="center"/>
          </w:tcPr>
          <w:p>
            <w:pPr>
              <w:pStyle w:val="108"/>
              <w:spacing w:line="560" w:lineRule="exact"/>
              <w:ind w:firstLine="200"/>
              <w:jc w:val="center"/>
              <w:rPr>
                <w:rFonts w:hAnsi="宋体"/>
                <w:sz w:val="24"/>
                <w:szCs w:val="24"/>
              </w:rPr>
            </w:pPr>
          </w:p>
        </w:tc>
        <w:tc>
          <w:tcPr>
            <w:tcW w:w="2552" w:type="dxa"/>
            <w:vAlign w:val="center"/>
          </w:tcPr>
          <w:p>
            <w:pPr>
              <w:pStyle w:val="10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10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r>
        <w:rPr>
          <w:rFonts w:hint="eastAsia" w:ascii="宋体" w:hAnsi="宋体"/>
          <w:bCs/>
          <w:sz w:val="24"/>
        </w:rPr>
        <w:t>1.3.2单价合同，本合同单价（含税）标准为：</w:t>
      </w:r>
      <w:r>
        <w:rPr>
          <w:rFonts w:ascii="宋体" w:hAnsi="宋体"/>
          <w:sz w:val="24"/>
        </w:rPr>
        <w:t>。</w:t>
      </w:r>
      <w:r>
        <w:rPr>
          <w:rFonts w:hint="eastAsia" w:ascii="宋体" w:hAnsi="宋体"/>
          <w:sz w:val="24"/>
        </w:rPr>
        <w:t>服务工作量的计量方式为：单价合同，在合同履行期间内，根据实际完成的工作量据实结算，但结算总价上限不得超过预算金额或者双方确定的金额￥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pPr>
        <w:pStyle w:val="2"/>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p>
      <w:pPr>
        <w:spacing w:line="560" w:lineRule="exact"/>
        <w:ind w:firstLine="482" w:firstLineChars="200"/>
        <w:outlineLvl w:val="0"/>
        <w:rPr>
          <w:rFonts w:ascii="宋体" w:hAnsi="宋体"/>
          <w:b/>
          <w:sz w:val="24"/>
        </w:rPr>
      </w:pPr>
      <w:bookmarkStart w:id="419" w:name="_Toc3654"/>
      <w:bookmarkStart w:id="420" w:name="_Toc30158"/>
      <w:bookmarkStart w:id="421" w:name="_Toc26916"/>
      <w:bookmarkStart w:id="422" w:name="_Toc30506"/>
      <w:bookmarkStart w:id="423" w:name="_Toc14993"/>
      <w:r>
        <w:rPr>
          <w:rFonts w:ascii="宋体" w:hAnsi="宋体"/>
          <w:b/>
          <w:sz w:val="24"/>
        </w:rPr>
        <w:t>1.4 付款方式和发票开具方式</w:t>
      </w:r>
      <w:bookmarkEnd w:id="419"/>
      <w:bookmarkEnd w:id="420"/>
      <w:bookmarkEnd w:id="421"/>
      <w:bookmarkEnd w:id="422"/>
      <w:bookmarkEnd w:id="423"/>
    </w:p>
    <w:p>
      <w:pPr>
        <w:pStyle w:val="620"/>
        <w:spacing w:before="0" w:beforeAutospacing="0" w:after="0" w:afterAutospacing="0" w:line="360" w:lineRule="auto"/>
        <w:ind w:firstLine="480"/>
        <w:rPr>
          <w:rFonts w:cs="Times New Roman"/>
        </w:rPr>
      </w:pPr>
      <w:r>
        <w:rPr>
          <w:rFonts w:cs="Times New Roman"/>
        </w:rPr>
        <w:t>1.4.1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sz w:val="24"/>
        </w:rPr>
      </w:pPr>
      <w:r>
        <w:rPr>
          <w:rFonts w:ascii="宋体" w:hAnsi="宋体"/>
          <w:sz w:val="24"/>
        </w:rPr>
        <w:t>1.4.3</w:t>
      </w:r>
      <w:r>
        <w:rPr>
          <w:rFonts w:hint="eastAsia" w:ascii="宋体" w:hAnsi="宋体"/>
          <w:sz w:val="24"/>
        </w:rPr>
        <w:t>甲方迟延支付乙方款项的，向乙方支付逾期利息。双方可以在合同专用条款中约定逾期利率，约定利率不得低于合同订立时</w:t>
      </w:r>
      <w:r>
        <w:rPr>
          <w:rFonts w:ascii="宋体" w:hAnsi="宋体"/>
          <w:sz w:val="24"/>
        </w:rPr>
        <w:t>1年</w:t>
      </w:r>
      <w:r>
        <w:rPr>
          <w:rFonts w:hint="eastAsia" w:ascii="宋体" w:hAnsi="宋体"/>
          <w:sz w:val="24"/>
        </w:rPr>
        <w:t>期贷款市场报价利率；未作约定的，按照每日利率万分之五支付逾期利息。</w:t>
      </w:r>
    </w:p>
    <w:p>
      <w:pPr>
        <w:spacing w:line="560" w:lineRule="exact"/>
        <w:ind w:firstLine="480" w:firstLineChars="200"/>
        <w:outlineLvl w:val="0"/>
        <w:rPr>
          <w:rFonts w:ascii="宋体" w:hAnsi="宋体"/>
          <w:sz w:val="24"/>
          <w:highlight w:val="none"/>
        </w:rPr>
      </w:pPr>
      <w:r>
        <w:rPr>
          <w:rFonts w:ascii="宋体" w:hAnsi="宋体"/>
          <w:sz w:val="24"/>
          <w:highlight w:val="none"/>
        </w:rPr>
        <w:t>1.4.4资金支付的方式、时间和条件详见</w:t>
      </w:r>
      <w:r>
        <w:rPr>
          <w:rFonts w:hint="eastAsia" w:ascii="宋体" w:hAnsi="宋体"/>
          <w:b/>
          <w:bCs/>
          <w:sz w:val="24"/>
          <w:highlight w:val="none"/>
        </w:rPr>
        <w:t>招标文件第三部分采购需求</w:t>
      </w:r>
      <w:r>
        <w:rPr>
          <w:rFonts w:hint="eastAsia" w:ascii="宋体" w:hAnsi="宋体"/>
          <w:sz w:val="24"/>
          <w:highlight w:val="none"/>
        </w:rPr>
        <w:t>。</w:t>
      </w:r>
    </w:p>
    <w:p>
      <w:pPr>
        <w:spacing w:line="560" w:lineRule="exact"/>
        <w:ind w:firstLine="482" w:firstLineChars="200"/>
        <w:outlineLvl w:val="0"/>
        <w:rPr>
          <w:rFonts w:ascii="宋体" w:hAnsi="宋体"/>
          <w:b/>
          <w:sz w:val="24"/>
          <w:highlight w:val="none"/>
        </w:rPr>
      </w:pPr>
      <w:bookmarkStart w:id="424" w:name="_Toc3625"/>
      <w:bookmarkStart w:id="425" w:name="_Toc31421"/>
      <w:bookmarkStart w:id="426" w:name="_Toc8772"/>
      <w:bookmarkStart w:id="427" w:name="_Toc4760"/>
      <w:bookmarkStart w:id="428" w:name="_Toc11108"/>
      <w:r>
        <w:rPr>
          <w:rFonts w:ascii="宋体" w:hAnsi="宋体"/>
          <w:b/>
          <w:sz w:val="24"/>
          <w:highlight w:val="none"/>
        </w:rPr>
        <w:t>1.5 履行期限</w:t>
      </w:r>
      <w:r>
        <w:rPr>
          <w:rFonts w:hint="eastAsia" w:ascii="宋体" w:hAnsi="宋体"/>
          <w:b/>
          <w:sz w:val="24"/>
          <w:highlight w:val="none"/>
        </w:rPr>
        <w:t>、地点和方式</w:t>
      </w:r>
      <w:bookmarkEnd w:id="424"/>
      <w:bookmarkEnd w:id="425"/>
      <w:bookmarkEnd w:id="426"/>
      <w:bookmarkEnd w:id="427"/>
      <w:bookmarkEnd w:id="428"/>
    </w:p>
    <w:p>
      <w:pPr>
        <w:spacing w:line="560" w:lineRule="exact"/>
        <w:ind w:firstLine="480" w:firstLineChars="200"/>
        <w:rPr>
          <w:rFonts w:ascii="宋体" w:hAnsi="宋体"/>
          <w:sz w:val="24"/>
          <w:highlight w:val="none"/>
          <w:u w:val="single"/>
        </w:rPr>
      </w:pPr>
      <w:r>
        <w:rPr>
          <w:rFonts w:ascii="宋体" w:hAnsi="宋体"/>
          <w:sz w:val="24"/>
          <w:highlight w:val="none"/>
        </w:rPr>
        <w:t xml:space="preserve">1.5.1 </w:t>
      </w:r>
      <w:r>
        <w:rPr>
          <w:rFonts w:hint="eastAsia" w:ascii="宋体" w:hAnsi="宋体"/>
          <w:sz w:val="24"/>
          <w:highlight w:val="none"/>
        </w:rPr>
        <w:t>履行期限</w:t>
      </w:r>
      <w:r>
        <w:rPr>
          <w:rFonts w:ascii="宋体" w:hAnsi="宋体"/>
          <w:sz w:val="24"/>
          <w:highlight w:val="none"/>
        </w:rPr>
        <w:t>：</w:t>
      </w:r>
      <w:r>
        <w:rPr>
          <w:rFonts w:hint="eastAsia" w:ascii="宋体" w:hAnsi="宋体"/>
          <w:b/>
          <w:bCs/>
          <w:sz w:val="24"/>
          <w:highlight w:val="none"/>
        </w:rPr>
        <w:t>招标文件第三部分采购需求</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1.5.2 </w:t>
      </w:r>
      <w:r>
        <w:rPr>
          <w:rFonts w:hint="eastAsia" w:ascii="宋体" w:hAnsi="宋体"/>
          <w:sz w:val="24"/>
          <w:highlight w:val="none"/>
        </w:rPr>
        <w:t>履行地点</w:t>
      </w:r>
      <w:r>
        <w:rPr>
          <w:rFonts w:ascii="宋体" w:hAnsi="宋体"/>
          <w:sz w:val="24"/>
          <w:highlight w:val="none"/>
        </w:rPr>
        <w:t>：</w:t>
      </w:r>
      <w:r>
        <w:rPr>
          <w:rFonts w:hint="eastAsia" w:ascii="宋体" w:hAnsi="宋体"/>
          <w:b/>
          <w:bCs/>
          <w:sz w:val="24"/>
          <w:highlight w:val="none"/>
        </w:rPr>
        <w:t>招标文件第三部分采购需求</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1.5.3 </w:t>
      </w:r>
      <w:r>
        <w:rPr>
          <w:rFonts w:hint="eastAsia" w:ascii="宋体" w:hAnsi="宋体"/>
          <w:sz w:val="24"/>
          <w:highlight w:val="none"/>
        </w:rPr>
        <w:t>履行方式：</w:t>
      </w:r>
      <w:r>
        <w:rPr>
          <w:rFonts w:hint="eastAsia" w:ascii="宋体" w:hAnsi="宋体"/>
          <w:b/>
          <w:bCs/>
          <w:sz w:val="24"/>
          <w:highlight w:val="none"/>
        </w:rPr>
        <w:t>招标文件第三部分采购需求</w:t>
      </w:r>
      <w:r>
        <w:rPr>
          <w:rFonts w:hint="eastAsia" w:ascii="宋体" w:hAnsi="宋体"/>
          <w:sz w:val="24"/>
          <w:highlight w:val="none"/>
        </w:rPr>
        <w:t>。</w:t>
      </w:r>
    </w:p>
    <w:p>
      <w:pPr>
        <w:spacing w:line="560" w:lineRule="exact"/>
        <w:ind w:firstLine="482" w:firstLineChars="200"/>
        <w:outlineLvl w:val="0"/>
        <w:rPr>
          <w:rFonts w:ascii="宋体" w:hAnsi="宋体"/>
          <w:sz w:val="24"/>
          <w:u w:val="single"/>
        </w:rPr>
      </w:pPr>
      <w:bookmarkStart w:id="429" w:name="_Toc3079"/>
      <w:bookmarkStart w:id="430" w:name="_Toc24662"/>
      <w:bookmarkStart w:id="431" w:name="_Toc2375"/>
      <w:bookmarkStart w:id="432" w:name="_Toc5698"/>
      <w:bookmarkStart w:id="433" w:name="_Toc8586"/>
      <w:r>
        <w:rPr>
          <w:rFonts w:ascii="宋体" w:hAnsi="宋体"/>
          <w:b/>
          <w:sz w:val="24"/>
        </w:rPr>
        <w:t xml:space="preserve">1.6 </w:t>
      </w:r>
      <w:r>
        <w:rPr>
          <w:rFonts w:hint="eastAsia" w:ascii="宋体" w:hAnsi="宋体"/>
          <w:b/>
          <w:sz w:val="24"/>
        </w:rPr>
        <w:t>违约责任</w:t>
      </w:r>
      <w:bookmarkEnd w:id="429"/>
      <w:bookmarkEnd w:id="430"/>
      <w:bookmarkEnd w:id="431"/>
      <w:bookmarkEnd w:id="432"/>
      <w:bookmarkEnd w:id="433"/>
    </w:p>
    <w:p>
      <w:pPr>
        <w:spacing w:line="560" w:lineRule="exact"/>
        <w:ind w:firstLine="480" w:firstLineChars="200"/>
        <w:rPr>
          <w:rFonts w:ascii="宋体" w:hAnsi="宋体"/>
          <w:sz w:val="24"/>
        </w:rPr>
      </w:pPr>
      <w:r>
        <w:rPr>
          <w:rFonts w:ascii="宋体" w:hAnsi="宋体"/>
          <w:sz w:val="24"/>
        </w:rPr>
        <w:t>1.6.1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1.6.2 除不可抗力外，如果甲方没有按照本合同约定的付款方式付款，那么乙方可要求甲方支付违约金</w:t>
      </w:r>
      <w:r>
        <w:rPr>
          <w:rFonts w:hint="eastAsia" w:ascii="宋体" w:hAnsi="宋体"/>
          <w:sz w:val="24"/>
        </w:rPr>
        <w:t>，</w:t>
      </w:r>
      <w:r>
        <w:rPr>
          <w:rFonts w:ascii="宋体" w:hAnsi="宋体"/>
          <w:sz w:val="24"/>
        </w:rPr>
        <w:t>违约金按每迟延</w:t>
      </w:r>
      <w:r>
        <w:rPr>
          <w:rFonts w:hint="eastAsia" w:ascii="宋体" w:hAnsi="宋体"/>
          <w:sz w:val="24"/>
        </w:rPr>
        <w:t>付款</w:t>
      </w:r>
      <w:r>
        <w:rPr>
          <w:rFonts w:ascii="宋体" w:hAnsi="宋体"/>
          <w:sz w:val="24"/>
        </w:rPr>
        <w:t>一日的应付而未付款的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付款</w:t>
      </w:r>
      <w:r>
        <w:rPr>
          <w:rFonts w:ascii="宋体" w:hAnsi="宋体"/>
          <w:sz w:val="24"/>
        </w:rPr>
        <w:t>的违约金计算数额达到前述最高限额之日起</w:t>
      </w:r>
      <w:r>
        <w:rPr>
          <w:rFonts w:hint="eastAsia" w:ascii="宋体" w:hAnsi="宋体"/>
          <w:sz w:val="24"/>
        </w:rPr>
        <w:t>，乙</w:t>
      </w:r>
      <w:r>
        <w:rPr>
          <w:rFonts w:ascii="宋体" w:hAnsi="宋体"/>
          <w:sz w:val="24"/>
        </w:rPr>
        <w:t>方有权在要求甲方支付违约金的同时</w:t>
      </w:r>
      <w:r>
        <w:rPr>
          <w:rFonts w:hint="eastAsia" w:ascii="宋体" w:hAnsi="宋体"/>
          <w:sz w:val="24"/>
        </w:rPr>
        <w:t>，书面通知甲方</w:t>
      </w:r>
      <w:r>
        <w:rPr>
          <w:rFonts w:ascii="宋体" w:hAnsi="宋体"/>
          <w:sz w:val="24"/>
        </w:rPr>
        <w:t>解除本合同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1.6.3 </w:t>
      </w:r>
      <w:r>
        <w:rPr>
          <w:rFonts w:hint="eastAsia" w:ascii="宋体" w:hAnsi="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sz w:val="24"/>
        </w:rPr>
      </w:pPr>
      <w:r>
        <w:rPr>
          <w:rFonts w:ascii="宋体" w:hAnsi="宋体"/>
          <w:sz w:val="24"/>
        </w:rPr>
        <w:t xml:space="preserve">1.6.4 </w:t>
      </w:r>
      <w:r>
        <w:rPr>
          <w:rFonts w:hint="eastAsia" w:ascii="宋体" w:hAnsi="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sz w:val="24"/>
        </w:rPr>
      </w:pPr>
      <w:r>
        <w:rPr>
          <w:rFonts w:ascii="宋体" w:hAnsi="宋体"/>
          <w:sz w:val="24"/>
        </w:rPr>
        <w:t xml:space="preserve">1.6.5 </w:t>
      </w:r>
      <w:r>
        <w:rPr>
          <w:rFonts w:hint="eastAsia" w:ascii="宋体" w:hAnsi="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sz w:val="24"/>
        </w:rPr>
      </w:pPr>
      <w:r>
        <w:rPr>
          <w:rFonts w:ascii="宋体" w:hAnsi="宋体"/>
          <w:sz w:val="24"/>
        </w:rPr>
        <w:t xml:space="preserve">1.6.6 </w:t>
      </w:r>
      <w:r>
        <w:rPr>
          <w:rFonts w:hint="eastAsia" w:ascii="宋体" w:hAnsi="宋体"/>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rPr>
      </w:pPr>
      <w:r>
        <w:rPr>
          <w:rFonts w:ascii="宋体" w:hAnsi="宋体"/>
          <w:sz w:val="24"/>
        </w:rPr>
        <w:t>1.6.7违约责任</w:t>
      </w:r>
      <w:r>
        <w:rPr>
          <w:rFonts w:hint="eastAsia" w:ascii="宋体" w:hAnsi="宋体"/>
          <w:b/>
          <w:i/>
          <w:sz w:val="24"/>
          <w:u w:val="single"/>
        </w:rPr>
        <w:t>合同专用条款</w:t>
      </w:r>
      <w:r>
        <w:rPr>
          <w:rFonts w:hint="eastAsia" w:ascii="宋体" w:hAnsi="宋体"/>
          <w:sz w:val="24"/>
        </w:rPr>
        <w:t>另有约定的，从其约定。</w:t>
      </w:r>
    </w:p>
    <w:p>
      <w:pPr>
        <w:spacing w:line="560" w:lineRule="exact"/>
        <w:ind w:firstLine="482" w:firstLineChars="200"/>
        <w:outlineLvl w:val="0"/>
        <w:rPr>
          <w:rFonts w:ascii="宋体" w:hAnsi="宋体"/>
          <w:b/>
          <w:sz w:val="24"/>
        </w:rPr>
      </w:pPr>
      <w:bookmarkStart w:id="434" w:name="_Toc9497"/>
      <w:bookmarkStart w:id="435" w:name="_Toc32454"/>
      <w:bookmarkStart w:id="436" w:name="_Toc18683"/>
      <w:bookmarkStart w:id="437" w:name="_Toc30329"/>
      <w:bookmarkStart w:id="438" w:name="_Toc26807"/>
      <w:r>
        <w:rPr>
          <w:rFonts w:ascii="宋体" w:hAnsi="宋体"/>
          <w:b/>
          <w:sz w:val="24"/>
        </w:rPr>
        <w:t xml:space="preserve">1.7 </w:t>
      </w:r>
      <w:r>
        <w:rPr>
          <w:rFonts w:hint="eastAsia" w:ascii="宋体" w:hAnsi="宋体"/>
          <w:b/>
          <w:sz w:val="24"/>
        </w:rPr>
        <w:t>合同</w:t>
      </w:r>
      <w:r>
        <w:rPr>
          <w:rFonts w:ascii="宋体" w:hAnsi="宋体"/>
          <w:b/>
          <w:sz w:val="24"/>
        </w:rPr>
        <w:t>争议的解决</w:t>
      </w:r>
      <w:bookmarkEnd w:id="434"/>
      <w:bookmarkEnd w:id="435"/>
      <w:bookmarkEnd w:id="436"/>
      <w:bookmarkEnd w:id="437"/>
      <w:bookmarkEnd w:id="438"/>
    </w:p>
    <w:p>
      <w:pPr>
        <w:spacing w:line="560" w:lineRule="exact"/>
        <w:ind w:left="-61" w:leftChars="-29" w:right="-420" w:rightChars="-200" w:firstLine="240" w:firstLineChars="10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本合同履行过程中发生的任何争议，双方当事人均可通过和解或者调解解决；不愿和解、调解或者和解、调解不成的，可以选择以下第</w:t>
      </w:r>
      <w:r>
        <w:rPr>
          <w:rFonts w:ascii="宋体" w:hAnsi="宋体"/>
          <w:b/>
          <w:i/>
          <w:sz w:val="24"/>
          <w:u w:val="single"/>
        </w:rPr>
        <w:t xml:space="preserve"> 合同专用条款  </w:t>
      </w:r>
      <w:r>
        <w:rPr>
          <w:rFonts w:hint="eastAsia" w:ascii="宋体" w:hAnsi="宋体"/>
          <w:sz w:val="24"/>
        </w:rPr>
        <w:t>条款规定的方式解决：</w:t>
      </w:r>
    </w:p>
    <w:p>
      <w:pPr>
        <w:spacing w:line="560" w:lineRule="exact"/>
        <w:ind w:left="-420" w:leftChars="-200" w:right="-420" w:rightChars="-200" w:firstLine="600" w:firstLineChars="250"/>
        <w:rPr>
          <w:rFonts w:ascii="宋体" w:hAnsi="宋体"/>
          <w:sz w:val="24"/>
        </w:rPr>
      </w:pPr>
      <w:r>
        <w:rPr>
          <w:rFonts w:ascii="宋体" w:hAnsi="宋体"/>
          <w:sz w:val="24"/>
        </w:rPr>
        <w:t xml:space="preserve">1.7.1 </w:t>
      </w:r>
      <w:r>
        <w:rPr>
          <w:rFonts w:hint="eastAsia" w:ascii="宋体" w:hAnsi="宋体"/>
          <w:sz w:val="24"/>
        </w:rPr>
        <w:t>将争议提交</w:t>
      </w:r>
      <w:r>
        <w:rPr>
          <w:rFonts w:hint="eastAsia" w:ascii="宋体" w:hAnsi="宋体"/>
          <w:b/>
          <w:i/>
          <w:sz w:val="24"/>
          <w:u w:val="single"/>
        </w:rPr>
        <w:t>合同专用条款</w:t>
      </w:r>
      <w:r>
        <w:rPr>
          <w:rFonts w:hint="eastAsia" w:ascii="宋体" w:hAnsi="宋体"/>
          <w:sz w:val="24"/>
        </w:rPr>
        <w:t>仲裁委员会依申请仲裁时其现行有效的仲裁规则裁决；</w:t>
      </w:r>
    </w:p>
    <w:p>
      <w:pPr>
        <w:spacing w:line="560" w:lineRule="exact"/>
        <w:ind w:left="-420" w:leftChars="-200" w:right="-420" w:rightChars="-200" w:firstLine="600" w:firstLineChars="250"/>
        <w:rPr>
          <w:rFonts w:ascii="宋体" w:hAnsi="宋体"/>
          <w:sz w:val="24"/>
        </w:rPr>
      </w:pPr>
      <w:r>
        <w:rPr>
          <w:rFonts w:ascii="宋体" w:hAnsi="宋体"/>
          <w:sz w:val="24"/>
        </w:rPr>
        <w:t xml:space="preserve">1.7.2 </w:t>
      </w:r>
      <w:r>
        <w:rPr>
          <w:rFonts w:hint="eastAsia" w:ascii="宋体" w:hAnsi="宋体"/>
          <w:sz w:val="24"/>
        </w:rPr>
        <w:t>向</w:t>
      </w:r>
      <w:r>
        <w:rPr>
          <w:rFonts w:hint="eastAsia" w:ascii="宋体" w:hAnsi="宋体"/>
          <w:b/>
          <w:i/>
          <w:sz w:val="24"/>
          <w:u w:val="single"/>
        </w:rPr>
        <w:t>合同专用条款</w:t>
      </w:r>
      <w:r>
        <w:rPr>
          <w:rFonts w:hint="eastAsia" w:ascii="宋体" w:hAnsi="宋体"/>
          <w:sz w:val="24"/>
        </w:rPr>
        <w:t>人民法院起诉。</w:t>
      </w:r>
    </w:p>
    <w:p>
      <w:pPr>
        <w:spacing w:line="560" w:lineRule="exact"/>
        <w:ind w:firstLine="241" w:firstLineChars="100"/>
        <w:outlineLvl w:val="0"/>
        <w:rPr>
          <w:rFonts w:ascii="宋体" w:hAnsi="宋体"/>
          <w:b/>
          <w:sz w:val="24"/>
        </w:rPr>
      </w:pPr>
      <w:bookmarkStart w:id="439" w:name="_Toc26227"/>
      <w:bookmarkStart w:id="440" w:name="_Toc16417"/>
      <w:bookmarkStart w:id="441" w:name="_Toc23784"/>
      <w:bookmarkStart w:id="442" w:name="_Toc12273"/>
      <w:bookmarkStart w:id="443" w:name="_Toc15827"/>
      <w:r>
        <w:rPr>
          <w:rFonts w:ascii="宋体" w:hAnsi="宋体"/>
          <w:b/>
          <w:sz w:val="24"/>
        </w:rPr>
        <w:t>1.8 合同生效</w:t>
      </w:r>
      <w:bookmarkEnd w:id="439"/>
      <w:bookmarkEnd w:id="440"/>
      <w:bookmarkEnd w:id="441"/>
      <w:bookmarkEnd w:id="442"/>
      <w:bookmarkEnd w:id="443"/>
    </w:p>
    <w:p>
      <w:pPr>
        <w:spacing w:line="560" w:lineRule="exact"/>
        <w:ind w:firstLine="480" w:firstLineChars="200"/>
        <w:rPr>
          <w:rFonts w:ascii="宋体" w:hAnsi="宋体"/>
          <w:b/>
          <w:sz w:val="24"/>
        </w:rPr>
      </w:pPr>
      <w:r>
        <w:rPr>
          <w:rFonts w:ascii="宋体" w:hAnsi="宋体"/>
          <w:sz w:val="24"/>
        </w:rPr>
        <w:t>本合同自</w:t>
      </w:r>
      <w:r>
        <w:rPr>
          <w:rFonts w:hint="eastAsia" w:ascii="宋体" w:hAnsi="宋体"/>
          <w:sz w:val="24"/>
        </w:rPr>
        <w:t>双方当事人盖章或者签字时</w:t>
      </w:r>
      <w:r>
        <w:rPr>
          <w:rFonts w:ascii="宋体" w:hAnsi="宋体"/>
          <w:sz w:val="24"/>
        </w:rPr>
        <w:t>生效。</w:t>
      </w:r>
    </w:p>
    <w:p>
      <w:pPr>
        <w:autoSpaceDE w:val="0"/>
        <w:autoSpaceDN w:val="0"/>
        <w:spacing w:line="560" w:lineRule="exact"/>
        <w:rPr>
          <w:rFonts w:ascii="宋体" w:hAnsi="宋体"/>
          <w:sz w:val="24"/>
          <w:lang w:val="zh-CN"/>
        </w:rPr>
      </w:pPr>
    </w:p>
    <w:p>
      <w:pPr>
        <w:pStyle w:val="2"/>
        <w:rPr>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统一社会信用代码：统一社会信用代码或身份证号码：</w:t>
      </w:r>
    </w:p>
    <w:p>
      <w:pPr>
        <w:autoSpaceDE w:val="0"/>
        <w:autoSpaceDN w:val="0"/>
        <w:spacing w:line="560" w:lineRule="exact"/>
        <w:rPr>
          <w:rFonts w:ascii="宋体" w:hAnsi="宋体"/>
          <w:sz w:val="24"/>
          <w:lang w:val="zh-CN"/>
        </w:rPr>
      </w:pPr>
      <w:r>
        <w:rPr>
          <w:rFonts w:hint="eastAsia" w:ascii="宋体" w:hAnsi="宋体"/>
          <w:sz w:val="24"/>
          <w:lang w:val="zh-CN"/>
        </w:rPr>
        <w:t>住所：住所：</w:t>
      </w:r>
    </w:p>
    <w:p>
      <w:pPr>
        <w:autoSpaceDE w:val="0"/>
        <w:autoSpaceDN w:val="0"/>
        <w:spacing w:line="560" w:lineRule="exact"/>
        <w:rPr>
          <w:rFonts w:ascii="宋体" w:hAnsi="宋体"/>
          <w:sz w:val="24"/>
          <w:lang w:val="zh-CN"/>
        </w:rPr>
      </w:pPr>
      <w:r>
        <w:rPr>
          <w:rFonts w:hint="eastAsia" w:ascii="宋体" w:hAnsi="宋体"/>
          <w:sz w:val="24"/>
          <w:lang w:val="zh-CN"/>
        </w:rPr>
        <w:t>法定代表人或法定代表人或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联系人：联系人：</w:t>
      </w:r>
    </w:p>
    <w:p>
      <w:pPr>
        <w:autoSpaceDE w:val="0"/>
        <w:autoSpaceDN w:val="0"/>
        <w:spacing w:line="560" w:lineRule="exact"/>
        <w:rPr>
          <w:rFonts w:ascii="宋体" w:hAnsi="宋体"/>
          <w:sz w:val="24"/>
          <w:lang w:val="zh-CN"/>
        </w:rPr>
      </w:pPr>
      <w:r>
        <w:rPr>
          <w:rFonts w:hint="eastAsia" w:ascii="宋体" w:hAnsi="宋体"/>
          <w:sz w:val="24"/>
          <w:lang w:val="zh-CN"/>
        </w:rPr>
        <w:t>约定送达地址：约定送达地址：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开户账号：开户账号：</w:t>
      </w:r>
    </w:p>
    <w:p>
      <w:pPr>
        <w:pStyle w:val="388"/>
        <w:spacing w:line="560" w:lineRule="exact"/>
        <w:ind w:firstLine="482"/>
        <w:jc w:val="center"/>
        <w:rPr>
          <w:rFonts w:ascii="宋体" w:hAnsi="宋体"/>
          <w:b/>
          <w:szCs w:val="24"/>
        </w:rPr>
      </w:pPr>
    </w:p>
    <w:p>
      <w:pPr>
        <w:pStyle w:val="388"/>
        <w:spacing w:line="560" w:lineRule="exact"/>
        <w:ind w:firstLine="482"/>
        <w:jc w:val="center"/>
        <w:rPr>
          <w:rFonts w:ascii="宋体" w:hAnsi="宋体"/>
          <w:b/>
          <w:szCs w:val="24"/>
        </w:rPr>
      </w:pPr>
    </w:p>
    <w:p>
      <w:pPr>
        <w:pStyle w:val="388"/>
        <w:spacing w:line="560" w:lineRule="exact"/>
        <w:ind w:firstLine="482"/>
        <w:jc w:val="center"/>
        <w:rPr>
          <w:rFonts w:ascii="宋体" w:hAnsi="宋体"/>
          <w:b/>
          <w:szCs w:val="24"/>
        </w:rPr>
      </w:pPr>
    </w:p>
    <w:p>
      <w:pPr>
        <w:pStyle w:val="388"/>
        <w:spacing w:line="560" w:lineRule="exact"/>
        <w:ind w:firstLine="482"/>
        <w:jc w:val="center"/>
        <w:rPr>
          <w:rFonts w:ascii="宋体" w:hAnsi="宋体"/>
          <w:b/>
          <w:szCs w:val="24"/>
        </w:rPr>
      </w:pPr>
    </w:p>
    <w:p>
      <w:pPr>
        <w:pStyle w:val="388"/>
        <w:spacing w:line="560" w:lineRule="exact"/>
        <w:ind w:firstLine="482"/>
        <w:jc w:val="center"/>
        <w:rPr>
          <w:rFonts w:ascii="宋体" w:hAnsi="宋体"/>
          <w:b/>
          <w:szCs w:val="24"/>
        </w:rPr>
      </w:pPr>
    </w:p>
    <w:p>
      <w:pPr>
        <w:pStyle w:val="388"/>
        <w:spacing w:line="560" w:lineRule="exact"/>
        <w:ind w:firstLine="482"/>
        <w:jc w:val="center"/>
        <w:rPr>
          <w:rFonts w:ascii="宋体" w:hAnsi="宋体"/>
          <w:b/>
          <w:szCs w:val="24"/>
        </w:rPr>
      </w:pPr>
    </w:p>
    <w:p>
      <w:pPr>
        <w:pStyle w:val="388"/>
        <w:spacing w:line="560" w:lineRule="exact"/>
        <w:ind w:firstLine="482"/>
        <w:jc w:val="center"/>
        <w:rPr>
          <w:rFonts w:ascii="宋体" w:hAnsi="宋体"/>
          <w:b/>
          <w:szCs w:val="24"/>
        </w:rPr>
      </w:pPr>
    </w:p>
    <w:p>
      <w:pPr>
        <w:pStyle w:val="6"/>
        <w:rPr>
          <w:rFonts w:ascii="宋体" w:hAnsi="宋体"/>
          <w:b/>
          <w:szCs w:val="24"/>
        </w:rPr>
      </w:pPr>
    </w:p>
    <w:p>
      <w:pPr>
        <w:pStyle w:val="6"/>
        <w:rPr>
          <w:rFonts w:ascii="宋体" w:hAnsi="宋体"/>
          <w:b/>
          <w:szCs w:val="24"/>
        </w:rPr>
      </w:pPr>
    </w:p>
    <w:p>
      <w:pPr>
        <w:pStyle w:val="6"/>
        <w:rPr>
          <w:rFonts w:ascii="宋体" w:hAnsi="宋体"/>
          <w:b/>
          <w:szCs w:val="24"/>
        </w:rPr>
      </w:pPr>
    </w:p>
    <w:p>
      <w:pPr>
        <w:pStyle w:val="388"/>
        <w:spacing w:line="560" w:lineRule="exact"/>
        <w:ind w:firstLine="482"/>
        <w:jc w:val="center"/>
        <w:rPr>
          <w:rFonts w:ascii="宋体" w:hAnsi="宋体"/>
          <w:b/>
          <w:szCs w:val="24"/>
        </w:rPr>
      </w:pPr>
    </w:p>
    <w:p>
      <w:pPr>
        <w:pStyle w:val="388"/>
        <w:spacing w:line="560" w:lineRule="exact"/>
        <w:ind w:firstLine="482"/>
        <w:jc w:val="center"/>
        <w:rPr>
          <w:rFonts w:ascii="宋体" w:hAnsi="宋体"/>
          <w:b/>
          <w:szCs w:val="24"/>
        </w:rPr>
      </w:pPr>
      <w:r>
        <w:rPr>
          <w:rFonts w:hint="eastAsia" w:ascii="宋体" w:hAnsi="宋体"/>
          <w:b/>
          <w:szCs w:val="24"/>
        </w:rPr>
        <w:t>第二部分合同一般条款</w:t>
      </w:r>
    </w:p>
    <w:p>
      <w:pPr>
        <w:spacing w:line="560" w:lineRule="exact"/>
        <w:ind w:firstLine="482" w:firstLineChars="200"/>
        <w:outlineLvl w:val="0"/>
        <w:rPr>
          <w:rFonts w:ascii="宋体" w:hAnsi="宋体"/>
          <w:b/>
          <w:sz w:val="24"/>
        </w:rPr>
      </w:pPr>
      <w:bookmarkStart w:id="444" w:name="_Toc14021"/>
      <w:bookmarkStart w:id="445" w:name="_Toc5228"/>
      <w:bookmarkStart w:id="446" w:name="_Toc19680"/>
      <w:bookmarkStart w:id="447" w:name="_Toc25079"/>
      <w:bookmarkStart w:id="448" w:name="_Toc31297"/>
      <w:r>
        <w:rPr>
          <w:rFonts w:ascii="宋体" w:hAnsi="宋体"/>
          <w:b/>
          <w:sz w:val="24"/>
        </w:rPr>
        <w:t>2.1 定义</w:t>
      </w:r>
      <w:bookmarkEnd w:id="444"/>
      <w:bookmarkEnd w:id="445"/>
      <w:bookmarkEnd w:id="446"/>
      <w:bookmarkEnd w:id="447"/>
      <w:bookmarkEnd w:id="448"/>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“合同价”系指根据合同约定，中标供应商在完全履行合同义务后</w:t>
      </w:r>
      <w:r>
        <w:rPr>
          <w:rFonts w:hint="eastAsia" w:ascii="宋体" w:hAnsi="宋体"/>
          <w:sz w:val="24"/>
        </w:rPr>
        <w:t>，</w:t>
      </w:r>
      <w:r>
        <w:rPr>
          <w:rFonts w:ascii="宋体" w:hAnsi="宋体"/>
          <w:sz w:val="24"/>
        </w:rPr>
        <w:t>采购人应支付给中标供应商的价格。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sz w:val="24"/>
        </w:rPr>
        <w:t>中标供应商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sz w:val="24"/>
        </w:rPr>
        <w:t>中标供应商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“乙方”系指根据合同约定提供服务的中标供应商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9" w:name="_Toc31402"/>
      <w:bookmarkStart w:id="450" w:name="_Toc19539"/>
      <w:bookmarkStart w:id="451" w:name="_Toc23289"/>
      <w:bookmarkStart w:id="452" w:name="_Toc16752"/>
      <w:bookmarkStart w:id="453" w:name="_Toc3769"/>
      <w:r>
        <w:rPr>
          <w:rFonts w:ascii="宋体" w:hAnsi="宋体"/>
          <w:b/>
          <w:sz w:val="24"/>
        </w:rPr>
        <w:t>2.2 技术规范</w:t>
      </w:r>
      <w:bookmarkEnd w:id="449"/>
      <w:bookmarkEnd w:id="450"/>
      <w:bookmarkEnd w:id="451"/>
      <w:bookmarkEnd w:id="452"/>
      <w:bookmarkEnd w:id="453"/>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54" w:name="_Toc12412"/>
      <w:bookmarkStart w:id="455" w:name="_Toc9161"/>
      <w:bookmarkStart w:id="456" w:name="_Toc13673"/>
      <w:bookmarkStart w:id="457" w:name="_Toc27945"/>
      <w:bookmarkStart w:id="458" w:name="_Toc4133"/>
      <w:r>
        <w:rPr>
          <w:rFonts w:ascii="宋体" w:hAnsi="宋体"/>
          <w:b/>
          <w:sz w:val="24"/>
        </w:rPr>
        <w:t>2.3 知识产权</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9" w:name="_Toc32670"/>
      <w:bookmarkStart w:id="460" w:name="_Toc15447"/>
      <w:bookmarkStart w:id="461" w:name="_Toc31233"/>
      <w:bookmarkStart w:id="462" w:name="_Toc22011"/>
      <w:bookmarkStart w:id="463" w:name="_Toc26555"/>
      <w:r>
        <w:rPr>
          <w:rFonts w:ascii="宋体" w:hAnsi="宋体"/>
          <w:b/>
          <w:sz w:val="24"/>
        </w:rPr>
        <w:t>2.5 结算方式和付款条件</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64" w:name="_Toc13154"/>
      <w:bookmarkStart w:id="465" w:name="_Toc16163"/>
      <w:bookmarkStart w:id="466" w:name="_Toc13467"/>
      <w:bookmarkStart w:id="467" w:name="_Toc18990"/>
      <w:bookmarkStart w:id="468" w:name="_Toc30507"/>
      <w:r>
        <w:rPr>
          <w:rFonts w:ascii="宋体" w:hAnsi="宋体"/>
          <w:b/>
          <w:sz w:val="24"/>
        </w:rPr>
        <w:t>2.6 技术资料和保密义务</w:t>
      </w:r>
      <w:bookmarkEnd w:id="464"/>
      <w:bookmarkEnd w:id="465"/>
      <w:bookmarkEnd w:id="466"/>
      <w:bookmarkEnd w:id="467"/>
      <w:bookmarkEnd w:id="468"/>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9" w:name="_Toc19069"/>
      <w:r>
        <w:rPr>
          <w:rFonts w:ascii="宋体" w:hAnsi="宋体"/>
          <w:b/>
          <w:sz w:val="24"/>
        </w:rPr>
        <w:t xml:space="preserve">2.7 </w:t>
      </w:r>
      <w:r>
        <w:rPr>
          <w:rFonts w:hint="eastAsia" w:ascii="宋体" w:hAnsi="宋体"/>
          <w:b/>
          <w:sz w:val="24"/>
        </w:rPr>
        <w:t>质量保证</w:t>
      </w:r>
      <w:bookmarkEnd w:id="469"/>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70" w:name="_Toc22267"/>
      <w:r>
        <w:rPr>
          <w:rFonts w:ascii="宋体" w:hAnsi="宋体"/>
          <w:b/>
          <w:sz w:val="24"/>
        </w:rPr>
        <w:t xml:space="preserve">2.8 </w:t>
      </w:r>
      <w:r>
        <w:rPr>
          <w:rFonts w:hint="eastAsia" w:ascii="宋体" w:hAnsi="宋体"/>
          <w:b/>
          <w:sz w:val="24"/>
        </w:rPr>
        <w:t>延迟履行</w:t>
      </w:r>
      <w:bookmarkEnd w:id="470"/>
    </w:p>
    <w:p>
      <w:pPr>
        <w:spacing w:line="560" w:lineRule="exact"/>
        <w:ind w:firstLine="480" w:firstLineChars="200"/>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71" w:name="_Toc10611"/>
      <w:r>
        <w:rPr>
          <w:rFonts w:ascii="宋体" w:hAnsi="宋体"/>
          <w:b/>
          <w:sz w:val="24"/>
        </w:rPr>
        <w:t xml:space="preserve">2.9 </w:t>
      </w:r>
      <w:r>
        <w:rPr>
          <w:rFonts w:hint="eastAsia" w:ascii="宋体" w:hAnsi="宋体"/>
          <w:b/>
          <w:sz w:val="24"/>
        </w:rPr>
        <w:t>合同变更</w:t>
      </w:r>
      <w:bookmarkEnd w:id="471"/>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72" w:name="_Toc42"/>
      <w:bookmarkStart w:id="473" w:name="_Toc26689"/>
      <w:bookmarkStart w:id="474" w:name="_Toc23368"/>
      <w:bookmarkStart w:id="475" w:name="_Toc21830"/>
      <w:bookmarkStart w:id="476" w:name="_Toc10663"/>
      <w:r>
        <w:rPr>
          <w:rFonts w:ascii="宋体" w:hAnsi="宋体"/>
          <w:b/>
          <w:sz w:val="24"/>
        </w:rPr>
        <w:t>2.10 合同转让和分包</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7" w:name="_Toc14371"/>
      <w:bookmarkStart w:id="478" w:name="_Toc32494"/>
      <w:bookmarkStart w:id="479" w:name="_Toc25571"/>
      <w:bookmarkStart w:id="480" w:name="_Toc4720"/>
      <w:bookmarkStart w:id="481" w:name="_Toc26633"/>
      <w:r>
        <w:rPr>
          <w:rFonts w:ascii="宋体" w:hAnsi="宋体"/>
          <w:b/>
          <w:sz w:val="24"/>
        </w:rPr>
        <w:t>2.11 不可抗力</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82" w:name="_Toc14115"/>
      <w:bookmarkStart w:id="483" w:name="_Toc24465"/>
      <w:bookmarkStart w:id="484" w:name="_Toc3638"/>
      <w:bookmarkStart w:id="485" w:name="_Toc23854"/>
      <w:bookmarkStart w:id="486" w:name="_Toc25783"/>
      <w:r>
        <w:rPr>
          <w:rFonts w:ascii="宋体" w:hAnsi="宋体"/>
          <w:b/>
          <w:sz w:val="24"/>
        </w:rPr>
        <w:t>2.12 税费</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7" w:name="_Toc26883"/>
      <w:bookmarkStart w:id="488" w:name="_Toc25525"/>
      <w:bookmarkStart w:id="489" w:name="_Toc7315"/>
      <w:bookmarkStart w:id="490" w:name="_Toc14814"/>
      <w:bookmarkStart w:id="491" w:name="_Toc30105"/>
      <w:r>
        <w:rPr>
          <w:rFonts w:ascii="宋体" w:hAnsi="宋体"/>
          <w:b/>
          <w:sz w:val="24"/>
        </w:rPr>
        <w:t>2.13 乙方破产</w:t>
      </w:r>
      <w:bookmarkEnd w:id="487"/>
      <w:bookmarkEnd w:id="488"/>
      <w:bookmarkEnd w:id="489"/>
      <w:bookmarkEnd w:id="490"/>
      <w:bookmarkEnd w:id="491"/>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92" w:name="_Toc1123"/>
      <w:bookmarkStart w:id="493" w:name="_Toc2016"/>
      <w:bookmarkStart w:id="494" w:name="_Toc23323"/>
      <w:r>
        <w:rPr>
          <w:rFonts w:ascii="宋体" w:hAnsi="宋体"/>
          <w:b/>
          <w:sz w:val="24"/>
        </w:rPr>
        <w:t>2.14 合同中止、终止</w:t>
      </w:r>
      <w:bookmarkEnd w:id="492"/>
      <w:bookmarkEnd w:id="493"/>
      <w:bookmarkEnd w:id="494"/>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5" w:name="_Toc17363"/>
      <w:bookmarkStart w:id="496" w:name="_Toc1969"/>
      <w:bookmarkStart w:id="497" w:name="_Toc14525"/>
      <w:r>
        <w:rPr>
          <w:rFonts w:ascii="宋体" w:hAnsi="宋体"/>
          <w:b/>
          <w:sz w:val="24"/>
        </w:rPr>
        <w:t>2.15 检验和验收</w:t>
      </w:r>
      <w:bookmarkEnd w:id="495"/>
      <w:bookmarkEnd w:id="496"/>
      <w:bookmarkEnd w:id="497"/>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8" w:name="_Toc31892"/>
      <w:bookmarkStart w:id="499" w:name="_Toc2308"/>
      <w:bookmarkStart w:id="500" w:name="_Toc9808"/>
      <w:bookmarkStart w:id="501" w:name="_Toc25198"/>
      <w:bookmarkStart w:id="502" w:name="_Toc12666"/>
      <w:r>
        <w:rPr>
          <w:rFonts w:ascii="宋体" w:hAnsi="宋体"/>
          <w:b/>
          <w:sz w:val="24"/>
        </w:rPr>
        <w:t>2.16 通知和送达</w:t>
      </w:r>
      <w:bookmarkEnd w:id="498"/>
      <w:bookmarkEnd w:id="499"/>
      <w:bookmarkEnd w:id="500"/>
      <w:bookmarkEnd w:id="501"/>
      <w:bookmarkEnd w:id="502"/>
    </w:p>
    <w:p>
      <w:pPr>
        <w:spacing w:line="560" w:lineRule="exact"/>
        <w:ind w:firstLine="480" w:firstLineChars="200"/>
        <w:rPr>
          <w:rFonts w:ascii="宋体" w:hAnsi="宋体"/>
          <w:sz w:val="24"/>
        </w:rPr>
      </w:pPr>
      <w:bookmarkStart w:id="503" w:name="_Toc27674"/>
      <w:bookmarkStart w:id="504" w:name="_Toc18401"/>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3"/>
      <w:bookmarkEnd w:id="504"/>
    </w:p>
    <w:p>
      <w:pPr>
        <w:spacing w:line="560" w:lineRule="exact"/>
        <w:ind w:firstLine="482" w:firstLineChars="200"/>
        <w:outlineLvl w:val="0"/>
        <w:rPr>
          <w:rFonts w:ascii="宋体" w:hAnsi="宋体"/>
          <w:b/>
          <w:sz w:val="24"/>
        </w:rPr>
      </w:pPr>
      <w:bookmarkStart w:id="505" w:name="_Toc12254"/>
      <w:bookmarkStart w:id="506" w:name="_Toc5063"/>
      <w:bookmarkStart w:id="507" w:name="_Toc20808"/>
      <w:bookmarkStart w:id="508" w:name="_Toc28906"/>
      <w:bookmarkStart w:id="509"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5"/>
      <w:bookmarkEnd w:id="506"/>
      <w:bookmarkEnd w:id="507"/>
      <w:bookmarkEnd w:id="508"/>
      <w:bookmarkEnd w:id="509"/>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b/>
          <w:sz w:val="24"/>
        </w:rPr>
      </w:pPr>
      <w:bookmarkStart w:id="510" w:name="_Toc27403"/>
      <w:bookmarkStart w:id="511" w:name="_Toc30096"/>
      <w:bookmarkStart w:id="512" w:name="_Toc27127"/>
      <w:bookmarkStart w:id="513" w:name="_Toc22266"/>
      <w:bookmarkStart w:id="514" w:name="_Toc1492"/>
      <w:r>
        <w:rPr>
          <w:rFonts w:ascii="宋体" w:hAnsi="宋体"/>
          <w:b/>
          <w:sz w:val="24"/>
        </w:rPr>
        <w:t>2.18 履约保证金</w:t>
      </w:r>
      <w:bookmarkEnd w:id="510"/>
      <w:bookmarkEnd w:id="511"/>
      <w:bookmarkEnd w:id="512"/>
      <w:bookmarkEnd w:id="513"/>
      <w:bookmarkEnd w:id="514"/>
    </w:p>
    <w:p>
      <w:pPr>
        <w:pStyle w:val="620"/>
        <w:spacing w:before="0" w:beforeAutospacing="0" w:after="0" w:afterAutospacing="0" w:line="360" w:lineRule="auto"/>
        <w:ind w:firstLine="420"/>
      </w:pPr>
      <w:r>
        <w:t xml:space="preserve">2.18.1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1%的履约保证金；鼓励和支持乙方以银行、保险公司出具的保函形式提供履约保证</w:t>
      </w:r>
      <w:r>
        <w:rPr>
          <w:rFonts w:hint="eastAsia"/>
        </w:rPr>
        <w:t>，乙方以银行、保险公司出具保函形式提交履约保证金的，甲方不得拒收。</w:t>
      </w:r>
    </w:p>
    <w:p>
      <w:pPr>
        <w:spacing w:line="560" w:lineRule="exact"/>
        <w:ind w:firstLine="480" w:firstLineChars="200"/>
        <w:rPr>
          <w:rFonts w:ascii="宋体" w:hAnsi="宋体"/>
          <w:sz w:val="24"/>
        </w:rPr>
      </w:pPr>
      <w:r>
        <w:rPr>
          <w:rFonts w:ascii="宋体" w:hAnsi="宋体"/>
          <w:sz w:val="24"/>
        </w:rPr>
        <w:t xml:space="preserve">2.18.2  </w:t>
      </w:r>
      <w:r>
        <w:rPr>
          <w:rFonts w:hint="eastAsia" w:ascii="宋体" w:hAnsi="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b/>
          <w:i/>
          <w:sz w:val="24"/>
          <w:u w:val="single"/>
        </w:rPr>
        <w:t>合同专用条款</w:t>
      </w:r>
      <w:r>
        <w:rPr>
          <w:rFonts w:hint="eastAsia" w:ascii="宋体" w:hAnsi="宋体" w:cs="宋体"/>
          <w:sz w:val="24"/>
        </w:rPr>
        <w:t>个工作日内将履约保证金退还乙方，逾期退还的，</w:t>
      </w:r>
      <w:r>
        <w:rPr>
          <w:rFonts w:hint="eastAsia" w:ascii="宋体" w:hAnsi="宋体"/>
          <w:sz w:val="24"/>
        </w:rPr>
        <w:t>乙方可要求甲方支付违约金，违约金按每迟延退还一日的应退还而未退还金额的</w:t>
      </w:r>
      <w:r>
        <w:rPr>
          <w:rFonts w:ascii="宋体" w:hAnsi="宋体"/>
          <w:sz w:val="24"/>
          <w:u w:val="single"/>
        </w:rPr>
        <w:t xml:space="preserve">  0.05  </w:t>
      </w:r>
      <w:r>
        <w:rPr>
          <w:rFonts w:ascii="宋体" w:hAnsi="宋体"/>
          <w:sz w:val="24"/>
        </w:rPr>
        <w:t>%计算，最高限额为本合同履约保证金的</w:t>
      </w:r>
      <w:r>
        <w:rPr>
          <w:rFonts w:ascii="宋体" w:hAnsi="宋体"/>
          <w:sz w:val="24"/>
          <w:u w:val="single"/>
        </w:rPr>
        <w:t xml:space="preserve">  20   </w:t>
      </w:r>
      <w:r>
        <w:rPr>
          <w:rFonts w:ascii="宋体" w:hAnsi="宋体"/>
          <w:sz w:val="24"/>
        </w:rPr>
        <w:t xml:space="preserve">%； </w:t>
      </w:r>
    </w:p>
    <w:p>
      <w:pPr>
        <w:spacing w:line="560" w:lineRule="exact"/>
        <w:ind w:firstLine="480" w:firstLineChars="200"/>
        <w:rPr>
          <w:rFonts w:ascii="宋体" w:hAnsi="宋体"/>
          <w:sz w:val="24"/>
        </w:rPr>
      </w:pPr>
      <w:r>
        <w:rPr>
          <w:rFonts w:ascii="宋体" w:hAnsi="宋体"/>
          <w:sz w:val="24"/>
        </w:rPr>
        <w:t xml:space="preserve">2.18.3 </w:t>
      </w:r>
      <w:r>
        <w:rPr>
          <w:rFonts w:hint="eastAsia" w:ascii="宋体" w:hAnsi="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rPr>
      </w:pPr>
      <w:r>
        <w:rPr>
          <w:rFonts w:ascii="宋体" w:hAnsi="宋体"/>
          <w:sz w:val="24"/>
        </w:rPr>
        <w:t>2.18.4</w:t>
      </w:r>
      <w:r>
        <w:rPr>
          <w:rFonts w:hint="eastAsia" w:ascii="宋体" w:hAnsi="宋体"/>
          <w:sz w:val="24"/>
        </w:rPr>
        <w:t> 甲方</w:t>
      </w:r>
      <w:r>
        <w:rPr>
          <w:rFonts w:ascii="宋体" w:hAnsi="宋体"/>
          <w:sz w:val="24"/>
        </w:rPr>
        <w:t>在</w:t>
      </w:r>
      <w:r>
        <w:rPr>
          <w:rFonts w:hint="eastAsia" w:ascii="宋体" w:hAnsi="宋体"/>
          <w:sz w:val="24"/>
        </w:rPr>
        <w:t>乙方</w:t>
      </w:r>
      <w:r>
        <w:rPr>
          <w:rFonts w:ascii="宋体" w:hAnsi="宋体"/>
          <w:sz w:val="24"/>
        </w:rPr>
        <w:t>履行完合同约定义务事项后及时退还，延迟退还的，应当按照合同约定和法律规定承担相应的赔偿责任。</w:t>
      </w:r>
    </w:p>
    <w:p>
      <w:pPr>
        <w:spacing w:line="560" w:lineRule="exact"/>
        <w:ind w:firstLine="482" w:firstLineChars="200"/>
        <w:rPr>
          <w:rFonts w:ascii="宋体" w:hAnsi="宋体"/>
          <w:sz w:val="24"/>
        </w:rPr>
      </w:pPr>
      <w:r>
        <w:rPr>
          <w:rFonts w:ascii="宋体" w:hAnsi="宋体"/>
          <w:b/>
          <w:bCs/>
          <w:sz w:val="24"/>
        </w:rPr>
        <w:t>2.19</w:t>
      </w:r>
      <w:r>
        <w:rPr>
          <w:rFonts w:ascii="宋体" w:hAnsi="宋体"/>
          <w:sz w:val="24"/>
        </w:rPr>
        <w:t>对于因甲方原因导致变更、中止或者终止政府采购合同的，甲方应当依照合同约定对供应商受到的损失予以赔偿或者补偿</w:t>
      </w:r>
      <w:r>
        <w:rPr>
          <w:rFonts w:hint="eastAsia" w:ascii="宋体" w:hAnsi="宋体"/>
          <w:sz w:val="24"/>
        </w:rPr>
        <w:t>。</w:t>
      </w:r>
    </w:p>
    <w:p>
      <w:pPr>
        <w:spacing w:line="560" w:lineRule="exact"/>
        <w:ind w:firstLine="482" w:firstLineChars="200"/>
        <w:rPr>
          <w:rFonts w:ascii="宋体" w:hAnsi="宋体"/>
          <w:b/>
          <w:sz w:val="24"/>
        </w:rPr>
      </w:pPr>
      <w:r>
        <w:rPr>
          <w:rFonts w:ascii="宋体" w:hAnsi="宋体"/>
          <w:b/>
          <w:sz w:val="24"/>
        </w:rPr>
        <w:t>2.20合同份数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15" w:name="_Toc331685784"/>
      <w:bookmarkEnd w:id="515"/>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74"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74"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74"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8174"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174"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tcPr>
          <w:p>
            <w:pPr>
              <w:spacing w:line="360" w:lineRule="auto"/>
              <w:rPr>
                <w:rFonts w:ascii="宋体" w:hAnsi="宋体" w:cs="宋体"/>
                <w:sz w:val="24"/>
              </w:rPr>
            </w:pPr>
            <w:r>
              <w:rPr>
                <w:rFonts w:hint="eastAsia" w:ascii="宋体" w:hAnsi="宋体" w:cs="宋体"/>
                <w:sz w:val="24"/>
              </w:rPr>
              <w:t>2.20</w:t>
            </w:r>
          </w:p>
        </w:tc>
        <w:tc>
          <w:tcPr>
            <w:tcW w:w="8174" w:type="dxa"/>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left"/>
        <w:rPr>
          <w:rFonts w:ascii="宋体" w:hAnsi="宋体" w:cs="宋体"/>
          <w:b/>
          <w:sz w:val="36"/>
          <w:szCs w:val="20"/>
        </w:rPr>
      </w:pPr>
      <w:r>
        <w:rPr>
          <w:rFonts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7"/>
      <w:bookmarkEnd w:id="408"/>
      <w:r>
        <w:rPr>
          <w:rFonts w:hint="eastAsia" w:ascii="宋体" w:hAnsi="宋体" w:cs="宋体"/>
          <w:b/>
          <w:sz w:val="36"/>
          <w:szCs w:val="20"/>
        </w:rPr>
        <w:t>应提交的有关格式范例</w:t>
      </w:r>
    </w:p>
    <w:p>
      <w:pPr>
        <w:pStyle w:val="2"/>
        <w:rPr>
          <w:rFonts w:ascii="宋体" w:hAnsi="宋体" w:eastAsia="宋体" w:cs="宋体"/>
          <w:kern w:val="0"/>
          <w:sz w:val="36"/>
          <w:szCs w:val="36"/>
        </w:rPr>
      </w:pPr>
    </w:p>
    <w:p>
      <w:pPr>
        <w:snapToGrid w:val="0"/>
        <w:spacing w:line="360" w:lineRule="auto"/>
        <w:rPr>
          <w:rFonts w:ascii="宋体" w:hAnsi="宋体" w:cs="宋体"/>
          <w:b/>
          <w:sz w:val="24"/>
        </w:rPr>
      </w:pPr>
      <w:r>
        <w:rPr>
          <w:rFonts w:hint="eastAsia" w:ascii="宋体" w:hAnsi="宋体" w:cs="宋体"/>
          <w:b/>
          <w:sz w:val="24"/>
        </w:rPr>
        <w:t>一、投标人提交投标文件须知：</w:t>
      </w:r>
    </w:p>
    <w:p>
      <w:pPr>
        <w:snapToGrid w:val="0"/>
        <w:spacing w:line="360" w:lineRule="auto"/>
        <w:ind w:firstLine="480" w:firstLineChars="200"/>
        <w:rPr>
          <w:rFonts w:ascii="宋体" w:hAnsi="宋体" w:cs="宋体"/>
          <w:sz w:val="24"/>
        </w:rPr>
      </w:pPr>
      <w:r>
        <w:rPr>
          <w:rFonts w:hint="eastAsia" w:ascii="宋体" w:hAnsi="宋体" w:cs="宋体"/>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宋体" w:hAnsi="宋体" w:cs="宋体"/>
          <w:sz w:val="24"/>
        </w:rPr>
      </w:pPr>
      <w:r>
        <w:rPr>
          <w:rFonts w:hint="eastAsia" w:ascii="宋体" w:hAnsi="宋体" w:cs="宋体"/>
          <w:sz w:val="24"/>
        </w:rPr>
        <w:t>2、所附表格中要求回答的全部问题和/或信息都必须正面回答。</w:t>
      </w:r>
    </w:p>
    <w:p>
      <w:pPr>
        <w:snapToGrid w:val="0"/>
        <w:spacing w:line="360" w:lineRule="auto"/>
        <w:ind w:firstLine="480" w:firstLineChars="200"/>
        <w:rPr>
          <w:rFonts w:ascii="宋体" w:hAnsi="宋体" w:cs="宋体"/>
          <w:sz w:val="24"/>
        </w:rPr>
      </w:pPr>
      <w:r>
        <w:rPr>
          <w:rFonts w:hint="eastAsia" w:ascii="宋体" w:hAnsi="宋体" w:cs="宋体"/>
          <w:sz w:val="24"/>
        </w:rPr>
        <w:t>3、本声明书的签字人应保证全部声明和问题的回答是真实的和准确的。</w:t>
      </w:r>
    </w:p>
    <w:p>
      <w:pPr>
        <w:snapToGrid w:val="0"/>
        <w:spacing w:line="360" w:lineRule="auto"/>
        <w:ind w:firstLine="480" w:firstLineChars="200"/>
        <w:rPr>
          <w:rFonts w:ascii="宋体" w:hAnsi="宋体" w:cs="宋体"/>
          <w:sz w:val="24"/>
        </w:rPr>
      </w:pPr>
      <w:r>
        <w:rPr>
          <w:rFonts w:hint="eastAsia" w:ascii="宋体" w:hAnsi="宋体" w:cs="宋体"/>
          <w:sz w:val="24"/>
        </w:rPr>
        <w:t>4、评标委员会将应用投标人提交的资料作出自己的判断。</w:t>
      </w:r>
    </w:p>
    <w:p>
      <w:pPr>
        <w:snapToGrid w:val="0"/>
        <w:spacing w:line="360" w:lineRule="auto"/>
        <w:ind w:firstLine="480" w:firstLineChars="200"/>
        <w:rPr>
          <w:rFonts w:ascii="宋体" w:hAnsi="宋体" w:cs="宋体"/>
          <w:sz w:val="24"/>
        </w:rPr>
      </w:pPr>
      <w:r>
        <w:rPr>
          <w:rFonts w:hint="eastAsia" w:ascii="宋体" w:hAnsi="宋体" w:cs="宋体"/>
          <w:sz w:val="24"/>
        </w:rPr>
        <w:t>5、投标人提交的材料将在一定期限内被保密保存，但不退还。</w:t>
      </w:r>
    </w:p>
    <w:p>
      <w:pPr>
        <w:snapToGrid w:val="0"/>
        <w:spacing w:line="360" w:lineRule="auto"/>
        <w:ind w:firstLine="480" w:firstLineChars="200"/>
        <w:rPr>
          <w:rFonts w:ascii="宋体" w:hAnsi="宋体" w:cs="宋体"/>
          <w:sz w:val="24"/>
          <w:lang w:val="zh-CN"/>
        </w:rPr>
      </w:pPr>
      <w:r>
        <w:rPr>
          <w:rFonts w:hint="eastAsia" w:ascii="宋体" w:hAnsi="宋体" w:cs="宋体"/>
          <w:sz w:val="24"/>
        </w:rPr>
        <w:t>6、全部文件应按投标人须知中规定的语言和份数提交。投标文件组成漏项或未按规定的格式编制，内容不全或内容字迹模糊辨认不清的情况，</w:t>
      </w:r>
      <w:r>
        <w:rPr>
          <w:rFonts w:hint="eastAsia" w:ascii="宋体" w:hAnsi="宋体" w:cs="宋体"/>
          <w:b/>
          <w:sz w:val="24"/>
        </w:rPr>
        <w:t>将有可能被评标委员会认定为投标无效。</w:t>
      </w:r>
    </w:p>
    <w:p>
      <w:pPr>
        <w:spacing w:line="360" w:lineRule="auto"/>
        <w:jc w:val="center"/>
        <w:outlineLvl w:val="0"/>
        <w:rPr>
          <w:rFonts w:ascii="宋体" w:hAnsi="宋体" w:cs="宋体"/>
          <w:b/>
          <w:kern w:val="0"/>
          <w:sz w:val="36"/>
          <w:szCs w:val="36"/>
        </w:rPr>
      </w:pPr>
    </w:p>
    <w:p>
      <w:pPr>
        <w:rPr>
          <w:rFonts w:ascii="宋体" w:hAnsi="宋体" w:cs="宋体"/>
        </w:rPr>
      </w:pPr>
    </w:p>
    <w:p>
      <w:pPr>
        <w:pStyle w:val="2"/>
        <w:rPr>
          <w:rFonts w:ascii="宋体" w:hAnsi="宋体" w:eastAsia="宋体" w:cs="宋体"/>
        </w:rPr>
      </w:pPr>
    </w:p>
    <w:p>
      <w:pPr>
        <w:rPr>
          <w:rFonts w:ascii="宋体" w:hAnsi="宋体" w:cs="宋体"/>
        </w:rPr>
      </w:pPr>
    </w:p>
    <w:p>
      <w:pPr>
        <w:pStyle w:val="2"/>
        <w:rPr>
          <w:rFonts w:ascii="宋体" w:hAnsi="宋体" w:eastAsia="宋体" w:cs="宋体"/>
        </w:rPr>
      </w:pPr>
    </w:p>
    <w:p>
      <w:pPr>
        <w:rPr>
          <w:rFonts w:ascii="宋体" w:hAnsi="宋体" w:cs="宋体"/>
        </w:rPr>
      </w:pPr>
    </w:p>
    <w:p>
      <w:pPr>
        <w:pStyle w:val="2"/>
        <w:rPr>
          <w:rFonts w:ascii="宋体" w:hAnsi="宋体" w:eastAsia="宋体" w:cs="宋体"/>
        </w:rPr>
      </w:pPr>
    </w:p>
    <w:p>
      <w:pPr>
        <w:rPr>
          <w:rFonts w:ascii="宋体" w:hAnsi="宋体" w:cs="宋体"/>
        </w:rPr>
      </w:pPr>
    </w:p>
    <w:p>
      <w:pPr>
        <w:pStyle w:val="2"/>
        <w:rPr>
          <w:rFonts w:ascii="宋体" w:hAnsi="宋体" w:eastAsia="宋体" w:cs="宋体"/>
        </w:rPr>
      </w:pPr>
    </w:p>
    <w:p>
      <w:pPr>
        <w:rPr>
          <w:rFonts w:ascii="宋体" w:hAnsi="宋体" w:cs="宋体"/>
        </w:rPr>
      </w:pPr>
    </w:p>
    <w:p>
      <w:pPr>
        <w:jc w:val="left"/>
        <w:rPr>
          <w:rFonts w:ascii="宋体" w:hAnsi="宋体" w:cs="宋体"/>
          <w:b/>
          <w:bCs/>
          <w:sz w:val="40"/>
          <w:szCs w:val="48"/>
        </w:rPr>
      </w:pPr>
      <w:bookmarkStart w:id="516" w:name="_Toc12947"/>
      <w:r>
        <w:rPr>
          <w:rFonts w:hint="eastAsia" w:ascii="宋体" w:hAnsi="宋体" w:cs="宋体"/>
          <w:b/>
          <w:bCs/>
          <w:sz w:val="40"/>
          <w:szCs w:val="48"/>
        </w:rPr>
        <w:br w:type="page"/>
      </w:r>
    </w:p>
    <w:p>
      <w:pPr>
        <w:jc w:val="center"/>
        <w:outlineLvl w:val="0"/>
        <w:rPr>
          <w:rFonts w:ascii="宋体" w:hAnsi="宋体" w:cs="宋体"/>
          <w:b/>
          <w:bCs/>
          <w:sz w:val="40"/>
          <w:szCs w:val="48"/>
        </w:rPr>
      </w:pPr>
      <w:r>
        <w:rPr>
          <w:rFonts w:hint="eastAsia" w:ascii="宋体" w:hAnsi="宋体" w:cs="宋体"/>
          <w:b/>
          <w:bCs/>
          <w:sz w:val="40"/>
          <w:szCs w:val="48"/>
        </w:rPr>
        <w:t>电子备份投标文件的外包装封面格式</w:t>
      </w:r>
      <w:bookmarkEnd w:id="516"/>
    </w:p>
    <w:p>
      <w:pPr>
        <w:rPr>
          <w:rFonts w:ascii="宋体" w:hAnsi="宋体" w:cs="宋体"/>
          <w:b/>
          <w:bCs/>
          <w:sz w:val="40"/>
          <w:szCs w:val="48"/>
        </w:rPr>
      </w:pPr>
    </w:p>
    <w:p>
      <w:pPr>
        <w:rPr>
          <w:rFonts w:ascii="宋体" w:hAnsi="宋体" w:cs="宋体"/>
          <w:b/>
          <w:bCs/>
          <w:sz w:val="40"/>
          <w:szCs w:val="48"/>
        </w:rPr>
      </w:pPr>
    </w:p>
    <w:p>
      <w:pPr>
        <w:jc w:val="center"/>
        <w:outlineLvl w:val="0"/>
        <w:rPr>
          <w:rFonts w:ascii="宋体" w:hAnsi="宋体" w:cs="宋体"/>
          <w:b/>
          <w:bCs/>
          <w:sz w:val="40"/>
          <w:szCs w:val="48"/>
        </w:rPr>
      </w:pPr>
      <w:bookmarkStart w:id="517" w:name="_Toc13184"/>
      <w:r>
        <w:rPr>
          <w:rFonts w:hint="eastAsia" w:ascii="宋体" w:hAnsi="宋体" w:cs="宋体"/>
          <w:b/>
          <w:bCs/>
          <w:sz w:val="40"/>
          <w:szCs w:val="48"/>
        </w:rPr>
        <w:t>电子备份投标文件</w:t>
      </w:r>
      <w:bookmarkEnd w:id="517"/>
    </w:p>
    <w:p>
      <w:pPr>
        <w:jc w:val="center"/>
        <w:rPr>
          <w:rFonts w:ascii="宋体" w:hAnsi="宋体" w:cs="宋体"/>
          <w:b/>
          <w:bCs/>
          <w:sz w:val="40"/>
          <w:szCs w:val="48"/>
        </w:rPr>
      </w:pPr>
    </w:p>
    <w:p>
      <w:pPr>
        <w:jc w:val="center"/>
        <w:rPr>
          <w:rFonts w:ascii="宋体" w:hAnsi="宋体" w:cs="宋体"/>
          <w:b/>
          <w:bCs/>
          <w:sz w:val="40"/>
          <w:szCs w:val="48"/>
        </w:rPr>
      </w:pPr>
    </w:p>
    <w:p>
      <w:pPr>
        <w:jc w:val="center"/>
        <w:outlineLvl w:val="0"/>
        <w:rPr>
          <w:rFonts w:ascii="宋体" w:hAnsi="宋体" w:cs="宋体"/>
          <w:b/>
          <w:bCs/>
          <w:sz w:val="40"/>
          <w:szCs w:val="48"/>
        </w:rPr>
      </w:pPr>
      <w:bookmarkStart w:id="518" w:name="_Toc18701"/>
      <w:r>
        <w:rPr>
          <w:rFonts w:hint="eastAsia" w:ascii="宋体" w:hAnsi="宋体" w:cs="宋体"/>
          <w:b/>
          <w:bCs/>
          <w:sz w:val="40"/>
          <w:szCs w:val="48"/>
        </w:rPr>
        <w:t>项目名称：</w:t>
      </w:r>
      <w:bookmarkEnd w:id="518"/>
    </w:p>
    <w:p>
      <w:pPr>
        <w:jc w:val="center"/>
        <w:rPr>
          <w:rFonts w:ascii="宋体" w:hAnsi="宋体" w:cs="宋体"/>
          <w:b/>
          <w:bCs/>
          <w:sz w:val="40"/>
          <w:szCs w:val="48"/>
        </w:rPr>
      </w:pPr>
    </w:p>
    <w:p>
      <w:pPr>
        <w:jc w:val="center"/>
        <w:outlineLvl w:val="0"/>
        <w:rPr>
          <w:rFonts w:ascii="宋体" w:hAnsi="宋体" w:cs="宋体"/>
          <w:b/>
          <w:bCs/>
          <w:sz w:val="40"/>
          <w:szCs w:val="48"/>
        </w:rPr>
      </w:pPr>
      <w:bookmarkStart w:id="519" w:name="_Toc20693"/>
      <w:r>
        <w:rPr>
          <w:rFonts w:hint="eastAsia" w:ascii="宋体" w:hAnsi="宋体" w:cs="宋体"/>
          <w:b/>
          <w:bCs/>
          <w:sz w:val="40"/>
          <w:szCs w:val="48"/>
        </w:rPr>
        <w:t>项目编号：</w:t>
      </w:r>
      <w:bookmarkEnd w:id="519"/>
    </w:p>
    <w:p>
      <w:pPr>
        <w:rPr>
          <w:rFonts w:ascii="宋体" w:hAnsi="宋体" w:cs="宋体"/>
          <w:b/>
          <w:bCs/>
          <w:sz w:val="40"/>
          <w:szCs w:val="48"/>
        </w:rPr>
      </w:pPr>
    </w:p>
    <w:p>
      <w:pPr>
        <w:rPr>
          <w:rFonts w:ascii="宋体" w:hAnsi="宋体" w:cs="宋体"/>
          <w:b/>
          <w:bCs/>
          <w:sz w:val="40"/>
          <w:szCs w:val="48"/>
        </w:rPr>
      </w:pPr>
    </w:p>
    <w:p>
      <w:pPr>
        <w:rPr>
          <w:rFonts w:ascii="宋体" w:hAnsi="宋体" w:cs="宋体"/>
          <w:b/>
          <w:bCs/>
          <w:sz w:val="40"/>
          <w:szCs w:val="48"/>
        </w:rPr>
      </w:pPr>
    </w:p>
    <w:p>
      <w:pPr>
        <w:rPr>
          <w:rFonts w:ascii="宋体" w:hAnsi="宋体" w:cs="宋体"/>
          <w:b/>
          <w:bCs/>
          <w:sz w:val="40"/>
          <w:szCs w:val="48"/>
        </w:rPr>
      </w:pPr>
    </w:p>
    <w:p>
      <w:pPr>
        <w:jc w:val="center"/>
        <w:outlineLvl w:val="0"/>
        <w:rPr>
          <w:rFonts w:ascii="宋体" w:hAnsi="宋体" w:cs="宋体"/>
          <w:b/>
          <w:bCs/>
          <w:sz w:val="40"/>
          <w:szCs w:val="48"/>
        </w:rPr>
      </w:pPr>
      <w:bookmarkStart w:id="520" w:name="_Toc27616"/>
      <w:r>
        <w:rPr>
          <w:rFonts w:hint="eastAsia" w:ascii="宋体" w:hAnsi="宋体" w:cs="宋体"/>
          <w:b/>
          <w:bCs/>
          <w:sz w:val="40"/>
          <w:szCs w:val="48"/>
        </w:rPr>
        <w:t>投标人名称：（盖章）</w:t>
      </w:r>
      <w:bookmarkEnd w:id="520"/>
    </w:p>
    <w:p>
      <w:pPr>
        <w:jc w:val="center"/>
        <w:rPr>
          <w:rFonts w:ascii="宋体" w:hAnsi="宋体" w:cs="宋体"/>
          <w:b/>
          <w:bCs/>
          <w:sz w:val="40"/>
          <w:szCs w:val="48"/>
        </w:rPr>
      </w:pPr>
    </w:p>
    <w:p>
      <w:pPr>
        <w:jc w:val="center"/>
        <w:outlineLvl w:val="0"/>
        <w:rPr>
          <w:rFonts w:ascii="宋体" w:hAnsi="宋体" w:cs="宋体"/>
          <w:b/>
          <w:bCs/>
          <w:sz w:val="40"/>
          <w:szCs w:val="48"/>
        </w:rPr>
      </w:pPr>
      <w:bookmarkStart w:id="521" w:name="_Toc8328"/>
      <w:r>
        <w:rPr>
          <w:rFonts w:hint="eastAsia" w:ascii="宋体" w:hAnsi="宋体" w:cs="宋体"/>
          <w:b/>
          <w:bCs/>
          <w:sz w:val="40"/>
          <w:szCs w:val="48"/>
        </w:rPr>
        <w:t>投标人地址：</w:t>
      </w:r>
      <w:bookmarkEnd w:id="521"/>
    </w:p>
    <w:p>
      <w:pPr>
        <w:jc w:val="center"/>
        <w:rPr>
          <w:rFonts w:ascii="宋体" w:hAnsi="宋体" w:cs="宋体"/>
          <w:b/>
          <w:bCs/>
          <w:sz w:val="40"/>
          <w:szCs w:val="48"/>
        </w:rPr>
      </w:pPr>
    </w:p>
    <w:p>
      <w:pPr>
        <w:jc w:val="center"/>
        <w:outlineLvl w:val="0"/>
        <w:rPr>
          <w:rFonts w:ascii="宋体" w:hAnsi="宋体" w:cs="宋体"/>
          <w:b/>
          <w:bCs/>
          <w:sz w:val="40"/>
          <w:szCs w:val="48"/>
        </w:rPr>
      </w:pPr>
      <w:bookmarkStart w:id="522" w:name="_Toc23143"/>
      <w:r>
        <w:rPr>
          <w:rFonts w:hint="eastAsia" w:ascii="宋体" w:hAnsi="宋体" w:cs="宋体"/>
          <w:b/>
          <w:bCs/>
          <w:sz w:val="40"/>
          <w:szCs w:val="48"/>
        </w:rPr>
        <w:t>在</w:t>
      </w:r>
      <w:r>
        <w:rPr>
          <w:rFonts w:hint="eastAsia" w:ascii="宋体" w:hAnsi="宋体" w:cs="宋体"/>
          <w:b/>
          <w:bCs/>
          <w:sz w:val="40"/>
          <w:szCs w:val="48"/>
        </w:rPr>
        <w:tab/>
      </w:r>
      <w:r>
        <w:rPr>
          <w:rFonts w:hint="eastAsia" w:ascii="宋体" w:hAnsi="宋体" w:cs="宋体"/>
          <w:b/>
          <w:bCs/>
          <w:sz w:val="40"/>
          <w:szCs w:val="48"/>
        </w:rPr>
        <w:t xml:space="preserve">年 </w:t>
      </w:r>
      <w:r>
        <w:rPr>
          <w:rFonts w:hint="eastAsia" w:ascii="宋体" w:hAnsi="宋体" w:cs="宋体"/>
          <w:b/>
          <w:bCs/>
          <w:sz w:val="40"/>
          <w:szCs w:val="48"/>
        </w:rPr>
        <w:tab/>
      </w:r>
      <w:r>
        <w:rPr>
          <w:rFonts w:hint="eastAsia" w:ascii="宋体" w:hAnsi="宋体" w:cs="宋体"/>
          <w:b/>
          <w:bCs/>
          <w:sz w:val="40"/>
          <w:szCs w:val="48"/>
        </w:rPr>
        <w:t>月</w:t>
      </w:r>
      <w:r>
        <w:rPr>
          <w:rFonts w:hint="eastAsia" w:ascii="宋体" w:hAnsi="宋体" w:cs="宋体"/>
          <w:b/>
          <w:bCs/>
          <w:sz w:val="40"/>
          <w:szCs w:val="48"/>
        </w:rPr>
        <w:tab/>
      </w:r>
      <w:r>
        <w:rPr>
          <w:rFonts w:hint="eastAsia" w:ascii="宋体" w:hAnsi="宋体" w:cs="宋体"/>
          <w:b/>
          <w:bCs/>
          <w:sz w:val="40"/>
          <w:szCs w:val="48"/>
        </w:rPr>
        <w:t xml:space="preserve"> 日</w:t>
      </w:r>
      <w:r>
        <w:rPr>
          <w:rFonts w:hint="eastAsia" w:ascii="宋体" w:hAnsi="宋体" w:cs="宋体"/>
          <w:b/>
          <w:bCs/>
          <w:sz w:val="40"/>
          <w:szCs w:val="48"/>
        </w:rPr>
        <w:tab/>
      </w:r>
      <w:r>
        <w:rPr>
          <w:rFonts w:hint="eastAsia" w:ascii="宋体" w:hAnsi="宋体" w:cs="宋体"/>
          <w:b/>
          <w:bCs/>
          <w:sz w:val="40"/>
          <w:szCs w:val="48"/>
        </w:rPr>
        <w:t xml:space="preserve"> 时</w:t>
      </w:r>
      <w:r>
        <w:rPr>
          <w:rFonts w:hint="eastAsia" w:ascii="宋体" w:hAnsi="宋体" w:cs="宋体"/>
          <w:b/>
          <w:bCs/>
          <w:sz w:val="40"/>
          <w:szCs w:val="48"/>
        </w:rPr>
        <w:tab/>
      </w:r>
      <w:r>
        <w:rPr>
          <w:rFonts w:hint="eastAsia" w:ascii="宋体" w:hAnsi="宋体" w:cs="宋体"/>
          <w:b/>
          <w:bCs/>
          <w:sz w:val="40"/>
          <w:szCs w:val="48"/>
        </w:rPr>
        <w:t xml:space="preserve"> 分之前不得启封。</w:t>
      </w:r>
      <w:bookmarkEnd w:id="522"/>
    </w:p>
    <w:p>
      <w:pPr>
        <w:jc w:val="center"/>
        <w:rPr>
          <w:rFonts w:ascii="宋体" w:hAnsi="宋体" w:cs="宋体"/>
          <w:b/>
          <w:bCs/>
          <w:sz w:val="40"/>
          <w:szCs w:val="48"/>
        </w:rPr>
      </w:pPr>
    </w:p>
    <w:p>
      <w:pPr>
        <w:jc w:val="center"/>
        <w:outlineLvl w:val="0"/>
        <w:rPr>
          <w:rFonts w:ascii="宋体" w:hAnsi="宋体" w:cs="宋体"/>
          <w:b/>
          <w:bCs/>
          <w:sz w:val="40"/>
          <w:szCs w:val="48"/>
        </w:rPr>
      </w:pPr>
      <w:bookmarkStart w:id="523" w:name="_Toc10680"/>
      <w:r>
        <w:rPr>
          <w:rFonts w:hint="eastAsia" w:ascii="宋体" w:hAnsi="宋体" w:cs="宋体"/>
          <w:b/>
          <w:bCs/>
          <w:sz w:val="40"/>
          <w:szCs w:val="48"/>
        </w:rPr>
        <w:t>年</w:t>
      </w:r>
      <w:r>
        <w:rPr>
          <w:rFonts w:hint="eastAsia" w:ascii="宋体" w:hAnsi="宋体" w:cs="宋体"/>
          <w:b/>
          <w:bCs/>
          <w:sz w:val="40"/>
          <w:szCs w:val="48"/>
        </w:rPr>
        <w:tab/>
      </w:r>
      <w:r>
        <w:rPr>
          <w:rFonts w:hint="eastAsia" w:ascii="宋体" w:hAnsi="宋体" w:cs="宋体"/>
          <w:b/>
          <w:bCs/>
          <w:sz w:val="40"/>
          <w:szCs w:val="48"/>
        </w:rPr>
        <w:t xml:space="preserve"> 月   </w:t>
      </w:r>
      <w:r>
        <w:rPr>
          <w:rFonts w:hint="eastAsia" w:ascii="宋体" w:hAnsi="宋体" w:cs="宋体"/>
          <w:b/>
          <w:bCs/>
          <w:sz w:val="40"/>
          <w:szCs w:val="48"/>
        </w:rPr>
        <w:tab/>
      </w:r>
      <w:r>
        <w:rPr>
          <w:rFonts w:hint="eastAsia" w:ascii="宋体" w:hAnsi="宋体" w:cs="宋体"/>
          <w:b/>
          <w:bCs/>
          <w:sz w:val="40"/>
          <w:szCs w:val="48"/>
        </w:rPr>
        <w:t>日</w:t>
      </w:r>
      <w:bookmarkEnd w:id="523"/>
    </w:p>
    <w:p>
      <w:pPr>
        <w:pStyle w:val="2"/>
        <w:rPr>
          <w:rFonts w:ascii="宋体" w:hAnsi="宋体" w:eastAsia="宋体" w:cs="宋体"/>
        </w:rPr>
      </w:pPr>
    </w:p>
    <w:p>
      <w:pPr>
        <w:rPr>
          <w:rFonts w:ascii="宋体" w:hAnsi="宋体" w:cs="宋体"/>
        </w:rPr>
      </w:pPr>
    </w:p>
    <w:p>
      <w:pPr>
        <w:jc w:val="left"/>
        <w:rPr>
          <w:rFonts w:ascii="宋体" w:hAnsi="宋体" w:cs="宋体"/>
          <w:b/>
          <w:kern w:val="0"/>
          <w:sz w:val="36"/>
          <w:szCs w:val="36"/>
        </w:rPr>
      </w:pPr>
      <w:r>
        <w:rPr>
          <w:rFonts w:hint="eastAsia" w:ascii="宋体" w:hAnsi="宋体" w:cs="宋体"/>
          <w:b/>
          <w:kern w:val="0"/>
          <w:sz w:val="36"/>
          <w:szCs w:val="36"/>
        </w:rPr>
        <w:br w:type="page"/>
      </w:r>
    </w:p>
    <w:p>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资格文件部分(封面）</w:t>
      </w:r>
    </w:p>
    <w:p>
      <w:pPr>
        <w:spacing w:line="360" w:lineRule="auto"/>
        <w:jc w:val="center"/>
        <w:outlineLvl w:val="0"/>
        <w:rPr>
          <w:rFonts w:ascii="宋体" w:hAnsi="宋体" w:cs="宋体"/>
          <w:b/>
          <w:kern w:val="0"/>
          <w:sz w:val="36"/>
          <w:szCs w:val="36"/>
        </w:rPr>
      </w:pPr>
    </w:p>
    <w:p>
      <w:pPr>
        <w:shd w:val="clear" w:color="auto" w:fill="FFFFFF"/>
        <w:snapToGrid w:val="0"/>
        <w:spacing w:line="360" w:lineRule="auto"/>
        <w:jc w:val="center"/>
        <w:outlineLvl w:val="0"/>
        <w:rPr>
          <w:rFonts w:ascii="宋体" w:hAnsi="宋体" w:cs="宋体"/>
          <w:b/>
          <w:bCs/>
          <w:sz w:val="44"/>
          <w:szCs w:val="44"/>
        </w:rPr>
      </w:pPr>
      <w:r>
        <w:rPr>
          <w:rFonts w:hint="eastAsia" w:ascii="宋体" w:hAnsi="宋体" w:cs="宋体"/>
          <w:b/>
          <w:bCs/>
          <w:sz w:val="44"/>
          <w:szCs w:val="44"/>
        </w:rPr>
        <w:t>（项目名称）</w:t>
      </w:r>
    </w:p>
    <w:p>
      <w:pPr>
        <w:shd w:val="clear" w:color="auto" w:fill="FFFFFF"/>
        <w:snapToGrid w:val="0"/>
        <w:spacing w:line="360" w:lineRule="auto"/>
        <w:jc w:val="center"/>
        <w:outlineLvl w:val="0"/>
        <w:rPr>
          <w:rFonts w:ascii="宋体" w:hAnsi="宋体" w:cs="宋体"/>
          <w:b/>
          <w:bCs/>
          <w:sz w:val="52"/>
          <w:szCs w:val="52"/>
        </w:rPr>
      </w:pPr>
    </w:p>
    <w:p>
      <w:pPr>
        <w:shd w:val="clear" w:color="auto" w:fill="FFFFFF"/>
        <w:snapToGrid w:val="0"/>
        <w:spacing w:line="360" w:lineRule="auto"/>
        <w:jc w:val="center"/>
        <w:outlineLvl w:val="0"/>
        <w:rPr>
          <w:rFonts w:ascii="宋体" w:hAnsi="宋体" w:cs="宋体"/>
          <w:b/>
          <w:bCs/>
          <w:sz w:val="52"/>
          <w:szCs w:val="52"/>
        </w:rPr>
      </w:pPr>
      <w:r>
        <w:rPr>
          <w:rFonts w:hint="eastAsia" w:ascii="宋体" w:hAnsi="宋体" w:cs="宋体"/>
          <w:b/>
          <w:bCs/>
          <w:sz w:val="52"/>
          <w:szCs w:val="52"/>
        </w:rPr>
        <w:t>资  格  文  件</w:t>
      </w:r>
    </w:p>
    <w:p>
      <w:pPr>
        <w:widowControl/>
        <w:spacing w:line="360" w:lineRule="auto"/>
        <w:ind w:right="-2"/>
        <w:jc w:val="center"/>
        <w:outlineLvl w:val="1"/>
        <w:rPr>
          <w:rFonts w:ascii="宋体" w:hAnsi="宋体" w:cs="宋体"/>
          <w:b/>
          <w:sz w:val="32"/>
          <w:szCs w:val="32"/>
        </w:rPr>
      </w:pPr>
      <w:r>
        <w:rPr>
          <w:rFonts w:hint="eastAsia" w:ascii="宋体" w:hAnsi="宋体" w:cs="宋体"/>
          <w:b/>
          <w:sz w:val="32"/>
          <w:szCs w:val="32"/>
        </w:rPr>
        <w:t>（线上电子招投标）</w:t>
      </w:r>
    </w:p>
    <w:p>
      <w:pPr>
        <w:pStyle w:val="81"/>
        <w:spacing w:line="360" w:lineRule="auto"/>
        <w:rPr>
          <w:rFonts w:cs="宋体"/>
          <w:sz w:val="32"/>
          <w:szCs w:val="32"/>
        </w:rPr>
      </w:pPr>
    </w:p>
    <w:p>
      <w:pPr>
        <w:shd w:val="clear" w:color="auto" w:fill="FFFFFF"/>
        <w:snapToGrid w:val="0"/>
        <w:spacing w:line="360" w:lineRule="auto"/>
        <w:jc w:val="center"/>
        <w:outlineLvl w:val="1"/>
        <w:rPr>
          <w:rFonts w:ascii="宋体" w:hAnsi="宋体" w:cs="宋体"/>
          <w:b/>
          <w:bCs/>
          <w:sz w:val="32"/>
          <w:szCs w:val="32"/>
        </w:rPr>
      </w:pPr>
      <w:r>
        <w:rPr>
          <w:rFonts w:hint="eastAsia" w:ascii="宋体" w:hAnsi="宋体" w:cs="宋体"/>
          <w:b/>
          <w:bCs/>
          <w:sz w:val="32"/>
          <w:szCs w:val="32"/>
        </w:rPr>
        <w:t>招标编号：YHZFCG2024-</w:t>
      </w:r>
    </w:p>
    <w:p>
      <w:pPr>
        <w:snapToGrid w:val="0"/>
        <w:spacing w:line="360" w:lineRule="auto"/>
        <w:jc w:val="center"/>
        <w:rPr>
          <w:rFonts w:ascii="宋体" w:hAnsi="宋体" w:cs="宋体"/>
          <w:sz w:val="52"/>
          <w:szCs w:val="52"/>
        </w:rPr>
      </w:pPr>
      <w:r>
        <w:rPr>
          <w:rFonts w:hint="eastAsia" w:ascii="宋体" w:hAnsi="宋体" w:cs="宋体"/>
          <w:sz w:val="52"/>
          <w:szCs w:val="52"/>
        </w:rPr>
        <w:t>投</w:t>
      </w:r>
    </w:p>
    <w:p>
      <w:pPr>
        <w:snapToGrid w:val="0"/>
        <w:spacing w:line="360" w:lineRule="auto"/>
        <w:jc w:val="center"/>
        <w:rPr>
          <w:rFonts w:ascii="宋体" w:hAnsi="宋体" w:cs="宋体"/>
          <w:sz w:val="52"/>
          <w:szCs w:val="52"/>
        </w:rPr>
      </w:pPr>
      <w:r>
        <w:rPr>
          <w:rFonts w:hint="eastAsia" w:ascii="宋体" w:hAnsi="宋体" w:cs="宋体"/>
          <w:sz w:val="52"/>
          <w:szCs w:val="52"/>
        </w:rPr>
        <w:t>标</w:t>
      </w:r>
    </w:p>
    <w:p>
      <w:pPr>
        <w:snapToGrid w:val="0"/>
        <w:spacing w:line="360" w:lineRule="auto"/>
        <w:jc w:val="center"/>
        <w:rPr>
          <w:rFonts w:ascii="宋体" w:hAnsi="宋体" w:cs="宋体"/>
          <w:sz w:val="52"/>
          <w:szCs w:val="52"/>
        </w:rPr>
      </w:pPr>
      <w:r>
        <w:rPr>
          <w:rFonts w:hint="eastAsia" w:ascii="宋体" w:hAnsi="宋体" w:cs="宋体"/>
          <w:sz w:val="52"/>
          <w:szCs w:val="52"/>
        </w:rPr>
        <w:t>文</w:t>
      </w:r>
    </w:p>
    <w:p>
      <w:pPr>
        <w:snapToGrid w:val="0"/>
        <w:spacing w:line="360" w:lineRule="auto"/>
        <w:jc w:val="center"/>
        <w:rPr>
          <w:rFonts w:ascii="宋体" w:hAnsi="宋体" w:cs="宋体"/>
          <w:sz w:val="52"/>
          <w:szCs w:val="52"/>
        </w:rPr>
      </w:pPr>
      <w:r>
        <w:rPr>
          <w:rFonts w:hint="eastAsia" w:ascii="宋体" w:hAnsi="宋体" w:cs="宋体"/>
          <w:sz w:val="52"/>
          <w:szCs w:val="52"/>
        </w:rPr>
        <w:t>件</w:t>
      </w:r>
    </w:p>
    <w:p>
      <w:pPr>
        <w:snapToGrid w:val="0"/>
        <w:spacing w:line="360" w:lineRule="auto"/>
        <w:ind w:firstLine="1680" w:firstLineChars="600"/>
        <w:rPr>
          <w:rFonts w:ascii="宋体" w:hAnsi="宋体" w:cs="宋体"/>
          <w:sz w:val="28"/>
          <w:szCs w:val="28"/>
        </w:rPr>
      </w:pPr>
    </w:p>
    <w:p>
      <w:pPr>
        <w:snapToGrid w:val="0"/>
        <w:spacing w:line="360" w:lineRule="auto"/>
        <w:rPr>
          <w:rFonts w:ascii="宋体" w:hAnsi="宋体" w:cs="宋体"/>
          <w:sz w:val="32"/>
          <w:szCs w:val="32"/>
        </w:rPr>
      </w:pPr>
    </w:p>
    <w:p>
      <w:pPr>
        <w:snapToGrid w:val="0"/>
        <w:spacing w:line="360" w:lineRule="auto"/>
        <w:ind w:firstLine="1920" w:firstLineChars="600"/>
        <w:rPr>
          <w:rFonts w:ascii="宋体" w:hAnsi="宋体" w:cs="宋体"/>
          <w:sz w:val="32"/>
          <w:szCs w:val="32"/>
        </w:rPr>
      </w:pPr>
    </w:p>
    <w:p>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投标人全称：（单位公章或电子公章）</w:t>
      </w:r>
    </w:p>
    <w:p>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投标人地址：</w:t>
      </w:r>
    </w:p>
    <w:p>
      <w:pPr>
        <w:snapToGrid w:val="0"/>
        <w:spacing w:line="360" w:lineRule="auto"/>
        <w:jc w:val="center"/>
        <w:rPr>
          <w:rFonts w:ascii="宋体" w:hAnsi="宋体" w:cs="宋体"/>
          <w:sz w:val="32"/>
          <w:szCs w:val="32"/>
        </w:rPr>
      </w:pPr>
      <w:r>
        <w:rPr>
          <w:rFonts w:hint="eastAsia" w:ascii="宋体" w:hAnsi="宋体" w:cs="宋体"/>
          <w:sz w:val="32"/>
          <w:szCs w:val="32"/>
        </w:rPr>
        <w:t>年   月   日</w:t>
      </w:r>
    </w:p>
    <w:p>
      <w:pPr>
        <w:pStyle w:val="3"/>
        <w:snapToGrid w:val="0"/>
        <w:rPr>
          <w:rFonts w:ascii="宋体" w:hAnsi="宋体" w:cs="宋体"/>
          <w:sz w:val="32"/>
          <w:szCs w:val="32"/>
        </w:rPr>
        <w:sectPr>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（2）营业执照(或事业法人登记证书或其它登记证明材料）…………（页码）</w:t>
      </w:r>
    </w:p>
    <w:p>
      <w:pPr>
        <w:snapToGrid w:val="0"/>
        <w:spacing w:line="360" w:lineRule="auto"/>
        <w:rPr>
          <w:rFonts w:ascii="宋体" w:hAnsi="宋体" w:cs="宋体"/>
          <w:sz w:val="24"/>
        </w:rPr>
      </w:pPr>
      <w:r>
        <w:rPr>
          <w:rFonts w:hint="eastAsia" w:ascii="宋体" w:hAnsi="宋体" w:cs="宋体"/>
          <w:sz w:val="24"/>
        </w:rPr>
        <w:t>（3）落实政府采购政策需满足的资格要求………………………………（页码）</w:t>
      </w:r>
    </w:p>
    <w:p>
      <w:pPr>
        <w:snapToGrid w:val="0"/>
        <w:spacing w:line="360" w:lineRule="auto"/>
        <w:rPr>
          <w:rFonts w:ascii="宋体" w:hAnsi="宋体" w:cs="宋体"/>
          <w:sz w:val="24"/>
        </w:rPr>
      </w:pPr>
      <w:r>
        <w:rPr>
          <w:rFonts w:hint="eastAsia" w:ascii="宋体" w:hAnsi="宋体" w:cs="宋体"/>
          <w:sz w:val="24"/>
        </w:rPr>
        <w:t>（4）本项目的特定资格要求（如有）……………………………………（页码）</w:t>
      </w:r>
    </w:p>
    <w:p>
      <w:pPr>
        <w:snapToGrid w:val="0"/>
        <w:spacing w:line="360" w:lineRule="auto"/>
        <w:rPr>
          <w:rFonts w:ascii="宋体" w:hAnsi="宋体" w:cs="宋体"/>
          <w:sz w:val="24"/>
        </w:rPr>
      </w:pPr>
      <w:r>
        <w:rPr>
          <w:rFonts w:hint="eastAsia" w:ascii="宋体" w:hAnsi="宋体" w:cs="宋体"/>
          <w:sz w:val="24"/>
        </w:rPr>
        <w:t>（5）提供未联合体投标情况说明函………………………………………（页码）</w:t>
      </w:r>
    </w:p>
    <w:p>
      <w:pPr>
        <w:snapToGrid w:val="0"/>
        <w:spacing w:line="360" w:lineRule="auto"/>
        <w:ind w:right="480"/>
        <w:jc w:val="center"/>
        <w:rPr>
          <w:rFonts w:ascii="宋体" w:hAnsi="宋体" w:cs="宋体"/>
          <w:b/>
          <w:kern w:val="0"/>
          <w:sz w:val="32"/>
          <w:szCs w:val="32"/>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lang w:val="zh-CN"/>
        </w:rPr>
      </w:pPr>
    </w:p>
    <w:p>
      <w:pPr>
        <w:snapToGrid w:val="0"/>
        <w:spacing w:line="360" w:lineRule="auto"/>
        <w:ind w:firstLine="5520" w:firstLineChars="2300"/>
        <w:rPr>
          <w:rFonts w:ascii="宋体" w:hAnsi="宋体" w:cs="宋体"/>
          <w:kern w:val="0"/>
          <w:sz w:val="24"/>
          <w:lang w:val="zh-CN"/>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t>二、营业执照(或事业法人登记证书或其它登记证明材料）复印件加盖公章；</w:t>
      </w:r>
    </w:p>
    <w:p>
      <w:pPr>
        <w:widowControl/>
        <w:adjustRightInd/>
        <w:ind w:firstLine="480" w:firstLineChars="200"/>
        <w:jc w:val="left"/>
        <w:rPr>
          <w:rFonts w:ascii="宋体" w:hAnsi="宋体" w:cs="宋体"/>
          <w:bCs/>
          <w:kern w:val="0"/>
          <w:sz w:val="24"/>
        </w:rPr>
      </w:pPr>
      <w:r>
        <w:rPr>
          <w:rFonts w:hint="eastAsia" w:ascii="宋体" w:hAnsi="宋体" w:cs="宋体"/>
          <w:bCs/>
          <w:kern w:val="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hd w:val="clear" w:color="000000" w:fill="auto"/>
        <w:spacing w:line="360" w:lineRule="auto"/>
        <w:jc w:val="center"/>
        <w:rPr>
          <w:rFonts w:ascii="宋体" w:hAnsi="宋体" w:cs="宋体"/>
          <w:b/>
          <w:kern w:val="0"/>
          <w:sz w:val="44"/>
          <w:szCs w:val="44"/>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三、联合协议（如果有）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四、落实政府采购政策需满足的资格要求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五、本项目的特定资格要求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before="50" w:after="50" w:line="360" w:lineRule="auto"/>
        <w:jc w:val="center"/>
        <w:rPr>
          <w:rFonts w:ascii="仿宋" w:hAnsi="仿宋" w:eastAsia="仿宋" w:cs="仿宋"/>
          <w:b/>
          <w:kern w:val="0"/>
          <w:sz w:val="32"/>
          <w:szCs w:val="32"/>
        </w:rPr>
      </w:pPr>
      <w:r>
        <w:rPr>
          <w:rFonts w:hint="eastAsia" w:ascii="仿宋" w:hAnsi="仿宋" w:eastAsia="仿宋" w:cs="仿宋"/>
          <w:b/>
          <w:kern w:val="0"/>
          <w:sz w:val="32"/>
          <w:szCs w:val="32"/>
          <w:lang w:val="zh-CN"/>
        </w:rPr>
        <w:t>联合协议（如有）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提供的服务由小微企业承接，其合同份额占到合同总金额%以上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rPr>
          <w:rFonts w:ascii="仿宋" w:hAnsi="仿宋" w:eastAsia="仿宋" w:cs="仿宋"/>
          <w:b/>
          <w:kern w:val="0"/>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z w:val="32"/>
          <w:szCs w:val="32"/>
        </w:rPr>
      </w:pPr>
      <w:r>
        <w:rPr>
          <w:rFonts w:hint="eastAsia" w:ascii="仿宋" w:hAnsi="仿宋" w:eastAsia="仿宋" w:cs="仿宋"/>
          <w:b/>
          <w:sz w:val="32"/>
          <w:szCs w:val="32"/>
        </w:rPr>
        <w:br w:type="page"/>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 xml:space="preserve"> （单位名称）</w:t>
      </w:r>
      <w:r>
        <w:rPr>
          <w:rFonts w:hint="eastAsia" w:ascii="仿宋" w:hAnsi="仿宋" w:eastAsia="仿宋" w:cs="仿宋"/>
          <w:sz w:val="24"/>
        </w:rPr>
        <w:t xml:space="preserve"> 的</w:t>
      </w:r>
      <w:r>
        <w:rPr>
          <w:rFonts w:hint="eastAsia" w:ascii="仿宋" w:hAnsi="仿宋" w:eastAsia="仿宋" w:cs="仿宋"/>
          <w:sz w:val="24"/>
          <w:u w:val="single"/>
        </w:rPr>
        <w:t xml:space="preserve"> （项目名称）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，从业人员人，属于</w:t>
      </w:r>
      <w:r>
        <w:rPr>
          <w:rFonts w:hint="eastAsia" w:ascii="仿宋" w:hAnsi="仿宋" w:eastAsia="仿宋" w:cs="仿宋"/>
          <w:sz w:val="24"/>
          <w:u w:val="single"/>
        </w:rPr>
        <w:t xml:space="preserve"> （</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 xml:space="preserve">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，从业人员人，属于</w:t>
      </w:r>
      <w:r>
        <w:rPr>
          <w:rFonts w:hint="eastAsia" w:ascii="仿宋" w:hAnsi="仿宋" w:eastAsia="仿宋" w:cs="仿宋"/>
          <w:sz w:val="24"/>
          <w:u w:val="single"/>
        </w:rPr>
        <w:t xml:space="preserve"> （</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 xml:space="preserve">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期：2024年   月   日</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p>
    <w:p>
      <w:pPr>
        <w:rPr>
          <w:rFonts w:ascii="宋体" w:hAnsi="宋体" w:cs="宋体"/>
          <w:b/>
          <w:kern w:val="0"/>
          <w:sz w:val="32"/>
          <w:szCs w:val="32"/>
        </w:rPr>
      </w:pPr>
    </w:p>
    <w:p>
      <w:pPr>
        <w:rPr>
          <w:rFonts w:ascii="宋体" w:hAnsi="宋体" w:cs="宋体"/>
        </w:rPr>
      </w:pPr>
    </w:p>
    <w:p>
      <w:pPr>
        <w:spacing w:line="360" w:lineRule="auto"/>
        <w:ind w:right="420" w:firstLine="2209" w:firstLineChars="500"/>
        <w:rPr>
          <w:rFonts w:ascii="宋体" w:hAnsi="宋体" w:cs="宋体"/>
          <w:b/>
          <w:kern w:val="0"/>
          <w:sz w:val="44"/>
          <w:szCs w:val="44"/>
        </w:rPr>
      </w:pPr>
      <w:r>
        <w:rPr>
          <w:rFonts w:hint="eastAsia" w:ascii="宋体" w:hAnsi="宋体" w:cs="宋体"/>
          <w:b/>
          <w:kern w:val="0"/>
          <w:sz w:val="44"/>
          <w:szCs w:val="44"/>
        </w:rPr>
        <w:t>商务技术文件部分（封面）</w:t>
      </w:r>
    </w:p>
    <w:p>
      <w:pPr>
        <w:spacing w:line="360" w:lineRule="auto"/>
        <w:jc w:val="center"/>
        <w:outlineLvl w:val="0"/>
        <w:rPr>
          <w:rFonts w:ascii="宋体" w:hAnsi="宋体" w:cs="宋体"/>
          <w:b/>
          <w:kern w:val="0"/>
          <w:sz w:val="24"/>
        </w:rPr>
      </w:pPr>
    </w:p>
    <w:p>
      <w:pPr>
        <w:shd w:val="clear" w:color="auto" w:fill="FFFFFF"/>
        <w:snapToGrid w:val="0"/>
        <w:spacing w:line="360" w:lineRule="auto"/>
        <w:jc w:val="center"/>
        <w:outlineLvl w:val="0"/>
        <w:rPr>
          <w:rFonts w:ascii="宋体" w:hAnsi="宋体" w:cs="宋体"/>
          <w:b/>
          <w:bCs/>
          <w:sz w:val="32"/>
          <w:szCs w:val="32"/>
        </w:rPr>
      </w:pPr>
      <w:r>
        <w:rPr>
          <w:rFonts w:hint="eastAsia" w:ascii="宋体" w:hAnsi="宋体" w:cs="宋体"/>
          <w:b/>
          <w:bCs/>
          <w:sz w:val="32"/>
          <w:szCs w:val="32"/>
        </w:rPr>
        <w:t>（项目名称）</w:t>
      </w:r>
    </w:p>
    <w:p>
      <w:pPr>
        <w:shd w:val="clear" w:color="auto" w:fill="FFFFFF"/>
        <w:snapToGrid w:val="0"/>
        <w:spacing w:line="360" w:lineRule="auto"/>
        <w:jc w:val="center"/>
        <w:outlineLvl w:val="0"/>
        <w:rPr>
          <w:rFonts w:ascii="宋体" w:hAnsi="宋体" w:cs="宋体"/>
          <w:b/>
          <w:bCs/>
          <w:sz w:val="52"/>
          <w:szCs w:val="52"/>
        </w:rPr>
      </w:pPr>
      <w:bookmarkStart w:id="524" w:name="_Toc17190"/>
      <w:r>
        <w:rPr>
          <w:rFonts w:hint="eastAsia" w:ascii="宋体" w:hAnsi="宋体" w:cs="宋体"/>
          <w:b/>
          <w:bCs/>
          <w:sz w:val="52"/>
          <w:szCs w:val="52"/>
        </w:rPr>
        <w:t>商 务 技 术 文 件</w:t>
      </w:r>
      <w:bookmarkEnd w:id="524"/>
    </w:p>
    <w:p>
      <w:pPr>
        <w:widowControl/>
        <w:spacing w:line="360" w:lineRule="auto"/>
        <w:ind w:right="-2"/>
        <w:jc w:val="center"/>
        <w:outlineLvl w:val="1"/>
        <w:rPr>
          <w:rFonts w:ascii="宋体" w:hAnsi="宋体" w:cs="宋体"/>
          <w:b/>
          <w:sz w:val="36"/>
          <w:szCs w:val="36"/>
        </w:rPr>
      </w:pPr>
      <w:bookmarkStart w:id="525" w:name="_Toc27078"/>
      <w:r>
        <w:rPr>
          <w:rFonts w:hint="eastAsia" w:ascii="宋体" w:hAnsi="宋体" w:cs="宋体"/>
          <w:b/>
          <w:sz w:val="36"/>
          <w:szCs w:val="36"/>
        </w:rPr>
        <w:t>（线上电子招投标）</w:t>
      </w:r>
      <w:bookmarkEnd w:id="525"/>
    </w:p>
    <w:p>
      <w:pPr>
        <w:pStyle w:val="81"/>
        <w:spacing w:line="360" w:lineRule="auto"/>
        <w:rPr>
          <w:rFonts w:cs="宋体"/>
          <w:sz w:val="36"/>
          <w:szCs w:val="36"/>
        </w:rPr>
      </w:pPr>
    </w:p>
    <w:p>
      <w:pPr>
        <w:shd w:val="clear" w:color="auto" w:fill="FFFFFF"/>
        <w:snapToGrid w:val="0"/>
        <w:spacing w:line="360" w:lineRule="auto"/>
        <w:jc w:val="center"/>
        <w:outlineLvl w:val="1"/>
        <w:rPr>
          <w:rFonts w:ascii="宋体" w:hAnsi="宋体" w:cs="宋体"/>
          <w:b/>
          <w:bCs/>
          <w:sz w:val="36"/>
          <w:szCs w:val="36"/>
        </w:rPr>
      </w:pPr>
      <w:bookmarkStart w:id="526" w:name="_Toc28851"/>
      <w:r>
        <w:rPr>
          <w:rFonts w:hint="eastAsia" w:ascii="宋体" w:hAnsi="宋体" w:cs="宋体"/>
          <w:b/>
          <w:bCs/>
          <w:sz w:val="36"/>
          <w:szCs w:val="36"/>
        </w:rPr>
        <w:t xml:space="preserve">  招标编号：</w:t>
      </w:r>
      <w:bookmarkEnd w:id="526"/>
      <w:r>
        <w:rPr>
          <w:rFonts w:hint="eastAsia" w:ascii="宋体" w:hAnsi="宋体" w:cs="宋体"/>
          <w:b/>
          <w:bCs/>
          <w:sz w:val="36"/>
          <w:szCs w:val="36"/>
        </w:rPr>
        <w:t xml:space="preserve">YHZFCG2024- </w:t>
      </w:r>
    </w:p>
    <w:p>
      <w:pPr>
        <w:pStyle w:val="81"/>
        <w:spacing w:line="360" w:lineRule="auto"/>
        <w:rPr>
          <w:rFonts w:cs="宋体"/>
        </w:rPr>
      </w:pPr>
    </w:p>
    <w:p>
      <w:pPr>
        <w:snapToGrid w:val="0"/>
        <w:spacing w:line="360" w:lineRule="auto"/>
        <w:jc w:val="center"/>
        <w:rPr>
          <w:rFonts w:ascii="宋体" w:hAnsi="宋体" w:cs="宋体"/>
          <w:sz w:val="52"/>
          <w:szCs w:val="52"/>
        </w:rPr>
      </w:pPr>
      <w:r>
        <w:rPr>
          <w:rFonts w:hint="eastAsia" w:ascii="宋体" w:hAnsi="宋体" w:cs="宋体"/>
          <w:sz w:val="52"/>
          <w:szCs w:val="52"/>
        </w:rPr>
        <w:t>投</w:t>
      </w:r>
    </w:p>
    <w:p>
      <w:pPr>
        <w:snapToGrid w:val="0"/>
        <w:spacing w:line="360" w:lineRule="auto"/>
        <w:jc w:val="center"/>
        <w:rPr>
          <w:rFonts w:ascii="宋体" w:hAnsi="宋体" w:cs="宋体"/>
          <w:sz w:val="52"/>
          <w:szCs w:val="52"/>
        </w:rPr>
      </w:pPr>
      <w:r>
        <w:rPr>
          <w:rFonts w:hint="eastAsia" w:ascii="宋体" w:hAnsi="宋体" w:cs="宋体"/>
          <w:sz w:val="52"/>
          <w:szCs w:val="52"/>
        </w:rPr>
        <w:t>标</w:t>
      </w:r>
    </w:p>
    <w:p>
      <w:pPr>
        <w:snapToGrid w:val="0"/>
        <w:spacing w:line="360" w:lineRule="auto"/>
        <w:jc w:val="center"/>
        <w:rPr>
          <w:rFonts w:ascii="宋体" w:hAnsi="宋体" w:cs="宋体"/>
          <w:sz w:val="52"/>
          <w:szCs w:val="52"/>
        </w:rPr>
      </w:pPr>
      <w:r>
        <w:rPr>
          <w:rFonts w:hint="eastAsia" w:ascii="宋体" w:hAnsi="宋体" w:cs="宋体"/>
          <w:sz w:val="52"/>
          <w:szCs w:val="52"/>
        </w:rPr>
        <w:t>文</w:t>
      </w:r>
    </w:p>
    <w:p>
      <w:pPr>
        <w:snapToGrid w:val="0"/>
        <w:spacing w:line="360" w:lineRule="auto"/>
        <w:jc w:val="center"/>
        <w:rPr>
          <w:rFonts w:ascii="宋体" w:hAnsi="宋体" w:cs="宋体"/>
          <w:sz w:val="52"/>
          <w:szCs w:val="52"/>
        </w:rPr>
      </w:pPr>
      <w:r>
        <w:rPr>
          <w:rFonts w:hint="eastAsia" w:ascii="宋体" w:hAnsi="宋体" w:cs="宋体"/>
          <w:sz w:val="52"/>
          <w:szCs w:val="52"/>
        </w:rPr>
        <w:t>件</w:t>
      </w:r>
    </w:p>
    <w:p>
      <w:pPr>
        <w:snapToGrid w:val="0"/>
        <w:spacing w:line="360" w:lineRule="auto"/>
        <w:ind w:firstLine="1920" w:firstLineChars="600"/>
        <w:rPr>
          <w:rFonts w:ascii="宋体" w:hAnsi="宋体" w:cs="宋体"/>
          <w:sz w:val="32"/>
          <w:szCs w:val="32"/>
        </w:rPr>
      </w:pPr>
    </w:p>
    <w:p>
      <w:pPr>
        <w:snapToGrid w:val="0"/>
        <w:spacing w:line="360" w:lineRule="auto"/>
        <w:ind w:firstLine="1920" w:firstLineChars="600"/>
        <w:rPr>
          <w:rFonts w:ascii="宋体" w:hAnsi="宋体" w:cs="宋体"/>
          <w:sz w:val="32"/>
          <w:szCs w:val="32"/>
        </w:rPr>
      </w:pPr>
    </w:p>
    <w:p>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投标人全称：（单位公章或电子公章）</w:t>
      </w:r>
    </w:p>
    <w:p>
      <w:pPr>
        <w:snapToGrid w:val="0"/>
        <w:spacing w:line="360" w:lineRule="auto"/>
        <w:ind w:firstLine="1920" w:firstLineChars="600"/>
        <w:rPr>
          <w:rFonts w:ascii="宋体" w:hAnsi="宋体" w:cs="宋体"/>
          <w:sz w:val="32"/>
          <w:szCs w:val="32"/>
        </w:rPr>
      </w:pPr>
      <w:r>
        <w:rPr>
          <w:rFonts w:hint="eastAsia" w:ascii="宋体" w:hAnsi="宋体" w:cs="宋体"/>
          <w:sz w:val="32"/>
          <w:szCs w:val="32"/>
        </w:rPr>
        <w:t>投标人地址：</w:t>
      </w:r>
    </w:p>
    <w:p>
      <w:pPr>
        <w:snapToGrid w:val="0"/>
        <w:spacing w:line="360" w:lineRule="auto"/>
        <w:jc w:val="center"/>
        <w:rPr>
          <w:rFonts w:ascii="宋体" w:hAnsi="宋体" w:cs="宋体"/>
          <w:sz w:val="32"/>
          <w:szCs w:val="32"/>
        </w:rPr>
      </w:pPr>
      <w:r>
        <w:rPr>
          <w:rFonts w:hint="eastAsia" w:ascii="宋体" w:hAnsi="宋体" w:cs="宋体"/>
          <w:sz w:val="32"/>
          <w:szCs w:val="32"/>
        </w:rPr>
        <w:t>年   月   日</w:t>
      </w:r>
    </w:p>
    <w:p>
      <w:pPr>
        <w:pStyle w:val="3"/>
        <w:snapToGrid w:val="0"/>
        <w:rPr>
          <w:rFonts w:ascii="宋体" w:hAnsi="宋体" w:cs="宋体"/>
          <w:kern w:val="0"/>
          <w:sz w:val="32"/>
          <w:szCs w:val="32"/>
        </w:rPr>
        <w:sectPr>
          <w:headerReference r:id="rId10" w:type="default"/>
          <w:footerReference r:id="rId11" w:type="default"/>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（2）授权委托书和法定代表人或单位负责人、自然人本人身份证明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ascii="宋体" w:hAnsi="宋体" w:cs="宋体"/>
          <w:lang w:val="zh-CN"/>
        </w:rPr>
      </w:pPr>
      <w:r>
        <w:rPr>
          <w:rFonts w:hint="eastAsia" w:ascii="宋体" w:hAnsi="宋体" w:cs="宋体"/>
          <w:sz w:val="24"/>
          <w:lang w:val="zh-CN"/>
        </w:rPr>
        <w:t>（8）投标人签署的《政府采购活动现场确认声明书》</w:t>
      </w:r>
      <w:r>
        <w:rPr>
          <w:rFonts w:hint="eastAsia" w:ascii="宋体" w:hAnsi="宋体" w:cs="宋体"/>
          <w:lang w:val="zh-CN"/>
        </w:rPr>
        <w:t>……………………………（页码）</w:t>
      </w:r>
    </w:p>
    <w:p>
      <w:pPr>
        <w:snapToGrid w:val="0"/>
        <w:spacing w:line="360" w:lineRule="auto"/>
        <w:ind w:left="479" w:leftChars="228"/>
        <w:rPr>
          <w:rFonts w:ascii="宋体" w:hAnsi="宋体" w:cs="宋体"/>
          <w:lang w:val="zh-CN"/>
        </w:rPr>
      </w:pPr>
      <w:r>
        <w:rPr>
          <w:rFonts w:hint="eastAsia" w:ascii="宋体" w:hAnsi="宋体" w:cs="宋体"/>
          <w:sz w:val="24"/>
          <w:lang w:val="zh-CN"/>
        </w:rPr>
        <w:t>（9）附件…</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pStyle w:val="2"/>
        <w:rPr>
          <w:lang w:val="en-US"/>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2.1.2营业执照(或事业法人登记证书或其它登记证明材料）；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w:t>
      </w:r>
      <w:r>
        <w:rPr>
          <w:rFonts w:hint="eastAsia" w:ascii="宋体" w:hAnsi="宋体" w:cs="宋体"/>
          <w:snapToGrid w:val="0"/>
          <w:kern w:val="28"/>
          <w:sz w:val="24"/>
          <w:szCs w:val="20"/>
        </w:rPr>
        <w:t>联合协议</w:t>
      </w:r>
      <w:bookmarkStart w:id="527" w:name="_Hlk101257010"/>
      <w:r>
        <w:rPr>
          <w:rFonts w:hint="eastAsia" w:ascii="宋体" w:hAnsi="宋体" w:cs="宋体"/>
          <w:sz w:val="24"/>
        </w:rPr>
        <w:t>（如果有)</w:t>
      </w:r>
      <w:bookmarkEnd w:id="527"/>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4落实政府采购政策需满足的资格要求（如果有）；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2.1.5本项目的特定资格要求（如果有)。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pStyle w:val="2"/>
        <w:adjustRightInd w:val="0"/>
        <w:snapToGrid w:val="0"/>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2.3.2 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投标人应对投标文件中材料的真实性、合法性负责</w:t>
      </w:r>
      <w:r>
        <w:rPr>
          <w:rFonts w:hint="eastAsia" w:ascii="宋体" w:hAnsi="宋体" w:cs="宋体"/>
          <w:sz w:val="24"/>
        </w:rPr>
        <w:t>。</w:t>
      </w: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u w:val="single"/>
        </w:rPr>
        <w:t>（项目名称）【</w:t>
      </w:r>
      <w:r>
        <w:rPr>
          <w:rFonts w:hint="eastAsia" w:ascii="宋体" w:hAnsi="宋体" w:cs="宋体"/>
          <w:sz w:val="24"/>
        </w:rPr>
        <w:t>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w:t>
      </w:r>
      <w:r>
        <w:rPr>
          <w:rFonts w:hint="eastAsia" w:ascii="宋体" w:hAnsi="宋体" w:cs="宋体"/>
          <w:kern w:val="0"/>
          <w:sz w:val="24"/>
        </w:rPr>
        <w:t>，所在单位：</w:t>
      </w:r>
      <w:r>
        <w:rPr>
          <w:rFonts w:hint="eastAsia" w:ascii="宋体" w:hAnsi="宋体" w:cs="宋体"/>
          <w:kern w:val="0"/>
          <w:sz w:val="24"/>
          <w:lang w:val="zh-CN"/>
        </w:rPr>
        <w:t>），以我方名义处理</w:t>
      </w:r>
      <w:r>
        <w:rPr>
          <w:rFonts w:hint="eastAsia" w:ascii="宋体" w:hAnsi="宋体" w:cs="宋体"/>
          <w:sz w:val="24"/>
          <w:u w:val="single"/>
        </w:rPr>
        <w:t>（项目名称）</w:t>
      </w:r>
      <w:r>
        <w:rPr>
          <w:rFonts w:hint="eastAsia" w:ascii="宋体" w:hAnsi="宋体" w:cs="宋体"/>
          <w:sz w:val="24"/>
        </w:rPr>
        <w:t>【招标编号：（采购编号）】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0"/>
              <w:adjustRightInd w:val="0"/>
              <w:spacing w:line="360" w:lineRule="auto"/>
              <w:rPr>
                <w:rFonts w:hAnsi="宋体" w:cs="宋体"/>
                <w:bCs/>
                <w:sz w:val="24"/>
              </w:rPr>
            </w:pPr>
            <w:r>
              <w:rPr>
                <w:rFonts w:hint="eastAsia" w:hAnsi="宋体" w:cs="宋体"/>
                <w:bCs/>
                <w:sz w:val="24"/>
              </w:rPr>
              <w:t>正面：                                 反面：</w:t>
            </w:r>
          </w:p>
          <w:p>
            <w:pPr>
              <w:pStyle w:val="9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cs="宋体"/>
          <w:kern w:val="0"/>
        </w:rPr>
      </w:pPr>
    </w:p>
    <w:p>
      <w:pPr>
        <w:rPr>
          <w:rFonts w:ascii="宋体" w:hAnsi="宋体" w:cs="宋体"/>
          <w:b/>
          <w:kern w:val="0"/>
          <w:sz w:val="32"/>
          <w:szCs w:val="32"/>
        </w:rPr>
      </w:pPr>
    </w:p>
    <w:p>
      <w:pPr>
        <w:pStyle w:val="2"/>
        <w:rPr>
          <w:rFonts w:ascii="宋体" w:hAnsi="宋体" w:cs="宋体"/>
          <w:kern w:val="0"/>
        </w:rPr>
      </w:pPr>
    </w:p>
    <w:p>
      <w:pPr>
        <w:rPr>
          <w:rFonts w:ascii="宋体" w:hAnsi="宋体" w:cs="宋体"/>
          <w:b/>
          <w:kern w:val="0"/>
          <w:sz w:val="32"/>
          <w:szCs w:val="32"/>
        </w:rPr>
      </w:pPr>
    </w:p>
    <w:p>
      <w:pPr>
        <w:pStyle w:val="2"/>
        <w:rPr>
          <w:rFonts w:ascii="宋体" w:hAnsi="宋体" w:cs="宋体"/>
          <w:kern w:val="0"/>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sz w:val="24"/>
              </w:rPr>
            </w:pPr>
            <w:r>
              <w:rPr>
                <w:rFonts w:hint="eastAsia" w:ascii="宋体" w:hAnsi="宋体" w:cs="宋体"/>
                <w:sz w:val="24"/>
              </w:rPr>
              <w:t>1</w:t>
            </w:r>
          </w:p>
        </w:tc>
        <w:tc>
          <w:tcPr>
            <w:tcW w:w="3873"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sz w:val="24"/>
              </w:rPr>
            </w:pPr>
            <w:r>
              <w:rPr>
                <w:rFonts w:hint="eastAsia" w:ascii="宋体" w:hAnsi="宋体" w:cs="宋体"/>
                <w:sz w:val="24"/>
              </w:rPr>
              <w:t>2</w:t>
            </w:r>
          </w:p>
        </w:tc>
        <w:tc>
          <w:tcPr>
            <w:tcW w:w="3873"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sz w:val="24"/>
              </w:rPr>
            </w:pPr>
            <w:r>
              <w:rPr>
                <w:rFonts w:hint="eastAsia" w:ascii="宋体" w:hAnsi="宋体" w:cs="宋体"/>
                <w:sz w:val="24"/>
              </w:rPr>
              <w:t>3</w:t>
            </w:r>
          </w:p>
        </w:tc>
        <w:tc>
          <w:tcPr>
            <w:tcW w:w="3873"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kern w:val="0"/>
        </w:rPr>
      </w:pPr>
    </w:p>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cs="宋体"/>
          <w:kern w:val="0"/>
        </w:rPr>
      </w:pPr>
    </w:p>
    <w:p>
      <w:pPr>
        <w:rPr>
          <w:rFonts w:ascii="宋体" w:hAnsi="宋体" w:cs="宋体"/>
          <w:b/>
          <w:kern w:val="0"/>
          <w:sz w:val="32"/>
          <w:szCs w:val="32"/>
        </w:rPr>
      </w:pPr>
    </w:p>
    <w:p>
      <w:pPr>
        <w:pStyle w:val="2"/>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pStyle w:val="2"/>
        <w:rPr>
          <w:rFonts w:ascii="宋体" w:hAnsi="宋体" w:cs="宋体"/>
          <w:kern w:val="0"/>
          <w:lang w:val="en-US"/>
        </w:rPr>
      </w:pPr>
    </w:p>
    <w:p>
      <w:pPr>
        <w:rPr>
          <w:rFonts w:ascii="宋体" w:hAnsi="宋体" w:cs="宋体"/>
          <w:b/>
          <w:kern w:val="0"/>
          <w:sz w:val="32"/>
          <w:szCs w:val="32"/>
        </w:rPr>
      </w:pPr>
    </w:p>
    <w:p>
      <w:pPr>
        <w:pStyle w:val="2"/>
        <w:rPr>
          <w:rFonts w:ascii="宋体" w:hAnsi="宋体" w:cs="宋体"/>
          <w:kern w:val="0"/>
          <w:lang w:val="en-US"/>
        </w:rPr>
      </w:pPr>
    </w:p>
    <w:p>
      <w:pPr>
        <w:rPr>
          <w:rFonts w:ascii="宋体" w:hAnsi="宋体" w:cs="宋体"/>
          <w:b/>
          <w:kern w:val="0"/>
          <w:sz w:val="32"/>
          <w:szCs w:val="32"/>
        </w:rPr>
      </w:pPr>
    </w:p>
    <w:p>
      <w:pPr>
        <w:pStyle w:val="2"/>
        <w:rPr>
          <w:rFonts w:ascii="宋体" w:hAnsi="宋体" w:cs="宋体"/>
          <w:kern w:val="0"/>
          <w:lang w:val="en-US"/>
        </w:rPr>
      </w:pPr>
    </w:p>
    <w:p>
      <w:pPr>
        <w:pStyle w:val="2"/>
        <w:rPr>
          <w:rFonts w:ascii="宋体" w:hAnsi="宋体" w:cs="宋体"/>
          <w:kern w:val="0"/>
          <w:lang w:val="en-US"/>
        </w:rPr>
      </w:pPr>
    </w:p>
    <w:p>
      <w:pPr>
        <w:jc w:val="left"/>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pStyle w:val="2"/>
        <w:rPr>
          <w:rFonts w:ascii="宋体" w:hAnsi="宋体" w:cs="宋体"/>
          <w:lang w:val="en-US"/>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rPr>
          <w:rFonts w:ascii="宋体" w:hAnsi="宋体" w:cs="宋体"/>
          <w:b/>
          <w:bCs/>
          <w:sz w:val="32"/>
          <w:szCs w:val="32"/>
        </w:rPr>
      </w:pPr>
    </w:p>
    <w:p>
      <w:pPr>
        <w:pStyle w:val="2"/>
        <w:rPr>
          <w:rFonts w:ascii="宋体" w:hAnsi="宋体" w:cs="宋体"/>
        </w:rPr>
      </w:pPr>
    </w:p>
    <w:p>
      <w:pPr>
        <w:rPr>
          <w:rFonts w:ascii="宋体" w:hAnsi="宋体" w:cs="宋体"/>
          <w:b/>
          <w:bCs/>
          <w:sz w:val="32"/>
          <w:szCs w:val="32"/>
        </w:rPr>
      </w:pPr>
    </w:p>
    <w:p>
      <w:pPr>
        <w:pStyle w:val="2"/>
        <w:rPr>
          <w:rFonts w:ascii="宋体" w:hAnsi="宋体" w:cs="宋体"/>
        </w:rPr>
      </w:pPr>
    </w:p>
    <w:p>
      <w:pPr>
        <w:rPr>
          <w:rFonts w:ascii="宋体" w:hAnsi="宋体" w:cs="宋体"/>
          <w:b/>
          <w:bCs/>
          <w:sz w:val="32"/>
          <w:szCs w:val="32"/>
        </w:rPr>
      </w:pPr>
    </w:p>
    <w:p>
      <w:pPr>
        <w:pStyle w:val="2"/>
        <w:rPr>
          <w:rFonts w:ascii="宋体" w:hAnsi="宋体" w:cs="宋体"/>
        </w:rPr>
      </w:pPr>
    </w:p>
    <w:p>
      <w:pPr>
        <w:rPr>
          <w:rFonts w:ascii="宋体" w:hAnsi="宋体" w:cs="宋体"/>
          <w:b/>
          <w:bCs/>
          <w:sz w:val="32"/>
          <w:szCs w:val="32"/>
        </w:rPr>
      </w:pPr>
    </w:p>
    <w:p>
      <w:pPr>
        <w:pStyle w:val="2"/>
        <w:rPr>
          <w:rFonts w:ascii="宋体" w:hAnsi="宋体" w:cs="宋体"/>
        </w:rPr>
      </w:pPr>
    </w:p>
    <w:p>
      <w:pPr>
        <w:rPr>
          <w:rFonts w:ascii="宋体" w:hAnsi="宋体" w:cs="宋体"/>
          <w:b/>
          <w:bCs/>
          <w:sz w:val="32"/>
          <w:szCs w:val="32"/>
        </w:rPr>
      </w:pPr>
    </w:p>
    <w:p>
      <w:pPr>
        <w:pStyle w:val="2"/>
        <w:rPr>
          <w:rFonts w:ascii="宋体" w:hAnsi="宋体" w:cs="宋体"/>
        </w:rPr>
      </w:pPr>
    </w:p>
    <w:p>
      <w:pPr>
        <w:rPr>
          <w:rFonts w:ascii="宋体" w:hAnsi="宋体" w:cs="宋体"/>
          <w:b/>
          <w:bCs/>
          <w:sz w:val="32"/>
          <w:szCs w:val="32"/>
        </w:rPr>
      </w:pPr>
    </w:p>
    <w:p>
      <w:pPr>
        <w:pStyle w:val="2"/>
        <w:rPr>
          <w:rFonts w:ascii="宋体" w:hAnsi="宋体" w:cs="宋体"/>
        </w:rPr>
      </w:pPr>
    </w:p>
    <w:p>
      <w:pPr>
        <w:rPr>
          <w:rFonts w:ascii="宋体" w:hAnsi="宋体" w:cs="宋体"/>
          <w:b/>
          <w:bCs/>
          <w:sz w:val="32"/>
          <w:szCs w:val="32"/>
        </w:rPr>
      </w:pPr>
      <w:r>
        <w:rPr>
          <w:rFonts w:ascii="宋体" w:hAnsi="宋体" w:cs="宋体"/>
          <w:b/>
          <w:bCs/>
          <w:sz w:val="32"/>
          <w:szCs w:val="32"/>
        </w:rPr>
        <w:br w:type="page"/>
      </w:r>
    </w:p>
    <w:p>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24"/>
        <w:snapToGrid w:val="0"/>
        <w:spacing w:before="157" w:after="157"/>
        <w:rPr>
          <w:rFonts w:hAnsi="宋体" w:cs="宋体"/>
          <w:b/>
          <w:sz w:val="28"/>
          <w:szCs w:val="28"/>
        </w:rPr>
      </w:pPr>
      <w:r>
        <w:rPr>
          <w:rFonts w:hint="eastAsia" w:hAnsi="宋体" w:cs="宋体"/>
          <w:b/>
          <w:sz w:val="28"/>
          <w:szCs w:val="28"/>
        </w:rPr>
        <w:t>确认声明书（将以下表格填写完成后，与投标文件同步制作递交）</w:t>
      </w:r>
    </w:p>
    <w:p>
      <w:pPr>
        <w:pStyle w:val="624"/>
        <w:snapToGrid w:val="0"/>
        <w:spacing w:before="157" w:after="157"/>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pPr>
        <w:pStyle w:val="624"/>
        <w:snapToGrid w:val="0"/>
        <w:spacing w:before="157" w:after="157"/>
        <w:jc w:val="center"/>
        <w:rPr>
          <w:rFonts w:hAnsi="宋体" w:cs="宋体"/>
          <w:b/>
          <w:sz w:val="32"/>
          <w:szCs w:val="32"/>
        </w:rPr>
      </w:pPr>
    </w:p>
    <w:p>
      <w:pPr>
        <w:pStyle w:val="624"/>
        <w:snapToGrid w:val="0"/>
        <w:spacing w:before="157" w:after="157"/>
        <w:jc w:val="center"/>
        <w:rPr>
          <w:rFonts w:hAnsi="宋体" w:cs="宋体"/>
          <w:b/>
          <w:sz w:val="32"/>
          <w:szCs w:val="32"/>
        </w:rPr>
      </w:pPr>
      <w:r>
        <w:rPr>
          <w:rFonts w:hint="eastAsia" w:hAnsi="宋体" w:cs="宋体"/>
          <w:b/>
          <w:sz w:val="32"/>
          <w:szCs w:val="32"/>
        </w:rPr>
        <w:t>政府采购活动现场确认声明书</w:t>
      </w:r>
    </w:p>
    <w:p>
      <w:pPr>
        <w:pStyle w:val="624"/>
        <w:snapToGrid w:val="0"/>
        <w:spacing w:before="157" w:after="157" w:line="380" w:lineRule="exact"/>
        <w:rPr>
          <w:rFonts w:hAnsi="宋体" w:cs="宋体"/>
          <w:b/>
          <w:sz w:val="21"/>
          <w:szCs w:val="21"/>
        </w:rPr>
      </w:pPr>
      <w:r>
        <w:rPr>
          <w:rFonts w:hint="eastAsia" w:hAnsi="宋体" w:cs="宋体"/>
          <w:kern w:val="0"/>
          <w:sz w:val="21"/>
          <w:szCs w:val="21"/>
          <w:u w:val="single"/>
        </w:rPr>
        <w:t>采购人、代理机构</w:t>
      </w:r>
      <w:r>
        <w:rPr>
          <w:rFonts w:hint="eastAsia" w:hAnsi="宋体" w:cs="宋体"/>
          <w:kern w:val="0"/>
          <w:sz w:val="21"/>
          <w:szCs w:val="21"/>
        </w:rPr>
        <w:t>：</w:t>
      </w:r>
    </w:p>
    <w:p>
      <w:pPr>
        <w:pStyle w:val="624"/>
        <w:snapToGrid w:val="0"/>
        <w:spacing w:before="157" w:after="157"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 xml:space="preserve">合法授权参加项目（编号：）政府采购活动，经与本单位法人代表（负责人）联系确认，现就有关公平竞争事项郑重声明如下： </w:t>
      </w:r>
    </w:p>
    <w:p>
      <w:pPr>
        <w:pStyle w:val="625"/>
        <w:widowControl/>
        <w:numPr>
          <w:ilvl w:val="0"/>
          <w:numId w:val="7"/>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p>
    <w:p>
      <w:pPr>
        <w:pStyle w:val="625"/>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pPr>
        <w:pStyle w:val="625"/>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625"/>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p>
    <w:p>
      <w:pPr>
        <w:pStyle w:val="624"/>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pPr>
        <w:pStyle w:val="624"/>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pPr>
        <w:pStyle w:val="624"/>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pPr>
        <w:pStyle w:val="624"/>
        <w:adjustRightInd/>
        <w:snapToGrid w:val="0"/>
        <w:spacing w:before="157" w:after="157"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pPr>
        <w:pStyle w:val="624"/>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pPr>
        <w:pStyle w:val="624"/>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pPr>
        <w:pStyle w:val="624"/>
        <w:adjustRightInd/>
        <w:snapToGrid w:val="0"/>
        <w:spacing w:before="157" w:after="157"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pPr>
        <w:pStyle w:val="624"/>
        <w:adjustRightInd/>
        <w:snapToGrid w:val="0"/>
        <w:spacing w:before="157" w:after="157"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pPr>
        <w:pStyle w:val="624"/>
        <w:snapToGrid w:val="0"/>
        <w:spacing w:before="157" w:after="157"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kern w:val="0"/>
          <w:sz w:val="21"/>
          <w:szCs w:val="21"/>
        </w:rPr>
        <w:t>。</w:t>
      </w:r>
    </w:p>
    <w:p>
      <w:pPr>
        <w:pStyle w:val="625"/>
        <w:widowControl/>
        <w:numPr>
          <w:ilvl w:val="0"/>
          <w:numId w:val="8"/>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pPr>
        <w:pStyle w:val="625"/>
        <w:widowControl/>
        <w:numPr>
          <w:ilvl w:val="0"/>
          <w:numId w:val="8"/>
        </w:numPr>
        <w:snapToGrid w:val="0"/>
        <w:spacing w:line="380" w:lineRule="exact"/>
        <w:ind w:firstLine="396" w:firstLineChars="189"/>
        <w:rPr>
          <w:rFonts w:hint="default" w:ascii="宋体" w:hAnsi="宋体" w:cs="宋体"/>
          <w:szCs w:val="21"/>
        </w:rPr>
      </w:pPr>
      <w:r>
        <w:rPr>
          <w:rFonts w:ascii="宋体" w:hAnsi="宋体" w:cs="宋体"/>
          <w:kern w:val="0"/>
          <w:szCs w:val="21"/>
        </w:rPr>
        <w:t>我发现供应商之间存在或可能存在上述第二条第项利害关系。</w:t>
      </w:r>
    </w:p>
    <w:p>
      <w:pPr>
        <w:pStyle w:val="624"/>
        <w:snapToGrid w:val="0"/>
        <w:spacing w:before="157" w:after="157"/>
        <w:ind w:firstLine="420" w:firstLineChars="200"/>
        <w:rPr>
          <w:rFonts w:hAnsi="宋体" w:cs="宋体"/>
          <w:sz w:val="21"/>
          <w:szCs w:val="21"/>
        </w:rPr>
      </w:pPr>
      <w:r>
        <w:rPr>
          <w:rFonts w:hint="eastAsia" w:hAnsi="宋体" w:cs="宋体"/>
          <w:sz w:val="21"/>
          <w:szCs w:val="21"/>
        </w:rPr>
        <w:t xml:space="preserve">      供应商盖章：</w:t>
      </w:r>
    </w:p>
    <w:p>
      <w:pPr>
        <w:pStyle w:val="624"/>
        <w:snapToGrid w:val="0"/>
        <w:spacing w:before="157" w:after="157"/>
        <w:ind w:firstLine="4830" w:firstLineChars="2300"/>
        <w:rPr>
          <w:rFonts w:hAnsi="宋体" w:cs="宋体"/>
          <w:sz w:val="21"/>
          <w:szCs w:val="21"/>
        </w:rPr>
      </w:pPr>
      <w:r>
        <w:rPr>
          <w:rFonts w:hint="eastAsia" w:hAnsi="宋体" w:cs="宋体"/>
          <w:sz w:val="21"/>
          <w:szCs w:val="21"/>
        </w:rPr>
        <w:t>授权委托代表签名：</w:t>
      </w:r>
    </w:p>
    <w:p>
      <w:pPr>
        <w:snapToGrid w:val="0"/>
        <w:spacing w:line="360" w:lineRule="auto"/>
        <w:jc w:val="left"/>
      </w:pPr>
      <w:r>
        <w:rPr>
          <w:rFonts w:hint="eastAsia" w:ascii="宋体" w:hAnsi="宋体" w:cs="宋体"/>
          <w:szCs w:val="21"/>
        </w:rPr>
        <w:t xml:space="preserve">  年  月  日</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报价文件部分</w:t>
      </w:r>
      <w:r>
        <w:rPr>
          <w:rFonts w:hint="eastAsia" w:ascii="宋体" w:hAnsi="宋体" w:cs="宋体"/>
          <w:b/>
          <w:bCs/>
          <w:sz w:val="44"/>
          <w:szCs w:val="44"/>
        </w:rPr>
        <w:t>（封面）</w:t>
      </w:r>
    </w:p>
    <w:p>
      <w:pPr>
        <w:spacing w:line="360" w:lineRule="auto"/>
        <w:jc w:val="center"/>
        <w:outlineLvl w:val="0"/>
        <w:rPr>
          <w:rFonts w:ascii="宋体" w:hAnsi="宋体" w:cs="宋体"/>
          <w:b/>
          <w:kern w:val="0"/>
          <w:sz w:val="36"/>
          <w:szCs w:val="36"/>
        </w:rPr>
      </w:pPr>
    </w:p>
    <w:p>
      <w:pPr>
        <w:shd w:val="clear" w:color="auto" w:fill="FFFFFF"/>
        <w:snapToGrid w:val="0"/>
        <w:spacing w:line="360" w:lineRule="auto"/>
        <w:jc w:val="center"/>
        <w:outlineLvl w:val="0"/>
        <w:rPr>
          <w:rFonts w:ascii="宋体" w:hAnsi="宋体" w:cs="宋体"/>
          <w:b/>
          <w:bCs/>
          <w:sz w:val="36"/>
          <w:szCs w:val="36"/>
        </w:rPr>
      </w:pPr>
      <w:r>
        <w:rPr>
          <w:rFonts w:hint="eastAsia" w:ascii="宋体" w:hAnsi="宋体" w:cs="宋体"/>
          <w:b/>
          <w:bCs/>
          <w:sz w:val="36"/>
          <w:szCs w:val="36"/>
        </w:rPr>
        <w:t xml:space="preserve"> （项目名称）</w:t>
      </w:r>
    </w:p>
    <w:p>
      <w:pPr>
        <w:shd w:val="clear" w:color="auto" w:fill="FFFFFF"/>
        <w:snapToGrid w:val="0"/>
        <w:spacing w:line="360" w:lineRule="auto"/>
        <w:jc w:val="center"/>
        <w:outlineLvl w:val="0"/>
        <w:rPr>
          <w:rFonts w:ascii="宋体" w:hAnsi="宋体" w:cs="宋体"/>
          <w:b/>
          <w:bCs/>
          <w:sz w:val="52"/>
          <w:szCs w:val="52"/>
        </w:rPr>
      </w:pPr>
      <w:bookmarkStart w:id="528" w:name="_Toc105"/>
      <w:r>
        <w:rPr>
          <w:rFonts w:hint="eastAsia" w:ascii="宋体" w:hAnsi="宋体" w:cs="宋体"/>
          <w:b/>
          <w:bCs/>
          <w:sz w:val="52"/>
          <w:szCs w:val="52"/>
        </w:rPr>
        <w:t>报 价 文 件</w:t>
      </w:r>
      <w:bookmarkEnd w:id="528"/>
    </w:p>
    <w:p>
      <w:pPr>
        <w:widowControl/>
        <w:spacing w:line="360" w:lineRule="auto"/>
        <w:ind w:right="-2"/>
        <w:jc w:val="center"/>
        <w:outlineLvl w:val="1"/>
        <w:rPr>
          <w:rFonts w:ascii="宋体" w:hAnsi="宋体" w:cs="宋体"/>
          <w:b/>
          <w:sz w:val="36"/>
          <w:szCs w:val="36"/>
        </w:rPr>
      </w:pPr>
      <w:bookmarkStart w:id="529" w:name="_Toc22501"/>
      <w:r>
        <w:rPr>
          <w:rFonts w:hint="eastAsia" w:ascii="宋体" w:hAnsi="宋体" w:cs="宋体"/>
          <w:b/>
          <w:sz w:val="36"/>
          <w:szCs w:val="36"/>
        </w:rPr>
        <w:t>（线上电子招投标）</w:t>
      </w:r>
      <w:bookmarkEnd w:id="529"/>
    </w:p>
    <w:p>
      <w:pPr>
        <w:shd w:val="clear" w:color="auto" w:fill="FFFFFF"/>
        <w:snapToGrid w:val="0"/>
        <w:spacing w:line="360" w:lineRule="auto"/>
        <w:jc w:val="center"/>
        <w:outlineLvl w:val="1"/>
        <w:rPr>
          <w:rFonts w:ascii="宋体" w:hAnsi="宋体" w:cs="宋体"/>
          <w:b/>
          <w:bCs/>
          <w:sz w:val="36"/>
          <w:szCs w:val="36"/>
        </w:rPr>
      </w:pPr>
      <w:bookmarkStart w:id="530" w:name="_Toc13670"/>
    </w:p>
    <w:p>
      <w:pPr>
        <w:shd w:val="clear" w:color="auto" w:fill="FFFFFF"/>
        <w:snapToGrid w:val="0"/>
        <w:spacing w:line="360" w:lineRule="auto"/>
        <w:jc w:val="center"/>
        <w:outlineLvl w:val="1"/>
        <w:rPr>
          <w:rFonts w:ascii="宋体" w:hAnsi="宋体" w:cs="宋体"/>
          <w:b/>
          <w:bCs/>
          <w:sz w:val="36"/>
          <w:szCs w:val="36"/>
        </w:rPr>
      </w:pPr>
      <w:r>
        <w:rPr>
          <w:rFonts w:hint="eastAsia" w:ascii="宋体" w:hAnsi="宋体" w:cs="宋体"/>
          <w:b/>
          <w:bCs/>
          <w:sz w:val="36"/>
          <w:szCs w:val="36"/>
        </w:rPr>
        <w:t xml:space="preserve">  招标编号：</w:t>
      </w:r>
      <w:bookmarkEnd w:id="530"/>
      <w:r>
        <w:rPr>
          <w:rFonts w:hint="eastAsia" w:ascii="宋体" w:hAnsi="宋体" w:cs="宋体"/>
          <w:b/>
          <w:bCs/>
          <w:sz w:val="36"/>
          <w:szCs w:val="36"/>
        </w:rPr>
        <w:t xml:space="preserve">YHZFCG2024- </w:t>
      </w:r>
    </w:p>
    <w:p>
      <w:pPr>
        <w:snapToGrid w:val="0"/>
        <w:spacing w:line="360" w:lineRule="auto"/>
        <w:jc w:val="center"/>
        <w:rPr>
          <w:rFonts w:ascii="宋体" w:hAnsi="宋体" w:cs="宋体"/>
          <w:sz w:val="44"/>
          <w:szCs w:val="44"/>
        </w:rPr>
      </w:pPr>
      <w:r>
        <w:rPr>
          <w:rFonts w:hint="eastAsia" w:ascii="宋体" w:hAnsi="宋体" w:cs="宋体"/>
          <w:sz w:val="44"/>
          <w:szCs w:val="44"/>
        </w:rPr>
        <w:t>投</w:t>
      </w:r>
    </w:p>
    <w:p>
      <w:pPr>
        <w:snapToGrid w:val="0"/>
        <w:spacing w:line="360" w:lineRule="auto"/>
        <w:jc w:val="center"/>
        <w:rPr>
          <w:rFonts w:ascii="宋体" w:hAnsi="宋体" w:cs="宋体"/>
          <w:sz w:val="44"/>
          <w:szCs w:val="44"/>
        </w:rPr>
      </w:pPr>
      <w:r>
        <w:rPr>
          <w:rFonts w:hint="eastAsia" w:ascii="宋体" w:hAnsi="宋体" w:cs="宋体"/>
          <w:sz w:val="44"/>
          <w:szCs w:val="44"/>
        </w:rPr>
        <w:t>标</w:t>
      </w:r>
    </w:p>
    <w:p>
      <w:pPr>
        <w:snapToGrid w:val="0"/>
        <w:spacing w:line="360" w:lineRule="auto"/>
        <w:jc w:val="center"/>
        <w:rPr>
          <w:rFonts w:ascii="宋体" w:hAnsi="宋体" w:cs="宋体"/>
          <w:sz w:val="44"/>
          <w:szCs w:val="44"/>
        </w:rPr>
      </w:pPr>
      <w:r>
        <w:rPr>
          <w:rFonts w:hint="eastAsia" w:ascii="宋体" w:hAnsi="宋体" w:cs="宋体"/>
          <w:sz w:val="44"/>
          <w:szCs w:val="44"/>
        </w:rPr>
        <w:t>文</w:t>
      </w:r>
    </w:p>
    <w:p>
      <w:pPr>
        <w:snapToGrid w:val="0"/>
        <w:spacing w:line="360" w:lineRule="auto"/>
        <w:jc w:val="center"/>
        <w:rPr>
          <w:rFonts w:ascii="宋体" w:hAnsi="宋体" w:cs="宋体"/>
          <w:sz w:val="44"/>
          <w:szCs w:val="44"/>
        </w:rPr>
      </w:pPr>
      <w:r>
        <w:rPr>
          <w:rFonts w:hint="eastAsia" w:ascii="宋体" w:hAnsi="宋体" w:cs="宋体"/>
          <w:sz w:val="44"/>
          <w:szCs w:val="44"/>
        </w:rPr>
        <w:t>件</w:t>
      </w:r>
    </w:p>
    <w:p>
      <w:pPr>
        <w:snapToGrid w:val="0"/>
        <w:spacing w:line="360" w:lineRule="auto"/>
        <w:ind w:firstLine="1680" w:firstLineChars="600"/>
        <w:rPr>
          <w:rFonts w:ascii="宋体" w:hAnsi="宋体" w:cs="宋体"/>
          <w:sz w:val="28"/>
          <w:szCs w:val="28"/>
        </w:rPr>
      </w:pPr>
    </w:p>
    <w:p>
      <w:pPr>
        <w:snapToGrid w:val="0"/>
        <w:spacing w:line="360" w:lineRule="auto"/>
        <w:ind w:firstLine="1680" w:firstLineChars="600"/>
        <w:rPr>
          <w:rFonts w:ascii="宋体" w:hAnsi="宋体" w:cs="宋体"/>
          <w:sz w:val="28"/>
          <w:szCs w:val="28"/>
        </w:rPr>
      </w:pPr>
      <w:r>
        <w:rPr>
          <w:rFonts w:hint="eastAsia" w:ascii="宋体" w:hAnsi="宋体" w:cs="宋体"/>
          <w:sz w:val="28"/>
          <w:szCs w:val="28"/>
        </w:rPr>
        <w:t>投标人全称：（单位公章或电子公章）</w:t>
      </w:r>
    </w:p>
    <w:p>
      <w:pPr>
        <w:snapToGrid w:val="0"/>
        <w:spacing w:line="360" w:lineRule="auto"/>
        <w:ind w:firstLine="1680" w:firstLineChars="600"/>
        <w:rPr>
          <w:rFonts w:ascii="宋体" w:hAnsi="宋体" w:cs="宋体"/>
          <w:sz w:val="28"/>
          <w:szCs w:val="28"/>
        </w:rPr>
      </w:pPr>
      <w:r>
        <w:rPr>
          <w:rFonts w:hint="eastAsia" w:ascii="宋体" w:hAnsi="宋体" w:cs="宋体"/>
          <w:sz w:val="28"/>
          <w:szCs w:val="28"/>
        </w:rPr>
        <w:t>投标人地址：</w:t>
      </w:r>
    </w:p>
    <w:p>
      <w:pPr>
        <w:snapToGrid w:val="0"/>
        <w:spacing w:line="360" w:lineRule="auto"/>
        <w:jc w:val="center"/>
        <w:rPr>
          <w:rFonts w:ascii="宋体" w:hAnsi="宋体" w:cs="宋体"/>
          <w:b/>
          <w:bCs/>
          <w:kern w:val="0"/>
          <w:sz w:val="28"/>
          <w:szCs w:val="28"/>
        </w:rPr>
      </w:pPr>
      <w:r>
        <w:rPr>
          <w:rFonts w:hint="eastAsia" w:ascii="宋体" w:hAnsi="宋体" w:cs="宋体"/>
          <w:sz w:val="28"/>
          <w:szCs w:val="28"/>
        </w:rPr>
        <w:t>年   月   日</w:t>
      </w:r>
    </w:p>
    <w:p>
      <w:pPr>
        <w:pageBreakBefore/>
        <w:shd w:val="clear" w:color="auto" w:fill="FFFFFF"/>
        <w:snapToGrid w:val="0"/>
        <w:spacing w:line="360" w:lineRule="auto"/>
        <w:jc w:val="center"/>
        <w:rPr>
          <w:rFonts w:ascii="宋体" w:hAnsi="宋体" w:cs="宋体"/>
          <w:b/>
          <w:bCs/>
          <w:kern w:val="0"/>
          <w:sz w:val="32"/>
          <w:szCs w:val="32"/>
        </w:rPr>
        <w:sectPr>
          <w:headerReference r:id="rId16" w:type="default"/>
          <w:footerReference r:id="rId17"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pStyle w:val="2"/>
        <w:ind w:left="0" w:firstLine="0"/>
        <w:rPr>
          <w:rFonts w:ascii="宋体" w:hAnsi="宋体" w:eastAsia="宋体" w:cs="宋体"/>
          <w:lang w:val="en-US"/>
        </w:rPr>
      </w:pP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pStyle w:val="379"/>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b/>
          <w:bCs/>
          <w:sz w:val="24"/>
          <w:u w:val="single"/>
        </w:rPr>
        <w:t>（项目名称）</w:t>
      </w:r>
      <w:r>
        <w:rPr>
          <w:rFonts w:hint="eastAsia" w:ascii="宋体" w:hAnsi="宋体" w:cs="宋体"/>
          <w:kern w:val="0"/>
          <w:sz w:val="24"/>
          <w:u w:val="single"/>
          <w:lang w:val="zh-CN"/>
        </w:rPr>
        <w:t>【</w:t>
      </w:r>
      <w:r>
        <w:rPr>
          <w:rFonts w:hint="eastAsia" w:ascii="宋体" w:hAnsi="宋体" w:cs="宋体"/>
          <w:kern w:val="0"/>
          <w:sz w:val="24"/>
          <w:lang w:val="zh-CN"/>
        </w:rPr>
        <w:t>招标编号：</w:t>
      </w:r>
      <w:r>
        <w:rPr>
          <w:rFonts w:hint="eastAsia" w:ascii="宋体" w:hAnsi="宋体" w:cs="宋体"/>
          <w:b/>
          <w:bCs/>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p>
      <w:pPr>
        <w:rPr>
          <w:lang w:val="zh-CN"/>
        </w:rPr>
      </w:pPr>
    </w:p>
    <w:tbl>
      <w:tblPr>
        <w:tblStyle w:val="63"/>
        <w:tblW w:w="5182" w:type="pct"/>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424"/>
        <w:gridCol w:w="1572"/>
        <w:gridCol w:w="696"/>
        <w:gridCol w:w="1415"/>
        <w:gridCol w:w="982"/>
        <w:gridCol w:w="1118"/>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37" w:type="pct"/>
            <w:noWrap/>
            <w:vAlign w:val="center"/>
          </w:tcPr>
          <w:p>
            <w:pPr>
              <w:jc w:val="center"/>
              <w:rPr>
                <w:rFonts w:ascii="仿宋_GB2312" w:hAnsi="仿宋" w:eastAsia="仿宋_GB2312" w:cs="仿宋_GB2312"/>
                <w:b/>
                <w:sz w:val="24"/>
              </w:rPr>
            </w:pPr>
            <w:r>
              <w:rPr>
                <w:rFonts w:hint="eastAsia" w:ascii="仿宋_GB2312" w:hAnsi="仿宋" w:eastAsia="仿宋_GB2312"/>
                <w:b/>
                <w:sz w:val="24"/>
              </w:rPr>
              <w:t>序号</w:t>
            </w:r>
          </w:p>
        </w:tc>
        <w:tc>
          <w:tcPr>
            <w:tcW w:w="739" w:type="pct"/>
            <w:noWrap/>
            <w:vAlign w:val="center"/>
          </w:tcPr>
          <w:p>
            <w:pPr>
              <w:jc w:val="center"/>
              <w:rPr>
                <w:rFonts w:ascii="仿宋_GB2312" w:hAnsi="仿宋" w:eastAsia="仿宋_GB2312" w:cs="仿宋_GB2312"/>
                <w:b/>
                <w:sz w:val="24"/>
              </w:rPr>
            </w:pPr>
            <w:r>
              <w:rPr>
                <w:rFonts w:hint="eastAsia" w:ascii="仿宋_GB2312" w:hAnsi="仿宋" w:eastAsia="仿宋_GB2312"/>
                <w:b/>
                <w:sz w:val="24"/>
              </w:rPr>
              <w:t>名称</w:t>
            </w:r>
          </w:p>
        </w:tc>
        <w:tc>
          <w:tcPr>
            <w:tcW w:w="816" w:type="pct"/>
            <w:noWrap/>
          </w:tcPr>
          <w:p>
            <w:pPr>
              <w:jc w:val="center"/>
              <w:rPr>
                <w:rFonts w:ascii="仿宋_GB2312" w:hAnsi="仿宋" w:eastAsia="仿宋_GB2312"/>
                <w:b/>
                <w:sz w:val="24"/>
              </w:rPr>
            </w:pPr>
          </w:p>
          <w:p>
            <w:pPr>
              <w:jc w:val="center"/>
              <w:rPr>
                <w:rFonts w:ascii="仿宋_GB2312" w:hAnsi="仿宋" w:eastAsia="仿宋_GB2312" w:cs="仿宋_GB2312"/>
                <w:b/>
                <w:sz w:val="24"/>
              </w:rPr>
            </w:pPr>
            <w:r>
              <w:rPr>
                <w:rFonts w:hint="eastAsia" w:ascii="仿宋_GB2312" w:hAnsi="仿宋" w:eastAsia="仿宋_GB2312"/>
                <w:b/>
                <w:sz w:val="24"/>
              </w:rPr>
              <w:t>具体服务</w:t>
            </w:r>
          </w:p>
        </w:tc>
        <w:tc>
          <w:tcPr>
            <w:tcW w:w="361" w:type="pct"/>
            <w:noWrap/>
            <w:vAlign w:val="center"/>
          </w:tcPr>
          <w:p>
            <w:pPr>
              <w:jc w:val="center"/>
              <w:rPr>
                <w:rFonts w:ascii="仿宋_GB2312" w:hAnsi="仿宋" w:eastAsia="仿宋_GB2312" w:cs="仿宋_GB2312"/>
                <w:b/>
                <w:sz w:val="24"/>
              </w:rPr>
            </w:pPr>
            <w:r>
              <w:rPr>
                <w:rFonts w:hint="eastAsia" w:ascii="仿宋_GB2312" w:hAnsi="仿宋" w:eastAsia="仿宋_GB2312"/>
                <w:b/>
                <w:sz w:val="24"/>
              </w:rPr>
              <w:t>数量</w:t>
            </w:r>
          </w:p>
        </w:tc>
        <w:tc>
          <w:tcPr>
            <w:tcW w:w="735" w:type="pct"/>
            <w:noWrap/>
            <w:vAlign w:val="center"/>
          </w:tcPr>
          <w:p>
            <w:pPr>
              <w:jc w:val="center"/>
              <w:rPr>
                <w:rFonts w:ascii="仿宋_GB2312" w:hAnsi="仿宋" w:eastAsia="仿宋_GB2312"/>
                <w:b/>
                <w:sz w:val="24"/>
              </w:rPr>
            </w:pPr>
            <w:r>
              <w:rPr>
                <w:rFonts w:hint="eastAsia" w:ascii="仿宋_GB2312" w:hAnsi="仿宋" w:eastAsia="仿宋_GB2312"/>
                <w:b/>
                <w:sz w:val="24"/>
              </w:rPr>
              <w:t>最高单价限价</w:t>
            </w:r>
          </w:p>
        </w:tc>
        <w:tc>
          <w:tcPr>
            <w:tcW w:w="510" w:type="pct"/>
            <w:noWrap/>
            <w:vAlign w:val="center"/>
          </w:tcPr>
          <w:p>
            <w:pPr>
              <w:jc w:val="center"/>
              <w:rPr>
                <w:rFonts w:ascii="仿宋_GB2312" w:hAnsi="仿宋" w:eastAsia="仿宋_GB2312" w:cs="仿宋_GB2312"/>
                <w:b/>
                <w:sz w:val="24"/>
              </w:rPr>
            </w:pPr>
            <w:r>
              <w:rPr>
                <w:rFonts w:hint="eastAsia" w:ascii="仿宋_GB2312" w:hAnsi="仿宋" w:eastAsia="仿宋_GB2312"/>
                <w:b/>
                <w:sz w:val="24"/>
              </w:rPr>
              <w:t>投标综合单价（元）</w:t>
            </w:r>
          </w:p>
        </w:tc>
        <w:tc>
          <w:tcPr>
            <w:tcW w:w="580" w:type="pct"/>
            <w:noWrap/>
            <w:vAlign w:val="center"/>
          </w:tcPr>
          <w:p>
            <w:pPr>
              <w:jc w:val="center"/>
              <w:rPr>
                <w:rFonts w:ascii="仿宋_GB2312" w:hAnsi="仿宋" w:eastAsia="仿宋_GB2312" w:cs="仿宋_GB2312"/>
                <w:b/>
                <w:sz w:val="24"/>
              </w:rPr>
            </w:pPr>
            <w:r>
              <w:rPr>
                <w:rFonts w:hint="eastAsia" w:ascii="仿宋_GB2312" w:hAnsi="仿宋" w:eastAsia="仿宋_GB2312"/>
                <w:b/>
                <w:sz w:val="24"/>
              </w:rPr>
              <w:t>小计（元）</w:t>
            </w:r>
          </w:p>
        </w:tc>
        <w:tc>
          <w:tcPr>
            <w:tcW w:w="918" w:type="pct"/>
            <w:noWrap/>
            <w:vAlign w:val="center"/>
          </w:tcPr>
          <w:p>
            <w:pPr>
              <w:jc w:val="center"/>
              <w:rPr>
                <w:rFonts w:ascii="仿宋_GB2312" w:hAnsi="仿宋" w:eastAsia="仿宋_GB2312"/>
                <w:b/>
                <w:sz w:val="24"/>
              </w:rPr>
            </w:pPr>
          </w:p>
          <w:p>
            <w:pPr>
              <w:jc w:val="center"/>
              <w:rPr>
                <w:rFonts w:ascii="仿宋_GB2312" w:hAnsi="仿宋" w:eastAsia="仿宋_GB2312" w:cs="仿宋_GB2312"/>
                <w:b/>
                <w:sz w:val="24"/>
              </w:rPr>
            </w:pPr>
            <w:r>
              <w:rPr>
                <w:rFonts w:hint="eastAsia" w:ascii="仿宋_GB2312" w:hAnsi="仿宋" w:eastAsia="仿宋_GB2312"/>
                <w:b/>
                <w:sz w:val="24"/>
              </w:rPr>
              <w:t>备注</w:t>
            </w:r>
          </w:p>
          <w:p>
            <w:pPr>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337" w:type="pct"/>
            <w:vMerge w:val="restart"/>
            <w:noWrap/>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739" w:type="pct"/>
            <w:vMerge w:val="restart"/>
            <w:noWrap/>
            <w:vAlign w:val="center"/>
          </w:tcPr>
          <w:p>
            <w:pPr>
              <w:snapToGrid w:val="0"/>
              <w:spacing w:line="360" w:lineRule="auto"/>
              <w:jc w:val="center"/>
              <w:rPr>
                <w:rFonts w:ascii="仿宋_GB2312" w:hAnsi="仿宋" w:eastAsia="仿宋_GB2312" w:cs="仿宋_GB2312"/>
                <w:sz w:val="24"/>
              </w:rPr>
            </w:pPr>
            <w:r>
              <w:rPr>
                <w:rFonts w:hint="eastAsia" w:ascii="仿宋_GB2312" w:hAnsi="仿宋_GB2312" w:eastAsia="仿宋_GB2312" w:cs="仿宋_GB2312"/>
                <w:sz w:val="24"/>
              </w:rPr>
              <w:t>历史公安案卷</w:t>
            </w:r>
          </w:p>
        </w:tc>
        <w:tc>
          <w:tcPr>
            <w:tcW w:w="816" w:type="pct"/>
            <w:noWrap/>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对历史公安卷扫描加工服务，并引入法院案卷档案管理系统；</w:t>
            </w:r>
          </w:p>
        </w:tc>
        <w:tc>
          <w:tcPr>
            <w:tcW w:w="361" w:type="pct"/>
            <w:noWrap/>
            <w:vAlign w:val="center"/>
          </w:tcPr>
          <w:p>
            <w:pPr>
              <w:spacing w:line="360" w:lineRule="auto"/>
              <w:jc w:val="center"/>
              <w:rPr>
                <w:rFonts w:ascii="仿宋_GB2312" w:hAnsi="仿宋" w:eastAsia="仿宋_GB2312" w:cs="仿宋_GB2312"/>
                <w:sz w:val="24"/>
                <w:highlight w:val="none"/>
              </w:rPr>
            </w:pPr>
            <w:r>
              <w:rPr>
                <w:rFonts w:hint="eastAsia" w:ascii="仿宋_GB2312" w:hAnsi="仿宋_GB2312" w:eastAsia="仿宋_GB2312" w:cs="仿宋_GB2312"/>
                <w:sz w:val="24"/>
                <w:highlight w:val="none"/>
              </w:rPr>
              <w:t>137.66万页</w:t>
            </w:r>
          </w:p>
        </w:tc>
        <w:tc>
          <w:tcPr>
            <w:tcW w:w="735" w:type="pct"/>
            <w:noWrap/>
            <w:vAlign w:val="center"/>
          </w:tcPr>
          <w:p>
            <w:pPr>
              <w:spacing w:line="360" w:lineRule="auto"/>
              <w:jc w:val="center"/>
              <w:rPr>
                <w:rFonts w:ascii="仿宋_GB2312" w:hAnsi="仿宋" w:eastAsia="仿宋_GB2312" w:cs="仿宋_GB2312"/>
                <w:sz w:val="24"/>
                <w:highlight w:val="none"/>
              </w:rPr>
            </w:pPr>
            <w:r>
              <w:rPr>
                <w:rFonts w:hint="eastAsia" w:ascii="仿宋_GB2312" w:hAnsi="仿宋_GB2312" w:eastAsia="仿宋_GB2312" w:cs="仿宋_GB2312"/>
                <w:sz w:val="24"/>
                <w:highlight w:val="none"/>
              </w:rPr>
              <w:t>最高限价440500元，单价不高于</w:t>
            </w:r>
            <w:r>
              <w:rPr>
                <w:rFonts w:hint="eastAsia" w:ascii="仿宋_GB2312" w:hAnsi="仿宋_GB2312" w:eastAsia="仿宋_GB2312" w:cs="仿宋_GB2312"/>
                <w:spacing w:val="-4"/>
                <w:sz w:val="24"/>
                <w:highlight w:val="none"/>
              </w:rPr>
              <w:t>0.3</w:t>
            </w:r>
            <w:r>
              <w:rPr>
                <w:rFonts w:hint="eastAsia" w:ascii="仿宋_GB2312" w:hAnsi="仿宋_GB2312" w:eastAsia="仿宋_GB2312" w:cs="仿宋_GB2312"/>
                <w:spacing w:val="-43"/>
                <w:sz w:val="24"/>
                <w:highlight w:val="none"/>
              </w:rPr>
              <w:t>2</w:t>
            </w:r>
            <w:r>
              <w:rPr>
                <w:rFonts w:hint="eastAsia" w:ascii="仿宋_GB2312" w:hAnsi="仿宋_GB2312" w:eastAsia="仿宋_GB2312" w:cs="仿宋_GB2312"/>
                <w:sz w:val="24"/>
                <w:highlight w:val="none"/>
              </w:rPr>
              <w:t>元/页；</w:t>
            </w:r>
          </w:p>
        </w:tc>
        <w:tc>
          <w:tcPr>
            <w:tcW w:w="510" w:type="pct"/>
            <w:noWrap/>
            <w:vAlign w:val="center"/>
          </w:tcPr>
          <w:p>
            <w:pPr>
              <w:spacing w:line="360" w:lineRule="auto"/>
              <w:jc w:val="center"/>
              <w:rPr>
                <w:rFonts w:ascii="仿宋_GB2312" w:hAnsi="仿宋" w:eastAsia="仿宋_GB2312" w:cs="仿宋_GB2312"/>
                <w:sz w:val="24"/>
              </w:rPr>
            </w:pPr>
          </w:p>
        </w:tc>
        <w:tc>
          <w:tcPr>
            <w:tcW w:w="580" w:type="pct"/>
            <w:noWrap/>
            <w:vAlign w:val="center"/>
          </w:tcPr>
          <w:p>
            <w:pPr>
              <w:spacing w:line="360" w:lineRule="auto"/>
              <w:jc w:val="center"/>
              <w:rPr>
                <w:rFonts w:ascii="仿宋_GB2312" w:hAnsi="仿宋" w:eastAsia="仿宋_GB2312" w:cs="仿宋_GB2312"/>
                <w:sz w:val="24"/>
              </w:rPr>
            </w:pPr>
          </w:p>
        </w:tc>
        <w:tc>
          <w:tcPr>
            <w:tcW w:w="918" w:type="pct"/>
            <w:noWrap/>
            <w:vAlign w:val="center"/>
          </w:tcPr>
          <w:p>
            <w:pPr>
              <w:jc w:val="center"/>
              <w:rPr>
                <w:rFonts w:ascii="仿宋_GB2312" w:hAnsi="仿宋" w:eastAsia="仿宋_GB2312" w:cs="仿宋_GB2312"/>
                <w:sz w:val="24"/>
              </w:rPr>
            </w:pPr>
            <w:r>
              <w:rPr>
                <w:rFonts w:hint="eastAsia" w:ascii="仿宋_GB2312" w:hAnsi="仿宋_GB2312" w:eastAsia="仿宋_GB2312" w:cs="仿宋_GB2312"/>
                <w:sz w:val="24"/>
              </w:rPr>
              <w:t>中标单位提供项目所需设备（不限于高速扫描仪、平板扫描仪、三孔电动档案装订机、电脑等设备。项目完成后资料硬盘交给法院保管）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37" w:type="pct"/>
            <w:vMerge w:val="continue"/>
            <w:noWrap/>
            <w:vAlign w:val="center"/>
          </w:tcPr>
          <w:p>
            <w:pPr>
              <w:spacing w:line="360" w:lineRule="auto"/>
              <w:jc w:val="center"/>
              <w:rPr>
                <w:rFonts w:ascii="仿宋_GB2312" w:hAnsi="仿宋" w:eastAsia="仿宋_GB2312" w:cs="仿宋_GB2312"/>
                <w:sz w:val="24"/>
              </w:rPr>
            </w:pPr>
          </w:p>
        </w:tc>
        <w:tc>
          <w:tcPr>
            <w:tcW w:w="739" w:type="pct"/>
            <w:vMerge w:val="continue"/>
            <w:noWrap/>
            <w:vAlign w:val="center"/>
          </w:tcPr>
          <w:p>
            <w:pPr>
              <w:snapToGrid w:val="0"/>
              <w:spacing w:line="360" w:lineRule="auto"/>
              <w:jc w:val="center"/>
              <w:rPr>
                <w:rFonts w:ascii="仿宋_GB2312" w:hAnsi="仿宋" w:eastAsia="仿宋_GB2312" w:cs="仿宋_GB2312"/>
                <w:sz w:val="24"/>
              </w:rPr>
            </w:pPr>
          </w:p>
        </w:tc>
        <w:tc>
          <w:tcPr>
            <w:tcW w:w="816" w:type="pct"/>
            <w:noWrap/>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档案辅助工作：档案打印、整理上架、倒架、借调卷服务。</w:t>
            </w:r>
          </w:p>
        </w:tc>
        <w:tc>
          <w:tcPr>
            <w:tcW w:w="361" w:type="pct"/>
            <w:noWrap/>
            <w:vAlign w:val="center"/>
          </w:tcPr>
          <w:p>
            <w:pPr>
              <w:spacing w:line="360" w:lineRule="auto"/>
              <w:jc w:val="center"/>
              <w:rPr>
                <w:rFonts w:ascii="仿宋_GB2312" w:hAnsi="仿宋" w:eastAsia="仿宋_GB2312" w:cs="仿宋_GB2312"/>
                <w:sz w:val="24"/>
                <w:highlight w:val="none"/>
              </w:rPr>
            </w:pPr>
            <w:r>
              <w:rPr>
                <w:rFonts w:hint="eastAsia" w:ascii="仿宋_GB2312" w:hAnsi="仿宋_GB2312" w:eastAsia="仿宋_GB2312" w:cs="仿宋_GB2312"/>
                <w:sz w:val="24"/>
                <w:highlight w:val="none"/>
              </w:rPr>
              <w:t>约15000册</w:t>
            </w:r>
          </w:p>
        </w:tc>
        <w:tc>
          <w:tcPr>
            <w:tcW w:w="735" w:type="pct"/>
            <w:noWrap/>
            <w:vAlign w:val="center"/>
          </w:tcPr>
          <w:p>
            <w:pPr>
              <w:spacing w:line="360" w:lineRule="auto"/>
              <w:jc w:val="center"/>
              <w:rPr>
                <w:rFonts w:ascii="仿宋_GB2312" w:hAnsi="仿宋" w:eastAsia="仿宋_GB2312" w:cs="仿宋_GB2312"/>
                <w:sz w:val="24"/>
                <w:highlight w:val="none"/>
              </w:rPr>
            </w:pPr>
            <w:r>
              <w:rPr>
                <w:rFonts w:hint="eastAsia" w:ascii="仿宋_GB2312" w:hAnsi="仿宋_GB2312" w:eastAsia="仿宋_GB2312" w:cs="仿宋_GB2312"/>
                <w:sz w:val="24"/>
                <w:highlight w:val="none"/>
              </w:rPr>
              <w:t>最高限价259500元，单价不高于17.3元/册；</w:t>
            </w:r>
          </w:p>
        </w:tc>
        <w:tc>
          <w:tcPr>
            <w:tcW w:w="510" w:type="pct"/>
            <w:noWrap/>
            <w:vAlign w:val="center"/>
          </w:tcPr>
          <w:p>
            <w:pPr>
              <w:spacing w:line="360" w:lineRule="auto"/>
              <w:jc w:val="center"/>
              <w:rPr>
                <w:rFonts w:ascii="仿宋_GB2312" w:hAnsi="仿宋" w:eastAsia="仿宋_GB2312" w:cs="仿宋_GB2312"/>
                <w:sz w:val="24"/>
              </w:rPr>
            </w:pPr>
          </w:p>
        </w:tc>
        <w:tc>
          <w:tcPr>
            <w:tcW w:w="580" w:type="pct"/>
            <w:noWrap/>
            <w:vAlign w:val="center"/>
          </w:tcPr>
          <w:p>
            <w:pPr>
              <w:spacing w:line="360" w:lineRule="auto"/>
              <w:jc w:val="center"/>
              <w:rPr>
                <w:rFonts w:ascii="仿宋_GB2312" w:hAnsi="仿宋" w:eastAsia="仿宋_GB2312" w:cs="仿宋_GB2312"/>
                <w:sz w:val="24"/>
              </w:rPr>
            </w:pPr>
          </w:p>
        </w:tc>
        <w:tc>
          <w:tcPr>
            <w:tcW w:w="918" w:type="pct"/>
            <w:noWrap/>
            <w:vAlign w:val="center"/>
          </w:tcPr>
          <w:p>
            <w:pPr>
              <w:rPr>
                <w:rFonts w:ascii="仿宋_GB2312" w:hAnsi="仿宋" w:eastAsia="仿宋_GB2312" w:cs="仿宋_GB2312"/>
                <w:sz w:val="24"/>
              </w:rPr>
            </w:pPr>
            <w:r>
              <w:rPr>
                <w:rFonts w:hint="eastAsia" w:ascii="仿宋_GB2312" w:hAnsi="仿宋_GB2312" w:eastAsia="仿宋_GB2312" w:cs="仿宋_GB2312"/>
                <w:sz w:val="24"/>
              </w:rPr>
              <w:t>整体工作配备人员应不少于4人，中标单位提供封皮打印机设备。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337" w:type="pct"/>
            <w:noWrap/>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739" w:type="pct"/>
            <w:noWrap/>
            <w:vAlign w:val="center"/>
          </w:tcPr>
          <w:p>
            <w:pPr>
              <w:snapToGrid w:val="0"/>
              <w:spacing w:line="360" w:lineRule="auto"/>
              <w:jc w:val="center"/>
              <w:rPr>
                <w:rFonts w:ascii="仿宋_GB2312" w:hAnsi="仿宋" w:eastAsia="仿宋_GB2312" w:cs="仿宋_GB2312"/>
                <w:sz w:val="24"/>
              </w:rPr>
            </w:pPr>
            <w:r>
              <w:rPr>
                <w:rFonts w:hint="eastAsia" w:ascii="仿宋_GB2312" w:hAnsi="仿宋_GB2312" w:eastAsia="仿宋_GB2312" w:cs="仿宋_GB2312"/>
                <w:sz w:val="24"/>
              </w:rPr>
              <w:t>新增诉讼档案电子卷宗随案扫描，归档案卷补充材料扫描</w:t>
            </w:r>
          </w:p>
        </w:tc>
        <w:tc>
          <w:tcPr>
            <w:tcW w:w="816" w:type="pct"/>
            <w:noWrap/>
            <w:vAlign w:val="center"/>
          </w:tcPr>
          <w:p>
            <w:pPr>
              <w:spacing w:line="360" w:lineRule="auto"/>
              <w:jc w:val="left"/>
              <w:rPr>
                <w:rFonts w:ascii="仿宋_GB2312" w:hAnsi="仿宋" w:eastAsia="仿宋_GB2312" w:cs="仿宋_GB2312"/>
                <w:color w:val="000000"/>
                <w:sz w:val="24"/>
              </w:rPr>
            </w:pPr>
            <w:r>
              <w:rPr>
                <w:rFonts w:hint="eastAsia" w:ascii="仿宋_GB2312" w:hAnsi="仿宋_GB2312" w:eastAsia="仿宋_GB2312" w:cs="仿宋_GB2312"/>
                <w:sz w:val="24"/>
              </w:rPr>
              <w:t>提供电子随案的实时扫描加工服务，并引入法院办案办公系统；</w:t>
            </w:r>
          </w:p>
        </w:tc>
        <w:tc>
          <w:tcPr>
            <w:tcW w:w="361" w:type="pct"/>
            <w:noWrap/>
            <w:vAlign w:val="center"/>
          </w:tcPr>
          <w:p>
            <w:pPr>
              <w:spacing w:line="360" w:lineRule="auto"/>
              <w:jc w:val="center"/>
              <w:rPr>
                <w:rFonts w:ascii="仿宋_GB2312" w:hAnsi="仿宋" w:eastAsia="仿宋_GB2312" w:cs="仿宋_GB2312"/>
                <w:sz w:val="24"/>
                <w:highlight w:val="none"/>
              </w:rPr>
            </w:pPr>
            <w:r>
              <w:rPr>
                <w:rFonts w:hint="eastAsia" w:ascii="仿宋_GB2312" w:hAnsi="仿宋_GB2312" w:eastAsia="仿宋_GB2312" w:cs="仿宋_GB2312"/>
                <w:sz w:val="24"/>
                <w:highlight w:val="none"/>
              </w:rPr>
              <w:t>约14500件</w:t>
            </w:r>
          </w:p>
        </w:tc>
        <w:tc>
          <w:tcPr>
            <w:tcW w:w="735" w:type="pct"/>
            <w:noWrap/>
            <w:vAlign w:val="center"/>
          </w:tcPr>
          <w:p>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最高限价200000.00元，单价不高于13.79元/件</w:t>
            </w:r>
          </w:p>
        </w:tc>
        <w:tc>
          <w:tcPr>
            <w:tcW w:w="510" w:type="pct"/>
            <w:noWrap/>
            <w:vAlign w:val="center"/>
          </w:tcPr>
          <w:p>
            <w:pPr>
              <w:spacing w:line="360" w:lineRule="auto"/>
              <w:jc w:val="left"/>
              <w:rPr>
                <w:rFonts w:ascii="宋体" w:hAnsi="宋体" w:cs="宋体"/>
              </w:rPr>
            </w:pPr>
          </w:p>
        </w:tc>
        <w:tc>
          <w:tcPr>
            <w:tcW w:w="580" w:type="pct"/>
            <w:noWrap/>
            <w:vAlign w:val="center"/>
          </w:tcPr>
          <w:p>
            <w:pPr>
              <w:spacing w:line="360" w:lineRule="auto"/>
              <w:jc w:val="center"/>
              <w:rPr>
                <w:rFonts w:ascii="仿宋_GB2312" w:hAnsi="仿宋" w:eastAsia="仿宋_GB2312" w:cs="仿宋_GB2312"/>
                <w:sz w:val="24"/>
              </w:rPr>
            </w:pPr>
          </w:p>
        </w:tc>
        <w:tc>
          <w:tcPr>
            <w:tcW w:w="918" w:type="pct"/>
            <w:noWrap/>
            <w:vAlign w:val="center"/>
          </w:tcPr>
          <w:p>
            <w:pPr>
              <w:rPr>
                <w:rFonts w:ascii="仿宋_GB2312" w:hAnsi="仿宋" w:eastAsia="仿宋_GB2312" w:cs="仿宋_GB2312"/>
                <w:sz w:val="24"/>
              </w:rPr>
            </w:pPr>
            <w:r>
              <w:rPr>
                <w:rFonts w:hint="eastAsia" w:ascii="仿宋_GB2312" w:hAnsi="仿宋_GB2312" w:eastAsia="仿宋_GB2312" w:cs="仿宋_GB2312"/>
                <w:sz w:val="24"/>
              </w:rPr>
              <w:t>整体工作配备人员应不少于3人，中标单位提供服务所需设备，当天的案卷材料必须当天完成扫描加工并引入法院办案办公系统。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94" w:type="pct"/>
            <w:gridSpan w:val="3"/>
            <w:noWrap/>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投标总报价（小写）</w:t>
            </w:r>
          </w:p>
        </w:tc>
        <w:tc>
          <w:tcPr>
            <w:tcW w:w="3105" w:type="pct"/>
            <w:gridSpan w:val="5"/>
            <w:noWrap/>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94" w:type="pct"/>
            <w:gridSpan w:val="3"/>
            <w:noWrap/>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投标总报价（大写）</w:t>
            </w:r>
          </w:p>
        </w:tc>
        <w:tc>
          <w:tcPr>
            <w:tcW w:w="3105" w:type="pct"/>
            <w:gridSpan w:val="5"/>
            <w:noWrap/>
            <w:vAlign w:val="center"/>
          </w:tcPr>
          <w:p>
            <w:pPr>
              <w:spacing w:line="360" w:lineRule="auto"/>
              <w:jc w:val="center"/>
              <w:rPr>
                <w:rFonts w:ascii="仿宋_GB2312" w:hAnsi="仿宋" w:eastAsia="仿宋_GB2312" w:cs="仿宋_GB2312"/>
                <w:sz w:val="24"/>
              </w:rPr>
            </w:pPr>
          </w:p>
        </w:tc>
      </w:tr>
    </w:tbl>
    <w:p>
      <w:pPr>
        <w:pStyle w:val="2"/>
        <w:rPr>
          <w:rFonts w:ascii="宋体" w:hAnsi="宋体" w:cs="宋体"/>
          <w:kern w:val="0"/>
          <w:sz w:val="24"/>
        </w:rPr>
      </w:pPr>
    </w:p>
    <w:p>
      <w:pPr>
        <w:snapToGrid w:val="0"/>
        <w:spacing w:line="360" w:lineRule="auto"/>
        <w:ind w:firstLine="482" w:firstLineChars="200"/>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4860"/>
        </w:tabs>
        <w:spacing w:line="360" w:lineRule="auto"/>
        <w:ind w:right="1560" w:firstLine="480" w:firstLineChars="200"/>
        <w:jc w:val="right"/>
        <w:rPr>
          <w:rFonts w:ascii="宋体" w:hAnsi="宋体" w:cs="宋体"/>
          <w:kern w:val="0"/>
          <w:sz w:val="24"/>
          <w:lang w:val="zh-CN"/>
        </w:rPr>
      </w:pPr>
    </w:p>
    <w:p>
      <w:pPr>
        <w:tabs>
          <w:tab w:val="left" w:pos="4860"/>
        </w:tabs>
        <w:spacing w:line="360" w:lineRule="auto"/>
        <w:ind w:right="1560" w:firstLine="480" w:firstLineChars="200"/>
        <w:jc w:val="right"/>
        <w:rPr>
          <w:rFonts w:ascii="宋体" w:hAnsi="宋体" w:cs="宋体"/>
          <w:kern w:val="0"/>
          <w:sz w:val="24"/>
          <w:lang w:val="zh-CN"/>
        </w:rPr>
      </w:pPr>
      <w:r>
        <w:rPr>
          <w:rFonts w:hint="eastAsia" w:ascii="宋体" w:hAnsi="宋体" w:cs="宋体"/>
          <w:kern w:val="0"/>
          <w:sz w:val="24"/>
          <w:lang w:val="zh-CN"/>
        </w:rPr>
        <w:t>投标人名称（电子签名）：</w:t>
      </w:r>
    </w:p>
    <w:p>
      <w:pPr>
        <w:tabs>
          <w:tab w:val="left" w:pos="4860"/>
        </w:tabs>
        <w:spacing w:line="360" w:lineRule="auto"/>
        <w:ind w:right="1560" w:firstLine="480" w:firstLineChars="200"/>
        <w:jc w:val="right"/>
        <w:rPr>
          <w:rFonts w:ascii="宋体" w:hAnsi="宋体" w:cs="宋体"/>
          <w:kern w:val="0"/>
          <w:sz w:val="24"/>
          <w:lang w:val="zh-CN"/>
        </w:rPr>
      </w:pPr>
      <w:r>
        <w:rPr>
          <w:rFonts w:hint="eastAsia" w:ascii="宋体" w:hAnsi="宋体" w:cs="宋体"/>
          <w:kern w:val="0"/>
          <w:sz w:val="24"/>
          <w:lang w:val="zh-CN"/>
        </w:rPr>
        <w:t>日期：202</w:t>
      </w:r>
      <w:r>
        <w:rPr>
          <w:rFonts w:hint="eastAsia" w:ascii="宋体" w:hAnsi="宋体" w:cs="宋体"/>
          <w:kern w:val="0"/>
          <w:sz w:val="24"/>
        </w:rPr>
        <w:t>4</w:t>
      </w:r>
      <w:r>
        <w:rPr>
          <w:rFonts w:hint="eastAsia" w:ascii="宋体" w:hAnsi="宋体" w:cs="宋体"/>
          <w:kern w:val="0"/>
          <w:sz w:val="24"/>
          <w:lang w:val="zh-CN"/>
        </w:rPr>
        <w:t>年  月   日</w:t>
      </w:r>
    </w:p>
    <w:p>
      <w:pPr>
        <w:jc w:val="center"/>
        <w:rPr>
          <w:rFonts w:ascii="宋体" w:hAnsi="宋体" w:cs="宋体"/>
          <w:b/>
          <w:kern w:val="0"/>
          <w:sz w:val="24"/>
          <w:lang w:val="zh-CN"/>
        </w:rPr>
      </w:pPr>
    </w:p>
    <w:p>
      <w:pPr>
        <w:jc w:val="left"/>
        <w:rPr>
          <w:rFonts w:ascii="仿宋" w:hAnsi="仿宋" w:eastAsia="仿宋" w:cs="仿宋"/>
          <w:b/>
          <w:sz w:val="32"/>
          <w:szCs w:val="32"/>
        </w:rPr>
      </w:pPr>
      <w:r>
        <w:rPr>
          <w:rFonts w:hint="eastAsia" w:ascii="仿宋" w:hAnsi="仿宋" w:eastAsia="仿宋" w:cs="仿宋"/>
          <w:b/>
          <w:sz w:val="32"/>
          <w:szCs w:val="32"/>
        </w:rPr>
        <w:br w:type="page"/>
      </w: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2"/>
        <w:ind w:firstLine="964" w:firstLineChars="400"/>
        <w:rPr>
          <w:rFonts w:ascii="仿宋" w:eastAsia="仿宋" w:cs="仿宋"/>
          <w:sz w:val="24"/>
          <w:szCs w:val="24"/>
          <w:lang w:val="en-US"/>
        </w:rPr>
      </w:pPr>
      <w:r>
        <w:rPr>
          <w:rFonts w:hint="eastAsia" w:ascii="仿宋" w:eastAsia="仿宋" w:cs="仿宋"/>
          <w:sz w:val="24"/>
          <w:szCs w:val="24"/>
          <w:lang w:val="en-US"/>
        </w:rPr>
        <w:t>（三）杭州e融平台申请融资</w:t>
      </w:r>
    </w:p>
    <w:p>
      <w:pPr>
        <w:pStyle w:val="2"/>
        <w:ind w:firstLine="964" w:firstLineChars="400"/>
        <w:rPr>
          <w:rFonts w:ascii="仿宋" w:eastAsia="仿宋" w:cs="仿宋"/>
          <w:sz w:val="24"/>
          <w:szCs w:val="24"/>
          <w:lang w:val="en-US"/>
        </w:rPr>
      </w:pPr>
      <w:r>
        <w:rPr>
          <w:rFonts w:hint="eastAsia" w:ascii="仿宋" w:eastAsia="仿宋" w:cs="仿宋"/>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日期：    年   月   日</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58" o:spt="1" style="position:absolute;left:0pt;margin-left:238.9pt;margin-top:28.05pt;height:177.45pt;width:212.95pt;z-index:-251656192;mso-width-relative:page;mso-height-relative:page;" o:preferrelative="t" coordsize="21600,21600">
            <v:path/>
            <v:fill focussize="0,0"/>
            <v:stroke miterlimit="2"/>
            <v:imagedata o:title=""/>
            <o:lock v:ext="edit"/>
            <v:textbox>
              <w:txbxContent>
                <w:p>
                  <w:pPr>
                    <w:jc w:val="center"/>
                  </w:pPr>
                </w:p>
              </w:txbxContent>
            </v:textbox>
          </v:rect>
        </w:pict>
      </w:r>
      <w:r>
        <w:rPr>
          <w:rFonts w:ascii="宋体" w:hAnsi="宋体" w:cs="宋体"/>
          <w:b/>
          <w:bCs/>
          <w:sz w:val="24"/>
        </w:rPr>
        <w:pict>
          <v:rect id="Rectangle 16" o:spid="_x0000_s1059" o:spt="1" style="position:absolute;left:0pt;margin-left:-7.2pt;margin-top:30.3pt;height:177.45pt;width:208.5pt;z-index:-251655168;mso-width-relative:page;mso-height-relative:page;" o:preferrelative="t" coordsize="21600,21600">
            <v:path/>
            <v:fill focussize="0,0"/>
            <v:stroke miterlimit="2"/>
            <v:imagedata o:title=""/>
            <o:lock v:ext="edit"/>
            <v:textbox>
              <w:txbxContent>
                <w:p>
                  <w:pPr>
                    <w:jc w:val="center"/>
                  </w:pPr>
                </w:p>
              </w:txbxContent>
            </v:textbox>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（其他未列明行业）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，从业人员人，属于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  年   月   日</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pPr>
      <w:r>
        <w:rPr>
          <w:rFonts w:ascii="宋体" w:hAnsi="宋体" w:cs="宋体"/>
        </w:rPr>
        <w:br w:type="page"/>
      </w: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Pr>
        <w:pStyle w:val="2"/>
        <w:rPr>
          <w:lang w:val="en-US"/>
        </w:rPr>
      </w:pPr>
    </w:p>
    <w:p>
      <w:pPr>
        <w:rPr>
          <w:sz w:val="30"/>
          <w:szCs w:val="30"/>
        </w:rPr>
        <w:sectPr>
          <w:pgSz w:w="16838" w:h="11906" w:orient="landscape"/>
          <w:pgMar w:top="1418" w:right="1276" w:bottom="1418" w:left="1247" w:header="851" w:footer="992" w:gutter="0"/>
          <w:cols w:space="720" w:num="1"/>
          <w:titlePg/>
          <w:docGrid w:linePitch="312" w:charSpace="0"/>
        </w:sectPr>
      </w:pPr>
    </w:p>
    <w:p>
      <w:pPr>
        <w:rPr>
          <w:b/>
          <w:sz w:val="48"/>
          <w:szCs w:val="48"/>
        </w:rPr>
      </w:pPr>
      <w:r>
        <w:rPr>
          <w:rFonts w:hint="eastAsia"/>
          <w:sz w:val="30"/>
          <w:szCs w:val="30"/>
        </w:rPr>
        <w:t>附件8（中标后提供）：</w:t>
      </w:r>
    </w:p>
    <w:p>
      <w:pPr>
        <w:jc w:val="center"/>
        <w:rPr>
          <w:b/>
          <w:sz w:val="48"/>
          <w:szCs w:val="48"/>
        </w:rPr>
      </w:pPr>
    </w:p>
    <w:p>
      <w:pPr>
        <w:jc w:val="center"/>
        <w:rPr>
          <w:b/>
          <w:sz w:val="48"/>
          <w:szCs w:val="48"/>
        </w:rPr>
      </w:pPr>
      <w:r>
        <w:rPr>
          <w:rFonts w:hint="eastAsia"/>
          <w:b/>
          <w:sz w:val="48"/>
          <w:szCs w:val="48"/>
        </w:rPr>
        <w:t>承 诺 书</w:t>
      </w:r>
    </w:p>
    <w:p>
      <w:pPr>
        <w:rPr>
          <w:sz w:val="30"/>
          <w:szCs w:val="30"/>
        </w:rPr>
      </w:pPr>
    </w:p>
    <w:p>
      <w:pPr>
        <w:rPr>
          <w:sz w:val="30"/>
          <w:szCs w:val="30"/>
        </w:rPr>
      </w:pPr>
      <w:r>
        <w:rPr>
          <w:rFonts w:hint="eastAsia"/>
          <w:sz w:val="30"/>
          <w:szCs w:val="30"/>
          <w:u w:val="single"/>
        </w:rPr>
        <w:t xml:space="preserve">耀华建设管理有限公司 </w:t>
      </w:r>
      <w:r>
        <w:rPr>
          <w:rFonts w:hint="eastAsia"/>
          <w:sz w:val="30"/>
          <w:szCs w:val="30"/>
        </w:rPr>
        <w:t>：</w:t>
      </w:r>
    </w:p>
    <w:p>
      <w:pP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pPr>
        <w:spacing w:line="780" w:lineRule="exact"/>
        <w:ind w:firstLine="450" w:firstLineChars="150"/>
        <w:rPr>
          <w:sz w:val="30"/>
          <w:szCs w:val="30"/>
        </w:rPr>
      </w:pPr>
    </w:p>
    <w:p>
      <w:pPr>
        <w:spacing w:line="780" w:lineRule="exact"/>
        <w:rPr>
          <w:sz w:val="30"/>
          <w:szCs w:val="30"/>
        </w:rPr>
      </w:pPr>
    </w:p>
    <w:p>
      <w:pPr>
        <w:spacing w:line="780" w:lineRule="exact"/>
        <w:rPr>
          <w:sz w:val="30"/>
          <w:szCs w:val="30"/>
        </w:rPr>
      </w:pPr>
    </w:p>
    <w:p>
      <w:pPr>
        <w:spacing w:line="780" w:lineRule="exact"/>
        <w:rPr>
          <w:sz w:val="30"/>
          <w:szCs w:val="30"/>
        </w:rPr>
      </w:pPr>
      <w:r>
        <w:rPr>
          <w:rFonts w:hint="eastAsia"/>
          <w:sz w:val="30"/>
          <w:szCs w:val="30"/>
        </w:rPr>
        <w:t>投标人名称（盖公章）：</w:t>
      </w:r>
    </w:p>
    <w:p>
      <w:pPr>
        <w:spacing w:line="780" w:lineRule="exact"/>
        <w:ind w:firstLine="5850" w:firstLineChars="1950"/>
        <w:rPr>
          <w:sz w:val="30"/>
          <w:szCs w:val="30"/>
        </w:rPr>
      </w:pPr>
      <w:r>
        <w:rPr>
          <w:rFonts w:hint="eastAsia"/>
          <w:sz w:val="30"/>
          <w:szCs w:val="30"/>
        </w:rPr>
        <w:t>2024年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w:t>
      </w:r>
    </w:p>
    <w:p/>
    <w:p>
      <w:pPr>
        <w:spacing w:line="360" w:lineRule="auto"/>
        <w:rPr>
          <w:rFonts w:ascii="宋体" w:hAnsi="宋体" w:cs="宋体"/>
          <w:bCs/>
          <w:sz w:val="24"/>
        </w:rPr>
      </w:pPr>
    </w:p>
    <w:p/>
    <w:p>
      <w:pPr>
        <w:pStyle w:val="2"/>
      </w:pPr>
    </w:p>
    <w:p/>
    <w:p>
      <w:pPr>
        <w:spacing w:line="360" w:lineRule="auto"/>
        <w:rPr>
          <w:rFonts w:ascii="宋体" w:hAnsi="宋体" w:cs="宋体"/>
          <w:bCs/>
          <w:sz w:val="24"/>
        </w:rPr>
      </w:pPr>
    </w:p>
    <w:p>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pict>
        <v:rect id="文本框 25" o:spid="_x0000_s2050" o:spt="1" style="position:absolute;left:0pt;margin-top:0pt;height:144pt;width:144pt;mso-position-horizontal:center;mso-position-horizontal-relative:margin;mso-wrap-style:none;z-index:251663360;mso-width-relative:page;mso-height-relative:page;" filled="f" o:preferrelative="t" stroked="f" coordsize="21600,21600">
          <v:path/>
          <v:fill on="f" focussize="0,0"/>
          <v:stroke on="f"/>
          <v:imagedata o:title=""/>
          <o:lock v:ext="edit"/>
          <v:textbox inset="0mm,0mm,0mm,0mm" style="mso-fit-shape-to-text:t;">
            <w:txbxContent>
              <w:p>
                <w:pPr>
                  <w:pStyle w:val="40"/>
                </w:pPr>
                <w:r>
                  <w:fldChar w:fldCharType="begin"/>
                </w:r>
                <w:r>
                  <w:instrText xml:space="preserve"> PAGE  \* MERGEFORMAT </w:instrText>
                </w:r>
                <w:r>
                  <w:fldChar w:fldCharType="separate"/>
                </w:r>
                <w:r>
                  <w:t>7</w:t>
                </w:r>
                <w:r>
                  <w:fldChar w:fldCharType="end"/>
                </w:r>
              </w:p>
            </w:txbxContent>
          </v:textbox>
        </v:rect>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pict>
        <v:shape id="_x0000_s2070" o:spid="_x0000_s2070"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weight="1.25pt" joinstyle="miter"/>
          <v:imagedata o:title=""/>
          <o:lock v:ext="edit"/>
          <v:textbox inset="0mm,0mm,0mm,0mm" style="mso-fit-shape-to-text:t;">
            <w:txbxContent>
              <w:p>
                <w:pPr>
                  <w:pStyle w:val="40"/>
                </w:pPr>
                <w:r>
                  <w:fldChar w:fldCharType="begin"/>
                </w:r>
                <w:r>
                  <w:instrText xml:space="preserve"> PAGE  \* MERGEFORMAT </w:instrText>
                </w:r>
                <w:r>
                  <w:fldChar w:fldCharType="separate"/>
                </w:r>
                <w:r>
                  <w:t>96</w:t>
                </w:r>
                <w:r>
                  <w:fldChar w:fldCharType="end"/>
                </w:r>
              </w:p>
            </w:txbxContent>
          </v:textbox>
        </v:shape>
      </w:pict>
    </w:r>
    <w:r>
      <w:pict>
        <v:rect id="文本框 36" o:spid="_x0000_s2062" o:spt="1" style="position:absolute;left:0pt;margin-top:0pt;height:144pt;width:144pt;mso-position-horizontal:center;mso-position-horizontal-relative:margin;mso-wrap-style:none;z-index:251669504;mso-width-relative:page;mso-height-relative:page;" filled="f" o:preferrelative="t" stroked="f" coordsize="21600,21600">
          <v:path/>
          <v:fill on="f" focussize="0,0"/>
          <v:stroke on="f"/>
          <v:imagedata o:title=""/>
          <o:lock v:ext="edit"/>
          <v:textbox inset="0mm,0mm,0mm,0mm" style="mso-fit-shape-to-text:t;">
            <w:txbxContent>
              <w:p>
                <w:pPr>
                  <w:pStyle w:val="40"/>
                </w:pPr>
              </w:p>
              <w:p/>
            </w:txbxContent>
          </v:textbox>
        </v:rect>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pict>
        <v:shape id="_x0000_s2071" o:spid="_x0000_s2071"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weight="1.25pt" joinstyle="miter"/>
          <v:imagedata o:title=""/>
          <o:lock v:ext="edit"/>
          <v:textbox inset="0mm,0mm,0mm,0mm" style="mso-fit-shape-to-text:t;">
            <w:txbxContent>
              <w:p>
                <w:pPr>
                  <w:pStyle w:val="40"/>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r>
      <w:pict>
        <v:rect id="文本框 37" o:spid="_x0000_s2065" o:spt="1" style="position:absolute;left:0pt;margin-top:0pt;height:144pt;width:144pt;mso-position-horizontal:center;mso-position-horizontal-relative:margin;mso-wrap-style:none;z-index:251670528;mso-width-relative:page;mso-height-relative:page;" filled="f" o:preferrelative="t" stroked="f" coordsize="21600,21600">
          <v:path/>
          <v:fill on="f" focussize="0,0"/>
          <v:stroke on="f"/>
          <v:imagedata o:title=""/>
          <o:lock v:ext="edit"/>
          <v:textbox inset="0mm,0mm,0mm,0mm" style="mso-fit-shape-to-text:t;">
            <w:txbxContent>
              <w:p>
                <w:pPr>
                  <w:pStyle w:val="40"/>
                </w:pPr>
              </w:p>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pict>
        <v:shape id="_x0000_s2072" o:spid="_x0000_s2072"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weight="1.25pt" joinstyle="miter"/>
          <v:imagedata o:title=""/>
          <o:lock v:ext="edit"/>
          <v:textbox inset="0mm,0mm,0mm,0mm" style="mso-fit-shape-to-text:t;">
            <w:txbxContent>
              <w:p>
                <w:pPr>
                  <w:pStyle w:val="40"/>
                </w:pPr>
                <w:r>
                  <w:fldChar w:fldCharType="begin"/>
                </w:r>
                <w:r>
                  <w:instrText xml:space="preserve"> PAGE  \* MERGEFORMAT </w:instrText>
                </w:r>
                <w:r>
                  <w:fldChar w:fldCharType="separate"/>
                </w:r>
                <w:r>
                  <w:t>97</w:t>
                </w:r>
                <w:r>
                  <w:fldChar w:fldCharType="end"/>
                </w:r>
              </w:p>
            </w:txbxContent>
          </v:textbox>
        </v:shape>
      </w:pict>
    </w:r>
    <w:r>
      <w:pict>
        <v:rect id="文本框 38" o:spid="_x0000_s2064" o:spt="1" style="position:absolute;left:0pt;margin-top:0pt;height:144pt;width:144pt;mso-position-horizontal:center;mso-position-horizontal-relative:margin;mso-wrap-style:none;z-index:251671552;mso-width-relative:page;mso-height-relative:page;" filled="f" o:preferrelative="t" stroked="f" coordsize="21600,21600">
          <v:path/>
          <v:fill on="f" focussize="0,0"/>
          <v:stroke on="f"/>
          <v:imagedata o:title=""/>
          <o:lock v:ext="edit"/>
          <v:textbox inset="0mm,0mm,0mm,0mm" style="mso-fit-shape-to-text:t;">
            <w:txbxContent>
              <w:p>
                <w:pPr>
                  <w:pStyle w:val="40"/>
                </w:pPr>
              </w:p>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rect id="文本框 26" o:spid="_x0000_s2049" o:spt="1" style="position:absolute;left:0pt;margin-top:0pt;height:144pt;width:144pt;mso-position-horizontal:center;mso-position-horizontal-relative:margin;mso-wrap-style:none;z-index:251664384;mso-width-relative:page;mso-height-relative:page;" filled="f" o:preferrelative="t" stroked="f" coordsize="21600,21600">
          <v:path/>
          <v:fill on="f" focussize="0,0"/>
          <v:stroke on="f"/>
          <v:imagedata o:title=""/>
          <o:lock v:ext="edit"/>
          <v:textbox inset="0mm,0mm,0mm,0mm" style="mso-fit-shape-to-text:t;">
            <w:txbxContent>
              <w:p>
                <w:pPr>
                  <w:pStyle w:val="40"/>
                </w:pPr>
                <w:r>
                  <w:fldChar w:fldCharType="begin"/>
                </w:r>
                <w:r>
                  <w:instrText xml:space="preserve"> PAGE  \* MERGEFORMAT </w:instrText>
                </w:r>
                <w:r>
                  <w:fldChar w:fldCharType="separate"/>
                </w:r>
                <w:r>
                  <w:t>29</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pict>
        <v:shape id="_x0000_s2066" o:spid="_x0000_s2066"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weight="1.25pt" joinstyle="miter"/>
          <v:imagedata o:title=""/>
          <o:lock v:ext="edit"/>
          <v:textbox inset="0mm,0mm,0mm,0mm" style="mso-fit-shape-to-text:t;">
            <w:txbxContent>
              <w:p>
                <w:pPr>
                  <w:pStyle w:val="40"/>
                </w:pPr>
                <w:r>
                  <w:fldChar w:fldCharType="begin"/>
                </w:r>
                <w:r>
                  <w:instrText xml:space="preserve"> PAGE  \* MERGEFORMAT </w:instrText>
                </w:r>
                <w:r>
                  <w:fldChar w:fldCharType="separate"/>
                </w:r>
                <w:r>
                  <w:t>34</w:t>
                </w:r>
                <w:r>
                  <w:fldChar w:fldCharType="end"/>
                </w:r>
              </w:p>
            </w:txbxContent>
          </v:textbox>
        </v:shape>
      </w:pict>
    </w:r>
    <w:r>
      <w:pict>
        <v:rect id="文本框 32" o:spid="_x0000_s2055" o:spt="1" style="position:absolute;left:0pt;margin-top:0pt;height:144pt;width:144pt;mso-position-horizontal:center;mso-position-horizontal-relative:margin;mso-wrap-style:none;z-index:251665408;mso-width-relative:page;mso-height-relative:page;" filled="f" o:preferrelative="t" stroked="f" coordsize="21600,21600">
          <v:path/>
          <v:fill on="f" focussize="0,0"/>
          <v:stroke on="f"/>
          <v:imagedata o:title=""/>
          <o:lock v:ext="edit"/>
          <v:textbox inset="0mm,0mm,0mm,0mm" style="mso-fit-shape-to-text:t;">
            <w:txbxContent>
              <w:p>
                <w:pPr>
                  <w:pStyle w:val="40"/>
                </w:pPr>
              </w:p>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pict>
        <v:rect id="文本框 41" o:spid="_x0000_s2056" o:spt="1"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v:imagedata o:title=""/>
          <o:lock v:ext="edit"/>
          <v:textbox inset="0mm,0mm,0mm,0mm" style="mso-fit-shape-to-text:t;">
            <w:txbxContent>
              <w:p>
                <w:pPr>
                  <w:pStyle w:val="40"/>
                </w:pPr>
                <w:r>
                  <w:fldChar w:fldCharType="begin"/>
                </w:r>
                <w:r>
                  <w:instrText xml:space="preserve"> PAGE  \* MERGEFORMAT </w:instrText>
                </w:r>
                <w:r>
                  <w:fldChar w:fldCharType="separate"/>
                </w:r>
                <w:r>
                  <w:t>66</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pict>
        <v:shape id="_x0000_s2067" o:spid="_x0000_s2067"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weight="1.25pt" joinstyle="miter"/>
          <v:imagedata o:title=""/>
          <o:lock v:ext="edit"/>
          <v:textbox inset="0mm,0mm,0mm,0mm" style="mso-fit-shape-to-text:t;">
            <w:txbxContent>
              <w:p>
                <w:pPr>
                  <w:pStyle w:val="40"/>
                </w:pPr>
                <w:r>
                  <w:fldChar w:fldCharType="begin"/>
                </w:r>
                <w:r>
                  <w:instrText xml:space="preserve"> PAGE  \* MERGEFORMAT </w:instrText>
                </w:r>
                <w:r>
                  <w:fldChar w:fldCharType="separate"/>
                </w:r>
                <w:r>
                  <w:t>74</w:t>
                </w:r>
                <w:r>
                  <w:fldChar w:fldCharType="end"/>
                </w:r>
              </w:p>
            </w:txbxContent>
          </v:textbox>
        </v:shape>
      </w:pict>
    </w:r>
    <w:r>
      <w:pict>
        <v:rect id="文本框 33" o:spid="_x0000_s2058" o:spt="1" style="position:absolute;left:0pt;margin-top:0pt;height:144pt;width:144pt;mso-position-horizontal:center;mso-position-horizontal-relative:margin;mso-wrap-style:none;z-index:251666432;mso-width-relative:page;mso-height-relative:page;" filled="f" o:preferrelative="t" stroked="f" coordsize="21600,21600">
          <v:path/>
          <v:fill on="f" focussize="0,0"/>
          <v:stroke on="f"/>
          <v:imagedata o:title=""/>
          <o:lock v:ext="edit"/>
          <v:textbox inset="0mm,0mm,0mm,0mm" style="mso-fit-shape-to-text:t;">
            <w:txbxContent>
              <w:p>
                <w:pPr>
                  <w:pStyle w:val="40"/>
                  <w:jc w:val="center"/>
                </w:pPr>
              </w:p>
              <w:p/>
            </w:txbxContent>
          </v:textbox>
        </v:rect>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pict>
        <v:shape id="_x0000_s2068" o:spid="_x0000_s2068"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weight="1.25pt" joinstyle="miter"/>
          <v:imagedata o:title=""/>
          <o:lock v:ext="edit"/>
          <v:textbox inset="0mm,0mm,0mm,0mm" style="mso-fit-shape-to-text:t;">
            <w:txbxContent>
              <w:p>
                <w:pPr>
                  <w:pStyle w:val="40"/>
                </w:pPr>
                <w:r>
                  <w:fldChar w:fldCharType="begin"/>
                </w:r>
                <w:r>
                  <w:instrText xml:space="preserve"> PAGE  \* MERGEFORMAT </w:instrText>
                </w:r>
                <w:r>
                  <w:fldChar w:fldCharType="separate"/>
                </w:r>
                <w:r>
                  <w:t>67</w:t>
                </w:r>
                <w:r>
                  <w:fldChar w:fldCharType="end"/>
                </w:r>
              </w:p>
            </w:txbxContent>
          </v:textbox>
        </v:shape>
      </w:pict>
    </w:r>
    <w:r>
      <w:pict>
        <v:rect id="文本框 34" o:spid="_x0000_s2057" o:spt="1" style="position:absolute;left:0pt;margin-top:0pt;height:144pt;width:144pt;mso-position-horizontal:center;mso-position-horizontal-relative:margin;mso-wrap-style:none;z-index:251667456;mso-width-relative:page;mso-height-relative:page;" filled="f" o:preferrelative="t" stroked="f" coordsize="21600,21600">
          <v:path/>
          <v:fill on="f" focussize="0,0"/>
          <v:stroke on="f"/>
          <v:imagedata o:title=""/>
          <o:lock v:ext="edit"/>
          <v:textbox inset="0mm,0mm,0mm,0mm" style="mso-fit-shape-to-text:t;">
            <w:txbxContent>
              <w:p>
                <w:pPr>
                  <w:pStyle w:val="40"/>
                  <w:jc w:val="center"/>
                </w:pPr>
              </w:p>
              <w:p/>
            </w:txbxContent>
          </v:textbox>
        </v:rect>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rect id="文本框 7" o:spid="_x0000_s205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40"/>
                </w:pPr>
                <w:r>
                  <w:fldChar w:fldCharType="begin"/>
                </w:r>
                <w:r>
                  <w:instrText xml:space="preserve"> PAGE  \* MERGEFORMAT </w:instrText>
                </w:r>
                <w:r>
                  <w:fldChar w:fldCharType="separate"/>
                </w:r>
                <w:r>
                  <w:t>78</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pict>
        <v:shape id="_x0000_s2069" o:spid="_x0000_s2069"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weight="1.25pt" joinstyle="miter"/>
          <v:imagedata o:title=""/>
          <o:lock v:ext="edit"/>
          <v:textbox inset="0mm,0mm,0mm,0mm" style="mso-fit-shape-to-text:t;">
            <w:txbxContent>
              <w:p>
                <w:pPr>
                  <w:pStyle w:val="40"/>
                </w:pPr>
                <w:r>
                  <w:fldChar w:fldCharType="begin"/>
                </w:r>
                <w:r>
                  <w:instrText xml:space="preserve"> PAGE  \* MERGEFORMAT </w:instrText>
                </w:r>
                <w:r>
                  <w:fldChar w:fldCharType="separate"/>
                </w:r>
                <w:r>
                  <w:t>95</w:t>
                </w:r>
                <w:r>
                  <w:fldChar w:fldCharType="end"/>
                </w:r>
              </w:p>
            </w:txbxContent>
          </v:textbox>
        </v:shape>
      </w:pict>
    </w:r>
    <w:r>
      <w:pict>
        <v:rect id="文本框 35" o:spid="_x0000_s2063" o:spt="1" style="position:absolute;left:0pt;margin-top:0pt;height:144pt;width:144pt;mso-position-horizontal:center;mso-position-horizontal-relative:margin;mso-wrap-style:none;z-index:251668480;mso-width-relative:page;mso-height-relative:page;" filled="f" o:preferrelative="t" stroked="f" coordsize="21600,21600">
          <v:path/>
          <v:fill on="f" focussize="0,0"/>
          <v:stroke on="f"/>
          <v:imagedata o:title=""/>
          <o:lock v:ext="edit"/>
          <v:textbox inset="0mm,0mm,0mm,0mm" style="mso-fit-shape-to-text:t;">
            <w:txbxContent>
              <w:p>
                <w:pPr>
                  <w:pStyle w:val="40"/>
                </w:pPr>
              </w:p>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48034"/>
    <w:multiLevelType w:val="singleLevel"/>
    <w:tmpl w:val="C6648034"/>
    <w:lvl w:ilvl="0" w:tentative="0">
      <w:start w:val="1"/>
      <w:numFmt w:val="decimal"/>
      <w:suff w:val="nothing"/>
      <w:lvlText w:val="%1）"/>
      <w:lvlJc w:val="left"/>
    </w:lvl>
  </w:abstractNum>
  <w:abstractNum w:abstractNumId="1">
    <w:nsid w:val="017EC2A9"/>
    <w:multiLevelType w:val="singleLevel"/>
    <w:tmpl w:val="017EC2A9"/>
    <w:lvl w:ilvl="0" w:tentative="0">
      <w:start w:val="4"/>
      <w:numFmt w:val="decimal"/>
      <w:suff w:val="nothing"/>
      <w:lvlText w:val="（%1）"/>
      <w:lvlJc w:val="left"/>
    </w:lvl>
  </w:abstractNum>
  <w:abstractNum w:abstractNumId="2">
    <w:nsid w:val="121BB22B"/>
    <w:multiLevelType w:val="singleLevel"/>
    <w:tmpl w:val="121BB22B"/>
    <w:lvl w:ilvl="0" w:tentative="0">
      <w:start w:val="2"/>
      <w:numFmt w:val="decimal"/>
      <w:suff w:val="nothing"/>
      <w:lvlText w:val="（%1）"/>
      <w:lvlJc w:val="left"/>
    </w:lvl>
  </w:abstractNum>
  <w:abstractNum w:abstractNumId="3">
    <w:nsid w:val="199B2AEF"/>
    <w:multiLevelType w:val="singleLevel"/>
    <w:tmpl w:val="199B2AEF"/>
    <w:lvl w:ilvl="0" w:tentative="0">
      <w:start w:val="1"/>
      <w:numFmt w:val="decimal"/>
      <w:suff w:val="nothing"/>
      <w:lvlText w:val="（%1）"/>
      <w:lvlJc w:val="left"/>
      <w:pPr>
        <w:ind w:left="210"/>
      </w:pPr>
    </w:lvl>
  </w:abstractNum>
  <w:abstractNum w:abstractNumId="4">
    <w:nsid w:val="21F2DFDB"/>
    <w:multiLevelType w:val="singleLevel"/>
    <w:tmpl w:val="21F2DFDB"/>
    <w:lvl w:ilvl="0" w:tentative="0">
      <w:start w:val="3"/>
      <w:numFmt w:val="decimal"/>
      <w:suff w:val="nothing"/>
      <w:lvlText w:val="（%1）"/>
      <w:lvlJc w:val="left"/>
    </w:lvl>
  </w:abstractNum>
  <w:abstractNum w:abstractNumId="5">
    <w:nsid w:val="4A1F23E9"/>
    <w:multiLevelType w:val="singleLevel"/>
    <w:tmpl w:val="4A1F23E9"/>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9"/>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BjMTg0YjY3NmUwMzVmMzFiNGQ1MDE0N2MwODYxO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149"/>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357"/>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0EFE"/>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48E"/>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C78"/>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28D"/>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A09FD"/>
    <w:rsid w:val="025F0711"/>
    <w:rsid w:val="026B2E25"/>
    <w:rsid w:val="02824D4D"/>
    <w:rsid w:val="02A97FD3"/>
    <w:rsid w:val="02DC4B10"/>
    <w:rsid w:val="02DD76CE"/>
    <w:rsid w:val="02F36323"/>
    <w:rsid w:val="02F5619C"/>
    <w:rsid w:val="0326446A"/>
    <w:rsid w:val="032D5555"/>
    <w:rsid w:val="032E24D1"/>
    <w:rsid w:val="036634D2"/>
    <w:rsid w:val="03DD35E4"/>
    <w:rsid w:val="04076900"/>
    <w:rsid w:val="041A5A3B"/>
    <w:rsid w:val="042311BA"/>
    <w:rsid w:val="042B157A"/>
    <w:rsid w:val="048F763B"/>
    <w:rsid w:val="049B1150"/>
    <w:rsid w:val="049F330E"/>
    <w:rsid w:val="04AA775C"/>
    <w:rsid w:val="04AF1889"/>
    <w:rsid w:val="04DC01EC"/>
    <w:rsid w:val="04EF43C3"/>
    <w:rsid w:val="04F66F48"/>
    <w:rsid w:val="0504074C"/>
    <w:rsid w:val="05251E14"/>
    <w:rsid w:val="05A056BD"/>
    <w:rsid w:val="05A16594"/>
    <w:rsid w:val="05A7762D"/>
    <w:rsid w:val="05E732EC"/>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36A8B"/>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92FC0"/>
    <w:rsid w:val="0B0C133E"/>
    <w:rsid w:val="0B30404E"/>
    <w:rsid w:val="0B4C6C14"/>
    <w:rsid w:val="0B547599"/>
    <w:rsid w:val="0B631A88"/>
    <w:rsid w:val="0B683D45"/>
    <w:rsid w:val="0B7F3F11"/>
    <w:rsid w:val="0B884417"/>
    <w:rsid w:val="0BF6188C"/>
    <w:rsid w:val="0BF73C91"/>
    <w:rsid w:val="0C170175"/>
    <w:rsid w:val="0C46341D"/>
    <w:rsid w:val="0C571A41"/>
    <w:rsid w:val="0C5C1171"/>
    <w:rsid w:val="0C5E1CBC"/>
    <w:rsid w:val="0C615B50"/>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126E9"/>
    <w:rsid w:val="0EB803EE"/>
    <w:rsid w:val="0EE37416"/>
    <w:rsid w:val="0EF94D4B"/>
    <w:rsid w:val="0F0C3DC3"/>
    <w:rsid w:val="0F4958DC"/>
    <w:rsid w:val="0F515DF7"/>
    <w:rsid w:val="0F596BA8"/>
    <w:rsid w:val="0F6248D2"/>
    <w:rsid w:val="0F693536"/>
    <w:rsid w:val="0F76748F"/>
    <w:rsid w:val="0F7B0511"/>
    <w:rsid w:val="0F7B76D9"/>
    <w:rsid w:val="0F816ACD"/>
    <w:rsid w:val="0F9718DF"/>
    <w:rsid w:val="0F9832DB"/>
    <w:rsid w:val="0FBF3FD2"/>
    <w:rsid w:val="0FBF7FF3"/>
    <w:rsid w:val="10022AD1"/>
    <w:rsid w:val="10646583"/>
    <w:rsid w:val="107D4B15"/>
    <w:rsid w:val="108A3C80"/>
    <w:rsid w:val="10C26171"/>
    <w:rsid w:val="10F33360"/>
    <w:rsid w:val="10FC16EA"/>
    <w:rsid w:val="110E15E8"/>
    <w:rsid w:val="110F1D40"/>
    <w:rsid w:val="11266F33"/>
    <w:rsid w:val="116C0B49"/>
    <w:rsid w:val="118963A1"/>
    <w:rsid w:val="11C6522A"/>
    <w:rsid w:val="11E104CC"/>
    <w:rsid w:val="11E20309"/>
    <w:rsid w:val="12021B14"/>
    <w:rsid w:val="12255233"/>
    <w:rsid w:val="12530213"/>
    <w:rsid w:val="127723A9"/>
    <w:rsid w:val="12862074"/>
    <w:rsid w:val="12883966"/>
    <w:rsid w:val="129E45B4"/>
    <w:rsid w:val="12D81596"/>
    <w:rsid w:val="13072A44"/>
    <w:rsid w:val="135F4BE2"/>
    <w:rsid w:val="136A10B9"/>
    <w:rsid w:val="136E2957"/>
    <w:rsid w:val="13737F6D"/>
    <w:rsid w:val="139B1A0A"/>
    <w:rsid w:val="139D25C7"/>
    <w:rsid w:val="13BF3CE4"/>
    <w:rsid w:val="13D529D6"/>
    <w:rsid w:val="141008D8"/>
    <w:rsid w:val="14125FE6"/>
    <w:rsid w:val="142851FC"/>
    <w:rsid w:val="14332FD0"/>
    <w:rsid w:val="144F3DF5"/>
    <w:rsid w:val="146D271E"/>
    <w:rsid w:val="14982588"/>
    <w:rsid w:val="149A5AD9"/>
    <w:rsid w:val="14A7619D"/>
    <w:rsid w:val="150536C3"/>
    <w:rsid w:val="150C1963"/>
    <w:rsid w:val="151447A0"/>
    <w:rsid w:val="15150AFB"/>
    <w:rsid w:val="154A6454"/>
    <w:rsid w:val="15762120"/>
    <w:rsid w:val="16A8729C"/>
    <w:rsid w:val="16B33777"/>
    <w:rsid w:val="16BC70A7"/>
    <w:rsid w:val="16C6339E"/>
    <w:rsid w:val="16DE1BA1"/>
    <w:rsid w:val="172F2D79"/>
    <w:rsid w:val="17557BEF"/>
    <w:rsid w:val="17D349C1"/>
    <w:rsid w:val="1830729E"/>
    <w:rsid w:val="183F364C"/>
    <w:rsid w:val="1870062C"/>
    <w:rsid w:val="18817102"/>
    <w:rsid w:val="18830A15"/>
    <w:rsid w:val="18852B28"/>
    <w:rsid w:val="188B5321"/>
    <w:rsid w:val="18AB45D8"/>
    <w:rsid w:val="18C748B7"/>
    <w:rsid w:val="19932372"/>
    <w:rsid w:val="19A20DD5"/>
    <w:rsid w:val="19AE03F1"/>
    <w:rsid w:val="19F90A3F"/>
    <w:rsid w:val="1A071A03"/>
    <w:rsid w:val="1A1F16AE"/>
    <w:rsid w:val="1A3B5C77"/>
    <w:rsid w:val="1A984BAD"/>
    <w:rsid w:val="1AB8220E"/>
    <w:rsid w:val="1AE4166C"/>
    <w:rsid w:val="1AF06CFB"/>
    <w:rsid w:val="1AF11B8D"/>
    <w:rsid w:val="1B11359C"/>
    <w:rsid w:val="1B2A271F"/>
    <w:rsid w:val="1B530544"/>
    <w:rsid w:val="1B713184"/>
    <w:rsid w:val="1BA12596"/>
    <w:rsid w:val="1BA209CF"/>
    <w:rsid w:val="1BB4777D"/>
    <w:rsid w:val="1BC25F36"/>
    <w:rsid w:val="1BD75AB8"/>
    <w:rsid w:val="1C0459C2"/>
    <w:rsid w:val="1C0E117B"/>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F108E0"/>
    <w:rsid w:val="1F0A0FF3"/>
    <w:rsid w:val="1F5771FF"/>
    <w:rsid w:val="1F7953D2"/>
    <w:rsid w:val="1FE868A9"/>
    <w:rsid w:val="1FE90724"/>
    <w:rsid w:val="20034907"/>
    <w:rsid w:val="20173E4B"/>
    <w:rsid w:val="20344F28"/>
    <w:rsid w:val="204E48BC"/>
    <w:rsid w:val="208921B3"/>
    <w:rsid w:val="20973DEB"/>
    <w:rsid w:val="20B26522"/>
    <w:rsid w:val="20B44310"/>
    <w:rsid w:val="20BE47F2"/>
    <w:rsid w:val="211116EB"/>
    <w:rsid w:val="216133FC"/>
    <w:rsid w:val="21690C01"/>
    <w:rsid w:val="21D56769"/>
    <w:rsid w:val="21E52EF3"/>
    <w:rsid w:val="21FB5D7B"/>
    <w:rsid w:val="22015E94"/>
    <w:rsid w:val="220B1C3D"/>
    <w:rsid w:val="221D1D20"/>
    <w:rsid w:val="22334A87"/>
    <w:rsid w:val="22BE6801"/>
    <w:rsid w:val="22FC52F1"/>
    <w:rsid w:val="23047487"/>
    <w:rsid w:val="233500BF"/>
    <w:rsid w:val="23377FF7"/>
    <w:rsid w:val="236B425F"/>
    <w:rsid w:val="23836192"/>
    <w:rsid w:val="23901F29"/>
    <w:rsid w:val="239C0061"/>
    <w:rsid w:val="23A230F5"/>
    <w:rsid w:val="23B908A4"/>
    <w:rsid w:val="23E95BEF"/>
    <w:rsid w:val="23FD0064"/>
    <w:rsid w:val="24036ACE"/>
    <w:rsid w:val="245375B0"/>
    <w:rsid w:val="24642C0A"/>
    <w:rsid w:val="24877D1C"/>
    <w:rsid w:val="249D278D"/>
    <w:rsid w:val="24B22173"/>
    <w:rsid w:val="24B95AD9"/>
    <w:rsid w:val="24BE24DA"/>
    <w:rsid w:val="24CF5825"/>
    <w:rsid w:val="24D663E6"/>
    <w:rsid w:val="24D77F2B"/>
    <w:rsid w:val="255B6AB3"/>
    <w:rsid w:val="258B00E2"/>
    <w:rsid w:val="259A502B"/>
    <w:rsid w:val="25A917A6"/>
    <w:rsid w:val="25BE27CC"/>
    <w:rsid w:val="25F74A5C"/>
    <w:rsid w:val="2628662C"/>
    <w:rsid w:val="262D45DE"/>
    <w:rsid w:val="265E4AAD"/>
    <w:rsid w:val="26675B0F"/>
    <w:rsid w:val="26871DC8"/>
    <w:rsid w:val="26A53EF9"/>
    <w:rsid w:val="26A94201"/>
    <w:rsid w:val="26AC274F"/>
    <w:rsid w:val="26CA2740"/>
    <w:rsid w:val="27044A29"/>
    <w:rsid w:val="271D34C8"/>
    <w:rsid w:val="276142BF"/>
    <w:rsid w:val="27783712"/>
    <w:rsid w:val="27907362"/>
    <w:rsid w:val="28333E1D"/>
    <w:rsid w:val="28454BD6"/>
    <w:rsid w:val="28455253"/>
    <w:rsid w:val="28520641"/>
    <w:rsid w:val="28551971"/>
    <w:rsid w:val="285B1C53"/>
    <w:rsid w:val="2860229B"/>
    <w:rsid w:val="289F7086"/>
    <w:rsid w:val="28C055AB"/>
    <w:rsid w:val="28C32028"/>
    <w:rsid w:val="28CC490F"/>
    <w:rsid w:val="28D60AA8"/>
    <w:rsid w:val="28DE40AA"/>
    <w:rsid w:val="29270F3B"/>
    <w:rsid w:val="29345E77"/>
    <w:rsid w:val="294C65AD"/>
    <w:rsid w:val="295D104C"/>
    <w:rsid w:val="29806583"/>
    <w:rsid w:val="298B3C4C"/>
    <w:rsid w:val="29F26D24"/>
    <w:rsid w:val="2A15033F"/>
    <w:rsid w:val="2A1662C1"/>
    <w:rsid w:val="2A1C7367"/>
    <w:rsid w:val="2A2815FA"/>
    <w:rsid w:val="2A6D6092"/>
    <w:rsid w:val="2A7D76B4"/>
    <w:rsid w:val="2ADE58EF"/>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F4953"/>
    <w:rsid w:val="2F0A6B38"/>
    <w:rsid w:val="2F2733AD"/>
    <w:rsid w:val="2F3856F1"/>
    <w:rsid w:val="2F946CCB"/>
    <w:rsid w:val="2FD25781"/>
    <w:rsid w:val="2FDC745C"/>
    <w:rsid w:val="2FFD7934"/>
    <w:rsid w:val="30733ACD"/>
    <w:rsid w:val="308C3862"/>
    <w:rsid w:val="309379D8"/>
    <w:rsid w:val="30A270F7"/>
    <w:rsid w:val="30DF1478"/>
    <w:rsid w:val="30EC586F"/>
    <w:rsid w:val="3105005E"/>
    <w:rsid w:val="31200D16"/>
    <w:rsid w:val="319C6071"/>
    <w:rsid w:val="31AC537E"/>
    <w:rsid w:val="31E3679B"/>
    <w:rsid w:val="31E732FD"/>
    <w:rsid w:val="32517576"/>
    <w:rsid w:val="32BE5C2C"/>
    <w:rsid w:val="32CB5278"/>
    <w:rsid w:val="32FB6478"/>
    <w:rsid w:val="33263B3F"/>
    <w:rsid w:val="336963EB"/>
    <w:rsid w:val="33816EEB"/>
    <w:rsid w:val="3394067D"/>
    <w:rsid w:val="33D20888"/>
    <w:rsid w:val="33EB55CD"/>
    <w:rsid w:val="33EC4C02"/>
    <w:rsid w:val="340D2360"/>
    <w:rsid w:val="3410665D"/>
    <w:rsid w:val="34211214"/>
    <w:rsid w:val="342E63AB"/>
    <w:rsid w:val="34950E68"/>
    <w:rsid w:val="34986E94"/>
    <w:rsid w:val="34AF62C9"/>
    <w:rsid w:val="34CB4388"/>
    <w:rsid w:val="34FA6E12"/>
    <w:rsid w:val="351F5D4F"/>
    <w:rsid w:val="352E41D3"/>
    <w:rsid w:val="354D7158"/>
    <w:rsid w:val="358D5588"/>
    <w:rsid w:val="35BD4663"/>
    <w:rsid w:val="3632560E"/>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14471"/>
    <w:rsid w:val="38586797"/>
    <w:rsid w:val="38BC0149"/>
    <w:rsid w:val="38D87D1C"/>
    <w:rsid w:val="39636459"/>
    <w:rsid w:val="396B7F6C"/>
    <w:rsid w:val="39B417A9"/>
    <w:rsid w:val="39C12F31"/>
    <w:rsid w:val="39FC5695"/>
    <w:rsid w:val="3A006D8E"/>
    <w:rsid w:val="3A3651E5"/>
    <w:rsid w:val="3A744481"/>
    <w:rsid w:val="3A8C7BEF"/>
    <w:rsid w:val="3A906246"/>
    <w:rsid w:val="3B2349B7"/>
    <w:rsid w:val="3B616CFF"/>
    <w:rsid w:val="3B6259F6"/>
    <w:rsid w:val="3B6D76D3"/>
    <w:rsid w:val="3B976654"/>
    <w:rsid w:val="3BA1249C"/>
    <w:rsid w:val="3BC01EFC"/>
    <w:rsid w:val="3BCA786A"/>
    <w:rsid w:val="3BD31E2F"/>
    <w:rsid w:val="3BE71629"/>
    <w:rsid w:val="3BF15831"/>
    <w:rsid w:val="3C105946"/>
    <w:rsid w:val="3C2D541F"/>
    <w:rsid w:val="3C471448"/>
    <w:rsid w:val="3C5F759A"/>
    <w:rsid w:val="3C6C525A"/>
    <w:rsid w:val="3CAC138C"/>
    <w:rsid w:val="3CCE23CB"/>
    <w:rsid w:val="3CD17D17"/>
    <w:rsid w:val="3D3C7F39"/>
    <w:rsid w:val="3D440F09"/>
    <w:rsid w:val="3D4504A0"/>
    <w:rsid w:val="3D687B67"/>
    <w:rsid w:val="3D8734BB"/>
    <w:rsid w:val="3D9A11D4"/>
    <w:rsid w:val="3DA16D89"/>
    <w:rsid w:val="3DA364BE"/>
    <w:rsid w:val="3DE041CB"/>
    <w:rsid w:val="3DF633C5"/>
    <w:rsid w:val="3E0D48F6"/>
    <w:rsid w:val="3E1868B4"/>
    <w:rsid w:val="3E377251"/>
    <w:rsid w:val="3E42664B"/>
    <w:rsid w:val="3E5A7334"/>
    <w:rsid w:val="3E7B5D6B"/>
    <w:rsid w:val="3E843E66"/>
    <w:rsid w:val="3E8F51FE"/>
    <w:rsid w:val="3E926F87"/>
    <w:rsid w:val="3E9A59DE"/>
    <w:rsid w:val="3EAF4836"/>
    <w:rsid w:val="3EC33DFA"/>
    <w:rsid w:val="3ED85A96"/>
    <w:rsid w:val="3F060E16"/>
    <w:rsid w:val="3F1D1096"/>
    <w:rsid w:val="3F2F0234"/>
    <w:rsid w:val="3F4766B5"/>
    <w:rsid w:val="3F6363FE"/>
    <w:rsid w:val="3F756B8F"/>
    <w:rsid w:val="3F95482B"/>
    <w:rsid w:val="4019356B"/>
    <w:rsid w:val="402058AA"/>
    <w:rsid w:val="40592157"/>
    <w:rsid w:val="406E1CAE"/>
    <w:rsid w:val="40A0133A"/>
    <w:rsid w:val="40C31A53"/>
    <w:rsid w:val="40FF545D"/>
    <w:rsid w:val="410067C8"/>
    <w:rsid w:val="418F0D2A"/>
    <w:rsid w:val="41A25249"/>
    <w:rsid w:val="41D01505"/>
    <w:rsid w:val="42276243"/>
    <w:rsid w:val="424566C9"/>
    <w:rsid w:val="42474939"/>
    <w:rsid w:val="424C3C57"/>
    <w:rsid w:val="42613FF3"/>
    <w:rsid w:val="42660D96"/>
    <w:rsid w:val="428667D2"/>
    <w:rsid w:val="42C47A2A"/>
    <w:rsid w:val="42C91EBB"/>
    <w:rsid w:val="42CD1CE0"/>
    <w:rsid w:val="42E1381E"/>
    <w:rsid w:val="42ED6459"/>
    <w:rsid w:val="42FE58DD"/>
    <w:rsid w:val="43174B3D"/>
    <w:rsid w:val="434B790E"/>
    <w:rsid w:val="4360274F"/>
    <w:rsid w:val="436314FD"/>
    <w:rsid w:val="43977AB6"/>
    <w:rsid w:val="439E2535"/>
    <w:rsid w:val="43A0005B"/>
    <w:rsid w:val="43A3342B"/>
    <w:rsid w:val="43C77C27"/>
    <w:rsid w:val="43DE09EE"/>
    <w:rsid w:val="44002FAD"/>
    <w:rsid w:val="44071E88"/>
    <w:rsid w:val="440B5E1C"/>
    <w:rsid w:val="449101DD"/>
    <w:rsid w:val="44DE1391"/>
    <w:rsid w:val="4504461A"/>
    <w:rsid w:val="451B225C"/>
    <w:rsid w:val="452410C9"/>
    <w:rsid w:val="45317DFB"/>
    <w:rsid w:val="456D3CE4"/>
    <w:rsid w:val="4579042C"/>
    <w:rsid w:val="457F0571"/>
    <w:rsid w:val="45851176"/>
    <w:rsid w:val="45C63B94"/>
    <w:rsid w:val="460E7DA5"/>
    <w:rsid w:val="46314134"/>
    <w:rsid w:val="46422483"/>
    <w:rsid w:val="4659254A"/>
    <w:rsid w:val="465B0637"/>
    <w:rsid w:val="465E3F0D"/>
    <w:rsid w:val="466A16E6"/>
    <w:rsid w:val="46893F2B"/>
    <w:rsid w:val="46C4686E"/>
    <w:rsid w:val="4723347D"/>
    <w:rsid w:val="473F1A7D"/>
    <w:rsid w:val="477B778F"/>
    <w:rsid w:val="478203EC"/>
    <w:rsid w:val="478A34FC"/>
    <w:rsid w:val="47AD71EA"/>
    <w:rsid w:val="47B025FA"/>
    <w:rsid w:val="4809698F"/>
    <w:rsid w:val="4811697D"/>
    <w:rsid w:val="487A3E25"/>
    <w:rsid w:val="488B5503"/>
    <w:rsid w:val="48937E21"/>
    <w:rsid w:val="489A0361"/>
    <w:rsid w:val="48B94FF3"/>
    <w:rsid w:val="48E37AAB"/>
    <w:rsid w:val="48FD4B4C"/>
    <w:rsid w:val="490A68E0"/>
    <w:rsid w:val="491055FE"/>
    <w:rsid w:val="493A68E9"/>
    <w:rsid w:val="493C4382"/>
    <w:rsid w:val="495F5B3E"/>
    <w:rsid w:val="496F77D7"/>
    <w:rsid w:val="497654FD"/>
    <w:rsid w:val="49B64211"/>
    <w:rsid w:val="49BA174B"/>
    <w:rsid w:val="49F6167F"/>
    <w:rsid w:val="4A064FA0"/>
    <w:rsid w:val="4A16615C"/>
    <w:rsid w:val="4A4424D7"/>
    <w:rsid w:val="4AB82D0F"/>
    <w:rsid w:val="4AEB7664"/>
    <w:rsid w:val="4AFD7C19"/>
    <w:rsid w:val="4B0567D1"/>
    <w:rsid w:val="4B236AAE"/>
    <w:rsid w:val="4B6F07A1"/>
    <w:rsid w:val="4B707271"/>
    <w:rsid w:val="4B9739F7"/>
    <w:rsid w:val="4BCC3193"/>
    <w:rsid w:val="4BEE2503"/>
    <w:rsid w:val="4C245A30"/>
    <w:rsid w:val="4CB6685F"/>
    <w:rsid w:val="4CC367FE"/>
    <w:rsid w:val="4D077F3C"/>
    <w:rsid w:val="4D123355"/>
    <w:rsid w:val="4D2A3B31"/>
    <w:rsid w:val="4D312C52"/>
    <w:rsid w:val="4D905305"/>
    <w:rsid w:val="4D964A72"/>
    <w:rsid w:val="4D9C1254"/>
    <w:rsid w:val="4E3F48D8"/>
    <w:rsid w:val="4E793892"/>
    <w:rsid w:val="4E800872"/>
    <w:rsid w:val="4EB577E5"/>
    <w:rsid w:val="4EC569ED"/>
    <w:rsid w:val="4ED50EA1"/>
    <w:rsid w:val="4EDF1CF2"/>
    <w:rsid w:val="4EEC050C"/>
    <w:rsid w:val="4EF70D4B"/>
    <w:rsid w:val="4F104EC3"/>
    <w:rsid w:val="4F47354A"/>
    <w:rsid w:val="4F911C54"/>
    <w:rsid w:val="4FE625E0"/>
    <w:rsid w:val="50106568"/>
    <w:rsid w:val="5021480F"/>
    <w:rsid w:val="508D7BB9"/>
    <w:rsid w:val="50962ECB"/>
    <w:rsid w:val="50A42E38"/>
    <w:rsid w:val="50A4577F"/>
    <w:rsid w:val="50B73D1F"/>
    <w:rsid w:val="50BD5BC9"/>
    <w:rsid w:val="50C11EEE"/>
    <w:rsid w:val="50E97CFC"/>
    <w:rsid w:val="50FA4028"/>
    <w:rsid w:val="510D65B7"/>
    <w:rsid w:val="511157AB"/>
    <w:rsid w:val="51295C7E"/>
    <w:rsid w:val="5142540C"/>
    <w:rsid w:val="518832C8"/>
    <w:rsid w:val="519D3C50"/>
    <w:rsid w:val="51A0432A"/>
    <w:rsid w:val="51A86090"/>
    <w:rsid w:val="51B7396D"/>
    <w:rsid w:val="522E4CC3"/>
    <w:rsid w:val="5244713B"/>
    <w:rsid w:val="524644C3"/>
    <w:rsid w:val="52615633"/>
    <w:rsid w:val="526F4DE4"/>
    <w:rsid w:val="52977FD4"/>
    <w:rsid w:val="52A25790"/>
    <w:rsid w:val="52A96B6F"/>
    <w:rsid w:val="52B45975"/>
    <w:rsid w:val="52D94AA4"/>
    <w:rsid w:val="52EA3A62"/>
    <w:rsid w:val="52F50BB8"/>
    <w:rsid w:val="53034446"/>
    <w:rsid w:val="53097272"/>
    <w:rsid w:val="53544462"/>
    <w:rsid w:val="5397158E"/>
    <w:rsid w:val="54013861"/>
    <w:rsid w:val="540C7047"/>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24503"/>
    <w:rsid w:val="560907DF"/>
    <w:rsid w:val="566B6D1E"/>
    <w:rsid w:val="57032A2C"/>
    <w:rsid w:val="570F5219"/>
    <w:rsid w:val="57305B3E"/>
    <w:rsid w:val="575D12B5"/>
    <w:rsid w:val="57610A87"/>
    <w:rsid w:val="577218B7"/>
    <w:rsid w:val="577B1140"/>
    <w:rsid w:val="577B7F21"/>
    <w:rsid w:val="577F181B"/>
    <w:rsid w:val="57921984"/>
    <w:rsid w:val="579737F0"/>
    <w:rsid w:val="57AB7B30"/>
    <w:rsid w:val="57AF5251"/>
    <w:rsid w:val="57B26373"/>
    <w:rsid w:val="57B63F04"/>
    <w:rsid w:val="57CD20C2"/>
    <w:rsid w:val="57D675AB"/>
    <w:rsid w:val="57D95FDD"/>
    <w:rsid w:val="580A44CD"/>
    <w:rsid w:val="580D4F78"/>
    <w:rsid w:val="58917D2F"/>
    <w:rsid w:val="5894085C"/>
    <w:rsid w:val="58AE4F0C"/>
    <w:rsid w:val="58B85899"/>
    <w:rsid w:val="58E363A9"/>
    <w:rsid w:val="59062199"/>
    <w:rsid w:val="595E1678"/>
    <w:rsid w:val="596D5BD4"/>
    <w:rsid w:val="596E7B3A"/>
    <w:rsid w:val="597E3DD8"/>
    <w:rsid w:val="59F80043"/>
    <w:rsid w:val="5A09252F"/>
    <w:rsid w:val="5A0B2778"/>
    <w:rsid w:val="5A2A7C7B"/>
    <w:rsid w:val="5A3E2560"/>
    <w:rsid w:val="5A4F7C8D"/>
    <w:rsid w:val="5A5D3B6E"/>
    <w:rsid w:val="5A5E217F"/>
    <w:rsid w:val="5A637A76"/>
    <w:rsid w:val="5A6C6A91"/>
    <w:rsid w:val="5A6D33BA"/>
    <w:rsid w:val="5A792B1F"/>
    <w:rsid w:val="5A874767"/>
    <w:rsid w:val="5AA25448"/>
    <w:rsid w:val="5AA7678B"/>
    <w:rsid w:val="5AA85BE2"/>
    <w:rsid w:val="5AAD6F28"/>
    <w:rsid w:val="5AD63A24"/>
    <w:rsid w:val="5AE90B42"/>
    <w:rsid w:val="5B2E1A1D"/>
    <w:rsid w:val="5B843A1C"/>
    <w:rsid w:val="5B873E3F"/>
    <w:rsid w:val="5C02690E"/>
    <w:rsid w:val="5C196DA7"/>
    <w:rsid w:val="5C2A048C"/>
    <w:rsid w:val="5C80234E"/>
    <w:rsid w:val="5C8A680C"/>
    <w:rsid w:val="5C9A1694"/>
    <w:rsid w:val="5D0C4701"/>
    <w:rsid w:val="5D0F0395"/>
    <w:rsid w:val="5D221076"/>
    <w:rsid w:val="5D397964"/>
    <w:rsid w:val="5D4A130C"/>
    <w:rsid w:val="5D5A391C"/>
    <w:rsid w:val="5D5F10C0"/>
    <w:rsid w:val="5D891B7B"/>
    <w:rsid w:val="5DA14CA4"/>
    <w:rsid w:val="5DAD38EE"/>
    <w:rsid w:val="5E006862"/>
    <w:rsid w:val="5E0207B9"/>
    <w:rsid w:val="5E1834A1"/>
    <w:rsid w:val="5E192A8C"/>
    <w:rsid w:val="5E261785"/>
    <w:rsid w:val="5E4A7017"/>
    <w:rsid w:val="5E552BBA"/>
    <w:rsid w:val="5E5552C9"/>
    <w:rsid w:val="5E611C10"/>
    <w:rsid w:val="5E7A0F3F"/>
    <w:rsid w:val="5EFC7377"/>
    <w:rsid w:val="5F06174D"/>
    <w:rsid w:val="5F3A3602"/>
    <w:rsid w:val="5F45733B"/>
    <w:rsid w:val="5F55633E"/>
    <w:rsid w:val="5F6062E3"/>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442C4"/>
    <w:rsid w:val="61500EBB"/>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754794"/>
    <w:rsid w:val="648B6EEF"/>
    <w:rsid w:val="64C158BF"/>
    <w:rsid w:val="64CE2EAA"/>
    <w:rsid w:val="65130235"/>
    <w:rsid w:val="653C3090"/>
    <w:rsid w:val="65854376"/>
    <w:rsid w:val="658767BE"/>
    <w:rsid w:val="65892531"/>
    <w:rsid w:val="660A758F"/>
    <w:rsid w:val="66195831"/>
    <w:rsid w:val="662E75B1"/>
    <w:rsid w:val="66342C2E"/>
    <w:rsid w:val="663E784C"/>
    <w:rsid w:val="66763171"/>
    <w:rsid w:val="668B6A45"/>
    <w:rsid w:val="66CD6B09"/>
    <w:rsid w:val="672A3F5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492"/>
    <w:rsid w:val="68E937A3"/>
    <w:rsid w:val="693E15D3"/>
    <w:rsid w:val="69627681"/>
    <w:rsid w:val="6977531D"/>
    <w:rsid w:val="69CC2BFF"/>
    <w:rsid w:val="69FD55B8"/>
    <w:rsid w:val="6A0B1C62"/>
    <w:rsid w:val="6A2406C8"/>
    <w:rsid w:val="6ADE0BD1"/>
    <w:rsid w:val="6AE96859"/>
    <w:rsid w:val="6AFE5834"/>
    <w:rsid w:val="6B147746"/>
    <w:rsid w:val="6B24787C"/>
    <w:rsid w:val="6B255559"/>
    <w:rsid w:val="6B573233"/>
    <w:rsid w:val="6B5B6274"/>
    <w:rsid w:val="6B935D53"/>
    <w:rsid w:val="6C196F71"/>
    <w:rsid w:val="6C226FCB"/>
    <w:rsid w:val="6C31226F"/>
    <w:rsid w:val="6C423AF6"/>
    <w:rsid w:val="6C552F0B"/>
    <w:rsid w:val="6C8C67B7"/>
    <w:rsid w:val="6C9D744C"/>
    <w:rsid w:val="6CC4275D"/>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F0245A5"/>
    <w:rsid w:val="6F2A7D94"/>
    <w:rsid w:val="6F3C2A7E"/>
    <w:rsid w:val="6F8331F1"/>
    <w:rsid w:val="6FAE1A09"/>
    <w:rsid w:val="6FD75BF8"/>
    <w:rsid w:val="6FDA65E3"/>
    <w:rsid w:val="707723D0"/>
    <w:rsid w:val="7084648B"/>
    <w:rsid w:val="709A3F00"/>
    <w:rsid w:val="70C14F73"/>
    <w:rsid w:val="70F5661B"/>
    <w:rsid w:val="71360107"/>
    <w:rsid w:val="713B688E"/>
    <w:rsid w:val="71B903B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87760"/>
    <w:rsid w:val="75600BE5"/>
    <w:rsid w:val="7564475C"/>
    <w:rsid w:val="7583797F"/>
    <w:rsid w:val="75A82C1C"/>
    <w:rsid w:val="75D20F1D"/>
    <w:rsid w:val="75DA2C18"/>
    <w:rsid w:val="75F54412"/>
    <w:rsid w:val="7606120C"/>
    <w:rsid w:val="761D08E0"/>
    <w:rsid w:val="765D347C"/>
    <w:rsid w:val="76826699"/>
    <w:rsid w:val="76C87133"/>
    <w:rsid w:val="76CD08D5"/>
    <w:rsid w:val="76DB4B92"/>
    <w:rsid w:val="77052AA4"/>
    <w:rsid w:val="77136511"/>
    <w:rsid w:val="77340A39"/>
    <w:rsid w:val="77351FD0"/>
    <w:rsid w:val="7746449A"/>
    <w:rsid w:val="77472422"/>
    <w:rsid w:val="777F31F2"/>
    <w:rsid w:val="77D1700D"/>
    <w:rsid w:val="77DB72D8"/>
    <w:rsid w:val="77EC04CC"/>
    <w:rsid w:val="78775729"/>
    <w:rsid w:val="78A42DB0"/>
    <w:rsid w:val="78A656AB"/>
    <w:rsid w:val="78B2245C"/>
    <w:rsid w:val="78E172CC"/>
    <w:rsid w:val="78EA1D1F"/>
    <w:rsid w:val="78FD327E"/>
    <w:rsid w:val="7904172F"/>
    <w:rsid w:val="79077C59"/>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13F8D"/>
    <w:rsid w:val="7B072192"/>
    <w:rsid w:val="7B1B79EC"/>
    <w:rsid w:val="7B257FFD"/>
    <w:rsid w:val="7B343476"/>
    <w:rsid w:val="7B5A2978"/>
    <w:rsid w:val="7B5A7E4C"/>
    <w:rsid w:val="7B6601DA"/>
    <w:rsid w:val="7B667AF9"/>
    <w:rsid w:val="7B6E188D"/>
    <w:rsid w:val="7B7468F8"/>
    <w:rsid w:val="7BEE0103"/>
    <w:rsid w:val="7C0A0FE4"/>
    <w:rsid w:val="7C254906"/>
    <w:rsid w:val="7C590818"/>
    <w:rsid w:val="7C5A0786"/>
    <w:rsid w:val="7C7C10F6"/>
    <w:rsid w:val="7C853BEA"/>
    <w:rsid w:val="7C881368"/>
    <w:rsid w:val="7CE27788"/>
    <w:rsid w:val="7D0C32F1"/>
    <w:rsid w:val="7D0F408D"/>
    <w:rsid w:val="7D491C6C"/>
    <w:rsid w:val="7D5429C0"/>
    <w:rsid w:val="7D6E6D43"/>
    <w:rsid w:val="7D87580C"/>
    <w:rsid w:val="7DB57A34"/>
    <w:rsid w:val="7DE60973"/>
    <w:rsid w:val="7DEF0916"/>
    <w:rsid w:val="7E1E5218"/>
    <w:rsid w:val="7E54159B"/>
    <w:rsid w:val="7E9A4E1F"/>
    <w:rsid w:val="7EA7723A"/>
    <w:rsid w:val="7EF56FBB"/>
    <w:rsid w:val="7F0768EB"/>
    <w:rsid w:val="7F143BEC"/>
    <w:rsid w:val="7F211349"/>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725"/>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link w:val="788"/>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32"/>
    <w:autoRedefine/>
    <w:qFormat/>
    <w:uiPriority w:val="0"/>
    <w:pPr>
      <w:shd w:val="clear" w:color="auto" w:fill="000080"/>
    </w:pPr>
  </w:style>
  <w:style w:type="paragraph" w:styleId="20">
    <w:name w:val="annotation text"/>
    <w:basedOn w:val="1"/>
    <w:link w:val="860"/>
    <w:autoRedefine/>
    <w:qFormat/>
    <w:uiPriority w:val="99"/>
    <w:pPr>
      <w:jc w:val="left"/>
    </w:pPr>
  </w:style>
  <w:style w:type="paragraph" w:styleId="21">
    <w:name w:val="Salutation"/>
    <w:basedOn w:val="1"/>
    <w:next w:val="1"/>
    <w:link w:val="820"/>
    <w:autoRedefine/>
    <w:qFormat/>
    <w:uiPriority w:val="0"/>
    <w:rPr>
      <w:rFonts w:ascii="仿宋_GB2312" w:eastAsia="仿宋_GB2312"/>
      <w:sz w:val="28"/>
      <w:szCs w:val="20"/>
    </w:rPr>
  </w:style>
  <w:style w:type="paragraph" w:styleId="22">
    <w:name w:val="Body Text 3"/>
    <w:basedOn w:val="1"/>
    <w:link w:val="84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9"/>
    <w:autoRedefine/>
    <w:qFormat/>
    <w:uiPriority w:val="0"/>
    <w:pPr>
      <w:ind w:firstLine="420"/>
    </w:pPr>
    <w:rPr>
      <w:rFonts w:hAnsi="Calibri" w:cs="Times New Roman"/>
      <w:szCs w:val="20"/>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4"/>
    <w:autoRedefine/>
    <w:qFormat/>
    <w:uiPriority w:val="0"/>
    <w:pPr>
      <w:ind w:left="100" w:leftChars="2500"/>
    </w:pPr>
    <w:rPr>
      <w:rFonts w:ascii="宋体"/>
      <w:sz w:val="24"/>
      <w:szCs w:val="21"/>
      <w:lang w:val="zh-CN"/>
    </w:rPr>
  </w:style>
  <w:style w:type="paragraph" w:styleId="37">
    <w:name w:val="Body Text Indent 2"/>
    <w:basedOn w:val="1"/>
    <w:link w:val="82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5"/>
    <w:autoRedefine/>
    <w:qFormat/>
    <w:uiPriority w:val="0"/>
    <w:rPr>
      <w:lang w:val="zh-CN"/>
    </w:rPr>
  </w:style>
  <w:style w:type="paragraph" w:styleId="39">
    <w:name w:val="Balloon Text"/>
    <w:basedOn w:val="1"/>
    <w:link w:val="721"/>
    <w:autoRedefine/>
    <w:qFormat/>
    <w:uiPriority w:val="0"/>
    <w:rPr>
      <w:sz w:val="18"/>
      <w:szCs w:val="18"/>
    </w:rPr>
  </w:style>
  <w:style w:type="paragraph" w:styleId="40">
    <w:name w:val="footer"/>
    <w:basedOn w:val="1"/>
    <w:link w:val="896"/>
    <w:autoRedefine/>
    <w:qFormat/>
    <w:uiPriority w:val="99"/>
    <w:pPr>
      <w:tabs>
        <w:tab w:val="center" w:pos="4153"/>
        <w:tab w:val="right" w:pos="8306"/>
      </w:tabs>
      <w:snapToGrid w:val="0"/>
      <w:jc w:val="left"/>
    </w:pPr>
    <w:rPr>
      <w:sz w:val="18"/>
      <w:szCs w:val="18"/>
    </w:rPr>
  </w:style>
  <w:style w:type="paragraph" w:styleId="41">
    <w:name w:val="header"/>
    <w:basedOn w:val="1"/>
    <w:next w:val="42"/>
    <w:link w:val="904"/>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3">
    <w:name w:val="Signature"/>
    <w:basedOn w:val="1"/>
    <w:link w:val="861"/>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7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30"/>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4"/>
    <w:autoRedefine/>
    <w:qFormat/>
    <w:uiPriority w:val="0"/>
    <w:pPr>
      <w:spacing w:after="120" w:line="480" w:lineRule="auto"/>
    </w:pPr>
  </w:style>
  <w:style w:type="paragraph" w:styleId="58">
    <w:name w:val="HTML Preformatted"/>
    <w:basedOn w:val="1"/>
    <w:link w:val="82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8"/>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7"/>
    <w:autoRedefine/>
    <w:qFormat/>
    <w:uiPriority w:val="0"/>
    <w:rPr>
      <w:b/>
      <w:bCs/>
    </w:rPr>
  </w:style>
  <w:style w:type="paragraph" w:styleId="62">
    <w:name w:val="Body Text First Indent 2"/>
    <w:basedOn w:val="6"/>
    <w:next w:val="25"/>
    <w:link w:val="66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Normal]"/>
    <w:autoRedefine/>
    <w:qFormat/>
    <w:uiPriority w:val="0"/>
    <w:rPr>
      <w:rFonts w:ascii="宋体" w:hAnsi="宋体" w:eastAsia="宋体" w:cs="Times New Roman"/>
      <w:sz w:val="24"/>
      <w:szCs w:val="22"/>
      <w:lang w:val="zh-CN" w:eastAsia="zh-CN" w:bidi="ar-SA"/>
    </w:rPr>
  </w:style>
  <w:style w:type="paragraph" w:customStyle="1" w:styleId="82">
    <w:name w:val="报告正文"/>
    <w:basedOn w:val="33"/>
    <w:autoRedefine/>
    <w:qFormat/>
    <w:uiPriority w:val="0"/>
    <w:pPr>
      <w:snapToGrid w:val="0"/>
      <w:spacing w:line="480" w:lineRule="exact"/>
      <w:ind w:firstLine="200" w:firstLineChars="200"/>
    </w:pPr>
    <w:rPr>
      <w:sz w:val="24"/>
    </w:rPr>
  </w:style>
  <w:style w:type="paragraph" w:customStyle="1" w:styleId="83">
    <w:name w:val="表格非标题文字"/>
    <w:link w:val="626"/>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7"/>
    <w:autoRedefine/>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5"/>
    <w:autoRedefine/>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2"/>
    <w:autoRedefine/>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9"/>
    <w:autoRedefine/>
    <w:qFormat/>
    <w:uiPriority w:val="0"/>
    <w:pPr>
      <w:spacing w:before="156" w:line="360" w:lineRule="auto"/>
      <w:ind w:firstLine="510" w:firstLineChars="200"/>
    </w:pPr>
    <w:rPr>
      <w:sz w:val="24"/>
      <w:szCs w:val="20"/>
    </w:rPr>
  </w:style>
  <w:style w:type="paragraph" w:customStyle="1" w:styleId="89">
    <w:name w:val="无间隔1"/>
    <w:link w:val="677"/>
    <w:autoRedefine/>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5"/>
    <w:autoRedefine/>
    <w:qFormat/>
    <w:uiPriority w:val="0"/>
    <w:rPr>
      <w:rFonts w:ascii="宋体" w:hAnsi="Courier New"/>
      <w:szCs w:val="21"/>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5"/>
    <w:autoRedefine/>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4"/>
    <w:autoRedefine/>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30"/>
    <w:autoRedefine/>
    <w:qFormat/>
    <w:uiPriority w:val="0"/>
    <w:pPr>
      <w:ind w:left="0" w:right="466" w:firstLine="288"/>
    </w:pPr>
    <w:rPr>
      <w:rFonts w:hAnsi="宋体"/>
    </w:rPr>
  </w:style>
  <w:style w:type="paragraph" w:customStyle="1" w:styleId="96">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5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6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72"/>
    <w:autoRedefine/>
    <w:qFormat/>
    <w:uiPriority w:val="0"/>
    <w:pPr>
      <w:adjustRightInd/>
      <w:spacing w:line="360" w:lineRule="auto"/>
      <w:ind w:firstLine="480" w:firstLineChars="200"/>
    </w:pPr>
    <w:rPr>
      <w:kern w:val="0"/>
      <w:sz w:val="24"/>
    </w:rPr>
  </w:style>
  <w:style w:type="paragraph" w:customStyle="1" w:styleId="101">
    <w:name w:val="gf正文1"/>
    <w:basedOn w:val="1"/>
    <w:link w:val="778"/>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8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4">
    <w:name w:val="此正文"/>
    <w:basedOn w:val="1"/>
    <w:link w:val="803"/>
    <w:autoRedefine/>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5"/>
    <w:autoRedefine/>
    <w:qFormat/>
    <w:uiPriority w:val="0"/>
    <w:pPr>
      <w:tabs>
        <w:tab w:val="left" w:pos="2356"/>
      </w:tabs>
    </w:pPr>
  </w:style>
  <w:style w:type="paragraph" w:customStyle="1" w:styleId="106">
    <w:name w:val="样式 标题 4h4H4Fab-4T5Ref Heading 1rh1Heading sqlsect 1.2.3...."/>
    <w:basedOn w:val="7"/>
    <w:link w:val="92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8"/>
    <w:autoRedefine/>
    <w:qFormat/>
    <w:uiPriority w:val="0"/>
    <w:pPr>
      <w:adjustRightInd/>
    </w:pPr>
    <w:rPr>
      <w:rFonts w:ascii="宋体" w:hAnsi="Courier New"/>
      <w:kern w:val="0"/>
      <w:sz w:val="20"/>
      <w:szCs w:val="20"/>
    </w:rPr>
  </w:style>
  <w:style w:type="paragraph" w:customStyle="1" w:styleId="109">
    <w:name w:val="正文说明"/>
    <w:basedOn w:val="1"/>
    <w:link w:val="850"/>
    <w:autoRedefine/>
    <w:qFormat/>
    <w:uiPriority w:val="0"/>
    <w:pPr>
      <w:adjustRightInd/>
      <w:spacing w:line="360" w:lineRule="auto"/>
    </w:pPr>
    <w:rPr>
      <w:kern w:val="0"/>
      <w:sz w:val="24"/>
    </w:rPr>
  </w:style>
  <w:style w:type="paragraph" w:customStyle="1" w:styleId="110">
    <w:name w:val="Table Text"/>
    <w:basedOn w:val="1"/>
    <w:link w:val="856"/>
    <w:autoRedefine/>
    <w:qFormat/>
    <w:uiPriority w:val="0"/>
    <w:pPr>
      <w:widowControl/>
      <w:spacing w:before="60" w:after="60"/>
      <w:jc w:val="left"/>
    </w:pPr>
    <w:rPr>
      <w:kern w:val="0"/>
      <w:sz w:val="24"/>
    </w:rPr>
  </w:style>
  <w:style w:type="paragraph" w:customStyle="1" w:styleId="111">
    <w:name w:val="公文正文"/>
    <w:basedOn w:val="1"/>
    <w:link w:val="868"/>
    <w:autoRedefine/>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7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01"/>
    <w:autoRedefine/>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8"/>
    <w:autoRedefine/>
    <w:qFormat/>
    <w:uiPriority w:val="0"/>
    <w:pPr>
      <w:widowControl/>
      <w:snapToGrid w:val="0"/>
      <w:spacing w:afterLines="50"/>
      <w:ind w:firstLine="200" w:firstLineChars="200"/>
    </w:pPr>
    <w:rPr>
      <w:kern w:val="0"/>
      <w:sz w:val="24"/>
      <w:szCs w:val="20"/>
    </w:rPr>
  </w:style>
  <w:style w:type="paragraph" w:customStyle="1" w:styleId="116">
    <w:name w:val="冯广丽"/>
    <w:basedOn w:val="1"/>
    <w:link w:val="911"/>
    <w:autoRedefine/>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7"/>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4"/>
    <w:autoRedefine/>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6"/>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autoRedefine/>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autoRedefine/>
    <w:qFormat/>
    <w:uiPriority w:val="0"/>
    <w:pPr>
      <w:spacing w:before="120" w:line="360" w:lineRule="auto"/>
      <w:ind w:firstLine="567"/>
    </w:pPr>
    <w:rPr>
      <w:rFonts w:ascii="Arial" w:hAnsi="Arial"/>
      <w:sz w:val="20"/>
      <w:szCs w:val="20"/>
    </w:rPr>
  </w:style>
  <w:style w:type="paragraph" w:customStyle="1" w:styleId="13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autoRedefine/>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autoRedefine/>
    <w:qFormat/>
    <w:uiPriority w:val="0"/>
    <w:pPr>
      <w:adjustRightInd/>
      <w:ind w:firstLine="200" w:firstLineChars="200"/>
    </w:pPr>
    <w:rPr>
      <w:rFonts w:ascii="Tahoma" w:hAnsi="Tahoma"/>
      <w:sz w:val="24"/>
      <w:szCs w:val="20"/>
    </w:rPr>
  </w:style>
  <w:style w:type="paragraph" w:customStyle="1" w:styleId="13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autoRedefine/>
    <w:qFormat/>
    <w:uiPriority w:val="0"/>
    <w:pPr>
      <w:tabs>
        <w:tab w:val="left" w:pos="360"/>
      </w:tabs>
    </w:pPr>
    <w:rPr>
      <w:sz w:val="24"/>
      <w:szCs w:val="20"/>
    </w:rPr>
  </w:style>
  <w:style w:type="paragraph" w:customStyle="1" w:styleId="142">
    <w:name w:val="Char Char11 Char Char Char"/>
    <w:basedOn w:val="1"/>
    <w:autoRedefine/>
    <w:qFormat/>
    <w:uiPriority w:val="0"/>
    <w:pPr>
      <w:spacing w:line="360" w:lineRule="auto"/>
    </w:pPr>
    <w:rPr>
      <w:szCs w:val="20"/>
    </w:rPr>
  </w:style>
  <w:style w:type="paragraph" w:customStyle="1" w:styleId="14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autoRedefine/>
    <w:qFormat/>
    <w:uiPriority w:val="0"/>
    <w:pPr>
      <w:tabs>
        <w:tab w:val="left" w:pos="2790"/>
        <w:tab w:val="left" w:pos="4230"/>
      </w:tabs>
      <w:spacing w:beforeLines="100"/>
      <w:jc w:val="left"/>
    </w:pPr>
  </w:style>
  <w:style w:type="paragraph" w:customStyle="1" w:styleId="14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autoRedefine/>
    <w:qFormat/>
    <w:uiPriority w:val="0"/>
    <w:pPr>
      <w:tabs>
        <w:tab w:val="left" w:pos="840"/>
      </w:tabs>
      <w:ind w:left="840" w:hanging="420"/>
    </w:pPr>
    <w:rPr>
      <w:rFonts w:ascii="Tahoma" w:hAnsi="Tahoma"/>
      <w:sz w:val="24"/>
    </w:rPr>
  </w:style>
  <w:style w:type="paragraph" w:customStyle="1" w:styleId="14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autoRedefine/>
    <w:qFormat/>
    <w:uiPriority w:val="0"/>
    <w:pPr>
      <w:adjustRightInd/>
      <w:spacing w:before="156" w:line="360" w:lineRule="auto"/>
      <w:ind w:firstLine="510" w:firstLineChars="200"/>
    </w:pPr>
    <w:rPr>
      <w:sz w:val="24"/>
      <w:szCs w:val="20"/>
    </w:rPr>
  </w:style>
  <w:style w:type="paragraph" w:customStyle="1" w:styleId="15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autoRedefine/>
    <w:qFormat/>
    <w:uiPriority w:val="0"/>
    <w:rPr>
      <w:rFonts w:ascii="仿宋_GB2312" w:eastAsia="仿宋_GB2312"/>
      <w:b/>
      <w:sz w:val="32"/>
      <w:szCs w:val="32"/>
    </w:rPr>
  </w:style>
  <w:style w:type="paragraph" w:customStyle="1" w:styleId="15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autoRedefine/>
    <w:qFormat/>
    <w:uiPriority w:val="0"/>
    <w:pPr>
      <w:keepNext/>
      <w:tabs>
        <w:tab w:val="left" w:pos="360"/>
      </w:tabs>
      <w:outlineLvl w:val="5"/>
    </w:pPr>
  </w:style>
  <w:style w:type="paragraph" w:customStyle="1" w:styleId="160">
    <w:name w:val="5级标题"/>
    <w:basedOn w:val="161"/>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3">
    <w:name w:val="Char2 Char Char"/>
    <w:basedOn w:val="1"/>
    <w:autoRedefine/>
    <w:qFormat/>
    <w:uiPriority w:val="0"/>
    <w:pPr>
      <w:adjustRightInd/>
    </w:pPr>
    <w:rPr>
      <w:rFonts w:ascii="Tahoma" w:hAnsi="Tahoma"/>
      <w:sz w:val="24"/>
      <w:szCs w:val="20"/>
    </w:rPr>
  </w:style>
  <w:style w:type="paragraph" w:customStyle="1" w:styleId="164">
    <w:name w:val="_Style 11"/>
    <w:basedOn w:val="1"/>
    <w:autoRedefine/>
    <w:qFormat/>
    <w:uiPriority w:val="34"/>
    <w:pPr>
      <w:adjustRightInd/>
      <w:ind w:firstLine="420" w:firstLineChars="200"/>
    </w:pPr>
    <w:rPr>
      <w:rFonts w:eastAsia="仿宋_GB2312"/>
      <w:sz w:val="28"/>
    </w:rPr>
  </w:style>
  <w:style w:type="paragraph" w:customStyle="1" w:styleId="16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autoRedefine/>
    <w:qFormat/>
    <w:uiPriority w:val="0"/>
    <w:rPr>
      <w:rFonts w:ascii="Tahoma" w:hAnsi="Tahoma"/>
      <w:sz w:val="24"/>
      <w:szCs w:val="20"/>
    </w:rPr>
  </w:style>
  <w:style w:type="paragraph" w:customStyle="1" w:styleId="167">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6"/>
    <w:autoRedefine/>
    <w:qFormat/>
    <w:uiPriority w:val="99"/>
    <w:rPr>
      <w:szCs w:val="22"/>
    </w:rPr>
  </w:style>
  <w:style w:type="paragraph" w:customStyle="1" w:styleId="17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autoRedefine/>
    <w:qFormat/>
    <w:uiPriority w:val="6"/>
    <w:rPr>
      <w:rFonts w:ascii="Tahoma" w:hAnsi="Tahoma" w:cs="仿宋_GB2312"/>
      <w:sz w:val="24"/>
      <w:szCs w:val="20"/>
    </w:rPr>
  </w:style>
  <w:style w:type="paragraph" w:customStyle="1" w:styleId="17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autoRedefine/>
    <w:qFormat/>
    <w:uiPriority w:val="0"/>
    <w:pPr>
      <w:adjustRightInd/>
    </w:pPr>
  </w:style>
  <w:style w:type="paragraph" w:customStyle="1" w:styleId="177">
    <w:name w:val="Char5"/>
    <w:basedOn w:val="1"/>
    <w:autoRedefine/>
    <w:qFormat/>
    <w:uiPriority w:val="0"/>
    <w:rPr>
      <w:rFonts w:ascii="仿宋_GB2312" w:eastAsia="仿宋_GB2312"/>
      <w:b/>
      <w:sz w:val="32"/>
      <w:szCs w:val="32"/>
    </w:rPr>
  </w:style>
  <w:style w:type="paragraph" w:customStyle="1" w:styleId="17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autoRedefine/>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autoRedefine/>
    <w:qFormat/>
    <w:uiPriority w:val="0"/>
    <w:rPr>
      <w:rFonts w:ascii="仿宋_GB2312" w:eastAsia="仿宋_GB2312"/>
      <w:b/>
      <w:sz w:val="32"/>
      <w:szCs w:val="32"/>
    </w:rPr>
  </w:style>
  <w:style w:type="paragraph" w:customStyle="1" w:styleId="182">
    <w:name w:val="数字标题3"/>
    <w:basedOn w:val="4"/>
    <w:next w:val="1"/>
    <w:autoRedefine/>
    <w:qFormat/>
    <w:uiPriority w:val="0"/>
    <w:pPr>
      <w:spacing w:line="240" w:lineRule="auto"/>
    </w:pPr>
    <w:rPr>
      <w:sz w:val="28"/>
      <w:szCs w:val="28"/>
    </w:rPr>
  </w:style>
  <w:style w:type="paragraph" w:customStyle="1" w:styleId="183">
    <w:name w:val="FA正文"/>
    <w:basedOn w:val="1"/>
    <w:autoRedefine/>
    <w:qFormat/>
    <w:uiPriority w:val="0"/>
    <w:pPr>
      <w:spacing w:line="360" w:lineRule="auto"/>
      <w:ind w:firstLine="480" w:firstLineChars="200"/>
    </w:pPr>
    <w:rPr>
      <w:rFonts w:hAnsi="宋体"/>
      <w:sz w:val="24"/>
      <w:szCs w:val="20"/>
    </w:rPr>
  </w:style>
  <w:style w:type="paragraph" w:customStyle="1" w:styleId="184">
    <w:name w:val="MM Topic 5"/>
    <w:basedOn w:val="8"/>
    <w:autoRedefine/>
    <w:qFormat/>
    <w:uiPriority w:val="0"/>
    <w:pPr>
      <w:tabs>
        <w:tab w:val="left" w:pos="2520"/>
        <w:tab w:val="clear" w:pos="1008"/>
      </w:tabs>
      <w:adjustRightInd/>
      <w:ind w:left="2520" w:hanging="420"/>
    </w:pPr>
  </w:style>
  <w:style w:type="paragraph" w:customStyle="1" w:styleId="185">
    <w:name w:val="Char Char Char Char Char Char Char Char Char Char1"/>
    <w:basedOn w:val="1"/>
    <w:autoRedefine/>
    <w:qFormat/>
    <w:uiPriority w:val="0"/>
    <w:rPr>
      <w:rFonts w:ascii="仿宋_GB2312" w:eastAsia="仿宋_GB2312"/>
      <w:b/>
      <w:sz w:val="32"/>
      <w:szCs w:val="32"/>
    </w:rPr>
  </w:style>
  <w:style w:type="paragraph" w:customStyle="1" w:styleId="18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autoRedefine/>
    <w:qFormat/>
    <w:uiPriority w:val="0"/>
    <w:rPr>
      <w:rFonts w:ascii="仿宋_GB2312" w:eastAsia="仿宋_GB2312"/>
      <w:b/>
      <w:sz w:val="32"/>
      <w:szCs w:val="32"/>
    </w:rPr>
  </w:style>
  <w:style w:type="paragraph" w:customStyle="1" w:styleId="189">
    <w:name w:val="Char2 Char Char Char1"/>
    <w:basedOn w:val="1"/>
    <w:autoRedefine/>
    <w:qFormat/>
    <w:uiPriority w:val="6"/>
    <w:rPr>
      <w:rFonts w:ascii="仿宋_GB2312" w:eastAsia="仿宋_GB2312"/>
      <w:b/>
      <w:sz w:val="32"/>
      <w:szCs w:val="32"/>
    </w:rPr>
  </w:style>
  <w:style w:type="paragraph" w:customStyle="1" w:styleId="190">
    <w:name w:val="默认段落样式"/>
    <w:basedOn w:val="88"/>
    <w:autoRedefine/>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autoRedefine/>
    <w:qFormat/>
    <w:uiPriority w:val="0"/>
    <w:pPr>
      <w:tabs>
        <w:tab w:val="left" w:pos="1680"/>
        <w:tab w:val="clear" w:pos="900"/>
      </w:tabs>
      <w:adjustRightInd/>
      <w:ind w:left="1680" w:hanging="420"/>
    </w:pPr>
  </w:style>
  <w:style w:type="paragraph" w:customStyle="1" w:styleId="194">
    <w:name w:val="标准小四"/>
    <w:basedOn w:val="1"/>
    <w:autoRedefine/>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autoRedefine/>
    <w:qFormat/>
    <w:uiPriority w:val="0"/>
    <w:pPr>
      <w:adjustRightInd/>
      <w:snapToGrid w:val="0"/>
      <w:spacing w:line="300" w:lineRule="auto"/>
    </w:pPr>
    <w:rPr>
      <w:rFonts w:eastAsia="仿宋"/>
      <w:szCs w:val="21"/>
    </w:rPr>
  </w:style>
  <w:style w:type="paragraph" w:customStyle="1" w:styleId="19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autoRedefine/>
    <w:qFormat/>
    <w:uiPriority w:val="6"/>
    <w:pPr>
      <w:adjustRightInd/>
    </w:pPr>
    <w:rPr>
      <w:rFonts w:ascii="Tahoma" w:hAnsi="Tahoma"/>
      <w:sz w:val="24"/>
      <w:szCs w:val="20"/>
    </w:rPr>
  </w:style>
  <w:style w:type="paragraph" w:customStyle="1" w:styleId="19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autoRedefine/>
    <w:qFormat/>
    <w:uiPriority w:val="0"/>
    <w:pPr>
      <w:adjustRightInd/>
      <w:ind w:firstLine="420" w:firstLineChars="200"/>
    </w:pPr>
    <w:rPr>
      <w:rFonts w:eastAsia="仿宋_GB2312"/>
      <w:sz w:val="28"/>
    </w:rPr>
  </w:style>
  <w:style w:type="paragraph" w:customStyle="1" w:styleId="20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autoRedefine/>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7"/>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autoRedefine/>
    <w:qFormat/>
    <w:uiPriority w:val="0"/>
    <w:rPr>
      <w:rFonts w:ascii="宋体" w:eastAsia="宋体" w:cs="Times New Roman"/>
      <w:color w:val="auto"/>
    </w:rPr>
  </w:style>
  <w:style w:type="paragraph" w:customStyle="1" w:styleId="23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autoRedefine/>
    <w:qFormat/>
    <w:uiPriority w:val="0"/>
    <w:rPr>
      <w:szCs w:val="20"/>
    </w:rPr>
  </w:style>
  <w:style w:type="paragraph" w:customStyle="1" w:styleId="26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autoRedefine/>
    <w:qFormat/>
    <w:uiPriority w:val="0"/>
    <w:rPr>
      <w:rFonts w:ascii="Tahoma" w:hAnsi="Tahoma"/>
      <w:sz w:val="24"/>
      <w:szCs w:val="20"/>
    </w:rPr>
  </w:style>
  <w:style w:type="paragraph" w:customStyle="1" w:styleId="270">
    <w:name w:val="标题五"/>
    <w:basedOn w:val="1"/>
    <w:autoRedefine/>
    <w:qFormat/>
    <w:uiPriority w:val="0"/>
    <w:pPr>
      <w:adjustRightInd/>
      <w:spacing w:beforeLines="50" w:line="360" w:lineRule="auto"/>
    </w:pPr>
    <w:rPr>
      <w:b/>
      <w:sz w:val="24"/>
    </w:rPr>
  </w:style>
  <w:style w:type="paragraph" w:customStyle="1" w:styleId="271">
    <w:name w:val="Char Char1101"/>
    <w:basedOn w:val="1"/>
    <w:autoRedefine/>
    <w:qFormat/>
    <w:uiPriority w:val="0"/>
    <w:pPr>
      <w:spacing w:line="360" w:lineRule="auto"/>
    </w:pPr>
    <w:rPr>
      <w:rFonts w:ascii="Tahoma" w:hAnsi="Tahoma"/>
      <w:sz w:val="24"/>
      <w:szCs w:val="20"/>
    </w:rPr>
  </w:style>
  <w:style w:type="paragraph" w:customStyle="1" w:styleId="272">
    <w:name w:val="Char Char Char Char Char Char Char Char1"/>
    <w:basedOn w:val="1"/>
    <w:autoRedefine/>
    <w:qFormat/>
    <w:uiPriority w:val="0"/>
    <w:pPr>
      <w:tabs>
        <w:tab w:val="left" w:pos="360"/>
      </w:tabs>
    </w:pPr>
    <w:rPr>
      <w:sz w:val="24"/>
      <w:szCs w:val="20"/>
    </w:rPr>
  </w:style>
  <w:style w:type="paragraph" w:customStyle="1" w:styleId="273">
    <w:name w:val="Char Char Char 字元 字元"/>
    <w:basedOn w:val="1"/>
    <w:autoRedefine/>
    <w:qFormat/>
    <w:uiPriority w:val="0"/>
    <w:pPr>
      <w:adjustRightInd/>
      <w:spacing w:line="360" w:lineRule="auto"/>
      <w:ind w:firstLine="200" w:firstLineChars="200"/>
    </w:pPr>
    <w:rPr>
      <w:szCs w:val="20"/>
    </w:rPr>
  </w:style>
  <w:style w:type="paragraph" w:customStyle="1" w:styleId="274">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autoRedefine/>
    <w:qFormat/>
    <w:uiPriority w:val="0"/>
    <w:rPr>
      <w:rFonts w:ascii="仿宋_GB2312" w:eastAsia="仿宋_GB2312"/>
      <w:b/>
      <w:sz w:val="32"/>
      <w:szCs w:val="32"/>
    </w:rPr>
  </w:style>
  <w:style w:type="paragraph" w:customStyle="1" w:styleId="27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autoRedefine/>
    <w:qFormat/>
    <w:uiPriority w:val="0"/>
    <w:pPr>
      <w:adjustRightInd/>
    </w:pPr>
    <w:rPr>
      <w:sz w:val="18"/>
      <w:szCs w:val="20"/>
    </w:rPr>
  </w:style>
  <w:style w:type="paragraph" w:customStyle="1" w:styleId="28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6">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autoRedefine/>
    <w:qFormat/>
    <w:uiPriority w:val="0"/>
    <w:pPr>
      <w:snapToGrid w:val="0"/>
      <w:spacing w:line="360" w:lineRule="auto"/>
    </w:pPr>
    <w:rPr>
      <w:rFonts w:ascii="宋体"/>
      <w:b/>
      <w:sz w:val="24"/>
      <w:szCs w:val="20"/>
    </w:rPr>
  </w:style>
  <w:style w:type="paragraph" w:customStyle="1" w:styleId="29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autoRedefine/>
    <w:qFormat/>
    <w:uiPriority w:val="7"/>
    <w:pPr>
      <w:adjustRightInd/>
    </w:pPr>
    <w:rPr>
      <w:rFonts w:ascii="宋体" w:hAnsi="Courier New"/>
    </w:rPr>
  </w:style>
  <w:style w:type="paragraph" w:customStyle="1" w:styleId="294">
    <w:name w:val="Char3"/>
    <w:basedOn w:val="1"/>
    <w:autoRedefine/>
    <w:qFormat/>
    <w:uiPriority w:val="0"/>
    <w:pPr>
      <w:adjustRightInd/>
    </w:pPr>
    <w:rPr>
      <w:rFonts w:ascii="仿宋_GB2312" w:eastAsia="仿宋_GB2312"/>
      <w:b/>
      <w:sz w:val="32"/>
      <w:szCs w:val="32"/>
    </w:rPr>
  </w:style>
  <w:style w:type="paragraph" w:customStyle="1" w:styleId="29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autoRedefine/>
    <w:qFormat/>
    <w:uiPriority w:val="0"/>
    <w:pPr>
      <w:widowControl/>
      <w:adjustRightInd/>
      <w:spacing w:after="160" w:line="240" w:lineRule="exact"/>
      <w:jc w:val="left"/>
    </w:pPr>
    <w:rPr>
      <w:szCs w:val="20"/>
    </w:rPr>
  </w:style>
  <w:style w:type="paragraph" w:customStyle="1" w:styleId="303">
    <w:name w:val="表格标题2"/>
    <w:basedOn w:val="304"/>
    <w:autoRedefine/>
    <w:qFormat/>
    <w:uiPriority w:val="0"/>
    <w:rPr>
      <w:b/>
    </w:rPr>
  </w:style>
  <w:style w:type="paragraph" w:customStyle="1" w:styleId="304">
    <w:name w:val="表格内文"/>
    <w:basedOn w:val="1"/>
    <w:autoRedefine/>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autoRedefine/>
    <w:qFormat/>
    <w:uiPriority w:val="0"/>
    <w:rPr>
      <w:rFonts w:ascii="仿宋_GB2312" w:eastAsia="仿宋_GB2312"/>
      <w:b/>
      <w:sz w:val="32"/>
      <w:szCs w:val="32"/>
    </w:rPr>
  </w:style>
  <w:style w:type="paragraph" w:customStyle="1" w:styleId="30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autoRedefine/>
    <w:qFormat/>
    <w:uiPriority w:val="0"/>
    <w:pPr>
      <w:spacing w:line="360" w:lineRule="auto"/>
    </w:pPr>
    <w:rPr>
      <w:szCs w:val="20"/>
    </w:rPr>
  </w:style>
  <w:style w:type="paragraph" w:customStyle="1" w:styleId="309">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1">
    <w:name w:val="MM Topic 1"/>
    <w:basedOn w:val="3"/>
    <w:autoRedefine/>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autoRedefine/>
    <w:qFormat/>
    <w:uiPriority w:val="0"/>
    <w:pPr>
      <w:spacing w:line="360" w:lineRule="auto"/>
      <w:ind w:firstLine="200" w:firstLineChars="200"/>
    </w:pPr>
    <w:rPr>
      <w:kern w:val="0"/>
      <w:sz w:val="24"/>
      <w:szCs w:val="20"/>
    </w:rPr>
  </w:style>
  <w:style w:type="paragraph" w:customStyle="1" w:styleId="314">
    <w:name w:val="表格"/>
    <w:basedOn w:val="1"/>
    <w:autoRedefine/>
    <w:qFormat/>
    <w:uiPriority w:val="0"/>
    <w:pPr>
      <w:snapToGrid w:val="0"/>
      <w:ind w:firstLine="42" w:firstLineChars="21"/>
    </w:pPr>
    <w:rPr>
      <w:rFonts w:ascii="宋体" w:hAnsi="宋体"/>
      <w:kern w:val="0"/>
      <w:sz w:val="20"/>
      <w:szCs w:val="20"/>
    </w:rPr>
  </w:style>
  <w:style w:type="paragraph" w:customStyle="1" w:styleId="315">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autoRedefine/>
    <w:qFormat/>
    <w:uiPriority w:val="0"/>
    <w:pPr>
      <w:adjustRightInd/>
      <w:spacing w:line="300" w:lineRule="auto"/>
      <w:jc w:val="center"/>
    </w:pPr>
  </w:style>
  <w:style w:type="paragraph" w:customStyle="1" w:styleId="320">
    <w:name w:val="_Style 6"/>
    <w:basedOn w:val="1"/>
    <w:autoRedefine/>
    <w:qFormat/>
    <w:uiPriority w:val="34"/>
    <w:pPr>
      <w:adjustRightInd/>
      <w:ind w:firstLine="420" w:firstLineChars="200"/>
    </w:pPr>
    <w:rPr>
      <w:rFonts w:eastAsia="仿宋_GB2312"/>
      <w:sz w:val="28"/>
    </w:rPr>
  </w:style>
  <w:style w:type="paragraph" w:customStyle="1" w:styleId="32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autoRedefine/>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autoRedefine/>
    <w:qFormat/>
    <w:uiPriority w:val="0"/>
    <w:rPr>
      <w:rFonts w:ascii="仿宋_GB2312" w:eastAsia="仿宋_GB2312"/>
      <w:b/>
      <w:sz w:val="32"/>
      <w:szCs w:val="20"/>
    </w:rPr>
  </w:style>
  <w:style w:type="paragraph" w:customStyle="1" w:styleId="331">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autoRedefine/>
    <w:qFormat/>
    <w:uiPriority w:val="0"/>
    <w:pPr>
      <w:adjustRightInd/>
      <w:ind w:firstLine="200" w:firstLineChars="200"/>
    </w:pPr>
    <w:rPr>
      <w:rFonts w:ascii="Tahoma" w:hAnsi="Tahoma"/>
      <w:sz w:val="24"/>
      <w:szCs w:val="20"/>
    </w:rPr>
  </w:style>
  <w:style w:type="paragraph" w:customStyle="1" w:styleId="333">
    <w:name w:val="a1"/>
    <w:basedOn w:val="1"/>
    <w:autoRedefine/>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autoRedefine/>
    <w:qFormat/>
    <w:uiPriority w:val="0"/>
    <w:pPr>
      <w:spacing w:afterLines="50"/>
      <w:jc w:val="left"/>
      <w:outlineLvl w:val="3"/>
    </w:pPr>
    <w:rPr>
      <w:sz w:val="24"/>
      <w:szCs w:val="24"/>
    </w:rPr>
  </w:style>
  <w:style w:type="paragraph" w:customStyle="1" w:styleId="33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autoRedefine/>
    <w:qFormat/>
    <w:uiPriority w:val="0"/>
    <w:pPr>
      <w:adjustRightInd/>
    </w:pPr>
    <w:rPr>
      <w:rFonts w:ascii="Tahoma" w:hAnsi="Tahoma"/>
      <w:sz w:val="24"/>
      <w:szCs w:val="20"/>
    </w:rPr>
  </w:style>
  <w:style w:type="paragraph" w:customStyle="1" w:styleId="34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autoRedefine/>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autoRedefine/>
    <w:qFormat/>
    <w:uiPriority w:val="0"/>
    <w:pPr>
      <w:tabs>
        <w:tab w:val="left" w:pos="1260"/>
        <w:tab w:val="left" w:pos="1680"/>
        <w:tab w:val="left" w:pos="2100"/>
      </w:tabs>
      <w:ind w:left="0"/>
      <w:outlineLvl w:val="3"/>
    </w:pPr>
  </w:style>
  <w:style w:type="paragraph" w:customStyle="1" w:styleId="343">
    <w:name w:val="一级条标题"/>
    <w:basedOn w:val="344"/>
    <w:next w:val="326"/>
    <w:autoRedefine/>
    <w:qFormat/>
    <w:uiPriority w:val="0"/>
    <w:pPr>
      <w:tabs>
        <w:tab w:val="left" w:pos="1260"/>
        <w:tab w:val="left" w:pos="1680"/>
      </w:tabs>
      <w:spacing w:beforeLines="0" w:afterLines="0"/>
      <w:ind w:left="1680"/>
      <w:outlineLvl w:val="2"/>
    </w:pPr>
  </w:style>
  <w:style w:type="paragraph" w:customStyle="1" w:styleId="344">
    <w:name w:val="章标题"/>
    <w:next w:val="326"/>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autoRedefine/>
    <w:qFormat/>
    <w:uiPriority w:val="0"/>
    <w:pPr>
      <w:tabs>
        <w:tab w:val="left" w:pos="840"/>
      </w:tabs>
      <w:spacing w:after="0"/>
      <w:ind w:left="900"/>
    </w:pPr>
  </w:style>
  <w:style w:type="paragraph" w:customStyle="1" w:styleId="35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autoRedefine/>
    <w:qFormat/>
    <w:uiPriority w:val="6"/>
    <w:pPr>
      <w:widowControl/>
      <w:adjustRightInd/>
      <w:ind w:left="720" w:hanging="720"/>
    </w:pPr>
    <w:rPr>
      <w:color w:val="000000"/>
      <w:kern w:val="0"/>
      <w:sz w:val="24"/>
      <w:szCs w:val="20"/>
    </w:rPr>
  </w:style>
  <w:style w:type="paragraph" w:customStyle="1" w:styleId="354">
    <w:name w:val="表1"/>
    <w:basedOn w:val="1"/>
    <w:autoRedefine/>
    <w:qFormat/>
    <w:uiPriority w:val="0"/>
    <w:pPr>
      <w:tabs>
        <w:tab w:val="left" w:pos="703"/>
      </w:tabs>
      <w:adjustRightInd/>
      <w:spacing w:line="360" w:lineRule="auto"/>
      <w:ind w:left="703"/>
      <w:jc w:val="center"/>
    </w:pPr>
  </w:style>
  <w:style w:type="paragraph" w:customStyle="1" w:styleId="355">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autoRedefine/>
    <w:qFormat/>
    <w:uiPriority w:val="0"/>
    <w:pPr>
      <w:jc w:val="left"/>
      <w:outlineLvl w:val="1"/>
    </w:pPr>
    <w:rPr>
      <w:rFonts w:ascii="Times New Roman" w:hAnsi="Times New Roman" w:eastAsia="仿宋"/>
      <w:sz w:val="30"/>
    </w:rPr>
  </w:style>
  <w:style w:type="paragraph" w:customStyle="1" w:styleId="359">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autoRedefine/>
    <w:qFormat/>
    <w:uiPriority w:val="0"/>
    <w:pPr>
      <w:tabs>
        <w:tab w:val="left" w:pos="840"/>
      </w:tabs>
      <w:adjustRightInd/>
      <w:ind w:left="840" w:hanging="420"/>
    </w:pPr>
  </w:style>
  <w:style w:type="paragraph" w:customStyle="1" w:styleId="36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autoRedefine/>
    <w:qFormat/>
    <w:uiPriority w:val="0"/>
    <w:pPr>
      <w:tabs>
        <w:tab w:val="left" w:pos="2100"/>
        <w:tab w:val="clear" w:pos="864"/>
      </w:tabs>
      <w:adjustRightInd/>
      <w:ind w:left="2100" w:hanging="420"/>
    </w:pPr>
    <w:rPr>
      <w:lang w:val="en-US"/>
    </w:rPr>
  </w:style>
  <w:style w:type="paragraph" w:customStyle="1" w:styleId="373">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autoRedefine/>
    <w:qFormat/>
    <w:uiPriority w:val="6"/>
    <w:pPr>
      <w:spacing w:line="360" w:lineRule="auto"/>
    </w:pPr>
    <w:rPr>
      <w:szCs w:val="20"/>
    </w:rPr>
  </w:style>
  <w:style w:type="paragraph" w:customStyle="1" w:styleId="37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autoRedefine/>
    <w:qFormat/>
    <w:uiPriority w:val="0"/>
    <w:pPr>
      <w:adjustRightInd/>
      <w:spacing w:line="360" w:lineRule="auto"/>
      <w:jc w:val="center"/>
    </w:pPr>
    <w:rPr>
      <w:sz w:val="24"/>
    </w:rPr>
  </w:style>
  <w:style w:type="paragraph" w:customStyle="1" w:styleId="386">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autoRedefine/>
    <w:qFormat/>
    <w:uiPriority w:val="6"/>
    <w:rPr>
      <w:rFonts w:ascii="仿宋_GB2312" w:eastAsia="仿宋_GB2312"/>
      <w:b/>
      <w:sz w:val="32"/>
      <w:szCs w:val="32"/>
    </w:rPr>
  </w:style>
  <w:style w:type="paragraph" w:customStyle="1" w:styleId="388">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autoRedefine/>
    <w:qFormat/>
    <w:uiPriority w:val="0"/>
    <w:pPr>
      <w:widowControl/>
      <w:adjustRightInd/>
      <w:spacing w:after="160" w:line="240" w:lineRule="exact"/>
      <w:jc w:val="left"/>
    </w:pPr>
    <w:rPr>
      <w:szCs w:val="20"/>
    </w:rPr>
  </w:style>
  <w:style w:type="paragraph" w:customStyle="1" w:styleId="391">
    <w:name w:val="Char Char1121"/>
    <w:basedOn w:val="1"/>
    <w:autoRedefine/>
    <w:qFormat/>
    <w:uiPriority w:val="0"/>
    <w:pPr>
      <w:spacing w:line="360" w:lineRule="auto"/>
    </w:pPr>
    <w:rPr>
      <w:szCs w:val="20"/>
    </w:rPr>
  </w:style>
  <w:style w:type="paragraph" w:customStyle="1" w:styleId="39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autoRedefine/>
    <w:qFormat/>
    <w:uiPriority w:val="0"/>
    <w:rPr>
      <w:rFonts w:ascii="Times New Roman" w:hAnsi="Times New Roman" w:eastAsia="宋体" w:cs="Times New Roman"/>
      <w:lang w:val="en-US" w:eastAsia="en-US" w:bidi="ar-SA"/>
    </w:rPr>
  </w:style>
  <w:style w:type="paragraph" w:customStyle="1" w:styleId="395">
    <w:name w:val="带编号样式"/>
    <w:basedOn w:val="313"/>
    <w:autoRedefine/>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autoRedefine/>
    <w:qFormat/>
    <w:uiPriority w:val="0"/>
    <w:pPr>
      <w:spacing w:line="240" w:lineRule="atLeast"/>
      <w:ind w:left="420" w:firstLine="420"/>
    </w:pPr>
    <w:rPr>
      <w:sz w:val="24"/>
    </w:rPr>
  </w:style>
  <w:style w:type="paragraph" w:customStyle="1" w:styleId="402">
    <w:name w:val="WW-正文文字缩进 2"/>
    <w:basedOn w:val="1"/>
    <w:autoRedefine/>
    <w:qFormat/>
    <w:uiPriority w:val="0"/>
    <w:pPr>
      <w:suppressAutoHyphens/>
      <w:adjustRightInd/>
      <w:ind w:firstLine="420"/>
    </w:pPr>
    <w:rPr>
      <w:kern w:val="1"/>
      <w:szCs w:val="20"/>
    </w:rPr>
  </w:style>
  <w:style w:type="paragraph" w:customStyle="1" w:styleId="40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autoRedefine/>
    <w:qFormat/>
    <w:uiPriority w:val="0"/>
    <w:pPr>
      <w:adjustRightInd/>
      <w:spacing w:line="400" w:lineRule="exact"/>
      <w:ind w:firstLine="200" w:firstLineChars="200"/>
    </w:pPr>
    <w:rPr>
      <w:rFonts w:ascii="Arial" w:hAnsi="Arial"/>
    </w:rPr>
  </w:style>
  <w:style w:type="paragraph" w:customStyle="1" w:styleId="40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autoRedefine/>
    <w:qFormat/>
    <w:uiPriority w:val="0"/>
    <w:pPr>
      <w:spacing w:after="120" w:line="480" w:lineRule="auto"/>
      <w:ind w:left="420" w:leftChars="200"/>
    </w:pPr>
    <w:rPr>
      <w:sz w:val="24"/>
      <w:szCs w:val="20"/>
    </w:rPr>
  </w:style>
  <w:style w:type="paragraph" w:customStyle="1" w:styleId="40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autoRedefine/>
    <w:qFormat/>
    <w:uiPriority w:val="0"/>
    <w:pPr>
      <w:spacing w:before="0" w:after="0" w:line="240" w:lineRule="auto"/>
      <w:jc w:val="left"/>
    </w:pPr>
    <w:rPr>
      <w:rFonts w:cs="宋体"/>
      <w:sz w:val="21"/>
      <w:szCs w:val="20"/>
    </w:rPr>
  </w:style>
  <w:style w:type="paragraph" w:customStyle="1" w:styleId="41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autoRedefine/>
    <w:qFormat/>
    <w:uiPriority w:val="0"/>
    <w:rPr>
      <w:rFonts w:ascii="仿宋_GB2312" w:eastAsia="仿宋_GB2312"/>
      <w:b/>
      <w:sz w:val="32"/>
      <w:szCs w:val="20"/>
    </w:rPr>
  </w:style>
  <w:style w:type="paragraph" w:customStyle="1" w:styleId="418">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autoRedefine/>
    <w:qFormat/>
    <w:uiPriority w:val="0"/>
    <w:rPr>
      <w:rFonts w:ascii="仿宋_GB2312" w:eastAsia="仿宋_GB2312"/>
      <w:b/>
      <w:sz w:val="32"/>
      <w:szCs w:val="32"/>
    </w:rPr>
  </w:style>
  <w:style w:type="paragraph" w:customStyle="1" w:styleId="422">
    <w:name w:val="Char3 Char Char Char1"/>
    <w:basedOn w:val="1"/>
    <w:autoRedefine/>
    <w:qFormat/>
    <w:uiPriority w:val="6"/>
    <w:pPr>
      <w:widowControl/>
      <w:adjustRightInd/>
      <w:spacing w:after="160" w:line="240" w:lineRule="exact"/>
      <w:jc w:val="left"/>
    </w:pPr>
    <w:rPr>
      <w:szCs w:val="20"/>
    </w:rPr>
  </w:style>
  <w:style w:type="paragraph" w:customStyle="1" w:styleId="423">
    <w:name w:val="Char1 Char Char Char21"/>
    <w:basedOn w:val="1"/>
    <w:autoRedefine/>
    <w:qFormat/>
    <w:uiPriority w:val="0"/>
    <w:rPr>
      <w:rFonts w:ascii="Tahoma" w:hAnsi="Tahoma"/>
      <w:sz w:val="24"/>
      <w:szCs w:val="20"/>
    </w:rPr>
  </w:style>
  <w:style w:type="paragraph" w:customStyle="1" w:styleId="42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autoRedefine/>
    <w:qFormat/>
    <w:uiPriority w:val="0"/>
    <w:pPr>
      <w:spacing w:line="360" w:lineRule="auto"/>
      <w:ind w:firstLine="200" w:firstLineChars="200"/>
    </w:pPr>
    <w:rPr>
      <w:sz w:val="24"/>
    </w:rPr>
  </w:style>
  <w:style w:type="paragraph" w:customStyle="1" w:styleId="4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autoRedefine/>
    <w:qFormat/>
    <w:uiPriority w:val="0"/>
    <w:pPr>
      <w:adjustRightInd/>
      <w:ind w:firstLine="200" w:firstLineChars="200"/>
    </w:pPr>
    <w:rPr>
      <w:rFonts w:ascii="Tahoma" w:hAnsi="Tahoma"/>
      <w:sz w:val="24"/>
      <w:szCs w:val="20"/>
    </w:rPr>
  </w:style>
  <w:style w:type="paragraph" w:customStyle="1" w:styleId="432">
    <w:name w:val="_标题2"/>
    <w:basedOn w:val="399"/>
    <w:next w:val="399"/>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autoRedefine/>
    <w:qFormat/>
    <w:uiPriority w:val="0"/>
    <w:pPr>
      <w:adjustRightInd/>
      <w:spacing w:line="360" w:lineRule="auto"/>
    </w:pPr>
    <w:rPr>
      <w:rFonts w:ascii="宋体" w:hAnsi="宋体"/>
      <w:szCs w:val="20"/>
    </w:rPr>
  </w:style>
  <w:style w:type="paragraph" w:customStyle="1" w:styleId="43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autoRedefine/>
    <w:qFormat/>
    <w:uiPriority w:val="0"/>
    <w:pPr>
      <w:adjustRightInd/>
    </w:pPr>
    <w:rPr>
      <w:rFonts w:ascii="Tahoma" w:hAnsi="Tahoma"/>
      <w:sz w:val="24"/>
    </w:rPr>
  </w:style>
  <w:style w:type="paragraph" w:customStyle="1" w:styleId="440">
    <w:name w:val="Char Char Char Char11"/>
    <w:basedOn w:val="1"/>
    <w:autoRedefine/>
    <w:qFormat/>
    <w:uiPriority w:val="0"/>
    <w:rPr>
      <w:rFonts w:ascii="Tahoma" w:hAnsi="Tahoma"/>
      <w:sz w:val="24"/>
      <w:szCs w:val="20"/>
    </w:rPr>
  </w:style>
  <w:style w:type="paragraph" w:customStyle="1" w:styleId="44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autoRedefine/>
    <w:qFormat/>
    <w:uiPriority w:val="0"/>
    <w:rPr>
      <w:rFonts w:ascii="Tahoma" w:hAnsi="Tahoma"/>
      <w:sz w:val="24"/>
      <w:szCs w:val="20"/>
    </w:rPr>
  </w:style>
  <w:style w:type="paragraph" w:customStyle="1" w:styleId="443">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autoRedefine/>
    <w:qFormat/>
    <w:uiPriority w:val="0"/>
    <w:pPr>
      <w:adjustRightInd/>
    </w:pPr>
    <w:rPr>
      <w:szCs w:val="20"/>
    </w:rPr>
  </w:style>
  <w:style w:type="paragraph" w:customStyle="1" w:styleId="44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autoRedefine/>
    <w:qFormat/>
    <w:uiPriority w:val="34"/>
    <w:pPr>
      <w:adjustRightInd/>
      <w:ind w:firstLine="420" w:firstLineChars="200"/>
    </w:pPr>
    <w:rPr>
      <w:rFonts w:eastAsia="仿宋_GB2312"/>
      <w:sz w:val="28"/>
    </w:rPr>
  </w:style>
  <w:style w:type="paragraph" w:customStyle="1" w:styleId="44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autoRedefine/>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autoRedefine/>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4"/>
    <w:autoRedefine/>
    <w:qFormat/>
    <w:uiPriority w:val="0"/>
    <w:pPr>
      <w:snapToGrid w:val="0"/>
      <w:ind w:firstLine="480" w:firstLineChars="200"/>
    </w:pPr>
    <w:rPr>
      <w:rFonts w:ascii="Times New Roman"/>
      <w:szCs w:val="24"/>
      <w:lang w:val="en-US"/>
    </w:rPr>
  </w:style>
  <w:style w:type="paragraph" w:customStyle="1" w:styleId="456">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autoRedefine/>
    <w:qFormat/>
    <w:uiPriority w:val="0"/>
    <w:rPr>
      <w:rFonts w:ascii="宋体" w:hAnsi="Times New Roman" w:eastAsia="宋体" w:cs="Times New Roman"/>
      <w:kern w:val="2"/>
      <w:lang w:val="en-US" w:eastAsia="zh-CN" w:bidi="ar-SA"/>
    </w:rPr>
  </w:style>
  <w:style w:type="paragraph" w:customStyle="1" w:styleId="458">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autoRedefine/>
    <w:qFormat/>
    <w:uiPriority w:val="0"/>
    <w:pPr>
      <w:tabs>
        <w:tab w:val="left" w:pos="360"/>
      </w:tabs>
    </w:pPr>
    <w:rPr>
      <w:sz w:val="24"/>
      <w:szCs w:val="20"/>
    </w:rPr>
  </w:style>
  <w:style w:type="paragraph" w:customStyle="1" w:styleId="46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autoRedefine/>
    <w:qFormat/>
    <w:uiPriority w:val="0"/>
    <w:pPr>
      <w:widowControl/>
      <w:adjustRightInd/>
    </w:pPr>
    <w:rPr>
      <w:kern w:val="0"/>
      <w:szCs w:val="21"/>
    </w:rPr>
  </w:style>
  <w:style w:type="paragraph" w:customStyle="1" w:styleId="471">
    <w:name w:val="Char6"/>
    <w:basedOn w:val="1"/>
    <w:autoRedefine/>
    <w:qFormat/>
    <w:uiPriority w:val="0"/>
    <w:rPr>
      <w:rFonts w:ascii="仿宋_GB2312" w:eastAsia="仿宋_GB2312"/>
      <w:b/>
      <w:sz w:val="32"/>
      <w:szCs w:val="32"/>
    </w:rPr>
  </w:style>
  <w:style w:type="paragraph" w:customStyle="1" w:styleId="472">
    <w:name w:val="Char111"/>
    <w:basedOn w:val="1"/>
    <w:autoRedefine/>
    <w:qFormat/>
    <w:uiPriority w:val="0"/>
    <w:rPr>
      <w:rFonts w:ascii="仿宋_GB2312" w:eastAsia="仿宋_GB2312"/>
      <w:b/>
      <w:sz w:val="32"/>
      <w:szCs w:val="32"/>
    </w:rPr>
  </w:style>
  <w:style w:type="paragraph" w:customStyle="1" w:styleId="473">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7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autoRedefine/>
    <w:qFormat/>
    <w:uiPriority w:val="0"/>
    <w:pPr>
      <w:adjustRightInd/>
      <w:ind w:firstLine="200" w:firstLineChars="200"/>
    </w:pPr>
    <w:rPr>
      <w:rFonts w:ascii="Tahoma" w:hAnsi="Tahoma"/>
      <w:sz w:val="24"/>
      <w:szCs w:val="20"/>
    </w:rPr>
  </w:style>
  <w:style w:type="paragraph" w:customStyle="1" w:styleId="477">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autoRedefine/>
    <w:qFormat/>
    <w:uiPriority w:val="0"/>
    <w:rPr>
      <w:rFonts w:ascii="仿宋_GB2312" w:eastAsia="仿宋_GB2312"/>
      <w:b/>
      <w:sz w:val="32"/>
      <w:szCs w:val="32"/>
    </w:rPr>
  </w:style>
  <w:style w:type="paragraph" w:customStyle="1" w:styleId="480">
    <w:name w:val="五级条标题"/>
    <w:basedOn w:val="481"/>
    <w:next w:val="326"/>
    <w:autoRedefine/>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autoRedefine/>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autoRedefine/>
    <w:qFormat/>
    <w:uiPriority w:val="0"/>
    <w:rPr>
      <w:rFonts w:ascii="仿宋_GB2312" w:eastAsia="仿宋_GB2312"/>
      <w:b/>
      <w:sz w:val="32"/>
      <w:szCs w:val="32"/>
    </w:rPr>
  </w:style>
  <w:style w:type="paragraph" w:customStyle="1" w:styleId="48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autoRedefine/>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8">
    <w:name w:val="单元格左对齐"/>
    <w:basedOn w:val="1"/>
    <w:autoRedefine/>
    <w:qFormat/>
    <w:uiPriority w:val="0"/>
    <w:pPr>
      <w:adjustRightInd/>
      <w:spacing w:line="360" w:lineRule="auto"/>
    </w:pPr>
    <w:rPr>
      <w:sz w:val="24"/>
    </w:rPr>
  </w:style>
  <w:style w:type="paragraph" w:customStyle="1" w:styleId="489">
    <w:name w:val="正文主体"/>
    <w:basedOn w:val="310"/>
    <w:autoRedefine/>
    <w:qFormat/>
    <w:uiPriority w:val="0"/>
  </w:style>
  <w:style w:type="paragraph" w:customStyle="1" w:styleId="49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autoRedefine/>
    <w:qFormat/>
    <w:uiPriority w:val="0"/>
    <w:pPr>
      <w:adjustRightInd/>
      <w:spacing w:line="360" w:lineRule="auto"/>
      <w:ind w:firstLine="480" w:firstLineChars="200"/>
    </w:pPr>
    <w:rPr>
      <w:sz w:val="24"/>
      <w:szCs w:val="20"/>
    </w:rPr>
  </w:style>
  <w:style w:type="paragraph" w:customStyle="1" w:styleId="494">
    <w:name w:val="P1"/>
    <w:basedOn w:val="1"/>
    <w:autoRedefine/>
    <w:qFormat/>
    <w:uiPriority w:val="0"/>
    <w:pPr>
      <w:adjustRightInd/>
      <w:spacing w:line="288" w:lineRule="auto"/>
      <w:ind w:firstLine="425" w:firstLineChars="200"/>
    </w:pPr>
  </w:style>
  <w:style w:type="paragraph" w:customStyle="1" w:styleId="495">
    <w:name w:val="列表内容"/>
    <w:basedOn w:val="1"/>
    <w:next w:val="1"/>
    <w:autoRedefine/>
    <w:qFormat/>
    <w:uiPriority w:val="0"/>
    <w:pPr>
      <w:widowControl/>
      <w:tabs>
        <w:tab w:val="left" w:pos="840"/>
      </w:tabs>
      <w:ind w:left="840" w:hanging="420"/>
      <w:jc w:val="left"/>
    </w:pPr>
    <w:rPr>
      <w:kern w:val="0"/>
      <w:sz w:val="18"/>
    </w:rPr>
  </w:style>
  <w:style w:type="paragraph" w:customStyle="1" w:styleId="496">
    <w:name w:val="Char Char11 Char Char Char1"/>
    <w:basedOn w:val="1"/>
    <w:autoRedefine/>
    <w:qFormat/>
    <w:uiPriority w:val="6"/>
    <w:pPr>
      <w:spacing w:line="360" w:lineRule="auto"/>
    </w:pPr>
    <w:rPr>
      <w:szCs w:val="20"/>
    </w:rPr>
  </w:style>
  <w:style w:type="paragraph" w:customStyle="1" w:styleId="49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8">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autoRedefine/>
    <w:qFormat/>
    <w:uiPriority w:val="0"/>
    <w:pPr>
      <w:spacing w:line="360" w:lineRule="auto"/>
    </w:pPr>
    <w:rPr>
      <w:szCs w:val="20"/>
    </w:rPr>
  </w:style>
  <w:style w:type="paragraph" w:customStyle="1" w:styleId="50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autoRedefine/>
    <w:qFormat/>
    <w:uiPriority w:val="0"/>
    <w:rPr>
      <w:rFonts w:ascii="仿宋_GB2312" w:eastAsia="仿宋_GB2312"/>
      <w:b/>
      <w:sz w:val="32"/>
      <w:szCs w:val="32"/>
    </w:rPr>
  </w:style>
  <w:style w:type="paragraph" w:customStyle="1" w:styleId="50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9">
    <w:name w:val="Char Char4 Char Char"/>
    <w:basedOn w:val="1"/>
    <w:autoRedefine/>
    <w:qFormat/>
    <w:uiPriority w:val="0"/>
    <w:pPr>
      <w:widowControl/>
      <w:adjustRightInd/>
      <w:spacing w:after="160" w:line="240" w:lineRule="exact"/>
      <w:jc w:val="left"/>
    </w:pPr>
  </w:style>
  <w:style w:type="paragraph" w:customStyle="1" w:styleId="51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autoRedefine/>
    <w:qFormat/>
    <w:uiPriority w:val="0"/>
    <w:pPr>
      <w:spacing w:line="360" w:lineRule="auto"/>
    </w:pPr>
    <w:rPr>
      <w:szCs w:val="20"/>
    </w:rPr>
  </w:style>
  <w:style w:type="paragraph" w:customStyle="1" w:styleId="51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autoRedefine/>
    <w:qFormat/>
    <w:uiPriority w:val="0"/>
    <w:pPr>
      <w:adjustRightInd/>
      <w:ind w:firstLine="200" w:firstLineChars="200"/>
    </w:pPr>
    <w:rPr>
      <w:rFonts w:ascii="Tahoma" w:hAnsi="Tahoma"/>
      <w:sz w:val="24"/>
      <w:szCs w:val="20"/>
    </w:rPr>
  </w:style>
  <w:style w:type="paragraph" w:customStyle="1" w:styleId="519">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autoRedefine/>
    <w:qFormat/>
    <w:uiPriority w:val="0"/>
    <w:pPr>
      <w:tabs>
        <w:tab w:val="left" w:pos="0"/>
      </w:tabs>
      <w:ind w:left="900" w:firstLine="0" w:firstLineChars="0"/>
    </w:pPr>
  </w:style>
  <w:style w:type="paragraph" w:customStyle="1" w:styleId="522">
    <w:name w:val="Bulleted List"/>
    <w:basedOn w:val="1"/>
    <w:autoRedefine/>
    <w:qFormat/>
    <w:uiPriority w:val="0"/>
    <w:pPr>
      <w:tabs>
        <w:tab w:val="left" w:pos="1260"/>
      </w:tabs>
      <w:adjustRightInd/>
      <w:ind w:left="1260" w:hanging="420"/>
    </w:pPr>
  </w:style>
  <w:style w:type="paragraph" w:customStyle="1" w:styleId="52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autoRedefine/>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autoRedefine/>
    <w:qFormat/>
    <w:uiPriority w:val="0"/>
    <w:rPr>
      <w:rFonts w:ascii="Tahoma" w:hAnsi="Tahoma" w:cs="仿宋_GB2312"/>
      <w:sz w:val="24"/>
      <w:szCs w:val="20"/>
    </w:rPr>
  </w:style>
  <w:style w:type="paragraph" w:customStyle="1" w:styleId="526">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autoRedefine/>
    <w:qFormat/>
    <w:uiPriority w:val="0"/>
    <w:rPr>
      <w:rFonts w:ascii="仿宋_GB2312" w:eastAsia="仿宋_GB2312"/>
      <w:b/>
      <w:sz w:val="32"/>
      <w:szCs w:val="20"/>
    </w:rPr>
  </w:style>
  <w:style w:type="paragraph" w:customStyle="1" w:styleId="53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autoRedefine/>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autoRedefine/>
    <w:qFormat/>
    <w:uiPriority w:val="0"/>
    <w:pPr>
      <w:widowControl/>
      <w:spacing w:after="160" w:line="240" w:lineRule="exact"/>
      <w:jc w:val="left"/>
    </w:pPr>
    <w:rPr>
      <w:rFonts w:eastAsia="仿宋_GB2312"/>
      <w:sz w:val="28"/>
    </w:rPr>
  </w:style>
  <w:style w:type="paragraph" w:customStyle="1" w:styleId="547">
    <w:name w:val="Char21"/>
    <w:basedOn w:val="1"/>
    <w:autoRedefine/>
    <w:qFormat/>
    <w:uiPriority w:val="0"/>
    <w:pPr>
      <w:adjustRightInd/>
      <w:ind w:firstLine="200" w:firstLineChars="200"/>
    </w:pPr>
    <w:rPr>
      <w:rFonts w:ascii="仿宋_GB2312" w:eastAsia="仿宋_GB2312"/>
      <w:b/>
      <w:sz w:val="32"/>
      <w:szCs w:val="32"/>
    </w:rPr>
  </w:style>
  <w:style w:type="paragraph" w:customStyle="1" w:styleId="548">
    <w:name w:val="列表段落1"/>
    <w:basedOn w:val="1"/>
    <w:autoRedefine/>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9">
    <w:name w:val="_Style 12"/>
    <w:basedOn w:val="19"/>
    <w:autoRedefine/>
    <w:qFormat/>
    <w:uiPriority w:val="0"/>
    <w:pPr>
      <w:snapToGrid w:val="0"/>
      <w:spacing w:line="360" w:lineRule="auto"/>
    </w:pPr>
  </w:style>
  <w:style w:type="paragraph" w:customStyle="1" w:styleId="56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autoRedefine/>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4"/>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5"/>
    <w:autoRedefine/>
    <w:qFormat/>
    <w:uiPriority w:val="0"/>
    <w:rPr>
      <w:b w:val="0"/>
      <w:sz w:val="20"/>
    </w:rPr>
  </w:style>
  <w:style w:type="paragraph" w:customStyle="1" w:styleId="580">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autoRedefine/>
    <w:qFormat/>
    <w:uiPriority w:val="0"/>
    <w:pPr>
      <w:tabs>
        <w:tab w:val="left" w:pos="1080"/>
        <w:tab w:val="clear" w:pos="1008"/>
      </w:tabs>
      <w:ind w:left="1080" w:hanging="1080"/>
    </w:pPr>
  </w:style>
  <w:style w:type="paragraph" w:customStyle="1" w:styleId="583">
    <w:name w:val="数字标题1"/>
    <w:basedOn w:val="3"/>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29"/>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7"/>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autoRedefine/>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正文空2字"/>
    <w:basedOn w:val="62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3">
    <w:name w:val="左对齐正文"/>
    <w:autoRedefine/>
    <w:qFormat/>
    <w:uiPriority w:val="99"/>
    <w:rPr>
      <w:rFonts w:ascii="Calibri" w:hAnsi="Calibri" w:eastAsia="仿宋_GB2312" w:cs="Calibri"/>
      <w:kern w:val="2"/>
      <w:sz w:val="32"/>
      <w:szCs w:val="32"/>
      <w:lang w:val="en-US" w:eastAsia="zh-CN" w:bidi="ar-SA"/>
    </w:rPr>
  </w:style>
  <w:style w:type="paragraph" w:customStyle="1" w:styleId="624">
    <w:name w:val="纯文本3"/>
    <w:basedOn w:val="1"/>
    <w:autoRedefine/>
    <w:qFormat/>
    <w:uiPriority w:val="0"/>
    <w:pPr>
      <w:spacing w:beforeLines="50" w:afterLines="50" w:line="400" w:lineRule="exact"/>
    </w:pPr>
    <w:rPr>
      <w:rFonts w:ascii="宋体" w:hAnsi="Courier New"/>
      <w:sz w:val="24"/>
    </w:rPr>
  </w:style>
  <w:style w:type="paragraph" w:customStyle="1" w:styleId="625">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6">
    <w:name w:val="表格非标题文字 Char"/>
    <w:link w:val="83"/>
    <w:autoRedefine/>
    <w:qFormat/>
    <w:uiPriority w:val="0"/>
    <w:rPr>
      <w:rFonts w:ascii="Futura Bk" w:hAnsi="Futura Bk"/>
      <w:kern w:val="2"/>
      <w:sz w:val="18"/>
      <w:szCs w:val="21"/>
      <w:lang w:val="en-US" w:eastAsia="zh-CN" w:bidi="ar-SA"/>
    </w:rPr>
  </w:style>
  <w:style w:type="character" w:customStyle="1" w:styleId="627">
    <w:name w:val="*正文 Char"/>
    <w:link w:val="84"/>
    <w:autoRedefine/>
    <w:qFormat/>
    <w:locked/>
    <w:uiPriority w:val="0"/>
    <w:rPr>
      <w:rFonts w:ascii="宋体" w:hAnsi="宋体"/>
      <w:sz w:val="24"/>
    </w:rPr>
  </w:style>
  <w:style w:type="character" w:customStyle="1" w:styleId="628">
    <w:name w:val="Char Char71"/>
    <w:autoRedefine/>
    <w:semiHidden/>
    <w:qFormat/>
    <w:uiPriority w:val="0"/>
    <w:rPr>
      <w:rFonts w:eastAsia="宋体"/>
      <w:kern w:val="2"/>
      <w:sz w:val="21"/>
      <w:szCs w:val="24"/>
      <w:lang w:val="en-US" w:eastAsia="zh-CN" w:bidi="ar-SA"/>
    </w:rPr>
  </w:style>
  <w:style w:type="character" w:customStyle="1" w:styleId="629">
    <w:name w:val="Char Char6"/>
    <w:autoRedefine/>
    <w:qFormat/>
    <w:uiPriority w:val="0"/>
    <w:rPr>
      <w:rFonts w:eastAsia="宋体"/>
      <w:kern w:val="2"/>
      <w:sz w:val="21"/>
      <w:szCs w:val="24"/>
      <w:lang w:val="en-US" w:eastAsia="zh-CN" w:bidi="ar-SA"/>
    </w:rPr>
  </w:style>
  <w:style w:type="character" w:customStyle="1" w:styleId="630">
    <w:name w:val="正文缩进 Char"/>
    <w:autoRedefine/>
    <w:qFormat/>
    <w:uiPriority w:val="0"/>
    <w:rPr>
      <w:rFonts w:eastAsia="宋体"/>
      <w:kern w:val="2"/>
      <w:sz w:val="21"/>
      <w:lang w:val="en-US" w:eastAsia="zh-CN"/>
    </w:rPr>
  </w:style>
  <w:style w:type="character" w:customStyle="1" w:styleId="63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2">
    <w:name w:val="Char Char28"/>
    <w:autoRedefine/>
    <w:qFormat/>
    <w:uiPriority w:val="6"/>
    <w:rPr>
      <w:rFonts w:ascii="仿宋_GB2312" w:hAnsi="仿宋_GB2312" w:eastAsia="仿宋_GB2312"/>
      <w:kern w:val="1"/>
      <w:sz w:val="28"/>
    </w:rPr>
  </w:style>
  <w:style w:type="character" w:customStyle="1" w:styleId="63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autoRedefine/>
    <w:qFormat/>
    <w:uiPriority w:val="6"/>
    <w:rPr>
      <w:rFonts w:ascii="Times New Roman" w:hAnsi="Times New Roman" w:eastAsia="黑体" w:cs="Times New Roman"/>
      <w:b/>
      <w:kern w:val="0"/>
      <w:sz w:val="24"/>
      <w:szCs w:val="24"/>
    </w:rPr>
  </w:style>
  <w:style w:type="character" w:customStyle="1" w:styleId="635">
    <w:name w:val="U_正文 Char"/>
    <w:link w:val="85"/>
    <w:autoRedefine/>
    <w:qFormat/>
    <w:uiPriority w:val="0"/>
    <w:rPr>
      <w:sz w:val="24"/>
      <w:szCs w:val="24"/>
    </w:rPr>
  </w:style>
  <w:style w:type="character" w:customStyle="1" w:styleId="636">
    <w:name w:val="HTML 地址 Char1"/>
    <w:autoRedefine/>
    <w:qFormat/>
    <w:uiPriority w:val="0"/>
    <w:rPr>
      <w:rFonts w:ascii="Times New Roman" w:hAnsi="Times New Roman" w:eastAsia="宋体" w:cs="Times New Roman"/>
      <w:i/>
      <w:iCs/>
      <w:szCs w:val="24"/>
    </w:rPr>
  </w:style>
  <w:style w:type="character" w:customStyle="1" w:styleId="637">
    <w:name w:val="批注主题 Char1"/>
    <w:link w:val="61"/>
    <w:autoRedefine/>
    <w:qFormat/>
    <w:uiPriority w:val="0"/>
    <w:rPr>
      <w:b/>
      <w:bCs/>
      <w:kern w:val="2"/>
      <w:sz w:val="21"/>
      <w:szCs w:val="24"/>
    </w:rPr>
  </w:style>
  <w:style w:type="character" w:customStyle="1" w:styleId="638">
    <w:name w:val="Char Char51"/>
    <w:autoRedefine/>
    <w:qFormat/>
    <w:uiPriority w:val="0"/>
    <w:rPr>
      <w:rFonts w:ascii="宋体" w:hAnsi="Courier New" w:eastAsia="宋体"/>
      <w:kern w:val="2"/>
      <w:sz w:val="21"/>
      <w:lang w:val="en-US" w:eastAsia="zh-CN"/>
    </w:rPr>
  </w:style>
  <w:style w:type="character" w:customStyle="1" w:styleId="639">
    <w:name w:val="表正文 Char"/>
    <w:autoRedefine/>
    <w:qFormat/>
    <w:uiPriority w:val="0"/>
    <w:rPr>
      <w:rFonts w:ascii="宋体" w:eastAsia="宋体"/>
      <w:snapToGrid w:val="0"/>
      <w:color w:val="000000"/>
      <w:kern w:val="28"/>
      <w:sz w:val="28"/>
      <w:lang w:val="en-US" w:eastAsia="zh-CN" w:bidi="ar-SA"/>
    </w:rPr>
  </w:style>
  <w:style w:type="character" w:customStyle="1" w:styleId="640">
    <w:name w:val="Char Char34"/>
    <w:autoRedefine/>
    <w:qFormat/>
    <w:uiPriority w:val="6"/>
    <w:rPr>
      <w:b/>
      <w:kern w:val="1"/>
      <w:sz w:val="28"/>
      <w:szCs w:val="28"/>
    </w:rPr>
  </w:style>
  <w:style w:type="character" w:customStyle="1" w:styleId="64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6"/>
    <w:autoRedefine/>
    <w:qFormat/>
    <w:uiPriority w:val="0"/>
    <w:rPr>
      <w:rFonts w:ascii="宋体" w:hAnsi="宋体" w:eastAsia="宋体"/>
      <w:kern w:val="2"/>
      <w:sz w:val="24"/>
      <w:lang w:bidi="ar-SA"/>
    </w:rPr>
  </w:style>
  <w:style w:type="character" w:customStyle="1" w:styleId="643">
    <w:name w:val="未处理的提及1"/>
    <w:autoRedefine/>
    <w:qFormat/>
    <w:uiPriority w:val="0"/>
    <w:rPr>
      <w:color w:val="808080"/>
      <w:shd w:val="clear" w:color="auto" w:fill="E6E6E6"/>
    </w:rPr>
  </w:style>
  <w:style w:type="character" w:customStyle="1" w:styleId="644">
    <w:name w:val="txt"/>
    <w:autoRedefine/>
    <w:qFormat/>
    <w:uiPriority w:val="0"/>
    <w:rPr>
      <w:rFonts w:ascii="仿宋_GB2312" w:eastAsia="微软雅黑"/>
      <w:b/>
      <w:kern w:val="2"/>
      <w:sz w:val="32"/>
      <w:szCs w:val="32"/>
      <w:lang w:val="en-US" w:eastAsia="zh-CN" w:bidi="ar-SA"/>
    </w:rPr>
  </w:style>
  <w:style w:type="character" w:customStyle="1" w:styleId="64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6">
    <w:name w:val="Char Char32"/>
    <w:autoRedefine/>
    <w:qFormat/>
    <w:uiPriority w:val="6"/>
    <w:rPr>
      <w:b/>
      <w:kern w:val="1"/>
      <w:sz w:val="24"/>
      <w:szCs w:val="24"/>
    </w:rPr>
  </w:style>
  <w:style w:type="character" w:customStyle="1" w:styleId="647">
    <w:name w:val="PI Char1"/>
    <w:autoRedefine/>
    <w:qFormat/>
    <w:uiPriority w:val="0"/>
    <w:rPr>
      <w:rFonts w:ascii="宋体" w:hAnsi="宋体"/>
      <w:kern w:val="2"/>
      <w:sz w:val="24"/>
      <w:szCs w:val="24"/>
    </w:rPr>
  </w:style>
  <w:style w:type="character" w:customStyle="1" w:styleId="648">
    <w:name w:val="tw4winTerm"/>
    <w:autoRedefine/>
    <w:qFormat/>
    <w:uiPriority w:val="0"/>
    <w:rPr>
      <w:color w:val="0000FF"/>
    </w:rPr>
  </w:style>
  <w:style w:type="character" w:customStyle="1" w:styleId="649">
    <w:name w:val="Footer Char"/>
    <w:autoRedefine/>
    <w:qFormat/>
    <w:locked/>
    <w:uiPriority w:val="0"/>
    <w:rPr>
      <w:rFonts w:eastAsia="宋体"/>
      <w:kern w:val="2"/>
      <w:sz w:val="18"/>
      <w:lang w:val="en-US" w:eastAsia="zh-CN" w:bidi="ar-SA"/>
    </w:rPr>
  </w:style>
  <w:style w:type="character" w:customStyle="1" w:styleId="650">
    <w:name w:val="普通文字 Char Char1"/>
    <w:autoRedefine/>
    <w:qFormat/>
    <w:uiPriority w:val="0"/>
    <w:rPr>
      <w:rFonts w:ascii="宋体" w:hAnsi="Courier New"/>
      <w:kern w:val="2"/>
      <w:sz w:val="21"/>
    </w:rPr>
  </w:style>
  <w:style w:type="character" w:customStyle="1" w:styleId="651">
    <w:name w:val="Char Char101"/>
    <w:autoRedefine/>
    <w:qFormat/>
    <w:uiPriority w:val="6"/>
    <w:rPr>
      <w:rFonts w:ascii="宋体" w:hAnsi="宋体"/>
      <w:kern w:val="2"/>
      <w:sz w:val="21"/>
      <w:szCs w:val="24"/>
      <w:lang w:val="en-US" w:eastAsia="zh-CN"/>
    </w:rPr>
  </w:style>
  <w:style w:type="character" w:customStyle="1" w:styleId="652">
    <w:name w:val="标题 4 Char"/>
    <w:autoRedefine/>
    <w:qFormat/>
    <w:uiPriority w:val="0"/>
    <w:rPr>
      <w:rFonts w:ascii="Arial" w:hAnsi="Arial" w:eastAsia="黑体"/>
      <w:b/>
      <w:kern w:val="2"/>
      <w:sz w:val="28"/>
    </w:rPr>
  </w:style>
  <w:style w:type="character" w:customStyle="1" w:styleId="653">
    <w:name w:val="链接"/>
    <w:autoRedefine/>
    <w:qFormat/>
    <w:uiPriority w:val="0"/>
    <w:rPr>
      <w:color w:val="0000FF"/>
      <w:sz w:val="21"/>
      <w:szCs w:val="21"/>
      <w:u w:val="single"/>
    </w:rPr>
  </w:style>
  <w:style w:type="character" w:customStyle="1" w:styleId="654">
    <w:name w:val="h4 Char"/>
    <w:autoRedefine/>
    <w:qFormat/>
    <w:uiPriority w:val="0"/>
    <w:rPr>
      <w:rFonts w:ascii="Arial" w:hAnsi="Arial" w:eastAsia="黑体"/>
      <w:b/>
      <w:bCs/>
      <w:kern w:val="2"/>
      <w:sz w:val="28"/>
      <w:szCs w:val="28"/>
      <w:lang w:val="zh-CN" w:eastAsia="zh-CN" w:bidi="ar-SA"/>
    </w:rPr>
  </w:style>
  <w:style w:type="character" w:customStyle="1" w:styleId="655">
    <w:name w:val="5正文 Char"/>
    <w:link w:val="87"/>
    <w:autoRedefine/>
    <w:qFormat/>
    <w:uiPriority w:val="0"/>
    <w:rPr>
      <w:rFonts w:ascii="仿宋_GB2312" w:hAnsi="微软雅黑" w:eastAsia="仿宋_GB2312"/>
      <w:sz w:val="28"/>
      <w:szCs w:val="21"/>
    </w:rPr>
  </w:style>
  <w:style w:type="character" w:customStyle="1" w:styleId="656">
    <w:name w:val="标题 3 字符"/>
    <w:autoRedefine/>
    <w:qFormat/>
    <w:uiPriority w:val="9"/>
    <w:rPr>
      <w:b/>
      <w:bCs/>
      <w:kern w:val="2"/>
      <w:sz w:val="32"/>
      <w:szCs w:val="32"/>
    </w:rPr>
  </w:style>
  <w:style w:type="character" w:customStyle="1" w:styleId="657">
    <w:name w:val="样式6 Char"/>
    <w:autoRedefine/>
    <w:qFormat/>
    <w:uiPriority w:val="0"/>
    <w:rPr>
      <w:rFonts w:ascii="仿宋_GB2312" w:hAnsi="宋体" w:eastAsia="仿宋_GB2312"/>
      <w:b/>
      <w:bCs/>
      <w:kern w:val="2"/>
      <w:sz w:val="24"/>
      <w:szCs w:val="24"/>
      <w:lang w:val="en-US" w:eastAsia="zh-CN" w:bidi="ar-SA"/>
    </w:rPr>
  </w:style>
  <w:style w:type="character" w:customStyle="1" w:styleId="658">
    <w:name w:val="Char Char14"/>
    <w:autoRedefine/>
    <w:qFormat/>
    <w:uiPriority w:val="6"/>
    <w:rPr>
      <w:rFonts w:ascii="黑体" w:hAnsi="黑体" w:eastAsia="黑体"/>
    </w:rPr>
  </w:style>
  <w:style w:type="character" w:customStyle="1" w:styleId="659">
    <w:name w:val="Heading 2 Hidden Char"/>
    <w:autoRedefine/>
    <w:qFormat/>
    <w:uiPriority w:val="0"/>
    <w:rPr>
      <w:rFonts w:ascii="仿宋_GB2312" w:eastAsia="仿宋_GB2312"/>
      <w:b/>
      <w:bCs/>
      <w:kern w:val="2"/>
      <w:sz w:val="24"/>
      <w:szCs w:val="24"/>
      <w:lang w:val="zh-CN" w:eastAsia="zh-CN" w:bidi="ar-SA"/>
    </w:rPr>
  </w:style>
  <w:style w:type="character" w:customStyle="1" w:styleId="660">
    <w:name w:val="正文首行缩进 2 Char"/>
    <w:link w:val="62"/>
    <w:autoRedefine/>
    <w:qFormat/>
    <w:uiPriority w:val="0"/>
    <w:rPr>
      <w:rFonts w:ascii="宋体" w:hAnsi="宋体"/>
      <w:kern w:val="2"/>
      <w:sz w:val="21"/>
      <w:szCs w:val="24"/>
    </w:rPr>
  </w:style>
  <w:style w:type="character" w:customStyle="1" w:styleId="661">
    <w:name w:val="font11"/>
    <w:autoRedefine/>
    <w:qFormat/>
    <w:uiPriority w:val="0"/>
    <w:rPr>
      <w:rFonts w:hint="default" w:ascii="Times New Roman" w:hAnsi="Times New Roman" w:cs="Times New Roman"/>
      <w:color w:val="000000"/>
      <w:sz w:val="22"/>
      <w:szCs w:val="22"/>
      <w:u w:val="none"/>
    </w:rPr>
  </w:style>
  <w:style w:type="character" w:customStyle="1" w:styleId="662">
    <w:name w:val="表正文 Char1"/>
    <w:autoRedefine/>
    <w:qFormat/>
    <w:uiPriority w:val="0"/>
    <w:rPr>
      <w:rFonts w:ascii="宋体" w:eastAsia="宋体"/>
      <w:snapToGrid w:val="0"/>
      <w:color w:val="000000"/>
      <w:kern w:val="28"/>
      <w:sz w:val="28"/>
    </w:rPr>
  </w:style>
  <w:style w:type="character" w:customStyle="1" w:styleId="663">
    <w:name w:val="blue1"/>
    <w:basedOn w:val="70"/>
    <w:autoRedefine/>
    <w:qFormat/>
    <w:uiPriority w:val="0"/>
    <w:rPr>
      <w:rFonts w:ascii="Arial" w:hAnsi="Arial" w:eastAsia="黑体" w:cs="Arial"/>
      <w:snapToGrid w:val="0"/>
      <w:kern w:val="0"/>
      <w:szCs w:val="21"/>
    </w:rPr>
  </w:style>
  <w:style w:type="character" w:customStyle="1" w:styleId="66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65">
    <w:name w:val="标书1 Char"/>
    <w:autoRedefine/>
    <w:qFormat/>
    <w:uiPriority w:val="0"/>
    <w:rPr>
      <w:rFonts w:eastAsia="宋体"/>
      <w:b/>
      <w:bCs/>
      <w:kern w:val="44"/>
      <w:sz w:val="44"/>
      <w:szCs w:val="44"/>
      <w:lang w:val="en-US" w:eastAsia="zh-CN" w:bidi="ar-SA"/>
    </w:rPr>
  </w:style>
  <w:style w:type="character" w:customStyle="1" w:styleId="666">
    <w:name w:val="样式5 Char"/>
    <w:autoRedefine/>
    <w:qFormat/>
    <w:uiPriority w:val="0"/>
    <w:rPr>
      <w:rFonts w:ascii="仿宋_GB2312" w:hAnsi="仿宋" w:eastAsia="仿宋_GB2312"/>
      <w:kern w:val="2"/>
      <w:sz w:val="24"/>
      <w:szCs w:val="24"/>
    </w:rPr>
  </w:style>
  <w:style w:type="character" w:customStyle="1" w:styleId="667">
    <w:name w:val="样式4 Char"/>
    <w:autoRedefine/>
    <w:qFormat/>
    <w:uiPriority w:val="0"/>
    <w:rPr>
      <w:rFonts w:ascii="仿宋_GB2312" w:hAnsi="仿宋" w:eastAsia="仿宋_GB2312"/>
      <w:b/>
      <w:kern w:val="2"/>
      <w:sz w:val="32"/>
      <w:szCs w:val="32"/>
      <w:lang w:bidi="ar-SA"/>
    </w:rPr>
  </w:style>
  <w:style w:type="character" w:customStyle="1" w:styleId="668">
    <w:name w:val="插图说明 Char"/>
    <w:autoRedefine/>
    <w:qFormat/>
    <w:uiPriority w:val="0"/>
    <w:rPr>
      <w:rFonts w:eastAsia="黑体"/>
      <w:sz w:val="24"/>
      <w:lang w:val="en-US" w:eastAsia="zh-CN"/>
    </w:rPr>
  </w:style>
  <w:style w:type="character" w:customStyle="1" w:styleId="669">
    <w:name w:val="正文2 Char Char"/>
    <w:link w:val="88"/>
    <w:autoRedefine/>
    <w:qFormat/>
    <w:uiPriority w:val="0"/>
    <w:rPr>
      <w:rFonts w:eastAsia="宋体"/>
      <w:kern w:val="2"/>
      <w:sz w:val="24"/>
      <w:lang w:val="en-US" w:eastAsia="zh-CN" w:bidi="ar-SA"/>
    </w:rPr>
  </w:style>
  <w:style w:type="character" w:customStyle="1" w:styleId="670">
    <w:name w:val="Char Char24"/>
    <w:autoRedefine/>
    <w:qFormat/>
    <w:uiPriority w:val="6"/>
    <w:rPr>
      <w:kern w:val="1"/>
      <w:sz w:val="21"/>
    </w:rPr>
  </w:style>
  <w:style w:type="character" w:customStyle="1" w:styleId="671">
    <w:name w:val="副标题 Char"/>
    <w:link w:val="48"/>
    <w:autoRedefine/>
    <w:qFormat/>
    <w:uiPriority w:val="0"/>
    <w:rPr>
      <w:rFonts w:ascii="Arial" w:hAnsi="Arial" w:eastAsia="隶书"/>
      <w:b/>
      <w:bCs/>
      <w:kern w:val="28"/>
      <w:sz w:val="44"/>
      <w:szCs w:val="32"/>
      <w:lang w:val="en-US" w:eastAsia="zh-CN" w:bidi="ar-SA"/>
    </w:rPr>
  </w:style>
  <w:style w:type="character" w:customStyle="1" w:styleId="672">
    <w:name w:val="普通文字 Char1 Char"/>
    <w:autoRedefine/>
    <w:qFormat/>
    <w:uiPriority w:val="0"/>
    <w:rPr>
      <w:rFonts w:ascii="宋体" w:hAnsi="Courier New" w:eastAsia="宋体"/>
      <w:kern w:val="2"/>
      <w:sz w:val="21"/>
      <w:szCs w:val="24"/>
      <w:lang w:val="en-US" w:eastAsia="zh-CN" w:bidi="ar-SA"/>
    </w:rPr>
  </w:style>
  <w:style w:type="character" w:customStyle="1" w:styleId="673">
    <w:name w:val="h3 Char1"/>
    <w:autoRedefine/>
    <w:qFormat/>
    <w:uiPriority w:val="0"/>
    <w:rPr>
      <w:rFonts w:eastAsia="宋体"/>
      <w:b/>
      <w:bCs/>
      <w:kern w:val="2"/>
      <w:sz w:val="32"/>
      <w:szCs w:val="32"/>
      <w:lang w:bidi="ar-SA"/>
    </w:rPr>
  </w:style>
  <w:style w:type="character" w:customStyle="1" w:styleId="674">
    <w:name w:val="标题 Char1"/>
    <w:autoRedefine/>
    <w:qFormat/>
    <w:uiPriority w:val="0"/>
    <w:rPr>
      <w:rFonts w:ascii="Cambria" w:hAnsi="Cambria" w:eastAsia="宋体" w:cs="Times New Roman"/>
      <w:b/>
      <w:bCs/>
      <w:sz w:val="32"/>
      <w:szCs w:val="32"/>
      <w:lang w:bidi="ar-SA"/>
    </w:rPr>
  </w:style>
  <w:style w:type="character" w:customStyle="1" w:styleId="675">
    <w:name w:val="gf正文1 Char"/>
    <w:autoRedefine/>
    <w:qFormat/>
    <w:uiPriority w:val="0"/>
    <w:rPr>
      <w:rFonts w:ascii="宋体" w:hAnsi="宋体" w:eastAsia="宋体" w:cs="宋体"/>
      <w:kern w:val="2"/>
      <w:sz w:val="24"/>
      <w:szCs w:val="24"/>
      <w:lang w:val="en-US" w:eastAsia="zh-CN" w:bidi="ar-SA"/>
    </w:rPr>
  </w:style>
  <w:style w:type="character" w:customStyle="1" w:styleId="676">
    <w:name w:val="正文文本缩进 Char1"/>
    <w:autoRedefine/>
    <w:qFormat/>
    <w:uiPriority w:val="0"/>
    <w:rPr>
      <w:rFonts w:ascii="Calibri" w:hAnsi="Calibri"/>
      <w:sz w:val="28"/>
    </w:rPr>
  </w:style>
  <w:style w:type="character" w:customStyle="1" w:styleId="677">
    <w:name w:val="No Spacing Char"/>
    <w:link w:val="89"/>
    <w:autoRedefine/>
    <w:qFormat/>
    <w:uiPriority w:val="1"/>
    <w:rPr>
      <w:sz w:val="22"/>
      <w:szCs w:val="22"/>
      <w:lang w:val="en-US" w:eastAsia="zh-CN" w:bidi="ar-SA"/>
    </w:rPr>
  </w:style>
  <w:style w:type="character" w:customStyle="1" w:styleId="678">
    <w:name w:val="样式7 Char"/>
    <w:autoRedefine/>
    <w:qFormat/>
    <w:uiPriority w:val="0"/>
    <w:rPr>
      <w:rFonts w:ascii="仿宋_GB2312" w:hAnsi="仿宋" w:eastAsia="仿宋_GB2312"/>
      <w:b/>
      <w:kern w:val="2"/>
      <w:sz w:val="24"/>
      <w:szCs w:val="24"/>
    </w:rPr>
  </w:style>
  <w:style w:type="character" w:customStyle="1" w:styleId="679">
    <w:name w:val="font12gray1"/>
    <w:autoRedefine/>
    <w:qFormat/>
    <w:uiPriority w:val="0"/>
    <w:rPr>
      <w:rFonts w:ascii="仿宋_GB2312" w:eastAsia="微软雅黑"/>
      <w:b/>
      <w:spacing w:val="300"/>
      <w:kern w:val="2"/>
      <w:sz w:val="18"/>
      <w:szCs w:val="18"/>
      <w:lang w:val="en-US" w:eastAsia="zh-CN" w:bidi="ar-SA"/>
    </w:rPr>
  </w:style>
  <w:style w:type="character" w:customStyle="1" w:styleId="680">
    <w:name w:val="Char Char7"/>
    <w:autoRedefine/>
    <w:semiHidden/>
    <w:qFormat/>
    <w:uiPriority w:val="0"/>
    <w:rPr>
      <w:rFonts w:eastAsia="宋体"/>
      <w:kern w:val="2"/>
      <w:sz w:val="21"/>
      <w:szCs w:val="24"/>
      <w:lang w:val="en-US" w:eastAsia="zh-CN" w:bidi="ar-SA"/>
    </w:rPr>
  </w:style>
  <w:style w:type="character" w:customStyle="1" w:styleId="681">
    <w:name w:val="表名 Char"/>
    <w:autoRedefine/>
    <w:qFormat/>
    <w:uiPriority w:val="0"/>
    <w:rPr>
      <w:rFonts w:eastAsia="宋体"/>
      <w:b/>
      <w:bCs/>
      <w:kern w:val="2"/>
      <w:sz w:val="24"/>
      <w:szCs w:val="24"/>
      <w:lang w:val="en-US" w:eastAsia="zh-CN" w:bidi="ar-SA"/>
    </w:rPr>
  </w:style>
  <w:style w:type="character" w:customStyle="1" w:styleId="682">
    <w:name w:val="Document Map Char"/>
    <w:autoRedefine/>
    <w:qFormat/>
    <w:locked/>
    <w:uiPriority w:val="0"/>
    <w:rPr>
      <w:rFonts w:eastAsia="宋体"/>
      <w:kern w:val="2"/>
      <w:sz w:val="21"/>
      <w:szCs w:val="24"/>
      <w:lang w:val="en-US" w:eastAsia="zh-CN" w:bidi="ar-SA"/>
    </w:rPr>
  </w:style>
  <w:style w:type="character" w:customStyle="1" w:styleId="683">
    <w:name w:val="font41"/>
    <w:autoRedefine/>
    <w:qFormat/>
    <w:uiPriority w:val="0"/>
    <w:rPr>
      <w:rFonts w:hint="eastAsia" w:ascii="仿宋_GB2312" w:eastAsia="仿宋_GB2312" w:cs="仿宋_GB2312"/>
      <w:color w:val="000000"/>
      <w:sz w:val="22"/>
      <w:szCs w:val="22"/>
      <w:u w:val="none"/>
    </w:rPr>
  </w:style>
  <w:style w:type="character" w:customStyle="1" w:styleId="684">
    <w:name w:val="标题 6 Char"/>
    <w:link w:val="9"/>
    <w:autoRedefine/>
    <w:qFormat/>
    <w:uiPriority w:val="0"/>
    <w:rPr>
      <w:rFonts w:ascii="Arial" w:hAnsi="Arial" w:eastAsia="黑体"/>
      <w:b/>
      <w:bCs/>
      <w:kern w:val="2"/>
      <w:sz w:val="24"/>
      <w:szCs w:val="24"/>
    </w:rPr>
  </w:style>
  <w:style w:type="character" w:customStyle="1" w:styleId="685">
    <w:name w:val="纯文本 Char_0"/>
    <w:link w:val="90"/>
    <w:autoRedefine/>
    <w:qFormat/>
    <w:uiPriority w:val="0"/>
    <w:rPr>
      <w:rFonts w:ascii="宋体" w:hAnsi="Courier New"/>
      <w:kern w:val="2"/>
      <w:sz w:val="21"/>
      <w:szCs w:val="21"/>
      <w:lang w:val="en-US" w:eastAsia="zh-CN"/>
    </w:rPr>
  </w:style>
  <w:style w:type="character" w:customStyle="1" w:styleId="686">
    <w:name w:val="Balloon Text Char"/>
    <w:autoRedefine/>
    <w:qFormat/>
    <w:locked/>
    <w:uiPriority w:val="0"/>
    <w:rPr>
      <w:rFonts w:eastAsia="宋体"/>
      <w:kern w:val="2"/>
      <w:sz w:val="18"/>
      <w:szCs w:val="18"/>
      <w:lang w:val="en-US" w:eastAsia="zh-CN" w:bidi="ar-SA"/>
    </w:rPr>
  </w:style>
  <w:style w:type="character" w:customStyle="1" w:styleId="687">
    <w:name w:val="正文 项目2 Char"/>
    <w:basedOn w:val="688"/>
    <w:autoRedefine/>
    <w:qFormat/>
    <w:uiPriority w:val="0"/>
    <w:rPr>
      <w:rFonts w:ascii="仿宋_GB2312" w:hAnsi="仿宋_GB2312" w:eastAsia="仿宋_GB2312"/>
      <w:kern w:val="2"/>
      <w:sz w:val="24"/>
      <w:lang w:bidi="ar-SA"/>
    </w:rPr>
  </w:style>
  <w:style w:type="character" w:customStyle="1" w:styleId="688">
    <w:name w:val="正文 项目 Char"/>
    <w:autoRedefine/>
    <w:qFormat/>
    <w:uiPriority w:val="0"/>
    <w:rPr>
      <w:rFonts w:ascii="仿宋_GB2312" w:hAnsi="仿宋_GB2312" w:eastAsia="仿宋_GB2312"/>
      <w:kern w:val="2"/>
      <w:sz w:val="24"/>
      <w:lang w:bidi="ar-SA"/>
    </w:rPr>
  </w:style>
  <w:style w:type="character" w:customStyle="1" w:styleId="689">
    <w:name w:val="h Char Char1"/>
    <w:autoRedefine/>
    <w:qFormat/>
    <w:uiPriority w:val="0"/>
    <w:rPr>
      <w:rFonts w:eastAsia="宋体"/>
      <w:kern w:val="2"/>
      <w:sz w:val="18"/>
      <w:szCs w:val="18"/>
      <w:lang w:val="en-US" w:eastAsia="zh-CN" w:bidi="ar-SA"/>
    </w:rPr>
  </w:style>
  <w:style w:type="character" w:customStyle="1" w:styleId="690">
    <w:name w:val="Char Char27"/>
    <w:autoRedefine/>
    <w:qFormat/>
    <w:uiPriority w:val="6"/>
    <w:rPr>
      <w:rFonts w:ascii="宋体" w:hAnsi="宋体" w:eastAsia="宋体"/>
      <w:color w:val="000000"/>
      <w:kern w:val="1"/>
      <w:sz w:val="28"/>
      <w:lang w:val="en-US" w:eastAsia="zh-CN" w:bidi="ar-SA"/>
    </w:rPr>
  </w:style>
  <w:style w:type="character" w:customStyle="1" w:styleId="691">
    <w:name w:val="px14"/>
    <w:autoRedefine/>
    <w:qFormat/>
    <w:uiPriority w:val="0"/>
    <w:rPr>
      <w:rFonts w:ascii="仿宋_GB2312" w:eastAsia="微软雅黑" w:cs="Times New Roman"/>
      <w:b/>
      <w:kern w:val="2"/>
      <w:sz w:val="32"/>
      <w:szCs w:val="32"/>
      <w:lang w:val="en-US" w:eastAsia="zh-CN" w:bidi="ar-SA"/>
    </w:rPr>
  </w:style>
  <w:style w:type="character" w:customStyle="1" w:styleId="692">
    <w:name w:val="HTML 预设格式 Char1"/>
    <w:autoRedefine/>
    <w:qFormat/>
    <w:uiPriority w:val="0"/>
    <w:rPr>
      <w:rFonts w:ascii="Courier New" w:hAnsi="Courier New" w:eastAsia="宋体" w:cs="Courier New"/>
      <w:sz w:val="20"/>
      <w:szCs w:val="20"/>
    </w:rPr>
  </w:style>
  <w:style w:type="character" w:customStyle="1" w:styleId="693">
    <w:name w:val="普通文字 Char1"/>
    <w:autoRedefine/>
    <w:qFormat/>
    <w:uiPriority w:val="0"/>
    <w:rPr>
      <w:rFonts w:ascii="宋体" w:hAnsi="Courier New" w:eastAsia="宋体"/>
      <w:kern w:val="2"/>
      <w:sz w:val="21"/>
      <w:lang w:val="en-US" w:eastAsia="zh-CN"/>
    </w:rPr>
  </w:style>
  <w:style w:type="character" w:customStyle="1" w:styleId="694">
    <w:name w:val="hei16b1"/>
    <w:autoRedefine/>
    <w:qFormat/>
    <w:uiPriority w:val="0"/>
    <w:rPr>
      <w:rFonts w:hint="default" w:ascii="Arial" w:hAnsi="Arial" w:cs="Arial"/>
      <w:b/>
      <w:bCs/>
      <w:color w:val="000000"/>
      <w:sz w:val="24"/>
      <w:szCs w:val="24"/>
    </w:rPr>
  </w:style>
  <w:style w:type="character" w:customStyle="1" w:styleId="695">
    <w:name w:val="正文（绿盟科技） Char"/>
    <w:link w:val="92"/>
    <w:autoRedefine/>
    <w:qFormat/>
    <w:uiPriority w:val="0"/>
    <w:rPr>
      <w:rFonts w:ascii="Arial" w:hAnsi="Arial"/>
      <w:sz w:val="21"/>
      <w:szCs w:val="21"/>
    </w:rPr>
  </w:style>
  <w:style w:type="character" w:customStyle="1" w:styleId="696">
    <w:name w:val="Char Char19"/>
    <w:autoRedefine/>
    <w:qFormat/>
    <w:uiPriority w:val="6"/>
    <w:rPr>
      <w:rFonts w:ascii="宋体" w:hAnsi="宋体"/>
      <w:i/>
      <w:sz w:val="24"/>
      <w:szCs w:val="24"/>
    </w:rPr>
  </w:style>
  <w:style w:type="character" w:customStyle="1" w:styleId="697">
    <w:name w:val="页脚 Char"/>
    <w:autoRedefine/>
    <w:qFormat/>
    <w:uiPriority w:val="0"/>
    <w:rPr>
      <w:rFonts w:eastAsia="仿宋_GB2312"/>
      <w:kern w:val="2"/>
      <w:sz w:val="18"/>
      <w:lang w:val="en-US" w:eastAsia="zh-CN"/>
    </w:rPr>
  </w:style>
  <w:style w:type="character" w:customStyle="1" w:styleId="698">
    <w:name w:val="批注主题 Char"/>
    <w:autoRedefine/>
    <w:qFormat/>
    <w:uiPriority w:val="0"/>
    <w:rPr>
      <w:rFonts w:eastAsia="宋体"/>
      <w:b/>
      <w:bCs/>
      <w:kern w:val="2"/>
      <w:sz w:val="21"/>
      <w:szCs w:val="24"/>
      <w:lang w:val="en-US" w:eastAsia="zh-CN" w:bidi="ar-SA"/>
    </w:rPr>
  </w:style>
  <w:style w:type="character" w:customStyle="1" w:styleId="699">
    <w:name w:val="Comment Text Char"/>
    <w:autoRedefine/>
    <w:qFormat/>
    <w:locked/>
    <w:uiPriority w:val="0"/>
    <w:rPr>
      <w:rFonts w:ascii="宋体" w:hAnsi="宋体" w:eastAsia="宋体"/>
      <w:kern w:val="2"/>
      <w:sz w:val="24"/>
      <w:lang w:val="en-US" w:eastAsia="zh-CN" w:bidi="ar-SA"/>
    </w:rPr>
  </w:style>
  <w:style w:type="character" w:customStyle="1" w:styleId="700">
    <w:name w:val="标题 2 字符"/>
    <w:autoRedefine/>
    <w:qFormat/>
    <w:uiPriority w:val="1"/>
    <w:rPr>
      <w:rFonts w:ascii="仿宋_GB2312" w:hAnsi="Times New Roman" w:eastAsia="仿宋_GB2312" w:cs="Times New Roman"/>
      <w:b/>
      <w:kern w:val="2"/>
      <w:sz w:val="24"/>
      <w:lang w:val="zh-CN"/>
    </w:rPr>
  </w:style>
  <w:style w:type="character" w:customStyle="1" w:styleId="701">
    <w:name w:val="Char Char72"/>
    <w:autoRedefine/>
    <w:qFormat/>
    <w:uiPriority w:val="0"/>
    <w:rPr>
      <w:rFonts w:eastAsia="宋体"/>
      <w:kern w:val="2"/>
      <w:sz w:val="21"/>
      <w:szCs w:val="24"/>
      <w:lang w:val="en-US" w:eastAsia="zh-CN" w:bidi="ar-SA"/>
    </w:rPr>
  </w:style>
  <w:style w:type="character" w:customStyle="1" w:styleId="702">
    <w:name w:val="正文文本缩进 Char2"/>
    <w:autoRedefine/>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3"/>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6"/>
    <w:qFormat/>
    <w:uiPriority w:val="0"/>
    <w:rPr>
      <w:rFonts w:ascii="宋体"/>
      <w:kern w:val="2"/>
      <w:sz w:val="24"/>
      <w:szCs w:val="21"/>
      <w:lang w:val="zh-CN"/>
    </w:rPr>
  </w:style>
  <w:style w:type="character" w:customStyle="1" w:styleId="715">
    <w:name w:val="标题 9 Char"/>
    <w:link w:val="12"/>
    <w:qFormat/>
    <w:uiPriority w:val="0"/>
    <w:rPr>
      <w:rFonts w:ascii="Arial" w:hAnsi="Arial" w:eastAsia="黑体"/>
      <w:kern w:val="2"/>
      <w:sz w:val="21"/>
      <w:szCs w:val="21"/>
    </w:rPr>
  </w:style>
  <w:style w:type="character" w:customStyle="1" w:styleId="716">
    <w:name w:val="Char Char18"/>
    <w:autoRedefine/>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39"/>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4"/>
    <w:qFormat/>
    <w:locked/>
    <w:uiPriority w:val="0"/>
    <w:rPr>
      <w:rFonts w:ascii="Tahoma" w:hAnsi="Tahoma"/>
      <w:sz w:val="24"/>
      <w:szCs w:val="24"/>
    </w:rPr>
  </w:style>
  <w:style w:type="character" w:customStyle="1" w:styleId="725">
    <w:name w:val="正文缩进 Char2"/>
    <w:link w:val="5"/>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5"/>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19"/>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0"/>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0"/>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7"/>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8"/>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17"/>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99"/>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0"/>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autoRedefine/>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1"/>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2"/>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6"/>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4"/>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3"/>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0"/>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8"/>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1"/>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8"/>
    <w:qFormat/>
    <w:uiPriority w:val="0"/>
    <w:rPr>
      <w:rFonts w:ascii="黑体" w:hAnsi="Courier New" w:eastAsia="黑体"/>
    </w:rPr>
  </w:style>
  <w:style w:type="character" w:customStyle="1" w:styleId="824">
    <w:name w:val="正文文本 2 Char1"/>
    <w:link w:val="57"/>
    <w:qFormat/>
    <w:uiPriority w:val="0"/>
    <w:rPr>
      <w:kern w:val="2"/>
      <w:sz w:val="21"/>
      <w:szCs w:val="24"/>
    </w:rPr>
  </w:style>
  <w:style w:type="character" w:customStyle="1" w:styleId="825">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10"/>
    <w:qFormat/>
    <w:uiPriority w:val="0"/>
    <w:rPr>
      <w:b/>
      <w:bCs/>
      <w:kern w:val="2"/>
      <w:sz w:val="24"/>
      <w:szCs w:val="24"/>
    </w:rPr>
  </w:style>
  <w:style w:type="character" w:customStyle="1" w:styleId="828">
    <w:name w:val="正文文本缩进 2 Char"/>
    <w:link w:val="37"/>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1"/>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7"/>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8"/>
    <w:qFormat/>
    <w:uiPriority w:val="0"/>
    <w:rPr>
      <w:rFonts w:ascii="宋体" w:hAnsi="Courier New"/>
    </w:rPr>
  </w:style>
  <w:style w:type="character" w:customStyle="1" w:styleId="839">
    <w:name w:val="正文首行缩进 Char"/>
    <w:link w:val="25"/>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autoRedefine/>
    <w:qFormat/>
    <w:uiPriority w:val="0"/>
    <w:rPr>
      <w:sz w:val="18"/>
      <w:szCs w:val="18"/>
    </w:rPr>
  </w:style>
  <w:style w:type="character" w:customStyle="1" w:styleId="844">
    <w:name w:val="solutionfonts"/>
    <w:qFormat/>
    <w:uiPriority w:val="0"/>
  </w:style>
  <w:style w:type="character" w:customStyle="1" w:styleId="845">
    <w:name w:val="标题 4 Char2"/>
    <w:link w:val="7"/>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2"/>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09"/>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autoRedefine/>
    <w:qFormat/>
    <w:uiPriority w:val="0"/>
    <w:rPr>
      <w:rFonts w:ascii="宋体" w:hAnsi="Courier New" w:eastAsia="宋体"/>
      <w:kern w:val="2"/>
      <w:sz w:val="21"/>
      <w:lang w:val="en-US" w:eastAsia="zh-CN" w:bidi="ar-SA"/>
    </w:rPr>
  </w:style>
  <w:style w:type="character" w:customStyle="1" w:styleId="856">
    <w:name w:val="Table Text Char"/>
    <w:link w:val="110"/>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20"/>
    <w:qFormat/>
    <w:uiPriority w:val="99"/>
    <w:rPr>
      <w:kern w:val="2"/>
      <w:sz w:val="21"/>
      <w:szCs w:val="24"/>
    </w:rPr>
  </w:style>
  <w:style w:type="character" w:customStyle="1" w:styleId="861">
    <w:name w:val="签名 Char"/>
    <w:link w:val="43"/>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1"/>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2"/>
    <w:qFormat/>
    <w:uiPriority w:val="0"/>
    <w:rPr>
      <w:rFonts w:ascii="宋体"/>
    </w:rPr>
  </w:style>
  <w:style w:type="character" w:customStyle="1" w:styleId="872">
    <w:name w:val="标题 8 Char"/>
    <w:link w:val="11"/>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4"/>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3"/>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0"/>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4"/>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1"/>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5"/>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6"/>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7"/>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8"/>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0"/>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19"/>
    <w:qFormat/>
    <w:uiPriority w:val="0"/>
    <w:rPr>
      <w:rFonts w:cs="宋体"/>
      <w:kern w:val="2"/>
      <w:sz w:val="24"/>
    </w:rPr>
  </w:style>
  <w:style w:type="character" w:customStyle="1" w:styleId="93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8">
    <w:name w:val="gray6"/>
    <w:basedOn w:val="70"/>
    <w:qFormat/>
    <w:uiPriority w:val="0"/>
    <w:rPr>
      <w:rFonts w:ascii="Arial" w:hAnsi="Arial" w:eastAsia="黑体" w:cs="Arial"/>
      <w:snapToGrid w:val="0"/>
      <w:kern w:val="0"/>
      <w:szCs w:val="21"/>
    </w:rPr>
  </w:style>
  <w:style w:type="character" w:customStyle="1" w:styleId="939">
    <w:name w:val="hui"/>
    <w:basedOn w:val="70"/>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38"/>
    <w:qFormat/>
    <w:uiPriority w:val="0"/>
    <w:rPr>
      <w:kern w:val="2"/>
      <w:sz w:val="21"/>
      <w:szCs w:val="24"/>
      <w:lang w:val="zh-CN"/>
    </w:rPr>
  </w:style>
  <w:style w:type="character" w:customStyle="1" w:styleId="946">
    <w:name w:val="无间隔 Char"/>
    <w:link w:val="169"/>
    <w:qFormat/>
    <w:uiPriority w:val="99"/>
    <w:rPr>
      <w:kern w:val="2"/>
      <w:sz w:val="21"/>
      <w:szCs w:val="22"/>
    </w:rPr>
  </w:style>
  <w:style w:type="character" w:customStyle="1" w:styleId="947">
    <w:name w:val="标准文本 Char Char"/>
    <w:link w:val="608"/>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autoRedefine/>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0">
    <w:name w:val="bulletintext1"/>
    <w:autoRedefine/>
    <w:qFormat/>
    <w:uiPriority w:val="0"/>
    <w:rPr>
      <w:color w:val="000000"/>
      <w:sz w:val="18"/>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table" w:customStyle="1" w:styleId="96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0">
    <w:name w:val="NormalCharacter"/>
    <w:autoRedefine/>
    <w:qFormat/>
    <w:uiPriority w:val="0"/>
  </w:style>
  <w:style w:type="table" w:customStyle="1" w:styleId="97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66"/>
    <customShpInfo spid="_x0000_s2055"/>
    <customShpInfo spid="_x0000_s2056"/>
    <customShpInfo spid="_x0000_s2067"/>
    <customShpInfo spid="_x0000_s2058"/>
    <customShpInfo spid="_x0000_s2068"/>
    <customShpInfo spid="_x0000_s2057"/>
    <customShpInfo spid="_x0000_s2059"/>
    <customShpInfo spid="_x0000_s2069"/>
    <customShpInfo spid="_x0000_s2063"/>
    <customShpInfo spid="_x0000_s2070"/>
    <customShpInfo spid="_x0000_s2062"/>
    <customShpInfo spid="_x0000_s2071"/>
    <customShpInfo spid="_x0000_s2065"/>
    <customShpInfo spid="_x0000_s2072"/>
    <customShpInfo spid="_x0000_s2064"/>
    <customShpInfo spid="_x0000_s1043"/>
    <customShpInfo spid="_x0000_s1045"/>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97</Pages>
  <Words>8021</Words>
  <Characters>45726</Characters>
  <Lines>381</Lines>
  <Paragraphs>107</Paragraphs>
  <TotalTime>24</TotalTime>
  <ScaleCrop>false</ScaleCrop>
  <LinksUpToDate>false</LinksUpToDate>
  <CharactersWithSpaces>53640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123</cp:lastModifiedBy>
  <cp:lastPrinted>2024-04-30T03:44:00Z</cp:lastPrinted>
  <dcterms:modified xsi:type="dcterms:W3CDTF">2024-04-30T06:07:28Z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