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eastAsia="zh-CN"/>
          <w14:textFill>
            <w14:solidFill>
              <w14:schemeClr w14:val="tx1"/>
            </w14:solidFill>
          </w14:textFill>
        </w:rPr>
        <w:t>杭州市余杭区人民法院职工疗休养项目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44"/>
          <w:szCs w:val="44"/>
          <w:lang w:val="en-US"/>
        </w:rPr>
      </w:pPr>
      <w:r>
        <w:rPr>
          <w:rFonts w:hint="eastAsia" w:ascii="仿宋" w:hAnsi="仿宋" w:eastAsia="仿宋" w:cs="仿宋"/>
          <w:sz w:val="44"/>
          <w:szCs w:val="44"/>
        </w:rPr>
        <w:t>编号:</w:t>
      </w:r>
      <w:r>
        <w:rPr>
          <w:rFonts w:hint="eastAsia" w:ascii="仿宋" w:hAnsi="仿宋" w:eastAsia="仿宋" w:cs="仿宋"/>
          <w:sz w:val="44"/>
          <w:szCs w:val="44"/>
          <w:lang w:eastAsia="zh-CN"/>
        </w:rPr>
        <w:t>YHZFCG2023-063</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采购人：杭州市余杭区人民法院</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二〇二三年三月二十一日</w:t>
      </w:r>
    </w:p>
    <w:p>
      <w:pPr>
        <w:spacing w:line="360" w:lineRule="auto"/>
        <w:jc w:val="center"/>
        <w:rPr>
          <w:rFonts w:hint="eastAsia" w:ascii="仿宋" w:hAnsi="仿宋" w:eastAsia="仿宋" w:cs="仿宋"/>
          <w:sz w:val="24"/>
        </w:rPr>
      </w:pPr>
      <w:bookmarkStart w:id="0" w:name="_Hlt67893495"/>
      <w:bookmarkEnd w:id="0"/>
    </w:p>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杭州市余杭区人民法院职工疗休养项目</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3</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10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YHZFCG2023-063</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杭州市余杭区人民法院职工疗休养项目</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885000</w:t>
      </w:r>
      <w:r>
        <w:rPr>
          <w:rFonts w:hint="eastAsia" w:ascii="宋体" w:hAnsi="宋体" w:eastAsia="宋体" w:cs="宋体"/>
          <w:color w:val="000000" w:themeColor="text1"/>
          <w:sz w:val="24"/>
          <w:highlight w:val="none"/>
          <w:lang w:val="en-US" w:eastAsia="zh-CN"/>
          <w14:textFill>
            <w14:solidFill>
              <w14:schemeClr w14:val="tx1"/>
            </w14:solidFill>
          </w14:textFill>
        </w:rPr>
        <w:t>.00</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lang w:val="en-US" w:eastAsia="zh-CN"/>
          <w14:textFill>
            <w14:solidFill>
              <w14:schemeClr w14:val="tx1"/>
            </w14:solidFill>
          </w14:textFill>
        </w:rPr>
        <w:t>885000</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 xml:space="preserve"> </w:t>
      </w:r>
    </w:p>
    <w:p>
      <w:pPr>
        <w:pStyle w:val="5"/>
        <w:spacing w:line="360" w:lineRule="auto"/>
        <w:ind w:firstLine="48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hAnsi="宋体" w:cs="宋体"/>
          <w:color w:val="000000" w:themeColor="text1"/>
          <w:sz w:val="24"/>
          <w:lang w:eastAsia="zh-CN"/>
          <w14:textFill>
            <w14:solidFill>
              <w14:schemeClr w14:val="tx1"/>
            </w14:solidFill>
          </w14:textFill>
        </w:rPr>
        <w:t>杭州市余杭区人民法院职工疗休养项目</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spacing w:before="0"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本项目分为</w:t>
      </w:r>
      <w:r>
        <w:rPr>
          <w:rFonts w:hint="eastAsia" w:ascii="宋体" w:hAnsi="宋体" w:eastAsia="宋体" w:cs="宋体"/>
          <w:b/>
          <w:bCs/>
          <w:sz w:val="24"/>
          <w:szCs w:val="24"/>
          <w:lang w:eastAsia="zh-CN"/>
        </w:rPr>
        <w:t>二</w:t>
      </w:r>
      <w:r>
        <w:rPr>
          <w:rFonts w:hint="eastAsia" w:ascii="宋体" w:hAnsi="宋体" w:eastAsia="宋体" w:cs="宋体"/>
          <w:b/>
          <w:bCs/>
          <w:sz w:val="24"/>
          <w:szCs w:val="24"/>
        </w:rPr>
        <w:t>个标项，供应商可自行选择其中一个或者多个标项响应投标。</w:t>
      </w:r>
    </w:p>
    <w:p>
      <w:pPr>
        <w:spacing w:before="0" w:line="360" w:lineRule="auto"/>
        <w:ind w:left="0" w:leftChars="0"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标项一</w:t>
      </w:r>
    </w:p>
    <w:p>
      <w:pPr>
        <w:spacing w:before="0" w:line="360" w:lineRule="auto"/>
        <w:ind w:left="0" w:leftChars="0"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标项名称:杭州市余杭区人民法院职工疗休养项目(标项一)</w:t>
      </w:r>
    </w:p>
    <w:p>
      <w:pPr>
        <w:spacing w:before="0"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预算金额（元）:</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50</w:t>
      </w:r>
      <w:r>
        <w:rPr>
          <w:rFonts w:hint="eastAsia" w:ascii="宋体" w:hAnsi="宋体" w:eastAsia="宋体" w:cs="宋体"/>
          <w:b/>
          <w:bCs/>
          <w:sz w:val="24"/>
          <w:szCs w:val="24"/>
          <w:lang w:val="en-US" w:eastAsia="zh-CN"/>
        </w:rPr>
        <w:t>000</w:t>
      </w:r>
      <w:r>
        <w:rPr>
          <w:rFonts w:hint="eastAsia" w:ascii="宋体" w:hAnsi="宋体" w:eastAsia="宋体" w:cs="宋体"/>
          <w:b/>
          <w:bCs/>
          <w:sz w:val="24"/>
          <w:szCs w:val="24"/>
        </w:rPr>
        <w:t>元</w:t>
      </w:r>
    </w:p>
    <w:p>
      <w:pPr>
        <w:spacing w:before="0" w:line="360" w:lineRule="auto"/>
        <w:ind w:firstLine="482" w:firstLineChars="200"/>
        <w:outlineLvl w:val="9"/>
        <w:rPr>
          <w:rFonts w:hint="eastAsia" w:ascii="宋体" w:hAnsi="宋体" w:eastAsia="宋体" w:cs="宋体"/>
          <w:bCs/>
          <w:sz w:val="24"/>
          <w:szCs w:val="24"/>
        </w:rPr>
      </w:pPr>
      <w:r>
        <w:rPr>
          <w:rFonts w:hint="eastAsia" w:ascii="宋体" w:hAnsi="宋体" w:eastAsia="宋体" w:cs="宋体"/>
          <w:b/>
          <w:bCs/>
          <w:sz w:val="24"/>
          <w:szCs w:val="24"/>
        </w:rPr>
        <w:t>简要规格描述或项目基本概况介绍、用途：线路等内容</w:t>
      </w:r>
      <w:r>
        <w:rPr>
          <w:rFonts w:hint="eastAsia" w:ascii="宋体" w:hAnsi="宋体" w:eastAsia="宋体" w:cs="宋体"/>
          <w:bCs/>
          <w:sz w:val="24"/>
          <w:szCs w:val="24"/>
        </w:rPr>
        <w:t>具体内容和相关要求详见</w:t>
      </w:r>
      <w:r>
        <w:rPr>
          <w:rFonts w:hint="eastAsia" w:ascii="宋体" w:hAnsi="宋体" w:eastAsia="宋体" w:cs="宋体"/>
          <w:bCs/>
          <w:sz w:val="24"/>
          <w:szCs w:val="24"/>
          <w:lang w:eastAsia="zh-CN"/>
        </w:rPr>
        <w:t>磋商</w:t>
      </w:r>
      <w:r>
        <w:rPr>
          <w:rFonts w:hint="eastAsia" w:ascii="宋体" w:hAnsi="宋体" w:eastAsia="宋体" w:cs="宋体"/>
          <w:bCs/>
          <w:sz w:val="24"/>
          <w:szCs w:val="24"/>
        </w:rPr>
        <w:t>文件“第三部分 采购需求”。</w:t>
      </w:r>
    </w:p>
    <w:p>
      <w:pPr>
        <w:spacing w:before="0" w:line="360" w:lineRule="auto"/>
        <w:ind w:firstLine="480" w:firstLineChars="200"/>
        <w:outlineLvl w:val="9"/>
        <w:rPr>
          <w:rFonts w:hint="eastAsia" w:ascii="宋体" w:hAnsi="宋体" w:eastAsia="宋体" w:cs="宋体"/>
          <w:sz w:val="24"/>
        </w:rPr>
      </w:pPr>
    </w:p>
    <w:p>
      <w:pPr>
        <w:spacing w:before="0" w:line="360" w:lineRule="auto"/>
        <w:ind w:firstLine="482" w:firstLineChars="200"/>
        <w:outlineLvl w:val="9"/>
        <w:rPr>
          <w:rFonts w:hint="eastAsia" w:ascii="宋体" w:hAnsi="宋体" w:eastAsia="宋体" w:cs="宋体"/>
          <w:b/>
          <w:bCs/>
          <w:sz w:val="24"/>
        </w:rPr>
      </w:pPr>
      <w:r>
        <w:rPr>
          <w:rFonts w:hint="eastAsia" w:ascii="宋体" w:hAnsi="宋体" w:eastAsia="宋体" w:cs="宋体"/>
          <w:b/>
          <w:bCs/>
          <w:sz w:val="24"/>
        </w:rPr>
        <w:t>标项二</w:t>
      </w:r>
    </w:p>
    <w:p>
      <w:pPr>
        <w:spacing w:before="0"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标项名称:杭州市余杭区人民法院职工疗休养项目(标项二)</w:t>
      </w:r>
    </w:p>
    <w:p>
      <w:pPr>
        <w:spacing w:before="0"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预算金额（元）:</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35</w:t>
      </w:r>
      <w:r>
        <w:rPr>
          <w:rFonts w:hint="eastAsia" w:ascii="宋体" w:hAnsi="宋体" w:eastAsia="宋体" w:cs="宋体"/>
          <w:b/>
          <w:bCs/>
          <w:sz w:val="24"/>
          <w:szCs w:val="24"/>
        </w:rPr>
        <w:t>000元</w:t>
      </w:r>
    </w:p>
    <w:p>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bCs/>
          <w:sz w:val="24"/>
          <w:szCs w:val="24"/>
        </w:rPr>
        <w:t>简要规格描述或项目基本概况介绍、用途：线路等内容</w:t>
      </w:r>
      <w:r>
        <w:rPr>
          <w:rFonts w:hint="eastAsia" w:ascii="宋体" w:hAnsi="宋体" w:eastAsia="宋体" w:cs="宋体"/>
          <w:bCs/>
          <w:sz w:val="24"/>
          <w:szCs w:val="24"/>
        </w:rPr>
        <w:t>具体内容和相关要求详</w:t>
      </w:r>
      <w:r>
        <w:rPr>
          <w:rFonts w:hint="eastAsia" w:ascii="宋体" w:hAnsi="宋体" w:eastAsia="宋体" w:cs="宋体"/>
          <w:bCs/>
          <w:sz w:val="24"/>
          <w:szCs w:val="24"/>
          <w:highlight w:val="none"/>
        </w:rPr>
        <w:t>见</w:t>
      </w:r>
      <w:r>
        <w:rPr>
          <w:rFonts w:hint="eastAsia" w:ascii="宋体" w:hAnsi="宋体" w:eastAsia="宋体" w:cs="宋体"/>
          <w:bCs/>
          <w:sz w:val="24"/>
          <w:szCs w:val="24"/>
          <w:highlight w:val="none"/>
          <w:lang w:eastAsia="zh-CN"/>
        </w:rPr>
        <w:t>磋商</w:t>
      </w:r>
      <w:r>
        <w:rPr>
          <w:rFonts w:hint="eastAsia" w:ascii="宋体" w:hAnsi="宋体" w:eastAsia="宋体" w:cs="宋体"/>
          <w:bCs/>
          <w:sz w:val="24"/>
          <w:szCs w:val="24"/>
          <w:highlight w:val="none"/>
        </w:rPr>
        <w:t>文件“第三部分 采购需求”。</w:t>
      </w:r>
    </w:p>
    <w:p>
      <w:pP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合同履约期限：</w:t>
      </w:r>
      <w:r>
        <w:rPr>
          <w:rFonts w:hint="eastAsia" w:ascii="宋体" w:hAnsi="宋体" w:cs="宋体"/>
          <w:color w:val="000000" w:themeColor="text1"/>
          <w:sz w:val="24"/>
          <w:szCs w:val="32"/>
          <w:highlight w:val="none"/>
          <w14:textFill>
            <w14:solidFill>
              <w14:schemeClr w14:val="tx1"/>
            </w14:solidFill>
          </w14:textFill>
        </w:rPr>
        <w:t>自合同签订生效之日起至2023年12月31日止</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p>
    <w:p>
      <w:pPr>
        <w:pStyle w:val="5"/>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eastAsia="zh-CN"/>
          <w14:textFill>
            <w14:solidFill>
              <w14:schemeClr w14:val="tx1"/>
            </w14:solidFill>
          </w14:textFill>
        </w:rPr>
        <w:t>：</w:t>
      </w:r>
      <w:sdt>
        <w:sdtPr>
          <w:rPr>
            <w:rFonts w:hint="eastAsia" w:ascii="宋体" w:hAnsi="宋体" w:eastAsia="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.本项目的特定资格要求：</w:t>
      </w:r>
      <w:r>
        <w:rPr>
          <w:rFonts w:hint="eastAsia" w:ascii="宋体" w:hAnsi="宋体" w:eastAsia="宋体" w:cs="宋体"/>
          <w:b/>
          <w:bCs/>
          <w:sz w:val="24"/>
          <w:highlight w:val="none"/>
        </w:rPr>
        <w:t>依法持有《旅行社业务经营许可证》</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w:t>
      </w:r>
      <w:r>
        <w:rPr>
          <w:rFonts w:hint="eastAsia" w:ascii="宋体" w:hAnsi="宋体" w:cs="宋体"/>
          <w:b/>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sz w:val="24"/>
          <w:highlight w:val="none"/>
        </w:rPr>
        <w:t>截止时间：</w:t>
      </w:r>
      <w:r>
        <w:rPr>
          <w:rFonts w:hint="eastAsia" w:ascii="宋体" w:hAnsi="宋体" w:cs="宋体"/>
          <w:color w:val="FF0000"/>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val="en-US" w:eastAsia="zh-CN"/>
        </w:rPr>
        <w:t>；</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cs="宋体"/>
          <w:b/>
          <w:color w:val="auto"/>
          <w:sz w:val="24"/>
          <w:highlight w:val="none"/>
          <w:lang w:eastAsia="zh-CN"/>
        </w:rPr>
        <w:t>登录</w:t>
      </w:r>
      <w:r>
        <w:rPr>
          <w:rFonts w:hint="eastAsia" w:ascii="宋体" w:hAnsi="宋体" w:cs="宋体"/>
          <w:b/>
          <w:color w:val="auto"/>
          <w:sz w:val="24"/>
          <w:highlight w:val="none"/>
        </w:rPr>
        <w:t>政采云平台（https://www.zcygov.cn/）</w:t>
      </w:r>
      <w:r>
        <w:rPr>
          <w:rFonts w:hint="eastAsia" w:ascii="宋体" w:hAnsi="宋体" w:cs="宋体"/>
          <w:b/>
          <w:color w:val="auto"/>
          <w:sz w:val="24"/>
          <w:highlight w:val="none"/>
          <w:lang w:eastAsia="zh-CN"/>
        </w:rPr>
        <w:t>进行</w:t>
      </w:r>
      <w:r>
        <w:rPr>
          <w:rFonts w:hint="eastAsia" w:ascii="宋体" w:hAnsi="宋体" w:cs="宋体"/>
          <w:b/>
          <w:color w:val="auto"/>
          <w:sz w:val="24"/>
          <w:highlight w:val="none"/>
        </w:rPr>
        <w:t>线上投标响应</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w:t>
      </w:r>
      <w:r>
        <w:rPr>
          <w:rFonts w:hint="eastAsia" w:ascii="宋体" w:hAnsi="宋体" w:cs="宋体"/>
          <w:color w:val="auto"/>
          <w:sz w:val="24"/>
        </w:rPr>
        <w:t>京时间）</w:t>
      </w:r>
      <w:r>
        <w:rPr>
          <w:rFonts w:hint="eastAsia" w:ascii="宋体" w:hAnsi="宋体" w:cs="宋体"/>
          <w:bCs/>
          <w:color w:val="auto"/>
          <w:sz w:val="24"/>
          <w:u w:val="none"/>
          <w:lang w:val="en-US" w:eastAsia="zh-CN"/>
        </w:rPr>
        <w:t>；</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rPr>
        <w:t>开标地点</w:t>
      </w:r>
      <w:r>
        <w:rPr>
          <w:rFonts w:hint="eastAsia" w:ascii="宋体" w:hAnsi="宋体" w:eastAsia="宋体" w:cs="宋体"/>
          <w:b/>
          <w:bCs/>
          <w:sz w:val="24"/>
          <w:lang w:val="en-US"/>
        </w:rPr>
        <w:t>（</w:t>
      </w:r>
      <w:r>
        <w:rPr>
          <w:rFonts w:hint="eastAsia" w:ascii="宋体" w:hAnsi="宋体" w:eastAsia="宋体" w:cs="宋体"/>
          <w:b/>
          <w:bCs/>
          <w:sz w:val="24"/>
        </w:rPr>
        <w:t>网址</w:t>
      </w:r>
      <w:r>
        <w:rPr>
          <w:rFonts w:hint="eastAsia" w:ascii="宋体" w:hAnsi="宋体" w:eastAsia="宋体" w:cs="宋体"/>
          <w:b/>
          <w:bCs/>
          <w:sz w:val="24"/>
          <w:lang w:val="en-US"/>
        </w:rPr>
        <w:t>）：</w:t>
      </w:r>
      <w:r>
        <w:rPr>
          <w:rFonts w:hint="eastAsia" w:ascii="宋体" w:hAnsi="宋体" w:cs="宋体"/>
          <w:sz w:val="24"/>
        </w:rPr>
        <w:t>政采云平台（https://www.zcygov.cn/）在线响应开标</w:t>
      </w:r>
      <w:r>
        <w:rPr>
          <w:rFonts w:hint="eastAsia" w:ascii="宋体" w:hAnsi="宋体" w:eastAsia="宋体" w:cs="宋体"/>
          <w:sz w:val="24"/>
          <w:lang w:val="en-US"/>
        </w:rPr>
        <w:t>；</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组织机构线下开标地点：</w:t>
      </w:r>
      <w:r>
        <w:rPr>
          <w:rFonts w:hint="eastAsia" w:ascii="宋体" w:hAnsi="宋体" w:eastAsia="宋体" w:cs="宋体"/>
          <w:sz w:val="24"/>
        </w:rPr>
        <w:t>杭州市余杭区联创街77号汇银中心3幢2单元</w:t>
      </w:r>
      <w:r>
        <w:rPr>
          <w:rFonts w:hint="eastAsia" w:ascii="宋体" w:hAnsi="宋体" w:cs="宋体"/>
          <w:sz w:val="24"/>
          <w:lang w:val="en-US" w:eastAsia="zh-CN"/>
        </w:rPr>
        <w:t>2</w:t>
      </w:r>
      <w:r>
        <w:rPr>
          <w:rFonts w:hint="eastAsia" w:ascii="宋体" w:hAnsi="宋体" w:eastAsia="宋体" w:cs="宋体"/>
          <w:sz w:val="24"/>
        </w:rPr>
        <w:t>层会议室</w:t>
      </w:r>
      <w:r>
        <w:rPr>
          <w:rFonts w:hint="eastAsia" w:ascii="宋体" w:hAnsi="宋体" w:cs="宋体"/>
          <w:sz w:val="24"/>
          <w:lang w:eastAsia="zh-CN"/>
        </w:rPr>
        <w:t>，</w:t>
      </w:r>
      <w:r>
        <w:rPr>
          <w:rFonts w:hint="eastAsia" w:ascii="宋体" w:hAnsi="宋体" w:cs="宋体"/>
          <w:sz w:val="24"/>
        </w:rPr>
        <w:t>政采云平台（https://www.zcygov.cn/）</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杭州市余杭区人民法院</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FF"/>
          <w:sz w:val="24"/>
          <w:highlight w:val="none"/>
        </w:rPr>
      </w:pPr>
      <w:r>
        <w:rPr>
          <w:rFonts w:hint="eastAsia" w:ascii="宋体" w:hAnsi="宋体" w:cs="宋体"/>
          <w:color w:val="000000" w:themeColor="text1"/>
          <w:sz w:val="24"/>
          <w:highlight w:val="none"/>
          <w14:textFill>
            <w14:solidFill>
              <w14:schemeClr w14:val="tx1"/>
            </w14:solidFill>
          </w14:textFill>
        </w:rPr>
        <w:t xml:space="preserve">    地    址：杭州市余杭区五常街道西坝路49-1号友谊综合楼1号楼</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FF"/>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韩骏  </w:t>
      </w:r>
      <w:r>
        <w:rPr>
          <w:rFonts w:hint="eastAsia" w:ascii="宋体" w:hAnsi="宋体" w:cs="宋体"/>
          <w:color w:val="auto"/>
          <w:sz w:val="24"/>
          <w:highlight w:val="none"/>
        </w:rPr>
        <w:t xml:space="preserve">   项目联系方式（询问）：0571-89515479</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质疑联系人：史玲玲</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质疑联系方式：0571-89392610</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2.采购代理机构信息    </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ind w:firstLine="480"/>
        <w:rPr>
          <w:rFonts w:hint="eastAsia" w:ascii="宋体" w:hAnsi="宋体" w:cs="宋体"/>
          <w:sz w:val="24"/>
        </w:rPr>
      </w:pPr>
      <w:r>
        <w:rPr>
          <w:rFonts w:hint="eastAsia" w:ascii="宋体" w:hAnsi="宋体" w:cs="宋体"/>
          <w:sz w:val="24"/>
        </w:rPr>
        <w:t>临平地址：杭州市临平区南苑街道华元欢乐城-华元大厦20层2022办公室。</w:t>
      </w:r>
    </w:p>
    <w:p>
      <w:pPr>
        <w:spacing w:line="360" w:lineRule="auto"/>
        <w:ind w:firstLine="480"/>
        <w:rPr>
          <w:rFonts w:ascii="宋体" w:hAnsi="宋体" w:cs="宋体"/>
          <w:sz w:val="24"/>
        </w:rPr>
      </w:pPr>
      <w:r>
        <w:rPr>
          <w:rFonts w:hint="eastAsia" w:ascii="宋体" w:hAnsi="宋体" w:cs="宋体"/>
          <w:sz w:val="24"/>
        </w:rPr>
        <w:t>余杭地址：杭州市余杭区联创街77号汇银中心3幢2单元。</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李一帆</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项目联系方式（询问）：</w:t>
      </w:r>
      <w:r>
        <w:rPr>
          <w:rFonts w:hint="eastAsia" w:ascii="宋体" w:hAnsi="宋体" w:cs="宋体"/>
          <w:sz w:val="24"/>
          <w:lang w:val="en-US" w:eastAsia="zh-CN"/>
        </w:rPr>
        <w:t>18758201932</w:t>
      </w:r>
    </w:p>
    <w:p>
      <w:pPr>
        <w:spacing w:line="360" w:lineRule="auto"/>
        <w:ind w:firstLine="480" w:firstLineChars="200"/>
        <w:rPr>
          <w:rFonts w:hint="eastAsia" w:ascii="宋体" w:hAnsi="宋体" w:eastAsia="宋体" w:cs="宋体"/>
          <w:sz w:val="24"/>
        </w:rPr>
      </w:pPr>
      <w:r>
        <w:rPr>
          <w:rFonts w:hint="eastAsia" w:ascii="宋体" w:hAnsi="宋体" w:cs="宋体"/>
          <w:sz w:val="24"/>
        </w:rPr>
        <w:t>质疑联系人</w:t>
      </w:r>
      <w:r>
        <w:rPr>
          <w:rFonts w:hint="eastAsia" w:ascii="宋体" w:hAnsi="宋体" w:eastAsia="宋体" w:cs="宋体"/>
          <w:sz w:val="24"/>
        </w:rPr>
        <w:t>：单成燕</w:t>
      </w:r>
      <w:r>
        <w:rPr>
          <w:rFonts w:hint="eastAsia" w:ascii="宋体" w:hAnsi="宋体" w:cs="宋体"/>
          <w:sz w:val="24"/>
          <w:lang w:val="en-US" w:eastAsia="zh-CN"/>
        </w:rPr>
        <w:t xml:space="preserve">           </w:t>
      </w:r>
      <w:r>
        <w:rPr>
          <w:rFonts w:hint="eastAsia" w:ascii="宋体" w:hAnsi="宋体" w:cs="宋体"/>
          <w:sz w:val="24"/>
        </w:rPr>
        <w:t>质疑联系方式</w:t>
      </w:r>
      <w:r>
        <w:rPr>
          <w:rFonts w:hint="eastAsia" w:ascii="宋体" w:hAnsi="宋体" w:eastAsia="宋体" w:cs="宋体"/>
          <w:sz w:val="24"/>
        </w:rPr>
        <w:t xml:space="preserve">：0571-86320727 </w:t>
      </w:r>
    </w:p>
    <w:p>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b/>
          <w:bCs/>
          <w:sz w:val="24"/>
        </w:rPr>
        <w:t xml:space="preserve"> 3.同</w:t>
      </w:r>
      <w:r>
        <w:rPr>
          <w:rFonts w:hint="eastAsia" w:ascii="宋体" w:hAnsi="宋体" w:cs="宋体"/>
          <w:b/>
          <w:bCs/>
          <w:sz w:val="24"/>
          <w:highlight w:val="none"/>
        </w:rPr>
        <w:t>级政府采购监督管理部门</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名    称：杭州市余杭区财政局</w:t>
      </w:r>
    </w:p>
    <w:p>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杭州市余杭区文一西路1500号8号楼</w:t>
      </w:r>
      <w:r>
        <w:rPr>
          <w:rFonts w:hint="eastAsia" w:ascii="宋体" w:hAnsi="宋体" w:cs="宋体"/>
          <w:sz w:val="24"/>
          <w:highlight w:val="none"/>
        </w:rPr>
        <w:t xml:space="preserve">。 </w:t>
      </w:r>
    </w:p>
    <w:p>
      <w:pPr>
        <w:spacing w:line="360" w:lineRule="auto"/>
        <w:ind w:firstLine="480" w:firstLineChars="200"/>
        <w:rPr>
          <w:rFonts w:hint="eastAsia" w:ascii="宋体" w:hAnsi="宋体" w:eastAsia="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：杜国强</w:t>
      </w:r>
      <w:r>
        <w:rPr>
          <w:rFonts w:hint="eastAsia" w:ascii="宋体" w:hAnsi="宋体" w:cs="宋体"/>
          <w:sz w:val="24"/>
          <w:lang w:val="en-US" w:eastAsia="zh-CN"/>
        </w:rPr>
        <w:t xml:space="preserve">      </w:t>
      </w:r>
      <w:r>
        <w:rPr>
          <w:rFonts w:hint="eastAsia" w:ascii="宋体" w:hAnsi="宋体" w:eastAsia="宋体" w:cs="宋体"/>
          <w:sz w:val="24"/>
        </w:rPr>
        <w:t>联系电话：0571-88728858</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监督投诉电话：0571-88728858</w:t>
      </w:r>
    </w:p>
    <w:p>
      <w:pPr>
        <w:spacing w:line="360" w:lineRule="auto"/>
        <w:ind w:firstLine="480"/>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adjustRightInd/>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240" w:lineRule="auto"/>
        <w:ind w:firstLine="0" w:firstLineChars="0"/>
        <w:jc w:val="center"/>
        <w:outlineLvl w:val="9"/>
        <w:rPr>
          <w:sz w:val="32"/>
          <w:szCs w:val="40"/>
        </w:rPr>
      </w:pPr>
      <w:r>
        <w:rPr>
          <w:rFonts w:hint="eastAsia"/>
          <w:sz w:val="32"/>
          <w:szCs w:val="4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标的：</w:t>
            </w:r>
            <w:r>
              <w:rPr>
                <w:rFonts w:hint="eastAsia" w:asciiTheme="majorEastAsia" w:hAnsiTheme="majorEastAsia" w:eastAsiaTheme="majorEastAsia" w:cstheme="majorEastAsia"/>
                <w:color w:val="000000" w:themeColor="text1"/>
                <w:kern w:val="0"/>
                <w:sz w:val="24"/>
                <w:u w:val="single"/>
                <w:lang w:eastAsia="zh-CN"/>
                <w14:textFill>
                  <w14:solidFill>
                    <w14:schemeClr w14:val="tx1"/>
                  </w14:solidFill>
                </w14:textFill>
              </w:rPr>
              <w:t>杭州市余杭区人民法院职工疗休养项目；</w:t>
            </w:r>
          </w:p>
          <w:p>
            <w:pPr>
              <w:numPr>
                <w:ilvl w:val="0"/>
                <w:numId w:val="0"/>
              </w:numPr>
              <w:snapToGrid w:val="0"/>
              <w:spacing w:line="264"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14:textFill>
                  <w14:solidFill>
                    <w14:schemeClr w14:val="tx1"/>
                  </w14:solidFill>
                </w14:textFill>
              </w:rPr>
              <w:t>属于</w:t>
            </w:r>
            <w:r>
              <w:rPr>
                <w:rFonts w:hint="eastAsia" w:asciiTheme="majorEastAsia" w:hAnsiTheme="majorEastAsia" w:eastAsiaTheme="majorEastAsia" w:cstheme="majorEastAsia"/>
                <w:color w:val="000000" w:themeColor="text1"/>
                <w:kern w:val="0"/>
                <w:sz w:val="24"/>
                <w:u w:val="single"/>
                <w:lang w:val="en-US" w:eastAsia="zh-CN"/>
                <w14:textFill>
                  <w14:solidFill>
                    <w14:schemeClr w14:val="tx1"/>
                  </w14:solidFill>
                </w14:textFill>
              </w:rPr>
              <w:t xml:space="preserve"> 租赁和商务服务业</w:t>
            </w:r>
            <w:r>
              <w:rPr>
                <w:rFonts w:hint="eastAsia" w:asciiTheme="majorEastAsia" w:hAnsiTheme="majorEastAsia" w:eastAsiaTheme="majorEastAsia" w:cstheme="majorEastAsia"/>
                <w:color w:val="000000" w:themeColor="text1"/>
                <w:kern w:val="0"/>
                <w:sz w:val="24"/>
                <w14:textFill>
                  <w14:solidFill>
                    <w14:schemeClr w14:val="tx1"/>
                  </w14:solidFill>
                </w14:textFill>
              </w:rPr>
              <w:t>；</w:t>
            </w:r>
          </w:p>
          <w:p>
            <w:pPr>
              <w:pStyle w:val="956"/>
              <w:keepNext w:val="0"/>
              <w:keepLines w:val="0"/>
              <w:pageBreakBefore w:val="0"/>
              <w:widowControl w:val="0"/>
              <w:tabs>
                <w:tab w:val="left" w:pos="1070"/>
              </w:tabs>
              <w:kinsoku/>
              <w:wordWrap/>
              <w:overflowPunct/>
              <w:topLinePunct w:val="0"/>
              <w:autoSpaceDE/>
              <w:autoSpaceDN/>
              <w:bidi w:val="0"/>
              <w:snapToGrid/>
              <w:spacing w:line="264" w:lineRule="auto"/>
              <w:ind w:right="52"/>
              <w:jc w:val="left"/>
              <w:textAlignment w:val="auto"/>
              <w:rPr>
                <w:rFonts w:hint="eastAsia" w:asciiTheme="majorEastAsia" w:hAnsiTheme="majorEastAsia" w:eastAsiaTheme="majorEastAsia" w:cstheme="majorEastAsia"/>
                <w:b/>
                <w:bCs/>
                <w:color w:val="000000" w:themeColor="text1"/>
                <w:sz w:val="24"/>
                <w:highlight w:val="none"/>
                <w:shd w:val="clear" w:color="auto" w:fill="FFFFFF"/>
                <w:lang w:val="zh-CN" w:bidi="zh-CN"/>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lang w:val="en-US" w:bidi="ar-SA"/>
                <w14:textFill>
                  <w14:solidFill>
                    <w14:schemeClr w14:val="tx1"/>
                  </w14:solidFill>
                </w14:textFill>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Theme="majorEastAsia" w:hAnsiTheme="majorEastAsia" w:eastAsiaTheme="majorEastAsia" w:cstheme="majorEastAsia"/>
                <w:b/>
                <w:bCs/>
                <w:color w:val="000000" w:themeColor="text1"/>
                <w:sz w:val="24"/>
                <w:highlight w:val="none"/>
                <w:shd w:val="clear" w:color="auto" w:fill="FFFFFF"/>
                <w:lang w:val="zh-CN" w:bidi="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0" w:firstLineChars="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kern w:val="2"/>
                <w:sz w:val="21"/>
                <w:szCs w:val="22"/>
                <w:lang w:val="zh-CN" w:eastAsia="zh-CN" w:bidi="zh-CN"/>
              </w:rPr>
              <w:drawing>
                <wp:anchor distT="0" distB="0" distL="114300" distR="114300" simplePos="0" relativeHeight="251662336" behindDoc="0" locked="0" layoutInCell="1" allowOverlap="1">
                  <wp:simplePos x="0" y="0"/>
                  <wp:positionH relativeFrom="column">
                    <wp:posOffset>29845</wp:posOffset>
                  </wp:positionH>
                  <wp:positionV relativeFrom="paragraph">
                    <wp:posOffset>-59055</wp:posOffset>
                  </wp:positionV>
                  <wp:extent cx="3760470" cy="441325"/>
                  <wp:effectExtent l="0" t="0" r="11430" b="158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stretch>
                            <a:fillRect/>
                          </a:stretch>
                        </pic:blipFill>
                        <pic:spPr>
                          <a:xfrm>
                            <a:off x="0" y="0"/>
                            <a:ext cx="3760470" cy="4413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8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highlight w:val="none"/>
                <w:shd w:val="clear" w:color="auto" w:fill="FFFFFF"/>
                <w:lang w:val="zh-CN" w:bidi="zh-CN"/>
                <w14:textFill>
                  <w14:solidFill>
                    <w14:schemeClr w14:val="tx1"/>
                  </w14:solidFill>
                </w14:textFill>
              </w:rPr>
              <w:t xml:space="preserve">说明：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1.大型、中型和小型企业须同时满足所列指标的下限，否则下划一档；微型企业只须满足所列指标中的一项即可。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2.附表中各行业的范围以《国民经济行业分类》（GB/T4754-2017）为准。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3.企业划分指标以现行统计制度为准。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1）从业人员，是指期末从业人员数，没有期末从业人员数的，采用全年平均人员数代替。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6"/>
              <w:keepNext w:val="0"/>
              <w:keepLines w:val="0"/>
              <w:pageBreakBefore w:val="0"/>
              <w:widowControl w:val="0"/>
              <w:tabs>
                <w:tab w:val="left" w:pos="1070"/>
              </w:tabs>
              <w:kinsoku/>
              <w:wordWrap/>
              <w:overflowPunct/>
              <w:topLinePunct w:val="0"/>
              <w:autoSpaceDE/>
              <w:autoSpaceDN/>
              <w:bidi w:val="0"/>
              <w:snapToGrid/>
              <w:spacing w:line="264" w:lineRule="auto"/>
              <w:ind w:right="52" w:firstLine="422" w:firstLineChars="200"/>
              <w:jc w:val="left"/>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3）资产总额，采用资产总计代替。</w:t>
            </w:r>
          </w:p>
          <w:p>
            <w:pPr>
              <w:pStyle w:val="956"/>
              <w:keepNext w:val="0"/>
              <w:keepLines w:val="0"/>
              <w:pageBreakBefore w:val="0"/>
              <w:widowControl w:val="0"/>
              <w:tabs>
                <w:tab w:val="left" w:pos="1070"/>
              </w:tabs>
              <w:kinsoku/>
              <w:wordWrap/>
              <w:overflowPunct/>
              <w:topLinePunct w:val="0"/>
              <w:autoSpaceDE/>
              <w:autoSpaceDN/>
              <w:bidi w:val="0"/>
              <w:snapToGrid/>
              <w:spacing w:line="264" w:lineRule="auto"/>
              <w:ind w:right="52" w:firstLine="240" w:firstLineChars="100"/>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lang w:eastAsia="zh-CN"/>
              </w:rPr>
              <w:t>根据《政府采购促进中小企业发展管理办法》（财库﹝2020﹞46 号）要求，</w:t>
            </w:r>
            <w:r>
              <w:rPr>
                <w:rFonts w:hint="eastAsia" w:ascii="宋体" w:hAnsi="宋体" w:eastAsia="宋体" w:cs="宋体"/>
                <w:color w:val="000000"/>
                <w:sz w:val="24"/>
                <w:szCs w:val="24"/>
                <w:lang w:eastAsia="zh-CN"/>
              </w:rPr>
              <w:t>本次采购为</w:t>
            </w:r>
            <w:r>
              <w:rPr>
                <w:rFonts w:hint="eastAsia" w:ascii="宋体" w:hAnsi="宋体" w:eastAsia="宋体" w:cs="宋体"/>
                <w:b/>
                <w:bCs/>
                <w:color w:val="000000"/>
                <w:sz w:val="24"/>
                <w:szCs w:val="24"/>
                <w:u w:val="single"/>
                <w:lang w:eastAsia="zh-CN"/>
              </w:rPr>
              <w:t>专门面向</w:t>
            </w:r>
            <w:r>
              <w:rPr>
                <w:rFonts w:hint="eastAsia" w:ascii="宋体" w:hAnsi="宋体" w:eastAsia="宋体" w:cs="宋体"/>
                <w:b/>
                <w:bCs/>
                <w:color w:val="000000"/>
                <w:sz w:val="24"/>
                <w:szCs w:val="24"/>
                <w:u w:val="single"/>
                <w:lang w:val="en-US" w:eastAsia="zh-CN"/>
              </w:rPr>
              <w:t>中</w:t>
            </w:r>
            <w:r>
              <w:rPr>
                <w:rFonts w:hint="eastAsia" w:ascii="宋体" w:hAnsi="宋体" w:eastAsia="宋体" w:cs="宋体"/>
                <w:b/>
                <w:bCs/>
                <w:color w:val="000000"/>
                <w:sz w:val="24"/>
                <w:szCs w:val="24"/>
                <w:u w:val="single"/>
                <w:lang w:eastAsia="zh-CN"/>
              </w:rPr>
              <w:t>小企业预留采购份额的采购项目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对小型和微型企业的投标报价不予扣除评审。</w:t>
            </w:r>
          </w:p>
          <w:p>
            <w:pPr>
              <w:pStyle w:val="956"/>
              <w:keepNext w:val="0"/>
              <w:keepLines w:val="0"/>
              <w:pageBreakBefore w:val="0"/>
              <w:widowControl w:val="0"/>
              <w:tabs>
                <w:tab w:val="left" w:pos="1070"/>
              </w:tabs>
              <w:kinsoku/>
              <w:wordWrap/>
              <w:overflowPunct/>
              <w:topLinePunct w:val="0"/>
              <w:autoSpaceDE/>
              <w:autoSpaceDN/>
              <w:bidi w:val="0"/>
              <w:snapToGrid/>
              <w:spacing w:line="264" w:lineRule="auto"/>
              <w:ind w:right="52" w:firstLine="236" w:firstLineChars="1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2"/>
                <w:sz w:val="24"/>
                <w:szCs w:val="24"/>
                <w:lang w:eastAsia="zh-CN"/>
              </w:rPr>
              <w:t>(</w:t>
            </w:r>
            <w:r>
              <w:rPr>
                <w:rFonts w:hint="eastAsia" w:asciiTheme="majorEastAsia" w:hAnsiTheme="majorEastAsia" w:eastAsiaTheme="majorEastAsia" w:cstheme="majorEastAsia"/>
                <w:spacing w:val="-2"/>
                <w:sz w:val="24"/>
                <w:szCs w:val="24"/>
                <w:lang w:val="en-US" w:eastAsia="zh-CN"/>
              </w:rPr>
              <w:t>4</w:t>
            </w:r>
            <w:r>
              <w:rPr>
                <w:rFonts w:hint="eastAsia" w:asciiTheme="majorEastAsia" w:hAnsiTheme="majorEastAsia" w:eastAsiaTheme="majorEastAsia" w:cstheme="majorEastAsia"/>
                <w:spacing w:val="-2"/>
                <w:sz w:val="24"/>
                <w:szCs w:val="24"/>
                <w:lang w:eastAsia="zh-CN"/>
              </w:rPr>
              <w:t>)符合小微企业划分标准的个体工商户，视同小微企业</w:t>
            </w:r>
            <w:r>
              <w:rPr>
                <w:rFonts w:hint="eastAsia" w:asciiTheme="majorEastAsia" w:hAnsiTheme="majorEastAsia" w:eastAsiaTheme="majorEastAsia" w:cstheme="majorEastAsia"/>
                <w:spacing w:val="-13"/>
                <w:sz w:val="24"/>
                <w:szCs w:val="24"/>
                <w:lang w:eastAsia="zh-CN"/>
              </w:rPr>
              <w:t>。</w:t>
            </w:r>
          </w:p>
          <w:p>
            <w:pPr>
              <w:pStyle w:val="956"/>
              <w:keepNext w:val="0"/>
              <w:keepLines w:val="0"/>
              <w:pageBreakBefore w:val="0"/>
              <w:widowControl w:val="0"/>
              <w:tabs>
                <w:tab w:val="left" w:pos="1070"/>
              </w:tabs>
              <w:kinsoku/>
              <w:wordWrap/>
              <w:overflowPunct/>
              <w:topLinePunct w:val="0"/>
              <w:autoSpaceDE/>
              <w:autoSpaceDN/>
              <w:bidi w:val="0"/>
              <w:snapToGrid/>
              <w:spacing w:line="264" w:lineRule="auto"/>
              <w:ind w:right="52" w:firstLine="238" w:firstLineChars="100"/>
              <w:jc w:val="left"/>
              <w:textAlignment w:val="auto"/>
              <w:rPr>
                <w:rFonts w:hint="eastAsia" w:ascii="仿宋" w:hAnsi="仿宋" w:eastAsia="仿宋" w:cs="仿宋"/>
                <w:color w:val="000000"/>
                <w:sz w:val="24"/>
                <w:szCs w:val="24"/>
                <w:lang w:val="en-US" w:eastAsia="zh-CN"/>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5</w:t>
            </w:r>
            <w:r>
              <w:rPr>
                <w:rFonts w:hint="eastAsia" w:asciiTheme="majorEastAsia" w:hAnsiTheme="majorEastAsia" w:eastAsiaTheme="majorEastAsia" w:cstheme="majorEastAsia"/>
                <w:spacing w:val="-1"/>
                <w:sz w:val="24"/>
                <w:szCs w:val="24"/>
              </w:rPr>
              <w:t xml:space="preserve">)监狱企业和残疾人福利性单位视同小型、微型企业， </w:t>
            </w:r>
            <w:r>
              <w:rPr>
                <w:rFonts w:hint="eastAsia" w:asciiTheme="majorEastAsia" w:hAnsiTheme="majorEastAsia" w:eastAsiaTheme="majorEastAsia" w:cstheme="majorEastAsia"/>
                <w:sz w:val="24"/>
                <w:szCs w:val="24"/>
              </w:rPr>
              <w:t>按《财政部 司法部关于政府采购支持监狱企业发展有关问题的通知》(财库〔2014〕68 号)、《财政部 民政部  中国残</w:t>
            </w:r>
            <w:r>
              <w:rPr>
                <w:rFonts w:hint="eastAsia" w:asciiTheme="majorEastAsia" w:hAnsiTheme="majorEastAsia" w:eastAsiaTheme="majorEastAsia" w:cstheme="majorEastAsia"/>
                <w:spacing w:val="-2"/>
                <w:sz w:val="24"/>
                <w:szCs w:val="24"/>
              </w:rPr>
              <w:t>疾人联合会关于促进残疾人就业政府采购政策的通知》</w:t>
            </w:r>
            <w:r>
              <w:rPr>
                <w:rFonts w:hint="eastAsia" w:asciiTheme="majorEastAsia" w:hAnsiTheme="majorEastAsia" w:eastAsiaTheme="majorEastAsia" w:cstheme="majorEastAsia"/>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48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pPr>
              <w:spacing w:line="48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480" w:lineRule="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napToGrid w:val="0"/>
              <w:spacing w:line="48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（1）资格证明文件：见招标文件第二部分11.1。</w:t>
            </w:r>
          </w:p>
          <w:p>
            <w:pPr>
              <w:spacing w:line="48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482" w:firstLineChars="200"/>
              <w:jc w:val="left"/>
              <w:rPr>
                <w:rFonts w:hint="eastAsia" w:ascii="宋体" w:hAnsi="宋体" w:cs="宋体"/>
                <w:b/>
                <w:kern w:val="0"/>
                <w:sz w:val="24"/>
                <w:lang w:val="zh-CN"/>
              </w:rPr>
            </w:pPr>
            <w:r>
              <w:rPr>
                <w:rFonts w:hint="eastAsia" w:ascii="宋体" w:hAnsi="宋体" w:cs="宋体"/>
                <w:b/>
                <w:kern w:val="0"/>
                <w:sz w:val="24"/>
                <w:lang w:val="zh-CN"/>
              </w:rPr>
              <w:t>投标报价超过招标文件中规定的预算金额或者最高单价限价的，其投标无效；</w:t>
            </w:r>
          </w:p>
          <w:p>
            <w:pPr>
              <w:snapToGrid w:val="0"/>
              <w:spacing w:line="360" w:lineRule="auto"/>
              <w:ind w:firstLine="482" w:firstLineChars="200"/>
              <w:rPr>
                <w:rFonts w:hint="eastAsia" w:ascii="宋体" w:hAnsi="宋体" w:eastAsia="宋体" w:cs="宋体"/>
                <w:b/>
                <w:kern w:val="0"/>
                <w:sz w:val="24"/>
                <w:lang w:val="zh-CN" w:eastAsia="zh-CN"/>
              </w:rPr>
            </w:pPr>
            <w:r>
              <w:rPr>
                <w:rFonts w:hint="eastAsia" w:ascii="宋体" w:hAnsi="宋体" w:cs="宋体"/>
                <w:b/>
                <w:kern w:val="0"/>
                <w:sz w:val="24"/>
                <w:lang w:val="zh-CN" w:eastAsia="zh-CN"/>
              </w:rPr>
              <w:t>注：</w:t>
            </w:r>
            <w:r>
              <w:rPr>
                <w:rFonts w:hint="eastAsia" w:ascii="宋体" w:hAnsi="宋体" w:cs="宋体"/>
                <w:b/>
                <w:kern w:val="0"/>
                <w:sz w:val="24"/>
                <w:lang w:val="zh-CN"/>
              </w:rPr>
              <w:t>各标项线路工会最高限额3000元/人，其他详见采购需求。</w:t>
            </w:r>
          </w:p>
          <w:p>
            <w:pPr>
              <w:snapToGrid w:val="0"/>
              <w:spacing w:line="360" w:lineRule="auto"/>
              <w:ind w:firstLine="482" w:firstLineChars="200"/>
              <w:jc w:val="left"/>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pPr>
              <w:snapToGrid w:val="0"/>
              <w:spacing w:line="360" w:lineRule="auto"/>
              <w:ind w:firstLine="482" w:firstLineChars="200"/>
              <w:rPr>
                <w:rFonts w:hint="eastAsia" w:ascii="宋体" w:hAnsi="宋体" w:cs="宋体"/>
                <w:kern w:val="0"/>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密封包装后（建议顺丰邮寄形式）投标截止时间前递交、一份（邮寄地址：杭州市临平区南苑街道</w:t>
            </w:r>
            <w:r>
              <w:rPr>
                <w:rFonts w:hint="eastAsia" w:hAnsi="宋体" w:cs="宋体"/>
                <w:kern w:val="28"/>
                <w:sz w:val="24"/>
                <w:szCs w:val="24"/>
                <w:u w:val="single"/>
                <w:lang w:val="en-US" w:eastAsia="zh-CN"/>
              </w:rPr>
              <w:t>迎宾路与望梅路交汇处</w:t>
            </w:r>
            <w:r>
              <w:rPr>
                <w:rFonts w:hint="eastAsia" w:hAnsi="宋体" w:cs="宋体"/>
                <w:kern w:val="28"/>
                <w:sz w:val="24"/>
                <w:szCs w:val="24"/>
                <w:u w:val="single"/>
              </w:rPr>
              <w:t>华元欢乐城-华元大厦20层2022办公</w:t>
            </w:r>
            <w:r>
              <w:rPr>
                <w:rFonts w:hint="eastAsia" w:hAnsi="宋体" w:cs="宋体"/>
                <w:kern w:val="28"/>
                <w:sz w:val="24"/>
                <w:szCs w:val="24"/>
                <w:u w:val="single"/>
                <w:lang w:val="en-US" w:eastAsia="zh-CN"/>
              </w:rPr>
              <w:t>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李一帆</w:t>
            </w:r>
            <w:r>
              <w:rPr>
                <w:rFonts w:hint="eastAsia" w:hAnsi="宋体" w:cs="宋体"/>
                <w:sz w:val="24"/>
                <w:u w:val="single"/>
              </w:rPr>
              <w:t>收，</w:t>
            </w:r>
            <w:r>
              <w:rPr>
                <w:rFonts w:hint="eastAsia" w:hAnsi="宋体" w:cs="宋体"/>
                <w:sz w:val="24"/>
                <w:u w:val="single"/>
                <w:lang w:val="en-US" w:eastAsia="zh-CN"/>
              </w:rPr>
              <w:t>18758201932</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各标项</w:t>
            </w:r>
            <w:r>
              <w:rPr>
                <w:rFonts w:hint="eastAsia" w:ascii="宋体" w:hAnsi="宋体" w:eastAsia="宋体" w:cs="宋体"/>
                <w:b/>
                <w:bCs/>
                <w:color w:val="auto"/>
                <w:sz w:val="24"/>
                <w:szCs w:val="24"/>
                <w:highlight w:val="none"/>
                <w:lang w:val="en-US" w:eastAsia="zh-CN"/>
              </w:rPr>
              <w:t>预算金额为收费基数进行计取。</w:t>
            </w:r>
          </w:p>
          <w:p>
            <w:pPr>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drawing>
                <wp:inline distT="0" distB="0" distL="114300" distR="114300">
                  <wp:extent cx="3423285" cy="1569720"/>
                  <wp:effectExtent l="0" t="0" r="571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3423285" cy="1569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pStyle w:val="2"/>
        <w:adjustRightInd/>
        <w:spacing w:line="240" w:lineRule="auto"/>
        <w:ind w:firstLine="0" w:firstLineChars="0"/>
        <w:outlineLvl w:val="9"/>
      </w:pPr>
      <w:r>
        <w:rPr>
          <w:rFonts w:hint="eastAsia"/>
        </w:rPr>
        <w:t>一、总则</w:t>
      </w:r>
    </w:p>
    <w:p>
      <w:pPr>
        <w:snapToGrid/>
        <w:spacing w:line="360" w:lineRule="auto"/>
        <w:ind w:firstLine="0" w:firstLineChars="0"/>
        <w:jc w:val="left"/>
        <w:outlineLvl w:val="9"/>
        <w:rPr>
          <w:rFonts w:hint="eastAsia" w:ascii="宋体" w:hAnsi="宋体" w:cs="宋体"/>
          <w:b/>
          <w:bCs/>
          <w:sz w:val="24"/>
          <w:szCs w:val="32"/>
        </w:rPr>
      </w:pPr>
      <w:r>
        <w:rPr>
          <w:rFonts w:hint="eastAsia" w:ascii="宋体" w:hAnsi="宋体" w:cs="宋体"/>
          <w:b/>
          <w:bCs/>
          <w:sz w:val="24"/>
          <w:szCs w:val="32"/>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jc w:val="left"/>
        <w:outlineLvl w:val="9"/>
        <w:rPr>
          <w:rFonts w:ascii="宋体" w:hAnsi="宋体" w:cs="宋体"/>
          <w:b/>
          <w:sz w:val="24"/>
        </w:rPr>
      </w:pPr>
      <w:r>
        <w:rPr>
          <w:rFonts w:hint="eastAsia" w:ascii="宋体" w:hAnsi="宋体" w:cs="宋体"/>
          <w:b/>
          <w:sz w:val="24"/>
        </w:rPr>
        <w:t xml:space="preserve">   2.</w:t>
      </w:r>
      <w:r>
        <w:rPr>
          <w:rFonts w:hint="eastAsia" w:ascii="宋体" w:hAnsi="宋体" w:cs="宋体"/>
          <w:b/>
          <w:bCs/>
          <w:sz w:val="24"/>
          <w:szCs w:val="32"/>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jc w:val="left"/>
        <w:outlineLvl w:val="9"/>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本项目为专门面向中小企业采购项目，对于</w:t>
      </w:r>
      <w:r>
        <w:rPr>
          <w:rFonts w:hint="eastAsia" w:ascii="宋体" w:hAnsi="宋体" w:eastAsia="宋体" w:cs="宋体"/>
          <w:b/>
          <w:bCs/>
          <w:sz w:val="24"/>
          <w:szCs w:val="32"/>
        </w:rPr>
        <w:t>小型和微型企业的投标报价</w:t>
      </w:r>
      <w:r>
        <w:rPr>
          <w:rFonts w:hint="eastAsia" w:ascii="宋体" w:hAnsi="宋体" w:eastAsia="宋体" w:cs="宋体"/>
          <w:b/>
          <w:bCs/>
          <w:sz w:val="24"/>
          <w:szCs w:val="32"/>
          <w:lang w:eastAsia="zh-CN"/>
        </w:rPr>
        <w:t>不</w:t>
      </w:r>
      <w:r>
        <w:rPr>
          <w:rFonts w:hint="eastAsia" w:ascii="宋体" w:hAnsi="宋体" w:eastAsia="宋体" w:cs="宋体"/>
          <w:b/>
          <w:bCs/>
          <w:sz w:val="24"/>
          <w:szCs w:val="32"/>
        </w:rPr>
        <w:t>予</w:t>
      </w:r>
      <w:r>
        <w:rPr>
          <w:rFonts w:hint="eastAsia" w:ascii="宋体" w:hAnsi="宋体" w:eastAsia="宋体" w:cs="宋体"/>
          <w:b/>
          <w:bCs/>
          <w:sz w:val="24"/>
          <w:szCs w:val="32"/>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0" w:leftChars="0" w:firstLine="480" w:firstLineChars="200"/>
        <w:rPr>
          <w:rFonts w:hint="eastAsia" w:hAnsi="宋体" w:cs="宋体"/>
          <w:sz w:val="24"/>
        </w:rPr>
      </w:pPr>
      <w:r>
        <w:rPr>
          <w:rFonts w:hint="eastAsia" w:hAnsi="宋体" w:cs="宋体"/>
          <w:sz w:val="24"/>
        </w:rPr>
        <w:t>4.3.2.2对采购过程提出质疑的，质疑期限为各采购程序环节结束之日起计算。</w:t>
      </w:r>
    </w:p>
    <w:p>
      <w:pPr>
        <w:pStyle w:val="35"/>
        <w:spacing w:line="360" w:lineRule="auto"/>
        <w:ind w:left="0" w:leftChars="0"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pPr>
        <w:pStyle w:val="888"/>
        <w:shd w:val="clear"/>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snapToGrid w:val="0"/>
        <w:spacing w:after="240" w:afterAutospacing="0" w:line="360" w:lineRule="auto"/>
        <w:ind w:firstLine="400"/>
        <w:contextualSpacing/>
      </w:pPr>
      <w:r>
        <w:rPr>
          <w:rFonts w:hint="eastAsia"/>
        </w:rPr>
        <w:t>质疑函范本及制作说明详见附件2。</w:t>
      </w:r>
    </w:p>
    <w:p>
      <w:pPr>
        <w:pStyle w:val="888"/>
        <w:shd w:val="clear"/>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8"/>
        <w:shd w:val="clear"/>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snapToGrid w:val="0"/>
        <w:spacing w:after="240" w:afterAutospacing="0" w:line="360" w:lineRule="auto"/>
        <w:ind w:firstLine="400"/>
        <w:contextualSpacing/>
      </w:pPr>
      <w:r>
        <w:rPr>
          <w:rFonts w:hint="eastAsia"/>
        </w:rPr>
        <w:t>4.4.3供应商投诉应当有明确的请求和必要的证明材料。</w:t>
      </w:r>
    </w:p>
    <w:p>
      <w:pPr>
        <w:pStyle w:val="888"/>
        <w:shd w:val="clear"/>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政府采购项目投诉材料可寄送杭州市余杭区财政局，地址：</w:t>
      </w:r>
      <w:r>
        <w:rPr>
          <w:rFonts w:hint="eastAsia"/>
          <w:highlight w:val="none"/>
          <w:lang w:eastAsia="zh-CN"/>
        </w:rPr>
        <w:t>杭州市余杭区文一西路1500号8号楼</w:t>
      </w:r>
      <w:r>
        <w:rPr>
          <w:rFonts w:hint="eastAsia"/>
          <w:highlight w:val="none"/>
        </w:rPr>
        <w:t>，收件人：杜国强，电话：0571-88728858。</w:t>
      </w:r>
    </w:p>
    <w:p>
      <w:pPr>
        <w:pStyle w:val="888"/>
        <w:shd w:val="clear"/>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0"/>
        <w:snapToGrid w:val="0"/>
        <w:spacing w:before="0"/>
        <w:ind w:firstLine="360"/>
        <w:rPr>
          <w:rFonts w:ascii="宋体" w:hAnsi="宋体" w:cs="宋体"/>
          <w:sz w:val="18"/>
          <w:szCs w:val="18"/>
        </w:rPr>
      </w:pPr>
    </w:p>
    <w:p>
      <w:pPr>
        <w:pStyle w:val="2"/>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0"/>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pStyle w:val="2"/>
        <w:adjustRightInd/>
        <w:spacing w:line="360" w:lineRule="auto"/>
        <w:jc w:val="center"/>
        <w:outlineLvl w:val="0"/>
      </w:pPr>
      <w:r>
        <w:rPr>
          <w:rFonts w:hint="eastAsia"/>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numPr>
          <w:ilvl w:val="0"/>
          <w:numId w:val="2"/>
        </w:numPr>
        <w:spacing w:line="360" w:lineRule="auto"/>
        <w:rPr>
          <w:rFonts w:hAnsi="宋体" w:cs="宋体"/>
          <w:b/>
          <w:sz w:val="24"/>
          <w:szCs w:val="24"/>
        </w:rPr>
      </w:pPr>
      <w:r>
        <w:rPr>
          <w:rFonts w:hint="eastAsia" w:hAnsi="宋体" w:cs="宋体"/>
          <w:b/>
          <w:sz w:val="24"/>
          <w:szCs w:val="24"/>
        </w:rPr>
        <w:t>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numPr>
          <w:ilvl w:val="0"/>
          <w:numId w:val="2"/>
        </w:numPr>
        <w:spacing w:line="360" w:lineRule="auto"/>
        <w:rPr>
          <w:rFonts w:hAnsi="宋体" w:cs="宋体"/>
          <w:b/>
          <w:szCs w:val="24"/>
        </w:rPr>
      </w:pPr>
      <w:r>
        <w:rPr>
          <w:rFonts w:hint="eastAsia" w:hAnsi="宋体" w:cs="宋体"/>
          <w:b/>
          <w:kern w:val="28"/>
          <w:sz w:val="24"/>
          <w:szCs w:val="24"/>
        </w:rPr>
        <w:t>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bCs/>
          <w:color w:val="auto"/>
          <w:sz w:val="24"/>
        </w:rPr>
        <w:t>11.1.4本项目的特定资格要求</w:t>
      </w:r>
      <w:r>
        <w:rPr>
          <w:rFonts w:hint="eastAsia" w:ascii="宋体" w:hAnsi="宋体" w:cs="宋体"/>
          <w:b/>
          <w:bCs/>
          <w:snapToGrid w:val="0"/>
          <w:color w:val="auto"/>
          <w:kern w:val="28"/>
          <w:sz w:val="24"/>
          <w:szCs w:val="24"/>
          <w:lang w:eastAsia="zh-CN"/>
        </w:rPr>
        <w:t>：</w:t>
      </w:r>
      <w:r>
        <w:rPr>
          <w:rFonts w:hint="eastAsia" w:ascii="宋体" w:hAnsi="宋体" w:eastAsia="宋体" w:cs="宋体"/>
          <w:b/>
          <w:bCs/>
          <w:sz w:val="24"/>
          <w:highlight w:val="none"/>
        </w:rPr>
        <w:t>依法持有《旅行社业务经营许可证》</w:t>
      </w:r>
      <w:r>
        <w:rPr>
          <w:rFonts w:hint="eastAsia" w:ascii="宋体" w:hAnsi="宋体" w:eastAsia="宋体" w:cs="宋体"/>
          <w:color w:val="auto"/>
          <w:sz w:val="24"/>
        </w:rPr>
        <w:t>。</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eastAsia="宋体" w:cs="宋体"/>
          <w:b/>
          <w:bCs/>
          <w:sz w:val="24"/>
          <w:lang w:val="en-US" w:eastAsia="zh-CN"/>
        </w:rPr>
        <w:t>4</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5</w:t>
      </w:r>
      <w:r>
        <w:rPr>
          <w:rFonts w:hint="eastAsia" w:ascii="宋体" w:hAnsi="宋体" w:cs="宋体"/>
          <w:sz w:val="24"/>
          <w:lang w:eastAsia="zh-CN"/>
        </w:rPr>
        <w:t>路线安排方案</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snapToGrid w:val="0"/>
        <w:spacing w:line="360" w:lineRule="auto"/>
        <w:ind w:left="0" w:leftChars="0"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snapToGrid/>
        <w:spacing w:before="0" w:line="360" w:lineRule="auto"/>
        <w:ind w:firstLine="0" w:firstLineChars="0"/>
        <w:outlineLvl w:val="9"/>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numPr>
          <w:ilvl w:val="-1"/>
          <w:numId w:val="0"/>
        </w:numPr>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规定</w:t>
      </w:r>
      <w:r>
        <w:rPr>
          <w:rFonts w:hint="eastAsia" w:cs="宋体"/>
          <w:szCs w:val="21"/>
        </w:rPr>
        <w:t>的情形之一的，投标无效</w:t>
      </w:r>
      <w:r>
        <w:rPr>
          <w:rFonts w:hint="eastAsia" w:cs="宋体"/>
          <w:szCs w:val="21"/>
          <w:lang w:eastAsia="zh-CN"/>
        </w:rPr>
        <w:t>。</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2"/>
        <w:spacing w:before="0"/>
        <w:ind w:firstLine="0" w:firstLineChars="0"/>
      </w:pPr>
      <w:r>
        <w:rPr>
          <w:rFonts w:hint="eastAsia"/>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13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pStyle w:val="2"/>
        <w:snapToGrid w:val="0"/>
        <w:spacing w:line="360" w:lineRule="auto"/>
        <w:jc w:val="center"/>
        <w:outlineLvl w:val="0"/>
      </w:pPr>
      <w:r>
        <w:rPr>
          <w:rFonts w:hint="eastAsia"/>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snapToGrid w:val="0"/>
        <w:spacing w:line="360" w:lineRule="auto"/>
        <w:jc w:val="center"/>
        <w:outlineLvl w:val="0"/>
      </w:pPr>
      <w:r>
        <w:rPr>
          <w:rFonts w:hint="eastAsia"/>
        </w:rPr>
        <w:t>六、定 标</w:t>
      </w:r>
    </w:p>
    <w:p>
      <w:pPr>
        <w:pStyle w:val="26"/>
        <w:spacing w:line="360" w:lineRule="auto"/>
        <w:ind w:left="479" w:hanging="479" w:hangingChars="199"/>
        <w:rPr>
          <w:rFonts w:cs="宋体"/>
          <w:b/>
        </w:rPr>
      </w:pPr>
      <w:r>
        <w:rPr>
          <w:rFonts w:hint="eastAsia" w:cs="宋体"/>
          <w:b/>
        </w:rPr>
        <w:t>22. 确定中标供应商</w:t>
      </w:r>
    </w:p>
    <w:p>
      <w:pPr>
        <w:pStyle w:val="130"/>
        <w:snapToGrid w:val="0"/>
        <w:spacing w:before="0"/>
        <w:ind w:firstLine="480" w:firstLineChars="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pStyle w:val="2"/>
        <w:snapToGrid w:val="0"/>
        <w:spacing w:line="360" w:lineRule="auto"/>
        <w:ind w:left="120" w:leftChars="57" w:firstLine="482" w:firstLineChars="150"/>
        <w:jc w:val="center"/>
      </w:pPr>
      <w:r>
        <w:rPr>
          <w:rFonts w:hint="eastAsia"/>
        </w:rPr>
        <w:t>七、合同授予</w:t>
      </w:r>
    </w:p>
    <w:p>
      <w:pPr>
        <w:pStyle w:val="26"/>
        <w:spacing w:line="360" w:lineRule="auto"/>
        <w:ind w:left="479" w:hanging="479" w:hangingChars="199"/>
        <w:rPr>
          <w:rFonts w:cs="宋体"/>
          <w:b/>
          <w:bCs w:val="0"/>
        </w:rPr>
      </w:pPr>
      <w:r>
        <w:rPr>
          <w:rFonts w:hint="eastAsia" w:cs="宋体"/>
          <w:b/>
          <w:bCs w:val="0"/>
        </w:rPr>
        <w:t>24. 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spacing w:line="360" w:lineRule="auto"/>
        <w:ind w:left="0" w:firstLine="480" w:firstLineChars="200"/>
        <w:rPr>
          <w:rFonts w:ascii="宋体" w:hAnsi="宋体" w:eastAsia="宋体" w:cs="宋体"/>
          <w:sz w:val="24"/>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pStyle w:val="2"/>
        <w:snapToGrid/>
        <w:spacing w:line="360" w:lineRule="auto"/>
        <w:ind w:firstLine="0" w:firstLineChars="0"/>
      </w:pPr>
      <w:r>
        <w:rPr>
          <w:rFonts w:hint="eastAsia"/>
        </w:rPr>
        <w:t>八、电子交易活动的中止</w:t>
      </w:r>
    </w:p>
    <w:p>
      <w:pPr>
        <w:pStyle w:val="130"/>
        <w:snapToGrid w:val="0"/>
        <w:spacing w:before="0" w:line="36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0"/>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snapToGrid w:val="0"/>
        <w:spacing w:line="360" w:lineRule="auto"/>
        <w:ind w:left="120" w:leftChars="57" w:firstLine="482" w:firstLineChars="150"/>
        <w:jc w:val="center"/>
        <w:rPr>
          <w:rFonts w:hint="eastAsia" w:ascii="宋体" w:hAnsi="宋体" w:eastAsia="宋体" w:cs="宋体"/>
        </w:rPr>
      </w:pPr>
      <w:r>
        <w:rPr>
          <w:rFonts w:hint="eastAsia" w:ascii="宋体" w:hAnsi="宋体" w:eastAsia="宋体" w:cs="宋体"/>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68057669"/>
      <w:bookmarkEnd w:id="16"/>
      <w:bookmarkStart w:id="17" w:name="_Hlt68072998"/>
      <w:bookmarkEnd w:id="17"/>
      <w:bookmarkStart w:id="18" w:name="_Hlt75236290"/>
      <w:bookmarkEnd w:id="18"/>
      <w:bookmarkStart w:id="19" w:name="_Hlt74729768"/>
      <w:bookmarkEnd w:id="19"/>
      <w:bookmarkStart w:id="20" w:name="_Hlt68073093"/>
      <w:bookmarkEnd w:id="20"/>
      <w:bookmarkStart w:id="21" w:name="_Hlt68072990"/>
      <w:bookmarkEnd w:id="21"/>
      <w:bookmarkStart w:id="22" w:name="_Hlt74707468"/>
      <w:bookmarkEnd w:id="22"/>
      <w:bookmarkStart w:id="23" w:name="_Hlt75236011"/>
      <w:bookmarkEnd w:id="23"/>
      <w:bookmarkStart w:id="24" w:name="_Hlt74730295"/>
      <w:bookmarkEnd w:id="24"/>
      <w:bookmarkStart w:id="25" w:name="_Hlt75236101"/>
      <w:bookmarkEnd w:id="25"/>
      <w:bookmarkStart w:id="26" w:name="_Hlt7471466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autoSpaceDE w:val="0"/>
        <w:autoSpaceDN w:val="0"/>
        <w:snapToGrid w:val="0"/>
        <w:spacing w:line="540" w:lineRule="exact"/>
        <w:ind w:firstLine="482" w:firstLineChars="200"/>
        <w:rPr>
          <w:rFonts w:hint="default" w:ascii="宋体" w:hAnsi="宋体" w:eastAsia="宋体" w:cs="宋体"/>
          <w:b/>
          <w:bCs/>
          <w:sz w:val="24"/>
          <w:lang w:val="en-US" w:eastAsia="zh-CN"/>
        </w:rPr>
      </w:pPr>
      <w:r>
        <w:rPr>
          <w:rFonts w:hint="eastAsia" w:ascii="宋体" w:hAnsi="宋体" w:cs="宋体"/>
          <w:b/>
          <w:bCs/>
          <w:sz w:val="24"/>
          <w:lang w:eastAsia="zh-CN"/>
        </w:rPr>
        <w:t>一、疗</w:t>
      </w:r>
      <w:r>
        <w:rPr>
          <w:rFonts w:hint="eastAsia" w:ascii="宋体" w:hAnsi="宋体" w:cs="宋体"/>
          <w:b/>
          <w:bCs/>
          <w:sz w:val="24"/>
          <w:lang w:val="en-US" w:eastAsia="zh-CN"/>
        </w:rPr>
        <w:t>养方案</w:t>
      </w:r>
    </w:p>
    <w:p>
      <w:pPr>
        <w:adjustRightInd w:val="0"/>
        <w:snapToGrid w:val="0"/>
        <w:spacing w:line="348" w:lineRule="auto"/>
        <w:ind w:firstLine="482" w:firstLineChars="200"/>
        <w:rPr>
          <w:rFonts w:hint="eastAsia" w:ascii="宋体" w:hAnsi="宋体" w:eastAsia="宋体" w:cs="宋体"/>
          <w:b/>
          <w:bCs/>
          <w:color w:val="000000"/>
          <w:sz w:val="24"/>
          <w:szCs w:val="24"/>
          <w:highlight w:val="none"/>
        </w:rPr>
      </w:pPr>
      <w:r>
        <w:rPr>
          <w:rFonts w:hint="eastAsia" w:ascii="宋体" w:hAnsi="宋体" w:cs="宋体"/>
          <w:b/>
          <w:bCs/>
          <w:color w:val="000000"/>
          <w:sz w:val="24"/>
          <w:highlight w:val="none"/>
        </w:rPr>
        <w:t>杭州市余杭区人民法院职工疗休养项目</w:t>
      </w:r>
      <w:r>
        <w:rPr>
          <w:rFonts w:hint="eastAsia" w:ascii="宋体" w:hAnsi="宋体" w:eastAsia="宋体" w:cs="宋体"/>
          <w:b/>
          <w:bCs/>
          <w:color w:val="000000"/>
          <w:sz w:val="24"/>
          <w:szCs w:val="24"/>
          <w:highlight w:val="none"/>
        </w:rPr>
        <w:t>，分为</w:t>
      </w:r>
      <w:r>
        <w:rPr>
          <w:rFonts w:hint="eastAsia" w:ascii="宋体" w:hAnsi="宋体" w:cs="宋体"/>
          <w:b/>
          <w:bCs/>
          <w:color w:val="000000"/>
          <w:sz w:val="24"/>
          <w:szCs w:val="24"/>
          <w:highlight w:val="none"/>
          <w:lang w:eastAsia="zh-CN"/>
        </w:rPr>
        <w:t>二</w:t>
      </w:r>
      <w:r>
        <w:rPr>
          <w:rFonts w:hint="eastAsia" w:ascii="宋体" w:hAnsi="宋体" w:eastAsia="宋体" w:cs="宋体"/>
          <w:b/>
          <w:bCs/>
          <w:color w:val="000000"/>
          <w:sz w:val="24"/>
          <w:szCs w:val="24"/>
          <w:highlight w:val="none"/>
        </w:rPr>
        <w:t>个标项</w:t>
      </w:r>
      <w:r>
        <w:rPr>
          <w:rFonts w:hint="eastAsia" w:ascii="宋体" w:hAnsi="宋体" w:eastAsia="宋体" w:cs="宋体"/>
          <w:b/>
          <w:bCs/>
          <w:color w:val="000000"/>
          <w:sz w:val="24"/>
          <w:szCs w:val="24"/>
          <w:highlight w:val="none"/>
          <w:lang w:eastAsia="zh-CN"/>
        </w:rPr>
        <w:t>，每个标项各</w:t>
      </w:r>
      <w:r>
        <w:rPr>
          <w:rFonts w:hint="eastAsia" w:ascii="宋体" w:hAnsi="宋体" w:cs="宋体"/>
          <w:b/>
          <w:bCs/>
          <w:color w:val="000000"/>
          <w:sz w:val="24"/>
          <w:szCs w:val="24"/>
          <w:highlight w:val="none"/>
          <w:lang w:eastAsia="zh-CN"/>
        </w:rPr>
        <w:t>四</w:t>
      </w:r>
      <w:r>
        <w:rPr>
          <w:rFonts w:hint="eastAsia" w:ascii="宋体" w:hAnsi="宋体" w:eastAsia="宋体" w:cs="宋体"/>
          <w:b/>
          <w:bCs/>
          <w:color w:val="000000"/>
          <w:sz w:val="24"/>
          <w:szCs w:val="24"/>
          <w:highlight w:val="none"/>
          <w:lang w:eastAsia="zh-CN"/>
        </w:rPr>
        <w:t>路线</w:t>
      </w:r>
      <w:r>
        <w:rPr>
          <w:rFonts w:hint="eastAsia" w:ascii="宋体" w:hAnsi="宋体" w:eastAsia="宋体" w:cs="宋体"/>
          <w:b/>
          <w:bCs/>
          <w:color w:val="000000"/>
          <w:sz w:val="24"/>
          <w:szCs w:val="24"/>
          <w:highlight w:val="none"/>
        </w:rPr>
        <w:t>，供应商可自行选择标项响应投标，但供应商中标只能中一个标项，根据标项一、标项二的顺序依次进行开评标，如投标单位已中先开评标标项，则自动失去未开标项的</w:t>
      </w:r>
      <w:r>
        <w:rPr>
          <w:rFonts w:hint="eastAsia" w:ascii="宋体" w:hAnsi="宋体" w:eastAsia="宋体" w:cs="宋体"/>
          <w:b/>
          <w:bCs/>
          <w:color w:val="000000"/>
          <w:sz w:val="24"/>
          <w:szCs w:val="24"/>
          <w:highlight w:val="none"/>
          <w:lang w:eastAsia="zh-CN"/>
        </w:rPr>
        <w:t>推荐</w:t>
      </w:r>
      <w:r>
        <w:rPr>
          <w:rFonts w:hint="eastAsia" w:ascii="宋体" w:hAnsi="宋体" w:cs="宋体"/>
          <w:b/>
          <w:bCs/>
          <w:color w:val="000000"/>
          <w:sz w:val="24"/>
          <w:szCs w:val="24"/>
          <w:highlight w:val="none"/>
          <w:lang w:val="en-US" w:eastAsia="zh-CN"/>
        </w:rPr>
        <w:t>中标</w:t>
      </w:r>
      <w:r>
        <w:rPr>
          <w:rFonts w:hint="eastAsia" w:ascii="宋体" w:hAnsi="宋体" w:eastAsia="宋体" w:cs="宋体"/>
          <w:b/>
          <w:bCs/>
          <w:color w:val="000000"/>
          <w:sz w:val="24"/>
          <w:szCs w:val="24"/>
          <w:highlight w:val="none"/>
        </w:rPr>
        <w:t>资格。</w:t>
      </w:r>
    </w:p>
    <w:p>
      <w:pPr>
        <w:adjustRightInd w:val="0"/>
        <w:snapToGrid w:val="0"/>
        <w:spacing w:line="348"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本招标采购文件内如未明确为哪个标项要求，即为所有标项的共同要求和内容，如已明示为哪个标项的具体要求，即按相关要求执行。</w:t>
      </w:r>
    </w:p>
    <w:tbl>
      <w:tblPr>
        <w:tblStyle w:val="63"/>
        <w:tblpPr w:leftFromText="180" w:rightFromText="180" w:vertAnchor="text" w:tblpXSpec="center" w:tblpY="64"/>
        <w:tblOverlap w:val="never"/>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168"/>
        <w:gridCol w:w="1739"/>
        <w:gridCol w:w="127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00" w:type="dxa"/>
            <w:noWrap w:val="0"/>
            <w:vAlign w:val="center"/>
          </w:tcPr>
          <w:p>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标项</w:t>
            </w:r>
          </w:p>
        </w:tc>
        <w:tc>
          <w:tcPr>
            <w:tcW w:w="3168" w:type="dxa"/>
            <w:noWrap w:val="0"/>
            <w:vAlign w:val="center"/>
          </w:tcPr>
          <w:p>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标项内容</w:t>
            </w:r>
          </w:p>
        </w:tc>
        <w:tc>
          <w:tcPr>
            <w:tcW w:w="1739" w:type="dxa"/>
            <w:noWrap w:val="0"/>
            <w:vAlign w:val="center"/>
          </w:tcPr>
          <w:p>
            <w:pPr>
              <w:widowControl/>
              <w:snapToGrid w:val="0"/>
              <w:spacing w:line="348" w:lineRule="auto"/>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最高单人限价（元/人）</w:t>
            </w:r>
          </w:p>
        </w:tc>
        <w:tc>
          <w:tcPr>
            <w:tcW w:w="1278" w:type="dxa"/>
            <w:noWrap w:val="0"/>
            <w:vAlign w:val="center"/>
          </w:tcPr>
          <w:p>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预计人数</w:t>
            </w:r>
          </w:p>
        </w:tc>
        <w:tc>
          <w:tcPr>
            <w:tcW w:w="2435" w:type="dxa"/>
            <w:noWrap w:val="0"/>
            <w:vAlign w:val="center"/>
          </w:tcPr>
          <w:p>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0" w:type="dxa"/>
            <w:vMerge w:val="restart"/>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标项一</w:t>
            </w:r>
          </w:p>
        </w:tc>
        <w:tc>
          <w:tcPr>
            <w:tcW w:w="3168" w:type="dxa"/>
            <w:noWrap w:val="0"/>
            <w:vAlign w:val="center"/>
          </w:tcPr>
          <w:p>
            <w:pPr>
              <w:widowControl/>
              <w:snapToGrid w:val="0"/>
              <w:spacing w:line="348" w:lineRule="auto"/>
              <w:jc w:val="center"/>
              <w:rPr>
                <w:rFonts w:hint="eastAsia" w:ascii="宋体" w:hAnsi="宋体" w:cs="宋体"/>
                <w:color w:val="000000"/>
                <w:kern w:val="0"/>
                <w:sz w:val="21"/>
                <w:szCs w:val="21"/>
                <w:highlight w:val="none"/>
                <w:u w:val="none" w:color="000000"/>
              </w:rPr>
            </w:pPr>
            <w:r>
              <w:rPr>
                <w:rFonts w:hint="eastAsia" w:ascii="宋体" w:hAnsi="宋体" w:eastAsia="宋体" w:cs="宋体"/>
                <w:color w:val="000000"/>
                <w:kern w:val="0"/>
                <w:sz w:val="21"/>
                <w:szCs w:val="21"/>
                <w:highlight w:val="none"/>
                <w:u w:val="none" w:color="000000"/>
                <w:lang w:val="en-US" w:eastAsia="zh-CN" w:bidi="ar-SA"/>
              </w:rPr>
              <w:t>路线</w:t>
            </w:r>
            <w:r>
              <w:rPr>
                <w:rFonts w:hint="eastAsia" w:ascii="宋体" w:hAnsi="宋体" w:cs="宋体"/>
                <w:color w:val="000000"/>
                <w:kern w:val="0"/>
                <w:sz w:val="21"/>
                <w:szCs w:val="21"/>
                <w:highlight w:val="none"/>
                <w:u w:val="none" w:color="000000"/>
                <w:lang w:val="en-US" w:eastAsia="zh-CN" w:bidi="ar-SA"/>
              </w:rPr>
              <w:t>1</w:t>
            </w:r>
            <w:r>
              <w:rPr>
                <w:rFonts w:hint="eastAsia" w:ascii="宋体" w:hAnsi="宋体" w:eastAsia="宋体" w:cs="宋体"/>
                <w:color w:val="000000"/>
                <w:kern w:val="0"/>
                <w:sz w:val="21"/>
                <w:szCs w:val="21"/>
                <w:highlight w:val="none"/>
                <w:u w:val="none" w:color="000000"/>
                <w:lang w:val="en-US" w:eastAsia="zh-CN" w:bidi="ar-SA"/>
              </w:rPr>
              <w:t>：</w:t>
            </w:r>
            <w:r>
              <w:rPr>
                <w:rFonts w:hint="eastAsia" w:ascii="宋体" w:hAnsi="宋体" w:cs="宋体"/>
                <w:color w:val="000000"/>
                <w:kern w:val="0"/>
                <w:sz w:val="21"/>
                <w:szCs w:val="21"/>
                <w:highlight w:val="none"/>
                <w:u w:val="none" w:color="000000"/>
                <w:lang w:eastAsia="zh-CN"/>
              </w:rPr>
              <w:t>台州椒江临海</w:t>
            </w:r>
            <w:r>
              <w:rPr>
                <w:rFonts w:hint="eastAsia" w:ascii="宋体" w:hAnsi="宋体" w:cs="宋体"/>
                <w:color w:val="000000"/>
                <w:kern w:val="0"/>
                <w:sz w:val="21"/>
                <w:szCs w:val="21"/>
                <w:highlight w:val="none"/>
                <w:u w:val="none" w:color="000000"/>
              </w:rPr>
              <w:t>五日</w:t>
            </w:r>
          </w:p>
          <w:p>
            <w:pPr>
              <w:widowControl/>
              <w:snapToGrid w:val="0"/>
              <w:spacing w:line="348" w:lineRule="auto"/>
              <w:jc w:val="center"/>
              <w:rPr>
                <w:rFonts w:hint="eastAsia" w:ascii="宋体" w:hAnsi="宋体" w:eastAsia="宋体" w:cs="宋体"/>
                <w:color w:val="000000"/>
                <w:kern w:val="0"/>
                <w:sz w:val="21"/>
                <w:szCs w:val="21"/>
                <w:highlight w:val="none"/>
                <w:u w:val="none" w:color="000000"/>
                <w:lang w:val="en-US" w:eastAsia="zh-CN" w:bidi="ar-SA"/>
              </w:rPr>
            </w:pPr>
            <w:r>
              <w:rPr>
                <w:rFonts w:hint="eastAsia" w:cs="宋体"/>
                <w:b/>
                <w:bCs/>
                <w:color w:val="000000"/>
                <w:kern w:val="0"/>
                <w:sz w:val="21"/>
                <w:szCs w:val="21"/>
                <w:highlight w:val="none"/>
                <w:u w:val="none" w:color="000000"/>
                <w:lang w:eastAsia="zh-CN"/>
              </w:rPr>
              <w:t>（含大交通）</w:t>
            </w:r>
          </w:p>
        </w:tc>
        <w:tc>
          <w:tcPr>
            <w:tcW w:w="1739" w:type="dxa"/>
            <w:noWrap w:val="0"/>
            <w:vAlign w:val="center"/>
          </w:tcPr>
          <w:p>
            <w:pPr>
              <w:widowControl/>
              <w:snapToGrid w:val="0"/>
              <w:spacing w:line="348" w:lineRule="auto"/>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restart"/>
            <w:noWrap w:val="0"/>
            <w:vAlign w:val="center"/>
          </w:tcPr>
          <w:p>
            <w:pPr>
              <w:widowControl/>
              <w:snapToGrid w:val="0"/>
              <w:spacing w:line="348" w:lineRule="auto"/>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150人</w:t>
            </w:r>
          </w:p>
        </w:tc>
        <w:tc>
          <w:tcPr>
            <w:tcW w:w="2435" w:type="dxa"/>
            <w:vMerge w:val="restart"/>
            <w:noWrap w:val="0"/>
            <w:vAlign w:val="center"/>
          </w:tcPr>
          <w:p>
            <w:pPr>
              <w:numPr>
                <w:ilvl w:val="0"/>
                <w:numId w:val="4"/>
              </w:numPr>
              <w:snapToGrid w:val="0"/>
              <w:spacing w:line="360" w:lineRule="auto"/>
              <w:jc w:val="left"/>
              <w:rPr>
                <w:rFonts w:hint="eastAsia"/>
                <w:szCs w:val="21"/>
                <w:lang w:eastAsia="zh-CN"/>
              </w:rPr>
            </w:pPr>
            <w:r>
              <w:rPr>
                <w:rFonts w:hint="eastAsia"/>
                <w:szCs w:val="21"/>
              </w:rPr>
              <w:t>各标项线路</w:t>
            </w:r>
            <w:r>
              <w:rPr>
                <w:rFonts w:hint="eastAsia"/>
                <w:szCs w:val="21"/>
                <w:lang w:eastAsia="zh-CN"/>
              </w:rPr>
              <w:t>工会</w:t>
            </w:r>
            <w:r>
              <w:rPr>
                <w:rFonts w:hint="eastAsia"/>
                <w:szCs w:val="21"/>
              </w:rPr>
              <w:t>最高限额</w:t>
            </w:r>
            <w:r>
              <w:rPr>
                <w:rFonts w:hint="eastAsia"/>
                <w:szCs w:val="21"/>
                <w:lang w:val="en-US" w:eastAsia="zh-CN"/>
              </w:rPr>
              <w:t>3</w:t>
            </w:r>
            <w:r>
              <w:rPr>
                <w:rFonts w:hint="eastAsia"/>
                <w:szCs w:val="21"/>
              </w:rPr>
              <w:t>000元/人</w:t>
            </w:r>
            <w:r>
              <w:rPr>
                <w:rFonts w:hint="eastAsia"/>
                <w:szCs w:val="21"/>
                <w:lang w:eastAsia="zh-CN"/>
              </w:rPr>
              <w:t>（含大交通），省外费用</w:t>
            </w:r>
            <w:r>
              <w:rPr>
                <w:rFonts w:hint="eastAsia"/>
                <w:b/>
                <w:bCs/>
                <w:szCs w:val="21"/>
                <w:lang w:eastAsia="zh-CN"/>
              </w:rPr>
              <w:t>（除</w:t>
            </w:r>
            <w:r>
              <w:rPr>
                <w:rFonts w:hint="eastAsia" w:cs="宋体"/>
                <w:b/>
                <w:bCs/>
                <w:color w:val="000000"/>
                <w:kern w:val="0"/>
                <w:sz w:val="21"/>
                <w:szCs w:val="21"/>
                <w:highlight w:val="none"/>
                <w:u w:val="none" w:color="000000"/>
              </w:rPr>
              <w:t>江苏苏州五日</w:t>
            </w:r>
            <w:r>
              <w:rPr>
                <w:rFonts w:hint="eastAsia" w:cs="宋体"/>
                <w:b/>
                <w:bCs/>
                <w:color w:val="000000"/>
                <w:kern w:val="0"/>
                <w:sz w:val="21"/>
                <w:szCs w:val="21"/>
                <w:highlight w:val="none"/>
                <w:u w:val="none" w:color="000000"/>
                <w:lang w:eastAsia="zh-CN"/>
              </w:rPr>
              <w:t>、福建厦门五日外）</w:t>
            </w:r>
            <w:r>
              <w:rPr>
                <w:rFonts w:hint="eastAsia"/>
                <w:szCs w:val="21"/>
                <w:lang w:eastAsia="zh-CN"/>
              </w:rPr>
              <w:t>不含大交通费用</w:t>
            </w:r>
            <w:r>
              <w:rPr>
                <w:rFonts w:hint="eastAsia"/>
                <w:szCs w:val="21"/>
                <w:lang w:val="en-US" w:eastAsia="zh-CN"/>
              </w:rPr>
              <w:t>，最高限额3000元/人</w:t>
            </w:r>
            <w:r>
              <w:rPr>
                <w:rFonts w:hint="eastAsia"/>
                <w:szCs w:val="21"/>
                <w:lang w:eastAsia="zh-CN"/>
              </w:rPr>
              <w:t>。</w:t>
            </w:r>
          </w:p>
          <w:p>
            <w:pPr>
              <w:pStyle w:val="80"/>
              <w:numPr>
                <w:ilvl w:val="0"/>
                <w:numId w:val="4"/>
              </w:numPr>
              <w:spacing w:line="360" w:lineRule="auto"/>
              <w:rPr>
                <w:rFonts w:hint="eastAsia" w:cs="宋体"/>
                <w:color w:val="000000"/>
                <w:kern w:val="0"/>
                <w:sz w:val="21"/>
                <w:szCs w:val="21"/>
                <w:highlight w:val="none"/>
                <w:u w:val="none" w:color="000000"/>
                <w:lang w:eastAsia="zh-CN"/>
              </w:rPr>
            </w:pPr>
            <w:r>
              <w:rPr>
                <w:rFonts w:hint="eastAsia" w:cs="宋体"/>
                <w:color w:val="000000"/>
                <w:kern w:val="0"/>
                <w:sz w:val="21"/>
                <w:szCs w:val="21"/>
                <w:highlight w:val="none"/>
                <w:lang w:eastAsia="zh-CN"/>
              </w:rPr>
              <w:t>省外路线：</w:t>
            </w:r>
            <w:r>
              <w:rPr>
                <w:rFonts w:hint="eastAsia" w:ascii="宋体" w:hAnsi="宋体" w:cs="宋体"/>
                <w:color w:val="000000"/>
                <w:kern w:val="0"/>
                <w:sz w:val="21"/>
                <w:szCs w:val="21"/>
                <w:highlight w:val="none"/>
              </w:rPr>
              <w:t>新疆阿克苏六日</w:t>
            </w:r>
            <w:r>
              <w:rPr>
                <w:rFonts w:hint="eastAsia" w:cs="宋体"/>
                <w:color w:val="000000"/>
                <w:kern w:val="0"/>
                <w:sz w:val="21"/>
                <w:szCs w:val="21"/>
                <w:highlight w:val="none"/>
                <w:lang w:eastAsia="zh-CN"/>
              </w:rPr>
              <w:t>，</w:t>
            </w:r>
            <w:r>
              <w:rPr>
                <w:rFonts w:hint="eastAsia" w:ascii="宋体" w:hAnsi="宋体" w:cs="宋体"/>
                <w:color w:val="000000"/>
                <w:kern w:val="0"/>
                <w:sz w:val="21"/>
                <w:szCs w:val="21"/>
                <w:highlight w:val="none"/>
              </w:rPr>
              <w:t>四川稻城五</w:t>
            </w:r>
            <w:r>
              <w:rPr>
                <w:rFonts w:hint="eastAsia" w:cs="宋体"/>
                <w:color w:val="000000"/>
                <w:kern w:val="0"/>
                <w:sz w:val="21"/>
                <w:szCs w:val="21"/>
                <w:highlight w:val="none"/>
                <w:lang w:eastAsia="zh-CN"/>
              </w:rPr>
              <w:t>日，</w:t>
            </w:r>
            <w:r>
              <w:rPr>
                <w:rFonts w:hint="eastAsia" w:ascii="宋体" w:hAnsi="宋体" w:cs="宋体"/>
                <w:color w:val="000000"/>
                <w:kern w:val="0"/>
                <w:sz w:val="21"/>
                <w:szCs w:val="21"/>
                <w:highlight w:val="none"/>
                <w:u w:val="none" w:color="000000"/>
              </w:rPr>
              <w:t>重庆涪陵五日</w:t>
            </w:r>
            <w:r>
              <w:rPr>
                <w:rFonts w:hint="eastAsia" w:cs="宋体"/>
                <w:color w:val="000000"/>
                <w:kern w:val="0"/>
                <w:sz w:val="21"/>
                <w:szCs w:val="21"/>
                <w:highlight w:val="none"/>
                <w:u w:val="none" w:color="000000"/>
                <w:lang w:eastAsia="zh-CN"/>
              </w:rPr>
              <w:t>，中标后根据具体线路方案另行确认个人承担金额。</w:t>
            </w:r>
          </w:p>
          <w:p>
            <w:pPr>
              <w:pStyle w:val="80"/>
              <w:numPr>
                <w:ilvl w:val="0"/>
                <w:numId w:val="4"/>
              </w:numPr>
              <w:spacing w:line="360" w:lineRule="auto"/>
              <w:rPr>
                <w:rFonts w:hint="eastAsia" w:eastAsia="宋体" w:cs="宋体"/>
                <w:color w:val="000000"/>
                <w:sz w:val="21"/>
                <w:szCs w:val="21"/>
                <w:highlight w:val="none"/>
                <w:u w:val="none" w:color="000000"/>
                <w:lang w:eastAsia="zh-CN"/>
              </w:rPr>
            </w:pPr>
            <w:r>
              <w:rPr>
                <w:rFonts w:hint="eastAsia" w:eastAsia="宋体" w:cs="宋体"/>
                <w:color w:val="000000"/>
                <w:sz w:val="21"/>
                <w:szCs w:val="21"/>
                <w:highlight w:val="none"/>
                <w:u w:val="none" w:color="000000"/>
                <w:lang w:eastAsia="zh-CN"/>
              </w:rPr>
              <w:t>其他根据工会标准进行。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0" w:type="dxa"/>
            <w:vMerge w:val="continue"/>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p>
        </w:tc>
        <w:tc>
          <w:tcPr>
            <w:tcW w:w="3168" w:type="dxa"/>
            <w:noWrap w:val="0"/>
            <w:vAlign w:val="center"/>
          </w:tcPr>
          <w:p>
            <w:pPr>
              <w:widowControl/>
              <w:snapToGrid w:val="0"/>
              <w:spacing w:line="348" w:lineRule="auto"/>
              <w:jc w:val="center"/>
              <w:rPr>
                <w:rFonts w:hint="eastAsia" w:ascii="宋体" w:hAnsi="宋体" w:cs="宋体"/>
                <w:color w:val="000000"/>
                <w:kern w:val="0"/>
                <w:sz w:val="21"/>
                <w:szCs w:val="21"/>
                <w:highlight w:val="none"/>
                <w:u w:val="none" w:color="000000"/>
              </w:rPr>
            </w:pPr>
            <w:r>
              <w:rPr>
                <w:rFonts w:hint="eastAsia" w:ascii="宋体" w:hAnsi="宋体" w:eastAsia="宋体" w:cs="宋体"/>
                <w:color w:val="000000"/>
                <w:kern w:val="0"/>
                <w:sz w:val="21"/>
                <w:szCs w:val="21"/>
                <w:highlight w:val="none"/>
                <w:u w:val="none" w:color="000000"/>
                <w:lang w:val="en-US" w:eastAsia="zh-CN" w:bidi="ar-SA"/>
              </w:rPr>
              <w:t>路线</w:t>
            </w:r>
            <w:r>
              <w:rPr>
                <w:rFonts w:hint="eastAsia" w:ascii="宋体" w:hAnsi="宋体" w:cs="宋体"/>
                <w:color w:val="000000"/>
                <w:kern w:val="0"/>
                <w:sz w:val="21"/>
                <w:szCs w:val="21"/>
                <w:highlight w:val="none"/>
                <w:u w:val="none" w:color="000000"/>
                <w:lang w:val="en-US" w:eastAsia="zh-CN" w:bidi="ar-SA"/>
              </w:rPr>
              <w:t>2</w:t>
            </w:r>
            <w:r>
              <w:rPr>
                <w:rFonts w:hint="eastAsia" w:ascii="宋体" w:hAnsi="宋体" w:eastAsia="宋体" w:cs="宋体"/>
                <w:color w:val="000000"/>
                <w:kern w:val="0"/>
                <w:sz w:val="21"/>
                <w:szCs w:val="21"/>
                <w:highlight w:val="none"/>
                <w:u w:val="none" w:color="000000"/>
                <w:lang w:val="en-US" w:eastAsia="zh-CN" w:bidi="ar-SA"/>
              </w:rPr>
              <w:t>：</w:t>
            </w:r>
            <w:r>
              <w:rPr>
                <w:rFonts w:hint="eastAsia" w:ascii="宋体" w:hAnsi="宋体" w:cs="宋体"/>
                <w:color w:val="000000"/>
                <w:kern w:val="0"/>
                <w:sz w:val="21"/>
                <w:szCs w:val="21"/>
                <w:highlight w:val="none"/>
                <w:u w:val="none" w:color="000000"/>
              </w:rPr>
              <w:t>重庆涪陵五日</w:t>
            </w:r>
          </w:p>
          <w:p>
            <w:pPr>
              <w:widowControl/>
              <w:snapToGrid w:val="0"/>
              <w:spacing w:line="348" w:lineRule="auto"/>
              <w:jc w:val="center"/>
              <w:rPr>
                <w:rFonts w:hint="eastAsia" w:ascii="宋体" w:hAnsi="宋体" w:eastAsia="宋体" w:cs="宋体"/>
                <w:color w:val="000000"/>
                <w:kern w:val="0"/>
                <w:sz w:val="21"/>
                <w:szCs w:val="21"/>
                <w:highlight w:val="none"/>
                <w:u w:val="none" w:color="000000"/>
                <w:lang w:val="en-US" w:eastAsia="zh-CN" w:bidi="ar-SA"/>
              </w:rPr>
            </w:pPr>
            <w:r>
              <w:rPr>
                <w:rFonts w:hint="eastAsia" w:cs="宋体"/>
                <w:color w:val="000000"/>
                <w:kern w:val="0"/>
                <w:sz w:val="21"/>
                <w:szCs w:val="21"/>
                <w:highlight w:val="none"/>
                <w:u w:val="none" w:color="000000"/>
                <w:lang w:eastAsia="zh-CN"/>
              </w:rPr>
              <w:t>（不含大交通）</w:t>
            </w:r>
          </w:p>
        </w:tc>
        <w:tc>
          <w:tcPr>
            <w:tcW w:w="1739" w:type="dxa"/>
            <w:noWrap w:val="0"/>
            <w:vAlign w:val="center"/>
          </w:tcPr>
          <w:p>
            <w:pPr>
              <w:widowControl/>
              <w:snapToGrid w:val="0"/>
              <w:spacing w:line="348" w:lineRule="auto"/>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continue"/>
            <w:noWrap w:val="0"/>
            <w:vAlign w:val="center"/>
          </w:tcPr>
          <w:p>
            <w:pPr>
              <w:widowControl/>
              <w:snapToGrid w:val="0"/>
              <w:spacing w:line="348" w:lineRule="auto"/>
              <w:jc w:val="both"/>
              <w:rPr>
                <w:rFonts w:hint="eastAsia" w:ascii="宋体" w:hAnsi="宋体" w:eastAsia="宋体" w:cs="宋体"/>
                <w:color w:val="000000"/>
                <w:kern w:val="0"/>
                <w:sz w:val="24"/>
                <w:szCs w:val="24"/>
                <w:highlight w:val="none"/>
                <w:lang w:val="en-US" w:eastAsia="zh-CN"/>
              </w:rPr>
            </w:pPr>
          </w:p>
        </w:tc>
        <w:tc>
          <w:tcPr>
            <w:tcW w:w="2435" w:type="dxa"/>
            <w:vMerge w:val="continue"/>
            <w:noWrap w:val="0"/>
            <w:vAlign w:val="center"/>
          </w:tcPr>
          <w:p>
            <w:pPr>
              <w:snapToGrid w:val="0"/>
              <w:spacing w:line="348" w:lineRule="auto"/>
              <w:jc w:val="center"/>
              <w:rPr>
                <w:rFonts w:hint="eastAsia"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0" w:type="dxa"/>
            <w:vMerge w:val="continue"/>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p>
        </w:tc>
        <w:tc>
          <w:tcPr>
            <w:tcW w:w="3168" w:type="dxa"/>
            <w:noWrap w:val="0"/>
            <w:vAlign w:val="center"/>
          </w:tcPr>
          <w:p>
            <w:pPr>
              <w:pStyle w:val="62"/>
              <w:ind w:left="0" w:leftChars="0" w:firstLine="0" w:firstLineChars="0"/>
              <w:jc w:val="center"/>
              <w:rPr>
                <w:rFonts w:hint="eastAsia" w:cs="宋体"/>
                <w:color w:val="000000"/>
                <w:kern w:val="0"/>
                <w:sz w:val="21"/>
                <w:szCs w:val="21"/>
                <w:highlight w:val="none"/>
                <w:u w:val="none" w:color="000000"/>
              </w:rPr>
            </w:pPr>
            <w:r>
              <w:rPr>
                <w:rFonts w:hint="eastAsia" w:ascii="宋体" w:hAnsi="宋体" w:eastAsia="宋体" w:cs="宋体"/>
                <w:color w:val="000000"/>
                <w:kern w:val="0"/>
                <w:sz w:val="21"/>
                <w:szCs w:val="21"/>
                <w:highlight w:val="none"/>
                <w:u w:val="none" w:color="000000"/>
                <w:lang w:val="en-US" w:eastAsia="zh-CN" w:bidi="ar-SA"/>
              </w:rPr>
              <w:t>路线</w:t>
            </w:r>
            <w:r>
              <w:rPr>
                <w:rFonts w:hint="eastAsia" w:cs="宋体"/>
                <w:color w:val="000000"/>
                <w:kern w:val="0"/>
                <w:sz w:val="21"/>
                <w:szCs w:val="21"/>
                <w:highlight w:val="none"/>
                <w:u w:val="none" w:color="000000"/>
                <w:lang w:val="en-US" w:eastAsia="zh-CN" w:bidi="ar-SA"/>
              </w:rPr>
              <w:t>3</w:t>
            </w:r>
            <w:r>
              <w:rPr>
                <w:rFonts w:hint="eastAsia" w:ascii="宋体" w:hAnsi="宋体" w:eastAsia="宋体" w:cs="宋体"/>
                <w:color w:val="000000"/>
                <w:kern w:val="0"/>
                <w:sz w:val="21"/>
                <w:szCs w:val="21"/>
                <w:highlight w:val="none"/>
                <w:u w:val="none" w:color="000000"/>
                <w:lang w:val="en-US" w:eastAsia="zh-CN" w:bidi="ar-SA"/>
              </w:rPr>
              <w:t>：</w:t>
            </w:r>
            <w:r>
              <w:rPr>
                <w:rFonts w:hint="eastAsia" w:cs="宋体"/>
                <w:color w:val="000000"/>
                <w:kern w:val="0"/>
                <w:sz w:val="21"/>
                <w:szCs w:val="21"/>
                <w:highlight w:val="none"/>
                <w:u w:val="none" w:color="000000"/>
              </w:rPr>
              <w:t>江苏苏州五日</w:t>
            </w:r>
          </w:p>
          <w:p>
            <w:pPr>
              <w:pStyle w:val="62"/>
              <w:ind w:left="0" w:leftChars="0" w:firstLine="0" w:firstLineChars="0"/>
              <w:jc w:val="center"/>
              <w:rPr>
                <w:rFonts w:hint="default" w:ascii="宋体" w:hAnsi="宋体" w:eastAsia="宋体" w:cs="宋体"/>
                <w:color w:val="000000"/>
                <w:kern w:val="0"/>
                <w:sz w:val="21"/>
                <w:szCs w:val="21"/>
                <w:highlight w:val="none"/>
                <w:u w:val="none" w:color="000000"/>
                <w:lang w:val="en-US" w:eastAsia="zh-CN" w:bidi="ar-SA"/>
              </w:rPr>
            </w:pPr>
            <w:r>
              <w:rPr>
                <w:rFonts w:hint="eastAsia" w:cs="宋体"/>
                <w:b/>
                <w:bCs/>
                <w:color w:val="000000"/>
                <w:kern w:val="0"/>
                <w:sz w:val="21"/>
                <w:szCs w:val="21"/>
                <w:highlight w:val="none"/>
                <w:u w:val="none" w:color="000000"/>
                <w:lang w:eastAsia="zh-CN"/>
              </w:rPr>
              <w:t>（含大交通）</w:t>
            </w:r>
          </w:p>
        </w:tc>
        <w:tc>
          <w:tcPr>
            <w:tcW w:w="1739" w:type="dxa"/>
            <w:noWrap w:val="0"/>
            <w:vAlign w:val="center"/>
          </w:tcPr>
          <w:p>
            <w:pPr>
              <w:pStyle w:val="62"/>
              <w:ind w:left="0" w:leftChars="0" w:firstLine="0" w:firstLineChars="0"/>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continue"/>
            <w:noWrap w:val="0"/>
            <w:vAlign w:val="center"/>
          </w:tcPr>
          <w:p>
            <w:pPr>
              <w:widowControl/>
              <w:snapToGrid w:val="0"/>
              <w:spacing w:line="348" w:lineRule="auto"/>
              <w:jc w:val="both"/>
              <w:rPr>
                <w:rFonts w:hint="eastAsia" w:ascii="宋体" w:hAnsi="宋体" w:eastAsia="宋体" w:cs="宋体"/>
                <w:color w:val="000000"/>
                <w:kern w:val="0"/>
                <w:sz w:val="24"/>
                <w:szCs w:val="24"/>
                <w:highlight w:val="none"/>
                <w:lang w:val="en-US" w:eastAsia="zh-CN"/>
              </w:rPr>
            </w:pPr>
          </w:p>
        </w:tc>
        <w:tc>
          <w:tcPr>
            <w:tcW w:w="2435" w:type="dxa"/>
            <w:vMerge w:val="continue"/>
            <w:noWrap w:val="0"/>
            <w:vAlign w:val="center"/>
          </w:tcPr>
          <w:p>
            <w:pPr>
              <w:snapToGrid w:val="0"/>
              <w:spacing w:line="348" w:lineRule="auto"/>
              <w:jc w:val="center"/>
              <w:rPr>
                <w:rFonts w:hint="eastAsia"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0" w:type="dxa"/>
            <w:vMerge w:val="continue"/>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p>
        </w:tc>
        <w:tc>
          <w:tcPr>
            <w:tcW w:w="3168" w:type="dxa"/>
            <w:noWrap w:val="0"/>
            <w:vAlign w:val="center"/>
          </w:tcPr>
          <w:p>
            <w:pPr>
              <w:pStyle w:val="62"/>
              <w:ind w:left="0" w:leftChars="0" w:firstLine="0" w:firstLineChars="0"/>
              <w:jc w:val="center"/>
              <w:rPr>
                <w:rFonts w:hint="eastAsia" w:cs="宋体"/>
                <w:color w:val="000000"/>
                <w:kern w:val="0"/>
                <w:sz w:val="21"/>
                <w:szCs w:val="21"/>
                <w:highlight w:val="none"/>
                <w:u w:val="none" w:color="auto"/>
              </w:rPr>
            </w:pPr>
            <w:r>
              <w:rPr>
                <w:rFonts w:hint="eastAsia" w:cs="宋体"/>
                <w:color w:val="000000"/>
                <w:kern w:val="0"/>
                <w:sz w:val="21"/>
                <w:szCs w:val="21"/>
                <w:highlight w:val="none"/>
                <w:u w:val="none" w:color="auto"/>
              </w:rPr>
              <w:t>线路</w:t>
            </w:r>
            <w:r>
              <w:rPr>
                <w:rFonts w:hint="eastAsia" w:cs="宋体"/>
                <w:color w:val="000000"/>
                <w:kern w:val="0"/>
                <w:sz w:val="21"/>
                <w:szCs w:val="21"/>
                <w:highlight w:val="none"/>
                <w:u w:val="none" w:color="auto"/>
                <w:lang w:val="en-US" w:eastAsia="zh-CN"/>
              </w:rPr>
              <w:t>4</w:t>
            </w:r>
            <w:r>
              <w:rPr>
                <w:rFonts w:hint="eastAsia" w:cs="宋体"/>
                <w:color w:val="000000"/>
                <w:kern w:val="0"/>
                <w:sz w:val="21"/>
                <w:szCs w:val="21"/>
                <w:highlight w:val="none"/>
                <w:u w:val="none" w:color="auto"/>
              </w:rPr>
              <w:t>：建德桐庐五日</w:t>
            </w:r>
          </w:p>
          <w:p>
            <w:pPr>
              <w:pStyle w:val="62"/>
              <w:ind w:left="0" w:leftChars="0" w:firstLine="0" w:firstLineChars="0"/>
              <w:jc w:val="center"/>
              <w:rPr>
                <w:rFonts w:hint="eastAsia" w:ascii="宋体" w:hAnsi="宋体" w:eastAsia="宋体" w:cs="宋体"/>
                <w:color w:val="000000"/>
                <w:kern w:val="0"/>
                <w:sz w:val="21"/>
                <w:szCs w:val="21"/>
                <w:highlight w:val="none"/>
                <w:u w:val="none" w:color="000000"/>
                <w:lang w:val="en-US" w:eastAsia="zh-CN" w:bidi="ar-SA"/>
              </w:rPr>
            </w:pPr>
            <w:r>
              <w:rPr>
                <w:rFonts w:hint="eastAsia" w:cs="宋体"/>
                <w:b/>
                <w:bCs/>
                <w:color w:val="000000"/>
                <w:kern w:val="0"/>
                <w:sz w:val="21"/>
                <w:szCs w:val="21"/>
                <w:highlight w:val="none"/>
                <w:u w:val="none" w:color="000000"/>
                <w:lang w:eastAsia="zh-CN"/>
              </w:rPr>
              <w:t>（含大交通）</w:t>
            </w:r>
          </w:p>
        </w:tc>
        <w:tc>
          <w:tcPr>
            <w:tcW w:w="1739" w:type="dxa"/>
            <w:noWrap w:val="0"/>
            <w:vAlign w:val="center"/>
          </w:tcPr>
          <w:p>
            <w:pPr>
              <w:pStyle w:val="62"/>
              <w:ind w:left="0" w:leftChars="0" w:firstLine="0" w:firstLineChars="0"/>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continue"/>
            <w:noWrap w:val="0"/>
            <w:vAlign w:val="center"/>
          </w:tcPr>
          <w:p>
            <w:pPr>
              <w:widowControl/>
              <w:snapToGrid w:val="0"/>
              <w:spacing w:line="348" w:lineRule="auto"/>
              <w:jc w:val="both"/>
              <w:rPr>
                <w:rFonts w:hint="eastAsia" w:ascii="宋体" w:hAnsi="宋体" w:eastAsia="宋体" w:cs="宋体"/>
                <w:color w:val="000000"/>
                <w:kern w:val="0"/>
                <w:sz w:val="24"/>
                <w:szCs w:val="24"/>
                <w:highlight w:val="none"/>
                <w:lang w:val="en-US" w:eastAsia="zh-CN"/>
              </w:rPr>
            </w:pPr>
          </w:p>
        </w:tc>
        <w:tc>
          <w:tcPr>
            <w:tcW w:w="2435" w:type="dxa"/>
            <w:vMerge w:val="continue"/>
            <w:noWrap w:val="0"/>
            <w:vAlign w:val="center"/>
          </w:tcPr>
          <w:p>
            <w:pPr>
              <w:snapToGrid w:val="0"/>
              <w:spacing w:line="348" w:lineRule="auto"/>
              <w:jc w:val="center"/>
              <w:rPr>
                <w:rFonts w:hint="eastAsia"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0" w:type="dxa"/>
            <w:vMerge w:val="restart"/>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标项二</w:t>
            </w:r>
          </w:p>
        </w:tc>
        <w:tc>
          <w:tcPr>
            <w:tcW w:w="3168" w:type="dxa"/>
            <w:noWrap w:val="0"/>
            <w:vAlign w:val="center"/>
          </w:tcPr>
          <w:p>
            <w:pPr>
              <w:widowControl/>
              <w:snapToGrid w:val="0"/>
              <w:spacing w:line="348" w:lineRule="auto"/>
              <w:jc w:val="center"/>
              <w:rPr>
                <w:rFonts w:hint="eastAsia" w:ascii="宋体" w:hAnsi="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路线</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rPr>
              <w:t>新疆阿克苏六日</w:t>
            </w:r>
          </w:p>
          <w:p>
            <w:pPr>
              <w:widowControl/>
              <w:snapToGrid w:val="0"/>
              <w:spacing w:line="348" w:lineRule="auto"/>
              <w:jc w:val="center"/>
              <w:rPr>
                <w:rFonts w:hint="default" w:ascii="宋体" w:hAnsi="宋体" w:eastAsia="宋体" w:cs="宋体"/>
                <w:color w:val="000000"/>
                <w:kern w:val="0"/>
                <w:sz w:val="21"/>
                <w:szCs w:val="21"/>
                <w:highlight w:val="none"/>
                <w:lang w:val="en-US" w:eastAsia="zh-CN" w:bidi="ar-SA"/>
              </w:rPr>
            </w:pPr>
            <w:r>
              <w:rPr>
                <w:rFonts w:hint="eastAsia" w:cs="宋体"/>
                <w:color w:val="000000"/>
                <w:kern w:val="0"/>
                <w:sz w:val="21"/>
                <w:szCs w:val="21"/>
                <w:highlight w:val="none"/>
                <w:u w:val="none" w:color="000000"/>
                <w:lang w:eastAsia="zh-CN"/>
              </w:rPr>
              <w:t>（不含大交通）</w:t>
            </w:r>
          </w:p>
        </w:tc>
        <w:tc>
          <w:tcPr>
            <w:tcW w:w="1739" w:type="dxa"/>
            <w:noWrap w:val="0"/>
            <w:vAlign w:val="center"/>
          </w:tcPr>
          <w:p>
            <w:pPr>
              <w:widowControl/>
              <w:snapToGrid w:val="0"/>
              <w:spacing w:line="348" w:lineRule="auto"/>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restart"/>
            <w:noWrap w:val="0"/>
            <w:vAlign w:val="center"/>
          </w:tcPr>
          <w:p>
            <w:pPr>
              <w:widowControl/>
              <w:snapToGrid w:val="0"/>
              <w:spacing w:line="348" w:lineRule="auto"/>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145人</w:t>
            </w:r>
          </w:p>
        </w:tc>
        <w:tc>
          <w:tcPr>
            <w:tcW w:w="2435" w:type="dxa"/>
            <w:vMerge w:val="continue"/>
            <w:noWrap w:val="0"/>
            <w:vAlign w:val="center"/>
          </w:tcPr>
          <w:p>
            <w:pPr>
              <w:snapToGrid w:val="0"/>
              <w:spacing w:line="348"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0" w:type="dxa"/>
            <w:vMerge w:val="continue"/>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p>
        </w:tc>
        <w:tc>
          <w:tcPr>
            <w:tcW w:w="3168" w:type="dxa"/>
            <w:noWrap w:val="0"/>
            <w:vAlign w:val="center"/>
          </w:tcPr>
          <w:p>
            <w:pPr>
              <w:widowControl/>
              <w:snapToGrid w:val="0"/>
              <w:spacing w:line="348"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路线</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rPr>
              <w:t>四川稻城五</w:t>
            </w:r>
            <w:r>
              <w:rPr>
                <w:rFonts w:hint="eastAsia" w:ascii="宋体" w:hAnsi="宋体" w:cs="宋体"/>
                <w:color w:val="000000"/>
                <w:kern w:val="0"/>
                <w:sz w:val="21"/>
                <w:szCs w:val="21"/>
                <w:highlight w:val="none"/>
                <w:lang w:eastAsia="zh-CN"/>
              </w:rPr>
              <w:t>日</w:t>
            </w:r>
          </w:p>
          <w:p>
            <w:pPr>
              <w:widowControl/>
              <w:snapToGrid w:val="0"/>
              <w:spacing w:line="348" w:lineRule="auto"/>
              <w:jc w:val="center"/>
              <w:rPr>
                <w:rFonts w:hint="default" w:ascii="宋体" w:hAnsi="宋体" w:eastAsia="宋体" w:cs="宋体"/>
                <w:color w:val="000000"/>
                <w:kern w:val="0"/>
                <w:sz w:val="21"/>
                <w:szCs w:val="21"/>
                <w:highlight w:val="none"/>
                <w:lang w:val="en-US" w:eastAsia="zh-CN" w:bidi="ar-SA"/>
              </w:rPr>
            </w:pPr>
            <w:r>
              <w:rPr>
                <w:rFonts w:hint="eastAsia" w:cs="宋体"/>
                <w:color w:val="000000"/>
                <w:kern w:val="0"/>
                <w:sz w:val="21"/>
                <w:szCs w:val="21"/>
                <w:highlight w:val="none"/>
                <w:u w:val="none" w:color="000000"/>
                <w:lang w:eastAsia="zh-CN"/>
              </w:rPr>
              <w:t>（不含大交通）</w:t>
            </w:r>
          </w:p>
        </w:tc>
        <w:tc>
          <w:tcPr>
            <w:tcW w:w="1739" w:type="dxa"/>
            <w:noWrap w:val="0"/>
            <w:vAlign w:val="center"/>
          </w:tcPr>
          <w:p>
            <w:pPr>
              <w:widowControl/>
              <w:snapToGrid w:val="0"/>
              <w:spacing w:line="348" w:lineRule="auto"/>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continue"/>
            <w:noWrap w:val="0"/>
            <w:vAlign w:val="center"/>
          </w:tcPr>
          <w:p>
            <w:pPr>
              <w:widowControl/>
              <w:snapToGrid w:val="0"/>
              <w:spacing w:line="348" w:lineRule="auto"/>
              <w:jc w:val="both"/>
              <w:rPr>
                <w:rFonts w:hint="eastAsia" w:ascii="宋体" w:hAnsi="宋体" w:eastAsia="宋体" w:cs="宋体"/>
                <w:color w:val="000000"/>
                <w:kern w:val="0"/>
                <w:sz w:val="24"/>
                <w:szCs w:val="24"/>
                <w:highlight w:val="none"/>
                <w:lang w:val="en-US" w:eastAsia="zh-CN" w:bidi="ar-SA"/>
              </w:rPr>
            </w:pPr>
          </w:p>
        </w:tc>
        <w:tc>
          <w:tcPr>
            <w:tcW w:w="2435" w:type="dxa"/>
            <w:vMerge w:val="continue"/>
            <w:noWrap w:val="0"/>
            <w:vAlign w:val="center"/>
          </w:tcPr>
          <w:p>
            <w:pPr>
              <w:snapToGrid w:val="0"/>
              <w:spacing w:line="348"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vMerge w:val="continue"/>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p>
        </w:tc>
        <w:tc>
          <w:tcPr>
            <w:tcW w:w="3168" w:type="dxa"/>
            <w:noWrap w:val="0"/>
            <w:vAlign w:val="center"/>
          </w:tcPr>
          <w:p>
            <w:pPr>
              <w:pStyle w:val="62"/>
              <w:ind w:left="0" w:leftChars="0" w:firstLine="0" w:firstLineChars="0"/>
              <w:jc w:val="center"/>
              <w:rPr>
                <w:rFonts w:hint="eastAsia" w:cs="宋体"/>
                <w:color w:val="000000"/>
                <w:kern w:val="0"/>
                <w:sz w:val="21"/>
                <w:szCs w:val="21"/>
                <w:highlight w:val="none"/>
                <w:u w:val="none" w:color="auto"/>
              </w:rPr>
            </w:pPr>
            <w:r>
              <w:rPr>
                <w:rFonts w:hint="eastAsia" w:ascii="宋体" w:hAnsi="宋体" w:eastAsia="宋体" w:cs="宋体"/>
                <w:color w:val="000000"/>
                <w:kern w:val="0"/>
                <w:sz w:val="21"/>
                <w:szCs w:val="21"/>
                <w:highlight w:val="none"/>
                <w:u w:val="none" w:color="auto"/>
                <w:lang w:val="en-US" w:eastAsia="zh-CN" w:bidi="ar-SA"/>
              </w:rPr>
              <w:t>线路</w:t>
            </w:r>
            <w:r>
              <w:rPr>
                <w:rFonts w:hint="eastAsia" w:cs="宋体"/>
                <w:color w:val="000000"/>
                <w:kern w:val="0"/>
                <w:sz w:val="21"/>
                <w:szCs w:val="21"/>
                <w:highlight w:val="none"/>
                <w:u w:val="none" w:color="auto"/>
                <w:lang w:val="en-US" w:eastAsia="zh-CN" w:bidi="ar-SA"/>
              </w:rPr>
              <w:t>3</w:t>
            </w:r>
            <w:r>
              <w:rPr>
                <w:rFonts w:hint="eastAsia" w:ascii="宋体" w:hAnsi="宋体" w:eastAsia="宋体" w:cs="宋体"/>
                <w:color w:val="000000"/>
                <w:kern w:val="0"/>
                <w:sz w:val="21"/>
                <w:szCs w:val="21"/>
                <w:highlight w:val="none"/>
                <w:u w:val="none" w:color="auto"/>
                <w:lang w:val="en-US" w:eastAsia="zh-CN" w:bidi="ar-SA"/>
              </w:rPr>
              <w:t>：</w:t>
            </w:r>
            <w:r>
              <w:rPr>
                <w:rFonts w:hint="eastAsia" w:cs="宋体"/>
                <w:color w:val="000000"/>
                <w:kern w:val="0"/>
                <w:sz w:val="21"/>
                <w:szCs w:val="21"/>
                <w:highlight w:val="none"/>
                <w:u w:val="none" w:color="auto"/>
              </w:rPr>
              <w:t>福建厦门五日</w:t>
            </w:r>
          </w:p>
          <w:p>
            <w:pPr>
              <w:pStyle w:val="62"/>
              <w:ind w:left="0" w:leftChars="0" w:firstLine="0" w:firstLineChars="0"/>
              <w:jc w:val="center"/>
              <w:rPr>
                <w:rFonts w:hint="eastAsia" w:ascii="宋体" w:hAnsi="宋体" w:eastAsia="宋体" w:cs="宋体"/>
                <w:color w:val="000000"/>
                <w:kern w:val="0"/>
                <w:sz w:val="21"/>
                <w:szCs w:val="21"/>
                <w:highlight w:val="none"/>
                <w:u w:val="single" w:color="auto"/>
                <w:lang w:val="en-US" w:eastAsia="zh-CN" w:bidi="ar-SA"/>
              </w:rPr>
            </w:pPr>
            <w:r>
              <w:rPr>
                <w:rFonts w:hint="eastAsia" w:cs="宋体"/>
                <w:b/>
                <w:bCs/>
                <w:color w:val="000000"/>
                <w:kern w:val="0"/>
                <w:sz w:val="21"/>
                <w:szCs w:val="21"/>
                <w:highlight w:val="none"/>
                <w:u w:val="none" w:color="000000"/>
                <w:lang w:eastAsia="zh-CN"/>
              </w:rPr>
              <w:t>（含大交通）</w:t>
            </w:r>
          </w:p>
        </w:tc>
        <w:tc>
          <w:tcPr>
            <w:tcW w:w="1739" w:type="dxa"/>
            <w:noWrap w:val="0"/>
            <w:vAlign w:val="center"/>
          </w:tcPr>
          <w:p>
            <w:pPr>
              <w:pStyle w:val="62"/>
              <w:ind w:left="0" w:leftChars="0" w:firstLine="0" w:firstLineChars="0"/>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continue"/>
            <w:noWrap w:val="0"/>
            <w:vAlign w:val="center"/>
          </w:tcPr>
          <w:p>
            <w:pPr>
              <w:widowControl/>
              <w:snapToGrid w:val="0"/>
              <w:spacing w:line="348" w:lineRule="auto"/>
              <w:jc w:val="both"/>
              <w:rPr>
                <w:rFonts w:hint="eastAsia" w:ascii="宋体" w:hAnsi="宋体" w:eastAsia="宋体" w:cs="宋体"/>
                <w:color w:val="000000"/>
                <w:kern w:val="0"/>
                <w:sz w:val="24"/>
                <w:szCs w:val="24"/>
                <w:highlight w:val="none"/>
                <w:lang w:val="en-US" w:eastAsia="zh-CN"/>
              </w:rPr>
            </w:pPr>
          </w:p>
        </w:tc>
        <w:tc>
          <w:tcPr>
            <w:tcW w:w="2435" w:type="dxa"/>
            <w:vMerge w:val="continue"/>
            <w:noWrap w:val="0"/>
            <w:vAlign w:val="center"/>
          </w:tcPr>
          <w:p>
            <w:pPr>
              <w:snapToGrid w:val="0"/>
              <w:spacing w:line="348"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00" w:type="dxa"/>
            <w:vMerge w:val="continue"/>
            <w:noWrap w:val="0"/>
            <w:vAlign w:val="center"/>
          </w:tcPr>
          <w:p>
            <w:pPr>
              <w:widowControl/>
              <w:snapToGrid w:val="0"/>
              <w:spacing w:line="348" w:lineRule="auto"/>
              <w:jc w:val="center"/>
              <w:rPr>
                <w:rFonts w:hint="eastAsia" w:ascii="宋体" w:hAnsi="宋体" w:eastAsia="宋体" w:cs="宋体"/>
                <w:color w:val="000000"/>
                <w:kern w:val="0"/>
                <w:sz w:val="24"/>
                <w:szCs w:val="24"/>
                <w:highlight w:val="none"/>
              </w:rPr>
            </w:pPr>
          </w:p>
        </w:tc>
        <w:tc>
          <w:tcPr>
            <w:tcW w:w="3168" w:type="dxa"/>
            <w:noWrap w:val="0"/>
            <w:vAlign w:val="center"/>
          </w:tcPr>
          <w:p>
            <w:pPr>
              <w:pStyle w:val="62"/>
              <w:ind w:left="0" w:leftChars="0" w:firstLine="0" w:firstLineChars="0"/>
              <w:jc w:val="center"/>
              <w:rPr>
                <w:rFonts w:hint="eastAsia" w:cs="宋体"/>
                <w:color w:val="000000"/>
                <w:kern w:val="0"/>
                <w:sz w:val="21"/>
                <w:szCs w:val="21"/>
                <w:highlight w:val="none"/>
                <w:u w:val="none" w:color="auto"/>
              </w:rPr>
            </w:pPr>
            <w:r>
              <w:rPr>
                <w:rFonts w:hint="eastAsia" w:cs="宋体"/>
                <w:color w:val="000000"/>
                <w:kern w:val="0"/>
                <w:sz w:val="21"/>
                <w:szCs w:val="21"/>
                <w:highlight w:val="none"/>
                <w:u w:val="none" w:color="auto"/>
              </w:rPr>
              <w:t>线路</w:t>
            </w:r>
            <w:r>
              <w:rPr>
                <w:rFonts w:hint="eastAsia" w:cs="宋体"/>
                <w:color w:val="000000"/>
                <w:kern w:val="0"/>
                <w:sz w:val="21"/>
                <w:szCs w:val="21"/>
                <w:highlight w:val="none"/>
                <w:u w:val="none" w:color="auto"/>
                <w:lang w:val="en-US" w:eastAsia="zh-CN"/>
              </w:rPr>
              <w:t>4</w:t>
            </w:r>
            <w:r>
              <w:rPr>
                <w:rFonts w:hint="eastAsia" w:cs="宋体"/>
                <w:color w:val="000000"/>
                <w:kern w:val="0"/>
                <w:sz w:val="21"/>
                <w:szCs w:val="21"/>
                <w:highlight w:val="none"/>
                <w:u w:val="none" w:color="auto"/>
              </w:rPr>
              <w:t>：温州楠溪江五日</w:t>
            </w:r>
          </w:p>
          <w:p>
            <w:pPr>
              <w:pStyle w:val="62"/>
              <w:ind w:left="0" w:leftChars="0" w:firstLine="0" w:firstLineChars="0"/>
              <w:jc w:val="center"/>
              <w:rPr>
                <w:rFonts w:hint="eastAsia" w:ascii="宋体" w:hAnsi="宋体" w:eastAsia="宋体" w:cs="宋体"/>
                <w:color w:val="000000"/>
                <w:kern w:val="0"/>
                <w:sz w:val="21"/>
                <w:szCs w:val="21"/>
                <w:highlight w:val="none"/>
                <w:u w:val="none" w:color="auto"/>
                <w:lang w:val="en-US" w:eastAsia="zh-CN" w:bidi="ar-SA"/>
              </w:rPr>
            </w:pPr>
            <w:r>
              <w:rPr>
                <w:rFonts w:hint="eastAsia" w:cs="宋体"/>
                <w:b/>
                <w:bCs/>
                <w:color w:val="000000"/>
                <w:kern w:val="0"/>
                <w:sz w:val="21"/>
                <w:szCs w:val="21"/>
                <w:highlight w:val="none"/>
                <w:u w:val="none" w:color="000000"/>
                <w:lang w:eastAsia="zh-CN"/>
              </w:rPr>
              <w:t>（含大交通）</w:t>
            </w:r>
          </w:p>
        </w:tc>
        <w:tc>
          <w:tcPr>
            <w:tcW w:w="1739" w:type="dxa"/>
            <w:noWrap w:val="0"/>
            <w:vAlign w:val="center"/>
          </w:tcPr>
          <w:p>
            <w:pPr>
              <w:pStyle w:val="62"/>
              <w:ind w:left="0" w:leftChars="0" w:firstLine="0" w:firstLineChars="0"/>
              <w:jc w:val="center"/>
              <w:rPr>
                <w:rFonts w:hint="eastAsia" w:cs="宋体"/>
                <w:color w:val="000000"/>
                <w:kern w:val="0"/>
                <w:sz w:val="21"/>
                <w:szCs w:val="21"/>
                <w:highlight w:val="none"/>
                <w:u w:val="none" w:color="000000"/>
                <w:lang w:eastAsia="zh-CN"/>
              </w:rPr>
            </w:pPr>
            <w:r>
              <w:rPr>
                <w:rFonts w:hint="eastAsia"/>
                <w:szCs w:val="21"/>
                <w:lang w:val="en-US" w:eastAsia="zh-CN"/>
              </w:rPr>
              <w:t>3</w:t>
            </w:r>
            <w:r>
              <w:rPr>
                <w:rFonts w:hint="eastAsia"/>
                <w:szCs w:val="21"/>
              </w:rPr>
              <w:t>000元/人</w:t>
            </w:r>
          </w:p>
        </w:tc>
        <w:tc>
          <w:tcPr>
            <w:tcW w:w="1278" w:type="dxa"/>
            <w:vMerge w:val="continue"/>
            <w:noWrap w:val="0"/>
            <w:vAlign w:val="center"/>
          </w:tcPr>
          <w:p>
            <w:pPr>
              <w:widowControl/>
              <w:snapToGrid w:val="0"/>
              <w:spacing w:line="348" w:lineRule="auto"/>
              <w:jc w:val="both"/>
              <w:rPr>
                <w:rFonts w:hint="eastAsia" w:ascii="宋体" w:hAnsi="宋体" w:eastAsia="宋体" w:cs="宋体"/>
                <w:color w:val="000000"/>
                <w:kern w:val="0"/>
                <w:sz w:val="24"/>
                <w:szCs w:val="24"/>
                <w:highlight w:val="none"/>
                <w:lang w:val="en-US" w:eastAsia="zh-CN"/>
              </w:rPr>
            </w:pPr>
          </w:p>
        </w:tc>
        <w:tc>
          <w:tcPr>
            <w:tcW w:w="2435" w:type="dxa"/>
            <w:vMerge w:val="continue"/>
            <w:noWrap w:val="0"/>
            <w:vAlign w:val="center"/>
          </w:tcPr>
          <w:p>
            <w:pPr>
              <w:snapToGrid w:val="0"/>
              <w:spacing w:line="348" w:lineRule="auto"/>
              <w:jc w:val="center"/>
              <w:rPr>
                <w:rFonts w:hint="eastAsia" w:ascii="宋体" w:hAnsi="宋体" w:eastAsia="宋体" w:cs="宋体"/>
                <w:color w:val="000000"/>
                <w:sz w:val="24"/>
                <w:szCs w:val="24"/>
                <w:highlight w:val="none"/>
              </w:rPr>
            </w:pPr>
          </w:p>
        </w:tc>
      </w:tr>
    </w:tbl>
    <w:p>
      <w:pPr>
        <w:widowControl/>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二、</w:t>
      </w:r>
      <w:r>
        <w:rPr>
          <w:rFonts w:hint="eastAsia" w:ascii="宋体" w:hAnsi="宋体" w:eastAsia="宋体" w:cs="宋体"/>
          <w:b/>
          <w:bCs/>
          <w:color w:val="000000"/>
          <w:sz w:val="24"/>
          <w:szCs w:val="24"/>
          <w:highlight w:val="none"/>
        </w:rPr>
        <w:t>行程安排</w:t>
      </w:r>
    </w:p>
    <w:p>
      <w:pPr>
        <w:spacing w:line="360" w:lineRule="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（一）时间、地点、人数</w:t>
      </w:r>
      <w:r>
        <w:rPr>
          <w:rFonts w:hint="eastAsia" w:ascii="宋体" w:hAnsi="宋体" w:eastAsia="宋体" w:cs="宋体"/>
          <w:b/>
          <w:color w:val="000000"/>
          <w:kern w:val="0"/>
          <w:sz w:val="24"/>
          <w:szCs w:val="24"/>
          <w:highlight w:val="none"/>
        </w:rPr>
        <w:tab/>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cs="宋体"/>
          <w:b/>
          <w:color w:val="000000"/>
          <w:kern w:val="0"/>
          <w:sz w:val="24"/>
          <w:szCs w:val="24"/>
          <w:highlight w:val="none"/>
          <w:lang w:eastAsia="zh-CN"/>
        </w:rPr>
        <w:t>计划时间以实际需求为准</w:t>
      </w:r>
      <w:r>
        <w:rPr>
          <w:rFonts w:hint="eastAsia" w:ascii="宋体" w:hAnsi="宋体" w:eastAsia="宋体" w:cs="宋体"/>
          <w:b/>
          <w:color w:val="000000"/>
          <w:kern w:val="0"/>
          <w:sz w:val="24"/>
          <w:szCs w:val="24"/>
          <w:highlight w:val="none"/>
        </w:rPr>
        <w:t>，出行地点为</w:t>
      </w:r>
      <w:r>
        <w:rPr>
          <w:rFonts w:hint="eastAsia" w:ascii="宋体" w:hAnsi="宋体" w:cs="宋体"/>
          <w:b/>
          <w:bCs/>
          <w:color w:val="000000"/>
          <w:sz w:val="24"/>
          <w:szCs w:val="24"/>
          <w:highlight w:val="none"/>
          <w:lang w:eastAsia="zh-CN"/>
        </w:rPr>
        <w:t>采购单位指定地点为准</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二</w:t>
      </w:r>
      <w:r>
        <w:rPr>
          <w:rFonts w:hint="eastAsia" w:ascii="宋体" w:hAnsi="宋体" w:eastAsia="宋体" w:cs="宋体"/>
          <w:color w:val="000000"/>
          <w:sz w:val="24"/>
          <w:szCs w:val="24"/>
          <w:highlight w:val="none"/>
        </w:rPr>
        <w:t>个标项总人数约</w:t>
      </w:r>
      <w:r>
        <w:rPr>
          <w:rFonts w:hint="eastAsia" w:ascii="宋体" w:hAnsi="宋体" w:cs="宋体"/>
          <w:color w:val="000000"/>
          <w:sz w:val="24"/>
          <w:szCs w:val="24"/>
          <w:highlight w:val="none"/>
          <w:lang w:val="en-US" w:eastAsia="zh-CN"/>
        </w:rPr>
        <w:t>295</w:t>
      </w:r>
      <w:r>
        <w:rPr>
          <w:rFonts w:hint="eastAsia" w:ascii="宋体" w:hAnsi="宋体" w:eastAsia="宋体" w:cs="宋体"/>
          <w:color w:val="000000"/>
          <w:sz w:val="24"/>
          <w:szCs w:val="24"/>
          <w:highlight w:val="none"/>
        </w:rPr>
        <w:t>人左右。人员疗养分</w:t>
      </w:r>
      <w:r>
        <w:rPr>
          <w:rFonts w:hint="eastAsia" w:ascii="宋体" w:hAnsi="宋体" w:eastAsia="宋体" w:cs="宋体"/>
          <w:color w:val="000000"/>
          <w:sz w:val="24"/>
          <w:szCs w:val="24"/>
          <w:highlight w:val="none"/>
          <w:lang w:eastAsia="zh-CN"/>
        </w:rPr>
        <w:t>二个标项，每个标项多条</w:t>
      </w:r>
      <w:r>
        <w:rPr>
          <w:rFonts w:hint="eastAsia" w:ascii="宋体" w:hAnsi="宋体" w:eastAsia="宋体" w:cs="宋体"/>
          <w:color w:val="000000"/>
          <w:sz w:val="24"/>
          <w:szCs w:val="24"/>
          <w:highlight w:val="none"/>
        </w:rPr>
        <w:t>路</w:t>
      </w:r>
      <w:r>
        <w:rPr>
          <w:rFonts w:hint="eastAsia" w:ascii="宋体" w:hAnsi="宋体" w:eastAsia="宋体" w:cs="宋体"/>
          <w:color w:val="000000"/>
          <w:sz w:val="24"/>
          <w:szCs w:val="24"/>
          <w:highlight w:val="none"/>
          <w:lang w:eastAsia="zh-CN"/>
        </w:rPr>
        <w:t>线</w:t>
      </w:r>
      <w:r>
        <w:rPr>
          <w:rFonts w:hint="eastAsia" w:ascii="宋体" w:hAnsi="宋体" w:eastAsia="宋体" w:cs="宋体"/>
          <w:color w:val="000000"/>
          <w:sz w:val="24"/>
          <w:szCs w:val="24"/>
          <w:highlight w:val="none"/>
        </w:rPr>
        <w:t>；具体人员清单由采购人分配</w:t>
      </w:r>
      <w:r>
        <w:rPr>
          <w:rFonts w:hint="eastAsia" w:ascii="宋体" w:hAnsi="宋体" w:eastAsia="宋体" w:cs="宋体"/>
          <w:color w:val="000000"/>
          <w:sz w:val="24"/>
          <w:szCs w:val="24"/>
          <w:highlight w:val="none"/>
          <w:lang w:eastAsia="zh-CN"/>
        </w:rPr>
        <w:t>人数</w:t>
      </w:r>
      <w:r>
        <w:rPr>
          <w:rFonts w:hint="eastAsia" w:ascii="宋体" w:hAnsi="宋体" w:eastAsia="宋体" w:cs="宋体"/>
          <w:color w:val="000000"/>
          <w:sz w:val="24"/>
          <w:szCs w:val="24"/>
          <w:highlight w:val="none"/>
        </w:rPr>
        <w:t>。具体批次和出发时间由采购人视情况而定。</w:t>
      </w:r>
    </w:p>
    <w:p>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w:t>
      </w:r>
      <w:r>
        <w:rPr>
          <w:rFonts w:hint="eastAsia" w:ascii="宋体" w:hAnsi="宋体" w:eastAsia="宋体" w:cs="宋体"/>
          <w:b/>
          <w:color w:val="000000"/>
          <w:sz w:val="24"/>
          <w:szCs w:val="24"/>
          <w:highlight w:val="none"/>
        </w:rPr>
        <w:t>二）行程线路拟安排</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1、第一天至第五天</w:t>
      </w:r>
      <w:r>
        <w:rPr>
          <w:rFonts w:hint="eastAsia" w:ascii="宋体" w:hAnsi="宋体" w:cs="宋体"/>
          <w:color w:val="000000"/>
          <w:kern w:val="0"/>
          <w:sz w:val="24"/>
          <w:szCs w:val="24"/>
          <w:highlight w:val="none"/>
          <w:lang w:eastAsia="zh-CN"/>
        </w:rPr>
        <w:t>（其中省外</w:t>
      </w:r>
      <w:r>
        <w:rPr>
          <w:rFonts w:hint="eastAsia" w:ascii="宋体" w:hAnsi="宋体" w:cs="宋体"/>
          <w:color w:val="000000"/>
          <w:kern w:val="0"/>
          <w:sz w:val="24"/>
          <w:highlight w:val="none"/>
        </w:rPr>
        <w:t>新疆阿克苏</w:t>
      </w:r>
      <w:r>
        <w:rPr>
          <w:rFonts w:hint="eastAsia" w:ascii="宋体" w:hAnsi="宋体" w:cs="宋体"/>
          <w:color w:val="000000"/>
          <w:kern w:val="0"/>
          <w:sz w:val="24"/>
          <w:highlight w:val="none"/>
          <w:lang w:eastAsia="zh-CN"/>
        </w:rPr>
        <w:t>为</w:t>
      </w:r>
      <w:r>
        <w:rPr>
          <w:rFonts w:hint="eastAsia" w:ascii="宋体" w:hAnsi="宋体" w:cs="宋体"/>
          <w:color w:val="000000"/>
          <w:kern w:val="0"/>
          <w:sz w:val="24"/>
          <w:highlight w:val="none"/>
        </w:rPr>
        <w:t>六日</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：组织人员活动、参观游览，行程安排符合人员疗养，在确保安全的前提下力求做到动静结合，贴近需求。第五天发放满意度调查表，返回</w:t>
      </w:r>
      <w:r>
        <w:rPr>
          <w:rFonts w:hint="eastAsia" w:ascii="宋体" w:hAnsi="宋体" w:eastAsia="宋体" w:cs="宋体"/>
          <w:color w:val="000000"/>
          <w:kern w:val="0"/>
          <w:sz w:val="24"/>
          <w:szCs w:val="24"/>
          <w:highlight w:val="none"/>
          <w:lang w:eastAsia="zh-CN"/>
        </w:rPr>
        <w:t>出发地</w:t>
      </w:r>
      <w:r>
        <w:rPr>
          <w:rFonts w:hint="eastAsia" w:ascii="宋体" w:hAnsi="宋体" w:eastAsia="宋体" w:cs="宋体"/>
          <w:color w:val="000000"/>
          <w:kern w:val="0"/>
          <w:sz w:val="24"/>
          <w:szCs w:val="24"/>
          <w:highlight w:val="none"/>
        </w:rPr>
        <w:t>。</w:t>
      </w:r>
    </w:p>
    <w:p>
      <w:pPr>
        <w:keepNext w:val="0"/>
        <w:keepLines w:val="0"/>
        <w:pageBreakBefore w:val="0"/>
        <w:widowControl/>
        <w:tabs>
          <w:tab w:val="left" w:pos="0"/>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2、要求：行程安排及景区参观路线可根据天气等实际情况征得采购方同意后调整。</w:t>
      </w:r>
    </w:p>
    <w:p>
      <w:pPr>
        <w:keepNext w:val="0"/>
        <w:keepLines w:val="0"/>
        <w:pageBreakBefore w:val="0"/>
        <w:widowControl/>
        <w:tabs>
          <w:tab w:val="left" w:pos="0"/>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3、线路要求：投标单位须按采购需求</w:t>
      </w:r>
      <w:r>
        <w:rPr>
          <w:rFonts w:hint="eastAsia" w:ascii="宋体" w:hAnsi="宋体" w:eastAsia="宋体" w:cs="宋体"/>
          <w:color w:val="000000"/>
          <w:sz w:val="24"/>
          <w:szCs w:val="24"/>
          <w:highlight w:val="none"/>
          <w:lang w:eastAsia="zh-CN"/>
        </w:rPr>
        <w:t>每个标项路线</w:t>
      </w:r>
      <w:r>
        <w:rPr>
          <w:rFonts w:hint="eastAsia" w:ascii="宋体" w:hAnsi="宋体" w:eastAsia="宋体" w:cs="宋体"/>
          <w:color w:val="000000"/>
          <w:sz w:val="24"/>
          <w:szCs w:val="24"/>
          <w:highlight w:val="none"/>
        </w:rPr>
        <w:t>提供</w:t>
      </w: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种方案</w:t>
      </w:r>
      <w:r>
        <w:rPr>
          <w:rFonts w:hint="eastAsia" w:ascii="宋体" w:hAnsi="宋体" w:eastAsia="宋体" w:cs="宋体"/>
          <w:color w:val="000000"/>
          <w:sz w:val="24"/>
          <w:szCs w:val="24"/>
          <w:highlight w:val="none"/>
        </w:rPr>
        <w:t>，同时此方案不作为采购人最终选定方案。最终方案</w:t>
      </w:r>
      <w:r>
        <w:rPr>
          <w:rFonts w:hint="eastAsia" w:ascii="宋体" w:hAnsi="宋体" w:eastAsia="宋体" w:cs="宋体"/>
          <w:b/>
          <w:bCs/>
          <w:color w:val="000000"/>
          <w:kern w:val="0"/>
          <w:sz w:val="24"/>
          <w:szCs w:val="24"/>
          <w:highlight w:val="none"/>
        </w:rPr>
        <w:t>中标单位</w:t>
      </w:r>
      <w:r>
        <w:rPr>
          <w:rFonts w:hint="eastAsia" w:ascii="宋体" w:hAnsi="宋体" w:eastAsia="宋体" w:cs="宋体"/>
          <w:color w:val="000000"/>
          <w:sz w:val="24"/>
          <w:szCs w:val="24"/>
          <w:highlight w:val="none"/>
        </w:rPr>
        <w:t>须</w:t>
      </w:r>
      <w:r>
        <w:rPr>
          <w:rFonts w:hint="eastAsia" w:ascii="宋体" w:hAnsi="宋体" w:eastAsia="宋体" w:cs="宋体"/>
          <w:b/>
          <w:bCs/>
          <w:color w:val="000000"/>
          <w:kern w:val="0"/>
          <w:sz w:val="24"/>
          <w:szCs w:val="24"/>
          <w:highlight w:val="none"/>
        </w:rPr>
        <w:t>与采购人沟通后再确认的为准。</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4、制定协助旅游的服务方案及旅游出行前的说明。</w:t>
      </w:r>
    </w:p>
    <w:p>
      <w:pPr>
        <w:tabs>
          <w:tab w:val="left" w:pos="0"/>
        </w:tabs>
        <w:spacing w:line="360" w:lineRule="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（三）行程基本要求</w:t>
      </w:r>
    </w:p>
    <w:p>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保险：</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报价包含必须为疗休养职工购买具有一定抵抗风险的保险，包括旅行社责任险和个人旅游人身意外险</w:t>
      </w:r>
      <w:r>
        <w:rPr>
          <w:rFonts w:hint="eastAsia" w:ascii="宋体" w:hAnsi="宋体" w:eastAsia="宋体" w:cs="宋体"/>
          <w:color w:val="auto"/>
          <w:sz w:val="24"/>
          <w:szCs w:val="24"/>
          <w:highlight w:val="none"/>
          <w:lang w:eastAsia="zh-CN"/>
        </w:rPr>
        <w:t>，个人旅游人身意外险保额不得低于</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万元。</w:t>
      </w:r>
    </w:p>
    <w:p>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bCs/>
          <w:color w:val="auto"/>
          <w:sz w:val="24"/>
          <w:szCs w:val="24"/>
          <w:highlight w:val="none"/>
          <w:lang w:val="en-US" w:eastAsia="zh-CN"/>
        </w:rPr>
        <w:t>酒店：</w:t>
      </w:r>
      <w:r>
        <w:rPr>
          <w:rFonts w:hint="eastAsia" w:ascii="宋体" w:hAnsi="宋体" w:eastAsia="宋体" w:cs="宋体"/>
          <w:sz w:val="24"/>
          <w:szCs w:val="24"/>
          <w:highlight w:val="none"/>
        </w:rPr>
        <w:t>住宿酒店为四星及以上商务标间</w:t>
      </w:r>
      <w:r>
        <w:rPr>
          <w:rFonts w:hint="eastAsia" w:ascii="宋体" w:hAnsi="宋体" w:cs="宋体"/>
          <w:sz w:val="24"/>
          <w:szCs w:val="24"/>
          <w:highlight w:val="none"/>
          <w:lang w:eastAsia="zh-CN"/>
        </w:rPr>
        <w:t>（其中</w:t>
      </w:r>
      <w:r>
        <w:rPr>
          <w:rFonts w:hint="eastAsia" w:ascii="宋体" w:hAnsi="宋体" w:cs="宋体"/>
          <w:sz w:val="24"/>
          <w:highlight w:val="none"/>
        </w:rPr>
        <w:t>新疆阿克苏可安排同等档次的民宿</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。供应商方案应列出每一线路的酒店名称、具体地点，另外若团队中出现单男单女，个人不补住房差价，由中标供应商安排并承担；个人要求单住房，需要补交个人房差价；</w:t>
      </w:r>
    </w:p>
    <w:p>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就餐安排：</w:t>
      </w:r>
      <w:r>
        <w:rPr>
          <w:rFonts w:hint="eastAsia" w:ascii="宋体" w:hAnsi="宋体" w:eastAsia="宋体" w:cs="宋体"/>
          <w:sz w:val="24"/>
          <w:szCs w:val="24"/>
          <w:highlight w:val="none"/>
        </w:rPr>
        <w:t>在正规饭店或农家乐就餐，可采用10人一桌或自助餐的形式。入住酒店必须包含早餐，每人每天午餐餐费标准不低于为</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元/人，晚餐餐费标准不低于为</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元/人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kern w:val="0"/>
          <w:sz w:val="24"/>
          <w:szCs w:val="24"/>
          <w:highlight w:val="none"/>
        </w:rPr>
        <w:t xml:space="preserve">食物要求新鲜、安全，适合口味。要求每餐菜品多样，不雷同。餐厅交通便利，环境较好。 </w:t>
      </w:r>
    </w:p>
    <w:p>
      <w:pPr>
        <w:tabs>
          <w:tab w:val="left" w:pos="0"/>
        </w:tabs>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color w:val="000000"/>
          <w:kern w:val="0"/>
          <w:sz w:val="24"/>
          <w:szCs w:val="24"/>
          <w:highlight w:val="none"/>
          <w:lang w:eastAsia="zh-CN"/>
        </w:rPr>
        <w:t>交通</w:t>
      </w:r>
      <w:r>
        <w:rPr>
          <w:rFonts w:hint="eastAsia" w:ascii="宋体" w:hAnsi="宋体" w:eastAsia="宋体" w:cs="宋体"/>
          <w:b/>
          <w:bCs w:val="0"/>
          <w:color w:val="000000"/>
          <w:kern w:val="0"/>
          <w:sz w:val="24"/>
          <w:szCs w:val="24"/>
          <w:highlight w:val="none"/>
        </w:rPr>
        <w:t>：</w:t>
      </w:r>
      <w:r>
        <w:rPr>
          <w:rFonts w:hint="eastAsia" w:ascii="宋体" w:hAnsi="宋体" w:eastAsia="宋体" w:cs="宋体"/>
          <w:color w:val="000000"/>
          <w:kern w:val="0"/>
          <w:sz w:val="24"/>
          <w:szCs w:val="24"/>
          <w:highlight w:val="none"/>
        </w:rPr>
        <w:t>全程空调旅游车</w:t>
      </w:r>
      <w:r>
        <w:rPr>
          <w:rFonts w:hint="eastAsia" w:ascii="宋体" w:hAnsi="宋体" w:eastAsia="宋体" w:cs="宋体"/>
          <w:color w:val="000000"/>
          <w:kern w:val="0"/>
          <w:sz w:val="24"/>
          <w:szCs w:val="24"/>
          <w:highlight w:val="none"/>
          <w:lang w:eastAsia="zh-CN"/>
        </w:rPr>
        <w:t>（省外大交通为飞机）</w:t>
      </w:r>
      <w:r>
        <w:rPr>
          <w:rFonts w:hint="eastAsia" w:ascii="宋体" w:hAnsi="宋体" w:eastAsia="宋体" w:cs="宋体"/>
          <w:color w:val="000000"/>
          <w:kern w:val="0"/>
          <w:sz w:val="24"/>
          <w:szCs w:val="24"/>
          <w:highlight w:val="none"/>
        </w:rPr>
        <w:t>。要求车况好，车位充足，空调效果好，司机服务态度好、技术好，确保行程安全。要求两年内新车，座位37座以上，按照人数1：1.2比例配备。每车至少配备1名导游</w:t>
      </w:r>
      <w:r>
        <w:rPr>
          <w:rFonts w:hint="eastAsia" w:ascii="宋体" w:hAnsi="宋体" w:eastAsia="宋体" w:cs="宋体"/>
          <w:color w:val="auto"/>
          <w:sz w:val="24"/>
          <w:szCs w:val="24"/>
          <w:highlight w:val="none"/>
          <w:lang w:val="en-US" w:eastAsia="zh-CN"/>
        </w:rPr>
        <w:t>。</w:t>
      </w:r>
    </w:p>
    <w:p>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highlight w:val="none"/>
          <w:lang w:val="en-US" w:eastAsia="zh-CN"/>
        </w:rPr>
        <w:t>5.</w:t>
      </w:r>
      <w:r>
        <w:rPr>
          <w:rFonts w:hint="eastAsia" w:ascii="宋体" w:hAnsi="宋体" w:eastAsia="宋体" w:cs="宋体"/>
          <w:b/>
          <w:bCs/>
          <w:color w:val="auto"/>
          <w:sz w:val="24"/>
          <w:szCs w:val="24"/>
          <w:highlight w:val="none"/>
          <w:lang w:val="en-US" w:eastAsia="zh-CN"/>
        </w:rPr>
        <w:t>景点：</w:t>
      </w:r>
      <w:r>
        <w:rPr>
          <w:rFonts w:hint="eastAsia" w:ascii="宋体" w:hAnsi="宋体" w:eastAsia="宋体" w:cs="宋体"/>
          <w:sz w:val="24"/>
          <w:szCs w:val="24"/>
          <w:highlight w:val="none"/>
        </w:rPr>
        <w:t>每条线路中每天景点安排合理，有无自理费用需注明，一天至少安排一个景点</w:t>
      </w:r>
      <w:r>
        <w:rPr>
          <w:rFonts w:hint="eastAsia" w:ascii="宋体" w:hAnsi="宋体" w:eastAsia="宋体" w:cs="宋体"/>
          <w:color w:val="auto"/>
          <w:sz w:val="24"/>
          <w:szCs w:val="24"/>
          <w:highlight w:val="none"/>
          <w:lang w:val="en-US" w:eastAsia="zh-CN"/>
        </w:rPr>
        <w:t>；</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b/>
          <w:bCs/>
          <w:color w:val="000000"/>
          <w:kern w:val="0"/>
          <w:sz w:val="24"/>
          <w:szCs w:val="24"/>
          <w:highlight w:val="none"/>
        </w:rPr>
        <w:t>门票：</w:t>
      </w:r>
      <w:r>
        <w:rPr>
          <w:rFonts w:hint="eastAsia" w:ascii="宋体" w:hAnsi="宋体" w:eastAsia="宋体" w:cs="宋体"/>
          <w:color w:val="000000"/>
          <w:kern w:val="0"/>
          <w:sz w:val="24"/>
          <w:szCs w:val="24"/>
          <w:highlight w:val="none"/>
        </w:rPr>
        <w:t>行程所含景点门票。</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b/>
          <w:bCs/>
          <w:color w:val="000000"/>
          <w:kern w:val="0"/>
          <w:sz w:val="24"/>
          <w:szCs w:val="24"/>
          <w:highlight w:val="none"/>
        </w:rPr>
        <w:t>导游：</w:t>
      </w:r>
      <w:r>
        <w:rPr>
          <w:rFonts w:hint="eastAsia" w:ascii="宋体" w:hAnsi="宋体" w:eastAsia="宋体" w:cs="宋体"/>
          <w:color w:val="000000"/>
          <w:kern w:val="0"/>
          <w:sz w:val="24"/>
          <w:szCs w:val="24"/>
          <w:highlight w:val="none"/>
        </w:rPr>
        <w:t xml:space="preserve">当地优秀资质公司，有导游资格的专业导游讲解服务，全程陪同。 </w:t>
      </w:r>
      <w:r>
        <w:rPr>
          <w:rFonts w:hint="eastAsia" w:ascii="宋体" w:hAnsi="宋体" w:eastAsia="宋体" w:cs="宋体"/>
          <w:color w:val="auto"/>
          <w:sz w:val="24"/>
          <w:szCs w:val="24"/>
          <w:highlight w:val="none"/>
          <w:lang w:val="en-US" w:eastAsia="zh-CN"/>
        </w:rPr>
        <w:t>针对本项目要求投标供应商拟派出的服务人员须持有导游资格证书，其它人员亦要求具有相应的执业资格；</w:t>
      </w:r>
      <w:r>
        <w:rPr>
          <w:rFonts w:hint="eastAsia" w:ascii="宋体" w:hAnsi="宋体" w:eastAsia="宋体" w:cs="宋体"/>
          <w:color w:val="000000"/>
          <w:kern w:val="0"/>
          <w:sz w:val="24"/>
          <w:szCs w:val="24"/>
          <w:highlight w:val="none"/>
        </w:rPr>
        <w:t xml:space="preserve">   </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购物：</w:t>
      </w:r>
      <w:r>
        <w:rPr>
          <w:rFonts w:hint="eastAsia" w:ascii="宋体" w:hAnsi="宋体" w:eastAsia="宋体" w:cs="宋体"/>
          <w:color w:val="000000"/>
          <w:kern w:val="0"/>
          <w:sz w:val="24"/>
          <w:szCs w:val="24"/>
          <w:highlight w:val="none"/>
        </w:rPr>
        <w:t>全程不进购物点。</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无自费的景点或活动，无商业广告及各类产品推销和介绍。</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制定应急预案，发放《行程安排表》和《注意事项》、《满意度调查表》。如遇意外突发事件要及时妥善处理，并做好善后处理工作。</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每批每人配发帽子一顶、行李包一个、雨伞一把（知名一线品牌）、矿泉水不少于二瓶/天/人，每批次准备旅行常备药品一份，</w:t>
      </w:r>
      <w:r>
        <w:rPr>
          <w:rFonts w:hint="eastAsia" w:ascii="宋体" w:hAnsi="宋体" w:eastAsia="宋体" w:cs="宋体"/>
          <w:color w:val="000000"/>
          <w:sz w:val="24"/>
          <w:szCs w:val="24"/>
          <w:highlight w:val="none"/>
        </w:rPr>
        <w:t>如遇职工在疗休养期间过生日的，赠送生日蛋糕一份/人。</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参加疗休养人员名单和个人信息不得外泄。</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每批结束前进行满意度测评，满意度低于80%（一般）的，扣当批疗养费用的10%，低于70%（差）的，扣20%，低于60%（很差）的，扣30%，低于50%（极差）的，扣40%，低于40%（非常差）的，扣60%并扣除履约保证金全款。</w:t>
      </w:r>
    </w:p>
    <w:p>
      <w:pPr>
        <w:tabs>
          <w:tab w:val="left" w:pos="0"/>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rPr>
        <w:t>行程中的相关安全事宜（住宿、交通、饮食等）全部由中标人负责，如出现任何安全事故，则由中标人承担相关经济赔偿与法律义务。</w:t>
      </w:r>
    </w:p>
    <w:p>
      <w:pPr>
        <w:widowControl w:val="0"/>
        <w:numPr>
          <w:ilvl w:val="0"/>
          <w:numId w:val="0"/>
        </w:numPr>
        <w:tabs>
          <w:tab w:val="left" w:pos="284"/>
          <w:tab w:val="left" w:pos="425"/>
        </w:tabs>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 中标供应商的方案应获得招标人的认可，招标人保留对中标供应商的某一线路指定其他方案的权利，组团时间按招标人计划实施，具体出团及返回时间根据供应商编制并获得招标人认可的方案为准。</w:t>
      </w:r>
    </w:p>
    <w:p>
      <w:pPr>
        <w:widowControl w:val="0"/>
        <w:numPr>
          <w:ilvl w:val="0"/>
          <w:numId w:val="0"/>
        </w:numPr>
        <w:tabs>
          <w:tab w:val="left" w:pos="284"/>
          <w:tab w:val="left" w:pos="425"/>
        </w:tabs>
        <w:spacing w:line="360" w:lineRule="auto"/>
        <w:ind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本项目不得以任何理由、任何形式进行转、分包，一经发现招标人可单方面解除合同，所造成的任何损失由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pPr>
        <w:pStyle w:val="26"/>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color w:val="auto"/>
          <w:kern w:val="2"/>
          <w:sz w:val="24"/>
          <w:szCs w:val="24"/>
          <w:highlight w:val="none"/>
          <w:lang w:val="en-US" w:eastAsia="zh-CN" w:bidi="ar-SA"/>
        </w:rPr>
        <w:t>17.出行人数存在不确定性，最终费用按实际出发人数，按实结算。</w:t>
      </w:r>
    </w:p>
    <w:p>
      <w:pPr>
        <w:adjustRightInd w:val="0"/>
        <w:spacing w:line="360" w:lineRule="auto"/>
        <w:ind w:firstLine="0" w:firstLineChars="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三、其他需求</w:t>
      </w:r>
    </w:p>
    <w:p>
      <w:pPr>
        <w:adjustRightInd w:val="0"/>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中标人不得以人数不足、行业要求及其他相关的不成团要求而不发团，中标后各标项中标单位及时与采购单位沟通相关细节及线路的优化事项。</w:t>
      </w:r>
    </w:p>
    <w:p>
      <w:pPr>
        <w:adjustRightInd w:val="0"/>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本项目需执行的国家相关标准、行业标准、地方标准或者其他标准、规范。</w:t>
      </w:r>
      <w:r>
        <w:rPr>
          <w:rFonts w:hint="eastAsia" w:ascii="宋体" w:hAnsi="宋体" w:eastAsia="宋体" w:cs="宋体"/>
          <w:color w:val="000000"/>
          <w:kern w:val="0"/>
          <w:sz w:val="24"/>
          <w:szCs w:val="24"/>
          <w:highlight w:val="none"/>
        </w:rPr>
        <w:t>通过满意度测评和中标人提供总结报告的方式进行验收。</w:t>
      </w:r>
    </w:p>
    <w:p>
      <w:pPr>
        <w:pStyle w:val="26"/>
        <w:adjustRightInd w:val="0"/>
        <w:snapToGrid w:val="0"/>
        <w:spacing w:line="360" w:lineRule="auto"/>
        <w:ind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四、服务期要求</w:t>
      </w:r>
    </w:p>
    <w:p>
      <w:pPr>
        <w:pStyle w:val="482"/>
        <w:snapToGrid w:val="0"/>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自合同签订生效之日起至202</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年12月31日止。如采购人有所需要，中标单位应根据采购人的要求延续提供服务，费用标准按原合同规定执行。</w:t>
      </w:r>
    </w:p>
    <w:p>
      <w:pPr>
        <w:adjustRightInd w:val="0"/>
        <w:snapToGrid w:val="0"/>
        <w:spacing w:line="360" w:lineRule="auto"/>
        <w:ind w:firstLine="0" w:firstLineChars="0"/>
        <w:rPr>
          <w:rFonts w:hint="eastAsia" w:ascii="宋体" w:hAnsi="宋体" w:eastAsia="宋体" w:cs="宋体"/>
          <w:color w:val="000000"/>
          <w:sz w:val="24"/>
          <w:szCs w:val="24"/>
          <w:highlight w:val="none"/>
          <w:lang w:bidi="zh-CN"/>
        </w:rPr>
      </w:pPr>
      <w:r>
        <w:rPr>
          <w:rFonts w:hint="eastAsia" w:ascii="宋体" w:hAnsi="宋体" w:eastAsia="宋体" w:cs="宋体"/>
          <w:b/>
          <w:bCs/>
          <w:color w:val="000000"/>
          <w:sz w:val="24"/>
          <w:szCs w:val="24"/>
          <w:highlight w:val="none"/>
        </w:rPr>
        <w:t>五、付款方式</w:t>
      </w:r>
    </w:p>
    <w:p>
      <w:pPr>
        <w:adjustRightInd w:val="0"/>
        <w:snapToGrid w:val="0"/>
        <w:spacing w:line="360" w:lineRule="auto"/>
        <w:ind w:firstLine="480" w:firstLineChars="200"/>
        <w:rPr>
          <w:rFonts w:hint="eastAsia" w:ascii="宋体" w:hAnsi="宋体" w:cs="宋体"/>
          <w:bCs/>
          <w:color w:val="000000"/>
          <w:sz w:val="24"/>
          <w:szCs w:val="24"/>
          <w:highlight w:val="none"/>
          <w:lang w:val="en-US" w:eastAsia="zh-CN"/>
        </w:rPr>
      </w:pPr>
      <w:r>
        <w:rPr>
          <w:rFonts w:hint="eastAsia" w:ascii="宋体" w:hAnsi="宋体" w:eastAsia="宋体" w:cs="宋体"/>
          <w:bCs/>
          <w:color w:val="000000"/>
          <w:sz w:val="24"/>
          <w:szCs w:val="24"/>
          <w:highlight w:val="none"/>
        </w:rPr>
        <w:t>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w:t>
      </w:r>
      <w:r>
        <w:rPr>
          <w:rFonts w:hint="eastAsia" w:ascii="宋体" w:hAnsi="宋体" w:cs="宋体"/>
          <w:bCs/>
          <w:color w:val="000000"/>
          <w:sz w:val="24"/>
          <w:szCs w:val="24"/>
          <w:highlight w:val="none"/>
          <w:lang w:val="en-US" w:eastAsia="zh-CN"/>
        </w:rPr>
        <w:t xml:space="preserve">   </w:t>
      </w:r>
    </w:p>
    <w:p>
      <w:pPr>
        <w:adjustRightInd w:val="0"/>
        <w:snapToGrid w:val="0"/>
        <w:spacing w:line="360" w:lineRule="auto"/>
        <w:ind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六、采购人认为必须说明的其他内容</w:t>
      </w:r>
    </w:p>
    <w:p>
      <w:pPr>
        <w:pStyle w:val="23"/>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1、其他按采购人相关要求及政策规范执行。</w:t>
      </w:r>
    </w:p>
    <w:p>
      <w:pPr>
        <w:widowControl/>
        <w:snapToGrid w:val="0"/>
        <w:spacing w:line="336" w:lineRule="auto"/>
        <w:ind w:firstLine="480" w:firstLineChars="200"/>
        <w:jc w:val="left"/>
        <w:rPr>
          <w:rFonts w:hint="eastAsia" w:ascii="宋体" w:hAnsi="宋体" w:eastAsia="宋体" w:cs="宋体"/>
          <w:b/>
          <w:color w:val="000000"/>
          <w:sz w:val="24"/>
          <w:szCs w:val="24"/>
          <w:highlight w:val="none"/>
        </w:rPr>
      </w:pPr>
      <w:r>
        <w:rPr>
          <w:rFonts w:hint="eastAsia"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、本项目服务期间如遇新政策调整工会疗休养标准的，双方协商按新政策执行。</w:t>
      </w:r>
    </w:p>
    <w:p>
      <w:pPr>
        <w:pStyle w:val="23"/>
        <w:spacing w:line="336" w:lineRule="auto"/>
        <w:ind w:firstLine="480"/>
        <w:rPr>
          <w:rFonts w:hint="eastAsia" w:ascii="宋体" w:hAnsi="宋体" w:eastAsia="宋体" w:cs="宋体"/>
          <w:color w:val="000000"/>
          <w:sz w:val="24"/>
          <w:szCs w:val="24"/>
          <w:highlight w:val="none"/>
        </w:rPr>
      </w:pPr>
    </w:p>
    <w:p>
      <w:pPr>
        <w:pStyle w:val="80"/>
        <w:rPr>
          <w:rFonts w:hint="eastAsia"/>
        </w:rPr>
      </w:pPr>
    </w:p>
    <w:p>
      <w:pPr>
        <w:numPr>
          <w:ilvl w:val="-1"/>
          <w:numId w:val="0"/>
        </w:numPr>
        <w:spacing w:line="240" w:lineRule="auto"/>
        <w:jc w:val="left"/>
        <w:outlineLvl w:val="9"/>
      </w:pPr>
    </w:p>
    <w:p>
      <w:pPr>
        <w:numPr>
          <w:ilvl w:val="-1"/>
          <w:numId w:val="0"/>
        </w:numPr>
        <w:spacing w:line="240" w:lineRule="auto"/>
        <w:jc w:val="left"/>
        <w:outlineLvl w:val="9"/>
        <w:rPr>
          <w:rFonts w:hint="eastAsia" w:ascii="宋体" w:hAnsi="宋体" w:cs="宋体"/>
          <w:b/>
          <w:sz w:val="24"/>
        </w:rPr>
      </w:pPr>
      <w:r>
        <w:rPr>
          <w:rFonts w:hint="eastAsia" w:ascii="宋体" w:hAnsi="宋体" w:cs="宋体"/>
          <w:b/>
          <w:sz w:val="24"/>
        </w:rPr>
        <w:br w:type="page"/>
      </w:r>
    </w:p>
    <w:p>
      <w:pPr>
        <w:numPr>
          <w:ilvl w:val="-1"/>
          <w:numId w:val="0"/>
        </w:num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0328"/>
      <w:bookmarkEnd w:id="28"/>
      <w:bookmarkStart w:id="29" w:name="_Toc184313238"/>
      <w:bookmarkEnd w:id="29"/>
      <w:bookmarkStart w:id="30" w:name="_Toc184314478"/>
      <w:bookmarkEnd w:id="30"/>
      <w:bookmarkStart w:id="31" w:name="_Toc184313252"/>
      <w:bookmarkEnd w:id="31"/>
      <w:bookmarkStart w:id="32" w:name="_Toc184310304"/>
      <w:bookmarkEnd w:id="32"/>
      <w:bookmarkStart w:id="33" w:name="_Toc184314453"/>
      <w:bookmarkEnd w:id="33"/>
      <w:bookmarkStart w:id="34" w:name="_Toc184312124"/>
      <w:bookmarkEnd w:id="34"/>
      <w:bookmarkStart w:id="35" w:name="_Toc184314431"/>
      <w:bookmarkEnd w:id="35"/>
      <w:bookmarkStart w:id="36" w:name="_Toc184310320"/>
      <w:bookmarkEnd w:id="36"/>
      <w:bookmarkStart w:id="37" w:name="_Toc184308074"/>
      <w:bookmarkEnd w:id="37"/>
      <w:bookmarkStart w:id="38" w:name="_Toc184310308"/>
      <w:bookmarkEnd w:id="38"/>
      <w:bookmarkStart w:id="39" w:name="_Toc184313300"/>
      <w:bookmarkEnd w:id="39"/>
      <w:bookmarkStart w:id="40" w:name="_Toc184314468"/>
      <w:bookmarkEnd w:id="40"/>
      <w:bookmarkStart w:id="41" w:name="_Toc184313267"/>
      <w:bookmarkEnd w:id="41"/>
      <w:bookmarkStart w:id="42" w:name="_Toc184308068"/>
      <w:bookmarkEnd w:id="42"/>
      <w:bookmarkStart w:id="43" w:name="_Toc184312139"/>
      <w:bookmarkEnd w:id="43"/>
      <w:bookmarkStart w:id="44" w:name="_Toc184312084"/>
      <w:bookmarkEnd w:id="44"/>
      <w:bookmarkStart w:id="45" w:name="_Toc184308065"/>
      <w:bookmarkEnd w:id="45"/>
      <w:bookmarkStart w:id="46" w:name="_Toc184310329"/>
      <w:bookmarkEnd w:id="46"/>
      <w:bookmarkStart w:id="47" w:name="_Toc184312112"/>
      <w:bookmarkEnd w:id="47"/>
      <w:bookmarkStart w:id="48" w:name="_Toc184312100"/>
      <w:bookmarkEnd w:id="48"/>
      <w:bookmarkStart w:id="49" w:name="_Toc184308056"/>
      <w:bookmarkEnd w:id="49"/>
      <w:bookmarkStart w:id="50" w:name="_Toc184308058"/>
      <w:bookmarkEnd w:id="50"/>
      <w:bookmarkStart w:id="51" w:name="_Toc184313239"/>
      <w:bookmarkEnd w:id="51"/>
      <w:bookmarkStart w:id="52" w:name="_Toc184313285"/>
      <w:bookmarkEnd w:id="52"/>
      <w:bookmarkStart w:id="53" w:name="_Toc184313304"/>
      <w:bookmarkEnd w:id="53"/>
      <w:bookmarkStart w:id="54" w:name="_Toc184314443"/>
      <w:bookmarkEnd w:id="54"/>
      <w:bookmarkStart w:id="55" w:name="_Toc184314463"/>
      <w:bookmarkEnd w:id="55"/>
      <w:bookmarkStart w:id="56" w:name="_Toc184308083"/>
      <w:bookmarkEnd w:id="56"/>
      <w:bookmarkStart w:id="57" w:name="_Toc184308051"/>
      <w:bookmarkEnd w:id="57"/>
      <w:bookmarkStart w:id="58" w:name="_Toc184312071"/>
      <w:bookmarkEnd w:id="58"/>
      <w:bookmarkStart w:id="59" w:name="_Toc184312099"/>
      <w:bookmarkEnd w:id="59"/>
      <w:bookmarkStart w:id="60" w:name="_Toc184314412"/>
      <w:bookmarkEnd w:id="60"/>
      <w:bookmarkStart w:id="61" w:name="_Toc184308087"/>
      <w:bookmarkEnd w:id="61"/>
      <w:bookmarkStart w:id="62" w:name="_Toc184310331"/>
      <w:bookmarkEnd w:id="62"/>
      <w:bookmarkStart w:id="63" w:name="_Toc184308043"/>
      <w:bookmarkEnd w:id="63"/>
      <w:bookmarkStart w:id="64" w:name="_Toc184312096"/>
      <w:bookmarkEnd w:id="64"/>
      <w:bookmarkStart w:id="65" w:name="_Toc184312074"/>
      <w:bookmarkEnd w:id="65"/>
      <w:bookmarkStart w:id="66" w:name="_Toc184312109"/>
      <w:bookmarkEnd w:id="66"/>
      <w:bookmarkStart w:id="67" w:name="_Toc184313242"/>
      <w:bookmarkEnd w:id="67"/>
      <w:bookmarkStart w:id="68" w:name="_Toc184314475"/>
      <w:bookmarkEnd w:id="68"/>
      <w:bookmarkStart w:id="69" w:name="_Toc184312114"/>
      <w:bookmarkEnd w:id="69"/>
      <w:bookmarkStart w:id="70" w:name="_Toc184314441"/>
      <w:bookmarkEnd w:id="70"/>
      <w:bookmarkStart w:id="71" w:name="_Toc184313294"/>
      <w:bookmarkEnd w:id="71"/>
      <w:bookmarkStart w:id="72" w:name="_Toc184308071"/>
      <w:bookmarkEnd w:id="72"/>
      <w:bookmarkStart w:id="73" w:name="_Toc184308084"/>
      <w:bookmarkEnd w:id="73"/>
      <w:bookmarkStart w:id="74" w:name="_Toc184310315"/>
      <w:bookmarkEnd w:id="74"/>
      <w:bookmarkStart w:id="75" w:name="_Toc184310332"/>
      <w:bookmarkEnd w:id="75"/>
      <w:bookmarkStart w:id="76" w:name="_Toc184314457"/>
      <w:bookmarkEnd w:id="76"/>
      <w:bookmarkStart w:id="77" w:name="_Toc184310321"/>
      <w:bookmarkEnd w:id="77"/>
      <w:bookmarkStart w:id="78" w:name="_Toc184310312"/>
      <w:bookmarkEnd w:id="78"/>
      <w:bookmarkStart w:id="79" w:name="_Toc184308086"/>
      <w:bookmarkEnd w:id="79"/>
      <w:bookmarkStart w:id="80" w:name="_Toc184308053"/>
      <w:bookmarkEnd w:id="80"/>
      <w:bookmarkStart w:id="81" w:name="_Toc184312089"/>
      <w:bookmarkEnd w:id="81"/>
      <w:bookmarkStart w:id="82" w:name="_Toc184312113"/>
      <w:bookmarkEnd w:id="82"/>
      <w:bookmarkStart w:id="83" w:name="_Toc184310286"/>
      <w:bookmarkEnd w:id="83"/>
      <w:bookmarkStart w:id="84" w:name="_Toc184312121"/>
      <w:bookmarkEnd w:id="84"/>
      <w:bookmarkStart w:id="85" w:name="_Toc184308101"/>
      <w:bookmarkEnd w:id="85"/>
      <w:bookmarkStart w:id="86" w:name="_Toc184310281"/>
      <w:bookmarkEnd w:id="86"/>
      <w:bookmarkStart w:id="87" w:name="_Toc184308075"/>
      <w:bookmarkEnd w:id="87"/>
      <w:bookmarkStart w:id="88" w:name="_Toc184310303"/>
      <w:bookmarkEnd w:id="88"/>
      <w:bookmarkStart w:id="89" w:name="_Toc184310298"/>
      <w:bookmarkEnd w:id="89"/>
      <w:bookmarkStart w:id="90" w:name="_Toc184312081"/>
      <w:bookmarkEnd w:id="90"/>
      <w:bookmarkStart w:id="91" w:name="_Toc184308044"/>
      <w:bookmarkEnd w:id="91"/>
      <w:bookmarkStart w:id="92" w:name="_Toc184313272"/>
      <w:bookmarkEnd w:id="92"/>
      <w:bookmarkStart w:id="93" w:name="_Toc184310295"/>
      <w:bookmarkEnd w:id="93"/>
      <w:bookmarkStart w:id="94" w:name="_Toc184313288"/>
      <w:bookmarkEnd w:id="94"/>
      <w:bookmarkStart w:id="95" w:name="_Toc184314472"/>
      <w:bookmarkEnd w:id="95"/>
      <w:bookmarkStart w:id="96" w:name="_Toc184310282"/>
      <w:bookmarkEnd w:id="96"/>
      <w:bookmarkStart w:id="97" w:name="_Toc184312094"/>
      <w:bookmarkEnd w:id="97"/>
      <w:bookmarkStart w:id="98" w:name="_Toc184312128"/>
      <w:bookmarkEnd w:id="98"/>
      <w:bookmarkStart w:id="99" w:name="_Toc184308052"/>
      <w:bookmarkEnd w:id="99"/>
      <w:bookmarkStart w:id="100" w:name="_Toc184313283"/>
      <w:bookmarkEnd w:id="100"/>
      <w:bookmarkStart w:id="101" w:name="_Toc184312137"/>
      <w:bookmarkEnd w:id="101"/>
      <w:bookmarkStart w:id="102" w:name="_Toc184313309"/>
      <w:bookmarkEnd w:id="102"/>
      <w:bookmarkStart w:id="103" w:name="_Toc184312116"/>
      <w:bookmarkEnd w:id="103"/>
      <w:bookmarkStart w:id="104" w:name="_Toc184308080"/>
      <w:bookmarkEnd w:id="104"/>
      <w:bookmarkStart w:id="105" w:name="_Toc184312090"/>
      <w:bookmarkEnd w:id="105"/>
      <w:bookmarkStart w:id="106" w:name="_Toc184310285"/>
      <w:bookmarkEnd w:id="106"/>
      <w:bookmarkStart w:id="107" w:name="_Toc184313286"/>
      <w:bookmarkEnd w:id="107"/>
      <w:bookmarkStart w:id="108" w:name="_Toc184308049"/>
      <w:bookmarkEnd w:id="108"/>
      <w:bookmarkStart w:id="109" w:name="_Toc184308107"/>
      <w:bookmarkEnd w:id="109"/>
      <w:bookmarkStart w:id="110" w:name="_Toc184313261"/>
      <w:bookmarkEnd w:id="110"/>
      <w:bookmarkStart w:id="111" w:name="_Toc184313284"/>
      <w:bookmarkEnd w:id="111"/>
      <w:bookmarkStart w:id="112" w:name="_Toc184314433"/>
      <w:bookmarkEnd w:id="112"/>
      <w:bookmarkStart w:id="113" w:name="_Toc184310342"/>
      <w:bookmarkEnd w:id="113"/>
      <w:bookmarkStart w:id="114" w:name="_Toc184313302"/>
      <w:bookmarkEnd w:id="114"/>
      <w:bookmarkStart w:id="115" w:name="_Toc184312087"/>
      <w:bookmarkEnd w:id="115"/>
      <w:bookmarkStart w:id="116" w:name="_Toc184308103"/>
      <w:bookmarkEnd w:id="116"/>
      <w:bookmarkStart w:id="117" w:name="_Toc184312133"/>
      <w:bookmarkEnd w:id="117"/>
      <w:bookmarkStart w:id="118" w:name="_Toc184314448"/>
      <w:bookmarkEnd w:id="118"/>
      <w:bookmarkStart w:id="119" w:name="_Toc184308045"/>
      <w:bookmarkEnd w:id="119"/>
      <w:bookmarkStart w:id="120" w:name="_Toc184312086"/>
      <w:bookmarkEnd w:id="120"/>
      <w:bookmarkStart w:id="121" w:name="_Toc184312101"/>
      <w:bookmarkEnd w:id="121"/>
      <w:bookmarkStart w:id="122" w:name="_Toc184310301"/>
      <w:bookmarkEnd w:id="122"/>
      <w:bookmarkStart w:id="123" w:name="_Toc184308060"/>
      <w:bookmarkEnd w:id="123"/>
      <w:bookmarkStart w:id="124" w:name="_Toc184310279"/>
      <w:bookmarkEnd w:id="124"/>
      <w:bookmarkStart w:id="125" w:name="_Toc184308063"/>
      <w:bookmarkEnd w:id="125"/>
      <w:bookmarkStart w:id="126" w:name="_Toc184312082"/>
      <w:bookmarkEnd w:id="126"/>
      <w:bookmarkStart w:id="127" w:name="_Toc184313264"/>
      <w:bookmarkEnd w:id="127"/>
      <w:bookmarkStart w:id="128" w:name="_Toc184312098"/>
      <w:bookmarkEnd w:id="128"/>
      <w:bookmarkStart w:id="129" w:name="_Toc184310339"/>
      <w:bookmarkEnd w:id="129"/>
      <w:bookmarkStart w:id="130" w:name="_Toc184312103"/>
      <w:bookmarkEnd w:id="130"/>
      <w:bookmarkStart w:id="131" w:name="_Toc184314480"/>
      <w:bookmarkEnd w:id="131"/>
      <w:bookmarkStart w:id="132" w:name="_Toc184313243"/>
      <w:bookmarkEnd w:id="132"/>
      <w:bookmarkStart w:id="133" w:name="_Toc184314477"/>
      <w:bookmarkEnd w:id="133"/>
      <w:bookmarkStart w:id="134" w:name="_Toc184312132"/>
      <w:bookmarkEnd w:id="134"/>
      <w:bookmarkStart w:id="135" w:name="_Toc184312080"/>
      <w:bookmarkEnd w:id="135"/>
      <w:bookmarkStart w:id="136" w:name="_Toc184312111"/>
      <w:bookmarkEnd w:id="136"/>
      <w:bookmarkStart w:id="137" w:name="_Toc184314451"/>
      <w:bookmarkEnd w:id="137"/>
      <w:bookmarkStart w:id="138" w:name="_Toc184312105"/>
      <w:bookmarkEnd w:id="138"/>
      <w:bookmarkStart w:id="139" w:name="_Toc184310277"/>
      <w:bookmarkEnd w:id="139"/>
      <w:bookmarkStart w:id="140" w:name="_Toc184312093"/>
      <w:bookmarkEnd w:id="140"/>
      <w:bookmarkStart w:id="141" w:name="_Toc184313249"/>
      <w:bookmarkEnd w:id="141"/>
      <w:bookmarkStart w:id="142" w:name="_Toc184312095"/>
      <w:bookmarkEnd w:id="142"/>
      <w:bookmarkStart w:id="143" w:name="_Toc184313287"/>
      <w:bookmarkEnd w:id="143"/>
      <w:bookmarkStart w:id="144" w:name="_Toc184313269"/>
      <w:bookmarkEnd w:id="144"/>
      <w:bookmarkStart w:id="145" w:name="_Toc184308072"/>
      <w:bookmarkEnd w:id="145"/>
      <w:bookmarkStart w:id="146" w:name="_Toc184308048"/>
      <w:bookmarkEnd w:id="146"/>
      <w:bookmarkStart w:id="147" w:name="_Toc184314416"/>
      <w:bookmarkEnd w:id="147"/>
      <w:bookmarkStart w:id="148" w:name="_Toc184314422"/>
      <w:bookmarkEnd w:id="148"/>
      <w:bookmarkStart w:id="149" w:name="_Toc184312136"/>
      <w:bookmarkEnd w:id="149"/>
      <w:bookmarkStart w:id="150" w:name="_Toc184314435"/>
      <w:bookmarkEnd w:id="150"/>
      <w:bookmarkStart w:id="151" w:name="_Toc184312110"/>
      <w:bookmarkEnd w:id="151"/>
      <w:bookmarkStart w:id="152" w:name="_Toc184312119"/>
      <w:bookmarkEnd w:id="152"/>
      <w:bookmarkStart w:id="153" w:name="_Toc184312134"/>
      <w:bookmarkEnd w:id="153"/>
      <w:bookmarkStart w:id="154" w:name="_Toc184312091"/>
      <w:bookmarkEnd w:id="154"/>
      <w:bookmarkStart w:id="155" w:name="_Toc184308059"/>
      <w:bookmarkEnd w:id="155"/>
      <w:bookmarkStart w:id="156" w:name="_Toc184313298"/>
      <w:bookmarkEnd w:id="156"/>
      <w:bookmarkStart w:id="157" w:name="_Toc184312115"/>
      <w:bookmarkEnd w:id="157"/>
      <w:bookmarkStart w:id="158" w:name="_Toc184308064"/>
      <w:bookmarkEnd w:id="158"/>
      <w:bookmarkStart w:id="159" w:name="_Toc184314430"/>
      <w:bookmarkEnd w:id="159"/>
      <w:bookmarkStart w:id="160" w:name="_Toc184308085"/>
      <w:bookmarkEnd w:id="160"/>
      <w:bookmarkStart w:id="161" w:name="_Toc184312069"/>
      <w:bookmarkEnd w:id="161"/>
      <w:bookmarkStart w:id="162" w:name="_Toc184314459"/>
      <w:bookmarkEnd w:id="162"/>
      <w:bookmarkStart w:id="163" w:name="_Toc184313292"/>
      <w:bookmarkEnd w:id="163"/>
      <w:bookmarkStart w:id="164" w:name="_Toc184310300"/>
      <w:bookmarkEnd w:id="164"/>
      <w:bookmarkStart w:id="165" w:name="_Toc184314465"/>
      <w:bookmarkEnd w:id="165"/>
      <w:bookmarkStart w:id="166" w:name="_Toc184312076"/>
      <w:bookmarkEnd w:id="166"/>
      <w:bookmarkStart w:id="167" w:name="_Toc184308040"/>
      <w:bookmarkEnd w:id="167"/>
      <w:bookmarkStart w:id="168" w:name="_Toc184312127"/>
      <w:bookmarkEnd w:id="168"/>
      <w:bookmarkStart w:id="169" w:name="_Toc184313247"/>
      <w:bookmarkEnd w:id="169"/>
      <w:bookmarkStart w:id="170" w:name="_Toc184308082"/>
      <w:bookmarkEnd w:id="170"/>
      <w:bookmarkStart w:id="171" w:name="_Toc184314454"/>
      <w:bookmarkEnd w:id="171"/>
      <w:bookmarkStart w:id="172" w:name="_Toc184314436"/>
      <w:bookmarkEnd w:id="172"/>
      <w:bookmarkStart w:id="173" w:name="_Toc184312072"/>
      <w:bookmarkEnd w:id="173"/>
      <w:bookmarkStart w:id="174" w:name="_Toc184310322"/>
      <w:bookmarkEnd w:id="174"/>
      <w:bookmarkStart w:id="175" w:name="_Toc184312122"/>
      <w:bookmarkEnd w:id="175"/>
      <w:bookmarkStart w:id="176" w:name="_Toc184314471"/>
      <w:bookmarkEnd w:id="176"/>
      <w:bookmarkStart w:id="177" w:name="_Toc184313263"/>
      <w:bookmarkEnd w:id="177"/>
      <w:bookmarkStart w:id="178" w:name="_Toc184312102"/>
      <w:bookmarkEnd w:id="178"/>
      <w:bookmarkStart w:id="179" w:name="_Toc184313275"/>
      <w:bookmarkEnd w:id="179"/>
      <w:bookmarkStart w:id="180" w:name="_Toc184308055"/>
      <w:bookmarkEnd w:id="180"/>
      <w:bookmarkStart w:id="181" w:name="_Toc184310294"/>
      <w:bookmarkEnd w:id="181"/>
      <w:bookmarkStart w:id="182" w:name="_Toc184314469"/>
      <w:bookmarkEnd w:id="182"/>
      <w:bookmarkStart w:id="183" w:name="_Toc184308067"/>
      <w:bookmarkEnd w:id="183"/>
      <w:bookmarkStart w:id="184" w:name="_Toc184313305"/>
      <w:bookmarkEnd w:id="184"/>
      <w:bookmarkStart w:id="185" w:name="_Toc184313268"/>
      <w:bookmarkEnd w:id="185"/>
      <w:bookmarkStart w:id="186" w:name="_Toc184308091"/>
      <w:bookmarkEnd w:id="186"/>
      <w:bookmarkStart w:id="187" w:name="_Toc184313293"/>
      <w:bookmarkEnd w:id="187"/>
      <w:bookmarkStart w:id="188" w:name="_Toc184313257"/>
      <w:bookmarkEnd w:id="188"/>
      <w:bookmarkStart w:id="189" w:name="_Toc184312106"/>
      <w:bookmarkEnd w:id="189"/>
      <w:bookmarkStart w:id="190" w:name="_Toc184310292"/>
      <w:bookmarkEnd w:id="190"/>
      <w:bookmarkStart w:id="191" w:name="_Toc184310323"/>
      <w:bookmarkEnd w:id="191"/>
      <w:bookmarkStart w:id="192" w:name="_Toc184313265"/>
      <w:bookmarkEnd w:id="192"/>
      <w:bookmarkStart w:id="193" w:name="_Toc184313310"/>
      <w:bookmarkEnd w:id="193"/>
      <w:bookmarkStart w:id="194" w:name="_Toc184308104"/>
      <w:bookmarkEnd w:id="194"/>
      <w:bookmarkStart w:id="195" w:name="_Toc184310299"/>
      <w:bookmarkEnd w:id="195"/>
      <w:bookmarkStart w:id="196" w:name="_Toc184312130"/>
      <w:bookmarkEnd w:id="196"/>
      <w:bookmarkStart w:id="197" w:name="_Toc184314455"/>
      <w:bookmarkEnd w:id="197"/>
      <w:bookmarkStart w:id="198" w:name="_Toc184310306"/>
      <w:bookmarkEnd w:id="198"/>
      <w:bookmarkStart w:id="199" w:name="_Toc184308093"/>
      <w:bookmarkEnd w:id="199"/>
      <w:bookmarkStart w:id="200" w:name="_Toc184313266"/>
      <w:bookmarkEnd w:id="200"/>
      <w:bookmarkStart w:id="201" w:name="_Toc184314442"/>
      <w:bookmarkEnd w:id="201"/>
      <w:bookmarkStart w:id="202" w:name="_Toc184312131"/>
      <w:bookmarkEnd w:id="202"/>
      <w:bookmarkStart w:id="203" w:name="_Toc184310325"/>
      <w:bookmarkEnd w:id="203"/>
      <w:bookmarkStart w:id="204" w:name="_Toc184310341"/>
      <w:bookmarkEnd w:id="204"/>
      <w:bookmarkStart w:id="205" w:name="_Toc184310335"/>
      <w:bookmarkEnd w:id="205"/>
      <w:bookmarkStart w:id="206" w:name="_Toc184310344"/>
      <w:bookmarkEnd w:id="206"/>
      <w:bookmarkStart w:id="207" w:name="_Toc184314461"/>
      <w:bookmarkEnd w:id="207"/>
      <w:bookmarkStart w:id="208" w:name="_Toc184308037"/>
      <w:bookmarkEnd w:id="208"/>
      <w:bookmarkStart w:id="209" w:name="_Toc184308090"/>
      <w:bookmarkEnd w:id="209"/>
      <w:bookmarkStart w:id="210" w:name="_Toc184308099"/>
      <w:bookmarkEnd w:id="210"/>
      <w:bookmarkStart w:id="211" w:name="_Toc184314425"/>
      <w:bookmarkEnd w:id="211"/>
      <w:bookmarkStart w:id="212" w:name="_Toc184314427"/>
      <w:bookmarkEnd w:id="212"/>
      <w:bookmarkStart w:id="213" w:name="_Toc184313246"/>
      <w:bookmarkEnd w:id="213"/>
      <w:bookmarkStart w:id="214" w:name="_Toc184314432"/>
      <w:bookmarkEnd w:id="214"/>
      <w:bookmarkStart w:id="215" w:name="_Toc184308076"/>
      <w:bookmarkEnd w:id="215"/>
      <w:bookmarkStart w:id="216" w:name="_Toc184312078"/>
      <w:bookmarkEnd w:id="216"/>
      <w:bookmarkStart w:id="217" w:name="_Toc184308089"/>
      <w:bookmarkEnd w:id="217"/>
      <w:bookmarkStart w:id="218" w:name="_Toc184313260"/>
      <w:bookmarkEnd w:id="218"/>
      <w:bookmarkStart w:id="219" w:name="_Toc184313248"/>
      <w:bookmarkEnd w:id="219"/>
      <w:bookmarkStart w:id="220" w:name="_Toc184312108"/>
      <w:bookmarkEnd w:id="220"/>
      <w:bookmarkStart w:id="221" w:name="_Toc184314410"/>
      <w:bookmarkEnd w:id="221"/>
      <w:bookmarkStart w:id="222" w:name="_Toc184314476"/>
      <w:bookmarkEnd w:id="222"/>
      <w:bookmarkStart w:id="223" w:name="_Toc184308077"/>
      <w:bookmarkEnd w:id="223"/>
      <w:bookmarkStart w:id="224" w:name="_Toc184313251"/>
      <w:bookmarkEnd w:id="224"/>
      <w:bookmarkStart w:id="225" w:name="_Toc184314445"/>
      <w:bookmarkEnd w:id="225"/>
      <w:bookmarkStart w:id="226" w:name="_Toc184314479"/>
      <w:bookmarkEnd w:id="226"/>
      <w:bookmarkStart w:id="227" w:name="_Toc184310317"/>
      <w:bookmarkEnd w:id="227"/>
      <w:bookmarkStart w:id="228" w:name="_Toc184308047"/>
      <w:bookmarkEnd w:id="228"/>
      <w:bookmarkStart w:id="229" w:name="_Toc184310318"/>
      <w:bookmarkEnd w:id="229"/>
      <w:bookmarkStart w:id="230" w:name="_Toc184313307"/>
      <w:bookmarkEnd w:id="230"/>
      <w:bookmarkStart w:id="231" w:name="_Toc184310302"/>
      <w:bookmarkEnd w:id="231"/>
      <w:bookmarkStart w:id="232" w:name="_Toc184308098"/>
      <w:bookmarkEnd w:id="232"/>
      <w:bookmarkStart w:id="233" w:name="_Toc184313281"/>
      <w:bookmarkEnd w:id="233"/>
      <w:bookmarkStart w:id="234" w:name="_Toc184314467"/>
      <w:bookmarkEnd w:id="234"/>
      <w:bookmarkStart w:id="235" w:name="_Toc184310311"/>
      <w:bookmarkEnd w:id="235"/>
      <w:bookmarkStart w:id="236" w:name="_Toc184313255"/>
      <w:bookmarkEnd w:id="236"/>
      <w:bookmarkStart w:id="237" w:name="_Toc184312120"/>
      <w:bookmarkEnd w:id="237"/>
      <w:bookmarkStart w:id="238" w:name="_Toc184310343"/>
      <w:bookmarkEnd w:id="238"/>
      <w:bookmarkStart w:id="239" w:name="_Toc184310293"/>
      <w:bookmarkEnd w:id="239"/>
      <w:bookmarkStart w:id="240" w:name="_Toc184310284"/>
      <w:bookmarkEnd w:id="240"/>
      <w:bookmarkStart w:id="241" w:name="_Toc184314420"/>
      <w:bookmarkEnd w:id="241"/>
      <w:bookmarkStart w:id="242" w:name="_Toc184314470"/>
      <w:bookmarkEnd w:id="242"/>
      <w:bookmarkStart w:id="243" w:name="_Toc184310330"/>
      <w:bookmarkEnd w:id="243"/>
      <w:bookmarkStart w:id="244" w:name="_Toc184313299"/>
      <w:bookmarkEnd w:id="244"/>
      <w:bookmarkStart w:id="245" w:name="_Toc184310289"/>
      <w:bookmarkEnd w:id="245"/>
      <w:bookmarkStart w:id="246" w:name="_Toc184313282"/>
      <w:bookmarkEnd w:id="246"/>
      <w:bookmarkStart w:id="247" w:name="_Toc184314415"/>
      <w:bookmarkEnd w:id="247"/>
      <w:bookmarkStart w:id="248" w:name="_Toc184310288"/>
      <w:bookmarkEnd w:id="248"/>
      <w:bookmarkStart w:id="249" w:name="_Toc184312088"/>
      <w:bookmarkEnd w:id="249"/>
      <w:bookmarkStart w:id="250" w:name="_Toc184312104"/>
      <w:bookmarkEnd w:id="250"/>
      <w:bookmarkStart w:id="251" w:name="_Toc184312068"/>
      <w:bookmarkEnd w:id="251"/>
      <w:bookmarkStart w:id="252" w:name="_Toc184314464"/>
      <w:bookmarkEnd w:id="252"/>
      <w:bookmarkStart w:id="253" w:name="_Toc184312135"/>
      <w:bookmarkEnd w:id="253"/>
      <w:bookmarkStart w:id="254" w:name="_Toc184308108"/>
      <w:bookmarkEnd w:id="254"/>
      <w:bookmarkStart w:id="255" w:name="_Toc184308042"/>
      <w:bookmarkEnd w:id="255"/>
      <w:bookmarkStart w:id="256" w:name="_Toc184310336"/>
      <w:bookmarkEnd w:id="256"/>
      <w:bookmarkStart w:id="257" w:name="_Toc184312129"/>
      <w:bookmarkEnd w:id="257"/>
      <w:bookmarkStart w:id="258" w:name="_Toc184314411"/>
      <w:bookmarkEnd w:id="258"/>
      <w:bookmarkStart w:id="259" w:name="_Toc184314444"/>
      <w:bookmarkEnd w:id="259"/>
      <w:bookmarkStart w:id="260" w:name="_Toc184313259"/>
      <w:bookmarkEnd w:id="260"/>
      <w:bookmarkStart w:id="261" w:name="_Toc184312085"/>
      <w:bookmarkEnd w:id="261"/>
      <w:bookmarkStart w:id="262" w:name="_Toc184308096"/>
      <w:bookmarkEnd w:id="262"/>
      <w:bookmarkStart w:id="263" w:name="_Toc184314450"/>
      <w:bookmarkEnd w:id="263"/>
      <w:bookmarkStart w:id="264" w:name="_Toc184312092"/>
      <w:bookmarkEnd w:id="264"/>
      <w:bookmarkStart w:id="265" w:name="_Toc184310297"/>
      <w:bookmarkEnd w:id="265"/>
      <w:bookmarkStart w:id="266" w:name="_Toc184313289"/>
      <w:bookmarkEnd w:id="266"/>
      <w:bookmarkStart w:id="267" w:name="_Toc184312125"/>
      <w:bookmarkEnd w:id="267"/>
      <w:bookmarkStart w:id="268" w:name="_Toc184313276"/>
      <w:bookmarkEnd w:id="268"/>
      <w:bookmarkStart w:id="269" w:name="_Toc184313240"/>
      <w:bookmarkEnd w:id="269"/>
      <w:bookmarkStart w:id="270" w:name="_Toc184308039"/>
      <w:bookmarkEnd w:id="270"/>
      <w:bookmarkStart w:id="271" w:name="_Toc184310280"/>
      <w:bookmarkEnd w:id="271"/>
      <w:bookmarkStart w:id="272" w:name="_Toc184313306"/>
      <w:bookmarkEnd w:id="272"/>
      <w:bookmarkStart w:id="273" w:name="_Toc184314482"/>
      <w:bookmarkEnd w:id="273"/>
      <w:bookmarkStart w:id="274" w:name="_Toc184314466"/>
      <w:bookmarkEnd w:id="274"/>
      <w:bookmarkStart w:id="275" w:name="_Toc184308100"/>
      <w:bookmarkEnd w:id="275"/>
      <w:bookmarkStart w:id="276" w:name="_Toc184314462"/>
      <w:bookmarkEnd w:id="276"/>
      <w:bookmarkStart w:id="277" w:name="_Toc184308050"/>
      <w:bookmarkEnd w:id="277"/>
      <w:bookmarkStart w:id="278" w:name="_Toc184310274"/>
      <w:bookmarkEnd w:id="278"/>
      <w:bookmarkStart w:id="279" w:name="_Toc184308038"/>
      <w:bookmarkEnd w:id="279"/>
      <w:bookmarkStart w:id="280" w:name="_Toc184312083"/>
      <w:bookmarkEnd w:id="280"/>
      <w:bookmarkStart w:id="281" w:name="_Toc184313308"/>
      <w:bookmarkEnd w:id="281"/>
      <w:bookmarkStart w:id="282" w:name="_Toc184314456"/>
      <w:bookmarkEnd w:id="282"/>
      <w:bookmarkStart w:id="283" w:name="_Toc184314446"/>
      <w:bookmarkEnd w:id="283"/>
      <w:bookmarkStart w:id="284" w:name="_Toc184314421"/>
      <w:bookmarkEnd w:id="284"/>
      <w:bookmarkStart w:id="285" w:name="_Toc184312126"/>
      <w:bookmarkEnd w:id="285"/>
      <w:bookmarkStart w:id="286" w:name="_Toc184308036"/>
      <w:bookmarkEnd w:id="286"/>
      <w:bookmarkStart w:id="287" w:name="_Toc184310316"/>
      <w:bookmarkEnd w:id="287"/>
      <w:bookmarkStart w:id="288" w:name="_Toc184314447"/>
      <w:bookmarkEnd w:id="288"/>
      <w:bookmarkStart w:id="289" w:name="_Toc184313277"/>
      <w:bookmarkEnd w:id="289"/>
      <w:bookmarkStart w:id="290" w:name="_Toc184314481"/>
      <w:bookmarkEnd w:id="290"/>
      <w:bookmarkStart w:id="291" w:name="_Toc184314449"/>
      <w:bookmarkEnd w:id="291"/>
      <w:bookmarkStart w:id="292" w:name="_Toc184308094"/>
      <w:bookmarkEnd w:id="292"/>
      <w:bookmarkStart w:id="293" w:name="_Toc184308041"/>
      <w:bookmarkEnd w:id="293"/>
      <w:bookmarkStart w:id="294" w:name="_Toc184312075"/>
      <w:bookmarkEnd w:id="294"/>
      <w:bookmarkStart w:id="295" w:name="_Toc184313244"/>
      <w:bookmarkEnd w:id="295"/>
      <w:bookmarkStart w:id="296" w:name="_Toc184313279"/>
      <w:bookmarkEnd w:id="296"/>
      <w:bookmarkStart w:id="297" w:name="_Toc184310283"/>
      <w:bookmarkEnd w:id="297"/>
      <w:bookmarkStart w:id="298" w:name="_Toc184310275"/>
      <w:bookmarkEnd w:id="298"/>
      <w:bookmarkStart w:id="299" w:name="_Toc184308061"/>
      <w:bookmarkEnd w:id="299"/>
      <w:bookmarkStart w:id="300" w:name="_Toc184310290"/>
      <w:bookmarkEnd w:id="300"/>
      <w:bookmarkStart w:id="301" w:name="_Toc184310276"/>
      <w:bookmarkEnd w:id="301"/>
      <w:bookmarkStart w:id="302" w:name="_Toc184310324"/>
      <w:bookmarkEnd w:id="302"/>
      <w:bookmarkStart w:id="303" w:name="_Toc184314428"/>
      <w:bookmarkEnd w:id="303"/>
      <w:bookmarkStart w:id="304" w:name="_Toc184314437"/>
      <w:bookmarkEnd w:id="304"/>
      <w:bookmarkStart w:id="305" w:name="_Toc184310307"/>
      <w:bookmarkEnd w:id="305"/>
      <w:bookmarkStart w:id="306" w:name="_Toc184314473"/>
      <w:bookmarkEnd w:id="306"/>
      <w:bookmarkStart w:id="307" w:name="_Toc184313270"/>
      <w:bookmarkEnd w:id="307"/>
      <w:bookmarkStart w:id="308" w:name="_Toc184313262"/>
      <w:bookmarkEnd w:id="308"/>
      <w:bookmarkStart w:id="309" w:name="_Toc184308066"/>
      <w:bookmarkEnd w:id="309"/>
      <w:bookmarkStart w:id="310" w:name="_Toc184312138"/>
      <w:bookmarkEnd w:id="310"/>
      <w:bookmarkStart w:id="311" w:name="_Toc184310338"/>
      <w:bookmarkEnd w:id="311"/>
      <w:bookmarkStart w:id="312" w:name="_Toc184312107"/>
      <w:bookmarkEnd w:id="312"/>
      <w:bookmarkStart w:id="313" w:name="_Toc184313256"/>
      <w:bookmarkEnd w:id="313"/>
      <w:bookmarkStart w:id="314" w:name="_Toc184308069"/>
      <w:bookmarkEnd w:id="314"/>
      <w:bookmarkStart w:id="315" w:name="_Toc184313274"/>
      <w:bookmarkEnd w:id="315"/>
      <w:bookmarkStart w:id="316" w:name="_Toc184313253"/>
      <w:bookmarkEnd w:id="316"/>
      <w:bookmarkStart w:id="317" w:name="_Toc184308105"/>
      <w:bookmarkEnd w:id="317"/>
      <w:bookmarkStart w:id="318" w:name="_Toc184312079"/>
      <w:bookmarkEnd w:id="318"/>
      <w:bookmarkStart w:id="319" w:name="_Toc184312073"/>
      <w:bookmarkEnd w:id="319"/>
      <w:bookmarkStart w:id="320" w:name="_Toc184312097"/>
      <w:bookmarkEnd w:id="320"/>
      <w:bookmarkStart w:id="321" w:name="_Toc184313295"/>
      <w:bookmarkEnd w:id="321"/>
      <w:bookmarkStart w:id="322" w:name="_Toc184314434"/>
      <w:bookmarkEnd w:id="322"/>
      <w:bookmarkStart w:id="323" w:name="_Toc184313254"/>
      <w:bookmarkEnd w:id="323"/>
      <w:bookmarkStart w:id="324" w:name="_Toc184314414"/>
      <w:bookmarkEnd w:id="324"/>
      <w:bookmarkStart w:id="325" w:name="_Toc184308079"/>
      <w:bookmarkEnd w:id="325"/>
      <w:bookmarkStart w:id="326" w:name="_Toc184310309"/>
      <w:bookmarkEnd w:id="326"/>
      <w:bookmarkStart w:id="327" w:name="_Toc184310296"/>
      <w:bookmarkEnd w:id="327"/>
      <w:bookmarkStart w:id="328" w:name="_Toc184310272"/>
      <w:bookmarkEnd w:id="328"/>
      <w:bookmarkStart w:id="329" w:name="_Toc184308088"/>
      <w:bookmarkEnd w:id="329"/>
      <w:bookmarkStart w:id="330" w:name="_Toc184313280"/>
      <w:bookmarkEnd w:id="330"/>
      <w:bookmarkStart w:id="331" w:name="_Toc184308095"/>
      <w:bookmarkEnd w:id="331"/>
      <w:bookmarkStart w:id="332" w:name="_Toc184312067"/>
      <w:bookmarkEnd w:id="332"/>
      <w:bookmarkStart w:id="333" w:name="_Toc184308054"/>
      <w:bookmarkEnd w:id="333"/>
      <w:bookmarkStart w:id="334" w:name="_Toc184310326"/>
      <w:bookmarkEnd w:id="334"/>
      <w:bookmarkStart w:id="335" w:name="_Toc184313290"/>
      <w:bookmarkEnd w:id="335"/>
      <w:bookmarkStart w:id="336" w:name="_Toc184312118"/>
      <w:bookmarkEnd w:id="336"/>
      <w:bookmarkStart w:id="337" w:name="_Toc184314460"/>
      <w:bookmarkEnd w:id="337"/>
      <w:bookmarkStart w:id="338" w:name="_Toc184310340"/>
      <w:bookmarkEnd w:id="338"/>
      <w:bookmarkStart w:id="339" w:name="_Toc184308073"/>
      <w:bookmarkEnd w:id="339"/>
      <w:bookmarkStart w:id="340" w:name="_Toc184310287"/>
      <w:bookmarkEnd w:id="340"/>
      <w:bookmarkStart w:id="341" w:name="_Toc184314418"/>
      <w:bookmarkEnd w:id="341"/>
      <w:bookmarkStart w:id="342" w:name="_Toc184314440"/>
      <w:bookmarkEnd w:id="342"/>
      <w:bookmarkStart w:id="343" w:name="_Toc184310319"/>
      <w:bookmarkEnd w:id="343"/>
      <w:bookmarkStart w:id="344" w:name="_Toc184308078"/>
      <w:bookmarkEnd w:id="344"/>
      <w:bookmarkStart w:id="345" w:name="_Toc184314474"/>
      <w:bookmarkEnd w:id="345"/>
      <w:bookmarkStart w:id="346" w:name="_Toc184314458"/>
      <w:bookmarkEnd w:id="346"/>
      <w:bookmarkStart w:id="347" w:name="_Toc184313271"/>
      <w:bookmarkEnd w:id="347"/>
      <w:bookmarkStart w:id="348" w:name="_Toc184308057"/>
      <w:bookmarkEnd w:id="348"/>
      <w:bookmarkStart w:id="349" w:name="_Toc184310327"/>
      <w:bookmarkEnd w:id="349"/>
      <w:bookmarkStart w:id="350" w:name="_Toc184310333"/>
      <w:bookmarkEnd w:id="350"/>
      <w:bookmarkStart w:id="351" w:name="_Toc184314423"/>
      <w:bookmarkEnd w:id="351"/>
      <w:bookmarkStart w:id="352" w:name="_Toc184313291"/>
      <w:bookmarkEnd w:id="352"/>
      <w:bookmarkStart w:id="353" w:name="_Toc184308081"/>
      <w:bookmarkEnd w:id="353"/>
      <w:bookmarkStart w:id="354" w:name="_Toc184314426"/>
      <w:bookmarkEnd w:id="354"/>
      <w:bookmarkStart w:id="355" w:name="_Toc184310310"/>
      <w:bookmarkEnd w:id="355"/>
      <w:bookmarkStart w:id="356" w:name="_Toc184314419"/>
      <w:bookmarkEnd w:id="356"/>
      <w:bookmarkStart w:id="357" w:name="_Toc184308062"/>
      <w:bookmarkEnd w:id="357"/>
      <w:bookmarkStart w:id="358" w:name="_Toc184308092"/>
      <w:bookmarkEnd w:id="358"/>
      <w:bookmarkStart w:id="359" w:name="_Toc184314429"/>
      <w:bookmarkEnd w:id="359"/>
      <w:bookmarkStart w:id="360" w:name="_Toc184310291"/>
      <w:bookmarkEnd w:id="360"/>
      <w:bookmarkStart w:id="361" w:name="_Toc184312123"/>
      <w:bookmarkEnd w:id="361"/>
      <w:bookmarkStart w:id="362" w:name="_Toc184314424"/>
      <w:bookmarkEnd w:id="362"/>
      <w:bookmarkStart w:id="363" w:name="_Toc184310337"/>
      <w:bookmarkEnd w:id="363"/>
      <w:bookmarkStart w:id="364" w:name="_Toc184313301"/>
      <w:bookmarkEnd w:id="364"/>
      <w:bookmarkStart w:id="365" w:name="_Toc184310273"/>
      <w:bookmarkEnd w:id="365"/>
      <w:bookmarkStart w:id="366" w:name="_Toc184310334"/>
      <w:bookmarkEnd w:id="366"/>
      <w:bookmarkStart w:id="367" w:name="_Toc184313296"/>
      <w:bookmarkEnd w:id="367"/>
      <w:bookmarkStart w:id="368" w:name="_Toc184313245"/>
      <w:bookmarkEnd w:id="368"/>
      <w:bookmarkStart w:id="369" w:name="_Toc184310305"/>
      <w:bookmarkEnd w:id="369"/>
      <w:bookmarkStart w:id="370" w:name="_Toc184313241"/>
      <w:bookmarkEnd w:id="370"/>
      <w:bookmarkStart w:id="371" w:name="_Toc184314438"/>
      <w:bookmarkEnd w:id="371"/>
      <w:bookmarkStart w:id="372" w:name="_Toc184314452"/>
      <w:bookmarkEnd w:id="372"/>
      <w:bookmarkStart w:id="373" w:name="_Toc184312077"/>
      <w:bookmarkEnd w:id="373"/>
      <w:bookmarkStart w:id="374" w:name="_Toc184313278"/>
      <w:bookmarkEnd w:id="374"/>
      <w:bookmarkStart w:id="375" w:name="_Toc184313273"/>
      <w:bookmarkEnd w:id="375"/>
      <w:bookmarkStart w:id="376" w:name="_Toc184310314"/>
      <w:bookmarkEnd w:id="376"/>
      <w:bookmarkStart w:id="377" w:name="_Toc184313303"/>
      <w:bookmarkEnd w:id="377"/>
      <w:bookmarkStart w:id="378" w:name="_Toc184308106"/>
      <w:bookmarkEnd w:id="378"/>
      <w:bookmarkStart w:id="379" w:name="_Toc184313297"/>
      <w:bookmarkEnd w:id="379"/>
      <w:bookmarkStart w:id="380" w:name="_Toc184314413"/>
      <w:bookmarkEnd w:id="380"/>
      <w:bookmarkStart w:id="381" w:name="_Toc184310278"/>
      <w:bookmarkEnd w:id="381"/>
      <w:bookmarkStart w:id="382" w:name="_Toc184314439"/>
      <w:bookmarkEnd w:id="382"/>
      <w:bookmarkStart w:id="383" w:name="_Toc184313258"/>
      <w:bookmarkEnd w:id="383"/>
      <w:bookmarkStart w:id="384" w:name="_Toc184308046"/>
      <w:bookmarkEnd w:id="384"/>
      <w:bookmarkStart w:id="385" w:name="_Toc184313250"/>
      <w:bookmarkEnd w:id="385"/>
      <w:bookmarkStart w:id="386" w:name="_Toc184310313"/>
      <w:bookmarkEnd w:id="386"/>
      <w:bookmarkStart w:id="387" w:name="_Toc184314417"/>
      <w:bookmarkEnd w:id="387"/>
      <w:bookmarkStart w:id="388" w:name="_Toc184308102"/>
      <w:bookmarkEnd w:id="388"/>
      <w:bookmarkStart w:id="389" w:name="_Toc184308097"/>
      <w:bookmarkEnd w:id="389"/>
      <w:bookmarkStart w:id="390" w:name="_Toc184312070"/>
      <w:bookmarkEnd w:id="390"/>
      <w:bookmarkStart w:id="391" w:name="_Toc184308070"/>
      <w:bookmarkEnd w:id="391"/>
      <w:bookmarkStart w:id="392" w:name="_Toc184312117"/>
      <w:bookmarkEnd w:id="392"/>
      <w:r>
        <w:rPr>
          <w:rFonts w:hint="eastAsia" w:ascii="宋体" w:hAnsi="宋体" w:cs="宋体"/>
          <w:b/>
          <w:sz w:val="36"/>
          <w:szCs w:val="36"/>
        </w:rPr>
        <w:t>评标办法</w:t>
      </w:r>
    </w:p>
    <w:p>
      <w:pPr>
        <w:snapToGrid w:val="0"/>
        <w:spacing w:line="360" w:lineRule="auto"/>
        <w:jc w:val="center"/>
        <w:rPr>
          <w:rFonts w:hint="default" w:ascii="宋体" w:hAnsi="宋体" w:eastAsia="宋体" w:cs="宋体"/>
          <w:b/>
          <w:sz w:val="32"/>
          <w:szCs w:val="20"/>
          <w:lang w:val="en-US" w:eastAsia="zh-CN"/>
        </w:rPr>
      </w:pPr>
      <w:r>
        <w:rPr>
          <w:rFonts w:hint="eastAsia" w:ascii="宋体" w:hAnsi="宋体" w:cs="宋体"/>
          <w:b/>
          <w:sz w:val="32"/>
          <w:szCs w:val="20"/>
        </w:rPr>
        <w:t>评标办法前附表</w:t>
      </w:r>
      <w:r>
        <w:rPr>
          <w:rFonts w:hint="eastAsia" w:ascii="宋体" w:hAnsi="宋体" w:cs="宋体"/>
          <w:b/>
          <w:sz w:val="32"/>
          <w:szCs w:val="20"/>
          <w:lang w:eastAsia="zh-CN"/>
        </w:rPr>
        <w:t>（</w:t>
      </w:r>
      <w:r>
        <w:rPr>
          <w:rFonts w:hint="eastAsia" w:ascii="宋体" w:hAnsi="宋体" w:cs="宋体"/>
          <w:b/>
          <w:sz w:val="32"/>
          <w:szCs w:val="20"/>
          <w:lang w:val="en-US" w:eastAsia="zh-CN"/>
        </w:rPr>
        <w:t>适用于二个标项）</w:t>
      </w:r>
    </w:p>
    <w:p>
      <w:pPr>
        <w:pStyle w:val="130"/>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30"/>
        <w:ind w:left="0" w:leftChars="0" w:firstLine="482" w:firstLineChars="200"/>
        <w:rPr>
          <w:rFonts w:hint="eastAsia" w:ascii="宋体" w:hAnsi="宋体" w:cs="宋体"/>
        </w:rPr>
      </w:pPr>
      <w:r>
        <w:rPr>
          <w:rFonts w:hint="eastAsia" w:ascii="宋体" w:hAnsi="宋体" w:eastAsia="宋体" w:cs="宋体"/>
          <w:b/>
          <w:bCs w:val="0"/>
          <w:color w:val="000000"/>
          <w:szCs w:val="24"/>
          <w:lang w:val="en-US" w:eastAsia="zh-CN"/>
        </w:rPr>
        <w:t>1、</w:t>
      </w:r>
      <w:r>
        <w:rPr>
          <w:rFonts w:hint="eastAsia" w:ascii="宋体" w:hAnsi="宋体" w:eastAsia="宋体" w:cs="宋体"/>
          <w:b/>
          <w:bCs w:val="0"/>
          <w:color w:val="000000"/>
          <w:szCs w:val="24"/>
        </w:rPr>
        <w:t>商务技术</w:t>
      </w:r>
      <w:r>
        <w:rPr>
          <w:rFonts w:hint="eastAsia" w:ascii="宋体" w:hAnsi="宋体" w:eastAsia="宋体" w:cs="宋体"/>
          <w:b/>
          <w:bCs w:val="0"/>
          <w:color w:val="000000"/>
          <w:szCs w:val="24"/>
          <w:lang w:val="en-US" w:eastAsia="zh-CN"/>
        </w:rPr>
        <w:t>评分细则：</w:t>
      </w:r>
    </w:p>
    <w:tbl>
      <w:tblPr>
        <w:tblStyle w:val="64"/>
        <w:tblW w:w="903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15"/>
        <w:gridCol w:w="5267"/>
        <w:gridCol w:w="78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48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215"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000000"/>
                <w:kern w:val="2"/>
                <w:sz w:val="24"/>
                <w:szCs w:val="24"/>
                <w:highlight w:val="none"/>
                <w:lang w:eastAsia="zh-CN"/>
              </w:rPr>
              <w:t>管理能力</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eastAsia="zh-CN"/>
              </w:rPr>
            </w:pPr>
          </w:p>
        </w:tc>
        <w:tc>
          <w:tcPr>
            <w:tcW w:w="5267" w:type="dxa"/>
            <w:vAlign w:val="top"/>
          </w:tcPr>
          <w:p>
            <w:pPr>
              <w:pStyle w:val="130"/>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（1）投标人建立健全各项岗位职责，经营管理制度，执行有力且合理的，根据内容进行打分；</w:t>
            </w:r>
          </w:p>
          <w:p>
            <w:pPr>
              <w:pStyle w:val="130"/>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岗位职责、管理制度内容详细、明确的</w:t>
            </w:r>
            <w:r>
              <w:rPr>
                <w:rFonts w:hint="eastAsia" w:ascii="宋体" w:hAnsi="宋体" w:cs="宋体"/>
                <w:color w:val="000000"/>
                <w:szCs w:val="24"/>
                <w:highlight w:val="none"/>
                <w:lang w:val="en-US" w:eastAsia="zh-CN"/>
              </w:rPr>
              <w:t>3</w:t>
            </w:r>
            <w:r>
              <w:rPr>
                <w:rFonts w:hint="eastAsia" w:ascii="宋体" w:hAnsi="宋体" w:eastAsia="宋体" w:cs="宋体"/>
                <w:color w:val="000000"/>
                <w:szCs w:val="24"/>
                <w:highlight w:val="none"/>
                <w:lang w:val="en-US" w:eastAsia="zh-CN"/>
              </w:rPr>
              <w:t>-4分，</w:t>
            </w:r>
          </w:p>
          <w:p>
            <w:pPr>
              <w:pStyle w:val="130"/>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岗位职责、管理制度内容一般的得</w:t>
            </w:r>
            <w:r>
              <w:rPr>
                <w:rFonts w:hint="eastAsia" w:ascii="宋体" w:hAnsi="宋体" w:cs="宋体"/>
                <w:color w:val="000000"/>
                <w:szCs w:val="24"/>
                <w:highlight w:val="none"/>
                <w:lang w:val="en-US" w:eastAsia="zh-CN"/>
              </w:rPr>
              <w:t>1-2</w:t>
            </w:r>
            <w:r>
              <w:rPr>
                <w:rFonts w:hint="eastAsia" w:ascii="宋体" w:hAnsi="宋体" w:eastAsia="宋体" w:cs="宋体"/>
                <w:color w:val="000000"/>
                <w:szCs w:val="24"/>
                <w:highlight w:val="none"/>
                <w:lang w:val="en-US" w:eastAsia="zh-CN"/>
              </w:rPr>
              <w:t>分，</w:t>
            </w:r>
          </w:p>
          <w:p>
            <w:pPr>
              <w:pStyle w:val="130"/>
              <w:numPr>
                <w:ilvl w:val="0"/>
                <w:numId w:val="0"/>
              </w:numPr>
              <w:wordWrap/>
              <w:adjustRightInd/>
              <w:snapToGrid/>
              <w:spacing w:before="0" w:line="312"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Cs w:val="24"/>
                <w:highlight w:val="none"/>
                <w:lang w:val="en-US" w:eastAsia="zh-CN"/>
              </w:rPr>
              <w:t>岗位职责、管理制度内容未提供，不得分；</w:t>
            </w:r>
          </w:p>
        </w:tc>
        <w:tc>
          <w:tcPr>
            <w:tcW w:w="780" w:type="dxa"/>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4.0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4"/>
                <w:szCs w:val="24"/>
                <w:highlight w:val="none"/>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4"/>
                <w:szCs w:val="24"/>
                <w:highlight w:val="none"/>
              </w:rPr>
            </w:pPr>
          </w:p>
        </w:tc>
        <w:tc>
          <w:tcPr>
            <w:tcW w:w="5267" w:type="dxa"/>
            <w:vAlign w:val="top"/>
          </w:tcPr>
          <w:p>
            <w:pPr>
              <w:numPr>
                <w:ilvl w:val="0"/>
                <w:numId w:val="0"/>
              </w:numPr>
              <w:wordWrap/>
              <w:adjustRightInd/>
              <w:snapToGrid/>
              <w:spacing w:line="312" w:lineRule="auto"/>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投标人设置内部管理制度，能够按照规章开展工作，重大事项决策等符合章程规定且程序规范，</w:t>
            </w:r>
            <w:r>
              <w:rPr>
                <w:rFonts w:hint="eastAsia" w:ascii="宋体" w:hAnsi="宋体" w:eastAsia="宋体" w:cs="宋体"/>
                <w:color w:val="000000"/>
                <w:sz w:val="24"/>
                <w:highlight w:val="none"/>
                <w:lang w:eastAsia="zh-CN"/>
              </w:rPr>
              <w:t>建立合同</w:t>
            </w:r>
            <w:r>
              <w:rPr>
                <w:rFonts w:hint="eastAsia" w:ascii="宋体" w:hAnsi="宋体" w:eastAsia="宋体" w:cs="宋体"/>
                <w:color w:val="000000"/>
                <w:sz w:val="24"/>
                <w:highlight w:val="none"/>
              </w:rPr>
              <w:t>管理、档案管理等制度，根据投标内容进行打分</w:t>
            </w:r>
            <w:r>
              <w:rPr>
                <w:rFonts w:hint="eastAsia" w:ascii="宋体" w:hAnsi="宋体" w:eastAsia="宋体" w:cs="宋体"/>
                <w:color w:val="000000"/>
                <w:sz w:val="24"/>
                <w:highlight w:val="none"/>
                <w:lang w:eastAsia="zh-CN"/>
              </w:rPr>
              <w:t>；</w:t>
            </w:r>
          </w:p>
          <w:p>
            <w:pPr>
              <w:numPr>
                <w:ilvl w:val="0"/>
                <w:numId w:val="0"/>
              </w:numPr>
              <w:wordWrap/>
              <w:adjustRightInd/>
              <w:snapToGrid/>
              <w:spacing w:line="312" w:lineRule="auto"/>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内部管理制度明确，规章流程规范得</w:t>
            </w:r>
            <w:r>
              <w:rPr>
                <w:rFonts w:hint="eastAsia" w:ascii="宋体" w:hAnsi="宋体" w:cs="宋体"/>
                <w:color w:val="000000"/>
                <w:sz w:val="24"/>
                <w:highlight w:val="none"/>
                <w:lang w:val="en-US" w:eastAsia="zh-CN"/>
              </w:rPr>
              <w:t>3-4</w:t>
            </w:r>
            <w:r>
              <w:rPr>
                <w:rFonts w:hint="eastAsia" w:ascii="宋体" w:hAnsi="宋体" w:eastAsia="宋体" w:cs="宋体"/>
                <w:color w:val="000000"/>
                <w:sz w:val="24"/>
                <w:highlight w:val="none"/>
                <w:lang w:val="en-US" w:eastAsia="zh-CN"/>
              </w:rPr>
              <w:t>分，</w:t>
            </w:r>
          </w:p>
          <w:p>
            <w:pPr>
              <w:numPr>
                <w:ilvl w:val="0"/>
                <w:numId w:val="0"/>
              </w:numPr>
              <w:wordWrap/>
              <w:adjustRightInd/>
              <w:snapToGrid/>
              <w:spacing w:line="312" w:lineRule="auto"/>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内部管理制度一般，规章流程一般得</w:t>
            </w:r>
            <w:r>
              <w:rPr>
                <w:rFonts w:hint="eastAsia" w:ascii="宋体" w:hAnsi="宋体" w:eastAsia="宋体" w:cs="宋体"/>
                <w:color w:val="000000"/>
                <w:sz w:val="24"/>
                <w:highlight w:val="none"/>
                <w:lang w:val="en-US" w:eastAsia="zh-CN"/>
              </w:rPr>
              <w:t>1-2分，</w:t>
            </w:r>
          </w:p>
          <w:p>
            <w:pPr>
              <w:numPr>
                <w:ilvl w:val="0"/>
                <w:numId w:val="0"/>
              </w:numPr>
              <w:wordWrap/>
              <w:adjustRightInd/>
              <w:snapToGrid/>
              <w:spacing w:line="312"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eastAsia="zh-CN"/>
              </w:rPr>
              <w:t>内部管理制度、规章流程未提供不得分。</w:t>
            </w:r>
          </w:p>
        </w:tc>
        <w:tc>
          <w:tcPr>
            <w:tcW w:w="780" w:type="dxa"/>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215" w:type="dxa"/>
            <w:vMerge w:val="restart"/>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安全措施</w:t>
            </w:r>
          </w:p>
          <w:p>
            <w:pPr>
              <w:snapToGrid w:val="0"/>
              <w:jc w:val="center"/>
              <w:rPr>
                <w:rFonts w:hint="eastAsia" w:ascii="宋体" w:hAnsi="宋体" w:eastAsia="宋体" w:cs="宋体"/>
                <w:color w:val="auto"/>
                <w:sz w:val="24"/>
                <w:szCs w:val="24"/>
                <w:highlight w:val="none"/>
              </w:rPr>
            </w:pPr>
          </w:p>
        </w:tc>
        <w:tc>
          <w:tcPr>
            <w:tcW w:w="5267" w:type="dxa"/>
            <w:vAlign w:val="top"/>
          </w:tcPr>
          <w:p>
            <w:pPr>
              <w:pStyle w:val="130"/>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szCs w:val="24"/>
                <w:highlight w:val="none"/>
                <w:lang w:val="en-US" w:eastAsia="zh-CN"/>
              </w:rPr>
              <w:t>（1）</w:t>
            </w:r>
            <w:r>
              <w:rPr>
                <w:rFonts w:hint="eastAsia" w:ascii="宋体" w:hAnsi="宋体" w:eastAsia="宋体" w:cs="宋体"/>
                <w:color w:val="000000"/>
                <w:kern w:val="2"/>
                <w:sz w:val="24"/>
                <w:szCs w:val="24"/>
                <w:highlight w:val="none"/>
              </w:rPr>
              <w:t>安全管理体系：组织机构、应急预案（包括防控应急预案）等</w:t>
            </w:r>
            <w:r>
              <w:rPr>
                <w:rFonts w:hint="eastAsia" w:ascii="宋体" w:hAnsi="宋体" w:eastAsia="宋体" w:cs="宋体"/>
                <w:color w:val="000000"/>
                <w:kern w:val="2"/>
                <w:sz w:val="24"/>
                <w:szCs w:val="24"/>
                <w:highlight w:val="none"/>
                <w:lang w:eastAsia="zh-CN"/>
              </w:rPr>
              <w:t>进行打分</w:t>
            </w:r>
            <w:r>
              <w:rPr>
                <w:rFonts w:hint="eastAsia" w:ascii="宋体" w:hAnsi="宋体" w:cs="宋体"/>
                <w:color w:val="000000"/>
                <w:kern w:val="2"/>
                <w:sz w:val="24"/>
                <w:szCs w:val="24"/>
                <w:highlight w:val="none"/>
                <w:lang w:eastAsia="zh-CN"/>
              </w:rPr>
              <w:t>；</w:t>
            </w:r>
          </w:p>
          <w:p>
            <w:pPr>
              <w:pStyle w:val="130"/>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机构组织安排合理、应急预案明确得</w:t>
            </w:r>
            <w:r>
              <w:rPr>
                <w:rFonts w:hint="eastAsia" w:ascii="宋体" w:hAnsi="宋体" w:cs="宋体"/>
                <w:color w:val="000000"/>
                <w:kern w:val="2"/>
                <w:sz w:val="24"/>
                <w:szCs w:val="24"/>
                <w:highlight w:val="none"/>
                <w:lang w:val="en-US" w:eastAsia="zh-CN"/>
              </w:rPr>
              <w:t>3-4</w:t>
            </w:r>
            <w:r>
              <w:rPr>
                <w:rFonts w:hint="eastAsia" w:ascii="宋体" w:hAnsi="宋体" w:eastAsia="宋体" w:cs="宋体"/>
                <w:color w:val="000000"/>
                <w:kern w:val="2"/>
                <w:sz w:val="24"/>
                <w:szCs w:val="24"/>
                <w:highlight w:val="none"/>
                <w:lang w:val="en-US" w:eastAsia="zh-CN"/>
              </w:rPr>
              <w:t>分，</w:t>
            </w:r>
          </w:p>
          <w:p>
            <w:pPr>
              <w:pStyle w:val="130"/>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机构组织安排一般、应急预案一般得</w:t>
            </w:r>
            <w:r>
              <w:rPr>
                <w:rFonts w:hint="eastAsia" w:ascii="宋体" w:hAnsi="宋体" w:eastAsia="宋体" w:cs="宋体"/>
                <w:color w:val="000000"/>
                <w:kern w:val="2"/>
                <w:sz w:val="24"/>
                <w:szCs w:val="24"/>
                <w:highlight w:val="none"/>
                <w:lang w:val="en-US" w:eastAsia="zh-CN"/>
              </w:rPr>
              <w:t>1-2分，</w:t>
            </w:r>
          </w:p>
          <w:p>
            <w:pPr>
              <w:pStyle w:val="130"/>
              <w:numPr>
                <w:ilvl w:val="0"/>
                <w:numId w:val="0"/>
              </w:numPr>
              <w:wordWrap/>
              <w:adjustRightInd/>
              <w:snapToGrid/>
              <w:spacing w:before="0" w:line="360" w:lineRule="auto"/>
              <w:ind w:left="0" w:leftChars="0" w:firstLine="0" w:firstLineChars="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rPr>
              <w:t>机构组织安排、应急预案</w:t>
            </w:r>
            <w:r>
              <w:rPr>
                <w:rFonts w:hint="eastAsia" w:ascii="宋体" w:hAnsi="宋体" w:eastAsia="宋体" w:cs="宋体"/>
                <w:color w:val="000000"/>
                <w:sz w:val="24"/>
                <w:highlight w:val="none"/>
                <w:lang w:eastAsia="zh-CN"/>
              </w:rPr>
              <w:t>未提供</w:t>
            </w:r>
            <w:r>
              <w:rPr>
                <w:rFonts w:hint="eastAsia" w:ascii="宋体" w:hAnsi="宋体" w:eastAsia="宋体" w:cs="宋体"/>
                <w:color w:val="000000"/>
                <w:kern w:val="2"/>
                <w:sz w:val="24"/>
                <w:szCs w:val="24"/>
                <w:highlight w:val="none"/>
                <w:lang w:eastAsia="zh-CN"/>
              </w:rPr>
              <w:t>不得分</w:t>
            </w:r>
            <w:r>
              <w:rPr>
                <w:rFonts w:hint="eastAsia" w:ascii="宋体" w:hAnsi="宋体" w:eastAsia="宋体" w:cs="宋体"/>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continue"/>
            <w:vAlign w:val="center"/>
          </w:tcPr>
          <w:p>
            <w:pPr>
              <w:keepNext w:val="0"/>
              <w:keepLines w:val="0"/>
              <w:pageBreakBefore w:val="0"/>
              <w:kinsoku/>
              <w:wordWrap/>
              <w:overflowPunct/>
              <w:topLinePunct w:val="0"/>
              <w:bidi w:val="0"/>
              <w:spacing w:line="360" w:lineRule="auto"/>
              <w:jc w:val="center"/>
              <w:textAlignment w:val="auto"/>
              <w:rPr>
                <w:highlight w:val="none"/>
              </w:rPr>
            </w:pPr>
          </w:p>
        </w:tc>
        <w:tc>
          <w:tcPr>
            <w:tcW w:w="1215" w:type="dxa"/>
            <w:vMerge w:val="continue"/>
            <w:vAlign w:val="center"/>
          </w:tcPr>
          <w:p>
            <w:pPr>
              <w:keepNext w:val="0"/>
              <w:keepLines w:val="0"/>
              <w:pageBreakBefore w:val="0"/>
              <w:kinsoku/>
              <w:wordWrap/>
              <w:overflowPunct/>
              <w:topLinePunct w:val="0"/>
              <w:bidi w:val="0"/>
              <w:spacing w:line="360" w:lineRule="auto"/>
              <w:jc w:val="center"/>
              <w:textAlignment w:val="auto"/>
              <w:rPr>
                <w:highlight w:val="none"/>
              </w:rPr>
            </w:pPr>
          </w:p>
        </w:tc>
        <w:tc>
          <w:tcPr>
            <w:tcW w:w="5267" w:type="dxa"/>
            <w:vAlign w:val="top"/>
          </w:tcPr>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投标单位</w:t>
            </w:r>
            <w:r>
              <w:rPr>
                <w:rFonts w:hint="eastAsia" w:ascii="宋体" w:hAnsi="宋体" w:cs="宋体"/>
                <w:color w:val="000000"/>
                <w:kern w:val="2"/>
                <w:sz w:val="24"/>
                <w:szCs w:val="24"/>
                <w:highlight w:val="none"/>
                <w:lang w:eastAsia="zh-CN"/>
              </w:rPr>
              <w:t>项目</w:t>
            </w:r>
            <w:r>
              <w:rPr>
                <w:rFonts w:hint="eastAsia" w:ascii="宋体" w:hAnsi="宋体" w:eastAsia="宋体" w:cs="宋体"/>
                <w:color w:val="000000"/>
                <w:kern w:val="2"/>
                <w:sz w:val="24"/>
                <w:szCs w:val="24"/>
                <w:highlight w:val="none"/>
              </w:rPr>
              <w:t>负责人具有安全生产管理责任人培训合格证且已参加202</w:t>
            </w: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或2022</w:t>
            </w:r>
            <w:r>
              <w:rPr>
                <w:rFonts w:hint="eastAsia" w:ascii="宋体" w:hAnsi="宋体" w:eastAsia="宋体" w:cs="宋体"/>
                <w:color w:val="000000"/>
                <w:kern w:val="2"/>
                <w:sz w:val="24"/>
                <w:szCs w:val="24"/>
                <w:highlight w:val="none"/>
              </w:rPr>
              <w:t>年培训的，得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cs="宋体"/>
                <w:color w:val="000000"/>
                <w:kern w:val="2"/>
                <w:sz w:val="24"/>
                <w:szCs w:val="24"/>
                <w:highlight w:val="none"/>
                <w:lang w:eastAsia="zh-CN"/>
              </w:rPr>
              <w:t>除</w:t>
            </w:r>
            <w:r>
              <w:rPr>
                <w:rFonts w:hint="eastAsia" w:ascii="宋体" w:hAnsi="宋体" w:cs="宋体"/>
                <w:color w:val="000000"/>
                <w:szCs w:val="24"/>
                <w:highlight w:val="none"/>
              </w:rPr>
              <w:t>项目负责人</w:t>
            </w:r>
            <w:r>
              <w:rPr>
                <w:rFonts w:hint="eastAsia" w:ascii="宋体" w:hAnsi="宋体" w:cs="宋体"/>
                <w:color w:val="000000"/>
                <w:szCs w:val="24"/>
                <w:highlight w:val="none"/>
                <w:lang w:eastAsia="zh-CN"/>
              </w:rPr>
              <w:t>外</w:t>
            </w:r>
            <w:r>
              <w:rPr>
                <w:rFonts w:hint="eastAsia" w:ascii="宋体" w:hAnsi="宋体" w:eastAsia="宋体" w:cs="宋体"/>
                <w:color w:val="000000"/>
                <w:kern w:val="2"/>
                <w:sz w:val="24"/>
                <w:szCs w:val="24"/>
                <w:highlight w:val="none"/>
              </w:rPr>
              <w:t>另具有安全生产管理员培训合格证且已参加202</w:t>
            </w: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或2022</w:t>
            </w:r>
            <w:r>
              <w:rPr>
                <w:rFonts w:hint="eastAsia" w:ascii="宋体" w:hAnsi="宋体" w:eastAsia="宋体" w:cs="宋体"/>
                <w:color w:val="000000"/>
                <w:kern w:val="2"/>
                <w:sz w:val="24"/>
                <w:szCs w:val="24"/>
                <w:highlight w:val="none"/>
              </w:rPr>
              <w:t>年培训的，每人得1分，</w:t>
            </w:r>
            <w:r>
              <w:rPr>
                <w:rFonts w:hint="eastAsia" w:ascii="宋体" w:hAnsi="宋体" w:cs="宋体"/>
                <w:color w:val="000000"/>
                <w:kern w:val="2"/>
                <w:sz w:val="24"/>
                <w:szCs w:val="24"/>
                <w:highlight w:val="none"/>
                <w:lang w:eastAsia="zh-CN"/>
              </w:rPr>
              <w:t>本项</w:t>
            </w:r>
            <w:r>
              <w:rPr>
                <w:rFonts w:hint="eastAsia" w:ascii="宋体" w:hAnsi="宋体" w:eastAsia="宋体" w:cs="宋体"/>
                <w:color w:val="000000"/>
                <w:kern w:val="2"/>
                <w:sz w:val="24"/>
                <w:szCs w:val="24"/>
                <w:highlight w:val="none"/>
              </w:rPr>
              <w:t>最高</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cs="宋体"/>
                <w:color w:val="000000"/>
                <w:kern w:val="2"/>
                <w:sz w:val="24"/>
                <w:szCs w:val="24"/>
                <w:highlight w:val="none"/>
                <w:lang w:eastAsia="zh-CN"/>
              </w:rPr>
              <w:t>；</w:t>
            </w:r>
          </w:p>
          <w:p>
            <w:pPr>
              <w:pStyle w:val="130"/>
              <w:wordWrap/>
              <w:adjustRightInd/>
              <w:snapToGrid/>
              <w:spacing w:before="0" w:line="360" w:lineRule="auto"/>
              <w:ind w:firstLine="0" w:firstLineChars="0"/>
              <w:jc w:val="left"/>
              <w:textAlignment w:val="auto"/>
              <w:rPr>
                <w:rFonts w:hint="eastAsia" w:ascii="宋体" w:hAnsi="宋体" w:eastAsia="宋体" w:cs="宋体"/>
                <w:kern w:val="2"/>
                <w:sz w:val="24"/>
                <w:szCs w:val="20"/>
                <w:highlight w:val="none"/>
                <w:lang w:val="en-US" w:eastAsia="zh-CN" w:bidi="ar-SA"/>
              </w:rPr>
            </w:pP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rPr>
              <w:t>提供相</w:t>
            </w:r>
            <w:r>
              <w:rPr>
                <w:rFonts w:hint="eastAsia" w:ascii="宋体" w:hAnsi="宋体" w:eastAsia="宋体" w:cs="宋体"/>
                <w:b/>
                <w:bCs/>
                <w:color w:val="000000"/>
                <w:kern w:val="2"/>
                <w:sz w:val="24"/>
                <w:szCs w:val="24"/>
                <w:highlight w:val="none"/>
                <w:lang w:eastAsia="zh-CN"/>
              </w:rPr>
              <w:t>培训人员</w:t>
            </w:r>
            <w:r>
              <w:rPr>
                <w:rFonts w:hint="eastAsia" w:ascii="宋体" w:hAnsi="宋体" w:eastAsia="宋体" w:cs="宋体"/>
                <w:b/>
                <w:bCs/>
                <w:color w:val="000000"/>
                <w:kern w:val="2"/>
                <w:sz w:val="24"/>
                <w:szCs w:val="24"/>
                <w:highlight w:val="none"/>
              </w:rPr>
              <w:t>证书、劳动合同及社保缴纳证明材料</w:t>
            </w:r>
            <w:r>
              <w:rPr>
                <w:rFonts w:hint="eastAsia" w:ascii="宋体" w:hAnsi="宋体" w:cs="宋体"/>
                <w:b/>
                <w:bCs/>
                <w:color w:val="000000"/>
                <w:kern w:val="2"/>
                <w:sz w:val="24"/>
                <w:szCs w:val="24"/>
                <w:highlight w:val="none"/>
                <w:lang w:eastAsia="zh-CN"/>
              </w:rPr>
              <w:t>并加盖公章</w:t>
            </w:r>
            <w:r>
              <w:rPr>
                <w:rFonts w:hint="eastAsia" w:ascii="宋体" w:hAnsi="宋体" w:eastAsia="宋体" w:cs="宋体"/>
                <w:b/>
                <w:bCs/>
                <w:color w:val="000000"/>
                <w:kern w:val="2"/>
                <w:sz w:val="24"/>
                <w:szCs w:val="24"/>
                <w:highlight w:val="none"/>
              </w:rPr>
              <w:t>，否则不得分。</w:t>
            </w:r>
            <w:r>
              <w:rPr>
                <w:rFonts w:hint="eastAsia" w:ascii="宋体" w:hAnsi="宋体" w:cs="宋体"/>
                <w:b/>
                <w:bCs/>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59"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215" w:type="dxa"/>
            <w:vMerge w:val="restart"/>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rPr>
            </w:pPr>
          </w:p>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rPr>
              <w:t>售后</w:t>
            </w:r>
            <w:r>
              <w:rPr>
                <w:rFonts w:hint="eastAsia" w:ascii="宋体" w:hAnsi="宋体" w:cs="宋体"/>
                <w:color w:val="000000"/>
                <w:kern w:val="2"/>
                <w:sz w:val="24"/>
                <w:szCs w:val="24"/>
                <w:highlight w:val="none"/>
                <w:lang w:eastAsia="zh-CN"/>
              </w:rPr>
              <w:t>及</w:t>
            </w:r>
            <w:r>
              <w:rPr>
                <w:rFonts w:hint="eastAsia" w:ascii="宋体" w:hAnsi="宋体" w:eastAsia="宋体" w:cs="宋体"/>
                <w:color w:val="000000"/>
                <w:kern w:val="2"/>
                <w:sz w:val="24"/>
                <w:szCs w:val="24"/>
                <w:highlight w:val="none"/>
                <w:lang w:eastAsia="zh-CN"/>
              </w:rPr>
              <w:t>服务</w:t>
            </w:r>
            <w:r>
              <w:rPr>
                <w:rFonts w:hint="eastAsia" w:ascii="宋体" w:hAnsi="宋体" w:cs="宋体"/>
                <w:color w:val="000000"/>
                <w:kern w:val="2"/>
                <w:sz w:val="24"/>
                <w:szCs w:val="24"/>
                <w:highlight w:val="none"/>
                <w:lang w:eastAsia="zh-CN"/>
              </w:rPr>
              <w:t>响应</w:t>
            </w:r>
          </w:p>
          <w:p>
            <w:pPr>
              <w:wordWrap/>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p>
        </w:tc>
        <w:tc>
          <w:tcPr>
            <w:tcW w:w="5267" w:type="dxa"/>
            <w:vAlign w:val="top"/>
          </w:tcPr>
          <w:p>
            <w:pPr>
              <w:pStyle w:val="13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投标单位提供本地售后服务机构情况，本地化服务能力、技术支持能力的情况，能提供快速的售后服务响应等</w:t>
            </w:r>
            <w:r>
              <w:rPr>
                <w:rFonts w:hint="eastAsia" w:ascii="宋体" w:hAnsi="宋体" w:eastAsia="宋体" w:cs="宋体"/>
                <w:color w:val="000000"/>
                <w:kern w:val="2"/>
                <w:sz w:val="24"/>
                <w:szCs w:val="24"/>
                <w:highlight w:val="none"/>
                <w:lang w:eastAsia="zh-CN"/>
              </w:rPr>
              <w:t>进行打分</w:t>
            </w:r>
            <w:r>
              <w:rPr>
                <w:rFonts w:hint="eastAsia" w:ascii="宋体" w:hAnsi="宋体" w:cs="宋体"/>
                <w:color w:val="000000"/>
                <w:sz w:val="24"/>
                <w:szCs w:val="24"/>
                <w:highlight w:val="none"/>
                <w:lang w:eastAsia="zh-CN"/>
              </w:rPr>
              <w:t>；</w:t>
            </w:r>
          </w:p>
          <w:p>
            <w:pPr>
              <w:pStyle w:val="130"/>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u w:val="none" w:color="000000"/>
                <w:lang w:val="en-US" w:eastAsia="zh-CN" w:bidi="ar-SA"/>
              </w:rPr>
              <w:t>本地化服务能力强、</w:t>
            </w:r>
            <w:r>
              <w:rPr>
                <w:rFonts w:hint="eastAsia" w:ascii="宋体" w:hAnsi="宋体" w:eastAsia="宋体" w:cs="宋体"/>
                <w:color w:val="000000"/>
                <w:kern w:val="2"/>
                <w:sz w:val="24"/>
                <w:szCs w:val="24"/>
                <w:highlight w:val="none"/>
                <w:lang w:eastAsia="zh-CN"/>
              </w:rPr>
              <w:t>响应及时得</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val="en-US" w:eastAsia="zh-CN"/>
              </w:rPr>
              <w:t>4分，</w:t>
            </w:r>
          </w:p>
          <w:p>
            <w:pPr>
              <w:pStyle w:val="130"/>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u w:val="none" w:color="000000"/>
                <w:lang w:val="en-US" w:eastAsia="zh-CN" w:bidi="ar-SA"/>
              </w:rPr>
              <w:t>本地化服务能力</w:t>
            </w:r>
            <w:r>
              <w:rPr>
                <w:rFonts w:hint="eastAsia" w:ascii="宋体" w:hAnsi="宋体" w:cs="宋体"/>
                <w:color w:val="000000"/>
                <w:kern w:val="2"/>
                <w:sz w:val="24"/>
                <w:szCs w:val="24"/>
                <w:highlight w:val="none"/>
                <w:u w:val="none" w:color="000000"/>
                <w:lang w:val="en-US" w:eastAsia="zh-CN" w:bidi="ar-SA"/>
              </w:rPr>
              <w:t>一般</w:t>
            </w:r>
            <w:r>
              <w:rPr>
                <w:rFonts w:hint="eastAsia" w:ascii="宋体" w:hAnsi="宋体" w:eastAsia="宋体" w:cs="宋体"/>
                <w:color w:val="000000"/>
                <w:kern w:val="2"/>
                <w:sz w:val="24"/>
                <w:szCs w:val="24"/>
                <w:highlight w:val="none"/>
                <w:u w:val="none" w:color="000000"/>
                <w:lang w:val="en-US" w:eastAsia="zh-CN" w:bidi="ar-SA"/>
              </w:rPr>
              <w:t>、</w:t>
            </w:r>
            <w:r>
              <w:rPr>
                <w:rFonts w:hint="eastAsia" w:ascii="宋体" w:hAnsi="宋体" w:eastAsia="宋体" w:cs="宋体"/>
                <w:color w:val="000000"/>
                <w:kern w:val="2"/>
                <w:sz w:val="24"/>
                <w:szCs w:val="24"/>
                <w:highlight w:val="none"/>
                <w:lang w:eastAsia="zh-CN"/>
              </w:rPr>
              <w:t>响应一般得</w:t>
            </w:r>
            <w:r>
              <w:rPr>
                <w:rFonts w:hint="eastAsia" w:ascii="宋体" w:hAnsi="宋体" w:eastAsia="宋体" w:cs="宋体"/>
                <w:color w:val="000000"/>
                <w:kern w:val="2"/>
                <w:sz w:val="24"/>
                <w:szCs w:val="24"/>
                <w:highlight w:val="none"/>
                <w:lang w:val="en-US" w:eastAsia="zh-CN"/>
              </w:rPr>
              <w:t>1-2分，</w:t>
            </w:r>
          </w:p>
          <w:p>
            <w:pPr>
              <w:pStyle w:val="13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u w:val="none" w:color="000000"/>
                <w:lang w:val="en-US" w:eastAsia="zh-CN" w:bidi="ar-SA"/>
              </w:rPr>
              <w:t>本地化服务能力</w:t>
            </w:r>
            <w:r>
              <w:rPr>
                <w:rFonts w:hint="eastAsia" w:ascii="宋体" w:hAnsi="宋体" w:cs="宋体"/>
                <w:color w:val="000000"/>
                <w:kern w:val="2"/>
                <w:sz w:val="24"/>
                <w:szCs w:val="24"/>
                <w:highlight w:val="none"/>
                <w:u w:val="none" w:color="000000"/>
                <w:lang w:val="en-US" w:eastAsia="zh-CN" w:bidi="ar-SA"/>
              </w:rPr>
              <w:t>较差</w:t>
            </w:r>
            <w:r>
              <w:rPr>
                <w:rFonts w:hint="eastAsia" w:ascii="宋体" w:hAnsi="宋体" w:eastAsia="宋体" w:cs="宋体"/>
                <w:color w:val="000000"/>
                <w:kern w:val="2"/>
                <w:sz w:val="24"/>
                <w:szCs w:val="24"/>
                <w:highlight w:val="none"/>
                <w:u w:val="none" w:color="000000"/>
                <w:lang w:val="en-US" w:eastAsia="zh-CN" w:bidi="ar-SA"/>
              </w:rPr>
              <w:t>、</w:t>
            </w:r>
            <w:r>
              <w:rPr>
                <w:rFonts w:hint="eastAsia" w:ascii="宋体" w:hAnsi="宋体" w:eastAsia="宋体" w:cs="宋体"/>
                <w:color w:val="000000"/>
                <w:kern w:val="2"/>
                <w:sz w:val="24"/>
                <w:szCs w:val="24"/>
                <w:highlight w:val="none"/>
                <w:lang w:eastAsia="zh-CN"/>
              </w:rPr>
              <w:t>响应较差</w:t>
            </w:r>
            <w:r>
              <w:rPr>
                <w:rFonts w:hint="eastAsia" w:ascii="宋体" w:hAnsi="宋体" w:cs="宋体"/>
                <w:color w:val="000000"/>
                <w:kern w:val="2"/>
                <w:sz w:val="24"/>
                <w:szCs w:val="24"/>
                <w:highlight w:val="none"/>
                <w:lang w:eastAsia="zh-CN"/>
              </w:rPr>
              <w:t>不得分</w:t>
            </w:r>
            <w:r>
              <w:rPr>
                <w:rFonts w:hint="eastAsia" w:ascii="宋体" w:hAnsi="宋体" w:eastAsia="宋体" w:cs="宋体"/>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left="360" w:leftChars="0" w:hanging="360" w:hangingChars="15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hAnsi="宋体" w:cs="宋体"/>
                <w:bCs/>
                <w:color w:val="auto"/>
                <w:sz w:val="21"/>
                <w:szCs w:val="21"/>
                <w:highlight w:val="none"/>
                <w:lang w:val="en-US" w:eastAsia="zh-CN"/>
              </w:rPr>
              <w:t>主观</w:t>
            </w:r>
            <w:r>
              <w:rPr>
                <w:rFonts w:hint="eastAsia" w:ascii="宋体" w:hAnsi="宋体" w:eastAsia="宋体" w:cs="宋体"/>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59" w:type="dxa"/>
            <w:vMerge w:val="continue"/>
            <w:vAlign w:val="center"/>
          </w:tcPr>
          <w:p>
            <w:pPr>
              <w:pStyle w:val="24"/>
              <w:ind w:firstLine="480" w:firstLineChars="200"/>
              <w:jc w:val="left"/>
              <w:rPr>
                <w:rFonts w:hint="eastAsia" w:ascii="宋体" w:hAnsi="宋体" w:cs="宋体"/>
                <w:bCs/>
                <w:color w:val="auto"/>
                <w:sz w:val="24"/>
                <w:szCs w:val="24"/>
                <w:highlight w:val="none"/>
                <w:lang w:val="en-US"/>
              </w:rPr>
            </w:pPr>
          </w:p>
        </w:tc>
        <w:tc>
          <w:tcPr>
            <w:tcW w:w="1215" w:type="dxa"/>
            <w:vMerge w:val="continue"/>
          </w:tcPr>
          <w:p>
            <w:pPr>
              <w:pStyle w:val="24"/>
              <w:ind w:firstLine="480" w:firstLineChars="200"/>
              <w:jc w:val="left"/>
              <w:rPr>
                <w:rFonts w:hint="eastAsia" w:ascii="宋体" w:hAnsi="宋体" w:cs="宋体"/>
                <w:bCs/>
                <w:color w:val="auto"/>
                <w:sz w:val="24"/>
                <w:szCs w:val="24"/>
                <w:highlight w:val="none"/>
                <w:lang w:val="en-US"/>
              </w:rPr>
            </w:pPr>
          </w:p>
        </w:tc>
        <w:tc>
          <w:tcPr>
            <w:tcW w:w="5267" w:type="dxa"/>
            <w:vAlign w:val="top"/>
          </w:tcPr>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eastAsia="宋体" w:cs="宋体"/>
                <w:color w:val="000000"/>
                <w:kern w:val="2"/>
                <w:sz w:val="24"/>
                <w:szCs w:val="24"/>
                <w:highlight w:val="none"/>
                <w:lang w:eastAsia="zh-CN"/>
              </w:rPr>
              <w:t>工会疗养服务各方面</w:t>
            </w:r>
            <w:r>
              <w:rPr>
                <w:rFonts w:hint="eastAsia" w:ascii="宋体" w:hAnsi="宋体" w:eastAsia="宋体" w:cs="宋体"/>
                <w:color w:val="000000"/>
                <w:kern w:val="2"/>
                <w:sz w:val="24"/>
                <w:szCs w:val="24"/>
                <w:highlight w:val="none"/>
              </w:rPr>
              <w:t>响应时间、响应方式方法</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cs="宋体"/>
                <w:color w:val="000000"/>
                <w:kern w:val="2"/>
                <w:sz w:val="24"/>
                <w:szCs w:val="24"/>
                <w:highlight w:val="none"/>
                <w:lang w:eastAsia="zh-CN"/>
              </w:rPr>
              <w:t>；</w:t>
            </w:r>
          </w:p>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响应时间明确、响应方式合理得</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val="en-US" w:eastAsia="zh-CN"/>
              </w:rPr>
              <w:t>4分，</w:t>
            </w:r>
          </w:p>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响应时间一般、响应方式</w:t>
            </w:r>
            <w:r>
              <w:rPr>
                <w:rFonts w:hint="eastAsia" w:ascii="宋体" w:hAnsi="宋体" w:cs="宋体"/>
                <w:color w:val="000000"/>
                <w:kern w:val="2"/>
                <w:sz w:val="24"/>
                <w:szCs w:val="24"/>
                <w:highlight w:val="none"/>
                <w:lang w:eastAsia="zh-CN"/>
              </w:rPr>
              <w:t>方法不足的</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2分，</w:t>
            </w:r>
          </w:p>
          <w:p>
            <w:pPr>
              <w:pStyle w:val="130"/>
              <w:widowControl w:val="0"/>
              <w:numPr>
                <w:ilvl w:val="0"/>
                <w:numId w:val="0"/>
              </w:numPr>
              <w:wordWrap/>
              <w:adjustRightInd/>
              <w:snapToGrid/>
              <w:spacing w:before="0" w:line="360" w:lineRule="auto"/>
              <w:ind w:left="0" w:leftChars="0" w:firstLine="0" w:firstLineChars="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rPr>
              <w:t>响应时间不明确、响应方式未提供</w:t>
            </w:r>
            <w:r>
              <w:rPr>
                <w:rFonts w:hint="eastAsia" w:ascii="宋体" w:hAnsi="宋体" w:cs="宋体"/>
                <w:color w:val="000000"/>
                <w:kern w:val="2"/>
                <w:sz w:val="24"/>
                <w:szCs w:val="24"/>
                <w:highlight w:val="none"/>
                <w:lang w:eastAsia="zh-CN"/>
              </w:rPr>
              <w:t>的不得分</w:t>
            </w:r>
            <w:r>
              <w:rPr>
                <w:rFonts w:hint="eastAsia" w:ascii="宋体" w:hAnsi="宋体" w:eastAsia="宋体" w:cs="宋体"/>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left="360" w:leftChars="0" w:hanging="360" w:hangingChars="15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pStyle w:val="24"/>
              <w:ind w:firstLine="0" w:firstLineChars="0"/>
              <w:rPr>
                <w:rFonts w:hint="eastAsia" w:ascii="宋体" w:hAnsi="宋体" w:eastAsia="宋体" w:cs="宋体"/>
                <w:bCs/>
                <w:snapToGrid/>
                <w:color w:val="auto"/>
                <w:kern w:val="2"/>
                <w:sz w:val="21"/>
                <w:szCs w:val="21"/>
                <w:highlight w:val="none"/>
                <w:lang w:val="en-US" w:eastAsia="zh-CN" w:bidi="ar-SA"/>
              </w:rPr>
            </w:pPr>
            <w:r>
              <w:rPr>
                <w:rFonts w:hint="eastAsia" w:hAnsi="宋体" w:cs="宋体"/>
                <w:bCs/>
                <w:color w:val="auto"/>
                <w:sz w:val="21"/>
                <w:szCs w:val="21"/>
                <w:highlight w:val="none"/>
                <w:lang w:val="en-US" w:eastAsia="zh-CN"/>
              </w:rPr>
              <w:t>主观</w:t>
            </w:r>
            <w:r>
              <w:rPr>
                <w:rFonts w:hint="eastAsia" w:ascii="宋体" w:hAnsi="宋体" w:eastAsia="宋体" w:cs="宋体"/>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4"/>
                <w:szCs w:val="24"/>
                <w:highlight w:val="none"/>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4"/>
                <w:szCs w:val="24"/>
                <w:highlight w:val="none"/>
              </w:rPr>
            </w:pPr>
          </w:p>
        </w:tc>
        <w:tc>
          <w:tcPr>
            <w:tcW w:w="5267" w:type="dxa"/>
            <w:vAlign w:val="center"/>
          </w:tcPr>
          <w:p>
            <w:pPr>
              <w:pStyle w:val="130"/>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日常投诉处理详细方案</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cs="宋体"/>
                <w:color w:val="000000"/>
                <w:kern w:val="2"/>
                <w:sz w:val="24"/>
                <w:szCs w:val="24"/>
                <w:highlight w:val="none"/>
                <w:lang w:eastAsia="zh-CN"/>
              </w:rPr>
              <w:t>；</w:t>
            </w:r>
          </w:p>
          <w:p>
            <w:pPr>
              <w:pStyle w:val="130"/>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合理内容详尽</w:t>
            </w:r>
            <w:r>
              <w:rPr>
                <w:rFonts w:hint="eastAsia" w:ascii="宋体" w:hAnsi="宋体" w:cs="宋体"/>
                <w:color w:val="000000"/>
                <w:kern w:val="2"/>
                <w:sz w:val="24"/>
                <w:szCs w:val="24"/>
                <w:highlight w:val="none"/>
                <w:lang w:eastAsia="zh-CN"/>
              </w:rPr>
              <w:t>的</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val="en-US" w:eastAsia="zh-CN"/>
              </w:rPr>
              <w:t>4分，</w:t>
            </w:r>
          </w:p>
          <w:p>
            <w:pPr>
              <w:pStyle w:val="130"/>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内容一般得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2分，</w:t>
            </w:r>
          </w:p>
          <w:p>
            <w:pPr>
              <w:pStyle w:val="130"/>
              <w:numPr>
                <w:ilvl w:val="0"/>
                <w:numId w:val="0"/>
              </w:numPr>
              <w:wordWrap/>
              <w:adjustRightInd/>
              <w:snapToGrid/>
              <w:spacing w:before="0" w:line="360" w:lineRule="auto"/>
              <w:ind w:left="0" w:leftChars="0" w:firstLine="0" w:firstLineChars="0"/>
              <w:jc w:val="both"/>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内容较差</w:t>
            </w:r>
            <w:r>
              <w:rPr>
                <w:rFonts w:hint="eastAsia" w:ascii="宋体" w:hAnsi="宋体" w:cs="宋体"/>
                <w:color w:val="000000"/>
                <w:kern w:val="2"/>
                <w:sz w:val="24"/>
                <w:szCs w:val="24"/>
                <w:highlight w:val="none"/>
                <w:lang w:val="en-US" w:eastAsia="zh-CN"/>
              </w:rPr>
              <w:t>的不得分</w:t>
            </w:r>
            <w:r>
              <w:rPr>
                <w:rFonts w:hint="eastAsia" w:ascii="宋体" w:hAnsi="宋体" w:eastAsia="宋体" w:cs="宋体"/>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left="360" w:leftChars="0" w:hanging="360" w:hangingChars="15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hAnsi="宋体" w:cs="宋体"/>
                <w:bCs/>
                <w:color w:val="auto"/>
                <w:sz w:val="21"/>
                <w:szCs w:val="21"/>
                <w:highlight w:val="none"/>
                <w:lang w:val="en-US" w:eastAsia="zh-CN"/>
              </w:rPr>
              <w:t>主观</w:t>
            </w:r>
            <w:r>
              <w:rPr>
                <w:rFonts w:hint="eastAsia" w:ascii="宋体" w:hAnsi="宋体" w:eastAsia="宋体" w:cs="宋体"/>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215" w:type="dxa"/>
            <w:vAlign w:val="center"/>
          </w:tcPr>
          <w:p>
            <w:pPr>
              <w:pStyle w:val="130"/>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流程及质量保证</w:t>
            </w:r>
          </w:p>
        </w:tc>
        <w:tc>
          <w:tcPr>
            <w:tcW w:w="5267" w:type="dxa"/>
            <w:vAlign w:val="center"/>
          </w:tcPr>
          <w:p>
            <w:pPr>
              <w:pStyle w:val="130"/>
              <w:wordWrap/>
              <w:adjustRightInd/>
              <w:snapToGrid/>
              <w:spacing w:before="0" w:line="360" w:lineRule="auto"/>
              <w:ind w:firstLine="0" w:firstLineChars="0"/>
              <w:jc w:val="both"/>
              <w:textAlignment w:val="auto"/>
              <w:rPr>
                <w:rFonts w:hint="eastAsia" w:ascii="宋体" w:hAnsi="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投标单位组织接待业务</w:t>
            </w:r>
            <w:r>
              <w:rPr>
                <w:rFonts w:hint="eastAsia" w:ascii="宋体" w:hAnsi="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cs="宋体"/>
                <w:color w:val="000000"/>
                <w:kern w:val="2"/>
                <w:sz w:val="24"/>
                <w:szCs w:val="24"/>
                <w:highlight w:val="none"/>
                <w:lang w:eastAsia="zh-CN"/>
              </w:rPr>
              <w:t>保证</w:t>
            </w:r>
            <w:r>
              <w:rPr>
                <w:rFonts w:hint="eastAsia" w:ascii="宋体" w:hAnsi="宋体" w:eastAsia="宋体" w:cs="宋体"/>
                <w:color w:val="000000"/>
                <w:kern w:val="2"/>
                <w:sz w:val="24"/>
                <w:szCs w:val="24"/>
                <w:highlight w:val="none"/>
                <w:lang w:eastAsia="zh-CN"/>
              </w:rPr>
              <w:t>内容</w:t>
            </w:r>
            <w:r>
              <w:rPr>
                <w:rFonts w:hint="eastAsia" w:ascii="宋体" w:hAnsi="宋体" w:cs="宋体"/>
                <w:color w:val="000000"/>
                <w:kern w:val="2"/>
                <w:sz w:val="24"/>
                <w:szCs w:val="24"/>
                <w:highlight w:val="none"/>
                <w:lang w:eastAsia="zh-CN"/>
              </w:rPr>
              <w:t>可行性和合理性进行打分；</w:t>
            </w:r>
          </w:p>
          <w:p>
            <w:pPr>
              <w:pStyle w:val="130"/>
              <w:wordWrap/>
              <w:adjustRightInd/>
              <w:snapToGrid/>
              <w:spacing w:before="0" w:line="360" w:lineRule="auto"/>
              <w:ind w:firstLine="0" w:firstLineChars="0"/>
              <w:jc w:val="both"/>
              <w:textAlignment w:val="auto"/>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cs="宋体"/>
                <w:color w:val="000000"/>
                <w:kern w:val="2"/>
                <w:sz w:val="24"/>
                <w:szCs w:val="24"/>
                <w:highlight w:val="none"/>
                <w:lang w:eastAsia="zh-CN"/>
              </w:rPr>
              <w:t>保证内容可行合理的得</w:t>
            </w:r>
            <w:r>
              <w:rPr>
                <w:rFonts w:hint="eastAsia" w:ascii="宋体" w:hAnsi="宋体" w:cs="宋体"/>
                <w:color w:val="000000"/>
                <w:kern w:val="2"/>
                <w:sz w:val="24"/>
                <w:szCs w:val="24"/>
                <w:highlight w:val="none"/>
                <w:lang w:val="en-US" w:eastAsia="zh-CN"/>
              </w:rPr>
              <w:t>3-4分；</w:t>
            </w:r>
          </w:p>
          <w:p>
            <w:pPr>
              <w:pStyle w:val="130"/>
              <w:wordWrap/>
              <w:adjustRightInd/>
              <w:snapToGrid/>
              <w:spacing w:before="0" w:line="360" w:lineRule="auto"/>
              <w:ind w:firstLine="0" w:firstLineChars="0"/>
              <w:jc w:val="both"/>
              <w:textAlignment w:val="auto"/>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eastAsia="zh-CN"/>
              </w:rPr>
              <w:t>流程欠缺、</w:t>
            </w:r>
            <w:r>
              <w:rPr>
                <w:rFonts w:hint="eastAsia" w:ascii="宋体" w:hAnsi="宋体" w:eastAsia="宋体" w:cs="宋体"/>
                <w:color w:val="000000"/>
                <w:kern w:val="2"/>
                <w:sz w:val="24"/>
                <w:szCs w:val="24"/>
                <w:highlight w:val="none"/>
              </w:rPr>
              <w:t>质量</w:t>
            </w:r>
            <w:r>
              <w:rPr>
                <w:rFonts w:hint="eastAsia" w:ascii="宋体" w:hAnsi="宋体" w:cs="宋体"/>
                <w:color w:val="000000"/>
                <w:kern w:val="2"/>
                <w:sz w:val="24"/>
                <w:szCs w:val="24"/>
                <w:highlight w:val="none"/>
                <w:lang w:eastAsia="zh-CN"/>
              </w:rPr>
              <w:t>保证</w:t>
            </w:r>
            <w:r>
              <w:rPr>
                <w:rFonts w:hint="eastAsia" w:ascii="宋体" w:hAnsi="宋体" w:cs="宋体"/>
                <w:color w:val="000000"/>
                <w:kern w:val="2"/>
                <w:sz w:val="24"/>
                <w:szCs w:val="24"/>
                <w:highlight w:val="none"/>
                <w:lang w:val="en-US" w:eastAsia="zh-CN"/>
              </w:rPr>
              <w:t>内容一般的得1-2分；</w:t>
            </w:r>
          </w:p>
          <w:p>
            <w:pPr>
              <w:pStyle w:val="130"/>
              <w:wordWrap/>
              <w:adjustRightInd/>
              <w:snapToGrid/>
              <w:spacing w:before="0" w:line="360" w:lineRule="auto"/>
              <w:ind w:firstLine="0" w:firstLineChars="0"/>
              <w:jc w:val="both"/>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eastAsia="zh-CN"/>
              </w:rPr>
              <w:t>流程不清晰、</w:t>
            </w:r>
            <w:r>
              <w:rPr>
                <w:rFonts w:hint="eastAsia" w:ascii="宋体" w:hAnsi="宋体" w:eastAsia="宋体" w:cs="宋体"/>
                <w:color w:val="000000"/>
                <w:kern w:val="2"/>
                <w:sz w:val="24"/>
                <w:szCs w:val="24"/>
                <w:highlight w:val="none"/>
              </w:rPr>
              <w:t>质量</w:t>
            </w:r>
            <w:r>
              <w:rPr>
                <w:rFonts w:hint="eastAsia" w:ascii="宋体" w:hAnsi="宋体" w:cs="宋体"/>
                <w:color w:val="000000"/>
                <w:kern w:val="2"/>
                <w:sz w:val="24"/>
                <w:szCs w:val="24"/>
                <w:highlight w:val="none"/>
                <w:lang w:eastAsia="zh-CN"/>
              </w:rPr>
              <w:t>保证</w:t>
            </w:r>
            <w:r>
              <w:rPr>
                <w:rFonts w:hint="eastAsia" w:ascii="宋体" w:hAnsi="宋体" w:cs="宋体"/>
                <w:color w:val="000000"/>
                <w:kern w:val="2"/>
                <w:sz w:val="24"/>
                <w:szCs w:val="24"/>
                <w:highlight w:val="none"/>
                <w:lang w:val="en-US" w:eastAsia="zh-CN"/>
              </w:rPr>
              <w:t>内容较差的得不得分。</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主观</w:t>
            </w:r>
            <w:r>
              <w:rPr>
                <w:rFonts w:hint="eastAsia" w:ascii="宋体" w:hAnsi="宋体" w:eastAsia="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1215" w:type="dxa"/>
            <w:vMerge w:val="restart"/>
            <w:vAlign w:val="top"/>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pPr>
              <w:pStyle w:val="130"/>
              <w:wordWrap/>
              <w:adjustRightInd/>
              <w:spacing w:before="0" w:line="36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zh-CN"/>
              </w:rPr>
              <w:t>疗休养策划方案</w:t>
            </w:r>
          </w:p>
          <w:p>
            <w:pPr>
              <w:pStyle w:val="130"/>
              <w:keepNext w:val="0"/>
              <w:keepLines w:val="0"/>
              <w:pageBreakBefore w:val="0"/>
              <w:kinsoku/>
              <w:wordWrap/>
              <w:overflowPunct/>
              <w:topLinePunct w:val="0"/>
              <w:bidi w:val="0"/>
              <w:adjustRightInd/>
              <w:spacing w:before="0" w:line="36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5267" w:type="dxa"/>
            <w:vAlign w:val="top"/>
          </w:tcPr>
          <w:p>
            <w:pPr>
              <w:numPr>
                <w:ilvl w:val="0"/>
                <w:numId w:val="5"/>
              </w:numPr>
              <w:spacing w:line="360" w:lineRule="auto"/>
              <w:rPr>
                <w:rFonts w:hint="default"/>
                <w:highlight w:val="none"/>
                <w:lang w:val="en-US" w:eastAsia="zh-CN"/>
              </w:rPr>
            </w:pP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线路安排</w:t>
            </w:r>
            <w:r>
              <w:rPr>
                <w:rFonts w:hint="eastAsia" w:ascii="宋体" w:hAnsi="宋体" w:eastAsia="宋体" w:cs="宋体"/>
                <w:color w:val="000000"/>
                <w:sz w:val="24"/>
                <w:szCs w:val="24"/>
                <w:highlight w:val="none"/>
              </w:rPr>
              <w:t>（包括景点安排）</w:t>
            </w:r>
            <w:r>
              <w:rPr>
                <w:rFonts w:hint="eastAsia" w:ascii="宋体" w:hAnsi="宋体" w:eastAsia="宋体" w:cs="宋体"/>
                <w:color w:val="000000"/>
                <w:sz w:val="24"/>
                <w:szCs w:val="24"/>
                <w:highlight w:val="none"/>
                <w:lang w:val="zh-CN"/>
              </w:rPr>
              <w:t>：每条线路必须提供</w:t>
            </w:r>
            <w:r>
              <w:rPr>
                <w:rFonts w:hint="eastAsia" w:ascii="宋体" w:hAnsi="宋体" w:eastAsia="宋体" w:cs="宋体"/>
                <w:color w:val="000000"/>
                <w:sz w:val="24"/>
                <w:szCs w:val="24"/>
                <w:highlight w:val="none"/>
              </w:rPr>
              <w:t>详细的行程单</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标明各景点特色</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根据各条线路安排进行打分，各标项每条线路最多得3分，小计12分。</w:t>
            </w:r>
          </w:p>
          <w:p>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路线安排详细，标明各景点特色好得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路线安排一般，标明各景点特色一般得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路线安排较差，标明各景点</w:t>
            </w:r>
            <w:r>
              <w:rPr>
                <w:rFonts w:hint="eastAsia" w:ascii="宋体" w:hAnsi="宋体" w:cs="宋体"/>
                <w:color w:val="000000"/>
                <w:sz w:val="24"/>
                <w:szCs w:val="24"/>
                <w:highlight w:val="none"/>
                <w:lang w:val="en-US" w:eastAsia="zh-CN"/>
              </w:rPr>
              <w:t>无</w:t>
            </w:r>
            <w:r>
              <w:rPr>
                <w:rFonts w:hint="eastAsia" w:ascii="宋体" w:hAnsi="宋体" w:eastAsia="宋体" w:cs="宋体"/>
                <w:color w:val="000000"/>
                <w:sz w:val="24"/>
                <w:szCs w:val="24"/>
                <w:highlight w:val="none"/>
                <w:lang w:val="en-US" w:eastAsia="zh-CN"/>
              </w:rPr>
              <w:t>特色</w:t>
            </w:r>
            <w:r>
              <w:rPr>
                <w:rFonts w:hint="eastAsia" w:ascii="宋体" w:hAnsi="宋体" w:cs="宋体"/>
                <w:color w:val="000000"/>
                <w:sz w:val="24"/>
                <w:szCs w:val="24"/>
                <w:highlight w:val="none"/>
                <w:lang w:val="en-US" w:eastAsia="zh-CN"/>
              </w:rPr>
              <w:t>的最多</w:t>
            </w:r>
            <w:r>
              <w:rPr>
                <w:rFonts w:hint="eastAsia" w:ascii="宋体" w:hAnsi="宋体" w:eastAsia="宋体" w:cs="宋体"/>
                <w:color w:val="000000"/>
                <w:sz w:val="24"/>
                <w:szCs w:val="24"/>
                <w:highlight w:val="none"/>
                <w:lang w:val="en-US" w:eastAsia="zh-CN"/>
              </w:rPr>
              <w:t>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12</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pPr>
          </w:p>
        </w:tc>
        <w:tc>
          <w:tcPr>
            <w:tcW w:w="1215" w:type="dxa"/>
            <w:vMerge w:val="continue"/>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pPr>
          </w:p>
        </w:tc>
        <w:tc>
          <w:tcPr>
            <w:tcW w:w="5267" w:type="dxa"/>
            <w:vAlign w:val="top"/>
          </w:tcPr>
          <w:p>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线路安排</w:t>
            </w:r>
            <w:r>
              <w:rPr>
                <w:rFonts w:hint="eastAsia" w:ascii="宋体" w:hAnsi="宋体" w:eastAsia="宋体" w:cs="宋体"/>
                <w:color w:val="000000"/>
                <w:sz w:val="24"/>
                <w:szCs w:val="24"/>
                <w:highlight w:val="none"/>
              </w:rPr>
              <w:t>（包括景点安排）游玩时间，景点与宾馆之间的车程时间</w:t>
            </w:r>
            <w:r>
              <w:rPr>
                <w:rFonts w:hint="eastAsia" w:ascii="宋体" w:hAnsi="宋体" w:eastAsia="宋体" w:cs="宋体"/>
                <w:color w:val="000000"/>
                <w:sz w:val="24"/>
                <w:szCs w:val="24"/>
                <w:highlight w:val="none"/>
                <w:lang w:eastAsia="zh-CN"/>
              </w:rPr>
              <w:t>合理性情况打分；</w:t>
            </w:r>
          </w:p>
          <w:p>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路线游玩时间安排合理，景点与宾馆之前车程安排合理得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p>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路线游玩时间安排一般，景点与宾馆之前车程安排一般得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pPr>
              <w:numPr>
                <w:ilvl w:val="0"/>
                <w:numId w:val="0"/>
              </w:numPr>
              <w:wordWrap/>
              <w:adjustRightInd/>
              <w:snapToGrid/>
              <w:spacing w:line="360" w:lineRule="auto"/>
              <w:ind w:left="0" w:leftChars="0" w:firstLine="0" w:firstLineChars="0"/>
              <w:jc w:val="left"/>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路线游玩时间安排较差，景点与宾馆之前车程安排较差</w:t>
            </w:r>
            <w:r>
              <w:rPr>
                <w:rFonts w:hint="eastAsia" w:ascii="宋体" w:hAnsi="宋体" w:cs="宋体"/>
                <w:color w:val="000000"/>
                <w:sz w:val="24"/>
                <w:szCs w:val="24"/>
                <w:highlight w:val="none"/>
                <w:lang w:eastAsia="zh-CN"/>
              </w:rPr>
              <w:t>的最多得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p>
        </w:tc>
        <w:tc>
          <w:tcPr>
            <w:tcW w:w="780" w:type="dxa"/>
            <w:vAlign w:val="center"/>
          </w:tcPr>
          <w:p>
            <w:pPr>
              <w:wordWrap/>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1215" w:type="dxa"/>
            <w:vMerge w:val="continue"/>
            <w:vAlign w:val="center"/>
          </w:tcPr>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sz w:val="21"/>
                <w:szCs w:val="21"/>
                <w:highlight w:val="none"/>
              </w:rPr>
            </w:pPr>
          </w:p>
        </w:tc>
        <w:tc>
          <w:tcPr>
            <w:tcW w:w="5267" w:type="dxa"/>
            <w:vAlign w:val="center"/>
          </w:tcPr>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酒店住宿安排（标明酒店星级高低）打分</w:t>
            </w:r>
            <w:r>
              <w:rPr>
                <w:rFonts w:hint="eastAsia" w:ascii="宋体" w:hAnsi="宋体" w:eastAsia="宋体" w:cs="宋体"/>
                <w:color w:val="000000"/>
                <w:sz w:val="24"/>
                <w:szCs w:val="24"/>
                <w:highlight w:val="none"/>
                <w:lang w:eastAsia="zh-CN"/>
              </w:rPr>
              <w:t>，安排五星级酒店得</w:t>
            </w:r>
            <w:r>
              <w:rPr>
                <w:rFonts w:hint="eastAsia" w:ascii="宋体" w:hAnsi="宋体" w:eastAsia="宋体" w:cs="宋体"/>
                <w:color w:val="000000"/>
                <w:sz w:val="24"/>
                <w:szCs w:val="24"/>
                <w:highlight w:val="none"/>
                <w:lang w:val="en-US" w:eastAsia="zh-CN"/>
              </w:rPr>
              <w:t>3分，4星级酒店得1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其他不得分</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3.0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1215" w:type="dxa"/>
            <w:vMerge w:val="continue"/>
            <w:vAlign w:val="center"/>
          </w:tcPr>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sz w:val="21"/>
                <w:szCs w:val="21"/>
                <w:highlight w:val="none"/>
              </w:rPr>
            </w:pPr>
          </w:p>
        </w:tc>
        <w:tc>
          <w:tcPr>
            <w:tcW w:w="5267" w:type="dxa"/>
            <w:vAlign w:val="center"/>
          </w:tcPr>
          <w:p>
            <w:pPr>
              <w:pStyle w:val="80"/>
              <w:widowControl w:val="0"/>
              <w:numPr>
                <w:ilvl w:val="0"/>
                <w:numId w:val="0"/>
              </w:numPr>
              <w:spacing w:line="360" w:lineRule="auto"/>
              <w:jc w:val="both"/>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val="zh-CN" w:eastAsia="zh-CN"/>
              </w:rPr>
              <w:t>）</w:t>
            </w:r>
            <w:r>
              <w:rPr>
                <w:rFonts w:hint="eastAsia" w:ascii="宋体" w:hAnsi="宋体" w:eastAsia="宋体" w:cs="宋体"/>
                <w:color w:val="000000"/>
                <w:sz w:val="24"/>
                <w:highlight w:val="none"/>
                <w:lang w:val="zh-CN"/>
              </w:rPr>
              <w:t>就餐</w:t>
            </w:r>
            <w:r>
              <w:rPr>
                <w:rFonts w:hint="eastAsia" w:ascii="宋体" w:hAnsi="宋体" w:eastAsia="宋体" w:cs="宋体"/>
                <w:color w:val="000000"/>
                <w:sz w:val="24"/>
                <w:highlight w:val="none"/>
                <w:lang w:val="zh-CN" w:eastAsia="zh-CN"/>
              </w:rPr>
              <w:t>环境</w:t>
            </w:r>
            <w:r>
              <w:rPr>
                <w:rFonts w:hint="eastAsia" w:ascii="宋体" w:hAnsi="宋体" w:eastAsia="宋体" w:cs="宋体"/>
                <w:color w:val="000000"/>
                <w:sz w:val="24"/>
                <w:highlight w:val="none"/>
                <w:lang w:val="zh-CN"/>
              </w:rPr>
              <w:t>及餐标整体安排合理性打分</w:t>
            </w:r>
            <w:r>
              <w:rPr>
                <w:rFonts w:hint="eastAsia" w:ascii="宋体" w:hAnsi="宋体" w:eastAsia="宋体" w:cs="宋体"/>
                <w:color w:val="000000"/>
                <w:sz w:val="24"/>
                <w:highlight w:val="none"/>
                <w:lang w:val="zh-CN" w:eastAsia="zh-CN"/>
              </w:rPr>
              <w:t>。</w:t>
            </w:r>
          </w:p>
          <w:p>
            <w:pPr>
              <w:pStyle w:val="80"/>
              <w:widowControl w:val="0"/>
              <w:numPr>
                <w:ilvl w:val="0"/>
                <w:numId w:val="0"/>
              </w:numPr>
              <w:spacing w:line="360" w:lineRule="auto"/>
              <w:jc w:val="both"/>
              <w:rPr>
                <w:rFonts w:hint="eastAsia"/>
                <w:highlight w:val="none"/>
                <w:lang w:val="en-US" w:eastAsia="zh-CN"/>
              </w:rPr>
            </w:pPr>
            <w:r>
              <w:rPr>
                <w:rFonts w:hint="eastAsia"/>
                <w:highlight w:val="none"/>
                <w:lang w:val="en-US" w:eastAsia="zh-CN"/>
              </w:rPr>
              <w:t>安排就餐环境优美或餐标优于采购需求得3分；</w:t>
            </w:r>
          </w:p>
          <w:p>
            <w:pPr>
              <w:pStyle w:val="80"/>
              <w:widowControl w:val="0"/>
              <w:numPr>
                <w:ilvl w:val="0"/>
                <w:numId w:val="0"/>
              </w:numPr>
              <w:spacing w:line="360" w:lineRule="auto"/>
              <w:jc w:val="both"/>
              <w:rPr>
                <w:rFonts w:hint="eastAsia"/>
                <w:highlight w:val="none"/>
                <w:lang w:val="en-US" w:eastAsia="zh-CN"/>
              </w:rPr>
            </w:pPr>
            <w:r>
              <w:rPr>
                <w:rFonts w:hint="eastAsia"/>
                <w:highlight w:val="none"/>
                <w:lang w:val="en-US" w:eastAsia="zh-CN"/>
              </w:rPr>
              <w:t>安排就餐环境一般或餐标满足采购需求得2分；</w:t>
            </w:r>
          </w:p>
          <w:p>
            <w:pPr>
              <w:pStyle w:val="80"/>
              <w:widowControl w:val="0"/>
              <w:numPr>
                <w:ilvl w:val="0"/>
                <w:numId w:val="0"/>
              </w:numPr>
              <w:spacing w:line="360" w:lineRule="auto"/>
              <w:ind w:left="0" w:leftChars="0" w:firstLine="0" w:firstLineChars="0"/>
              <w:jc w:val="both"/>
              <w:rPr>
                <w:rFonts w:hint="default" w:ascii="宋体" w:hAnsi="宋体" w:eastAsia="宋体" w:cs="Times New Roman"/>
                <w:sz w:val="24"/>
                <w:szCs w:val="22"/>
                <w:highlight w:val="none"/>
                <w:lang w:val="en-US" w:eastAsia="zh-CN" w:bidi="ar-SA"/>
              </w:rPr>
            </w:pPr>
            <w:r>
              <w:rPr>
                <w:rFonts w:hint="eastAsia"/>
                <w:highlight w:val="none"/>
                <w:lang w:val="en-US" w:eastAsia="zh-CN"/>
              </w:rPr>
              <w:t>安排就餐环境较差或餐标低于采购需求得1分；</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3.0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1215" w:type="dxa"/>
            <w:vMerge w:val="continue"/>
            <w:vAlign w:val="center"/>
          </w:tcPr>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sz w:val="21"/>
                <w:szCs w:val="21"/>
                <w:highlight w:val="none"/>
              </w:rPr>
            </w:pPr>
          </w:p>
        </w:tc>
        <w:tc>
          <w:tcPr>
            <w:tcW w:w="5267" w:type="dxa"/>
            <w:vAlign w:val="top"/>
          </w:tcPr>
          <w:p>
            <w:pPr>
              <w:pStyle w:val="130"/>
              <w:numPr>
                <w:ilvl w:val="0"/>
                <w:numId w:val="0"/>
              </w:numPr>
              <w:wordWrap/>
              <w:adjustRightInd/>
              <w:snapToGrid/>
              <w:spacing w:before="0" w:line="360" w:lineRule="auto"/>
              <w:ind w:firstLine="0" w:firstLineChars="0"/>
              <w:textAlignment w:val="auto"/>
              <w:rPr>
                <w:rFonts w:hint="eastAsia" w:ascii="宋体" w:hAnsi="宋体" w:eastAsia="宋体" w:cs="宋体"/>
                <w:color w:val="000000"/>
                <w:spacing w:val="-6"/>
                <w:sz w:val="24"/>
                <w:szCs w:val="24"/>
                <w:highlight w:val="none"/>
                <w:lang w:val="zh-CN"/>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针对本项目</w:t>
            </w:r>
            <w:r>
              <w:rPr>
                <w:rFonts w:hint="eastAsia" w:ascii="宋体" w:hAnsi="宋体" w:eastAsia="宋体" w:cs="宋体"/>
                <w:color w:val="000000"/>
                <w:sz w:val="24"/>
                <w:highlight w:val="none"/>
                <w:lang w:eastAsia="zh-CN"/>
              </w:rPr>
              <w:t>各条</w:t>
            </w:r>
            <w:r>
              <w:rPr>
                <w:rFonts w:hint="eastAsia" w:ascii="宋体" w:hAnsi="宋体" w:eastAsia="宋体" w:cs="宋体"/>
                <w:color w:val="000000"/>
                <w:sz w:val="24"/>
                <w:highlight w:val="none"/>
              </w:rPr>
              <w:t>路线拟安排</w:t>
            </w:r>
            <w:r>
              <w:rPr>
                <w:rFonts w:hint="eastAsia" w:ascii="宋体" w:hAnsi="宋体" w:eastAsia="宋体" w:cs="宋体"/>
                <w:color w:val="000000"/>
                <w:sz w:val="24"/>
                <w:highlight w:val="none"/>
                <w:lang w:val="zh-CN"/>
              </w:rPr>
              <w:t>旅游车或其他交通工具</w:t>
            </w:r>
            <w:r>
              <w:rPr>
                <w:rFonts w:hint="eastAsia" w:ascii="宋体" w:hAnsi="宋体" w:eastAsia="宋体" w:cs="宋体"/>
                <w:color w:val="000000"/>
                <w:sz w:val="24"/>
                <w:highlight w:val="none"/>
              </w:rPr>
              <w:t>的合理性进行打分</w:t>
            </w:r>
            <w:r>
              <w:rPr>
                <w:rFonts w:hint="eastAsia" w:ascii="宋体" w:hAnsi="宋体" w:eastAsia="宋体" w:cs="宋体"/>
                <w:color w:val="000000"/>
                <w:spacing w:val="-6"/>
                <w:sz w:val="24"/>
                <w:szCs w:val="24"/>
                <w:highlight w:val="none"/>
                <w:lang w:val="zh-CN"/>
              </w:rPr>
              <w:t>。</w:t>
            </w:r>
          </w:p>
          <w:p>
            <w:pPr>
              <w:pStyle w:val="130"/>
              <w:numPr>
                <w:ilvl w:val="0"/>
                <w:numId w:val="0"/>
              </w:numPr>
              <w:wordWrap/>
              <w:adjustRightInd/>
              <w:snapToGrid/>
              <w:spacing w:before="0" w:line="360" w:lineRule="auto"/>
              <w:ind w:firstLine="0" w:firstLineChars="0"/>
              <w:textAlignment w:val="auto"/>
              <w:rPr>
                <w:rFonts w:hint="eastAsia" w:ascii="宋体" w:hAnsi="宋体" w:cs="宋体"/>
                <w:color w:val="000000"/>
                <w:spacing w:val="-6"/>
                <w:sz w:val="24"/>
                <w:szCs w:val="24"/>
                <w:highlight w:val="none"/>
                <w:lang w:val="en-US" w:eastAsia="zh-CN"/>
              </w:rPr>
            </w:pPr>
            <w:r>
              <w:rPr>
                <w:rFonts w:hint="eastAsia" w:ascii="宋体" w:hAnsi="宋体" w:eastAsia="宋体" w:cs="宋体"/>
                <w:color w:val="000000"/>
                <w:spacing w:val="-6"/>
                <w:sz w:val="24"/>
                <w:szCs w:val="24"/>
                <w:highlight w:val="none"/>
                <w:lang w:val="zh-CN"/>
              </w:rPr>
              <w:t>车辆安排合理得</w:t>
            </w:r>
            <w:r>
              <w:rPr>
                <w:rFonts w:hint="eastAsia" w:ascii="宋体" w:hAnsi="宋体" w:cs="宋体"/>
                <w:color w:val="000000"/>
                <w:spacing w:val="-6"/>
                <w:sz w:val="24"/>
                <w:szCs w:val="24"/>
                <w:highlight w:val="none"/>
                <w:lang w:val="en-US" w:eastAsia="zh-CN"/>
              </w:rPr>
              <w:t>3</w:t>
            </w:r>
            <w:r>
              <w:rPr>
                <w:rFonts w:hint="eastAsia" w:ascii="宋体" w:hAnsi="宋体" w:eastAsia="宋体" w:cs="宋体"/>
                <w:color w:val="000000"/>
                <w:spacing w:val="-6"/>
                <w:sz w:val="24"/>
                <w:szCs w:val="24"/>
                <w:highlight w:val="none"/>
                <w:lang w:val="en-US" w:eastAsia="zh-CN"/>
              </w:rPr>
              <w:t>分</w:t>
            </w:r>
            <w:r>
              <w:rPr>
                <w:rFonts w:hint="eastAsia" w:ascii="宋体" w:hAnsi="宋体" w:cs="宋体"/>
                <w:color w:val="000000"/>
                <w:spacing w:val="-6"/>
                <w:sz w:val="24"/>
                <w:szCs w:val="24"/>
                <w:highlight w:val="none"/>
                <w:lang w:val="en-US" w:eastAsia="zh-CN"/>
              </w:rPr>
              <w:t>；</w:t>
            </w:r>
          </w:p>
          <w:p>
            <w:pPr>
              <w:pStyle w:val="130"/>
              <w:numPr>
                <w:ilvl w:val="0"/>
                <w:numId w:val="0"/>
              </w:numPr>
              <w:wordWrap/>
              <w:adjustRightInd/>
              <w:snapToGrid/>
              <w:spacing w:before="0" w:line="360" w:lineRule="auto"/>
              <w:ind w:firstLine="0" w:firstLineChars="0"/>
              <w:textAlignment w:val="auto"/>
              <w:rPr>
                <w:rFonts w:hint="eastAsia" w:ascii="宋体" w:hAnsi="宋体" w:eastAsia="宋体" w:cs="宋体"/>
                <w:color w:val="000000"/>
                <w:spacing w:val="-6"/>
                <w:sz w:val="24"/>
                <w:szCs w:val="24"/>
                <w:highlight w:val="none"/>
                <w:lang w:val="en-US" w:eastAsia="zh-CN"/>
              </w:rPr>
            </w:pPr>
            <w:r>
              <w:rPr>
                <w:rFonts w:hint="eastAsia" w:ascii="宋体" w:hAnsi="宋体" w:eastAsia="宋体" w:cs="宋体"/>
                <w:color w:val="000000"/>
                <w:spacing w:val="-6"/>
                <w:sz w:val="24"/>
                <w:szCs w:val="24"/>
                <w:highlight w:val="none"/>
                <w:lang w:val="zh-CN"/>
              </w:rPr>
              <w:t>车辆安排一般得</w:t>
            </w:r>
            <w:r>
              <w:rPr>
                <w:rFonts w:hint="eastAsia" w:ascii="宋体" w:hAnsi="宋体" w:eastAsia="宋体" w:cs="宋体"/>
                <w:color w:val="000000"/>
                <w:spacing w:val="-6"/>
                <w:sz w:val="24"/>
                <w:szCs w:val="24"/>
                <w:highlight w:val="none"/>
                <w:lang w:val="en-US" w:eastAsia="zh-CN"/>
              </w:rPr>
              <w:t>2分</w:t>
            </w:r>
            <w:r>
              <w:rPr>
                <w:rFonts w:hint="eastAsia" w:ascii="宋体" w:hAnsi="宋体" w:cs="宋体"/>
                <w:color w:val="000000"/>
                <w:spacing w:val="-6"/>
                <w:sz w:val="24"/>
                <w:szCs w:val="24"/>
                <w:highlight w:val="none"/>
                <w:lang w:val="en-US" w:eastAsia="zh-CN"/>
              </w:rPr>
              <w:t>；</w:t>
            </w:r>
          </w:p>
          <w:p>
            <w:pPr>
              <w:pStyle w:val="130"/>
              <w:numPr>
                <w:ilvl w:val="0"/>
                <w:numId w:val="0"/>
              </w:numPr>
              <w:wordWrap/>
              <w:adjustRightInd/>
              <w:snapToGrid/>
              <w:spacing w:before="0" w:line="360" w:lineRule="auto"/>
              <w:ind w:firstLine="0" w:firstLineChars="0"/>
              <w:textAlignment w:val="auto"/>
              <w:rPr>
                <w:rFonts w:hint="default" w:ascii="宋体" w:hAnsi="宋体" w:eastAsia="宋体" w:cs="宋体"/>
                <w:color w:val="000000"/>
                <w:spacing w:val="-6"/>
                <w:sz w:val="24"/>
                <w:szCs w:val="24"/>
                <w:highlight w:val="none"/>
                <w:lang w:val="en-US" w:eastAsia="zh-CN"/>
              </w:rPr>
            </w:pPr>
            <w:r>
              <w:rPr>
                <w:rFonts w:hint="eastAsia" w:ascii="宋体" w:hAnsi="宋体" w:eastAsia="宋体" w:cs="宋体"/>
                <w:color w:val="000000"/>
                <w:spacing w:val="-6"/>
                <w:sz w:val="24"/>
                <w:szCs w:val="24"/>
                <w:highlight w:val="none"/>
                <w:lang w:val="zh-CN"/>
              </w:rPr>
              <w:t>车辆安排</w:t>
            </w:r>
            <w:r>
              <w:rPr>
                <w:rFonts w:hint="eastAsia" w:ascii="宋体" w:hAnsi="宋体" w:cs="宋体"/>
                <w:color w:val="000000"/>
                <w:spacing w:val="-6"/>
                <w:sz w:val="24"/>
                <w:szCs w:val="24"/>
                <w:highlight w:val="none"/>
                <w:lang w:val="zh-CN"/>
              </w:rPr>
              <w:t>较差的最多</w:t>
            </w:r>
            <w:r>
              <w:rPr>
                <w:rFonts w:hint="eastAsia" w:ascii="宋体" w:hAnsi="宋体" w:eastAsia="宋体" w:cs="宋体"/>
                <w:color w:val="000000"/>
                <w:spacing w:val="-6"/>
                <w:sz w:val="24"/>
                <w:szCs w:val="24"/>
                <w:highlight w:val="none"/>
                <w:lang w:val="zh-CN"/>
              </w:rPr>
              <w:t>得</w:t>
            </w:r>
            <w:r>
              <w:rPr>
                <w:rFonts w:hint="eastAsia" w:ascii="宋体" w:hAnsi="宋体" w:cs="宋体"/>
                <w:color w:val="000000"/>
                <w:spacing w:val="-6"/>
                <w:sz w:val="24"/>
                <w:szCs w:val="24"/>
                <w:highlight w:val="none"/>
                <w:lang w:val="en-US" w:eastAsia="zh-CN"/>
              </w:rPr>
              <w:t>1</w:t>
            </w:r>
            <w:r>
              <w:rPr>
                <w:rFonts w:hint="eastAsia" w:ascii="宋体" w:hAnsi="宋体" w:eastAsia="宋体" w:cs="宋体"/>
                <w:color w:val="000000"/>
                <w:spacing w:val="-6"/>
                <w:sz w:val="24"/>
                <w:szCs w:val="24"/>
                <w:highlight w:val="none"/>
                <w:lang w:val="en-US" w:eastAsia="zh-CN"/>
              </w:rPr>
              <w:t>分；</w:t>
            </w:r>
          </w:p>
          <w:p>
            <w:pPr>
              <w:pStyle w:val="13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b/>
                <w:bCs/>
                <w:color w:val="000000"/>
                <w:sz w:val="24"/>
                <w:highlight w:val="none"/>
                <w:lang w:eastAsia="zh-CN"/>
              </w:rPr>
              <w:t>注：</w:t>
            </w:r>
            <w:r>
              <w:rPr>
                <w:rFonts w:hint="eastAsia" w:ascii="宋体" w:hAnsi="宋体" w:eastAsia="宋体" w:cs="宋体"/>
                <w:b/>
                <w:bCs/>
                <w:color w:val="000000"/>
                <w:sz w:val="24"/>
                <w:highlight w:val="none"/>
              </w:rPr>
              <w:t>投标人可提供自身与相关旅行车队的合作协议以及相应综合调配能力的资信证明材料。</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1215" w:type="dxa"/>
            <w:vMerge w:val="restart"/>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投入本项目导游情况</w:t>
            </w:r>
          </w:p>
          <w:p>
            <w:pPr>
              <w:pStyle w:val="130"/>
              <w:wordWrap/>
              <w:spacing w:before="0" w:line="36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p>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5267" w:type="dxa"/>
            <w:vAlign w:val="center"/>
          </w:tcPr>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投标人投入本项目的导游人数，导游</w:t>
            </w:r>
            <w:r>
              <w:rPr>
                <w:rFonts w:hint="default" w:ascii="宋体" w:hAnsi="宋体" w:eastAsia="宋体" w:cs="宋体"/>
                <w:color w:val="000000"/>
                <w:sz w:val="24"/>
                <w:szCs w:val="24"/>
                <w:highlight w:val="none"/>
                <w:lang w:val="en-US"/>
              </w:rPr>
              <w:t>5</w:t>
            </w:r>
            <w:r>
              <w:rPr>
                <w:rFonts w:hint="eastAsia" w:ascii="宋体" w:hAnsi="宋体" w:eastAsia="宋体" w:cs="宋体"/>
                <w:color w:val="000000"/>
                <w:sz w:val="24"/>
                <w:szCs w:val="24"/>
                <w:highlight w:val="none"/>
              </w:rPr>
              <w:t>人得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分，每增加1人加</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分，最多加</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分，本项最</w:t>
            </w:r>
            <w:r>
              <w:rPr>
                <w:rFonts w:hint="eastAsia" w:ascii="宋体" w:hAnsi="宋体" w:cs="宋体"/>
                <w:color w:val="000000"/>
                <w:sz w:val="24"/>
                <w:szCs w:val="24"/>
                <w:highlight w:val="none"/>
                <w:lang w:eastAsia="zh-CN"/>
              </w:rPr>
              <w:t>高</w:t>
            </w:r>
            <w:r>
              <w:rPr>
                <w:rFonts w:hint="eastAsia" w:ascii="宋体" w:hAnsi="宋体" w:eastAsia="宋体" w:cs="宋体"/>
                <w:color w:val="000000"/>
                <w:sz w:val="24"/>
                <w:szCs w:val="24"/>
                <w:highlight w:val="none"/>
              </w:rPr>
              <w:t>得</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rPr>
              <w:t>提供导游资格证书及社保缴纳证明材料并加盖公章</w:t>
            </w:r>
            <w:r>
              <w:rPr>
                <w:rFonts w:hint="eastAsia" w:ascii="宋体" w:hAnsi="宋体" w:cs="宋体"/>
                <w:b/>
                <w:bCs/>
                <w:color w:val="000000"/>
                <w:sz w:val="24"/>
                <w:szCs w:val="24"/>
                <w:highlight w:val="none"/>
                <w:lang w:eastAsia="zh-CN"/>
              </w:rPr>
              <w:t>，否则不得分。</w:t>
            </w:r>
            <w:r>
              <w:rPr>
                <w:rFonts w:hint="eastAsia" w:ascii="宋体" w:hAnsi="宋体" w:cs="宋体"/>
                <w:b/>
                <w:bCs/>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9</w:t>
            </w:r>
            <w:r>
              <w:rPr>
                <w:rFonts w:hint="eastAsia" w:ascii="宋体" w:hAnsi="宋体" w:eastAsia="宋体" w:cs="宋体"/>
                <w:color w:val="000000"/>
                <w:kern w:val="2"/>
                <w:sz w:val="24"/>
                <w:szCs w:val="24"/>
                <w:highlight w:val="none"/>
                <w:lang w:val="en-US" w:eastAsia="zh-CN"/>
              </w:rPr>
              <w:t>.0</w:t>
            </w:r>
          </w:p>
        </w:tc>
        <w:tc>
          <w:tcPr>
            <w:tcW w:w="1010" w:type="dxa"/>
            <w:vAlign w:val="center"/>
          </w:tcPr>
          <w:p>
            <w:pPr>
              <w:wordWrap/>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continue"/>
            <w:vAlign w:val="center"/>
          </w:tcPr>
          <w:p>
            <w:pPr>
              <w:keepNext w:val="0"/>
              <w:keepLines w:val="0"/>
              <w:pageBreakBefore w:val="0"/>
              <w:kinsoku/>
              <w:wordWrap/>
              <w:overflowPunct/>
              <w:topLinePunct w:val="0"/>
              <w:bidi w:val="0"/>
              <w:spacing w:line="360" w:lineRule="auto"/>
              <w:jc w:val="center"/>
              <w:textAlignment w:val="auto"/>
              <w:rPr>
                <w:highlight w:val="none"/>
              </w:rPr>
            </w:pPr>
          </w:p>
        </w:tc>
        <w:tc>
          <w:tcPr>
            <w:tcW w:w="1215" w:type="dxa"/>
            <w:vMerge w:val="continue"/>
            <w:vAlign w:val="center"/>
          </w:tcPr>
          <w:p>
            <w:pPr>
              <w:keepNext w:val="0"/>
              <w:keepLines w:val="0"/>
              <w:pageBreakBefore w:val="0"/>
              <w:kinsoku/>
              <w:wordWrap/>
              <w:overflowPunct/>
              <w:topLinePunct w:val="0"/>
              <w:bidi w:val="0"/>
              <w:spacing w:line="360" w:lineRule="auto"/>
              <w:jc w:val="center"/>
              <w:textAlignment w:val="auto"/>
              <w:rPr>
                <w:highlight w:val="none"/>
              </w:rPr>
            </w:pPr>
          </w:p>
        </w:tc>
        <w:tc>
          <w:tcPr>
            <w:tcW w:w="5267" w:type="dxa"/>
            <w:vAlign w:val="center"/>
          </w:tcPr>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投入本项目的导游中有高级导游员每个得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分，中级导游的每个得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分，本项最</w:t>
            </w:r>
            <w:r>
              <w:rPr>
                <w:rFonts w:hint="eastAsia" w:ascii="宋体" w:hAnsi="宋体" w:cs="宋体"/>
                <w:color w:val="000000"/>
                <w:sz w:val="24"/>
                <w:szCs w:val="24"/>
                <w:highlight w:val="none"/>
                <w:lang w:eastAsia="zh-CN"/>
              </w:rPr>
              <w:t>高</w:t>
            </w:r>
            <w:r>
              <w:rPr>
                <w:rFonts w:hint="eastAsia" w:ascii="宋体" w:hAnsi="宋体" w:eastAsia="宋体" w:cs="宋体"/>
                <w:color w:val="000000"/>
                <w:sz w:val="24"/>
                <w:szCs w:val="24"/>
                <w:highlight w:val="none"/>
              </w:rPr>
              <w:t>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rPr>
              <w:t>提供证书</w:t>
            </w:r>
            <w:r>
              <w:rPr>
                <w:rFonts w:hint="eastAsia" w:ascii="宋体" w:hAnsi="宋体" w:cs="宋体"/>
                <w:b/>
                <w:bCs/>
                <w:color w:val="000000"/>
                <w:kern w:val="2"/>
                <w:sz w:val="24"/>
                <w:szCs w:val="24"/>
                <w:highlight w:val="none"/>
                <w:lang w:eastAsia="zh-CN"/>
              </w:rPr>
              <w:t>等</w:t>
            </w:r>
            <w:r>
              <w:rPr>
                <w:rFonts w:hint="eastAsia" w:ascii="宋体" w:hAnsi="宋体" w:eastAsia="宋体" w:cs="宋体"/>
                <w:b/>
                <w:bCs/>
                <w:color w:val="000000"/>
                <w:kern w:val="2"/>
                <w:sz w:val="24"/>
                <w:szCs w:val="24"/>
                <w:highlight w:val="none"/>
                <w:lang w:eastAsia="zh-CN"/>
              </w:rPr>
              <w:t>证明材料扫描件或</w:t>
            </w:r>
            <w:r>
              <w:rPr>
                <w:rFonts w:hint="eastAsia" w:ascii="宋体" w:hAnsi="宋体" w:eastAsia="宋体" w:cs="宋体"/>
                <w:b/>
                <w:bCs/>
                <w:color w:val="000000"/>
                <w:kern w:val="2"/>
                <w:sz w:val="24"/>
                <w:szCs w:val="24"/>
                <w:highlight w:val="none"/>
              </w:rPr>
              <w:t>复印件</w:t>
            </w:r>
            <w:r>
              <w:rPr>
                <w:rFonts w:hint="eastAsia" w:ascii="宋体" w:hAnsi="宋体" w:cs="宋体"/>
                <w:b/>
                <w:bCs/>
                <w:color w:val="000000"/>
                <w:kern w:val="2"/>
                <w:sz w:val="24"/>
                <w:szCs w:val="24"/>
                <w:highlight w:val="none"/>
                <w:lang w:eastAsia="zh-CN"/>
              </w:rPr>
              <w:t>并</w:t>
            </w:r>
            <w:r>
              <w:rPr>
                <w:rFonts w:hint="eastAsia" w:ascii="宋体" w:hAnsi="宋体" w:eastAsia="宋体" w:cs="宋体"/>
                <w:b/>
                <w:bCs/>
                <w:color w:val="000000"/>
                <w:kern w:val="2"/>
                <w:sz w:val="24"/>
                <w:szCs w:val="24"/>
                <w:highlight w:val="none"/>
              </w:rPr>
              <w:t>加盖公章，</w:t>
            </w:r>
            <w:r>
              <w:rPr>
                <w:rFonts w:hint="eastAsia" w:ascii="宋体" w:hAnsi="宋体" w:cs="宋体"/>
                <w:b/>
                <w:bCs/>
                <w:color w:val="000000"/>
                <w:kern w:val="2"/>
                <w:sz w:val="24"/>
                <w:szCs w:val="24"/>
                <w:highlight w:val="none"/>
                <w:lang w:eastAsia="zh-CN"/>
              </w:rPr>
              <w:t>否则</w:t>
            </w:r>
            <w:r>
              <w:rPr>
                <w:rFonts w:hint="eastAsia" w:ascii="宋体" w:hAnsi="宋体" w:eastAsia="宋体" w:cs="宋体"/>
                <w:b/>
                <w:bCs/>
                <w:color w:val="000000"/>
                <w:kern w:val="2"/>
                <w:sz w:val="24"/>
                <w:szCs w:val="24"/>
                <w:highlight w:val="none"/>
              </w:rPr>
              <w:t>不得分。</w:t>
            </w:r>
            <w:r>
              <w:rPr>
                <w:rFonts w:hint="eastAsia" w:ascii="宋体" w:hAnsi="宋体" w:cs="宋体"/>
                <w:b/>
                <w:bCs/>
                <w:color w:val="000000"/>
                <w:kern w:val="2"/>
                <w:sz w:val="24"/>
                <w:szCs w:val="24"/>
                <w:highlight w:val="none"/>
                <w:lang w:val="en-US" w:eastAsia="zh-CN"/>
              </w:rPr>
              <w:t>】</w:t>
            </w:r>
          </w:p>
        </w:tc>
        <w:tc>
          <w:tcPr>
            <w:tcW w:w="780" w:type="dxa"/>
            <w:vAlign w:val="center"/>
          </w:tcPr>
          <w:p>
            <w:pPr>
              <w:pStyle w:val="130"/>
              <w:widowControl w:val="0"/>
              <w:wordWrap/>
              <w:adjustRightInd/>
              <w:snapToGrid/>
              <w:spacing w:before="0" w:line="360" w:lineRule="auto"/>
              <w:ind w:left="0" w:lef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p>
        </w:tc>
        <w:tc>
          <w:tcPr>
            <w:tcW w:w="1010" w:type="dxa"/>
            <w:vAlign w:val="center"/>
          </w:tcPr>
          <w:p>
            <w:pPr>
              <w:wordWrap/>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59" w:type="dxa"/>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215"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投标人管理体系认证</w:t>
            </w:r>
          </w:p>
        </w:tc>
        <w:tc>
          <w:tcPr>
            <w:tcW w:w="5267" w:type="dxa"/>
            <w:vAlign w:val="top"/>
          </w:tcPr>
          <w:p>
            <w:pPr>
              <w:widowControl/>
              <w:wordWrap/>
              <w:adjustRightInd/>
              <w:snapToGrid/>
              <w:spacing w:line="360" w:lineRule="auto"/>
              <w:ind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u w:val="none" w:color="000000"/>
                <w:lang w:val="en-US" w:eastAsia="zh-CN" w:bidi="ar-SA"/>
              </w:rPr>
              <w:t>投标人通过ISO9001质量管理体系、ISO14000环境体系认证证书的每项得</w:t>
            </w:r>
            <w:r>
              <w:rPr>
                <w:rFonts w:hint="eastAsia" w:ascii="宋体" w:hAnsi="宋体" w:cs="宋体"/>
                <w:color w:val="000000"/>
                <w:kern w:val="2"/>
                <w:sz w:val="24"/>
                <w:szCs w:val="24"/>
                <w:highlight w:val="none"/>
                <w:u w:val="none" w:color="000000"/>
                <w:lang w:val="en-US" w:eastAsia="zh-CN" w:bidi="ar-SA"/>
              </w:rPr>
              <w:t>1</w:t>
            </w:r>
            <w:r>
              <w:rPr>
                <w:rFonts w:hint="eastAsia" w:ascii="宋体" w:hAnsi="宋体" w:eastAsia="宋体" w:cs="宋体"/>
                <w:color w:val="000000"/>
                <w:kern w:val="2"/>
                <w:sz w:val="24"/>
                <w:szCs w:val="24"/>
                <w:highlight w:val="none"/>
                <w:u w:val="none" w:color="000000"/>
                <w:lang w:val="en-US" w:eastAsia="zh-CN" w:bidi="ar-SA"/>
              </w:rPr>
              <w:t>分，最高得</w:t>
            </w:r>
            <w:r>
              <w:rPr>
                <w:rFonts w:hint="eastAsia" w:ascii="宋体" w:hAnsi="宋体" w:cs="宋体"/>
                <w:color w:val="000000"/>
                <w:kern w:val="2"/>
                <w:sz w:val="24"/>
                <w:szCs w:val="24"/>
                <w:highlight w:val="none"/>
                <w:u w:val="none" w:color="000000"/>
                <w:lang w:val="en-US" w:eastAsia="zh-CN" w:bidi="ar-SA"/>
              </w:rPr>
              <w:t>2</w:t>
            </w:r>
            <w:r>
              <w:rPr>
                <w:rFonts w:hint="eastAsia" w:ascii="宋体" w:hAnsi="宋体" w:eastAsia="宋体" w:cs="宋体"/>
                <w:color w:val="000000"/>
                <w:kern w:val="2"/>
                <w:sz w:val="24"/>
                <w:szCs w:val="24"/>
                <w:highlight w:val="none"/>
                <w:u w:val="none" w:color="000000"/>
                <w:lang w:val="en-US" w:eastAsia="zh-CN" w:bidi="ar-SA"/>
              </w:rPr>
              <w:t>分。</w:t>
            </w:r>
          </w:p>
          <w:p>
            <w:pPr>
              <w:widowControl/>
              <w:wordWrap/>
              <w:adjustRightInd/>
              <w:snapToGrid/>
              <w:spacing w:line="360" w:lineRule="auto"/>
              <w:ind w:firstLine="0" w:firstLineChars="0"/>
              <w:textAlignment w:val="auto"/>
              <w:rPr>
                <w:rFonts w:hint="eastAsia" w:ascii="宋体" w:hAnsi="宋体" w:eastAsia="宋体" w:cs="宋体"/>
                <w:bCs/>
                <w:color w:val="000000"/>
                <w:spacing w:val="-4"/>
                <w:kern w:val="2"/>
                <w:sz w:val="24"/>
                <w:szCs w:val="24"/>
                <w:highlight w:val="none"/>
                <w:u w:val="none" w:color="000000"/>
                <w:lang w:val="en-US" w:eastAsia="zh-CN" w:bidi="ar-SA"/>
              </w:rPr>
            </w:pP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u w:val="none" w:color="000000"/>
                <w:lang w:val="en-US" w:eastAsia="zh-CN" w:bidi="ar-SA"/>
              </w:rPr>
              <w:t>提供</w:t>
            </w:r>
            <w:r>
              <w:rPr>
                <w:rFonts w:hint="eastAsia" w:ascii="宋体" w:hAnsi="宋体" w:cs="宋体"/>
                <w:b/>
                <w:bCs/>
                <w:color w:val="000000"/>
                <w:kern w:val="2"/>
                <w:sz w:val="24"/>
                <w:szCs w:val="24"/>
                <w:highlight w:val="none"/>
                <w:u w:val="none" w:color="000000"/>
                <w:lang w:val="en-US" w:eastAsia="zh-CN" w:bidi="ar-SA"/>
              </w:rPr>
              <w:t>认证</w:t>
            </w:r>
            <w:r>
              <w:rPr>
                <w:rFonts w:hint="eastAsia" w:ascii="宋体" w:hAnsi="宋体" w:eastAsia="宋体" w:cs="宋体"/>
                <w:b/>
                <w:bCs/>
                <w:color w:val="000000"/>
                <w:kern w:val="2"/>
                <w:sz w:val="24"/>
                <w:szCs w:val="24"/>
                <w:highlight w:val="none"/>
                <w:u w:val="none" w:color="000000"/>
                <w:lang w:val="en-US" w:eastAsia="zh-CN" w:bidi="ar-SA"/>
              </w:rPr>
              <w:t>证书扫描件或复印件</w:t>
            </w:r>
            <w:r>
              <w:rPr>
                <w:rFonts w:hint="eastAsia" w:ascii="宋体" w:hAnsi="宋体" w:cs="宋体"/>
                <w:b/>
                <w:bCs/>
                <w:color w:val="000000"/>
                <w:kern w:val="2"/>
                <w:sz w:val="24"/>
                <w:szCs w:val="24"/>
                <w:highlight w:val="none"/>
                <w:u w:val="none" w:color="000000"/>
                <w:lang w:val="en-US" w:eastAsia="zh-CN" w:bidi="ar-SA"/>
              </w:rPr>
              <w:t>并</w:t>
            </w:r>
            <w:r>
              <w:rPr>
                <w:rFonts w:hint="eastAsia" w:ascii="宋体" w:hAnsi="宋体" w:eastAsia="宋体" w:cs="宋体"/>
                <w:b/>
                <w:bCs/>
                <w:color w:val="000000"/>
                <w:kern w:val="2"/>
                <w:sz w:val="24"/>
                <w:szCs w:val="24"/>
                <w:highlight w:val="none"/>
                <w:u w:val="none" w:color="000000"/>
                <w:lang w:val="en-US" w:eastAsia="zh-CN" w:bidi="ar-SA"/>
              </w:rPr>
              <w:t>加盖公章，否则不得分</w:t>
            </w:r>
            <w:r>
              <w:rPr>
                <w:rFonts w:hint="eastAsia" w:ascii="宋体" w:hAnsi="宋体" w:cs="宋体"/>
                <w:b/>
                <w:bCs/>
                <w:color w:val="000000"/>
                <w:kern w:val="2"/>
                <w:sz w:val="24"/>
                <w:szCs w:val="24"/>
                <w:highlight w:val="none"/>
                <w:u w:val="none" w:color="000000"/>
                <w:lang w:val="en-US" w:eastAsia="zh-CN" w:bidi="ar-SA"/>
              </w:rPr>
              <w:t>。</w:t>
            </w:r>
            <w:r>
              <w:rPr>
                <w:rFonts w:hint="eastAsia" w:ascii="宋体" w:hAnsi="宋体" w:cs="宋体"/>
                <w:b/>
                <w:bCs/>
                <w:color w:val="000000"/>
                <w:kern w:val="2"/>
                <w:sz w:val="24"/>
                <w:szCs w:val="24"/>
                <w:highlight w:val="none"/>
                <w:lang w:val="en-US" w:eastAsia="zh-CN"/>
              </w:rPr>
              <w:t>】</w:t>
            </w:r>
          </w:p>
        </w:tc>
        <w:tc>
          <w:tcPr>
            <w:tcW w:w="780" w:type="dxa"/>
            <w:vAlign w:val="center"/>
          </w:tcPr>
          <w:p>
            <w:pPr>
              <w:pStyle w:val="130"/>
              <w:wordWrap/>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szCs w:val="24"/>
                <w:highlight w:val="none"/>
                <w:lang w:val="en-US" w:eastAsia="zh-CN"/>
              </w:rPr>
              <w:t>2</w:t>
            </w:r>
            <w:r>
              <w:rPr>
                <w:rFonts w:hint="eastAsia" w:ascii="宋体" w:hAnsi="宋体" w:eastAsia="宋体" w:cs="宋体"/>
                <w:szCs w:val="24"/>
                <w:highlight w:val="none"/>
                <w:lang w:val="en-US" w:eastAsia="zh-CN"/>
              </w:rPr>
              <w:t>.0</w:t>
            </w:r>
          </w:p>
        </w:tc>
        <w:tc>
          <w:tcPr>
            <w:tcW w:w="1010" w:type="dxa"/>
            <w:vAlign w:val="center"/>
          </w:tcPr>
          <w:p>
            <w:pPr>
              <w:wordWrap/>
              <w:spacing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restart"/>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1215" w:type="dxa"/>
            <w:vMerge w:val="restart"/>
            <w:vAlign w:val="center"/>
          </w:tcPr>
          <w:p>
            <w:pPr>
              <w:pStyle w:val="130"/>
              <w:adjustRightInd/>
              <w:snapToGrid/>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企业荣誉</w:t>
            </w:r>
          </w:p>
          <w:p>
            <w:pPr>
              <w:pStyle w:val="130"/>
              <w:adjustRightInd/>
              <w:snapToGrid/>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267" w:type="dxa"/>
            <w:vAlign w:val="top"/>
          </w:tcPr>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w:t>
            </w:r>
            <w:r>
              <w:rPr>
                <w:rFonts w:hint="eastAsia" w:ascii="宋体" w:hAnsi="宋体" w:eastAsia="宋体" w:cs="宋体"/>
                <w:color w:val="000000"/>
                <w:kern w:val="2"/>
                <w:sz w:val="24"/>
                <w:szCs w:val="24"/>
                <w:highlight w:val="none"/>
              </w:rPr>
              <w:t>近</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rPr>
              <w:t>年（20</w:t>
            </w: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0</w:t>
            </w:r>
            <w:r>
              <w:rPr>
                <w:rFonts w:hint="eastAsia" w:ascii="宋体" w:hAnsi="宋体" w:eastAsia="宋体" w:cs="宋体"/>
                <w:color w:val="000000"/>
                <w:kern w:val="2"/>
                <w:sz w:val="24"/>
                <w:szCs w:val="24"/>
                <w:highlight w:val="none"/>
              </w:rPr>
              <w:t>年1月1日始）以来</w:t>
            </w:r>
            <w:r>
              <w:rPr>
                <w:rFonts w:hint="eastAsia" w:ascii="宋体" w:hAnsi="宋体" w:eastAsia="宋体" w:cs="宋体"/>
                <w:sz w:val="24"/>
                <w:szCs w:val="24"/>
                <w:highlight w:val="none"/>
              </w:rPr>
              <w:t>荣获政府</w:t>
            </w:r>
            <w:r>
              <w:rPr>
                <w:rFonts w:hint="eastAsia" w:ascii="宋体" w:hAnsi="宋体" w:eastAsia="宋体" w:cs="宋体"/>
                <w:color w:val="000000"/>
                <w:sz w:val="24"/>
                <w:szCs w:val="24"/>
                <w:highlight w:val="none"/>
              </w:rPr>
              <w:t>部门</w:t>
            </w:r>
            <w:r>
              <w:rPr>
                <w:rFonts w:hint="eastAsia" w:ascii="宋体" w:hAnsi="宋体" w:cs="宋体"/>
                <w:color w:val="000000"/>
                <w:sz w:val="24"/>
                <w:szCs w:val="24"/>
                <w:highlight w:val="none"/>
                <w:lang w:val="en-US" w:eastAsia="zh-CN"/>
              </w:rPr>
              <w:t>或行业主管部门</w:t>
            </w:r>
            <w:r>
              <w:rPr>
                <w:rFonts w:hint="eastAsia" w:ascii="宋体" w:hAnsi="宋体" w:eastAsia="宋体" w:cs="宋体"/>
                <w:sz w:val="24"/>
                <w:szCs w:val="24"/>
                <w:highlight w:val="none"/>
              </w:rPr>
              <w:t>颁发的各项荣誉，区级及以上荣誉每一项得2分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最高不超过</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rPr>
              <w:t>提供获奖证书或</w:t>
            </w:r>
            <w:r>
              <w:rPr>
                <w:rFonts w:hint="eastAsia" w:ascii="宋体" w:hAnsi="宋体" w:eastAsia="宋体" w:cs="宋体"/>
                <w:b/>
                <w:bCs/>
                <w:color w:val="000000"/>
                <w:kern w:val="2"/>
                <w:sz w:val="24"/>
                <w:szCs w:val="24"/>
                <w:highlight w:val="none"/>
                <w:lang w:eastAsia="zh-CN"/>
              </w:rPr>
              <w:t>证明材料，</w:t>
            </w:r>
            <w:r>
              <w:rPr>
                <w:rFonts w:hint="eastAsia" w:ascii="宋体" w:hAnsi="宋体" w:eastAsia="宋体" w:cs="宋体"/>
                <w:b/>
                <w:bCs/>
                <w:color w:val="000000"/>
                <w:kern w:val="2"/>
                <w:sz w:val="24"/>
                <w:szCs w:val="24"/>
                <w:highlight w:val="none"/>
              </w:rPr>
              <w:t>复印件</w:t>
            </w:r>
            <w:r>
              <w:rPr>
                <w:rFonts w:hint="eastAsia" w:ascii="宋体" w:hAnsi="宋体" w:eastAsia="宋体" w:cs="宋体"/>
                <w:b/>
                <w:bCs/>
                <w:color w:val="000000"/>
                <w:kern w:val="2"/>
                <w:sz w:val="24"/>
                <w:szCs w:val="24"/>
                <w:highlight w:val="none"/>
                <w:lang w:eastAsia="zh-CN"/>
              </w:rPr>
              <w:t>或扫描件</w:t>
            </w:r>
            <w:r>
              <w:rPr>
                <w:rFonts w:hint="eastAsia" w:ascii="宋体" w:hAnsi="宋体" w:eastAsia="宋体" w:cs="宋体"/>
                <w:b/>
                <w:bCs/>
                <w:color w:val="000000"/>
                <w:kern w:val="2"/>
                <w:sz w:val="24"/>
                <w:szCs w:val="24"/>
                <w:highlight w:val="none"/>
              </w:rPr>
              <w:t>加盖公章，否则不得分。</w:t>
            </w:r>
            <w:r>
              <w:rPr>
                <w:rFonts w:hint="eastAsia" w:ascii="宋体" w:hAnsi="宋体" w:cs="宋体"/>
                <w:b/>
                <w:bCs/>
                <w:color w:val="000000"/>
                <w:kern w:val="2"/>
                <w:sz w:val="24"/>
                <w:szCs w:val="24"/>
                <w:highlight w:val="none"/>
                <w:lang w:val="en-US" w:eastAsia="zh-CN"/>
              </w:rPr>
              <w:t>】</w:t>
            </w:r>
          </w:p>
        </w:tc>
        <w:tc>
          <w:tcPr>
            <w:tcW w:w="780" w:type="dxa"/>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rPr>
              <w:t>.0</w:t>
            </w:r>
          </w:p>
        </w:tc>
        <w:tc>
          <w:tcPr>
            <w:tcW w:w="1010" w:type="dxa"/>
            <w:vAlign w:val="center"/>
          </w:tcPr>
          <w:p>
            <w:pPr>
              <w:wordWrap/>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textAlignment w:val="auto"/>
              <w:rPr>
                <w:highlight w:val="none"/>
              </w:rPr>
            </w:pPr>
          </w:p>
        </w:tc>
        <w:tc>
          <w:tcPr>
            <w:tcW w:w="1215"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textAlignment w:val="auto"/>
              <w:rPr>
                <w:highlight w:val="none"/>
              </w:rPr>
            </w:pPr>
          </w:p>
        </w:tc>
        <w:tc>
          <w:tcPr>
            <w:tcW w:w="5267" w:type="dxa"/>
            <w:tcBorders>
              <w:bottom w:val="single" w:color="auto" w:sz="4" w:space="0"/>
            </w:tcBorders>
            <w:vAlign w:val="top"/>
          </w:tcPr>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投入本项目工作人员近</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rPr>
              <w:t>年（20</w:t>
            </w: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0</w:t>
            </w:r>
            <w:r>
              <w:rPr>
                <w:rFonts w:hint="eastAsia" w:ascii="宋体" w:hAnsi="宋体" w:eastAsia="宋体" w:cs="宋体"/>
                <w:color w:val="000000"/>
                <w:kern w:val="2"/>
                <w:sz w:val="24"/>
                <w:szCs w:val="24"/>
                <w:highlight w:val="none"/>
              </w:rPr>
              <w:t>年1月1日始）以来</w:t>
            </w:r>
            <w:r>
              <w:rPr>
                <w:rFonts w:hint="eastAsia" w:ascii="宋体" w:hAnsi="宋体" w:eastAsia="宋体" w:cs="宋体"/>
                <w:sz w:val="24"/>
                <w:szCs w:val="24"/>
                <w:highlight w:val="none"/>
              </w:rPr>
              <w:t>荣获政府部门</w:t>
            </w:r>
            <w:r>
              <w:rPr>
                <w:rFonts w:hint="eastAsia" w:ascii="宋体" w:hAnsi="宋体" w:cs="宋体"/>
                <w:sz w:val="24"/>
                <w:szCs w:val="24"/>
                <w:highlight w:val="none"/>
                <w:lang w:val="en-US" w:eastAsia="zh-CN"/>
              </w:rPr>
              <w:t>或行业主管部门</w:t>
            </w:r>
            <w:r>
              <w:rPr>
                <w:rFonts w:hint="eastAsia" w:ascii="宋体" w:hAnsi="宋体" w:eastAsia="宋体" w:cs="宋体"/>
                <w:sz w:val="24"/>
                <w:szCs w:val="24"/>
                <w:highlight w:val="none"/>
              </w:rPr>
              <w:t>颁发</w:t>
            </w:r>
            <w:r>
              <w:rPr>
                <w:rFonts w:hint="eastAsia" w:ascii="宋体" w:hAnsi="宋体" w:eastAsia="宋体" w:cs="宋体"/>
                <w:color w:val="000000"/>
                <w:kern w:val="2"/>
                <w:sz w:val="24"/>
                <w:szCs w:val="24"/>
                <w:highlight w:val="none"/>
              </w:rPr>
              <w:t>荣誉，每一人得2分</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最高不超过4分；</w:t>
            </w:r>
          </w:p>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rPr>
              <w:t>提供相应证明材料及</w:t>
            </w:r>
            <w:r>
              <w:rPr>
                <w:rFonts w:hint="eastAsia" w:ascii="宋体" w:hAnsi="宋体" w:cs="宋体"/>
                <w:b/>
                <w:bCs/>
                <w:color w:val="000000"/>
                <w:kern w:val="2"/>
                <w:sz w:val="24"/>
                <w:szCs w:val="24"/>
                <w:highlight w:val="none"/>
                <w:lang w:eastAsia="zh-CN"/>
              </w:rPr>
              <w:t>社保缴纳证明材料并</w:t>
            </w:r>
            <w:r>
              <w:rPr>
                <w:rFonts w:hint="eastAsia" w:ascii="宋体" w:hAnsi="宋体" w:eastAsia="宋体" w:cs="宋体"/>
                <w:b/>
                <w:bCs/>
                <w:color w:val="000000"/>
                <w:kern w:val="2"/>
                <w:sz w:val="24"/>
                <w:szCs w:val="24"/>
                <w:highlight w:val="none"/>
                <w:lang w:eastAsia="zh-CN"/>
              </w:rPr>
              <w:t>加盖公章</w:t>
            </w:r>
            <w:r>
              <w:rPr>
                <w:rFonts w:hint="eastAsia" w:ascii="宋体" w:hAnsi="宋体" w:eastAsia="宋体" w:cs="宋体"/>
                <w:b/>
                <w:bCs/>
                <w:color w:val="000000"/>
                <w:kern w:val="2"/>
                <w:sz w:val="24"/>
                <w:szCs w:val="24"/>
                <w:highlight w:val="none"/>
              </w:rPr>
              <w:t>，否则不得分。</w:t>
            </w:r>
            <w:r>
              <w:rPr>
                <w:rFonts w:hint="eastAsia" w:ascii="宋体" w:hAnsi="宋体" w:cs="宋体"/>
                <w:b/>
                <w:bCs/>
                <w:color w:val="000000"/>
                <w:kern w:val="2"/>
                <w:sz w:val="24"/>
                <w:szCs w:val="24"/>
                <w:highlight w:val="none"/>
                <w:lang w:val="en-US" w:eastAsia="zh-CN"/>
              </w:rPr>
              <w:t>】</w:t>
            </w:r>
          </w:p>
        </w:tc>
        <w:tc>
          <w:tcPr>
            <w:tcW w:w="780" w:type="dxa"/>
            <w:tcBorders>
              <w:bottom w:val="single" w:color="auto" w:sz="4" w:space="0"/>
            </w:tcBorders>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rPr>
              <w:t>.0</w:t>
            </w:r>
          </w:p>
        </w:tc>
        <w:tc>
          <w:tcPr>
            <w:tcW w:w="1010" w:type="dxa"/>
            <w:tcBorders>
              <w:bottom w:val="single" w:color="auto" w:sz="4" w:space="0"/>
            </w:tcBorders>
            <w:vAlign w:val="center"/>
          </w:tcPr>
          <w:p>
            <w:pPr>
              <w:wordWrap/>
              <w:spacing w:line="360" w:lineRule="auto"/>
              <w:jc w:val="center"/>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759" w:type="dxa"/>
            <w:tcBorders>
              <w:top w:val="single" w:color="auto" w:sz="4" w:space="0"/>
              <w:left w:val="single" w:color="auto" w:sz="4" w:space="0"/>
              <w:bottom w:val="single" w:color="auto" w:sz="4" w:space="0"/>
              <w:right w:val="single" w:color="auto" w:sz="4" w:space="0"/>
            </w:tcBorders>
            <w:vAlign w:val="center"/>
          </w:tcPr>
          <w:p>
            <w:pPr>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企业业绩</w:t>
            </w:r>
          </w:p>
        </w:tc>
        <w:tc>
          <w:tcPr>
            <w:tcW w:w="5267" w:type="dxa"/>
            <w:tcBorders>
              <w:top w:val="single" w:color="auto" w:sz="4" w:space="0"/>
              <w:left w:val="single" w:color="auto" w:sz="4" w:space="0"/>
              <w:bottom w:val="single" w:color="auto" w:sz="4" w:space="0"/>
              <w:right w:val="single" w:color="auto" w:sz="4" w:space="0"/>
            </w:tcBorders>
            <w:vAlign w:val="top"/>
          </w:tcPr>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投标人</w:t>
            </w:r>
            <w:r>
              <w:rPr>
                <w:rFonts w:hint="eastAsia" w:ascii="宋体" w:hAnsi="宋体" w:eastAsia="宋体" w:cs="宋体"/>
                <w:color w:val="000000"/>
                <w:kern w:val="2"/>
                <w:sz w:val="24"/>
                <w:szCs w:val="24"/>
                <w:highlight w:val="none"/>
                <w:lang w:eastAsia="zh-CN"/>
              </w:rPr>
              <w:t>自</w:t>
            </w:r>
            <w:r>
              <w:rPr>
                <w:rFonts w:hint="eastAsia" w:ascii="宋体" w:hAnsi="宋体" w:eastAsia="宋体" w:cs="宋体"/>
                <w:color w:val="000000"/>
                <w:kern w:val="2"/>
                <w:sz w:val="24"/>
                <w:szCs w:val="24"/>
                <w:highlight w:val="none"/>
              </w:rPr>
              <w:t>20</w:t>
            </w:r>
            <w:r>
              <w:rPr>
                <w:rFonts w:hint="eastAsia" w:ascii="宋体" w:hAnsi="宋体" w:eastAsia="宋体" w:cs="宋体"/>
                <w:color w:val="000000"/>
                <w:kern w:val="2"/>
                <w:sz w:val="24"/>
                <w:szCs w:val="24"/>
                <w:highlight w:val="none"/>
                <w:lang w:val="en-US" w:eastAsia="zh-CN"/>
              </w:rPr>
              <w:t>19</w:t>
            </w:r>
            <w:r>
              <w:rPr>
                <w:rFonts w:hint="eastAsia" w:ascii="宋体" w:hAnsi="宋体" w:eastAsia="宋体" w:cs="宋体"/>
                <w:color w:val="000000"/>
                <w:kern w:val="2"/>
                <w:sz w:val="24"/>
                <w:szCs w:val="24"/>
                <w:highlight w:val="none"/>
              </w:rPr>
              <w:t>年1月1日以来</w:t>
            </w:r>
            <w:r>
              <w:rPr>
                <w:rFonts w:hint="eastAsia" w:ascii="宋体" w:hAnsi="宋体" w:eastAsia="宋体" w:cs="宋体"/>
                <w:color w:val="000000"/>
                <w:kern w:val="2"/>
                <w:sz w:val="24"/>
                <w:szCs w:val="24"/>
                <w:highlight w:val="none"/>
                <w:lang w:eastAsia="zh-CN"/>
              </w:rPr>
              <w:t>（以合同签订时间为准）</w:t>
            </w:r>
            <w:r>
              <w:rPr>
                <w:rFonts w:hint="eastAsia" w:ascii="宋体" w:hAnsi="宋体" w:eastAsia="宋体" w:cs="宋体"/>
                <w:color w:val="000000"/>
                <w:kern w:val="2"/>
                <w:sz w:val="24"/>
                <w:szCs w:val="24"/>
                <w:highlight w:val="none"/>
              </w:rPr>
              <w:t>从事政府机关事业单位疗休养项目的业绩证明，每一个得1分</w:t>
            </w:r>
            <w:r>
              <w:rPr>
                <w:rFonts w:hint="eastAsia" w:ascii="宋体" w:hAnsi="宋体" w:eastAsia="宋体" w:cs="宋体"/>
                <w:color w:val="000000"/>
                <w:kern w:val="2"/>
                <w:sz w:val="24"/>
                <w:szCs w:val="24"/>
                <w:highlight w:val="none"/>
                <w:lang w:eastAsia="zh-CN"/>
              </w:rPr>
              <w:t>，最高不超过</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r>
              <w:rPr>
                <w:rFonts w:hint="eastAsia" w:ascii="宋体" w:hAnsi="宋体" w:eastAsia="宋体" w:cs="宋体"/>
                <w:color w:val="000000"/>
                <w:kern w:val="2"/>
                <w:sz w:val="24"/>
                <w:szCs w:val="24"/>
                <w:highlight w:val="none"/>
              </w:rPr>
              <w:t>；</w:t>
            </w:r>
          </w:p>
          <w:p>
            <w:pPr>
              <w:pStyle w:val="13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lang w:eastAsia="zh-CN"/>
              </w:rPr>
              <w:t>提供</w:t>
            </w:r>
            <w:r>
              <w:rPr>
                <w:rFonts w:hint="eastAsia" w:ascii="宋体" w:hAnsi="宋体" w:eastAsia="宋体" w:cs="宋体"/>
                <w:b/>
                <w:bCs/>
                <w:color w:val="000000"/>
                <w:kern w:val="2"/>
                <w:sz w:val="24"/>
                <w:szCs w:val="24"/>
                <w:highlight w:val="none"/>
              </w:rPr>
              <w:t>合同、中标通知书、满意度反馈单，</w:t>
            </w:r>
            <w:r>
              <w:rPr>
                <w:rFonts w:hint="eastAsia" w:ascii="宋体" w:hAnsi="宋体" w:eastAsia="宋体" w:cs="宋体"/>
                <w:b/>
                <w:bCs/>
                <w:color w:val="000000"/>
                <w:kern w:val="2"/>
                <w:sz w:val="24"/>
                <w:szCs w:val="24"/>
                <w:highlight w:val="none"/>
                <w:lang w:eastAsia="zh-CN"/>
              </w:rPr>
              <w:t>复印件或扫描件加盖公章</w:t>
            </w:r>
            <w:r>
              <w:rPr>
                <w:rFonts w:hint="eastAsia" w:ascii="宋体" w:hAnsi="宋体" w:cs="宋体"/>
                <w:b/>
                <w:bCs/>
                <w:color w:val="000000"/>
                <w:kern w:val="2"/>
                <w:sz w:val="24"/>
                <w:szCs w:val="24"/>
                <w:highlight w:val="none"/>
                <w:lang w:eastAsia="zh-CN"/>
              </w:rPr>
              <w:t>。</w:t>
            </w:r>
            <w:r>
              <w:rPr>
                <w:rFonts w:hint="eastAsia" w:ascii="宋体" w:hAnsi="宋体" w:cs="宋体"/>
                <w:b/>
                <w:bCs/>
                <w:color w:val="000000"/>
                <w:kern w:val="2"/>
                <w:sz w:val="24"/>
                <w:szCs w:val="24"/>
                <w:highlight w:val="none"/>
                <w:lang w:val="en-US" w:eastAsia="zh-CN"/>
              </w:rPr>
              <w:t>】</w:t>
            </w:r>
          </w:p>
        </w:tc>
        <w:tc>
          <w:tcPr>
            <w:tcW w:w="780" w:type="dxa"/>
            <w:tcBorders>
              <w:top w:val="single" w:color="auto" w:sz="4" w:space="0"/>
              <w:left w:val="single" w:color="auto" w:sz="4" w:space="0"/>
              <w:bottom w:val="single" w:color="auto" w:sz="4" w:space="0"/>
              <w:right w:val="single" w:color="auto" w:sz="4" w:space="0"/>
            </w:tcBorders>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.0</w:t>
            </w:r>
          </w:p>
        </w:tc>
        <w:tc>
          <w:tcPr>
            <w:tcW w:w="1010"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ordWrap/>
              <w:snapToGrid w:val="0"/>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服务承诺</w:t>
            </w:r>
          </w:p>
        </w:tc>
        <w:tc>
          <w:tcPr>
            <w:tcW w:w="5267" w:type="dxa"/>
            <w:tcBorders>
              <w:top w:val="single" w:color="auto" w:sz="4" w:space="0"/>
              <w:left w:val="single" w:color="auto" w:sz="4" w:space="0"/>
              <w:bottom w:val="single" w:color="auto" w:sz="4" w:space="0"/>
              <w:right w:val="single" w:color="auto" w:sz="4" w:space="0"/>
            </w:tcBorders>
            <w:vAlign w:val="top"/>
          </w:tcPr>
          <w:p>
            <w:pPr>
              <w:pStyle w:val="130"/>
              <w:widowControl w:val="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承诺小额赔款先行赔付的（200元及以下）</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eastAsia="zh-CN"/>
              </w:rPr>
              <w:t>。</w:t>
            </w:r>
          </w:p>
          <w:p>
            <w:pPr>
              <w:pStyle w:val="130"/>
              <w:widowControl w:val="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rPr>
              <w:t>【证明材料：</w:t>
            </w:r>
            <w:r>
              <w:rPr>
                <w:rFonts w:hint="eastAsia" w:ascii="宋体" w:hAnsi="宋体" w:eastAsia="宋体" w:cs="宋体"/>
                <w:b/>
                <w:bCs/>
                <w:color w:val="000000"/>
                <w:szCs w:val="24"/>
                <w:highlight w:val="none"/>
                <w:lang w:val="en-US" w:eastAsia="zh-CN"/>
              </w:rPr>
              <w:t>以上须提供承诺书及证明材料，否则不得分。</w:t>
            </w:r>
            <w:r>
              <w:rPr>
                <w:rFonts w:hint="eastAsia" w:ascii="宋体" w:hAnsi="宋体" w:cs="宋体"/>
                <w:b/>
                <w:bCs/>
                <w:color w:val="000000"/>
                <w:kern w:val="2"/>
                <w:sz w:val="24"/>
                <w:szCs w:val="24"/>
                <w:highlight w:val="none"/>
                <w:lang w:val="en-US" w:eastAsia="zh-CN"/>
              </w:rPr>
              <w:t>】</w:t>
            </w:r>
          </w:p>
        </w:tc>
        <w:tc>
          <w:tcPr>
            <w:tcW w:w="780" w:type="dxa"/>
            <w:tcBorders>
              <w:top w:val="single" w:color="auto" w:sz="4" w:space="0"/>
              <w:left w:val="single" w:color="auto" w:sz="4" w:space="0"/>
              <w:bottom w:val="single" w:color="auto" w:sz="4" w:space="0"/>
              <w:right w:val="single" w:color="auto" w:sz="4" w:space="0"/>
            </w:tcBorders>
            <w:vAlign w:val="center"/>
          </w:tcPr>
          <w:p>
            <w:pPr>
              <w:pStyle w:val="130"/>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val="en-US" w:eastAsia="zh-CN"/>
              </w:rPr>
              <w:t>.0</w:t>
            </w:r>
          </w:p>
        </w:tc>
        <w:tc>
          <w:tcPr>
            <w:tcW w:w="1010" w:type="dxa"/>
            <w:tcBorders>
              <w:top w:val="single" w:color="auto" w:sz="4" w:space="0"/>
              <w:left w:val="single" w:color="auto" w:sz="4" w:space="0"/>
              <w:bottom w:val="single" w:color="auto" w:sz="4" w:space="0"/>
              <w:right w:val="single" w:color="auto" w:sz="4" w:space="0"/>
            </w:tcBorders>
            <w:vAlign w:val="center"/>
          </w:tcPr>
          <w:p>
            <w:pPr>
              <w:wordWrap/>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11</w:t>
            </w:r>
          </w:p>
        </w:tc>
        <w:tc>
          <w:tcPr>
            <w:tcW w:w="1215" w:type="dxa"/>
            <w:tcBorders>
              <w:top w:val="single" w:color="auto" w:sz="4" w:space="0"/>
              <w:left w:val="single" w:color="auto" w:sz="4" w:space="0"/>
              <w:bottom w:val="single" w:color="auto" w:sz="4" w:space="0"/>
              <w:right w:val="single" w:color="auto" w:sz="4" w:space="0"/>
            </w:tcBorders>
            <w:vAlign w:val="top"/>
          </w:tcPr>
          <w:p>
            <w:pPr>
              <w:pStyle w:val="130"/>
              <w:widowControl w:val="0"/>
              <w:wordWrap/>
              <w:adjustRightInd/>
              <w:snapToGrid/>
              <w:spacing w:before="0"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Cs w:val="24"/>
                <w:highlight w:val="none"/>
              </w:rPr>
              <w:t>优惠措施方案及增值服务</w:t>
            </w:r>
          </w:p>
        </w:tc>
        <w:tc>
          <w:tcPr>
            <w:tcW w:w="5267" w:type="dxa"/>
            <w:tcBorders>
              <w:top w:val="single" w:color="auto" w:sz="4" w:space="0"/>
              <w:left w:val="single" w:color="auto" w:sz="4" w:space="0"/>
              <w:bottom w:val="single" w:color="auto" w:sz="4" w:space="0"/>
              <w:right w:val="single" w:color="auto" w:sz="4" w:space="0"/>
            </w:tcBorders>
            <w:vAlign w:val="center"/>
          </w:tcPr>
          <w:p>
            <w:pPr>
              <w:pStyle w:val="130"/>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根据其</w:t>
            </w:r>
            <w:r>
              <w:rPr>
                <w:rFonts w:hint="eastAsia" w:ascii="宋体" w:hAnsi="宋体" w:eastAsia="宋体" w:cs="宋体"/>
                <w:color w:val="000000"/>
                <w:szCs w:val="24"/>
                <w:highlight w:val="none"/>
              </w:rPr>
              <w:t>他优惠措施方案及增值服务承诺</w:t>
            </w:r>
            <w:r>
              <w:rPr>
                <w:rFonts w:hint="eastAsia" w:ascii="宋体" w:hAnsi="宋体" w:eastAsia="宋体" w:cs="宋体"/>
                <w:color w:val="000000"/>
                <w:szCs w:val="24"/>
                <w:highlight w:val="none"/>
                <w:lang w:eastAsia="zh-CN"/>
              </w:rPr>
              <w:t>内容，具有实质性响应的</w:t>
            </w:r>
            <w:r>
              <w:rPr>
                <w:rFonts w:hint="eastAsia" w:ascii="宋体" w:hAnsi="宋体" w:cs="宋体"/>
                <w:color w:val="000000"/>
                <w:szCs w:val="24"/>
                <w:highlight w:val="none"/>
                <w:lang w:eastAsia="zh-CN"/>
              </w:rPr>
              <w:t>一项得</w:t>
            </w:r>
            <w:r>
              <w:rPr>
                <w:rFonts w:hint="eastAsia" w:ascii="宋体" w:hAnsi="宋体" w:cs="宋体"/>
                <w:color w:val="000000"/>
                <w:szCs w:val="24"/>
                <w:highlight w:val="none"/>
                <w:lang w:val="en-US" w:eastAsia="zh-CN"/>
              </w:rPr>
              <w:t>1分，最多得3分</w:t>
            </w:r>
          </w:p>
        </w:tc>
        <w:tc>
          <w:tcPr>
            <w:tcW w:w="780" w:type="dxa"/>
            <w:tcBorders>
              <w:top w:val="single" w:color="auto" w:sz="4" w:space="0"/>
              <w:left w:val="single" w:color="auto" w:sz="4" w:space="0"/>
              <w:bottom w:val="single" w:color="auto" w:sz="4" w:space="0"/>
              <w:right w:val="single" w:color="auto" w:sz="4" w:space="0"/>
            </w:tcBorders>
            <w:vAlign w:val="center"/>
          </w:tcPr>
          <w:p>
            <w:pPr>
              <w:pStyle w:val="130"/>
              <w:widowControl w:val="0"/>
              <w:wordWrap/>
              <w:adjustRightInd/>
              <w:snapToGrid/>
              <w:spacing w:before="0" w:line="360" w:lineRule="auto"/>
              <w:ind w:firstLine="0" w:firstLineChars="0"/>
              <w:jc w:val="center"/>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szCs w:val="24"/>
                <w:highlight w:val="none"/>
                <w:lang w:val="en-US" w:eastAsia="zh-CN"/>
              </w:rPr>
              <w:t>3.0</w:t>
            </w:r>
          </w:p>
        </w:tc>
        <w:tc>
          <w:tcPr>
            <w:tcW w:w="1010" w:type="dxa"/>
            <w:tcBorders>
              <w:top w:val="single" w:color="auto" w:sz="4" w:space="0"/>
              <w:left w:val="single" w:color="auto" w:sz="4" w:space="0"/>
              <w:bottom w:val="single" w:color="auto" w:sz="4" w:space="0"/>
              <w:right w:val="single" w:color="auto" w:sz="4" w:space="0"/>
            </w:tcBorders>
            <w:vAlign w:val="center"/>
          </w:tcPr>
          <w:p>
            <w:pPr>
              <w:pStyle w:val="130"/>
              <w:widowControl w:val="0"/>
              <w:wordWrap/>
              <w:adjustRightInd/>
              <w:snapToGrid/>
              <w:spacing w:before="0" w:line="360" w:lineRule="auto"/>
              <w:ind w:firstLine="0" w:firstLineChars="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szCs w:val="24"/>
                <w:highlight w:val="none"/>
                <w:lang w:val="en-US" w:eastAsia="zh-CN"/>
              </w:rPr>
              <w:t>主观分</w:t>
            </w:r>
          </w:p>
        </w:tc>
      </w:tr>
    </w:tbl>
    <w:p/>
    <w:p>
      <w:pPr>
        <w:snapToGrid w:val="0"/>
        <w:spacing w:line="360" w:lineRule="auto"/>
        <w:rPr>
          <w:rFonts w:hint="eastAsia" w:ascii="宋体" w:hAnsi="宋体" w:eastAsia="宋体" w:cs="宋体"/>
          <w:b/>
          <w:bCs/>
          <w:sz w:val="24"/>
        </w:rPr>
      </w:pPr>
      <w:r>
        <w:rPr>
          <w:rFonts w:hint="eastAsia" w:ascii="宋体" w:hAnsi="宋体" w:eastAsia="宋体" w:cs="宋体"/>
          <w:sz w:val="24"/>
          <w:szCs w:val="24"/>
          <w:shd w:val="clear" w:color="auto" w:fill="FFFFFF"/>
        </w:rPr>
        <w:t> *</w:t>
      </w:r>
      <w:r>
        <w:rPr>
          <w:rFonts w:hint="eastAsia" w:ascii="宋体" w:hAnsi="宋体" w:eastAsia="宋体" w:cs="宋体"/>
          <w:b/>
          <w:sz w:val="24"/>
        </w:rPr>
        <w:t>备注：</w:t>
      </w:r>
      <w:r>
        <w:rPr>
          <w:rFonts w:hint="eastAsia" w:ascii="宋体" w:hAnsi="宋体" w:eastAsia="宋体" w:cs="宋体"/>
          <w:b/>
          <w:bCs/>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pPr>
        <w:spacing w:line="360" w:lineRule="auto"/>
        <w:ind w:firstLine="482" w:firstLineChars="200"/>
        <w:rPr>
          <w:rFonts w:hint="eastAsia" w:ascii="宋体" w:hAnsi="宋体" w:eastAsia="宋体" w:cs="宋体"/>
          <w:b/>
          <w:bCs/>
          <w:color w:val="000000"/>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lang w:val="en-US" w:eastAsia="zh-CN"/>
        </w:rPr>
        <w:t>投标综合单价（</w:t>
      </w:r>
      <w:r>
        <w:rPr>
          <w:rFonts w:hint="eastAsia" w:ascii="宋体" w:hAnsi="宋体" w:eastAsia="宋体" w:cs="宋体"/>
          <w:b/>
          <w:bCs/>
          <w:color w:val="auto"/>
          <w:sz w:val="24"/>
          <w:highlight w:val="none"/>
        </w:rPr>
        <w:t>为各标项</w:t>
      </w: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条线路综合单价合计</w:t>
      </w:r>
      <w:r>
        <w:rPr>
          <w:rFonts w:hint="eastAsia" w:ascii="宋体" w:hAnsi="宋体" w:eastAsia="宋体" w:cs="宋体"/>
          <w:b/>
          <w:bCs/>
          <w:color w:val="auto"/>
          <w:sz w:val="24"/>
          <w:szCs w:val="24"/>
          <w:highlight w:val="none"/>
          <w:shd w:val="clear"/>
          <w:lang w:val="en-US" w:eastAsia="zh-CN"/>
        </w:rPr>
        <w:t xml:space="preserve">），投标单位最低报价为评标基准价； </w:t>
      </w:r>
      <w:r>
        <w:rPr>
          <w:rFonts w:hint="eastAsia" w:ascii="宋体" w:hAnsi="宋体" w:eastAsia="宋体" w:cs="宋体"/>
          <w:b/>
          <w:bCs/>
          <w:color w:val="000000"/>
          <w:sz w:val="24"/>
          <w:szCs w:val="24"/>
          <w:highlight w:val="none"/>
          <w:shd w:val="clear" w:color="auto" w:fill="auto"/>
          <w:lang w:val="en-US" w:eastAsia="zh-CN"/>
        </w:rPr>
        <w:t xml:space="preserve">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w:t>
      </w:r>
      <w:r>
        <w:rPr>
          <w:rFonts w:hint="eastAsia" w:ascii="宋体" w:hAnsi="宋体" w:eastAsia="宋体" w:cs="宋体"/>
          <w:b/>
          <w:bCs/>
          <w:color w:val="auto"/>
          <w:sz w:val="24"/>
          <w:highlight w:val="none"/>
          <w:lang w:eastAsia="zh-CN"/>
        </w:rPr>
        <w:t>投标综合单价小计</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、投标人评标综合得分=价格分+商务技术分（精确到小数点后二位）；</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rPr>
          <w:rFonts w:hint="eastAsia"/>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adjustRightInd/>
        <w:spacing w:line="360" w:lineRule="auto"/>
        <w:ind w:firstLine="472" w:firstLineChars="196"/>
        <w:rPr>
          <w:rFonts w:hint="eastAsia" w:ascii="宋体" w:hAnsi="宋体" w:cs="宋体"/>
          <w:b w:val="0"/>
          <w:kern w:val="0"/>
          <w:sz w:val="24"/>
        </w:rPr>
      </w:pPr>
      <w:r>
        <w:rPr>
          <w:rFonts w:hint="eastAsia" w:ascii="宋体" w:hAnsi="宋体" w:cs="宋体"/>
          <w:b/>
          <w:bCs/>
          <w:kern w:val="0"/>
          <w:sz w:val="24"/>
        </w:rPr>
        <w:t>2. 评标标准：见评标办法前附表。</w:t>
      </w:r>
    </w:p>
    <w:p>
      <w:pPr>
        <w:adjustRightInd/>
        <w:spacing w:line="360" w:lineRule="auto"/>
        <w:outlineLvl w:val="9"/>
        <w:rPr>
          <w:rFonts w:hint="eastAsia"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kern w:val="0"/>
          <w:sz w:val="24"/>
          <w:lang w:eastAsia="zh-CN"/>
        </w:rPr>
        <w:t>本项目</w:t>
      </w:r>
      <w:r>
        <w:rPr>
          <w:rFonts w:hint="eastAsia" w:ascii="宋体" w:hAnsi="宋体" w:eastAsia="宋体" w:cs="宋体"/>
          <w:b/>
          <w:bCs/>
          <w:color w:val="000000"/>
          <w:kern w:val="0"/>
          <w:sz w:val="24"/>
        </w:rPr>
        <w:t>专门面向中小企业的项目，</w:t>
      </w:r>
      <w:r>
        <w:rPr>
          <w:rFonts w:hint="eastAsia" w:ascii="宋体" w:hAnsi="宋体" w:eastAsia="宋体" w:cs="宋体"/>
          <w:b/>
          <w:bCs/>
          <w:color w:val="000000"/>
          <w:sz w:val="24"/>
        </w:rPr>
        <w:t>对小型或微型企业投标报价</w:t>
      </w:r>
      <w:r>
        <w:rPr>
          <w:rFonts w:hint="eastAsia" w:ascii="宋体" w:hAnsi="宋体" w:eastAsia="宋体" w:cs="宋体"/>
          <w:b/>
          <w:bCs/>
          <w:color w:val="000000"/>
          <w:sz w:val="24"/>
          <w:lang w:eastAsia="zh-CN"/>
        </w:rPr>
        <w:t>不</w:t>
      </w:r>
      <w:r>
        <w:rPr>
          <w:rFonts w:hint="eastAsia" w:ascii="宋体" w:hAnsi="宋体" w:eastAsia="宋体" w:cs="宋体"/>
          <w:b/>
          <w:bCs/>
          <w:color w:val="000000"/>
          <w:sz w:val="24"/>
        </w:rPr>
        <w:t>予扣除</w:t>
      </w:r>
      <w:r>
        <w:rPr>
          <w:rFonts w:hint="eastAsia" w:ascii="宋体" w:hAnsi="宋体" w:eastAsia="宋体" w:cs="宋体"/>
          <w:b/>
          <w:bCs/>
          <w:sz w:val="24"/>
        </w:rPr>
        <w:t>评审</w:t>
      </w:r>
      <w:r>
        <w:rPr>
          <w:rFonts w:hint="eastAsia" w:ascii="宋体" w:hAnsi="宋体" w:eastAsia="宋体" w:cs="宋体"/>
          <w:b/>
          <w:bCs/>
          <w:color w:val="000000"/>
          <w:sz w:val="24"/>
        </w:rPr>
        <w:t>。</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kern w:val="0"/>
          <w:sz w:val="24"/>
          <w:lang w:val="en-US"/>
        </w:rPr>
      </w:pPr>
      <w:r>
        <w:rPr>
          <w:rFonts w:hint="eastAsia" w:ascii="宋体" w:hAnsi="宋体" w:cs="宋体"/>
          <w:kern w:val="0"/>
          <w:sz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240" w:lineRule="auto"/>
        <w:ind w:left="0" w:leftChars="0" w:firstLine="0" w:firstLineChars="0"/>
        <w:outlineLvl w:val="9"/>
      </w:pPr>
      <w:bookmarkStart w:id="393" w:name="第五部分"/>
      <w:bookmarkStart w:id="394" w:name="_Toc86217003"/>
    </w:p>
    <w:p>
      <w:pPr>
        <w:spacing w:line="240" w:lineRule="auto"/>
        <w:ind w:left="0" w:leftChars="0" w:firstLine="0" w:firstLineChars="0"/>
        <w:outlineLvl w:val="9"/>
      </w:pPr>
      <w:r>
        <w:rPr>
          <w:rFonts w:hint="eastAsia" w:ascii="宋体" w:hAnsi="宋体" w:cs="宋体"/>
          <w:b/>
          <w:szCs w:val="36"/>
        </w:rPr>
        <w:t xml:space="preserve">  </w:t>
      </w:r>
      <w:r>
        <w:rPr>
          <w:rFonts w:hint="eastAsia"/>
        </w:rPr>
        <w:t xml:space="preserve">  </w:t>
      </w:r>
    </w:p>
    <w:p>
      <w:pPr>
        <w:spacing w:line="240" w:lineRule="auto"/>
        <w:ind w:left="0" w:leftChars="0" w:firstLine="0" w:firstLineChars="0"/>
        <w:outlineLvl w:val="9"/>
      </w:pPr>
    </w:p>
    <w:p>
      <w:pPr>
        <w:spacing w:line="240" w:lineRule="auto"/>
        <w:ind w:left="0" w:leftChars="0" w:firstLine="0" w:firstLineChars="0"/>
        <w:outlineLvl w:val="9"/>
      </w:pPr>
    </w:p>
    <w:p>
      <w:pPr>
        <w:spacing w:line="240" w:lineRule="auto"/>
        <w:ind w:left="0" w:leftChars="0" w:firstLine="0" w:firstLineChars="0"/>
        <w:outlineLvl w:val="9"/>
        <w:rPr>
          <w:rFonts w:hint="eastAsia" w:ascii="宋体" w:hAnsi="宋体" w:cs="宋体"/>
          <w:b/>
          <w:szCs w:val="36"/>
        </w:rPr>
      </w:pPr>
      <w:r>
        <w:rPr>
          <w:rFonts w:hint="eastAsia"/>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ind w:firstLine="5760" w:firstLineChars="24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4"/>
        </w:rPr>
      </w:pPr>
    </w:p>
    <w:p/>
    <w:p>
      <w:pPr>
        <w:spacing w:line="240" w:lineRule="auto"/>
        <w:jc w:val="left"/>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color w:val="auto"/>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color w:val="auto"/>
          <w:sz w:val="24"/>
          <w:u w:val="single"/>
        </w:rPr>
        <w:t>（采购人）</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（政府采购方式）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color w:val="auto"/>
          <w:sz w:val="24"/>
          <w:u w:val="single"/>
        </w:rPr>
        <w:t xml:space="preserve">（项目名称）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w:t>
      </w:r>
      <w:r>
        <w:rPr>
          <w:rFonts w:asciiTheme="minorEastAsia" w:hAnsiTheme="minorEastAsia" w:eastAsiaTheme="minorEastAsia"/>
          <w:color w:val="auto"/>
          <w:sz w:val="24"/>
          <w:u w:val="single"/>
        </w:rPr>
        <w:t xml:space="preserve">   （相关评定主体名称）   </w:t>
      </w:r>
      <w:r>
        <w:rPr>
          <w:rFonts w:hint="eastAsia" w:asciiTheme="minorEastAsia" w:hAnsiTheme="minorEastAsia" w:eastAsiaTheme="minorEastAsia"/>
          <w:color w:val="auto"/>
          <w:sz w:val="24"/>
        </w:rPr>
        <w:t>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（采购人）   </w:t>
      </w:r>
      <w:r>
        <w:rPr>
          <w:rFonts w:asciiTheme="minorEastAsia" w:hAnsiTheme="minorEastAsia" w:eastAsiaTheme="minorEastAsia"/>
          <w:color w:val="auto"/>
          <w:sz w:val="24"/>
          <w:lang w:val="zh-CN"/>
        </w:rPr>
        <w:t>(以下</w:t>
      </w:r>
      <w:r>
        <w:rPr>
          <w:rFonts w:asciiTheme="minorEastAsia" w:hAnsiTheme="minorEastAsia" w:eastAsiaTheme="minorEastAsia"/>
          <w:sz w:val="24"/>
          <w:lang w:val="zh-CN"/>
        </w:rPr>
        <w:t>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sz w:val="24"/>
        </w:rPr>
      </w:pPr>
      <w:bookmarkStart w:id="395" w:name="_Toc22967"/>
      <w:bookmarkStart w:id="396" w:name="_Toc15367"/>
      <w:bookmarkStart w:id="397" w:name="_Toc28855"/>
      <w:bookmarkStart w:id="398" w:name="_Toc19273"/>
      <w:bookmarkStart w:id="399" w:name="_Toc20421"/>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00" w:name="_Toc6311"/>
      <w:bookmarkStart w:id="401" w:name="_Toc6773"/>
      <w:bookmarkStart w:id="402" w:name="_Toc22185"/>
      <w:bookmarkStart w:id="403" w:name="_Toc2918"/>
      <w:bookmarkStart w:id="404"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05" w:name="_Toc4929"/>
      <w:bookmarkStart w:id="406" w:name="_Toc21124"/>
      <w:bookmarkStart w:id="407" w:name="_Toc5635"/>
      <w:bookmarkStart w:id="408" w:name="_Toc1386"/>
      <w:bookmarkStart w:id="409" w:name="_Toc13918"/>
      <w:r>
        <w:rPr>
          <w:rFonts w:asciiTheme="minorEastAsia" w:hAnsiTheme="minorEastAsia" w:eastAsiaTheme="minorEastAsia"/>
          <w:b/>
          <w:sz w:val="24"/>
        </w:rPr>
        <w:t>1.3 价款</w:t>
      </w:r>
      <w:bookmarkEnd w:id="405"/>
      <w:bookmarkEnd w:id="406"/>
      <w:bookmarkEnd w:id="407"/>
      <w:bookmarkEnd w:id="408"/>
      <w:bookmarkEnd w:id="40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9"/>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9"/>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bl>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10" w:name="_Toc30506"/>
      <w:bookmarkStart w:id="411" w:name="_Toc26916"/>
      <w:bookmarkStart w:id="412" w:name="_Toc3654"/>
      <w:bookmarkStart w:id="413" w:name="_Toc30158"/>
      <w:bookmarkStart w:id="414" w:name="_Toc14993"/>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9"/>
        <w:pageBreakBefore w:val="0"/>
        <w:kinsoku/>
        <w:wordWrap/>
        <w:overflowPunct/>
        <w:topLinePunct w:val="0"/>
        <w:bidi w:val="0"/>
        <w:snapToGrid/>
        <w:spacing w:before="0" w:beforeAutospacing="0" w:after="0" w:afterAutospacing="0" w:line="480" w:lineRule="auto"/>
        <w:ind w:firstLine="480"/>
        <w:textAlignment w:val="auto"/>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pageBreakBefore w:val="0"/>
        <w:kinsoku/>
        <w:wordWrap/>
        <w:overflowPunct/>
        <w:topLinePunct w:val="0"/>
        <w:bidi w:val="0"/>
        <w:snapToGrid/>
        <w:spacing w:line="480" w:lineRule="auto"/>
        <w:ind w:firstLine="480" w:firstLineChars="200"/>
        <w:textAlignment w:val="auto"/>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15" w:name="_Toc4760"/>
      <w:bookmarkStart w:id="416" w:name="_Toc31421"/>
      <w:bookmarkStart w:id="417" w:name="_Toc8772"/>
      <w:bookmarkStart w:id="418" w:name="_Toc3625"/>
      <w:bookmarkStart w:id="419" w:name="_Toc11108"/>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sz w:val="24"/>
          <w:u w:val="single"/>
        </w:rPr>
      </w:pPr>
      <w:bookmarkStart w:id="420" w:name="_Toc2375"/>
      <w:bookmarkStart w:id="421" w:name="_Toc24662"/>
      <w:bookmarkStart w:id="422" w:name="_Toc3079"/>
      <w:bookmarkStart w:id="423" w:name="_Toc5698"/>
      <w:bookmarkStart w:id="424"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napToGrid/>
        <w:spacing w:line="480" w:lineRule="auto"/>
        <w:ind w:left="-420" w:leftChars="-200" w:right="-420" w:rightChars="-200" w:firstLine="720" w:firstLineChars="300"/>
        <w:textAlignment w:val="auto"/>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lang w:val="en-US" w:eastAsia="zh-CN"/>
        </w:rPr>
        <w:t xml:space="preserve">              </w:t>
      </w:r>
      <w:r>
        <w:rPr>
          <w:rFonts w:hint="eastAsia" w:asciiTheme="minorEastAsia" w:hAnsiTheme="minorEastAsia" w:eastAsiaTheme="minorEastAsia"/>
          <w:sz w:val="24"/>
        </w:rPr>
        <w:t>另有约定的，从其约定。</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25" w:name="_Toc32454"/>
      <w:bookmarkStart w:id="426" w:name="_Toc9497"/>
      <w:bookmarkStart w:id="427" w:name="_Toc18683"/>
      <w:bookmarkStart w:id="428" w:name="_Toc26807"/>
      <w:bookmarkStart w:id="429"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pageBreakBefore w:val="0"/>
        <w:kinsoku/>
        <w:wordWrap/>
        <w:overflowPunct/>
        <w:topLinePunct w:val="0"/>
        <w:bidi w:val="0"/>
        <w:snapToGrid/>
        <w:spacing w:line="480" w:lineRule="auto"/>
        <w:ind w:left="-61" w:leftChars="-29" w:right="-420" w:rightChars="-2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w:t>
      </w:r>
      <w:r>
        <w:rPr>
          <w:rFonts w:hint="eastAsia" w:asciiTheme="minorEastAsia" w:hAnsiTheme="minorEastAsia" w:eastAsiaTheme="minorEastAsia"/>
          <w:b/>
          <w:i/>
          <w:sz w:val="24"/>
          <w:u w:val="single"/>
          <w:lang w:val="en-US" w:eastAsia="zh-CN"/>
        </w:rPr>
        <w:t xml:space="preserve">  </w:t>
      </w:r>
      <w:r>
        <w:rPr>
          <w:rFonts w:asciiTheme="minorEastAsia" w:hAnsiTheme="minorEastAsia" w:eastAsiaTheme="minorEastAsia"/>
          <w:b/>
          <w:i/>
          <w:sz w:val="24"/>
          <w:u w:val="single"/>
        </w:rPr>
        <w:t xml:space="preserve"> </w:t>
      </w:r>
      <w:r>
        <w:rPr>
          <w:rFonts w:hint="eastAsia" w:asciiTheme="minorEastAsia" w:hAnsiTheme="minorEastAsia" w:eastAsiaTheme="minorEastAsia"/>
          <w:sz w:val="24"/>
        </w:rPr>
        <w:t>条款规定的方式解决：</w:t>
      </w:r>
    </w:p>
    <w:p>
      <w:pPr>
        <w:pageBreakBefore w:val="0"/>
        <w:kinsoku/>
        <w:wordWrap/>
        <w:overflowPunct/>
        <w:topLinePunct w:val="0"/>
        <w:bidi w:val="0"/>
        <w:snapToGrid/>
        <w:spacing w:line="480" w:lineRule="auto"/>
        <w:ind w:left="-420" w:leftChars="-200" w:right="-42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lang w:val="en-US" w:eastAsia="zh-CN"/>
        </w:rPr>
        <w:t xml:space="preserve">  当地   </w:t>
      </w:r>
      <w:r>
        <w:rPr>
          <w:rFonts w:hint="eastAsia" w:asciiTheme="minorEastAsia" w:hAnsiTheme="minorEastAsia" w:eastAsiaTheme="minorEastAsia"/>
          <w:sz w:val="24"/>
        </w:rPr>
        <w:t>仲裁委员会依申请仲裁时其现行有效的仲裁规则裁决；</w:t>
      </w:r>
    </w:p>
    <w:p>
      <w:pPr>
        <w:pageBreakBefore w:val="0"/>
        <w:kinsoku/>
        <w:wordWrap/>
        <w:overflowPunct/>
        <w:topLinePunct w:val="0"/>
        <w:bidi w:val="0"/>
        <w:snapToGrid/>
        <w:spacing w:line="480" w:lineRule="auto"/>
        <w:ind w:left="-420" w:leftChars="-200" w:right="-42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lang w:eastAsia="zh-CN"/>
        </w:rPr>
        <w:t>当地</w:t>
      </w:r>
      <w:r>
        <w:rPr>
          <w:rFonts w:hint="eastAsia" w:asciiTheme="minorEastAsia" w:hAnsiTheme="minorEastAsia" w:eastAsiaTheme="minorEastAsia"/>
          <w:sz w:val="24"/>
        </w:rPr>
        <w:t>人民法院起诉。</w:t>
      </w:r>
    </w:p>
    <w:p>
      <w:pPr>
        <w:pageBreakBefore w:val="0"/>
        <w:kinsoku/>
        <w:wordWrap/>
        <w:overflowPunct/>
        <w:topLinePunct w:val="0"/>
        <w:bidi w:val="0"/>
        <w:snapToGrid/>
        <w:spacing w:line="480" w:lineRule="auto"/>
        <w:ind w:firstLine="241" w:firstLineChars="100"/>
        <w:textAlignment w:val="auto"/>
        <w:outlineLvl w:val="0"/>
        <w:rPr>
          <w:rFonts w:asciiTheme="minorEastAsia" w:hAnsiTheme="minorEastAsia" w:eastAsiaTheme="minorEastAsia"/>
          <w:b/>
          <w:sz w:val="24"/>
        </w:rPr>
      </w:pPr>
      <w:bookmarkStart w:id="430" w:name="_Toc16417"/>
      <w:bookmarkStart w:id="431" w:name="_Toc26227"/>
      <w:bookmarkStart w:id="432" w:name="_Toc12273"/>
      <w:bookmarkStart w:id="433" w:name="_Toc23784"/>
      <w:bookmarkStart w:id="434" w:name="_Toc15827"/>
      <w:r>
        <w:rPr>
          <w:rFonts w:asciiTheme="minorEastAsia" w:hAnsiTheme="minorEastAsia" w:eastAsiaTheme="minorEastAsia"/>
          <w:b/>
          <w:sz w:val="24"/>
        </w:rPr>
        <w:t>1.8 合同生效</w:t>
      </w:r>
      <w:bookmarkEnd w:id="430"/>
      <w:bookmarkEnd w:id="431"/>
      <w:bookmarkEnd w:id="432"/>
      <w:bookmarkEnd w:id="433"/>
      <w:bookmarkEnd w:id="434"/>
    </w:p>
    <w:p>
      <w:pPr>
        <w:pageBreakBefore w:val="0"/>
        <w:kinsoku/>
        <w:wordWrap/>
        <w:overflowPunct/>
        <w:topLinePunct w:val="0"/>
        <w:bidi w:val="0"/>
        <w:snapToGrid/>
        <w:spacing w:line="480" w:lineRule="auto"/>
        <w:ind w:firstLine="480" w:firstLineChars="200"/>
        <w:textAlignment w:val="auto"/>
        <w:rPr>
          <w:rFonts w:cs="Times New Roman" w:asciiTheme="minorEastAsia" w:hAnsiTheme="minorEastAsia" w:eastAsiaTheme="minorEastAsia"/>
          <w:sz w:val="24"/>
        </w:rPr>
      </w:pPr>
      <w:r>
        <w:rPr>
          <w:rFonts w:cs="Times New Roman" w:asciiTheme="minorEastAsia" w:hAnsiTheme="minorEastAsia" w:eastAsiaTheme="minorEastAsia"/>
          <w:sz w:val="24"/>
        </w:rPr>
        <w:t>本合同自</w:t>
      </w:r>
      <w:r>
        <w:rPr>
          <w:rFonts w:hint="eastAsia" w:cs="Times New Roman" w:asciiTheme="minorEastAsia" w:hAnsiTheme="minorEastAsia" w:eastAsiaTheme="minorEastAsia"/>
          <w:sz w:val="24"/>
        </w:rPr>
        <w:t>双方当事人盖章或者签字时</w:t>
      </w:r>
      <w:r>
        <w:rPr>
          <w:rFonts w:cs="Times New Roman" w:asciiTheme="minorEastAsia" w:hAnsiTheme="minorEastAsia" w:eastAsiaTheme="minorEastAsia"/>
          <w:sz w:val="24"/>
        </w:rPr>
        <w:t>生效。</w:t>
      </w:r>
    </w:p>
    <w:p>
      <w:pPr>
        <w:pageBreakBefore w:val="0"/>
        <w:kinsoku/>
        <w:wordWrap/>
        <w:overflowPunct/>
        <w:topLinePunct w:val="0"/>
        <w:bidi w:val="0"/>
        <w:snapToGrid/>
        <w:spacing w:line="480" w:lineRule="auto"/>
        <w:ind w:firstLine="480" w:firstLineChars="200"/>
        <w:textAlignment w:val="auto"/>
        <w:rPr>
          <w:rFonts w:hint="eastAsia" w:cs="Times New Roman" w:asciiTheme="minorEastAsia" w:hAnsiTheme="minorEastAsia" w:eastAsiaTheme="minorEastAsia"/>
          <w:sz w:val="24"/>
          <w:lang w:val="zh-CN"/>
        </w:rPr>
      </w:pPr>
      <w:r>
        <w:rPr>
          <w:rFonts w:hint="eastAsia" w:cs="Times New Roman" w:asciiTheme="minorEastAsia" w:hAnsiTheme="minorEastAsia" w:eastAsiaTheme="minorEastAsia"/>
          <w:sz w:val="24"/>
          <w:lang w:val="zh-CN"/>
        </w:rPr>
        <w:t>合同执行中涉及采购资金和采购内容修改或补充的，须经采购单位审批，并签书面补充协议备案，作为主合同不可分割的一部分</w:t>
      </w:r>
    </w:p>
    <w:p>
      <w:pPr>
        <w:pageBreakBefore w:val="0"/>
        <w:kinsoku/>
        <w:wordWrap/>
        <w:overflowPunct/>
        <w:topLinePunct w:val="0"/>
        <w:bidi w:val="0"/>
        <w:snapToGrid/>
        <w:spacing w:line="480" w:lineRule="auto"/>
        <w:ind w:firstLine="480" w:firstLineChars="200"/>
        <w:textAlignment w:val="auto"/>
        <w:rPr>
          <w:rFonts w:hint="eastAsia"/>
          <w:lang w:val="zh-CN"/>
        </w:rPr>
      </w:pPr>
      <w:r>
        <w:rPr>
          <w:rFonts w:hint="eastAsia" w:cs="Times New Roman" w:asciiTheme="minorEastAsia" w:hAnsiTheme="minorEastAsia" w:eastAsiaTheme="minorEastAsia"/>
          <w:sz w:val="24"/>
          <w:lang w:val="zh-CN"/>
        </w:rPr>
        <w:t>本合同未尽事宜，遵照《</w:t>
      </w:r>
      <w:r>
        <w:rPr>
          <w:rFonts w:hint="eastAsia" w:cs="Times New Roman" w:asciiTheme="minorEastAsia" w:hAnsiTheme="minorEastAsia" w:eastAsiaTheme="minorEastAsia"/>
          <w:sz w:val="24"/>
          <w:lang w:val="zh-CN" w:eastAsia="zh-CN"/>
        </w:rPr>
        <w:t>民法典</w:t>
      </w:r>
      <w:r>
        <w:rPr>
          <w:rFonts w:hint="eastAsia" w:cs="Times New Roman" w:asciiTheme="minorEastAsia" w:hAnsiTheme="minorEastAsia" w:eastAsiaTheme="minorEastAsia"/>
          <w:sz w:val="24"/>
          <w:lang w:val="zh-CN"/>
        </w:rPr>
        <w:t>》有关条文执行。</w:t>
      </w:r>
      <w:r>
        <w:rPr>
          <w:rFonts w:hint="eastAsia" w:cs="Times New Roman" w:asciiTheme="minorEastAsia" w:hAnsiTheme="minorEastAsia" w:eastAsiaTheme="minorEastAsia"/>
          <w:b w:val="0"/>
          <w:bCs w:val="0"/>
          <w:kern w:val="2"/>
          <w:sz w:val="24"/>
          <w:szCs w:val="24"/>
          <w:lang w:val="zh-CN" w:eastAsia="zh-CN" w:bidi="ar-SA"/>
        </w:rPr>
        <w:t>本合同一式多份，具有同等法律效力，甲乙双方，各执二份。</w:t>
      </w:r>
      <w:r>
        <w:rPr>
          <w:rFonts w:hint="eastAsia"/>
          <w:lang w:val="zh-CN"/>
        </w:rPr>
        <w:t xml:space="preserve"> </w:t>
      </w:r>
    </w:p>
    <w:p>
      <w:pPr>
        <w:pageBreakBefore w:val="0"/>
        <w:kinsoku/>
        <w:wordWrap/>
        <w:overflowPunct/>
        <w:topLinePunct w:val="0"/>
        <w:bidi w:val="0"/>
        <w:snapToGrid/>
        <w:spacing w:line="480" w:lineRule="auto"/>
        <w:textAlignment w:val="auto"/>
        <w:rPr>
          <w:lang w:val="zh-CN"/>
        </w:rPr>
      </w:pP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adjustRightInd/>
        <w:jc w:val="left"/>
        <w:rPr>
          <w:rFonts w:asciiTheme="minorEastAsia" w:hAnsiTheme="minorEastAsia" w:eastAsiaTheme="minorEastAsia"/>
          <w:b/>
          <w:sz w:val="24"/>
        </w:rPr>
      </w:pPr>
    </w:p>
    <w:p>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240" w:lineRule="auto"/>
        <w:jc w:val="left"/>
        <w:outlineLvl w:val="9"/>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hint="eastAsia" w:ascii="仿宋_GB2312" w:hAnsi="仿宋_GB2312" w:eastAsia="仿宋_GB2312" w:cs="仿宋_GB2312"/>
          <w:b/>
          <w:kern w:val="0"/>
          <w:sz w:val="44"/>
          <w:szCs w:val="44"/>
        </w:rPr>
      </w:pP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0"/>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w:t>
      </w:r>
      <w:r>
        <w:rPr>
          <w:rFonts w:hint="eastAsia" w:ascii="仿宋_GB2312" w:hAnsi="仿宋_GB2312" w:eastAsia="仿宋_GB2312" w:cs="仿宋_GB2312"/>
          <w:b/>
          <w:bCs/>
          <w:color w:val="000000"/>
          <w:sz w:val="32"/>
          <w:szCs w:val="32"/>
          <w:lang w:eastAsia="zh-CN"/>
        </w:rPr>
        <w:t>YHZFCG2023</w:t>
      </w:r>
      <w:r>
        <w:rPr>
          <w:rFonts w:hint="eastAsia" w:ascii="仿宋_GB2312" w:hAnsi="仿宋_GB2312" w:eastAsia="仿宋_GB2312" w:cs="仿宋_GB2312"/>
          <w:b/>
          <w:bCs/>
          <w:color w:val="000000"/>
          <w:sz w:val="32"/>
          <w:szCs w:val="32"/>
        </w:rPr>
        <w:t>-</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pStyle w:val="2"/>
        <w:spacing w:line="360" w:lineRule="auto"/>
        <w:jc w:val="center"/>
        <w:outlineLvl w:val="0"/>
      </w:pPr>
      <w:r>
        <w:rPr>
          <w:rFonts w:hint="eastAsia"/>
        </w:rPr>
        <w:t>资格文件部分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widowControl/>
        <w:numPr>
          <w:ilvl w:val="0"/>
          <w:numId w:val="6"/>
        </w:numPr>
        <w:adjustRightInd/>
        <w:spacing w:line="240" w:lineRule="auto"/>
        <w:ind w:firstLine="2891" w:firstLineChars="900"/>
        <w:jc w:val="left"/>
        <w:rPr>
          <w:rFonts w:hint="eastAsia"/>
        </w:rPr>
      </w:pPr>
      <w:r>
        <w:rPr>
          <w:rFonts w:hint="eastAsia"/>
        </w:rPr>
        <w:t>联合协议（如果有）</w:t>
      </w:r>
    </w:p>
    <w:p>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snapToGrid w:val="0"/>
        <w:spacing w:line="360" w:lineRule="auto"/>
        <w:ind w:right="480"/>
        <w:jc w:val="center"/>
      </w:pPr>
      <w:r>
        <w:rPr>
          <w:rFonts w:hint="eastAsia"/>
        </w:rPr>
        <w:t>三、落实政府采购政策需满足的资格要求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hint="eastAsia"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hint="eastAsia" w:ascii="宋体" w:hAnsi="宋体" w:cs="宋体"/>
          <w:color w:val="FF0000"/>
          <w:sz w:val="24"/>
        </w:rPr>
      </w:pPr>
      <w:r>
        <w:rPr>
          <w:rFonts w:hint="eastAsia" w:ascii="宋体" w:hAnsi="宋体" w:cs="宋体"/>
          <w:b/>
          <w:color w:val="FF0000"/>
          <w:sz w:val="24"/>
        </w:rPr>
        <w:t>A</w:t>
      </w:r>
      <w:r>
        <w:rPr>
          <w:rFonts w:hint="eastAsia" w:ascii="宋体" w:hAnsi="宋体" w:cs="宋体"/>
          <w:color w:val="FF0000"/>
          <w:sz w:val="24"/>
        </w:rPr>
        <w:t>.专门面向中小企业，服务全部由符合政策要求的中小企业（或小微企业）承接的，提供相应的中小企业声明函（附件</w:t>
      </w:r>
      <w:r>
        <w:rPr>
          <w:rFonts w:ascii="宋体" w:hAnsi="宋体" w:cs="宋体"/>
          <w:color w:val="FF0000"/>
          <w:sz w:val="24"/>
        </w:rPr>
        <w:t>7</w:t>
      </w:r>
      <w:r>
        <w:rPr>
          <w:rFonts w:hint="eastAsia" w:ascii="宋体" w:hAnsi="宋体" w:cs="宋体"/>
          <w:color w:val="FF0000"/>
          <w:sz w:val="24"/>
        </w:rPr>
        <w:t xml:space="preserve">）。 </w:t>
      </w:r>
      <w:r>
        <w:rPr>
          <w:rFonts w:hint="eastAsia" w:ascii="宋体" w:hAnsi="宋体" w:cs="宋体"/>
          <w:b/>
          <w:bCs/>
          <w:color w:val="FF0000"/>
          <w:sz w:val="24"/>
          <w:lang w:eastAsia="zh-CN"/>
        </w:rPr>
        <w:t>（本项目必须提供，否则作无效投标）</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2"/>
        <w:widowControl/>
        <w:spacing w:line="360" w:lineRule="auto"/>
        <w:ind w:left="150"/>
        <w:jc w:val="center"/>
      </w:pPr>
      <w:r>
        <w:rPr>
          <w:rFonts w:hint="eastAsia"/>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pacing w:line="360" w:lineRule="auto"/>
        <w:ind w:right="420" w:firstLine="0" w:firstLineChars="0"/>
        <w:jc w:val="center"/>
        <w:rPr>
          <w:rFonts w:hint="default"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r>
        <w:rPr>
          <w:rFonts w:hint="eastAsia" w:ascii="宋体" w:hAnsi="宋体" w:cs="宋体"/>
          <w:b/>
          <w:kern w:val="0"/>
          <w:sz w:val="36"/>
          <w:szCs w:val="36"/>
        </w:rPr>
        <w:t>依法持有《旅行社业务经营许可证》</w:t>
      </w:r>
      <w:r>
        <w:rPr>
          <w:rFonts w:hint="eastAsia" w:ascii="宋体" w:hAnsi="宋体" w:cs="宋体"/>
          <w:b/>
          <w:kern w:val="0"/>
          <w:sz w:val="36"/>
          <w:szCs w:val="36"/>
          <w:lang w:eastAsia="zh-CN"/>
        </w:rPr>
        <w:t>，</w:t>
      </w:r>
      <w:r>
        <w:rPr>
          <w:rFonts w:hint="eastAsia" w:ascii="宋体" w:hAnsi="宋体" w:cs="宋体"/>
          <w:b/>
          <w:kern w:val="0"/>
          <w:sz w:val="36"/>
          <w:szCs w:val="36"/>
          <w:lang w:val="en-US" w:eastAsia="zh-CN"/>
        </w:rPr>
        <w:t>需提供证书的复印件或扫描件加盖投标人公章。</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35" w:name="_Toc17190"/>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商 务 技 术 文 件</w:t>
      </w:r>
      <w:bookmarkEnd w:id="435"/>
    </w:p>
    <w:p>
      <w:pPr>
        <w:widowControl/>
        <w:spacing w:line="360" w:lineRule="auto"/>
        <w:ind w:right="-2"/>
        <w:jc w:val="center"/>
        <w:outlineLvl w:val="1"/>
        <w:rPr>
          <w:rFonts w:ascii="仿宋_GB2312" w:hAnsi="仿宋_GB2312" w:eastAsia="仿宋_GB2312" w:cs="仿宋_GB2312"/>
          <w:b/>
          <w:color w:val="000000"/>
          <w:sz w:val="36"/>
          <w:szCs w:val="36"/>
        </w:rPr>
      </w:pPr>
      <w:bookmarkStart w:id="436" w:name="_Toc27078"/>
      <w:r>
        <w:rPr>
          <w:rFonts w:hint="eastAsia" w:ascii="仿宋_GB2312" w:hAnsi="仿宋_GB2312" w:eastAsia="仿宋_GB2312" w:cs="仿宋_GB2312"/>
          <w:b/>
          <w:color w:val="000000"/>
          <w:sz w:val="36"/>
          <w:szCs w:val="36"/>
        </w:rPr>
        <w:t>（线上电子招投标）</w:t>
      </w:r>
      <w:bookmarkEnd w:id="436"/>
    </w:p>
    <w:p>
      <w:pPr>
        <w:pStyle w:val="80"/>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37" w:name="_Toc28851"/>
      <w:r>
        <w:rPr>
          <w:rFonts w:hint="eastAsia" w:ascii="仿宋_GB2312" w:hAnsi="仿宋_GB2312" w:eastAsia="仿宋_GB2312" w:cs="仿宋_GB2312"/>
          <w:b/>
          <w:bCs/>
          <w:color w:val="000000"/>
          <w:sz w:val="36"/>
          <w:szCs w:val="36"/>
        </w:rPr>
        <w:t xml:space="preserve">  招标编号：</w:t>
      </w:r>
      <w:bookmarkEnd w:id="437"/>
      <w:r>
        <w:rPr>
          <w:rFonts w:hint="eastAsia" w:ascii="仿宋_GB2312" w:hAnsi="仿宋_GB2312" w:eastAsia="仿宋_GB2312" w:cs="仿宋_GB2312"/>
          <w:b/>
          <w:bCs/>
          <w:color w:val="000000"/>
          <w:sz w:val="36"/>
          <w:szCs w:val="36"/>
          <w:lang w:eastAsia="zh-CN"/>
        </w:rPr>
        <w:t>YHZFCG2023</w:t>
      </w:r>
      <w:r>
        <w:rPr>
          <w:rFonts w:hint="eastAsia" w:ascii="仿宋_GB2312" w:hAnsi="仿宋_GB2312" w:eastAsia="仿宋_GB2312" w:cs="仿宋_GB2312"/>
          <w:b/>
          <w:bCs/>
          <w:color w:val="000000"/>
          <w:sz w:val="36"/>
          <w:szCs w:val="36"/>
        </w:rPr>
        <w:t xml:space="preserve">- </w:t>
      </w:r>
    </w:p>
    <w:p>
      <w:pPr>
        <w:pStyle w:val="80"/>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cols w:space="720" w:num="1"/>
          <w:docGrid w:type="lines" w:linePitch="315" w:charSpace="0"/>
        </w:sectPr>
      </w:pPr>
    </w:p>
    <w:p>
      <w:pPr>
        <w:pStyle w:val="2"/>
        <w:spacing w:line="240" w:lineRule="auto"/>
        <w:ind w:right="0" w:firstLine="0" w:firstLineChars="0"/>
      </w:pPr>
      <w:r>
        <w:rPr>
          <w:rFonts w:hint="eastAsia"/>
        </w:rPr>
        <w:t>商务技术文件部分</w:t>
      </w:r>
    </w:p>
    <w:p>
      <w:pPr>
        <w:spacing w:line="240" w:lineRule="auto"/>
        <w:jc w:val="center"/>
        <w:outlineLvl w:val="9"/>
        <w:rPr>
          <w:b/>
          <w:bCs/>
          <w:sz w:val="32"/>
          <w:szCs w:val="40"/>
        </w:rPr>
      </w:pPr>
    </w:p>
    <w:p>
      <w:pPr>
        <w:spacing w:line="240" w:lineRule="auto"/>
        <w:jc w:val="center"/>
        <w:outlineLvl w:val="9"/>
        <w:rPr>
          <w:b/>
          <w:bCs/>
          <w:sz w:val="32"/>
          <w:szCs w:val="40"/>
        </w:rPr>
      </w:pPr>
      <w:r>
        <w:rPr>
          <w:rFonts w:hint="eastAsia"/>
          <w:b/>
          <w:bCs/>
          <w:sz w:val="32"/>
          <w:szCs w:val="40"/>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路线安排方案</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8</w:t>
      </w:r>
      <w:r>
        <w:rPr>
          <w:rFonts w:hint="eastAsia" w:ascii="宋体" w:hAnsi="宋体" w:cs="宋体"/>
          <w:lang w:val="zh-CN"/>
        </w:rPr>
        <w:t>）</w:t>
      </w:r>
      <w:r>
        <w:rPr>
          <w:rFonts w:hint="eastAsia" w:ascii="宋体" w:hAnsi="宋体" w:cs="宋体"/>
          <w:lang w:val="zh-CN" w:eastAsia="zh-CN"/>
        </w:rPr>
        <w:t>投标人签署的《政府采购活动现场确认声明书》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9</w:t>
      </w:r>
      <w:r>
        <w:rPr>
          <w:rFonts w:hint="eastAsia" w:ascii="宋体" w:hAnsi="宋体" w:cs="宋体"/>
          <w:lang w:val="zh-CN"/>
        </w:rPr>
        <w:t>）</w:t>
      </w:r>
      <w:r>
        <w:rPr>
          <w:rFonts w:hint="eastAsia" w:ascii="宋体" w:hAnsi="宋体" w:cs="宋体"/>
          <w:lang w:val="en-US" w:eastAsia="zh-CN"/>
        </w:rPr>
        <w:t>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rPr>
          <w:rFonts w:hint="default"/>
          <w:lang w:val="en-US" w:eastAsia="zh-CN"/>
        </w:rPr>
      </w:pPr>
    </w:p>
    <w:p>
      <w:pPr>
        <w:pStyle w:val="80"/>
        <w:rPr>
          <w:rFonts w:hint="default"/>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80"/>
        <w:rPr>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spacing w:line="240" w:lineRule="auto"/>
        <w:jc w:val="left"/>
        <w:outlineLvl w:val="9"/>
        <w:rPr>
          <w:rFonts w:hint="eastAsia"/>
        </w:rPr>
      </w:pPr>
      <w:r>
        <w:rPr>
          <w:rFonts w:hint="eastAsia"/>
        </w:rPr>
        <w:br w:type="page"/>
      </w:r>
    </w:p>
    <w:p>
      <w:pPr>
        <w:pStyle w:val="2"/>
        <w:snapToGrid/>
        <w:spacing w:line="240" w:lineRule="auto"/>
        <w:jc w:val="center"/>
        <w:outlineLvl w:val="9"/>
        <w:rPr>
          <w:rFonts w:hint="eastAsia"/>
        </w:rPr>
      </w:pPr>
      <w:r>
        <w:rPr>
          <w:rFonts w:hint="eastAsia"/>
        </w:rPr>
        <w:t>一、投标函</w:t>
      </w:r>
    </w:p>
    <w:p>
      <w:pPr>
        <w:pStyle w:val="2"/>
        <w:snapToGrid/>
        <w:spacing w:line="240" w:lineRule="auto"/>
        <w:jc w:val="left"/>
        <w:outlineLvl w:val="9"/>
        <w:rPr>
          <w:rFonts w:hint="eastAsia"/>
        </w:rPr>
      </w:pPr>
    </w:p>
    <w:p>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38" w:name="_Hlk101257010"/>
      <w:r>
        <w:rPr>
          <w:rFonts w:hint="eastAsia" w:ascii="宋体" w:hAnsi="宋体" w:cs="宋体"/>
          <w:color w:val="auto"/>
          <w:sz w:val="24"/>
        </w:rPr>
        <w:t>（如果有)</w:t>
      </w:r>
      <w:bookmarkEnd w:id="43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lang w:eastAsia="zh-CN"/>
        </w:rPr>
        <w:t>路线安排方案</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jc w:val="center"/>
        <w:rPr>
          <w:lang w:val="zh-CN"/>
        </w:rPr>
      </w:pPr>
      <w:r>
        <w:rPr>
          <w:rFonts w:hint="eastAsia"/>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pPr>
      <w:r>
        <w:rPr>
          <w:rFonts w:hint="eastAsia"/>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80"/>
        <w:rPr>
          <w:rFonts w:ascii="宋体" w:hAnsi="宋体" w:cs="宋体"/>
          <w:kern w:val="0"/>
          <w:sz w:val="24"/>
        </w:rPr>
      </w:pPr>
    </w:p>
    <w:p>
      <w:pPr>
        <w:pStyle w:val="2"/>
      </w:pPr>
      <w:r>
        <w:rPr>
          <w:rFonts w:hint="eastAsia"/>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73"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需要使用电子签名或者签字盖章的投标文件的组成部分</w:t>
            </w:r>
            <w:r>
              <w:rPr>
                <w:rFonts w:hint="eastAsia" w:ascii="宋体" w:hAnsi="宋体" w:cs="宋体"/>
                <w:sz w:val="24"/>
                <w:lang w:eastAsia="zh-CN"/>
              </w:rPr>
              <w:t>；</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jc w:val="center"/>
              <w:rPr>
                <w:rFonts w:hint="eastAsia" w:ascii="宋体" w:hAnsi="宋体" w:eastAsia="宋体" w:cs="宋体"/>
                <w:lang w:eastAsia="zh-CN"/>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73"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投标函</w:t>
            </w:r>
            <w:r>
              <w:rPr>
                <w:rFonts w:hint="eastAsia" w:ascii="宋体" w:hAnsi="宋体" w:cs="宋体"/>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73"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hint="eastAsia" w:ascii="宋体" w:hAnsi="宋体" w:eastAsia="宋体" w:cs="宋体"/>
                <w:sz w:val="24"/>
                <w:lang w:eastAsia="zh-CN"/>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jc w:val="center"/>
      </w:pPr>
      <w:r>
        <w:rPr>
          <w:rFonts w:hint="eastAsia"/>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80"/>
      </w:pPr>
    </w:p>
    <w:p>
      <w:pPr>
        <w:pStyle w:val="80"/>
      </w:pPr>
    </w:p>
    <w:p>
      <w:pPr>
        <w:rPr>
          <w:rFonts w:ascii="宋体" w:hAnsi="宋体" w:cs="宋体"/>
          <w:b/>
          <w:kern w:val="0"/>
          <w:sz w:val="32"/>
          <w:szCs w:val="32"/>
        </w:rPr>
      </w:pPr>
    </w:p>
    <w:p/>
    <w:p>
      <w:pPr>
        <w:pStyle w:val="2"/>
        <w:ind w:firstLine="0" w:firstLineChars="0"/>
        <w:rPr>
          <w:rFonts w:hint="eastAsia"/>
          <w:lang w:eastAsia="zh-CN"/>
        </w:rPr>
      </w:pPr>
      <w:r>
        <w:rPr>
          <w:rFonts w:hint="eastAsia"/>
        </w:rPr>
        <w:t>六、</w:t>
      </w:r>
      <w:r>
        <w:rPr>
          <w:rFonts w:hint="eastAsia"/>
          <w:lang w:eastAsia="zh-CN"/>
        </w:rPr>
        <w:t>路线安排方案</w:t>
      </w:r>
    </w:p>
    <w:p>
      <w:pPr>
        <w:jc w:val="center"/>
        <w:rPr>
          <w:rFonts w:ascii="宋体" w:hAnsi="宋体" w:cs="宋体"/>
          <w:b/>
          <w:kern w:val="0"/>
          <w:sz w:val="32"/>
          <w:szCs w:val="32"/>
        </w:rPr>
      </w:pPr>
    </w:p>
    <w:p>
      <w:pPr>
        <w:snapToGrid w:val="0"/>
        <w:spacing w:line="360" w:lineRule="auto"/>
        <w:jc w:val="left"/>
        <w:rPr>
          <w:rFonts w:hint="eastAsia" w:ascii="宋体" w:hAnsi="宋体" w:cs="宋体"/>
          <w:b/>
          <w:sz w:val="28"/>
          <w:szCs w:val="28"/>
          <w:lang w:val="en-US" w:eastAsia="zh-CN"/>
        </w:rPr>
      </w:pPr>
      <w:r>
        <w:rPr>
          <w:rFonts w:hint="eastAsia" w:ascii="宋体" w:hAnsi="宋体" w:cs="宋体"/>
          <w:b/>
          <w:sz w:val="28"/>
          <w:szCs w:val="28"/>
          <w:lang w:val="en-US" w:eastAsia="zh-CN"/>
        </w:rPr>
        <w:t>根据招标采购中各标段路线进行编制，同时每条线路提供1种方案；</w:t>
      </w:r>
    </w:p>
    <w:p>
      <w:pPr>
        <w:rPr>
          <w:rFonts w:ascii="宋体" w:hAnsi="宋体" w:cs="宋体"/>
          <w:b/>
          <w:kern w:val="0"/>
          <w:sz w:val="32"/>
          <w:szCs w:val="32"/>
        </w:rPr>
      </w:pPr>
      <w:r>
        <w:rPr>
          <w:rFonts w:ascii="宋体" w:hAnsi="宋体" w:cs="宋体"/>
          <w:b/>
          <w:kern w:val="0"/>
          <w:sz w:val="32"/>
          <w:szCs w:val="32"/>
        </w:rPr>
        <w:br w:type="page"/>
      </w:r>
    </w:p>
    <w:p/>
    <w:p/>
    <w:p>
      <w:pPr>
        <w:pStyle w:val="2"/>
        <w:jc w:val="center"/>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
    <w:p/>
    <w:p/>
    <w:p/>
    <w:p/>
    <w:p/>
    <w:p/>
    <w:p/>
    <w:p/>
    <w:p/>
    <w:p/>
    <w:p/>
    <w:p/>
    <w:p/>
    <w:p/>
    <w:p>
      <w:pPr>
        <w:ind w:firstLine="0" w:firstLineChars="0"/>
      </w:pPr>
    </w:p>
    <w:p>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pPr>
        <w:pStyle w:val="2"/>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numPr>
          <w:ilvl w:val="-1"/>
          <w:numId w:val="0"/>
        </w:numPr>
        <w:snapToGrid w:val="0"/>
        <w:spacing w:before="120" w:after="120"/>
        <w:jc w:val="both"/>
        <w:rPr>
          <w:rFonts w:hint="eastAsia"/>
          <w:lang w:eastAsia="zh-CN"/>
        </w:rPr>
      </w:pPr>
      <w:r>
        <w:rPr>
          <w:rFonts w:hint="eastAsia"/>
        </w:rPr>
        <w:t>确认声明书</w:t>
      </w:r>
      <w:r>
        <w:rPr>
          <w:rFonts w:hint="eastAsia"/>
          <w:lang w:eastAsia="zh-CN"/>
        </w:rPr>
        <w:t>（将以下表格填写完成后，与投标文件同步制作递交）</w:t>
      </w:r>
    </w:p>
    <w:p>
      <w:pPr>
        <w:pStyle w:val="964"/>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64"/>
        <w:snapToGrid w:val="0"/>
        <w:spacing w:before="120" w:after="120"/>
        <w:jc w:val="center"/>
        <w:rPr>
          <w:rFonts w:hint="eastAsia" w:hAnsi="宋体" w:cs="宋体"/>
          <w:b/>
          <w:color w:val="auto"/>
          <w:sz w:val="32"/>
          <w:szCs w:val="32"/>
          <w:highlight w:val="none"/>
        </w:rPr>
      </w:pPr>
    </w:p>
    <w:p>
      <w:pPr>
        <w:pStyle w:val="964"/>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64"/>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64"/>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65"/>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6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65"/>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64"/>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65"/>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65"/>
        <w:widowControl/>
        <w:numPr>
          <w:ilvl w:val="0"/>
          <w:numId w:val="8"/>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64"/>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64"/>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spacing w:line="360" w:lineRule="auto"/>
        <w:jc w:val="center"/>
        <w:outlineLvl w:val="0"/>
        <w:rPr>
          <w:rFonts w:hint="eastAsia" w:ascii="仿宋_GB2312" w:hAnsi="仿宋" w:eastAsia="仿宋_GB2312" w:cs="仿宋_GB2312"/>
          <w:b/>
          <w:kern w:val="0"/>
          <w:sz w:val="44"/>
          <w:szCs w:val="44"/>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39" w:name="_Toc105"/>
      <w:r>
        <w:rPr>
          <w:rFonts w:hint="eastAsia" w:ascii="仿宋_GB2312" w:hAnsi="仿宋_GB2312" w:eastAsia="仿宋_GB2312" w:cs="仿宋_GB2312"/>
          <w:b/>
          <w:bCs/>
          <w:color w:val="000000"/>
          <w:sz w:val="52"/>
          <w:szCs w:val="52"/>
        </w:rPr>
        <w:t>报 价 文 件</w:t>
      </w:r>
      <w:bookmarkEnd w:id="439"/>
    </w:p>
    <w:p>
      <w:pPr>
        <w:widowControl/>
        <w:spacing w:line="360" w:lineRule="auto"/>
        <w:ind w:right="-2"/>
        <w:jc w:val="center"/>
        <w:outlineLvl w:val="1"/>
        <w:rPr>
          <w:rFonts w:ascii="仿宋_GB2312" w:hAnsi="仿宋_GB2312" w:eastAsia="仿宋_GB2312" w:cs="仿宋_GB2312"/>
          <w:b/>
          <w:color w:val="000000"/>
          <w:sz w:val="36"/>
          <w:szCs w:val="36"/>
        </w:rPr>
      </w:pPr>
      <w:bookmarkStart w:id="440" w:name="_Toc22501"/>
      <w:r>
        <w:rPr>
          <w:rFonts w:hint="eastAsia" w:ascii="仿宋_GB2312" w:hAnsi="仿宋_GB2312" w:eastAsia="仿宋_GB2312" w:cs="仿宋_GB2312"/>
          <w:b/>
          <w:color w:val="000000"/>
          <w:sz w:val="36"/>
          <w:szCs w:val="36"/>
        </w:rPr>
        <w:t>（线上电子招投标）</w:t>
      </w:r>
      <w:bookmarkEnd w:id="44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41"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41"/>
      <w:r>
        <w:rPr>
          <w:rFonts w:hint="eastAsia" w:ascii="仿宋_GB2312" w:hAnsi="仿宋_GB2312" w:eastAsia="仿宋_GB2312" w:cs="仿宋_GB2312"/>
          <w:b/>
          <w:bCs/>
          <w:color w:val="000000"/>
          <w:sz w:val="36"/>
          <w:szCs w:val="36"/>
          <w:lang w:eastAsia="zh-CN"/>
        </w:rPr>
        <w:t>YHZFCG2023</w:t>
      </w:r>
      <w:r>
        <w:rPr>
          <w:rFonts w:hint="eastAsia" w:ascii="仿宋_GB2312" w:hAnsi="仿宋_GB2312" w:eastAsia="仿宋_GB2312" w:cs="仿宋_GB2312"/>
          <w:b/>
          <w:bCs/>
          <w:color w:val="000000"/>
          <w:sz w:val="36"/>
          <w:szCs w:val="36"/>
        </w:rPr>
        <w:t xml:space="preserve">-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680" w:firstLineChars="600"/>
        <w:rPr>
          <w:rFonts w:hint="eastAsia" w:ascii="仿宋_GB2312" w:hAnsi="仿宋_GB2312" w:eastAsia="仿宋_GB2312" w:cs="仿宋_GB2312"/>
          <w:color w:val="000000"/>
          <w:sz w:val="28"/>
          <w:szCs w:val="28"/>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Style w:val="2"/>
        <w:spacing w:line="360" w:lineRule="auto"/>
        <w:jc w:val="center"/>
        <w:outlineLvl w:val="0"/>
        <w:rPr>
          <w:rFonts w:hint="eastAsia"/>
        </w:rPr>
      </w:pPr>
    </w:p>
    <w:p>
      <w:pPr>
        <w:pStyle w:val="2"/>
        <w:spacing w:line="360" w:lineRule="auto"/>
        <w:jc w:val="center"/>
        <w:outlineLvl w:val="0"/>
        <w:rPr>
          <w:rFonts w:hint="eastAsia"/>
        </w:rPr>
      </w:pPr>
    </w:p>
    <w:p>
      <w:pPr>
        <w:pStyle w:val="2"/>
        <w:spacing w:line="360" w:lineRule="auto"/>
        <w:jc w:val="center"/>
        <w:outlineLvl w:val="0"/>
      </w:pPr>
      <w:bookmarkStart w:id="451" w:name="_GoBack"/>
      <w:bookmarkEnd w:id="451"/>
      <w:r>
        <w:rPr>
          <w:rFonts w:hint="eastAsia"/>
        </w:rPr>
        <w:t>报价文件部分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keepNext w:val="0"/>
        <w:pageBreakBefore w:val="0"/>
        <w:snapToGrid w:val="0"/>
        <w:spacing w:before="120" w:after="120"/>
        <w:ind w:firstLine="643"/>
        <w:outlineLvl w:val="9"/>
        <w:rPr>
          <w:rFonts w:hint="eastAsia" w:eastAsia="宋体"/>
          <w:lang w:val="en-US" w:eastAsia="zh-CN"/>
        </w:rPr>
      </w:pPr>
      <w:r>
        <w:rPr>
          <w:rFonts w:hint="eastAsia"/>
        </w:rPr>
        <w:t>一、开标一览表（报价表）</w:t>
      </w:r>
      <w:r>
        <w:rPr>
          <w:rFonts w:hint="eastAsia"/>
          <w:lang w:eastAsia="zh-CN"/>
        </w:rPr>
        <w:t>（标项一）</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non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0"/>
        <w:gridCol w:w="4583"/>
        <w:gridCol w:w="36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33" w:hRule="atLeast"/>
          <w:tblHeader/>
          <w:jc w:val="center"/>
        </w:trPr>
        <w:tc>
          <w:tcPr>
            <w:tcW w:w="4050"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4583"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eastAsia="宋体" w:cs="宋体"/>
                <w:b/>
                <w:bCs/>
                <w:color w:val="000000"/>
                <w:kern w:val="2"/>
                <w:sz w:val="24"/>
                <w:szCs w:val="24"/>
                <w:highlight w:val="none"/>
                <w:lang w:eastAsia="zh-CN"/>
              </w:rPr>
              <w:t>线路内容</w:t>
            </w:r>
          </w:p>
        </w:tc>
        <w:tc>
          <w:tcPr>
            <w:tcW w:w="362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综合单价报价（元</w:t>
            </w:r>
            <w:r>
              <w:rPr>
                <w:rFonts w:hint="eastAsia" w:ascii="宋体" w:hAnsi="宋体" w:eastAsia="宋体" w:cs="宋体"/>
                <w:b/>
                <w:bCs/>
                <w:color w:val="000000"/>
                <w:sz w:val="24"/>
                <w:szCs w:val="24"/>
                <w:highlight w:val="none"/>
              </w:rPr>
              <w:t>/人</w:t>
            </w:r>
            <w:r>
              <w:rPr>
                <w:rFonts w:hint="eastAsia" w:ascii="宋体" w:hAnsi="宋体" w:eastAsia="宋体" w:cs="宋体"/>
                <w:b/>
                <w:bCs/>
                <w:color w:val="000000"/>
                <w:sz w:val="24"/>
                <w:szCs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4050"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宋体" w:hAnsi="宋体" w:cs="宋体"/>
                <w:color w:val="000000"/>
                <w:sz w:val="24"/>
                <w:highlight w:val="none"/>
                <w:u w:val="none" w:color="000000"/>
                <w:lang w:val="zh-CN"/>
              </w:rPr>
              <w:t>杭州市余杭区人民法院职工疗休养项目(标项一)</w:t>
            </w:r>
          </w:p>
        </w:tc>
        <w:tc>
          <w:tcPr>
            <w:tcW w:w="4583"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color w:val="000000"/>
                <w:kern w:val="0"/>
                <w:sz w:val="24"/>
                <w:szCs w:val="24"/>
                <w:highlight w:val="none"/>
                <w:u w:val="none" w:color="000000"/>
                <w:lang w:val="en-US" w:eastAsia="zh-CN" w:bidi="ar-SA"/>
              </w:rPr>
              <w:t>路线1：</w:t>
            </w:r>
            <w:r>
              <w:rPr>
                <w:rFonts w:hint="eastAsia" w:ascii="宋体" w:hAnsi="宋体" w:cs="宋体"/>
                <w:color w:val="000000"/>
                <w:kern w:val="0"/>
                <w:sz w:val="24"/>
                <w:highlight w:val="none"/>
                <w:u w:val="none" w:color="000000"/>
                <w:lang w:eastAsia="zh-CN"/>
              </w:rPr>
              <w:t>台州椒江临海</w:t>
            </w:r>
            <w:r>
              <w:rPr>
                <w:rFonts w:hint="eastAsia" w:ascii="宋体" w:hAnsi="宋体" w:cs="宋体"/>
                <w:color w:val="000000"/>
                <w:kern w:val="0"/>
                <w:sz w:val="24"/>
                <w:highlight w:val="none"/>
                <w:u w:val="none" w:color="000000"/>
              </w:rPr>
              <w:t>五日</w:t>
            </w:r>
          </w:p>
        </w:tc>
        <w:tc>
          <w:tcPr>
            <w:tcW w:w="362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4583"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0"/>
                <w:sz w:val="24"/>
                <w:szCs w:val="24"/>
                <w:highlight w:val="none"/>
                <w:u w:val="none" w:color="000000"/>
                <w:lang w:val="en-US" w:eastAsia="zh-CN" w:bidi="ar-SA"/>
              </w:rPr>
              <w:t>路线2：</w:t>
            </w:r>
            <w:r>
              <w:rPr>
                <w:rFonts w:hint="eastAsia" w:ascii="宋体" w:hAnsi="宋体" w:cs="宋体"/>
                <w:color w:val="000000"/>
                <w:kern w:val="0"/>
                <w:sz w:val="24"/>
                <w:highlight w:val="none"/>
                <w:u w:val="none" w:color="000000"/>
              </w:rPr>
              <w:t>重庆涪陵五日</w:t>
            </w:r>
          </w:p>
        </w:tc>
        <w:tc>
          <w:tcPr>
            <w:tcW w:w="362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4583" w:type="dxa"/>
            <w:tcBorders>
              <w:left w:val="single" w:color="auto" w:sz="4" w:space="0"/>
              <w:right w:val="single" w:color="auto" w:sz="4" w:space="0"/>
            </w:tcBorders>
            <w:noWrap w:val="0"/>
            <w:vAlign w:val="center"/>
          </w:tcPr>
          <w:p>
            <w:pPr>
              <w:pStyle w:val="62"/>
              <w:ind w:left="0" w:leftChars="0" w:firstLine="0" w:firstLineChars="0"/>
              <w:jc w:val="left"/>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0"/>
                <w:sz w:val="24"/>
                <w:szCs w:val="24"/>
                <w:highlight w:val="none"/>
                <w:u w:val="none" w:color="000000"/>
                <w:lang w:val="en-US" w:eastAsia="zh-CN" w:bidi="ar-SA"/>
              </w:rPr>
              <w:t>路线</w:t>
            </w:r>
            <w:r>
              <w:rPr>
                <w:rFonts w:hint="eastAsia" w:eastAsia="宋体" w:cs="宋体"/>
                <w:color w:val="000000"/>
                <w:kern w:val="0"/>
                <w:sz w:val="24"/>
                <w:szCs w:val="24"/>
                <w:highlight w:val="none"/>
                <w:u w:val="none" w:color="000000"/>
                <w:lang w:val="en-US" w:eastAsia="zh-CN" w:bidi="ar-SA"/>
              </w:rPr>
              <w:t>3</w:t>
            </w:r>
            <w:r>
              <w:rPr>
                <w:rFonts w:hint="eastAsia" w:ascii="宋体" w:hAnsi="宋体" w:eastAsia="宋体" w:cs="宋体"/>
                <w:color w:val="000000"/>
                <w:kern w:val="0"/>
                <w:sz w:val="24"/>
                <w:szCs w:val="24"/>
                <w:highlight w:val="none"/>
                <w:u w:val="none" w:color="000000"/>
                <w:lang w:val="en-US" w:eastAsia="zh-CN" w:bidi="ar-SA"/>
              </w:rPr>
              <w:t>：</w:t>
            </w:r>
            <w:r>
              <w:rPr>
                <w:rFonts w:hint="eastAsia" w:cs="宋体"/>
                <w:color w:val="000000"/>
                <w:kern w:val="0"/>
                <w:sz w:val="24"/>
                <w:highlight w:val="none"/>
                <w:u w:val="none" w:color="000000"/>
              </w:rPr>
              <w:t>江苏苏州五日</w:t>
            </w:r>
          </w:p>
        </w:tc>
        <w:tc>
          <w:tcPr>
            <w:tcW w:w="362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4583" w:type="dxa"/>
            <w:tcBorders>
              <w:left w:val="single" w:color="auto" w:sz="4" w:space="0"/>
              <w:right w:val="single" w:color="auto" w:sz="4" w:space="0"/>
            </w:tcBorders>
            <w:noWrap w:val="0"/>
            <w:vAlign w:val="center"/>
          </w:tcPr>
          <w:p>
            <w:pPr>
              <w:pStyle w:val="62"/>
              <w:ind w:left="0" w:leftChars="0" w:firstLine="0" w:firstLineChars="0"/>
              <w:jc w:val="left"/>
              <w:rPr>
                <w:rFonts w:hint="eastAsia" w:ascii="宋体" w:hAnsi="宋体" w:eastAsia="宋体" w:cs="宋体"/>
                <w:color w:val="000000"/>
                <w:kern w:val="0"/>
                <w:sz w:val="24"/>
                <w:szCs w:val="24"/>
                <w:highlight w:val="none"/>
                <w:u w:val="none" w:color="auto"/>
                <w:lang w:val="en-US" w:eastAsia="zh-CN" w:bidi="ar-SA"/>
              </w:rPr>
            </w:pPr>
            <w:r>
              <w:rPr>
                <w:rFonts w:hint="eastAsia" w:cs="宋体"/>
                <w:color w:val="000000"/>
                <w:kern w:val="0"/>
                <w:sz w:val="24"/>
                <w:highlight w:val="none"/>
                <w:u w:val="none" w:color="auto"/>
              </w:rPr>
              <w:t>线路</w:t>
            </w:r>
            <w:r>
              <w:rPr>
                <w:rFonts w:hint="eastAsia" w:cs="宋体"/>
                <w:color w:val="000000"/>
                <w:kern w:val="0"/>
                <w:sz w:val="24"/>
                <w:highlight w:val="none"/>
                <w:u w:val="none" w:color="auto"/>
                <w:lang w:val="en-US" w:eastAsia="zh-CN"/>
              </w:rPr>
              <w:t>4</w:t>
            </w:r>
            <w:r>
              <w:rPr>
                <w:rFonts w:hint="eastAsia" w:cs="宋体"/>
                <w:color w:val="000000"/>
                <w:kern w:val="0"/>
                <w:sz w:val="24"/>
                <w:highlight w:val="none"/>
                <w:u w:val="none" w:color="auto"/>
              </w:rPr>
              <w:t>：建德桐庐五日</w:t>
            </w:r>
          </w:p>
        </w:tc>
        <w:tc>
          <w:tcPr>
            <w:tcW w:w="362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4050" w:type="dxa"/>
            <w:vMerge w:val="restart"/>
            <w:tcBorders>
              <w:left w:val="single" w:color="auto" w:sz="4" w:space="0"/>
              <w:right w:val="single" w:color="auto" w:sz="4" w:space="0"/>
            </w:tcBorders>
            <w:noWrap w:val="0"/>
            <w:vAlign w:val="center"/>
          </w:tcPr>
          <w:p>
            <w:pPr>
              <w:snapToGrid w:val="0"/>
              <w:spacing w:before="0" w:beforeAutospacing="0" w:after="0" w:afterAutospacing="0" w:line="240" w:lineRule="auto"/>
              <w:ind w:left="0" w:leftChars="0" w:right="0" w:rightChars="0"/>
              <w:jc w:val="center"/>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b/>
                <w:bCs/>
                <w:color w:val="000000"/>
                <w:kern w:val="2"/>
                <w:sz w:val="24"/>
                <w:szCs w:val="24"/>
                <w:highlight w:val="none"/>
                <w:lang w:eastAsia="zh-CN"/>
              </w:rPr>
              <w:t>综合单价汇总报价（</w:t>
            </w:r>
            <w:r>
              <w:rPr>
                <w:rFonts w:hint="eastAsia" w:ascii="宋体" w:hAnsi="宋体" w:eastAsia="宋体" w:cs="宋体"/>
                <w:b/>
                <w:bCs/>
                <w:color w:val="000000"/>
                <w:sz w:val="24"/>
                <w:szCs w:val="24"/>
                <w:highlight w:val="none"/>
                <w:lang w:val="en-US" w:eastAsia="zh-CN"/>
              </w:rPr>
              <w:t>线路1报价+线路2报价+路线3报价+路线</w:t>
            </w: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en-US" w:eastAsia="zh-CN"/>
              </w:rPr>
              <w:t>报价</w:t>
            </w:r>
            <w:r>
              <w:rPr>
                <w:rFonts w:hint="eastAsia" w:ascii="宋体" w:hAnsi="宋体" w:eastAsia="宋体" w:cs="宋体"/>
                <w:b/>
                <w:bCs/>
                <w:color w:val="000000"/>
                <w:kern w:val="2"/>
                <w:sz w:val="24"/>
                <w:szCs w:val="24"/>
                <w:highlight w:val="none"/>
                <w:lang w:eastAsia="zh-CN"/>
              </w:rPr>
              <w:t>）</w:t>
            </w:r>
          </w:p>
        </w:tc>
        <w:tc>
          <w:tcPr>
            <w:tcW w:w="8209" w:type="dxa"/>
            <w:gridSpan w:val="2"/>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color w:val="000000"/>
                <w:kern w:val="2"/>
                <w:sz w:val="24"/>
                <w:szCs w:val="24"/>
                <w:highlight w:val="none"/>
                <w:lang w:val="en-US" w:eastAsia="zh-CN"/>
              </w:rPr>
              <w:t>小</w:t>
            </w:r>
            <w:r>
              <w:rPr>
                <w:rFonts w:hint="eastAsia" w:ascii="宋体" w:hAnsi="宋体" w:eastAsia="宋体" w:cs="宋体"/>
                <w:color w:val="000000"/>
                <w:kern w:val="2"/>
                <w:sz w:val="24"/>
                <w:szCs w:val="24"/>
                <w:highlight w:val="none"/>
              </w:rPr>
              <w:t>写</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4050" w:type="dxa"/>
            <w:vMerge w:val="continue"/>
            <w:tcBorders>
              <w:left w:val="single" w:color="auto" w:sz="4" w:space="0"/>
              <w:right w:val="single" w:color="auto" w:sz="4" w:space="0"/>
            </w:tcBorders>
            <w:noWrap w:val="0"/>
            <w:vAlign w:val="center"/>
          </w:tcPr>
          <w:p>
            <w:pPr>
              <w:snapToGrid w:val="0"/>
              <w:spacing w:before="0" w:beforeAutospacing="0" w:after="0" w:afterAutospacing="0" w:line="240" w:lineRule="auto"/>
              <w:ind w:left="0" w:leftChars="0" w:right="0" w:rightChars="0"/>
              <w:jc w:val="center"/>
              <w:rPr>
                <w:rFonts w:hint="eastAsia" w:ascii="宋体" w:hAnsi="宋体" w:eastAsia="宋体" w:cs="宋体"/>
                <w:color w:val="000000"/>
                <w:kern w:val="2"/>
                <w:sz w:val="24"/>
                <w:szCs w:val="24"/>
                <w:highlight w:val="none"/>
                <w:u w:val="none" w:color="000000"/>
                <w:lang w:val="zh-CN" w:eastAsia="zh-CN" w:bidi="ar-SA"/>
              </w:rPr>
            </w:pPr>
          </w:p>
        </w:tc>
        <w:tc>
          <w:tcPr>
            <w:tcW w:w="8209" w:type="dxa"/>
            <w:gridSpan w:val="2"/>
            <w:noWrap w:val="0"/>
            <w:vAlign w:val="center"/>
          </w:tcPr>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color w:val="000000"/>
                <w:kern w:val="2"/>
                <w:sz w:val="24"/>
                <w:szCs w:val="24"/>
                <w:highlight w:val="none"/>
                <w:lang w:val="en-US" w:eastAsia="zh-CN"/>
              </w:rPr>
              <w:t>大</w:t>
            </w:r>
            <w:r>
              <w:rPr>
                <w:rFonts w:hint="eastAsia" w:ascii="宋体" w:hAnsi="宋体" w:eastAsia="宋体" w:cs="宋体"/>
                <w:color w:val="000000"/>
                <w:kern w:val="2"/>
                <w:sz w:val="24"/>
                <w:szCs w:val="24"/>
                <w:highlight w:val="none"/>
              </w:rPr>
              <w:t>写</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eastAsia="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tabs>
          <w:tab w:val="left" w:pos="4860"/>
        </w:tabs>
        <w:spacing w:line="360" w:lineRule="auto"/>
        <w:ind w:right="1560" w:firstLine="480" w:firstLineChars="200"/>
        <w:jc w:val="right"/>
        <w:rPr>
          <w:rFonts w:hint="eastAsia" w:ascii="宋体" w:hAnsi="宋体" w:cs="宋体"/>
          <w:kern w:val="0"/>
          <w:sz w:val="24"/>
          <w:lang w:val="zh-CN"/>
        </w:rPr>
      </w:pPr>
      <w:r>
        <w:rPr>
          <w:rFonts w:hint="eastAsia" w:ascii="宋体" w:hAnsi="宋体" w:cs="宋体"/>
          <w:kern w:val="0"/>
          <w:sz w:val="24"/>
          <w:lang w:val="zh-CN"/>
        </w:rPr>
        <w:t>投标人名称（电子签名）：</w:t>
      </w:r>
    </w:p>
    <w:p>
      <w:pPr>
        <w:tabs>
          <w:tab w:val="left" w:pos="4860"/>
        </w:tabs>
        <w:spacing w:line="360" w:lineRule="auto"/>
        <w:ind w:right="1560" w:firstLine="480" w:firstLineChars="200"/>
        <w:jc w:val="right"/>
        <w:rPr>
          <w:rFonts w:hint="eastAsia" w:ascii="宋体" w:hAnsi="宋体" w:cs="宋体"/>
          <w:kern w:val="0"/>
          <w:sz w:val="24"/>
          <w:szCs w:val="24"/>
          <w:lang w:val="zh-CN" w:eastAsia="zh-CN"/>
        </w:rPr>
      </w:pPr>
      <w:r>
        <w:rPr>
          <w:rFonts w:hint="eastAsia" w:ascii="宋体" w:hAnsi="宋体" w:cs="宋体"/>
          <w:kern w:val="0"/>
          <w:sz w:val="24"/>
          <w:lang w:val="zh-CN"/>
        </w:rPr>
        <w:t xml:space="preserve">    </w:t>
      </w:r>
      <w:r>
        <w:rPr>
          <w:rFonts w:hint="eastAsia" w:ascii="宋体" w:hAnsi="宋体" w:cs="宋体"/>
          <w:kern w:val="0"/>
          <w:sz w:val="24"/>
          <w:lang w:val="zh-CN" w:eastAsia="zh-CN"/>
        </w:rPr>
        <w:t xml:space="preserve">                                                                       </w:t>
      </w:r>
      <w:r>
        <w:rPr>
          <w:rFonts w:hint="eastAsia" w:ascii="宋体" w:hAnsi="宋体" w:cs="宋体"/>
          <w:kern w:val="0"/>
          <w:sz w:val="24"/>
          <w:lang w:val="zh-CN"/>
        </w:rPr>
        <w:t>日  期</w:t>
      </w:r>
      <w:r>
        <w:rPr>
          <w:rFonts w:hint="eastAsia" w:ascii="宋体" w:hAnsi="宋体" w:cs="宋体"/>
          <w:kern w:val="0"/>
          <w:sz w:val="24"/>
          <w:lang w:val="zh-CN" w:eastAsia="zh-CN"/>
        </w:rPr>
        <w:t>：</w:t>
      </w:r>
      <w:r>
        <w:rPr>
          <w:rFonts w:hint="eastAsia" w:ascii="宋体" w:hAnsi="宋体" w:eastAsia="宋体" w:cs="宋体"/>
          <w:kern w:val="0"/>
          <w:sz w:val="24"/>
          <w:szCs w:val="24"/>
          <w:lang w:val="zh-CN" w:eastAsia="zh-CN"/>
        </w:rPr>
        <w:t xml:space="preserve">2023年  月   </w:t>
      </w:r>
      <w:r>
        <w:rPr>
          <w:rFonts w:hint="eastAsia" w:ascii="宋体" w:hAnsi="宋体" w:cs="宋体"/>
          <w:kern w:val="0"/>
          <w:sz w:val="24"/>
          <w:szCs w:val="24"/>
          <w:lang w:val="zh-CN" w:eastAsia="zh-CN"/>
        </w:rPr>
        <w:t>日</w:t>
      </w:r>
    </w:p>
    <w:p>
      <w:pPr>
        <w:rPr>
          <w:rFonts w:hint="eastAsia"/>
          <w:lang w:val="zh-CN" w:eastAsia="zh-CN"/>
        </w:rPr>
      </w:pPr>
      <w:r>
        <w:rPr>
          <w:rFonts w:hint="eastAsia"/>
          <w:lang w:val="zh-CN" w:eastAsia="zh-CN"/>
        </w:rPr>
        <w:br w:type="page"/>
      </w:r>
    </w:p>
    <w:p>
      <w:pPr>
        <w:pStyle w:val="2"/>
        <w:keepNext w:val="0"/>
        <w:pageBreakBefore w:val="0"/>
        <w:snapToGrid w:val="0"/>
        <w:spacing w:before="120" w:after="120"/>
        <w:ind w:firstLine="643"/>
        <w:outlineLvl w:val="9"/>
        <w:rPr>
          <w:rFonts w:hint="eastAsia" w:eastAsia="宋体"/>
          <w:lang w:val="en-US" w:eastAsia="zh-CN"/>
        </w:rPr>
      </w:pPr>
      <w:r>
        <w:rPr>
          <w:rFonts w:hint="eastAsia"/>
        </w:rPr>
        <w:t>开标一览表（报价表）</w:t>
      </w:r>
      <w:r>
        <w:rPr>
          <w:rFonts w:hint="eastAsia"/>
          <w:lang w:eastAsia="zh-CN"/>
        </w:rPr>
        <w:t>（标项二）</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non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32"/>
        <w:gridCol w:w="5129"/>
        <w:gridCol w:w="4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58" w:hRule="atLeast"/>
          <w:tblHeader/>
          <w:jc w:val="center"/>
        </w:trPr>
        <w:tc>
          <w:tcPr>
            <w:tcW w:w="3932"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5129"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eastAsia="宋体" w:cs="宋体"/>
                <w:b/>
                <w:bCs/>
                <w:color w:val="000000"/>
                <w:kern w:val="2"/>
                <w:sz w:val="24"/>
                <w:szCs w:val="24"/>
                <w:highlight w:val="none"/>
                <w:lang w:eastAsia="zh-CN"/>
              </w:rPr>
              <w:t>线路内容</w:t>
            </w:r>
          </w:p>
        </w:tc>
        <w:tc>
          <w:tcPr>
            <w:tcW w:w="405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综合单价报价（元</w:t>
            </w:r>
            <w:r>
              <w:rPr>
                <w:rFonts w:hint="eastAsia" w:ascii="宋体" w:hAnsi="宋体" w:eastAsia="宋体" w:cs="宋体"/>
                <w:b/>
                <w:bCs/>
                <w:color w:val="000000"/>
                <w:sz w:val="24"/>
                <w:szCs w:val="24"/>
                <w:highlight w:val="none"/>
              </w:rPr>
              <w:t>/人</w:t>
            </w:r>
            <w:r>
              <w:rPr>
                <w:rFonts w:hint="eastAsia" w:ascii="宋体" w:hAnsi="宋体" w:eastAsia="宋体" w:cs="宋体"/>
                <w:b/>
                <w:bCs/>
                <w:color w:val="000000"/>
                <w:sz w:val="24"/>
                <w:szCs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5" w:hRule="atLeast"/>
          <w:jc w:val="center"/>
        </w:trPr>
        <w:tc>
          <w:tcPr>
            <w:tcW w:w="3932"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宋体" w:hAnsi="宋体" w:eastAsia="宋体" w:cs="宋体"/>
                <w:b/>
                <w:bCs/>
                <w:sz w:val="24"/>
                <w:szCs w:val="24"/>
              </w:rPr>
              <w:t>杭州市余杭区人民法院职工疗休养项目(标项</w:t>
            </w:r>
            <w:r>
              <w:rPr>
                <w:rFonts w:hint="eastAsia" w:ascii="宋体" w:hAnsi="宋体" w:eastAsia="宋体" w:cs="宋体"/>
                <w:b/>
                <w:bCs/>
                <w:sz w:val="24"/>
                <w:szCs w:val="24"/>
                <w:lang w:eastAsia="zh-CN"/>
              </w:rPr>
              <w:t>二</w:t>
            </w:r>
            <w:r>
              <w:rPr>
                <w:rFonts w:hint="eastAsia" w:ascii="宋体" w:hAnsi="宋体" w:eastAsia="宋体" w:cs="宋体"/>
                <w:b/>
                <w:bCs/>
                <w:sz w:val="24"/>
                <w:szCs w:val="24"/>
              </w:rPr>
              <w:t>)</w:t>
            </w:r>
          </w:p>
        </w:tc>
        <w:tc>
          <w:tcPr>
            <w:tcW w:w="5129"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sz w:val="24"/>
                <w:szCs w:val="24"/>
                <w:highlight w:val="none"/>
                <w:u w:val="none" w:color="000000"/>
                <w:lang w:val="zh-CN" w:eastAsia="zh-CN" w:bidi="ar-SA"/>
              </w:rPr>
            </w:pPr>
            <w:r>
              <w:rPr>
                <w:rFonts w:hint="eastAsia" w:ascii="宋体" w:hAnsi="宋体" w:eastAsia="宋体" w:cs="宋体"/>
                <w:color w:val="000000"/>
                <w:kern w:val="0"/>
                <w:sz w:val="24"/>
                <w:szCs w:val="24"/>
                <w:highlight w:val="none"/>
                <w:lang w:val="en-US" w:eastAsia="zh-CN"/>
              </w:rPr>
              <w:t>路线</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highlight w:val="none"/>
              </w:rPr>
              <w:t>新疆阿克苏六日</w:t>
            </w:r>
          </w:p>
        </w:tc>
        <w:tc>
          <w:tcPr>
            <w:tcW w:w="405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2" w:hRule="atLeast"/>
          <w:jc w:val="center"/>
        </w:trPr>
        <w:tc>
          <w:tcPr>
            <w:tcW w:w="39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5129"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sz w:val="24"/>
                <w:szCs w:val="24"/>
                <w:highlight w:val="none"/>
                <w:u w:val="none" w:color="000000"/>
                <w:lang w:val="en-US" w:eastAsia="zh-CN" w:bidi="ar-SA"/>
              </w:rPr>
            </w:pPr>
            <w:r>
              <w:rPr>
                <w:rFonts w:hint="eastAsia" w:ascii="宋体" w:hAnsi="宋体" w:eastAsia="宋体" w:cs="宋体"/>
                <w:color w:val="000000"/>
                <w:kern w:val="0"/>
                <w:sz w:val="24"/>
                <w:szCs w:val="24"/>
                <w:highlight w:val="none"/>
                <w:lang w:val="en-US" w:eastAsia="zh-CN"/>
              </w:rPr>
              <w:t>路线</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highlight w:val="none"/>
              </w:rPr>
              <w:t>四川稻城五</w:t>
            </w:r>
            <w:r>
              <w:rPr>
                <w:rFonts w:hint="eastAsia" w:ascii="宋体" w:hAnsi="宋体" w:cs="宋体"/>
                <w:color w:val="000000"/>
                <w:kern w:val="0"/>
                <w:sz w:val="24"/>
                <w:highlight w:val="none"/>
                <w:lang w:eastAsia="zh-CN"/>
              </w:rPr>
              <w:t>日</w:t>
            </w:r>
          </w:p>
        </w:tc>
        <w:tc>
          <w:tcPr>
            <w:tcW w:w="405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9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5129" w:type="dxa"/>
            <w:tcBorders>
              <w:left w:val="single" w:color="auto" w:sz="4" w:space="0"/>
              <w:right w:val="single" w:color="auto" w:sz="4" w:space="0"/>
            </w:tcBorders>
            <w:noWrap w:val="0"/>
            <w:vAlign w:val="center"/>
          </w:tcPr>
          <w:p>
            <w:pPr>
              <w:pStyle w:val="62"/>
              <w:ind w:left="0" w:leftChars="0" w:firstLine="0" w:firstLineChars="0"/>
              <w:jc w:val="left"/>
              <w:rPr>
                <w:rFonts w:hint="eastAsia" w:ascii="宋体" w:hAnsi="宋体" w:eastAsia="宋体" w:cs="宋体"/>
                <w:color w:val="000000"/>
                <w:sz w:val="24"/>
                <w:szCs w:val="24"/>
                <w:highlight w:val="none"/>
                <w:u w:val="none" w:color="000000"/>
                <w:lang w:val="en-US" w:eastAsia="zh-CN" w:bidi="ar-SA"/>
              </w:rPr>
            </w:pPr>
            <w:r>
              <w:rPr>
                <w:rFonts w:hint="eastAsia" w:ascii="宋体" w:hAnsi="宋体" w:eastAsia="宋体" w:cs="宋体"/>
                <w:color w:val="000000"/>
                <w:kern w:val="0"/>
                <w:sz w:val="24"/>
                <w:szCs w:val="24"/>
                <w:highlight w:val="none"/>
                <w:u w:val="none" w:color="auto"/>
                <w:lang w:val="en-US" w:eastAsia="zh-CN" w:bidi="ar-SA"/>
              </w:rPr>
              <w:t>线路</w:t>
            </w:r>
            <w:r>
              <w:rPr>
                <w:rFonts w:hint="eastAsia" w:cs="宋体"/>
                <w:color w:val="000000"/>
                <w:kern w:val="0"/>
                <w:sz w:val="24"/>
                <w:szCs w:val="24"/>
                <w:highlight w:val="none"/>
                <w:u w:val="none" w:color="auto"/>
                <w:lang w:val="en-US" w:eastAsia="zh-CN" w:bidi="ar-SA"/>
              </w:rPr>
              <w:t>3</w:t>
            </w:r>
            <w:r>
              <w:rPr>
                <w:rFonts w:hint="eastAsia" w:ascii="宋体" w:hAnsi="宋体" w:eastAsia="宋体" w:cs="宋体"/>
                <w:color w:val="000000"/>
                <w:kern w:val="0"/>
                <w:sz w:val="24"/>
                <w:szCs w:val="24"/>
                <w:highlight w:val="none"/>
                <w:u w:val="none" w:color="auto"/>
                <w:lang w:val="en-US" w:eastAsia="zh-CN" w:bidi="ar-SA"/>
              </w:rPr>
              <w:t>：</w:t>
            </w:r>
            <w:r>
              <w:rPr>
                <w:rFonts w:hint="eastAsia" w:cs="宋体"/>
                <w:color w:val="000000"/>
                <w:kern w:val="0"/>
                <w:sz w:val="24"/>
                <w:highlight w:val="none"/>
                <w:u w:val="none" w:color="auto"/>
              </w:rPr>
              <w:t>福建厦门五日</w:t>
            </w:r>
          </w:p>
        </w:tc>
        <w:tc>
          <w:tcPr>
            <w:tcW w:w="405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39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5129" w:type="dxa"/>
            <w:tcBorders>
              <w:left w:val="single" w:color="auto" w:sz="4" w:space="0"/>
              <w:right w:val="single" w:color="auto" w:sz="4" w:space="0"/>
            </w:tcBorders>
            <w:noWrap w:val="0"/>
            <w:vAlign w:val="center"/>
          </w:tcPr>
          <w:p>
            <w:pPr>
              <w:pStyle w:val="62"/>
              <w:ind w:left="0" w:leftChars="0" w:firstLine="0" w:firstLineChars="0"/>
              <w:jc w:val="left"/>
              <w:rPr>
                <w:rFonts w:hint="eastAsia" w:ascii="宋体" w:hAnsi="宋体" w:eastAsia="宋体" w:cs="宋体"/>
                <w:color w:val="000000"/>
                <w:kern w:val="0"/>
                <w:sz w:val="24"/>
                <w:szCs w:val="24"/>
                <w:highlight w:val="none"/>
                <w:u w:val="none" w:color="auto"/>
                <w:lang w:val="en-US" w:eastAsia="zh-CN" w:bidi="ar-SA"/>
              </w:rPr>
            </w:pPr>
            <w:r>
              <w:rPr>
                <w:rFonts w:hint="eastAsia" w:cs="宋体"/>
                <w:color w:val="000000"/>
                <w:kern w:val="0"/>
                <w:sz w:val="24"/>
                <w:highlight w:val="none"/>
                <w:u w:val="none" w:color="auto"/>
              </w:rPr>
              <w:t>线路</w:t>
            </w:r>
            <w:r>
              <w:rPr>
                <w:rFonts w:hint="eastAsia" w:cs="宋体"/>
                <w:color w:val="000000"/>
                <w:kern w:val="0"/>
                <w:sz w:val="24"/>
                <w:highlight w:val="none"/>
                <w:u w:val="none" w:color="auto"/>
                <w:lang w:val="en-US" w:eastAsia="zh-CN"/>
              </w:rPr>
              <w:t>4</w:t>
            </w:r>
            <w:r>
              <w:rPr>
                <w:rFonts w:hint="eastAsia" w:cs="宋体"/>
                <w:color w:val="000000"/>
                <w:kern w:val="0"/>
                <w:sz w:val="24"/>
                <w:highlight w:val="none"/>
                <w:u w:val="none" w:color="auto"/>
              </w:rPr>
              <w:t>：温州楠溪江五日</w:t>
            </w:r>
          </w:p>
        </w:tc>
        <w:tc>
          <w:tcPr>
            <w:tcW w:w="405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w:t>
            </w:r>
          </w:p>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（大写）</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color w:val="000000"/>
                <w:sz w:val="24"/>
                <w:szCs w:val="24"/>
                <w:highlight w:val="none"/>
              </w:rPr>
              <w:t>元/人。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3932" w:type="dxa"/>
            <w:vMerge w:val="restart"/>
            <w:tcBorders>
              <w:left w:val="single" w:color="auto" w:sz="4" w:space="0"/>
              <w:right w:val="single" w:color="auto" w:sz="4" w:space="0"/>
            </w:tcBorders>
            <w:noWrap w:val="0"/>
            <w:vAlign w:val="center"/>
          </w:tcPr>
          <w:p>
            <w:pPr>
              <w:snapToGrid w:val="0"/>
              <w:spacing w:before="0" w:beforeAutospacing="0" w:after="0" w:afterAutospacing="0" w:line="240" w:lineRule="auto"/>
              <w:ind w:left="0" w:leftChars="0" w:right="0" w:rightChars="0"/>
              <w:jc w:val="center"/>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b/>
                <w:bCs/>
                <w:color w:val="000000"/>
                <w:kern w:val="2"/>
                <w:sz w:val="24"/>
                <w:szCs w:val="24"/>
                <w:highlight w:val="none"/>
                <w:lang w:eastAsia="zh-CN"/>
              </w:rPr>
              <w:t>综合单价汇总报价（</w:t>
            </w:r>
            <w:r>
              <w:rPr>
                <w:rFonts w:hint="eastAsia" w:ascii="宋体" w:hAnsi="宋体" w:eastAsia="宋体" w:cs="宋体"/>
                <w:b/>
                <w:bCs/>
                <w:color w:val="000000"/>
                <w:sz w:val="24"/>
                <w:szCs w:val="24"/>
                <w:highlight w:val="none"/>
                <w:lang w:val="en-US" w:eastAsia="zh-CN"/>
              </w:rPr>
              <w:t>线路1报价+线路2报价+路线3报价+路线</w:t>
            </w: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en-US" w:eastAsia="zh-CN"/>
              </w:rPr>
              <w:t>报价</w:t>
            </w:r>
            <w:r>
              <w:rPr>
                <w:rFonts w:hint="eastAsia" w:ascii="宋体" w:hAnsi="宋体" w:eastAsia="宋体" w:cs="宋体"/>
                <w:b/>
                <w:bCs/>
                <w:color w:val="000000"/>
                <w:kern w:val="2"/>
                <w:sz w:val="24"/>
                <w:szCs w:val="24"/>
                <w:highlight w:val="none"/>
                <w:lang w:eastAsia="zh-CN"/>
              </w:rPr>
              <w:t>）</w:t>
            </w:r>
          </w:p>
        </w:tc>
        <w:tc>
          <w:tcPr>
            <w:tcW w:w="9187" w:type="dxa"/>
            <w:gridSpan w:val="2"/>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color w:val="000000"/>
                <w:kern w:val="2"/>
                <w:sz w:val="24"/>
                <w:szCs w:val="24"/>
                <w:highlight w:val="none"/>
                <w:lang w:val="en-US" w:eastAsia="zh-CN"/>
              </w:rPr>
              <w:t>小</w:t>
            </w:r>
            <w:r>
              <w:rPr>
                <w:rFonts w:hint="eastAsia" w:ascii="宋体" w:hAnsi="宋体" w:eastAsia="宋体" w:cs="宋体"/>
                <w:color w:val="000000"/>
                <w:kern w:val="2"/>
                <w:sz w:val="24"/>
                <w:szCs w:val="24"/>
                <w:highlight w:val="none"/>
              </w:rPr>
              <w:t>写</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3932" w:type="dxa"/>
            <w:vMerge w:val="continue"/>
            <w:tcBorders>
              <w:left w:val="single" w:color="auto" w:sz="4" w:space="0"/>
              <w:right w:val="single" w:color="auto" w:sz="4" w:space="0"/>
            </w:tcBorders>
            <w:noWrap w:val="0"/>
            <w:vAlign w:val="center"/>
          </w:tcPr>
          <w:p>
            <w:pPr>
              <w:snapToGrid w:val="0"/>
              <w:spacing w:before="0" w:beforeAutospacing="0" w:after="0" w:afterAutospacing="0" w:line="240" w:lineRule="auto"/>
              <w:ind w:left="0" w:leftChars="0" w:right="0" w:rightChars="0"/>
              <w:jc w:val="center"/>
              <w:rPr>
                <w:rFonts w:hint="eastAsia" w:ascii="宋体" w:hAnsi="宋体" w:eastAsia="宋体" w:cs="宋体"/>
                <w:color w:val="000000"/>
                <w:kern w:val="2"/>
                <w:sz w:val="24"/>
                <w:szCs w:val="24"/>
                <w:highlight w:val="none"/>
                <w:u w:val="none" w:color="000000"/>
                <w:lang w:val="zh-CN" w:eastAsia="zh-CN" w:bidi="ar-SA"/>
              </w:rPr>
            </w:pPr>
          </w:p>
        </w:tc>
        <w:tc>
          <w:tcPr>
            <w:tcW w:w="9187" w:type="dxa"/>
            <w:gridSpan w:val="2"/>
            <w:noWrap w:val="0"/>
            <w:vAlign w:val="center"/>
          </w:tcPr>
          <w:p>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color w:val="000000"/>
                <w:kern w:val="2"/>
                <w:sz w:val="24"/>
                <w:szCs w:val="24"/>
                <w:highlight w:val="none"/>
                <w:lang w:val="en-US" w:eastAsia="zh-CN"/>
              </w:rPr>
              <w:t>大</w:t>
            </w:r>
            <w:r>
              <w:rPr>
                <w:rFonts w:hint="eastAsia" w:ascii="宋体" w:hAnsi="宋体" w:eastAsia="宋体" w:cs="宋体"/>
                <w:color w:val="000000"/>
                <w:kern w:val="2"/>
                <w:sz w:val="24"/>
                <w:szCs w:val="24"/>
                <w:highlight w:val="none"/>
              </w:rPr>
              <w:t>写</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eastAsia="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tabs>
          <w:tab w:val="left" w:pos="4860"/>
        </w:tabs>
        <w:spacing w:line="360" w:lineRule="auto"/>
        <w:ind w:right="1560" w:firstLine="480" w:firstLineChars="200"/>
        <w:jc w:val="right"/>
        <w:rPr>
          <w:rFonts w:hint="eastAsia" w:ascii="宋体" w:hAnsi="宋体" w:cs="宋体"/>
          <w:kern w:val="0"/>
          <w:sz w:val="24"/>
          <w:lang w:val="zh-CN"/>
        </w:rPr>
      </w:pPr>
      <w:r>
        <w:rPr>
          <w:rFonts w:hint="eastAsia" w:ascii="宋体" w:hAnsi="宋体" w:cs="宋体"/>
          <w:kern w:val="0"/>
          <w:sz w:val="24"/>
          <w:lang w:val="zh-CN"/>
        </w:rPr>
        <w:t>投标人名称（电子签名）：</w:t>
      </w:r>
    </w:p>
    <w:p>
      <w:pPr>
        <w:tabs>
          <w:tab w:val="left" w:pos="4860"/>
        </w:tabs>
        <w:spacing w:line="360" w:lineRule="auto"/>
        <w:ind w:right="1560" w:firstLine="480" w:firstLineChars="200"/>
        <w:jc w:val="right"/>
        <w:rPr>
          <w:rFonts w:hint="eastAsia"/>
          <w:lang w:val="zh-CN"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zh-CN" w:eastAsia="zh-CN"/>
        </w:rPr>
        <w:t xml:space="preserve">                                                                       </w:t>
      </w:r>
      <w:r>
        <w:rPr>
          <w:rFonts w:hint="eastAsia" w:ascii="宋体" w:hAnsi="宋体" w:cs="宋体"/>
          <w:kern w:val="0"/>
          <w:sz w:val="24"/>
          <w:lang w:val="zh-CN"/>
        </w:rPr>
        <w:t>日  期</w:t>
      </w:r>
      <w:r>
        <w:rPr>
          <w:rFonts w:hint="eastAsia" w:ascii="宋体" w:hAnsi="宋体" w:cs="宋体"/>
          <w:kern w:val="0"/>
          <w:sz w:val="24"/>
          <w:lang w:val="zh-CN" w:eastAsia="zh-CN"/>
        </w:rPr>
        <w:t>：</w:t>
      </w:r>
      <w:r>
        <w:rPr>
          <w:rFonts w:hint="eastAsia" w:ascii="宋体" w:hAnsi="宋体" w:eastAsia="宋体" w:cs="宋体"/>
          <w:kern w:val="0"/>
          <w:sz w:val="24"/>
          <w:szCs w:val="24"/>
          <w:lang w:val="zh-CN" w:eastAsia="zh-CN"/>
        </w:rPr>
        <w:t xml:space="preserve">2023年  月   </w:t>
      </w:r>
      <w:r>
        <w:rPr>
          <w:rFonts w:hint="eastAsia" w:ascii="宋体" w:hAnsi="宋体" w:cs="宋体"/>
          <w:kern w:val="0"/>
          <w:sz w:val="24"/>
          <w:szCs w:val="24"/>
          <w:lang w:val="zh-CN" w:eastAsia="zh-CN"/>
        </w:rPr>
        <w:t>日</w:t>
      </w:r>
    </w:p>
    <w:p>
      <w:pPr>
        <w:pStyle w:val="2"/>
        <w:keepNext w:val="0"/>
        <w:pageBreakBefore w:val="0"/>
        <w:snapToGrid w:val="0"/>
        <w:spacing w:before="120" w:after="120"/>
        <w:ind w:firstLine="643"/>
        <w:outlineLvl w:val="9"/>
      </w:pPr>
      <w:r>
        <w:rPr>
          <w:rFonts w:hint="eastAsia"/>
        </w:rPr>
        <w:t>二、中小企业声明函（如果有）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2" w:name="OLE_LINK14"/>
      <w:bookmarkStart w:id="443" w:name="OLE_LINK13"/>
      <w:r>
        <w:rPr>
          <w:rFonts w:hint="eastAsia" w:ascii="宋体" w:hAnsi="宋体" w:cs="宋体"/>
          <w:b/>
          <w:spacing w:val="6"/>
          <w:sz w:val="32"/>
          <w:szCs w:val="32"/>
        </w:rPr>
        <w:t>残疾人福利性单位声明函</w:t>
      </w:r>
    </w:p>
    <w:bookmarkEnd w:id="442"/>
    <w:bookmarkEnd w:id="44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autoSpaceDN/>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4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4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4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4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4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4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ind w:left="664" w:leftChars="316" w:firstLine="199" w:firstLineChars="95"/>
        <w:jc w:val="center"/>
      </w:pPr>
      <w:r>
        <w:rPr>
          <w:rFonts w:hint="eastAsia"/>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240" w:lineRule="auto"/>
        <w:jc w:val="left"/>
        <w:outlineLvl w:val="9"/>
        <w:rPr>
          <w:rFonts w:hint="eastAsia"/>
        </w:rPr>
      </w:pPr>
      <w:r>
        <w:rPr>
          <w:rFonts w:hint="eastAsia"/>
        </w:rPr>
        <w:br w:type="page"/>
      </w:r>
    </w:p>
    <w:p>
      <w:pPr>
        <w:spacing w:line="240" w:lineRule="auto"/>
        <w:jc w:val="left"/>
        <w:outlineLvl w:val="9"/>
        <w:rPr>
          <w:sz w:val="36"/>
          <w:szCs w:val="44"/>
        </w:rPr>
      </w:pPr>
      <w:r>
        <w:rPr>
          <w:rFonts w:hint="eastAsia"/>
          <w:sz w:val="36"/>
          <w:szCs w:val="44"/>
        </w:rPr>
        <w:t>附件</w:t>
      </w:r>
      <w:r>
        <w:rPr>
          <w:sz w:val="36"/>
          <w:szCs w:val="44"/>
        </w:rPr>
        <w:t>7</w:t>
      </w:r>
      <w:r>
        <w:rPr>
          <w:rFonts w:hint="eastAsia"/>
          <w:sz w:val="36"/>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eastAsia="宋体" w:cs="宋体"/>
          <w:lang w:val="en-US"/>
        </w:rPr>
        <w:br w:type="page"/>
      </w: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p/>
    <w:p/>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47" w:name="_Toc36110187"/>
    <w:bookmarkStart w:id="448" w:name="_Toc164085800"/>
    <w:bookmarkStart w:id="449" w:name="_Toc131845147"/>
    <w:bookmarkStart w:id="450" w:name="_Toc91899912"/>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矩形 6"/>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L1poOvEAQAAigMAAA4AAAAAAAAAAQAgAAAAHwEAAGRycy9lMm9Eb2MueG1s&#10;UEsFBgAAAAAGAAYAWQEAAFUFAAAAAA==&#10;">
              <v:path/>
              <v:fill on="f" focussize="0,0"/>
              <v:stroke on="f"/>
              <v:imagedata o:title=""/>
              <o:lock v:ext="edit" grouping="f" rotation="f" text="f"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w:rPr>
        <w:rFonts w:ascii="楷体_GB2312" w:eastAsia="楷体_GB2312"/>
        <w:color w:val="0000FF"/>
        <w:szCs w:val="28"/>
        <w:u w:val="thick"/>
      </w:rPr>
      <w:drawing>
        <wp:anchor distT="0" distB="0" distL="114300" distR="114300" simplePos="0" relativeHeight="251664384"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矩形 5"/>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2.05pt;width:9.05pt;mso-position-horizontal:right;mso-position-horizontal-relative:margin;mso-wrap-style:none;z-index:251663360;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l/jEdEAAAADAQAADwAAAAAAAAABACAAAAAiAAAAZHJzL2Rvd25yZXYueG1sUEsB&#10;AhQAFAAAAAgAh07iQObX9cnDAQAAigMAAA4AAAAAAAAAAQAgAAAAIAEAAGRycy9lMm9Eb2MueG1s&#10;UEsFBgAAAAAGAAYAWQEAAFUFAAAAAA==&#10;">
              <v:path/>
              <v:fill on="f" focussize="0,0"/>
              <v:stroke on="f"/>
              <v:imagedata o:title=""/>
              <o:lock v:ext="edit" grouping="f" rotation="f" text="f"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FFD42C76"/>
    <w:multiLevelType w:val="singleLevel"/>
    <w:tmpl w:val="FFD42C76"/>
    <w:lvl w:ilvl="0" w:tentative="0">
      <w:start w:val="2"/>
      <w:numFmt w:val="chineseCounting"/>
      <w:suff w:val="nothing"/>
      <w:lvlText w:val="%1、"/>
      <w:lvlJc w:val="left"/>
      <w:rPr>
        <w:rFonts w:hint="eastAsia"/>
      </w:rPr>
    </w:lvl>
  </w:abstractNum>
  <w:abstractNum w:abstractNumId="2">
    <w:nsid w:val="0691A6B9"/>
    <w:multiLevelType w:val="singleLevel"/>
    <w:tmpl w:val="0691A6B9"/>
    <w:lvl w:ilvl="0" w:tentative="0">
      <w:start w:val="1"/>
      <w:numFmt w:val="decimal"/>
      <w:lvlText w:val="%1."/>
      <w:lvlJc w:val="left"/>
      <w:pPr>
        <w:tabs>
          <w:tab w:val="left" w:pos="312"/>
        </w:tabs>
      </w:pPr>
    </w:lvl>
  </w:abstractNum>
  <w:abstractNum w:abstractNumId="3">
    <w:nsid w:val="2886FA6B"/>
    <w:multiLevelType w:val="singleLevel"/>
    <w:tmpl w:val="2886FA6B"/>
    <w:lvl w:ilvl="0" w:tentative="0">
      <w:start w:val="1"/>
      <w:numFmt w:val="decimal"/>
      <w:suff w:val="nothing"/>
      <w:lvlText w:val="（%1）"/>
      <w:lvlJc w:val="left"/>
    </w:lvl>
  </w:abstractNum>
  <w:abstractNum w:abstractNumId="4">
    <w:nsid w:val="341DFAAC"/>
    <w:multiLevelType w:val="singleLevel"/>
    <w:tmpl w:val="341DFAAC"/>
    <w:lvl w:ilvl="0" w:tentative="0">
      <w:start w:val="8"/>
      <w:numFmt w:val="decimal"/>
      <w:suff w:val="space"/>
      <w:lvlText w:val="%1."/>
      <w:lvlJc w:val="left"/>
    </w:lvl>
  </w:abstractNum>
  <w:abstractNum w:abstractNumId="5">
    <w:nsid w:val="4A1F23E9"/>
    <w:multiLevelType w:val="singleLevel"/>
    <w:tmpl w:val="4A1F23E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E3MjA4ZjZjNDc5MDgyMTY1MjgxNjIwN2ExM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36BE"/>
    <w:rsid w:val="019F7441"/>
    <w:rsid w:val="01B37585"/>
    <w:rsid w:val="01D55165"/>
    <w:rsid w:val="01DF6BF8"/>
    <w:rsid w:val="01EC2C57"/>
    <w:rsid w:val="025F0711"/>
    <w:rsid w:val="026B2E25"/>
    <w:rsid w:val="02824D4D"/>
    <w:rsid w:val="02C54D0A"/>
    <w:rsid w:val="02DC4B10"/>
    <w:rsid w:val="02DD76CE"/>
    <w:rsid w:val="02F36323"/>
    <w:rsid w:val="02F5619C"/>
    <w:rsid w:val="0326446A"/>
    <w:rsid w:val="032D5555"/>
    <w:rsid w:val="035A307B"/>
    <w:rsid w:val="036634D2"/>
    <w:rsid w:val="03DD35E4"/>
    <w:rsid w:val="03FA6D38"/>
    <w:rsid w:val="04076900"/>
    <w:rsid w:val="041216F3"/>
    <w:rsid w:val="041A5A3B"/>
    <w:rsid w:val="042311BA"/>
    <w:rsid w:val="042B157A"/>
    <w:rsid w:val="04610C8A"/>
    <w:rsid w:val="048F763B"/>
    <w:rsid w:val="049F330E"/>
    <w:rsid w:val="04AA775C"/>
    <w:rsid w:val="04AF1889"/>
    <w:rsid w:val="04EA29AF"/>
    <w:rsid w:val="04F66F48"/>
    <w:rsid w:val="05251E14"/>
    <w:rsid w:val="056C251A"/>
    <w:rsid w:val="0584461F"/>
    <w:rsid w:val="05A16594"/>
    <w:rsid w:val="05A7762D"/>
    <w:rsid w:val="060E5941"/>
    <w:rsid w:val="06110FAF"/>
    <w:rsid w:val="06493CA7"/>
    <w:rsid w:val="065A6178"/>
    <w:rsid w:val="066F1CF3"/>
    <w:rsid w:val="067362CB"/>
    <w:rsid w:val="06930BB8"/>
    <w:rsid w:val="06A759E0"/>
    <w:rsid w:val="0710034B"/>
    <w:rsid w:val="07245D42"/>
    <w:rsid w:val="07264C62"/>
    <w:rsid w:val="073E518E"/>
    <w:rsid w:val="0779354C"/>
    <w:rsid w:val="08061376"/>
    <w:rsid w:val="08314631"/>
    <w:rsid w:val="08452D77"/>
    <w:rsid w:val="086401F8"/>
    <w:rsid w:val="08751CAA"/>
    <w:rsid w:val="087E4C40"/>
    <w:rsid w:val="08A871D0"/>
    <w:rsid w:val="08C0293B"/>
    <w:rsid w:val="08D66AD6"/>
    <w:rsid w:val="08DA33A3"/>
    <w:rsid w:val="08E80F13"/>
    <w:rsid w:val="09335624"/>
    <w:rsid w:val="0944690F"/>
    <w:rsid w:val="09535675"/>
    <w:rsid w:val="095F057D"/>
    <w:rsid w:val="09642282"/>
    <w:rsid w:val="09733572"/>
    <w:rsid w:val="09772C16"/>
    <w:rsid w:val="098353B5"/>
    <w:rsid w:val="09A92330"/>
    <w:rsid w:val="09B0637B"/>
    <w:rsid w:val="09B06B87"/>
    <w:rsid w:val="09C13146"/>
    <w:rsid w:val="09E04166"/>
    <w:rsid w:val="0A1C0718"/>
    <w:rsid w:val="0A1C72DC"/>
    <w:rsid w:val="0A3E7710"/>
    <w:rsid w:val="0A5B7E63"/>
    <w:rsid w:val="0AA374A5"/>
    <w:rsid w:val="0AAB7649"/>
    <w:rsid w:val="0AB74923"/>
    <w:rsid w:val="0ABC5606"/>
    <w:rsid w:val="0AD81455"/>
    <w:rsid w:val="0AEF568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2282E"/>
    <w:rsid w:val="0DF50604"/>
    <w:rsid w:val="0DF702FE"/>
    <w:rsid w:val="0E060E51"/>
    <w:rsid w:val="0E5604B2"/>
    <w:rsid w:val="0E687D96"/>
    <w:rsid w:val="0E6D5D79"/>
    <w:rsid w:val="0E9D0089"/>
    <w:rsid w:val="0EB803EE"/>
    <w:rsid w:val="0EC22EF6"/>
    <w:rsid w:val="0ED87086"/>
    <w:rsid w:val="0EF94D4B"/>
    <w:rsid w:val="0F4958DC"/>
    <w:rsid w:val="0F515DF7"/>
    <w:rsid w:val="0F596BA8"/>
    <w:rsid w:val="0F5F2145"/>
    <w:rsid w:val="0F6248D2"/>
    <w:rsid w:val="0F693536"/>
    <w:rsid w:val="0F7B0511"/>
    <w:rsid w:val="0F7B76D9"/>
    <w:rsid w:val="0F816ACD"/>
    <w:rsid w:val="0F8C0475"/>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02878"/>
    <w:rsid w:val="129E45B4"/>
    <w:rsid w:val="12C81CDA"/>
    <w:rsid w:val="12D81596"/>
    <w:rsid w:val="13072A44"/>
    <w:rsid w:val="135F4BE2"/>
    <w:rsid w:val="139B1A0A"/>
    <w:rsid w:val="139D25C7"/>
    <w:rsid w:val="13BF3CE4"/>
    <w:rsid w:val="141008D8"/>
    <w:rsid w:val="14125FE6"/>
    <w:rsid w:val="143878F2"/>
    <w:rsid w:val="146D271E"/>
    <w:rsid w:val="14982588"/>
    <w:rsid w:val="149A5AD9"/>
    <w:rsid w:val="14A7619D"/>
    <w:rsid w:val="150536C3"/>
    <w:rsid w:val="150C1963"/>
    <w:rsid w:val="151447A0"/>
    <w:rsid w:val="154A6454"/>
    <w:rsid w:val="15762120"/>
    <w:rsid w:val="16353C00"/>
    <w:rsid w:val="168E2116"/>
    <w:rsid w:val="16A8729C"/>
    <w:rsid w:val="16B33777"/>
    <w:rsid w:val="16BC70A7"/>
    <w:rsid w:val="16C6339E"/>
    <w:rsid w:val="16D07EA3"/>
    <w:rsid w:val="172F2D79"/>
    <w:rsid w:val="17557BEF"/>
    <w:rsid w:val="17D349C1"/>
    <w:rsid w:val="17FB68D0"/>
    <w:rsid w:val="1830729E"/>
    <w:rsid w:val="1870062C"/>
    <w:rsid w:val="18817102"/>
    <w:rsid w:val="18830A15"/>
    <w:rsid w:val="18852B28"/>
    <w:rsid w:val="188B5321"/>
    <w:rsid w:val="197A30B0"/>
    <w:rsid w:val="19924EC5"/>
    <w:rsid w:val="19932372"/>
    <w:rsid w:val="19A20DD5"/>
    <w:rsid w:val="19AE03F1"/>
    <w:rsid w:val="1A071A03"/>
    <w:rsid w:val="1A1F16AE"/>
    <w:rsid w:val="1A3B5C77"/>
    <w:rsid w:val="1A984BAD"/>
    <w:rsid w:val="1AB8220E"/>
    <w:rsid w:val="1ABB48B7"/>
    <w:rsid w:val="1AE4166C"/>
    <w:rsid w:val="1AF06CFB"/>
    <w:rsid w:val="1AF11B8D"/>
    <w:rsid w:val="1B11359C"/>
    <w:rsid w:val="1B2A271F"/>
    <w:rsid w:val="1B530544"/>
    <w:rsid w:val="1B582FCD"/>
    <w:rsid w:val="1B713184"/>
    <w:rsid w:val="1BA209CF"/>
    <w:rsid w:val="1BB4777D"/>
    <w:rsid w:val="1BD75AB8"/>
    <w:rsid w:val="1C0459C2"/>
    <w:rsid w:val="1C053F8F"/>
    <w:rsid w:val="1C062F35"/>
    <w:rsid w:val="1C1B3B4A"/>
    <w:rsid w:val="1C545F51"/>
    <w:rsid w:val="1C67088B"/>
    <w:rsid w:val="1C88086E"/>
    <w:rsid w:val="1C9B40CC"/>
    <w:rsid w:val="1CD37CCF"/>
    <w:rsid w:val="1D266CE1"/>
    <w:rsid w:val="1D3963AF"/>
    <w:rsid w:val="1D594678"/>
    <w:rsid w:val="1D6A673C"/>
    <w:rsid w:val="1D9247AE"/>
    <w:rsid w:val="1DA767F2"/>
    <w:rsid w:val="1DB567EC"/>
    <w:rsid w:val="1DF51A98"/>
    <w:rsid w:val="1E3D060F"/>
    <w:rsid w:val="1E3F7D2E"/>
    <w:rsid w:val="1E4134E4"/>
    <w:rsid w:val="1E4865ED"/>
    <w:rsid w:val="1E5062B3"/>
    <w:rsid w:val="1E523514"/>
    <w:rsid w:val="1E714A66"/>
    <w:rsid w:val="1E802593"/>
    <w:rsid w:val="1E8B6156"/>
    <w:rsid w:val="1E975EC3"/>
    <w:rsid w:val="1EA703CC"/>
    <w:rsid w:val="1EB7330C"/>
    <w:rsid w:val="1EF97189"/>
    <w:rsid w:val="1F0A0FF3"/>
    <w:rsid w:val="1F4B7FF0"/>
    <w:rsid w:val="1F5771FF"/>
    <w:rsid w:val="1F8B2AE2"/>
    <w:rsid w:val="1FAD3A6F"/>
    <w:rsid w:val="1FE868A9"/>
    <w:rsid w:val="20034907"/>
    <w:rsid w:val="20173E4B"/>
    <w:rsid w:val="204E48BC"/>
    <w:rsid w:val="20634390"/>
    <w:rsid w:val="208921B3"/>
    <w:rsid w:val="20973DEB"/>
    <w:rsid w:val="20B26522"/>
    <w:rsid w:val="20B44310"/>
    <w:rsid w:val="20CE2C87"/>
    <w:rsid w:val="2110329F"/>
    <w:rsid w:val="211116EB"/>
    <w:rsid w:val="216133FC"/>
    <w:rsid w:val="21B7196D"/>
    <w:rsid w:val="21D56769"/>
    <w:rsid w:val="21E52EF3"/>
    <w:rsid w:val="21FB5D7B"/>
    <w:rsid w:val="22015E94"/>
    <w:rsid w:val="220B1C3D"/>
    <w:rsid w:val="221D1D20"/>
    <w:rsid w:val="22334A87"/>
    <w:rsid w:val="22BE6801"/>
    <w:rsid w:val="23011949"/>
    <w:rsid w:val="233500BF"/>
    <w:rsid w:val="23377FF7"/>
    <w:rsid w:val="236B425F"/>
    <w:rsid w:val="23836192"/>
    <w:rsid w:val="23901F29"/>
    <w:rsid w:val="239C0061"/>
    <w:rsid w:val="23AA6303"/>
    <w:rsid w:val="23B908A4"/>
    <w:rsid w:val="23CD5478"/>
    <w:rsid w:val="23D04F68"/>
    <w:rsid w:val="23E95BEF"/>
    <w:rsid w:val="23FD0064"/>
    <w:rsid w:val="2413377A"/>
    <w:rsid w:val="245375B0"/>
    <w:rsid w:val="245E1D27"/>
    <w:rsid w:val="24642C0A"/>
    <w:rsid w:val="249C353D"/>
    <w:rsid w:val="24B22173"/>
    <w:rsid w:val="24B95AD9"/>
    <w:rsid w:val="24BD4825"/>
    <w:rsid w:val="24BE24DA"/>
    <w:rsid w:val="24CF5825"/>
    <w:rsid w:val="24D663E6"/>
    <w:rsid w:val="24D77F2B"/>
    <w:rsid w:val="24EE1B49"/>
    <w:rsid w:val="2516108F"/>
    <w:rsid w:val="258B00E2"/>
    <w:rsid w:val="25A917A6"/>
    <w:rsid w:val="25BE27CC"/>
    <w:rsid w:val="25E05E84"/>
    <w:rsid w:val="25F74A5C"/>
    <w:rsid w:val="260826A2"/>
    <w:rsid w:val="26213859"/>
    <w:rsid w:val="2628662C"/>
    <w:rsid w:val="262D45DE"/>
    <w:rsid w:val="26311285"/>
    <w:rsid w:val="2631323A"/>
    <w:rsid w:val="26871DC8"/>
    <w:rsid w:val="26A53EF9"/>
    <w:rsid w:val="26A94201"/>
    <w:rsid w:val="26AC274F"/>
    <w:rsid w:val="27044A29"/>
    <w:rsid w:val="271D34C8"/>
    <w:rsid w:val="27426741"/>
    <w:rsid w:val="276142BF"/>
    <w:rsid w:val="27783712"/>
    <w:rsid w:val="278A18D2"/>
    <w:rsid w:val="27907362"/>
    <w:rsid w:val="28333E1D"/>
    <w:rsid w:val="28454BD6"/>
    <w:rsid w:val="28455253"/>
    <w:rsid w:val="28551971"/>
    <w:rsid w:val="285B1C53"/>
    <w:rsid w:val="289F7086"/>
    <w:rsid w:val="28B90FCE"/>
    <w:rsid w:val="28C32028"/>
    <w:rsid w:val="28CC490F"/>
    <w:rsid w:val="28DE40AA"/>
    <w:rsid w:val="28FF3C9A"/>
    <w:rsid w:val="29345E77"/>
    <w:rsid w:val="29370FFC"/>
    <w:rsid w:val="294C65AD"/>
    <w:rsid w:val="29806583"/>
    <w:rsid w:val="298B3C4C"/>
    <w:rsid w:val="29F26D24"/>
    <w:rsid w:val="2A15033F"/>
    <w:rsid w:val="2A1662C1"/>
    <w:rsid w:val="2A1C7367"/>
    <w:rsid w:val="2A2815FA"/>
    <w:rsid w:val="2A6D6092"/>
    <w:rsid w:val="2A7D76B4"/>
    <w:rsid w:val="2AD6555A"/>
    <w:rsid w:val="2B437463"/>
    <w:rsid w:val="2B7807EE"/>
    <w:rsid w:val="2B794137"/>
    <w:rsid w:val="2BA50BF7"/>
    <w:rsid w:val="2BB221A4"/>
    <w:rsid w:val="2BBF00EC"/>
    <w:rsid w:val="2BC37CFD"/>
    <w:rsid w:val="2BD5237F"/>
    <w:rsid w:val="2BE536CE"/>
    <w:rsid w:val="2BE758D9"/>
    <w:rsid w:val="2C09049E"/>
    <w:rsid w:val="2C0A653C"/>
    <w:rsid w:val="2C191F85"/>
    <w:rsid w:val="2C194BB5"/>
    <w:rsid w:val="2CAC5C02"/>
    <w:rsid w:val="2CE82D6F"/>
    <w:rsid w:val="2D343236"/>
    <w:rsid w:val="2DD15014"/>
    <w:rsid w:val="2DF72DE4"/>
    <w:rsid w:val="2E0220AF"/>
    <w:rsid w:val="2E4B082A"/>
    <w:rsid w:val="2E5D4E86"/>
    <w:rsid w:val="2E5D790B"/>
    <w:rsid w:val="2E9A3C18"/>
    <w:rsid w:val="2EBB0FEE"/>
    <w:rsid w:val="2EC63002"/>
    <w:rsid w:val="2F0A6B38"/>
    <w:rsid w:val="2F3F11F4"/>
    <w:rsid w:val="2F946CCB"/>
    <w:rsid w:val="2FD25781"/>
    <w:rsid w:val="2FD61B58"/>
    <w:rsid w:val="2FDC745C"/>
    <w:rsid w:val="2FFD7934"/>
    <w:rsid w:val="30733ACD"/>
    <w:rsid w:val="3087288E"/>
    <w:rsid w:val="308C3862"/>
    <w:rsid w:val="309379D8"/>
    <w:rsid w:val="30A270F7"/>
    <w:rsid w:val="30DF1478"/>
    <w:rsid w:val="30EC586F"/>
    <w:rsid w:val="30ED4C96"/>
    <w:rsid w:val="319C6071"/>
    <w:rsid w:val="31AC537E"/>
    <w:rsid w:val="31E3679B"/>
    <w:rsid w:val="31E732FD"/>
    <w:rsid w:val="32517576"/>
    <w:rsid w:val="32987598"/>
    <w:rsid w:val="32BE5C2C"/>
    <w:rsid w:val="32FB6478"/>
    <w:rsid w:val="33263B3F"/>
    <w:rsid w:val="336963EB"/>
    <w:rsid w:val="33816EEB"/>
    <w:rsid w:val="33D42AFB"/>
    <w:rsid w:val="33EB55CD"/>
    <w:rsid w:val="33EC4C02"/>
    <w:rsid w:val="340D2360"/>
    <w:rsid w:val="3410665D"/>
    <w:rsid w:val="34211214"/>
    <w:rsid w:val="342E63AB"/>
    <w:rsid w:val="34693317"/>
    <w:rsid w:val="34950E68"/>
    <w:rsid w:val="34986E94"/>
    <w:rsid w:val="34AF62C9"/>
    <w:rsid w:val="34CB4388"/>
    <w:rsid w:val="34DB777E"/>
    <w:rsid w:val="34F07218"/>
    <w:rsid w:val="34FA6E12"/>
    <w:rsid w:val="35335357"/>
    <w:rsid w:val="354D7158"/>
    <w:rsid w:val="358D5588"/>
    <w:rsid w:val="363A3B40"/>
    <w:rsid w:val="363F5695"/>
    <w:rsid w:val="365302AE"/>
    <w:rsid w:val="36607A0A"/>
    <w:rsid w:val="366E227C"/>
    <w:rsid w:val="366F2E0D"/>
    <w:rsid w:val="367B6A5C"/>
    <w:rsid w:val="36A74ADA"/>
    <w:rsid w:val="36AD60D5"/>
    <w:rsid w:val="36B224F9"/>
    <w:rsid w:val="36B85B13"/>
    <w:rsid w:val="36CF10AF"/>
    <w:rsid w:val="36EC0CC9"/>
    <w:rsid w:val="373F410B"/>
    <w:rsid w:val="37EE7094"/>
    <w:rsid w:val="38196A86"/>
    <w:rsid w:val="38296C89"/>
    <w:rsid w:val="383002EB"/>
    <w:rsid w:val="38382067"/>
    <w:rsid w:val="38586797"/>
    <w:rsid w:val="38BC0149"/>
    <w:rsid w:val="38C509BB"/>
    <w:rsid w:val="38D87D1C"/>
    <w:rsid w:val="38F47D12"/>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560270"/>
    <w:rsid w:val="3B5B7FF3"/>
    <w:rsid w:val="3B616CFF"/>
    <w:rsid w:val="3B6259F6"/>
    <w:rsid w:val="3B976654"/>
    <w:rsid w:val="3BA8542F"/>
    <w:rsid w:val="3BC01EFC"/>
    <w:rsid w:val="3BCA786A"/>
    <w:rsid w:val="3BD31E2F"/>
    <w:rsid w:val="3BF15831"/>
    <w:rsid w:val="3C105946"/>
    <w:rsid w:val="3C471448"/>
    <w:rsid w:val="3C5F759A"/>
    <w:rsid w:val="3C6C525A"/>
    <w:rsid w:val="3C6D55F2"/>
    <w:rsid w:val="3CCE23CB"/>
    <w:rsid w:val="3CD17D17"/>
    <w:rsid w:val="3D102ED4"/>
    <w:rsid w:val="3D2757A1"/>
    <w:rsid w:val="3D3C7F39"/>
    <w:rsid w:val="3D440F09"/>
    <w:rsid w:val="3D4504A0"/>
    <w:rsid w:val="3D8734BB"/>
    <w:rsid w:val="3D9A11D4"/>
    <w:rsid w:val="3DA16D89"/>
    <w:rsid w:val="3DA364BE"/>
    <w:rsid w:val="3DE041CB"/>
    <w:rsid w:val="3E0D48F6"/>
    <w:rsid w:val="3E1868B4"/>
    <w:rsid w:val="3E377251"/>
    <w:rsid w:val="3E42664B"/>
    <w:rsid w:val="3E5A7334"/>
    <w:rsid w:val="3E6B7393"/>
    <w:rsid w:val="3E7B5D6B"/>
    <w:rsid w:val="3E843E66"/>
    <w:rsid w:val="3E8F51FE"/>
    <w:rsid w:val="3E926F87"/>
    <w:rsid w:val="3E9A59DE"/>
    <w:rsid w:val="3EAF4836"/>
    <w:rsid w:val="3EC33DFA"/>
    <w:rsid w:val="3F060E16"/>
    <w:rsid w:val="3F1D1096"/>
    <w:rsid w:val="3F2F0234"/>
    <w:rsid w:val="3F6363FE"/>
    <w:rsid w:val="3F756B8F"/>
    <w:rsid w:val="3F95482B"/>
    <w:rsid w:val="3F993190"/>
    <w:rsid w:val="3FD24AA7"/>
    <w:rsid w:val="4019356B"/>
    <w:rsid w:val="40492224"/>
    <w:rsid w:val="40592157"/>
    <w:rsid w:val="406E1CAE"/>
    <w:rsid w:val="409706E6"/>
    <w:rsid w:val="40A0133A"/>
    <w:rsid w:val="40C31A53"/>
    <w:rsid w:val="40EF4858"/>
    <w:rsid w:val="40FF545D"/>
    <w:rsid w:val="410067C8"/>
    <w:rsid w:val="418F0D2A"/>
    <w:rsid w:val="41D01505"/>
    <w:rsid w:val="42474939"/>
    <w:rsid w:val="424C3C57"/>
    <w:rsid w:val="42613FF3"/>
    <w:rsid w:val="42660D96"/>
    <w:rsid w:val="428667D2"/>
    <w:rsid w:val="42CD1CE0"/>
    <w:rsid w:val="42E1381E"/>
    <w:rsid w:val="42ED6459"/>
    <w:rsid w:val="42FE58DD"/>
    <w:rsid w:val="43036368"/>
    <w:rsid w:val="43174B3D"/>
    <w:rsid w:val="434B790E"/>
    <w:rsid w:val="4360274F"/>
    <w:rsid w:val="43977AB6"/>
    <w:rsid w:val="43A05230"/>
    <w:rsid w:val="43A3342B"/>
    <w:rsid w:val="43C77C27"/>
    <w:rsid w:val="43DE09EE"/>
    <w:rsid w:val="44002FAD"/>
    <w:rsid w:val="44782D86"/>
    <w:rsid w:val="449101DD"/>
    <w:rsid w:val="44DE1391"/>
    <w:rsid w:val="451B225C"/>
    <w:rsid w:val="452410C9"/>
    <w:rsid w:val="45317DFB"/>
    <w:rsid w:val="456D3CE4"/>
    <w:rsid w:val="4579042C"/>
    <w:rsid w:val="45796AF2"/>
    <w:rsid w:val="457F0571"/>
    <w:rsid w:val="45851176"/>
    <w:rsid w:val="45C63B94"/>
    <w:rsid w:val="460E7DA5"/>
    <w:rsid w:val="46422483"/>
    <w:rsid w:val="4659254A"/>
    <w:rsid w:val="465B0637"/>
    <w:rsid w:val="465E3F0D"/>
    <w:rsid w:val="466A16E6"/>
    <w:rsid w:val="46893F2B"/>
    <w:rsid w:val="46C4686E"/>
    <w:rsid w:val="47142773"/>
    <w:rsid w:val="477B778F"/>
    <w:rsid w:val="478203EC"/>
    <w:rsid w:val="478C7274"/>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37D93"/>
    <w:rsid w:val="4A4424D7"/>
    <w:rsid w:val="4AB82D0F"/>
    <w:rsid w:val="4ACD0D73"/>
    <w:rsid w:val="4AEB7664"/>
    <w:rsid w:val="4AEE3DA2"/>
    <w:rsid w:val="4AFD7C19"/>
    <w:rsid w:val="4B0567D1"/>
    <w:rsid w:val="4B236AAE"/>
    <w:rsid w:val="4B315A3D"/>
    <w:rsid w:val="4B661B8A"/>
    <w:rsid w:val="4B707271"/>
    <w:rsid w:val="4B9739F7"/>
    <w:rsid w:val="4BEE2503"/>
    <w:rsid w:val="4C245A30"/>
    <w:rsid w:val="4C856040"/>
    <w:rsid w:val="4C860A9E"/>
    <w:rsid w:val="4CB6685F"/>
    <w:rsid w:val="4CB76AF1"/>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942F8"/>
    <w:rsid w:val="4F59395E"/>
    <w:rsid w:val="4F911C54"/>
    <w:rsid w:val="4FE625E0"/>
    <w:rsid w:val="5021480F"/>
    <w:rsid w:val="5057111B"/>
    <w:rsid w:val="50962ECB"/>
    <w:rsid w:val="5099655E"/>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050C9"/>
    <w:rsid w:val="53544462"/>
    <w:rsid w:val="5397158E"/>
    <w:rsid w:val="53CC09F8"/>
    <w:rsid w:val="53FA59B7"/>
    <w:rsid w:val="54013861"/>
    <w:rsid w:val="5417709A"/>
    <w:rsid w:val="54487265"/>
    <w:rsid w:val="544D6070"/>
    <w:rsid w:val="54605E1E"/>
    <w:rsid w:val="547E7F4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036AD"/>
    <w:rsid w:val="55DC29B6"/>
    <w:rsid w:val="55DD4241"/>
    <w:rsid w:val="561A3C9D"/>
    <w:rsid w:val="56414205"/>
    <w:rsid w:val="564666F4"/>
    <w:rsid w:val="566B6D1E"/>
    <w:rsid w:val="56E60023"/>
    <w:rsid w:val="57032A2C"/>
    <w:rsid w:val="570F5219"/>
    <w:rsid w:val="575D12B5"/>
    <w:rsid w:val="57610A87"/>
    <w:rsid w:val="577B1140"/>
    <w:rsid w:val="577B7F21"/>
    <w:rsid w:val="577F181B"/>
    <w:rsid w:val="57860D18"/>
    <w:rsid w:val="57921984"/>
    <w:rsid w:val="579737F0"/>
    <w:rsid w:val="57AB7B30"/>
    <w:rsid w:val="57AF5251"/>
    <w:rsid w:val="57B26373"/>
    <w:rsid w:val="57B63F04"/>
    <w:rsid w:val="57CD20C2"/>
    <w:rsid w:val="57D675AB"/>
    <w:rsid w:val="57D95FDD"/>
    <w:rsid w:val="58161256"/>
    <w:rsid w:val="58917D2F"/>
    <w:rsid w:val="5894085C"/>
    <w:rsid w:val="58AE4F0C"/>
    <w:rsid w:val="58B85899"/>
    <w:rsid w:val="58C413C9"/>
    <w:rsid w:val="58CB105E"/>
    <w:rsid w:val="58E363A9"/>
    <w:rsid w:val="59044C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55625"/>
    <w:rsid w:val="5AD63A24"/>
    <w:rsid w:val="5B046CC3"/>
    <w:rsid w:val="5B2E1A1D"/>
    <w:rsid w:val="5B512111"/>
    <w:rsid w:val="5B843A1C"/>
    <w:rsid w:val="5B873E3F"/>
    <w:rsid w:val="5BE82211"/>
    <w:rsid w:val="5BF52132"/>
    <w:rsid w:val="5BFB5AE3"/>
    <w:rsid w:val="5C02690E"/>
    <w:rsid w:val="5C196DA7"/>
    <w:rsid w:val="5C2A048C"/>
    <w:rsid w:val="5C80234E"/>
    <w:rsid w:val="5C8A680C"/>
    <w:rsid w:val="5C8D5F89"/>
    <w:rsid w:val="5CC66351"/>
    <w:rsid w:val="5D092AA9"/>
    <w:rsid w:val="5D0C4701"/>
    <w:rsid w:val="5D0F0395"/>
    <w:rsid w:val="5D221076"/>
    <w:rsid w:val="5D397964"/>
    <w:rsid w:val="5D46181B"/>
    <w:rsid w:val="5D5A391C"/>
    <w:rsid w:val="5D5F10C0"/>
    <w:rsid w:val="5D891B7B"/>
    <w:rsid w:val="5D8B38F4"/>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825C5"/>
    <w:rsid w:val="5F8D0B82"/>
    <w:rsid w:val="5FAD406B"/>
    <w:rsid w:val="5FCC5339"/>
    <w:rsid w:val="5FE34A5B"/>
    <w:rsid w:val="5FFE1E36"/>
    <w:rsid w:val="60002155"/>
    <w:rsid w:val="60232584"/>
    <w:rsid w:val="607330CE"/>
    <w:rsid w:val="60825176"/>
    <w:rsid w:val="609F2AC4"/>
    <w:rsid w:val="60B462AF"/>
    <w:rsid w:val="60B6649D"/>
    <w:rsid w:val="60EF2EBB"/>
    <w:rsid w:val="60FA2EE8"/>
    <w:rsid w:val="61054A27"/>
    <w:rsid w:val="610A52BC"/>
    <w:rsid w:val="611D2366"/>
    <w:rsid w:val="61280580"/>
    <w:rsid w:val="61421856"/>
    <w:rsid w:val="615227C4"/>
    <w:rsid w:val="61654E3F"/>
    <w:rsid w:val="6182292A"/>
    <w:rsid w:val="619F7F92"/>
    <w:rsid w:val="61C9649D"/>
    <w:rsid w:val="61D17125"/>
    <w:rsid w:val="61D84E94"/>
    <w:rsid w:val="61F94C26"/>
    <w:rsid w:val="62000E56"/>
    <w:rsid w:val="62357B32"/>
    <w:rsid w:val="624E318C"/>
    <w:rsid w:val="624F3E49"/>
    <w:rsid w:val="62632286"/>
    <w:rsid w:val="62885958"/>
    <w:rsid w:val="62D60F4C"/>
    <w:rsid w:val="62F40B65"/>
    <w:rsid w:val="62FC2CFE"/>
    <w:rsid w:val="63024505"/>
    <w:rsid w:val="635600A5"/>
    <w:rsid w:val="635B1DB5"/>
    <w:rsid w:val="63711FED"/>
    <w:rsid w:val="63880DDC"/>
    <w:rsid w:val="638D750D"/>
    <w:rsid w:val="639D7CBB"/>
    <w:rsid w:val="63AC6CC0"/>
    <w:rsid w:val="64055776"/>
    <w:rsid w:val="64240056"/>
    <w:rsid w:val="643E143A"/>
    <w:rsid w:val="64491666"/>
    <w:rsid w:val="648B6EEF"/>
    <w:rsid w:val="64C158BF"/>
    <w:rsid w:val="64CE2EAA"/>
    <w:rsid w:val="653C3090"/>
    <w:rsid w:val="65854376"/>
    <w:rsid w:val="658767BE"/>
    <w:rsid w:val="65892531"/>
    <w:rsid w:val="659F1833"/>
    <w:rsid w:val="66195831"/>
    <w:rsid w:val="662E75B1"/>
    <w:rsid w:val="66342C2E"/>
    <w:rsid w:val="663E784C"/>
    <w:rsid w:val="6653138A"/>
    <w:rsid w:val="668B6A45"/>
    <w:rsid w:val="670C6867"/>
    <w:rsid w:val="672F3F24"/>
    <w:rsid w:val="673E055F"/>
    <w:rsid w:val="67551CE3"/>
    <w:rsid w:val="67630FE2"/>
    <w:rsid w:val="67A22552"/>
    <w:rsid w:val="67B22DCC"/>
    <w:rsid w:val="67BE71AA"/>
    <w:rsid w:val="67D90273"/>
    <w:rsid w:val="67DE5875"/>
    <w:rsid w:val="67E55852"/>
    <w:rsid w:val="67EB1AB4"/>
    <w:rsid w:val="67FA1285"/>
    <w:rsid w:val="68210EBB"/>
    <w:rsid w:val="68551F4F"/>
    <w:rsid w:val="687C10C9"/>
    <w:rsid w:val="68840C16"/>
    <w:rsid w:val="68876EFB"/>
    <w:rsid w:val="68884654"/>
    <w:rsid w:val="689F444F"/>
    <w:rsid w:val="68B96DBB"/>
    <w:rsid w:val="68BA005F"/>
    <w:rsid w:val="68CA2805"/>
    <w:rsid w:val="68CE35BD"/>
    <w:rsid w:val="68E937A3"/>
    <w:rsid w:val="693E15D3"/>
    <w:rsid w:val="69627681"/>
    <w:rsid w:val="6977531D"/>
    <w:rsid w:val="69CC2BFF"/>
    <w:rsid w:val="69FD55B8"/>
    <w:rsid w:val="6A0B1C62"/>
    <w:rsid w:val="6A2406C8"/>
    <w:rsid w:val="6A5C442C"/>
    <w:rsid w:val="6A694D9B"/>
    <w:rsid w:val="6ADE0BD1"/>
    <w:rsid w:val="6AE96859"/>
    <w:rsid w:val="6B147746"/>
    <w:rsid w:val="6B207439"/>
    <w:rsid w:val="6B24787C"/>
    <w:rsid w:val="6B573233"/>
    <w:rsid w:val="6B5B6274"/>
    <w:rsid w:val="6B6C2092"/>
    <w:rsid w:val="6B935D53"/>
    <w:rsid w:val="6C050317"/>
    <w:rsid w:val="6C196F71"/>
    <w:rsid w:val="6C226FCB"/>
    <w:rsid w:val="6C2E3BA6"/>
    <w:rsid w:val="6C31226F"/>
    <w:rsid w:val="6C552F0B"/>
    <w:rsid w:val="6C8C67B7"/>
    <w:rsid w:val="6C9D744C"/>
    <w:rsid w:val="6CDE55CC"/>
    <w:rsid w:val="6D107750"/>
    <w:rsid w:val="6D167928"/>
    <w:rsid w:val="6D26299B"/>
    <w:rsid w:val="6D4772EC"/>
    <w:rsid w:val="6D9078AF"/>
    <w:rsid w:val="6DAA3FEF"/>
    <w:rsid w:val="6DC0172B"/>
    <w:rsid w:val="6DCB690C"/>
    <w:rsid w:val="6DD41A5B"/>
    <w:rsid w:val="6DD61C1B"/>
    <w:rsid w:val="6DF43C2E"/>
    <w:rsid w:val="6DF51CA3"/>
    <w:rsid w:val="6E190783"/>
    <w:rsid w:val="6E3F653F"/>
    <w:rsid w:val="6E600263"/>
    <w:rsid w:val="6E8335BD"/>
    <w:rsid w:val="6E8E12EF"/>
    <w:rsid w:val="6E972936"/>
    <w:rsid w:val="6ED446C5"/>
    <w:rsid w:val="6F006229"/>
    <w:rsid w:val="6F2A7D94"/>
    <w:rsid w:val="6F8331F1"/>
    <w:rsid w:val="6FAE1A09"/>
    <w:rsid w:val="6FD75BF8"/>
    <w:rsid w:val="6FEC2291"/>
    <w:rsid w:val="70076BE8"/>
    <w:rsid w:val="70307BE1"/>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577D6"/>
    <w:rsid w:val="731F08A5"/>
    <w:rsid w:val="73577E87"/>
    <w:rsid w:val="73C0646E"/>
    <w:rsid w:val="73EF4563"/>
    <w:rsid w:val="74200ECA"/>
    <w:rsid w:val="74213B7A"/>
    <w:rsid w:val="742222F5"/>
    <w:rsid w:val="74476126"/>
    <w:rsid w:val="74706664"/>
    <w:rsid w:val="747F3682"/>
    <w:rsid w:val="749C4185"/>
    <w:rsid w:val="74C60CCC"/>
    <w:rsid w:val="74FC6F3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E334F"/>
    <w:rsid w:val="777F31F2"/>
    <w:rsid w:val="77D1700D"/>
    <w:rsid w:val="77EC04CC"/>
    <w:rsid w:val="78775729"/>
    <w:rsid w:val="78991DB1"/>
    <w:rsid w:val="78A02FA0"/>
    <w:rsid w:val="78A42DB0"/>
    <w:rsid w:val="78A656AB"/>
    <w:rsid w:val="78B2245C"/>
    <w:rsid w:val="78E172CC"/>
    <w:rsid w:val="78EA1D1F"/>
    <w:rsid w:val="7904172F"/>
    <w:rsid w:val="790F7E27"/>
    <w:rsid w:val="792A231A"/>
    <w:rsid w:val="79316829"/>
    <w:rsid w:val="795B7FA5"/>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EE0103"/>
    <w:rsid w:val="7C0A0FE4"/>
    <w:rsid w:val="7C254906"/>
    <w:rsid w:val="7C590818"/>
    <w:rsid w:val="7C7C10F6"/>
    <w:rsid w:val="7C853BEA"/>
    <w:rsid w:val="7C881368"/>
    <w:rsid w:val="7C9537CE"/>
    <w:rsid w:val="7CE27788"/>
    <w:rsid w:val="7D0C32F1"/>
    <w:rsid w:val="7D0F408D"/>
    <w:rsid w:val="7D241C25"/>
    <w:rsid w:val="7D491C6C"/>
    <w:rsid w:val="7D5429C0"/>
    <w:rsid w:val="7D592A4D"/>
    <w:rsid w:val="7D6E6D43"/>
    <w:rsid w:val="7DAB14FB"/>
    <w:rsid w:val="7DB57A34"/>
    <w:rsid w:val="7DE60973"/>
    <w:rsid w:val="7DEF0916"/>
    <w:rsid w:val="7E1E5218"/>
    <w:rsid w:val="7E9A4E1F"/>
    <w:rsid w:val="7EA7723A"/>
    <w:rsid w:val="7EA877E8"/>
    <w:rsid w:val="7EF56FBB"/>
    <w:rsid w:val="7F0768EB"/>
    <w:rsid w:val="7F143BEC"/>
    <w:rsid w:val="7F30646B"/>
    <w:rsid w:val="7F715AF2"/>
    <w:rsid w:val="7F82003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4"/>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6"/>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1"/>
    <w:qFormat/>
    <w:uiPriority w:val="0"/>
    <w:pPr>
      <w:spacing w:before="156" w:beforeLines="50" w:after="156" w:afterLines="50" w:line="400" w:lineRule="exact"/>
    </w:pPr>
    <w:rPr>
      <w:rFonts w:ascii="宋体" w:hAnsi="Courier New"/>
      <w:sz w:val="24"/>
    </w:rPr>
  </w:style>
  <w:style w:type="paragraph" w:customStyle="1" w:styleId="965">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35063</Words>
  <Characters>37242</Characters>
  <Lines>274</Lines>
  <Paragraphs>77</Paragraphs>
  <TotalTime>0</TotalTime>
  <ScaleCrop>false</ScaleCrop>
  <LinksUpToDate>false</LinksUpToDate>
  <CharactersWithSpaces>42948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成燕</cp:lastModifiedBy>
  <cp:lastPrinted>2021-12-27T03:06:00Z</cp:lastPrinted>
  <dcterms:modified xsi:type="dcterms:W3CDTF">2023-03-21T15:30:02Z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5AD3CD3C03BC4E1DA8EB98A78F146259</vt:lpwstr>
  </property>
</Properties>
</file>