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
          <w:b/>
          <w:sz w:val="24"/>
        </w:rPr>
      </w:pPr>
    </w:p>
    <w:p>
      <w:pPr>
        <w:spacing w:line="360" w:lineRule="auto"/>
        <w:jc w:val="center"/>
        <w:rPr>
          <w:rFonts w:ascii="仿宋" w:hAnsi="仿宋" w:eastAsia="仿宋" w:cs="仿宋"/>
          <w:b/>
          <w:sz w:val="24"/>
        </w:rPr>
      </w:pPr>
    </w:p>
    <w:p>
      <w:pPr>
        <w:adjustRightInd/>
        <w:spacing w:line="360" w:lineRule="auto"/>
        <w:jc w:val="center"/>
        <w:rPr>
          <w:rFonts w:ascii="仿宋" w:hAnsi="仿宋" w:eastAsia="仿宋" w:cs="仿宋"/>
          <w:b/>
          <w:sz w:val="44"/>
          <w:szCs w:val="44"/>
        </w:rPr>
      </w:pPr>
    </w:p>
    <w:p>
      <w:pPr>
        <w:pStyle w:val="2"/>
        <w:jc w:val="center"/>
        <w:rPr>
          <w:rFonts w:ascii="仿宋" w:eastAsia="仿宋" w:cs="仿宋"/>
          <w:sz w:val="52"/>
          <w:szCs w:val="52"/>
        </w:rPr>
      </w:pPr>
      <w:r>
        <w:rPr>
          <w:rFonts w:hint="eastAsia" w:ascii="仿宋" w:eastAsia="仿宋" w:cs="仿宋"/>
          <w:sz w:val="52"/>
          <w:szCs w:val="52"/>
        </w:rPr>
        <w:t>临平区星桥中学食堂厨房设备采购</w:t>
      </w:r>
    </w:p>
    <w:p>
      <w:pPr>
        <w:adjustRightInd/>
        <w:spacing w:line="360" w:lineRule="auto"/>
        <w:jc w:val="center"/>
        <w:rPr>
          <w:rFonts w:ascii="仿宋" w:hAnsi="仿宋" w:eastAsia="仿宋" w:cs="仿宋"/>
          <w:b/>
          <w:bCs/>
          <w:sz w:val="84"/>
          <w:szCs w:val="84"/>
        </w:rPr>
      </w:pPr>
    </w:p>
    <w:p>
      <w:pPr>
        <w:adjustRightInd/>
        <w:spacing w:line="360" w:lineRule="auto"/>
        <w:jc w:val="center"/>
        <w:rPr>
          <w:rFonts w:ascii="仿宋" w:hAnsi="仿宋" w:eastAsia="仿宋" w:cs="仿宋"/>
          <w:b/>
          <w:bCs/>
          <w:sz w:val="56"/>
          <w:szCs w:val="56"/>
        </w:rPr>
      </w:pPr>
      <w:r>
        <w:rPr>
          <w:rFonts w:hint="eastAsia" w:ascii="仿宋" w:hAnsi="仿宋" w:eastAsia="仿宋" w:cs="仿宋"/>
          <w:b/>
          <w:bCs/>
          <w:sz w:val="84"/>
          <w:szCs w:val="84"/>
        </w:rPr>
        <w:t>招 标 文 件</w:t>
      </w:r>
    </w:p>
    <w:p>
      <w:pPr>
        <w:adjustRightInd/>
        <w:spacing w:line="360" w:lineRule="auto"/>
        <w:jc w:val="center"/>
        <w:rPr>
          <w:rFonts w:ascii="仿宋" w:hAnsi="仿宋" w:eastAsia="仿宋" w:cs="仿宋"/>
          <w:b/>
          <w:sz w:val="44"/>
          <w:szCs w:val="44"/>
        </w:rPr>
      </w:pPr>
      <w:r>
        <w:rPr>
          <w:rFonts w:hint="eastAsia" w:ascii="仿宋" w:hAnsi="仿宋" w:eastAsia="仿宋" w:cs="仿宋"/>
          <w:b/>
          <w:sz w:val="44"/>
          <w:szCs w:val="44"/>
        </w:rPr>
        <w:t xml:space="preserve"> （电子招投标）</w:t>
      </w:r>
    </w:p>
    <w:p>
      <w:pPr>
        <w:pStyle w:val="25"/>
        <w:ind w:firstLine="482"/>
        <w:rPr>
          <w:rFonts w:ascii="仿宋" w:hAnsi="仿宋" w:eastAsia="仿宋" w:cs="仿宋"/>
          <w:b/>
          <w:bCs/>
        </w:rPr>
      </w:pPr>
      <w:r>
        <w:rPr>
          <w:rFonts w:hint="eastAsia" w:ascii="仿宋" w:hAnsi="仿宋" w:eastAsia="仿宋" w:cs="仿宋"/>
          <w:b/>
          <w:bCs/>
        </w:rPr>
        <w:t xml:space="preserve"> </w:t>
      </w:r>
    </w:p>
    <w:p>
      <w:pPr>
        <w:snapToGrid w:val="0"/>
        <w:spacing w:line="360" w:lineRule="auto"/>
        <w:jc w:val="center"/>
        <w:rPr>
          <w:rFonts w:ascii="仿宋" w:hAnsi="仿宋" w:eastAsia="仿宋" w:cs="仿宋"/>
          <w:b/>
          <w:bCs/>
          <w:sz w:val="32"/>
          <w:szCs w:val="32"/>
        </w:rPr>
      </w:pPr>
      <w:r>
        <w:rPr>
          <w:rFonts w:hint="eastAsia" w:ascii="仿宋" w:hAnsi="仿宋" w:eastAsia="仿宋" w:cs="仿宋"/>
          <w:b/>
          <w:bCs/>
          <w:sz w:val="32"/>
          <w:szCs w:val="32"/>
        </w:rPr>
        <w:t>编号:YHZFCG2023-015</w:t>
      </w:r>
    </w:p>
    <w:p>
      <w:pPr>
        <w:snapToGrid w:val="0"/>
        <w:spacing w:line="360" w:lineRule="auto"/>
        <w:rPr>
          <w:rFonts w:ascii="仿宋" w:hAnsi="仿宋" w:eastAsia="仿宋" w:cs="仿宋"/>
          <w:b/>
          <w:bCs/>
          <w:sz w:val="30"/>
          <w:szCs w:val="30"/>
        </w:rPr>
      </w:pPr>
    </w:p>
    <w:p>
      <w:pPr>
        <w:adjustRightInd/>
        <w:spacing w:line="360" w:lineRule="auto"/>
        <w:rPr>
          <w:rFonts w:ascii="仿宋" w:hAnsi="仿宋" w:eastAsia="仿宋" w:cs="仿宋"/>
          <w:b/>
          <w:bCs/>
          <w:sz w:val="28"/>
          <w:szCs w:val="20"/>
        </w:rPr>
      </w:pPr>
    </w:p>
    <w:p>
      <w:pPr>
        <w:spacing w:line="360" w:lineRule="auto"/>
        <w:jc w:val="center"/>
        <w:rPr>
          <w:rFonts w:ascii="仿宋" w:hAnsi="仿宋" w:eastAsia="仿宋" w:cs="仿宋"/>
          <w:b/>
          <w:bCs/>
          <w:sz w:val="44"/>
          <w:szCs w:val="44"/>
        </w:rPr>
      </w:pPr>
      <w:r>
        <w:rPr>
          <w:rFonts w:hint="eastAsia" w:ascii="仿宋" w:hAnsi="仿宋" w:eastAsia="仿宋" w:cs="仿宋"/>
          <w:b/>
          <w:bCs/>
          <w:sz w:val="44"/>
          <w:szCs w:val="44"/>
        </w:rPr>
        <w:t xml:space="preserve"> </w:t>
      </w:r>
    </w:p>
    <w:p>
      <w:pPr>
        <w:spacing w:line="360" w:lineRule="auto"/>
        <w:jc w:val="center"/>
        <w:rPr>
          <w:rFonts w:ascii="仿宋" w:hAnsi="仿宋" w:eastAsia="仿宋" w:cs="仿宋"/>
          <w:b/>
          <w:bCs/>
          <w:sz w:val="24"/>
        </w:rPr>
      </w:pPr>
    </w:p>
    <w:p>
      <w:pPr>
        <w:spacing w:line="360" w:lineRule="auto"/>
        <w:rPr>
          <w:rFonts w:ascii="仿宋" w:hAnsi="仿宋" w:eastAsia="仿宋" w:cs="仿宋"/>
          <w:b/>
          <w:bCs/>
          <w:sz w:val="32"/>
          <w:szCs w:val="32"/>
        </w:rPr>
      </w:pPr>
    </w:p>
    <w:p>
      <w:pPr>
        <w:shd w:val="clear" w:color="auto" w:fill="FFFFFF"/>
        <w:snapToGrid w:val="0"/>
        <w:spacing w:line="360" w:lineRule="auto"/>
        <w:ind w:firstLine="425"/>
        <w:jc w:val="center"/>
        <w:textAlignment w:val="bottom"/>
        <w:rPr>
          <w:rFonts w:ascii="仿宋" w:hAnsi="仿宋" w:eastAsia="仿宋" w:cs="仿宋"/>
          <w:b/>
          <w:bCs/>
          <w:sz w:val="32"/>
          <w:szCs w:val="32"/>
        </w:rPr>
      </w:pPr>
      <w:r>
        <w:rPr>
          <w:rFonts w:hint="eastAsia" w:ascii="仿宋" w:hAnsi="仿宋" w:eastAsia="仿宋" w:cs="仿宋"/>
          <w:b/>
          <w:bCs/>
          <w:sz w:val="32"/>
          <w:szCs w:val="32"/>
        </w:rPr>
        <w:t>采购人： 杭州市临平区星桥中学</w:t>
      </w:r>
    </w:p>
    <w:p>
      <w:pPr>
        <w:shd w:val="clear" w:color="auto" w:fill="FFFFFF"/>
        <w:snapToGrid w:val="0"/>
        <w:spacing w:line="360" w:lineRule="auto"/>
        <w:ind w:firstLine="2249" w:firstLineChars="700"/>
        <w:textAlignment w:val="bottom"/>
        <w:rPr>
          <w:rFonts w:ascii="仿宋" w:hAnsi="仿宋" w:eastAsia="仿宋" w:cs="仿宋"/>
          <w:b/>
          <w:bCs/>
          <w:sz w:val="32"/>
          <w:szCs w:val="32"/>
        </w:rPr>
      </w:pPr>
      <w:r>
        <w:rPr>
          <w:rFonts w:hint="eastAsia" w:ascii="仿宋" w:hAnsi="仿宋" w:eastAsia="仿宋" w:cs="仿宋"/>
          <w:b/>
          <w:bCs/>
          <w:sz w:val="32"/>
          <w:szCs w:val="32"/>
        </w:rPr>
        <w:t>采购代理机构：耀华建设管理有限公司</w:t>
      </w:r>
    </w:p>
    <w:p>
      <w:pPr>
        <w:shd w:val="clear" w:color="auto" w:fill="FFFFFF"/>
        <w:snapToGrid w:val="0"/>
        <w:spacing w:line="360" w:lineRule="auto"/>
        <w:ind w:firstLine="2891" w:firstLineChars="900"/>
        <w:textAlignment w:val="bottom"/>
        <w:rPr>
          <w:rFonts w:ascii="仿宋" w:hAnsi="仿宋" w:eastAsia="仿宋" w:cs="仿宋"/>
          <w:b/>
          <w:bCs/>
          <w:sz w:val="32"/>
          <w:szCs w:val="32"/>
        </w:rPr>
      </w:pPr>
      <w:r>
        <w:rPr>
          <w:rFonts w:hint="eastAsia" w:ascii="仿宋" w:hAnsi="仿宋" w:eastAsia="仿宋" w:cs="仿宋"/>
          <w:b/>
          <w:bCs/>
          <w:sz w:val="32"/>
          <w:szCs w:val="32"/>
        </w:rPr>
        <w:t>二〇二三年</w:t>
      </w:r>
      <w:r>
        <w:rPr>
          <w:rFonts w:hint="eastAsia" w:ascii="仿宋" w:hAnsi="仿宋" w:eastAsia="仿宋" w:cs="仿宋"/>
          <w:b/>
          <w:bCs/>
          <w:sz w:val="32"/>
          <w:szCs w:val="32"/>
          <w:lang w:val="en-US" w:eastAsia="zh-CN"/>
        </w:rPr>
        <w:t xml:space="preserve"> 二 </w:t>
      </w:r>
      <w:r>
        <w:rPr>
          <w:rFonts w:hint="eastAsia" w:ascii="仿宋" w:hAnsi="仿宋" w:eastAsia="仿宋" w:cs="仿宋"/>
          <w:b/>
          <w:bCs/>
          <w:sz w:val="32"/>
          <w:szCs w:val="32"/>
        </w:rPr>
        <w:t>月</w:t>
      </w:r>
      <w:r>
        <w:rPr>
          <w:rFonts w:hint="eastAsia" w:ascii="仿宋" w:hAnsi="仿宋" w:eastAsia="仿宋" w:cs="仿宋"/>
          <w:b/>
          <w:bCs/>
          <w:sz w:val="32"/>
          <w:szCs w:val="32"/>
          <w:lang w:val="en-US" w:eastAsia="zh-CN"/>
        </w:rPr>
        <w:t xml:space="preserve"> 十六 </w:t>
      </w:r>
      <w:r>
        <w:rPr>
          <w:rFonts w:hint="eastAsia" w:ascii="仿宋" w:hAnsi="仿宋" w:eastAsia="仿宋" w:cs="仿宋"/>
          <w:b/>
          <w:bCs/>
          <w:sz w:val="32"/>
          <w:szCs w:val="32"/>
        </w:rPr>
        <w:t>日</w:t>
      </w:r>
    </w:p>
    <w:p>
      <w:pPr>
        <w:spacing w:line="360" w:lineRule="auto"/>
        <w:jc w:val="center"/>
        <w:rPr>
          <w:rFonts w:ascii="仿宋" w:hAnsi="仿宋" w:eastAsia="仿宋" w:cs="仿宋"/>
          <w:sz w:val="24"/>
        </w:rPr>
      </w:pPr>
      <w:r>
        <w:rPr>
          <w:rFonts w:hint="eastAsia" w:ascii="仿宋" w:hAnsi="仿宋" w:eastAsia="仿宋" w:cs="仿宋"/>
          <w:sz w:val="24"/>
        </w:rPr>
        <w:br w:type="page"/>
      </w:r>
      <w:bookmarkStart w:id="0" w:name="_Hlt67893495"/>
      <w:bookmarkEnd w:id="0"/>
    </w:p>
    <w:p>
      <w:pPr>
        <w:spacing w:line="360" w:lineRule="auto"/>
        <w:jc w:val="center"/>
        <w:rPr>
          <w:rFonts w:ascii="仿宋" w:hAnsi="仿宋" w:eastAsia="仿宋" w:cs="仿宋"/>
          <w:sz w:val="24"/>
        </w:rPr>
      </w:pPr>
    </w:p>
    <w:p>
      <w:pPr>
        <w:spacing w:line="360" w:lineRule="auto"/>
        <w:jc w:val="center"/>
        <w:rPr>
          <w:rFonts w:ascii="仿宋" w:hAnsi="仿宋" w:eastAsia="仿宋" w:cs="仿宋"/>
          <w:b/>
          <w:sz w:val="48"/>
          <w:szCs w:val="48"/>
        </w:rPr>
      </w:pPr>
      <w:r>
        <w:rPr>
          <w:rFonts w:hint="eastAsia" w:ascii="仿宋" w:hAnsi="仿宋" w:eastAsia="仿宋" w:cs="仿宋"/>
          <w:b/>
          <w:sz w:val="48"/>
          <w:szCs w:val="48"/>
        </w:rPr>
        <w:t>目  录</w:t>
      </w:r>
    </w:p>
    <w:p>
      <w:pPr>
        <w:spacing w:line="360" w:lineRule="auto"/>
        <w:rPr>
          <w:rFonts w:ascii="仿宋" w:hAnsi="仿宋" w:eastAsia="仿宋" w:cs="仿宋"/>
          <w:sz w:val="32"/>
          <w:szCs w:val="32"/>
        </w:rPr>
      </w:pPr>
    </w:p>
    <w:p>
      <w:pPr>
        <w:spacing w:line="360" w:lineRule="auto"/>
        <w:rPr>
          <w:rFonts w:ascii="仿宋" w:hAnsi="仿宋" w:eastAsia="仿宋" w:cs="仿宋"/>
          <w:sz w:val="32"/>
          <w:szCs w:val="32"/>
        </w:rPr>
      </w:pPr>
    </w:p>
    <w:p>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第一部分      招标公告</w:t>
      </w:r>
    </w:p>
    <w:p>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第二部分      投标人须知</w:t>
      </w:r>
    </w:p>
    <w:p>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第三部分      采购需求</w:t>
      </w:r>
    </w:p>
    <w:p>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第四部分      评标办法</w:t>
      </w:r>
    </w:p>
    <w:p>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第五部分      拟签订的合同文本</w:t>
      </w:r>
    </w:p>
    <w:p>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第六部分      应提交的有关格式范例</w:t>
      </w:r>
    </w:p>
    <w:p>
      <w:pPr>
        <w:spacing w:line="360" w:lineRule="auto"/>
        <w:ind w:firstLine="549" w:firstLineChars="229"/>
        <w:rPr>
          <w:rFonts w:ascii="仿宋" w:hAnsi="仿宋" w:eastAsia="仿宋" w:cs="仿宋"/>
          <w:sz w:val="24"/>
        </w:rPr>
      </w:pPr>
      <w:bookmarkStart w:id="1" w:name="_Hlt91233176"/>
      <w:bookmarkEnd w:id="1"/>
      <w:bookmarkStart w:id="2" w:name="_Toc91899869"/>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ind w:firstLine="549" w:firstLineChars="229"/>
        <w:rPr>
          <w:rFonts w:ascii="仿宋" w:hAnsi="仿宋" w:eastAsia="仿宋" w:cs="仿宋"/>
          <w:sz w:val="24"/>
        </w:rPr>
      </w:pPr>
    </w:p>
    <w:p>
      <w:pPr>
        <w:spacing w:line="360" w:lineRule="auto"/>
        <w:rPr>
          <w:rFonts w:ascii="仿宋" w:hAnsi="仿宋" w:eastAsia="仿宋" w:cs="仿宋"/>
          <w:sz w:val="24"/>
        </w:rPr>
      </w:pPr>
    </w:p>
    <w:p>
      <w:pPr>
        <w:adjustRightInd/>
        <w:spacing w:line="360" w:lineRule="auto"/>
        <w:jc w:val="center"/>
        <w:outlineLvl w:val="0"/>
        <w:rPr>
          <w:rFonts w:ascii="仿宋" w:hAnsi="仿宋" w:eastAsia="仿宋" w:cs="仿宋"/>
          <w:b/>
          <w:sz w:val="36"/>
          <w:szCs w:val="20"/>
        </w:rPr>
      </w:pPr>
      <w:bookmarkStart w:id="3" w:name="第一部分"/>
      <w:r>
        <w:rPr>
          <w:rFonts w:hint="eastAsia" w:ascii="仿宋" w:hAnsi="仿宋" w:eastAsia="仿宋" w:cs="仿宋"/>
          <w:b/>
          <w:sz w:val="36"/>
          <w:szCs w:val="36"/>
        </w:rPr>
        <w:br w:type="page"/>
      </w:r>
      <w:bookmarkEnd w:id="2"/>
      <w:bookmarkEnd w:id="3"/>
      <w:bookmarkStart w:id="4" w:name="_Hlt74729822"/>
      <w:bookmarkEnd w:id="4"/>
      <w:bookmarkStart w:id="5" w:name="_Hlt74728647"/>
      <w:bookmarkEnd w:id="5"/>
      <w:bookmarkStart w:id="6" w:name="_Hlt74707423"/>
      <w:bookmarkEnd w:id="6"/>
      <w:bookmarkStart w:id="7" w:name="_Hlt74649545"/>
      <w:bookmarkEnd w:id="7"/>
      <w:bookmarkStart w:id="8" w:name="第二部分"/>
      <w:bookmarkStart w:id="9" w:name="_Toc91899870"/>
      <w:bookmarkStart w:id="10" w:name="_Toc91899871"/>
      <w:r>
        <w:rPr>
          <w:rFonts w:hint="eastAsia" w:ascii="仿宋" w:hAnsi="仿宋" w:eastAsia="仿宋" w:cs="仿宋"/>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sz w:val="24"/>
        </w:rPr>
      </w:pPr>
      <w:r>
        <w:rPr>
          <w:rFonts w:hint="eastAsia" w:ascii="仿宋" w:hAnsi="仿宋" w:eastAsia="仿宋" w:cs="仿宋"/>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sz w:val="24"/>
          <w:u w:val="single"/>
        </w:rPr>
      </w:pPr>
      <w:r>
        <w:rPr>
          <w:rFonts w:hint="eastAsia" w:ascii="仿宋" w:hAnsi="仿宋" w:eastAsia="仿宋" w:cs="仿宋"/>
          <w:sz w:val="24"/>
          <w:u w:val="single"/>
        </w:rPr>
        <w:t>（临平区星桥中学食堂厨房设备采购）</w:t>
      </w:r>
      <w:r>
        <w:rPr>
          <w:rFonts w:hint="eastAsia" w:ascii="仿宋" w:hAnsi="仿宋" w:eastAsia="仿宋" w:cs="仿宋"/>
          <w:sz w:val="24"/>
        </w:rPr>
        <w:t>招标项目的潜在投标人应在政采云平台（</w:t>
      </w:r>
      <w:r>
        <w:fldChar w:fldCharType="begin"/>
      </w:r>
      <w:r>
        <w:instrText xml:space="preserve"> HYPERLINK "https://www.zcygov.cn/）获取（下载）招标文件，并于2021年" </w:instrText>
      </w:r>
      <w:r>
        <w:fldChar w:fldCharType="separate"/>
      </w:r>
      <w:r>
        <w:rPr>
          <w:rStyle w:val="77"/>
          <w:rFonts w:hint="eastAsia" w:ascii="仿宋" w:hAnsi="仿宋" w:eastAsia="仿宋" w:cs="仿宋"/>
          <w:color w:val="auto"/>
          <w:kern w:val="2"/>
          <w:sz w:val="24"/>
          <w:szCs w:val="24"/>
        </w:rPr>
        <w:t>https://www.zcygov.cn/）获取（下载）招标文件，并于</w:t>
      </w:r>
      <w:r>
        <w:rPr>
          <w:rFonts w:hint="eastAsia" w:ascii="仿宋" w:hAnsi="仿宋" w:eastAsia="仿宋" w:cs="仿宋"/>
          <w:sz w:val="24"/>
          <w:u w:val="single"/>
        </w:rPr>
        <w:t>2023年</w:t>
      </w:r>
      <w:r>
        <w:rPr>
          <w:rFonts w:hint="eastAsia" w:ascii="仿宋" w:hAnsi="仿宋" w:eastAsia="仿宋" w:cs="仿宋"/>
          <w:sz w:val="24"/>
          <w:u w:val="single"/>
          <w:lang w:val="en-US" w:eastAsia="zh-CN"/>
        </w:rPr>
        <w:t>03</w:t>
      </w:r>
      <w:r>
        <w:rPr>
          <w:rFonts w:hint="eastAsia" w:ascii="仿宋" w:hAnsi="仿宋" w:eastAsia="仿宋" w:cs="仿宋"/>
          <w:sz w:val="24"/>
          <w:u w:val="single"/>
        </w:rPr>
        <w:t>月</w:t>
      </w:r>
      <w:r>
        <w:rPr>
          <w:rFonts w:hint="eastAsia" w:ascii="仿宋" w:hAnsi="仿宋" w:eastAsia="仿宋" w:cs="仿宋"/>
          <w:sz w:val="24"/>
          <w:u w:val="single"/>
          <w:lang w:val="en-US" w:eastAsia="zh-CN"/>
        </w:rPr>
        <w:t>10</w:t>
      </w:r>
      <w:r>
        <w:rPr>
          <w:rFonts w:hint="eastAsia" w:ascii="仿宋" w:hAnsi="仿宋" w:eastAsia="仿宋" w:cs="仿宋"/>
          <w:sz w:val="24"/>
          <w:u w:val="single"/>
        </w:rPr>
        <w:t>日</w:t>
      </w:r>
      <w:r>
        <w:rPr>
          <w:rFonts w:hint="eastAsia" w:ascii="仿宋" w:hAnsi="仿宋" w:eastAsia="仿宋" w:cs="仿宋"/>
          <w:sz w:val="24"/>
          <w:u w:val="single"/>
          <w:lang w:val="en-US" w:eastAsia="zh-CN"/>
        </w:rPr>
        <w:t>14</w:t>
      </w:r>
      <w:r>
        <w:rPr>
          <w:rFonts w:hint="eastAsia" w:ascii="仿宋" w:hAnsi="仿宋" w:eastAsia="仿宋" w:cs="仿宋"/>
          <w:sz w:val="24"/>
          <w:u w:val="single"/>
        </w:rPr>
        <w:t>点</w:t>
      </w:r>
      <w:r>
        <w:rPr>
          <w:rFonts w:hint="eastAsia" w:ascii="仿宋" w:hAnsi="仿宋" w:eastAsia="仿宋" w:cs="仿宋"/>
          <w:sz w:val="24"/>
          <w:u w:val="single"/>
          <w:lang w:val="en-US" w:eastAsia="zh-CN"/>
        </w:rPr>
        <w:t>00</w:t>
      </w:r>
      <w:r>
        <w:rPr>
          <w:rFonts w:hint="eastAsia" w:ascii="仿宋" w:hAnsi="仿宋" w:eastAsia="仿宋" w:cs="仿宋"/>
          <w:sz w:val="24"/>
          <w:u w:val="single"/>
        </w:rPr>
        <w:t>分</w:t>
      </w:r>
      <w:r>
        <w:rPr>
          <w:rFonts w:hint="eastAsia" w:ascii="仿宋" w:hAnsi="仿宋" w:eastAsia="仿宋" w:cs="仿宋"/>
          <w:bCs/>
          <w:sz w:val="24"/>
          <w:u w:val="single"/>
        </w:rPr>
        <w:t>00秒</w:t>
      </w:r>
      <w:r>
        <w:rPr>
          <w:rFonts w:hint="eastAsia" w:ascii="仿宋" w:hAnsi="仿宋" w:eastAsia="仿宋" w:cs="仿宋"/>
          <w:bCs/>
          <w:sz w:val="24"/>
          <w:u w:val="single"/>
        </w:rPr>
        <w:fldChar w:fldCharType="end"/>
      </w:r>
      <w:r>
        <w:rPr>
          <w:rFonts w:hint="eastAsia" w:ascii="仿宋" w:hAnsi="仿宋" w:eastAsia="仿宋" w:cs="仿宋"/>
          <w:bCs/>
          <w:sz w:val="24"/>
        </w:rPr>
        <w:t>（北京时间）前</w:t>
      </w:r>
      <w:r>
        <w:rPr>
          <w:rFonts w:hint="eastAsia" w:ascii="仿宋" w:hAnsi="仿宋" w:eastAsia="仿宋" w:cs="仿宋"/>
          <w:sz w:val="24"/>
        </w:rPr>
        <w:t>递交（上传）投标文件。</w:t>
      </w:r>
    </w:p>
    <w:p>
      <w:pPr>
        <w:spacing w:line="360" w:lineRule="auto"/>
        <w:rPr>
          <w:rFonts w:ascii="仿宋" w:hAnsi="仿宋" w:eastAsia="仿宋" w:cs="仿宋"/>
          <w:b/>
          <w:sz w:val="24"/>
        </w:rPr>
      </w:pPr>
      <w:r>
        <w:rPr>
          <w:rFonts w:hint="eastAsia" w:ascii="仿宋" w:hAnsi="仿宋" w:eastAsia="仿宋" w:cs="仿宋"/>
          <w:b/>
          <w:sz w:val="24"/>
        </w:rPr>
        <w:t xml:space="preserve">一、项目基本情况                                            </w:t>
      </w:r>
    </w:p>
    <w:p>
      <w:pPr>
        <w:spacing w:line="360" w:lineRule="auto"/>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sz w:val="24"/>
        </w:rPr>
        <w:t>项目编号：</w:t>
      </w:r>
      <w:r>
        <w:rPr>
          <w:rFonts w:hint="eastAsia" w:ascii="仿宋" w:hAnsi="仿宋" w:eastAsia="仿宋" w:cs="仿宋"/>
          <w:sz w:val="24"/>
        </w:rPr>
        <w:t>YHZFCG2023-015</w:t>
      </w:r>
    </w:p>
    <w:p>
      <w:pPr>
        <w:spacing w:line="360" w:lineRule="auto"/>
        <w:ind w:firstLine="480"/>
        <w:rPr>
          <w:rFonts w:ascii="仿宋" w:hAnsi="仿宋" w:eastAsia="仿宋" w:cs="仿宋"/>
          <w:sz w:val="24"/>
        </w:rPr>
      </w:pPr>
      <w:r>
        <w:rPr>
          <w:rFonts w:hint="eastAsia" w:ascii="仿宋" w:hAnsi="仿宋" w:eastAsia="仿宋" w:cs="仿宋"/>
          <w:b/>
          <w:sz w:val="24"/>
        </w:rPr>
        <w:t>项目名称：</w:t>
      </w:r>
      <w:r>
        <w:rPr>
          <w:rFonts w:hint="eastAsia" w:ascii="仿宋" w:hAnsi="仿宋" w:eastAsia="仿宋" w:cs="仿宋"/>
          <w:sz w:val="24"/>
        </w:rPr>
        <w:t xml:space="preserve">临平区星桥中学食堂厨房设备采购  </w:t>
      </w:r>
    </w:p>
    <w:p>
      <w:pPr>
        <w:spacing w:line="360" w:lineRule="auto"/>
        <w:ind w:firstLine="480"/>
        <w:rPr>
          <w:rFonts w:ascii="仿宋" w:hAnsi="仿宋" w:eastAsia="仿宋" w:cs="仿宋"/>
          <w:sz w:val="24"/>
        </w:rPr>
      </w:pPr>
      <w:r>
        <w:rPr>
          <w:rFonts w:hint="eastAsia" w:ascii="仿宋" w:hAnsi="仿宋" w:eastAsia="仿宋" w:cs="仿宋"/>
          <w:b/>
          <w:sz w:val="24"/>
        </w:rPr>
        <w:t>预算金额（元）：2830000.00；</w:t>
      </w:r>
    </w:p>
    <w:p>
      <w:pPr>
        <w:spacing w:line="360" w:lineRule="auto"/>
        <w:ind w:firstLine="480"/>
        <w:rPr>
          <w:rFonts w:ascii="仿宋" w:hAnsi="仿宋" w:eastAsia="仿宋" w:cs="仿宋"/>
          <w:sz w:val="24"/>
        </w:rPr>
      </w:pPr>
      <w:r>
        <w:rPr>
          <w:rFonts w:hint="eastAsia" w:ascii="仿宋" w:hAnsi="仿宋" w:eastAsia="仿宋" w:cs="仿宋"/>
          <w:b/>
          <w:sz w:val="24"/>
        </w:rPr>
        <w:t>最高限价（元）：2830000.00</w:t>
      </w:r>
      <w:r>
        <w:rPr>
          <w:rFonts w:hint="eastAsia" w:ascii="仿宋" w:hAnsi="仿宋" w:eastAsia="仿宋" w:cs="仿宋"/>
          <w:sz w:val="24"/>
        </w:rPr>
        <w:t>；</w:t>
      </w:r>
    </w:p>
    <w:p>
      <w:pPr>
        <w:pStyle w:val="15"/>
        <w:spacing w:line="360" w:lineRule="auto"/>
        <w:ind w:firstLine="480"/>
        <w:rPr>
          <w:rFonts w:ascii="仿宋" w:hAnsi="仿宋" w:eastAsia="仿宋" w:cs="仿宋"/>
          <w:b/>
          <w:color w:val="auto"/>
          <w:kern w:val="2"/>
          <w:sz w:val="24"/>
          <w:szCs w:val="24"/>
        </w:rPr>
      </w:pPr>
      <w:r>
        <w:rPr>
          <w:rFonts w:hint="eastAsia" w:ascii="仿宋" w:hAnsi="仿宋" w:eastAsia="仿宋" w:cs="仿宋"/>
          <w:b/>
          <w:color w:val="auto"/>
          <w:sz w:val="24"/>
        </w:rPr>
        <w:t>采购需求：</w:t>
      </w:r>
      <w:r>
        <w:rPr>
          <w:rFonts w:hint="eastAsia" w:ascii="仿宋" w:hAnsi="仿宋" w:eastAsia="仿宋" w:cs="仿宋"/>
          <w:bCs/>
          <w:color w:val="auto"/>
          <w:kern w:val="2"/>
          <w:sz w:val="24"/>
          <w:szCs w:val="24"/>
        </w:rPr>
        <w:t>临平区星桥中学食堂厨房设备采购</w:t>
      </w:r>
      <w:r>
        <w:rPr>
          <w:rFonts w:hint="eastAsia" w:ascii="仿宋" w:hAnsi="仿宋" w:eastAsia="仿宋" w:cs="仿宋"/>
          <w:sz w:val="24"/>
        </w:rPr>
        <w:t>，</w:t>
      </w:r>
      <w:r>
        <w:rPr>
          <w:rFonts w:hint="eastAsia" w:ascii="仿宋" w:hAnsi="仿宋" w:eastAsia="仿宋" w:cs="仿宋"/>
          <w:b/>
          <w:color w:val="auto"/>
          <w:kern w:val="2"/>
          <w:sz w:val="24"/>
          <w:szCs w:val="24"/>
        </w:rPr>
        <w:t>具体内容和相关要求详见招标文件“第三部分 采购需求”。</w:t>
      </w:r>
    </w:p>
    <w:p>
      <w:pPr>
        <w:pStyle w:val="15"/>
        <w:spacing w:line="360" w:lineRule="auto"/>
        <w:ind w:firstLine="480"/>
        <w:rPr>
          <w:rFonts w:ascii="仿宋" w:hAnsi="仿宋" w:eastAsia="仿宋" w:cs="仿宋"/>
          <w:bCs/>
        </w:rPr>
      </w:pPr>
      <w:r>
        <w:rPr>
          <w:rFonts w:hint="eastAsia" w:ascii="仿宋" w:hAnsi="仿宋" w:eastAsia="仿宋" w:cs="仿宋"/>
          <w:b/>
          <w:color w:val="auto"/>
          <w:sz w:val="24"/>
        </w:rPr>
        <w:t>项目名称:</w:t>
      </w:r>
      <w:r>
        <w:rPr>
          <w:rFonts w:hint="eastAsia" w:ascii="仿宋" w:hAnsi="仿宋" w:eastAsia="仿宋" w:cs="仿宋"/>
          <w:sz w:val="24"/>
        </w:rPr>
        <w:t>临平区星桥中学食堂厨房设备采购</w:t>
      </w:r>
    </w:p>
    <w:p>
      <w:pPr>
        <w:pStyle w:val="94"/>
        <w:spacing w:before="0"/>
        <w:ind w:left="479" w:leftChars="228" w:firstLine="0" w:firstLineChars="0"/>
        <w:outlineLvl w:val="2"/>
        <w:rPr>
          <w:rFonts w:ascii="仿宋" w:hAnsi="仿宋" w:eastAsia="仿宋" w:cs="仿宋"/>
          <w:b/>
        </w:rPr>
      </w:pPr>
      <w:r>
        <w:rPr>
          <w:rFonts w:hint="eastAsia" w:ascii="仿宋" w:hAnsi="仿宋" w:eastAsia="仿宋" w:cs="仿宋"/>
          <w:b/>
        </w:rPr>
        <w:t>预算金额（元）:2830000.00元 ；</w:t>
      </w:r>
    </w:p>
    <w:p>
      <w:pPr>
        <w:pStyle w:val="94"/>
        <w:spacing w:before="0"/>
        <w:ind w:firstLine="482"/>
        <w:outlineLvl w:val="2"/>
        <w:rPr>
          <w:rFonts w:ascii="仿宋" w:hAnsi="仿宋" w:eastAsia="仿宋" w:cs="仿宋"/>
          <w:b/>
        </w:rPr>
      </w:pPr>
      <w:r>
        <w:rPr>
          <w:rFonts w:hint="eastAsia" w:ascii="仿宋" w:hAnsi="仿宋" w:eastAsia="仿宋" w:cs="仿宋"/>
          <w:b/>
        </w:rPr>
        <w:t>简要规格描述或项目基本概况介绍、用途：</w:t>
      </w:r>
      <w:r>
        <w:rPr>
          <w:rFonts w:hint="eastAsia" w:ascii="仿宋" w:hAnsi="仿宋" w:eastAsia="仿宋" w:cs="仿宋"/>
          <w:bCs/>
        </w:rPr>
        <w:t>具体内容和相关要求详见招标文件“第三部分 采购需求”。</w:t>
      </w:r>
    </w:p>
    <w:p>
      <w:pPr>
        <w:pStyle w:val="34"/>
        <w:snapToGrid w:val="0"/>
        <w:ind w:firstLine="482" w:firstLineChars="200"/>
        <w:rPr>
          <w:rFonts w:ascii="仿宋" w:hAnsi="仿宋" w:eastAsia="仿宋" w:cs="仿宋"/>
          <w:b/>
          <w:snapToGrid/>
          <w:sz w:val="24"/>
          <w:szCs w:val="20"/>
        </w:rPr>
      </w:pPr>
      <w:r>
        <w:rPr>
          <w:rFonts w:hint="eastAsia" w:ascii="仿宋" w:hAnsi="仿宋" w:eastAsia="仿宋" w:cs="仿宋"/>
          <w:b/>
          <w:snapToGrid/>
          <w:sz w:val="24"/>
          <w:szCs w:val="20"/>
        </w:rPr>
        <w:t>工期要求：配合项目施工总体进度要求30个日历天完成送货、安装调试。</w:t>
      </w:r>
    </w:p>
    <w:p>
      <w:pPr>
        <w:pStyle w:val="94"/>
        <w:spacing w:before="0"/>
        <w:ind w:firstLine="482"/>
        <w:outlineLvl w:val="2"/>
        <w:rPr>
          <w:rFonts w:ascii="仿宋" w:hAnsi="仿宋" w:eastAsia="仿宋" w:cs="仿宋"/>
          <w:b/>
        </w:rPr>
      </w:pPr>
      <w:r>
        <w:rPr>
          <w:rFonts w:hint="eastAsia" w:ascii="仿宋" w:hAnsi="仿宋" w:eastAsia="仿宋" w:cs="仿宋"/>
          <w:b/>
        </w:rPr>
        <w:t>本项目接受联合体投标：</w:t>
      </w:r>
      <w:r>
        <w:rPr>
          <w:rFonts w:hint="eastAsia" w:ascii="仿宋" w:hAnsi="仿宋" w:eastAsia="仿宋" w:cs="仿宋"/>
          <w:kern w:val="0"/>
        </w:rPr>
        <w:sym w:font="Wingdings" w:char="00FE"/>
      </w:r>
      <w:r>
        <w:rPr>
          <w:rFonts w:hint="eastAsia" w:ascii="仿宋" w:hAnsi="仿宋" w:eastAsia="仿宋" w:cs="仿宋"/>
          <w:b/>
        </w:rPr>
        <w:t>是，</w:t>
      </w:r>
      <w:r>
        <w:rPr>
          <w:rFonts w:hint="eastAsia" w:ascii="仿宋" w:hAnsi="仿宋" w:eastAsia="仿宋" w:cs="仿宋"/>
          <w:kern w:val="0"/>
        </w:rPr>
        <w:sym w:font="Wingdings" w:char="00A8"/>
      </w:r>
      <w:r>
        <w:rPr>
          <w:rFonts w:hint="eastAsia" w:ascii="仿宋" w:hAnsi="仿宋" w:eastAsia="仿宋" w:cs="仿宋"/>
          <w:b/>
        </w:rPr>
        <w:t>否</w:t>
      </w:r>
      <w:r>
        <w:rPr>
          <w:rFonts w:hint="eastAsia" w:ascii="仿宋" w:hAnsi="仿宋" w:eastAsia="仿宋" w:cs="仿宋"/>
          <w:kern w:val="0"/>
        </w:rPr>
        <w:t>。</w:t>
      </w:r>
    </w:p>
    <w:p>
      <w:pPr>
        <w:spacing w:line="360" w:lineRule="auto"/>
        <w:rPr>
          <w:rFonts w:ascii="仿宋" w:hAnsi="仿宋" w:eastAsia="仿宋" w:cs="仿宋"/>
          <w:b/>
          <w:sz w:val="24"/>
        </w:rPr>
      </w:pPr>
      <w:r>
        <w:rPr>
          <w:rFonts w:hint="eastAsia" w:ascii="仿宋" w:hAnsi="仿宋" w:eastAsia="仿宋" w:cs="仿宋"/>
          <w:b/>
          <w:sz w:val="24"/>
        </w:rPr>
        <w:t>二、申请人的资格要求：</w:t>
      </w:r>
    </w:p>
    <w:p>
      <w:pPr>
        <w:spacing w:line="360" w:lineRule="auto"/>
        <w:ind w:firstLine="480"/>
        <w:rPr>
          <w:rFonts w:ascii="仿宋" w:hAnsi="仿宋" w:eastAsia="仿宋" w:cs="仿宋"/>
          <w:snapToGrid w:val="0"/>
          <w:kern w:val="28"/>
          <w:sz w:val="24"/>
          <w:szCs w:val="20"/>
        </w:rPr>
      </w:pPr>
      <w:r>
        <w:rPr>
          <w:rFonts w:hint="eastAsia" w:ascii="仿宋" w:hAnsi="仿宋" w:eastAsia="仿宋" w:cs="仿宋"/>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仿宋" w:hAnsi="仿宋" w:eastAsia="仿宋" w:cs="仿宋"/>
          <w:snapToGrid w:val="0"/>
          <w:kern w:val="28"/>
          <w:sz w:val="24"/>
          <w:szCs w:val="20"/>
        </w:rPr>
      </w:pPr>
      <w:r>
        <w:rPr>
          <w:rFonts w:hint="eastAsia" w:ascii="仿宋" w:hAnsi="仿宋" w:eastAsia="仿宋" w:cs="仿宋"/>
          <w:snapToGrid w:val="0"/>
          <w:kern w:val="28"/>
          <w:sz w:val="24"/>
          <w:szCs w:val="20"/>
        </w:rPr>
        <w:t xml:space="preserve">    2.落实政府采购政策需满足的资格要求：</w:t>
      </w:r>
    </w:p>
    <w:p>
      <w:pPr>
        <w:spacing w:line="360" w:lineRule="auto"/>
        <w:ind w:firstLine="480" w:firstLineChars="200"/>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sz w:val="24"/>
        </w:rPr>
        <w:t>无；</w:t>
      </w:r>
    </w:p>
    <w:p>
      <w:pPr>
        <w:spacing w:line="360" w:lineRule="auto"/>
        <w:ind w:firstLine="480" w:firstLineChars="200"/>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专</w:t>
      </w:r>
      <w:r>
        <w:rPr>
          <w:rFonts w:hint="eastAsia" w:ascii="仿宋" w:hAnsi="仿宋" w:eastAsia="仿宋" w:cs="仿宋"/>
          <w:sz w:val="24"/>
        </w:rPr>
        <w:t>门面向中小企业</w:t>
      </w:r>
    </w:p>
    <w:p>
      <w:pPr>
        <w:spacing w:line="360" w:lineRule="auto"/>
        <w:ind w:firstLine="897" w:firstLineChars="374"/>
        <w:rPr>
          <w:rFonts w:ascii="仿宋" w:hAnsi="仿宋" w:eastAsia="仿宋" w:cs="仿宋"/>
          <w:sz w:val="24"/>
          <w:u w:val="single"/>
        </w:rPr>
      </w:pPr>
      <w:r>
        <w:rPr>
          <w:rFonts w:hint="eastAsia" w:ascii="仿宋" w:hAnsi="仿宋" w:eastAsia="仿宋" w:cs="仿宋"/>
          <w:kern w:val="0"/>
          <w:sz w:val="24"/>
        </w:rPr>
        <w:sym w:font="Wingdings" w:char="00FE"/>
      </w:r>
      <w:r>
        <w:rPr>
          <w:rFonts w:hint="eastAsia" w:ascii="仿宋" w:hAnsi="仿宋" w:eastAsia="仿宋" w:cs="仿宋"/>
          <w:sz w:val="24"/>
        </w:rPr>
        <w:t>货物全部由符合政策要求的中小企业制造，提供中小企业声明函；</w:t>
      </w:r>
    </w:p>
    <w:p>
      <w:pPr>
        <w:spacing w:line="360" w:lineRule="auto"/>
        <w:ind w:firstLine="897" w:firstLineChars="374"/>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sz w:val="24"/>
        </w:rPr>
        <w:t>货物全部由符合政策要求的小微企业制造，提供中小企业声明函；</w:t>
      </w:r>
    </w:p>
    <w:p>
      <w:pPr>
        <w:spacing w:line="360" w:lineRule="auto"/>
        <w:ind w:firstLine="897" w:firstLineChars="374"/>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sz w:val="24"/>
        </w:rPr>
        <w:t>服务全部由符合政策要求的中小企业承接，提供中小企业声明函；</w:t>
      </w:r>
    </w:p>
    <w:p>
      <w:pPr>
        <w:spacing w:line="360" w:lineRule="auto"/>
        <w:ind w:firstLine="897" w:firstLineChars="374"/>
        <w:rPr>
          <w:rFonts w:ascii="仿宋" w:hAnsi="仿宋" w:eastAsia="仿宋" w:cs="仿宋"/>
          <w:sz w:val="24"/>
        </w:rPr>
      </w:pPr>
      <w:r>
        <w:rPr>
          <w:rFonts w:hint="eastAsia" w:ascii="仿宋" w:hAnsi="仿宋" w:eastAsia="仿宋" w:cs="仿宋"/>
          <w:kern w:val="0"/>
          <w:sz w:val="24"/>
        </w:rPr>
        <w:t>☐</w:t>
      </w:r>
      <w:r>
        <w:rPr>
          <w:rFonts w:hint="eastAsia" w:ascii="仿宋" w:hAnsi="仿宋" w:eastAsia="仿宋" w:cs="仿宋"/>
          <w:sz w:val="24"/>
        </w:rPr>
        <w:t>服务全部由符合政策要求的小微企业承接，提供中小企业声明函；</w:t>
      </w:r>
    </w:p>
    <w:p>
      <w:pPr>
        <w:rPr>
          <w:rFonts w:ascii="仿宋" w:hAnsi="仿宋" w:eastAsia="仿宋" w:cs="仿宋"/>
        </w:rPr>
      </w:pPr>
    </w:p>
    <w:p>
      <w:pPr>
        <w:numPr>
          <w:ilvl w:val="255"/>
          <w:numId w:val="0"/>
        </w:numPr>
        <w:spacing w:line="360" w:lineRule="auto"/>
        <w:ind w:firstLine="480" w:firstLineChars="200"/>
        <w:rPr>
          <w:rFonts w:ascii="仿宋" w:hAnsi="仿宋" w:eastAsia="仿宋" w:cs="仿宋"/>
          <w:sz w:val="24"/>
        </w:rPr>
      </w:pPr>
      <w:r>
        <w:rPr>
          <w:rFonts w:hint="eastAsia" w:ascii="仿宋" w:hAnsi="仿宋" w:eastAsia="仿宋" w:cs="仿宋"/>
          <w:sz w:val="24"/>
        </w:rPr>
        <w:t>3.本项目的特定资格要求：无。</w:t>
      </w:r>
    </w:p>
    <w:p>
      <w:pPr>
        <w:snapToGrid w:val="0"/>
        <w:spacing w:line="360" w:lineRule="auto"/>
        <w:ind w:firstLine="480" w:firstLineChars="200"/>
        <w:rPr>
          <w:rFonts w:ascii="仿宋" w:hAnsi="仿宋" w:eastAsia="仿宋" w:cs="仿宋"/>
        </w:rPr>
      </w:pPr>
      <w:r>
        <w:rPr>
          <w:rFonts w:hint="eastAsia" w:ascii="仿宋" w:hAnsi="仿宋" w:eastAsia="仿宋" w:cs="仿宋"/>
          <w:sz w:val="24"/>
        </w:rPr>
        <w:t>4.单位负责人为同一人或者存在直接控股、管理关系的不同供应商，不得参加同一合同项下的政府采购活动。</w:t>
      </w:r>
    </w:p>
    <w:p>
      <w:pPr>
        <w:spacing w:line="360" w:lineRule="auto"/>
        <w:rPr>
          <w:rFonts w:ascii="仿宋" w:hAnsi="仿宋" w:eastAsia="仿宋" w:cs="仿宋"/>
          <w:b/>
          <w:sz w:val="24"/>
        </w:rPr>
      </w:pPr>
      <w:r>
        <w:rPr>
          <w:rFonts w:hint="eastAsia" w:ascii="仿宋" w:hAnsi="仿宋" w:eastAsia="仿宋" w:cs="仿宋"/>
          <w:b/>
          <w:sz w:val="24"/>
        </w:rPr>
        <w:t xml:space="preserve">三、获取招标文件 </w:t>
      </w:r>
    </w:p>
    <w:p>
      <w:pPr>
        <w:spacing w:line="360" w:lineRule="auto"/>
        <w:ind w:firstLine="482" w:firstLineChars="200"/>
        <w:rPr>
          <w:rFonts w:ascii="仿宋" w:hAnsi="仿宋" w:eastAsia="仿宋" w:cs="仿宋"/>
          <w:sz w:val="24"/>
        </w:rPr>
      </w:pPr>
      <w:r>
        <w:rPr>
          <w:rFonts w:hint="eastAsia" w:ascii="仿宋" w:hAnsi="仿宋" w:eastAsia="仿宋" w:cs="仿宋"/>
          <w:b/>
          <w:sz w:val="24"/>
        </w:rPr>
        <w:t>时间：</w:t>
      </w:r>
      <w:r>
        <w:rPr>
          <w:rFonts w:hint="eastAsia" w:ascii="仿宋" w:hAnsi="仿宋" w:eastAsia="仿宋" w:cs="仿宋"/>
          <w:sz w:val="24"/>
        </w:rPr>
        <w:t>/至</w:t>
      </w:r>
      <w:r>
        <w:rPr>
          <w:rFonts w:hint="eastAsia" w:ascii="仿宋" w:hAnsi="仿宋" w:eastAsia="仿宋" w:cs="仿宋"/>
          <w:sz w:val="24"/>
          <w:u w:val="single"/>
        </w:rPr>
        <w:t>2023年</w:t>
      </w:r>
      <w:r>
        <w:rPr>
          <w:rFonts w:hint="eastAsia" w:ascii="仿宋" w:hAnsi="仿宋" w:eastAsia="仿宋" w:cs="仿宋"/>
          <w:sz w:val="24"/>
          <w:u w:val="single"/>
          <w:lang w:val="en-US" w:eastAsia="zh-CN"/>
        </w:rPr>
        <w:t>03</w:t>
      </w:r>
      <w:r>
        <w:rPr>
          <w:rFonts w:hint="eastAsia" w:ascii="仿宋" w:hAnsi="仿宋" w:eastAsia="仿宋" w:cs="仿宋"/>
          <w:sz w:val="24"/>
          <w:u w:val="single"/>
        </w:rPr>
        <w:t>月</w:t>
      </w:r>
      <w:r>
        <w:rPr>
          <w:rFonts w:hint="eastAsia" w:ascii="仿宋" w:hAnsi="仿宋" w:eastAsia="仿宋" w:cs="仿宋"/>
          <w:sz w:val="24"/>
          <w:u w:val="single"/>
          <w:lang w:val="en-US" w:eastAsia="zh-CN"/>
        </w:rPr>
        <w:t>10</w:t>
      </w:r>
      <w:r>
        <w:rPr>
          <w:rFonts w:hint="eastAsia" w:ascii="仿宋" w:hAnsi="仿宋" w:eastAsia="仿宋" w:cs="仿宋"/>
          <w:sz w:val="24"/>
          <w:u w:val="single"/>
        </w:rPr>
        <w:t>日</w:t>
      </w:r>
      <w:r>
        <w:rPr>
          <w:rFonts w:hint="eastAsia" w:ascii="仿宋" w:hAnsi="仿宋" w:eastAsia="仿宋" w:cs="仿宋"/>
          <w:sz w:val="24"/>
        </w:rPr>
        <w:t>，每天上午00:00至12:00 ，下午12:00至23:59（北京时间，线上获取法定节假日均可，线下获取文件法定节假日除外）；</w:t>
      </w:r>
    </w:p>
    <w:p>
      <w:pPr>
        <w:spacing w:line="360" w:lineRule="auto"/>
        <w:ind w:firstLine="482" w:firstLineChars="200"/>
        <w:rPr>
          <w:rFonts w:ascii="仿宋" w:hAnsi="仿宋" w:eastAsia="仿宋" w:cs="仿宋"/>
          <w:sz w:val="24"/>
        </w:rPr>
      </w:pPr>
      <w:r>
        <w:rPr>
          <w:rFonts w:hint="eastAsia" w:ascii="仿宋" w:hAnsi="仿宋" w:eastAsia="仿宋" w:cs="仿宋"/>
          <w:b/>
          <w:sz w:val="24"/>
        </w:rPr>
        <w:t>地点（网址）：</w:t>
      </w:r>
      <w:r>
        <w:rPr>
          <w:rFonts w:hint="eastAsia" w:ascii="仿宋" w:hAnsi="仿宋" w:eastAsia="仿宋" w:cs="仿宋"/>
          <w:sz w:val="24"/>
        </w:rPr>
        <w:t>政采云平台（https://www.zcygov.cn/） ；</w:t>
      </w:r>
    </w:p>
    <w:p>
      <w:pPr>
        <w:spacing w:line="360" w:lineRule="auto"/>
        <w:ind w:firstLine="482" w:firstLineChars="200"/>
        <w:rPr>
          <w:rFonts w:ascii="仿宋" w:hAnsi="仿宋" w:eastAsia="仿宋" w:cs="仿宋"/>
          <w:sz w:val="24"/>
        </w:rPr>
      </w:pPr>
      <w:r>
        <w:rPr>
          <w:rFonts w:hint="eastAsia" w:ascii="仿宋" w:hAnsi="仿宋" w:eastAsia="仿宋" w:cs="仿宋"/>
          <w:b/>
          <w:sz w:val="24"/>
        </w:rPr>
        <w:t>方式：</w:t>
      </w:r>
      <w:r>
        <w:rPr>
          <w:rFonts w:hint="eastAsia" w:ascii="仿宋" w:hAnsi="仿宋" w:eastAsia="仿宋" w:cs="仿宋"/>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仿宋" w:hAnsi="仿宋" w:eastAsia="仿宋" w:cs="仿宋"/>
          <w:sz w:val="24"/>
        </w:rPr>
      </w:pPr>
      <w:r>
        <w:rPr>
          <w:rFonts w:hint="eastAsia" w:ascii="仿宋" w:hAnsi="仿宋" w:eastAsia="仿宋" w:cs="仿宋"/>
          <w:b/>
          <w:sz w:val="24"/>
        </w:rPr>
        <w:t>售价（元）：</w:t>
      </w:r>
      <w:r>
        <w:rPr>
          <w:rFonts w:hint="eastAsia" w:ascii="仿宋" w:hAnsi="仿宋" w:eastAsia="仿宋" w:cs="仿宋"/>
          <w:sz w:val="24"/>
        </w:rPr>
        <w:t xml:space="preserve">0 </w:t>
      </w:r>
      <w:r>
        <w:rPr>
          <w:rFonts w:hint="eastAsia" w:ascii="仿宋" w:hAnsi="仿宋" w:eastAsia="仿宋" w:cs="仿宋"/>
          <w:sz w:val="24"/>
        </w:rPr>
        <w:tab/>
      </w:r>
    </w:p>
    <w:p>
      <w:pPr>
        <w:spacing w:line="360" w:lineRule="auto"/>
        <w:rPr>
          <w:rFonts w:ascii="仿宋" w:hAnsi="仿宋" w:eastAsia="仿宋" w:cs="仿宋"/>
          <w:b/>
          <w:sz w:val="24"/>
        </w:rPr>
      </w:pPr>
      <w:r>
        <w:rPr>
          <w:rFonts w:hint="eastAsia" w:ascii="仿宋" w:hAnsi="仿宋" w:eastAsia="仿宋" w:cs="仿宋"/>
          <w:b/>
          <w:sz w:val="24"/>
        </w:rPr>
        <w:t>四、提交投标文件截止时间、开标时间和地点</w:t>
      </w:r>
    </w:p>
    <w:p>
      <w:pPr>
        <w:spacing w:line="360" w:lineRule="auto"/>
        <w:ind w:firstLine="482" w:firstLineChars="200"/>
        <w:rPr>
          <w:rFonts w:ascii="仿宋" w:hAnsi="仿宋" w:eastAsia="仿宋" w:cs="仿宋"/>
          <w:sz w:val="24"/>
        </w:rPr>
      </w:pPr>
      <w:r>
        <w:rPr>
          <w:rFonts w:hint="eastAsia" w:ascii="仿宋" w:hAnsi="仿宋" w:eastAsia="仿宋" w:cs="仿宋"/>
          <w:b/>
          <w:sz w:val="24"/>
        </w:rPr>
        <w:t>提交投标文件截止时间：</w:t>
      </w:r>
      <w:r>
        <w:rPr>
          <w:rFonts w:hint="eastAsia" w:ascii="仿宋" w:hAnsi="仿宋" w:eastAsia="仿宋" w:cs="仿宋"/>
          <w:sz w:val="24"/>
          <w:u w:val="single"/>
        </w:rPr>
        <w:t xml:space="preserve"> 2023年</w:t>
      </w:r>
      <w:r>
        <w:rPr>
          <w:rFonts w:hint="eastAsia" w:ascii="仿宋" w:hAnsi="仿宋" w:eastAsia="仿宋" w:cs="仿宋"/>
          <w:sz w:val="24"/>
          <w:u w:val="single"/>
          <w:lang w:val="en-US" w:eastAsia="zh-CN"/>
        </w:rPr>
        <w:t>03</w:t>
      </w:r>
      <w:r>
        <w:rPr>
          <w:rFonts w:hint="eastAsia" w:ascii="仿宋" w:hAnsi="仿宋" w:eastAsia="仿宋" w:cs="仿宋"/>
          <w:sz w:val="24"/>
          <w:u w:val="single"/>
        </w:rPr>
        <w:t>月</w:t>
      </w:r>
      <w:r>
        <w:rPr>
          <w:rFonts w:hint="eastAsia" w:ascii="仿宋" w:hAnsi="仿宋" w:eastAsia="仿宋" w:cs="仿宋"/>
          <w:sz w:val="24"/>
          <w:u w:val="single"/>
          <w:lang w:val="en-US" w:eastAsia="zh-CN"/>
        </w:rPr>
        <w:t>10</w:t>
      </w:r>
      <w:r>
        <w:rPr>
          <w:rFonts w:hint="eastAsia" w:ascii="仿宋" w:hAnsi="仿宋" w:eastAsia="仿宋" w:cs="仿宋"/>
          <w:sz w:val="24"/>
          <w:u w:val="single"/>
        </w:rPr>
        <w:t>日</w:t>
      </w:r>
      <w:r>
        <w:rPr>
          <w:rFonts w:hint="eastAsia" w:ascii="仿宋" w:hAnsi="仿宋" w:eastAsia="仿宋" w:cs="仿宋"/>
          <w:sz w:val="24"/>
          <w:u w:val="single"/>
          <w:lang w:val="en-US" w:eastAsia="zh-CN"/>
        </w:rPr>
        <w:t>14</w:t>
      </w:r>
      <w:r>
        <w:rPr>
          <w:rFonts w:hint="eastAsia" w:ascii="仿宋" w:hAnsi="仿宋" w:eastAsia="仿宋" w:cs="仿宋"/>
          <w:sz w:val="24"/>
          <w:u w:val="single"/>
        </w:rPr>
        <w:t>点</w:t>
      </w:r>
      <w:r>
        <w:rPr>
          <w:rFonts w:hint="eastAsia" w:ascii="仿宋" w:hAnsi="仿宋" w:eastAsia="仿宋" w:cs="仿宋"/>
          <w:sz w:val="24"/>
          <w:u w:val="single"/>
          <w:lang w:val="en-US" w:eastAsia="zh-CN"/>
        </w:rPr>
        <w:t>00</w:t>
      </w:r>
      <w:r>
        <w:rPr>
          <w:rFonts w:hint="eastAsia" w:ascii="仿宋" w:hAnsi="仿宋" w:eastAsia="仿宋" w:cs="仿宋"/>
          <w:sz w:val="24"/>
          <w:u w:val="single"/>
        </w:rPr>
        <w:t xml:space="preserve">分00秒 </w:t>
      </w:r>
      <w:r>
        <w:rPr>
          <w:rFonts w:hint="eastAsia" w:ascii="仿宋" w:hAnsi="仿宋" w:eastAsia="仿宋" w:cs="仿宋"/>
          <w:sz w:val="24"/>
        </w:rPr>
        <w:t>（北京时间）；</w:t>
      </w:r>
    </w:p>
    <w:p>
      <w:pPr>
        <w:spacing w:line="360" w:lineRule="auto"/>
        <w:ind w:firstLine="482" w:firstLineChars="200"/>
        <w:rPr>
          <w:rFonts w:ascii="仿宋" w:hAnsi="仿宋" w:eastAsia="仿宋" w:cs="仿宋"/>
          <w:b/>
          <w:sz w:val="24"/>
        </w:rPr>
      </w:pPr>
      <w:r>
        <w:rPr>
          <w:rFonts w:hint="eastAsia" w:ascii="仿宋" w:hAnsi="仿宋" w:eastAsia="仿宋" w:cs="仿宋"/>
          <w:b/>
          <w:sz w:val="24"/>
        </w:rPr>
        <w:t>投标地点（网址）：</w:t>
      </w:r>
      <w:r>
        <w:rPr>
          <w:rFonts w:hint="eastAsia" w:ascii="仿宋" w:hAnsi="仿宋" w:eastAsia="仿宋" w:cs="仿宋"/>
          <w:sz w:val="24"/>
        </w:rPr>
        <w:t xml:space="preserve">政采云平台（https://www.zcygov.cn/）线上投标响应； </w:t>
      </w:r>
    </w:p>
    <w:p>
      <w:pPr>
        <w:spacing w:line="360" w:lineRule="auto"/>
        <w:ind w:firstLine="482" w:firstLineChars="200"/>
        <w:rPr>
          <w:rFonts w:ascii="仿宋" w:hAnsi="仿宋" w:eastAsia="仿宋" w:cs="仿宋"/>
          <w:bCs/>
          <w:sz w:val="24"/>
          <w:u w:val="single"/>
        </w:rPr>
      </w:pPr>
      <w:r>
        <w:rPr>
          <w:rFonts w:hint="eastAsia" w:ascii="仿宋" w:hAnsi="仿宋" w:eastAsia="仿宋" w:cs="仿宋"/>
          <w:b/>
          <w:sz w:val="24"/>
        </w:rPr>
        <w:t>开标时间：</w:t>
      </w:r>
      <w:r>
        <w:rPr>
          <w:rFonts w:hint="eastAsia" w:ascii="仿宋" w:hAnsi="仿宋" w:eastAsia="仿宋" w:cs="仿宋"/>
          <w:sz w:val="24"/>
          <w:u w:val="single"/>
        </w:rPr>
        <w:t>2023年</w:t>
      </w:r>
      <w:r>
        <w:rPr>
          <w:rFonts w:hint="eastAsia" w:ascii="仿宋" w:hAnsi="仿宋" w:eastAsia="仿宋" w:cs="仿宋"/>
          <w:sz w:val="24"/>
          <w:u w:val="single"/>
          <w:lang w:val="en-US" w:eastAsia="zh-CN"/>
        </w:rPr>
        <w:t>03</w:t>
      </w:r>
      <w:r>
        <w:rPr>
          <w:rFonts w:hint="eastAsia" w:ascii="仿宋" w:hAnsi="仿宋" w:eastAsia="仿宋" w:cs="仿宋"/>
          <w:sz w:val="24"/>
          <w:u w:val="single"/>
        </w:rPr>
        <w:t>月</w:t>
      </w:r>
      <w:r>
        <w:rPr>
          <w:rFonts w:hint="eastAsia" w:ascii="仿宋" w:hAnsi="仿宋" w:eastAsia="仿宋" w:cs="仿宋"/>
          <w:sz w:val="24"/>
          <w:u w:val="single"/>
          <w:lang w:val="en-US" w:eastAsia="zh-CN"/>
        </w:rPr>
        <w:t>10</w:t>
      </w:r>
      <w:r>
        <w:rPr>
          <w:rFonts w:hint="eastAsia" w:ascii="仿宋" w:hAnsi="仿宋" w:eastAsia="仿宋" w:cs="仿宋"/>
          <w:sz w:val="24"/>
          <w:u w:val="single"/>
        </w:rPr>
        <w:t>日</w:t>
      </w:r>
      <w:r>
        <w:rPr>
          <w:rFonts w:hint="eastAsia" w:ascii="仿宋" w:hAnsi="仿宋" w:eastAsia="仿宋" w:cs="仿宋"/>
          <w:sz w:val="24"/>
          <w:u w:val="single"/>
          <w:lang w:val="en-US" w:eastAsia="zh-CN"/>
        </w:rPr>
        <w:t>14</w:t>
      </w:r>
      <w:r>
        <w:rPr>
          <w:rFonts w:hint="eastAsia" w:ascii="仿宋" w:hAnsi="仿宋" w:eastAsia="仿宋" w:cs="仿宋"/>
          <w:sz w:val="24"/>
          <w:u w:val="single"/>
        </w:rPr>
        <w:t>点</w:t>
      </w:r>
      <w:r>
        <w:rPr>
          <w:rFonts w:hint="eastAsia" w:ascii="仿宋" w:hAnsi="仿宋" w:eastAsia="仿宋" w:cs="仿宋"/>
          <w:sz w:val="24"/>
          <w:u w:val="single"/>
          <w:lang w:val="en-US" w:eastAsia="zh-CN"/>
        </w:rPr>
        <w:t>00</w:t>
      </w:r>
      <w:r>
        <w:rPr>
          <w:rFonts w:hint="eastAsia" w:ascii="仿宋" w:hAnsi="仿宋" w:eastAsia="仿宋" w:cs="仿宋"/>
          <w:sz w:val="24"/>
          <w:u w:val="single"/>
        </w:rPr>
        <w:t>分00秒</w:t>
      </w:r>
      <w:r>
        <w:rPr>
          <w:rFonts w:hint="eastAsia" w:ascii="仿宋" w:hAnsi="仿宋" w:eastAsia="仿宋" w:cs="仿宋"/>
          <w:sz w:val="24"/>
        </w:rPr>
        <w:t>（北京时间）；</w:t>
      </w:r>
    </w:p>
    <w:p>
      <w:pPr>
        <w:pStyle w:val="2"/>
        <w:tabs>
          <w:tab w:val="left" w:pos="706"/>
          <w:tab w:val="clear" w:pos="432"/>
        </w:tabs>
        <w:snapToGrid w:val="0"/>
        <w:ind w:left="0" w:firstLine="482" w:firstLineChars="200"/>
        <w:rPr>
          <w:rFonts w:ascii="仿宋" w:eastAsia="仿宋" w:cs="仿宋"/>
          <w:sz w:val="24"/>
          <w:lang w:val="en-US"/>
        </w:rPr>
      </w:pPr>
      <w:r>
        <w:rPr>
          <w:rFonts w:hint="eastAsia" w:ascii="仿宋" w:eastAsia="仿宋" w:cs="仿宋"/>
          <w:sz w:val="24"/>
        </w:rPr>
        <w:t>开标地点</w:t>
      </w:r>
      <w:r>
        <w:rPr>
          <w:rFonts w:hint="eastAsia" w:ascii="仿宋" w:eastAsia="仿宋" w:cs="仿宋"/>
          <w:sz w:val="24"/>
          <w:lang w:val="en-US"/>
        </w:rPr>
        <w:t>（</w:t>
      </w:r>
      <w:r>
        <w:rPr>
          <w:rFonts w:hint="eastAsia" w:ascii="仿宋" w:eastAsia="仿宋" w:cs="仿宋"/>
          <w:sz w:val="24"/>
        </w:rPr>
        <w:t>网址</w:t>
      </w:r>
      <w:r>
        <w:rPr>
          <w:rFonts w:hint="eastAsia" w:ascii="仿宋" w:eastAsia="仿宋" w:cs="仿宋"/>
          <w:sz w:val="24"/>
          <w:lang w:val="en-US"/>
        </w:rPr>
        <w:t>）：</w:t>
      </w:r>
      <w:r>
        <w:rPr>
          <w:rFonts w:hint="eastAsia" w:ascii="仿宋" w:eastAsia="仿宋" w:cs="仿宋"/>
          <w:sz w:val="24"/>
        </w:rPr>
        <w:t>登陆政采云平台</w:t>
      </w:r>
      <w:r>
        <w:rPr>
          <w:rFonts w:hint="eastAsia" w:ascii="仿宋" w:eastAsia="仿宋" w:cs="仿宋"/>
          <w:sz w:val="24"/>
          <w:lang w:val="en-US"/>
        </w:rPr>
        <w:t>（https://www.zcygov.cn/）</w:t>
      </w:r>
      <w:r>
        <w:rPr>
          <w:rFonts w:hint="eastAsia" w:ascii="仿宋" w:eastAsia="仿宋" w:cs="仿宋"/>
          <w:sz w:val="24"/>
        </w:rPr>
        <w:t>开标大厅等候开标解密</w:t>
      </w:r>
      <w:r>
        <w:rPr>
          <w:rFonts w:hint="eastAsia" w:ascii="仿宋" w:eastAsia="仿宋" w:cs="仿宋"/>
          <w:sz w:val="24"/>
          <w:lang w:val="en-US"/>
        </w:rPr>
        <w:t>；</w:t>
      </w:r>
    </w:p>
    <w:p>
      <w:pPr>
        <w:pStyle w:val="2"/>
        <w:tabs>
          <w:tab w:val="left" w:pos="706"/>
          <w:tab w:val="clear" w:pos="432"/>
        </w:tabs>
        <w:snapToGrid w:val="0"/>
        <w:ind w:left="0" w:firstLine="482" w:firstLineChars="200"/>
        <w:rPr>
          <w:rFonts w:ascii="仿宋" w:eastAsia="仿宋" w:cs="仿宋"/>
          <w:sz w:val="24"/>
        </w:rPr>
      </w:pPr>
      <w:r>
        <w:rPr>
          <w:rFonts w:hint="eastAsia" w:ascii="仿宋" w:eastAsia="仿宋" w:cs="仿宋"/>
          <w:sz w:val="24"/>
        </w:rPr>
        <w:t>组织机构线下开标地点：杭州市临平区南苑街道华元欢乐城-华元大厦20层</w:t>
      </w:r>
      <w:r>
        <w:rPr>
          <w:rFonts w:hint="eastAsia" w:ascii="仿宋" w:eastAsia="仿宋" w:cs="仿宋"/>
          <w:sz w:val="24"/>
          <w:lang w:val="en-US"/>
        </w:rPr>
        <w:t>2013</w:t>
      </w:r>
      <w:r>
        <w:rPr>
          <w:rFonts w:hint="eastAsia" w:ascii="仿宋" w:eastAsia="仿宋" w:cs="仿宋"/>
          <w:sz w:val="24"/>
        </w:rPr>
        <w:t>会议室。</w:t>
      </w:r>
    </w:p>
    <w:p>
      <w:pPr>
        <w:spacing w:line="360" w:lineRule="auto"/>
        <w:rPr>
          <w:rFonts w:ascii="仿宋" w:hAnsi="仿宋" w:eastAsia="仿宋" w:cs="仿宋"/>
          <w:sz w:val="24"/>
        </w:rPr>
      </w:pPr>
      <w:r>
        <w:rPr>
          <w:rFonts w:hint="eastAsia" w:ascii="仿宋" w:hAnsi="仿宋" w:eastAsia="仿宋" w:cs="仿宋"/>
          <w:b/>
          <w:sz w:val="24"/>
        </w:rPr>
        <w:t xml:space="preserve">五、公告期限 </w:t>
      </w:r>
    </w:p>
    <w:p>
      <w:pPr>
        <w:spacing w:line="360" w:lineRule="auto"/>
        <w:ind w:firstLine="480" w:firstLineChars="200"/>
        <w:rPr>
          <w:rFonts w:ascii="仿宋" w:hAnsi="仿宋" w:eastAsia="仿宋" w:cs="仿宋"/>
          <w:sz w:val="24"/>
        </w:rPr>
      </w:pPr>
      <w:r>
        <w:rPr>
          <w:rFonts w:hint="eastAsia" w:ascii="仿宋" w:hAnsi="仿宋" w:eastAsia="仿宋" w:cs="仿宋"/>
          <w:sz w:val="24"/>
        </w:rPr>
        <w:t>自本公告发布之日起5个工作日。</w:t>
      </w:r>
    </w:p>
    <w:p>
      <w:pPr>
        <w:spacing w:line="360" w:lineRule="auto"/>
        <w:rPr>
          <w:rFonts w:ascii="仿宋" w:hAnsi="仿宋" w:eastAsia="仿宋" w:cs="仿宋"/>
          <w:b/>
          <w:sz w:val="24"/>
        </w:rPr>
      </w:pPr>
      <w:r>
        <w:rPr>
          <w:rFonts w:hint="eastAsia" w:ascii="仿宋" w:hAnsi="仿宋" w:eastAsia="仿宋" w:cs="仿宋"/>
          <w:b/>
          <w:sz w:val="24"/>
        </w:rPr>
        <w:t>六、其他补充事宜</w:t>
      </w:r>
    </w:p>
    <w:p>
      <w:pPr>
        <w:spacing w:line="360" w:lineRule="auto"/>
        <w:rPr>
          <w:rFonts w:ascii="仿宋_GB2312" w:hAnsi="仿宋" w:eastAsia="仿宋_GB2312"/>
          <w:sz w:val="24"/>
        </w:rPr>
      </w:pPr>
      <w:r>
        <w:rPr>
          <w:rFonts w:hint="eastAsia" w:ascii="仿宋_GB2312" w:hAnsi="仿宋" w:eastAsia="仿宋_GB2312"/>
          <w:sz w:val="24"/>
        </w:rPr>
        <w:t xml:space="preserve">  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rPr>
          <w:rFonts w:ascii="仿宋_GB2312" w:hAnsi="仿宋" w:eastAsia="仿宋_GB2312"/>
          <w:sz w:val="24"/>
        </w:rPr>
      </w:pPr>
      <w:r>
        <w:rPr>
          <w:rFonts w:hint="eastAsia" w:ascii="仿宋_GB2312" w:hAnsi="仿宋" w:eastAsia="仿宋_GB2312"/>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仿宋_GB2312" w:hAnsi="仿宋" w:eastAsia="仿宋_GB2312"/>
          <w:sz w:val="24"/>
        </w:rPr>
      </w:pPr>
      <w:r>
        <w:rPr>
          <w:rFonts w:hint="eastAsia" w:ascii="仿宋_GB2312" w:hAnsi="仿宋" w:eastAsia="仿宋_GB2312"/>
          <w:sz w:val="24"/>
        </w:rPr>
        <w:t xml:space="preserve">    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rPr>
          <w:rFonts w:ascii="仿宋_GB2312" w:hAnsi="仿宋" w:eastAsia="仿宋_GB2312"/>
          <w:sz w:val="24"/>
        </w:rPr>
      </w:pPr>
      <w:r>
        <w:rPr>
          <w:rFonts w:hint="eastAsia" w:ascii="仿宋_GB2312" w:hAnsi="仿宋" w:eastAsia="仿宋_GB2312"/>
          <w:sz w:val="24"/>
        </w:rPr>
        <w:t xml:space="preserve">    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仿宋" w:hAnsi="仿宋" w:eastAsia="仿宋" w:cs="仿宋"/>
          <w:b/>
          <w:sz w:val="24"/>
        </w:rPr>
      </w:pPr>
      <w:r>
        <w:rPr>
          <w:rFonts w:hint="eastAsia" w:ascii="仿宋" w:hAnsi="仿宋" w:eastAsia="仿宋" w:cs="仿宋"/>
          <w:b/>
          <w:sz w:val="24"/>
        </w:rPr>
        <w:t>七、对本次采购提出询问、质疑、投诉，请按以下方式联系</w:t>
      </w:r>
    </w:p>
    <w:p>
      <w:pPr>
        <w:spacing w:line="360" w:lineRule="auto"/>
        <w:rPr>
          <w:rFonts w:ascii="仿宋" w:hAnsi="仿宋" w:eastAsia="仿宋" w:cs="仿宋"/>
          <w:b/>
          <w:bCs/>
          <w:sz w:val="24"/>
        </w:rPr>
      </w:pPr>
      <w:r>
        <w:rPr>
          <w:rFonts w:hint="eastAsia" w:ascii="仿宋" w:hAnsi="仿宋" w:eastAsia="仿宋" w:cs="仿宋"/>
          <w:b/>
          <w:bCs/>
          <w:sz w:val="24"/>
        </w:rPr>
        <w:t xml:space="preserve">    1.采购人信息</w:t>
      </w:r>
    </w:p>
    <w:p>
      <w:pPr>
        <w:spacing w:line="360" w:lineRule="auto"/>
        <w:rPr>
          <w:rFonts w:ascii="仿宋" w:hAnsi="仿宋" w:eastAsia="仿宋" w:cs="仿宋"/>
          <w:sz w:val="24"/>
        </w:rPr>
      </w:pPr>
      <w:r>
        <w:rPr>
          <w:rFonts w:hint="eastAsia" w:ascii="仿宋" w:hAnsi="仿宋" w:eastAsia="仿宋" w:cs="仿宋"/>
          <w:sz w:val="24"/>
        </w:rPr>
        <w:t xml:space="preserve">    名称： 杭州市临平区星桥中学</w:t>
      </w:r>
    </w:p>
    <w:p>
      <w:pPr>
        <w:spacing w:line="360" w:lineRule="auto"/>
        <w:ind w:firstLine="480" w:firstLineChars="200"/>
        <w:rPr>
          <w:rFonts w:ascii="仿宋" w:hAnsi="仿宋" w:eastAsia="仿宋" w:cs="仿宋"/>
          <w:sz w:val="24"/>
        </w:rPr>
      </w:pPr>
      <w:r>
        <w:rPr>
          <w:rFonts w:hint="eastAsia" w:ascii="仿宋" w:hAnsi="仿宋" w:eastAsia="仿宋" w:cs="仿宋"/>
          <w:sz w:val="24"/>
        </w:rPr>
        <w:t>地址：浙江省杭州市临平区藕花洲大街西段329号。</w:t>
      </w:r>
    </w:p>
    <w:p>
      <w:pPr>
        <w:spacing w:line="360" w:lineRule="auto"/>
        <w:ind w:firstLine="480" w:firstLineChars="200"/>
        <w:rPr>
          <w:rFonts w:ascii="仿宋" w:hAnsi="仿宋" w:eastAsia="仿宋" w:cs="仿宋"/>
          <w:sz w:val="24"/>
        </w:rPr>
      </w:pPr>
      <w:r>
        <w:rPr>
          <w:rFonts w:hint="eastAsia" w:ascii="仿宋" w:hAnsi="仿宋" w:eastAsia="仿宋" w:cs="仿宋"/>
          <w:sz w:val="24"/>
        </w:rPr>
        <w:t>项目联系人（询问）：</w:t>
      </w:r>
      <w:r>
        <w:rPr>
          <w:rFonts w:hint="eastAsia" w:ascii="仿宋" w:hAnsi="仿宋" w:eastAsia="仿宋" w:cs="仿宋"/>
          <w:sz w:val="24"/>
          <w:lang w:val="en-US" w:eastAsia="zh-CN"/>
        </w:rPr>
        <w:t>朱</w:t>
      </w:r>
      <w:r>
        <w:rPr>
          <w:rFonts w:hint="eastAsia" w:ascii="仿宋" w:hAnsi="仿宋" w:eastAsia="仿宋" w:cs="仿宋"/>
          <w:sz w:val="24"/>
        </w:rPr>
        <w:t>老师         项目联系方式（询问）：0571-86265309</w:t>
      </w:r>
    </w:p>
    <w:p>
      <w:pPr>
        <w:spacing w:line="360" w:lineRule="auto"/>
        <w:ind w:firstLine="480" w:firstLineChars="200"/>
        <w:rPr>
          <w:rFonts w:ascii="仿宋" w:hAnsi="仿宋" w:eastAsia="仿宋" w:cs="仿宋"/>
          <w:b/>
          <w:bCs/>
          <w:sz w:val="24"/>
        </w:rPr>
      </w:pPr>
      <w:r>
        <w:rPr>
          <w:rFonts w:hint="eastAsia" w:ascii="仿宋" w:hAnsi="仿宋" w:eastAsia="仿宋" w:cs="仿宋"/>
          <w:sz w:val="24"/>
          <w:highlight w:val="none"/>
        </w:rPr>
        <w:t>质疑联系人：</w:t>
      </w:r>
      <w:r>
        <w:rPr>
          <w:rFonts w:hint="eastAsia" w:ascii="仿宋" w:hAnsi="仿宋" w:eastAsia="仿宋" w:cs="仿宋"/>
          <w:sz w:val="24"/>
          <w:highlight w:val="none"/>
          <w:lang w:val="en-US" w:eastAsia="zh-CN"/>
        </w:rPr>
        <w:t>徐</w:t>
      </w:r>
      <w:r>
        <w:rPr>
          <w:rFonts w:hint="eastAsia" w:ascii="仿宋" w:hAnsi="仿宋" w:eastAsia="仿宋" w:cs="仿宋"/>
          <w:sz w:val="24"/>
          <w:highlight w:val="none"/>
        </w:rPr>
        <w:t>老师</w:t>
      </w:r>
      <w:r>
        <w:rPr>
          <w:rFonts w:hint="eastAsia" w:ascii="仿宋" w:hAnsi="仿宋" w:eastAsia="仿宋" w:cs="仿宋"/>
          <w:sz w:val="24"/>
        </w:rPr>
        <w:t xml:space="preserve">                 质疑联系方式：18069873276</w:t>
      </w:r>
    </w:p>
    <w:p>
      <w:pPr>
        <w:spacing w:line="360" w:lineRule="auto"/>
        <w:ind w:firstLine="482" w:firstLineChars="200"/>
        <w:rPr>
          <w:rFonts w:hint="eastAsia" w:ascii="仿宋" w:hAnsi="仿宋" w:eastAsia="仿宋" w:cs="仿宋"/>
          <w:b/>
          <w:bCs/>
          <w:sz w:val="24"/>
        </w:rPr>
      </w:pPr>
    </w:p>
    <w:p>
      <w:pPr>
        <w:spacing w:line="360" w:lineRule="auto"/>
        <w:ind w:firstLine="482" w:firstLineChars="200"/>
        <w:rPr>
          <w:rFonts w:ascii="仿宋" w:hAnsi="仿宋" w:eastAsia="仿宋" w:cs="仿宋"/>
          <w:b/>
          <w:bCs/>
          <w:sz w:val="24"/>
        </w:rPr>
      </w:pPr>
      <w:r>
        <w:rPr>
          <w:rFonts w:hint="eastAsia" w:ascii="仿宋" w:hAnsi="仿宋" w:eastAsia="仿宋" w:cs="仿宋"/>
          <w:b/>
          <w:bCs/>
          <w:sz w:val="24"/>
        </w:rPr>
        <w:t xml:space="preserve">2.采购代理机构信息            </w:t>
      </w:r>
    </w:p>
    <w:p>
      <w:pPr>
        <w:spacing w:line="360" w:lineRule="auto"/>
        <w:ind w:firstLine="480"/>
        <w:rPr>
          <w:rFonts w:ascii="仿宋" w:hAnsi="仿宋" w:eastAsia="仿宋" w:cs="仿宋"/>
          <w:sz w:val="24"/>
        </w:rPr>
      </w:pPr>
      <w:r>
        <w:rPr>
          <w:rFonts w:hint="eastAsia" w:ascii="仿宋" w:hAnsi="仿宋" w:eastAsia="仿宋" w:cs="仿宋"/>
          <w:sz w:val="24"/>
        </w:rPr>
        <w:t>名称：耀华建设管理有限公司</w:t>
      </w:r>
    </w:p>
    <w:p>
      <w:pPr>
        <w:spacing w:line="360" w:lineRule="auto"/>
        <w:ind w:firstLine="480" w:firstLineChars="200"/>
        <w:rPr>
          <w:rFonts w:ascii="仿宋" w:hAnsi="仿宋" w:eastAsia="仿宋" w:cs="仿宋"/>
          <w:sz w:val="24"/>
        </w:rPr>
      </w:pPr>
      <w:r>
        <w:rPr>
          <w:rFonts w:hint="eastAsia" w:ascii="仿宋" w:hAnsi="仿宋" w:eastAsia="仿宋" w:cs="仿宋"/>
          <w:sz w:val="24"/>
        </w:rPr>
        <w:t>地址：杭州市临平区南苑街道华元欢乐城-华元大厦20层2022办公室。</w:t>
      </w:r>
    </w:p>
    <w:p>
      <w:pPr>
        <w:spacing w:line="360" w:lineRule="auto"/>
        <w:rPr>
          <w:rFonts w:ascii="仿宋" w:hAnsi="仿宋" w:eastAsia="仿宋" w:cs="仿宋"/>
          <w:sz w:val="24"/>
        </w:rPr>
      </w:pPr>
      <w:r>
        <w:rPr>
          <w:rFonts w:hint="eastAsia" w:ascii="仿宋" w:hAnsi="仿宋" w:eastAsia="仿宋" w:cs="仿宋"/>
          <w:sz w:val="24"/>
        </w:rPr>
        <w:t xml:space="preserve">    项目联系人（询问）：刘瑶     项目联系方式（询问）：0571-86320706、13857413671</w:t>
      </w:r>
    </w:p>
    <w:p>
      <w:pPr>
        <w:spacing w:line="360" w:lineRule="auto"/>
        <w:rPr>
          <w:rFonts w:ascii="仿宋" w:hAnsi="仿宋" w:eastAsia="仿宋" w:cs="仿宋"/>
          <w:sz w:val="24"/>
        </w:rPr>
      </w:pPr>
      <w:r>
        <w:rPr>
          <w:rFonts w:hint="eastAsia" w:ascii="仿宋" w:hAnsi="仿宋" w:eastAsia="仿宋" w:cs="仿宋"/>
          <w:sz w:val="24"/>
        </w:rPr>
        <w:t xml:space="preserve">    质疑联系人：单成燕        质疑联系方式：0571-86320727、18072887619</w:t>
      </w:r>
    </w:p>
    <w:p>
      <w:pPr>
        <w:spacing w:line="360" w:lineRule="auto"/>
        <w:rPr>
          <w:rFonts w:ascii="仿宋" w:hAnsi="仿宋" w:eastAsia="仿宋" w:cs="仿宋"/>
          <w:sz w:val="24"/>
        </w:rPr>
      </w:pPr>
      <w:r>
        <w:rPr>
          <w:rFonts w:hint="eastAsia" w:ascii="仿宋" w:hAnsi="仿宋" w:eastAsia="仿宋" w:cs="仿宋"/>
          <w:sz w:val="24"/>
        </w:rPr>
        <w:t xml:space="preserve"> </w:t>
      </w:r>
    </w:p>
    <w:p>
      <w:pPr>
        <w:spacing w:line="360" w:lineRule="auto"/>
        <w:ind w:firstLine="482" w:firstLineChars="200"/>
        <w:rPr>
          <w:rFonts w:ascii="仿宋" w:hAnsi="仿宋" w:eastAsia="仿宋" w:cs="仿宋"/>
          <w:sz w:val="24"/>
        </w:rPr>
      </w:pPr>
      <w:r>
        <w:rPr>
          <w:rFonts w:hint="eastAsia" w:ascii="仿宋" w:hAnsi="仿宋" w:eastAsia="仿宋" w:cs="仿宋"/>
          <w:b/>
          <w:bCs/>
          <w:sz w:val="24"/>
        </w:rPr>
        <w:t>3.同级政府采购监督管理部门</w:t>
      </w:r>
    </w:p>
    <w:p>
      <w:pPr>
        <w:spacing w:line="360" w:lineRule="auto"/>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名称：杭州市临平区财政局</w:t>
      </w:r>
    </w:p>
    <w:p>
      <w:pPr>
        <w:spacing w:line="360" w:lineRule="auto"/>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地址：杭州市临平区东湖中路236号财税大楼。</w:t>
      </w:r>
    </w:p>
    <w:p>
      <w:pPr>
        <w:spacing w:line="360" w:lineRule="auto"/>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联系人：俞征        联系电话：0571-89185312</w:t>
      </w:r>
    </w:p>
    <w:p>
      <w:pPr>
        <w:spacing w:line="360" w:lineRule="auto"/>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监督投诉电话：0571-89185312</w:t>
      </w:r>
    </w:p>
    <w:p>
      <w:pPr>
        <w:spacing w:line="360" w:lineRule="auto"/>
        <w:ind w:firstLine="480" w:firstLineChars="200"/>
        <w:rPr>
          <w:rFonts w:ascii="仿宋" w:hAnsi="仿宋" w:eastAsia="仿宋" w:cs="仿宋"/>
          <w:sz w:val="24"/>
        </w:rPr>
      </w:pPr>
    </w:p>
    <w:p>
      <w:pPr>
        <w:spacing w:line="360" w:lineRule="auto"/>
        <w:ind w:firstLine="480" w:firstLineChars="200"/>
        <w:rPr>
          <w:rFonts w:ascii="仿宋" w:hAnsi="仿宋" w:eastAsia="仿宋" w:cs="仿宋"/>
          <w:sz w:val="24"/>
        </w:rPr>
      </w:pPr>
    </w:p>
    <w:p>
      <w:pPr>
        <w:spacing w:line="360" w:lineRule="auto"/>
        <w:ind w:firstLine="480" w:firstLineChars="200"/>
        <w:rPr>
          <w:rFonts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ascii="仿宋" w:hAnsi="仿宋" w:eastAsia="仿宋" w:cs="仿宋"/>
          <w:sz w:val="24"/>
        </w:rPr>
      </w:pPr>
      <w:r>
        <w:rPr>
          <w:rFonts w:hint="eastAsia" w:ascii="仿宋" w:hAnsi="仿宋" w:eastAsia="仿宋" w:cs="仿宋"/>
          <w:sz w:val="24"/>
        </w:rPr>
        <w:t>CA问题联系电话（人工）：汇信CA 400-888-4636；天谷CA 400-087-8198。</w:t>
      </w:r>
    </w:p>
    <w:p>
      <w:pPr>
        <w:pStyle w:val="34"/>
        <w:spacing w:line="360" w:lineRule="auto"/>
        <w:ind w:firstLine="480" w:firstLineChars="200"/>
        <w:rPr>
          <w:rFonts w:ascii="仿宋" w:hAnsi="仿宋" w:eastAsia="仿宋" w:cs="仿宋"/>
          <w:sz w:val="24"/>
          <w:szCs w:val="24"/>
        </w:rPr>
      </w:pPr>
      <w:r>
        <w:rPr>
          <w:rFonts w:hint="eastAsia" w:ascii="仿宋" w:hAnsi="仿宋" w:eastAsia="仿宋" w:cs="仿宋"/>
          <w:sz w:val="24"/>
        </w:rPr>
        <w:t xml:space="preserve">                              </w:t>
      </w:r>
    </w:p>
    <w:p>
      <w:pPr>
        <w:adjustRightInd/>
        <w:spacing w:line="360" w:lineRule="auto"/>
        <w:jc w:val="center"/>
        <w:outlineLvl w:val="0"/>
        <w:rPr>
          <w:rFonts w:ascii="仿宋" w:hAnsi="仿宋" w:eastAsia="仿宋" w:cs="仿宋"/>
          <w:b/>
          <w:sz w:val="36"/>
          <w:szCs w:val="20"/>
        </w:rPr>
      </w:pPr>
      <w:r>
        <w:rPr>
          <w:rFonts w:hint="eastAsia" w:ascii="仿宋" w:hAnsi="仿宋" w:eastAsia="仿宋" w:cs="仿宋"/>
          <w:b/>
          <w:sz w:val="36"/>
          <w:szCs w:val="20"/>
        </w:rPr>
        <w:br w:type="page"/>
      </w:r>
      <w:r>
        <w:rPr>
          <w:rFonts w:hint="eastAsia" w:ascii="仿宋" w:hAnsi="仿宋" w:eastAsia="仿宋" w:cs="仿宋"/>
          <w:b/>
          <w:sz w:val="36"/>
          <w:szCs w:val="20"/>
        </w:rPr>
        <w:t>第二部分</w:t>
      </w:r>
      <w:bookmarkEnd w:id="8"/>
      <w:r>
        <w:rPr>
          <w:rFonts w:hint="eastAsia" w:ascii="仿宋" w:hAnsi="仿宋" w:eastAsia="仿宋" w:cs="仿宋"/>
          <w:b/>
          <w:sz w:val="36"/>
          <w:szCs w:val="20"/>
        </w:rPr>
        <w:t xml:space="preserve"> 投标人须知</w:t>
      </w:r>
      <w:bookmarkEnd w:id="9"/>
    </w:p>
    <w:p>
      <w:pPr>
        <w:snapToGrid w:val="0"/>
        <w:spacing w:line="360" w:lineRule="auto"/>
        <w:jc w:val="center"/>
        <w:rPr>
          <w:rFonts w:ascii="仿宋" w:hAnsi="仿宋" w:eastAsia="仿宋" w:cs="仿宋"/>
          <w:b/>
          <w:sz w:val="32"/>
          <w:szCs w:val="20"/>
        </w:rPr>
      </w:pPr>
      <w:r>
        <w:rPr>
          <w:rFonts w:hint="eastAsia" w:ascii="仿宋" w:hAnsi="仿宋" w:eastAsia="仿宋" w:cs="仿宋"/>
          <w:b/>
          <w:sz w:val="32"/>
          <w:szCs w:val="20"/>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 w:hAnsi="仿宋" w:eastAsia="仿宋" w:cs="仿宋"/>
                <w:b/>
                <w:sz w:val="24"/>
              </w:rPr>
            </w:pPr>
            <w:r>
              <w:rPr>
                <w:rFonts w:hint="eastAsia" w:ascii="仿宋" w:hAnsi="仿宋" w:eastAsia="仿宋" w:cs="仿宋"/>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5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lang w:val="en-US" w:eastAsia="zh-CN"/>
              </w:rPr>
            </w:pPr>
            <w:r>
              <w:rPr>
                <w:rFonts w:hint="eastAsia" w:ascii="仿宋" w:hAnsi="仿宋" w:eastAsia="仿宋" w:cs="仿宋"/>
                <w:sz w:val="24"/>
                <w:lang w:val="en-US" w:eastAsia="zh-CN"/>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default" w:ascii="仿宋_GB2312" w:hAnsi="仿宋" w:eastAsia="仿宋_GB2312" w:cs="仿宋_GB2312"/>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both"/>
              <w:rPr>
                <w:rFonts w:hint="eastAsia" w:ascii="仿宋" w:hAnsi="仿宋" w:eastAsia="仿宋" w:cs="仿宋"/>
                <w:b/>
                <w:kern w:val="0"/>
                <w:sz w:val="24"/>
              </w:rPr>
            </w:pPr>
            <w:r>
              <w:rPr>
                <w:rFonts w:hint="eastAsia" w:ascii="仿宋_GB2312" w:hAnsi="仿宋" w:eastAsia="仿宋_GB2312" w:cs="仿宋_GB2312"/>
                <w:sz w:val="24"/>
                <w:lang w:val="en-US" w:eastAsia="zh-CN"/>
              </w:rPr>
              <w:t>货物</w:t>
            </w:r>
            <w:r>
              <w:rPr>
                <w:rFonts w:hint="default" w:ascii="仿宋_GB2312" w:hAnsi="仿宋" w:eastAsia="仿宋_GB2312" w:cs="仿宋_GB2312"/>
                <w:sz w:val="24"/>
              </w:rPr>
              <w:t>类</w:t>
            </w:r>
            <w:r>
              <w:rPr>
                <w:rFonts w:hint="eastAsia" w:ascii="仿宋_GB2312" w:hAnsi="仿宋" w:eastAsia="仿宋_GB2312" w:cs="仿宋_GB2312"/>
                <w:sz w:val="24"/>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2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ind w:firstLine="240" w:firstLineChars="100"/>
              <w:jc w:val="left"/>
              <w:rPr>
                <w:rFonts w:ascii="仿宋" w:hAnsi="仿宋" w:eastAsia="仿宋" w:cs="仿宋"/>
                <w:b/>
                <w:kern w:val="0"/>
                <w:sz w:val="24"/>
                <w:lang w:val="zh-CN"/>
              </w:rPr>
            </w:pPr>
            <w:r>
              <w:rPr>
                <w:rFonts w:hint="eastAsia" w:ascii="仿宋" w:hAnsi="仿宋" w:eastAsia="仿宋" w:cs="仿宋"/>
                <w:kern w:val="0"/>
                <w:sz w:val="24"/>
                <w:lang w:val="zh-CN"/>
              </w:rPr>
              <w:t>有关本项目实施所需的所有费用（含税费）均计入报价。</w:t>
            </w:r>
            <w:r>
              <w:rPr>
                <w:rFonts w:hint="eastAsia" w:ascii="仿宋" w:hAnsi="仿宋" w:eastAsia="仿宋" w:cs="仿宋"/>
                <w:sz w:val="24"/>
              </w:rPr>
              <w:t>开标一览表（报价表）是报价的唯一载体</w:t>
            </w:r>
            <w:r>
              <w:rPr>
                <w:rFonts w:hint="eastAsia" w:ascii="仿宋" w:hAnsi="仿宋" w:eastAsia="仿宋" w:cs="仿宋"/>
                <w:kern w:val="0"/>
                <w:sz w:val="24"/>
                <w:lang w:val="zh-CN"/>
              </w:rPr>
              <w:t>。投标文件中价格全部采用人民币报价。招标文件未列明，而投标人认为必需的费用也需列入报价。</w:t>
            </w:r>
          </w:p>
          <w:p>
            <w:pPr>
              <w:snapToGrid w:val="0"/>
              <w:spacing w:line="360" w:lineRule="auto"/>
              <w:ind w:firstLine="280" w:firstLineChars="100"/>
              <w:jc w:val="left"/>
              <w:rPr>
                <w:rFonts w:ascii="仿宋" w:hAnsi="仿宋" w:eastAsia="仿宋" w:cs="仿宋"/>
                <w:b/>
                <w:kern w:val="0"/>
                <w:sz w:val="24"/>
                <w:lang w:val="zh-CN"/>
              </w:rPr>
            </w:pPr>
            <w:r>
              <w:rPr>
                <w:rFonts w:hint="eastAsia" w:ascii="仿宋" w:hAnsi="仿宋" w:eastAsia="仿宋" w:cs="仿宋"/>
                <w:sz w:val="28"/>
                <w:szCs w:val="28"/>
              </w:rPr>
              <w:t>▲</w:t>
            </w:r>
            <w:r>
              <w:rPr>
                <w:rFonts w:hint="eastAsia" w:ascii="仿宋" w:hAnsi="仿宋" w:eastAsia="仿宋" w:cs="仿宋"/>
                <w:b/>
                <w:kern w:val="0"/>
                <w:sz w:val="24"/>
                <w:lang w:val="zh-CN"/>
              </w:rPr>
              <w:t>投标报价出现下列情形的，投标无效：</w:t>
            </w:r>
          </w:p>
          <w:p>
            <w:pPr>
              <w:snapToGrid w:val="0"/>
              <w:spacing w:line="360" w:lineRule="auto"/>
              <w:ind w:firstLine="241" w:firstLineChars="100"/>
              <w:jc w:val="left"/>
              <w:rPr>
                <w:rFonts w:ascii="仿宋" w:hAnsi="仿宋" w:eastAsia="仿宋" w:cs="仿宋"/>
                <w:b/>
                <w:kern w:val="0"/>
                <w:sz w:val="24"/>
                <w:lang w:val="zh-CN"/>
              </w:rPr>
            </w:pPr>
            <w:r>
              <w:rPr>
                <w:rFonts w:hint="eastAsia" w:ascii="仿宋" w:hAnsi="仿宋" w:eastAsia="仿宋" w:cs="仿宋"/>
                <w:b/>
                <w:kern w:val="0"/>
                <w:sz w:val="24"/>
              </w:rPr>
              <w:t>1.1</w:t>
            </w:r>
            <w:r>
              <w:rPr>
                <w:rFonts w:hint="eastAsia" w:ascii="仿宋" w:hAnsi="仿宋" w:eastAsia="仿宋" w:cs="仿宋"/>
                <w:b/>
                <w:kern w:val="0"/>
                <w:sz w:val="24"/>
                <w:lang w:val="zh-CN"/>
              </w:rPr>
              <w:t>采购预算/最高限价：</w:t>
            </w:r>
            <w:r>
              <w:rPr>
                <w:rFonts w:hint="eastAsia" w:ascii="仿宋" w:hAnsi="仿宋" w:eastAsia="仿宋" w:cs="仿宋"/>
                <w:b/>
                <w:kern w:val="0"/>
                <w:sz w:val="24"/>
              </w:rPr>
              <w:t>2830000.00元，</w:t>
            </w:r>
            <w:r>
              <w:rPr>
                <w:rFonts w:hint="eastAsia" w:ascii="仿宋" w:hAnsi="仿宋" w:eastAsia="仿宋" w:cs="仿宋"/>
                <w:b/>
                <w:kern w:val="0"/>
                <w:sz w:val="24"/>
                <w:lang w:val="zh-CN"/>
              </w:rPr>
              <w:t>投标人针对本项目的投标报价不得超过采购预算金额，否则其投标无效。</w:t>
            </w:r>
          </w:p>
          <w:p>
            <w:pPr>
              <w:snapToGrid w:val="0"/>
              <w:spacing w:line="360" w:lineRule="auto"/>
              <w:ind w:firstLine="241" w:firstLineChars="100"/>
              <w:jc w:val="left"/>
              <w:rPr>
                <w:rFonts w:ascii="仿宋" w:hAnsi="仿宋" w:eastAsia="仿宋" w:cs="仿宋"/>
                <w:b/>
                <w:sz w:val="24"/>
              </w:rPr>
            </w:pPr>
            <w:r>
              <w:rPr>
                <w:rFonts w:hint="eastAsia" w:ascii="仿宋" w:hAnsi="仿宋" w:eastAsia="仿宋" w:cs="仿宋"/>
                <w:b/>
                <w:kern w:val="0"/>
                <w:sz w:val="24"/>
              </w:rPr>
              <w:t>1.2报价明显低于其他通过符合性审查投标人的报价，有可能影响产品质量或者不能诚信履约的，未能按要求提供书面说明或者提交相关证明材料证明其报价合理性的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sz w:val="24"/>
                <w:szCs w:val="21"/>
              </w:rPr>
              <w:t>;</w:t>
            </w:r>
          </w:p>
          <w:p>
            <w:pPr>
              <w:snapToGrid w:val="0"/>
              <w:spacing w:line="360" w:lineRule="auto"/>
              <w:ind w:firstLine="241" w:firstLineChars="100"/>
              <w:jc w:val="left"/>
              <w:rPr>
                <w:rFonts w:ascii="仿宋" w:hAnsi="仿宋" w:eastAsia="仿宋" w:cs="仿宋"/>
                <w:b/>
                <w:sz w:val="24"/>
              </w:rPr>
            </w:pPr>
            <w:r>
              <w:rPr>
                <w:rFonts w:hint="eastAsia" w:ascii="仿宋" w:hAnsi="仿宋" w:eastAsia="仿宋" w:cs="仿宋"/>
                <w:b/>
                <w:kern w:val="0"/>
                <w:sz w:val="24"/>
              </w:rPr>
              <w:t>1.3投标人对根据修正原则修正后的报价不确认的</w:t>
            </w:r>
            <w:r>
              <w:rPr>
                <w:rFonts w:hint="eastAsia" w:ascii="仿宋" w:hAnsi="仿宋" w:eastAsia="仿宋" w:cs="仿宋"/>
                <w:b/>
                <w:sz w:val="24"/>
              </w:rPr>
              <w:t>。</w:t>
            </w:r>
          </w:p>
          <w:p>
            <w:pPr>
              <w:snapToGrid w:val="0"/>
              <w:spacing w:line="360" w:lineRule="auto"/>
              <w:ind w:firstLine="241" w:firstLineChars="100"/>
              <w:jc w:val="left"/>
              <w:rPr>
                <w:rFonts w:ascii="仿宋" w:hAnsi="仿宋" w:eastAsia="仿宋" w:cs="仿宋"/>
                <w:sz w:val="24"/>
              </w:rPr>
            </w:pPr>
            <w:r>
              <w:rPr>
                <w:rFonts w:hint="eastAsia" w:ascii="仿宋" w:hAnsi="仿宋" w:eastAsia="仿宋" w:cs="仿宋"/>
                <w:b/>
                <w:kern w:val="0"/>
                <w:sz w:val="24"/>
              </w:rPr>
              <w:t>1.4</w:t>
            </w:r>
            <w:r>
              <w:rPr>
                <w:rFonts w:hint="eastAsia" w:ascii="仿宋" w:hAnsi="仿宋" w:eastAsia="仿宋" w:cs="仿宋"/>
                <w:b/>
                <w:kern w:val="0"/>
                <w:sz w:val="24"/>
                <w:lang w:val="zh-CN"/>
              </w:rPr>
              <w:t>投标文件出现不是唯一的、有选择性投标报价的；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1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仿宋" w:hAnsi="仿宋" w:eastAsia="仿宋" w:cs="仿宋"/>
                <w:b/>
                <w:sz w:val="24"/>
              </w:rPr>
            </w:pPr>
            <w:r>
              <w:rPr>
                <w:rFonts w:hint="eastAsia" w:ascii="仿宋" w:hAnsi="仿宋" w:eastAsia="仿宋" w:cs="仿宋"/>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 xml:space="preserve"> A</w:t>
            </w:r>
            <w:r>
              <w:rPr>
                <w:rFonts w:hint="eastAsia" w:ascii="仿宋" w:hAnsi="仿宋" w:eastAsia="仿宋" w:cs="仿宋"/>
                <w:sz w:val="24"/>
              </w:rPr>
              <w:t>同意将非主体、非关键性的工作分包。</w:t>
            </w:r>
          </w:p>
          <w:p>
            <w:pPr>
              <w:spacing w:line="360" w:lineRule="auto"/>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kern w:val="0"/>
                <w:sz w:val="24"/>
              </w:rPr>
              <w:t xml:space="preserve"> B</w:t>
            </w:r>
            <w:r>
              <w:rPr>
                <w:rFonts w:hint="eastAsia" w:ascii="仿宋" w:hAnsi="仿宋" w:eastAsia="仿宋" w:cs="仿宋"/>
                <w:sz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2"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仿宋" w:hAnsi="仿宋" w:eastAsia="仿宋" w:cs="仿宋"/>
                <w:sz w:val="24"/>
              </w:rPr>
            </w:pPr>
          </w:p>
          <w:p>
            <w:pPr>
              <w:snapToGrid w:val="0"/>
              <w:spacing w:line="360" w:lineRule="auto"/>
              <w:jc w:val="center"/>
              <w:rPr>
                <w:rFonts w:ascii="仿宋" w:hAnsi="仿宋" w:eastAsia="仿宋" w:cs="仿宋"/>
                <w:sz w:val="24"/>
              </w:rPr>
            </w:pPr>
          </w:p>
          <w:p>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4</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仿宋" w:hAnsi="仿宋" w:eastAsia="仿宋" w:cs="仿宋"/>
                <w:sz w:val="24"/>
              </w:rPr>
            </w:pPr>
            <w:r>
              <w:rPr>
                <w:rFonts w:hint="eastAsia" w:ascii="仿宋" w:hAnsi="仿宋" w:eastAsia="仿宋" w:cs="仿宋"/>
                <w:sz w:val="24"/>
              </w:rPr>
              <w:t>（1）资格证明文件：见招标文件第二部分11.1。</w:t>
            </w:r>
          </w:p>
          <w:p>
            <w:pPr>
              <w:spacing w:line="360" w:lineRule="auto"/>
              <w:rPr>
                <w:rFonts w:ascii="仿宋" w:hAnsi="仿宋" w:eastAsia="仿宋" w:cs="仿宋"/>
                <w:snapToGrid w:val="0"/>
                <w:kern w:val="0"/>
                <w:szCs w:val="21"/>
              </w:rPr>
            </w:pPr>
            <w:r>
              <w:rPr>
                <w:rFonts w:hint="eastAsia" w:ascii="仿宋" w:hAnsi="仿宋" w:eastAsia="仿宋" w:cs="仿宋"/>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5"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仿宋" w:hAnsi="仿宋" w:eastAsia="仿宋" w:cs="仿宋"/>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sz w:val="24"/>
              </w:rPr>
            </w:pPr>
            <w:r>
              <w:rPr>
                <w:rFonts w:hint="eastAsia" w:ascii="仿宋" w:hAnsi="仿宋" w:eastAsia="仿宋" w:cs="仿宋"/>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5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5</w:t>
            </w:r>
          </w:p>
        </w:tc>
        <w:tc>
          <w:tcPr>
            <w:tcW w:w="1843" w:type="dxa"/>
            <w:tcBorders>
              <w:top w:val="single" w:color="000000" w:sz="8" w:space="0"/>
              <w:left w:val="single" w:color="auto" w:sz="4" w:space="0"/>
              <w:bottom w:val="single" w:color="auto" w:sz="4"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A</w:t>
            </w:r>
            <w:r>
              <w:rPr>
                <w:rFonts w:hint="eastAsia" w:ascii="仿宋" w:hAnsi="仿宋" w:eastAsia="仿宋" w:cs="仿宋"/>
                <w:sz w:val="24"/>
              </w:rPr>
              <w:t>不组织；自行踏勘，安全责任自负。</w:t>
            </w:r>
          </w:p>
          <w:p>
            <w:pPr>
              <w:spacing w:line="360" w:lineRule="auto"/>
              <w:rPr>
                <w:rFonts w:ascii="仿宋" w:hAnsi="仿宋" w:eastAsia="仿宋" w:cs="仿宋"/>
                <w:sz w:val="24"/>
                <w:szCs w:val="20"/>
              </w:rPr>
            </w:pPr>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   </w:t>
            </w:r>
            <w:r>
              <w:rPr>
                <w:rFonts w:hint="eastAsia" w:ascii="仿宋" w:hAnsi="仿宋" w:eastAsia="仿宋" w:cs="仿宋"/>
                <w:sz w:val="24"/>
              </w:rPr>
              <w:t>,地点：</w:t>
            </w:r>
            <w:r>
              <w:rPr>
                <w:rFonts w:hint="eastAsia" w:ascii="仿宋" w:hAnsi="仿宋" w:eastAsia="仿宋" w:cs="仿宋"/>
                <w:sz w:val="24"/>
                <w:u w:val="single"/>
              </w:rPr>
              <w:t xml:space="preserve">   /   </w:t>
            </w:r>
            <w:r>
              <w:rPr>
                <w:rFonts w:hint="eastAsia" w:ascii="仿宋" w:hAnsi="仿宋" w:eastAsia="仿宋" w:cs="仿宋"/>
                <w:sz w:val="24"/>
              </w:rPr>
              <w:t>，联系人：</w:t>
            </w:r>
            <w:r>
              <w:rPr>
                <w:rFonts w:hint="eastAsia" w:ascii="仿宋" w:hAnsi="仿宋" w:eastAsia="仿宋" w:cs="仿宋"/>
                <w:sz w:val="24"/>
                <w:u w:val="single"/>
              </w:rPr>
              <w:t xml:space="preserve">   /   </w:t>
            </w:r>
            <w:r>
              <w:rPr>
                <w:rFonts w:hint="eastAsia" w:ascii="仿宋" w:hAnsi="仿宋" w:eastAsia="仿宋" w:cs="仿宋"/>
                <w:sz w:val="24"/>
              </w:rPr>
              <w:t>，联系方式：</w:t>
            </w:r>
            <w:r>
              <w:rPr>
                <w:rFonts w:hint="eastAsia" w:ascii="仿宋" w:hAnsi="仿宋" w:eastAsia="仿宋" w:cs="仿宋"/>
                <w:sz w:val="24"/>
                <w:u w:val="single"/>
              </w:rPr>
              <w:t xml:space="preserve">    /    </w:t>
            </w:r>
            <w:r>
              <w:rPr>
                <w:rFonts w:hint="eastAsia" w:ascii="仿宋" w:hAnsi="仿宋" w:eastAsia="仿宋" w:cs="仿宋"/>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6</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b/>
                <w:sz w:val="24"/>
              </w:rPr>
            </w:pPr>
            <w:r>
              <w:rPr>
                <w:rFonts w:hint="eastAsia" w:ascii="仿宋" w:hAnsi="仿宋" w:eastAsia="仿宋" w:cs="仿宋"/>
                <w:b/>
                <w:sz w:val="24"/>
              </w:rPr>
              <w:t>样品提供</w:t>
            </w:r>
          </w:p>
        </w:tc>
        <w:tc>
          <w:tcPr>
            <w:tcW w:w="6095" w:type="dxa"/>
            <w:tcBorders>
              <w:top w:val="single" w:color="000000" w:sz="8" w:space="0"/>
              <w:left w:val="single" w:color="auto" w:sz="4" w:space="0"/>
              <w:bottom w:val="single" w:color="000000" w:sz="8" w:space="0"/>
              <w:right w:val="single" w:color="000000" w:sz="8" w:space="0"/>
            </w:tcBorders>
            <w:vAlign w:val="center"/>
          </w:tcPr>
          <w:p>
            <w:pPr>
              <w:spacing w:line="360" w:lineRule="auto"/>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kern w:val="0"/>
                <w:sz w:val="24"/>
              </w:rPr>
              <w:t>A</w:t>
            </w:r>
            <w:r>
              <w:rPr>
                <w:rFonts w:hint="eastAsia" w:ascii="仿宋" w:hAnsi="仿宋" w:eastAsia="仿宋" w:cs="仿宋"/>
                <w:sz w:val="24"/>
              </w:rPr>
              <w:t>不要求提供；</w:t>
            </w:r>
          </w:p>
          <w:p>
            <w:pPr>
              <w:spacing w:line="360" w:lineRule="auto"/>
              <w:rPr>
                <w:rFonts w:ascii="仿宋" w:hAnsi="仿宋" w:eastAsia="仿宋" w:cs="仿宋"/>
                <w:b/>
                <w:sz w:val="24"/>
              </w:rPr>
            </w:pPr>
            <w:r>
              <w:rPr>
                <w:rFonts w:hint="eastAsia" w:ascii="仿宋" w:hAnsi="仿宋" w:eastAsia="仿宋" w:cs="仿宋"/>
                <w:kern w:val="0"/>
                <w:sz w:val="24"/>
              </w:rPr>
              <w:sym w:font="Wingdings" w:char="00FE"/>
            </w:r>
            <w:r>
              <w:rPr>
                <w:rFonts w:hint="eastAsia" w:ascii="仿宋" w:hAnsi="仿宋" w:eastAsia="仿宋" w:cs="仿宋"/>
                <w:kern w:val="0"/>
                <w:sz w:val="24"/>
              </w:rPr>
              <w:t>B</w:t>
            </w:r>
            <w:r>
              <w:rPr>
                <w:rFonts w:hint="eastAsia" w:ascii="仿宋" w:hAnsi="仿宋" w:eastAsia="仿宋" w:cs="仿宋"/>
                <w:b/>
                <w:bCs/>
                <w:kern w:val="0"/>
                <w:sz w:val="24"/>
              </w:rPr>
              <w:t>要求提供见本表下附</w:t>
            </w:r>
            <w:r>
              <w:rPr>
                <w:rFonts w:hint="eastAsia" w:ascii="仿宋" w:hAnsi="仿宋" w:eastAsia="仿宋" w:cs="仿宋"/>
                <w:b/>
                <w:bCs/>
                <w:kern w:val="0"/>
                <w:sz w:val="24"/>
                <w:lang w:eastAsia="zh-CN"/>
              </w:rPr>
              <w:t>：</w:t>
            </w:r>
            <w:r>
              <w:rPr>
                <w:rFonts w:hint="eastAsia" w:ascii="仿宋" w:hAnsi="仿宋" w:eastAsia="仿宋" w:cs="仿宋"/>
                <w:b/>
                <w:bCs/>
                <w:color w:val="000000"/>
                <w:sz w:val="24"/>
              </w:rPr>
              <w:t>样品递交须知</w:t>
            </w:r>
            <w:r>
              <w:rPr>
                <w:rFonts w:hint="eastAsia" w:ascii="仿宋" w:hAnsi="仿宋" w:eastAsia="仿宋" w:cs="仿宋"/>
                <w:b/>
                <w:bCs/>
                <w:kern w:val="0"/>
                <w:sz w:val="24"/>
              </w:rPr>
              <w:t>，其他要求可见评分表。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5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7</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bCs/>
                <w:sz w:val="24"/>
              </w:rPr>
            </w:pPr>
            <w:r>
              <w:rPr>
                <w:rFonts w:hint="eastAsia" w:ascii="仿宋" w:hAnsi="仿宋" w:eastAsia="仿宋" w:cs="仿宋"/>
                <w:b/>
                <w:sz w:val="24"/>
              </w:rPr>
              <w:t>方案讲解演示</w:t>
            </w:r>
          </w:p>
        </w:tc>
        <w:tc>
          <w:tcPr>
            <w:tcW w:w="6095" w:type="dxa"/>
            <w:tcBorders>
              <w:top w:val="single" w:color="000000" w:sz="8" w:space="0"/>
              <w:left w:val="single" w:color="auto" w:sz="4" w:space="0"/>
              <w:bottom w:val="single" w:color="000000" w:sz="8" w:space="0"/>
              <w:right w:val="single" w:color="000000" w:sz="8" w:space="0"/>
            </w:tcBorders>
            <w:vAlign w:val="center"/>
          </w:tcPr>
          <w:p>
            <w:pPr>
              <w:spacing w:line="360" w:lineRule="auto"/>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A</w:t>
            </w:r>
            <w:r>
              <w:rPr>
                <w:rFonts w:hint="eastAsia" w:ascii="仿宋" w:hAnsi="仿宋" w:eastAsia="仿宋" w:cs="仿宋"/>
                <w:sz w:val="24"/>
              </w:rPr>
              <w:t>不组织。</w:t>
            </w:r>
          </w:p>
          <w:p>
            <w:pPr>
              <w:spacing w:line="360" w:lineRule="auto"/>
              <w:rPr>
                <w:rFonts w:ascii="仿宋" w:hAnsi="仿宋" w:eastAsia="仿宋" w:cs="仿宋"/>
                <w:b/>
                <w:kern w:val="0"/>
                <w:sz w:val="24"/>
                <w:lang w:val="zh-CN"/>
              </w:rPr>
            </w:pPr>
            <w:r>
              <w:rPr>
                <w:rFonts w:hint="eastAsia" w:ascii="仿宋" w:hAnsi="仿宋" w:eastAsia="仿宋" w:cs="仿宋"/>
                <w:kern w:val="0"/>
                <w:sz w:val="24"/>
              </w:rPr>
              <w:sym w:font="Wingdings" w:char="00A8"/>
            </w:r>
            <w:r>
              <w:rPr>
                <w:rFonts w:hint="eastAsia" w:ascii="仿宋" w:hAnsi="仿宋" w:eastAsia="仿宋" w:cs="仿宋"/>
                <w:kern w:val="0"/>
                <w:sz w:val="24"/>
              </w:rPr>
              <w:t>B组织，根据评审细则进行。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77"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8</w:t>
            </w:r>
          </w:p>
        </w:tc>
        <w:tc>
          <w:tcPr>
            <w:tcW w:w="1843" w:type="dxa"/>
            <w:tcBorders>
              <w:top w:val="single" w:color="auto" w:sz="4"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kern w:val="0"/>
                <w:sz w:val="24"/>
              </w:rPr>
            </w:pPr>
            <w:r>
              <w:rPr>
                <w:rFonts w:hint="eastAsia" w:ascii="仿宋" w:hAnsi="仿宋" w:eastAsia="仿宋" w:cs="仿宋"/>
                <w:kern w:val="0"/>
                <w:sz w:val="24"/>
              </w:rPr>
              <w:sym w:font="Wingdings" w:char="F0FE"/>
            </w:r>
            <w:r>
              <w:rPr>
                <w:rFonts w:hint="eastAsia" w:ascii="仿宋" w:hAnsi="仿宋" w:eastAsia="仿宋" w:cs="仿宋"/>
                <w:kern w:val="0"/>
                <w:sz w:val="24"/>
              </w:rPr>
              <w:t>本项目不允许采购进口产品。</w:t>
            </w:r>
          </w:p>
          <w:p>
            <w:pPr>
              <w:spacing w:line="360" w:lineRule="auto"/>
              <w:rPr>
                <w:rFonts w:ascii="仿宋" w:hAnsi="仿宋" w:eastAsia="仿宋" w:cs="仿宋"/>
              </w:rPr>
            </w:pPr>
            <w:r>
              <w:rPr>
                <w:rFonts w:hint="eastAsia" w:ascii="仿宋" w:hAnsi="仿宋" w:eastAsia="仿宋" w:cs="仿宋"/>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jc w:val="left"/>
              <w:rPr>
                <w:rFonts w:ascii="宋体" w:hAnsi="宋体"/>
                <w:b/>
                <w:sz w:val="24"/>
              </w:rPr>
            </w:pPr>
            <w:r>
              <w:rPr>
                <w:rFonts w:hint="eastAsia" w:ascii="仿宋" w:hAnsi="仿宋" w:eastAsia="仿宋" w:cs="仿宋"/>
                <w:kern w:val="0"/>
                <w:sz w:val="24"/>
              </w:rPr>
              <w:sym w:font="Wingdings" w:char="00FE"/>
            </w:r>
            <w:r>
              <w:rPr>
                <w:rFonts w:hint="eastAsia" w:ascii="仿宋" w:hAnsi="仿宋" w:eastAsia="仿宋" w:cs="仿宋"/>
                <w:kern w:val="0"/>
                <w:sz w:val="24"/>
              </w:rPr>
              <w:t>A</w:t>
            </w:r>
            <w:r>
              <w:rPr>
                <w:rFonts w:hint="eastAsia" w:ascii="仿宋" w:hAnsi="仿宋" w:eastAsia="仿宋" w:cs="仿宋"/>
                <w:sz w:val="24"/>
              </w:rPr>
              <w:t>货物类</w:t>
            </w:r>
            <w:r>
              <w:rPr>
                <w:rFonts w:hint="default" w:ascii="宋体" w:hAnsi="宋体" w:eastAsia="宋体" w:cs="Times New Roman"/>
                <w:b/>
                <w:sz w:val="24"/>
              </w:rPr>
              <w:t>，单一产品或</w:t>
            </w:r>
            <w:r>
              <w:rPr>
                <w:rFonts w:hint="default" w:ascii="宋体" w:hAnsi="宋体" w:eastAsia="宋体" w:cs="Times New Roman"/>
                <w:b/>
                <w:kern w:val="2"/>
                <w:sz w:val="24"/>
              </w:rPr>
              <w:t>核心产品为：</w:t>
            </w:r>
            <w:r>
              <w:rPr>
                <w:rFonts w:hint="eastAsia" w:ascii="宋体" w:hAnsi="宋体"/>
                <w:b/>
                <w:sz w:val="24"/>
              </w:rPr>
              <w:t>①烹饪间-</w:t>
            </w:r>
            <w:r>
              <w:rPr>
                <w:rFonts w:ascii="宋体" w:hAnsi="宋体"/>
                <w:b/>
                <w:sz w:val="24"/>
              </w:rPr>
              <w:t>序号6</w:t>
            </w:r>
            <w:r>
              <w:rPr>
                <w:rFonts w:hint="eastAsia" w:ascii="宋体" w:hAnsi="宋体"/>
                <w:b/>
                <w:sz w:val="24"/>
              </w:rPr>
              <w:t>,</w:t>
            </w:r>
            <w:r>
              <w:rPr>
                <w:rFonts w:ascii="宋体" w:hAnsi="宋体"/>
                <w:b/>
                <w:sz w:val="24"/>
              </w:rPr>
              <w:t>一广一京炒灶（后档同大灶）；</w:t>
            </w:r>
            <w:r>
              <w:rPr>
                <w:rFonts w:hint="eastAsia" w:ascii="宋体" w:hAnsi="宋体"/>
                <w:b/>
                <w:sz w:val="24"/>
              </w:rPr>
              <w:t>②洗消区-</w:t>
            </w:r>
            <w:r>
              <w:rPr>
                <w:rFonts w:ascii="宋体" w:hAnsi="宋体"/>
                <w:b/>
                <w:sz w:val="24"/>
              </w:rPr>
              <w:t>序号7</w:t>
            </w:r>
            <w:r>
              <w:rPr>
                <w:rFonts w:hint="eastAsia" w:ascii="宋体" w:hAnsi="宋体"/>
                <w:b/>
                <w:sz w:val="24"/>
              </w:rPr>
              <w:t>,</w:t>
            </w:r>
            <w:r>
              <w:rPr>
                <w:rFonts w:ascii="宋体" w:hAnsi="宋体"/>
                <w:b/>
                <w:sz w:val="24"/>
              </w:rPr>
              <w:t>长龙式洗碗机控制箱；</w:t>
            </w:r>
            <w:r>
              <w:rPr>
                <w:rFonts w:hint="eastAsia" w:ascii="宋体" w:hAnsi="宋体"/>
                <w:b/>
                <w:sz w:val="24"/>
              </w:rPr>
              <w:t>③一层学生餐厅-</w:t>
            </w:r>
            <w:r>
              <w:rPr>
                <w:rFonts w:ascii="宋体" w:hAnsi="宋体"/>
                <w:b/>
                <w:sz w:val="24"/>
              </w:rPr>
              <w:t>序号4</w:t>
            </w:r>
            <w:r>
              <w:rPr>
                <w:rFonts w:hint="eastAsia" w:ascii="宋体" w:hAnsi="宋体"/>
                <w:b/>
                <w:sz w:val="24"/>
              </w:rPr>
              <w:t>，</w:t>
            </w:r>
            <w:r>
              <w:rPr>
                <w:rFonts w:ascii="宋体" w:hAnsi="宋体"/>
                <w:b/>
                <w:sz w:val="24"/>
              </w:rPr>
              <w:t>自助式六斗保温餐台</w:t>
            </w:r>
            <w:r>
              <w:rPr>
                <w:rFonts w:hint="eastAsia" w:ascii="宋体" w:hAnsi="宋体"/>
                <w:b/>
                <w:sz w:val="24"/>
              </w:rPr>
              <w:t>；④排烟系统烹饪区-序号2-油烟净化器“电场”。</w:t>
            </w:r>
          </w:p>
          <w:p>
            <w:pPr>
              <w:spacing w:line="360" w:lineRule="auto"/>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kern w:val="0"/>
                <w:sz w:val="24"/>
              </w:rPr>
              <w:t>B</w:t>
            </w:r>
            <w:r>
              <w:rPr>
                <w:rFonts w:hint="eastAsia" w:ascii="仿宋" w:hAnsi="仿宋" w:eastAsia="仿宋" w:cs="仿宋"/>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3"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rPr>
              <w:drawing>
                <wp:anchor distT="0" distB="0" distL="114300" distR="114300" simplePos="0" relativeHeight="251824128" behindDoc="0" locked="0" layoutInCell="1" allowOverlap="1">
                  <wp:simplePos x="0" y="0"/>
                  <wp:positionH relativeFrom="column">
                    <wp:posOffset>1141730</wp:posOffset>
                  </wp:positionH>
                  <wp:positionV relativeFrom="page">
                    <wp:posOffset>2889250</wp:posOffset>
                  </wp:positionV>
                  <wp:extent cx="3842385" cy="378460"/>
                  <wp:effectExtent l="0" t="0" r="5715" b="2540"/>
                  <wp:wrapNone/>
                  <wp:docPr id="1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
                          <pic:cNvPicPr>
                            <a:picLocks noChangeAspect="1"/>
                          </pic:cNvPicPr>
                        </pic:nvPicPr>
                        <pic:blipFill>
                          <a:blip r:embed="rId29" cstate="print"/>
                          <a:stretch>
                            <a:fillRect/>
                          </a:stretch>
                        </pic:blipFill>
                        <pic:spPr>
                          <a:xfrm>
                            <a:off x="0" y="0"/>
                            <a:ext cx="3842385" cy="378460"/>
                          </a:xfrm>
                          <a:prstGeom prst="rect">
                            <a:avLst/>
                          </a:prstGeom>
                          <a:noFill/>
                          <a:ln>
                            <a:noFill/>
                          </a:ln>
                        </pic:spPr>
                      </pic:pic>
                    </a:graphicData>
                  </a:graphic>
                </wp:anchor>
              </w:drawing>
            </w:r>
            <w:r>
              <w:rPr>
                <w:rFonts w:hint="eastAsia" w:ascii="仿宋" w:hAnsi="仿宋" w:eastAsia="仿宋" w:cs="仿宋"/>
                <w:b/>
                <w:sz w:val="24"/>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621"/>
              <w:tabs>
                <w:tab w:val="left" w:pos="1070"/>
              </w:tabs>
              <w:spacing w:line="360" w:lineRule="auto"/>
              <w:ind w:right="52" w:firstLine="240" w:firstLineChars="100"/>
              <w:rPr>
                <w:rFonts w:ascii="仿宋" w:hAnsi="仿宋" w:eastAsia="仿宋" w:cs="仿宋"/>
                <w:sz w:val="24"/>
                <w:szCs w:val="24"/>
                <w:lang w:eastAsia="zh-CN"/>
              </w:rPr>
            </w:pPr>
            <w:r>
              <w:rPr>
                <w:rFonts w:hint="eastAsia" w:ascii="仿宋" w:hAnsi="仿宋" w:eastAsia="仿宋" w:cs="仿宋"/>
                <w:color w:val="000000"/>
                <w:sz w:val="24"/>
                <w:szCs w:val="24"/>
                <w:lang w:eastAsia="zh-CN"/>
              </w:rPr>
              <w:t>（1）</w:t>
            </w:r>
            <w:r>
              <w:rPr>
                <w:rFonts w:hint="eastAsia" w:ascii="仿宋" w:hAnsi="仿宋" w:eastAsia="仿宋" w:cs="仿宋"/>
                <w:sz w:val="24"/>
                <w:szCs w:val="24"/>
                <w:lang w:eastAsia="zh-CN"/>
              </w:rPr>
              <w:t>本次采购为</w:t>
            </w:r>
            <w:r>
              <w:rPr>
                <w:rFonts w:hint="eastAsia" w:ascii="仿宋" w:hAnsi="仿宋" w:eastAsia="仿宋" w:cs="仿宋"/>
                <w:b/>
                <w:bCs/>
                <w:sz w:val="24"/>
                <w:szCs w:val="24"/>
                <w:u w:val="single"/>
                <w:lang w:eastAsia="zh-CN"/>
              </w:rPr>
              <w:t>专门面向中小企业预留采购份额的采购项目；</w:t>
            </w:r>
          </w:p>
          <w:p>
            <w:pPr>
              <w:pStyle w:val="621"/>
              <w:tabs>
                <w:tab w:val="left" w:pos="1070"/>
              </w:tabs>
              <w:spacing w:line="360" w:lineRule="auto"/>
              <w:ind w:right="52" w:firstLine="240" w:firstLineChars="100"/>
              <w:rPr>
                <w:rFonts w:ascii="仿宋" w:hAnsi="仿宋" w:eastAsia="仿宋" w:cs="仿宋"/>
                <w:sz w:val="24"/>
                <w:szCs w:val="24"/>
                <w:lang w:eastAsia="zh-CN"/>
              </w:rPr>
            </w:pPr>
            <w:r>
              <w:rPr>
                <w:rFonts w:hint="eastAsia" w:ascii="仿宋" w:hAnsi="仿宋" w:eastAsia="仿宋" w:cs="仿宋"/>
                <w:sz w:val="24"/>
                <w:szCs w:val="24"/>
                <w:lang w:eastAsia="zh-CN"/>
              </w:rPr>
              <w:t>（2）本采购文件所称中小企业，是指在中华人民共和国境</w:t>
            </w:r>
            <w:r>
              <w:rPr>
                <w:rFonts w:hint="eastAsia" w:ascii="仿宋" w:hAnsi="仿宋" w:eastAsia="仿宋" w:cs="仿宋"/>
                <w:spacing w:val="-7"/>
                <w:sz w:val="24"/>
                <w:szCs w:val="24"/>
                <w:lang w:eastAsia="zh-CN"/>
              </w:rPr>
              <w:t>内依法设立，依据国务院批准的中小企业划分标准确定的中型</w:t>
            </w:r>
            <w:r>
              <w:rPr>
                <w:rFonts w:hint="eastAsia" w:ascii="仿宋" w:hAnsi="仿宋" w:eastAsia="仿宋" w:cs="仿宋"/>
                <w:spacing w:val="-8"/>
                <w:sz w:val="24"/>
                <w:szCs w:val="24"/>
                <w:lang w:eastAsia="zh-CN"/>
              </w:rPr>
              <w:t xml:space="preserve">企业、小型企业和微型企业，但与大企业的负责人为同一人， </w:t>
            </w:r>
            <w:r>
              <w:rPr>
                <w:rFonts w:hint="eastAsia" w:ascii="仿宋" w:hAnsi="仿宋" w:eastAsia="仿宋" w:cs="仿宋"/>
                <w:sz w:val="24"/>
                <w:szCs w:val="24"/>
                <w:lang w:eastAsia="zh-CN"/>
              </w:rPr>
              <w:t>或者与大企业存在直接控股、管理关系的除外。</w:t>
            </w:r>
          </w:p>
          <w:p>
            <w:pPr>
              <w:pStyle w:val="621"/>
              <w:tabs>
                <w:tab w:val="left" w:pos="1070"/>
              </w:tabs>
              <w:spacing w:line="360" w:lineRule="auto"/>
              <w:ind w:right="52" w:firstLine="240" w:firstLineChars="100"/>
              <w:rPr>
                <w:rFonts w:ascii="仿宋" w:hAnsi="仿宋" w:eastAsia="仿宋" w:cs="仿宋"/>
                <w:spacing w:val="-7"/>
                <w:sz w:val="24"/>
                <w:szCs w:val="24"/>
                <w:u w:val="single"/>
                <w:lang w:eastAsia="zh-CN"/>
              </w:rPr>
            </w:pPr>
            <w:r>
              <w:rPr>
                <w:rFonts w:hint="eastAsia" w:ascii="仿宋" w:hAnsi="仿宋" w:eastAsia="仿宋" w:cs="仿宋"/>
                <w:sz w:val="24"/>
                <w:lang w:eastAsia="zh-CN"/>
              </w:rPr>
              <w:drawing>
                <wp:anchor distT="0" distB="0" distL="0" distR="0" simplePos="0" relativeHeight="251820032" behindDoc="1" locked="0" layoutInCell="1" allowOverlap="1">
                  <wp:simplePos x="0" y="0"/>
                  <wp:positionH relativeFrom="column">
                    <wp:posOffset>13970</wp:posOffset>
                  </wp:positionH>
                  <wp:positionV relativeFrom="paragraph">
                    <wp:posOffset>551815</wp:posOffset>
                  </wp:positionV>
                  <wp:extent cx="3813810" cy="492760"/>
                  <wp:effectExtent l="0" t="0" r="11430" b="10160"/>
                  <wp:wrapTight wrapText="bothSides">
                    <wp:wrapPolygon>
                      <wp:start x="0" y="0"/>
                      <wp:lineTo x="0" y="20709"/>
                      <wp:lineTo x="21492" y="20709"/>
                      <wp:lineTo x="21492" y="0"/>
                      <wp:lineTo x="0" y="0"/>
                    </wp:wrapPolygon>
                  </wp:wrapTight>
                  <wp:docPr id="13"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a:xfrm>
                            <a:off x="0" y="0"/>
                            <a:ext cx="3813810" cy="492760"/>
                          </a:xfrm>
                          <a:prstGeom prst="rect">
                            <a:avLst/>
                          </a:prstGeom>
                          <a:noFill/>
                          <a:ln>
                            <a:noFill/>
                          </a:ln>
                        </pic:spPr>
                      </pic:pic>
                    </a:graphicData>
                  </a:graphic>
                </wp:anchor>
              </w:drawing>
            </w:r>
            <w:r>
              <w:rPr>
                <w:rFonts w:hint="eastAsia" w:ascii="仿宋" w:hAnsi="仿宋" w:eastAsia="仿宋" w:cs="仿宋"/>
                <w:sz w:val="24"/>
                <w:szCs w:val="24"/>
                <w:lang w:eastAsia="zh-CN"/>
              </w:rPr>
              <w:t>（3）本次</w:t>
            </w:r>
            <w:r>
              <w:rPr>
                <w:rFonts w:hint="eastAsia" w:ascii="仿宋" w:hAnsi="仿宋" w:eastAsia="仿宋" w:cs="仿宋"/>
                <w:spacing w:val="-7"/>
                <w:sz w:val="24"/>
                <w:szCs w:val="24"/>
                <w:lang w:eastAsia="zh-CN"/>
              </w:rPr>
              <w:t>采购标的为</w:t>
            </w:r>
            <w:r>
              <w:rPr>
                <w:rFonts w:hint="eastAsia" w:ascii="仿宋" w:hAnsi="仿宋" w:eastAsia="仿宋" w:cs="仿宋"/>
                <w:spacing w:val="-7"/>
                <w:sz w:val="24"/>
                <w:szCs w:val="24"/>
                <w:u w:val="single"/>
                <w:lang w:eastAsia="zh-CN"/>
              </w:rPr>
              <w:t xml:space="preserve"> </w:t>
            </w:r>
            <w:r>
              <w:rPr>
                <w:rFonts w:hint="eastAsia" w:ascii="仿宋" w:hAnsi="仿宋" w:eastAsia="仿宋" w:cs="仿宋"/>
                <w:b/>
                <w:bCs/>
                <w:spacing w:val="-7"/>
                <w:sz w:val="24"/>
                <w:szCs w:val="24"/>
                <w:u w:val="single"/>
                <w:lang w:eastAsia="zh-CN"/>
              </w:rPr>
              <w:t>临平区星桥中学食堂厨房设备采购</w:t>
            </w:r>
            <w:r>
              <w:rPr>
                <w:rFonts w:hint="eastAsia" w:ascii="仿宋" w:hAnsi="仿宋" w:eastAsia="仿宋" w:cs="仿宋"/>
                <w:spacing w:val="-10"/>
                <w:sz w:val="24"/>
                <w:szCs w:val="24"/>
                <w:u w:val="single"/>
                <w:lang w:eastAsia="zh-CN"/>
              </w:rPr>
              <w:t xml:space="preserve"> </w:t>
            </w:r>
            <w:r>
              <w:rPr>
                <w:rFonts w:hint="eastAsia" w:ascii="仿宋" w:hAnsi="仿宋" w:eastAsia="仿宋" w:cs="仿宋"/>
                <w:spacing w:val="-10"/>
                <w:sz w:val="24"/>
                <w:szCs w:val="24"/>
                <w:lang w:eastAsia="zh-CN"/>
              </w:rPr>
              <w:t>，对应的中小企业划分</w:t>
            </w:r>
            <w:r>
              <w:rPr>
                <w:rFonts w:hint="eastAsia" w:ascii="仿宋" w:hAnsi="仿宋" w:eastAsia="仿宋" w:cs="仿宋"/>
                <w:sz w:val="24"/>
                <w:szCs w:val="24"/>
                <w:lang w:eastAsia="zh-CN"/>
              </w:rPr>
              <w:t>标准所属行业是</w:t>
            </w:r>
            <w:r>
              <w:rPr>
                <w:rFonts w:hint="eastAsia" w:ascii="仿宋" w:hAnsi="仿宋" w:eastAsia="仿宋" w:cs="仿宋"/>
                <w:spacing w:val="-7"/>
                <w:sz w:val="24"/>
                <w:szCs w:val="24"/>
                <w:u w:val="single"/>
                <w:lang w:eastAsia="zh-CN"/>
              </w:rPr>
              <w:t>：</w:t>
            </w:r>
            <w:r>
              <w:rPr>
                <w:rFonts w:hint="eastAsia" w:ascii="仿宋" w:hAnsi="仿宋" w:eastAsia="仿宋" w:cs="仿宋"/>
                <w:b/>
                <w:bCs/>
                <w:spacing w:val="-7"/>
                <w:sz w:val="24"/>
                <w:szCs w:val="24"/>
                <w:u w:val="single"/>
                <w:lang w:eastAsia="zh-CN"/>
              </w:rPr>
              <w:t>工业</w:t>
            </w:r>
            <w:r>
              <w:rPr>
                <w:rFonts w:hint="eastAsia" w:ascii="仿宋" w:hAnsi="仿宋" w:eastAsia="仿宋" w:cs="仿宋"/>
                <w:spacing w:val="-7"/>
                <w:sz w:val="24"/>
                <w:szCs w:val="24"/>
                <w:u w:val="single"/>
                <w:lang w:eastAsia="zh-CN"/>
              </w:rPr>
              <w:t>；</w:t>
            </w:r>
          </w:p>
          <w:p>
            <w:pPr>
              <w:pStyle w:val="621"/>
              <w:tabs>
                <w:tab w:val="left" w:pos="1070"/>
              </w:tabs>
              <w:spacing w:line="360" w:lineRule="auto"/>
              <w:ind w:right="52"/>
              <w:rPr>
                <w:rFonts w:ascii="仿宋" w:hAnsi="仿宋" w:eastAsia="仿宋" w:cs="仿宋"/>
                <w:b/>
                <w:bCs/>
                <w:sz w:val="24"/>
                <w:shd w:val="clear" w:color="auto" w:fill="FFFFFF"/>
                <w:lang w:val="zh-CN" w:eastAsia="zh-CN" w:bidi="zh-CN"/>
              </w:rPr>
            </w:pPr>
          </w:p>
          <w:p>
            <w:pPr>
              <w:pStyle w:val="621"/>
              <w:tabs>
                <w:tab w:val="left" w:pos="1070"/>
              </w:tabs>
              <w:spacing w:line="360" w:lineRule="auto"/>
              <w:ind w:right="52"/>
              <w:rPr>
                <w:rFonts w:ascii="仿宋" w:hAnsi="仿宋" w:eastAsia="仿宋" w:cs="仿宋"/>
                <w:b/>
                <w:bCs/>
                <w:sz w:val="24"/>
                <w:shd w:val="clear" w:color="auto" w:fill="FFFFFF"/>
                <w:lang w:val="zh-CN" w:eastAsia="zh-CN" w:bidi="zh-CN"/>
              </w:rPr>
            </w:pPr>
            <w:r>
              <w:rPr>
                <w:rFonts w:hint="eastAsia" w:ascii="仿宋" w:hAnsi="仿宋" w:eastAsia="仿宋" w:cs="仿宋"/>
                <w:b/>
                <w:bCs/>
                <w:sz w:val="24"/>
                <w:shd w:val="clear" w:color="auto" w:fill="FFFFFF"/>
                <w:lang w:val="zh-CN" w:eastAsia="zh-CN" w:bidi="zh-CN"/>
              </w:rPr>
              <w:t>说明： 　　</w:t>
            </w:r>
          </w:p>
          <w:p>
            <w:pPr>
              <w:pStyle w:val="621"/>
              <w:tabs>
                <w:tab w:val="left" w:pos="1070"/>
              </w:tabs>
              <w:spacing w:line="360" w:lineRule="auto"/>
              <w:ind w:right="52"/>
              <w:rPr>
                <w:rFonts w:ascii="仿宋" w:hAnsi="仿宋" w:eastAsia="仿宋" w:cs="仿宋"/>
                <w:b/>
                <w:bCs/>
                <w:sz w:val="18"/>
                <w:szCs w:val="18"/>
                <w:shd w:val="clear" w:color="auto" w:fill="FFFFFF"/>
                <w:lang w:val="zh-CN" w:eastAsia="zh-CN" w:bidi="zh-CN"/>
              </w:rPr>
            </w:pPr>
            <w:r>
              <w:rPr>
                <w:rFonts w:hint="eastAsia" w:ascii="仿宋" w:hAnsi="仿宋" w:eastAsia="仿宋" w:cs="仿宋"/>
                <w:b/>
                <w:bCs/>
                <w:sz w:val="24"/>
                <w:shd w:val="clear" w:color="auto" w:fill="FFFFFF"/>
                <w:lang w:val="zh-CN" w:eastAsia="zh-CN" w:bidi="zh-CN"/>
              </w:rPr>
              <w:t> </w:t>
            </w:r>
            <w:r>
              <w:rPr>
                <w:rFonts w:hint="eastAsia" w:ascii="仿宋" w:hAnsi="仿宋" w:eastAsia="仿宋" w:cs="仿宋"/>
                <w:b/>
                <w:bCs/>
                <w:sz w:val="18"/>
                <w:szCs w:val="18"/>
                <w:shd w:val="clear" w:color="auto" w:fill="FFFFFF"/>
                <w:lang w:val="zh-CN" w:eastAsia="zh-CN" w:bidi="zh-CN"/>
              </w:rPr>
              <w:t>1.大型、中型和小型企业须同时满足所列指标的下限，否则下划一档；微型企业只须满足所列指标中的一项即可。 　　</w:t>
            </w:r>
          </w:p>
          <w:p>
            <w:pPr>
              <w:pStyle w:val="621"/>
              <w:tabs>
                <w:tab w:val="left" w:pos="1070"/>
              </w:tabs>
              <w:spacing w:line="360" w:lineRule="auto"/>
              <w:ind w:right="52"/>
              <w:rPr>
                <w:rFonts w:ascii="仿宋" w:hAnsi="仿宋" w:eastAsia="仿宋" w:cs="仿宋"/>
                <w:b/>
                <w:bCs/>
                <w:sz w:val="18"/>
                <w:szCs w:val="18"/>
                <w:shd w:val="clear" w:color="auto" w:fill="FFFFFF"/>
                <w:lang w:val="zh-CN" w:eastAsia="zh-CN" w:bidi="zh-CN"/>
              </w:rPr>
            </w:pPr>
            <w:r>
              <w:rPr>
                <w:rFonts w:hint="eastAsia" w:ascii="仿宋" w:hAnsi="仿宋" w:eastAsia="仿宋" w:cs="仿宋"/>
                <w:b/>
                <w:bCs/>
                <w:sz w:val="18"/>
                <w:szCs w:val="18"/>
                <w:shd w:val="clear" w:color="auto" w:fill="FFFFFF"/>
                <w:lang w:val="zh-CN" w:eastAsia="zh-CN" w:bidi="zh-CN"/>
              </w:rPr>
              <w:t> 2.附表中各行业的范围以《国民经济行业分类》（GB/T4754-2017）为准。</w:t>
            </w:r>
          </w:p>
          <w:p>
            <w:pPr>
              <w:tabs>
                <w:tab w:val="left" w:pos="1070"/>
              </w:tabs>
              <w:spacing w:line="360" w:lineRule="auto"/>
              <w:ind w:right="52"/>
              <w:jc w:val="left"/>
              <w:rPr>
                <w:rFonts w:ascii="仿宋" w:hAnsi="仿宋" w:eastAsia="仿宋" w:cs="仿宋"/>
                <w:b/>
                <w:bCs/>
                <w:sz w:val="18"/>
                <w:szCs w:val="18"/>
                <w:shd w:val="clear" w:color="auto" w:fill="FFFFFF"/>
                <w:lang w:val="zh-CN" w:bidi="zh-CN"/>
              </w:rPr>
            </w:pPr>
            <w:r>
              <w:rPr>
                <w:rFonts w:hint="eastAsia" w:ascii="仿宋" w:hAnsi="仿宋" w:eastAsia="仿宋" w:cs="仿宋"/>
                <w:b/>
                <w:bCs/>
                <w:sz w:val="18"/>
                <w:szCs w:val="18"/>
                <w:shd w:val="clear" w:color="auto" w:fill="FFFFFF"/>
                <w:lang w:val="zh-CN" w:bidi="zh-CN"/>
              </w:rPr>
              <w:t>3.企业划分指标以现行统计制度为准。</w:t>
            </w:r>
          </w:p>
          <w:p>
            <w:pPr>
              <w:tabs>
                <w:tab w:val="left" w:pos="1070"/>
              </w:tabs>
              <w:spacing w:line="360" w:lineRule="auto"/>
              <w:ind w:right="52" w:firstLine="181" w:firstLineChars="100"/>
              <w:jc w:val="left"/>
              <w:rPr>
                <w:rFonts w:ascii="仿宋" w:hAnsi="仿宋" w:eastAsia="仿宋" w:cs="仿宋"/>
                <w:b/>
                <w:bCs/>
                <w:sz w:val="18"/>
                <w:szCs w:val="18"/>
                <w:shd w:val="clear" w:color="auto" w:fill="FFFFFF"/>
                <w:lang w:val="zh-CN" w:bidi="zh-CN"/>
              </w:rPr>
            </w:pPr>
            <w:r>
              <w:rPr>
                <w:rFonts w:hint="eastAsia" w:ascii="仿宋" w:hAnsi="仿宋" w:eastAsia="仿宋" w:cs="仿宋"/>
                <w:b/>
                <w:bCs/>
                <w:sz w:val="18"/>
                <w:szCs w:val="18"/>
                <w:shd w:val="clear" w:color="auto" w:fill="FFFFFF"/>
                <w:lang w:val="zh-CN" w:bidi="zh-CN"/>
              </w:rPr>
              <w:t> 1）从业人员，是指期末从业人员数，没有期末从业人员数的，采用全年平均人员数代替。</w:t>
            </w:r>
          </w:p>
          <w:p>
            <w:pPr>
              <w:tabs>
                <w:tab w:val="left" w:pos="1070"/>
              </w:tabs>
              <w:spacing w:line="360" w:lineRule="auto"/>
              <w:ind w:right="52" w:firstLine="181" w:firstLineChars="100"/>
              <w:jc w:val="left"/>
              <w:rPr>
                <w:rFonts w:ascii="仿宋" w:hAnsi="仿宋" w:eastAsia="仿宋" w:cs="仿宋"/>
                <w:b/>
                <w:bCs/>
                <w:sz w:val="18"/>
                <w:szCs w:val="18"/>
                <w:shd w:val="clear" w:color="auto" w:fill="FFFFFF"/>
                <w:lang w:val="zh-CN" w:bidi="zh-CN"/>
              </w:rPr>
            </w:pPr>
            <w:r>
              <w:rPr>
                <w:rFonts w:hint="eastAsia" w:ascii="仿宋" w:hAnsi="仿宋" w:eastAsia="仿宋" w:cs="仿宋"/>
                <w:b/>
                <w:bCs/>
                <w:sz w:val="18"/>
                <w:szCs w:val="18"/>
                <w:shd w:val="clear" w:color="auto" w:fill="FFFFFF"/>
                <w:lang w:val="zh-CN" w:bidi="zh-CN"/>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tabs>
                <w:tab w:val="left" w:pos="1070"/>
              </w:tabs>
              <w:spacing w:line="360" w:lineRule="auto"/>
              <w:ind w:right="52" w:firstLine="181" w:firstLineChars="100"/>
              <w:jc w:val="left"/>
              <w:rPr>
                <w:rFonts w:ascii="仿宋" w:hAnsi="仿宋" w:eastAsia="仿宋" w:cs="仿宋"/>
              </w:rPr>
            </w:pPr>
            <w:r>
              <w:rPr>
                <w:rFonts w:hint="eastAsia" w:ascii="仿宋" w:hAnsi="仿宋" w:eastAsia="仿宋" w:cs="仿宋"/>
                <w:b/>
                <w:bCs/>
                <w:sz w:val="18"/>
                <w:szCs w:val="18"/>
                <w:shd w:val="clear" w:color="auto" w:fill="FFFFFF"/>
                <w:lang w:val="zh-CN" w:bidi="zh-CN"/>
              </w:rPr>
              <w:t> 3）资产总额，采用资产总计代替。</w:t>
            </w:r>
          </w:p>
          <w:p>
            <w:pPr>
              <w:pStyle w:val="621"/>
              <w:tabs>
                <w:tab w:val="left" w:pos="1070"/>
              </w:tabs>
              <w:spacing w:line="288" w:lineRule="auto"/>
              <w:ind w:right="52" w:firstLine="236" w:firstLineChars="100"/>
              <w:rPr>
                <w:rFonts w:ascii="仿宋_GB2312" w:hAnsi="仿宋_GB2312" w:eastAsia="仿宋_GB2312" w:cs="仿宋_GB2312"/>
                <w:sz w:val="24"/>
                <w:szCs w:val="24"/>
                <w:lang w:eastAsia="zh-CN"/>
              </w:rPr>
            </w:pPr>
            <w:r>
              <w:rPr>
                <w:rFonts w:hint="eastAsia" w:ascii="仿宋_GB2312" w:hAnsi="仿宋_GB2312" w:eastAsia="仿宋_GB2312" w:cs="仿宋_GB2312"/>
                <w:spacing w:val="-2"/>
                <w:sz w:val="24"/>
                <w:szCs w:val="24"/>
                <w:lang w:eastAsia="zh-CN"/>
              </w:rPr>
              <w:t>(4)符合小微企业划分标准的个体工商户，视同小微企业</w:t>
            </w:r>
            <w:r>
              <w:rPr>
                <w:rFonts w:hint="eastAsia" w:ascii="仿宋_GB2312" w:hAnsi="仿宋_GB2312" w:eastAsia="仿宋_GB2312" w:cs="仿宋_GB2312"/>
                <w:spacing w:val="-13"/>
                <w:sz w:val="24"/>
                <w:szCs w:val="24"/>
                <w:lang w:eastAsia="zh-CN"/>
              </w:rPr>
              <w:t>。</w:t>
            </w:r>
          </w:p>
          <w:p>
            <w:pPr>
              <w:pStyle w:val="621"/>
              <w:tabs>
                <w:tab w:val="left" w:pos="1070"/>
              </w:tabs>
              <w:spacing w:line="288" w:lineRule="auto"/>
              <w:ind w:right="52" w:firstLine="241" w:firstLineChars="100"/>
              <w:rPr>
                <w:rFonts w:ascii="仿宋" w:hAnsi="仿宋" w:eastAsia="仿宋" w:cs="仿宋"/>
                <w:b/>
                <w:bCs/>
                <w:sz w:val="24"/>
                <w:szCs w:val="24"/>
                <w:lang w:eastAsia="zh-CN"/>
              </w:rPr>
            </w:pPr>
            <w:r>
              <w:rPr>
                <w:rFonts w:hint="eastAsia" w:ascii="仿宋" w:hAnsi="仿宋" w:eastAsia="仿宋" w:cs="仿宋"/>
                <w:b/>
                <w:bCs/>
                <w:sz w:val="24"/>
                <w:szCs w:val="24"/>
                <w:lang w:eastAsia="zh-CN"/>
              </w:rPr>
              <w:t>(5)参加本次采购活动的供应商（服务承接商）为小微企业的，其报价不予扣除评审。</w:t>
            </w:r>
          </w:p>
          <w:p>
            <w:pPr>
              <w:spacing w:line="360" w:lineRule="auto"/>
              <w:ind w:firstLine="238" w:firstLineChars="100"/>
              <w:rPr>
                <w:rFonts w:ascii="仿宋" w:hAnsi="仿宋" w:eastAsia="仿宋" w:cs="仿宋"/>
              </w:rPr>
            </w:pPr>
            <w:r>
              <w:rPr>
                <w:rFonts w:hint="eastAsia" w:ascii="仿宋" w:hAnsi="仿宋" w:eastAsia="仿宋" w:cs="仿宋"/>
                <w:spacing w:val="-1"/>
                <w:sz w:val="24"/>
              </w:rPr>
              <w:t>(6)监狱企业和残疾人福利性单位视同小型、微</w:t>
            </w:r>
            <w:r>
              <w:rPr>
                <w:rFonts w:hint="eastAsia" w:ascii="仿宋_GB2312" w:hAnsi="仿宋_GB2312" w:eastAsia="仿宋_GB2312" w:cs="仿宋_GB2312"/>
                <w:spacing w:val="-1"/>
                <w:sz w:val="24"/>
              </w:rPr>
              <w:t xml:space="preserve">型企业， </w:t>
            </w:r>
            <w:r>
              <w:rPr>
                <w:rFonts w:hint="eastAsia" w:ascii="仿宋_GB2312" w:hAnsi="仿宋_GB2312" w:eastAsia="仿宋_GB2312" w:cs="仿宋_GB2312"/>
                <w:sz w:val="24"/>
              </w:rPr>
              <w:t>按《财政部 司法部关于政府采购支持监狱企业发展有关问题的通知》(财库〔2014〕68 号)、《财政部 民政部  中国残</w:t>
            </w:r>
            <w:r>
              <w:rPr>
                <w:rFonts w:hint="eastAsia" w:ascii="仿宋_GB2312" w:hAnsi="仿宋_GB2312" w:eastAsia="仿宋_GB2312" w:cs="仿宋_GB2312"/>
                <w:spacing w:val="-2"/>
                <w:sz w:val="24"/>
              </w:rPr>
              <w:t>疾人联合会关于促进残疾人就业政府采购政策的通知》</w:t>
            </w:r>
            <w:r>
              <w:rPr>
                <w:rFonts w:hint="eastAsia" w:ascii="仿宋_GB2312" w:hAnsi="仿宋_GB2312" w:eastAsia="仿宋_GB2312" w:cs="仿宋_GB2312"/>
                <w:sz w:val="24"/>
              </w:rPr>
              <w:t>（财库〔2017〕141 号）的规定执行。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2"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仿宋" w:hAnsi="仿宋" w:eastAsia="仿宋" w:cs="仿宋"/>
                <w:sz w:val="24"/>
              </w:rPr>
            </w:pPr>
          </w:p>
          <w:p>
            <w:pPr>
              <w:snapToGrid w:val="0"/>
              <w:spacing w:line="360"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11</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0000FF"/>
                <w:sz w:val="24"/>
              </w:rPr>
            </w:pPr>
            <w:r>
              <w:rPr>
                <w:rFonts w:hint="eastAsia" w:ascii="仿宋" w:hAnsi="仿宋" w:eastAsia="仿宋" w:cs="仿宋"/>
                <w:color w:val="0000FF"/>
                <w:sz w:val="24"/>
              </w:rPr>
              <w:t>▲</w:t>
            </w:r>
            <w:r>
              <w:rPr>
                <w:rFonts w:hint="eastAsia" w:ascii="仿宋" w:hAnsi="仿宋" w:eastAsia="仿宋" w:cs="仿宋"/>
                <w:b/>
                <w:color w:val="0000FF"/>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s="仿宋"/>
                <w:color w:val="0000FF"/>
              </w:rPr>
            </w:pPr>
            <w:r>
              <w:rPr>
                <w:rFonts w:hint="eastAsia" w:ascii="仿宋" w:hAnsi="仿宋" w:eastAsia="仿宋" w:cs="仿宋"/>
                <w:b/>
                <w:bCs/>
                <w:color w:val="0000FF"/>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82"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12</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仿宋" w:hAnsi="仿宋" w:eastAsia="仿宋" w:cs="仿宋"/>
                <w:snapToGrid w:val="0"/>
                <w:color w:val="000000" w:themeColor="text1"/>
                <w:kern w:val="28"/>
                <w:sz w:val="24"/>
                <w14:textFill>
                  <w14:solidFill>
                    <w14:schemeClr w14:val="tx1"/>
                  </w14:solidFill>
                </w14:textFill>
              </w:rPr>
            </w:pPr>
            <w:r>
              <w:rPr>
                <w:rFonts w:hint="eastAsia" w:ascii="仿宋_GB2312" w:hAnsi="仿宋" w:eastAsia="仿宋_GB2312"/>
                <w:snapToGrid w:val="0"/>
                <w:color w:val="000000" w:themeColor="text1"/>
                <w:kern w:val="28"/>
                <w:sz w:val="24"/>
                <w14:textFill>
                  <w14:solidFill>
                    <w14:schemeClr w14:val="tx1"/>
                  </w14:solidFill>
                </w14:textFill>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2"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sz w:val="24"/>
              </w:rPr>
            </w:pPr>
            <w:r>
              <w:rPr>
                <w:rFonts w:hint="eastAsia" w:ascii="仿宋" w:hAnsi="仿宋" w:eastAsia="仿宋" w:cs="仿宋"/>
                <w:b/>
                <w:sz w:val="24"/>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仿宋" w:hAnsi="仿宋" w:eastAsia="仿宋" w:cs="仿宋"/>
                <w:kern w:val="28"/>
                <w:sz w:val="24"/>
              </w:rPr>
            </w:pPr>
            <w:r>
              <w:rPr>
                <w:rFonts w:hint="eastAsia" w:ascii="仿宋" w:hAnsi="仿宋" w:eastAsia="仿宋" w:cs="仿宋"/>
                <w:kern w:val="28"/>
                <w:sz w:val="24"/>
              </w:rPr>
              <w:t>备份投标文件送达地点：</w:t>
            </w:r>
            <w:r>
              <w:rPr>
                <w:rFonts w:hint="eastAsia" w:ascii="仿宋" w:hAnsi="仿宋" w:eastAsia="仿宋" w:cs="仿宋"/>
                <w:sz w:val="24"/>
              </w:rPr>
              <w:t xml:space="preserve">  密封包装后（建议顺丰邮寄形式）投标截止时间前递交、一份（邮寄地址：</w:t>
            </w:r>
            <w:r>
              <w:rPr>
                <w:rFonts w:hint="eastAsia" w:ascii="仿宋" w:hAnsi="仿宋" w:eastAsia="仿宋" w:cs="仿宋"/>
                <w:sz w:val="24"/>
                <w:u w:val="single"/>
              </w:rPr>
              <w:t>杭州市临平区南苑街道华元欢乐城-华元大厦20层2022办公室</w:t>
            </w:r>
            <w:r>
              <w:rPr>
                <w:rFonts w:hint="eastAsia" w:ascii="仿宋" w:hAnsi="仿宋" w:eastAsia="仿宋" w:cs="仿宋"/>
                <w:kern w:val="28"/>
                <w:sz w:val="24"/>
              </w:rPr>
              <w:t>；备份投标文件签收人员联系电话：</w:t>
            </w:r>
            <w:r>
              <w:rPr>
                <w:rFonts w:hint="eastAsia" w:ascii="仿宋" w:hAnsi="仿宋" w:eastAsia="仿宋" w:cs="仿宋"/>
                <w:sz w:val="24"/>
                <w:u w:val="single"/>
              </w:rPr>
              <w:t xml:space="preserve">刘瑶收，13857413671 </w:t>
            </w:r>
            <w:r>
              <w:rPr>
                <w:rFonts w:hint="eastAsia" w:ascii="仿宋" w:hAnsi="仿宋" w:eastAsia="仿宋" w:cs="仿宋"/>
                <w:sz w:val="24"/>
              </w:rPr>
              <w:t>。</w:t>
            </w:r>
            <w:r>
              <w:rPr>
                <w:rFonts w:hint="eastAsia" w:ascii="仿宋" w:hAnsi="仿宋" w:eastAsia="仿宋" w:cs="仿宋"/>
                <w:b/>
                <w:sz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81"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14</w:t>
            </w:r>
          </w:p>
        </w:tc>
        <w:tc>
          <w:tcPr>
            <w:tcW w:w="1843" w:type="dxa"/>
            <w:vMerge w:val="restart"/>
            <w:tcBorders>
              <w:top w:val="single" w:color="000000" w:sz="8" w:space="0"/>
              <w:left w:val="single" w:color="000000" w:sz="2" w:space="0"/>
              <w:bottom w:val="single" w:color="000000" w:sz="8" w:space="0"/>
              <w:right w:val="single" w:color="000000" w:sz="8" w:space="0"/>
            </w:tcBorders>
            <w:vAlign w:val="center"/>
          </w:tcPr>
          <w:p>
            <w:pPr>
              <w:pageBreakBefore w:val="0"/>
              <w:kinsoku/>
              <w:wordWrap/>
              <w:overflowPunct/>
              <w:topLinePunct w:val="0"/>
              <w:autoSpaceDE/>
              <w:autoSpaceDN/>
              <w:bidi w:val="0"/>
              <w:snapToGrid w:val="0"/>
              <w:spacing w:line="360" w:lineRule="auto"/>
              <w:jc w:val="center"/>
              <w:rPr>
                <w:rFonts w:hint="eastAsia" w:ascii="仿宋" w:hAnsi="仿宋" w:eastAsia="仿宋" w:cs="仿宋"/>
                <w:b/>
                <w:bCs/>
                <w:color w:val="000000"/>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eastAsia="仿宋" w:cs="仿宋"/>
                <w:sz w:val="24"/>
                <w:szCs w:val="24"/>
                <w:lang w:val="en-US"/>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61" w:hRule="atLeast"/>
          <w:tblHeader/>
        </w:trPr>
        <w:tc>
          <w:tcPr>
            <w:tcW w:w="629" w:type="dxa"/>
            <w:vMerge w:val="continue"/>
            <w:tcBorders>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sz w:val="24"/>
              </w:rPr>
            </w:pPr>
          </w:p>
        </w:tc>
        <w:tc>
          <w:tcPr>
            <w:tcW w:w="1843" w:type="dxa"/>
            <w:vMerge w:val="continue"/>
            <w:tcBorders>
              <w:top w:val="single" w:color="000000" w:sz="8" w:space="0"/>
              <w:left w:val="single" w:color="000000" w:sz="2" w:space="0"/>
              <w:bottom w:val="single" w:color="000000" w:sz="8" w:space="0"/>
              <w:right w:val="single" w:color="000000" w:sz="8" w:space="0"/>
            </w:tcBorders>
            <w:vAlign w:val="center"/>
          </w:tcPr>
          <w:p>
            <w:pPr>
              <w:pageBreakBefore w:val="0"/>
              <w:kinsoku/>
              <w:wordWrap/>
              <w:overflowPunct/>
              <w:topLinePunct w:val="0"/>
              <w:autoSpaceDE/>
              <w:autoSpaceDN/>
              <w:bidi w:val="0"/>
              <w:snapToGrid w:val="0"/>
              <w:spacing w:line="360" w:lineRule="auto"/>
              <w:jc w:val="center"/>
              <w:rPr>
                <w:rFonts w:hint="eastAsia" w:ascii="仿宋" w:hAnsi="仿宋" w:eastAsia="仿宋" w:cs="仿宋"/>
                <w:b/>
                <w:bCs/>
                <w:color w:val="000000"/>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pPr>
              <w:spacing w:line="360" w:lineRule="auto"/>
              <w:rPr>
                <w:rFonts w:hint="eastAsia" w:ascii="仿宋" w:eastAsia="仿宋" w:cs="仿宋"/>
                <w:sz w:val="24"/>
                <w:szCs w:val="24"/>
                <w:lang w:val="en-US"/>
              </w:rPr>
            </w:pPr>
            <w:sdt>
              <w:sdtPr>
                <w:rPr>
                  <w:rFonts w:hint="eastAsia" w:cs="Arial" w:asciiTheme="minorEastAsia" w:hAnsiTheme="minorEastAsia" w:eastAsiaTheme="minorEastAsia"/>
                  <w:kern w:val="0"/>
                  <w:sz w:val="24"/>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6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15</w:t>
            </w:r>
          </w:p>
        </w:tc>
        <w:tc>
          <w:tcPr>
            <w:tcW w:w="1843" w:type="dxa"/>
            <w:tcBorders>
              <w:top w:val="single" w:color="000000" w:sz="8" w:space="0"/>
              <w:left w:val="single" w:color="000000" w:sz="2" w:space="0"/>
              <w:bottom w:val="single" w:color="000000" w:sz="8" w:space="0"/>
              <w:right w:val="single" w:color="000000" w:sz="8" w:space="0"/>
            </w:tcBorders>
            <w:vAlign w:val="center"/>
          </w:tcPr>
          <w:p>
            <w:pPr>
              <w:widowControl/>
              <w:snapToGrid w:val="0"/>
              <w:spacing w:line="360" w:lineRule="auto"/>
              <w:jc w:val="center"/>
              <w:textAlignment w:val="center"/>
              <w:rPr>
                <w:rFonts w:ascii="仿宋" w:hAnsi="仿宋" w:eastAsia="仿宋" w:cs="仿宋"/>
                <w:b/>
                <w:sz w:val="24"/>
              </w:rPr>
            </w:pPr>
            <w:r>
              <w:rPr>
                <w:rFonts w:hint="eastAsia" w:ascii="仿宋" w:hAnsi="仿宋" w:eastAsia="仿宋" w:cs="仿宋"/>
                <w:b/>
                <w:bCs/>
                <w:color w:val="000000"/>
                <w:sz w:val="24"/>
              </w:rPr>
              <w:t>招标服务费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2"/>
              <w:tabs>
                <w:tab w:val="left" w:pos="706"/>
                <w:tab w:val="clear" w:pos="432"/>
              </w:tabs>
              <w:ind w:left="0" w:firstLine="482" w:firstLineChars="200"/>
              <w:jc w:val="both"/>
              <w:rPr>
                <w:rFonts w:ascii="仿宋" w:eastAsia="仿宋" w:cs="仿宋"/>
                <w:sz w:val="24"/>
                <w:szCs w:val="24"/>
              </w:rPr>
            </w:pPr>
            <w:r>
              <w:rPr>
                <w:rFonts w:hint="eastAsia" w:ascii="仿宋" w:eastAsia="仿宋" w:cs="仿宋"/>
                <w:sz w:val="24"/>
                <w:szCs w:val="24"/>
                <w:lang w:val="en-US"/>
              </w:rPr>
              <w:drawing>
                <wp:anchor distT="0" distB="0" distL="114300" distR="114300" simplePos="0" relativeHeight="251822080" behindDoc="0" locked="0" layoutInCell="1" allowOverlap="1">
                  <wp:simplePos x="0" y="0"/>
                  <wp:positionH relativeFrom="column">
                    <wp:posOffset>196850</wp:posOffset>
                  </wp:positionH>
                  <wp:positionV relativeFrom="paragraph">
                    <wp:posOffset>1632585</wp:posOffset>
                  </wp:positionV>
                  <wp:extent cx="2529840" cy="1160145"/>
                  <wp:effectExtent l="0" t="0" r="3810" b="1905"/>
                  <wp:wrapSquare wrapText="bothSides"/>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pic:cNvPicPr>
                        </pic:nvPicPr>
                        <pic:blipFill>
                          <a:blip r:embed="rId31" cstate="print"/>
                          <a:stretch>
                            <a:fillRect/>
                          </a:stretch>
                        </pic:blipFill>
                        <pic:spPr>
                          <a:xfrm>
                            <a:off x="0" y="0"/>
                            <a:ext cx="2529840" cy="1160145"/>
                          </a:xfrm>
                          <a:prstGeom prst="rect">
                            <a:avLst/>
                          </a:prstGeom>
                          <a:noFill/>
                          <a:ln>
                            <a:noFill/>
                          </a:ln>
                        </pic:spPr>
                      </pic:pic>
                    </a:graphicData>
                  </a:graphic>
                </wp:anchor>
              </w:drawing>
            </w:r>
            <w:r>
              <w:rPr>
                <w:rFonts w:hint="eastAsia" w:ascii="仿宋" w:eastAsia="仿宋" w:cs="仿宋"/>
                <w:sz w:val="24"/>
                <w:szCs w:val="24"/>
                <w:lang w:val="en-US"/>
              </w:rPr>
              <w:t>本项目的招标代理费用由中标单位支付，代理费用付款按《招标代理服务收费管理暂行办法》的通知（计价格[2002]1980号）文件计取，投标人在报价时应综合考虑该笔费用，但不单列进投标总价。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1"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default" w:ascii="仿宋" w:hAnsi="仿宋" w:eastAsia="仿宋" w:cs="仿宋"/>
                <w:sz w:val="24"/>
                <w:lang w:val="en-US" w:eastAsia="zh-CN"/>
              </w:rPr>
            </w:pPr>
            <w:bookmarkStart w:id="11" w:name="第三部分"/>
            <w:bookmarkStart w:id="12" w:name="_Toc164416483"/>
            <w:r>
              <w:rPr>
                <w:rFonts w:hint="eastAsia" w:ascii="仿宋" w:hAnsi="仿宋" w:eastAsia="仿宋" w:cs="仿宋"/>
                <w:sz w:val="24"/>
                <w:lang w:val="en-US" w:eastAsia="zh-CN"/>
              </w:rPr>
              <w:t>16</w:t>
            </w:r>
          </w:p>
        </w:tc>
        <w:tc>
          <w:tcPr>
            <w:tcW w:w="1843" w:type="dxa"/>
            <w:tcBorders>
              <w:top w:val="single" w:color="000000" w:sz="8" w:space="0"/>
              <w:left w:val="single" w:color="000000" w:sz="2" w:space="0"/>
              <w:bottom w:val="single" w:color="000000" w:sz="8" w:space="0"/>
              <w:right w:val="single" w:color="000000" w:sz="8" w:space="0"/>
            </w:tcBorders>
            <w:vAlign w:val="center"/>
          </w:tcPr>
          <w:p>
            <w:pPr>
              <w:widowControl/>
              <w:snapToGrid w:val="0"/>
              <w:spacing w:line="360" w:lineRule="auto"/>
              <w:jc w:val="center"/>
              <w:textAlignment w:val="center"/>
              <w:rPr>
                <w:rFonts w:ascii="仿宋" w:hAnsi="仿宋" w:eastAsia="仿宋" w:cs="仿宋"/>
                <w:b/>
                <w:bCs/>
                <w:color w:val="000000"/>
                <w:sz w:val="24"/>
              </w:rPr>
            </w:pPr>
            <w:r>
              <w:rPr>
                <w:rFonts w:hint="eastAsia" w:ascii="仿宋" w:hAnsi="仿宋" w:eastAsia="仿宋" w:cs="仿宋"/>
                <w:b/>
                <w:bCs/>
                <w:color w:val="000000"/>
                <w:sz w:val="24"/>
              </w:rPr>
              <w:t>样品递交须知</w:t>
            </w:r>
          </w:p>
        </w:tc>
        <w:tc>
          <w:tcPr>
            <w:tcW w:w="6095" w:type="dxa"/>
            <w:tcBorders>
              <w:top w:val="single" w:color="000000" w:sz="8" w:space="0"/>
              <w:left w:val="single" w:color="000000" w:sz="2" w:space="0"/>
              <w:bottom w:val="single" w:color="000000" w:sz="8" w:space="0"/>
              <w:right w:val="single" w:color="000000" w:sz="8" w:space="0"/>
            </w:tcBorders>
            <w:vAlign w:val="center"/>
          </w:tcPr>
          <w:p>
            <w:pPr>
              <w:adjustRightInd/>
              <w:snapToGrid w:val="0"/>
              <w:spacing w:line="324" w:lineRule="auto"/>
              <w:rPr>
                <w:rFonts w:ascii="宋体" w:hAnsi="宋体" w:cs="宋体"/>
                <w:b/>
                <w:bCs/>
                <w:sz w:val="24"/>
              </w:rPr>
            </w:pPr>
            <w:r>
              <w:rPr>
                <w:rFonts w:hint="eastAsia" w:ascii="宋体" w:hAnsi="宋体" w:cs="宋体"/>
                <w:b/>
                <w:bCs/>
                <w:sz w:val="24"/>
              </w:rPr>
              <w:t>（1）样品递交：</w:t>
            </w:r>
          </w:p>
          <w:p>
            <w:pPr>
              <w:adjustRightInd/>
              <w:snapToGrid w:val="0"/>
              <w:spacing w:line="324" w:lineRule="auto"/>
              <w:rPr>
                <w:rFonts w:ascii="宋体" w:hAnsi="宋体"/>
                <w:b/>
                <w:sz w:val="24"/>
              </w:rPr>
            </w:pPr>
            <w:r>
              <w:rPr>
                <w:rFonts w:hint="eastAsia" w:ascii="宋体" w:hAnsi="宋体"/>
                <w:b/>
                <w:sz w:val="24"/>
              </w:rPr>
              <w:t>①烹饪间-</w:t>
            </w:r>
            <w:r>
              <w:rPr>
                <w:rFonts w:ascii="宋体" w:hAnsi="宋体"/>
                <w:b/>
                <w:sz w:val="24"/>
              </w:rPr>
              <w:t>序号6</w:t>
            </w:r>
            <w:r>
              <w:rPr>
                <w:rFonts w:hint="eastAsia" w:ascii="宋体" w:hAnsi="宋体"/>
                <w:b/>
                <w:sz w:val="24"/>
              </w:rPr>
              <w:t>,</w:t>
            </w:r>
            <w:r>
              <w:rPr>
                <w:rFonts w:ascii="宋体" w:hAnsi="宋体"/>
                <w:b/>
                <w:sz w:val="24"/>
              </w:rPr>
              <w:t>一广一京炒灶（后档同大灶）尺寸：2000*</w:t>
            </w:r>
            <w:r>
              <w:rPr>
                <w:rFonts w:hint="eastAsia" w:ascii="宋体" w:hAnsi="宋体"/>
                <w:b/>
                <w:sz w:val="24"/>
              </w:rPr>
              <w:t>1250</w:t>
            </w:r>
            <w:r>
              <w:rPr>
                <w:rFonts w:ascii="宋体" w:hAnsi="宋体"/>
                <w:b/>
                <w:sz w:val="24"/>
              </w:rPr>
              <w:t>*800</w:t>
            </w:r>
            <w:r>
              <w:rPr>
                <w:rFonts w:hint="eastAsia" w:ascii="宋体" w:hAnsi="宋体"/>
                <w:b/>
                <w:sz w:val="24"/>
              </w:rPr>
              <w:t>mm</w:t>
            </w:r>
            <w:r>
              <w:rPr>
                <w:rFonts w:ascii="宋体" w:hAnsi="宋体"/>
                <w:b/>
                <w:sz w:val="24"/>
              </w:rPr>
              <w:t>；</w:t>
            </w:r>
          </w:p>
          <w:p>
            <w:pPr>
              <w:adjustRightInd/>
              <w:snapToGrid w:val="0"/>
              <w:spacing w:line="324" w:lineRule="auto"/>
              <w:rPr>
                <w:rFonts w:ascii="宋体" w:hAnsi="宋体"/>
                <w:b/>
                <w:sz w:val="24"/>
              </w:rPr>
            </w:pPr>
            <w:r>
              <w:rPr>
                <w:rFonts w:hint="eastAsia" w:ascii="宋体" w:hAnsi="宋体"/>
                <w:b/>
                <w:sz w:val="24"/>
              </w:rPr>
              <w:t>②洗消区-</w:t>
            </w:r>
            <w:r>
              <w:rPr>
                <w:rFonts w:ascii="宋体" w:hAnsi="宋体"/>
                <w:b/>
                <w:sz w:val="24"/>
              </w:rPr>
              <w:t>序号7</w:t>
            </w:r>
            <w:r>
              <w:rPr>
                <w:rFonts w:hint="eastAsia" w:ascii="宋体" w:hAnsi="宋体"/>
                <w:b/>
                <w:sz w:val="24"/>
              </w:rPr>
              <w:t>,</w:t>
            </w:r>
            <w:r>
              <w:rPr>
                <w:rFonts w:ascii="宋体" w:hAnsi="宋体"/>
                <w:b/>
                <w:sz w:val="24"/>
              </w:rPr>
              <w:t>长龙式洗碗机控制箱</w:t>
            </w:r>
            <w:r>
              <w:rPr>
                <w:rFonts w:hint="eastAsia" w:ascii="宋体" w:hAnsi="宋体"/>
                <w:b/>
                <w:sz w:val="24"/>
              </w:rPr>
              <w:t>,</w:t>
            </w:r>
            <w:r>
              <w:rPr>
                <w:rFonts w:ascii="宋体" w:hAnsi="宋体"/>
                <w:b/>
                <w:sz w:val="24"/>
              </w:rPr>
              <w:t>尺寸:783*690*223mm；</w:t>
            </w:r>
          </w:p>
          <w:p>
            <w:pPr>
              <w:adjustRightInd/>
              <w:snapToGrid w:val="0"/>
              <w:spacing w:line="324" w:lineRule="auto"/>
              <w:rPr>
                <w:rFonts w:ascii="宋体" w:hAnsi="宋体"/>
                <w:b/>
                <w:sz w:val="24"/>
              </w:rPr>
            </w:pPr>
            <w:r>
              <w:rPr>
                <w:rFonts w:hint="eastAsia" w:ascii="宋体" w:hAnsi="宋体"/>
                <w:b/>
                <w:sz w:val="24"/>
              </w:rPr>
              <w:t>③一层学生餐厅-</w:t>
            </w:r>
            <w:r>
              <w:rPr>
                <w:rFonts w:ascii="宋体" w:hAnsi="宋体"/>
                <w:b/>
                <w:sz w:val="24"/>
              </w:rPr>
              <w:t>序号4</w:t>
            </w:r>
            <w:r>
              <w:rPr>
                <w:rFonts w:hint="eastAsia" w:ascii="宋体" w:hAnsi="宋体"/>
                <w:b/>
                <w:sz w:val="24"/>
              </w:rPr>
              <w:t>，</w:t>
            </w:r>
            <w:r>
              <w:rPr>
                <w:rFonts w:ascii="宋体" w:hAnsi="宋体"/>
                <w:b/>
                <w:sz w:val="24"/>
              </w:rPr>
              <w:t>自助式六斗保温餐台</w:t>
            </w:r>
            <w:r>
              <w:rPr>
                <w:rFonts w:hint="eastAsia" w:ascii="宋体" w:hAnsi="宋体"/>
                <w:b/>
                <w:sz w:val="24"/>
              </w:rPr>
              <w:t>，尺寸</w:t>
            </w:r>
            <w:r>
              <w:rPr>
                <w:rFonts w:ascii="宋体" w:hAnsi="宋体"/>
                <w:b/>
                <w:sz w:val="24"/>
              </w:rPr>
              <w:t>：约2100*1200*750</w:t>
            </w:r>
            <w:r>
              <w:rPr>
                <w:rFonts w:hint="eastAsia" w:ascii="宋体" w:hAnsi="宋体"/>
                <w:b/>
                <w:sz w:val="24"/>
              </w:rPr>
              <w:t>mm；</w:t>
            </w:r>
          </w:p>
          <w:p>
            <w:pPr>
              <w:adjustRightInd/>
              <w:snapToGrid w:val="0"/>
              <w:spacing w:line="324" w:lineRule="auto"/>
              <w:jc w:val="left"/>
              <w:rPr>
                <w:rFonts w:ascii="宋体" w:hAnsi="宋体"/>
                <w:b/>
                <w:sz w:val="24"/>
              </w:rPr>
            </w:pPr>
            <w:r>
              <w:rPr>
                <w:rFonts w:hint="eastAsia" w:ascii="宋体" w:hAnsi="宋体"/>
                <w:b/>
                <w:sz w:val="24"/>
              </w:rPr>
              <w:t>④排烟系统烹饪区-序号2-油烟净化器“电场”</w:t>
            </w:r>
            <w:r>
              <w:rPr>
                <w:rFonts w:hint="eastAsia" w:ascii="宋体" w:hAnsi="宋体"/>
                <w:b/>
                <w:sz w:val="24"/>
                <w:lang w:eastAsia="zh-CN"/>
              </w:rPr>
              <w:t>，</w:t>
            </w:r>
            <w:r>
              <w:rPr>
                <w:rFonts w:hint="eastAsia" w:ascii="宋体" w:hAnsi="宋体" w:cs="宋体"/>
                <w:b/>
                <w:color w:val="000000"/>
                <w:kern w:val="0"/>
                <w:sz w:val="24"/>
                <w:lang w:bidi="ar"/>
              </w:rPr>
              <w:t>电场尺寸：长522</w:t>
            </w:r>
            <w:r>
              <w:rPr>
                <w:rFonts w:ascii="宋体" w:hAnsi="宋体"/>
                <w:b/>
                <w:sz w:val="24"/>
              </w:rPr>
              <w:t>mm</w:t>
            </w:r>
            <w:r>
              <w:rPr>
                <w:rFonts w:hint="eastAsia" w:ascii="宋体" w:hAnsi="宋体" w:cs="宋体"/>
                <w:b/>
                <w:color w:val="000000"/>
                <w:kern w:val="0"/>
                <w:sz w:val="24"/>
                <w:lang w:bidi="ar"/>
              </w:rPr>
              <w:t>*宽562</w:t>
            </w:r>
            <w:r>
              <w:rPr>
                <w:rFonts w:ascii="宋体" w:hAnsi="宋体"/>
                <w:b/>
                <w:sz w:val="24"/>
              </w:rPr>
              <w:t>mm</w:t>
            </w:r>
            <w:r>
              <w:rPr>
                <w:rFonts w:hint="eastAsia" w:ascii="宋体" w:hAnsi="宋体" w:cs="宋体"/>
                <w:b/>
                <w:color w:val="000000"/>
                <w:kern w:val="0"/>
                <w:sz w:val="24"/>
                <w:lang w:bidi="ar"/>
              </w:rPr>
              <w:t>*465</w:t>
            </w:r>
            <w:r>
              <w:rPr>
                <w:rFonts w:ascii="宋体" w:hAnsi="宋体"/>
                <w:b/>
                <w:sz w:val="24"/>
              </w:rPr>
              <w:t>mm</w:t>
            </w:r>
            <w:r>
              <w:rPr>
                <w:rFonts w:hint="eastAsia" w:ascii="宋体" w:hAnsi="宋体" w:cs="宋体"/>
                <w:b/>
                <w:color w:val="000000"/>
                <w:kern w:val="0"/>
                <w:sz w:val="24"/>
                <w:lang w:bidi="ar"/>
              </w:rPr>
              <w:t>高</w:t>
            </w:r>
            <w:r>
              <w:rPr>
                <w:rFonts w:hint="eastAsia" w:ascii="宋体" w:hAnsi="宋体" w:cs="宋体"/>
                <w:b/>
                <w:color w:val="000000"/>
                <w:kern w:val="0"/>
                <w:sz w:val="24"/>
                <w:lang w:eastAsia="zh-CN" w:bidi="ar"/>
              </w:rPr>
              <w:t>。</w:t>
            </w:r>
          </w:p>
          <w:p>
            <w:pPr>
              <w:adjustRightInd/>
              <w:snapToGrid w:val="0"/>
              <w:spacing w:line="324" w:lineRule="auto"/>
              <w:rPr>
                <w:rFonts w:ascii="宋体" w:hAnsi="宋体" w:cs="宋体"/>
                <w:b/>
                <w:bCs/>
                <w:sz w:val="24"/>
              </w:rPr>
            </w:pPr>
            <w:r>
              <w:rPr>
                <w:rFonts w:hint="eastAsia" w:ascii="宋体" w:hAnsi="宋体"/>
                <w:b/>
                <w:bCs/>
                <w:sz w:val="24"/>
              </w:rPr>
              <w:t>（2）</w:t>
            </w:r>
            <w:r>
              <w:rPr>
                <w:rFonts w:hint="eastAsia" w:ascii="宋体" w:hAnsi="宋体" w:cs="宋体"/>
                <w:b/>
                <w:bCs/>
                <w:sz w:val="24"/>
              </w:rPr>
              <w:t>样品提交时间、地点、联系人：</w:t>
            </w:r>
          </w:p>
          <w:p>
            <w:pPr>
              <w:adjustRightInd/>
              <w:snapToGrid w:val="0"/>
              <w:spacing w:line="324" w:lineRule="auto"/>
              <w:rPr>
                <w:rFonts w:ascii="宋体" w:hAnsi="宋体" w:cs="宋体"/>
                <w:sz w:val="24"/>
              </w:rPr>
            </w:pPr>
            <w:r>
              <w:rPr>
                <w:rFonts w:hint="eastAsia" w:ascii="宋体" w:hAnsi="宋体" w:cs="宋体"/>
                <w:sz w:val="24"/>
              </w:rPr>
              <w:t>1）2023年</w:t>
            </w:r>
            <w:r>
              <w:rPr>
                <w:rFonts w:hint="eastAsia" w:ascii="宋体" w:hAnsi="宋体" w:cs="宋体"/>
                <w:sz w:val="24"/>
                <w:lang w:val="en-US" w:eastAsia="zh-CN"/>
              </w:rPr>
              <w:t>03</w:t>
            </w:r>
            <w:r>
              <w:rPr>
                <w:rFonts w:hint="eastAsia" w:ascii="宋体" w:hAnsi="宋体" w:cs="宋体"/>
                <w:sz w:val="24"/>
              </w:rPr>
              <w:t xml:space="preserve"> 月</w:t>
            </w:r>
            <w:r>
              <w:rPr>
                <w:rFonts w:hint="eastAsia" w:ascii="宋体" w:hAnsi="宋体" w:cs="宋体"/>
                <w:sz w:val="24"/>
                <w:lang w:val="en-US" w:eastAsia="zh-CN"/>
              </w:rPr>
              <w:t>09</w:t>
            </w:r>
            <w:r>
              <w:rPr>
                <w:rFonts w:hint="eastAsia" w:ascii="宋体" w:hAnsi="宋体" w:cs="宋体"/>
                <w:sz w:val="24"/>
              </w:rPr>
              <w:t>日</w:t>
            </w:r>
            <w:r>
              <w:rPr>
                <w:rFonts w:hint="eastAsia" w:ascii="宋体" w:hAnsi="宋体" w:cs="宋体"/>
                <w:sz w:val="24"/>
                <w:lang w:val="en-US" w:eastAsia="zh-CN"/>
              </w:rPr>
              <w:t>14</w:t>
            </w:r>
            <w:r>
              <w:rPr>
                <w:rFonts w:hint="eastAsia" w:ascii="宋体" w:hAnsi="宋体" w:cs="宋体"/>
                <w:sz w:val="24"/>
              </w:rPr>
              <w:t>时</w:t>
            </w:r>
            <w:r>
              <w:rPr>
                <w:rFonts w:hint="eastAsia" w:ascii="宋体" w:hAnsi="宋体" w:cs="宋体"/>
                <w:sz w:val="24"/>
                <w:lang w:val="en-US" w:eastAsia="zh-CN"/>
              </w:rPr>
              <w:t>00</w:t>
            </w:r>
            <w:r>
              <w:rPr>
                <w:rFonts w:hint="eastAsia" w:ascii="宋体" w:hAnsi="宋体" w:cs="宋体"/>
                <w:sz w:val="24"/>
              </w:rPr>
              <w:t>分至</w:t>
            </w:r>
            <w:r>
              <w:rPr>
                <w:rFonts w:hint="eastAsia" w:ascii="宋体" w:hAnsi="宋体" w:cs="宋体"/>
                <w:sz w:val="24"/>
                <w:lang w:val="en-US" w:eastAsia="zh-CN"/>
              </w:rPr>
              <w:t>17</w:t>
            </w:r>
            <w:r>
              <w:rPr>
                <w:rFonts w:hint="eastAsia" w:ascii="宋体" w:hAnsi="宋体" w:cs="宋体"/>
                <w:sz w:val="24"/>
              </w:rPr>
              <w:t>时</w:t>
            </w:r>
            <w:r>
              <w:rPr>
                <w:rFonts w:hint="eastAsia" w:ascii="宋体" w:hAnsi="宋体" w:cs="宋体"/>
                <w:sz w:val="24"/>
                <w:lang w:val="en-US" w:eastAsia="zh-CN"/>
              </w:rPr>
              <w:t>00</w:t>
            </w:r>
            <w:r>
              <w:rPr>
                <w:rFonts w:hint="eastAsia" w:ascii="宋体" w:hAnsi="宋体" w:cs="宋体"/>
                <w:sz w:val="24"/>
              </w:rPr>
              <w:t>分期间内，将样品送至</w:t>
            </w:r>
            <w:r>
              <w:rPr>
                <w:rFonts w:hint="eastAsia" w:ascii="宋体" w:hAnsi="宋体" w:cs="宋体"/>
                <w:b/>
                <w:bCs/>
                <w:sz w:val="24"/>
                <w:u w:val="single"/>
              </w:rPr>
              <w:t xml:space="preserve"> </w:t>
            </w:r>
            <w:r>
              <w:rPr>
                <w:rFonts w:hint="eastAsia" w:ascii="宋体" w:hAnsi="宋体" w:cs="宋体"/>
                <w:b/>
                <w:bCs/>
                <w:sz w:val="24"/>
                <w:u w:val="single"/>
                <w:lang w:eastAsia="zh-CN"/>
              </w:rPr>
              <w:t>临平区</w:t>
            </w:r>
            <w:r>
              <w:rPr>
                <w:rFonts w:hint="eastAsia" w:ascii="宋体" w:hAnsi="宋体" w:cs="宋体"/>
                <w:b/>
                <w:bCs/>
                <w:sz w:val="24"/>
                <w:u w:val="single"/>
              </w:rPr>
              <w:t>藕花洲大街西段176号</w:t>
            </w:r>
            <w:r>
              <w:rPr>
                <w:rFonts w:hint="eastAsia" w:ascii="宋体" w:hAnsi="宋体" w:cs="宋体"/>
                <w:b/>
                <w:bCs/>
                <w:sz w:val="24"/>
                <w:u w:val="single"/>
                <w:lang w:eastAsia="zh-CN"/>
              </w:rPr>
              <w:t>，</w:t>
            </w:r>
            <w:r>
              <w:rPr>
                <w:rFonts w:hint="eastAsia" w:ascii="宋体" w:hAnsi="宋体" w:cs="宋体"/>
                <w:sz w:val="24"/>
              </w:rPr>
              <w:t>并办理样品送达登记手续。招标联系人：</w:t>
            </w:r>
            <w:r>
              <w:rPr>
                <w:rFonts w:hint="eastAsia" w:ascii="宋体" w:hAnsi="宋体" w:eastAsia="宋体" w:cs="宋体"/>
                <w:sz w:val="24"/>
                <w:highlight w:val="none"/>
              </w:rPr>
              <w:t>朱老师</w:t>
            </w:r>
            <w:r>
              <w:rPr>
                <w:rFonts w:hint="eastAsia" w:ascii="宋体" w:hAnsi="宋体" w:eastAsia="宋体" w:cs="宋体"/>
                <w:sz w:val="24"/>
              </w:rPr>
              <w:t xml:space="preserve"> </w:t>
            </w:r>
            <w:r>
              <w:rPr>
                <w:rFonts w:hint="eastAsia" w:ascii="宋体" w:hAnsi="宋体" w:eastAsia="宋体" w:cs="宋体"/>
                <w:sz w:val="24"/>
                <w:lang w:eastAsia="zh-CN"/>
              </w:rPr>
              <w:t>，</w:t>
            </w:r>
            <w:r>
              <w:rPr>
                <w:rFonts w:hint="eastAsia" w:ascii="宋体" w:hAnsi="宋体" w:eastAsia="宋体" w:cs="宋体"/>
                <w:sz w:val="24"/>
                <w:highlight w:val="none"/>
              </w:rPr>
              <w:t>13606601961</w:t>
            </w:r>
            <w:r>
              <w:rPr>
                <w:rFonts w:hint="eastAsia" w:ascii="宋体" w:hAnsi="宋体" w:eastAsia="宋体" w:cs="宋体"/>
                <w:sz w:val="24"/>
              </w:rPr>
              <w:t xml:space="preserve"> </w:t>
            </w:r>
            <w:r>
              <w:rPr>
                <w:rFonts w:hint="eastAsia" w:ascii="宋体" w:hAnsi="宋体" w:cs="宋体"/>
                <w:sz w:val="24"/>
              </w:rPr>
              <w:t>。项目现场招标代理联系人：</w:t>
            </w:r>
            <w:r>
              <w:rPr>
                <w:rFonts w:hint="default" w:ascii="宋体" w:hAnsi="宋体" w:cs="宋体"/>
                <w:sz w:val="24"/>
                <w:lang w:val="en-US"/>
              </w:rPr>
              <w:t>张擎峰</w:t>
            </w:r>
            <w:r>
              <w:rPr>
                <w:rFonts w:hint="eastAsia" w:ascii="宋体" w:hAnsi="宋体" w:cs="宋体"/>
                <w:sz w:val="24"/>
              </w:rPr>
              <w:t>，13484035340。</w:t>
            </w:r>
            <w:r>
              <w:rPr>
                <w:rFonts w:hint="eastAsia" w:ascii="宋体" w:hAnsi="宋体" w:cs="宋体"/>
                <w:sz w:val="24"/>
              </w:rPr>
              <w:t>请投标人在上述时间内提供样品并按规定位置安装完毕。超过截止时间的，采购人或采购代理机构将不予接收，并将清场并封闭样品现场。</w:t>
            </w:r>
          </w:p>
          <w:p>
            <w:pPr>
              <w:adjustRightInd/>
              <w:snapToGrid w:val="0"/>
              <w:spacing w:line="324" w:lineRule="auto"/>
              <w:rPr>
                <w:rFonts w:ascii="宋体" w:hAnsi="宋体" w:cs="宋体"/>
                <w:sz w:val="24"/>
              </w:rPr>
            </w:pPr>
            <w:r>
              <w:rPr>
                <w:rFonts w:hint="eastAsia" w:ascii="宋体" w:hAnsi="宋体" w:cs="宋体"/>
                <w:sz w:val="24"/>
              </w:rPr>
              <w:t xml:space="preserve"> (</w:t>
            </w:r>
            <w:r>
              <w:rPr>
                <w:rFonts w:hint="eastAsia" w:ascii="宋体" w:hAnsi="宋体" w:cs="宋体"/>
                <w:sz w:val="24"/>
                <w:lang w:val="en-US" w:eastAsia="zh-CN"/>
              </w:rPr>
              <w:t>3</w:t>
            </w:r>
            <w:r>
              <w:rPr>
                <w:rFonts w:hint="eastAsia" w:ascii="宋体" w:hAnsi="宋体" w:cs="宋体"/>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snapToGrid w:val="0"/>
              <w:spacing w:line="324" w:lineRule="auto"/>
              <w:ind w:firstLine="0" w:firstLineChars="0"/>
              <w:rPr>
                <w:rFonts w:ascii="仿宋" w:eastAsia="仿宋" w:cs="仿宋"/>
                <w:sz w:val="24"/>
                <w:szCs w:val="24"/>
                <w:lang w:val="en-US"/>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）制作、运输、安装和保管样品所发生的一切费用由投标人自理。</w:t>
            </w:r>
          </w:p>
        </w:tc>
      </w:tr>
      <w:bookmarkEnd w:id="10"/>
    </w:tbl>
    <w:p>
      <w:pPr>
        <w:adjustRightInd/>
        <w:jc w:val="left"/>
        <w:rPr>
          <w:rFonts w:ascii="仿宋" w:hAnsi="仿宋" w:eastAsia="仿宋" w:cs="仿宋"/>
          <w:b/>
          <w:sz w:val="32"/>
          <w:szCs w:val="20"/>
        </w:rPr>
      </w:pPr>
      <w:r>
        <w:rPr>
          <w:rFonts w:hint="eastAsia" w:ascii="仿宋" w:hAnsi="仿宋" w:eastAsia="仿宋" w:cs="仿宋"/>
          <w:b/>
          <w:sz w:val="32"/>
          <w:szCs w:val="20"/>
        </w:rPr>
        <w:br w:type="page"/>
      </w:r>
    </w:p>
    <w:p>
      <w:pPr>
        <w:adjustRightInd/>
        <w:spacing w:line="360" w:lineRule="auto"/>
        <w:jc w:val="center"/>
        <w:outlineLvl w:val="0"/>
        <w:rPr>
          <w:rFonts w:ascii="仿宋" w:hAnsi="仿宋" w:eastAsia="仿宋" w:cs="仿宋"/>
          <w:b/>
          <w:sz w:val="32"/>
          <w:szCs w:val="20"/>
        </w:rPr>
      </w:pPr>
      <w:r>
        <w:rPr>
          <w:rFonts w:hint="eastAsia" w:ascii="仿宋" w:hAnsi="仿宋" w:eastAsia="仿宋" w:cs="仿宋"/>
          <w:b/>
          <w:sz w:val="32"/>
          <w:szCs w:val="20"/>
        </w:rPr>
        <w:t>一、总则</w:t>
      </w:r>
    </w:p>
    <w:p>
      <w:pPr>
        <w:snapToGrid w:val="0"/>
        <w:spacing w:line="360" w:lineRule="auto"/>
        <w:ind w:firstLine="361" w:firstLineChars="150"/>
        <w:jc w:val="left"/>
        <w:outlineLvl w:val="1"/>
        <w:rPr>
          <w:rFonts w:ascii="仿宋" w:hAnsi="仿宋" w:eastAsia="仿宋" w:cs="仿宋"/>
          <w:b/>
          <w:sz w:val="24"/>
        </w:rPr>
      </w:pPr>
      <w:r>
        <w:rPr>
          <w:rFonts w:hint="eastAsia" w:ascii="仿宋" w:hAnsi="仿宋" w:eastAsia="仿宋" w:cs="仿宋"/>
          <w:b/>
          <w:sz w:val="24"/>
        </w:rPr>
        <w:t>1. 适用范围</w:t>
      </w:r>
    </w:p>
    <w:p>
      <w:pPr>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仿宋" w:hAnsi="仿宋" w:eastAsia="仿宋" w:cs="仿宋"/>
          <w:b/>
          <w:sz w:val="24"/>
        </w:rPr>
      </w:pPr>
      <w:r>
        <w:rPr>
          <w:rFonts w:hint="eastAsia" w:ascii="仿宋" w:hAnsi="仿宋" w:eastAsia="仿宋" w:cs="仿宋"/>
          <w:b/>
          <w:sz w:val="24"/>
        </w:rPr>
        <w:t xml:space="preserve">   2.定义</w:t>
      </w:r>
    </w:p>
    <w:p>
      <w:pPr>
        <w:spacing w:line="360" w:lineRule="auto"/>
        <w:ind w:firstLine="480" w:firstLineChars="200"/>
        <w:rPr>
          <w:rFonts w:ascii="仿宋" w:hAnsi="仿宋" w:eastAsia="仿宋" w:cs="仿宋"/>
          <w:sz w:val="24"/>
        </w:rPr>
      </w:pPr>
      <w:r>
        <w:rPr>
          <w:rFonts w:hint="eastAsia" w:ascii="仿宋" w:hAnsi="仿宋" w:eastAsia="仿宋" w:cs="仿宋"/>
          <w:sz w:val="24"/>
        </w:rPr>
        <w:t>2.1 “采购人”系指招标公告中载明的本项目的采购人。</w:t>
      </w:r>
    </w:p>
    <w:p>
      <w:pPr>
        <w:spacing w:line="360" w:lineRule="auto"/>
        <w:ind w:firstLine="480" w:firstLineChars="200"/>
        <w:rPr>
          <w:rFonts w:ascii="仿宋" w:hAnsi="仿宋" w:eastAsia="仿宋" w:cs="仿宋"/>
          <w:sz w:val="24"/>
        </w:rPr>
      </w:pPr>
      <w:r>
        <w:rPr>
          <w:rFonts w:hint="eastAsia" w:ascii="仿宋" w:hAnsi="仿宋" w:eastAsia="仿宋" w:cs="仿宋"/>
          <w:sz w:val="24"/>
        </w:rPr>
        <w:t>2.2 “采购机构”系指招标公告中载明的本项目的采购机构。</w:t>
      </w:r>
    </w:p>
    <w:p>
      <w:pPr>
        <w:spacing w:line="360" w:lineRule="auto"/>
        <w:ind w:firstLine="480" w:firstLineChars="200"/>
        <w:rPr>
          <w:rFonts w:ascii="仿宋" w:hAnsi="仿宋" w:eastAsia="仿宋" w:cs="仿宋"/>
          <w:sz w:val="24"/>
        </w:rPr>
      </w:pPr>
      <w:r>
        <w:rPr>
          <w:rFonts w:hint="eastAsia" w:ascii="仿宋" w:hAnsi="仿宋" w:eastAsia="仿宋" w:cs="仿宋"/>
          <w:sz w:val="24"/>
        </w:rPr>
        <w:t>2.3 “投标人”系指是指响应招标、参加投标竞争的法人、其他组织或者自然人。</w:t>
      </w:r>
    </w:p>
    <w:p>
      <w:pPr>
        <w:spacing w:line="360" w:lineRule="auto"/>
        <w:ind w:firstLine="480" w:firstLineChars="200"/>
        <w:rPr>
          <w:rFonts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pPr>
        <w:spacing w:line="360" w:lineRule="auto"/>
        <w:ind w:firstLine="480" w:firstLineChars="200"/>
        <w:rPr>
          <w:rFonts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仿宋" w:hAnsi="仿宋" w:eastAsia="仿宋" w:cs="仿宋"/>
          <w:sz w:val="24"/>
        </w:rPr>
      </w:pPr>
      <w:r>
        <w:rPr>
          <w:rFonts w:hint="eastAsia" w:ascii="仿宋" w:hAnsi="仿宋" w:eastAsia="仿宋" w:cs="仿宋"/>
          <w:sz w:val="24"/>
        </w:rPr>
        <w:t>2.6“电子交易平台”是指本项目政府采购活动所依托的政府采购云平台（https://www.zcygov.cn/）。</w:t>
      </w:r>
    </w:p>
    <w:p>
      <w:pPr>
        <w:spacing w:line="360" w:lineRule="auto"/>
        <w:ind w:firstLine="480" w:firstLineChars="200"/>
        <w:rPr>
          <w:rFonts w:ascii="仿宋" w:hAnsi="仿宋" w:eastAsia="仿宋" w:cs="仿宋"/>
          <w:sz w:val="24"/>
        </w:rPr>
      </w:pPr>
      <w:r>
        <w:rPr>
          <w:rFonts w:hint="eastAsia" w:ascii="仿宋" w:hAnsi="仿宋" w:eastAsia="仿宋" w:cs="仿宋"/>
          <w:sz w:val="24"/>
        </w:rPr>
        <w:t>2.7 “▲” 系指实质性要求条款，“★”系产品采购项目中单一产品或核心产品，“</w:t>
      </w:r>
      <w:r>
        <w:rPr>
          <w:rFonts w:hint="eastAsia" w:ascii="仿宋" w:hAnsi="仿宋" w:eastAsia="仿宋" w:cs="仿宋"/>
          <w:kern w:val="0"/>
          <w:sz w:val="24"/>
        </w:rPr>
        <w:t></w:t>
      </w:r>
      <w:r>
        <w:rPr>
          <w:rFonts w:hint="eastAsia" w:ascii="仿宋" w:hAnsi="仿宋" w:eastAsia="仿宋" w:cs="仿宋"/>
          <w:sz w:val="24"/>
        </w:rPr>
        <w:t>” 系指适用本项目的要求，“</w:t>
      </w:r>
      <w:r>
        <w:rPr>
          <w:rFonts w:hint="eastAsia" w:ascii="仿宋" w:hAnsi="仿宋" w:eastAsia="仿宋" w:cs="仿宋"/>
          <w:kern w:val="0"/>
          <w:sz w:val="24"/>
        </w:rPr>
        <w:t>☐</w:t>
      </w:r>
      <w:r>
        <w:rPr>
          <w:rFonts w:hint="eastAsia" w:ascii="仿宋" w:hAnsi="仿宋" w:eastAsia="仿宋" w:cs="仿宋"/>
          <w:sz w:val="24"/>
        </w:rPr>
        <w:t>” 系指不适用本项目的要求。</w:t>
      </w:r>
    </w:p>
    <w:p>
      <w:pPr>
        <w:spacing w:line="360" w:lineRule="auto"/>
        <w:ind w:firstLine="241" w:firstLineChars="100"/>
        <w:rPr>
          <w:rFonts w:ascii="仿宋" w:hAnsi="仿宋" w:eastAsia="仿宋" w:cs="仿宋"/>
          <w:b/>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采购项目需要落实的政府采购政策</w:t>
      </w:r>
    </w:p>
    <w:p>
      <w:pPr>
        <w:spacing w:line="360" w:lineRule="auto"/>
        <w:ind w:firstLine="240" w:firstLineChars="100"/>
        <w:rPr>
          <w:rFonts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240" w:firstLineChars="100"/>
        <w:rPr>
          <w:rFonts w:ascii="仿宋" w:hAnsi="仿宋" w:eastAsia="仿宋" w:cs="仿宋"/>
          <w:sz w:val="24"/>
        </w:rPr>
      </w:pPr>
      <w:r>
        <w:rPr>
          <w:rFonts w:hint="eastAsia" w:ascii="仿宋" w:hAnsi="仿宋" w:eastAsia="仿宋" w:cs="仿宋"/>
          <w:sz w:val="24"/>
        </w:rPr>
        <w:t>3.2 支持绿色发展</w:t>
      </w:r>
    </w:p>
    <w:p>
      <w:pPr>
        <w:spacing w:line="360" w:lineRule="auto"/>
        <w:ind w:firstLine="480" w:firstLineChars="200"/>
        <w:rPr>
          <w:rFonts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仿宋" w:hAnsi="仿宋" w:eastAsia="仿宋" w:cs="仿宋"/>
          <w:sz w:val="24"/>
        </w:rPr>
      </w:pPr>
      <w:r>
        <w:rPr>
          <w:rFonts w:hint="eastAsia" w:ascii="仿宋" w:hAnsi="仿宋" w:eastAsia="仿宋" w:cs="仿宋"/>
          <w:sz w:val="24"/>
        </w:rPr>
        <w:t>3.2.2 修缮、装修类项目采购建材的，采购人应将绿色建筑和绿色建材性能、指标等作为实质性条件纳入招标文件和合同。</w:t>
      </w:r>
    </w:p>
    <w:p>
      <w:pPr>
        <w:spacing w:line="360" w:lineRule="auto"/>
        <w:ind w:firstLine="480" w:firstLineChars="200"/>
        <w:rPr>
          <w:rFonts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1" w:firstLineChars="100"/>
        <w:rPr>
          <w:rFonts w:ascii="仿宋" w:hAnsi="仿宋" w:eastAsia="仿宋" w:cs="仿宋"/>
          <w:b/>
          <w:bCs/>
          <w:sz w:val="24"/>
        </w:rPr>
      </w:pPr>
      <w:r>
        <w:rPr>
          <w:rFonts w:hint="eastAsia" w:ascii="仿宋" w:hAnsi="仿宋" w:eastAsia="仿宋" w:cs="仿宋"/>
          <w:b/>
          <w:bCs/>
          <w:sz w:val="24"/>
        </w:rPr>
        <w:t>3.3支持中小企业发展</w:t>
      </w:r>
    </w:p>
    <w:p>
      <w:pPr>
        <w:spacing w:line="360" w:lineRule="auto"/>
        <w:ind w:firstLine="480" w:firstLineChars="200"/>
        <w:rPr>
          <w:rFonts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 w:hAnsi="仿宋" w:eastAsia="仿宋" w:cs="仿宋"/>
          <w:sz w:val="24"/>
        </w:rPr>
      </w:pPr>
      <w:r>
        <w:rPr>
          <w:rFonts w:hint="eastAsia" w:ascii="仿宋" w:hAnsi="仿宋" w:eastAsia="仿宋" w:cs="仿宋"/>
          <w:sz w:val="24"/>
        </w:rPr>
        <w:t>符合中小企业划分标准的个体工商户，在政府采购活动中视同中小企业。</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在政府采购活动中，投标人提供的货物、工程或者服务符合下列情形的，享受中小企业扶持政策：</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3.3.2.1在货物采购项目中，货物由中小企业制造，即货物由中小企业生产且使用该中小企业商号或者注册商标；</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3.3.2.2在工程采购项目中，工程由中小企业承建，即工程施工单位为中小企业；</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pPr>
        <w:pStyle w:val="94"/>
        <w:spacing w:before="0"/>
        <w:ind w:firstLine="480"/>
        <w:rPr>
          <w:rFonts w:hint="eastAsia" w:ascii="仿宋" w:hAnsi="仿宋" w:eastAsia="仿宋" w:cs="仿宋"/>
          <w:color w:val="auto"/>
          <w:kern w:val="0"/>
          <w:szCs w:val="24"/>
          <w:highlight w:val="none"/>
        </w:rPr>
      </w:pPr>
      <w:r>
        <w:rPr>
          <w:rFonts w:hint="eastAsia" w:ascii="仿宋" w:hAnsi="仿宋" w:eastAsia="仿宋" w:cs="仿宋"/>
          <w:b/>
          <w:bCs/>
          <w:color w:val="auto"/>
          <w:sz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b/>
          <w:bCs/>
          <w:color w:val="auto"/>
          <w:sz w:val="24"/>
          <w:highlight w:val="none"/>
          <w:lang w:val="en-US" w:eastAsia="zh-CN"/>
        </w:rPr>
        <w:t>2</w:t>
      </w:r>
      <w:r>
        <w:rPr>
          <w:rFonts w:hint="eastAsia" w:ascii="仿宋" w:hAnsi="仿宋" w:eastAsia="仿宋" w:cs="仿宋"/>
          <w:b/>
          <w:bCs/>
          <w:color w:val="auto"/>
          <w:sz w:val="24"/>
          <w:highlight w:val="none"/>
        </w:rPr>
        <w:t>0%的扣除，用扣除后的价格参与评审。</w:t>
      </w:r>
      <w:r>
        <w:rPr>
          <w:rFonts w:hint="eastAsia" w:ascii="仿宋" w:hAnsi="仿宋" w:eastAsia="仿宋" w:cs="仿宋"/>
          <w:color w:val="auto"/>
          <w:kern w:val="0"/>
          <w:szCs w:val="24"/>
          <w:highlight w:val="none"/>
        </w:rPr>
        <w:t>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Cs w:val="24"/>
          <w:highlight w:val="none"/>
          <w:lang w:val="en-US" w:eastAsia="zh-CN"/>
        </w:rPr>
        <w:t>6</w:t>
      </w:r>
      <w:r>
        <w:rPr>
          <w:rFonts w:hint="eastAsia" w:ascii="仿宋" w:hAnsi="仿宋" w:eastAsia="仿宋" w:cs="仿宋"/>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 w:hAnsi="仿宋" w:eastAsia="仿宋" w:cs="仿宋"/>
          <w:sz w:val="24"/>
        </w:rPr>
      </w:pPr>
      <w:r>
        <w:rPr>
          <w:rFonts w:hint="eastAsia" w:ascii="仿宋" w:hAnsi="仿宋" w:eastAsia="仿宋" w:cs="仿宋"/>
          <w:sz w:val="24"/>
        </w:rPr>
        <w:t>对于预留份额专门面向中小企业的政府采购货物或服务项目，对小型和微型企业的投标报价不予以扣除评审。</w:t>
      </w:r>
    </w:p>
    <w:p>
      <w:pPr>
        <w:spacing w:line="360" w:lineRule="auto"/>
        <w:ind w:firstLine="480" w:firstLineChars="200"/>
        <w:rPr>
          <w:rFonts w:ascii="仿宋" w:hAnsi="仿宋" w:eastAsia="仿宋" w:cs="仿宋"/>
          <w:sz w:val="24"/>
        </w:rPr>
      </w:pPr>
      <w:r>
        <w:rPr>
          <w:rFonts w:hint="eastAsia" w:ascii="仿宋" w:hAnsi="仿宋" w:eastAsia="仿宋" w:cs="仿宋"/>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仿宋" w:hAnsi="仿宋" w:eastAsia="仿宋" w:cs="仿宋"/>
          <w:sz w:val="24"/>
        </w:rPr>
      </w:pPr>
      <w:r>
        <w:rPr>
          <w:rFonts w:hint="eastAsia" w:ascii="仿宋" w:hAnsi="仿宋" w:eastAsia="仿宋" w:cs="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 w:hAnsi="仿宋" w:eastAsia="仿宋" w:cs="仿宋"/>
          <w:sz w:val="24"/>
        </w:rPr>
      </w:pPr>
      <w:r>
        <w:rPr>
          <w:rFonts w:hint="eastAsia" w:ascii="仿宋" w:hAnsi="仿宋" w:eastAsia="仿宋" w:cs="仿宋"/>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2" w:firstLineChars="200"/>
        <w:rPr>
          <w:rFonts w:ascii="仿宋" w:hAnsi="仿宋" w:eastAsia="仿宋" w:cs="仿宋"/>
          <w:b/>
          <w:bCs/>
          <w:sz w:val="24"/>
        </w:rPr>
      </w:pPr>
      <w:r>
        <w:rPr>
          <w:rFonts w:hint="eastAsia" w:ascii="仿宋" w:hAnsi="仿宋" w:eastAsia="仿宋" w:cs="仿宋"/>
          <w:b/>
          <w:bCs/>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pPr>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3.4.1 采购人优先采购被认定为首台套产品和“制造精品”的自主创新产品。</w:t>
      </w:r>
    </w:p>
    <w:p>
      <w:pPr>
        <w:spacing w:line="360" w:lineRule="auto"/>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ascii="仿宋" w:hAnsi="仿宋" w:eastAsia="仿宋" w:cs="仿宋"/>
          <w:color w:val="000000" w:themeColor="text1"/>
          <w:sz w:val="24"/>
          <w14:textFill>
            <w14:solidFill>
              <w14:schemeClr w14:val="tx1"/>
            </w14:solidFill>
          </w14:textFill>
        </w:rPr>
        <w:cr/>
      </w:r>
      <w:r>
        <w:rPr>
          <w:rFonts w:hint="eastAsia" w:ascii="仿宋" w:hAnsi="仿宋" w:eastAsia="仿宋" w:cs="仿宋"/>
          <w:b/>
          <w:color w:val="000000" w:themeColor="text1"/>
          <w:sz w:val="24"/>
          <w14:textFill>
            <w14:solidFill>
              <w14:schemeClr w14:val="tx1"/>
            </w14:solidFill>
          </w14:textFill>
        </w:rPr>
        <w:t>4. 询问、质疑、投诉</w:t>
      </w:r>
    </w:p>
    <w:p>
      <w:pPr>
        <w:autoSpaceDE w:val="0"/>
        <w:autoSpaceDN w:val="0"/>
        <w:spacing w:line="360" w:lineRule="auto"/>
        <w:ind w:firstLine="240" w:firstLineChars="100"/>
        <w:jc w:val="left"/>
        <w:rPr>
          <w:rFonts w:ascii="仿宋" w:hAnsi="仿宋" w:eastAsia="仿宋" w:cs="仿宋"/>
          <w:color w:val="000000" w:themeColor="text1"/>
          <w:kern w:val="0"/>
          <w:sz w:val="24"/>
          <w:lang w:val="zh-CN"/>
          <w14:textFill>
            <w14:solidFill>
              <w14:schemeClr w14:val="tx1"/>
            </w14:solidFill>
          </w14:textFill>
        </w:rPr>
      </w:pPr>
      <w:r>
        <w:rPr>
          <w:rFonts w:hint="eastAsia" w:ascii="仿宋" w:hAnsi="仿宋" w:eastAsia="仿宋" w:cs="仿宋"/>
          <w:color w:val="000000" w:themeColor="text1"/>
          <w:kern w:val="0"/>
          <w:sz w:val="24"/>
          <w:lang w:val="zh-CN"/>
          <w14:textFill>
            <w14:solidFill>
              <w14:schemeClr w14:val="tx1"/>
            </w14:solidFill>
          </w14:textFill>
        </w:rPr>
        <w:t>4.1供应商询问</w:t>
      </w:r>
    </w:p>
    <w:p>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仿宋" w:hAnsi="仿宋" w:eastAsia="仿宋" w:cs="仿宋"/>
          <w:kern w:val="0"/>
          <w:sz w:val="24"/>
          <w:lang w:val="zh-CN"/>
        </w:rPr>
      </w:pPr>
      <w:r>
        <w:rPr>
          <w:rFonts w:hint="eastAsia" w:ascii="仿宋" w:hAnsi="仿宋" w:eastAsia="仿宋" w:cs="仿宋"/>
          <w:kern w:val="0"/>
          <w:sz w:val="24"/>
          <w:lang w:val="zh-CN"/>
        </w:rPr>
        <w:t>4.2供应商质疑</w:t>
      </w:r>
    </w:p>
    <w:p>
      <w:pPr>
        <w:pStyle w:val="34"/>
        <w:spacing w:line="360" w:lineRule="auto"/>
        <w:ind w:firstLine="480" w:firstLineChars="200"/>
        <w:rPr>
          <w:rFonts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.1提出质疑的供应商应当是参与所质疑项目采购活动的供应商。潜在供应商已依法获取其可质疑的招标文件的，可以对该文件提出质疑。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5"/>
        <w:spacing w:line="360" w:lineRule="auto"/>
        <w:ind w:firstLine="480" w:firstLineChars="200"/>
        <w:rPr>
          <w:rFonts w:ascii="仿宋" w:hAnsi="仿宋" w:eastAsia="仿宋" w:cs="仿宋"/>
          <w:color w:val="auto"/>
          <w:kern w:val="2"/>
          <w:sz w:val="24"/>
        </w:rPr>
      </w:pPr>
      <w:r>
        <w:rPr>
          <w:rFonts w:hint="eastAsia" w:ascii="仿宋" w:hAnsi="仿宋" w:eastAsia="仿宋" w:cs="仿宋"/>
          <w:color w:val="auto"/>
          <w:kern w:val="2"/>
          <w:sz w:val="24"/>
        </w:rPr>
        <w:t>4.2.2.1对招标文件提出质疑的，质疑期限为供应商获得招标文件之日或者招标文件公告期限届满之日起计算。</w:t>
      </w:r>
    </w:p>
    <w:p>
      <w:pPr>
        <w:pStyle w:val="34"/>
        <w:spacing w:line="360" w:lineRule="auto"/>
        <w:ind w:firstLine="480" w:firstLineChars="200"/>
        <w:rPr>
          <w:rFonts w:ascii="仿宋" w:hAnsi="仿宋" w:eastAsia="仿宋" w:cs="仿宋"/>
          <w:sz w:val="24"/>
        </w:rPr>
      </w:pPr>
      <w:r>
        <w:rPr>
          <w:rFonts w:hint="eastAsia" w:ascii="仿宋" w:hAnsi="仿宋" w:eastAsia="仿宋" w:cs="仿宋"/>
          <w:sz w:val="24"/>
        </w:rPr>
        <w:t>4.2.2.2对采购过程提出质疑的，质疑期限为各采购程序环节结束之日起计算。对同一采购程序环节的质疑，供应商须一次性提出。</w:t>
      </w:r>
    </w:p>
    <w:p>
      <w:pPr>
        <w:pStyle w:val="34"/>
        <w:spacing w:line="360" w:lineRule="auto"/>
        <w:ind w:firstLine="480" w:firstLineChars="200"/>
        <w:rPr>
          <w:rFonts w:ascii="仿宋" w:hAnsi="仿宋" w:eastAsia="仿宋" w:cs="仿宋"/>
          <w:sz w:val="24"/>
        </w:rPr>
      </w:pPr>
      <w:r>
        <w:rPr>
          <w:rFonts w:hint="eastAsia" w:ascii="仿宋" w:hAnsi="仿宋" w:eastAsia="仿宋" w:cs="仿宋"/>
          <w:sz w:val="24"/>
        </w:rPr>
        <w:t>4.2.2.3对采购结果提出质疑的，质疑期限自采购结果公告期限届满之日起计算。</w:t>
      </w:r>
    </w:p>
    <w:p>
      <w:pPr>
        <w:pStyle w:val="34"/>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4.2.3</w:t>
      </w:r>
      <w:r>
        <w:rPr>
          <w:rFonts w:hint="eastAsia" w:ascii="仿宋" w:hAnsi="仿宋" w:eastAsia="仿宋" w:cs="仿宋"/>
          <w:sz w:val="24"/>
        </w:rPr>
        <w:t>供应商提出质疑应当提交质疑函和必要的证明材料。质疑函应当包括下列内容：</w:t>
      </w:r>
    </w:p>
    <w:p>
      <w:pPr>
        <w:pStyle w:val="34"/>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　　4.2.3.1供应商的姓名或者名称、地址、邮编、联系人及联系电话；</w:t>
      </w:r>
    </w:p>
    <w:p>
      <w:pPr>
        <w:pStyle w:val="34"/>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　　4.2.3.2质疑项目的名称、编号；</w:t>
      </w:r>
    </w:p>
    <w:p>
      <w:pPr>
        <w:pStyle w:val="34"/>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　　4.2.3.3具体、明确的质疑事项和与质疑事项相关的请求；</w:t>
      </w:r>
    </w:p>
    <w:p>
      <w:pPr>
        <w:pStyle w:val="34"/>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　　4.2.3.4事实依据；</w:t>
      </w:r>
    </w:p>
    <w:p>
      <w:pPr>
        <w:pStyle w:val="34"/>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　　4.2.3.5必要的法律依据；</w:t>
      </w:r>
    </w:p>
    <w:p>
      <w:pPr>
        <w:pStyle w:val="34"/>
        <w:spacing w:line="360" w:lineRule="auto"/>
        <w:ind w:firstLine="960" w:firstLineChars="400"/>
        <w:rPr>
          <w:rFonts w:ascii="仿宋" w:hAnsi="仿宋" w:eastAsia="仿宋" w:cs="仿宋"/>
          <w:kern w:val="0"/>
          <w:sz w:val="24"/>
          <w:lang w:val="zh-CN"/>
        </w:rPr>
      </w:pPr>
      <w:r>
        <w:rPr>
          <w:rFonts w:hint="eastAsia" w:ascii="仿宋" w:hAnsi="仿宋" w:eastAsia="仿宋" w:cs="仿宋"/>
          <w:kern w:val="0"/>
          <w:sz w:val="24"/>
          <w:lang w:val="zh-CN"/>
        </w:rPr>
        <w:t>4.2.3.6提出质疑的日期。</w:t>
      </w:r>
    </w:p>
    <w:p>
      <w:pPr>
        <w:pStyle w:val="579"/>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供应商提交的质疑函需一式三份。供应商为自然人的，应当由本人签字；供应商为法人或者其他组织的，应当由法定代表人、主要负责人，或者其授权代表签字或者盖章，并加盖公章。</w:t>
      </w:r>
    </w:p>
    <w:p>
      <w:pPr>
        <w:pStyle w:val="579"/>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质疑函范本及制作说明详见附件2。</w:t>
      </w:r>
    </w:p>
    <w:p>
      <w:pPr>
        <w:pStyle w:val="579"/>
        <w:shd w:val="clear" w:color="auto" w:fill="FFFFFF"/>
        <w:snapToGrid w:val="0"/>
        <w:spacing w:after="240" w:afterAutospacing="0" w:line="360" w:lineRule="auto"/>
        <w:ind w:firstLine="400"/>
        <w:contextualSpacing/>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lang w:val="zh-CN"/>
          <w14:textFill>
            <w14:solidFill>
              <w14:schemeClr w14:val="tx1"/>
            </w14:solidFill>
          </w14:textFill>
        </w:rPr>
        <w:t>4.2</w:t>
      </w:r>
      <w:r>
        <w:rPr>
          <w:rFonts w:hint="eastAsia" w:ascii="仿宋" w:hAnsi="仿宋" w:eastAsia="仿宋" w:cs="仿宋"/>
          <w:color w:val="000000" w:themeColor="text1"/>
          <w14:textFill>
            <w14:solidFill>
              <w14:schemeClr w14:val="tx1"/>
            </w14:solidFill>
          </w14:textFill>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579"/>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color w:val="000000" w:themeColor="text1"/>
          <w:lang w:val="zh-CN"/>
          <w14:textFill>
            <w14:solidFill>
              <w14:schemeClr w14:val="tx1"/>
            </w14:solidFill>
          </w14:textFill>
        </w:rPr>
        <w:t>4.2</w:t>
      </w:r>
      <w:r>
        <w:rPr>
          <w:rFonts w:hint="eastAsia" w:ascii="仿宋" w:hAnsi="仿宋" w:eastAsia="仿宋" w:cs="仿宋"/>
          <w:color w:val="000000" w:themeColor="text1"/>
          <w14:textFill>
            <w14:solidFill>
              <w14:schemeClr w14:val="tx1"/>
            </w14:solidFill>
          </w14:textFill>
        </w:rPr>
        <w:t>.5询问或者质疑事项可能影响采</w:t>
      </w:r>
      <w:r>
        <w:rPr>
          <w:rFonts w:hint="eastAsia" w:ascii="仿宋" w:hAnsi="仿宋" w:eastAsia="仿宋" w:cs="仿宋"/>
        </w:rPr>
        <w:t>购结果的，采购人应当暂停签订合同，已经签订合同的，应当中止履行合同。</w:t>
      </w:r>
    </w:p>
    <w:p>
      <w:pPr>
        <w:pStyle w:val="579"/>
        <w:shd w:val="clear" w:color="auto" w:fill="FFFFFF"/>
        <w:snapToGrid w:val="0"/>
        <w:spacing w:after="240" w:afterAutospacing="0" w:line="360" w:lineRule="auto"/>
        <w:ind w:firstLine="480" w:firstLineChars="200"/>
        <w:contextualSpacing/>
        <w:rPr>
          <w:rFonts w:ascii="仿宋" w:hAnsi="仿宋" w:eastAsia="仿宋" w:cs="仿宋"/>
          <w:lang w:val="zh-CN"/>
        </w:rPr>
      </w:pPr>
      <w:r>
        <w:rPr>
          <w:rFonts w:hint="eastAsia" w:ascii="仿宋" w:hAnsi="仿宋" w:eastAsia="仿宋" w:cs="仿宋"/>
          <w:lang w:val="zh-CN"/>
        </w:rPr>
        <w:t>4.3供应商投诉</w:t>
      </w:r>
    </w:p>
    <w:p>
      <w:pPr>
        <w:pStyle w:val="579"/>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4.3.1质疑供应商对采购人、采购机构的答复不满意或者采购人、采购机构未在规定的时间内作出答复的，可以在答复期满后十五个工作日内向同级政府采购监督管理部门提出投诉。</w:t>
      </w:r>
    </w:p>
    <w:p>
      <w:pPr>
        <w:pStyle w:val="579"/>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4.3.</w:t>
      </w:r>
      <w:r>
        <w:rPr>
          <w:rFonts w:hint="eastAsia" w:ascii="仿宋" w:hAnsi="仿宋" w:eastAsia="仿宋" w:cs="仿宋"/>
          <w:lang w:val="zh-CN"/>
        </w:rPr>
        <w:t>2</w:t>
      </w:r>
      <w:r>
        <w:rPr>
          <w:rFonts w:hint="eastAsia" w:ascii="仿宋" w:hAnsi="仿宋" w:eastAsia="仿宋" w:cs="仿宋"/>
        </w:rPr>
        <w:t>供应商投诉的事项不得超出已质疑事项的范围，基于质疑答复内容提出的投诉事项除外。</w:t>
      </w:r>
    </w:p>
    <w:p>
      <w:pPr>
        <w:pStyle w:val="579"/>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4.3.3供应商投诉应当有明确的请求和必要的证明材料。</w:t>
      </w:r>
    </w:p>
    <w:p>
      <w:pPr>
        <w:pStyle w:val="579"/>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4.3.5 以联合体形式参加政府采购活动的，其投诉应当由组成联合体的所有供应商共同提出。</w:t>
      </w:r>
    </w:p>
    <w:p>
      <w:pPr>
        <w:pStyle w:val="579"/>
        <w:shd w:val="clear" w:color="auto" w:fill="FFFFFF"/>
        <w:snapToGrid w:val="0"/>
        <w:spacing w:after="240" w:afterAutospacing="0" w:line="360" w:lineRule="auto"/>
        <w:ind w:firstLine="400"/>
        <w:contextualSpacing/>
        <w:rPr>
          <w:rFonts w:ascii="仿宋" w:hAnsi="仿宋" w:eastAsia="仿宋" w:cs="仿宋"/>
        </w:rPr>
      </w:pPr>
      <w:r>
        <w:rPr>
          <w:rFonts w:hint="eastAsia" w:ascii="仿宋" w:hAnsi="仿宋" w:eastAsia="仿宋" w:cs="仿宋"/>
        </w:rPr>
        <w:t>投诉书范本及制作说明详见附件3。</w:t>
      </w:r>
    </w:p>
    <w:p>
      <w:pPr>
        <w:pStyle w:val="94"/>
        <w:snapToGrid w:val="0"/>
        <w:spacing w:before="0"/>
        <w:ind w:firstLine="360"/>
        <w:rPr>
          <w:rFonts w:ascii="仿宋" w:hAnsi="仿宋" w:eastAsia="仿宋" w:cs="仿宋"/>
          <w:sz w:val="18"/>
          <w:szCs w:val="18"/>
        </w:rPr>
      </w:pPr>
    </w:p>
    <w:p>
      <w:pPr>
        <w:adjustRightInd/>
        <w:spacing w:line="360" w:lineRule="auto"/>
        <w:jc w:val="center"/>
        <w:outlineLvl w:val="0"/>
        <w:rPr>
          <w:rFonts w:ascii="仿宋" w:hAnsi="仿宋" w:eastAsia="仿宋" w:cs="仿宋"/>
          <w:b/>
          <w:sz w:val="32"/>
          <w:szCs w:val="20"/>
        </w:rPr>
      </w:pPr>
      <w:r>
        <w:rPr>
          <w:rFonts w:hint="eastAsia" w:ascii="仿宋" w:hAnsi="仿宋" w:eastAsia="仿宋" w:cs="仿宋"/>
          <w:b/>
          <w:sz w:val="32"/>
          <w:szCs w:val="20"/>
        </w:rPr>
        <w:t xml:space="preserve">      二、招标文件的构成、澄清、修改</w:t>
      </w:r>
    </w:p>
    <w:p>
      <w:pPr>
        <w:pStyle w:val="34"/>
        <w:spacing w:line="360" w:lineRule="auto"/>
        <w:rPr>
          <w:rFonts w:ascii="仿宋" w:hAnsi="仿宋" w:eastAsia="仿宋" w:cs="仿宋"/>
          <w:b/>
          <w:sz w:val="24"/>
          <w:szCs w:val="24"/>
        </w:rPr>
      </w:pPr>
      <w:r>
        <w:rPr>
          <w:rFonts w:hint="eastAsia" w:ascii="仿宋" w:hAnsi="仿宋" w:eastAsia="仿宋" w:cs="仿宋"/>
          <w:b/>
          <w:sz w:val="24"/>
          <w:szCs w:val="24"/>
        </w:rPr>
        <w:t>5．招标文件的构成</w:t>
      </w:r>
    </w:p>
    <w:p>
      <w:pPr>
        <w:pStyle w:val="34"/>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5.1 招标文件包括下列文件及附件：</w:t>
      </w:r>
    </w:p>
    <w:p>
      <w:pPr>
        <w:pStyle w:val="34"/>
        <w:tabs>
          <w:tab w:val="left" w:pos="840"/>
        </w:tabs>
        <w:spacing w:line="360" w:lineRule="auto"/>
        <w:ind w:firstLine="960" w:firstLineChars="400"/>
        <w:rPr>
          <w:rFonts w:ascii="仿宋" w:hAnsi="仿宋" w:eastAsia="仿宋" w:cs="仿宋"/>
          <w:sz w:val="24"/>
          <w:szCs w:val="24"/>
        </w:rPr>
      </w:pPr>
      <w:r>
        <w:rPr>
          <w:rFonts w:hint="eastAsia" w:ascii="仿宋" w:hAnsi="仿宋" w:eastAsia="仿宋" w:cs="仿宋"/>
          <w:sz w:val="24"/>
          <w:szCs w:val="24"/>
        </w:rPr>
        <w:t>5.1.1招标公告；</w:t>
      </w:r>
    </w:p>
    <w:p>
      <w:pPr>
        <w:pStyle w:val="34"/>
        <w:tabs>
          <w:tab w:val="left" w:pos="840"/>
        </w:tabs>
        <w:spacing w:line="360" w:lineRule="auto"/>
        <w:ind w:firstLine="960" w:firstLineChars="400"/>
        <w:rPr>
          <w:rFonts w:ascii="仿宋" w:hAnsi="仿宋" w:eastAsia="仿宋" w:cs="仿宋"/>
          <w:sz w:val="24"/>
          <w:szCs w:val="24"/>
        </w:rPr>
      </w:pPr>
      <w:r>
        <w:rPr>
          <w:rFonts w:hint="eastAsia" w:ascii="仿宋" w:hAnsi="仿宋" w:eastAsia="仿宋" w:cs="仿宋"/>
          <w:sz w:val="24"/>
          <w:szCs w:val="24"/>
        </w:rPr>
        <w:t>5.1.2投标人须知；</w:t>
      </w:r>
    </w:p>
    <w:p>
      <w:pPr>
        <w:pStyle w:val="34"/>
        <w:tabs>
          <w:tab w:val="left" w:pos="840"/>
        </w:tabs>
        <w:spacing w:line="360" w:lineRule="auto"/>
        <w:ind w:firstLine="960" w:firstLineChars="400"/>
        <w:rPr>
          <w:rFonts w:ascii="仿宋" w:hAnsi="仿宋" w:eastAsia="仿宋" w:cs="仿宋"/>
          <w:sz w:val="24"/>
          <w:szCs w:val="24"/>
        </w:rPr>
      </w:pPr>
      <w:r>
        <w:rPr>
          <w:rFonts w:hint="eastAsia" w:ascii="仿宋" w:hAnsi="仿宋" w:eastAsia="仿宋" w:cs="仿宋"/>
          <w:sz w:val="24"/>
          <w:szCs w:val="24"/>
        </w:rPr>
        <w:t>5.1.3采购需求；</w:t>
      </w:r>
    </w:p>
    <w:p>
      <w:pPr>
        <w:pStyle w:val="34"/>
        <w:tabs>
          <w:tab w:val="left" w:pos="840"/>
        </w:tabs>
        <w:spacing w:line="360" w:lineRule="auto"/>
        <w:ind w:firstLine="960" w:firstLineChars="400"/>
        <w:rPr>
          <w:rFonts w:ascii="仿宋" w:hAnsi="仿宋" w:eastAsia="仿宋" w:cs="仿宋"/>
          <w:sz w:val="24"/>
          <w:szCs w:val="24"/>
        </w:rPr>
      </w:pPr>
      <w:r>
        <w:rPr>
          <w:rFonts w:hint="eastAsia" w:ascii="仿宋" w:hAnsi="仿宋" w:eastAsia="仿宋" w:cs="仿宋"/>
          <w:sz w:val="24"/>
          <w:szCs w:val="24"/>
        </w:rPr>
        <w:t>5.1.4评标办法；</w:t>
      </w:r>
    </w:p>
    <w:p>
      <w:pPr>
        <w:pStyle w:val="34"/>
        <w:tabs>
          <w:tab w:val="left" w:pos="840"/>
        </w:tabs>
        <w:spacing w:line="360" w:lineRule="auto"/>
        <w:ind w:firstLine="960" w:firstLineChars="400"/>
        <w:rPr>
          <w:rFonts w:ascii="仿宋" w:hAnsi="仿宋" w:eastAsia="仿宋" w:cs="仿宋"/>
          <w:sz w:val="24"/>
          <w:szCs w:val="24"/>
        </w:rPr>
      </w:pPr>
      <w:r>
        <w:rPr>
          <w:rFonts w:hint="eastAsia" w:ascii="仿宋" w:hAnsi="仿宋" w:eastAsia="仿宋" w:cs="仿宋"/>
          <w:sz w:val="24"/>
          <w:szCs w:val="24"/>
        </w:rPr>
        <w:t>5.1.5拟签订的合同文本；</w:t>
      </w:r>
    </w:p>
    <w:p>
      <w:pPr>
        <w:pStyle w:val="34"/>
        <w:tabs>
          <w:tab w:val="left" w:pos="840"/>
        </w:tabs>
        <w:spacing w:line="360" w:lineRule="auto"/>
        <w:ind w:firstLine="960" w:firstLineChars="400"/>
        <w:rPr>
          <w:rFonts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pPr>
        <w:spacing w:line="360" w:lineRule="auto"/>
        <w:ind w:firstLine="480" w:firstLineChars="200"/>
        <w:rPr>
          <w:rFonts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澄清或者修改的内容为招标文件的组成部分</w:t>
      </w:r>
      <w:r>
        <w:rPr>
          <w:rFonts w:hint="eastAsia" w:ascii="仿宋" w:hAnsi="仿宋" w:eastAsia="仿宋" w:cs="仿宋"/>
          <w:sz w:val="24"/>
        </w:rPr>
        <w:t>。</w:t>
      </w:r>
    </w:p>
    <w:p>
      <w:pPr>
        <w:pStyle w:val="34"/>
        <w:spacing w:line="360" w:lineRule="auto"/>
        <w:rPr>
          <w:rFonts w:ascii="仿宋" w:hAnsi="仿宋" w:eastAsia="仿宋" w:cs="仿宋"/>
          <w:b/>
          <w:sz w:val="24"/>
          <w:szCs w:val="24"/>
        </w:rPr>
      </w:pPr>
      <w:r>
        <w:rPr>
          <w:rFonts w:hint="eastAsia" w:ascii="仿宋" w:hAnsi="仿宋" w:eastAsia="仿宋" w:cs="仿宋"/>
          <w:b/>
          <w:sz w:val="24"/>
          <w:szCs w:val="24"/>
        </w:rPr>
        <w:t>6. 招标文件的澄清、修改</w:t>
      </w:r>
    </w:p>
    <w:p>
      <w:pPr>
        <w:pStyle w:val="94"/>
        <w:snapToGrid w:val="0"/>
        <w:spacing w:before="0"/>
        <w:ind w:firstLine="480"/>
        <w:rPr>
          <w:rFonts w:ascii="仿宋" w:hAnsi="仿宋" w:eastAsia="仿宋" w:cs="仿宋"/>
        </w:rPr>
      </w:pPr>
      <w:r>
        <w:rPr>
          <w:rFonts w:hint="eastAsia" w:ascii="仿宋" w:hAnsi="仿宋" w:eastAsia="仿宋" w:cs="仿宋"/>
        </w:rPr>
        <w:t>6.1已获取招标文件的潜在投标人，若有问题需要澄清，应于投标截止时间前，以书面形式向采购机构提出。</w:t>
      </w:r>
    </w:p>
    <w:p>
      <w:pPr>
        <w:pStyle w:val="94"/>
        <w:snapToGrid w:val="0"/>
        <w:spacing w:before="0"/>
        <w:ind w:firstLine="480"/>
        <w:rPr>
          <w:rFonts w:ascii="仿宋" w:hAnsi="仿宋" w:eastAsia="仿宋" w:cs="仿宋"/>
        </w:rPr>
      </w:pPr>
      <w:r>
        <w:rPr>
          <w:rFonts w:hint="eastAsia" w:ascii="仿宋" w:hAnsi="仿宋" w:eastAsia="仿宋" w:cs="仿宋"/>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ascii="仿宋" w:hAnsi="仿宋" w:eastAsia="仿宋" w:cs="仿宋"/>
          <w:sz w:val="18"/>
          <w:szCs w:val="18"/>
          <w:lang w:val="en-US"/>
        </w:rPr>
      </w:pPr>
      <w:r>
        <w:rPr>
          <w:rFonts w:hint="eastAsia" w:ascii="仿宋" w:hAnsi="仿宋" w:eastAsia="仿宋" w:cs="仿宋"/>
          <w:szCs w:val="24"/>
          <w:lang w:val="en-US"/>
        </w:rPr>
        <w:t xml:space="preserve">    </w:t>
      </w:r>
    </w:p>
    <w:p>
      <w:pPr>
        <w:adjustRightInd/>
        <w:spacing w:line="360" w:lineRule="auto"/>
        <w:jc w:val="center"/>
        <w:outlineLvl w:val="0"/>
        <w:rPr>
          <w:rFonts w:ascii="仿宋" w:hAnsi="仿宋" w:eastAsia="仿宋" w:cs="仿宋"/>
          <w:b/>
          <w:sz w:val="30"/>
          <w:szCs w:val="20"/>
        </w:rPr>
      </w:pPr>
      <w:r>
        <w:rPr>
          <w:rFonts w:hint="eastAsia" w:ascii="仿宋" w:hAnsi="仿宋" w:eastAsia="仿宋" w:cs="仿宋"/>
          <w:b/>
          <w:sz w:val="30"/>
          <w:szCs w:val="20"/>
        </w:rPr>
        <w:t>三、投标</w:t>
      </w:r>
    </w:p>
    <w:p>
      <w:pPr>
        <w:pStyle w:val="34"/>
        <w:spacing w:line="360" w:lineRule="auto"/>
        <w:rPr>
          <w:rFonts w:ascii="仿宋" w:hAnsi="仿宋" w:eastAsia="仿宋" w:cs="仿宋"/>
          <w:b/>
          <w:sz w:val="24"/>
          <w:szCs w:val="24"/>
        </w:rPr>
      </w:pPr>
      <w:r>
        <w:rPr>
          <w:rFonts w:hint="eastAsia" w:ascii="仿宋" w:hAnsi="仿宋" w:eastAsia="仿宋" w:cs="仿宋"/>
          <w:b/>
          <w:sz w:val="24"/>
          <w:szCs w:val="24"/>
        </w:rPr>
        <w:t>7. 招标文件的获取</w:t>
      </w:r>
    </w:p>
    <w:p>
      <w:pPr>
        <w:spacing w:line="360" w:lineRule="auto"/>
        <w:ind w:firstLine="480" w:firstLineChars="200"/>
        <w:rPr>
          <w:rFonts w:ascii="仿宋" w:hAnsi="仿宋" w:eastAsia="仿宋" w:cs="仿宋"/>
          <w:snapToGrid w:val="0"/>
          <w:kern w:val="28"/>
          <w:sz w:val="24"/>
        </w:rPr>
      </w:pPr>
      <w:r>
        <w:rPr>
          <w:rFonts w:hint="eastAsia" w:ascii="仿宋" w:hAnsi="仿宋" w:eastAsia="仿宋" w:cs="仿宋"/>
          <w:snapToGrid w:val="0"/>
          <w:kern w:val="28"/>
          <w:sz w:val="24"/>
        </w:rPr>
        <w:t>详见招标公告中获取招标文件的时间期限、地点、方式及招标文件售价。</w:t>
      </w:r>
    </w:p>
    <w:p>
      <w:pPr>
        <w:pStyle w:val="34"/>
        <w:spacing w:line="360" w:lineRule="auto"/>
        <w:rPr>
          <w:rFonts w:ascii="仿宋" w:hAnsi="仿宋" w:eastAsia="仿宋" w:cs="仿宋"/>
          <w:b/>
          <w:sz w:val="24"/>
          <w:szCs w:val="24"/>
        </w:rPr>
      </w:pPr>
      <w:r>
        <w:rPr>
          <w:rFonts w:hint="eastAsia" w:ascii="仿宋" w:hAnsi="仿宋" w:eastAsia="仿宋" w:cs="仿宋"/>
          <w:b/>
          <w:sz w:val="24"/>
          <w:szCs w:val="24"/>
        </w:rPr>
        <w:t>8.开标前答疑会或现场考察</w:t>
      </w:r>
    </w:p>
    <w:p>
      <w:pPr>
        <w:pStyle w:val="34"/>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采购人组织潜在投标人现场考察或者召开开标前答疑会的，潜在投标人按第二部分投标人须知前附表的规定参加现场考察或者开标前答疑会。</w:t>
      </w:r>
    </w:p>
    <w:p>
      <w:pPr>
        <w:pStyle w:val="34"/>
        <w:spacing w:line="360" w:lineRule="auto"/>
        <w:rPr>
          <w:rFonts w:ascii="仿宋" w:hAnsi="仿宋" w:eastAsia="仿宋" w:cs="仿宋"/>
          <w:b/>
          <w:szCs w:val="24"/>
        </w:rPr>
      </w:pPr>
      <w:r>
        <w:rPr>
          <w:rFonts w:hint="eastAsia" w:ascii="仿宋" w:hAnsi="仿宋" w:eastAsia="仿宋" w:cs="仿宋"/>
          <w:b/>
          <w:kern w:val="28"/>
          <w:sz w:val="24"/>
          <w:szCs w:val="24"/>
        </w:rPr>
        <w:t>9.投标保证金</w:t>
      </w:r>
    </w:p>
    <w:p>
      <w:pPr>
        <w:pStyle w:val="15"/>
        <w:spacing w:line="360" w:lineRule="auto"/>
        <w:ind w:firstLine="470" w:firstLineChars="196"/>
        <w:rPr>
          <w:rFonts w:ascii="仿宋" w:hAnsi="仿宋" w:eastAsia="仿宋" w:cs="仿宋"/>
          <w:color w:val="auto"/>
          <w:sz w:val="24"/>
        </w:rPr>
      </w:pPr>
      <w:r>
        <w:rPr>
          <w:rFonts w:hint="eastAsia" w:ascii="仿宋" w:hAnsi="仿宋" w:eastAsia="仿宋" w:cs="仿宋"/>
          <w:color w:val="auto"/>
          <w:sz w:val="24"/>
        </w:rPr>
        <w:t>本项目不需缴纳投标保证金。</w:t>
      </w:r>
    </w:p>
    <w:p>
      <w:pPr>
        <w:pStyle w:val="34"/>
        <w:spacing w:line="360" w:lineRule="auto"/>
        <w:rPr>
          <w:rFonts w:ascii="仿宋" w:hAnsi="仿宋" w:eastAsia="仿宋" w:cs="仿宋"/>
          <w:b/>
          <w:sz w:val="24"/>
          <w:szCs w:val="24"/>
        </w:rPr>
      </w:pPr>
      <w:r>
        <w:rPr>
          <w:rFonts w:hint="eastAsia" w:ascii="仿宋" w:hAnsi="仿宋" w:eastAsia="仿宋" w:cs="仿宋"/>
          <w:b/>
          <w:sz w:val="24"/>
          <w:szCs w:val="24"/>
        </w:rPr>
        <w:t>10. 投标文件的语言</w:t>
      </w:r>
    </w:p>
    <w:p>
      <w:pPr>
        <w:autoSpaceDE w:val="0"/>
        <w:autoSpaceDN w:val="0"/>
        <w:spacing w:line="360" w:lineRule="auto"/>
        <w:ind w:firstLine="480" w:firstLineChars="200"/>
        <w:rPr>
          <w:rFonts w:ascii="仿宋" w:hAnsi="仿宋" w:eastAsia="仿宋" w:cs="仿宋"/>
          <w:sz w:val="24"/>
          <w:lang w:val="zh-CN"/>
        </w:rPr>
      </w:pPr>
      <w:r>
        <w:rPr>
          <w:rFonts w:hint="eastAsia" w:ascii="仿宋" w:hAnsi="仿宋" w:eastAsia="仿宋" w:cs="仿宋"/>
          <w:sz w:val="24"/>
        </w:rPr>
        <w:t>投标文件及投标人与采购有关的来往通知、函件和文件均应使用中文。</w:t>
      </w:r>
    </w:p>
    <w:p>
      <w:pPr>
        <w:pStyle w:val="34"/>
        <w:spacing w:line="360" w:lineRule="auto"/>
        <w:rPr>
          <w:rFonts w:ascii="仿宋" w:hAnsi="仿宋" w:eastAsia="仿宋" w:cs="仿宋"/>
          <w:b/>
          <w:sz w:val="24"/>
          <w:szCs w:val="24"/>
        </w:rPr>
      </w:pPr>
      <w:r>
        <w:rPr>
          <w:rFonts w:hint="eastAsia" w:ascii="仿宋" w:hAnsi="仿宋" w:eastAsia="仿宋" w:cs="仿宋"/>
          <w:b/>
          <w:sz w:val="24"/>
          <w:szCs w:val="24"/>
        </w:rPr>
        <w:t>11. 投标文件的组成</w:t>
      </w:r>
    </w:p>
    <w:p>
      <w:pPr>
        <w:snapToGrid w:val="0"/>
        <w:spacing w:line="360" w:lineRule="auto"/>
        <w:rPr>
          <w:rFonts w:ascii="仿宋" w:hAnsi="仿宋" w:eastAsia="仿宋" w:cs="仿宋"/>
          <w:b/>
          <w:bCs/>
          <w:color w:val="FF0000"/>
          <w:sz w:val="24"/>
        </w:rPr>
      </w:pPr>
      <w:r>
        <w:rPr>
          <w:rFonts w:hint="eastAsia" w:ascii="仿宋" w:hAnsi="仿宋" w:eastAsia="仿宋" w:cs="仿宋"/>
          <w:color w:val="FF0000"/>
          <w:sz w:val="24"/>
        </w:rPr>
        <w:t>▲</w:t>
      </w:r>
      <w:r>
        <w:rPr>
          <w:rFonts w:hint="eastAsia" w:ascii="仿宋" w:hAnsi="仿宋" w:eastAsia="仿宋" w:cs="仿宋"/>
          <w:b/>
          <w:bCs/>
          <w:color w:val="FF0000"/>
          <w:sz w:val="24"/>
        </w:rPr>
        <w:t>11.1资格文件</w:t>
      </w:r>
      <w:r>
        <w:rPr>
          <w:rFonts w:hint="eastAsia" w:ascii="仿宋" w:hAnsi="仿宋" w:eastAsia="仿宋" w:cs="仿宋"/>
          <w:b/>
          <w:bCs/>
          <w:color w:val="FF0000"/>
          <w:sz w:val="24"/>
          <w:lang w:val="en-US" w:eastAsia="zh-CN"/>
        </w:rPr>
        <w:t>包括不限于</w:t>
      </w:r>
      <w:r>
        <w:rPr>
          <w:rFonts w:hint="eastAsia" w:ascii="仿宋" w:hAnsi="仿宋" w:eastAsia="仿宋" w:cs="仿宋"/>
          <w:b/>
          <w:bCs/>
          <w:color w:val="FF0000"/>
          <w:sz w:val="24"/>
        </w:rPr>
        <w:t>：</w:t>
      </w:r>
    </w:p>
    <w:p>
      <w:pPr>
        <w:snapToGrid w:val="0"/>
        <w:spacing w:line="360" w:lineRule="auto"/>
        <w:ind w:firstLine="480" w:firstLineChars="200"/>
        <w:rPr>
          <w:rFonts w:ascii="仿宋" w:hAnsi="仿宋" w:eastAsia="仿宋" w:cs="仿宋"/>
          <w:color w:val="FF0000"/>
          <w:sz w:val="24"/>
        </w:rPr>
      </w:pPr>
      <w:r>
        <w:rPr>
          <w:rFonts w:hint="eastAsia" w:ascii="仿宋" w:hAnsi="仿宋" w:eastAsia="仿宋" w:cs="仿宋"/>
          <w:color w:val="FF0000"/>
          <w:sz w:val="24"/>
        </w:rPr>
        <w:t>11.1.1符合参加政府采购活动应当具备的一般条件的承诺函；</w:t>
      </w:r>
    </w:p>
    <w:p>
      <w:pPr>
        <w:snapToGrid w:val="0"/>
        <w:spacing w:line="360" w:lineRule="auto"/>
        <w:ind w:firstLine="480" w:firstLineChars="200"/>
        <w:rPr>
          <w:rFonts w:ascii="仿宋" w:hAnsi="仿宋" w:eastAsia="仿宋" w:cs="仿宋"/>
          <w:color w:val="FF0000"/>
          <w:sz w:val="24"/>
        </w:rPr>
      </w:pPr>
      <w:r>
        <w:rPr>
          <w:rFonts w:hint="eastAsia" w:ascii="仿宋" w:hAnsi="仿宋" w:eastAsia="仿宋" w:cs="仿宋"/>
          <w:color w:val="FF0000"/>
          <w:sz w:val="24"/>
        </w:rPr>
        <w:t>11.1.2落实政府采购政策需满足的资格要求：</w:t>
      </w:r>
      <w:r>
        <w:rPr>
          <w:rFonts w:hint="eastAsia" w:ascii="仿宋" w:hAnsi="仿宋" w:eastAsia="仿宋" w:cs="仿宋"/>
          <w:sz w:val="24"/>
        </w:rPr>
        <w:t>本次采购为</w:t>
      </w:r>
      <w:r>
        <w:rPr>
          <w:rFonts w:hint="eastAsia" w:ascii="仿宋" w:hAnsi="仿宋" w:eastAsia="仿宋" w:cs="仿宋"/>
          <w:b/>
          <w:bCs/>
          <w:sz w:val="24"/>
          <w:u w:val="single"/>
        </w:rPr>
        <w:t>专门面向中小</w:t>
      </w:r>
      <w:r>
        <w:rPr>
          <w:rFonts w:hint="eastAsia" w:ascii="仿宋_GB2312" w:hAnsi="仿宋" w:eastAsia="仿宋_GB2312" w:cs="仿宋_GB2312"/>
          <w:b/>
          <w:bCs/>
          <w:color w:val="FF0000"/>
          <w:sz w:val="24"/>
          <w:lang w:eastAsia="zh-CN"/>
        </w:rPr>
        <w:t>（微）</w:t>
      </w:r>
      <w:r>
        <w:rPr>
          <w:rFonts w:hint="eastAsia" w:ascii="仿宋" w:hAnsi="仿宋" w:eastAsia="仿宋" w:cs="仿宋"/>
          <w:b/>
          <w:bCs/>
          <w:sz w:val="24"/>
          <w:u w:val="single"/>
        </w:rPr>
        <w:t>企业预留采购份额的采购项目，</w:t>
      </w:r>
      <w:r>
        <w:rPr>
          <w:rFonts w:hint="eastAsia" w:ascii="仿宋" w:hAnsi="仿宋" w:eastAsia="仿宋" w:cs="仿宋"/>
          <w:color w:val="FF0000"/>
          <w:sz w:val="24"/>
        </w:rPr>
        <w:t>提供投标人及所有货物生产厂家中小</w:t>
      </w:r>
      <w:r>
        <w:rPr>
          <w:rFonts w:hint="eastAsia" w:ascii="仿宋_GB2312" w:hAnsi="仿宋" w:eastAsia="仿宋_GB2312" w:cs="仿宋_GB2312"/>
          <w:b/>
          <w:bCs/>
          <w:color w:val="FF0000"/>
          <w:sz w:val="24"/>
          <w:lang w:eastAsia="zh-CN"/>
        </w:rPr>
        <w:t>（微）</w:t>
      </w:r>
      <w:r>
        <w:rPr>
          <w:rFonts w:hint="eastAsia" w:ascii="仿宋" w:hAnsi="仿宋" w:eastAsia="仿宋" w:cs="仿宋"/>
          <w:color w:val="FF0000"/>
          <w:sz w:val="24"/>
        </w:rPr>
        <w:t>企业声明函。</w:t>
      </w:r>
    </w:p>
    <w:p>
      <w:pPr>
        <w:snapToGrid w:val="0"/>
        <w:spacing w:line="360" w:lineRule="auto"/>
        <w:ind w:firstLine="480" w:firstLineChars="200"/>
        <w:rPr>
          <w:rFonts w:hint="eastAsia" w:ascii="仿宋" w:hAnsi="仿宋" w:eastAsia="仿宋" w:cs="仿宋"/>
          <w:color w:val="000000"/>
          <w:sz w:val="24"/>
          <w:lang w:eastAsia="zh-CN"/>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000000"/>
          <w:sz w:val="24"/>
          <w:lang w:eastAsia="zh-CN"/>
        </w:rPr>
        <w:t>注：</w:t>
      </w:r>
      <w:r>
        <w:rPr>
          <w:rFonts w:hint="eastAsia" w:ascii="仿宋" w:hAnsi="仿宋" w:eastAsia="仿宋" w:cs="仿宋"/>
          <w:color w:val="000000"/>
          <w:sz w:val="24"/>
        </w:rPr>
        <w:t>在货物采购项目中，货物由中小</w:t>
      </w:r>
      <w:r>
        <w:rPr>
          <w:rFonts w:hint="eastAsia" w:ascii="仿宋_GB2312" w:hAnsi="仿宋" w:eastAsia="仿宋_GB2312" w:cs="仿宋_GB2312"/>
          <w:b/>
          <w:bCs/>
          <w:color w:val="FF0000"/>
          <w:sz w:val="24"/>
          <w:lang w:eastAsia="zh-CN"/>
        </w:rPr>
        <w:t>（微）</w:t>
      </w:r>
      <w:r>
        <w:rPr>
          <w:rFonts w:hint="eastAsia" w:ascii="仿宋" w:hAnsi="仿宋" w:eastAsia="仿宋" w:cs="仿宋"/>
          <w:color w:val="000000"/>
          <w:sz w:val="24"/>
        </w:rPr>
        <w:t>企业制造，即货物由中小</w:t>
      </w:r>
      <w:r>
        <w:rPr>
          <w:rFonts w:hint="eastAsia" w:ascii="仿宋_GB2312" w:hAnsi="仿宋" w:eastAsia="仿宋_GB2312" w:cs="仿宋_GB2312"/>
          <w:b/>
          <w:bCs/>
          <w:color w:val="FF0000"/>
          <w:sz w:val="24"/>
          <w:lang w:eastAsia="zh-CN"/>
        </w:rPr>
        <w:t>（微）</w:t>
      </w:r>
      <w:r>
        <w:rPr>
          <w:rFonts w:hint="eastAsia" w:ascii="仿宋" w:hAnsi="仿宋" w:eastAsia="仿宋" w:cs="仿宋"/>
          <w:color w:val="000000"/>
          <w:sz w:val="24"/>
        </w:rPr>
        <w:t>企业生产且使用该中小企业商号或者注册商标；</w:t>
      </w:r>
      <w:r>
        <w:rPr>
          <w:rFonts w:hint="eastAsia" w:ascii="仿宋" w:hAnsi="仿宋" w:eastAsia="仿宋" w:cs="仿宋"/>
          <w:color w:val="000000"/>
          <w:sz w:val="24"/>
          <w:lang w:eastAsia="zh-CN"/>
        </w:rPr>
        <w:t>上述</w:t>
      </w:r>
      <w:r>
        <w:rPr>
          <w:rFonts w:hint="eastAsia" w:ascii="仿宋" w:hAnsi="仿宋" w:eastAsia="仿宋" w:cs="仿宋"/>
          <w:b/>
          <w:bCs/>
          <w:color w:val="000000"/>
          <w:sz w:val="24"/>
        </w:rPr>
        <w:t>中小企业声明函</w:t>
      </w:r>
      <w:r>
        <w:rPr>
          <w:rFonts w:hint="eastAsia" w:ascii="仿宋" w:hAnsi="仿宋" w:eastAsia="仿宋" w:cs="仿宋"/>
          <w:b/>
          <w:bCs/>
          <w:color w:val="000000"/>
          <w:sz w:val="24"/>
          <w:lang w:eastAsia="zh-CN"/>
        </w:rPr>
        <w:t>数据未填写的，不予认可，资格审核不予通过，</w:t>
      </w:r>
      <w:r>
        <w:rPr>
          <w:rFonts w:hint="eastAsia" w:ascii="仿宋" w:hAnsi="仿宋" w:eastAsia="仿宋" w:cs="仿宋"/>
          <w:b/>
          <w:bCs/>
          <w:i w:val="0"/>
          <w:iCs w:val="0"/>
          <w:color w:val="000000"/>
          <w:sz w:val="24"/>
          <w:lang w:eastAsia="zh-CN"/>
        </w:rPr>
        <w:t>投标作无效标处理</w:t>
      </w:r>
      <w:r>
        <w:rPr>
          <w:rFonts w:hint="eastAsia" w:ascii="仿宋" w:hAnsi="仿宋" w:eastAsia="仿宋" w:cs="仿宋"/>
          <w:color w:val="000000"/>
          <w:sz w:val="24"/>
          <w:lang w:eastAsia="zh-CN"/>
        </w:rPr>
        <w:t>。</w:t>
      </w:r>
    </w:p>
    <w:p>
      <w:pPr>
        <w:numPr>
          <w:ilvl w:val="255"/>
          <w:numId w:val="0"/>
        </w:numPr>
        <w:snapToGrid w:val="0"/>
        <w:spacing w:line="360" w:lineRule="auto"/>
        <w:ind w:firstLine="480" w:firstLineChars="200"/>
        <w:rPr>
          <w:rFonts w:hint="eastAsia" w:ascii="仿宋" w:hAnsi="仿宋" w:eastAsia="仿宋" w:cs="仿宋"/>
          <w:color w:val="FF0000"/>
          <w:sz w:val="24"/>
        </w:rPr>
      </w:pPr>
      <w:r>
        <w:rPr>
          <w:rFonts w:hint="eastAsia" w:ascii="仿宋" w:hAnsi="仿宋" w:eastAsia="仿宋" w:cs="仿宋"/>
          <w:color w:val="FF0000"/>
          <w:sz w:val="24"/>
        </w:rPr>
        <w:t>11.1.3本项目的特定资格要求：无。</w:t>
      </w:r>
    </w:p>
    <w:p>
      <w:pPr>
        <w:snapToGrid w:val="0"/>
        <w:ind w:firstLine="480" w:firstLineChars="200"/>
      </w:pPr>
      <w:r>
        <w:rPr>
          <w:rFonts w:ascii="仿宋_GB2312" w:hAnsi="仿宋" w:eastAsia="仿宋_GB2312" w:cs="仿宋_GB2312"/>
          <w:color w:val="FF0000"/>
          <w:sz w:val="24"/>
        </w:rPr>
        <w:t>11.1.</w:t>
      </w:r>
      <w:r>
        <w:rPr>
          <w:rFonts w:hint="eastAsia" w:ascii="仿宋_GB2312" w:hAnsi="仿宋" w:eastAsia="仿宋_GB2312" w:cs="仿宋_GB2312"/>
          <w:color w:val="FF0000"/>
          <w:sz w:val="24"/>
          <w:lang w:val="en-US" w:eastAsia="zh-CN"/>
        </w:rPr>
        <w:t>4其他供应商认为须提供的证明材料（如有）。</w:t>
      </w:r>
    </w:p>
    <w:p>
      <w:pPr>
        <w:snapToGrid w:val="0"/>
        <w:spacing w:line="360" w:lineRule="auto"/>
        <w:ind w:left="105" w:leftChars="50" w:firstLine="482" w:firstLineChars="200"/>
        <w:rPr>
          <w:rFonts w:ascii="仿宋" w:hAnsi="仿宋" w:eastAsia="仿宋" w:cs="仿宋"/>
          <w:sz w:val="24"/>
        </w:rPr>
      </w:pPr>
      <w:r>
        <w:rPr>
          <w:rFonts w:hint="eastAsia" w:ascii="仿宋" w:hAnsi="仿宋" w:eastAsia="仿宋" w:cs="仿宋"/>
          <w:b/>
          <w:bCs/>
          <w:color w:val="000000"/>
          <w:sz w:val="24"/>
        </w:rPr>
        <w:t>注：上述资格条件审查材料如有要求提供，不提供的，视为资格审查不通过。上述内容部分格式及内容详见“</w:t>
      </w:r>
      <w:r>
        <w:rPr>
          <w:rFonts w:hint="eastAsia" w:ascii="仿宋" w:hAnsi="仿宋" w:eastAsia="仿宋" w:cs="仿宋"/>
          <w:sz w:val="24"/>
        </w:rPr>
        <w:t>第六部分  应提交的有关格式范例”。</w:t>
      </w:r>
    </w:p>
    <w:p>
      <w:pPr>
        <w:snapToGrid w:val="0"/>
        <w:spacing w:line="360" w:lineRule="auto"/>
        <w:ind w:firstLine="0" w:firstLineChars="0"/>
        <w:rPr>
          <w:rFonts w:ascii="仿宋" w:hAnsi="仿宋" w:eastAsia="仿宋" w:cs="仿宋"/>
          <w:b/>
          <w:bCs/>
          <w:sz w:val="24"/>
          <w:lang w:val="zh-CN"/>
        </w:rPr>
      </w:pPr>
      <w:r>
        <w:rPr>
          <w:rFonts w:hint="eastAsia" w:ascii="仿宋" w:hAnsi="仿宋" w:eastAsia="仿宋" w:cs="仿宋"/>
          <w:b/>
          <w:bCs/>
          <w:sz w:val="24"/>
          <w:lang w:val="zh-CN"/>
        </w:rPr>
        <w:t>11.</w:t>
      </w:r>
      <w:r>
        <w:rPr>
          <w:rFonts w:hint="eastAsia" w:ascii="仿宋" w:hAnsi="仿宋" w:eastAsia="仿宋" w:cs="仿宋"/>
          <w:b/>
          <w:bCs/>
          <w:sz w:val="24"/>
        </w:rPr>
        <w:t>2</w:t>
      </w:r>
      <w:r>
        <w:rPr>
          <w:rFonts w:hint="eastAsia" w:ascii="仿宋" w:hAnsi="仿宋" w:eastAsia="仿宋" w:cs="仿宋"/>
          <w:b/>
          <w:bCs/>
          <w:sz w:val="24"/>
          <w:lang w:val="zh-CN"/>
        </w:rPr>
        <w:t xml:space="preserve">  </w:t>
      </w:r>
      <w:r>
        <w:rPr>
          <w:rFonts w:hint="eastAsia" w:ascii="仿宋" w:hAnsi="仿宋" w:eastAsia="仿宋" w:cs="仿宋"/>
          <w:b/>
          <w:bCs/>
          <w:sz w:val="24"/>
        </w:rPr>
        <w:t>商务技术</w:t>
      </w:r>
      <w:r>
        <w:rPr>
          <w:rFonts w:hint="eastAsia" w:ascii="仿宋" w:hAnsi="仿宋" w:eastAsia="仿宋" w:cs="仿宋"/>
          <w:b/>
          <w:bCs/>
          <w:sz w:val="24"/>
          <w:lang w:val="zh-CN"/>
        </w:rPr>
        <w:t>文件</w:t>
      </w:r>
      <w:r>
        <w:rPr>
          <w:rFonts w:hint="eastAsia" w:ascii="仿宋" w:hAnsi="仿宋" w:eastAsia="仿宋" w:cs="仿宋"/>
          <w:b/>
          <w:bCs/>
          <w:color w:val="FF0000"/>
          <w:sz w:val="24"/>
          <w:lang w:val="en-US" w:eastAsia="zh-CN"/>
        </w:rPr>
        <w:t>包括不限于</w:t>
      </w:r>
      <w:r>
        <w:rPr>
          <w:rFonts w:hint="eastAsia" w:ascii="仿宋" w:hAnsi="仿宋" w:eastAsia="仿宋" w:cs="仿宋"/>
          <w:b/>
          <w:bCs/>
          <w:color w:val="FF0000"/>
          <w:sz w:val="24"/>
        </w:rPr>
        <w:t>：</w:t>
      </w:r>
    </w:p>
    <w:p>
      <w:pPr>
        <w:snapToGrid w:val="0"/>
        <w:spacing w:line="360" w:lineRule="auto"/>
        <w:ind w:firstLine="482" w:firstLineChars="200"/>
        <w:rPr>
          <w:rFonts w:ascii="仿宋" w:hAnsi="仿宋" w:eastAsia="仿宋" w:cs="仿宋"/>
          <w:sz w:val="24"/>
        </w:rPr>
      </w:pPr>
      <w:r>
        <w:rPr>
          <w:rFonts w:hint="eastAsia" w:ascii="仿宋" w:hAnsi="仿宋" w:eastAsia="仿宋" w:cs="仿宋"/>
          <w:b/>
          <w:bCs/>
          <w:sz w:val="24"/>
        </w:rPr>
        <w:t>▲11.2.1投标函</w:t>
      </w:r>
      <w:r>
        <w:rPr>
          <w:rFonts w:hint="eastAsia" w:ascii="仿宋" w:hAnsi="仿宋" w:eastAsia="仿宋" w:cs="仿宋"/>
          <w:sz w:val="24"/>
        </w:rPr>
        <w:t>（格式内容见“第六部分  应提交的有关格式范例”）；</w:t>
      </w:r>
      <w:r>
        <w:rPr>
          <w:rFonts w:hint="eastAsia" w:ascii="仿宋" w:hAnsi="仿宋" w:eastAsia="仿宋" w:cs="仿宋"/>
          <w:sz w:val="24"/>
          <w:lang w:val="zh-CN"/>
        </w:rPr>
        <w:t xml:space="preserve"> </w:t>
      </w:r>
    </w:p>
    <w:p>
      <w:pPr>
        <w:snapToGrid w:val="0"/>
        <w:spacing w:line="360" w:lineRule="auto"/>
        <w:ind w:firstLine="482" w:firstLineChars="200"/>
        <w:rPr>
          <w:rFonts w:ascii="仿宋" w:hAnsi="仿宋" w:eastAsia="仿宋" w:cs="仿宋"/>
          <w:sz w:val="24"/>
        </w:rPr>
      </w:pPr>
      <w:r>
        <w:rPr>
          <w:rFonts w:hint="eastAsia" w:ascii="仿宋" w:hAnsi="仿宋" w:eastAsia="仿宋" w:cs="仿宋"/>
          <w:b/>
          <w:bCs/>
          <w:sz w:val="24"/>
        </w:rPr>
        <w:t>▲11.2.2授权委托书或法定代表人</w:t>
      </w:r>
      <w:r>
        <w:rPr>
          <w:rFonts w:hint="eastAsia" w:ascii="仿宋" w:hAnsi="仿宋" w:eastAsia="仿宋" w:cs="仿宋"/>
          <w:sz w:val="24"/>
        </w:rPr>
        <w:t>（单位负责人、自然人本人）身份证明及营业执照复印件或扫描件加盖公章；（格式内容见“第六部分  应提交的有关格式范例”）</w:t>
      </w:r>
    </w:p>
    <w:p>
      <w:pPr>
        <w:snapToGrid w:val="0"/>
        <w:spacing w:line="360" w:lineRule="auto"/>
        <w:ind w:firstLine="720" w:firstLineChars="300"/>
        <w:rPr>
          <w:rFonts w:ascii="仿宋" w:hAnsi="仿宋" w:eastAsia="仿宋" w:cs="仿宋"/>
          <w:sz w:val="24"/>
        </w:rPr>
      </w:pPr>
      <w:r>
        <w:rPr>
          <w:rFonts w:hint="eastAsia" w:ascii="仿宋" w:hAnsi="仿宋" w:eastAsia="仿宋" w:cs="仿宋"/>
          <w:sz w:val="24"/>
        </w:rPr>
        <w:t>11.2.3符合性审查资料；（格式内容见“第六部分  应提交的有关格式范例”）</w:t>
      </w:r>
    </w:p>
    <w:p>
      <w:pPr>
        <w:snapToGrid w:val="0"/>
        <w:spacing w:line="360" w:lineRule="auto"/>
        <w:ind w:firstLine="723" w:firstLineChars="300"/>
        <w:rPr>
          <w:rFonts w:ascii="仿宋" w:hAnsi="仿宋" w:eastAsia="仿宋" w:cs="仿宋"/>
          <w:b/>
          <w:bCs/>
          <w:sz w:val="24"/>
        </w:rPr>
      </w:pPr>
      <w:r>
        <w:rPr>
          <w:rFonts w:hint="eastAsia" w:ascii="仿宋" w:hAnsi="仿宋" w:eastAsia="仿宋" w:cs="仿宋"/>
          <w:b/>
          <w:bCs/>
          <w:sz w:val="24"/>
        </w:rPr>
        <w:t>11.2.4评标标准相应的商务技术资料；</w:t>
      </w:r>
    </w:p>
    <w:p>
      <w:pPr>
        <w:snapToGrid w:val="0"/>
        <w:spacing w:line="360" w:lineRule="auto"/>
        <w:ind w:firstLine="482" w:firstLineChars="200"/>
        <w:rPr>
          <w:rFonts w:ascii="仿宋" w:hAnsi="仿宋" w:eastAsia="仿宋" w:cs="仿宋"/>
          <w:b/>
          <w:bCs/>
          <w:sz w:val="24"/>
        </w:rPr>
      </w:pPr>
      <w:r>
        <w:rPr>
          <w:rFonts w:hint="eastAsia" w:ascii="仿宋" w:hAnsi="仿宋" w:eastAsia="仿宋" w:cs="仿宋"/>
          <w:b/>
          <w:bCs/>
          <w:sz w:val="24"/>
        </w:rPr>
        <w:t>（按招标文件第四部分评标办法前附表中“投标文件中评标标准相应的商务技术资料目录”提供资料）</w:t>
      </w:r>
    </w:p>
    <w:p>
      <w:pPr>
        <w:snapToGrid w:val="0"/>
        <w:spacing w:line="360" w:lineRule="auto"/>
        <w:ind w:firstLine="723" w:firstLineChars="300"/>
        <w:rPr>
          <w:rFonts w:ascii="仿宋" w:hAnsi="仿宋" w:eastAsia="仿宋" w:cs="仿宋"/>
          <w:b/>
          <w:bCs/>
          <w:sz w:val="24"/>
        </w:rPr>
      </w:pPr>
      <w:r>
        <w:rPr>
          <w:rFonts w:hint="eastAsia" w:ascii="仿宋" w:hAnsi="仿宋" w:eastAsia="仿宋" w:cs="仿宋"/>
          <w:b/>
          <w:bCs/>
          <w:sz w:val="24"/>
        </w:rPr>
        <w:t>▲11.2.5商务技术偏离表；（格式内容见“第六部分  应提交的有关格式范例”）</w:t>
      </w:r>
    </w:p>
    <w:p>
      <w:pPr>
        <w:snapToGrid w:val="0"/>
        <w:spacing w:line="360" w:lineRule="auto"/>
        <w:ind w:firstLine="723" w:firstLineChars="300"/>
        <w:rPr>
          <w:rFonts w:ascii="仿宋" w:hAnsi="仿宋" w:eastAsia="仿宋" w:cs="仿宋"/>
          <w:b/>
          <w:bCs/>
          <w:sz w:val="24"/>
        </w:rPr>
      </w:pPr>
      <w:r>
        <w:rPr>
          <w:rFonts w:hint="eastAsia" w:ascii="仿宋" w:hAnsi="仿宋" w:eastAsia="仿宋" w:cs="仿宋"/>
          <w:b/>
          <w:bCs/>
          <w:sz w:val="24"/>
        </w:rPr>
        <w:t>投标人必须针对第三部分设备清单中“技术参数要求”逐个做出响应，并按相关要求提供证明材料或响应，否则视为未响应。</w:t>
      </w:r>
    </w:p>
    <w:p>
      <w:pPr>
        <w:snapToGrid w:val="0"/>
        <w:spacing w:line="360" w:lineRule="auto"/>
        <w:ind w:firstLine="723" w:firstLineChars="300"/>
        <w:rPr>
          <w:rFonts w:ascii="仿宋" w:hAnsi="仿宋" w:eastAsia="仿宋" w:cs="仿宋"/>
          <w:b/>
          <w:bCs/>
          <w:sz w:val="24"/>
        </w:rPr>
      </w:pPr>
      <w:r>
        <w:rPr>
          <w:rFonts w:hint="eastAsia" w:ascii="仿宋" w:hAnsi="仿宋" w:eastAsia="仿宋" w:cs="仿宋"/>
          <w:b/>
          <w:bCs/>
          <w:sz w:val="24"/>
        </w:rPr>
        <w:t>▲</w:t>
      </w:r>
      <w:r>
        <w:rPr>
          <w:rFonts w:hint="eastAsia" w:ascii="仿宋" w:hAnsi="仿宋" w:eastAsia="仿宋" w:cs="仿宋"/>
          <w:b/>
          <w:bCs/>
          <w:sz w:val="24"/>
          <w:lang w:val="zh-CN"/>
        </w:rPr>
        <w:t>11.</w:t>
      </w:r>
      <w:r>
        <w:rPr>
          <w:rFonts w:hint="eastAsia" w:ascii="仿宋" w:hAnsi="仿宋" w:eastAsia="仿宋" w:cs="仿宋"/>
          <w:b/>
          <w:bCs/>
          <w:sz w:val="24"/>
        </w:rPr>
        <w:t>2</w:t>
      </w:r>
      <w:r>
        <w:rPr>
          <w:rFonts w:hint="eastAsia" w:ascii="仿宋" w:hAnsi="仿宋" w:eastAsia="仿宋" w:cs="仿宋"/>
          <w:b/>
          <w:bCs/>
          <w:sz w:val="24"/>
          <w:lang w:val="zh-CN"/>
        </w:rPr>
        <w:t>.</w:t>
      </w:r>
      <w:r>
        <w:rPr>
          <w:rFonts w:hint="eastAsia" w:ascii="仿宋" w:hAnsi="仿宋" w:eastAsia="仿宋" w:cs="仿宋"/>
          <w:b/>
          <w:bCs/>
          <w:sz w:val="24"/>
        </w:rPr>
        <w:t>6所投产品具体配置表</w:t>
      </w:r>
      <w:r>
        <w:rPr>
          <w:rFonts w:hint="eastAsia" w:ascii="仿宋" w:hAnsi="仿宋" w:eastAsia="仿宋" w:cs="仿宋"/>
          <w:sz w:val="24"/>
        </w:rPr>
        <w:t>：详细列明所投产品设备清单，完整配置方案及技术指标，项目的主要设备必须明确所投产品的品牌、规格型号、材质及具体技术指标，任何含糊不清的表述对评标结果的影响将是投标人的责任；</w:t>
      </w:r>
    </w:p>
    <w:p>
      <w:pPr>
        <w:snapToGrid w:val="0"/>
        <w:spacing w:line="360" w:lineRule="auto"/>
        <w:ind w:firstLine="482" w:firstLineChars="200"/>
        <w:rPr>
          <w:rFonts w:ascii="仿宋" w:hAnsi="仿宋" w:eastAsia="仿宋" w:cs="仿宋"/>
          <w:sz w:val="24"/>
        </w:rPr>
      </w:pPr>
      <w:r>
        <w:rPr>
          <w:rFonts w:hint="eastAsia" w:ascii="仿宋" w:hAnsi="仿宋" w:eastAsia="仿宋" w:cs="仿宋"/>
          <w:b/>
          <w:bCs/>
          <w:sz w:val="24"/>
        </w:rPr>
        <w:t>▲</w:t>
      </w:r>
      <w:r>
        <w:rPr>
          <w:rFonts w:hint="eastAsia" w:ascii="仿宋" w:hAnsi="仿宋" w:eastAsia="仿宋" w:cs="仿宋"/>
          <w:b/>
          <w:bCs/>
          <w:sz w:val="24"/>
          <w:lang w:val="zh-CN"/>
        </w:rPr>
        <w:t>11.</w:t>
      </w:r>
      <w:r>
        <w:rPr>
          <w:rFonts w:hint="eastAsia" w:ascii="仿宋" w:hAnsi="仿宋" w:eastAsia="仿宋" w:cs="仿宋"/>
          <w:b/>
          <w:bCs/>
          <w:sz w:val="24"/>
        </w:rPr>
        <w:t>2</w:t>
      </w:r>
      <w:r>
        <w:rPr>
          <w:rFonts w:hint="eastAsia" w:ascii="仿宋" w:hAnsi="仿宋" w:eastAsia="仿宋" w:cs="仿宋"/>
          <w:b/>
          <w:bCs/>
          <w:sz w:val="24"/>
          <w:lang w:val="zh-CN"/>
        </w:rPr>
        <w:t>.</w:t>
      </w:r>
      <w:r>
        <w:rPr>
          <w:rFonts w:hint="eastAsia" w:ascii="仿宋" w:hAnsi="仿宋" w:eastAsia="仿宋" w:cs="仿宋"/>
          <w:b/>
          <w:bCs/>
          <w:sz w:val="24"/>
        </w:rPr>
        <w:t>7</w:t>
      </w:r>
      <w:r>
        <w:rPr>
          <w:rFonts w:hint="eastAsia" w:ascii="仿宋" w:hAnsi="仿宋" w:eastAsia="仿宋" w:cs="仿宋"/>
          <w:b/>
          <w:bCs/>
          <w:sz w:val="24"/>
          <w:lang w:val="zh-CN"/>
        </w:rPr>
        <w:t>政府采购供应商廉洁自律承诺书；</w:t>
      </w:r>
      <w:r>
        <w:rPr>
          <w:rFonts w:hint="eastAsia" w:ascii="仿宋" w:hAnsi="仿宋" w:eastAsia="仿宋" w:cs="仿宋"/>
          <w:sz w:val="24"/>
        </w:rPr>
        <w:t>（格式内容见“第六部分  应提交的有关格式范例”）</w:t>
      </w:r>
    </w:p>
    <w:p>
      <w:pPr>
        <w:snapToGrid w:val="0"/>
        <w:spacing w:line="360" w:lineRule="auto"/>
        <w:ind w:firstLine="720" w:firstLineChars="300"/>
        <w:rPr>
          <w:rFonts w:ascii="仿宋" w:hAnsi="仿宋" w:eastAsia="仿宋" w:cs="仿宋"/>
          <w:sz w:val="24"/>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8资质文件（如有）；</w:t>
      </w:r>
    </w:p>
    <w:p>
      <w:pPr>
        <w:snapToGrid w:val="0"/>
        <w:spacing w:line="360" w:lineRule="auto"/>
        <w:ind w:firstLine="480" w:firstLineChars="200"/>
        <w:rPr>
          <w:rFonts w:ascii="仿宋" w:hAnsi="仿宋" w:eastAsia="仿宋" w:cs="仿宋"/>
          <w:sz w:val="24"/>
          <w:lang w:val="zh-CN"/>
        </w:rPr>
      </w:pPr>
      <w:r>
        <w:rPr>
          <w:rFonts w:hint="eastAsia" w:ascii="仿宋" w:hAnsi="仿宋" w:eastAsia="仿宋" w:cs="仿宋"/>
          <w:sz w:val="24"/>
        </w:rPr>
        <w:t xml:space="preserve">  </w:t>
      </w: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9</w:t>
      </w:r>
      <w:r>
        <w:rPr>
          <w:rFonts w:hint="eastAsia" w:ascii="仿宋" w:hAnsi="仿宋" w:eastAsia="仿宋" w:cs="仿宋"/>
          <w:sz w:val="24"/>
          <w:lang w:val="zh-CN"/>
        </w:rPr>
        <w:t>关于对招标文件中有关条款的拒绝声明（如果有的话）；</w:t>
      </w:r>
    </w:p>
    <w:p>
      <w:pPr>
        <w:snapToGrid w:val="0"/>
        <w:spacing w:line="360" w:lineRule="auto"/>
        <w:ind w:firstLine="720" w:firstLineChars="300"/>
        <w:rPr>
          <w:rFonts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10投标人认为需要提供的与本项目有关的其他文件和说明</w:t>
      </w:r>
      <w:r>
        <w:rPr>
          <w:rFonts w:hint="eastAsia" w:ascii="仿宋" w:hAnsi="仿宋" w:eastAsia="仿宋" w:cs="仿宋"/>
          <w:sz w:val="24"/>
          <w:lang w:val="zh-CN"/>
        </w:rPr>
        <w:t>。</w:t>
      </w:r>
    </w:p>
    <w:p>
      <w:pPr>
        <w:snapToGrid w:val="0"/>
        <w:spacing w:line="360" w:lineRule="auto"/>
        <w:ind w:firstLine="720" w:firstLineChars="300"/>
        <w:rPr>
          <w:rFonts w:ascii="仿宋" w:hAnsi="仿宋" w:eastAsia="仿宋" w:cs="仿宋"/>
          <w:sz w:val="24"/>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11投标人签署的《政府采购活动现场确认声明书》，格式详见第六部分。</w:t>
      </w:r>
    </w:p>
    <w:p>
      <w:pPr>
        <w:snapToGrid w:val="0"/>
        <w:spacing w:line="360" w:lineRule="auto"/>
        <w:ind w:firstLine="0" w:firstLineChars="0"/>
        <w:rPr>
          <w:rFonts w:ascii="仿宋" w:hAnsi="仿宋" w:eastAsia="仿宋" w:cs="仿宋"/>
          <w:b/>
          <w:bCs/>
          <w:sz w:val="24"/>
          <w:u w:val="single"/>
          <w:lang w:val="zh-CN"/>
        </w:rPr>
      </w:pPr>
      <w:r>
        <w:rPr>
          <w:rFonts w:hint="eastAsia" w:ascii="仿宋" w:hAnsi="仿宋" w:eastAsia="仿宋" w:cs="仿宋"/>
          <w:b/>
          <w:bCs/>
          <w:kern w:val="0"/>
          <w:sz w:val="24"/>
          <w:lang w:val="zh-CN"/>
        </w:rPr>
        <w:t>11.</w:t>
      </w:r>
      <w:r>
        <w:rPr>
          <w:rFonts w:hint="eastAsia" w:ascii="仿宋" w:hAnsi="仿宋" w:eastAsia="仿宋" w:cs="仿宋"/>
          <w:b/>
          <w:bCs/>
          <w:kern w:val="0"/>
          <w:sz w:val="24"/>
        </w:rPr>
        <w:t>3</w:t>
      </w:r>
      <w:r>
        <w:rPr>
          <w:rFonts w:hint="eastAsia" w:ascii="仿宋" w:hAnsi="仿宋" w:eastAsia="仿宋" w:cs="仿宋"/>
          <w:b/>
          <w:bCs/>
          <w:sz w:val="24"/>
        </w:rPr>
        <w:t>报价文件</w:t>
      </w:r>
      <w:r>
        <w:rPr>
          <w:rFonts w:hint="eastAsia" w:ascii="仿宋" w:hAnsi="仿宋" w:eastAsia="仿宋" w:cs="仿宋"/>
          <w:b/>
          <w:bCs/>
          <w:color w:val="FF0000"/>
          <w:sz w:val="24"/>
          <w:lang w:val="en-US" w:eastAsia="zh-CN"/>
        </w:rPr>
        <w:t>包括不限于</w:t>
      </w:r>
      <w:r>
        <w:rPr>
          <w:rFonts w:hint="eastAsia" w:ascii="仿宋" w:hAnsi="仿宋" w:eastAsia="仿宋" w:cs="仿宋"/>
          <w:b/>
          <w:bCs/>
          <w:color w:val="FF0000"/>
          <w:sz w:val="24"/>
        </w:rPr>
        <w:t>：</w:t>
      </w:r>
      <w:r>
        <w:rPr>
          <w:rFonts w:hint="eastAsia" w:ascii="仿宋" w:hAnsi="仿宋" w:eastAsia="仿宋" w:cs="仿宋"/>
          <w:b/>
          <w:bCs/>
          <w:sz w:val="24"/>
        </w:rPr>
        <w:t xml:space="preserve"> </w:t>
      </w:r>
    </w:p>
    <w:p>
      <w:pPr>
        <w:snapToGrid w:val="0"/>
        <w:spacing w:line="360" w:lineRule="auto"/>
        <w:ind w:firstLine="482" w:firstLineChars="200"/>
        <w:rPr>
          <w:rFonts w:ascii="仿宋" w:hAnsi="仿宋" w:eastAsia="仿宋" w:cs="仿宋"/>
          <w:sz w:val="24"/>
        </w:rPr>
      </w:pPr>
      <w:r>
        <w:rPr>
          <w:rFonts w:hint="eastAsia" w:ascii="仿宋" w:hAnsi="仿宋" w:eastAsia="仿宋" w:cs="仿宋"/>
          <w:b/>
          <w:bCs/>
          <w:sz w:val="24"/>
        </w:rPr>
        <w:t>▲11.3.1开标一览表（报价表）</w:t>
      </w:r>
      <w:r>
        <w:rPr>
          <w:rFonts w:hint="eastAsia" w:ascii="仿宋" w:hAnsi="仿宋" w:eastAsia="仿宋" w:cs="仿宋"/>
          <w:sz w:val="24"/>
        </w:rPr>
        <w:t>；（格式内容见“第六部分  应提交的有关格式范例”）</w:t>
      </w:r>
    </w:p>
    <w:p>
      <w:pPr>
        <w:pStyle w:val="25"/>
        <w:spacing w:line="360" w:lineRule="auto"/>
        <w:ind w:firstLine="723" w:firstLineChars="300"/>
        <w:rPr>
          <w:rFonts w:ascii="仿宋" w:hAnsi="仿宋" w:eastAsia="仿宋" w:cs="仿宋"/>
          <w:b/>
        </w:rPr>
      </w:pPr>
      <w:r>
        <w:rPr>
          <w:rFonts w:hint="eastAsia" w:ascii="仿宋" w:hAnsi="仿宋" w:eastAsia="仿宋" w:cs="仿宋"/>
          <w:b/>
        </w:rPr>
        <w:t>注：投标文件含有采购人不能接受的附加条件的，投标无效；</w:t>
      </w:r>
    </w:p>
    <w:p>
      <w:pPr>
        <w:spacing w:line="360" w:lineRule="auto"/>
        <w:ind w:firstLine="723" w:firstLineChars="300"/>
        <w:rPr>
          <w:rFonts w:ascii="仿宋" w:hAnsi="仿宋" w:eastAsia="仿宋" w:cs="仿宋"/>
          <w:b/>
          <w:sz w:val="24"/>
          <w:szCs w:val="21"/>
        </w:rPr>
      </w:pPr>
      <w:r>
        <w:rPr>
          <w:rFonts w:hint="eastAsia" w:ascii="仿宋" w:hAnsi="仿宋" w:eastAsia="仿宋" w:cs="仿宋"/>
          <w:b/>
          <w:sz w:val="24"/>
        </w:rPr>
        <w:t>投标人提供虚假材料投标的，投标无效。</w:t>
      </w:r>
    </w:p>
    <w:p>
      <w:pPr>
        <w:pStyle w:val="94"/>
        <w:snapToGrid w:val="0"/>
        <w:spacing w:before="0"/>
        <w:ind w:firstLine="0" w:firstLineChars="0"/>
        <w:outlineLvl w:val="0"/>
        <w:rPr>
          <w:rFonts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 xml:space="preserve">. </w:t>
      </w:r>
      <w:r>
        <w:rPr>
          <w:rFonts w:hint="eastAsia" w:ascii="仿宋" w:hAnsi="仿宋" w:eastAsia="仿宋" w:cs="仿宋"/>
          <w:b/>
          <w:szCs w:val="24"/>
        </w:rPr>
        <w:t>投标文件的编制</w:t>
      </w:r>
    </w:p>
    <w:p>
      <w:pPr>
        <w:spacing w:line="360" w:lineRule="auto"/>
        <w:ind w:firstLine="480" w:firstLineChars="200"/>
        <w:rPr>
          <w:rFonts w:ascii="仿宋" w:hAnsi="仿宋" w:eastAsia="仿宋" w:cs="仿宋"/>
          <w:b/>
          <w:sz w:val="24"/>
        </w:rPr>
      </w:pPr>
      <w:r>
        <w:rPr>
          <w:rFonts w:hint="eastAsia" w:ascii="仿宋" w:hAnsi="仿宋" w:eastAsia="仿宋" w:cs="仿宋"/>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仿宋" w:hAnsi="仿宋" w:eastAsia="仿宋" w:cs="仿宋"/>
          <w:b/>
          <w:sz w:val="24"/>
        </w:rPr>
      </w:pPr>
      <w:r>
        <w:rPr>
          <w:rFonts w:hint="eastAsia" w:ascii="仿宋" w:hAnsi="仿宋" w:eastAsia="仿宋" w:cs="仿宋"/>
          <w:b/>
          <w:sz w:val="24"/>
        </w:rPr>
        <w:t>13.投标文件的签署、盖章</w:t>
      </w:r>
    </w:p>
    <w:p>
      <w:pPr>
        <w:pStyle w:val="94"/>
        <w:snapToGrid w:val="0"/>
        <w:spacing w:before="0"/>
        <w:ind w:firstLine="480"/>
        <w:rPr>
          <w:rFonts w:ascii="仿宋" w:hAnsi="仿宋" w:eastAsia="仿宋" w:cs="仿宋"/>
          <w:b/>
        </w:rPr>
      </w:pPr>
      <w:r>
        <w:rPr>
          <w:rFonts w:hint="eastAsia" w:ascii="仿宋" w:hAnsi="仿宋" w:eastAsia="仿宋" w:cs="仿宋"/>
          <w:szCs w:val="24"/>
        </w:rPr>
        <w:t>13.1投标文件按照招标文件第六部分格式要</w:t>
      </w:r>
      <w:r>
        <w:rPr>
          <w:rFonts w:hint="eastAsia" w:ascii="仿宋" w:hAnsi="仿宋" w:eastAsia="仿宋" w:cs="仿宋"/>
        </w:rPr>
        <w:t>求进行签署、盖章。</w:t>
      </w:r>
      <w:r>
        <w:rPr>
          <w:rFonts w:hint="eastAsia" w:ascii="仿宋" w:hAnsi="仿宋" w:eastAsia="仿宋" w:cs="仿宋"/>
          <w:b/>
        </w:rPr>
        <w:t>▲投标人的投标文件未按照招标文件要求签署、盖章的，其投标无效</w:t>
      </w:r>
      <w:r>
        <w:rPr>
          <w:rFonts w:hint="eastAsia" w:ascii="仿宋" w:hAnsi="仿宋" w:eastAsia="仿宋" w:cs="仿宋"/>
          <w:szCs w:val="24"/>
        </w:rPr>
        <w:t>。</w:t>
      </w:r>
    </w:p>
    <w:p>
      <w:pPr>
        <w:pStyle w:val="94"/>
        <w:snapToGrid w:val="0"/>
        <w:spacing w:before="0"/>
        <w:ind w:firstLine="480"/>
        <w:rPr>
          <w:rFonts w:ascii="仿宋" w:hAnsi="仿宋" w:eastAsia="仿宋" w:cs="仿宋"/>
        </w:rPr>
      </w:pPr>
      <w:r>
        <w:rPr>
          <w:rFonts w:hint="eastAsia" w:ascii="仿宋" w:hAnsi="仿宋" w:eastAsia="仿宋" w:cs="仿宋"/>
        </w:rPr>
        <w:t>13.2为确保网上操作合法、有效和安全，投标人应当在投标截止时间前完成在“政府采购云平台”的身份认证，确保在电子投标过程中能够对相关数据电文进行加密和使用电子签名。</w:t>
      </w:r>
    </w:p>
    <w:p>
      <w:pPr>
        <w:pStyle w:val="94"/>
        <w:snapToGrid w:val="0"/>
        <w:spacing w:before="0"/>
        <w:ind w:firstLine="480"/>
        <w:rPr>
          <w:rFonts w:ascii="仿宋" w:hAnsi="仿宋" w:eastAsia="仿宋" w:cs="仿宋"/>
          <w:szCs w:val="24"/>
        </w:rPr>
      </w:pPr>
      <w:r>
        <w:rPr>
          <w:rFonts w:hint="eastAsia" w:ascii="仿宋" w:hAnsi="仿宋" w:eastAsia="仿宋" w:cs="仿宋"/>
        </w:rPr>
        <w:t>13.3招标文件对投标文件签署、盖章的要求适用于电子签名。</w:t>
      </w:r>
    </w:p>
    <w:p>
      <w:pPr>
        <w:pStyle w:val="94"/>
        <w:spacing w:before="0"/>
        <w:ind w:firstLine="0" w:firstLineChars="0"/>
        <w:rPr>
          <w:rFonts w:ascii="仿宋" w:hAnsi="仿宋" w:eastAsia="仿宋" w:cs="仿宋"/>
          <w:b/>
          <w:szCs w:val="24"/>
        </w:rPr>
      </w:pPr>
      <w:r>
        <w:rPr>
          <w:rFonts w:hint="eastAsia" w:ascii="仿宋" w:hAnsi="仿宋" w:eastAsia="仿宋" w:cs="仿宋"/>
          <w:b/>
          <w:szCs w:val="24"/>
        </w:rPr>
        <w:t>14. 投标文件的提交、补充、修改、撤回</w:t>
      </w:r>
    </w:p>
    <w:p>
      <w:pPr>
        <w:pStyle w:val="94"/>
        <w:ind w:firstLine="480"/>
        <w:rPr>
          <w:rFonts w:ascii="仿宋" w:hAnsi="仿宋" w:eastAsia="仿宋" w:cs="仿宋"/>
          <w:szCs w:val="24"/>
        </w:rPr>
      </w:pPr>
      <w:r>
        <w:rPr>
          <w:rFonts w:hint="eastAsia" w:ascii="仿宋" w:hAnsi="仿宋" w:eastAsia="仿宋" w:cs="仿宋"/>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94"/>
        <w:spacing w:before="0"/>
        <w:ind w:firstLine="480"/>
        <w:rPr>
          <w:rFonts w:ascii="仿宋" w:hAnsi="仿宋" w:eastAsia="仿宋" w:cs="仿宋"/>
          <w:szCs w:val="24"/>
        </w:rPr>
      </w:pPr>
      <w:r>
        <w:rPr>
          <w:rFonts w:hint="eastAsia" w:ascii="仿宋" w:hAnsi="仿宋" w:eastAsia="仿宋" w:cs="仿宋"/>
          <w:szCs w:val="24"/>
        </w:rPr>
        <w:t>14.2电子交易平台收到投标文件，将妥善保存并及时向供应商发出确认回执通知。在投标截止时间前，除供应商补充、修改或者撤回投标文件外，任何单位和个人不得解密或提取投标文件。</w:t>
      </w:r>
    </w:p>
    <w:p>
      <w:pPr>
        <w:pStyle w:val="94"/>
        <w:spacing w:before="0"/>
        <w:ind w:firstLine="480"/>
        <w:rPr>
          <w:rFonts w:ascii="仿宋" w:hAnsi="仿宋" w:eastAsia="仿宋" w:cs="仿宋"/>
          <w:szCs w:val="24"/>
        </w:rPr>
      </w:pPr>
      <w:r>
        <w:rPr>
          <w:rFonts w:hint="eastAsia" w:ascii="仿宋" w:hAnsi="仿宋" w:eastAsia="仿宋" w:cs="仿宋"/>
          <w:szCs w:val="24"/>
        </w:rPr>
        <w:t>14.3采购人、采购机构可以视情况延长投标文件提交的截止时间。在上述情况下，采购机构与投标人以前在投标截止期方面的全部权利、责任和义务，将适用于延长至新的投标截止期。</w:t>
      </w:r>
    </w:p>
    <w:p>
      <w:pPr>
        <w:pStyle w:val="34"/>
        <w:spacing w:line="360" w:lineRule="auto"/>
        <w:rPr>
          <w:rFonts w:ascii="仿宋" w:hAnsi="仿宋" w:eastAsia="仿宋" w:cs="仿宋"/>
          <w:b/>
          <w:sz w:val="24"/>
          <w:szCs w:val="24"/>
        </w:rPr>
      </w:pPr>
      <w:r>
        <w:rPr>
          <w:rFonts w:hint="eastAsia" w:ascii="仿宋" w:hAnsi="仿宋" w:eastAsia="仿宋" w:cs="仿宋"/>
          <w:b/>
          <w:sz w:val="24"/>
          <w:szCs w:val="24"/>
        </w:rPr>
        <w:t>15.备份投标文件</w:t>
      </w:r>
    </w:p>
    <w:p>
      <w:pPr>
        <w:pStyle w:val="34"/>
        <w:spacing w:line="360" w:lineRule="auto"/>
        <w:ind w:firstLine="360" w:firstLineChars="150"/>
        <w:rPr>
          <w:rFonts w:ascii="仿宋" w:hAnsi="仿宋" w:eastAsia="仿宋" w:cs="仿宋"/>
          <w:b/>
          <w:sz w:val="24"/>
          <w:szCs w:val="24"/>
        </w:rPr>
      </w:pPr>
      <w:r>
        <w:rPr>
          <w:rFonts w:hint="eastAsia" w:ascii="仿宋" w:hAnsi="仿宋" w:eastAsia="仿宋" w:cs="仿宋"/>
          <w:sz w:val="24"/>
          <w:szCs w:val="24"/>
        </w:rPr>
        <w:t xml:space="preserve"> 15.1投标人在电子交易平台传输递交投标文件后，还可以在投标截止时间前直接提交或者以邮政快递方式递交备份投标文件1份，</w:t>
      </w:r>
      <w:r>
        <w:rPr>
          <w:rFonts w:hint="eastAsia" w:ascii="仿宋" w:hAnsi="仿宋" w:eastAsia="仿宋" w:cs="仿宋"/>
          <w:b/>
          <w:sz w:val="24"/>
          <w:szCs w:val="24"/>
        </w:rPr>
        <w:t>但采购人、采购机构不强制或变相强制投标人提交备份投标文件。</w:t>
      </w:r>
    </w:p>
    <w:p>
      <w:pPr>
        <w:pStyle w:val="34"/>
        <w:spacing w:line="360" w:lineRule="auto"/>
        <w:ind w:firstLine="480" w:firstLineChars="200"/>
        <w:rPr>
          <w:rFonts w:ascii="仿宋" w:hAnsi="仿宋" w:eastAsia="仿宋" w:cs="仿宋"/>
          <w:b/>
          <w:sz w:val="24"/>
          <w:szCs w:val="24"/>
        </w:rPr>
      </w:pPr>
      <w:r>
        <w:rPr>
          <w:rFonts w:hint="eastAsia" w:ascii="仿宋" w:hAnsi="仿宋" w:eastAsia="仿宋" w:cs="仿宋"/>
          <w:sz w:val="24"/>
          <w:szCs w:val="24"/>
        </w:rPr>
        <w:t>15.2备份投标文件须在“政采云投标客户端”制作生成，并储存在</w:t>
      </w:r>
      <w:r>
        <w:rPr>
          <w:rFonts w:hint="eastAsia" w:ascii="仿宋" w:hAnsi="仿宋" w:eastAsia="仿宋" w:cs="仿宋"/>
          <w:sz w:val="24"/>
        </w:rPr>
        <w:t>DVD光盘或U盘</w:t>
      </w:r>
      <w:r>
        <w:rPr>
          <w:rFonts w:hint="eastAsia" w:ascii="仿宋" w:hAnsi="仿宋" w:eastAsia="仿宋" w:cs="仿宋"/>
          <w:sz w:val="24"/>
          <w:szCs w:val="24"/>
        </w:rPr>
        <w:t>中。备份投标文件应当密封包装并在包装上加盖公章并注明投标</w:t>
      </w:r>
      <w:r>
        <w:rPr>
          <w:rFonts w:hint="eastAsia" w:ascii="仿宋" w:hAnsi="仿宋" w:eastAsia="仿宋" w:cs="仿宋"/>
          <w:b/>
          <w:bCs/>
          <w:sz w:val="24"/>
          <w:szCs w:val="24"/>
          <w:u w:val="single"/>
        </w:rPr>
        <w:t>项目名称</w:t>
      </w:r>
      <w:r>
        <w:rPr>
          <w:rFonts w:hint="eastAsia" w:ascii="仿宋" w:hAnsi="仿宋" w:eastAsia="仿宋" w:cs="仿宋"/>
          <w:sz w:val="24"/>
          <w:szCs w:val="24"/>
        </w:rPr>
        <w:t>，投标人名称。</w:t>
      </w:r>
      <w:r>
        <w:rPr>
          <w:rFonts w:hint="eastAsia" w:ascii="仿宋" w:hAnsi="仿宋" w:eastAsia="仿宋" w:cs="仿宋"/>
          <w:b/>
          <w:sz w:val="24"/>
        </w:rPr>
        <w:t>不符合上述制作、</w:t>
      </w:r>
      <w:r>
        <w:rPr>
          <w:rFonts w:hint="eastAsia" w:ascii="仿宋" w:hAnsi="仿宋" w:eastAsia="仿宋" w:cs="仿宋"/>
          <w:b/>
          <w:sz w:val="24"/>
          <w:szCs w:val="24"/>
        </w:rPr>
        <w:t>存储、密封规定的备份投标文件将被视为无效或者被拒绝接收。</w:t>
      </w:r>
    </w:p>
    <w:p>
      <w:pPr>
        <w:pStyle w:val="34"/>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15.3直接提交备份投标文件的，投标人应于投标截止时间前在招标公告中载明的开标地点将备份投标文件提交给采购机构，采购机构将拒绝接受逾期送达的备份投标文件。</w:t>
      </w:r>
    </w:p>
    <w:p>
      <w:pPr>
        <w:pStyle w:val="34"/>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pPr>
        <w:pStyle w:val="34"/>
        <w:spacing w:line="360" w:lineRule="auto"/>
        <w:ind w:firstLine="479" w:firstLineChars="199"/>
        <w:rPr>
          <w:rFonts w:ascii="仿宋" w:hAnsi="仿宋" w:eastAsia="仿宋" w:cs="仿宋"/>
          <w:b/>
          <w:sz w:val="24"/>
          <w:szCs w:val="24"/>
        </w:rPr>
      </w:pPr>
      <w:r>
        <w:rPr>
          <w:rFonts w:hint="eastAsia" w:ascii="仿宋" w:hAnsi="仿宋" w:eastAsia="仿宋" w:cs="仿宋"/>
          <w:b/>
          <w:sz w:val="24"/>
          <w:szCs w:val="24"/>
        </w:rPr>
        <w:t>15.5投标人仅提交备份投标文件，没有在电子交易平台传输递交投标文件的，投标无效。</w:t>
      </w:r>
    </w:p>
    <w:p>
      <w:pPr>
        <w:pStyle w:val="94"/>
        <w:spacing w:before="0"/>
        <w:ind w:firstLine="0" w:firstLineChars="0"/>
        <w:rPr>
          <w:rFonts w:ascii="仿宋" w:hAnsi="仿宋" w:eastAsia="仿宋" w:cs="仿宋"/>
          <w:b/>
          <w:szCs w:val="24"/>
        </w:rPr>
      </w:pPr>
      <w:r>
        <w:rPr>
          <w:rFonts w:hint="eastAsia" w:ascii="仿宋" w:hAnsi="仿宋" w:eastAsia="仿宋" w:cs="仿宋"/>
          <w:b/>
          <w:szCs w:val="24"/>
        </w:rPr>
        <w:t>16.投标文件的无效处理</w:t>
      </w:r>
    </w:p>
    <w:p>
      <w:pPr>
        <w:pStyle w:val="25"/>
        <w:spacing w:line="360" w:lineRule="auto"/>
        <w:ind w:firstLine="360" w:firstLineChars="150"/>
        <w:rPr>
          <w:rFonts w:ascii="仿宋" w:hAnsi="仿宋" w:eastAsia="仿宋" w:cs="仿宋"/>
          <w:szCs w:val="21"/>
        </w:rPr>
      </w:pPr>
      <w:r>
        <w:rPr>
          <w:rFonts w:hint="eastAsia" w:ascii="仿宋" w:hAnsi="仿宋" w:eastAsia="仿宋" w:cs="仿宋"/>
          <w:szCs w:val="21"/>
        </w:rPr>
        <w:t>有招标文件第四部分</w:t>
      </w:r>
      <w:r>
        <w:rPr>
          <w:rFonts w:hint="eastAsia" w:ascii="仿宋" w:hAnsi="仿宋" w:eastAsia="仿宋" w:cs="仿宋"/>
        </w:rPr>
        <w:t>规定</w:t>
      </w:r>
      <w:r>
        <w:rPr>
          <w:rFonts w:hint="eastAsia" w:ascii="仿宋" w:hAnsi="仿宋" w:eastAsia="仿宋" w:cs="仿宋"/>
          <w:szCs w:val="21"/>
        </w:rPr>
        <w:t>的情形之一的，投标无效。</w:t>
      </w:r>
    </w:p>
    <w:p>
      <w:pPr>
        <w:pStyle w:val="94"/>
        <w:spacing w:before="0"/>
        <w:ind w:firstLine="0" w:firstLineChars="0"/>
        <w:rPr>
          <w:rFonts w:ascii="仿宋" w:hAnsi="仿宋" w:eastAsia="仿宋" w:cs="仿宋"/>
          <w:b/>
          <w:szCs w:val="24"/>
        </w:rPr>
      </w:pPr>
      <w:r>
        <w:rPr>
          <w:rFonts w:hint="eastAsia" w:ascii="仿宋" w:hAnsi="仿宋" w:eastAsia="仿宋" w:cs="仿宋"/>
          <w:b/>
          <w:szCs w:val="24"/>
        </w:rPr>
        <w:t>17.投标有效期</w:t>
      </w:r>
    </w:p>
    <w:p>
      <w:pPr>
        <w:spacing w:line="360" w:lineRule="auto"/>
        <w:ind w:firstLine="480" w:firstLineChars="200"/>
        <w:rPr>
          <w:rFonts w:ascii="仿宋" w:hAnsi="仿宋" w:eastAsia="仿宋" w:cs="仿宋"/>
          <w:b/>
          <w:sz w:val="24"/>
          <w:szCs w:val="21"/>
        </w:rPr>
      </w:pPr>
      <w:r>
        <w:rPr>
          <w:rFonts w:hint="eastAsia" w:ascii="仿宋" w:hAnsi="仿宋" w:eastAsia="仿宋" w:cs="仿宋"/>
          <w:sz w:val="24"/>
          <w:szCs w:val="20"/>
        </w:rPr>
        <w:t>17.1投标有效期为从提交投标文件的截止之日起90天。▲</w:t>
      </w:r>
      <w:r>
        <w:rPr>
          <w:rFonts w:hint="eastAsia" w:ascii="仿宋" w:hAnsi="仿宋" w:eastAsia="仿宋" w:cs="仿宋"/>
          <w:b/>
          <w:sz w:val="24"/>
          <w:szCs w:val="20"/>
        </w:rPr>
        <w:t>投标人的投标文件中承</w:t>
      </w:r>
      <w:r>
        <w:rPr>
          <w:rFonts w:hint="eastAsia" w:ascii="仿宋" w:hAnsi="仿宋" w:eastAsia="仿宋" w:cs="仿宋"/>
          <w:b/>
          <w:sz w:val="24"/>
          <w:szCs w:val="21"/>
        </w:rPr>
        <w:t>诺的投标有效期少于招标文件中载明的投标有效期的，投标无效。</w:t>
      </w:r>
    </w:p>
    <w:p>
      <w:pPr>
        <w:pStyle w:val="94"/>
        <w:spacing w:before="0"/>
        <w:ind w:firstLine="480"/>
        <w:rPr>
          <w:rFonts w:ascii="仿宋" w:hAnsi="仿宋" w:eastAsia="仿宋" w:cs="仿宋"/>
        </w:rPr>
      </w:pPr>
      <w:r>
        <w:rPr>
          <w:rFonts w:hint="eastAsia" w:ascii="仿宋" w:hAnsi="仿宋" w:eastAsia="仿宋" w:cs="仿宋"/>
        </w:rPr>
        <w:t>17.2投标文件合格投递后，自投标截止日期起，在投标有效期内有效。</w:t>
      </w:r>
    </w:p>
    <w:p>
      <w:pPr>
        <w:pStyle w:val="94"/>
        <w:spacing w:before="0"/>
        <w:ind w:firstLine="480"/>
        <w:rPr>
          <w:rFonts w:ascii="仿宋" w:hAnsi="仿宋" w:eastAsia="仿宋" w:cs="仿宋"/>
        </w:rPr>
      </w:pPr>
      <w:r>
        <w:rPr>
          <w:rFonts w:hint="eastAsia" w:ascii="仿宋" w:hAnsi="仿宋" w:eastAsia="仿宋" w:cs="仿宋"/>
        </w:rPr>
        <w:t>17.3在原定投标有效期满之前，如果出现特殊情况，采购机构可以书面形式通知投标人延长投标有效期。投标人同意延长的，不得要求或被允许修改其投标文件，投标人拒绝延长的，其投标无效。</w:t>
      </w:r>
    </w:p>
    <w:p>
      <w:pPr>
        <w:pStyle w:val="94"/>
        <w:spacing w:before="0"/>
        <w:ind w:firstLine="1928" w:firstLineChars="600"/>
        <w:rPr>
          <w:rFonts w:ascii="仿宋" w:hAnsi="仿宋" w:eastAsia="仿宋" w:cs="仿宋"/>
          <w:b/>
          <w:sz w:val="32"/>
        </w:rPr>
      </w:pPr>
    </w:p>
    <w:p>
      <w:pPr>
        <w:pStyle w:val="94"/>
        <w:spacing w:before="0"/>
        <w:ind w:firstLine="1928" w:firstLineChars="600"/>
        <w:rPr>
          <w:rFonts w:ascii="仿宋" w:hAnsi="仿宋" w:eastAsia="仿宋" w:cs="仿宋"/>
          <w:b/>
          <w:sz w:val="32"/>
        </w:rPr>
      </w:pPr>
      <w:r>
        <w:rPr>
          <w:rFonts w:hint="eastAsia" w:ascii="仿宋" w:hAnsi="仿宋" w:eastAsia="仿宋" w:cs="仿宋"/>
          <w:b/>
          <w:sz w:val="32"/>
        </w:rPr>
        <w:t>四、开标、资格审查与信用信息查询</w:t>
      </w:r>
    </w:p>
    <w:p>
      <w:pPr>
        <w:pStyle w:val="249"/>
        <w:spacing w:before="0" w:line="360" w:lineRule="auto"/>
        <w:ind w:left="0" w:firstLine="241" w:firstLineChars="100"/>
        <w:contextualSpacing/>
        <w:rPr>
          <w:rFonts w:ascii="仿宋" w:hAnsi="仿宋" w:eastAsia="仿宋" w:cs="仿宋"/>
          <w:sz w:val="24"/>
        </w:rPr>
      </w:pPr>
      <w:r>
        <w:rPr>
          <w:rFonts w:hint="eastAsia" w:ascii="仿宋" w:hAnsi="仿宋" w:eastAsia="仿宋" w:cs="仿宋"/>
          <w:b/>
          <w:sz w:val="24"/>
          <w:szCs w:val="24"/>
        </w:rPr>
        <w:t>18.开标</w:t>
      </w:r>
      <w:r>
        <w:rPr>
          <w:rFonts w:hint="eastAsia" w:ascii="仿宋" w:hAnsi="仿宋" w:eastAsia="仿宋" w:cs="仿宋"/>
          <w:sz w:val="24"/>
        </w:rPr>
        <w:t xml:space="preserve"> </w:t>
      </w:r>
    </w:p>
    <w:p>
      <w:pPr>
        <w:pStyle w:val="249"/>
        <w:spacing w:before="0" w:line="360" w:lineRule="auto"/>
        <w:ind w:left="0" w:firstLine="480" w:firstLineChars="200"/>
        <w:contextualSpacing/>
        <w:rPr>
          <w:rFonts w:ascii="仿宋" w:hAnsi="仿宋" w:eastAsia="仿宋" w:cs="仿宋"/>
          <w:sz w:val="24"/>
        </w:rPr>
      </w:pPr>
      <w:r>
        <w:rPr>
          <w:rFonts w:hint="eastAsia" w:ascii="仿宋" w:hAnsi="仿宋" w:eastAsia="仿宋" w:cs="仿宋"/>
          <w:sz w:val="24"/>
        </w:rPr>
        <w:t>18.1采购机构按照招标文件规定的时间通过电子交易平台组织开标，所有投标人均应当准时在线参加。投标人不足3家的，不得开标。</w:t>
      </w:r>
    </w:p>
    <w:p>
      <w:pPr>
        <w:pStyle w:val="249"/>
        <w:spacing w:before="0" w:line="360" w:lineRule="auto"/>
        <w:ind w:left="0" w:firstLine="240" w:firstLineChars="100"/>
        <w:contextualSpacing/>
        <w:rPr>
          <w:rFonts w:ascii="仿宋" w:hAnsi="仿宋" w:eastAsia="仿宋" w:cs="仿宋"/>
          <w:sz w:val="24"/>
        </w:rPr>
      </w:pPr>
      <w:r>
        <w:rPr>
          <w:rFonts w:hint="eastAsia" w:ascii="仿宋" w:hAnsi="仿宋" w:eastAsia="仿宋" w:cs="仿宋"/>
          <w:sz w:val="24"/>
        </w:rPr>
        <w:t>　18.2开标时，电子交易平台按开标时间自动提取所有投标文件。采购机构依托电子交易平台发起开始解密指令，投标人按照平台提示和招标文件的规定在半小时内完成在线解密。</w:t>
      </w:r>
    </w:p>
    <w:p>
      <w:pPr>
        <w:pStyle w:val="249"/>
        <w:spacing w:before="0" w:line="360" w:lineRule="auto"/>
        <w:ind w:left="0" w:firstLine="240" w:firstLineChars="100"/>
        <w:contextualSpacing/>
        <w:rPr>
          <w:rFonts w:ascii="仿宋" w:hAnsi="仿宋" w:eastAsia="仿宋" w:cs="仿宋"/>
          <w:b/>
          <w:sz w:val="24"/>
        </w:rPr>
      </w:pPr>
      <w:r>
        <w:rPr>
          <w:rFonts w:hint="eastAsia" w:ascii="仿宋" w:hAnsi="仿宋" w:eastAsia="仿宋" w:cs="仿宋"/>
          <w:sz w:val="24"/>
        </w:rPr>
        <w:t>　18.3</w:t>
      </w:r>
      <w:r>
        <w:rPr>
          <w:rFonts w:hint="eastAsia" w:ascii="仿宋" w:hAnsi="仿宋" w:eastAsia="仿宋" w:cs="仿宋"/>
          <w:b/>
          <w:sz w:val="24"/>
        </w:rPr>
        <w:t>投标文件未按时解密，投标人提供了备份投标文件的，以备份投标文件作为依据，否则视为投标文件撤回。投标文件已按时解密的，备份投标文件自动失效。</w:t>
      </w:r>
    </w:p>
    <w:p>
      <w:pPr>
        <w:pStyle w:val="94"/>
        <w:spacing w:before="0"/>
        <w:ind w:firstLine="0" w:firstLineChars="0"/>
        <w:rPr>
          <w:rFonts w:ascii="仿宋" w:hAnsi="仿宋" w:eastAsia="仿宋" w:cs="仿宋"/>
          <w:b/>
          <w:szCs w:val="24"/>
        </w:rPr>
      </w:pPr>
      <w:r>
        <w:rPr>
          <w:rFonts w:hint="eastAsia" w:ascii="仿宋" w:hAnsi="仿宋" w:eastAsia="仿宋" w:cs="仿宋"/>
          <w:b/>
          <w:szCs w:val="24"/>
        </w:rPr>
        <w:t>　19、资格审查</w:t>
      </w:r>
    </w:p>
    <w:p>
      <w:pPr>
        <w:pStyle w:val="94"/>
        <w:spacing w:before="0"/>
        <w:ind w:firstLine="480"/>
        <w:rPr>
          <w:rFonts w:ascii="仿宋" w:hAnsi="仿宋" w:eastAsia="仿宋" w:cs="仿宋"/>
          <w:kern w:val="0"/>
          <w:szCs w:val="24"/>
        </w:rPr>
      </w:pPr>
      <w:r>
        <w:rPr>
          <w:rFonts w:hint="eastAsia" w:ascii="仿宋" w:hAnsi="仿宋" w:eastAsia="仿宋" w:cs="仿宋"/>
          <w:kern w:val="0"/>
          <w:szCs w:val="24"/>
        </w:rPr>
        <w:t>19.1开标后，采购人或采购机构将依法对投标人的资格进行审查。</w:t>
      </w:r>
    </w:p>
    <w:p>
      <w:pPr>
        <w:snapToGrid w:val="0"/>
        <w:spacing w:line="360" w:lineRule="auto"/>
        <w:ind w:firstLine="480" w:firstLineChars="200"/>
        <w:rPr>
          <w:rFonts w:ascii="仿宋" w:hAnsi="仿宋" w:eastAsia="仿宋" w:cs="仿宋"/>
          <w:sz w:val="24"/>
        </w:rPr>
      </w:pPr>
      <w:r>
        <w:rPr>
          <w:rFonts w:hint="eastAsia" w:ascii="仿宋" w:hAnsi="仿宋" w:eastAsia="仿宋" w:cs="仿宋"/>
          <w:kern w:val="0"/>
          <w:sz w:val="24"/>
        </w:rPr>
        <w:t>19.2</w:t>
      </w:r>
      <w:r>
        <w:rPr>
          <w:rFonts w:hint="eastAsia" w:ascii="仿宋" w:hAnsi="仿宋" w:eastAsia="仿宋" w:cs="仿宋"/>
          <w:sz w:val="24"/>
        </w:rPr>
        <w:t>采购人或采购机构依据法律法规和招标文件的规定，对投标人的基本资格条件、特定资格条件进行审查。</w:t>
      </w:r>
    </w:p>
    <w:p>
      <w:pPr>
        <w:pStyle w:val="94"/>
        <w:spacing w:before="0"/>
        <w:ind w:firstLine="480"/>
        <w:rPr>
          <w:rFonts w:ascii="仿宋" w:hAnsi="仿宋" w:eastAsia="仿宋" w:cs="仿宋"/>
        </w:rPr>
      </w:pPr>
      <w:r>
        <w:rPr>
          <w:rFonts w:hint="eastAsia" w:ascii="仿宋" w:hAnsi="仿宋" w:eastAsia="仿宋" w:cs="仿宋"/>
          <w:kern w:val="0"/>
          <w:szCs w:val="24"/>
        </w:rPr>
        <w:t>19.3投标人未按照招标文件要求提供与</w:t>
      </w:r>
      <w:r>
        <w:rPr>
          <w:rFonts w:hint="eastAsia" w:ascii="仿宋" w:hAnsi="仿宋" w:eastAsia="仿宋" w:cs="仿宋"/>
        </w:rPr>
        <w:t>基本资格条件、特定资格条件相应的</w:t>
      </w:r>
      <w:r>
        <w:rPr>
          <w:rFonts w:hint="eastAsia" w:ascii="仿宋" w:hAnsi="仿宋" w:eastAsia="仿宋" w:cs="仿宋"/>
          <w:kern w:val="0"/>
          <w:szCs w:val="24"/>
        </w:rPr>
        <w:t>有效资格证明材料的，视为</w:t>
      </w:r>
      <w:r>
        <w:rPr>
          <w:rFonts w:hint="eastAsia" w:ascii="仿宋" w:hAnsi="仿宋" w:eastAsia="仿宋" w:cs="仿宋"/>
        </w:rPr>
        <w:t>投标人不具备招标文件中规定的资格要求，其投标无效。</w:t>
      </w:r>
    </w:p>
    <w:p>
      <w:pPr>
        <w:pStyle w:val="94"/>
        <w:spacing w:before="0"/>
        <w:ind w:firstLine="480"/>
        <w:rPr>
          <w:rFonts w:ascii="仿宋" w:hAnsi="仿宋" w:eastAsia="仿宋" w:cs="仿宋"/>
        </w:rPr>
      </w:pPr>
      <w:r>
        <w:rPr>
          <w:rFonts w:hint="eastAsia" w:ascii="仿宋" w:hAnsi="仿宋" w:eastAsia="仿宋" w:cs="仿宋"/>
          <w:kern w:val="0"/>
          <w:szCs w:val="24"/>
        </w:rPr>
        <w:t>19.</w:t>
      </w:r>
      <w:r>
        <w:rPr>
          <w:rFonts w:hint="eastAsia" w:ascii="仿宋" w:hAnsi="仿宋" w:eastAsia="仿宋" w:cs="仿宋"/>
        </w:rPr>
        <w:t>4对未通过资格审查的投标人，采购人或采购机构告知其未通过的原因。</w:t>
      </w:r>
    </w:p>
    <w:p>
      <w:pPr>
        <w:pStyle w:val="94"/>
        <w:spacing w:before="0"/>
        <w:ind w:firstLine="480"/>
        <w:rPr>
          <w:rFonts w:ascii="仿宋" w:hAnsi="仿宋" w:eastAsia="仿宋" w:cs="仿宋"/>
        </w:rPr>
      </w:pPr>
      <w:r>
        <w:rPr>
          <w:rFonts w:hint="eastAsia" w:ascii="仿宋" w:hAnsi="仿宋" w:eastAsia="仿宋" w:cs="仿宋"/>
          <w:kern w:val="0"/>
          <w:szCs w:val="24"/>
        </w:rPr>
        <w:t>19.</w:t>
      </w:r>
      <w:r>
        <w:rPr>
          <w:rFonts w:hint="eastAsia" w:ascii="仿宋" w:hAnsi="仿宋" w:eastAsia="仿宋" w:cs="仿宋"/>
        </w:rPr>
        <w:t>5合格投标人不足3家的，不再评标。</w:t>
      </w:r>
    </w:p>
    <w:p>
      <w:pPr>
        <w:pStyle w:val="94"/>
        <w:spacing w:before="0"/>
        <w:ind w:firstLine="0" w:firstLineChars="0"/>
        <w:rPr>
          <w:rFonts w:ascii="仿宋" w:hAnsi="仿宋" w:eastAsia="仿宋" w:cs="仿宋"/>
          <w:b/>
          <w:szCs w:val="24"/>
        </w:rPr>
      </w:pPr>
      <w:r>
        <w:rPr>
          <w:rFonts w:hint="eastAsia" w:ascii="仿宋" w:hAnsi="仿宋" w:eastAsia="仿宋" w:cs="仿宋"/>
          <w:b/>
          <w:szCs w:val="24"/>
        </w:rPr>
        <w:t>20、信用信息查询</w:t>
      </w:r>
    </w:p>
    <w:p>
      <w:pPr>
        <w:pStyle w:val="94"/>
        <w:spacing w:before="0"/>
        <w:ind w:firstLine="495" w:firstLineChars="0"/>
        <w:rPr>
          <w:rFonts w:ascii="仿宋" w:hAnsi="仿宋" w:eastAsia="仿宋" w:cs="仿宋"/>
          <w:color w:val="000000" w:themeColor="text1"/>
          <w:kern w:val="0"/>
          <w:szCs w:val="24"/>
          <w14:textFill>
            <w14:solidFill>
              <w14:schemeClr w14:val="tx1"/>
            </w14:solidFill>
          </w14:textFill>
        </w:rPr>
      </w:pPr>
      <w:r>
        <w:rPr>
          <w:rFonts w:hint="eastAsia" w:ascii="仿宋" w:hAnsi="仿宋" w:eastAsia="仿宋" w:cs="仿宋"/>
          <w:color w:val="000000" w:themeColor="text1"/>
          <w:kern w:val="0"/>
          <w:szCs w:val="24"/>
          <w14:textFill>
            <w14:solidFill>
              <w14:schemeClr w14:val="tx1"/>
            </w14:solidFill>
          </w14:textFill>
        </w:rPr>
        <w:t>20.1信用信息查询渠道及截止时间：采购机构将通过“信用中国”网站(www.creditchina.gov.cn)、中国政府采购网(www.ccgp.gov.cn)渠道查询投标人投标截止时间当天的信用记录。</w:t>
      </w:r>
    </w:p>
    <w:p>
      <w:pPr>
        <w:pStyle w:val="94"/>
        <w:spacing w:before="0"/>
        <w:ind w:firstLine="495" w:firstLineChars="0"/>
        <w:rPr>
          <w:rFonts w:ascii="仿宋" w:hAnsi="仿宋" w:eastAsia="仿宋" w:cs="仿宋"/>
          <w:kern w:val="0"/>
          <w:szCs w:val="24"/>
        </w:rPr>
      </w:pPr>
      <w:r>
        <w:rPr>
          <w:rFonts w:hint="eastAsia" w:ascii="仿宋" w:hAnsi="仿宋" w:eastAsia="仿宋" w:cs="仿宋"/>
          <w:color w:val="000000" w:themeColor="text1"/>
          <w:kern w:val="0"/>
          <w:szCs w:val="24"/>
          <w14:textFill>
            <w14:solidFill>
              <w14:schemeClr w14:val="tx1"/>
            </w14:solidFill>
          </w14:textFill>
        </w:rPr>
        <w:t>20.2信用信息查询记录和证据留存的具体方式：现场查询的投标人的信用记录、</w:t>
      </w:r>
      <w:r>
        <w:rPr>
          <w:rFonts w:hint="eastAsia" w:ascii="仿宋" w:hAnsi="仿宋" w:eastAsia="仿宋" w:cs="仿宋"/>
          <w:kern w:val="0"/>
          <w:szCs w:val="24"/>
        </w:rPr>
        <w:t>查询结果经确认后将与采购文件一起存档。</w:t>
      </w:r>
    </w:p>
    <w:p>
      <w:pPr>
        <w:pStyle w:val="94"/>
        <w:spacing w:before="0"/>
        <w:ind w:firstLine="495" w:firstLineChars="0"/>
        <w:rPr>
          <w:rFonts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20.3信用信息的使用规则：经查询列入失信被执行人名单、重大税收违法案件当事人名单、政府采购严重违法失信行为记录名单的投标人将被拒绝参与政府采购活动。</w:t>
      </w:r>
    </w:p>
    <w:p>
      <w:pPr>
        <w:pStyle w:val="94"/>
        <w:spacing w:before="0"/>
        <w:ind w:firstLine="0" w:firstLineChars="0"/>
        <w:rPr>
          <w:rFonts w:ascii="仿宋" w:hAnsi="仿宋" w:eastAsia="仿宋" w:cs="仿宋"/>
          <w:kern w:val="0"/>
          <w:szCs w:val="24"/>
        </w:rPr>
      </w:pPr>
    </w:p>
    <w:p>
      <w:pPr>
        <w:snapToGrid w:val="0"/>
        <w:spacing w:line="360" w:lineRule="auto"/>
        <w:jc w:val="center"/>
        <w:outlineLvl w:val="0"/>
        <w:rPr>
          <w:rFonts w:ascii="仿宋" w:hAnsi="仿宋" w:eastAsia="仿宋" w:cs="仿宋"/>
          <w:b/>
          <w:sz w:val="36"/>
          <w:szCs w:val="36"/>
        </w:rPr>
      </w:pPr>
      <w:r>
        <w:rPr>
          <w:rFonts w:hint="eastAsia" w:ascii="仿宋" w:hAnsi="仿宋" w:eastAsia="仿宋" w:cs="仿宋"/>
          <w:b/>
          <w:sz w:val="36"/>
          <w:szCs w:val="36"/>
        </w:rPr>
        <w:t>五、评标</w:t>
      </w:r>
    </w:p>
    <w:p>
      <w:pPr>
        <w:spacing w:line="360" w:lineRule="auto"/>
        <w:rPr>
          <w:rFonts w:ascii="仿宋" w:hAnsi="仿宋" w:eastAsia="仿宋" w:cs="仿宋"/>
          <w:b/>
          <w:sz w:val="24"/>
        </w:rPr>
      </w:pPr>
      <w:bookmarkStart w:id="13" w:name="_Toc91899903"/>
      <w:r>
        <w:rPr>
          <w:rFonts w:hint="eastAsia" w:ascii="仿宋" w:hAnsi="仿宋" w:eastAsia="仿宋" w:cs="仿宋"/>
          <w:b/>
          <w:sz w:val="24"/>
        </w:rPr>
        <w:t>21.</w:t>
      </w:r>
      <w:r>
        <w:rPr>
          <w:rFonts w:hint="eastAsia" w:ascii="仿宋" w:hAnsi="仿宋" w:eastAsia="仿宋" w:cs="仿宋"/>
        </w:rPr>
        <w:t xml:space="preserve"> </w:t>
      </w:r>
      <w:r>
        <w:rPr>
          <w:rFonts w:hint="eastAsia" w:ascii="仿宋" w:hAnsi="仿宋" w:eastAsia="仿宋" w:cs="仿宋"/>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sz w:val="24"/>
        </w:rPr>
        <w:t>详见招标文件第四部分评标办法。</w:t>
      </w:r>
    </w:p>
    <w:p>
      <w:pPr>
        <w:spacing w:line="360" w:lineRule="auto"/>
        <w:rPr>
          <w:rFonts w:ascii="仿宋" w:hAnsi="仿宋" w:eastAsia="仿宋" w:cs="仿宋"/>
          <w:b/>
          <w:sz w:val="24"/>
        </w:rPr>
      </w:pPr>
    </w:p>
    <w:p>
      <w:pPr>
        <w:snapToGrid w:val="0"/>
        <w:spacing w:line="360" w:lineRule="auto"/>
        <w:jc w:val="center"/>
        <w:outlineLvl w:val="0"/>
        <w:rPr>
          <w:rFonts w:ascii="仿宋" w:hAnsi="仿宋" w:eastAsia="仿宋" w:cs="仿宋"/>
          <w:b/>
          <w:sz w:val="36"/>
          <w:szCs w:val="36"/>
        </w:rPr>
      </w:pPr>
      <w:r>
        <w:rPr>
          <w:rFonts w:hint="eastAsia" w:ascii="仿宋" w:hAnsi="仿宋" w:eastAsia="仿宋" w:cs="仿宋"/>
          <w:b/>
          <w:sz w:val="36"/>
          <w:szCs w:val="36"/>
        </w:rPr>
        <w:t>六、定 标</w:t>
      </w:r>
    </w:p>
    <w:p>
      <w:pPr>
        <w:pStyle w:val="25"/>
        <w:spacing w:line="360" w:lineRule="auto"/>
        <w:ind w:left="479" w:hanging="479" w:hangingChars="199"/>
        <w:rPr>
          <w:rFonts w:ascii="仿宋_GB2312" w:hAnsi="仿宋" w:eastAsia="仿宋_GB2312" w:cs="仿宋_GB2312"/>
          <w:b/>
        </w:rPr>
      </w:pPr>
      <w:r>
        <w:rPr>
          <w:rFonts w:ascii="仿宋_GB2312" w:hAnsi="仿宋" w:eastAsia="仿宋_GB2312" w:cs="仿宋_GB2312"/>
          <w:b/>
        </w:rPr>
        <w:t xml:space="preserve">22. </w:t>
      </w:r>
      <w:r>
        <w:rPr>
          <w:rFonts w:hint="eastAsia" w:ascii="仿宋_GB2312" w:hAnsi="仿宋" w:eastAsia="仿宋_GB2312" w:cs="仿宋_GB2312"/>
          <w:b/>
        </w:rPr>
        <w:t>确定中标供应商</w:t>
      </w:r>
    </w:p>
    <w:p>
      <w:pPr>
        <w:pStyle w:val="94"/>
        <w:snapToGrid w:val="0"/>
        <w:spacing w:before="0"/>
        <w:ind w:firstLine="480"/>
        <w:rPr>
          <w:rFonts w:ascii="仿宋_GB2312" w:hAnsi="仿宋" w:eastAsia="仿宋_GB2312" w:cs="仿宋_GB2312"/>
          <w:szCs w:val="24"/>
        </w:rPr>
      </w:pPr>
      <w:r>
        <w:rPr>
          <w:rFonts w:hint="eastAsia" w:ascii="仿宋_GB2312" w:hAnsi="仿宋" w:eastAsia="仿宋_GB2312" w:cs="仿宋_GB2312"/>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94"/>
        <w:snapToGrid w:val="0"/>
        <w:spacing w:before="0"/>
        <w:ind w:firstLine="0" w:firstLineChars="0"/>
        <w:rPr>
          <w:rFonts w:ascii="仿宋_GB2312" w:hAnsi="仿宋" w:eastAsia="仿宋_GB2312" w:cs="仿宋_GB2312"/>
          <w:b/>
          <w:szCs w:val="24"/>
        </w:rPr>
      </w:pPr>
      <w:r>
        <w:rPr>
          <w:rFonts w:ascii="仿宋_GB2312" w:hAnsi="仿宋" w:eastAsia="仿宋_GB2312" w:cs="仿宋_GB2312"/>
          <w:b/>
          <w:szCs w:val="24"/>
        </w:rPr>
        <w:t xml:space="preserve">23. </w:t>
      </w:r>
      <w:r>
        <w:rPr>
          <w:rFonts w:hint="eastAsia" w:ascii="仿宋_GB2312" w:hAnsi="仿宋" w:eastAsia="仿宋_GB2312" w:cs="仿宋_GB2312"/>
          <w:b/>
          <w:szCs w:val="24"/>
        </w:rPr>
        <w:t>中标通知与中标结果公告</w:t>
      </w:r>
    </w:p>
    <w:p>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23.1自中标人确定之日起2个工作日内，采购机构通过电子交易平台向中标人发出中标通知书，</w:t>
      </w:r>
      <w:r>
        <w:rPr>
          <w:rFonts w:hint="eastAsia" w:ascii="仿宋_GB2312" w:hAnsi="仿宋" w:eastAsia="仿宋_GB2312" w:cs="仿宋_GB2312"/>
          <w:sz w:val="24"/>
        </w:rPr>
        <w:t>同时编制发布采购结果公告。采购机构也可以以纸质形式进行中标通知。</w:t>
      </w:r>
    </w:p>
    <w:p>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23.2中标结果公告内容包括采购人及其委托的采购机构的名称、地址、联系方式，项目名称和项目编号，中标人名称、地址和中标金额，主要中标标的</w:t>
      </w:r>
      <w:r>
        <w:rPr>
          <w:rFonts w:hint="eastAsia" w:ascii="仿宋_GB2312" w:hAnsi="仿宋" w:eastAsia="仿宋_GB2312" w:cs="仿宋_GB2312"/>
          <w:sz w:val="24"/>
        </w:rPr>
        <w:t>的名称、规格型号、数量、单价、服务要求，开标记录、资格审查情况、评审专家抽取规则、符合性审查情况、未中标情况说明、中标公告期限以及评审专家名单、评分汇总及明细。</w:t>
      </w:r>
    </w:p>
    <w:p>
      <w:pPr>
        <w:widowControl/>
        <w:shd w:val="clear" w:color="auto" w:fill="FFFFFF"/>
        <w:spacing w:line="360" w:lineRule="auto"/>
        <w:ind w:firstLine="480"/>
        <w:jc w:val="left"/>
        <w:rPr>
          <w:rFonts w:ascii="仿宋_GB2312" w:hAnsi="仿宋" w:eastAsia="仿宋_GB2312" w:cs="仿宋_GB2312"/>
          <w:sz w:val="24"/>
        </w:rPr>
      </w:pPr>
      <w:r>
        <w:rPr>
          <w:rFonts w:ascii="仿宋_GB2312" w:hAnsi="仿宋" w:eastAsia="仿宋_GB2312" w:cs="仿宋_GB2312"/>
          <w:sz w:val="24"/>
        </w:rPr>
        <w:t>23.3公告期限为1个工作日。</w:t>
      </w:r>
    </w:p>
    <w:p>
      <w:pPr>
        <w:snapToGrid w:val="0"/>
        <w:spacing w:line="360" w:lineRule="auto"/>
        <w:ind w:left="120" w:leftChars="57" w:firstLine="482" w:firstLineChars="150"/>
        <w:jc w:val="center"/>
        <w:rPr>
          <w:rFonts w:ascii="仿宋" w:hAnsi="仿宋" w:eastAsia="仿宋" w:cs="仿宋"/>
          <w:b/>
          <w:sz w:val="32"/>
        </w:rPr>
      </w:pPr>
    </w:p>
    <w:p>
      <w:pPr>
        <w:snapToGrid w:val="0"/>
        <w:spacing w:line="360" w:lineRule="auto"/>
        <w:ind w:left="120" w:leftChars="57" w:firstLine="482" w:firstLineChars="150"/>
        <w:jc w:val="center"/>
        <w:rPr>
          <w:rFonts w:ascii="仿宋" w:hAnsi="仿宋" w:eastAsia="仿宋" w:cs="仿宋"/>
          <w:b/>
          <w:sz w:val="32"/>
        </w:rPr>
      </w:pPr>
      <w:r>
        <w:rPr>
          <w:rFonts w:hint="eastAsia" w:ascii="仿宋" w:hAnsi="仿宋" w:eastAsia="仿宋" w:cs="仿宋"/>
          <w:b/>
          <w:sz w:val="32"/>
        </w:rPr>
        <w:t>七、合同授予</w:t>
      </w:r>
    </w:p>
    <w:p>
      <w:pPr>
        <w:pStyle w:val="25"/>
        <w:spacing w:line="360" w:lineRule="auto"/>
        <w:ind w:left="479" w:hanging="479" w:hangingChars="199"/>
        <w:rPr>
          <w:rFonts w:ascii="仿宋" w:hAnsi="仿宋" w:eastAsia="仿宋" w:cs="仿宋"/>
          <w:b/>
        </w:rPr>
      </w:pPr>
      <w:r>
        <w:rPr>
          <w:rFonts w:hint="eastAsia" w:ascii="仿宋" w:hAnsi="仿宋" w:eastAsia="仿宋" w:cs="仿宋"/>
          <w:b/>
        </w:rPr>
        <w:t xml:space="preserve">24. </w:t>
      </w:r>
      <w:r>
        <w:rPr>
          <w:rFonts w:hint="eastAsia" w:ascii="仿宋" w:hAnsi="仿宋" w:eastAsia="仿宋" w:cs="仿宋"/>
        </w:rPr>
        <w:t>合同主要条款详见第五部分拟签订的合同文本。</w:t>
      </w:r>
    </w:p>
    <w:p>
      <w:pPr>
        <w:pStyle w:val="25"/>
        <w:spacing w:line="360" w:lineRule="auto"/>
        <w:ind w:left="479" w:hanging="479" w:hangingChars="199"/>
        <w:rPr>
          <w:rFonts w:ascii="仿宋" w:hAnsi="仿宋" w:eastAsia="仿宋" w:cs="仿宋"/>
          <w:b/>
        </w:rPr>
      </w:pPr>
      <w:r>
        <w:rPr>
          <w:rFonts w:hint="eastAsia" w:ascii="仿宋" w:hAnsi="仿宋" w:eastAsia="仿宋" w:cs="仿宋"/>
          <w:b/>
        </w:rPr>
        <w:t>25. 合同的签订</w:t>
      </w:r>
    </w:p>
    <w:p>
      <w:pPr>
        <w:widowControl/>
        <w:shd w:val="clear" w:color="auto" w:fill="FFFFFF"/>
        <w:spacing w:line="360" w:lineRule="auto"/>
        <w:ind w:firstLine="480"/>
        <w:jc w:val="left"/>
        <w:rPr>
          <w:rFonts w:ascii="仿宋" w:hAnsi="仿宋" w:eastAsia="仿宋" w:cs="仿宋"/>
          <w:kern w:val="0"/>
          <w:sz w:val="24"/>
        </w:rPr>
      </w:pPr>
      <w:r>
        <w:rPr>
          <w:rFonts w:hint="eastAsia" w:ascii="仿宋" w:hAnsi="仿宋" w:eastAsia="仿宋" w:cs="仿宋"/>
          <w:sz w:val="24"/>
        </w:rPr>
        <w:t>25.1</w:t>
      </w:r>
      <w:r>
        <w:rPr>
          <w:rFonts w:hint="eastAsia" w:ascii="仿宋" w:hAnsi="仿宋" w:eastAsia="仿宋" w:cs="仿宋"/>
          <w:kern w:val="0"/>
          <w:sz w:val="24"/>
        </w:rPr>
        <w:t xml:space="preserve"> 采购人与中标人应当通过电子交易平台在中标通知书发出之日起十个工作日内，按照招标文件确定的事项签订政府采购合同，并在合同签订之日起2个工作日内依法发布合同公告。</w:t>
      </w:r>
    </w:p>
    <w:p>
      <w:pPr>
        <w:pStyle w:val="94"/>
        <w:snapToGrid w:val="0"/>
        <w:spacing w:before="0"/>
        <w:ind w:firstLine="480"/>
        <w:rPr>
          <w:rFonts w:ascii="仿宋" w:hAnsi="仿宋" w:eastAsia="仿宋" w:cs="仿宋"/>
          <w:kern w:val="0"/>
          <w:lang w:val="zh-CN"/>
        </w:rPr>
      </w:pPr>
      <w:r>
        <w:rPr>
          <w:rFonts w:hint="eastAsia" w:ascii="仿宋" w:hAnsi="仿宋" w:eastAsia="仿宋" w:cs="仿宋"/>
          <w:kern w:val="0"/>
          <w:lang w:val="zh-CN"/>
        </w:rPr>
        <w:t>25.2中标人按规定的日期、时间、地点，由法定代表人或其授权代表与采购人代表签订合同。</w:t>
      </w:r>
    </w:p>
    <w:p>
      <w:pPr>
        <w:pStyle w:val="94"/>
        <w:snapToGrid w:val="0"/>
        <w:spacing w:before="0"/>
        <w:ind w:firstLine="480"/>
        <w:rPr>
          <w:rFonts w:ascii="仿宋" w:hAnsi="仿宋" w:eastAsia="仿宋" w:cs="仿宋"/>
        </w:rPr>
      </w:pPr>
      <w:r>
        <w:rPr>
          <w:rFonts w:hint="eastAsia" w:ascii="仿宋" w:hAnsi="仿宋" w:eastAsia="仿宋" w:cs="仿宋"/>
        </w:rPr>
        <w:t>25.3如签订合同并生效后，供应商无故拒绝或延期，除按照合同条款处理外，列入不良行为记录一次，并给予通报。</w:t>
      </w:r>
    </w:p>
    <w:p>
      <w:pPr>
        <w:pStyle w:val="94"/>
        <w:snapToGrid w:val="0"/>
        <w:spacing w:before="0"/>
        <w:ind w:firstLine="480"/>
        <w:rPr>
          <w:rFonts w:ascii="仿宋" w:hAnsi="仿宋" w:eastAsia="仿宋" w:cs="仿宋"/>
        </w:rPr>
      </w:pPr>
      <w:r>
        <w:rPr>
          <w:rFonts w:hint="eastAsia" w:ascii="仿宋" w:hAnsi="仿宋" w:eastAsia="仿宋" w:cs="仿宋"/>
        </w:rPr>
        <w:t>25.4中标供应商拒绝与采购人签订合同的，采购人可以按照评审报告推荐的中标或者成交候选人名单排序，确定下一候选人为中标供应商，也可以重新开展政府采购活动。</w:t>
      </w:r>
    </w:p>
    <w:p>
      <w:pPr>
        <w:pStyle w:val="94"/>
        <w:snapToGrid w:val="0"/>
        <w:spacing w:before="0" w:after="120"/>
        <w:ind w:firstLine="480"/>
        <w:rPr>
          <w:rFonts w:ascii="仿宋" w:hAnsi="仿宋" w:eastAsia="仿宋" w:cs="仿宋"/>
        </w:rPr>
      </w:pPr>
      <w:r>
        <w:rPr>
          <w:rFonts w:hint="eastAsia" w:ascii="仿宋" w:hAnsi="仿宋" w:eastAsia="仿宋" w:cs="仿宋"/>
        </w:rPr>
        <w:t>25.5采购合同由采购人与中标供应商根据招标文件、投标文件等内容通过政府采购电子交易平台在线签订，自动备案。</w:t>
      </w:r>
    </w:p>
    <w:p>
      <w:pPr>
        <w:pStyle w:val="25"/>
        <w:spacing w:line="360" w:lineRule="auto"/>
        <w:ind w:left="479" w:hanging="479" w:hangingChars="199"/>
        <w:rPr>
          <w:rFonts w:ascii="仿宋" w:hAnsi="仿宋" w:eastAsia="仿宋" w:cs="仿宋"/>
          <w:b/>
        </w:rPr>
      </w:pPr>
      <w:r>
        <w:rPr>
          <w:rFonts w:hint="eastAsia" w:ascii="仿宋" w:hAnsi="仿宋" w:eastAsia="仿宋" w:cs="仿宋"/>
          <w:b/>
        </w:rPr>
        <w:t>26. 履约保证金</w:t>
      </w:r>
    </w:p>
    <w:p>
      <w:pPr>
        <w:tabs>
          <w:tab w:val="left" w:pos="0"/>
        </w:tabs>
        <w:spacing w:line="312" w:lineRule="auto"/>
        <w:ind w:firstLine="482"/>
        <w:rPr>
          <w:rFonts w:hint="eastAsia" w:ascii="仿宋_GB2312" w:hAnsi="仿宋" w:eastAsia="仿宋_GB2312"/>
          <w:b/>
          <w:sz w:val="24"/>
          <w:highlight w:val="none"/>
        </w:rPr>
      </w:pPr>
      <w:r>
        <w:rPr>
          <w:rFonts w:hint="eastAsia" w:ascii="仿宋_GB2312" w:hAnsi="仿宋" w:eastAsia="仿宋_GB2312" w:cs="Helvetica"/>
          <w:kern w:val="0"/>
          <w:sz w:val="24"/>
          <w:highlight w:val="none"/>
        </w:rPr>
        <w:t>拟签订的合同文本要求中标供应商提交履约保证金的，供应商应当以支票、汇票、本票或者金融机构、担保机构出具的保函等非现金形式提交</w:t>
      </w:r>
      <w:r>
        <w:rPr>
          <w:rFonts w:hint="eastAsia" w:ascii="仿宋_GB2312" w:hAnsi="仿宋" w:eastAsia="仿宋_GB2312"/>
          <w:sz w:val="24"/>
          <w:highlight w:val="none"/>
        </w:rPr>
        <w:t>。履约保证金的数额不得超过政府采购合同金额的</w:t>
      </w:r>
      <w:r>
        <w:rPr>
          <w:rFonts w:hint="eastAsia" w:ascii="仿宋_GB2312" w:hAnsi="仿宋" w:eastAsia="仿宋_GB2312"/>
          <w:sz w:val="24"/>
          <w:highlight w:val="none"/>
          <w:lang w:val="en-US" w:eastAsia="zh-CN"/>
        </w:rPr>
        <w:t>1</w:t>
      </w:r>
      <w:r>
        <w:rPr>
          <w:rFonts w:ascii="仿宋_GB2312" w:hAnsi="仿宋" w:eastAsia="仿宋_GB2312"/>
          <w:sz w:val="24"/>
          <w:highlight w:val="none"/>
        </w:rPr>
        <w:t>%。</w:t>
      </w:r>
      <w:r>
        <w:rPr>
          <w:rFonts w:hint="eastAsia" w:ascii="仿宋_GB2312" w:hAnsi="仿宋" w:eastAsia="仿宋_GB2312"/>
          <w:sz w:val="24"/>
          <w:highlight w:val="none"/>
        </w:rPr>
        <w:t>鼓励和支持供应商以银行、保险公司出具的保函形式提供履约保证金</w:t>
      </w:r>
      <w:r>
        <w:rPr>
          <w:rFonts w:hint="eastAsia" w:ascii="仿宋_GB2312" w:hAnsi="仿宋" w:eastAsia="仿宋_GB2312"/>
          <w:sz w:val="24"/>
          <w:highlight w:val="none"/>
          <w:lang w:eastAsia="zh-CN"/>
        </w:rPr>
        <w:t>。</w:t>
      </w:r>
      <w:r>
        <w:rPr>
          <w:rFonts w:hint="eastAsia" w:ascii="仿宋_GB2312" w:hAnsi="仿宋" w:eastAsia="仿宋_GB2312"/>
          <w:b/>
          <w:sz w:val="24"/>
          <w:highlight w:val="none"/>
        </w:rPr>
        <w:t>采购人不得拒收履约保函。</w:t>
      </w:r>
    </w:p>
    <w:p>
      <w:pPr>
        <w:tabs>
          <w:tab w:val="left" w:pos="0"/>
        </w:tabs>
        <w:spacing w:line="312" w:lineRule="auto"/>
        <w:ind w:firstLine="482"/>
        <w:rPr>
          <w:lang w:val="en-US"/>
        </w:rPr>
      </w:pPr>
      <w:r>
        <w:rPr>
          <w:rFonts w:hint="eastAsia"/>
          <w:b w:val="0"/>
          <w:bCs w:val="0"/>
          <w:snapToGrid w:val="0"/>
          <w:kern w:val="28"/>
          <w:sz w:val="24"/>
          <w:highlight w:val="none"/>
        </w:rPr>
        <w:t>供应商</w:t>
      </w:r>
      <w:r>
        <w:rPr>
          <w:rFonts w:hint="eastAsia"/>
          <w:b w:val="0"/>
          <w:bCs w:val="0"/>
          <w:snapToGrid w:val="0"/>
          <w:kern w:val="28"/>
          <w:sz w:val="24"/>
          <w:highlight w:val="none"/>
          <w:lang w:val="en-US"/>
        </w:rPr>
        <w:t>可</w:t>
      </w:r>
      <w:r>
        <w:rPr>
          <w:rFonts w:hint="eastAsia"/>
          <w:b w:val="0"/>
          <w:bCs w:val="0"/>
          <w:snapToGrid w:val="0"/>
          <w:kern w:val="28"/>
          <w:sz w:val="24"/>
          <w:highlight w:val="none"/>
        </w:rPr>
        <w:t>登录政采云平台-【金融服务】—【我的项目】—【</w:t>
      </w:r>
      <w:r>
        <w:rPr>
          <w:rFonts w:hint="eastAsia"/>
          <w:b w:val="0"/>
          <w:bCs w:val="0"/>
          <w:snapToGrid w:val="0"/>
          <w:kern w:val="28"/>
          <w:sz w:val="24"/>
        </w:rPr>
        <w:t>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ascii="仿宋" w:hAnsi="仿宋" w:eastAsia="仿宋" w:cs="仿宋"/>
          <w:b/>
          <w:sz w:val="32"/>
        </w:rPr>
      </w:pPr>
    </w:p>
    <w:p>
      <w:pPr>
        <w:snapToGrid w:val="0"/>
        <w:spacing w:line="360" w:lineRule="auto"/>
        <w:ind w:firstLine="3357" w:firstLineChars="1045"/>
        <w:rPr>
          <w:rFonts w:ascii="仿宋" w:hAnsi="仿宋" w:eastAsia="仿宋" w:cs="仿宋"/>
          <w:b/>
          <w:sz w:val="24"/>
        </w:rPr>
      </w:pPr>
      <w:r>
        <w:rPr>
          <w:rFonts w:hint="eastAsia" w:ascii="仿宋" w:hAnsi="仿宋" w:eastAsia="仿宋" w:cs="仿宋"/>
          <w:b/>
          <w:sz w:val="32"/>
        </w:rPr>
        <w:t>八、电子交易活动的中止</w:t>
      </w:r>
    </w:p>
    <w:p>
      <w:pPr>
        <w:pStyle w:val="94"/>
        <w:snapToGrid w:val="0"/>
        <w:spacing w:before="0"/>
        <w:ind w:firstLine="0" w:firstLineChars="0"/>
        <w:rPr>
          <w:rFonts w:ascii="仿宋" w:hAnsi="仿宋" w:eastAsia="仿宋" w:cs="仿宋"/>
        </w:rPr>
      </w:pPr>
      <w:r>
        <w:rPr>
          <w:rFonts w:hint="eastAsia" w:ascii="仿宋" w:hAnsi="仿宋" w:eastAsia="仿宋" w:cs="仿宋"/>
          <w:b/>
          <w:bCs/>
        </w:rPr>
        <w:t>2</w:t>
      </w:r>
      <w:r>
        <w:rPr>
          <w:rFonts w:hint="eastAsia" w:ascii="仿宋" w:hAnsi="仿宋" w:eastAsia="仿宋" w:cs="仿宋"/>
          <w:b/>
          <w:bCs/>
          <w:szCs w:val="24"/>
        </w:rPr>
        <w:t>7.</w:t>
      </w:r>
      <w:r>
        <w:rPr>
          <w:rFonts w:hint="eastAsia" w:ascii="仿宋" w:hAnsi="仿宋" w:eastAsia="仿宋" w:cs="仿宋"/>
          <w:b/>
          <w:szCs w:val="24"/>
        </w:rPr>
        <w:t xml:space="preserve"> 电子交易活动的中止。</w:t>
      </w:r>
      <w:r>
        <w:rPr>
          <w:rFonts w:hint="eastAsia" w:ascii="仿宋" w:hAnsi="仿宋" w:eastAsia="仿宋" w:cs="仿宋"/>
        </w:rPr>
        <w:t>采购过程中出现以下情形，导致电子交易平台无法正常运行，或者无法保证电子交易的公平、公正和安全时，采购机构可中止电子交易活动：</w:t>
      </w:r>
    </w:p>
    <w:p>
      <w:pPr>
        <w:pStyle w:val="94"/>
        <w:snapToGrid w:val="0"/>
        <w:spacing w:before="0"/>
        <w:ind w:firstLine="480"/>
        <w:rPr>
          <w:rFonts w:ascii="仿宋" w:hAnsi="仿宋" w:eastAsia="仿宋" w:cs="仿宋"/>
        </w:rPr>
      </w:pPr>
      <w:r>
        <w:rPr>
          <w:rFonts w:hint="eastAsia" w:ascii="仿宋" w:hAnsi="仿宋" w:eastAsia="仿宋" w:cs="仿宋"/>
        </w:rPr>
        <w:t xml:space="preserve">27.1电子交易平台发生故障而无法登录访问的； </w:t>
      </w:r>
    </w:p>
    <w:p>
      <w:pPr>
        <w:pStyle w:val="94"/>
        <w:snapToGrid w:val="0"/>
        <w:spacing w:before="0"/>
        <w:ind w:firstLine="480"/>
        <w:rPr>
          <w:rFonts w:ascii="仿宋" w:hAnsi="仿宋" w:eastAsia="仿宋" w:cs="仿宋"/>
        </w:rPr>
      </w:pPr>
      <w:r>
        <w:rPr>
          <w:rFonts w:hint="eastAsia" w:ascii="仿宋" w:hAnsi="仿宋" w:eastAsia="仿宋" w:cs="仿宋"/>
        </w:rPr>
        <w:t>27.2电子交易平台应用或数据库出现错误，不能进行正常操作的；</w:t>
      </w:r>
    </w:p>
    <w:p>
      <w:pPr>
        <w:pStyle w:val="94"/>
        <w:snapToGrid w:val="0"/>
        <w:spacing w:before="0"/>
        <w:ind w:firstLine="480"/>
        <w:rPr>
          <w:rFonts w:ascii="仿宋" w:hAnsi="仿宋" w:eastAsia="仿宋" w:cs="仿宋"/>
        </w:rPr>
      </w:pPr>
      <w:r>
        <w:rPr>
          <w:rFonts w:hint="eastAsia" w:ascii="仿宋" w:hAnsi="仿宋" w:eastAsia="仿宋" w:cs="仿宋"/>
        </w:rPr>
        <w:t>27.3电子交易平台发现严重安全漏洞，有潜在泄密危险的；</w:t>
      </w:r>
    </w:p>
    <w:p>
      <w:pPr>
        <w:pStyle w:val="94"/>
        <w:snapToGrid w:val="0"/>
        <w:spacing w:before="0"/>
        <w:ind w:firstLine="480"/>
        <w:rPr>
          <w:rFonts w:ascii="仿宋" w:hAnsi="仿宋" w:eastAsia="仿宋" w:cs="仿宋"/>
        </w:rPr>
      </w:pPr>
      <w:r>
        <w:rPr>
          <w:rFonts w:hint="eastAsia" w:ascii="仿宋" w:hAnsi="仿宋" w:eastAsia="仿宋" w:cs="仿宋"/>
        </w:rPr>
        <w:t xml:space="preserve">27.4病毒发作导致不能进行正常操作的； </w:t>
      </w:r>
    </w:p>
    <w:p>
      <w:pPr>
        <w:pStyle w:val="94"/>
        <w:snapToGrid w:val="0"/>
        <w:spacing w:before="0"/>
        <w:ind w:firstLine="480"/>
        <w:rPr>
          <w:rFonts w:ascii="仿宋" w:hAnsi="仿宋" w:eastAsia="仿宋" w:cs="仿宋"/>
        </w:rPr>
      </w:pPr>
      <w:r>
        <w:rPr>
          <w:rFonts w:hint="eastAsia" w:ascii="仿宋" w:hAnsi="仿宋" w:eastAsia="仿宋" w:cs="仿宋"/>
        </w:rPr>
        <w:t>27.5其他无法保证电子交易的公平、公正和安全的情况。</w:t>
      </w:r>
    </w:p>
    <w:p>
      <w:pPr>
        <w:pStyle w:val="94"/>
        <w:snapToGrid w:val="0"/>
        <w:spacing w:before="0"/>
        <w:ind w:firstLine="0" w:firstLineChars="0"/>
        <w:rPr>
          <w:rFonts w:ascii="仿宋" w:hAnsi="仿宋" w:eastAsia="仿宋" w:cs="仿宋"/>
        </w:rPr>
      </w:pPr>
      <w:r>
        <w:rPr>
          <w:rFonts w:hint="eastAsia" w:ascii="仿宋" w:hAnsi="仿宋" w:eastAsia="仿宋" w:cs="仿宋"/>
          <w:b/>
          <w:bCs/>
        </w:rPr>
        <w:t xml:space="preserve"> 28.</w:t>
      </w: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 w:hAnsi="仿宋" w:eastAsia="仿宋" w:cs="仿宋"/>
          <w:sz w:val="24"/>
        </w:rPr>
      </w:pPr>
    </w:p>
    <w:p>
      <w:pPr>
        <w:snapToGrid w:val="0"/>
        <w:spacing w:line="360" w:lineRule="auto"/>
        <w:ind w:left="120" w:leftChars="57" w:firstLine="482" w:firstLineChars="150"/>
        <w:jc w:val="center"/>
        <w:rPr>
          <w:rFonts w:ascii="仿宋" w:hAnsi="仿宋" w:eastAsia="仿宋" w:cs="仿宋"/>
          <w:b/>
          <w:sz w:val="32"/>
        </w:rPr>
      </w:pPr>
      <w:r>
        <w:rPr>
          <w:rFonts w:hint="eastAsia" w:ascii="仿宋" w:hAnsi="仿宋" w:eastAsia="仿宋" w:cs="仿宋"/>
          <w:b/>
          <w:sz w:val="32"/>
        </w:rPr>
        <w:t>九、验收</w:t>
      </w:r>
    </w:p>
    <w:p>
      <w:pPr>
        <w:pStyle w:val="25"/>
        <w:spacing w:line="360" w:lineRule="auto"/>
        <w:ind w:firstLine="0" w:firstLineChars="0"/>
        <w:rPr>
          <w:rFonts w:ascii="仿宋" w:hAnsi="仿宋" w:eastAsia="仿宋" w:cs="仿宋"/>
          <w:b/>
        </w:rPr>
      </w:pPr>
      <w:r>
        <w:rPr>
          <w:rFonts w:hint="eastAsia" w:ascii="仿宋" w:hAnsi="仿宋" w:eastAsia="仿宋" w:cs="仿宋"/>
          <w:b/>
        </w:rPr>
        <w:t>29.验收</w:t>
      </w:r>
    </w:p>
    <w:p>
      <w:pPr>
        <w:tabs>
          <w:tab w:val="left" w:pos="0"/>
        </w:tabs>
        <w:spacing w:line="360" w:lineRule="auto"/>
        <w:ind w:firstLine="480"/>
        <w:rPr>
          <w:rFonts w:ascii="仿宋" w:hAnsi="仿宋" w:eastAsia="仿宋" w:cs="仿宋"/>
          <w:kern w:val="0"/>
          <w:sz w:val="24"/>
        </w:rPr>
      </w:pPr>
      <w:r>
        <w:rPr>
          <w:rFonts w:hint="eastAsia" w:ascii="仿宋" w:hAnsi="仿宋" w:eastAsia="仿宋" w:cs="仿宋"/>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 w:hAnsi="仿宋" w:eastAsia="仿宋" w:cs="仿宋"/>
          <w:kern w:val="0"/>
          <w:sz w:val="24"/>
        </w:rPr>
      </w:pPr>
      <w:r>
        <w:rPr>
          <w:rFonts w:hint="eastAsia" w:ascii="仿宋" w:hAnsi="仿宋" w:eastAsia="仿宋" w:cs="仿宋"/>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仿宋" w:hAnsi="仿宋" w:eastAsia="仿宋" w:cs="仿宋"/>
          <w:color w:val="000000" w:themeColor="text1"/>
          <w:kern w:val="0"/>
          <w:sz w:val="24"/>
          <w14:textFill>
            <w14:solidFill>
              <w14:schemeClr w14:val="tx1"/>
            </w14:solidFill>
          </w14:textFill>
        </w:rPr>
      </w:pPr>
      <w:r>
        <w:rPr>
          <w:rFonts w:hint="eastAsia" w:ascii="仿宋" w:hAnsi="仿宋" w:eastAsia="仿宋" w:cs="仿宋"/>
          <w:kern w:val="0"/>
          <w:sz w:val="24"/>
        </w:rPr>
        <w:t>29.3严格按照采购合同开展履约验收。采购人成立验收小组，按照采购合同的约定对供应商履约情况进行验收。验收时，按照采购合同的约定对每一项技术、服务、安全</w:t>
      </w:r>
      <w:r>
        <w:rPr>
          <w:rFonts w:hint="eastAsia" w:ascii="仿宋" w:hAnsi="仿宋" w:eastAsia="仿宋" w:cs="仿宋"/>
          <w:color w:val="000000" w:themeColor="text1"/>
          <w:kern w:val="0"/>
          <w:sz w:val="24"/>
          <w14:textFill>
            <w14:solidFill>
              <w14:schemeClr w14:val="tx1"/>
            </w14:solidFill>
          </w14:textFill>
        </w:rPr>
        <w:t>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 w:hAnsi="仿宋" w:eastAsia="仿宋" w:cs="仿宋"/>
          <w:color w:val="000000" w:themeColor="text1"/>
          <w:sz w:val="18"/>
          <w:szCs w:val="18"/>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仿宋" w:hAnsi="仿宋" w:eastAsia="仿宋" w:cs="仿宋"/>
          <w:kern w:val="0"/>
          <w:sz w:val="24"/>
        </w:rPr>
      </w:pPr>
      <w:bookmarkStart w:id="14" w:name="_Hlt75236101"/>
      <w:bookmarkEnd w:id="14"/>
      <w:bookmarkStart w:id="15" w:name="_Hlt75236290"/>
      <w:bookmarkEnd w:id="15"/>
      <w:bookmarkStart w:id="16" w:name="_Hlt68057669"/>
      <w:bookmarkEnd w:id="16"/>
      <w:bookmarkStart w:id="17" w:name="_Hlt68072998"/>
      <w:bookmarkEnd w:id="17"/>
      <w:bookmarkStart w:id="18" w:name="_Hlt75236011"/>
      <w:bookmarkEnd w:id="18"/>
      <w:bookmarkStart w:id="19" w:name="_Hlt68073093"/>
      <w:bookmarkEnd w:id="19"/>
      <w:bookmarkStart w:id="20" w:name="_Hlt74707468"/>
      <w:bookmarkEnd w:id="20"/>
      <w:bookmarkStart w:id="21" w:name="_Hlt74714665"/>
      <w:bookmarkEnd w:id="21"/>
      <w:bookmarkStart w:id="22" w:name="_Hlt74729768"/>
      <w:bookmarkEnd w:id="22"/>
      <w:bookmarkStart w:id="23" w:name="_Hlt68403820"/>
      <w:bookmarkEnd w:id="23"/>
      <w:bookmarkStart w:id="24" w:name="_Hlt74730295"/>
      <w:bookmarkEnd w:id="24"/>
      <w:bookmarkStart w:id="25" w:name="_Hlt68072990"/>
      <w:bookmarkEnd w:id="25"/>
    </w:p>
    <w:p>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kern w:val="2"/>
          <w:sz w:val="32"/>
          <w:szCs w:val="24"/>
          <w:lang w:val="en-US" w:eastAsia="zh-CN" w:bidi="ar-SA"/>
        </w:rPr>
        <w:t>十、货款支付</w:t>
      </w:r>
    </w:p>
    <w:p>
      <w:pPr>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lang w:val="en-US" w:eastAsia="zh-CN"/>
        </w:rPr>
        <w:t xml:space="preserve"> 30</w:t>
      </w:r>
      <w:r>
        <w:rPr>
          <w:rFonts w:hint="eastAsia" w:ascii="仿宋" w:hAnsi="仿宋" w:eastAsia="仿宋" w:cs="仿宋"/>
          <w:color w:val="000000"/>
          <w:kern w:val="0"/>
          <w:sz w:val="24"/>
        </w:rPr>
        <w:t>.</w:t>
      </w:r>
      <w:r>
        <w:rPr>
          <w:rFonts w:hint="eastAsia" w:ascii="仿宋" w:hAnsi="仿宋" w:eastAsia="仿宋" w:cs="仿宋"/>
          <w:color w:val="000000"/>
          <w:kern w:val="0"/>
          <w:sz w:val="24"/>
          <w:lang w:val="en-US" w:eastAsia="zh-CN"/>
        </w:rPr>
        <w:t>1</w:t>
      </w:r>
      <w:r>
        <w:rPr>
          <w:rFonts w:hint="eastAsia" w:ascii="仿宋" w:hAnsi="仿宋" w:eastAsia="仿宋" w:cs="仿宋"/>
          <w:color w:val="000000"/>
          <w:kern w:val="0"/>
          <w:sz w:val="24"/>
          <w:lang w:eastAsia="zh-CN"/>
        </w:rPr>
        <w:t>应当</w:t>
      </w:r>
      <w:r>
        <w:rPr>
          <w:rFonts w:hint="eastAsia" w:ascii="仿宋" w:hAnsi="仿宋" w:eastAsia="仿宋" w:cs="仿宋"/>
          <w:color w:val="000000"/>
          <w:kern w:val="0"/>
          <w:sz w:val="24"/>
        </w:rPr>
        <w:t>在政府采购合同中约定预付款，预付款比例为合同金额的</w:t>
      </w:r>
      <w:r>
        <w:rPr>
          <w:rFonts w:hint="eastAsia" w:ascii="仿宋" w:hAnsi="仿宋" w:eastAsia="仿宋" w:cs="仿宋"/>
          <w:color w:val="000000"/>
          <w:kern w:val="0"/>
          <w:sz w:val="24"/>
          <w:lang w:val="en-US" w:eastAsia="zh-CN"/>
        </w:rPr>
        <w:t>40</w:t>
      </w:r>
      <w:r>
        <w:rPr>
          <w:rFonts w:hint="eastAsia" w:ascii="仿宋" w:hAnsi="仿宋" w:eastAsia="仿宋" w:cs="仿宋"/>
          <w:color w:val="000000"/>
          <w:kern w:val="0"/>
          <w:sz w:val="24"/>
        </w:rPr>
        <w:t>％</w:t>
      </w:r>
      <w:r>
        <w:rPr>
          <w:rFonts w:hint="eastAsia" w:ascii="仿宋" w:hAnsi="仿宋" w:eastAsia="仿宋" w:cs="仿宋"/>
          <w:color w:val="000000"/>
          <w:kern w:val="0"/>
          <w:sz w:val="24"/>
          <w:lang w:eastAsia="zh-CN"/>
        </w:rPr>
        <w:t>（</w:t>
      </w:r>
      <w:r>
        <w:rPr>
          <w:rFonts w:hint="eastAsia" w:ascii="仿宋" w:hAnsi="仿宋" w:eastAsia="仿宋" w:cs="仿宋"/>
          <w:color w:val="000000"/>
          <w:kern w:val="0"/>
          <w:sz w:val="24"/>
          <w:lang w:val="en-US" w:eastAsia="zh-CN"/>
        </w:rPr>
        <w:t>中小企业预付比例为合同金额的50%）</w:t>
      </w:r>
      <w:r>
        <w:rPr>
          <w:rFonts w:hint="eastAsia" w:ascii="仿宋" w:hAnsi="仿宋" w:eastAsia="仿宋" w:cs="仿宋"/>
          <w:color w:val="000000"/>
          <w:kern w:val="0"/>
          <w:sz w:val="24"/>
        </w:rPr>
        <w:t>；项目分年安排预算的，每年预付款比例为项目年度计划支付资金额的</w:t>
      </w:r>
      <w:r>
        <w:rPr>
          <w:rFonts w:hint="eastAsia" w:ascii="仿宋" w:hAnsi="仿宋" w:eastAsia="仿宋" w:cs="仿宋"/>
          <w:color w:val="000000"/>
          <w:kern w:val="0"/>
          <w:sz w:val="24"/>
          <w:lang w:val="en-US" w:eastAsia="zh-CN"/>
        </w:rPr>
        <w:t>40</w:t>
      </w:r>
      <w:r>
        <w:rPr>
          <w:rFonts w:hint="eastAsia" w:ascii="仿宋" w:hAnsi="仿宋" w:eastAsia="仿宋" w:cs="仿宋"/>
          <w:color w:val="000000"/>
          <w:kern w:val="0"/>
          <w:sz w:val="24"/>
        </w:rPr>
        <w:t>％。采购项目实施以人工投入为主的，可适当降低预付款比例，但不低于</w:t>
      </w:r>
      <w:r>
        <w:rPr>
          <w:rFonts w:hint="eastAsia" w:ascii="仿宋" w:hAnsi="仿宋" w:eastAsia="仿宋" w:cs="仿宋"/>
          <w:color w:val="000000"/>
          <w:kern w:val="0"/>
          <w:sz w:val="24"/>
          <w:lang w:val="en-US" w:eastAsia="zh-CN"/>
        </w:rPr>
        <w:t>20</w:t>
      </w:r>
      <w:r>
        <w:rPr>
          <w:rFonts w:hint="eastAsia" w:ascii="仿宋" w:hAnsi="仿宋" w:eastAsia="仿宋" w:cs="仿宋"/>
          <w:color w:val="000000"/>
          <w:kern w:val="0"/>
          <w:sz w:val="24"/>
        </w:rPr>
        <w:t>%。可以根据项目特点、</w:t>
      </w:r>
      <w:r>
        <w:rPr>
          <w:rFonts w:hint="eastAsia" w:ascii="仿宋" w:hAnsi="仿宋" w:eastAsia="仿宋" w:cs="仿宋"/>
          <w:color w:val="000000"/>
          <w:kern w:val="0"/>
          <w:sz w:val="24"/>
          <w:lang w:eastAsia="zh-CN"/>
        </w:rPr>
        <w:t>供应商</w:t>
      </w:r>
      <w:r>
        <w:rPr>
          <w:rFonts w:hint="eastAsia" w:ascii="仿宋" w:hAnsi="仿宋" w:eastAsia="仿宋" w:cs="仿宋"/>
          <w:color w:val="000000"/>
          <w:kern w:val="0"/>
          <w:sz w:val="24"/>
        </w:rPr>
        <w:t>信用等实际情况提高预付款比例，最高预付比例可以达到</w:t>
      </w:r>
      <w:r>
        <w:rPr>
          <w:rFonts w:hint="eastAsia" w:ascii="仿宋" w:hAnsi="仿宋" w:eastAsia="仿宋" w:cs="仿宋"/>
          <w:color w:val="000000"/>
          <w:kern w:val="0"/>
          <w:sz w:val="24"/>
          <w:lang w:val="en-US" w:eastAsia="zh-CN"/>
        </w:rPr>
        <w:t>70</w:t>
      </w:r>
      <w:r>
        <w:rPr>
          <w:rFonts w:hint="eastAsia" w:ascii="仿宋" w:hAnsi="仿宋" w:eastAsia="仿宋" w:cs="仿宋"/>
          <w:color w:val="000000"/>
          <w:kern w:val="0"/>
          <w:sz w:val="24"/>
        </w:rPr>
        <w:t>%。</w:t>
      </w:r>
    </w:p>
    <w:p>
      <w:pPr>
        <w:tabs>
          <w:tab w:val="left" w:pos="0"/>
        </w:tabs>
        <w:spacing w:line="360" w:lineRule="auto"/>
        <w:ind w:firstLine="480" w:firstLineChars="0"/>
        <w:rPr>
          <w:rFonts w:hint="eastAsia" w:ascii="仿宋" w:hAnsi="仿宋" w:eastAsia="仿宋" w:cs="仿宋"/>
          <w:color w:val="000000"/>
          <w:kern w:val="0"/>
          <w:sz w:val="24"/>
        </w:rPr>
      </w:pPr>
      <w:r>
        <w:rPr>
          <w:rFonts w:hint="eastAsia" w:ascii="仿宋" w:hAnsi="仿宋" w:eastAsia="仿宋" w:cs="仿宋"/>
          <w:color w:val="000000"/>
          <w:kern w:val="0"/>
          <w:sz w:val="24"/>
          <w:lang w:val="en-US" w:eastAsia="zh-CN"/>
        </w:rPr>
        <w:t>30.2</w:t>
      </w:r>
      <w:r>
        <w:rPr>
          <w:rFonts w:hint="eastAsia" w:ascii="仿宋" w:hAnsi="仿宋" w:eastAsia="仿宋" w:cs="仿宋"/>
          <w:color w:val="000000"/>
          <w:kern w:val="0"/>
          <w:sz w:val="24"/>
          <w:lang w:eastAsia="zh-CN"/>
        </w:rPr>
        <w:t>供应商</w:t>
      </w:r>
      <w:r>
        <w:rPr>
          <w:rFonts w:hint="eastAsia" w:ascii="仿宋" w:hAnsi="仿宋" w:eastAsia="仿宋" w:cs="仿宋"/>
          <w:color w:val="000000"/>
          <w:kern w:val="0"/>
          <w:sz w:val="24"/>
        </w:rPr>
        <w:t>可登录政采云前台大厅选择金融服务 - 【保函保险服务】出具预付款保函，具体步骤：选择产品—填写供应商信息—选择中标项目—确认信息—等待保险/保函受理—确认保单—支付保费—成功出单。政采云金融专线400-903-9583。</w:t>
      </w:r>
    </w:p>
    <w:p>
      <w:pPr>
        <w:pStyle w:val="624"/>
        <w:spacing w:before="0" w:beforeAutospacing="0" w:after="0" w:afterAutospacing="0" w:line="360" w:lineRule="auto"/>
        <w:ind w:firstLine="480"/>
        <w:rPr>
          <w:rFonts w:ascii="仿宋" w:hAnsi="仿宋" w:eastAsia="仿宋" w:cs="Times New Roman"/>
        </w:rPr>
      </w:pPr>
      <w:r>
        <w:rPr>
          <w:rFonts w:hint="eastAsia" w:ascii="仿宋" w:hAnsi="仿宋" w:eastAsia="仿宋" w:cs="Times New Roman"/>
          <w:lang w:val="en-US" w:eastAsia="zh-CN"/>
        </w:rPr>
        <w:t>30.3</w:t>
      </w:r>
      <w:r>
        <w:rPr>
          <w:rFonts w:hint="eastAsia" w:ascii="仿宋" w:hAnsi="仿宋" w:eastAsia="仿宋" w:cs="Times New Roman"/>
          <w:lang w:eastAsia="zh-CN"/>
        </w:rPr>
        <w:t>采购人</w:t>
      </w:r>
      <w:r>
        <w:rPr>
          <w:rFonts w:hint="eastAsia" w:ascii="仿宋" w:hAnsi="仿宋" w:eastAsia="仿宋" w:cs="Times New Roman"/>
        </w:rPr>
        <w:t>应严格履行合同，及时组织验收，验收合格后及时将合同款支付完毕。对于满足合同约定支付条件的，</w:t>
      </w:r>
      <w:r>
        <w:rPr>
          <w:rFonts w:hint="eastAsia" w:ascii="仿宋" w:hAnsi="仿宋" w:eastAsia="仿宋" w:cs="Times New Roman"/>
          <w:lang w:eastAsia="zh-CN"/>
        </w:rPr>
        <w:t>采购人</w:t>
      </w:r>
      <w:r>
        <w:rPr>
          <w:rFonts w:hint="eastAsia" w:ascii="仿宋" w:hAnsi="仿宋" w:eastAsia="仿宋" w:cs="Times New Roman"/>
        </w:rPr>
        <w:t>自收到发票后</w:t>
      </w:r>
      <w:r>
        <w:rPr>
          <w:rFonts w:hint="eastAsia" w:ascii="仿宋" w:hAnsi="仿宋" w:eastAsia="仿宋" w:cs="Times New Roman"/>
          <w:lang w:val="en-US" w:eastAsia="zh-CN"/>
        </w:rPr>
        <w:t>7</w:t>
      </w:r>
      <w:r>
        <w:rPr>
          <w:rFonts w:ascii="仿宋" w:hAnsi="仿宋" w:eastAsia="仿宋" w:cs="Times New Roman"/>
        </w:rPr>
        <w:t>个工作日内将资金支付到合同约定的乙方账户。</w:t>
      </w:r>
    </w:p>
    <w:p>
      <w:pPr>
        <w:spacing w:before="0" w:beforeAutospacing="0" w:after="0" w:afterAutospacing="0" w:line="360" w:lineRule="auto"/>
        <w:ind w:firstLine="480"/>
        <w:rPr>
          <w:rFonts w:ascii="仿宋" w:hAnsi="仿宋" w:eastAsia="仿宋" w:cs="Times New Roman"/>
        </w:rPr>
      </w:pPr>
      <w:r>
        <w:rPr>
          <w:rFonts w:ascii="仿宋" w:hAnsi="仿宋" w:eastAsia="仿宋" w:cs="Times New Roman"/>
        </w:rPr>
        <w:br w:type="page"/>
      </w:r>
    </w:p>
    <w:bookmarkEnd w:id="11"/>
    <w:bookmarkEnd w:id="12"/>
    <w:p>
      <w:pPr>
        <w:numPr>
          <w:ilvl w:val="0"/>
          <w:numId w:val="1"/>
        </w:numPr>
        <w:spacing w:line="360" w:lineRule="auto"/>
        <w:jc w:val="center"/>
        <w:outlineLvl w:val="0"/>
        <w:rPr>
          <w:rFonts w:ascii="仿宋" w:hAnsi="仿宋" w:eastAsia="仿宋" w:cs="仿宋"/>
          <w:b/>
          <w:sz w:val="36"/>
          <w:szCs w:val="36"/>
        </w:rPr>
      </w:pPr>
      <w:bookmarkStart w:id="26" w:name="第四部分"/>
      <w:r>
        <w:rPr>
          <w:rFonts w:hint="eastAsia" w:ascii="仿宋" w:hAnsi="仿宋" w:eastAsia="仿宋" w:cs="仿宋"/>
          <w:b/>
          <w:sz w:val="36"/>
          <w:szCs w:val="36"/>
        </w:rPr>
        <w:t xml:space="preserve">  采购需求</w:t>
      </w:r>
    </w:p>
    <w:p>
      <w:pPr>
        <w:snapToGrid w:val="0"/>
        <w:spacing w:line="360" w:lineRule="auto"/>
        <w:ind w:firstLine="420" w:firstLineChars="200"/>
        <w:rPr>
          <w:rFonts w:ascii="仿宋" w:hAnsi="仿宋" w:eastAsia="仿宋" w:cs="仿宋"/>
        </w:rPr>
      </w:pPr>
    </w:p>
    <w:p>
      <w:pPr>
        <w:snapToGrid w:val="0"/>
        <w:spacing w:line="360" w:lineRule="auto"/>
        <w:ind w:firstLine="420" w:firstLineChars="200"/>
        <w:rPr>
          <w:rFonts w:ascii="宋体" w:hAnsi="宋体" w:cs="宋体"/>
          <w:bCs/>
          <w:color w:val="000000"/>
          <w:sz w:val="24"/>
        </w:rPr>
      </w:pPr>
      <w:r>
        <w:rPr>
          <w:rFonts w:hint="eastAsia" w:ascii="仿宋" w:hAnsi="仿宋" w:eastAsia="仿宋" w:cs="仿宋"/>
        </w:rPr>
        <w:t xml:space="preserve"> </w:t>
      </w:r>
      <w:r>
        <w:rPr>
          <w:rFonts w:hint="eastAsia" w:ascii="宋体" w:hAnsi="宋体" w:cs="宋体"/>
          <w:b/>
          <w:bCs/>
          <w:color w:val="000000"/>
          <w:sz w:val="24"/>
        </w:rPr>
        <w:t>一、项目概述</w:t>
      </w:r>
    </w:p>
    <w:p>
      <w:pPr>
        <w:snapToGrid w:val="0"/>
        <w:spacing w:line="360" w:lineRule="auto"/>
        <w:ind w:firstLine="480" w:firstLineChars="200"/>
        <w:jc w:val="left"/>
        <w:rPr>
          <w:rFonts w:ascii="宋体" w:hAnsi="宋体"/>
          <w:bCs/>
          <w:color w:val="000000"/>
          <w:sz w:val="24"/>
        </w:rPr>
      </w:pPr>
      <w:r>
        <w:rPr>
          <w:rFonts w:hint="eastAsia" w:ascii="宋体" w:hAnsi="宋体" w:cs="宋体"/>
          <w:bCs/>
          <w:color w:val="000000"/>
          <w:sz w:val="24"/>
        </w:rPr>
        <w:t>本项目</w:t>
      </w:r>
      <w:r>
        <w:rPr>
          <w:rFonts w:hint="eastAsia" w:ascii="宋体" w:hAnsi="宋体"/>
          <w:bCs/>
          <w:color w:val="000000"/>
          <w:sz w:val="24"/>
        </w:rPr>
        <w:t>采购内容包括采购清单中货物供货、安装调试、培训、质保期内的售后服务等。投标报价包括设备费、安装调试费、售后服务费、培训费、政策性文件规定及合同包含的所有风险、责任等各项全部费用。</w:t>
      </w:r>
    </w:p>
    <w:p>
      <w:pPr>
        <w:spacing w:line="360" w:lineRule="auto"/>
        <w:ind w:firstLine="482" w:firstLineChars="200"/>
        <w:rPr>
          <w:rFonts w:ascii="宋体" w:hAnsi="宋体" w:cs="宋体"/>
          <w:b/>
          <w:bCs/>
          <w:kern w:val="0"/>
          <w:sz w:val="24"/>
        </w:rPr>
      </w:pPr>
      <w:r>
        <w:rPr>
          <w:rFonts w:hint="eastAsia" w:ascii="宋体" w:hAnsi="宋体" w:eastAsia="宋体" w:cs="宋体"/>
          <w:b/>
          <w:bCs/>
          <w:kern w:val="0"/>
          <w:sz w:val="24"/>
        </w:rPr>
        <w:t>▲</w:t>
      </w:r>
      <w:r>
        <w:rPr>
          <w:rFonts w:hint="eastAsia" w:ascii="宋体" w:hAnsi="宋体" w:cs="宋体"/>
          <w:b/>
          <w:bCs/>
          <w:kern w:val="0"/>
          <w:sz w:val="24"/>
        </w:rPr>
        <w:t>本项目核心产</w:t>
      </w:r>
      <w:r>
        <w:rPr>
          <w:rFonts w:hint="eastAsia" w:ascii="宋体" w:hAnsi="宋体" w:cs="宋体"/>
          <w:b/>
          <w:bCs/>
          <w:kern w:val="0"/>
          <w:sz w:val="24"/>
          <w:highlight w:val="none"/>
        </w:rPr>
        <w:t>品</w:t>
      </w:r>
      <w:r>
        <w:rPr>
          <w:rFonts w:hint="eastAsia" w:ascii="宋体" w:hAnsi="宋体" w:cs="宋体"/>
          <w:b/>
          <w:bCs/>
          <w:kern w:val="0"/>
          <w:sz w:val="24"/>
          <w:highlight w:val="none"/>
          <w:lang w:eastAsia="zh-CN"/>
        </w:rPr>
        <w:t>见前附表</w:t>
      </w:r>
      <w:r>
        <w:rPr>
          <w:rFonts w:hint="eastAsia" w:ascii="宋体" w:hAnsi="宋体" w:cs="宋体"/>
          <w:b/>
          <w:bCs/>
          <w:kern w:val="0"/>
          <w:sz w:val="24"/>
          <w:highlight w:val="none"/>
        </w:rPr>
        <w:t>。</w:t>
      </w:r>
      <w:r>
        <w:rPr>
          <w:rFonts w:hint="eastAsia" w:ascii="宋体" w:hAnsi="宋体" w:cs="宋体"/>
          <w:b/>
          <w:bCs/>
          <w:kern w:val="0"/>
          <w:sz w:val="24"/>
        </w:rPr>
        <w:t>若出现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widowControl/>
        <w:numPr>
          <w:ilvl w:val="0"/>
          <w:numId w:val="2"/>
        </w:numPr>
        <w:snapToGrid w:val="0"/>
        <w:spacing w:line="360" w:lineRule="auto"/>
        <w:ind w:firstLine="482" w:firstLineChars="200"/>
        <w:jc w:val="left"/>
        <w:rPr>
          <w:rFonts w:ascii="宋体" w:hAnsi="宋体" w:cs="宋体"/>
          <w:b/>
          <w:bCs/>
          <w:color w:val="000000"/>
          <w:sz w:val="24"/>
        </w:rPr>
      </w:pPr>
      <w:r>
        <w:rPr>
          <w:rFonts w:hint="eastAsia" w:ascii="宋体" w:hAnsi="宋体" w:cs="宋体"/>
          <w:b/>
          <w:bCs/>
          <w:color w:val="000000"/>
          <w:sz w:val="24"/>
        </w:rPr>
        <w:t>采购清单</w:t>
      </w:r>
    </w:p>
    <w:tbl>
      <w:tblPr>
        <w:tblStyle w:val="63"/>
        <w:tblW w:w="8739" w:type="dxa"/>
        <w:jc w:val="center"/>
        <w:tblLayout w:type="fixed"/>
        <w:tblCellMar>
          <w:top w:w="0" w:type="dxa"/>
          <w:left w:w="108" w:type="dxa"/>
          <w:bottom w:w="0" w:type="dxa"/>
          <w:right w:w="108" w:type="dxa"/>
        </w:tblCellMar>
      </w:tblPr>
      <w:tblGrid>
        <w:gridCol w:w="725"/>
        <w:gridCol w:w="1533"/>
        <w:gridCol w:w="1471"/>
        <w:gridCol w:w="2615"/>
        <w:gridCol w:w="670"/>
        <w:gridCol w:w="555"/>
        <w:gridCol w:w="1170"/>
      </w:tblGrid>
      <w:tr>
        <w:trPr>
          <w:trHeight w:val="4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序号</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名称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规格尺寸</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产品配置及技术参数</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单位</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数量</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参考图片</w:t>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一层厨房</w:t>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人流通道</w:t>
            </w:r>
          </w:p>
        </w:tc>
      </w:tr>
      <w:tr>
        <w:tblPrEx>
          <w:tblCellMar>
            <w:top w:w="0" w:type="dxa"/>
            <w:left w:w="108" w:type="dxa"/>
            <w:bottom w:w="0" w:type="dxa"/>
            <w:right w:w="108" w:type="dxa"/>
          </w:tblCellMar>
        </w:tblPrEx>
        <w:trPr>
          <w:trHeight w:val="3116"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风幕机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SIZE：约L=1500mm（最终长度依据现场实际）</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全金属不锈钢外壳和配件，采用全新遥控或控式开关，采用优化电机，性能可靠（中标后，若没有安装条件，相应取消本设备）。</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59264" behindDoc="0" locked="0" layoutInCell="1" allowOverlap="1">
                  <wp:simplePos x="0" y="0"/>
                  <wp:positionH relativeFrom="column">
                    <wp:posOffset>95885</wp:posOffset>
                  </wp:positionH>
                  <wp:positionV relativeFrom="paragraph">
                    <wp:posOffset>75565</wp:posOffset>
                  </wp:positionV>
                  <wp:extent cx="561975" cy="362585"/>
                  <wp:effectExtent l="0" t="0" r="9525" b="18415"/>
                  <wp:wrapNone/>
                  <wp:docPr id="24" name="图片_69"/>
                  <wp:cNvGraphicFramePr/>
                  <a:graphic xmlns:a="http://schemas.openxmlformats.org/drawingml/2006/main">
                    <a:graphicData uri="http://schemas.openxmlformats.org/drawingml/2006/picture">
                      <pic:pic xmlns:pic="http://schemas.openxmlformats.org/drawingml/2006/picture">
                        <pic:nvPicPr>
                          <pic:cNvPr id="24" name="图片_69"/>
                          <pic:cNvPicPr/>
                        </pic:nvPicPr>
                        <pic:blipFill>
                          <a:blip r:embed="rId32"/>
                          <a:stretch>
                            <a:fillRect/>
                          </a:stretch>
                        </pic:blipFill>
                        <pic:spPr>
                          <a:xfrm>
                            <a:off x="0" y="0"/>
                            <a:ext cx="561975" cy="36258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有效范围：约40㎡                                粘虫板规格：230*90mm                       产品功率：8w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60288" behindDoc="0" locked="0" layoutInCell="1" allowOverlap="1">
                  <wp:simplePos x="0" y="0"/>
                  <wp:positionH relativeFrom="column">
                    <wp:posOffset>85725</wp:posOffset>
                  </wp:positionH>
                  <wp:positionV relativeFrom="paragraph">
                    <wp:posOffset>419735</wp:posOffset>
                  </wp:positionV>
                  <wp:extent cx="571500" cy="477520"/>
                  <wp:effectExtent l="0" t="0" r="0" b="17780"/>
                  <wp:wrapNone/>
                  <wp:docPr id="18" name="图片_3"/>
                  <wp:cNvGraphicFramePr/>
                  <a:graphic xmlns:a="http://schemas.openxmlformats.org/drawingml/2006/main">
                    <a:graphicData uri="http://schemas.openxmlformats.org/drawingml/2006/picture">
                      <pic:pic xmlns:pic="http://schemas.openxmlformats.org/drawingml/2006/picture">
                        <pic:nvPicPr>
                          <pic:cNvPr id="18" name="图片_3"/>
                          <pic:cNvPicPr/>
                        </pic:nvPicPr>
                        <pic:blipFill>
                          <a:blip r:embed="rId33"/>
                          <a:stretch>
                            <a:fillRect/>
                          </a:stretch>
                        </pic:blipFill>
                        <pic:spPr>
                          <a:xfrm>
                            <a:off x="0" y="0"/>
                            <a:ext cx="571500" cy="47752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男女更衣</w:t>
            </w:r>
          </w:p>
        </w:tc>
      </w:tr>
      <w:tr>
        <w:tblPrEx>
          <w:tblCellMar>
            <w:top w:w="0" w:type="dxa"/>
            <w:left w:w="108" w:type="dxa"/>
            <w:bottom w:w="0" w:type="dxa"/>
            <w:right w:w="108" w:type="dxa"/>
          </w:tblCellMar>
        </w:tblPrEx>
        <w:trPr>
          <w:trHeight w:val="102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SIZE：400*500*800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61312" behindDoc="0" locked="0" layoutInCell="1" allowOverlap="1">
                  <wp:simplePos x="0" y="0"/>
                  <wp:positionH relativeFrom="column">
                    <wp:posOffset>133350</wp:posOffset>
                  </wp:positionH>
                  <wp:positionV relativeFrom="paragraph">
                    <wp:posOffset>113665</wp:posOffset>
                  </wp:positionV>
                  <wp:extent cx="419100" cy="448310"/>
                  <wp:effectExtent l="0" t="0" r="0" b="8890"/>
                  <wp:wrapNone/>
                  <wp:docPr id="25" name="Picture_114"/>
                  <wp:cNvGraphicFramePr/>
                  <a:graphic xmlns:a="http://schemas.openxmlformats.org/drawingml/2006/main">
                    <a:graphicData uri="http://schemas.openxmlformats.org/drawingml/2006/picture">
                      <pic:pic xmlns:pic="http://schemas.openxmlformats.org/drawingml/2006/picture">
                        <pic:nvPicPr>
                          <pic:cNvPr id="25" name="Picture_114"/>
                          <pic:cNvPicPr/>
                        </pic:nvPicPr>
                        <pic:blipFill>
                          <a:blip r:embed="rId34"/>
                          <a:stretch>
                            <a:fillRect/>
                          </a:stretch>
                        </pic:blipFill>
                        <pic:spPr>
                          <a:xfrm>
                            <a:off x="0" y="0"/>
                            <a:ext cx="419100" cy="44831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89"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外配类产品，                                1.座台式安装，单孔单温，鹅颈水嘴。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3.陶瓷阀芯一字开形手柄；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4.开孔尺寸为25mm，进水接口为1/2"内螺纹；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                                        ◆产品材质铅的含量≤0.22%</w:t>
            </w:r>
            <w:r>
              <w:rPr>
                <w:rFonts w:hint="eastAsia" w:ascii="宋体" w:hAnsi="宋体" w:cs="宋体"/>
                <w:b/>
                <w:bCs/>
                <w:color w:val="000000"/>
                <w:kern w:val="0"/>
                <w:sz w:val="24"/>
                <w:lang w:bidi="ar"/>
              </w:rPr>
              <w:t>并提供相应检测报告复印件。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62336" behindDoc="0" locked="0" layoutInCell="1" allowOverlap="1">
                  <wp:simplePos x="0" y="0"/>
                  <wp:positionH relativeFrom="column">
                    <wp:posOffset>219075</wp:posOffset>
                  </wp:positionH>
                  <wp:positionV relativeFrom="paragraph">
                    <wp:posOffset>765810</wp:posOffset>
                  </wp:positionV>
                  <wp:extent cx="314325" cy="523240"/>
                  <wp:effectExtent l="0" t="0" r="9525" b="10160"/>
                  <wp:wrapNone/>
                  <wp:docPr id="26" name="图片_32"/>
                  <wp:cNvGraphicFramePr/>
                  <a:graphic xmlns:a="http://schemas.openxmlformats.org/drawingml/2006/main">
                    <a:graphicData uri="http://schemas.openxmlformats.org/drawingml/2006/picture">
                      <pic:pic xmlns:pic="http://schemas.openxmlformats.org/drawingml/2006/picture">
                        <pic:nvPicPr>
                          <pic:cNvPr id="26" name="图片_32"/>
                          <pic:cNvPicPr/>
                        </pic:nvPicPr>
                        <pic:blipFill>
                          <a:blip r:embed="rId35"/>
                          <a:stretch>
                            <a:fillRect/>
                          </a:stretch>
                        </pic:blipFill>
                        <pic:spPr>
                          <a:xfrm>
                            <a:off x="0" y="0"/>
                            <a:ext cx="314325" cy="52324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不锈钢更衣柜</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SIZE：约1050*400*1800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说明：采用304不锈钢板制造，侧板、门板厚δ＝0.8mm；</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六门，每扇门独立配锁。（最终尺寸按现场实际空间实量为准）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63360" behindDoc="0" locked="0" layoutInCell="1" allowOverlap="1">
                  <wp:simplePos x="0" y="0"/>
                  <wp:positionH relativeFrom="column">
                    <wp:posOffset>171450</wp:posOffset>
                  </wp:positionH>
                  <wp:positionV relativeFrom="paragraph">
                    <wp:posOffset>66675</wp:posOffset>
                  </wp:positionV>
                  <wp:extent cx="352425" cy="428625"/>
                  <wp:effectExtent l="0" t="0" r="9525" b="9525"/>
                  <wp:wrapNone/>
                  <wp:docPr id="37" name="图片_4"/>
                  <wp:cNvGraphicFramePr/>
                  <a:graphic xmlns:a="http://schemas.openxmlformats.org/drawingml/2006/main">
                    <a:graphicData uri="http://schemas.openxmlformats.org/drawingml/2006/picture">
                      <pic:pic xmlns:pic="http://schemas.openxmlformats.org/drawingml/2006/picture">
                        <pic:nvPicPr>
                          <pic:cNvPr id="37" name="图片_4"/>
                          <pic:cNvPicPr/>
                        </pic:nvPicPr>
                        <pic:blipFill>
                          <a:blip r:embed="rId36"/>
                          <a:stretch>
                            <a:fillRect/>
                          </a:stretch>
                        </pic:blipFill>
                        <pic:spPr>
                          <a:xfrm>
                            <a:off x="0" y="0"/>
                            <a:ext cx="352425" cy="4286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副食库</w:t>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四层板架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选用SUS304不锈钢制作，搁板采用约0.8mm不锈钢板并配加强筋，配置不锈钢可调脚，不锈钢封口盖加厚型圆管制作；平板型。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64384" behindDoc="0" locked="0" layoutInCell="1" allowOverlap="1">
                  <wp:simplePos x="0" y="0"/>
                  <wp:positionH relativeFrom="column">
                    <wp:posOffset>180975</wp:posOffset>
                  </wp:positionH>
                  <wp:positionV relativeFrom="paragraph">
                    <wp:posOffset>76200</wp:posOffset>
                  </wp:positionV>
                  <wp:extent cx="370840" cy="437515"/>
                  <wp:effectExtent l="0" t="0" r="10160" b="635"/>
                  <wp:wrapNone/>
                  <wp:docPr id="38" name="图片_97"/>
                  <wp:cNvGraphicFramePr/>
                  <a:graphic xmlns:a="http://schemas.openxmlformats.org/drawingml/2006/main">
                    <a:graphicData uri="http://schemas.openxmlformats.org/drawingml/2006/picture">
                      <pic:pic xmlns:pic="http://schemas.openxmlformats.org/drawingml/2006/picture">
                        <pic:nvPicPr>
                          <pic:cNvPr id="38" name="图片_97"/>
                          <pic:cNvPicPr/>
                        </pic:nvPicPr>
                        <pic:blipFill>
                          <a:blip r:embed="rId37"/>
                          <a:stretch>
                            <a:fillRect/>
                          </a:stretch>
                        </pic:blipFill>
                        <pic:spPr>
                          <a:xfrm>
                            <a:off x="0" y="0"/>
                            <a:ext cx="370840" cy="4375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档鼠板</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SIZE：约L=1100*600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kern w:val="0"/>
                <w:sz w:val="24"/>
                <w:lang w:bidi="ar"/>
              </w:rPr>
            </w:pPr>
            <w:r>
              <w:rPr>
                <w:rFonts w:hint="eastAsia" w:ascii="宋体" w:hAnsi="宋体" w:cs="宋体"/>
                <w:color w:val="000000"/>
                <w:kern w:val="0"/>
                <w:sz w:val="24"/>
                <w:lang w:bidi="ar"/>
              </w:rPr>
              <w:t>选用304不锈钢板制造，面板厚约0.8mm。四边折边工艺；</w:t>
            </w:r>
          </w:p>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注：最终尺寸按实订制；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块</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65408" behindDoc="0" locked="0" layoutInCell="1" allowOverlap="1">
                  <wp:simplePos x="0" y="0"/>
                  <wp:positionH relativeFrom="column">
                    <wp:posOffset>161925</wp:posOffset>
                  </wp:positionH>
                  <wp:positionV relativeFrom="paragraph">
                    <wp:posOffset>67310</wp:posOffset>
                  </wp:positionV>
                  <wp:extent cx="438150" cy="352425"/>
                  <wp:effectExtent l="0" t="0" r="0" b="9525"/>
                  <wp:wrapNone/>
                  <wp:docPr id="39" name="图片_221"/>
                  <wp:cNvGraphicFramePr/>
                  <a:graphic xmlns:a="http://schemas.openxmlformats.org/drawingml/2006/main">
                    <a:graphicData uri="http://schemas.openxmlformats.org/drawingml/2006/picture">
                      <pic:pic xmlns:pic="http://schemas.openxmlformats.org/drawingml/2006/picture">
                        <pic:nvPicPr>
                          <pic:cNvPr id="39" name="图片_221"/>
                          <pic:cNvPicPr/>
                        </pic:nvPicPr>
                        <pic:blipFill>
                          <a:blip r:embed="rId38"/>
                          <a:stretch>
                            <a:fillRect/>
                          </a:stretch>
                        </pic:blipFill>
                        <pic:spPr>
                          <a:xfrm>
                            <a:off x="0" y="0"/>
                            <a:ext cx="438150" cy="3524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66432" behindDoc="0" locked="0" layoutInCell="1" allowOverlap="1">
                  <wp:simplePos x="0" y="0"/>
                  <wp:positionH relativeFrom="column">
                    <wp:posOffset>114300</wp:posOffset>
                  </wp:positionH>
                  <wp:positionV relativeFrom="paragraph">
                    <wp:posOffset>522605</wp:posOffset>
                  </wp:positionV>
                  <wp:extent cx="505460" cy="401320"/>
                  <wp:effectExtent l="0" t="0" r="8890" b="17780"/>
                  <wp:wrapNone/>
                  <wp:docPr id="40" name="图片_3_SpCnt_1"/>
                  <wp:cNvGraphicFramePr/>
                  <a:graphic xmlns:a="http://schemas.openxmlformats.org/drawingml/2006/main">
                    <a:graphicData uri="http://schemas.openxmlformats.org/drawingml/2006/picture">
                      <pic:pic xmlns:pic="http://schemas.openxmlformats.org/drawingml/2006/picture">
                        <pic:nvPicPr>
                          <pic:cNvPr id="40" name="图片_3_SpCnt_1"/>
                          <pic:cNvPicPr/>
                        </pic:nvPicPr>
                        <pic:blipFill>
                          <a:blip r:embed="rId39"/>
                          <a:stretch>
                            <a:fillRect/>
                          </a:stretch>
                        </pic:blipFill>
                        <pic:spPr>
                          <a:xfrm>
                            <a:off x="0" y="0"/>
                            <a:ext cx="505460" cy="40132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调料库</w:t>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四层板架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选用SUS304不锈钢制作，搁板采用约0.8mm不锈钢板并配加强筋，配置不锈钢可调脚，不锈钢封口盖加厚型圆管制作；平板型。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67456" behindDoc="0" locked="0" layoutInCell="1" allowOverlap="1">
                  <wp:simplePos x="0" y="0"/>
                  <wp:positionH relativeFrom="column">
                    <wp:posOffset>190500</wp:posOffset>
                  </wp:positionH>
                  <wp:positionV relativeFrom="paragraph">
                    <wp:posOffset>46990</wp:posOffset>
                  </wp:positionV>
                  <wp:extent cx="361950" cy="457835"/>
                  <wp:effectExtent l="0" t="0" r="0" b="18415"/>
                  <wp:wrapNone/>
                  <wp:docPr id="41" name="图片_97_SpCnt_1"/>
                  <wp:cNvGraphicFramePr/>
                  <a:graphic xmlns:a="http://schemas.openxmlformats.org/drawingml/2006/main">
                    <a:graphicData uri="http://schemas.openxmlformats.org/drawingml/2006/picture">
                      <pic:pic xmlns:pic="http://schemas.openxmlformats.org/drawingml/2006/picture">
                        <pic:nvPicPr>
                          <pic:cNvPr id="41" name="图片_97_SpCnt_1"/>
                          <pic:cNvPicPr/>
                        </pic:nvPicPr>
                        <pic:blipFill>
                          <a:blip r:embed="rId40"/>
                          <a:stretch>
                            <a:fillRect/>
                          </a:stretch>
                        </pic:blipFill>
                        <pic:spPr>
                          <a:xfrm>
                            <a:off x="0" y="0"/>
                            <a:ext cx="361950" cy="4578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四层货架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选用SUS304不锈钢制作，搁档采用约0.8mm不锈钢复边成条状，配置不锈钢可调脚，不锈钢封口盖加厚型圆管制作；格栅型。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68480" behindDoc="0" locked="0" layoutInCell="1" allowOverlap="1">
                  <wp:simplePos x="0" y="0"/>
                  <wp:positionH relativeFrom="column">
                    <wp:posOffset>180975</wp:posOffset>
                  </wp:positionH>
                  <wp:positionV relativeFrom="paragraph">
                    <wp:posOffset>95885</wp:posOffset>
                  </wp:positionV>
                  <wp:extent cx="351790" cy="428625"/>
                  <wp:effectExtent l="0" t="0" r="10160" b="9525"/>
                  <wp:wrapNone/>
                  <wp:docPr id="42" name="Picture_1"/>
                  <wp:cNvGraphicFramePr/>
                  <a:graphic xmlns:a="http://schemas.openxmlformats.org/drawingml/2006/main">
                    <a:graphicData uri="http://schemas.openxmlformats.org/drawingml/2006/picture">
                      <pic:pic xmlns:pic="http://schemas.openxmlformats.org/drawingml/2006/picture">
                        <pic:nvPicPr>
                          <pic:cNvPr id="42" name="Picture_1"/>
                          <pic:cNvPicPr/>
                        </pic:nvPicPr>
                        <pic:blipFill>
                          <a:blip r:embed="rId41"/>
                          <a:stretch>
                            <a:fillRect/>
                          </a:stretch>
                        </pic:blipFill>
                        <pic:spPr>
                          <a:xfrm>
                            <a:off x="0" y="0"/>
                            <a:ext cx="351790" cy="4286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档鼠板</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SIZE：约L=1100*600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选用304不锈钢板制造，面板厚约0.8mm。四边折边工艺；注：最终尺寸按实订制；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块</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69504" behindDoc="0" locked="0" layoutInCell="1" allowOverlap="1">
                  <wp:simplePos x="0" y="0"/>
                  <wp:positionH relativeFrom="column">
                    <wp:posOffset>123190</wp:posOffset>
                  </wp:positionH>
                  <wp:positionV relativeFrom="paragraph">
                    <wp:posOffset>123825</wp:posOffset>
                  </wp:positionV>
                  <wp:extent cx="457200" cy="361950"/>
                  <wp:effectExtent l="0" t="0" r="0" b="0"/>
                  <wp:wrapNone/>
                  <wp:docPr id="43" name="图片_221_SpCnt_1"/>
                  <wp:cNvGraphicFramePr/>
                  <a:graphic xmlns:a="http://schemas.openxmlformats.org/drawingml/2006/main">
                    <a:graphicData uri="http://schemas.openxmlformats.org/drawingml/2006/picture">
                      <pic:pic xmlns:pic="http://schemas.openxmlformats.org/drawingml/2006/picture">
                        <pic:nvPicPr>
                          <pic:cNvPr id="43" name="图片_221_SpCnt_1"/>
                          <pic:cNvPicPr/>
                        </pic:nvPicPr>
                        <pic:blipFill>
                          <a:blip r:embed="rId42"/>
                          <a:stretch>
                            <a:fillRect/>
                          </a:stretch>
                        </pic:blipFill>
                        <pic:spPr>
                          <a:xfrm>
                            <a:off x="0" y="0"/>
                            <a:ext cx="457200" cy="3619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70528" behindDoc="0" locked="0" layoutInCell="1" allowOverlap="1">
                  <wp:simplePos x="0" y="0"/>
                  <wp:positionH relativeFrom="column">
                    <wp:posOffset>85725</wp:posOffset>
                  </wp:positionH>
                  <wp:positionV relativeFrom="paragraph">
                    <wp:posOffset>522605</wp:posOffset>
                  </wp:positionV>
                  <wp:extent cx="523875" cy="410845"/>
                  <wp:effectExtent l="0" t="0" r="9525" b="8255"/>
                  <wp:wrapNone/>
                  <wp:docPr id="44" name="图片_3_SpCnt_2"/>
                  <wp:cNvGraphicFramePr/>
                  <a:graphic xmlns:a="http://schemas.openxmlformats.org/drawingml/2006/main">
                    <a:graphicData uri="http://schemas.openxmlformats.org/drawingml/2006/picture">
                      <pic:pic xmlns:pic="http://schemas.openxmlformats.org/drawingml/2006/picture">
                        <pic:nvPicPr>
                          <pic:cNvPr id="44" name="图片_3_SpCnt_2"/>
                          <pic:cNvPicPr/>
                        </pic:nvPicPr>
                        <pic:blipFill>
                          <a:blip r:embed="rId43"/>
                          <a:stretch>
                            <a:fillRect/>
                          </a:stretch>
                        </pic:blipFill>
                        <pic:spPr>
                          <a:xfrm>
                            <a:off x="0" y="0"/>
                            <a:ext cx="523875" cy="41084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spacing w:line="360" w:lineRule="auto"/>
              <w:jc w:val="center"/>
              <w:rPr>
                <w:rFonts w:ascii="宋体" w:hAnsi="宋体" w:cs="宋体"/>
                <w:color w:val="000000"/>
                <w:sz w:val="24"/>
              </w:rPr>
            </w:pPr>
          </w:p>
        </w:tc>
        <w:tc>
          <w:tcPr>
            <w:tcW w:w="8014" w:type="dxa"/>
            <w:gridSpan w:val="6"/>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主食库</w:t>
            </w:r>
          </w:p>
        </w:tc>
      </w:tr>
      <w:tr>
        <w:tblPrEx>
          <w:tblCellMar>
            <w:top w:w="0" w:type="dxa"/>
            <w:left w:w="108" w:type="dxa"/>
            <w:bottom w:w="0" w:type="dxa"/>
            <w:right w:w="108" w:type="dxa"/>
          </w:tblCellMar>
        </w:tblPrEx>
        <w:trPr>
          <w:trHeight w:val="693"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低搁架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SIZE：1200*500*250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选用SUS304不锈钢板制作，骨架采用约0.8mm加厚型不锈钢方管制作；格栅型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71552" behindDoc="0" locked="0" layoutInCell="1" allowOverlap="1">
                  <wp:simplePos x="0" y="0"/>
                  <wp:positionH relativeFrom="column">
                    <wp:posOffset>76200</wp:posOffset>
                  </wp:positionH>
                  <wp:positionV relativeFrom="paragraph">
                    <wp:posOffset>304800</wp:posOffset>
                  </wp:positionV>
                  <wp:extent cx="533400" cy="382905"/>
                  <wp:effectExtent l="0" t="0" r="0" b="17145"/>
                  <wp:wrapNone/>
                  <wp:docPr id="45" name="Picture_125"/>
                  <wp:cNvGraphicFramePr/>
                  <a:graphic xmlns:a="http://schemas.openxmlformats.org/drawingml/2006/main">
                    <a:graphicData uri="http://schemas.openxmlformats.org/drawingml/2006/picture">
                      <pic:pic xmlns:pic="http://schemas.openxmlformats.org/drawingml/2006/picture">
                        <pic:nvPicPr>
                          <pic:cNvPr id="45" name="Picture_125"/>
                          <pic:cNvPicPr/>
                        </pic:nvPicPr>
                        <pic:blipFill>
                          <a:blip r:embed="rId44"/>
                          <a:stretch>
                            <a:fillRect/>
                          </a:stretch>
                        </pic:blipFill>
                        <pic:spPr>
                          <a:xfrm>
                            <a:off x="0" y="0"/>
                            <a:ext cx="533400" cy="38290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5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档鼠板</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SIZE：约L=1100*600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选用304不锈钢板制造，面板厚约0.8mm。四边折边工艺；注：最终尺寸按实订制；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块</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72576" behindDoc="0" locked="0" layoutInCell="1" allowOverlap="1">
                  <wp:simplePos x="0" y="0"/>
                  <wp:positionH relativeFrom="column">
                    <wp:posOffset>104775</wp:posOffset>
                  </wp:positionH>
                  <wp:positionV relativeFrom="paragraph">
                    <wp:posOffset>76200</wp:posOffset>
                  </wp:positionV>
                  <wp:extent cx="456565" cy="381635"/>
                  <wp:effectExtent l="0" t="0" r="635" b="18415"/>
                  <wp:wrapNone/>
                  <wp:docPr id="46" name="图片_221_SpCnt_2"/>
                  <wp:cNvGraphicFramePr/>
                  <a:graphic xmlns:a="http://schemas.openxmlformats.org/drawingml/2006/main">
                    <a:graphicData uri="http://schemas.openxmlformats.org/drawingml/2006/picture">
                      <pic:pic xmlns:pic="http://schemas.openxmlformats.org/drawingml/2006/picture">
                        <pic:nvPicPr>
                          <pic:cNvPr id="46" name="图片_221_SpCnt_2"/>
                          <pic:cNvPicPr/>
                        </pic:nvPicPr>
                        <pic:blipFill>
                          <a:blip r:embed="rId45"/>
                          <a:stretch>
                            <a:fillRect/>
                          </a:stretch>
                        </pic:blipFill>
                        <pic:spPr>
                          <a:xfrm>
                            <a:off x="0" y="0"/>
                            <a:ext cx="456565" cy="3816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73600" behindDoc="0" locked="0" layoutInCell="1" allowOverlap="1">
                  <wp:simplePos x="0" y="0"/>
                  <wp:positionH relativeFrom="column">
                    <wp:posOffset>95885</wp:posOffset>
                  </wp:positionH>
                  <wp:positionV relativeFrom="paragraph">
                    <wp:posOffset>495300</wp:posOffset>
                  </wp:positionV>
                  <wp:extent cx="495300" cy="388620"/>
                  <wp:effectExtent l="0" t="0" r="0" b="11430"/>
                  <wp:wrapNone/>
                  <wp:docPr id="47" name="图片_3_SpCnt_3"/>
                  <wp:cNvGraphicFramePr/>
                  <a:graphic xmlns:a="http://schemas.openxmlformats.org/drawingml/2006/main">
                    <a:graphicData uri="http://schemas.openxmlformats.org/drawingml/2006/picture">
                      <pic:pic xmlns:pic="http://schemas.openxmlformats.org/drawingml/2006/picture">
                        <pic:nvPicPr>
                          <pic:cNvPr id="47" name="图片_3_SpCnt_3"/>
                          <pic:cNvPicPr/>
                        </pic:nvPicPr>
                        <pic:blipFill>
                          <a:blip r:embed="rId46"/>
                          <a:stretch>
                            <a:fillRect/>
                          </a:stretch>
                        </pic:blipFill>
                        <pic:spPr>
                          <a:xfrm>
                            <a:off x="0" y="0"/>
                            <a:ext cx="495300" cy="38862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spacing w:line="360" w:lineRule="auto"/>
              <w:jc w:val="center"/>
              <w:rPr>
                <w:rFonts w:ascii="宋体" w:hAnsi="宋体" w:cs="宋体"/>
                <w:color w:val="000000"/>
                <w:sz w:val="24"/>
              </w:rPr>
            </w:pPr>
          </w:p>
        </w:tc>
        <w:tc>
          <w:tcPr>
            <w:tcW w:w="8014" w:type="dxa"/>
            <w:gridSpan w:val="6"/>
            <w:tcBorders>
              <w:top w:val="single" w:color="000000" w:sz="4" w:space="0"/>
              <w:left w:val="nil"/>
              <w:bottom w:val="single" w:color="000000" w:sz="4" w:space="0"/>
              <w:right w:val="single" w:color="000000" w:sz="4" w:space="0"/>
            </w:tcBorders>
            <w:shd w:val="clear" w:color="auto" w:fill="auto"/>
            <w:vAlign w:val="center"/>
          </w:tcPr>
          <w:p>
            <w:pPr>
              <w:spacing w:line="360" w:lineRule="auto"/>
              <w:ind w:firstLine="3600" w:firstLineChars="1500"/>
              <w:jc w:val="both"/>
              <w:rPr>
                <w:rFonts w:ascii="宋体" w:hAnsi="宋体" w:cs="宋体"/>
                <w:color w:val="000000"/>
                <w:sz w:val="24"/>
              </w:rPr>
            </w:pPr>
            <w:r>
              <w:rPr>
                <w:rFonts w:hint="eastAsia" w:ascii="宋体" w:hAnsi="宋体" w:cs="宋体"/>
                <w:color w:val="000000"/>
                <w:kern w:val="0"/>
                <w:sz w:val="24"/>
                <w:lang w:bidi="ar"/>
              </w:rPr>
              <w:t>加工</w:t>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SIZE：500*500*800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74624" behindDoc="0" locked="0" layoutInCell="1" allowOverlap="1">
                  <wp:simplePos x="0" y="0"/>
                  <wp:positionH relativeFrom="column">
                    <wp:posOffset>152400</wp:posOffset>
                  </wp:positionH>
                  <wp:positionV relativeFrom="paragraph">
                    <wp:posOffset>76200</wp:posOffset>
                  </wp:positionV>
                  <wp:extent cx="408940" cy="408305"/>
                  <wp:effectExtent l="0" t="0" r="10160" b="10795"/>
                  <wp:wrapNone/>
                  <wp:docPr id="48" name="Picture_114_SpCnt_1"/>
                  <wp:cNvGraphicFramePr/>
                  <a:graphic xmlns:a="http://schemas.openxmlformats.org/drawingml/2006/main">
                    <a:graphicData uri="http://schemas.openxmlformats.org/drawingml/2006/picture">
                      <pic:pic xmlns:pic="http://schemas.openxmlformats.org/drawingml/2006/picture">
                        <pic:nvPicPr>
                          <pic:cNvPr id="48" name="Picture_114_SpCnt_1"/>
                          <pic:cNvPicPr/>
                        </pic:nvPicPr>
                        <pic:blipFill>
                          <a:blip r:embed="rId47"/>
                          <a:stretch>
                            <a:fillRect/>
                          </a:stretch>
                        </pic:blipFill>
                        <pic:spPr>
                          <a:xfrm>
                            <a:off x="0" y="0"/>
                            <a:ext cx="408940" cy="40830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15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1.座台式安装，单孔单温，鹅颈水嘴。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3.陶瓷阀芯一字开形手柄；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4.开孔尺寸为25mm，进水接口为1/2"内螺纹。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                                          ◆产品材质铅的含量≤0.22%并提供相应检测报告复印件。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75648" behindDoc="0" locked="0" layoutInCell="1" allowOverlap="1">
                  <wp:simplePos x="0" y="0"/>
                  <wp:positionH relativeFrom="column">
                    <wp:posOffset>200025</wp:posOffset>
                  </wp:positionH>
                  <wp:positionV relativeFrom="paragraph">
                    <wp:posOffset>812800</wp:posOffset>
                  </wp:positionV>
                  <wp:extent cx="314960" cy="523240"/>
                  <wp:effectExtent l="0" t="0" r="8890" b="10160"/>
                  <wp:wrapNone/>
                  <wp:docPr id="49" name="图片_32_SpCnt_1"/>
                  <wp:cNvGraphicFramePr/>
                  <a:graphic xmlns:a="http://schemas.openxmlformats.org/drawingml/2006/main">
                    <a:graphicData uri="http://schemas.openxmlformats.org/drawingml/2006/picture">
                      <pic:pic xmlns:pic="http://schemas.openxmlformats.org/drawingml/2006/picture">
                        <pic:nvPicPr>
                          <pic:cNvPr id="49" name="图片_32_SpCnt_1"/>
                          <pic:cNvPicPr/>
                        </pic:nvPicPr>
                        <pic:blipFill>
                          <a:blip r:embed="rId48"/>
                          <a:stretch>
                            <a:fillRect/>
                          </a:stretch>
                        </pic:blipFill>
                        <pic:spPr>
                          <a:xfrm>
                            <a:off x="0" y="0"/>
                            <a:ext cx="314960" cy="52324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02"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单开门操作台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SIZE：1700*700*800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选用SUS304不锈钢板制作（包括加强档、筋），台面用衬板加强，台面板厚1.0mm，内置一层搁板，一面配有上挂式双移门，配不锈钢可调脚。（最终规格按现场空间实量为准）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76672" behindDoc="0" locked="0" layoutInCell="1" allowOverlap="1">
                  <wp:simplePos x="0" y="0"/>
                  <wp:positionH relativeFrom="column">
                    <wp:posOffset>66675</wp:posOffset>
                  </wp:positionH>
                  <wp:positionV relativeFrom="paragraph">
                    <wp:posOffset>181610</wp:posOffset>
                  </wp:positionV>
                  <wp:extent cx="562610" cy="382270"/>
                  <wp:effectExtent l="0" t="0" r="8890" b="17780"/>
                  <wp:wrapNone/>
                  <wp:docPr id="50" name="Picture_360"/>
                  <wp:cNvGraphicFramePr/>
                  <a:graphic xmlns:a="http://schemas.openxmlformats.org/drawingml/2006/main">
                    <a:graphicData uri="http://schemas.openxmlformats.org/drawingml/2006/picture">
                      <pic:pic xmlns:pic="http://schemas.openxmlformats.org/drawingml/2006/picture">
                        <pic:nvPicPr>
                          <pic:cNvPr id="50" name="Picture_360"/>
                          <pic:cNvPicPr/>
                        </pic:nvPicPr>
                        <pic:blipFill>
                          <a:blip r:embed="rId49"/>
                          <a:stretch>
                            <a:fillRect/>
                          </a:stretch>
                        </pic:blipFill>
                        <pic:spPr>
                          <a:xfrm>
                            <a:off x="0" y="0"/>
                            <a:ext cx="562610" cy="38227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85"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低搁架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SIZE：1200*500*250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选用SUS304不锈钢板制作，骨架采用约0.8mm加厚型不锈钢方管制作；格栅型。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77696" behindDoc="0" locked="0" layoutInCell="1" allowOverlap="1">
                  <wp:simplePos x="0" y="0"/>
                  <wp:positionH relativeFrom="column">
                    <wp:posOffset>85725</wp:posOffset>
                  </wp:positionH>
                  <wp:positionV relativeFrom="paragraph">
                    <wp:posOffset>85725</wp:posOffset>
                  </wp:positionV>
                  <wp:extent cx="562610" cy="390525"/>
                  <wp:effectExtent l="0" t="0" r="8890" b="9525"/>
                  <wp:wrapNone/>
                  <wp:docPr id="51" name="Picture_125_SpCnt_1"/>
                  <wp:cNvGraphicFramePr/>
                  <a:graphic xmlns:a="http://schemas.openxmlformats.org/drawingml/2006/main">
                    <a:graphicData uri="http://schemas.openxmlformats.org/drawingml/2006/picture">
                      <pic:pic xmlns:pic="http://schemas.openxmlformats.org/drawingml/2006/picture">
                        <pic:nvPicPr>
                          <pic:cNvPr id="51" name="Picture_125_SpCnt_1"/>
                          <pic:cNvPicPr/>
                        </pic:nvPicPr>
                        <pic:blipFill>
                          <a:blip r:embed="rId50"/>
                          <a:stretch>
                            <a:fillRect/>
                          </a:stretch>
                        </pic:blipFill>
                        <pic:spPr>
                          <a:xfrm>
                            <a:off x="0" y="0"/>
                            <a:ext cx="562610" cy="3905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电子秤</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SIZE：200KG</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台面尺寸：400*500mm                                  说明：LED大屏高清显示，不同光线都适用，强光下也能清晰读数；高精度传感器；定数警示功能；低消耗设计。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78720" behindDoc="0" locked="0" layoutInCell="1" allowOverlap="1">
                  <wp:simplePos x="0" y="0"/>
                  <wp:positionH relativeFrom="column">
                    <wp:posOffset>104775</wp:posOffset>
                  </wp:positionH>
                  <wp:positionV relativeFrom="paragraph">
                    <wp:posOffset>181610</wp:posOffset>
                  </wp:positionV>
                  <wp:extent cx="513715" cy="476885"/>
                  <wp:effectExtent l="0" t="0" r="635" b="18415"/>
                  <wp:wrapNone/>
                  <wp:docPr id="52" name="图片_22"/>
                  <wp:cNvGraphicFramePr/>
                  <a:graphic xmlns:a="http://schemas.openxmlformats.org/drawingml/2006/main">
                    <a:graphicData uri="http://schemas.openxmlformats.org/drawingml/2006/picture">
                      <pic:pic xmlns:pic="http://schemas.openxmlformats.org/drawingml/2006/picture">
                        <pic:nvPicPr>
                          <pic:cNvPr id="52" name="图片_22"/>
                          <pic:cNvPicPr/>
                        </pic:nvPicPr>
                        <pic:blipFill>
                          <a:blip r:embed="rId51"/>
                          <a:stretch>
                            <a:fillRect/>
                          </a:stretch>
                        </pic:blipFill>
                        <pic:spPr>
                          <a:xfrm>
                            <a:off x="0" y="0"/>
                            <a:ext cx="513715" cy="47688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spacing w:line="360" w:lineRule="auto"/>
              <w:jc w:val="center"/>
              <w:rPr>
                <w:rFonts w:ascii="宋体" w:hAnsi="宋体" w:cs="宋体"/>
                <w:color w:val="000000"/>
                <w:sz w:val="24"/>
              </w:rPr>
            </w:pPr>
          </w:p>
        </w:tc>
        <w:tc>
          <w:tcPr>
            <w:tcW w:w="8014" w:type="dxa"/>
            <w:gridSpan w:val="6"/>
            <w:tcBorders>
              <w:top w:val="single" w:color="000000" w:sz="4" w:space="0"/>
              <w:left w:val="nil"/>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粗加工</w:t>
            </w:r>
          </w:p>
        </w:tc>
      </w:tr>
      <w:tr>
        <w:tblPrEx>
          <w:tblCellMar>
            <w:top w:w="0" w:type="dxa"/>
            <w:left w:w="108" w:type="dxa"/>
            <w:bottom w:w="0" w:type="dxa"/>
            <w:right w:w="108" w:type="dxa"/>
          </w:tblCellMar>
        </w:tblPrEx>
        <w:trPr>
          <w:trHeight w:val="1575"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电热开水器</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SIZE：容量约100L</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整机采用不锈钢打造；内胆简洁大方易清洁；紫铜加热管耐高温、耐腐蚀；设有内胆水位口防止水位过高溢出，满水自停；设有冷热水挡板减少阴阳水；磁吸缺水断电防干烧；可视化温度计；黄铜水龙头。</w:t>
            </w:r>
          </w:p>
        </w:tc>
        <w:tc>
          <w:tcPr>
            <w:tcW w:w="6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79744" behindDoc="0" locked="0" layoutInCell="1" allowOverlap="1">
                  <wp:simplePos x="0" y="0"/>
                  <wp:positionH relativeFrom="column">
                    <wp:posOffset>161925</wp:posOffset>
                  </wp:positionH>
                  <wp:positionV relativeFrom="paragraph">
                    <wp:posOffset>324485</wp:posOffset>
                  </wp:positionV>
                  <wp:extent cx="390525" cy="515620"/>
                  <wp:effectExtent l="0" t="0" r="9525" b="17780"/>
                  <wp:wrapNone/>
                  <wp:docPr id="53" name="Picture_186"/>
                  <wp:cNvGraphicFramePr/>
                  <a:graphic xmlns:a="http://schemas.openxmlformats.org/drawingml/2006/main">
                    <a:graphicData uri="http://schemas.openxmlformats.org/drawingml/2006/picture">
                      <pic:pic xmlns:pic="http://schemas.openxmlformats.org/drawingml/2006/picture">
                        <pic:nvPicPr>
                          <pic:cNvPr id="53" name="Picture_186"/>
                          <pic:cNvPicPr/>
                        </pic:nvPicPr>
                        <pic:blipFill>
                          <a:blip r:embed="rId52"/>
                          <a:stretch>
                            <a:fillRect/>
                          </a:stretch>
                        </pic:blipFill>
                        <pic:spPr>
                          <a:xfrm>
                            <a:off x="0" y="0"/>
                            <a:ext cx="390525" cy="51562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1a</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开水器底座</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SIZE：适配开水器</w:t>
            </w:r>
          </w:p>
        </w:tc>
        <w:tc>
          <w:tcPr>
            <w:tcW w:w="261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选用SUS304-2B不锈钢板制作，台板厚0.8mm；支架、通脚、可调脚为Φ38不锈钢管，管壁厚1.0mm，配置不锈钢可调脚；</w:t>
            </w:r>
          </w:p>
        </w:tc>
        <w:tc>
          <w:tcPr>
            <w:tcW w:w="6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80768" behindDoc="0" locked="0" layoutInCell="1" allowOverlap="1">
                  <wp:simplePos x="0" y="0"/>
                  <wp:positionH relativeFrom="column">
                    <wp:posOffset>152400</wp:posOffset>
                  </wp:positionH>
                  <wp:positionV relativeFrom="paragraph">
                    <wp:posOffset>76200</wp:posOffset>
                  </wp:positionV>
                  <wp:extent cx="390525" cy="419100"/>
                  <wp:effectExtent l="0" t="0" r="9525" b="0"/>
                  <wp:wrapNone/>
                  <wp:docPr id="54" name="图片_48"/>
                  <wp:cNvGraphicFramePr/>
                  <a:graphic xmlns:a="http://schemas.openxmlformats.org/drawingml/2006/main">
                    <a:graphicData uri="http://schemas.openxmlformats.org/drawingml/2006/picture">
                      <pic:pic xmlns:pic="http://schemas.openxmlformats.org/drawingml/2006/picture">
                        <pic:nvPicPr>
                          <pic:cNvPr id="54" name="图片_48"/>
                          <pic:cNvPicPr/>
                        </pic:nvPicPr>
                        <pic:blipFill>
                          <a:blip r:embed="rId53"/>
                          <a:stretch>
                            <a:fillRect/>
                          </a:stretch>
                        </pic:blipFill>
                        <pic:spPr>
                          <a:xfrm>
                            <a:off x="0" y="0"/>
                            <a:ext cx="390525" cy="4191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四层货架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选用SUS304不锈钢制作，搁档采用约0.8mm不锈钢复边成条状，配置不锈钢可调脚，不锈钢封口盖加厚型圆管制作；格栅型。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81792" behindDoc="0" locked="0" layoutInCell="1" allowOverlap="1">
                  <wp:simplePos x="0" y="0"/>
                  <wp:positionH relativeFrom="column">
                    <wp:posOffset>161925</wp:posOffset>
                  </wp:positionH>
                  <wp:positionV relativeFrom="paragraph">
                    <wp:posOffset>66675</wp:posOffset>
                  </wp:positionV>
                  <wp:extent cx="399415" cy="457835"/>
                  <wp:effectExtent l="0" t="0" r="635" b="18415"/>
                  <wp:wrapNone/>
                  <wp:docPr id="55" name="Picture_1_SpCnt_1"/>
                  <wp:cNvGraphicFramePr/>
                  <a:graphic xmlns:a="http://schemas.openxmlformats.org/drawingml/2006/main">
                    <a:graphicData uri="http://schemas.openxmlformats.org/drawingml/2006/picture">
                      <pic:pic xmlns:pic="http://schemas.openxmlformats.org/drawingml/2006/picture">
                        <pic:nvPicPr>
                          <pic:cNvPr id="55" name="Picture_1_SpCnt_1"/>
                          <pic:cNvPicPr/>
                        </pic:nvPicPr>
                        <pic:blipFill>
                          <a:blip r:embed="rId54"/>
                          <a:stretch>
                            <a:fillRect/>
                          </a:stretch>
                        </pic:blipFill>
                        <pic:spPr>
                          <a:xfrm>
                            <a:off x="0" y="0"/>
                            <a:ext cx="399415" cy="4578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005"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刀架连墩头架</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SIZE：1200*450*1000</w:t>
            </w:r>
          </w:p>
        </w:tc>
        <w:tc>
          <w:tcPr>
            <w:tcW w:w="261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选用SUS304不锈钢制作，搁档采用0.68mm不锈钢方管，配置不锈钢可调脚，不锈钢封口盖加厚型方管制作；格栅型。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82816" behindDoc="0" locked="0" layoutInCell="1" allowOverlap="1">
                  <wp:simplePos x="0" y="0"/>
                  <wp:positionH relativeFrom="column">
                    <wp:posOffset>133350</wp:posOffset>
                  </wp:positionH>
                  <wp:positionV relativeFrom="paragraph">
                    <wp:posOffset>124460</wp:posOffset>
                  </wp:positionV>
                  <wp:extent cx="466725" cy="391795"/>
                  <wp:effectExtent l="0" t="0" r="9525" b="8255"/>
                  <wp:wrapNone/>
                  <wp:docPr id="56" name="Picture_352"/>
                  <wp:cNvGraphicFramePr/>
                  <a:graphic xmlns:a="http://schemas.openxmlformats.org/drawingml/2006/main">
                    <a:graphicData uri="http://schemas.openxmlformats.org/drawingml/2006/picture">
                      <pic:pic xmlns:pic="http://schemas.openxmlformats.org/drawingml/2006/picture">
                        <pic:nvPicPr>
                          <pic:cNvPr id="56" name="Picture_352"/>
                          <pic:cNvPicPr/>
                        </pic:nvPicPr>
                        <pic:blipFill>
                          <a:blip r:embed="rId55"/>
                          <a:stretch>
                            <a:fillRect/>
                          </a:stretch>
                        </pic:blipFill>
                        <pic:spPr>
                          <a:xfrm>
                            <a:off x="0" y="0"/>
                            <a:ext cx="466725" cy="39179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选用SUS304不锈钢板制作（包括加强档、筋），下置一层栅档，台面用衬板加强，配置不锈钢可调脚，台面板厚1.0mm。                                                                ◆提供生产厂家工作台加档符合GB/T3280-2015《不锈钢冷轧钢板和钢带》</w:t>
            </w:r>
            <w:r>
              <w:rPr>
                <w:rFonts w:hint="eastAsia" w:ascii="宋体" w:hAnsi="宋体" w:cs="宋体"/>
                <w:b/>
                <w:bCs/>
                <w:color w:val="000000"/>
                <w:kern w:val="0"/>
                <w:sz w:val="24"/>
                <w:lang w:bidi="ar"/>
              </w:rPr>
              <w:t xml:space="preserve">标准的型式检测报告。 </w:t>
            </w:r>
            <w:r>
              <w:rPr>
                <w:rFonts w:hint="eastAsia" w:ascii="宋体" w:hAnsi="宋体" w:cs="宋体"/>
                <w:color w:val="000000"/>
                <w:kern w:val="0"/>
                <w:sz w:val="24"/>
                <w:lang w:bidi="ar"/>
              </w:rPr>
              <w:t xml:space="preserve">                                                          </w:t>
            </w:r>
          </w:p>
        </w:tc>
        <w:tc>
          <w:tcPr>
            <w:tcW w:w="6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83840" behindDoc="0" locked="0" layoutInCell="1" allowOverlap="1">
                  <wp:simplePos x="0" y="0"/>
                  <wp:positionH relativeFrom="column">
                    <wp:posOffset>95885</wp:posOffset>
                  </wp:positionH>
                  <wp:positionV relativeFrom="paragraph">
                    <wp:posOffset>370840</wp:posOffset>
                  </wp:positionV>
                  <wp:extent cx="513715" cy="401320"/>
                  <wp:effectExtent l="0" t="0" r="635" b="17780"/>
                  <wp:wrapNone/>
                  <wp:docPr id="57" name="Picture_4"/>
                  <wp:cNvGraphicFramePr/>
                  <a:graphic xmlns:a="http://schemas.openxmlformats.org/drawingml/2006/main">
                    <a:graphicData uri="http://schemas.openxmlformats.org/drawingml/2006/picture">
                      <pic:pic xmlns:pic="http://schemas.openxmlformats.org/drawingml/2006/picture">
                        <pic:nvPicPr>
                          <pic:cNvPr id="57" name="Picture_4"/>
                          <pic:cNvPicPr/>
                        </pic:nvPicPr>
                        <pic:blipFill>
                          <a:blip r:embed="rId56"/>
                          <a:stretch>
                            <a:fillRect/>
                          </a:stretch>
                        </pic:blipFill>
                        <pic:spPr>
                          <a:xfrm>
                            <a:off x="0" y="0"/>
                            <a:ext cx="513715" cy="40132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SIZE：1000*800*800</w:t>
            </w:r>
          </w:p>
        </w:tc>
        <w:tc>
          <w:tcPr>
            <w:tcW w:w="261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w:t>
            </w:r>
          </w:p>
        </w:tc>
        <w:tc>
          <w:tcPr>
            <w:tcW w:w="6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13</w:t>
            </w:r>
          </w:p>
        </w:tc>
        <w:tc>
          <w:tcPr>
            <w:tcW w:w="11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84864" behindDoc="0" locked="0" layoutInCell="1" allowOverlap="1">
                  <wp:simplePos x="0" y="0"/>
                  <wp:positionH relativeFrom="column">
                    <wp:posOffset>133350</wp:posOffset>
                  </wp:positionH>
                  <wp:positionV relativeFrom="paragraph">
                    <wp:posOffset>66675</wp:posOffset>
                  </wp:positionV>
                  <wp:extent cx="438150" cy="419735"/>
                  <wp:effectExtent l="0" t="0" r="0" b="18415"/>
                  <wp:wrapNone/>
                  <wp:docPr id="58" name="Picture_169"/>
                  <wp:cNvGraphicFramePr/>
                  <a:graphic xmlns:a="http://schemas.openxmlformats.org/drawingml/2006/main">
                    <a:graphicData uri="http://schemas.openxmlformats.org/drawingml/2006/picture">
                      <pic:pic xmlns:pic="http://schemas.openxmlformats.org/drawingml/2006/picture">
                        <pic:nvPicPr>
                          <pic:cNvPr id="58" name="Picture_169"/>
                          <pic:cNvPicPr/>
                        </pic:nvPicPr>
                        <pic:blipFill>
                          <a:blip r:embed="rId57"/>
                          <a:stretch>
                            <a:fillRect/>
                          </a:stretch>
                        </pic:blipFill>
                        <pic:spPr>
                          <a:xfrm>
                            <a:off x="0" y="0"/>
                            <a:ext cx="438150" cy="4197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414"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高抛混合龙头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1.座台式安装，双孔双温鹅颈水嘴；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3.配1/4转优质陶瓷阀芯一字型手柄；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4.冷热接口开孔间距为101mm，采用偏芯设计可微调（15mm）；</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5.开孔尺寸为25mm ，接口为标准4分外螺纹；</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◆产品材质铅的含量≤0.22%并提供相应检测报告复印件。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13</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85888" behindDoc="0" locked="0" layoutInCell="1" allowOverlap="1">
                  <wp:simplePos x="0" y="0"/>
                  <wp:positionH relativeFrom="column">
                    <wp:posOffset>152400</wp:posOffset>
                  </wp:positionH>
                  <wp:positionV relativeFrom="paragraph">
                    <wp:posOffset>1034415</wp:posOffset>
                  </wp:positionV>
                  <wp:extent cx="399415" cy="511810"/>
                  <wp:effectExtent l="0" t="0" r="635" b="2540"/>
                  <wp:wrapNone/>
                  <wp:docPr id="59" name="图片_1"/>
                  <wp:cNvGraphicFramePr/>
                  <a:graphic xmlns:a="http://schemas.openxmlformats.org/drawingml/2006/main">
                    <a:graphicData uri="http://schemas.openxmlformats.org/drawingml/2006/picture">
                      <pic:pic xmlns:pic="http://schemas.openxmlformats.org/drawingml/2006/picture">
                        <pic:nvPicPr>
                          <pic:cNvPr id="59" name="图片_1"/>
                          <pic:cNvPicPr/>
                        </pic:nvPicPr>
                        <pic:blipFill>
                          <a:blip r:embed="rId58"/>
                          <a:stretch>
                            <a:fillRect/>
                          </a:stretch>
                        </pic:blipFill>
                        <pic:spPr>
                          <a:xfrm>
                            <a:off x="0" y="0"/>
                            <a:ext cx="399415" cy="51181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单开门操作台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选用SUS304不锈钢板制作（包括加强档、筋），台面用衬板加强，台面板厚1.0mm，内置一层搁板，一面配有上挂式双移门，配不锈钢可调脚。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86912" behindDoc="0" locked="0" layoutInCell="1" allowOverlap="1">
                  <wp:simplePos x="0" y="0"/>
                  <wp:positionH relativeFrom="column">
                    <wp:posOffset>95885</wp:posOffset>
                  </wp:positionH>
                  <wp:positionV relativeFrom="paragraph">
                    <wp:posOffset>122555</wp:posOffset>
                  </wp:positionV>
                  <wp:extent cx="523875" cy="353060"/>
                  <wp:effectExtent l="0" t="0" r="9525" b="8890"/>
                  <wp:wrapNone/>
                  <wp:docPr id="60" name="Picture_360_SpCnt_1"/>
                  <wp:cNvGraphicFramePr/>
                  <a:graphic xmlns:a="http://schemas.openxmlformats.org/drawingml/2006/main">
                    <a:graphicData uri="http://schemas.openxmlformats.org/drawingml/2006/picture">
                      <pic:pic xmlns:pic="http://schemas.openxmlformats.org/drawingml/2006/picture">
                        <pic:nvPicPr>
                          <pic:cNvPr id="60" name="Picture_360_SpCnt_1"/>
                          <pic:cNvPicPr/>
                        </pic:nvPicPr>
                        <pic:blipFill>
                          <a:blip r:embed="rId59"/>
                          <a:stretch>
                            <a:fillRect/>
                          </a:stretch>
                        </pic:blipFill>
                        <pic:spPr>
                          <a:xfrm>
                            <a:off x="0" y="0"/>
                            <a:ext cx="523875" cy="35306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单孔剖鱼台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SIZE：1600*800*800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选用SUS304不锈钢板制作（包括加强档、筋），配置不锈钢可调脚，台面板厚1.0mm。（人对设备右则开孔）</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87936" behindDoc="0" locked="0" layoutInCell="1" allowOverlap="1">
                  <wp:simplePos x="0" y="0"/>
                  <wp:positionH relativeFrom="column">
                    <wp:posOffset>95885</wp:posOffset>
                  </wp:positionH>
                  <wp:positionV relativeFrom="paragraph">
                    <wp:posOffset>76835</wp:posOffset>
                  </wp:positionV>
                  <wp:extent cx="495300" cy="370840"/>
                  <wp:effectExtent l="0" t="0" r="0" b="10160"/>
                  <wp:wrapNone/>
                  <wp:docPr id="61" name="图片_184"/>
                  <wp:cNvGraphicFramePr/>
                  <a:graphic xmlns:a="http://schemas.openxmlformats.org/drawingml/2006/main">
                    <a:graphicData uri="http://schemas.openxmlformats.org/drawingml/2006/picture">
                      <pic:pic xmlns:pic="http://schemas.openxmlformats.org/drawingml/2006/picture">
                        <pic:nvPicPr>
                          <pic:cNvPr id="61" name="图片_184"/>
                          <pic:cNvPicPr/>
                        </pic:nvPicPr>
                        <pic:blipFill>
                          <a:blip r:embed="rId60"/>
                          <a:stretch>
                            <a:fillRect/>
                          </a:stretch>
                        </pic:blipFill>
                        <pic:spPr>
                          <a:xfrm>
                            <a:off x="0" y="0"/>
                            <a:ext cx="495300" cy="37084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342"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冲地龙头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1.开放式洗地龙头、碳钢主体，表面环氧喷涂处理（浅蓝色）；                                     2.固定侧支架钢板厚度5mm，黄铜进水主体                                                    3.10.8米重工无痕三层液压钢丝管（蓝色）、与主体接口为金属连接件、耐温85度 ；                                                                4.黄铜铸造枪式喷头、配有橡胶保护套水压可调。（配置一把喷头）                                                                                  5.进水接口为标准1/2"外螺纹；                                                                 ◆生产厂家有购买产品第三方责任险，累计赔偿额不低于200万元 。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88960" behindDoc="0" locked="0" layoutInCell="1" allowOverlap="1">
                  <wp:simplePos x="0" y="0"/>
                  <wp:positionH relativeFrom="column">
                    <wp:posOffset>114300</wp:posOffset>
                  </wp:positionH>
                  <wp:positionV relativeFrom="paragraph">
                    <wp:posOffset>946150</wp:posOffset>
                  </wp:positionV>
                  <wp:extent cx="447675" cy="410210"/>
                  <wp:effectExtent l="0" t="0" r="9525" b="8890"/>
                  <wp:wrapNone/>
                  <wp:docPr id="62" name="Picture_1165"/>
                  <wp:cNvGraphicFramePr/>
                  <a:graphic xmlns:a="http://schemas.openxmlformats.org/drawingml/2006/main">
                    <a:graphicData uri="http://schemas.openxmlformats.org/drawingml/2006/picture">
                      <pic:pic xmlns:pic="http://schemas.openxmlformats.org/drawingml/2006/picture">
                        <pic:nvPicPr>
                          <pic:cNvPr id="62" name="Picture_1165"/>
                          <pic:cNvPicPr/>
                        </pic:nvPicPr>
                        <pic:blipFill>
                          <a:blip r:embed="rId61"/>
                          <a:stretch>
                            <a:fillRect/>
                          </a:stretch>
                        </pic:blipFill>
                        <pic:spPr>
                          <a:xfrm>
                            <a:off x="0" y="0"/>
                            <a:ext cx="447675" cy="41021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10</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残食台（后档同水池）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SIZE：1000*800*800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选用SUS304不锈钢板制作（包括加强档、筋），配置不锈钢可调脚，台面板厚1.0mm。（人对设备右则开孔）</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89984" behindDoc="0" locked="0" layoutInCell="1" allowOverlap="1">
                  <wp:simplePos x="0" y="0"/>
                  <wp:positionH relativeFrom="column">
                    <wp:posOffset>85725</wp:posOffset>
                  </wp:positionH>
                  <wp:positionV relativeFrom="paragraph">
                    <wp:posOffset>95250</wp:posOffset>
                  </wp:positionV>
                  <wp:extent cx="552450" cy="400050"/>
                  <wp:effectExtent l="0" t="0" r="0" b="0"/>
                  <wp:wrapNone/>
                  <wp:docPr id="63" name="图片_184_SpCnt_1"/>
                  <wp:cNvGraphicFramePr/>
                  <a:graphic xmlns:a="http://schemas.openxmlformats.org/drawingml/2006/main">
                    <a:graphicData uri="http://schemas.openxmlformats.org/drawingml/2006/picture">
                      <pic:pic xmlns:pic="http://schemas.openxmlformats.org/drawingml/2006/picture">
                        <pic:nvPicPr>
                          <pic:cNvPr id="63" name="图片_184_SpCnt_1"/>
                          <pic:cNvPicPr/>
                        </pic:nvPicPr>
                        <pic:blipFill>
                          <a:blip r:embed="rId62"/>
                          <a:stretch>
                            <a:fillRect/>
                          </a:stretch>
                        </pic:blipFill>
                        <pic:spPr>
                          <a:xfrm>
                            <a:off x="0" y="0"/>
                            <a:ext cx="552450" cy="4000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残食台（无后档）</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SIZE：700*800*800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选用SUS304不锈钢板制作（包括加强档、筋），配置不锈钢可调脚，台面板厚1.0mm。（最终规格按现场空间实量为准）。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91008" behindDoc="0" locked="0" layoutInCell="1" allowOverlap="1">
                  <wp:simplePos x="0" y="0"/>
                  <wp:positionH relativeFrom="column">
                    <wp:posOffset>95885</wp:posOffset>
                  </wp:positionH>
                  <wp:positionV relativeFrom="paragraph">
                    <wp:posOffset>114300</wp:posOffset>
                  </wp:positionV>
                  <wp:extent cx="523875" cy="371475"/>
                  <wp:effectExtent l="0" t="0" r="9525" b="9525"/>
                  <wp:wrapNone/>
                  <wp:docPr id="64" name="图片_184_SpCnt_2"/>
                  <wp:cNvGraphicFramePr/>
                  <a:graphic xmlns:a="http://schemas.openxmlformats.org/drawingml/2006/main">
                    <a:graphicData uri="http://schemas.openxmlformats.org/drawingml/2006/picture">
                      <pic:pic xmlns:pic="http://schemas.openxmlformats.org/drawingml/2006/picture">
                        <pic:nvPicPr>
                          <pic:cNvPr id="64" name="图片_184_SpCnt_2"/>
                          <pic:cNvPicPr/>
                        </pic:nvPicPr>
                        <pic:blipFill>
                          <a:blip r:embed="rId63"/>
                          <a:stretch>
                            <a:fillRect/>
                          </a:stretch>
                        </pic:blipFill>
                        <pic:spPr>
                          <a:xfrm>
                            <a:off x="0" y="0"/>
                            <a:ext cx="523875" cy="37147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残食台（无后档）</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选用SUS304不锈钢板制作（包括加强档、筋），配置不锈钢可调脚，台面板厚1.0mm。</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92032" behindDoc="0" locked="0" layoutInCell="1" allowOverlap="1">
                  <wp:simplePos x="0" y="0"/>
                  <wp:positionH relativeFrom="column">
                    <wp:posOffset>104775</wp:posOffset>
                  </wp:positionH>
                  <wp:positionV relativeFrom="paragraph">
                    <wp:posOffset>114300</wp:posOffset>
                  </wp:positionV>
                  <wp:extent cx="523875" cy="371475"/>
                  <wp:effectExtent l="0" t="0" r="9525" b="9525"/>
                  <wp:wrapNone/>
                  <wp:docPr id="65" name="图片_184_SpCnt_3"/>
                  <wp:cNvGraphicFramePr/>
                  <a:graphic xmlns:a="http://schemas.openxmlformats.org/drawingml/2006/main">
                    <a:graphicData uri="http://schemas.openxmlformats.org/drawingml/2006/picture">
                      <pic:pic xmlns:pic="http://schemas.openxmlformats.org/drawingml/2006/picture">
                        <pic:nvPicPr>
                          <pic:cNvPr id="65" name="图片_184_SpCnt_3"/>
                          <pic:cNvPicPr/>
                        </pic:nvPicPr>
                        <pic:blipFill>
                          <a:blip r:embed="rId63"/>
                          <a:stretch>
                            <a:fillRect/>
                          </a:stretch>
                        </pic:blipFill>
                        <pic:spPr>
                          <a:xfrm>
                            <a:off x="0" y="0"/>
                            <a:ext cx="523875" cy="37147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93056" behindDoc="0" locked="0" layoutInCell="1" allowOverlap="1">
                  <wp:simplePos x="0" y="0"/>
                  <wp:positionH relativeFrom="column">
                    <wp:posOffset>152400</wp:posOffset>
                  </wp:positionH>
                  <wp:positionV relativeFrom="paragraph">
                    <wp:posOffset>95885</wp:posOffset>
                  </wp:positionV>
                  <wp:extent cx="427990" cy="390525"/>
                  <wp:effectExtent l="0" t="0" r="10160" b="9525"/>
                  <wp:wrapNone/>
                  <wp:docPr id="66" name="Picture_169_SpCnt_1"/>
                  <wp:cNvGraphicFramePr/>
                  <a:graphic xmlns:a="http://schemas.openxmlformats.org/drawingml/2006/main">
                    <a:graphicData uri="http://schemas.openxmlformats.org/drawingml/2006/picture">
                      <pic:pic xmlns:pic="http://schemas.openxmlformats.org/drawingml/2006/picture">
                        <pic:nvPicPr>
                          <pic:cNvPr id="66" name="Picture_169_SpCnt_1"/>
                          <pic:cNvPicPr/>
                        </pic:nvPicPr>
                        <pic:blipFill>
                          <a:blip r:embed="rId64"/>
                          <a:stretch>
                            <a:fillRect/>
                          </a:stretch>
                        </pic:blipFill>
                        <pic:spPr>
                          <a:xfrm>
                            <a:off x="0" y="0"/>
                            <a:ext cx="427990" cy="3905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8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13a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高抛混合龙头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1.座台式安装，双孔双温鹅颈水嘴；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3.配1/4转优质陶瓷阀芯一字型手柄；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4.冷热接口开孔间距为101mm，采用偏芯设计可微调（15mm）；</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5.开孔尺寸为25mm ，接口为标准4分外螺纹；</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◆产品材质铅的含量≤0.22%并提供相应检测报告复印件。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94080" behindDoc="0" locked="0" layoutInCell="1" allowOverlap="1">
                  <wp:simplePos x="0" y="0"/>
                  <wp:positionH relativeFrom="column">
                    <wp:posOffset>161925</wp:posOffset>
                  </wp:positionH>
                  <wp:positionV relativeFrom="paragraph">
                    <wp:posOffset>1052830</wp:posOffset>
                  </wp:positionV>
                  <wp:extent cx="390525" cy="493395"/>
                  <wp:effectExtent l="0" t="0" r="9525" b="1905"/>
                  <wp:wrapNone/>
                  <wp:docPr id="67" name="图片_1_SpCnt_1"/>
                  <wp:cNvGraphicFramePr/>
                  <a:graphic xmlns:a="http://schemas.openxmlformats.org/drawingml/2006/main">
                    <a:graphicData uri="http://schemas.openxmlformats.org/drawingml/2006/picture">
                      <pic:pic xmlns:pic="http://schemas.openxmlformats.org/drawingml/2006/picture">
                        <pic:nvPicPr>
                          <pic:cNvPr id="67" name="图片_1_SpCnt_1"/>
                          <pic:cNvPicPr/>
                        </pic:nvPicPr>
                        <pic:blipFill>
                          <a:blip r:embed="rId65"/>
                          <a:stretch>
                            <a:fillRect/>
                          </a:stretch>
                        </pic:blipFill>
                        <pic:spPr>
                          <a:xfrm>
                            <a:off x="0" y="0"/>
                            <a:ext cx="390525" cy="49339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95104" behindDoc="0" locked="0" layoutInCell="1" allowOverlap="1">
                  <wp:simplePos x="0" y="0"/>
                  <wp:positionH relativeFrom="column">
                    <wp:posOffset>104775</wp:posOffset>
                  </wp:positionH>
                  <wp:positionV relativeFrom="paragraph">
                    <wp:posOffset>513715</wp:posOffset>
                  </wp:positionV>
                  <wp:extent cx="495300" cy="401320"/>
                  <wp:effectExtent l="0" t="0" r="0" b="17780"/>
                  <wp:wrapNone/>
                  <wp:docPr id="68" name="图片_3_SpCnt_4"/>
                  <wp:cNvGraphicFramePr/>
                  <a:graphic xmlns:a="http://schemas.openxmlformats.org/drawingml/2006/main">
                    <a:graphicData uri="http://schemas.openxmlformats.org/drawingml/2006/picture">
                      <pic:pic xmlns:pic="http://schemas.openxmlformats.org/drawingml/2006/picture">
                        <pic:nvPicPr>
                          <pic:cNvPr id="68" name="图片_3_SpCnt_4"/>
                          <pic:cNvPicPr/>
                        </pic:nvPicPr>
                        <pic:blipFill>
                          <a:blip r:embed="rId66"/>
                          <a:stretch>
                            <a:fillRect/>
                          </a:stretch>
                        </pic:blipFill>
                        <pic:spPr>
                          <a:xfrm>
                            <a:off x="0" y="0"/>
                            <a:ext cx="495300" cy="40132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7"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15</w:t>
            </w:r>
          </w:p>
        </w:tc>
        <w:tc>
          <w:tcPr>
            <w:tcW w:w="15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风幕机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SIZE：约L=1500mm（最终长度依据现场实际）</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外配类产品，全金属不锈钢外壳和配件；采用全新遥控或控式开关；采用优化电机，性能可靠（没有安装条件，相应取消）</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96128" behindDoc="0" locked="0" layoutInCell="1" allowOverlap="1">
                  <wp:simplePos x="0" y="0"/>
                  <wp:positionH relativeFrom="column">
                    <wp:posOffset>85725</wp:posOffset>
                  </wp:positionH>
                  <wp:positionV relativeFrom="paragraph">
                    <wp:posOffset>256540</wp:posOffset>
                  </wp:positionV>
                  <wp:extent cx="562610" cy="0"/>
                  <wp:effectExtent l="0" t="0" r="0" b="0"/>
                  <wp:wrapNone/>
                  <wp:docPr id="69" name="图片_69_SpCnt_1"/>
                  <wp:cNvGraphicFramePr/>
                  <a:graphic xmlns:a="http://schemas.openxmlformats.org/drawingml/2006/main">
                    <a:graphicData uri="http://schemas.openxmlformats.org/drawingml/2006/picture">
                      <pic:pic xmlns:pic="http://schemas.openxmlformats.org/drawingml/2006/picture">
                        <pic:nvPicPr>
                          <pic:cNvPr id="69" name="图片_69_SpCnt_1"/>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697152" behindDoc="0" locked="0" layoutInCell="1" allowOverlap="1">
                  <wp:simplePos x="0" y="0"/>
                  <wp:positionH relativeFrom="column">
                    <wp:posOffset>95885</wp:posOffset>
                  </wp:positionH>
                  <wp:positionV relativeFrom="paragraph">
                    <wp:posOffset>200660</wp:posOffset>
                  </wp:positionV>
                  <wp:extent cx="513715" cy="332105"/>
                  <wp:effectExtent l="0" t="0" r="635" b="10795"/>
                  <wp:wrapNone/>
                  <wp:docPr id="70" name="图片_69_SpCnt_2"/>
                  <wp:cNvGraphicFramePr/>
                  <a:graphic xmlns:a="http://schemas.openxmlformats.org/drawingml/2006/main">
                    <a:graphicData uri="http://schemas.openxmlformats.org/drawingml/2006/picture">
                      <pic:pic xmlns:pic="http://schemas.openxmlformats.org/drawingml/2006/picture">
                        <pic:nvPicPr>
                          <pic:cNvPr id="70" name="图片_69_SpCnt_2"/>
                          <pic:cNvPicPr/>
                        </pic:nvPicPr>
                        <pic:blipFill>
                          <a:blip r:embed="rId68"/>
                          <a:stretch>
                            <a:fillRect/>
                          </a:stretch>
                        </pic:blipFill>
                        <pic:spPr>
                          <a:xfrm>
                            <a:off x="0" y="0"/>
                            <a:ext cx="513715" cy="33210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nil"/>
              <w:left w:val="single" w:color="000000" w:sz="4" w:space="0"/>
              <w:bottom w:val="nil"/>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切配区</w:t>
            </w:r>
          </w:p>
        </w:tc>
      </w:tr>
      <w:tr>
        <w:tblPrEx>
          <w:tblCellMar>
            <w:top w:w="0" w:type="dxa"/>
            <w:left w:w="108" w:type="dxa"/>
            <w:bottom w:w="0" w:type="dxa"/>
            <w:right w:w="108" w:type="dxa"/>
          </w:tblCellMar>
        </w:tblPrEx>
        <w:trPr>
          <w:trHeight w:val="958"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四门冰箱</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SIZE：约1200*720*1880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优质不锈钢板制作，配上置式优质压缩机组，自动回归门，不锈钢内胆，全封闭型、数字恒温控制，保温层用聚氨脂一次性发泡成型。                                                                                          ◆相关资质：发泡料防火等级B1级。</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◆具有冷链存储消杀功能，同时使用臭氧及紫外线消毒，厂家具有消毒产品生产许可证。</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98176" behindDoc="0" locked="0" layoutInCell="1" allowOverlap="1">
                  <wp:simplePos x="0" y="0"/>
                  <wp:positionH relativeFrom="column">
                    <wp:posOffset>142875</wp:posOffset>
                  </wp:positionH>
                  <wp:positionV relativeFrom="paragraph">
                    <wp:posOffset>535940</wp:posOffset>
                  </wp:positionV>
                  <wp:extent cx="400050" cy="608330"/>
                  <wp:effectExtent l="0" t="0" r="0" b="1270"/>
                  <wp:wrapNone/>
                  <wp:docPr id="71" name="Picture_328"/>
                  <wp:cNvGraphicFramePr/>
                  <a:graphic xmlns:a="http://schemas.openxmlformats.org/drawingml/2006/main">
                    <a:graphicData uri="http://schemas.openxmlformats.org/drawingml/2006/picture">
                      <pic:pic xmlns:pic="http://schemas.openxmlformats.org/drawingml/2006/picture">
                        <pic:nvPicPr>
                          <pic:cNvPr id="71" name="Picture_328"/>
                          <pic:cNvPicPr/>
                        </pic:nvPicPr>
                        <pic:blipFill>
                          <a:blip r:embed="rId69"/>
                          <a:stretch>
                            <a:fillRect/>
                          </a:stretch>
                        </pic:blipFill>
                        <pic:spPr>
                          <a:xfrm>
                            <a:off x="0" y="0"/>
                            <a:ext cx="400050" cy="60833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双水池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SIZE：1800*700*800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                                                                     ◆提供生产厂家双水池符合GB/T3280-2015《不锈钢冷轧钢板和钢带》型式检测报告。</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699200" behindDoc="0" locked="0" layoutInCell="1" allowOverlap="1">
                  <wp:simplePos x="0" y="0"/>
                  <wp:positionH relativeFrom="column">
                    <wp:posOffset>76200</wp:posOffset>
                  </wp:positionH>
                  <wp:positionV relativeFrom="paragraph">
                    <wp:posOffset>343535</wp:posOffset>
                  </wp:positionV>
                  <wp:extent cx="542290" cy="388620"/>
                  <wp:effectExtent l="0" t="0" r="10160" b="11430"/>
                  <wp:wrapNone/>
                  <wp:docPr id="72" name="Picture_170"/>
                  <wp:cNvGraphicFramePr/>
                  <a:graphic xmlns:a="http://schemas.openxmlformats.org/drawingml/2006/main">
                    <a:graphicData uri="http://schemas.openxmlformats.org/drawingml/2006/picture">
                      <pic:pic xmlns:pic="http://schemas.openxmlformats.org/drawingml/2006/picture">
                        <pic:nvPicPr>
                          <pic:cNvPr id="72" name="Picture_170"/>
                          <pic:cNvPicPr/>
                        </pic:nvPicPr>
                        <pic:blipFill>
                          <a:blip r:embed="rId70"/>
                          <a:stretch>
                            <a:fillRect/>
                          </a:stretch>
                        </pic:blipFill>
                        <pic:spPr>
                          <a:xfrm>
                            <a:off x="0" y="0"/>
                            <a:ext cx="542290" cy="38862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7"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高抛混合龙头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1.座台式安装，双孔双温鹅颈水嘴；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3.配1/4转优质陶瓷阀芯一字型手柄；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4.冷热接口开孔间距为101mm，采用偏芯设计可微调（15mm）；</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5.开孔尺寸为25mm ，接口为标准4分外螺纹；</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◆生产厂家有购买产品第三方责任险，累计赔偿额不低于200万元；                               ◆产品材质铅的含量≤0.22%并提供相应检测报告复印件。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00224" behindDoc="0" locked="0" layoutInCell="1" allowOverlap="1">
                  <wp:simplePos x="0" y="0"/>
                  <wp:positionH relativeFrom="column">
                    <wp:posOffset>142875</wp:posOffset>
                  </wp:positionH>
                  <wp:positionV relativeFrom="paragraph">
                    <wp:posOffset>1015365</wp:posOffset>
                  </wp:positionV>
                  <wp:extent cx="409575" cy="521970"/>
                  <wp:effectExtent l="0" t="0" r="9525" b="11430"/>
                  <wp:wrapNone/>
                  <wp:docPr id="73" name="图片_1_SpCnt_2"/>
                  <wp:cNvGraphicFramePr/>
                  <a:graphic xmlns:a="http://schemas.openxmlformats.org/drawingml/2006/main">
                    <a:graphicData uri="http://schemas.openxmlformats.org/drawingml/2006/picture">
                      <pic:pic xmlns:pic="http://schemas.openxmlformats.org/drawingml/2006/picture">
                        <pic:nvPicPr>
                          <pic:cNvPr id="73" name="图片_1_SpCnt_2"/>
                          <pic:cNvPicPr/>
                        </pic:nvPicPr>
                        <pic:blipFill>
                          <a:blip r:embed="rId71"/>
                          <a:stretch>
                            <a:fillRect/>
                          </a:stretch>
                        </pic:blipFill>
                        <pic:spPr>
                          <a:xfrm>
                            <a:off x="0" y="0"/>
                            <a:ext cx="409575" cy="52197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四层货架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选用SUS304不锈钢制作，搁档采用约0.8mm不锈钢复边成条状，配置不锈钢可调脚，不锈钢封口盖加厚型圆管制作；格栅型。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01248" behindDoc="0" locked="0" layoutInCell="1" allowOverlap="1">
                  <wp:simplePos x="0" y="0"/>
                  <wp:positionH relativeFrom="column">
                    <wp:posOffset>161925</wp:posOffset>
                  </wp:positionH>
                  <wp:positionV relativeFrom="paragraph">
                    <wp:posOffset>66675</wp:posOffset>
                  </wp:positionV>
                  <wp:extent cx="381000" cy="457835"/>
                  <wp:effectExtent l="0" t="0" r="0" b="18415"/>
                  <wp:wrapNone/>
                  <wp:docPr id="74" name="Picture_1_SpCnt_2"/>
                  <wp:cNvGraphicFramePr/>
                  <a:graphic xmlns:a="http://schemas.openxmlformats.org/drawingml/2006/main">
                    <a:graphicData uri="http://schemas.openxmlformats.org/drawingml/2006/picture">
                      <pic:pic xmlns:pic="http://schemas.openxmlformats.org/drawingml/2006/picture">
                        <pic:nvPicPr>
                          <pic:cNvPr id="74" name="Picture_1_SpCnt_2"/>
                          <pic:cNvPicPr/>
                        </pic:nvPicPr>
                        <pic:blipFill>
                          <a:blip r:embed="rId72"/>
                          <a:stretch>
                            <a:fillRect/>
                          </a:stretch>
                        </pic:blipFill>
                        <pic:spPr>
                          <a:xfrm>
                            <a:off x="0" y="0"/>
                            <a:ext cx="381000" cy="4578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刀架连墩头架</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SIZE：1200*450*1000</w:t>
            </w:r>
          </w:p>
        </w:tc>
        <w:tc>
          <w:tcPr>
            <w:tcW w:w="261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选用SUS304不锈钢制作，搁档采用0.68mm不锈钢方管，配置不锈钢可调脚，不锈钢封口盖加厚型方管制作；格栅型。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02272" behindDoc="0" locked="0" layoutInCell="1" allowOverlap="1">
                  <wp:simplePos x="0" y="0"/>
                  <wp:positionH relativeFrom="column">
                    <wp:posOffset>114300</wp:posOffset>
                  </wp:positionH>
                  <wp:positionV relativeFrom="paragraph">
                    <wp:posOffset>151765</wp:posOffset>
                  </wp:positionV>
                  <wp:extent cx="495300" cy="370840"/>
                  <wp:effectExtent l="0" t="0" r="0" b="10160"/>
                  <wp:wrapNone/>
                  <wp:docPr id="75" name="Picture_352_SpCnt_1"/>
                  <wp:cNvGraphicFramePr/>
                  <a:graphic xmlns:a="http://schemas.openxmlformats.org/drawingml/2006/main">
                    <a:graphicData uri="http://schemas.openxmlformats.org/drawingml/2006/picture">
                      <pic:pic xmlns:pic="http://schemas.openxmlformats.org/drawingml/2006/picture">
                        <pic:nvPicPr>
                          <pic:cNvPr id="75" name="Picture_352_SpCnt_1"/>
                          <pic:cNvPicPr/>
                        </pic:nvPicPr>
                        <pic:blipFill>
                          <a:blip r:embed="rId73"/>
                          <a:stretch>
                            <a:fillRect/>
                          </a:stretch>
                        </pic:blipFill>
                        <pic:spPr>
                          <a:xfrm>
                            <a:off x="0" y="0"/>
                            <a:ext cx="495300" cy="37084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选用SUS304不锈钢板制作（包括加强档、筋），下置一层栅档，台面用衬板加强，配置不锈钢可调脚，台面板厚1.0mm。                                                                       ◆提供生产厂家工作台加档符合GB/T3280-2015《不锈钢冷轧钢板和钢带》的型式检测报告。  </w:t>
            </w:r>
          </w:p>
        </w:tc>
        <w:tc>
          <w:tcPr>
            <w:tcW w:w="6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03296" behindDoc="0" locked="0" layoutInCell="1" allowOverlap="1">
                  <wp:simplePos x="0" y="0"/>
                  <wp:positionH relativeFrom="column">
                    <wp:posOffset>104775</wp:posOffset>
                  </wp:positionH>
                  <wp:positionV relativeFrom="paragraph">
                    <wp:posOffset>379730</wp:posOffset>
                  </wp:positionV>
                  <wp:extent cx="523875" cy="352425"/>
                  <wp:effectExtent l="0" t="0" r="9525" b="9525"/>
                  <wp:wrapNone/>
                  <wp:docPr id="76" name="Picture_4_SpCnt_1"/>
                  <wp:cNvGraphicFramePr/>
                  <a:graphic xmlns:a="http://schemas.openxmlformats.org/drawingml/2006/main">
                    <a:graphicData uri="http://schemas.openxmlformats.org/drawingml/2006/picture">
                      <pic:pic xmlns:pic="http://schemas.openxmlformats.org/drawingml/2006/picture">
                        <pic:nvPicPr>
                          <pic:cNvPr id="76" name="Picture_4_SpCnt_1"/>
                          <pic:cNvPicPr/>
                        </pic:nvPicPr>
                        <pic:blipFill>
                          <a:blip r:embed="rId74"/>
                          <a:stretch>
                            <a:fillRect/>
                          </a:stretch>
                        </pic:blipFill>
                        <pic:spPr>
                          <a:xfrm>
                            <a:off x="0" y="0"/>
                            <a:ext cx="523875" cy="3524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单开门操作台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选用SUS304不锈钢板制作（包括加强档、筋），台面用衬板加强，台面板厚1.0mm，内置一层搁板，一面配有上挂式双移门，配不锈钢可调脚。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04320" behindDoc="0" locked="0" layoutInCell="1" allowOverlap="1">
                  <wp:simplePos x="0" y="0"/>
                  <wp:positionH relativeFrom="column">
                    <wp:posOffset>85725</wp:posOffset>
                  </wp:positionH>
                  <wp:positionV relativeFrom="paragraph">
                    <wp:posOffset>122555</wp:posOffset>
                  </wp:positionV>
                  <wp:extent cx="523875" cy="353060"/>
                  <wp:effectExtent l="0" t="0" r="9525" b="8890"/>
                  <wp:wrapNone/>
                  <wp:docPr id="77" name="Picture_360_SpCnt_2"/>
                  <wp:cNvGraphicFramePr/>
                  <a:graphic xmlns:a="http://schemas.openxmlformats.org/drawingml/2006/main">
                    <a:graphicData uri="http://schemas.openxmlformats.org/drawingml/2006/picture">
                      <pic:pic xmlns:pic="http://schemas.openxmlformats.org/drawingml/2006/picture">
                        <pic:nvPicPr>
                          <pic:cNvPr id="77" name="Picture_360_SpCnt_2"/>
                          <pic:cNvPicPr/>
                        </pic:nvPicPr>
                        <pic:blipFill>
                          <a:blip r:embed="rId59"/>
                          <a:stretch>
                            <a:fillRect/>
                          </a:stretch>
                        </pic:blipFill>
                        <pic:spPr>
                          <a:xfrm>
                            <a:off x="0" y="0"/>
                            <a:ext cx="523875" cy="35306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三角墩头架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SIZE：约∆500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选用SUS304不锈钢管制作，三角结构，搭焊制成；</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05344" behindDoc="0" locked="0" layoutInCell="1" allowOverlap="1">
                  <wp:simplePos x="0" y="0"/>
                  <wp:positionH relativeFrom="column">
                    <wp:posOffset>190500</wp:posOffset>
                  </wp:positionH>
                  <wp:positionV relativeFrom="paragraph">
                    <wp:posOffset>76200</wp:posOffset>
                  </wp:positionV>
                  <wp:extent cx="342900" cy="437515"/>
                  <wp:effectExtent l="0" t="0" r="0" b="635"/>
                  <wp:wrapNone/>
                  <wp:docPr id="78" name="Picture_141"/>
                  <wp:cNvGraphicFramePr/>
                  <a:graphic xmlns:a="http://schemas.openxmlformats.org/drawingml/2006/main">
                    <a:graphicData uri="http://schemas.openxmlformats.org/drawingml/2006/picture">
                      <pic:pic xmlns:pic="http://schemas.openxmlformats.org/drawingml/2006/picture">
                        <pic:nvPicPr>
                          <pic:cNvPr id="78" name="Picture_141"/>
                          <pic:cNvPicPr/>
                        </pic:nvPicPr>
                        <pic:blipFill>
                          <a:blip r:embed="rId75"/>
                          <a:stretch>
                            <a:fillRect/>
                          </a:stretch>
                        </pic:blipFill>
                        <pic:spPr>
                          <a:xfrm>
                            <a:off x="0" y="0"/>
                            <a:ext cx="342900" cy="4375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2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绞切两用机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SIZE：约580*420*780mm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功率：1.1KW/220V                                 切片厚度：3.5mm                                        生产能力：约200-300KG/H                 说明： 采用优质加厚不锈钢，经久耐磨不变形，全铜芯电机；可拆卸清洗方便；一键启动绞切；切片均匀；</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06368" behindDoc="0" locked="0" layoutInCell="1" allowOverlap="1">
                  <wp:simplePos x="0" y="0"/>
                  <wp:positionH relativeFrom="column">
                    <wp:posOffset>152400</wp:posOffset>
                  </wp:positionH>
                  <wp:positionV relativeFrom="paragraph">
                    <wp:posOffset>535940</wp:posOffset>
                  </wp:positionV>
                  <wp:extent cx="380365" cy="496570"/>
                  <wp:effectExtent l="0" t="0" r="635" b="17780"/>
                  <wp:wrapNone/>
                  <wp:docPr id="79" name="图片_93"/>
                  <wp:cNvGraphicFramePr/>
                  <a:graphic xmlns:a="http://schemas.openxmlformats.org/drawingml/2006/main">
                    <a:graphicData uri="http://schemas.openxmlformats.org/drawingml/2006/picture">
                      <pic:pic xmlns:pic="http://schemas.openxmlformats.org/drawingml/2006/picture">
                        <pic:nvPicPr>
                          <pic:cNvPr id="79" name="图片_93"/>
                          <pic:cNvPicPr/>
                        </pic:nvPicPr>
                        <pic:blipFill>
                          <a:blip r:embed="rId76"/>
                          <a:stretch>
                            <a:fillRect/>
                          </a:stretch>
                        </pic:blipFill>
                        <pic:spPr>
                          <a:xfrm>
                            <a:off x="0" y="0"/>
                            <a:ext cx="380365" cy="49657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3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多功能切菜机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SIZE：约1160*530*1000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整机材质食品级不锈钢304，刀具SUS420J2，双头型切菜机，适用于根茎及叶菜类的果蔬切片切丝切丁，叶菜部切长度：约1-30mm（可调）；产量：约300-1000KG/H</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07392" behindDoc="0" locked="0" layoutInCell="1" allowOverlap="1">
                  <wp:simplePos x="0" y="0"/>
                  <wp:positionH relativeFrom="column">
                    <wp:posOffset>85725</wp:posOffset>
                  </wp:positionH>
                  <wp:positionV relativeFrom="paragraph">
                    <wp:posOffset>227965</wp:posOffset>
                  </wp:positionV>
                  <wp:extent cx="514350" cy="474980"/>
                  <wp:effectExtent l="0" t="0" r="0" b="1270"/>
                  <wp:wrapNone/>
                  <wp:docPr id="80" name="Picture_243"/>
                  <wp:cNvGraphicFramePr/>
                  <a:graphic xmlns:a="http://schemas.openxmlformats.org/drawingml/2006/main">
                    <a:graphicData uri="http://schemas.openxmlformats.org/drawingml/2006/picture">
                      <pic:pic xmlns:pic="http://schemas.openxmlformats.org/drawingml/2006/picture">
                        <pic:nvPicPr>
                          <pic:cNvPr id="80" name="Picture_243"/>
                          <pic:cNvPicPr/>
                        </pic:nvPicPr>
                        <pic:blipFill>
                          <a:blip r:embed="rId77"/>
                          <a:stretch>
                            <a:fillRect/>
                          </a:stretch>
                        </pic:blipFill>
                        <pic:spPr>
                          <a:xfrm>
                            <a:off x="0" y="0"/>
                            <a:ext cx="514350" cy="47498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12"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10</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多功能刀具储藏柜</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SIZE：1200*550*1800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储藏刀数量：约20把；                                                                  储藏毛巾：约24块；                                                                     储藏砧板：约10块（直径50cm，厚度10cm以内）</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08416" behindDoc="0" locked="0" layoutInCell="1" allowOverlap="1">
                  <wp:simplePos x="0" y="0"/>
                  <wp:positionH relativeFrom="column">
                    <wp:posOffset>190500</wp:posOffset>
                  </wp:positionH>
                  <wp:positionV relativeFrom="paragraph">
                    <wp:posOffset>297180</wp:posOffset>
                  </wp:positionV>
                  <wp:extent cx="381000" cy="570230"/>
                  <wp:effectExtent l="0" t="0" r="0" b="1270"/>
                  <wp:wrapNone/>
                  <wp:docPr id="81" name="图片_68"/>
                  <wp:cNvGraphicFramePr/>
                  <a:graphic xmlns:a="http://schemas.openxmlformats.org/drawingml/2006/main">
                    <a:graphicData uri="http://schemas.openxmlformats.org/drawingml/2006/picture">
                      <pic:pic xmlns:pic="http://schemas.openxmlformats.org/drawingml/2006/picture">
                        <pic:nvPicPr>
                          <pic:cNvPr id="81" name="图片_68"/>
                          <pic:cNvPicPr/>
                        </pic:nvPicPr>
                        <pic:blipFill>
                          <a:blip r:embed="rId78"/>
                          <a:stretch>
                            <a:fillRect/>
                          </a:stretch>
                        </pic:blipFill>
                        <pic:spPr>
                          <a:xfrm>
                            <a:off x="0" y="0"/>
                            <a:ext cx="381000" cy="57023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37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冲地龙头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型号：XD-C201-T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1. 开放式洗地龙头、碳钢主体，表面环氧喷涂处理（浅蓝色）;                                    2. 固定侧支架钢板厚度5mm，黄铜进水主体;                                                     3. 10.8米重工无痕三层液压钢丝管（蓝色）、与主体接口为金属连接件、耐温85度 ;                                                                 4. 黄铜铸造枪式喷头、配有橡胶保护套水压可调;（配置一把喷头）                                                                                  5. 进水接口为标准1/2"外螺纹；                                                                  ◆生产厂家有购买产品第三方责任险，累计赔偿额不低于200万元 。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09440" behindDoc="0" locked="0" layoutInCell="1" allowOverlap="1">
                  <wp:simplePos x="0" y="0"/>
                  <wp:positionH relativeFrom="column">
                    <wp:posOffset>123190</wp:posOffset>
                  </wp:positionH>
                  <wp:positionV relativeFrom="paragraph">
                    <wp:posOffset>962660</wp:posOffset>
                  </wp:positionV>
                  <wp:extent cx="428625" cy="393700"/>
                  <wp:effectExtent l="0" t="0" r="9525" b="6350"/>
                  <wp:wrapNone/>
                  <wp:docPr id="82" name="Picture_1165_SpCnt_1"/>
                  <wp:cNvGraphicFramePr/>
                  <a:graphic xmlns:a="http://schemas.openxmlformats.org/drawingml/2006/main">
                    <a:graphicData uri="http://schemas.openxmlformats.org/drawingml/2006/picture">
                      <pic:pic xmlns:pic="http://schemas.openxmlformats.org/drawingml/2006/picture">
                        <pic:nvPicPr>
                          <pic:cNvPr id="82" name="Picture_1165_SpCnt_1"/>
                          <pic:cNvPicPr/>
                        </pic:nvPicPr>
                        <pic:blipFill>
                          <a:blip r:embed="rId79"/>
                          <a:stretch>
                            <a:fillRect/>
                          </a:stretch>
                        </pic:blipFill>
                        <pic:spPr>
                          <a:xfrm>
                            <a:off x="0" y="0"/>
                            <a:ext cx="428625" cy="3937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497"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                               粘虫板规格：230*90mm；                       产品功率：8w ；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10464" behindDoc="0" locked="0" layoutInCell="1" allowOverlap="1">
                  <wp:simplePos x="0" y="0"/>
                  <wp:positionH relativeFrom="column">
                    <wp:posOffset>152400</wp:posOffset>
                  </wp:positionH>
                  <wp:positionV relativeFrom="paragraph">
                    <wp:posOffset>513715</wp:posOffset>
                  </wp:positionV>
                  <wp:extent cx="466090" cy="387985"/>
                  <wp:effectExtent l="0" t="0" r="10160" b="12065"/>
                  <wp:wrapNone/>
                  <wp:docPr id="83" name="图片_3_SpCnt_5"/>
                  <wp:cNvGraphicFramePr/>
                  <a:graphic xmlns:a="http://schemas.openxmlformats.org/drawingml/2006/main">
                    <a:graphicData uri="http://schemas.openxmlformats.org/drawingml/2006/picture">
                      <pic:pic xmlns:pic="http://schemas.openxmlformats.org/drawingml/2006/picture">
                        <pic:nvPicPr>
                          <pic:cNvPr id="83" name="图片_3_SpCnt_5"/>
                          <pic:cNvPicPr/>
                        </pic:nvPicPr>
                        <pic:blipFill>
                          <a:blip r:embed="rId80"/>
                          <a:stretch>
                            <a:fillRect/>
                          </a:stretch>
                        </pic:blipFill>
                        <pic:spPr>
                          <a:xfrm>
                            <a:off x="0" y="0"/>
                            <a:ext cx="466090" cy="38798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nil"/>
              <w:left w:val="single" w:color="000000" w:sz="4" w:space="0"/>
              <w:bottom w:val="nil"/>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蒸煮间</w:t>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燃气双门蒸饭箱</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SIZE：约84KG；24盘</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选用SUS304不锈钢板制作，主体板厚约0.8mm，采用优质保温材料，底座采用节能燃气燃烧器，不锈钢水箱，配自动进水装置，可调子弹脚，蒸饭量：约84KG；带熄火保护装置。</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11488" behindDoc="0" locked="0" layoutInCell="1" allowOverlap="1">
                  <wp:simplePos x="0" y="0"/>
                  <wp:positionH relativeFrom="column">
                    <wp:posOffset>152400</wp:posOffset>
                  </wp:positionH>
                  <wp:positionV relativeFrom="paragraph">
                    <wp:posOffset>106045</wp:posOffset>
                  </wp:positionV>
                  <wp:extent cx="390525" cy="552450"/>
                  <wp:effectExtent l="0" t="0" r="9525" b="0"/>
                  <wp:wrapNone/>
                  <wp:docPr id="84" name="图片_55"/>
                  <wp:cNvGraphicFramePr/>
                  <a:graphic xmlns:a="http://schemas.openxmlformats.org/drawingml/2006/main">
                    <a:graphicData uri="http://schemas.openxmlformats.org/drawingml/2006/picture">
                      <pic:pic xmlns:pic="http://schemas.openxmlformats.org/drawingml/2006/picture">
                        <pic:nvPicPr>
                          <pic:cNvPr id="84" name="图片_55"/>
                          <pic:cNvPicPr/>
                        </pic:nvPicPr>
                        <pic:blipFill>
                          <a:blip r:embed="rId81"/>
                          <a:stretch>
                            <a:fillRect/>
                          </a:stretch>
                        </pic:blipFill>
                        <pic:spPr>
                          <a:xfrm>
                            <a:off x="0" y="0"/>
                            <a:ext cx="390525" cy="5524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蒸饭盘</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SIZE：适配蒸饭箱</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不锈钢模压成型，尺寸与蒸饭箱相适配。</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168</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12512" behindDoc="0" locked="0" layoutInCell="1" allowOverlap="1">
                  <wp:simplePos x="0" y="0"/>
                  <wp:positionH relativeFrom="column">
                    <wp:posOffset>133350</wp:posOffset>
                  </wp:positionH>
                  <wp:positionV relativeFrom="paragraph">
                    <wp:posOffset>95885</wp:posOffset>
                  </wp:positionV>
                  <wp:extent cx="466725" cy="362585"/>
                  <wp:effectExtent l="0" t="0" r="9525" b="18415"/>
                  <wp:wrapNone/>
                  <wp:docPr id="85" name="图片_56"/>
                  <wp:cNvGraphicFramePr/>
                  <a:graphic xmlns:a="http://schemas.openxmlformats.org/drawingml/2006/main">
                    <a:graphicData uri="http://schemas.openxmlformats.org/drawingml/2006/picture">
                      <pic:pic xmlns:pic="http://schemas.openxmlformats.org/drawingml/2006/picture">
                        <pic:nvPicPr>
                          <pic:cNvPr id="85" name="图片_56"/>
                          <pic:cNvPicPr/>
                        </pic:nvPicPr>
                        <pic:blipFill>
                          <a:blip r:embed="rId82"/>
                          <a:stretch>
                            <a:fillRect/>
                          </a:stretch>
                        </pic:blipFill>
                        <pic:spPr>
                          <a:xfrm>
                            <a:off x="0" y="0"/>
                            <a:ext cx="466725" cy="36258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电双眼蒸台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SIZE：1600*800*600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选用SUS304-2B不锈钢板制作；台面板1.0mm，台面炮台液压成型；配优质密封垫圈，加厚型不锈钢方管脚，电加热蒸汽型；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13536" behindDoc="0" locked="0" layoutInCell="1" allowOverlap="1">
                  <wp:simplePos x="0" y="0"/>
                  <wp:positionH relativeFrom="column">
                    <wp:posOffset>104775</wp:posOffset>
                  </wp:positionH>
                  <wp:positionV relativeFrom="paragraph">
                    <wp:posOffset>113665</wp:posOffset>
                  </wp:positionV>
                  <wp:extent cx="504825" cy="381635"/>
                  <wp:effectExtent l="0" t="0" r="9525" b="18415"/>
                  <wp:wrapNone/>
                  <wp:docPr id="86" name="Picture_220"/>
                  <wp:cNvGraphicFramePr/>
                  <a:graphic xmlns:a="http://schemas.openxmlformats.org/drawingml/2006/main">
                    <a:graphicData uri="http://schemas.openxmlformats.org/drawingml/2006/picture">
                      <pic:pic xmlns:pic="http://schemas.openxmlformats.org/drawingml/2006/picture">
                        <pic:nvPicPr>
                          <pic:cNvPr id="86" name="Picture_220"/>
                          <pic:cNvPicPr/>
                        </pic:nvPicPr>
                        <pic:blipFill>
                          <a:blip r:embed="rId83"/>
                          <a:stretch>
                            <a:fillRect/>
                          </a:stretch>
                        </pic:blipFill>
                        <pic:spPr>
                          <a:xfrm>
                            <a:off x="0" y="0"/>
                            <a:ext cx="504825" cy="3816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534"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选用SUS304不锈钢板制作（包括加强档、筋），下置一层栅档，台面用衬板加强，配置不锈钢可调脚，台面板厚1.0mm。                                                                       ◆提供生产厂家工作台加档符合GB/T3280-2015《不锈钢冷轧钢板和钢带》的型式检测报告。  </w:t>
            </w:r>
          </w:p>
        </w:tc>
        <w:tc>
          <w:tcPr>
            <w:tcW w:w="6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14560" behindDoc="0" locked="0" layoutInCell="1" allowOverlap="1">
                  <wp:simplePos x="0" y="0"/>
                  <wp:positionH relativeFrom="column">
                    <wp:posOffset>95885</wp:posOffset>
                  </wp:positionH>
                  <wp:positionV relativeFrom="paragraph">
                    <wp:posOffset>343535</wp:posOffset>
                  </wp:positionV>
                  <wp:extent cx="504825" cy="361950"/>
                  <wp:effectExtent l="0" t="0" r="9525" b="0"/>
                  <wp:wrapNone/>
                  <wp:docPr id="87" name="Picture_4_SpCnt_2"/>
                  <wp:cNvGraphicFramePr/>
                  <a:graphic xmlns:a="http://schemas.openxmlformats.org/drawingml/2006/main">
                    <a:graphicData uri="http://schemas.openxmlformats.org/drawingml/2006/picture">
                      <pic:pic xmlns:pic="http://schemas.openxmlformats.org/drawingml/2006/picture">
                        <pic:nvPicPr>
                          <pic:cNvPr id="87" name="Picture_4_SpCnt_2"/>
                          <pic:cNvPicPr/>
                        </pic:nvPicPr>
                        <pic:blipFill>
                          <a:blip r:embed="rId84"/>
                          <a:stretch>
                            <a:fillRect/>
                          </a:stretch>
                        </pic:blipFill>
                        <pic:spPr>
                          <a:xfrm>
                            <a:off x="0" y="0"/>
                            <a:ext cx="504825" cy="3619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淘米水池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SIZE：1000*800*800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15584" behindDoc="0" locked="0" layoutInCell="1" allowOverlap="1">
                  <wp:simplePos x="0" y="0"/>
                  <wp:positionH relativeFrom="column">
                    <wp:posOffset>123190</wp:posOffset>
                  </wp:positionH>
                  <wp:positionV relativeFrom="paragraph">
                    <wp:posOffset>76200</wp:posOffset>
                  </wp:positionV>
                  <wp:extent cx="476885" cy="437515"/>
                  <wp:effectExtent l="0" t="0" r="18415" b="635"/>
                  <wp:wrapNone/>
                  <wp:docPr id="88" name="Picture_54"/>
                  <wp:cNvGraphicFramePr/>
                  <a:graphic xmlns:a="http://schemas.openxmlformats.org/drawingml/2006/main">
                    <a:graphicData uri="http://schemas.openxmlformats.org/drawingml/2006/picture">
                      <pic:pic xmlns:pic="http://schemas.openxmlformats.org/drawingml/2006/picture">
                        <pic:nvPicPr>
                          <pic:cNvPr id="88" name="Picture_54"/>
                          <pic:cNvPicPr/>
                        </pic:nvPicPr>
                        <pic:blipFill>
                          <a:blip r:embed="rId85"/>
                          <a:stretch>
                            <a:fillRect/>
                          </a:stretch>
                        </pic:blipFill>
                        <pic:spPr>
                          <a:xfrm>
                            <a:off x="0" y="0"/>
                            <a:ext cx="476885" cy="4375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7"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高抛混合龙头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1.座台式安装，双孔双温鹅颈水嘴；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3.配1/4转优质陶瓷阀芯一字型手柄；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4.冷热接口开孔间距为101mm，采用偏芯设计可微调（15mm）；</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5.开孔尺寸为25mm ，接口为标准4分外螺纹；</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◆产品材质铅的含量≤0.22%并提供相应检测报告复印件。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16608" behindDoc="0" locked="0" layoutInCell="1" allowOverlap="1">
                  <wp:simplePos x="0" y="0"/>
                  <wp:positionH relativeFrom="column">
                    <wp:posOffset>171450</wp:posOffset>
                  </wp:positionH>
                  <wp:positionV relativeFrom="paragraph">
                    <wp:posOffset>1090930</wp:posOffset>
                  </wp:positionV>
                  <wp:extent cx="343535" cy="436880"/>
                  <wp:effectExtent l="0" t="0" r="18415" b="1270"/>
                  <wp:wrapNone/>
                  <wp:docPr id="89" name="图片_1_SpCnt_3"/>
                  <wp:cNvGraphicFramePr/>
                  <a:graphic xmlns:a="http://schemas.openxmlformats.org/drawingml/2006/main">
                    <a:graphicData uri="http://schemas.openxmlformats.org/drawingml/2006/picture">
                      <pic:pic xmlns:pic="http://schemas.openxmlformats.org/drawingml/2006/picture">
                        <pic:nvPicPr>
                          <pic:cNvPr id="89" name="图片_1_SpCnt_3"/>
                          <pic:cNvPicPr/>
                        </pic:nvPicPr>
                        <pic:blipFill>
                          <a:blip r:embed="rId86"/>
                          <a:stretch>
                            <a:fillRect/>
                          </a:stretch>
                        </pic:blipFill>
                        <pic:spPr>
                          <a:xfrm>
                            <a:off x="0" y="0"/>
                            <a:ext cx="343535" cy="43688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淘米机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SIZE：约￠700×800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选用SUS304-2B不锈钢板制作；主体板厚1.0mm，支架支脚采用不锈钢圆管；自动连续式洗米功能，要求水压2kg以上，洗米量约500KG/h。</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17632" behindDoc="0" locked="0" layoutInCell="1" allowOverlap="1">
                  <wp:simplePos x="0" y="0"/>
                  <wp:positionH relativeFrom="column">
                    <wp:posOffset>200025</wp:posOffset>
                  </wp:positionH>
                  <wp:positionV relativeFrom="paragraph">
                    <wp:posOffset>46990</wp:posOffset>
                  </wp:positionV>
                  <wp:extent cx="343535" cy="466725"/>
                  <wp:effectExtent l="0" t="0" r="18415" b="9525"/>
                  <wp:wrapNone/>
                  <wp:docPr id="90" name="Picture_53"/>
                  <wp:cNvGraphicFramePr/>
                  <a:graphic xmlns:a="http://schemas.openxmlformats.org/drawingml/2006/main">
                    <a:graphicData uri="http://schemas.openxmlformats.org/drawingml/2006/picture">
                      <pic:pic xmlns:pic="http://schemas.openxmlformats.org/drawingml/2006/picture">
                        <pic:nvPicPr>
                          <pic:cNvPr id="90" name="Picture_53"/>
                          <pic:cNvPicPr/>
                        </pic:nvPicPr>
                        <pic:blipFill>
                          <a:blip r:embed="rId87"/>
                          <a:stretch>
                            <a:fillRect/>
                          </a:stretch>
                        </pic:blipFill>
                        <pic:spPr>
                          <a:xfrm>
                            <a:off x="0" y="0"/>
                            <a:ext cx="343535" cy="4667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四层货架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选用SUS304不锈钢制作，搁档采用约0.8mm不锈钢复边成条状，配置不锈钢可调脚，不锈钢封口盖加厚型圆管制作；格栅型。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18656" behindDoc="0" locked="0" layoutInCell="1" allowOverlap="1">
                  <wp:simplePos x="0" y="0"/>
                  <wp:positionH relativeFrom="column">
                    <wp:posOffset>200025</wp:posOffset>
                  </wp:positionH>
                  <wp:positionV relativeFrom="paragraph">
                    <wp:posOffset>57785</wp:posOffset>
                  </wp:positionV>
                  <wp:extent cx="333375" cy="408940"/>
                  <wp:effectExtent l="0" t="0" r="9525" b="10160"/>
                  <wp:wrapNone/>
                  <wp:docPr id="91" name="Picture_1_SpCnt_3"/>
                  <wp:cNvGraphicFramePr/>
                  <a:graphic xmlns:a="http://schemas.openxmlformats.org/drawingml/2006/main">
                    <a:graphicData uri="http://schemas.openxmlformats.org/drawingml/2006/picture">
                      <pic:pic xmlns:pic="http://schemas.openxmlformats.org/drawingml/2006/picture">
                        <pic:nvPicPr>
                          <pic:cNvPr id="91" name="Picture_1_SpCnt_3"/>
                          <pic:cNvPicPr/>
                        </pic:nvPicPr>
                        <pic:blipFill>
                          <a:blip r:embed="rId88"/>
                          <a:stretch>
                            <a:fillRect/>
                          </a:stretch>
                        </pic:blipFill>
                        <pic:spPr>
                          <a:xfrm>
                            <a:off x="0" y="0"/>
                            <a:ext cx="333375" cy="40894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排油烟罩（蒸煮）</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SIZE：约12.4m</w:t>
            </w:r>
            <w:r>
              <w:rPr>
                <w:rFonts w:hint="eastAsia" w:ascii="宋体" w:hAnsi="宋体" w:cs="宋体"/>
                <w:color w:val="000000"/>
                <w:kern w:val="0"/>
                <w:sz w:val="24"/>
                <w:vertAlign w:val="superscript"/>
                <w:lang w:bidi="ar"/>
              </w:rPr>
              <w:t>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选用优质不锈钢板制作，板厚0.8mm，配积油杯、防爆灯；（最终规格按现场空间实量为准）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12.4</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19680" behindDoc="0" locked="0" layoutInCell="1" allowOverlap="1">
                  <wp:simplePos x="0" y="0"/>
                  <wp:positionH relativeFrom="column">
                    <wp:posOffset>57150</wp:posOffset>
                  </wp:positionH>
                  <wp:positionV relativeFrom="paragraph">
                    <wp:posOffset>114300</wp:posOffset>
                  </wp:positionV>
                  <wp:extent cx="591185" cy="277495"/>
                  <wp:effectExtent l="0" t="0" r="18415" b="8255"/>
                  <wp:wrapNone/>
                  <wp:docPr id="92" name="Picture_366"/>
                  <wp:cNvGraphicFramePr/>
                  <a:graphic xmlns:a="http://schemas.openxmlformats.org/drawingml/2006/main">
                    <a:graphicData uri="http://schemas.openxmlformats.org/drawingml/2006/picture">
                      <pic:pic xmlns:pic="http://schemas.openxmlformats.org/drawingml/2006/picture">
                        <pic:nvPicPr>
                          <pic:cNvPr id="92" name="Picture_366"/>
                          <pic:cNvPicPr/>
                        </pic:nvPicPr>
                        <pic:blipFill>
                          <a:blip r:embed="rId89"/>
                          <a:stretch>
                            <a:fillRect/>
                          </a:stretch>
                        </pic:blipFill>
                        <pic:spPr>
                          <a:xfrm>
                            <a:off x="0" y="0"/>
                            <a:ext cx="591185" cy="27749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排油烟罩（蒸煮）</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SIZE：约12.4m</w:t>
            </w:r>
            <w:r>
              <w:rPr>
                <w:rFonts w:hint="eastAsia" w:ascii="宋体" w:hAnsi="宋体" w:cs="宋体"/>
                <w:color w:val="000000"/>
                <w:kern w:val="0"/>
                <w:sz w:val="24"/>
                <w:vertAlign w:val="superscript"/>
                <w:lang w:bidi="ar"/>
              </w:rPr>
              <w:t>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选用优质不锈钢板制作，板厚0.8mm，配积油杯、防爆灯；（最终规格按现场空间实量为准）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12.4</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20704" behindDoc="0" locked="0" layoutInCell="1" allowOverlap="1">
                  <wp:simplePos x="0" y="0"/>
                  <wp:positionH relativeFrom="column">
                    <wp:posOffset>57150</wp:posOffset>
                  </wp:positionH>
                  <wp:positionV relativeFrom="paragraph">
                    <wp:posOffset>133350</wp:posOffset>
                  </wp:positionV>
                  <wp:extent cx="591185" cy="285750"/>
                  <wp:effectExtent l="0" t="0" r="18415" b="0"/>
                  <wp:wrapNone/>
                  <wp:docPr id="93" name="Picture_366_SpCnt_1"/>
                  <wp:cNvGraphicFramePr/>
                  <a:graphic xmlns:a="http://schemas.openxmlformats.org/drawingml/2006/main">
                    <a:graphicData uri="http://schemas.openxmlformats.org/drawingml/2006/picture">
                      <pic:pic xmlns:pic="http://schemas.openxmlformats.org/drawingml/2006/picture">
                        <pic:nvPicPr>
                          <pic:cNvPr id="93" name="Picture_366_SpCnt_1"/>
                          <pic:cNvPicPr/>
                        </pic:nvPicPr>
                        <pic:blipFill>
                          <a:blip r:embed="rId90"/>
                          <a:stretch>
                            <a:fillRect/>
                          </a:stretch>
                        </pic:blipFill>
                        <pic:spPr>
                          <a:xfrm>
                            <a:off x="0" y="0"/>
                            <a:ext cx="591185" cy="2857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8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10</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排油烟罩灭火系统</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SIZE：双瓶</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1、厨房设备灭火装置，是厨房烹饪设备及排烟罩、烟道必备的消防保护产品；本设备24小时自动探测火灾，自动灭火启动方式:机械式自动启动和机械应急启动。                                                                                                                                                                                                                                                                                                                                                                                                                                                                                                                 2、药剂充装量：单瓶组药剂装置≥3.5L，双瓶组药剂装置≥23L。                                                                                                                                                                                                                                                             4、联动性能单瓶组喷射时间≥19.2秒，喷射延迟时间≥1.0秒，具有水冷却功能装置，在灭火剂完全喷射后，水流联动阀应能立即开启喷水，自动切换时间≥2秒。                                                                                                                                                                                                                                                5、联动性能双瓶组喷射时间≥23.1秒，喷射延迟时间≥1.0秒，具有水冷却功能装置，在灭火剂完全喷射后，水流联动阀应能立即开启喷水，自动切换时间≥3.1秒。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套</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21728" behindDoc="0" locked="0" layoutInCell="1" allowOverlap="1">
                  <wp:simplePos x="0" y="0"/>
                  <wp:positionH relativeFrom="column">
                    <wp:posOffset>142875</wp:posOffset>
                  </wp:positionH>
                  <wp:positionV relativeFrom="paragraph">
                    <wp:posOffset>958215</wp:posOffset>
                  </wp:positionV>
                  <wp:extent cx="448310" cy="683260"/>
                  <wp:effectExtent l="0" t="0" r="8890" b="2540"/>
                  <wp:wrapNone/>
                  <wp:docPr id="94" name="图片_29"/>
                  <wp:cNvGraphicFramePr/>
                  <a:graphic xmlns:a="http://schemas.openxmlformats.org/drawingml/2006/main">
                    <a:graphicData uri="http://schemas.openxmlformats.org/drawingml/2006/picture">
                      <pic:pic xmlns:pic="http://schemas.openxmlformats.org/drawingml/2006/picture">
                        <pic:nvPicPr>
                          <pic:cNvPr id="94" name="图片_29"/>
                          <pic:cNvPicPr/>
                        </pic:nvPicPr>
                        <pic:blipFill>
                          <a:blip r:embed="rId91"/>
                          <a:stretch>
                            <a:fillRect/>
                          </a:stretch>
                        </pic:blipFill>
                        <pic:spPr>
                          <a:xfrm>
                            <a:off x="0" y="0"/>
                            <a:ext cx="448310" cy="68326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37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冲地龙头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1. 开放式洗地龙头、碳钢主体，表面环氧喷涂处理（浅蓝色）;                                      2.固定侧支架钢板厚度5mm，黄铜进水主体;                                                     3. 10.8米重工无痕三层液压钢丝管（蓝色）、与主体接口为金属连接件、耐温85度;                                                                  4.黄铜铸造枪式喷头、配有橡胶保护套水压可调。（配置一把喷头）;                                                                                   5. 进水接口为标准1/2"外螺纹;                                                                   ◆生产厂家有购买产品第三方责任险，累计赔偿额不低于200万元。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22752" behindDoc="0" locked="0" layoutInCell="1" allowOverlap="1">
                  <wp:simplePos x="0" y="0"/>
                  <wp:positionH relativeFrom="column">
                    <wp:posOffset>114300</wp:posOffset>
                  </wp:positionH>
                  <wp:positionV relativeFrom="paragraph">
                    <wp:posOffset>937895</wp:posOffset>
                  </wp:positionV>
                  <wp:extent cx="466725" cy="418465"/>
                  <wp:effectExtent l="0" t="0" r="9525" b="635"/>
                  <wp:wrapNone/>
                  <wp:docPr id="95" name="Picture_1165_SpCnt_2"/>
                  <wp:cNvGraphicFramePr/>
                  <a:graphic xmlns:a="http://schemas.openxmlformats.org/drawingml/2006/main">
                    <a:graphicData uri="http://schemas.openxmlformats.org/drawingml/2006/picture">
                      <pic:pic xmlns:pic="http://schemas.openxmlformats.org/drawingml/2006/picture">
                        <pic:nvPicPr>
                          <pic:cNvPr id="95" name="Picture_1165_SpCnt_2"/>
                          <pic:cNvPicPr/>
                        </pic:nvPicPr>
                        <pic:blipFill>
                          <a:blip r:embed="rId92"/>
                          <a:stretch>
                            <a:fillRect/>
                          </a:stretch>
                        </pic:blipFill>
                        <pic:spPr>
                          <a:xfrm>
                            <a:off x="0" y="0"/>
                            <a:ext cx="466725" cy="41846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23776" behindDoc="0" locked="0" layoutInCell="1" allowOverlap="1">
                  <wp:simplePos x="0" y="0"/>
                  <wp:positionH relativeFrom="column">
                    <wp:posOffset>104775</wp:posOffset>
                  </wp:positionH>
                  <wp:positionV relativeFrom="paragraph">
                    <wp:posOffset>513715</wp:posOffset>
                  </wp:positionV>
                  <wp:extent cx="485140" cy="410210"/>
                  <wp:effectExtent l="0" t="0" r="10160" b="8890"/>
                  <wp:wrapNone/>
                  <wp:docPr id="96" name="图片_3_SpCnt_6"/>
                  <wp:cNvGraphicFramePr/>
                  <a:graphic xmlns:a="http://schemas.openxmlformats.org/drawingml/2006/main">
                    <a:graphicData uri="http://schemas.openxmlformats.org/drawingml/2006/picture">
                      <pic:pic xmlns:pic="http://schemas.openxmlformats.org/drawingml/2006/picture">
                        <pic:nvPicPr>
                          <pic:cNvPr id="96" name="图片_3_SpCnt_6"/>
                          <pic:cNvPicPr/>
                        </pic:nvPicPr>
                        <pic:blipFill>
                          <a:blip r:embed="rId93"/>
                          <a:stretch>
                            <a:fillRect/>
                          </a:stretch>
                        </pic:blipFill>
                        <pic:spPr>
                          <a:xfrm>
                            <a:off x="0" y="0"/>
                            <a:ext cx="485140" cy="41021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nil"/>
              <w:left w:val="single" w:color="000000" w:sz="4" w:space="0"/>
              <w:bottom w:val="nil"/>
              <w:right w:val="single" w:color="000000" w:sz="4" w:space="0"/>
            </w:tcBorders>
            <w:shd w:val="clear" w:color="auto" w:fill="auto"/>
            <w:noWrap/>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烹饪间</w:t>
            </w:r>
          </w:p>
        </w:tc>
      </w:tr>
      <w:tr>
        <w:tblPrEx>
          <w:tblCellMar>
            <w:top w:w="0" w:type="dxa"/>
            <w:left w:w="108" w:type="dxa"/>
            <w:bottom w:w="0" w:type="dxa"/>
            <w:right w:w="108" w:type="dxa"/>
          </w:tblCellMar>
        </w:tblPrEx>
        <w:trPr>
          <w:trHeight w:val="1327"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双水池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SIZE：1800*700*800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                                                                   ◆提供生产厂家双水池符合GB/T3280-2015《不锈钢冷轧钢板和钢带》的型式检测报告。</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24800" behindDoc="0" locked="0" layoutInCell="1" allowOverlap="1">
                  <wp:simplePos x="0" y="0"/>
                  <wp:positionH relativeFrom="column">
                    <wp:posOffset>85725</wp:posOffset>
                  </wp:positionH>
                  <wp:positionV relativeFrom="paragraph">
                    <wp:posOffset>379730</wp:posOffset>
                  </wp:positionV>
                  <wp:extent cx="542925" cy="387985"/>
                  <wp:effectExtent l="0" t="0" r="9525" b="12065"/>
                  <wp:wrapNone/>
                  <wp:docPr id="97" name="Picture_170_SpCnt_1"/>
                  <wp:cNvGraphicFramePr/>
                  <a:graphic xmlns:a="http://schemas.openxmlformats.org/drawingml/2006/main">
                    <a:graphicData uri="http://schemas.openxmlformats.org/drawingml/2006/picture">
                      <pic:pic xmlns:pic="http://schemas.openxmlformats.org/drawingml/2006/picture">
                        <pic:nvPicPr>
                          <pic:cNvPr id="97" name="Picture_170_SpCnt_1"/>
                          <pic:cNvPicPr/>
                        </pic:nvPicPr>
                        <pic:blipFill>
                          <a:blip r:embed="rId70"/>
                          <a:stretch>
                            <a:fillRect/>
                          </a:stretch>
                        </pic:blipFill>
                        <pic:spPr>
                          <a:xfrm>
                            <a:off x="0" y="0"/>
                            <a:ext cx="542925" cy="38798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225"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高抛混合龙头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1.座台式安装，双孔双温鹅颈水嘴；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3.配1/4转优质陶瓷阀芯一字型手柄；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4.冷热接口开孔间距为101mm，采用偏芯设计可微调（15mm）；</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5.开孔尺寸为25mm ，接口为标准4分外螺纹；</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◆产品材质铅的含量≤0.22%并提供相应检测报告复印件。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25824" behindDoc="0" locked="0" layoutInCell="1" allowOverlap="1">
                  <wp:simplePos x="0" y="0"/>
                  <wp:positionH relativeFrom="column">
                    <wp:posOffset>161925</wp:posOffset>
                  </wp:positionH>
                  <wp:positionV relativeFrom="paragraph">
                    <wp:posOffset>1052830</wp:posOffset>
                  </wp:positionV>
                  <wp:extent cx="381000" cy="512445"/>
                  <wp:effectExtent l="0" t="0" r="0" b="1905"/>
                  <wp:wrapNone/>
                  <wp:docPr id="98" name="图片_1_SpCnt_4"/>
                  <wp:cNvGraphicFramePr/>
                  <a:graphic xmlns:a="http://schemas.openxmlformats.org/drawingml/2006/main">
                    <a:graphicData uri="http://schemas.openxmlformats.org/drawingml/2006/picture">
                      <pic:pic xmlns:pic="http://schemas.openxmlformats.org/drawingml/2006/picture">
                        <pic:nvPicPr>
                          <pic:cNvPr id="98" name="图片_1_SpCnt_4"/>
                          <pic:cNvPicPr/>
                        </pic:nvPicPr>
                        <pic:blipFill>
                          <a:blip r:embed="rId94"/>
                          <a:stretch>
                            <a:fillRect/>
                          </a:stretch>
                        </pic:blipFill>
                        <pic:spPr>
                          <a:xfrm>
                            <a:off x="0" y="0"/>
                            <a:ext cx="381000" cy="51244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选用SUS304不锈钢板制作（包括加强档、筋），下置一层栅档，台面用衬板加强，配置不锈钢可调脚，台面板厚1.0mm。                                                                       ◆提供生产厂家工作台加档符合GB/T3280-2015《不锈钢冷轧钢板和钢带》标准的型式检测报告。  </w:t>
            </w:r>
          </w:p>
        </w:tc>
        <w:tc>
          <w:tcPr>
            <w:tcW w:w="6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26848" behindDoc="0" locked="0" layoutInCell="1" allowOverlap="1">
                  <wp:simplePos x="0" y="0"/>
                  <wp:positionH relativeFrom="column">
                    <wp:posOffset>76200</wp:posOffset>
                  </wp:positionH>
                  <wp:positionV relativeFrom="paragraph">
                    <wp:posOffset>379730</wp:posOffset>
                  </wp:positionV>
                  <wp:extent cx="542290" cy="419735"/>
                  <wp:effectExtent l="0" t="0" r="10160" b="18415"/>
                  <wp:wrapNone/>
                  <wp:docPr id="99" name="Picture_4_SpCnt_3"/>
                  <wp:cNvGraphicFramePr/>
                  <a:graphic xmlns:a="http://schemas.openxmlformats.org/drawingml/2006/main">
                    <a:graphicData uri="http://schemas.openxmlformats.org/drawingml/2006/picture">
                      <pic:pic xmlns:pic="http://schemas.openxmlformats.org/drawingml/2006/picture">
                        <pic:nvPicPr>
                          <pic:cNvPr id="99" name="Picture_4_SpCnt_3"/>
                          <pic:cNvPicPr/>
                        </pic:nvPicPr>
                        <pic:blipFill>
                          <a:blip r:embed="rId95"/>
                          <a:stretch>
                            <a:fillRect/>
                          </a:stretch>
                        </pic:blipFill>
                        <pic:spPr>
                          <a:xfrm>
                            <a:off x="0" y="0"/>
                            <a:ext cx="542290" cy="4197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575"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低搁架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SIZE：1200*500*250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选用SUS304不锈钢板制作，骨架采用约0.8mm加厚型不锈钢方管制作；格栅型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27872" behindDoc="0" locked="0" layoutInCell="1" allowOverlap="1">
                  <wp:simplePos x="0" y="0"/>
                  <wp:positionH relativeFrom="column">
                    <wp:posOffset>85725</wp:posOffset>
                  </wp:positionH>
                  <wp:positionV relativeFrom="paragraph">
                    <wp:posOffset>351790</wp:posOffset>
                  </wp:positionV>
                  <wp:extent cx="523875" cy="343535"/>
                  <wp:effectExtent l="0" t="0" r="9525" b="18415"/>
                  <wp:wrapNone/>
                  <wp:docPr id="100" name="Picture_125_SpCnt_2"/>
                  <wp:cNvGraphicFramePr/>
                  <a:graphic xmlns:a="http://schemas.openxmlformats.org/drawingml/2006/main">
                    <a:graphicData uri="http://schemas.openxmlformats.org/drawingml/2006/picture">
                      <pic:pic xmlns:pic="http://schemas.openxmlformats.org/drawingml/2006/picture">
                        <pic:nvPicPr>
                          <pic:cNvPr id="100" name="Picture_125_SpCnt_2"/>
                          <pic:cNvPicPr/>
                        </pic:nvPicPr>
                        <pic:blipFill>
                          <a:blip r:embed="rId96"/>
                          <a:stretch>
                            <a:fillRect/>
                          </a:stretch>
                        </pic:blipFill>
                        <pic:spPr>
                          <a:xfrm>
                            <a:off x="0" y="0"/>
                            <a:ext cx="523875" cy="3435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单开门操作台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选用SUS304不锈钢板制作（包括加强档、筋），台面用衬板加强，台面板厚1.0mm，内置一层搁板，一面配有上挂式双移门，配不锈钢可调脚。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28896" behindDoc="0" locked="0" layoutInCell="1" allowOverlap="1">
                  <wp:simplePos x="0" y="0"/>
                  <wp:positionH relativeFrom="column">
                    <wp:posOffset>85725</wp:posOffset>
                  </wp:positionH>
                  <wp:positionV relativeFrom="paragraph">
                    <wp:posOffset>133985</wp:posOffset>
                  </wp:positionV>
                  <wp:extent cx="562610" cy="361315"/>
                  <wp:effectExtent l="0" t="0" r="8890" b="635"/>
                  <wp:wrapNone/>
                  <wp:docPr id="101" name="Picture_360_SpCnt_3"/>
                  <wp:cNvGraphicFramePr/>
                  <a:graphic xmlns:a="http://schemas.openxmlformats.org/drawingml/2006/main">
                    <a:graphicData uri="http://schemas.openxmlformats.org/drawingml/2006/picture">
                      <pic:pic xmlns:pic="http://schemas.openxmlformats.org/drawingml/2006/picture">
                        <pic:nvPicPr>
                          <pic:cNvPr id="101" name="Picture_360_SpCnt_3"/>
                          <pic:cNvPicPr/>
                        </pic:nvPicPr>
                        <pic:blipFill>
                          <a:blip r:embed="rId97"/>
                          <a:stretch>
                            <a:fillRect/>
                          </a:stretch>
                        </pic:blipFill>
                        <pic:spPr>
                          <a:xfrm>
                            <a:off x="0" y="0"/>
                            <a:ext cx="562610" cy="3613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两眼大锅灶（带后背烟道）</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SIZE：2200*1250*800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选用SUS304不锈钢板制作，全不锈钢灶体外壳，35*35角铁炉架，炮台、炉围用不锈钢板液压成型，配可调脚，面板1.0mm，￠800大锅，燃气型；带熄火保护装置；                                                  ◆提供生产厂家炊用燃气大锅灶符合CJ/T392-2012《炊用燃气大锅灶》标准的型式检验报告。</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29920" behindDoc="0" locked="0" layoutInCell="1" allowOverlap="1">
                  <wp:simplePos x="0" y="0"/>
                  <wp:positionH relativeFrom="column">
                    <wp:posOffset>38100</wp:posOffset>
                  </wp:positionH>
                  <wp:positionV relativeFrom="paragraph">
                    <wp:posOffset>361950</wp:posOffset>
                  </wp:positionV>
                  <wp:extent cx="610235" cy="446405"/>
                  <wp:effectExtent l="0" t="0" r="18415" b="10795"/>
                  <wp:wrapNone/>
                  <wp:docPr id="102" name="图片_168"/>
                  <wp:cNvGraphicFramePr/>
                  <a:graphic xmlns:a="http://schemas.openxmlformats.org/drawingml/2006/main">
                    <a:graphicData uri="http://schemas.openxmlformats.org/drawingml/2006/picture">
                      <pic:pic xmlns:pic="http://schemas.openxmlformats.org/drawingml/2006/picture">
                        <pic:nvPicPr>
                          <pic:cNvPr id="102" name="图片_168"/>
                          <pic:cNvPicPr/>
                        </pic:nvPicPr>
                        <pic:blipFill>
                          <a:blip r:embed="rId98"/>
                          <a:stretch>
                            <a:fillRect/>
                          </a:stretch>
                        </pic:blipFill>
                        <pic:spPr>
                          <a:xfrm>
                            <a:off x="0" y="0"/>
                            <a:ext cx="610235" cy="446405"/>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730944" behindDoc="0" locked="0" layoutInCell="1" allowOverlap="1">
                  <wp:simplePos x="0" y="0"/>
                  <wp:positionH relativeFrom="column">
                    <wp:posOffset>76200</wp:posOffset>
                  </wp:positionH>
                  <wp:positionV relativeFrom="paragraph">
                    <wp:posOffset>209550</wp:posOffset>
                  </wp:positionV>
                  <wp:extent cx="600075" cy="0"/>
                  <wp:effectExtent l="0" t="0" r="0" b="0"/>
                  <wp:wrapNone/>
                  <wp:docPr id="103" name="图片_168_SpCnt_1"/>
                  <wp:cNvGraphicFramePr/>
                  <a:graphic xmlns:a="http://schemas.openxmlformats.org/drawingml/2006/main">
                    <a:graphicData uri="http://schemas.openxmlformats.org/drawingml/2006/picture">
                      <pic:pic xmlns:pic="http://schemas.openxmlformats.org/drawingml/2006/picture">
                        <pic:nvPicPr>
                          <pic:cNvPr id="103" name="图片_168_SpCnt_1"/>
                          <pic:cNvPicPr/>
                        </pic:nvPicPr>
                        <pic:blipFill>
                          <a:blip r:embed="rId67"/>
                          <a:stretch>
                            <a:fillRect/>
                          </a:stretch>
                        </pic:blipFill>
                        <pic:spPr>
                          <a:xfrm>
                            <a:off x="0" y="0"/>
                            <a:ext cx="600075"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672"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一广一京炒灶（后档同大灶）                 </w:t>
            </w:r>
            <w:r>
              <w:rPr>
                <w:rFonts w:hint="eastAsia" w:ascii="宋体" w:hAnsi="宋体" w:cs="宋体"/>
                <w:b/>
                <w:bCs/>
                <w:color w:val="FF0000"/>
                <w:kern w:val="0"/>
                <w:sz w:val="24"/>
                <w:lang w:bidi="ar"/>
              </w:rPr>
              <w:t>（提供样品）</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FF0000"/>
                <w:sz w:val="24"/>
              </w:rPr>
            </w:pPr>
            <w:r>
              <w:rPr>
                <w:rFonts w:hint="eastAsia" w:ascii="宋体" w:hAnsi="宋体" w:cs="宋体"/>
                <w:color w:val="FF0000"/>
                <w:kern w:val="0"/>
                <w:sz w:val="24"/>
                <w:lang w:bidi="ar"/>
              </w:rPr>
              <w:t>SIZE：2000*1250*800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选用SUS304不锈钢板制作，全不锈钢灶体外壳，35*35角铁炉架，炮台、炉围用不锈钢板液压成型，配可调脚，面板1.0mm，一广一京炒锅，燃气型；带熄火保护装置；                                                     ◆提供生产厂家中餐燃气炒菜灶符合GB30531-2014《商用燃气灶具能效限定值及能效等级》标准的能效检测报告。</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31968" behindDoc="0" locked="0" layoutInCell="1" allowOverlap="1">
                  <wp:simplePos x="0" y="0"/>
                  <wp:positionH relativeFrom="column">
                    <wp:posOffset>57150</wp:posOffset>
                  </wp:positionH>
                  <wp:positionV relativeFrom="paragraph">
                    <wp:posOffset>370840</wp:posOffset>
                  </wp:positionV>
                  <wp:extent cx="591185" cy="437515"/>
                  <wp:effectExtent l="0" t="0" r="18415" b="635"/>
                  <wp:wrapNone/>
                  <wp:docPr id="104" name="图片_80"/>
                  <wp:cNvGraphicFramePr/>
                  <a:graphic xmlns:a="http://schemas.openxmlformats.org/drawingml/2006/main">
                    <a:graphicData uri="http://schemas.openxmlformats.org/drawingml/2006/picture">
                      <pic:pic xmlns:pic="http://schemas.openxmlformats.org/drawingml/2006/picture">
                        <pic:nvPicPr>
                          <pic:cNvPr id="104" name="图片_80"/>
                          <pic:cNvPicPr/>
                        </pic:nvPicPr>
                        <pic:blipFill>
                          <a:blip r:embed="rId99"/>
                          <a:stretch>
                            <a:fillRect/>
                          </a:stretch>
                        </pic:blipFill>
                        <pic:spPr>
                          <a:xfrm>
                            <a:off x="0" y="0"/>
                            <a:ext cx="591185" cy="4375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四层货架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选用SUS304不锈钢制作，搁档采用约0.8mm不锈钢复边成条状，配置不锈钢可调脚，不锈钢封口盖加厚型圆管制作；格栅型。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32992" behindDoc="0" locked="0" layoutInCell="1" allowOverlap="1">
                  <wp:simplePos x="0" y="0"/>
                  <wp:positionH relativeFrom="column">
                    <wp:posOffset>190500</wp:posOffset>
                  </wp:positionH>
                  <wp:positionV relativeFrom="paragraph">
                    <wp:posOffset>57785</wp:posOffset>
                  </wp:positionV>
                  <wp:extent cx="352425" cy="437515"/>
                  <wp:effectExtent l="0" t="0" r="9525" b="635"/>
                  <wp:wrapNone/>
                  <wp:docPr id="105" name="Picture_1_SpCnt_4"/>
                  <wp:cNvGraphicFramePr/>
                  <a:graphic xmlns:a="http://schemas.openxmlformats.org/drawingml/2006/main">
                    <a:graphicData uri="http://schemas.openxmlformats.org/drawingml/2006/picture">
                      <pic:pic xmlns:pic="http://schemas.openxmlformats.org/drawingml/2006/picture">
                        <pic:nvPicPr>
                          <pic:cNvPr id="105" name="Picture_1_SpCnt_4"/>
                          <pic:cNvPicPr/>
                        </pic:nvPicPr>
                        <pic:blipFill>
                          <a:blip r:embed="rId100"/>
                          <a:stretch>
                            <a:fillRect/>
                          </a:stretch>
                        </pic:blipFill>
                        <pic:spPr>
                          <a:xfrm>
                            <a:off x="0" y="0"/>
                            <a:ext cx="352425" cy="4375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平板料台（后档同大灶）</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SIZE：450*1250*800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选用SUS304不锈钢板制作，配置不锈钢可调脚，台面板厚1.0mm。带后挡板，且后档与炉灶后档匹配；（最终规格按现场实际空间实量为准）</w:t>
            </w:r>
          </w:p>
        </w:tc>
        <w:tc>
          <w:tcPr>
            <w:tcW w:w="6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34016" behindDoc="0" locked="0" layoutInCell="1" allowOverlap="1">
                  <wp:simplePos x="0" y="0"/>
                  <wp:positionH relativeFrom="column">
                    <wp:posOffset>228600</wp:posOffset>
                  </wp:positionH>
                  <wp:positionV relativeFrom="paragraph">
                    <wp:posOffset>46990</wp:posOffset>
                  </wp:positionV>
                  <wp:extent cx="276225" cy="466725"/>
                  <wp:effectExtent l="0" t="0" r="9525" b="9525"/>
                  <wp:wrapNone/>
                  <wp:docPr id="106" name="Picture_353"/>
                  <wp:cNvGraphicFramePr/>
                  <a:graphic xmlns:a="http://schemas.openxmlformats.org/drawingml/2006/main">
                    <a:graphicData uri="http://schemas.openxmlformats.org/drawingml/2006/picture">
                      <pic:pic xmlns:pic="http://schemas.openxmlformats.org/drawingml/2006/picture">
                        <pic:nvPicPr>
                          <pic:cNvPr id="106" name="Picture_353"/>
                          <pic:cNvPicPr/>
                        </pic:nvPicPr>
                        <pic:blipFill>
                          <a:blip r:embed="rId101"/>
                          <a:stretch>
                            <a:fillRect/>
                          </a:stretch>
                        </pic:blipFill>
                        <pic:spPr>
                          <a:xfrm>
                            <a:off x="0" y="0"/>
                            <a:ext cx="276225" cy="4667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8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冲地龙头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1.开放式洗地龙头、碳钢主体，表面环氧喷涂处理（浅蓝色）;                                      2.固定侧支架钢板厚度5mm，黄铜进水主体;                                                    3. 10.8米重工无痕三层液压钢丝管（蓝色）、与主体接口为金属连接件、耐温85度;                                                                 4. 黄铜铸造枪式喷头、配有橡胶保护套水压可调（配置一把喷头）;                                                                                   5.进水接口为标准1/2"外螺纹;                                                                  ◆生产厂家有购买产品第三方责任险，累计赔偿额不低于200万元。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35040" behindDoc="0" locked="0" layoutInCell="1" allowOverlap="1">
                  <wp:simplePos x="0" y="0"/>
                  <wp:positionH relativeFrom="column">
                    <wp:posOffset>133350</wp:posOffset>
                  </wp:positionH>
                  <wp:positionV relativeFrom="paragraph">
                    <wp:posOffset>988060</wp:posOffset>
                  </wp:positionV>
                  <wp:extent cx="399415" cy="351155"/>
                  <wp:effectExtent l="0" t="0" r="635" b="10795"/>
                  <wp:wrapNone/>
                  <wp:docPr id="107" name="Picture_1165_SpCnt_3"/>
                  <wp:cNvGraphicFramePr/>
                  <a:graphic xmlns:a="http://schemas.openxmlformats.org/drawingml/2006/main">
                    <a:graphicData uri="http://schemas.openxmlformats.org/drawingml/2006/picture">
                      <pic:pic xmlns:pic="http://schemas.openxmlformats.org/drawingml/2006/picture">
                        <pic:nvPicPr>
                          <pic:cNvPr id="107" name="Picture_1165_SpCnt_3"/>
                          <pic:cNvPicPr/>
                        </pic:nvPicPr>
                        <pic:blipFill>
                          <a:blip r:embed="rId102"/>
                          <a:stretch>
                            <a:fillRect/>
                          </a:stretch>
                        </pic:blipFill>
                        <pic:spPr>
                          <a:xfrm>
                            <a:off x="0" y="0"/>
                            <a:ext cx="399415" cy="35115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10</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燃气稀饭锅</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SIZE：150公斤</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锅架和锅体采用优质不锈钢制作，倾倒方式：手动摇臂机械式，燃烧器类型：燃气炉芯，点火方式：电子点火装置；容量：约150L，带熄火保护装置；                                                                        ◆提供生产厂家符合GB35848-2018《商用燃气燃烧器具》标准的可倾式燃气稀饭锅检测报告。</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36064" behindDoc="0" locked="0" layoutInCell="1" allowOverlap="1">
                  <wp:simplePos x="0" y="0"/>
                  <wp:positionH relativeFrom="column">
                    <wp:posOffset>85725</wp:posOffset>
                  </wp:positionH>
                  <wp:positionV relativeFrom="paragraph">
                    <wp:posOffset>428625</wp:posOffset>
                  </wp:positionV>
                  <wp:extent cx="495300" cy="504825"/>
                  <wp:effectExtent l="0" t="0" r="0" b="9525"/>
                  <wp:wrapNone/>
                  <wp:docPr id="108" name="Picture_2"/>
                  <wp:cNvGraphicFramePr/>
                  <a:graphic xmlns:a="http://schemas.openxmlformats.org/drawingml/2006/main">
                    <a:graphicData uri="http://schemas.openxmlformats.org/drawingml/2006/picture">
                      <pic:pic xmlns:pic="http://schemas.openxmlformats.org/drawingml/2006/picture">
                        <pic:nvPicPr>
                          <pic:cNvPr id="108" name="Picture_2"/>
                          <pic:cNvPicPr/>
                        </pic:nvPicPr>
                        <pic:blipFill>
                          <a:blip r:embed="rId103"/>
                          <a:stretch>
                            <a:fillRect/>
                          </a:stretch>
                        </pic:blipFill>
                        <pic:spPr>
                          <a:xfrm>
                            <a:off x="0" y="0"/>
                            <a:ext cx="495300" cy="5048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8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排油烟罩灭火系统</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SIZE：双瓶</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1、厨房设备灭火装置，是厨房烹饪设备及排烟罩、烟道必备的消防保护产品；本设备24小时自动探测火灾，自动灭火启动方式:机械式自动启动和机械应急启动。                                                                                                                                                                                                                                                                                                                                                                                                                                                                                                                  2、药剂充装量：单瓶组药剂装置≥3.5L，双瓶组药剂装置≥23L。                                                                                                                                                                                                                                                             4、联动性能单瓶组喷射时间≥19.2秒，喷射延迟时间≥1.0秒，具有水冷却功能装置，在灭火剂完全喷射后，水流联动阀应能立即开启喷水，自动切换时间≥2秒。                                                                                                                                                                                                                                                 5、联动性能双瓶组喷射时间≥23.1秒，喷射延迟时间≥1.0秒，具有水冷却功能装置，在灭火剂完全喷射后，水流联动阀应能立即开启喷水，自动切换时间≥3.1秒。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套</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37088" behindDoc="0" locked="0" layoutInCell="1" allowOverlap="1">
                  <wp:simplePos x="0" y="0"/>
                  <wp:positionH relativeFrom="column">
                    <wp:posOffset>123190</wp:posOffset>
                  </wp:positionH>
                  <wp:positionV relativeFrom="paragraph">
                    <wp:posOffset>996315</wp:posOffset>
                  </wp:positionV>
                  <wp:extent cx="448310" cy="683260"/>
                  <wp:effectExtent l="0" t="0" r="8890" b="2540"/>
                  <wp:wrapNone/>
                  <wp:docPr id="109" name="图片_29_SpCnt_1"/>
                  <wp:cNvGraphicFramePr/>
                  <a:graphic xmlns:a="http://schemas.openxmlformats.org/drawingml/2006/main">
                    <a:graphicData uri="http://schemas.openxmlformats.org/drawingml/2006/picture">
                      <pic:pic xmlns:pic="http://schemas.openxmlformats.org/drawingml/2006/picture">
                        <pic:nvPicPr>
                          <pic:cNvPr id="109" name="图片_29_SpCnt_1"/>
                          <pic:cNvPicPr/>
                        </pic:nvPicPr>
                        <pic:blipFill>
                          <a:blip r:embed="rId91"/>
                          <a:stretch>
                            <a:fillRect/>
                          </a:stretch>
                        </pic:blipFill>
                        <pic:spPr>
                          <a:xfrm>
                            <a:off x="0" y="0"/>
                            <a:ext cx="448310" cy="68326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67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排油烟罩（烹饪）</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SIZE：约23.2m</w:t>
            </w:r>
            <w:r>
              <w:rPr>
                <w:rFonts w:hint="eastAsia" w:ascii="宋体" w:hAnsi="宋体" w:cs="宋体"/>
                <w:color w:val="000000"/>
                <w:kern w:val="0"/>
                <w:sz w:val="24"/>
                <w:vertAlign w:val="superscript"/>
                <w:lang w:bidi="ar"/>
              </w:rPr>
              <w:t>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选用优质不锈钢板制作，板厚1.0mm，配积油杯、防爆照明灯；滤网款（最终规格按现场空间实量为准）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23.2 </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38112" behindDoc="0" locked="0" layoutInCell="1" allowOverlap="1">
                  <wp:simplePos x="0" y="0"/>
                  <wp:positionH relativeFrom="column">
                    <wp:posOffset>66675</wp:posOffset>
                  </wp:positionH>
                  <wp:positionV relativeFrom="paragraph">
                    <wp:posOffset>66675</wp:posOffset>
                  </wp:positionV>
                  <wp:extent cx="571500" cy="295275"/>
                  <wp:effectExtent l="0" t="0" r="0" b="9525"/>
                  <wp:wrapNone/>
                  <wp:docPr id="110" name="Picture_366_SpCnt_2"/>
                  <wp:cNvGraphicFramePr/>
                  <a:graphic xmlns:a="http://schemas.openxmlformats.org/drawingml/2006/main">
                    <a:graphicData uri="http://schemas.openxmlformats.org/drawingml/2006/picture">
                      <pic:pic xmlns:pic="http://schemas.openxmlformats.org/drawingml/2006/picture">
                        <pic:nvPicPr>
                          <pic:cNvPr id="110" name="Picture_366_SpCnt_2"/>
                          <pic:cNvPicPr/>
                        </pic:nvPicPr>
                        <pic:blipFill>
                          <a:blip r:embed="rId104"/>
                          <a:stretch>
                            <a:fillRect/>
                          </a:stretch>
                        </pic:blipFill>
                        <pic:spPr>
                          <a:xfrm>
                            <a:off x="0" y="0"/>
                            <a:ext cx="571500" cy="29527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67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排油烟罩（烹饪）</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SIZE：约11.6m2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选用优质不锈钢板制作，板厚1.0mm，配积油杯、防爆照明灯；滤网款（最终规格按现场空间实量为准）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11.6</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39136" behindDoc="0" locked="0" layoutInCell="1" allowOverlap="1">
                  <wp:simplePos x="0" y="0"/>
                  <wp:positionH relativeFrom="column">
                    <wp:posOffset>57150</wp:posOffset>
                  </wp:positionH>
                  <wp:positionV relativeFrom="paragraph">
                    <wp:posOffset>76835</wp:posOffset>
                  </wp:positionV>
                  <wp:extent cx="591185" cy="304800"/>
                  <wp:effectExtent l="0" t="0" r="18415" b="0"/>
                  <wp:wrapNone/>
                  <wp:docPr id="111" name="Picture_366_SpCnt_3"/>
                  <wp:cNvGraphicFramePr/>
                  <a:graphic xmlns:a="http://schemas.openxmlformats.org/drawingml/2006/main">
                    <a:graphicData uri="http://schemas.openxmlformats.org/drawingml/2006/picture">
                      <pic:pic xmlns:pic="http://schemas.openxmlformats.org/drawingml/2006/picture">
                        <pic:nvPicPr>
                          <pic:cNvPr id="111" name="Picture_366_SpCnt_3"/>
                          <pic:cNvPicPr/>
                        </pic:nvPicPr>
                        <pic:blipFill>
                          <a:blip r:embed="rId105"/>
                          <a:stretch>
                            <a:fillRect/>
                          </a:stretch>
                        </pic:blipFill>
                        <pic:spPr>
                          <a:xfrm>
                            <a:off x="0" y="0"/>
                            <a:ext cx="591185" cy="3048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67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排油烟罩（烹饪）</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SIZE：约8m</w:t>
            </w:r>
            <w:r>
              <w:rPr>
                <w:rFonts w:hint="eastAsia" w:ascii="宋体" w:hAnsi="宋体" w:cs="宋体"/>
                <w:color w:val="000000"/>
                <w:kern w:val="0"/>
                <w:sz w:val="24"/>
                <w:vertAlign w:val="superscript"/>
                <w:lang w:bidi="ar"/>
              </w:rPr>
              <w:t>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选用优质不锈钢板制作，板厚1.0mm，配积油杯、防爆照明灯；滤网款（最终规格按现场空间实量为准）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40160" behindDoc="0" locked="0" layoutInCell="1" allowOverlap="1">
                  <wp:simplePos x="0" y="0"/>
                  <wp:positionH relativeFrom="column">
                    <wp:posOffset>66675</wp:posOffset>
                  </wp:positionH>
                  <wp:positionV relativeFrom="paragraph">
                    <wp:posOffset>46990</wp:posOffset>
                  </wp:positionV>
                  <wp:extent cx="591185" cy="304800"/>
                  <wp:effectExtent l="0" t="0" r="18415" b="0"/>
                  <wp:wrapNone/>
                  <wp:docPr id="112" name="Picture_366_SpCnt_4"/>
                  <wp:cNvGraphicFramePr/>
                  <a:graphic xmlns:a="http://schemas.openxmlformats.org/drawingml/2006/main">
                    <a:graphicData uri="http://schemas.openxmlformats.org/drawingml/2006/picture">
                      <pic:pic xmlns:pic="http://schemas.openxmlformats.org/drawingml/2006/picture">
                        <pic:nvPicPr>
                          <pic:cNvPr id="112" name="Picture_366_SpCnt_4"/>
                          <pic:cNvPicPr/>
                        </pic:nvPicPr>
                        <pic:blipFill>
                          <a:blip r:embed="rId105"/>
                          <a:stretch>
                            <a:fillRect/>
                          </a:stretch>
                        </pic:blipFill>
                        <pic:spPr>
                          <a:xfrm>
                            <a:off x="0" y="0"/>
                            <a:ext cx="591185" cy="3048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15</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41184" behindDoc="0" locked="0" layoutInCell="1" allowOverlap="1">
                  <wp:simplePos x="0" y="0"/>
                  <wp:positionH relativeFrom="column">
                    <wp:posOffset>114300</wp:posOffset>
                  </wp:positionH>
                  <wp:positionV relativeFrom="paragraph">
                    <wp:posOffset>553720</wp:posOffset>
                  </wp:positionV>
                  <wp:extent cx="495300" cy="388620"/>
                  <wp:effectExtent l="0" t="0" r="0" b="11430"/>
                  <wp:wrapNone/>
                  <wp:docPr id="113" name="图片_3_SpCnt_7"/>
                  <wp:cNvGraphicFramePr/>
                  <a:graphic xmlns:a="http://schemas.openxmlformats.org/drawingml/2006/main">
                    <a:graphicData uri="http://schemas.openxmlformats.org/drawingml/2006/picture">
                      <pic:pic xmlns:pic="http://schemas.openxmlformats.org/drawingml/2006/picture">
                        <pic:nvPicPr>
                          <pic:cNvPr id="113" name="图片_3_SpCnt_7"/>
                          <pic:cNvPicPr/>
                        </pic:nvPicPr>
                        <pic:blipFill>
                          <a:blip r:embed="rId46"/>
                          <a:stretch>
                            <a:fillRect/>
                          </a:stretch>
                        </pic:blipFill>
                        <pic:spPr>
                          <a:xfrm>
                            <a:off x="0" y="0"/>
                            <a:ext cx="495300" cy="38862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点心间</w:t>
            </w:r>
          </w:p>
        </w:tc>
      </w:tr>
      <w:tr>
        <w:tblPrEx>
          <w:tblCellMar>
            <w:top w:w="0" w:type="dxa"/>
            <w:left w:w="108" w:type="dxa"/>
            <w:bottom w:w="0" w:type="dxa"/>
            <w:right w:w="108" w:type="dxa"/>
          </w:tblCellMar>
        </w:tblPrEx>
        <w:trPr>
          <w:trHeight w:val="862"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冷藏操作台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优质不锈钢板制作，配上置式优质压缩机组，自动回归门，不锈钢内胆，全封闭型、数字恒温控制，保温层用聚氨酯一次性发泡成型。                                                                                          ◆相关资质：发泡料防火等级B1级</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◆具有冷链存储消杀功能，同时使用臭氧及紫外线消毒，厂家具有消毒产品生产许可证。</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42208" behindDoc="0" locked="0" layoutInCell="1" allowOverlap="1">
                  <wp:simplePos x="0" y="0"/>
                  <wp:positionH relativeFrom="column">
                    <wp:posOffset>76200</wp:posOffset>
                  </wp:positionH>
                  <wp:positionV relativeFrom="paragraph">
                    <wp:posOffset>702945</wp:posOffset>
                  </wp:positionV>
                  <wp:extent cx="571500" cy="379730"/>
                  <wp:effectExtent l="0" t="0" r="0" b="1270"/>
                  <wp:wrapNone/>
                  <wp:docPr id="114" name="图片_169"/>
                  <wp:cNvGraphicFramePr/>
                  <a:graphic xmlns:a="http://schemas.openxmlformats.org/drawingml/2006/main">
                    <a:graphicData uri="http://schemas.openxmlformats.org/drawingml/2006/picture">
                      <pic:pic xmlns:pic="http://schemas.openxmlformats.org/drawingml/2006/picture">
                        <pic:nvPicPr>
                          <pic:cNvPr id="114" name="图片_169"/>
                          <pic:cNvPicPr/>
                        </pic:nvPicPr>
                        <pic:blipFill>
                          <a:blip r:embed="rId106"/>
                          <a:stretch>
                            <a:fillRect/>
                          </a:stretch>
                        </pic:blipFill>
                        <pic:spPr>
                          <a:xfrm>
                            <a:off x="0" y="0"/>
                            <a:ext cx="571500" cy="37973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木面工作台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台面选用优质松木板制作，钢管穿心，柳桉木包边，不锈钢底架、加强筋及脚，50×50mm不锈钢方管脚。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43232" behindDoc="0" locked="0" layoutInCell="1" allowOverlap="1">
                  <wp:simplePos x="0" y="0"/>
                  <wp:positionH relativeFrom="column">
                    <wp:posOffset>95885</wp:posOffset>
                  </wp:positionH>
                  <wp:positionV relativeFrom="paragraph">
                    <wp:posOffset>85725</wp:posOffset>
                  </wp:positionV>
                  <wp:extent cx="523875" cy="361950"/>
                  <wp:effectExtent l="0" t="0" r="9525" b="0"/>
                  <wp:wrapNone/>
                  <wp:docPr id="115" name="图片_141"/>
                  <wp:cNvGraphicFramePr/>
                  <a:graphic xmlns:a="http://schemas.openxmlformats.org/drawingml/2006/main">
                    <a:graphicData uri="http://schemas.openxmlformats.org/drawingml/2006/picture">
                      <pic:pic xmlns:pic="http://schemas.openxmlformats.org/drawingml/2006/picture">
                        <pic:nvPicPr>
                          <pic:cNvPr id="115" name="图片_141"/>
                          <pic:cNvPicPr/>
                        </pic:nvPicPr>
                        <pic:blipFill>
                          <a:blip r:embed="rId107"/>
                          <a:stretch>
                            <a:fillRect/>
                          </a:stretch>
                        </pic:blipFill>
                        <pic:spPr>
                          <a:xfrm>
                            <a:off x="0" y="0"/>
                            <a:ext cx="523875" cy="3619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SIZE：600*700*800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选用SUS304不锈钢板制作；支架、通脚、可调脚为Φ38不锈钢管，管壁厚1.0mm，配置不锈钢可调脚，配落水器；带后挡板，台板厚1.0mm；（最终规格按现场实际空间实量为准）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44256" behindDoc="0" locked="0" layoutInCell="1" allowOverlap="1">
                  <wp:simplePos x="0" y="0"/>
                  <wp:positionH relativeFrom="column">
                    <wp:posOffset>95885</wp:posOffset>
                  </wp:positionH>
                  <wp:positionV relativeFrom="paragraph">
                    <wp:posOffset>114300</wp:posOffset>
                  </wp:positionV>
                  <wp:extent cx="504825" cy="466090"/>
                  <wp:effectExtent l="0" t="0" r="9525" b="10160"/>
                  <wp:wrapNone/>
                  <wp:docPr id="116" name="Picture_114_SpCnt_2"/>
                  <wp:cNvGraphicFramePr/>
                  <a:graphic xmlns:a="http://schemas.openxmlformats.org/drawingml/2006/main">
                    <a:graphicData uri="http://schemas.openxmlformats.org/drawingml/2006/picture">
                      <pic:pic xmlns:pic="http://schemas.openxmlformats.org/drawingml/2006/picture">
                        <pic:nvPicPr>
                          <pic:cNvPr id="116" name="Picture_114_SpCnt_2"/>
                          <pic:cNvPicPr/>
                        </pic:nvPicPr>
                        <pic:blipFill>
                          <a:blip r:embed="rId108"/>
                          <a:stretch>
                            <a:fillRect/>
                          </a:stretch>
                        </pic:blipFill>
                        <pic:spPr>
                          <a:xfrm>
                            <a:off x="0" y="0"/>
                            <a:ext cx="504825" cy="46609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375"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1.座台式安装，单孔单温，鹅颈水嘴。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3.陶瓷阀芯一字开形手柄。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4.开孔尺寸为25mm，进水接口为1/2"内螺纹。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◆产品材质铅的含量≤0.22%并提供相应检测报告复印件。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45280" behindDoc="0" locked="0" layoutInCell="1" allowOverlap="1">
                  <wp:simplePos x="0" y="0"/>
                  <wp:positionH relativeFrom="column">
                    <wp:posOffset>180975</wp:posOffset>
                  </wp:positionH>
                  <wp:positionV relativeFrom="paragraph">
                    <wp:posOffset>778510</wp:posOffset>
                  </wp:positionV>
                  <wp:extent cx="333375" cy="552450"/>
                  <wp:effectExtent l="0" t="0" r="9525" b="0"/>
                  <wp:wrapNone/>
                  <wp:docPr id="117" name="图片_32_SpCnt_2"/>
                  <wp:cNvGraphicFramePr/>
                  <a:graphic xmlns:a="http://schemas.openxmlformats.org/drawingml/2006/main">
                    <a:graphicData uri="http://schemas.openxmlformats.org/drawingml/2006/picture">
                      <pic:pic xmlns:pic="http://schemas.openxmlformats.org/drawingml/2006/picture">
                        <pic:nvPicPr>
                          <pic:cNvPr id="117" name="图片_32_SpCnt_2"/>
                          <pic:cNvPicPr/>
                        </pic:nvPicPr>
                        <pic:blipFill>
                          <a:blip r:embed="rId109"/>
                          <a:stretch>
                            <a:fillRect/>
                          </a:stretch>
                        </pic:blipFill>
                        <pic:spPr>
                          <a:xfrm>
                            <a:off x="0" y="0"/>
                            <a:ext cx="333375" cy="5524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7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四门冰箱</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SIZE：约1200*720*1880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优质不锈钢板制作，配上置式优质压缩机组，自动回归门，不锈钢内胆，全封闭型、数字恒温控制，保温层用聚氨酯一次性发泡成型。                                                                                          ◆相关资质：发泡料防火等级B1级。</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◆具有冷链存储消杀功能，同时使用臭氧及紫外线消毒，厂家具有消毒产品生产许可证。</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46304" behindDoc="0" locked="0" layoutInCell="1" allowOverlap="1">
                  <wp:simplePos x="0" y="0"/>
                  <wp:positionH relativeFrom="column">
                    <wp:posOffset>161925</wp:posOffset>
                  </wp:positionH>
                  <wp:positionV relativeFrom="paragraph">
                    <wp:posOffset>549275</wp:posOffset>
                  </wp:positionV>
                  <wp:extent cx="399415" cy="589280"/>
                  <wp:effectExtent l="0" t="0" r="635" b="1270"/>
                  <wp:wrapNone/>
                  <wp:docPr id="118" name="Picture_328_SpCnt_1"/>
                  <wp:cNvGraphicFramePr/>
                  <a:graphic xmlns:a="http://schemas.openxmlformats.org/drawingml/2006/main">
                    <a:graphicData uri="http://schemas.openxmlformats.org/drawingml/2006/picture">
                      <pic:pic xmlns:pic="http://schemas.openxmlformats.org/drawingml/2006/picture">
                        <pic:nvPicPr>
                          <pic:cNvPr id="118" name="Picture_328_SpCnt_1"/>
                          <pic:cNvPicPr/>
                        </pic:nvPicPr>
                        <pic:blipFill>
                          <a:blip r:embed="rId110"/>
                          <a:stretch>
                            <a:fillRect/>
                          </a:stretch>
                        </pic:blipFill>
                        <pic:spPr>
                          <a:xfrm>
                            <a:off x="0" y="0"/>
                            <a:ext cx="399415" cy="58928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压面机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外配类产品，压面轴宽：约350mm，压面厚度：约1-25mm。</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47328" behindDoc="0" locked="0" layoutInCell="1" allowOverlap="1">
                  <wp:simplePos x="0" y="0"/>
                  <wp:positionH relativeFrom="column">
                    <wp:posOffset>171450</wp:posOffset>
                  </wp:positionH>
                  <wp:positionV relativeFrom="paragraph">
                    <wp:posOffset>66675</wp:posOffset>
                  </wp:positionV>
                  <wp:extent cx="352425" cy="466725"/>
                  <wp:effectExtent l="0" t="0" r="9525" b="9525"/>
                  <wp:wrapNone/>
                  <wp:docPr id="119" name="图片_172"/>
                  <wp:cNvGraphicFramePr/>
                  <a:graphic xmlns:a="http://schemas.openxmlformats.org/drawingml/2006/main">
                    <a:graphicData uri="http://schemas.openxmlformats.org/drawingml/2006/picture">
                      <pic:pic xmlns:pic="http://schemas.openxmlformats.org/drawingml/2006/picture">
                        <pic:nvPicPr>
                          <pic:cNvPr id="119" name="图片_172"/>
                          <pic:cNvPicPr/>
                        </pic:nvPicPr>
                        <pic:blipFill>
                          <a:blip r:embed="rId111"/>
                          <a:stretch>
                            <a:fillRect/>
                          </a:stretch>
                        </pic:blipFill>
                        <pic:spPr>
                          <a:xfrm>
                            <a:off x="0" y="0"/>
                            <a:ext cx="352425" cy="4667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和面机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外配类产品，桶容量：约40L，和面量约：16KG。</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48352" behindDoc="0" locked="0" layoutInCell="1" allowOverlap="1">
                  <wp:simplePos x="0" y="0"/>
                  <wp:positionH relativeFrom="column">
                    <wp:posOffset>152400</wp:posOffset>
                  </wp:positionH>
                  <wp:positionV relativeFrom="paragraph">
                    <wp:posOffset>85725</wp:posOffset>
                  </wp:positionV>
                  <wp:extent cx="380365" cy="419100"/>
                  <wp:effectExtent l="0" t="0" r="635" b="0"/>
                  <wp:wrapNone/>
                  <wp:docPr id="120" name="Picture_363"/>
                  <wp:cNvGraphicFramePr/>
                  <a:graphic xmlns:a="http://schemas.openxmlformats.org/drawingml/2006/main">
                    <a:graphicData uri="http://schemas.openxmlformats.org/drawingml/2006/picture">
                      <pic:pic xmlns:pic="http://schemas.openxmlformats.org/drawingml/2006/picture">
                        <pic:nvPicPr>
                          <pic:cNvPr id="120" name="Picture_363"/>
                          <pic:cNvPicPr/>
                        </pic:nvPicPr>
                        <pic:blipFill>
                          <a:blip r:embed="rId112"/>
                          <a:stretch>
                            <a:fillRect/>
                          </a:stretch>
                        </pic:blipFill>
                        <pic:spPr>
                          <a:xfrm>
                            <a:off x="0" y="0"/>
                            <a:ext cx="380365" cy="4191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搅拌机（打蛋机）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外配类产品，料桶容积：约30L。</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49376" behindDoc="0" locked="0" layoutInCell="1" allowOverlap="1">
                  <wp:simplePos x="0" y="0"/>
                  <wp:positionH relativeFrom="column">
                    <wp:posOffset>180975</wp:posOffset>
                  </wp:positionH>
                  <wp:positionV relativeFrom="paragraph">
                    <wp:posOffset>76200</wp:posOffset>
                  </wp:positionV>
                  <wp:extent cx="342900" cy="419100"/>
                  <wp:effectExtent l="0" t="0" r="0" b="0"/>
                  <wp:wrapNone/>
                  <wp:docPr id="121" name="Picture_362"/>
                  <wp:cNvGraphicFramePr/>
                  <a:graphic xmlns:a="http://schemas.openxmlformats.org/drawingml/2006/main">
                    <a:graphicData uri="http://schemas.openxmlformats.org/drawingml/2006/picture">
                      <pic:pic xmlns:pic="http://schemas.openxmlformats.org/drawingml/2006/picture">
                        <pic:nvPicPr>
                          <pic:cNvPr id="121" name="Picture_362"/>
                          <pic:cNvPicPr/>
                        </pic:nvPicPr>
                        <pic:blipFill>
                          <a:blip r:embed="rId113"/>
                          <a:stretch>
                            <a:fillRect/>
                          </a:stretch>
                        </pic:blipFill>
                        <pic:spPr>
                          <a:xfrm>
                            <a:off x="0" y="0"/>
                            <a:ext cx="342900" cy="4191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三层烤箱</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SIZE：三层六盘</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外配类产品，带可视窗，三层六盘，电热型。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50400" behindDoc="0" locked="0" layoutInCell="1" allowOverlap="1">
                  <wp:simplePos x="0" y="0"/>
                  <wp:positionH relativeFrom="column">
                    <wp:posOffset>180975</wp:posOffset>
                  </wp:positionH>
                  <wp:positionV relativeFrom="paragraph">
                    <wp:posOffset>76200</wp:posOffset>
                  </wp:positionV>
                  <wp:extent cx="380365" cy="466725"/>
                  <wp:effectExtent l="0" t="0" r="635" b="9525"/>
                  <wp:wrapNone/>
                  <wp:docPr id="122" name="Picture_365"/>
                  <wp:cNvGraphicFramePr/>
                  <a:graphic xmlns:a="http://schemas.openxmlformats.org/drawingml/2006/main">
                    <a:graphicData uri="http://schemas.openxmlformats.org/drawingml/2006/picture">
                      <pic:pic xmlns:pic="http://schemas.openxmlformats.org/drawingml/2006/picture">
                        <pic:nvPicPr>
                          <pic:cNvPr id="122" name="Picture_365"/>
                          <pic:cNvPicPr/>
                        </pic:nvPicPr>
                        <pic:blipFill>
                          <a:blip r:embed="rId114"/>
                          <a:stretch>
                            <a:fillRect/>
                          </a:stretch>
                        </pic:blipFill>
                        <pic:spPr>
                          <a:xfrm>
                            <a:off x="0" y="0"/>
                            <a:ext cx="380365" cy="4667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10</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醒发箱</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外配类产品，带可视窗，不锈钢箱体，双门20盘。</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51424" behindDoc="0" locked="0" layoutInCell="1" allowOverlap="1">
                  <wp:simplePos x="0" y="0"/>
                  <wp:positionH relativeFrom="column">
                    <wp:posOffset>180975</wp:posOffset>
                  </wp:positionH>
                  <wp:positionV relativeFrom="paragraph">
                    <wp:posOffset>85725</wp:posOffset>
                  </wp:positionV>
                  <wp:extent cx="314325" cy="409575"/>
                  <wp:effectExtent l="0" t="0" r="9525" b="9525"/>
                  <wp:wrapNone/>
                  <wp:docPr id="123" name="图片_275"/>
                  <wp:cNvGraphicFramePr/>
                  <a:graphic xmlns:a="http://schemas.openxmlformats.org/drawingml/2006/main">
                    <a:graphicData uri="http://schemas.openxmlformats.org/drawingml/2006/picture">
                      <pic:pic xmlns:pic="http://schemas.openxmlformats.org/drawingml/2006/picture">
                        <pic:nvPicPr>
                          <pic:cNvPr id="123" name="图片_275"/>
                          <pic:cNvPicPr/>
                        </pic:nvPicPr>
                        <pic:blipFill>
                          <a:blip r:embed="rId115"/>
                          <a:stretch>
                            <a:fillRect/>
                          </a:stretch>
                        </pic:blipFill>
                        <pic:spPr>
                          <a:xfrm>
                            <a:off x="0" y="0"/>
                            <a:ext cx="314325" cy="40957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35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立式电饼铛</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SIZE：约840*660*760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工作温度：120-250℃                                                 说明：吕合金烤盘，不生锈、不变形、寿命长；食品级不粘层，不粘油污、不粘食材，清洁省时省力。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52448" behindDoc="0" locked="0" layoutInCell="1" allowOverlap="1">
                  <wp:simplePos x="0" y="0"/>
                  <wp:positionH relativeFrom="column">
                    <wp:posOffset>161925</wp:posOffset>
                  </wp:positionH>
                  <wp:positionV relativeFrom="paragraph">
                    <wp:posOffset>257810</wp:posOffset>
                  </wp:positionV>
                  <wp:extent cx="399415" cy="381635"/>
                  <wp:effectExtent l="0" t="0" r="635" b="18415"/>
                  <wp:wrapNone/>
                  <wp:docPr id="124" name="Picture_367"/>
                  <wp:cNvGraphicFramePr/>
                  <a:graphic xmlns:a="http://schemas.openxmlformats.org/drawingml/2006/main">
                    <a:graphicData uri="http://schemas.openxmlformats.org/drawingml/2006/picture">
                      <pic:pic xmlns:pic="http://schemas.openxmlformats.org/drawingml/2006/picture">
                        <pic:nvPicPr>
                          <pic:cNvPr id="124" name="Picture_367"/>
                          <pic:cNvPicPr/>
                        </pic:nvPicPr>
                        <pic:blipFill>
                          <a:blip r:embed="rId116"/>
                          <a:stretch>
                            <a:fillRect/>
                          </a:stretch>
                        </pic:blipFill>
                        <pic:spPr>
                          <a:xfrm>
                            <a:off x="0" y="0"/>
                            <a:ext cx="399415" cy="3816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nil"/>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四层板架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选用SUS304不锈钢制作，搁板采用约0.8mm不锈钢板并配加强筋，配置不锈钢可调脚，不锈钢封口盖加厚型圆管制作；平板型。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53472" behindDoc="0" locked="0" layoutInCell="1" allowOverlap="1">
                  <wp:simplePos x="0" y="0"/>
                  <wp:positionH relativeFrom="column">
                    <wp:posOffset>152400</wp:posOffset>
                  </wp:positionH>
                  <wp:positionV relativeFrom="paragraph">
                    <wp:posOffset>38100</wp:posOffset>
                  </wp:positionV>
                  <wp:extent cx="380365" cy="475615"/>
                  <wp:effectExtent l="0" t="0" r="635" b="635"/>
                  <wp:wrapNone/>
                  <wp:docPr id="125" name="图片_97_SpCnt_2"/>
                  <wp:cNvGraphicFramePr/>
                  <a:graphic xmlns:a="http://schemas.openxmlformats.org/drawingml/2006/main">
                    <a:graphicData uri="http://schemas.openxmlformats.org/drawingml/2006/picture">
                      <pic:pic xmlns:pic="http://schemas.openxmlformats.org/drawingml/2006/picture">
                        <pic:nvPicPr>
                          <pic:cNvPr id="125" name="图片_97_SpCnt_2"/>
                          <pic:cNvPicPr/>
                        </pic:nvPicPr>
                        <pic:blipFill>
                          <a:blip r:embed="rId117"/>
                          <a:stretch>
                            <a:fillRect/>
                          </a:stretch>
                        </pic:blipFill>
                        <pic:spPr>
                          <a:xfrm>
                            <a:off x="0" y="0"/>
                            <a:ext cx="380365" cy="4756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67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集汽罩</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SIZE：约7.5m</w:t>
            </w:r>
            <w:r>
              <w:rPr>
                <w:rFonts w:hint="eastAsia" w:ascii="宋体" w:hAnsi="宋体" w:cs="宋体"/>
                <w:color w:val="000000"/>
                <w:kern w:val="0"/>
                <w:sz w:val="24"/>
                <w:vertAlign w:val="superscript"/>
                <w:lang w:bidi="ar"/>
              </w:rPr>
              <w:t>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选用优质不锈钢板制作，板厚0.8mm，配积油杯、防爆灯；（最终规格按现场空间实量为准）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7.5</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54496" behindDoc="0" locked="0" layoutInCell="1" allowOverlap="1">
                  <wp:simplePos x="0" y="0"/>
                  <wp:positionH relativeFrom="column">
                    <wp:posOffset>66675</wp:posOffset>
                  </wp:positionH>
                  <wp:positionV relativeFrom="paragraph">
                    <wp:posOffset>76835</wp:posOffset>
                  </wp:positionV>
                  <wp:extent cx="542925" cy="276225"/>
                  <wp:effectExtent l="0" t="0" r="9525" b="9525"/>
                  <wp:wrapNone/>
                  <wp:docPr id="126" name="Picture_366_SpCnt_5"/>
                  <wp:cNvGraphicFramePr/>
                  <a:graphic xmlns:a="http://schemas.openxmlformats.org/drawingml/2006/main">
                    <a:graphicData uri="http://schemas.openxmlformats.org/drawingml/2006/picture">
                      <pic:pic xmlns:pic="http://schemas.openxmlformats.org/drawingml/2006/picture">
                        <pic:nvPicPr>
                          <pic:cNvPr id="126" name="Picture_366_SpCnt_5"/>
                          <pic:cNvPicPr/>
                        </pic:nvPicPr>
                        <pic:blipFill>
                          <a:blip r:embed="rId118"/>
                          <a:stretch>
                            <a:fillRect/>
                          </a:stretch>
                        </pic:blipFill>
                        <pic:spPr>
                          <a:xfrm>
                            <a:off x="0" y="0"/>
                            <a:ext cx="542925" cy="276225"/>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755520" behindDoc="0" locked="0" layoutInCell="1" allowOverlap="1">
                  <wp:simplePos x="0" y="0"/>
                  <wp:positionH relativeFrom="column">
                    <wp:posOffset>85725</wp:posOffset>
                  </wp:positionH>
                  <wp:positionV relativeFrom="paragraph">
                    <wp:posOffset>0</wp:posOffset>
                  </wp:positionV>
                  <wp:extent cx="571500" cy="0"/>
                  <wp:effectExtent l="0" t="0" r="0" b="0"/>
                  <wp:wrapNone/>
                  <wp:docPr id="127" name="图片_169_SpCnt_1"/>
                  <wp:cNvGraphicFramePr/>
                  <a:graphic xmlns:a="http://schemas.openxmlformats.org/drawingml/2006/main">
                    <a:graphicData uri="http://schemas.openxmlformats.org/drawingml/2006/picture">
                      <pic:pic xmlns:pic="http://schemas.openxmlformats.org/drawingml/2006/picture">
                        <pic:nvPicPr>
                          <pic:cNvPr id="127" name="图片_169_SpCnt_1"/>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756544" behindDoc="0" locked="0" layoutInCell="1" allowOverlap="1">
                  <wp:simplePos x="0" y="0"/>
                  <wp:positionH relativeFrom="column">
                    <wp:posOffset>85725</wp:posOffset>
                  </wp:positionH>
                  <wp:positionV relativeFrom="paragraph">
                    <wp:posOffset>0</wp:posOffset>
                  </wp:positionV>
                  <wp:extent cx="571500" cy="0"/>
                  <wp:effectExtent l="0" t="0" r="0" b="0"/>
                  <wp:wrapNone/>
                  <wp:docPr id="128" name="图片_169_SpCnt_2"/>
                  <wp:cNvGraphicFramePr/>
                  <a:graphic xmlns:a="http://schemas.openxmlformats.org/drawingml/2006/main">
                    <a:graphicData uri="http://schemas.openxmlformats.org/drawingml/2006/picture">
                      <pic:pic xmlns:pic="http://schemas.openxmlformats.org/drawingml/2006/picture">
                        <pic:nvPicPr>
                          <pic:cNvPr id="128" name="图片_169_SpCnt_2"/>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757568" behindDoc="0" locked="0" layoutInCell="1" allowOverlap="1">
                  <wp:simplePos x="0" y="0"/>
                  <wp:positionH relativeFrom="column">
                    <wp:posOffset>85725</wp:posOffset>
                  </wp:positionH>
                  <wp:positionV relativeFrom="paragraph">
                    <wp:posOffset>0</wp:posOffset>
                  </wp:positionV>
                  <wp:extent cx="571500" cy="0"/>
                  <wp:effectExtent l="0" t="0" r="0" b="0"/>
                  <wp:wrapNone/>
                  <wp:docPr id="129" name="图片_169_SpCnt_3"/>
                  <wp:cNvGraphicFramePr/>
                  <a:graphic xmlns:a="http://schemas.openxmlformats.org/drawingml/2006/main">
                    <a:graphicData uri="http://schemas.openxmlformats.org/drawingml/2006/picture">
                      <pic:pic xmlns:pic="http://schemas.openxmlformats.org/drawingml/2006/picture">
                        <pic:nvPicPr>
                          <pic:cNvPr id="129" name="图片_169_SpCnt_3"/>
                          <pic:cNvPicPr/>
                        </pic:nvPicPr>
                        <pic:blipFill>
                          <a:blip r:embed="rId67"/>
                          <a:stretch>
                            <a:fillRect/>
                          </a:stretch>
                        </pic:blipFill>
                        <pic:spPr>
                          <a:xfrm>
                            <a:off x="0" y="0"/>
                            <a:ext cx="571500"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58592" behindDoc="0" locked="0" layoutInCell="1" allowOverlap="1">
                  <wp:simplePos x="0" y="0"/>
                  <wp:positionH relativeFrom="column">
                    <wp:posOffset>85725</wp:posOffset>
                  </wp:positionH>
                  <wp:positionV relativeFrom="paragraph">
                    <wp:posOffset>553720</wp:posOffset>
                  </wp:positionV>
                  <wp:extent cx="514350" cy="379730"/>
                  <wp:effectExtent l="0" t="0" r="0" b="1270"/>
                  <wp:wrapNone/>
                  <wp:docPr id="130" name="图片_3_SpCnt_8"/>
                  <wp:cNvGraphicFramePr/>
                  <a:graphic xmlns:a="http://schemas.openxmlformats.org/drawingml/2006/main">
                    <a:graphicData uri="http://schemas.openxmlformats.org/drawingml/2006/picture">
                      <pic:pic xmlns:pic="http://schemas.openxmlformats.org/drawingml/2006/picture">
                        <pic:nvPicPr>
                          <pic:cNvPr id="130" name="图片_3_SpCnt_8"/>
                          <pic:cNvPicPr/>
                        </pic:nvPicPr>
                        <pic:blipFill>
                          <a:blip r:embed="rId119"/>
                          <a:stretch>
                            <a:fillRect/>
                          </a:stretch>
                        </pic:blipFill>
                        <pic:spPr>
                          <a:xfrm>
                            <a:off x="0" y="0"/>
                            <a:ext cx="514350" cy="37973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nil"/>
              <w:left w:val="single" w:color="000000" w:sz="4" w:space="0"/>
              <w:bottom w:val="nil"/>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二次更衣一</w:t>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单水池带感应龙头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SIZE：400*500*800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选用SUS304不锈钢板制作；支架、通脚、可调脚为Φ38不锈钢管，管壁厚1.0mm，配置不锈钢可调脚，配落水器；带后挡板，台板厚1.0mm；配单星盆；带感应龙头。</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59616" behindDoc="0" locked="0" layoutInCell="1" allowOverlap="1">
                  <wp:simplePos x="0" y="0"/>
                  <wp:positionH relativeFrom="column">
                    <wp:posOffset>133350</wp:posOffset>
                  </wp:positionH>
                  <wp:positionV relativeFrom="paragraph">
                    <wp:posOffset>133985</wp:posOffset>
                  </wp:positionV>
                  <wp:extent cx="466725" cy="457835"/>
                  <wp:effectExtent l="0" t="0" r="9525" b="18415"/>
                  <wp:wrapNone/>
                  <wp:docPr id="131" name="Picture_114_SpCnt_3"/>
                  <wp:cNvGraphicFramePr/>
                  <a:graphic xmlns:a="http://schemas.openxmlformats.org/drawingml/2006/main">
                    <a:graphicData uri="http://schemas.openxmlformats.org/drawingml/2006/picture">
                      <pic:pic xmlns:pic="http://schemas.openxmlformats.org/drawingml/2006/picture">
                        <pic:nvPicPr>
                          <pic:cNvPr id="131" name="Picture_114_SpCnt_3"/>
                          <pic:cNvPicPr/>
                        </pic:nvPicPr>
                        <pic:blipFill>
                          <a:blip r:embed="rId120"/>
                          <a:stretch>
                            <a:fillRect/>
                          </a:stretch>
                        </pic:blipFill>
                        <pic:spPr>
                          <a:xfrm>
                            <a:off x="0" y="0"/>
                            <a:ext cx="466725" cy="4578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59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挂墙式烘手机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型号：冷热型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启动方式：红外感应                         机身材质：主体塑料                           热风温度：65±15℃                     说明：精选ABS材料；大口径加热出风口；涡轮增压扇叶风扇；大功率电机；信息处理中枢；智能微电脑控制。（如无安装条件则取消）</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60640" behindDoc="0" locked="0" layoutInCell="1" allowOverlap="1">
                  <wp:simplePos x="0" y="0"/>
                  <wp:positionH relativeFrom="column">
                    <wp:posOffset>123190</wp:posOffset>
                  </wp:positionH>
                  <wp:positionV relativeFrom="paragraph">
                    <wp:posOffset>428625</wp:posOffset>
                  </wp:positionV>
                  <wp:extent cx="466725" cy="428625"/>
                  <wp:effectExtent l="0" t="0" r="9525" b="9525"/>
                  <wp:wrapNone/>
                  <wp:docPr id="132" name="图片_1_SpCnt_5"/>
                  <wp:cNvGraphicFramePr/>
                  <a:graphic xmlns:a="http://schemas.openxmlformats.org/drawingml/2006/main">
                    <a:graphicData uri="http://schemas.openxmlformats.org/drawingml/2006/picture">
                      <pic:pic xmlns:pic="http://schemas.openxmlformats.org/drawingml/2006/picture">
                        <pic:nvPicPr>
                          <pic:cNvPr id="132" name="图片_1_SpCnt_5"/>
                          <pic:cNvPicPr/>
                        </pic:nvPicPr>
                        <pic:blipFill>
                          <a:blip r:embed="rId121"/>
                          <a:stretch>
                            <a:fillRect/>
                          </a:stretch>
                        </pic:blipFill>
                        <pic:spPr>
                          <a:xfrm>
                            <a:off x="0" y="0"/>
                            <a:ext cx="466725" cy="4286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水果间</w:t>
            </w:r>
            <w:r>
              <w:rPr>
                <w:rFonts w:hint="eastAsia" w:ascii="宋体" w:hAnsi="宋体" w:cs="宋体"/>
                <w:color w:val="000000"/>
                <w:kern w:val="0"/>
                <w:sz w:val="24"/>
              </w:rPr>
              <w:drawing>
                <wp:anchor distT="0" distB="0" distL="114300" distR="114300" simplePos="0" relativeHeight="251761664" behindDoc="0" locked="0" layoutInCell="1" allowOverlap="1">
                  <wp:simplePos x="0" y="0"/>
                  <wp:positionH relativeFrom="column">
                    <wp:posOffset>66675</wp:posOffset>
                  </wp:positionH>
                  <wp:positionV relativeFrom="paragraph">
                    <wp:posOffset>0</wp:posOffset>
                  </wp:positionV>
                  <wp:extent cx="571500" cy="0"/>
                  <wp:effectExtent l="0" t="0" r="0" b="0"/>
                  <wp:wrapNone/>
                  <wp:docPr id="133" name="图片_169_SpCnt_4"/>
                  <wp:cNvGraphicFramePr/>
                  <a:graphic xmlns:a="http://schemas.openxmlformats.org/drawingml/2006/main">
                    <a:graphicData uri="http://schemas.openxmlformats.org/drawingml/2006/picture">
                      <pic:pic xmlns:pic="http://schemas.openxmlformats.org/drawingml/2006/picture">
                        <pic:nvPicPr>
                          <pic:cNvPr id="133" name="图片_169_SpCnt_4"/>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62688" behindDoc="0" locked="0" layoutInCell="1" allowOverlap="1">
                  <wp:simplePos x="0" y="0"/>
                  <wp:positionH relativeFrom="column">
                    <wp:posOffset>66675</wp:posOffset>
                  </wp:positionH>
                  <wp:positionV relativeFrom="paragraph">
                    <wp:posOffset>0</wp:posOffset>
                  </wp:positionV>
                  <wp:extent cx="571500" cy="0"/>
                  <wp:effectExtent l="0" t="0" r="0" b="0"/>
                  <wp:wrapNone/>
                  <wp:docPr id="134" name="图片_169_SpCnt_5"/>
                  <wp:cNvGraphicFramePr/>
                  <a:graphic xmlns:a="http://schemas.openxmlformats.org/drawingml/2006/main">
                    <a:graphicData uri="http://schemas.openxmlformats.org/drawingml/2006/picture">
                      <pic:pic xmlns:pic="http://schemas.openxmlformats.org/drawingml/2006/picture">
                        <pic:nvPicPr>
                          <pic:cNvPr id="134" name="图片_169_SpCnt_5"/>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63712" behindDoc="0" locked="0" layoutInCell="1" allowOverlap="1">
                  <wp:simplePos x="0" y="0"/>
                  <wp:positionH relativeFrom="column">
                    <wp:posOffset>66675</wp:posOffset>
                  </wp:positionH>
                  <wp:positionV relativeFrom="paragraph">
                    <wp:posOffset>0</wp:posOffset>
                  </wp:positionV>
                  <wp:extent cx="571500" cy="0"/>
                  <wp:effectExtent l="0" t="0" r="0" b="0"/>
                  <wp:wrapNone/>
                  <wp:docPr id="135" name="图片_169_SpCnt_6"/>
                  <wp:cNvGraphicFramePr/>
                  <a:graphic xmlns:a="http://schemas.openxmlformats.org/drawingml/2006/main">
                    <a:graphicData uri="http://schemas.openxmlformats.org/drawingml/2006/picture">
                      <pic:pic xmlns:pic="http://schemas.openxmlformats.org/drawingml/2006/picture">
                        <pic:nvPicPr>
                          <pic:cNvPr id="135" name="图片_169_SpCnt_6"/>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64736" behindDoc="0" locked="0" layoutInCell="1" allowOverlap="1">
                  <wp:simplePos x="0" y="0"/>
                  <wp:positionH relativeFrom="column">
                    <wp:posOffset>66675</wp:posOffset>
                  </wp:positionH>
                  <wp:positionV relativeFrom="paragraph">
                    <wp:posOffset>0</wp:posOffset>
                  </wp:positionV>
                  <wp:extent cx="571500" cy="0"/>
                  <wp:effectExtent l="0" t="0" r="0" b="0"/>
                  <wp:wrapNone/>
                  <wp:docPr id="136" name="图片_169_SpCnt_7"/>
                  <wp:cNvGraphicFramePr/>
                  <a:graphic xmlns:a="http://schemas.openxmlformats.org/drawingml/2006/main">
                    <a:graphicData uri="http://schemas.openxmlformats.org/drawingml/2006/picture">
                      <pic:pic xmlns:pic="http://schemas.openxmlformats.org/drawingml/2006/picture">
                        <pic:nvPicPr>
                          <pic:cNvPr id="136" name="图片_169_SpCnt_7"/>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65760" behindDoc="0" locked="0" layoutInCell="1" allowOverlap="1">
                  <wp:simplePos x="0" y="0"/>
                  <wp:positionH relativeFrom="column">
                    <wp:posOffset>85725</wp:posOffset>
                  </wp:positionH>
                  <wp:positionV relativeFrom="paragraph">
                    <wp:posOffset>0</wp:posOffset>
                  </wp:positionV>
                  <wp:extent cx="571500" cy="0"/>
                  <wp:effectExtent l="0" t="0" r="0" b="0"/>
                  <wp:wrapNone/>
                  <wp:docPr id="137" name="图片_169_SpCnt_8"/>
                  <wp:cNvGraphicFramePr/>
                  <a:graphic xmlns:a="http://schemas.openxmlformats.org/drawingml/2006/main">
                    <a:graphicData uri="http://schemas.openxmlformats.org/drawingml/2006/picture">
                      <pic:pic xmlns:pic="http://schemas.openxmlformats.org/drawingml/2006/picture">
                        <pic:nvPicPr>
                          <pic:cNvPr id="137" name="图片_169_SpCnt_8"/>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66784" behindDoc="0" locked="0" layoutInCell="1" allowOverlap="1">
                  <wp:simplePos x="0" y="0"/>
                  <wp:positionH relativeFrom="column">
                    <wp:posOffset>85725</wp:posOffset>
                  </wp:positionH>
                  <wp:positionV relativeFrom="paragraph">
                    <wp:posOffset>0</wp:posOffset>
                  </wp:positionV>
                  <wp:extent cx="571500" cy="0"/>
                  <wp:effectExtent l="0" t="0" r="0" b="0"/>
                  <wp:wrapNone/>
                  <wp:docPr id="138" name="图片_169_SpCnt_9"/>
                  <wp:cNvGraphicFramePr/>
                  <a:graphic xmlns:a="http://schemas.openxmlformats.org/drawingml/2006/main">
                    <a:graphicData uri="http://schemas.openxmlformats.org/drawingml/2006/picture">
                      <pic:pic xmlns:pic="http://schemas.openxmlformats.org/drawingml/2006/picture">
                        <pic:nvPicPr>
                          <pic:cNvPr id="138" name="图片_169_SpCnt_9"/>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67808" behindDoc="0" locked="0" layoutInCell="1" allowOverlap="1">
                  <wp:simplePos x="0" y="0"/>
                  <wp:positionH relativeFrom="column">
                    <wp:posOffset>95885</wp:posOffset>
                  </wp:positionH>
                  <wp:positionV relativeFrom="paragraph">
                    <wp:posOffset>0</wp:posOffset>
                  </wp:positionV>
                  <wp:extent cx="513715" cy="0"/>
                  <wp:effectExtent l="0" t="0" r="0" b="0"/>
                  <wp:wrapNone/>
                  <wp:docPr id="139" name="图片_185"/>
                  <wp:cNvGraphicFramePr/>
                  <a:graphic xmlns:a="http://schemas.openxmlformats.org/drawingml/2006/main">
                    <a:graphicData uri="http://schemas.openxmlformats.org/drawingml/2006/picture">
                      <pic:pic xmlns:pic="http://schemas.openxmlformats.org/drawingml/2006/picture">
                        <pic:nvPicPr>
                          <pic:cNvPr id="139" name="图片_185"/>
                          <pic:cNvPicPr/>
                        </pic:nvPicPr>
                        <pic:blipFill>
                          <a:blip r:embed="rId67"/>
                          <a:stretch>
                            <a:fillRect/>
                          </a:stretch>
                        </pic:blipFill>
                        <pic:spPr>
                          <a:xfrm>
                            <a:off x="0" y="0"/>
                            <a:ext cx="51371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68832" behindDoc="0" locked="0" layoutInCell="1" allowOverlap="1">
                  <wp:simplePos x="0" y="0"/>
                  <wp:positionH relativeFrom="column">
                    <wp:posOffset>95885</wp:posOffset>
                  </wp:positionH>
                  <wp:positionV relativeFrom="paragraph">
                    <wp:posOffset>0</wp:posOffset>
                  </wp:positionV>
                  <wp:extent cx="513715" cy="0"/>
                  <wp:effectExtent l="0" t="0" r="0" b="0"/>
                  <wp:wrapNone/>
                  <wp:docPr id="140" name="图片_185_SpCnt_1"/>
                  <wp:cNvGraphicFramePr/>
                  <a:graphic xmlns:a="http://schemas.openxmlformats.org/drawingml/2006/main">
                    <a:graphicData uri="http://schemas.openxmlformats.org/drawingml/2006/picture">
                      <pic:pic xmlns:pic="http://schemas.openxmlformats.org/drawingml/2006/picture">
                        <pic:nvPicPr>
                          <pic:cNvPr id="140" name="图片_185_SpCnt_1"/>
                          <pic:cNvPicPr/>
                        </pic:nvPicPr>
                        <pic:blipFill>
                          <a:blip r:embed="rId67"/>
                          <a:stretch>
                            <a:fillRect/>
                          </a:stretch>
                        </pic:blipFill>
                        <pic:spPr>
                          <a:xfrm>
                            <a:off x="0" y="0"/>
                            <a:ext cx="51371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69856" behindDoc="0" locked="0" layoutInCell="1" allowOverlap="1">
                  <wp:simplePos x="0" y="0"/>
                  <wp:positionH relativeFrom="column">
                    <wp:posOffset>133350</wp:posOffset>
                  </wp:positionH>
                  <wp:positionV relativeFrom="paragraph">
                    <wp:posOffset>0</wp:posOffset>
                  </wp:positionV>
                  <wp:extent cx="456565" cy="0"/>
                  <wp:effectExtent l="0" t="0" r="0" b="0"/>
                  <wp:wrapNone/>
                  <wp:docPr id="141" name="图片_254"/>
                  <wp:cNvGraphicFramePr/>
                  <a:graphic xmlns:a="http://schemas.openxmlformats.org/drawingml/2006/main">
                    <a:graphicData uri="http://schemas.openxmlformats.org/drawingml/2006/picture">
                      <pic:pic xmlns:pic="http://schemas.openxmlformats.org/drawingml/2006/picture">
                        <pic:nvPicPr>
                          <pic:cNvPr id="141" name="图片_254"/>
                          <pic:cNvPicPr/>
                        </pic:nvPicPr>
                        <pic:blipFill>
                          <a:blip r:embed="rId67"/>
                          <a:stretch>
                            <a:fillRect/>
                          </a:stretch>
                        </pic:blipFill>
                        <pic:spPr>
                          <a:xfrm>
                            <a:off x="0" y="0"/>
                            <a:ext cx="45656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70880" behindDoc="0" locked="0" layoutInCell="1" allowOverlap="1">
                  <wp:simplePos x="0" y="0"/>
                  <wp:positionH relativeFrom="column">
                    <wp:posOffset>161925</wp:posOffset>
                  </wp:positionH>
                  <wp:positionV relativeFrom="paragraph">
                    <wp:posOffset>0</wp:posOffset>
                  </wp:positionV>
                  <wp:extent cx="399415" cy="0"/>
                  <wp:effectExtent l="0" t="0" r="0" b="0"/>
                  <wp:wrapNone/>
                  <wp:docPr id="142" name="Picture_328_SpCnt_2"/>
                  <wp:cNvGraphicFramePr/>
                  <a:graphic xmlns:a="http://schemas.openxmlformats.org/drawingml/2006/main">
                    <a:graphicData uri="http://schemas.openxmlformats.org/drawingml/2006/picture">
                      <pic:pic xmlns:pic="http://schemas.openxmlformats.org/drawingml/2006/picture">
                        <pic:nvPicPr>
                          <pic:cNvPr id="142" name="Picture_328_SpCnt_2"/>
                          <pic:cNvPicPr/>
                        </pic:nvPicPr>
                        <pic:blipFill>
                          <a:blip r:embed="rId67"/>
                          <a:stretch>
                            <a:fillRect/>
                          </a:stretch>
                        </pic:blipFill>
                        <pic:spPr>
                          <a:xfrm>
                            <a:off x="0" y="0"/>
                            <a:ext cx="39941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71904" behindDoc="0" locked="0" layoutInCell="1" allowOverlap="1">
                  <wp:simplePos x="0" y="0"/>
                  <wp:positionH relativeFrom="column">
                    <wp:posOffset>161925</wp:posOffset>
                  </wp:positionH>
                  <wp:positionV relativeFrom="paragraph">
                    <wp:posOffset>0</wp:posOffset>
                  </wp:positionV>
                  <wp:extent cx="399415" cy="0"/>
                  <wp:effectExtent l="0" t="0" r="0" b="0"/>
                  <wp:wrapNone/>
                  <wp:docPr id="143" name="Picture_328_SpCnt_3"/>
                  <wp:cNvGraphicFramePr/>
                  <a:graphic xmlns:a="http://schemas.openxmlformats.org/drawingml/2006/main">
                    <a:graphicData uri="http://schemas.openxmlformats.org/drawingml/2006/picture">
                      <pic:pic xmlns:pic="http://schemas.openxmlformats.org/drawingml/2006/picture">
                        <pic:nvPicPr>
                          <pic:cNvPr id="143" name="Picture_328_SpCnt_3"/>
                          <pic:cNvPicPr/>
                        </pic:nvPicPr>
                        <pic:blipFill>
                          <a:blip r:embed="rId67"/>
                          <a:stretch>
                            <a:fillRect/>
                          </a:stretch>
                        </pic:blipFill>
                        <pic:spPr>
                          <a:xfrm>
                            <a:off x="0" y="0"/>
                            <a:ext cx="399415"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25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冷藏操作台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SIZE：1800*600*800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优质不锈钢板制作，配上置式优质压缩机组，自动回归门，不锈钢内胆，全封闭型、数字恒温控制，保温层用聚氨酯一次性发泡成型。                                                                                          ◆相关资质：发泡料防火等级B1级。</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◆具有冷链存储消杀功能，同时使用臭氧及紫外线消毒，厂家具有消毒产品生产许可证。</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72928" behindDoc="0" locked="0" layoutInCell="1" allowOverlap="1">
                  <wp:simplePos x="0" y="0"/>
                  <wp:positionH relativeFrom="column">
                    <wp:posOffset>57150</wp:posOffset>
                  </wp:positionH>
                  <wp:positionV relativeFrom="paragraph">
                    <wp:posOffset>245745</wp:posOffset>
                  </wp:positionV>
                  <wp:extent cx="571500" cy="0"/>
                  <wp:effectExtent l="0" t="0" r="0" b="0"/>
                  <wp:wrapNone/>
                  <wp:docPr id="144" name="图片_169_SpCnt_10"/>
                  <wp:cNvGraphicFramePr/>
                  <a:graphic xmlns:a="http://schemas.openxmlformats.org/drawingml/2006/main">
                    <a:graphicData uri="http://schemas.openxmlformats.org/drawingml/2006/picture">
                      <pic:pic xmlns:pic="http://schemas.openxmlformats.org/drawingml/2006/picture">
                        <pic:nvPicPr>
                          <pic:cNvPr id="144" name="图片_169_SpCnt_10"/>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773952" behindDoc="0" locked="0" layoutInCell="1" allowOverlap="1">
                  <wp:simplePos x="0" y="0"/>
                  <wp:positionH relativeFrom="column">
                    <wp:posOffset>57150</wp:posOffset>
                  </wp:positionH>
                  <wp:positionV relativeFrom="paragraph">
                    <wp:posOffset>240030</wp:posOffset>
                  </wp:positionV>
                  <wp:extent cx="571500" cy="0"/>
                  <wp:effectExtent l="0" t="0" r="0" b="0"/>
                  <wp:wrapNone/>
                  <wp:docPr id="145" name="图片_169_SpCnt_11"/>
                  <wp:cNvGraphicFramePr/>
                  <a:graphic xmlns:a="http://schemas.openxmlformats.org/drawingml/2006/main">
                    <a:graphicData uri="http://schemas.openxmlformats.org/drawingml/2006/picture">
                      <pic:pic xmlns:pic="http://schemas.openxmlformats.org/drawingml/2006/picture">
                        <pic:nvPicPr>
                          <pic:cNvPr id="145" name="图片_169_SpCnt_11"/>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774976" behindDoc="0" locked="0" layoutInCell="1" allowOverlap="1">
                  <wp:simplePos x="0" y="0"/>
                  <wp:positionH relativeFrom="column">
                    <wp:posOffset>66675</wp:posOffset>
                  </wp:positionH>
                  <wp:positionV relativeFrom="paragraph">
                    <wp:posOffset>256540</wp:posOffset>
                  </wp:positionV>
                  <wp:extent cx="571500" cy="0"/>
                  <wp:effectExtent l="0" t="0" r="0" b="0"/>
                  <wp:wrapNone/>
                  <wp:docPr id="146" name="图片_169_SpCnt_12"/>
                  <wp:cNvGraphicFramePr/>
                  <a:graphic xmlns:a="http://schemas.openxmlformats.org/drawingml/2006/main">
                    <a:graphicData uri="http://schemas.openxmlformats.org/drawingml/2006/picture">
                      <pic:pic xmlns:pic="http://schemas.openxmlformats.org/drawingml/2006/picture">
                        <pic:nvPicPr>
                          <pic:cNvPr id="146" name="图片_169_SpCnt_12"/>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776000" behindDoc="0" locked="0" layoutInCell="1" allowOverlap="1">
                  <wp:simplePos x="0" y="0"/>
                  <wp:positionH relativeFrom="column">
                    <wp:posOffset>76200</wp:posOffset>
                  </wp:positionH>
                  <wp:positionV relativeFrom="paragraph">
                    <wp:posOffset>664210</wp:posOffset>
                  </wp:positionV>
                  <wp:extent cx="571500" cy="362585"/>
                  <wp:effectExtent l="0" t="0" r="0" b="18415"/>
                  <wp:wrapNone/>
                  <wp:docPr id="147" name="图片_169_SpCnt_13"/>
                  <wp:cNvGraphicFramePr/>
                  <a:graphic xmlns:a="http://schemas.openxmlformats.org/drawingml/2006/main">
                    <a:graphicData uri="http://schemas.openxmlformats.org/drawingml/2006/picture">
                      <pic:pic xmlns:pic="http://schemas.openxmlformats.org/drawingml/2006/picture">
                        <pic:nvPicPr>
                          <pic:cNvPr id="147" name="图片_169_SpCnt_13"/>
                          <pic:cNvPicPr/>
                        </pic:nvPicPr>
                        <pic:blipFill>
                          <a:blip r:embed="rId122"/>
                          <a:stretch>
                            <a:fillRect/>
                          </a:stretch>
                        </pic:blipFill>
                        <pic:spPr>
                          <a:xfrm>
                            <a:off x="0" y="0"/>
                            <a:ext cx="571500" cy="36258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单开门操作台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SIZE：1800*600*800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选用SUS304不锈钢板制作（包括加强档、筋），台面用衬板加强，台面板厚1.0mm，内置一层搁板，一面配有上挂式双移门，配不锈钢可调脚。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77024" behindDoc="0" locked="0" layoutInCell="1" allowOverlap="1">
                  <wp:simplePos x="0" y="0"/>
                  <wp:positionH relativeFrom="column">
                    <wp:posOffset>66675</wp:posOffset>
                  </wp:positionH>
                  <wp:positionV relativeFrom="paragraph">
                    <wp:posOffset>133985</wp:posOffset>
                  </wp:positionV>
                  <wp:extent cx="562610" cy="352425"/>
                  <wp:effectExtent l="0" t="0" r="8890" b="9525"/>
                  <wp:wrapNone/>
                  <wp:docPr id="148" name="Picture_360_SpCnt_4"/>
                  <wp:cNvGraphicFramePr/>
                  <a:graphic xmlns:a="http://schemas.openxmlformats.org/drawingml/2006/main">
                    <a:graphicData uri="http://schemas.openxmlformats.org/drawingml/2006/picture">
                      <pic:pic xmlns:pic="http://schemas.openxmlformats.org/drawingml/2006/picture">
                        <pic:nvPicPr>
                          <pic:cNvPr id="148" name="Picture_360_SpCnt_4"/>
                          <pic:cNvPicPr/>
                        </pic:nvPicPr>
                        <pic:blipFill>
                          <a:blip r:embed="rId123"/>
                          <a:stretch>
                            <a:fillRect/>
                          </a:stretch>
                        </pic:blipFill>
                        <pic:spPr>
                          <a:xfrm>
                            <a:off x="0" y="0"/>
                            <a:ext cx="562610" cy="3524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四层板架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选用SUS304不锈钢制作，搁板采用约0.8mm不锈钢板并配加强筋，配置不锈钢可调脚，不锈钢封口盖加厚型圆管制作；平板型。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78048" behindDoc="0" locked="0" layoutInCell="1" allowOverlap="1">
                  <wp:simplePos x="0" y="0"/>
                  <wp:positionH relativeFrom="column">
                    <wp:posOffset>161925</wp:posOffset>
                  </wp:positionH>
                  <wp:positionV relativeFrom="paragraph">
                    <wp:posOffset>46990</wp:posOffset>
                  </wp:positionV>
                  <wp:extent cx="409575" cy="475615"/>
                  <wp:effectExtent l="0" t="0" r="9525" b="635"/>
                  <wp:wrapNone/>
                  <wp:docPr id="149" name="图片_97_SpCnt_3"/>
                  <wp:cNvGraphicFramePr/>
                  <a:graphic xmlns:a="http://schemas.openxmlformats.org/drawingml/2006/main">
                    <a:graphicData uri="http://schemas.openxmlformats.org/drawingml/2006/picture">
                      <pic:pic xmlns:pic="http://schemas.openxmlformats.org/drawingml/2006/picture">
                        <pic:nvPicPr>
                          <pic:cNvPr id="149" name="图片_97_SpCnt_3"/>
                          <pic:cNvPicPr/>
                        </pic:nvPicPr>
                        <pic:blipFill>
                          <a:blip r:embed="rId124"/>
                          <a:stretch>
                            <a:fillRect/>
                          </a:stretch>
                        </pic:blipFill>
                        <pic:spPr>
                          <a:xfrm>
                            <a:off x="0" y="0"/>
                            <a:ext cx="409575" cy="4756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2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四门陈列冰箱（冷藏）</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SIZE：约1200*720*1880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优质不锈钢板制作，配上置式优质压缩机组，自动回归门，不锈钢内胆，全封闭型、数字恒温控制，保温层用聚氨酯一次性发泡成型。                                                                                          ◆相关资质：发泡料防火等级B1级。</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◆具有冷链存储消杀功能，同时使用臭氧及紫外线消毒，厂家具有消毒产品生产许可证。</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79072" behindDoc="0" locked="0" layoutInCell="1" allowOverlap="1">
                  <wp:simplePos x="0" y="0"/>
                  <wp:positionH relativeFrom="column">
                    <wp:posOffset>142875</wp:posOffset>
                  </wp:positionH>
                  <wp:positionV relativeFrom="paragraph">
                    <wp:posOffset>513715</wp:posOffset>
                  </wp:positionV>
                  <wp:extent cx="438150" cy="647065"/>
                  <wp:effectExtent l="0" t="0" r="0" b="635"/>
                  <wp:wrapNone/>
                  <wp:docPr id="150" name="图片_271"/>
                  <wp:cNvGraphicFramePr/>
                  <a:graphic xmlns:a="http://schemas.openxmlformats.org/drawingml/2006/main">
                    <a:graphicData uri="http://schemas.openxmlformats.org/drawingml/2006/picture">
                      <pic:pic xmlns:pic="http://schemas.openxmlformats.org/drawingml/2006/picture">
                        <pic:nvPicPr>
                          <pic:cNvPr id="150" name="图片_271"/>
                          <pic:cNvPicPr/>
                        </pic:nvPicPr>
                        <pic:blipFill>
                          <a:blip r:embed="rId125"/>
                          <a:stretch>
                            <a:fillRect/>
                          </a:stretch>
                        </pic:blipFill>
                        <pic:spPr>
                          <a:xfrm>
                            <a:off x="0" y="0"/>
                            <a:ext cx="438150" cy="64706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SIZE：600*600*800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选用SUS304不锈钢板制作；支架、通脚、可调脚为Φ38不锈钢管，管壁厚1.0mm，配置不锈钢可调脚，配落水器；带后挡板，台板厚1.0mm；（最终规格按现场空间实量为准）；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80096" behindDoc="0" locked="0" layoutInCell="1" allowOverlap="1">
                  <wp:simplePos x="0" y="0"/>
                  <wp:positionH relativeFrom="column">
                    <wp:posOffset>114300</wp:posOffset>
                  </wp:positionH>
                  <wp:positionV relativeFrom="paragraph">
                    <wp:posOffset>122555</wp:posOffset>
                  </wp:positionV>
                  <wp:extent cx="476885" cy="505460"/>
                  <wp:effectExtent l="0" t="0" r="18415" b="8890"/>
                  <wp:wrapNone/>
                  <wp:docPr id="151" name="Picture_114_SpCnt_4"/>
                  <wp:cNvGraphicFramePr/>
                  <a:graphic xmlns:a="http://schemas.openxmlformats.org/drawingml/2006/main">
                    <a:graphicData uri="http://schemas.openxmlformats.org/drawingml/2006/picture">
                      <pic:pic xmlns:pic="http://schemas.openxmlformats.org/drawingml/2006/picture">
                        <pic:nvPicPr>
                          <pic:cNvPr id="151" name="Picture_114_SpCnt_4"/>
                          <pic:cNvPicPr/>
                        </pic:nvPicPr>
                        <pic:blipFill>
                          <a:blip r:embed="rId126"/>
                          <a:stretch>
                            <a:fillRect/>
                          </a:stretch>
                        </pic:blipFill>
                        <pic:spPr>
                          <a:xfrm>
                            <a:off x="0" y="0"/>
                            <a:ext cx="476885" cy="50546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375"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1.座台式安装，单孔单温，鹅颈水嘴。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3.陶瓷阀芯一字开形手柄；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4.开孔尺寸为25mm，进水接口为1/2"内螺纹。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◆产品材质铅的含量≤0.22%并提供相应检测报告复印件。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81120" behindDoc="0" locked="0" layoutInCell="1" allowOverlap="1">
                  <wp:simplePos x="0" y="0"/>
                  <wp:positionH relativeFrom="column">
                    <wp:posOffset>180975</wp:posOffset>
                  </wp:positionH>
                  <wp:positionV relativeFrom="paragraph">
                    <wp:posOffset>778510</wp:posOffset>
                  </wp:positionV>
                  <wp:extent cx="333375" cy="552450"/>
                  <wp:effectExtent l="0" t="0" r="9525" b="0"/>
                  <wp:wrapNone/>
                  <wp:docPr id="152" name="图片_32_SpCnt_3"/>
                  <wp:cNvGraphicFramePr/>
                  <a:graphic xmlns:a="http://schemas.openxmlformats.org/drawingml/2006/main">
                    <a:graphicData uri="http://schemas.openxmlformats.org/drawingml/2006/picture">
                      <pic:pic xmlns:pic="http://schemas.openxmlformats.org/drawingml/2006/picture">
                        <pic:nvPicPr>
                          <pic:cNvPr id="152" name="图片_32_SpCnt_3"/>
                          <pic:cNvPicPr/>
                        </pic:nvPicPr>
                        <pic:blipFill>
                          <a:blip r:embed="rId109"/>
                          <a:stretch>
                            <a:fillRect/>
                          </a:stretch>
                        </pic:blipFill>
                        <pic:spPr>
                          <a:xfrm>
                            <a:off x="0" y="0"/>
                            <a:ext cx="333375" cy="5524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491"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SIZE：1400*600*800</w:t>
            </w:r>
          </w:p>
        </w:tc>
        <w:tc>
          <w:tcPr>
            <w:tcW w:w="261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选用SUS304不锈钢板制作（包括加强档、筋），下置一层栅档，台面用衬板加强，配置不锈钢可调脚，台面板厚1.0mm。（最终规格按现场实际空间实量为准）                                                                             ◆提供生产厂家工作台加档符合GB/T3280-2015《不锈钢冷轧钢板和钢带》的型式检测报告。  </w:t>
            </w:r>
          </w:p>
        </w:tc>
        <w:tc>
          <w:tcPr>
            <w:tcW w:w="6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82144" behindDoc="0" locked="0" layoutInCell="1" allowOverlap="1">
                  <wp:simplePos x="0" y="0"/>
                  <wp:positionH relativeFrom="column">
                    <wp:posOffset>57150</wp:posOffset>
                  </wp:positionH>
                  <wp:positionV relativeFrom="paragraph">
                    <wp:posOffset>0</wp:posOffset>
                  </wp:positionV>
                  <wp:extent cx="571500" cy="0"/>
                  <wp:effectExtent l="0" t="0" r="0" b="0"/>
                  <wp:wrapNone/>
                  <wp:docPr id="153" name="图片_169_SpCnt_14"/>
                  <wp:cNvGraphicFramePr/>
                  <a:graphic xmlns:a="http://schemas.openxmlformats.org/drawingml/2006/main">
                    <a:graphicData uri="http://schemas.openxmlformats.org/drawingml/2006/picture">
                      <pic:pic xmlns:pic="http://schemas.openxmlformats.org/drawingml/2006/picture">
                        <pic:nvPicPr>
                          <pic:cNvPr id="153" name="图片_169_SpCnt_14"/>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783168" behindDoc="0" locked="0" layoutInCell="1" allowOverlap="1">
                  <wp:simplePos x="0" y="0"/>
                  <wp:positionH relativeFrom="column">
                    <wp:posOffset>66675</wp:posOffset>
                  </wp:positionH>
                  <wp:positionV relativeFrom="paragraph">
                    <wp:posOffset>0</wp:posOffset>
                  </wp:positionV>
                  <wp:extent cx="571500" cy="0"/>
                  <wp:effectExtent l="0" t="0" r="0" b="0"/>
                  <wp:wrapNone/>
                  <wp:docPr id="154" name="图片_169_SpCnt_15"/>
                  <wp:cNvGraphicFramePr/>
                  <a:graphic xmlns:a="http://schemas.openxmlformats.org/drawingml/2006/main">
                    <a:graphicData uri="http://schemas.openxmlformats.org/drawingml/2006/picture">
                      <pic:pic xmlns:pic="http://schemas.openxmlformats.org/drawingml/2006/picture">
                        <pic:nvPicPr>
                          <pic:cNvPr id="154" name="图片_169_SpCnt_15"/>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784192" behindDoc="0" locked="0" layoutInCell="1" allowOverlap="1">
                  <wp:simplePos x="0" y="0"/>
                  <wp:positionH relativeFrom="column">
                    <wp:posOffset>85725</wp:posOffset>
                  </wp:positionH>
                  <wp:positionV relativeFrom="paragraph">
                    <wp:posOffset>426720</wp:posOffset>
                  </wp:positionV>
                  <wp:extent cx="542925" cy="417195"/>
                  <wp:effectExtent l="0" t="0" r="9525" b="1905"/>
                  <wp:wrapNone/>
                  <wp:docPr id="155" name="Picture_4_SpCnt_4"/>
                  <wp:cNvGraphicFramePr/>
                  <a:graphic xmlns:a="http://schemas.openxmlformats.org/drawingml/2006/main">
                    <a:graphicData uri="http://schemas.openxmlformats.org/drawingml/2006/picture">
                      <pic:pic xmlns:pic="http://schemas.openxmlformats.org/drawingml/2006/picture">
                        <pic:nvPicPr>
                          <pic:cNvPr id="155" name="Picture_4_SpCnt_4"/>
                          <pic:cNvPicPr/>
                        </pic:nvPicPr>
                        <pic:blipFill>
                          <a:blip r:embed="rId127"/>
                          <a:stretch>
                            <a:fillRect/>
                          </a:stretch>
                        </pic:blipFill>
                        <pic:spPr>
                          <a:xfrm>
                            <a:off x="0" y="0"/>
                            <a:ext cx="542925" cy="41719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85216" behindDoc="0" locked="0" layoutInCell="1" allowOverlap="1">
                  <wp:simplePos x="0" y="0"/>
                  <wp:positionH relativeFrom="column">
                    <wp:posOffset>76200</wp:posOffset>
                  </wp:positionH>
                  <wp:positionV relativeFrom="paragraph">
                    <wp:posOffset>522605</wp:posOffset>
                  </wp:positionV>
                  <wp:extent cx="523875" cy="387985"/>
                  <wp:effectExtent l="0" t="0" r="9525" b="12065"/>
                  <wp:wrapNone/>
                  <wp:docPr id="156" name="图片_3_SpCnt_9"/>
                  <wp:cNvGraphicFramePr/>
                  <a:graphic xmlns:a="http://schemas.openxmlformats.org/drawingml/2006/main">
                    <a:graphicData uri="http://schemas.openxmlformats.org/drawingml/2006/picture">
                      <pic:pic xmlns:pic="http://schemas.openxmlformats.org/drawingml/2006/picture">
                        <pic:nvPicPr>
                          <pic:cNvPr id="156" name="图片_3_SpCnt_9"/>
                          <pic:cNvPicPr/>
                        </pic:nvPicPr>
                        <pic:blipFill>
                          <a:blip r:embed="rId128"/>
                          <a:stretch>
                            <a:fillRect/>
                          </a:stretch>
                        </pic:blipFill>
                        <pic:spPr>
                          <a:xfrm>
                            <a:off x="0" y="0"/>
                            <a:ext cx="523875" cy="38798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3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紫外线消毒灯管</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SIZE：管长约90cm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输入电压：AC220V50Hz                          适用面积：20㎡-50㎡（含）                    电源方式：交流电                         说明：3D立体环绕杀菌；双重杀菌不怕死角，国标T6石英管。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支</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86240" behindDoc="0" locked="0" layoutInCell="1" allowOverlap="1">
                  <wp:simplePos x="0" y="0"/>
                  <wp:positionH relativeFrom="column">
                    <wp:posOffset>114300</wp:posOffset>
                  </wp:positionH>
                  <wp:positionV relativeFrom="paragraph">
                    <wp:posOffset>267970</wp:posOffset>
                  </wp:positionV>
                  <wp:extent cx="514350" cy="314960"/>
                  <wp:effectExtent l="0" t="0" r="0" b="8890"/>
                  <wp:wrapNone/>
                  <wp:docPr id="157" name="图片_158"/>
                  <wp:cNvGraphicFramePr/>
                  <a:graphic xmlns:a="http://schemas.openxmlformats.org/drawingml/2006/main">
                    <a:graphicData uri="http://schemas.openxmlformats.org/drawingml/2006/picture">
                      <pic:pic xmlns:pic="http://schemas.openxmlformats.org/drawingml/2006/picture">
                        <pic:nvPicPr>
                          <pic:cNvPr id="157" name="图片_158"/>
                          <pic:cNvPicPr/>
                        </pic:nvPicPr>
                        <pic:blipFill>
                          <a:blip r:embed="rId129"/>
                          <a:stretch>
                            <a:fillRect/>
                          </a:stretch>
                        </pic:blipFill>
                        <pic:spPr>
                          <a:xfrm>
                            <a:off x="0" y="0"/>
                            <a:ext cx="514350" cy="31496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一层分餐间</w:t>
            </w:r>
            <w:r>
              <w:rPr>
                <w:rFonts w:hint="eastAsia" w:ascii="宋体" w:hAnsi="宋体" w:cs="宋体"/>
                <w:color w:val="000000"/>
                <w:kern w:val="0"/>
                <w:sz w:val="24"/>
              </w:rPr>
              <w:drawing>
                <wp:anchor distT="0" distB="0" distL="114300" distR="114300" simplePos="0" relativeHeight="251787264" behindDoc="0" locked="0" layoutInCell="1" allowOverlap="1">
                  <wp:simplePos x="0" y="0"/>
                  <wp:positionH relativeFrom="column">
                    <wp:posOffset>66675</wp:posOffset>
                  </wp:positionH>
                  <wp:positionV relativeFrom="paragraph">
                    <wp:posOffset>0</wp:posOffset>
                  </wp:positionV>
                  <wp:extent cx="571500" cy="0"/>
                  <wp:effectExtent l="0" t="0" r="0" b="0"/>
                  <wp:wrapNone/>
                  <wp:docPr id="158" name="图片_169_SpCnt_16"/>
                  <wp:cNvGraphicFramePr/>
                  <a:graphic xmlns:a="http://schemas.openxmlformats.org/drawingml/2006/main">
                    <a:graphicData uri="http://schemas.openxmlformats.org/drawingml/2006/picture">
                      <pic:pic xmlns:pic="http://schemas.openxmlformats.org/drawingml/2006/picture">
                        <pic:nvPicPr>
                          <pic:cNvPr id="158" name="图片_169_SpCnt_16"/>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88288" behindDoc="0" locked="0" layoutInCell="1" allowOverlap="1">
                  <wp:simplePos x="0" y="0"/>
                  <wp:positionH relativeFrom="column">
                    <wp:posOffset>66675</wp:posOffset>
                  </wp:positionH>
                  <wp:positionV relativeFrom="paragraph">
                    <wp:posOffset>0</wp:posOffset>
                  </wp:positionV>
                  <wp:extent cx="571500" cy="0"/>
                  <wp:effectExtent l="0" t="0" r="0" b="0"/>
                  <wp:wrapNone/>
                  <wp:docPr id="159" name="图片_169_SpCnt_17"/>
                  <wp:cNvGraphicFramePr/>
                  <a:graphic xmlns:a="http://schemas.openxmlformats.org/drawingml/2006/main">
                    <a:graphicData uri="http://schemas.openxmlformats.org/drawingml/2006/picture">
                      <pic:pic xmlns:pic="http://schemas.openxmlformats.org/drawingml/2006/picture">
                        <pic:nvPicPr>
                          <pic:cNvPr id="159" name="图片_169_SpCnt_17"/>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89312" behindDoc="0" locked="0" layoutInCell="1" allowOverlap="1">
                  <wp:simplePos x="0" y="0"/>
                  <wp:positionH relativeFrom="column">
                    <wp:posOffset>85725</wp:posOffset>
                  </wp:positionH>
                  <wp:positionV relativeFrom="paragraph">
                    <wp:posOffset>0</wp:posOffset>
                  </wp:positionV>
                  <wp:extent cx="571500" cy="0"/>
                  <wp:effectExtent l="0" t="0" r="0" b="0"/>
                  <wp:wrapNone/>
                  <wp:docPr id="160" name="图片_169_SpCnt_18"/>
                  <wp:cNvGraphicFramePr/>
                  <a:graphic xmlns:a="http://schemas.openxmlformats.org/drawingml/2006/main">
                    <a:graphicData uri="http://schemas.openxmlformats.org/drawingml/2006/picture">
                      <pic:pic xmlns:pic="http://schemas.openxmlformats.org/drawingml/2006/picture">
                        <pic:nvPicPr>
                          <pic:cNvPr id="160" name="图片_169_SpCnt_18"/>
                          <pic:cNvPicPr/>
                        </pic:nvPicPr>
                        <pic:blipFill>
                          <a:blip r:embed="rId67"/>
                          <a:stretch>
                            <a:fillRect/>
                          </a:stretch>
                        </pic:blipFill>
                        <pic:spPr>
                          <a:xfrm>
                            <a:off x="0" y="0"/>
                            <a:ext cx="57150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90336" behindDoc="0" locked="0" layoutInCell="1" allowOverlap="1">
                  <wp:simplePos x="0" y="0"/>
                  <wp:positionH relativeFrom="column">
                    <wp:posOffset>95885</wp:posOffset>
                  </wp:positionH>
                  <wp:positionV relativeFrom="paragraph">
                    <wp:posOffset>0</wp:posOffset>
                  </wp:positionV>
                  <wp:extent cx="513715" cy="0"/>
                  <wp:effectExtent l="0" t="0" r="0" b="0"/>
                  <wp:wrapNone/>
                  <wp:docPr id="161" name="图片_185_SpCnt_2"/>
                  <wp:cNvGraphicFramePr/>
                  <a:graphic xmlns:a="http://schemas.openxmlformats.org/drawingml/2006/main">
                    <a:graphicData uri="http://schemas.openxmlformats.org/drawingml/2006/picture">
                      <pic:pic xmlns:pic="http://schemas.openxmlformats.org/drawingml/2006/picture">
                        <pic:nvPicPr>
                          <pic:cNvPr id="161" name="图片_185_SpCnt_2"/>
                          <pic:cNvPicPr/>
                        </pic:nvPicPr>
                        <pic:blipFill>
                          <a:blip r:embed="rId67"/>
                          <a:stretch>
                            <a:fillRect/>
                          </a:stretch>
                        </pic:blipFill>
                        <pic:spPr>
                          <a:xfrm>
                            <a:off x="0" y="0"/>
                            <a:ext cx="51371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91360" behindDoc="0" locked="0" layoutInCell="1" allowOverlap="1">
                  <wp:simplePos x="0" y="0"/>
                  <wp:positionH relativeFrom="column">
                    <wp:posOffset>95885</wp:posOffset>
                  </wp:positionH>
                  <wp:positionV relativeFrom="paragraph">
                    <wp:posOffset>0</wp:posOffset>
                  </wp:positionV>
                  <wp:extent cx="513715" cy="0"/>
                  <wp:effectExtent l="0" t="0" r="0" b="0"/>
                  <wp:wrapNone/>
                  <wp:docPr id="162" name="图片_185_SpCnt_3"/>
                  <wp:cNvGraphicFramePr/>
                  <a:graphic xmlns:a="http://schemas.openxmlformats.org/drawingml/2006/main">
                    <a:graphicData uri="http://schemas.openxmlformats.org/drawingml/2006/picture">
                      <pic:pic xmlns:pic="http://schemas.openxmlformats.org/drawingml/2006/picture">
                        <pic:nvPicPr>
                          <pic:cNvPr id="162" name="图片_185_SpCnt_3"/>
                          <pic:cNvPicPr/>
                        </pic:nvPicPr>
                        <pic:blipFill>
                          <a:blip r:embed="rId67"/>
                          <a:stretch>
                            <a:fillRect/>
                          </a:stretch>
                        </pic:blipFill>
                        <pic:spPr>
                          <a:xfrm>
                            <a:off x="0" y="0"/>
                            <a:ext cx="51371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792384" behindDoc="0" locked="0" layoutInCell="1" allowOverlap="1">
                  <wp:simplePos x="0" y="0"/>
                  <wp:positionH relativeFrom="column">
                    <wp:posOffset>161925</wp:posOffset>
                  </wp:positionH>
                  <wp:positionV relativeFrom="paragraph">
                    <wp:posOffset>0</wp:posOffset>
                  </wp:positionV>
                  <wp:extent cx="399415" cy="0"/>
                  <wp:effectExtent l="0" t="0" r="0" b="0"/>
                  <wp:wrapNone/>
                  <wp:docPr id="163" name="Picture_328_SpCnt_4"/>
                  <wp:cNvGraphicFramePr/>
                  <a:graphic xmlns:a="http://schemas.openxmlformats.org/drawingml/2006/main">
                    <a:graphicData uri="http://schemas.openxmlformats.org/drawingml/2006/picture">
                      <pic:pic xmlns:pic="http://schemas.openxmlformats.org/drawingml/2006/picture">
                        <pic:nvPicPr>
                          <pic:cNvPr id="163" name="Picture_328_SpCnt_4"/>
                          <pic:cNvPicPr/>
                        </pic:nvPicPr>
                        <pic:blipFill>
                          <a:blip r:embed="rId67"/>
                          <a:stretch>
                            <a:fillRect/>
                          </a:stretch>
                        </pic:blipFill>
                        <pic:spPr>
                          <a:xfrm>
                            <a:off x="0" y="0"/>
                            <a:ext cx="399415"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7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低搁架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SIZE：1200*500*250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选用SUS304不锈钢板制作，骨架采用约0.8mm加厚型不锈钢方管制作；格栅型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93408" behindDoc="0" locked="0" layoutInCell="1" allowOverlap="1">
                  <wp:simplePos x="0" y="0"/>
                  <wp:positionH relativeFrom="column">
                    <wp:posOffset>85725</wp:posOffset>
                  </wp:positionH>
                  <wp:positionV relativeFrom="paragraph">
                    <wp:posOffset>95250</wp:posOffset>
                  </wp:positionV>
                  <wp:extent cx="523875" cy="314960"/>
                  <wp:effectExtent l="0" t="0" r="9525" b="8890"/>
                  <wp:wrapNone/>
                  <wp:docPr id="164" name="Picture_125_SpCnt_3"/>
                  <wp:cNvGraphicFramePr/>
                  <a:graphic xmlns:a="http://schemas.openxmlformats.org/drawingml/2006/main">
                    <a:graphicData uri="http://schemas.openxmlformats.org/drawingml/2006/picture">
                      <pic:pic xmlns:pic="http://schemas.openxmlformats.org/drawingml/2006/picture">
                        <pic:nvPicPr>
                          <pic:cNvPr id="164" name="Picture_125_SpCnt_3"/>
                          <pic:cNvPicPr/>
                        </pic:nvPicPr>
                        <pic:blipFill>
                          <a:blip r:embed="rId130"/>
                          <a:stretch>
                            <a:fillRect/>
                          </a:stretch>
                        </pic:blipFill>
                        <pic:spPr>
                          <a:xfrm>
                            <a:off x="0" y="0"/>
                            <a:ext cx="523875" cy="31496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543"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单开门操作台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SIZE：1800*500*800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选用SUS304不锈钢板制作（包括加强档、筋），台面用衬板加强，台面板厚1.0mm，内置一层搁板，一面配有上挂式双移门，配不锈钢可调脚。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94432" behindDoc="0" locked="0" layoutInCell="1" allowOverlap="1">
                  <wp:simplePos x="0" y="0"/>
                  <wp:positionH relativeFrom="column">
                    <wp:posOffset>85725</wp:posOffset>
                  </wp:positionH>
                  <wp:positionV relativeFrom="paragraph">
                    <wp:posOffset>133985</wp:posOffset>
                  </wp:positionV>
                  <wp:extent cx="514350" cy="343535"/>
                  <wp:effectExtent l="0" t="0" r="0" b="18415"/>
                  <wp:wrapNone/>
                  <wp:docPr id="165" name="Picture_360_SpCnt_5"/>
                  <wp:cNvGraphicFramePr/>
                  <a:graphic xmlns:a="http://schemas.openxmlformats.org/drawingml/2006/main">
                    <a:graphicData uri="http://schemas.openxmlformats.org/drawingml/2006/picture">
                      <pic:pic xmlns:pic="http://schemas.openxmlformats.org/drawingml/2006/picture">
                        <pic:nvPicPr>
                          <pic:cNvPr id="165" name="Picture_360_SpCnt_5"/>
                          <pic:cNvPicPr/>
                        </pic:nvPicPr>
                        <pic:blipFill>
                          <a:blip r:embed="rId131"/>
                          <a:stretch>
                            <a:fillRect/>
                          </a:stretch>
                        </pic:blipFill>
                        <pic:spPr>
                          <a:xfrm>
                            <a:off x="0" y="0"/>
                            <a:ext cx="514350" cy="3435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SIZE：500*500*800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95456" behindDoc="0" locked="0" layoutInCell="1" allowOverlap="1">
                  <wp:simplePos x="0" y="0"/>
                  <wp:positionH relativeFrom="column">
                    <wp:posOffset>133350</wp:posOffset>
                  </wp:positionH>
                  <wp:positionV relativeFrom="paragraph">
                    <wp:posOffset>76200</wp:posOffset>
                  </wp:positionV>
                  <wp:extent cx="447675" cy="437515"/>
                  <wp:effectExtent l="0" t="0" r="9525" b="635"/>
                  <wp:wrapNone/>
                  <wp:docPr id="166" name="Picture_114_SpCnt_5"/>
                  <wp:cNvGraphicFramePr/>
                  <a:graphic xmlns:a="http://schemas.openxmlformats.org/drawingml/2006/main">
                    <a:graphicData uri="http://schemas.openxmlformats.org/drawingml/2006/picture">
                      <pic:pic xmlns:pic="http://schemas.openxmlformats.org/drawingml/2006/picture">
                        <pic:nvPicPr>
                          <pic:cNvPr id="166" name="Picture_114_SpCnt_5"/>
                          <pic:cNvPicPr/>
                        </pic:nvPicPr>
                        <pic:blipFill>
                          <a:blip r:embed="rId132"/>
                          <a:stretch>
                            <a:fillRect/>
                          </a:stretch>
                        </pic:blipFill>
                        <pic:spPr>
                          <a:xfrm>
                            <a:off x="0" y="0"/>
                            <a:ext cx="447675" cy="4375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37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型号：XP-A101</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1.座台式安装，单孔单温，鹅颈水嘴；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3.陶瓷阀芯一字开形手柄；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4.开孔尺寸为25mm，进水接口为1/2"内螺纹；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                                        ◆产品材质铅的含量≤0.22%并提供相应检测报告复印件。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96480" behindDoc="0" locked="0" layoutInCell="1" allowOverlap="1">
                  <wp:simplePos x="0" y="0"/>
                  <wp:positionH relativeFrom="column">
                    <wp:posOffset>180975</wp:posOffset>
                  </wp:positionH>
                  <wp:positionV relativeFrom="paragraph">
                    <wp:posOffset>778510</wp:posOffset>
                  </wp:positionV>
                  <wp:extent cx="333375" cy="552450"/>
                  <wp:effectExtent l="0" t="0" r="9525" b="0"/>
                  <wp:wrapNone/>
                  <wp:docPr id="167" name="图片_32_SpCnt_4"/>
                  <wp:cNvGraphicFramePr/>
                  <a:graphic xmlns:a="http://schemas.openxmlformats.org/drawingml/2006/main">
                    <a:graphicData uri="http://schemas.openxmlformats.org/drawingml/2006/picture">
                      <pic:pic xmlns:pic="http://schemas.openxmlformats.org/drawingml/2006/picture">
                        <pic:nvPicPr>
                          <pic:cNvPr id="167" name="图片_32_SpCnt_4"/>
                          <pic:cNvPicPr/>
                        </pic:nvPicPr>
                        <pic:blipFill>
                          <a:blip r:embed="rId109"/>
                          <a:stretch>
                            <a:fillRect/>
                          </a:stretch>
                        </pic:blipFill>
                        <pic:spPr>
                          <a:xfrm>
                            <a:off x="0" y="0"/>
                            <a:ext cx="333375" cy="5524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7"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玻璃门留样冰箱</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SIZE：约600*720*1880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优质不锈钢板制作，配上置式优质压缩机组，自动回归门，不锈钢内胆，全封闭型、数字恒温控制，保温层用聚氨酯一次性发泡成型。                                                                                          ◆相关资质：发泡料防火等级B1级。</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◆具有冷链存储消杀功能，同时使用臭氧及紫外线消毒，厂家具有消毒产品生产许可证。</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97504" behindDoc="0" locked="0" layoutInCell="1" allowOverlap="1">
                  <wp:simplePos x="0" y="0"/>
                  <wp:positionH relativeFrom="column">
                    <wp:posOffset>219075</wp:posOffset>
                  </wp:positionH>
                  <wp:positionV relativeFrom="paragraph">
                    <wp:posOffset>535940</wp:posOffset>
                  </wp:positionV>
                  <wp:extent cx="276225" cy="676275"/>
                  <wp:effectExtent l="0" t="0" r="9525" b="9525"/>
                  <wp:wrapNone/>
                  <wp:docPr id="168" name="图片_95"/>
                  <wp:cNvGraphicFramePr/>
                  <a:graphic xmlns:a="http://schemas.openxmlformats.org/drawingml/2006/main">
                    <a:graphicData uri="http://schemas.openxmlformats.org/drawingml/2006/picture">
                      <pic:pic xmlns:pic="http://schemas.openxmlformats.org/drawingml/2006/picture">
                        <pic:nvPicPr>
                          <pic:cNvPr id="168" name="图片_95"/>
                          <pic:cNvPicPr/>
                        </pic:nvPicPr>
                        <pic:blipFill>
                          <a:blip r:embed="rId133"/>
                          <a:stretch>
                            <a:fillRect/>
                          </a:stretch>
                        </pic:blipFill>
                        <pic:spPr>
                          <a:xfrm>
                            <a:off x="0" y="0"/>
                            <a:ext cx="276225" cy="67627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434"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5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风幕机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SIZE：约L=1500mm（最终长度依据现场实际）</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全金属不锈钢外壳和配件；采用全新遥控或控式开关；采用优化电机，性能可靠（没有安装条件，相应取消，数量按实际）</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798528" behindDoc="0" locked="0" layoutInCell="1" allowOverlap="1">
                  <wp:simplePos x="0" y="0"/>
                  <wp:positionH relativeFrom="column">
                    <wp:posOffset>66675</wp:posOffset>
                  </wp:positionH>
                  <wp:positionV relativeFrom="paragraph">
                    <wp:posOffset>220345</wp:posOffset>
                  </wp:positionV>
                  <wp:extent cx="562610" cy="0"/>
                  <wp:effectExtent l="0" t="0" r="0" b="0"/>
                  <wp:wrapNone/>
                  <wp:docPr id="169" name="图片_69_SpCnt_3"/>
                  <wp:cNvGraphicFramePr/>
                  <a:graphic xmlns:a="http://schemas.openxmlformats.org/drawingml/2006/main">
                    <a:graphicData uri="http://schemas.openxmlformats.org/drawingml/2006/picture">
                      <pic:pic xmlns:pic="http://schemas.openxmlformats.org/drawingml/2006/picture">
                        <pic:nvPicPr>
                          <pic:cNvPr id="169" name="图片_69_SpCnt_3"/>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799552" behindDoc="0" locked="0" layoutInCell="1" allowOverlap="1">
                  <wp:simplePos x="0" y="0"/>
                  <wp:positionH relativeFrom="column">
                    <wp:posOffset>85725</wp:posOffset>
                  </wp:positionH>
                  <wp:positionV relativeFrom="paragraph">
                    <wp:posOffset>256540</wp:posOffset>
                  </wp:positionV>
                  <wp:extent cx="562610" cy="0"/>
                  <wp:effectExtent l="0" t="0" r="0" b="0"/>
                  <wp:wrapNone/>
                  <wp:docPr id="170" name="图片_69_SpCnt_4"/>
                  <wp:cNvGraphicFramePr/>
                  <a:graphic xmlns:a="http://schemas.openxmlformats.org/drawingml/2006/main">
                    <a:graphicData uri="http://schemas.openxmlformats.org/drawingml/2006/picture">
                      <pic:pic xmlns:pic="http://schemas.openxmlformats.org/drawingml/2006/picture">
                        <pic:nvPicPr>
                          <pic:cNvPr id="170" name="图片_69_SpCnt_4"/>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00576" behindDoc="0" locked="0" layoutInCell="1" allowOverlap="1">
                  <wp:simplePos x="0" y="0"/>
                  <wp:positionH relativeFrom="column">
                    <wp:posOffset>95885</wp:posOffset>
                  </wp:positionH>
                  <wp:positionV relativeFrom="paragraph">
                    <wp:posOffset>181610</wp:posOffset>
                  </wp:positionV>
                  <wp:extent cx="523875" cy="342900"/>
                  <wp:effectExtent l="0" t="0" r="9525" b="0"/>
                  <wp:wrapNone/>
                  <wp:docPr id="171" name="图片_69_SpCnt_5"/>
                  <wp:cNvGraphicFramePr/>
                  <a:graphic xmlns:a="http://schemas.openxmlformats.org/drawingml/2006/main">
                    <a:graphicData uri="http://schemas.openxmlformats.org/drawingml/2006/picture">
                      <pic:pic xmlns:pic="http://schemas.openxmlformats.org/drawingml/2006/picture">
                        <pic:nvPicPr>
                          <pic:cNvPr id="171" name="图片_69_SpCnt_5"/>
                          <pic:cNvPicPr/>
                        </pic:nvPicPr>
                        <pic:blipFill>
                          <a:blip r:embed="rId134"/>
                          <a:stretch>
                            <a:fillRect/>
                          </a:stretch>
                        </pic:blipFill>
                        <pic:spPr>
                          <a:xfrm>
                            <a:off x="0" y="0"/>
                            <a:ext cx="523875" cy="3429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533"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01600" behindDoc="0" locked="0" layoutInCell="1" allowOverlap="1">
                  <wp:simplePos x="0" y="0"/>
                  <wp:positionH relativeFrom="column">
                    <wp:posOffset>114300</wp:posOffset>
                  </wp:positionH>
                  <wp:positionV relativeFrom="paragraph">
                    <wp:posOffset>495300</wp:posOffset>
                  </wp:positionV>
                  <wp:extent cx="523875" cy="438150"/>
                  <wp:effectExtent l="0" t="0" r="9525" b="0"/>
                  <wp:wrapNone/>
                  <wp:docPr id="172" name="图片_3_SpCnt_10"/>
                  <wp:cNvGraphicFramePr/>
                  <a:graphic xmlns:a="http://schemas.openxmlformats.org/drawingml/2006/main">
                    <a:graphicData uri="http://schemas.openxmlformats.org/drawingml/2006/picture">
                      <pic:pic xmlns:pic="http://schemas.openxmlformats.org/drawingml/2006/picture">
                        <pic:nvPicPr>
                          <pic:cNvPr id="172" name="图片_3_SpCnt_10"/>
                          <pic:cNvPicPr/>
                        </pic:nvPicPr>
                        <pic:blipFill>
                          <a:blip r:embed="rId135"/>
                          <a:stretch>
                            <a:fillRect/>
                          </a:stretch>
                        </pic:blipFill>
                        <pic:spPr>
                          <a:xfrm>
                            <a:off x="0" y="0"/>
                            <a:ext cx="523875" cy="4381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884" w:hRule="atLeast"/>
          <w:jc w:val="center"/>
        </w:trPr>
        <w:tc>
          <w:tcPr>
            <w:tcW w:w="72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w:t>
            </w:r>
          </w:p>
        </w:tc>
        <w:tc>
          <w:tcPr>
            <w:tcW w:w="15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紫外线消毒灯管</w:t>
            </w:r>
          </w:p>
        </w:tc>
        <w:tc>
          <w:tcPr>
            <w:tcW w:w="147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SIZE：管长约90cm </w:t>
            </w:r>
          </w:p>
        </w:tc>
        <w:tc>
          <w:tcPr>
            <w:tcW w:w="261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输入电压：AC220V50Hz                          适用面积：20㎡-50㎡（含）                    电源方式：交流电                         说明：3D立体环绕杀菌；双重杀菌不怕死角， 国标T6石英管。  </w:t>
            </w:r>
          </w:p>
        </w:tc>
        <w:tc>
          <w:tcPr>
            <w:tcW w:w="67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支</w:t>
            </w:r>
          </w:p>
        </w:tc>
        <w:tc>
          <w:tcPr>
            <w:tcW w:w="55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02624" behindDoc="0" locked="0" layoutInCell="1" allowOverlap="1">
                  <wp:simplePos x="0" y="0"/>
                  <wp:positionH relativeFrom="column">
                    <wp:posOffset>85725</wp:posOffset>
                  </wp:positionH>
                  <wp:positionV relativeFrom="paragraph">
                    <wp:posOffset>237490</wp:posOffset>
                  </wp:positionV>
                  <wp:extent cx="485775" cy="335280"/>
                  <wp:effectExtent l="0" t="0" r="9525" b="7620"/>
                  <wp:wrapNone/>
                  <wp:docPr id="173" name="图片_158_SpCnt_1"/>
                  <wp:cNvGraphicFramePr/>
                  <a:graphic xmlns:a="http://schemas.openxmlformats.org/drawingml/2006/main">
                    <a:graphicData uri="http://schemas.openxmlformats.org/drawingml/2006/picture">
                      <pic:pic xmlns:pic="http://schemas.openxmlformats.org/drawingml/2006/picture">
                        <pic:nvPicPr>
                          <pic:cNvPr id="173" name="图片_158_SpCnt_1"/>
                          <pic:cNvPicPr/>
                        </pic:nvPicPr>
                        <pic:blipFill>
                          <a:blip r:embed="rId136"/>
                          <a:stretch>
                            <a:fillRect/>
                          </a:stretch>
                        </pic:blipFill>
                        <pic:spPr>
                          <a:xfrm>
                            <a:off x="0" y="0"/>
                            <a:ext cx="485775" cy="33528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二次更衣二</w:t>
            </w:r>
          </w:p>
        </w:tc>
      </w:tr>
      <w:tr>
        <w:tblPrEx>
          <w:tblCellMar>
            <w:top w:w="0" w:type="dxa"/>
            <w:left w:w="108" w:type="dxa"/>
            <w:bottom w:w="0" w:type="dxa"/>
            <w:right w:w="108" w:type="dxa"/>
          </w:tblCellMar>
        </w:tblPrEx>
        <w:trPr>
          <w:trHeight w:val="1125" w:hRule="atLeast"/>
          <w:jc w:val="center"/>
        </w:trPr>
        <w:tc>
          <w:tcPr>
            <w:tcW w:w="72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单水池连平台带感应龙头</w:t>
            </w:r>
          </w:p>
        </w:tc>
        <w:tc>
          <w:tcPr>
            <w:tcW w:w="147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SIZE：900*500*800</w:t>
            </w:r>
          </w:p>
        </w:tc>
        <w:tc>
          <w:tcPr>
            <w:tcW w:w="261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选用SUS304不锈钢板制作；支架、通脚、可调脚为Φ38不锈钢管，管壁厚1.0mm，配置不锈钢可调脚，配落水器；带后挡板，台板厚1.0mm；配单星盆；带感应龙头。</w:t>
            </w:r>
          </w:p>
        </w:tc>
        <w:tc>
          <w:tcPr>
            <w:tcW w:w="67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03648" behindDoc="0" locked="0" layoutInCell="1" allowOverlap="1">
                  <wp:simplePos x="0" y="0"/>
                  <wp:positionH relativeFrom="column">
                    <wp:posOffset>76200</wp:posOffset>
                  </wp:positionH>
                  <wp:positionV relativeFrom="paragraph">
                    <wp:posOffset>55880</wp:posOffset>
                  </wp:positionV>
                  <wp:extent cx="533400" cy="390525"/>
                  <wp:effectExtent l="0" t="0" r="0" b="9525"/>
                  <wp:wrapNone/>
                  <wp:docPr id="174" name="图片_185_SpCnt_4"/>
                  <wp:cNvGraphicFramePr/>
                  <a:graphic xmlns:a="http://schemas.openxmlformats.org/drawingml/2006/main">
                    <a:graphicData uri="http://schemas.openxmlformats.org/drawingml/2006/picture">
                      <pic:pic xmlns:pic="http://schemas.openxmlformats.org/drawingml/2006/picture">
                        <pic:nvPicPr>
                          <pic:cNvPr id="174" name="图片_185_SpCnt_4"/>
                          <pic:cNvPicPr/>
                        </pic:nvPicPr>
                        <pic:blipFill>
                          <a:blip r:embed="rId137"/>
                          <a:stretch>
                            <a:fillRect/>
                          </a:stretch>
                        </pic:blipFill>
                        <pic:spPr>
                          <a:xfrm>
                            <a:off x="0" y="0"/>
                            <a:ext cx="533400" cy="3905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025" w:hRule="atLeast"/>
          <w:jc w:val="center"/>
        </w:trPr>
        <w:tc>
          <w:tcPr>
            <w:tcW w:w="725"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挂墙式烘手机</w:t>
            </w:r>
          </w:p>
        </w:tc>
        <w:tc>
          <w:tcPr>
            <w:tcW w:w="1471"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型号：冷热型 </w:t>
            </w:r>
          </w:p>
        </w:tc>
        <w:tc>
          <w:tcPr>
            <w:tcW w:w="2615"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启动方式：红外感应                         机身材质：主体塑料                           热风温度：65±15℃                     说明：精选ABS材料；大口径加热出风口；涡轮增压扇叶风扇；大功率电机；信息处理中枢；智能微电脑控制。（如无安装条件则取消）</w:t>
            </w:r>
          </w:p>
        </w:tc>
        <w:tc>
          <w:tcPr>
            <w:tcW w:w="670"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04672" behindDoc="0" locked="0" layoutInCell="1" allowOverlap="1">
                  <wp:simplePos x="0" y="0"/>
                  <wp:positionH relativeFrom="column">
                    <wp:posOffset>152400</wp:posOffset>
                  </wp:positionH>
                  <wp:positionV relativeFrom="paragraph">
                    <wp:posOffset>512445</wp:posOffset>
                  </wp:positionV>
                  <wp:extent cx="408940" cy="381635"/>
                  <wp:effectExtent l="0" t="0" r="10160" b="18415"/>
                  <wp:wrapNone/>
                  <wp:docPr id="175" name="图片_1_SpCnt_6"/>
                  <wp:cNvGraphicFramePr/>
                  <a:graphic xmlns:a="http://schemas.openxmlformats.org/drawingml/2006/main">
                    <a:graphicData uri="http://schemas.openxmlformats.org/drawingml/2006/picture">
                      <pic:pic xmlns:pic="http://schemas.openxmlformats.org/drawingml/2006/picture">
                        <pic:nvPicPr>
                          <pic:cNvPr id="175" name="图片_1_SpCnt_6"/>
                          <pic:cNvPicPr/>
                        </pic:nvPicPr>
                        <pic:blipFill>
                          <a:blip r:embed="rId138"/>
                          <a:stretch>
                            <a:fillRect/>
                          </a:stretch>
                        </pic:blipFill>
                        <pic:spPr>
                          <a:xfrm>
                            <a:off x="0" y="0"/>
                            <a:ext cx="408940" cy="3816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nil"/>
              <w:left w:val="single" w:color="000000" w:sz="4" w:space="0"/>
              <w:bottom w:val="nil"/>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一层教师售餐区</w:t>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SIZE：500*500*800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05696" behindDoc="0" locked="0" layoutInCell="1" allowOverlap="1">
                  <wp:simplePos x="0" y="0"/>
                  <wp:positionH relativeFrom="column">
                    <wp:posOffset>152400</wp:posOffset>
                  </wp:positionH>
                  <wp:positionV relativeFrom="paragraph">
                    <wp:posOffset>66675</wp:posOffset>
                  </wp:positionV>
                  <wp:extent cx="390525" cy="419735"/>
                  <wp:effectExtent l="0" t="0" r="9525" b="18415"/>
                  <wp:wrapNone/>
                  <wp:docPr id="176" name="Picture_114_SpCnt_6"/>
                  <wp:cNvGraphicFramePr/>
                  <a:graphic xmlns:a="http://schemas.openxmlformats.org/drawingml/2006/main">
                    <a:graphicData uri="http://schemas.openxmlformats.org/drawingml/2006/picture">
                      <pic:pic xmlns:pic="http://schemas.openxmlformats.org/drawingml/2006/picture">
                        <pic:nvPicPr>
                          <pic:cNvPr id="176" name="Picture_114_SpCnt_6"/>
                          <pic:cNvPicPr/>
                        </pic:nvPicPr>
                        <pic:blipFill>
                          <a:blip r:embed="rId139"/>
                          <a:stretch>
                            <a:fillRect/>
                          </a:stretch>
                        </pic:blipFill>
                        <pic:spPr>
                          <a:xfrm>
                            <a:off x="0" y="0"/>
                            <a:ext cx="390525" cy="4197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37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1.座台式安装，单孔单温，鹅颈水嘴。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3.陶瓷阀芯一字开形手柄。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4.开孔尺寸为25mm，进水接口为1/2"内螺纹。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◆产品材质铅的含量≤0.22%并提供相应检测报告复印件。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06720" behindDoc="0" locked="0" layoutInCell="1" allowOverlap="1">
                  <wp:simplePos x="0" y="0"/>
                  <wp:positionH relativeFrom="column">
                    <wp:posOffset>180975</wp:posOffset>
                  </wp:positionH>
                  <wp:positionV relativeFrom="paragraph">
                    <wp:posOffset>778510</wp:posOffset>
                  </wp:positionV>
                  <wp:extent cx="333375" cy="552450"/>
                  <wp:effectExtent l="0" t="0" r="9525" b="0"/>
                  <wp:wrapNone/>
                  <wp:docPr id="177" name="图片_32_SpCnt_5"/>
                  <wp:cNvGraphicFramePr/>
                  <a:graphic xmlns:a="http://schemas.openxmlformats.org/drawingml/2006/main">
                    <a:graphicData uri="http://schemas.openxmlformats.org/drawingml/2006/picture">
                      <pic:pic xmlns:pic="http://schemas.openxmlformats.org/drawingml/2006/picture">
                        <pic:nvPicPr>
                          <pic:cNvPr id="177" name="图片_32_SpCnt_5"/>
                          <pic:cNvPicPr/>
                        </pic:nvPicPr>
                        <pic:blipFill>
                          <a:blip r:embed="rId109"/>
                          <a:stretch>
                            <a:fillRect/>
                          </a:stretch>
                        </pic:blipFill>
                        <pic:spPr>
                          <a:xfrm>
                            <a:off x="0" y="0"/>
                            <a:ext cx="333375" cy="5524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碗柜</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选用SUS304不锈钢板制作（包括加强档、筋），内分四层；上下配密封式上挂式移门，配置不锈钢可调脚，柜体板厚1.0mm。搁档板和移门面板厚0.8mm；</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07744" behindDoc="0" locked="0" layoutInCell="1" allowOverlap="1">
                  <wp:simplePos x="0" y="0"/>
                  <wp:positionH relativeFrom="column">
                    <wp:posOffset>161925</wp:posOffset>
                  </wp:positionH>
                  <wp:positionV relativeFrom="paragraph">
                    <wp:posOffset>38100</wp:posOffset>
                  </wp:positionV>
                  <wp:extent cx="370840" cy="486410"/>
                  <wp:effectExtent l="0" t="0" r="10160" b="8890"/>
                  <wp:wrapNone/>
                  <wp:docPr id="178" name="图片_87"/>
                  <wp:cNvGraphicFramePr/>
                  <a:graphic xmlns:a="http://schemas.openxmlformats.org/drawingml/2006/main">
                    <a:graphicData uri="http://schemas.openxmlformats.org/drawingml/2006/picture">
                      <pic:pic xmlns:pic="http://schemas.openxmlformats.org/drawingml/2006/picture">
                        <pic:nvPicPr>
                          <pic:cNvPr id="178" name="图片_87"/>
                          <pic:cNvPicPr/>
                        </pic:nvPicPr>
                        <pic:blipFill>
                          <a:blip r:embed="rId140"/>
                          <a:stretch>
                            <a:fillRect/>
                          </a:stretch>
                        </pic:blipFill>
                        <pic:spPr>
                          <a:xfrm>
                            <a:off x="0" y="0"/>
                            <a:ext cx="370840" cy="48641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单开门操作台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选用SUS304不锈钢板制作（包括加强档、筋），台面用衬板加强，台面板厚1.0mm，内置一层搁板，一面配有上挂式双移门，配不锈钢可调脚。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08768" behindDoc="0" locked="0" layoutInCell="1" allowOverlap="1">
                  <wp:simplePos x="0" y="0"/>
                  <wp:positionH relativeFrom="column">
                    <wp:posOffset>85725</wp:posOffset>
                  </wp:positionH>
                  <wp:positionV relativeFrom="paragraph">
                    <wp:posOffset>95885</wp:posOffset>
                  </wp:positionV>
                  <wp:extent cx="514350" cy="344170"/>
                  <wp:effectExtent l="0" t="0" r="0" b="17780"/>
                  <wp:wrapNone/>
                  <wp:docPr id="179" name="Picture_360_SpCnt_6"/>
                  <wp:cNvGraphicFramePr/>
                  <a:graphic xmlns:a="http://schemas.openxmlformats.org/drawingml/2006/main">
                    <a:graphicData uri="http://schemas.openxmlformats.org/drawingml/2006/picture">
                      <pic:pic xmlns:pic="http://schemas.openxmlformats.org/drawingml/2006/picture">
                        <pic:nvPicPr>
                          <pic:cNvPr id="179" name="Picture_360_SpCnt_6"/>
                          <pic:cNvPicPr/>
                        </pic:nvPicPr>
                        <pic:blipFill>
                          <a:blip r:embed="rId131"/>
                          <a:stretch>
                            <a:fillRect/>
                          </a:stretch>
                        </pic:blipFill>
                        <pic:spPr>
                          <a:xfrm>
                            <a:off x="0" y="0"/>
                            <a:ext cx="514350" cy="34417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选用SUS304不锈钢板制作（包括加强档、筋），下置一层栅档，台面用衬板加强，配置不锈钢可调脚，台面板厚1.0mm。                                                                       ◆提供生产厂家工作台加档符合GB/T3280-2015《不锈钢冷轧钢板和钢带》的型式检测报告。</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09792" behindDoc="0" locked="0" layoutInCell="1" allowOverlap="1">
                  <wp:simplePos x="0" y="0"/>
                  <wp:positionH relativeFrom="column">
                    <wp:posOffset>66675</wp:posOffset>
                  </wp:positionH>
                  <wp:positionV relativeFrom="paragraph">
                    <wp:posOffset>334645</wp:posOffset>
                  </wp:positionV>
                  <wp:extent cx="542925" cy="419735"/>
                  <wp:effectExtent l="0" t="0" r="9525" b="18415"/>
                  <wp:wrapNone/>
                  <wp:docPr id="180" name="Picture_4_SpCnt_5"/>
                  <wp:cNvGraphicFramePr/>
                  <a:graphic xmlns:a="http://schemas.openxmlformats.org/drawingml/2006/main">
                    <a:graphicData uri="http://schemas.openxmlformats.org/drawingml/2006/picture">
                      <pic:pic xmlns:pic="http://schemas.openxmlformats.org/drawingml/2006/picture">
                        <pic:nvPicPr>
                          <pic:cNvPr id="180" name="Picture_4_SpCnt_5"/>
                          <pic:cNvPicPr/>
                        </pic:nvPicPr>
                        <pic:blipFill>
                          <a:blip r:embed="rId95"/>
                          <a:stretch>
                            <a:fillRect/>
                          </a:stretch>
                        </pic:blipFill>
                        <pic:spPr>
                          <a:xfrm>
                            <a:off x="0" y="0"/>
                            <a:ext cx="542925" cy="4197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7"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定制六眼电煮面炉（无后档）</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采用SUS304不锈钢制作，炉台面板厚1.0mm，其它板厚约为0.8mm，电加热；控制系统采用电脑触摸屏,功能含自动进水，缺水保护；功率5档，可自由调整,总功率：约380V/12KW。</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图片暂无</w:t>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工作拼台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SIZE：400*800*800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选用SUS304不锈钢板制作（包括加强档、筋），下置一层栅档，台面用衬板加强，配置不锈钢可调脚，台面板厚1.0mm。（最终规格按现场实际空间实量为准）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10816" behindDoc="0" locked="0" layoutInCell="1" allowOverlap="1">
                  <wp:simplePos x="0" y="0"/>
                  <wp:positionH relativeFrom="column">
                    <wp:posOffset>95885</wp:posOffset>
                  </wp:positionH>
                  <wp:positionV relativeFrom="paragraph">
                    <wp:posOffset>153670</wp:posOffset>
                  </wp:positionV>
                  <wp:extent cx="542290" cy="418465"/>
                  <wp:effectExtent l="0" t="0" r="10160" b="635"/>
                  <wp:wrapNone/>
                  <wp:docPr id="181" name="Picture_4_SpCnt_6"/>
                  <wp:cNvGraphicFramePr/>
                  <a:graphic xmlns:a="http://schemas.openxmlformats.org/drawingml/2006/main">
                    <a:graphicData uri="http://schemas.openxmlformats.org/drawingml/2006/picture">
                      <pic:pic xmlns:pic="http://schemas.openxmlformats.org/drawingml/2006/picture">
                        <pic:nvPicPr>
                          <pic:cNvPr id="181" name="Picture_4_SpCnt_6"/>
                          <pic:cNvPicPr/>
                        </pic:nvPicPr>
                        <pic:blipFill>
                          <a:blip r:embed="rId127"/>
                          <a:stretch>
                            <a:fillRect/>
                          </a:stretch>
                        </pic:blipFill>
                        <pic:spPr>
                          <a:xfrm>
                            <a:off x="0" y="0"/>
                            <a:ext cx="542290" cy="41846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SIZE：1000*800*800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选用SUS304不锈钢板制作（包括加强档、筋），下置一层栅档，台面用衬板加强，配置不锈钢可调脚，台面板厚1.0mm。最终规格按现场实际空间实量为准）                                                                    ◆提供生产厂家工作台加档符合GB/T3280-2015《不锈钢冷轧钢板和钢带》的型式检测报告。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11840" behindDoc="0" locked="0" layoutInCell="1" allowOverlap="1">
                  <wp:simplePos x="0" y="0"/>
                  <wp:positionH relativeFrom="column">
                    <wp:posOffset>66675</wp:posOffset>
                  </wp:positionH>
                  <wp:positionV relativeFrom="paragraph">
                    <wp:posOffset>334645</wp:posOffset>
                  </wp:positionV>
                  <wp:extent cx="542925" cy="419735"/>
                  <wp:effectExtent l="0" t="0" r="9525" b="18415"/>
                  <wp:wrapNone/>
                  <wp:docPr id="182" name="Picture_4_SpCnt_7"/>
                  <wp:cNvGraphicFramePr/>
                  <a:graphic xmlns:a="http://schemas.openxmlformats.org/drawingml/2006/main">
                    <a:graphicData uri="http://schemas.openxmlformats.org/drawingml/2006/picture">
                      <pic:pic xmlns:pic="http://schemas.openxmlformats.org/drawingml/2006/picture">
                        <pic:nvPicPr>
                          <pic:cNvPr id="182" name="Picture_4_SpCnt_7"/>
                          <pic:cNvPicPr/>
                        </pic:nvPicPr>
                        <pic:blipFill>
                          <a:blip r:embed="rId95"/>
                          <a:stretch>
                            <a:fillRect/>
                          </a:stretch>
                        </pic:blipFill>
                        <pic:spPr>
                          <a:xfrm>
                            <a:off x="0" y="0"/>
                            <a:ext cx="542925" cy="4197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台式电扒炉</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SIZE：约600*600*350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优质不锈钢外壳，精铁扒面，高效节能发热线及温控功能。</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12864" behindDoc="0" locked="0" layoutInCell="1" allowOverlap="1">
                  <wp:simplePos x="0" y="0"/>
                  <wp:positionH relativeFrom="column">
                    <wp:posOffset>85725</wp:posOffset>
                  </wp:positionH>
                  <wp:positionV relativeFrom="paragraph">
                    <wp:posOffset>76200</wp:posOffset>
                  </wp:positionV>
                  <wp:extent cx="514350" cy="399415"/>
                  <wp:effectExtent l="0" t="0" r="0" b="635"/>
                  <wp:wrapNone/>
                  <wp:docPr id="183" name="图片_83"/>
                  <wp:cNvGraphicFramePr/>
                  <a:graphic xmlns:a="http://schemas.openxmlformats.org/drawingml/2006/main">
                    <a:graphicData uri="http://schemas.openxmlformats.org/drawingml/2006/picture">
                      <pic:pic xmlns:pic="http://schemas.openxmlformats.org/drawingml/2006/picture">
                        <pic:nvPicPr>
                          <pic:cNvPr id="183" name="图片_83"/>
                          <pic:cNvPicPr/>
                        </pic:nvPicPr>
                        <pic:blipFill>
                          <a:blip r:embed="rId141"/>
                          <a:stretch>
                            <a:fillRect/>
                          </a:stretch>
                        </pic:blipFill>
                        <pic:spPr>
                          <a:xfrm>
                            <a:off x="0" y="0"/>
                            <a:ext cx="514350" cy="3994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9a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扒炉底座</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SIZE：约600*600*500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选用SUS304-2B不锈钢板制作（包括加强档、筋），下置一层栅档，台面用衬板加强，配置不锈钢可调脚，台面板厚1.0mm。（最终尺寸按现场空间实量为准）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13888" behindDoc="0" locked="0" layoutInCell="1" allowOverlap="1">
                  <wp:simplePos x="0" y="0"/>
                  <wp:positionH relativeFrom="column">
                    <wp:posOffset>76200</wp:posOffset>
                  </wp:positionH>
                  <wp:positionV relativeFrom="paragraph">
                    <wp:posOffset>122555</wp:posOffset>
                  </wp:positionV>
                  <wp:extent cx="542290" cy="419100"/>
                  <wp:effectExtent l="0" t="0" r="10160" b="0"/>
                  <wp:wrapNone/>
                  <wp:docPr id="184" name="Picture_4_SpCnt_8"/>
                  <wp:cNvGraphicFramePr/>
                  <a:graphic xmlns:a="http://schemas.openxmlformats.org/drawingml/2006/main">
                    <a:graphicData uri="http://schemas.openxmlformats.org/drawingml/2006/picture">
                      <pic:pic xmlns:pic="http://schemas.openxmlformats.org/drawingml/2006/picture">
                        <pic:nvPicPr>
                          <pic:cNvPr id="184" name="Picture_4_SpCnt_8"/>
                          <pic:cNvPicPr/>
                        </pic:nvPicPr>
                        <pic:blipFill>
                          <a:blip r:embed="rId127"/>
                          <a:stretch>
                            <a:fillRect/>
                          </a:stretch>
                        </pic:blipFill>
                        <pic:spPr>
                          <a:xfrm>
                            <a:off x="0" y="0"/>
                            <a:ext cx="542290" cy="4191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2"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10</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风幕机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SIZE：约L=1000mm（最终长度依据现场实际）</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全金属不锈钢外壳和配件；采用全新遥控或控式开关；采用优化电机，性能可靠（没有安装条件，相应取消，数量按实际）</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14912" behindDoc="0" locked="0" layoutInCell="1" allowOverlap="1">
                  <wp:simplePos x="0" y="0"/>
                  <wp:positionH relativeFrom="column">
                    <wp:posOffset>95885</wp:posOffset>
                  </wp:positionH>
                  <wp:positionV relativeFrom="paragraph">
                    <wp:posOffset>170180</wp:posOffset>
                  </wp:positionV>
                  <wp:extent cx="523875" cy="343535"/>
                  <wp:effectExtent l="0" t="0" r="9525" b="18415"/>
                  <wp:wrapNone/>
                  <wp:docPr id="185" name="图片_69_SpCnt_6"/>
                  <wp:cNvGraphicFramePr/>
                  <a:graphic xmlns:a="http://schemas.openxmlformats.org/drawingml/2006/main">
                    <a:graphicData uri="http://schemas.openxmlformats.org/drawingml/2006/picture">
                      <pic:pic xmlns:pic="http://schemas.openxmlformats.org/drawingml/2006/picture">
                        <pic:nvPicPr>
                          <pic:cNvPr id="185" name="图片_69_SpCnt_6"/>
                          <pic:cNvPicPr/>
                        </pic:nvPicPr>
                        <pic:blipFill>
                          <a:blip r:embed="rId142"/>
                          <a:stretch>
                            <a:fillRect/>
                          </a:stretch>
                        </pic:blipFill>
                        <pic:spPr>
                          <a:xfrm>
                            <a:off x="0" y="0"/>
                            <a:ext cx="523875" cy="3435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单开门操作台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选用SUS304不锈钢板制作（包括加强档、筋），台面用衬板加强，台面板厚1.0mm，内置一层搁板，一面配有上挂式双移门，配不锈钢可调脚。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15936" behindDoc="0" locked="0" layoutInCell="1" allowOverlap="1">
                  <wp:simplePos x="0" y="0"/>
                  <wp:positionH relativeFrom="column">
                    <wp:posOffset>95885</wp:posOffset>
                  </wp:positionH>
                  <wp:positionV relativeFrom="paragraph">
                    <wp:posOffset>104775</wp:posOffset>
                  </wp:positionV>
                  <wp:extent cx="513715" cy="344170"/>
                  <wp:effectExtent l="0" t="0" r="635" b="17780"/>
                  <wp:wrapNone/>
                  <wp:docPr id="186" name="Picture_360_SpCnt_7"/>
                  <wp:cNvGraphicFramePr/>
                  <a:graphic xmlns:a="http://schemas.openxmlformats.org/drawingml/2006/main">
                    <a:graphicData uri="http://schemas.openxmlformats.org/drawingml/2006/picture">
                      <pic:pic xmlns:pic="http://schemas.openxmlformats.org/drawingml/2006/picture">
                        <pic:nvPicPr>
                          <pic:cNvPr id="186" name="Picture_360_SpCnt_7"/>
                          <pic:cNvPicPr/>
                        </pic:nvPicPr>
                        <pic:blipFill>
                          <a:blip r:embed="rId131"/>
                          <a:stretch>
                            <a:fillRect/>
                          </a:stretch>
                        </pic:blipFill>
                        <pic:spPr>
                          <a:xfrm>
                            <a:off x="0" y="0"/>
                            <a:ext cx="513715" cy="34417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方形玻璃盖自助餐炉（带框）</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SIZE：容积4.5~4.8L</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全不锈钢材料，卷边工艺，无焊接保，份盘设计，容积：约4.8L，电加热型。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16960" behindDoc="0" locked="0" layoutInCell="1" allowOverlap="1">
                  <wp:simplePos x="0" y="0"/>
                  <wp:positionH relativeFrom="column">
                    <wp:posOffset>142875</wp:posOffset>
                  </wp:positionH>
                  <wp:positionV relativeFrom="paragraph">
                    <wp:posOffset>85090</wp:posOffset>
                  </wp:positionV>
                  <wp:extent cx="438150" cy="390525"/>
                  <wp:effectExtent l="0" t="0" r="0" b="9525"/>
                  <wp:wrapNone/>
                  <wp:docPr id="187" name="图片_389"/>
                  <wp:cNvGraphicFramePr/>
                  <a:graphic xmlns:a="http://schemas.openxmlformats.org/drawingml/2006/main">
                    <a:graphicData uri="http://schemas.openxmlformats.org/drawingml/2006/picture">
                      <pic:pic xmlns:pic="http://schemas.openxmlformats.org/drawingml/2006/picture">
                        <pic:nvPicPr>
                          <pic:cNvPr id="187" name="图片_389"/>
                          <pic:cNvPicPr/>
                        </pic:nvPicPr>
                        <pic:blipFill>
                          <a:blip r:embed="rId143"/>
                          <a:stretch>
                            <a:fillRect/>
                          </a:stretch>
                        </pic:blipFill>
                        <pic:spPr>
                          <a:xfrm>
                            <a:off x="0" y="0"/>
                            <a:ext cx="438150" cy="3905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4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12a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自助餐炉配套食物夹</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sz w:val="24"/>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采用SUS304不锈钢制作。</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图片暂无</w:t>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保温汤饭桶台带多孔保温台面（双桶型）</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SIZE：约1200*1000*800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选用优质不锈钢板制作，台面板厚1.0mm，圆角模压成型，配保温汤桶两只，配不锈钢可调脚，自动恒温；带多孔板保温台面，多孔台面部分可带自动进水排水。</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图片暂无</w:t>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定制网孔面板保温蒸菜台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SIZE：900*1000*800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选用优质不锈钢板制作，台面板厚1.0mm，圆角模压成型，配网格搁板，配不锈钢可调脚，自动恒温；带自动进水排水。</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图片暂无</w:t>
            </w:r>
          </w:p>
        </w:tc>
      </w:tr>
      <w:tr>
        <w:tblPrEx>
          <w:tblCellMar>
            <w:top w:w="0" w:type="dxa"/>
            <w:left w:w="108" w:type="dxa"/>
            <w:bottom w:w="0" w:type="dxa"/>
            <w:right w:w="108" w:type="dxa"/>
          </w:tblCellMar>
        </w:tblPrEx>
        <w:trPr>
          <w:trHeight w:val="27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15</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四门陈列冰箱（冷藏）</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SIZE：约1200*720*1880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优质不锈钢板制作，配上置式优质压缩机组，自动回归门，不锈钢内胆，全封闭型、数字恒温控制，保温层用聚氨脂一次性发泡成型。                                                                                          ◆相关资质：发泡料防火等级B1级。</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◆具有冷链存储消杀功能，同时使用臭氧及紫外线消毒，厂家具有消毒产品生产许可证。</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17984" behindDoc="0" locked="0" layoutInCell="1" allowOverlap="1">
                  <wp:simplePos x="0" y="0"/>
                  <wp:positionH relativeFrom="column">
                    <wp:posOffset>161925</wp:posOffset>
                  </wp:positionH>
                  <wp:positionV relativeFrom="paragraph">
                    <wp:posOffset>542290</wp:posOffset>
                  </wp:positionV>
                  <wp:extent cx="409575" cy="649605"/>
                  <wp:effectExtent l="0" t="0" r="9525" b="17145"/>
                  <wp:wrapNone/>
                  <wp:docPr id="188" name="图片_271_SpCnt_1"/>
                  <wp:cNvGraphicFramePr/>
                  <a:graphic xmlns:a="http://schemas.openxmlformats.org/drawingml/2006/main">
                    <a:graphicData uri="http://schemas.openxmlformats.org/drawingml/2006/picture">
                      <pic:pic xmlns:pic="http://schemas.openxmlformats.org/drawingml/2006/picture">
                        <pic:nvPicPr>
                          <pic:cNvPr id="188" name="图片_271_SpCnt_1"/>
                          <pic:cNvPicPr/>
                        </pic:nvPicPr>
                        <pic:blipFill>
                          <a:blip r:embed="rId144"/>
                          <a:stretch>
                            <a:fillRect/>
                          </a:stretch>
                        </pic:blipFill>
                        <pic:spPr>
                          <a:xfrm>
                            <a:off x="0" y="0"/>
                            <a:ext cx="409575" cy="64960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16</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带保温平台五斗保温台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SIZE：约1800*1000*800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选用SUS304-2B不锈钢板制作，台面板厚1.0mm，圆角模压成型，配一次压制成型菜盘5只，配不锈钢可调脚，自动恒温；带自动进水，前则为带多孔板保温平台面。</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图片暂无</w:t>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17</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SIZE：600*1000*800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选用SUS304不锈钢板制作（包括加强档、筋），下置一层栅档，台面用衬板加强，配置不锈钢可调脚，台面板厚1.0mm。最终规格按现场实际空间实量为准）                                                                    ◆提供生产厂家工作台加档符合GB/T3280-2015《不锈钢冷轧钢板和钢带》的型式检测报告。</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19008" behindDoc="0" locked="0" layoutInCell="1" allowOverlap="1">
                  <wp:simplePos x="0" y="0"/>
                  <wp:positionH relativeFrom="column">
                    <wp:posOffset>76200</wp:posOffset>
                  </wp:positionH>
                  <wp:positionV relativeFrom="paragraph">
                    <wp:posOffset>334645</wp:posOffset>
                  </wp:positionV>
                  <wp:extent cx="542290" cy="419735"/>
                  <wp:effectExtent l="0" t="0" r="10160" b="18415"/>
                  <wp:wrapNone/>
                  <wp:docPr id="189" name="Picture_4_SpCnt_9"/>
                  <wp:cNvGraphicFramePr/>
                  <a:graphic xmlns:a="http://schemas.openxmlformats.org/drawingml/2006/main">
                    <a:graphicData uri="http://schemas.openxmlformats.org/drawingml/2006/picture">
                      <pic:pic xmlns:pic="http://schemas.openxmlformats.org/drawingml/2006/picture">
                        <pic:nvPicPr>
                          <pic:cNvPr id="189" name="Picture_4_SpCnt_9"/>
                          <pic:cNvPicPr/>
                        </pic:nvPicPr>
                        <pic:blipFill>
                          <a:blip r:embed="rId95"/>
                          <a:stretch>
                            <a:fillRect/>
                          </a:stretch>
                        </pic:blipFill>
                        <pic:spPr>
                          <a:xfrm>
                            <a:off x="0" y="0"/>
                            <a:ext cx="542290" cy="4197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18</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21056" behindDoc="0" locked="0" layoutInCell="1" allowOverlap="1">
                  <wp:simplePos x="0" y="0"/>
                  <wp:positionH relativeFrom="column">
                    <wp:posOffset>104775</wp:posOffset>
                  </wp:positionH>
                  <wp:positionV relativeFrom="paragraph">
                    <wp:posOffset>504825</wp:posOffset>
                  </wp:positionV>
                  <wp:extent cx="523875" cy="437515"/>
                  <wp:effectExtent l="0" t="0" r="9525" b="635"/>
                  <wp:wrapNone/>
                  <wp:docPr id="190" name="图片_3_SpCnt_11"/>
                  <wp:cNvGraphicFramePr/>
                  <a:graphic xmlns:a="http://schemas.openxmlformats.org/drawingml/2006/main">
                    <a:graphicData uri="http://schemas.openxmlformats.org/drawingml/2006/picture">
                      <pic:pic xmlns:pic="http://schemas.openxmlformats.org/drawingml/2006/picture">
                        <pic:nvPicPr>
                          <pic:cNvPr id="190" name="图片_3_SpCnt_11"/>
                          <pic:cNvPicPr/>
                        </pic:nvPicPr>
                        <pic:blipFill>
                          <a:blip r:embed="rId135"/>
                          <a:stretch>
                            <a:fillRect/>
                          </a:stretch>
                        </pic:blipFill>
                        <pic:spPr>
                          <a:xfrm>
                            <a:off x="0" y="0"/>
                            <a:ext cx="523875" cy="4375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3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19</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紫外线消毒灯管</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SIZE：管长约90cm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输入电压：AC220V50Hz                          适用面积：20㎡-50㎡（含）                    电源方式：交流电                         说明：3D立体环绕杀菌；双重杀菌不怕死角，国标T6石英管。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支</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23104" behindDoc="0" locked="0" layoutInCell="1" allowOverlap="1">
                  <wp:simplePos x="0" y="0"/>
                  <wp:positionH relativeFrom="column">
                    <wp:posOffset>104775</wp:posOffset>
                  </wp:positionH>
                  <wp:positionV relativeFrom="paragraph">
                    <wp:posOffset>237490</wp:posOffset>
                  </wp:positionV>
                  <wp:extent cx="485140" cy="335280"/>
                  <wp:effectExtent l="0" t="0" r="10160" b="7620"/>
                  <wp:wrapNone/>
                  <wp:docPr id="191" name="图片_158_SpCnt_2"/>
                  <wp:cNvGraphicFramePr/>
                  <a:graphic xmlns:a="http://schemas.openxmlformats.org/drawingml/2006/main">
                    <a:graphicData uri="http://schemas.openxmlformats.org/drawingml/2006/picture">
                      <pic:pic xmlns:pic="http://schemas.openxmlformats.org/drawingml/2006/picture">
                        <pic:nvPicPr>
                          <pic:cNvPr id="191" name="图片_158_SpCnt_2"/>
                          <pic:cNvPicPr/>
                        </pic:nvPicPr>
                        <pic:blipFill>
                          <a:blip r:embed="rId136"/>
                          <a:stretch>
                            <a:fillRect/>
                          </a:stretch>
                        </pic:blipFill>
                        <pic:spPr>
                          <a:xfrm>
                            <a:off x="0" y="0"/>
                            <a:ext cx="485140" cy="33528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nil"/>
              <w:left w:val="single" w:color="000000" w:sz="4" w:space="0"/>
              <w:bottom w:val="nil"/>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洁具间</w:t>
            </w:r>
            <w:r>
              <w:rPr>
                <w:rFonts w:hint="eastAsia" w:ascii="宋体" w:hAnsi="宋体" w:cs="宋体"/>
                <w:color w:val="000000"/>
                <w:kern w:val="0"/>
                <w:sz w:val="24"/>
              </w:rPr>
              <w:drawing>
                <wp:anchor distT="0" distB="0" distL="114300" distR="114300" simplePos="0" relativeHeight="251824128" behindDoc="0" locked="0" layoutInCell="1" allowOverlap="1">
                  <wp:simplePos x="0" y="0"/>
                  <wp:positionH relativeFrom="column">
                    <wp:posOffset>66675</wp:posOffset>
                  </wp:positionH>
                  <wp:positionV relativeFrom="paragraph">
                    <wp:posOffset>0</wp:posOffset>
                  </wp:positionV>
                  <wp:extent cx="562610" cy="0"/>
                  <wp:effectExtent l="0" t="0" r="0" b="0"/>
                  <wp:wrapNone/>
                  <wp:docPr id="192" name="图片_69_SpCnt_7"/>
                  <wp:cNvGraphicFramePr/>
                  <a:graphic xmlns:a="http://schemas.openxmlformats.org/drawingml/2006/main">
                    <a:graphicData uri="http://schemas.openxmlformats.org/drawingml/2006/picture">
                      <pic:pic xmlns:pic="http://schemas.openxmlformats.org/drawingml/2006/picture">
                        <pic:nvPicPr>
                          <pic:cNvPr id="192" name="图片_69_SpCnt_7"/>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825152" behindDoc="0" locked="0" layoutInCell="1" allowOverlap="1">
                  <wp:simplePos x="0" y="0"/>
                  <wp:positionH relativeFrom="column">
                    <wp:posOffset>66675</wp:posOffset>
                  </wp:positionH>
                  <wp:positionV relativeFrom="paragraph">
                    <wp:posOffset>0</wp:posOffset>
                  </wp:positionV>
                  <wp:extent cx="562610" cy="0"/>
                  <wp:effectExtent l="0" t="0" r="0" b="0"/>
                  <wp:wrapNone/>
                  <wp:docPr id="193" name="图片_69_SpCnt_8"/>
                  <wp:cNvGraphicFramePr/>
                  <a:graphic xmlns:a="http://schemas.openxmlformats.org/drawingml/2006/main">
                    <a:graphicData uri="http://schemas.openxmlformats.org/drawingml/2006/picture">
                      <pic:pic xmlns:pic="http://schemas.openxmlformats.org/drawingml/2006/picture">
                        <pic:nvPicPr>
                          <pic:cNvPr id="193" name="图片_69_SpCnt_8"/>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827200" behindDoc="0" locked="0" layoutInCell="1" allowOverlap="1">
                  <wp:simplePos x="0" y="0"/>
                  <wp:positionH relativeFrom="column">
                    <wp:posOffset>85725</wp:posOffset>
                  </wp:positionH>
                  <wp:positionV relativeFrom="paragraph">
                    <wp:posOffset>0</wp:posOffset>
                  </wp:positionV>
                  <wp:extent cx="562610" cy="0"/>
                  <wp:effectExtent l="0" t="0" r="0" b="0"/>
                  <wp:wrapNone/>
                  <wp:docPr id="194" name="图片_69_SpCnt_9"/>
                  <wp:cNvGraphicFramePr/>
                  <a:graphic xmlns:a="http://schemas.openxmlformats.org/drawingml/2006/main">
                    <a:graphicData uri="http://schemas.openxmlformats.org/drawingml/2006/picture">
                      <pic:pic xmlns:pic="http://schemas.openxmlformats.org/drawingml/2006/picture">
                        <pic:nvPicPr>
                          <pic:cNvPr id="194" name="图片_69_SpCnt_9"/>
                          <pic:cNvPicPr/>
                        </pic:nvPicPr>
                        <pic:blipFill>
                          <a:blip r:embed="rId67"/>
                          <a:stretch>
                            <a:fillRect/>
                          </a:stretch>
                        </pic:blipFill>
                        <pic:spPr>
                          <a:xfrm>
                            <a:off x="0" y="0"/>
                            <a:ext cx="562610"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拖把池连挂架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SIZE：1500*500*1800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29248" behindDoc="0" locked="0" layoutInCell="1" allowOverlap="1">
                  <wp:simplePos x="0" y="0"/>
                  <wp:positionH relativeFrom="column">
                    <wp:posOffset>171450</wp:posOffset>
                  </wp:positionH>
                  <wp:positionV relativeFrom="paragraph">
                    <wp:posOffset>265430</wp:posOffset>
                  </wp:positionV>
                  <wp:extent cx="371475" cy="0"/>
                  <wp:effectExtent l="0" t="0" r="0" b="0"/>
                  <wp:wrapNone/>
                  <wp:docPr id="195" name="图片_131"/>
                  <wp:cNvGraphicFramePr/>
                  <a:graphic xmlns:a="http://schemas.openxmlformats.org/drawingml/2006/main">
                    <a:graphicData uri="http://schemas.openxmlformats.org/drawingml/2006/picture">
                      <pic:pic xmlns:pic="http://schemas.openxmlformats.org/drawingml/2006/picture">
                        <pic:nvPicPr>
                          <pic:cNvPr id="195" name="图片_131"/>
                          <pic:cNvPicPr/>
                        </pic:nvPicPr>
                        <pic:blipFill>
                          <a:blip r:embed="rId67"/>
                          <a:stretch>
                            <a:fillRect/>
                          </a:stretch>
                        </pic:blipFill>
                        <pic:spPr>
                          <a:xfrm>
                            <a:off x="0" y="0"/>
                            <a:ext cx="371475"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30272" behindDoc="0" locked="0" layoutInCell="1" allowOverlap="1">
                  <wp:simplePos x="0" y="0"/>
                  <wp:positionH relativeFrom="column">
                    <wp:posOffset>190500</wp:posOffset>
                  </wp:positionH>
                  <wp:positionV relativeFrom="paragraph">
                    <wp:posOffset>57785</wp:posOffset>
                  </wp:positionV>
                  <wp:extent cx="352425" cy="448945"/>
                  <wp:effectExtent l="0" t="0" r="9525" b="8255"/>
                  <wp:wrapNone/>
                  <wp:docPr id="196" name="图片_131_SpCnt_1"/>
                  <wp:cNvGraphicFramePr/>
                  <a:graphic xmlns:a="http://schemas.openxmlformats.org/drawingml/2006/main">
                    <a:graphicData uri="http://schemas.openxmlformats.org/drawingml/2006/picture">
                      <pic:pic xmlns:pic="http://schemas.openxmlformats.org/drawingml/2006/picture">
                        <pic:nvPicPr>
                          <pic:cNvPr id="196" name="图片_131_SpCnt_1"/>
                          <pic:cNvPicPr/>
                        </pic:nvPicPr>
                        <pic:blipFill>
                          <a:blip r:embed="rId145"/>
                          <a:stretch>
                            <a:fillRect/>
                          </a:stretch>
                        </pic:blipFill>
                        <pic:spPr>
                          <a:xfrm>
                            <a:off x="0" y="0"/>
                            <a:ext cx="352425" cy="44894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拖把洗池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SIZE：600*500*600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31296" behindDoc="0" locked="0" layoutInCell="1" allowOverlap="1">
                  <wp:simplePos x="0" y="0"/>
                  <wp:positionH relativeFrom="column">
                    <wp:posOffset>152400</wp:posOffset>
                  </wp:positionH>
                  <wp:positionV relativeFrom="paragraph">
                    <wp:posOffset>85090</wp:posOffset>
                  </wp:positionV>
                  <wp:extent cx="427990" cy="428625"/>
                  <wp:effectExtent l="0" t="0" r="10160" b="9525"/>
                  <wp:wrapNone/>
                  <wp:docPr id="197" name="Picture_185"/>
                  <wp:cNvGraphicFramePr/>
                  <a:graphic xmlns:a="http://schemas.openxmlformats.org/drawingml/2006/main">
                    <a:graphicData uri="http://schemas.openxmlformats.org/drawingml/2006/picture">
                      <pic:pic xmlns:pic="http://schemas.openxmlformats.org/drawingml/2006/picture">
                        <pic:nvPicPr>
                          <pic:cNvPr id="197" name="Picture_185"/>
                          <pic:cNvPicPr/>
                        </pic:nvPicPr>
                        <pic:blipFill>
                          <a:blip r:embed="rId146"/>
                          <a:stretch>
                            <a:fillRect/>
                          </a:stretch>
                        </pic:blipFill>
                        <pic:spPr>
                          <a:xfrm>
                            <a:off x="0" y="0"/>
                            <a:ext cx="427990" cy="4286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7"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1.座台式安装，单孔单温，鹅颈水嘴。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3.陶瓷阀芯一字开形手柄。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4.开孔尺寸为25mm，进水接口为1/2"内螺纹。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5.产品材质铅的含量≤0.22%并提供相应检测报告复印件。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32320" behindDoc="0" locked="0" layoutInCell="1" allowOverlap="1">
                  <wp:simplePos x="0" y="0"/>
                  <wp:positionH relativeFrom="column">
                    <wp:posOffset>219075</wp:posOffset>
                  </wp:positionH>
                  <wp:positionV relativeFrom="paragraph">
                    <wp:posOffset>845820</wp:posOffset>
                  </wp:positionV>
                  <wp:extent cx="314325" cy="468630"/>
                  <wp:effectExtent l="0" t="0" r="9525" b="7620"/>
                  <wp:wrapNone/>
                  <wp:docPr id="198" name="图片_32_SpCnt_6"/>
                  <wp:cNvGraphicFramePr/>
                  <a:graphic xmlns:a="http://schemas.openxmlformats.org/drawingml/2006/main">
                    <a:graphicData uri="http://schemas.openxmlformats.org/drawingml/2006/picture">
                      <pic:pic xmlns:pic="http://schemas.openxmlformats.org/drawingml/2006/picture">
                        <pic:nvPicPr>
                          <pic:cNvPr id="198" name="图片_32_SpCnt_6"/>
                          <pic:cNvPicPr/>
                        </pic:nvPicPr>
                        <pic:blipFill>
                          <a:blip r:embed="rId147"/>
                          <a:stretch>
                            <a:fillRect/>
                          </a:stretch>
                        </pic:blipFill>
                        <pic:spPr>
                          <a:xfrm>
                            <a:off x="0" y="0"/>
                            <a:ext cx="314325" cy="46863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                               粘虫板规格：230*90mm                       产品功率：8w；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33344" behindDoc="0" locked="0" layoutInCell="1" allowOverlap="1">
                  <wp:simplePos x="0" y="0"/>
                  <wp:positionH relativeFrom="column">
                    <wp:posOffset>114300</wp:posOffset>
                  </wp:positionH>
                  <wp:positionV relativeFrom="paragraph">
                    <wp:posOffset>495300</wp:posOffset>
                  </wp:positionV>
                  <wp:extent cx="514350" cy="410845"/>
                  <wp:effectExtent l="0" t="0" r="0" b="8255"/>
                  <wp:wrapNone/>
                  <wp:docPr id="199" name="图片_3_SpCnt_12"/>
                  <wp:cNvGraphicFramePr/>
                  <a:graphic xmlns:a="http://schemas.openxmlformats.org/drawingml/2006/main">
                    <a:graphicData uri="http://schemas.openxmlformats.org/drawingml/2006/picture">
                      <pic:pic xmlns:pic="http://schemas.openxmlformats.org/drawingml/2006/picture">
                        <pic:nvPicPr>
                          <pic:cNvPr id="199" name="图片_3_SpCnt_12"/>
                          <pic:cNvPicPr/>
                        </pic:nvPicPr>
                        <pic:blipFill>
                          <a:blip r:embed="rId148"/>
                          <a:stretch>
                            <a:fillRect/>
                          </a:stretch>
                        </pic:blipFill>
                        <pic:spPr>
                          <a:xfrm>
                            <a:off x="0" y="0"/>
                            <a:ext cx="514350" cy="41084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nil"/>
              <w:left w:val="single" w:color="000000" w:sz="4" w:space="0"/>
              <w:bottom w:val="nil"/>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一层洗消区</w:t>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SIZE：1100*700*800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34368" behindDoc="0" locked="0" layoutInCell="1" allowOverlap="1">
                  <wp:simplePos x="0" y="0"/>
                  <wp:positionH relativeFrom="column">
                    <wp:posOffset>123190</wp:posOffset>
                  </wp:positionH>
                  <wp:positionV relativeFrom="paragraph">
                    <wp:posOffset>95885</wp:posOffset>
                  </wp:positionV>
                  <wp:extent cx="457200" cy="419735"/>
                  <wp:effectExtent l="0" t="0" r="0" b="18415"/>
                  <wp:wrapNone/>
                  <wp:docPr id="200" name="Picture_185_SpCnt_1"/>
                  <wp:cNvGraphicFramePr/>
                  <a:graphic xmlns:a="http://schemas.openxmlformats.org/drawingml/2006/main">
                    <a:graphicData uri="http://schemas.openxmlformats.org/drawingml/2006/picture">
                      <pic:pic xmlns:pic="http://schemas.openxmlformats.org/drawingml/2006/picture">
                        <pic:nvPicPr>
                          <pic:cNvPr id="200" name="Picture_185_SpCnt_1"/>
                          <pic:cNvPicPr/>
                        </pic:nvPicPr>
                        <pic:blipFill>
                          <a:blip r:embed="rId149"/>
                          <a:stretch>
                            <a:fillRect/>
                          </a:stretch>
                        </pic:blipFill>
                        <pic:spPr>
                          <a:xfrm>
                            <a:off x="0" y="0"/>
                            <a:ext cx="457200" cy="4197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37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1.座台式安装，单孔单温，鹅颈水嘴；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3.陶瓷阀芯一字开形手柄；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4.开孔尺寸为25mm，进水接口为1/2"内螺纹。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◆产品材质铅的含量≤0.22%并提供相应检测报告复印件。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35392" behindDoc="0" locked="0" layoutInCell="1" allowOverlap="1">
                  <wp:simplePos x="0" y="0"/>
                  <wp:positionH relativeFrom="column">
                    <wp:posOffset>161925</wp:posOffset>
                  </wp:positionH>
                  <wp:positionV relativeFrom="paragraph">
                    <wp:posOffset>870585</wp:posOffset>
                  </wp:positionV>
                  <wp:extent cx="352425" cy="443865"/>
                  <wp:effectExtent l="0" t="0" r="9525" b="13335"/>
                  <wp:wrapNone/>
                  <wp:docPr id="201" name="图片_1_SpCnt_7"/>
                  <wp:cNvGraphicFramePr/>
                  <a:graphic xmlns:a="http://schemas.openxmlformats.org/drawingml/2006/main">
                    <a:graphicData uri="http://schemas.openxmlformats.org/drawingml/2006/picture">
                      <pic:pic xmlns:pic="http://schemas.openxmlformats.org/drawingml/2006/picture">
                        <pic:nvPicPr>
                          <pic:cNvPr id="201" name="图片_1_SpCnt_7"/>
                          <pic:cNvPicPr/>
                        </pic:nvPicPr>
                        <pic:blipFill>
                          <a:blip r:embed="rId150"/>
                          <a:stretch>
                            <a:fillRect/>
                          </a:stretch>
                        </pic:blipFill>
                        <pic:spPr>
                          <a:xfrm>
                            <a:off x="0" y="0"/>
                            <a:ext cx="352425" cy="44386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电热开水器</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SIZE：容量约80L</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说明：整机采用不锈钢打造；内胆简洁大方易清洁；紫铜加热管耐高温、耐腐蚀；设有内胆水位口防止水位过高溢出，满水自停；设有冷热水挡板减少阴阳水；磁吸缺水断电防干烧；可视化温度计；黄铜水龙头。</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36416" behindDoc="0" locked="0" layoutInCell="1" allowOverlap="1">
                  <wp:simplePos x="0" y="0"/>
                  <wp:positionH relativeFrom="column">
                    <wp:posOffset>152400</wp:posOffset>
                  </wp:positionH>
                  <wp:positionV relativeFrom="paragraph">
                    <wp:posOffset>285750</wp:posOffset>
                  </wp:positionV>
                  <wp:extent cx="419100" cy="531495"/>
                  <wp:effectExtent l="0" t="0" r="0" b="1905"/>
                  <wp:wrapNone/>
                  <wp:docPr id="202" name="Picture_186_SpCnt_1"/>
                  <wp:cNvGraphicFramePr/>
                  <a:graphic xmlns:a="http://schemas.openxmlformats.org/drawingml/2006/main">
                    <a:graphicData uri="http://schemas.openxmlformats.org/drawingml/2006/picture">
                      <pic:pic xmlns:pic="http://schemas.openxmlformats.org/drawingml/2006/picture">
                        <pic:nvPicPr>
                          <pic:cNvPr id="202" name="Picture_186_SpCnt_1"/>
                          <pic:cNvPicPr/>
                        </pic:nvPicPr>
                        <pic:blipFill>
                          <a:blip r:embed="rId151"/>
                          <a:stretch>
                            <a:fillRect/>
                          </a:stretch>
                        </pic:blipFill>
                        <pic:spPr>
                          <a:xfrm>
                            <a:off x="0" y="0"/>
                            <a:ext cx="419100" cy="53149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2a</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开水器底座</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SIZE：适配开水器</w:t>
            </w:r>
          </w:p>
        </w:tc>
        <w:tc>
          <w:tcPr>
            <w:tcW w:w="261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选用SUS304-2B不锈钢板制作，台板厚0.8mm；支架、通脚、可调脚为Φ38不锈钢管，管壁厚1.0mm，配置不锈钢可调脚；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37440" behindDoc="0" locked="0" layoutInCell="1" allowOverlap="1">
                  <wp:simplePos x="0" y="0"/>
                  <wp:positionH relativeFrom="column">
                    <wp:posOffset>200025</wp:posOffset>
                  </wp:positionH>
                  <wp:positionV relativeFrom="paragraph">
                    <wp:posOffset>104775</wp:posOffset>
                  </wp:positionV>
                  <wp:extent cx="343535" cy="361950"/>
                  <wp:effectExtent l="0" t="0" r="18415" b="0"/>
                  <wp:wrapNone/>
                  <wp:docPr id="203" name="图片_48_SpCnt_1"/>
                  <wp:cNvGraphicFramePr/>
                  <a:graphic xmlns:a="http://schemas.openxmlformats.org/drawingml/2006/main">
                    <a:graphicData uri="http://schemas.openxmlformats.org/drawingml/2006/picture">
                      <pic:pic xmlns:pic="http://schemas.openxmlformats.org/drawingml/2006/picture">
                        <pic:nvPicPr>
                          <pic:cNvPr id="203" name="图片_48_SpCnt_1"/>
                          <pic:cNvPicPr/>
                        </pic:nvPicPr>
                        <pic:blipFill>
                          <a:blip r:embed="rId152"/>
                          <a:stretch>
                            <a:fillRect/>
                          </a:stretch>
                        </pic:blipFill>
                        <pic:spPr>
                          <a:xfrm>
                            <a:off x="0" y="0"/>
                            <a:ext cx="343535" cy="3619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668"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SIZE：1200*800*860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选用SUS304-2B不锈钢板制作（包括加强档、筋），下置一层栅档，台面用衬板加强，配置不锈钢可调脚，台面板厚1.0mm。实际规格以配套洗碗机出口尺寸为准。                                                                                ◆提供生产厂家工作台加档符合GB/T3280-2015《不锈钢冷轧钢板和钢带》的型式检测报告。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38464" behindDoc="0" locked="0" layoutInCell="1" allowOverlap="1">
                  <wp:simplePos x="0" y="0"/>
                  <wp:positionH relativeFrom="column">
                    <wp:posOffset>114300</wp:posOffset>
                  </wp:positionH>
                  <wp:positionV relativeFrom="paragraph">
                    <wp:posOffset>457200</wp:posOffset>
                  </wp:positionV>
                  <wp:extent cx="495300" cy="391795"/>
                  <wp:effectExtent l="0" t="0" r="0" b="8255"/>
                  <wp:wrapNone/>
                  <wp:docPr id="204" name="Picture_279"/>
                  <wp:cNvGraphicFramePr/>
                  <a:graphic xmlns:a="http://schemas.openxmlformats.org/drawingml/2006/main">
                    <a:graphicData uri="http://schemas.openxmlformats.org/drawingml/2006/picture">
                      <pic:pic xmlns:pic="http://schemas.openxmlformats.org/drawingml/2006/picture">
                        <pic:nvPicPr>
                          <pic:cNvPr id="204" name="Picture_279"/>
                          <pic:cNvPicPr/>
                        </pic:nvPicPr>
                        <pic:blipFill>
                          <a:blip r:embed="rId153"/>
                          <a:stretch>
                            <a:fillRect/>
                          </a:stretch>
                        </pic:blipFill>
                        <pic:spPr>
                          <a:xfrm>
                            <a:off x="0" y="0"/>
                            <a:ext cx="495300" cy="39179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SIZE：1800*700*800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选用SUS304不锈钢板制作（包括加强档、筋），下置一层栅档，台面用衬板加强，配置不锈钢可调脚，台面板厚1.0mm。                                                                       ◆提供生产厂家工作台加档符合GB/T3280-2015《不锈钢冷轧钢板和钢带》的型式检测报告。  </w:t>
            </w:r>
          </w:p>
        </w:tc>
        <w:tc>
          <w:tcPr>
            <w:tcW w:w="6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39488" behindDoc="0" locked="0" layoutInCell="1" allowOverlap="1">
                  <wp:simplePos x="0" y="0"/>
                  <wp:positionH relativeFrom="column">
                    <wp:posOffset>85725</wp:posOffset>
                  </wp:positionH>
                  <wp:positionV relativeFrom="paragraph">
                    <wp:posOffset>379730</wp:posOffset>
                  </wp:positionV>
                  <wp:extent cx="505460" cy="387985"/>
                  <wp:effectExtent l="0" t="0" r="8890" b="12065"/>
                  <wp:wrapNone/>
                  <wp:docPr id="205" name="Picture_4_SpCnt_10"/>
                  <wp:cNvGraphicFramePr/>
                  <a:graphic xmlns:a="http://schemas.openxmlformats.org/drawingml/2006/main">
                    <a:graphicData uri="http://schemas.openxmlformats.org/drawingml/2006/picture">
                      <pic:pic xmlns:pic="http://schemas.openxmlformats.org/drawingml/2006/picture">
                        <pic:nvPicPr>
                          <pic:cNvPr id="205" name="Picture_4_SpCnt_10"/>
                          <pic:cNvPicPr/>
                        </pic:nvPicPr>
                        <pic:blipFill>
                          <a:blip r:embed="rId154"/>
                          <a:stretch>
                            <a:fillRect/>
                          </a:stretch>
                        </pic:blipFill>
                        <pic:spPr>
                          <a:xfrm>
                            <a:off x="0" y="0"/>
                            <a:ext cx="505460" cy="38798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0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双门热风循环消毒柜</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SIZE：约1300*630*1850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highlight w:val="none"/>
              </w:rPr>
            </w:pPr>
            <w:r>
              <w:rPr>
                <w:rFonts w:hint="eastAsia" w:ascii="宋体" w:hAnsi="宋体" w:cs="宋体"/>
                <w:color w:val="000000"/>
                <w:kern w:val="0"/>
                <w:sz w:val="24"/>
                <w:highlight w:val="none"/>
                <w:lang w:bidi="ar"/>
              </w:rPr>
              <w:t>选用优质不锈钢板制作，采用循环热风干式消毒工艺，特制串片式加热器及保温结构，配不锈钢消毒筐。                                                             ◆提供生产厂家门封条通过食品接触安全检测，</w:t>
            </w:r>
            <w:r>
              <w:rPr>
                <w:rFonts w:hint="eastAsia" w:ascii="宋体" w:hAnsi="宋体" w:cs="宋体"/>
                <w:b/>
                <w:bCs/>
                <w:color w:val="000000"/>
                <w:kern w:val="0"/>
                <w:sz w:val="24"/>
                <w:highlight w:val="none"/>
                <w:lang w:bidi="ar"/>
              </w:rPr>
              <w:t>具备消毒生产许可证</w:t>
            </w:r>
            <w:r>
              <w:rPr>
                <w:rFonts w:hint="eastAsia" w:ascii="宋体" w:hAnsi="宋体" w:cs="宋体"/>
                <w:color w:val="000000"/>
                <w:kern w:val="0"/>
                <w:sz w:val="24"/>
                <w:highlight w:val="none"/>
                <w:lang w:bidi="ar"/>
              </w:rPr>
              <w:t>，所使用的加热管为304材质并提供检测报告。</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40512" behindDoc="0" locked="0" layoutInCell="1" allowOverlap="1">
                  <wp:simplePos x="0" y="0"/>
                  <wp:positionH relativeFrom="column">
                    <wp:posOffset>104775</wp:posOffset>
                  </wp:positionH>
                  <wp:positionV relativeFrom="paragraph">
                    <wp:posOffset>331470</wp:posOffset>
                  </wp:positionV>
                  <wp:extent cx="533400" cy="638175"/>
                  <wp:effectExtent l="0" t="0" r="0" b="9525"/>
                  <wp:wrapNone/>
                  <wp:docPr id="206" name="Picture_188"/>
                  <wp:cNvGraphicFramePr/>
                  <a:graphic xmlns:a="http://schemas.openxmlformats.org/drawingml/2006/main">
                    <a:graphicData uri="http://schemas.openxmlformats.org/drawingml/2006/picture">
                      <pic:pic xmlns:pic="http://schemas.openxmlformats.org/drawingml/2006/picture">
                        <pic:nvPicPr>
                          <pic:cNvPr id="206" name="Picture_188"/>
                          <pic:cNvPicPr/>
                        </pic:nvPicPr>
                        <pic:blipFill>
                          <a:blip r:embed="rId155"/>
                          <a:stretch>
                            <a:fillRect/>
                          </a:stretch>
                        </pic:blipFill>
                        <pic:spPr>
                          <a:xfrm>
                            <a:off x="0" y="0"/>
                            <a:ext cx="533400" cy="63817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3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无后档单水池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SIZE：约1500*800*860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选用SUS304不锈钢板制作；支架、通脚、可调脚为Φ38不锈钢管，管壁厚1.0mm，配置不锈钢可调脚，配落水器；带后挡板，台板厚1.0mm；配单星盆；斗深300mm，实际规格以配套洗碗机入口尺寸为准。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41536" behindDoc="0" locked="0" layoutInCell="1" allowOverlap="1">
                  <wp:simplePos x="0" y="0"/>
                  <wp:positionH relativeFrom="column">
                    <wp:posOffset>133350</wp:posOffset>
                  </wp:positionH>
                  <wp:positionV relativeFrom="paragraph">
                    <wp:posOffset>191135</wp:posOffset>
                  </wp:positionV>
                  <wp:extent cx="456565" cy="465455"/>
                  <wp:effectExtent l="0" t="0" r="635" b="10795"/>
                  <wp:wrapNone/>
                  <wp:docPr id="207" name="Picture_185_SpCnt_2"/>
                  <wp:cNvGraphicFramePr/>
                  <a:graphic xmlns:a="http://schemas.openxmlformats.org/drawingml/2006/main">
                    <a:graphicData uri="http://schemas.openxmlformats.org/drawingml/2006/picture">
                      <pic:pic xmlns:pic="http://schemas.openxmlformats.org/drawingml/2006/picture">
                        <pic:nvPicPr>
                          <pic:cNvPr id="207" name="Picture_185_SpCnt_2"/>
                          <pic:cNvPicPr/>
                        </pic:nvPicPr>
                        <pic:blipFill>
                          <a:blip r:embed="rId156"/>
                          <a:stretch>
                            <a:fillRect/>
                          </a:stretch>
                        </pic:blipFill>
                        <pic:spPr>
                          <a:xfrm>
                            <a:off x="0" y="0"/>
                            <a:ext cx="456565" cy="46545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40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高抛混合龙头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1.座台式安装，双孔双温鹅颈水嘴；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3.配1/4转优质陶瓷阀芯一字型手柄；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4.冷热接口开孔间距为101mm，采用偏芯设计可微调（15mm）；</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5.开孔尺寸为25mm ，接口为标准4分外螺纹；</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◆产品材质铅的含量≤0.22%并提供相应检测报告复印件。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42560" behindDoc="0" locked="0" layoutInCell="1" allowOverlap="1">
                  <wp:simplePos x="0" y="0"/>
                  <wp:positionH relativeFrom="column">
                    <wp:posOffset>161925</wp:posOffset>
                  </wp:positionH>
                  <wp:positionV relativeFrom="paragraph">
                    <wp:posOffset>1014730</wp:posOffset>
                  </wp:positionV>
                  <wp:extent cx="370840" cy="512445"/>
                  <wp:effectExtent l="0" t="0" r="10160" b="1905"/>
                  <wp:wrapNone/>
                  <wp:docPr id="208" name="图片_1_SpCnt_8"/>
                  <wp:cNvGraphicFramePr/>
                  <a:graphic xmlns:a="http://schemas.openxmlformats.org/drawingml/2006/main">
                    <a:graphicData uri="http://schemas.openxmlformats.org/drawingml/2006/picture">
                      <pic:pic xmlns:pic="http://schemas.openxmlformats.org/drawingml/2006/picture">
                        <pic:nvPicPr>
                          <pic:cNvPr id="208" name="图片_1_SpCnt_8"/>
                          <pic:cNvPicPr/>
                        </pic:nvPicPr>
                        <pic:blipFill>
                          <a:blip r:embed="rId157"/>
                          <a:stretch>
                            <a:fillRect/>
                          </a:stretch>
                        </pic:blipFill>
                        <pic:spPr>
                          <a:xfrm>
                            <a:off x="0" y="0"/>
                            <a:ext cx="370840" cy="51244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824" w:hRule="atLeast"/>
          <w:jc w:val="center"/>
        </w:trPr>
        <w:tc>
          <w:tcPr>
            <w:tcW w:w="725" w:type="dxa"/>
            <w:tcBorders>
              <w:top w:val="nil"/>
              <w:left w:val="single" w:color="000000" w:sz="4" w:space="0"/>
              <w:bottom w:val="nil"/>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w:t>
            </w:r>
          </w:p>
        </w:tc>
        <w:tc>
          <w:tcPr>
            <w:tcW w:w="1533" w:type="dxa"/>
            <w:tcBorders>
              <w:top w:val="single" w:color="000000" w:sz="4" w:space="0"/>
              <w:left w:val="single" w:color="000000" w:sz="4" w:space="0"/>
              <w:bottom w:val="nil"/>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长龙式洗碗机                 </w:t>
            </w:r>
            <w:r>
              <w:rPr>
                <w:rFonts w:hint="eastAsia" w:ascii="宋体" w:hAnsi="宋体" w:cs="宋体"/>
                <w:b/>
                <w:bCs/>
                <w:color w:val="FF0000"/>
                <w:kern w:val="0"/>
                <w:sz w:val="24"/>
                <w:lang w:bidi="ar"/>
              </w:rPr>
              <w:t xml:space="preserve">(提供“洗碗机控制箱”样品）    </w:t>
            </w:r>
            <w:r>
              <w:rPr>
                <w:rFonts w:hint="eastAsia" w:ascii="宋体" w:hAnsi="宋体" w:cs="宋体"/>
                <w:color w:val="000000"/>
                <w:kern w:val="0"/>
                <w:sz w:val="24"/>
                <w:lang w:bidi="ar"/>
              </w:rPr>
              <w:t xml:space="preserve">            </w:t>
            </w:r>
          </w:p>
        </w:tc>
        <w:tc>
          <w:tcPr>
            <w:tcW w:w="1471" w:type="dxa"/>
            <w:tcBorders>
              <w:top w:val="single" w:color="000000" w:sz="4" w:space="0"/>
              <w:left w:val="single" w:color="000000" w:sz="4" w:space="0"/>
              <w:bottom w:val="nil"/>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SIZE：约4450*910*2130</w:t>
            </w:r>
          </w:p>
        </w:tc>
        <w:tc>
          <w:tcPr>
            <w:tcW w:w="2615" w:type="dxa"/>
            <w:tcBorders>
              <w:top w:val="single" w:color="000000" w:sz="4" w:space="0"/>
              <w:left w:val="single" w:color="000000" w:sz="4" w:space="0"/>
              <w:bottom w:val="nil"/>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1、产品功能：全自动传送餐具，对碗碟等餐具进行洗涤、漂洗和烘干。</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2、组成部分：入口区、清洗区、漂洗区、烘干区和出口区。</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4、洗涤能力：约5100碟/小时。</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5、最大耗水量：约280升/小时。</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6、总功率：约380V/45KW。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7、整机双层结构，节能降噪，改善操作环境。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8、可视化电子面板，实时显示机器工作状态。</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9、双速可选洗涤速度，可根据餐具情况自由切换。</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10、进出口端配置操作开关，方便操作人员控制机器的运行。</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11、主洗内置截流片，洗臂水压可灵活调节。</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12、直插式清洗臂设计，拆装更便捷。</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13、链排双齿轮传动设计，最大限度降低链排的磨损。</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14、光电感应自动检测传送履带，进一步降低能耗。</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15、内循环环绕热风烘干设计，干燥效果更佳。                                                    控制箱要求：</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尺寸:783*690*223mm ;</w:t>
            </w:r>
            <w:r>
              <w:rPr>
                <w:rFonts w:hint="eastAsia" w:ascii="宋体" w:hAnsi="宋体" w:cs="宋体"/>
                <w:b/>
                <w:bCs/>
                <w:color w:val="0000FF"/>
                <w:kern w:val="0"/>
                <w:sz w:val="24"/>
                <w:lang w:bidi="ar"/>
              </w:rPr>
              <w:t>（提供样品）</w:t>
            </w:r>
            <w:r>
              <w:rPr>
                <w:rFonts w:hint="eastAsia" w:ascii="宋体" w:hAnsi="宋体" w:cs="宋体"/>
                <w:color w:val="000000"/>
                <w:kern w:val="0"/>
                <w:sz w:val="24"/>
                <w:lang w:bidi="ar"/>
              </w:rPr>
              <w:t xml:space="preserve">控制箱置于机器顶部，节省空间；控制箱配置可视化电子面板，实时显示机器工作状态；                                              </w:t>
            </w:r>
          </w:p>
        </w:tc>
        <w:tc>
          <w:tcPr>
            <w:tcW w:w="670" w:type="dxa"/>
            <w:tcBorders>
              <w:top w:val="single" w:color="000000" w:sz="4" w:space="0"/>
              <w:left w:val="single" w:color="000000" w:sz="4" w:space="0"/>
              <w:bottom w:val="nil"/>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nil"/>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nil"/>
              <w:left w:val="nil"/>
              <w:bottom w:val="nil"/>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rPr>
              <w:drawing>
                <wp:anchor distT="0" distB="0" distL="114300" distR="114300" simplePos="0" relativeHeight="251843584" behindDoc="0" locked="0" layoutInCell="1" allowOverlap="1">
                  <wp:simplePos x="0" y="0"/>
                  <wp:positionH relativeFrom="column">
                    <wp:posOffset>47625</wp:posOffset>
                  </wp:positionH>
                  <wp:positionV relativeFrom="paragraph">
                    <wp:posOffset>2024380</wp:posOffset>
                  </wp:positionV>
                  <wp:extent cx="590550" cy="397510"/>
                  <wp:effectExtent l="0" t="0" r="0" b="2540"/>
                  <wp:wrapNone/>
                  <wp:docPr id="209" name="图片_194"/>
                  <wp:cNvGraphicFramePr/>
                  <a:graphic xmlns:a="http://schemas.openxmlformats.org/drawingml/2006/main">
                    <a:graphicData uri="http://schemas.openxmlformats.org/drawingml/2006/picture">
                      <pic:pic xmlns:pic="http://schemas.openxmlformats.org/drawingml/2006/picture">
                        <pic:nvPicPr>
                          <pic:cNvPr id="209" name="图片_194"/>
                          <pic:cNvPicPr/>
                        </pic:nvPicPr>
                        <pic:blipFill>
                          <a:blip r:embed="rId158"/>
                          <a:stretch>
                            <a:fillRect/>
                          </a:stretch>
                        </pic:blipFill>
                        <pic:spPr>
                          <a:xfrm>
                            <a:off x="0" y="0"/>
                            <a:ext cx="590550" cy="39751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洗碗机洗涤剂分配器</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洗碗机分配器，用于洗碗机，洗涤剂及催干剂的分配。</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套</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44608" behindDoc="0" locked="0" layoutInCell="1" allowOverlap="1">
                  <wp:simplePos x="0" y="0"/>
                  <wp:positionH relativeFrom="column">
                    <wp:posOffset>180975</wp:posOffset>
                  </wp:positionH>
                  <wp:positionV relativeFrom="paragraph">
                    <wp:posOffset>104775</wp:posOffset>
                  </wp:positionV>
                  <wp:extent cx="370840" cy="390525"/>
                  <wp:effectExtent l="0" t="0" r="10160" b="9525"/>
                  <wp:wrapNone/>
                  <wp:docPr id="210" name="图片_109"/>
                  <wp:cNvGraphicFramePr/>
                  <a:graphic xmlns:a="http://schemas.openxmlformats.org/drawingml/2006/main">
                    <a:graphicData uri="http://schemas.openxmlformats.org/drawingml/2006/picture">
                      <pic:pic xmlns:pic="http://schemas.openxmlformats.org/drawingml/2006/picture">
                        <pic:nvPicPr>
                          <pic:cNvPr id="210" name="图片_109"/>
                          <pic:cNvPicPr/>
                        </pic:nvPicPr>
                        <pic:blipFill>
                          <a:blip r:embed="rId159"/>
                          <a:stretch>
                            <a:fillRect/>
                          </a:stretch>
                        </pic:blipFill>
                        <pic:spPr>
                          <a:xfrm>
                            <a:off x="0" y="0"/>
                            <a:ext cx="370840" cy="3905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7b</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洗碗机用清洁剂</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SIZE：20L</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本品含高浓缩强碱，可将餐具上的残留污渍彻底洗净。具有除菌作用，确保餐具光洁卫生。</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桶</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45632" behindDoc="0" locked="0" layoutInCell="1" allowOverlap="1">
                  <wp:simplePos x="0" y="0"/>
                  <wp:positionH relativeFrom="column">
                    <wp:posOffset>152400</wp:posOffset>
                  </wp:positionH>
                  <wp:positionV relativeFrom="paragraph">
                    <wp:posOffset>76200</wp:posOffset>
                  </wp:positionV>
                  <wp:extent cx="408940" cy="457200"/>
                  <wp:effectExtent l="0" t="0" r="10160" b="0"/>
                  <wp:wrapNone/>
                  <wp:docPr id="211" name="图片_107"/>
                  <wp:cNvGraphicFramePr/>
                  <a:graphic xmlns:a="http://schemas.openxmlformats.org/drawingml/2006/main">
                    <a:graphicData uri="http://schemas.openxmlformats.org/drawingml/2006/picture">
                      <pic:pic xmlns:pic="http://schemas.openxmlformats.org/drawingml/2006/picture">
                        <pic:nvPicPr>
                          <pic:cNvPr id="211" name="图片_107"/>
                          <pic:cNvPicPr/>
                        </pic:nvPicPr>
                        <pic:blipFill>
                          <a:blip r:embed="rId160"/>
                          <a:stretch>
                            <a:fillRect/>
                          </a:stretch>
                        </pic:blipFill>
                        <pic:spPr>
                          <a:xfrm>
                            <a:off x="0" y="0"/>
                            <a:ext cx="408940" cy="4572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3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7c</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洗碗机用催干剂</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SIZE：20L</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本品含多种有效成分，用于洗碗机最后过水，使餐具快速干燥。由于快速干燥，无须用布擦拭，减少了细菌的感染机会。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桶</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46656" behindDoc="0" locked="0" layoutInCell="1" allowOverlap="1">
                  <wp:simplePos x="0" y="0"/>
                  <wp:positionH relativeFrom="column">
                    <wp:posOffset>161925</wp:posOffset>
                  </wp:positionH>
                  <wp:positionV relativeFrom="paragraph">
                    <wp:posOffset>210820</wp:posOffset>
                  </wp:positionV>
                  <wp:extent cx="370840" cy="428625"/>
                  <wp:effectExtent l="0" t="0" r="10160" b="9525"/>
                  <wp:wrapNone/>
                  <wp:docPr id="212" name="图片_106"/>
                  <wp:cNvGraphicFramePr/>
                  <a:graphic xmlns:a="http://schemas.openxmlformats.org/drawingml/2006/main">
                    <a:graphicData uri="http://schemas.openxmlformats.org/drawingml/2006/picture">
                      <pic:pic xmlns:pic="http://schemas.openxmlformats.org/drawingml/2006/picture">
                        <pic:nvPicPr>
                          <pic:cNvPr id="212" name="图片_106"/>
                          <pic:cNvPicPr/>
                        </pic:nvPicPr>
                        <pic:blipFill>
                          <a:blip r:embed="rId161"/>
                          <a:stretch>
                            <a:fillRect/>
                          </a:stretch>
                        </pic:blipFill>
                        <pic:spPr>
                          <a:xfrm>
                            <a:off x="0" y="0"/>
                            <a:ext cx="370840" cy="4286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集汽罩（洗碗）</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SIZE：约6.84m</w:t>
            </w:r>
            <w:r>
              <w:rPr>
                <w:rFonts w:hint="eastAsia" w:ascii="宋体" w:hAnsi="宋体" w:cs="宋体"/>
                <w:color w:val="000000"/>
                <w:kern w:val="0"/>
                <w:sz w:val="24"/>
                <w:vertAlign w:val="superscript"/>
                <w:lang w:bidi="ar"/>
              </w:rPr>
              <w:t>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选用优质不锈钢板制作，板厚0.8mm，防爆灯。</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6.84</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47680" behindDoc="0" locked="0" layoutInCell="1" allowOverlap="1">
                  <wp:simplePos x="0" y="0"/>
                  <wp:positionH relativeFrom="column">
                    <wp:posOffset>57150</wp:posOffset>
                  </wp:positionH>
                  <wp:positionV relativeFrom="paragraph">
                    <wp:posOffset>114300</wp:posOffset>
                  </wp:positionV>
                  <wp:extent cx="581025" cy="295910"/>
                  <wp:effectExtent l="0" t="0" r="9525" b="8890"/>
                  <wp:wrapNone/>
                  <wp:docPr id="213" name="Picture_258"/>
                  <wp:cNvGraphicFramePr/>
                  <a:graphic xmlns:a="http://schemas.openxmlformats.org/drawingml/2006/main">
                    <a:graphicData uri="http://schemas.openxmlformats.org/drawingml/2006/picture">
                      <pic:pic xmlns:pic="http://schemas.openxmlformats.org/drawingml/2006/picture">
                        <pic:nvPicPr>
                          <pic:cNvPr id="213" name="Picture_258"/>
                          <pic:cNvPicPr/>
                        </pic:nvPicPr>
                        <pic:blipFill>
                          <a:blip r:embed="rId162"/>
                          <a:stretch>
                            <a:fillRect/>
                          </a:stretch>
                        </pic:blipFill>
                        <pic:spPr>
                          <a:xfrm>
                            <a:off x="0" y="0"/>
                            <a:ext cx="581025" cy="29591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残食桌加档（无后档板）</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SIZE：1500*800*860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选用SUS304不锈钢板制作（包括加强档、筋），下置一层栅档，台面用衬板加强，配置不锈钢可调脚，台面板厚1.0mm。（实际规格以配套无后档单水池尺寸为准）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48704" behindDoc="0" locked="0" layoutInCell="1" allowOverlap="1">
                  <wp:simplePos x="0" y="0"/>
                  <wp:positionH relativeFrom="column">
                    <wp:posOffset>76200</wp:posOffset>
                  </wp:positionH>
                  <wp:positionV relativeFrom="paragraph">
                    <wp:posOffset>153670</wp:posOffset>
                  </wp:positionV>
                  <wp:extent cx="542290" cy="390525"/>
                  <wp:effectExtent l="0" t="0" r="10160" b="9525"/>
                  <wp:wrapNone/>
                  <wp:docPr id="214" name="图片_184_SpCnt_4"/>
                  <wp:cNvGraphicFramePr/>
                  <a:graphic xmlns:a="http://schemas.openxmlformats.org/drawingml/2006/main">
                    <a:graphicData uri="http://schemas.openxmlformats.org/drawingml/2006/picture">
                      <pic:pic xmlns:pic="http://schemas.openxmlformats.org/drawingml/2006/picture">
                        <pic:nvPicPr>
                          <pic:cNvPr id="214" name="图片_184_SpCnt_4"/>
                          <pic:cNvPicPr/>
                        </pic:nvPicPr>
                        <pic:blipFill>
                          <a:blip r:embed="rId163"/>
                          <a:stretch>
                            <a:fillRect/>
                          </a:stretch>
                        </pic:blipFill>
                        <pic:spPr>
                          <a:xfrm>
                            <a:off x="0" y="0"/>
                            <a:ext cx="542290" cy="3905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10</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四层货架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选用SUS304不锈钢制作，搁档采用约0.8mm不锈钢复边成条状，配置不锈钢可调脚，不锈钢封口盖加厚型圆管制作；格栅型。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49728" behindDoc="0" locked="0" layoutInCell="1" allowOverlap="1">
                  <wp:simplePos x="0" y="0"/>
                  <wp:positionH relativeFrom="column">
                    <wp:posOffset>152400</wp:posOffset>
                  </wp:positionH>
                  <wp:positionV relativeFrom="paragraph">
                    <wp:posOffset>29210</wp:posOffset>
                  </wp:positionV>
                  <wp:extent cx="399415" cy="475615"/>
                  <wp:effectExtent l="0" t="0" r="635" b="635"/>
                  <wp:wrapNone/>
                  <wp:docPr id="215" name="Picture_1_SpCnt_5"/>
                  <wp:cNvGraphicFramePr/>
                  <a:graphic xmlns:a="http://schemas.openxmlformats.org/drawingml/2006/main">
                    <a:graphicData uri="http://schemas.openxmlformats.org/drawingml/2006/picture">
                      <pic:pic xmlns:pic="http://schemas.openxmlformats.org/drawingml/2006/picture">
                        <pic:nvPicPr>
                          <pic:cNvPr id="215" name="Picture_1_SpCnt_5"/>
                          <pic:cNvPicPr/>
                        </pic:nvPicPr>
                        <pic:blipFill>
                          <a:blip r:embed="rId164"/>
                          <a:stretch>
                            <a:fillRect/>
                          </a:stretch>
                        </pic:blipFill>
                        <pic:spPr>
                          <a:xfrm>
                            <a:off x="0" y="0"/>
                            <a:ext cx="399415" cy="4756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7"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残食桌加档（带后档板）</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SIZE：1500*700*800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选用SUS304不锈钢板制作（包括加强档、筋），下置一层栅档，台面用衬板加强，配置不锈钢可调脚，台面板厚1.0mm。</w:t>
            </w:r>
            <w:r>
              <w:rPr>
                <w:rFonts w:hint="eastAsia" w:ascii="宋体" w:hAnsi="宋体" w:cs="宋体"/>
                <w:color w:val="FF0000"/>
                <w:kern w:val="0"/>
                <w:sz w:val="24"/>
                <w:lang w:bidi="ar"/>
              </w:rPr>
              <w:t>（最终规格按现场实际空间实量为准）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50752" behindDoc="0" locked="0" layoutInCell="1" allowOverlap="1">
                  <wp:simplePos x="0" y="0"/>
                  <wp:positionH relativeFrom="column">
                    <wp:posOffset>133350</wp:posOffset>
                  </wp:positionH>
                  <wp:positionV relativeFrom="paragraph">
                    <wp:posOffset>161925</wp:posOffset>
                  </wp:positionV>
                  <wp:extent cx="495300" cy="382270"/>
                  <wp:effectExtent l="0" t="0" r="0" b="17780"/>
                  <wp:wrapNone/>
                  <wp:docPr id="216" name="图片_184_SpCnt_5"/>
                  <wp:cNvGraphicFramePr/>
                  <a:graphic xmlns:a="http://schemas.openxmlformats.org/drawingml/2006/main">
                    <a:graphicData uri="http://schemas.openxmlformats.org/drawingml/2006/picture">
                      <pic:pic xmlns:pic="http://schemas.openxmlformats.org/drawingml/2006/picture">
                        <pic:nvPicPr>
                          <pic:cNvPr id="216" name="图片_184_SpCnt_5"/>
                          <pic:cNvPicPr/>
                        </pic:nvPicPr>
                        <pic:blipFill>
                          <a:blip r:embed="rId165"/>
                          <a:stretch>
                            <a:fillRect/>
                          </a:stretch>
                        </pic:blipFill>
                        <pic:spPr>
                          <a:xfrm>
                            <a:off x="0" y="0"/>
                            <a:ext cx="495300" cy="38227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60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冲地龙头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开放式洗地龙头、碳钢主体，表面环氧喷涂处理（浅蓝色）；                                     固定侧支架钢板厚度5mm，黄铜进水主体；                                                    10.8米重工无痕三层液压钢丝管（蓝色）、与主体接口为金属连接件、耐温85度；                                                                 黄铜铸造枪式喷头、配有橡胶保护套水压可调。（配置一把喷头）                                                                                  进水接口为标准1/2"外螺纹；                                                                  ◆生产厂家有购买产品第三方责任险，累计赔偿额不低于200万元。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nil"/>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rPr>
              <w:drawing>
                <wp:anchor distT="0" distB="0" distL="114300" distR="114300" simplePos="0" relativeHeight="251851776" behindDoc="0" locked="0" layoutInCell="1" allowOverlap="1">
                  <wp:simplePos x="0" y="0"/>
                  <wp:positionH relativeFrom="column">
                    <wp:posOffset>152400</wp:posOffset>
                  </wp:positionH>
                  <wp:positionV relativeFrom="paragraph">
                    <wp:posOffset>946785</wp:posOffset>
                  </wp:positionV>
                  <wp:extent cx="419100" cy="383540"/>
                  <wp:effectExtent l="0" t="0" r="0" b="16510"/>
                  <wp:wrapNone/>
                  <wp:docPr id="217" name="Picture_1165_SpCnt_4"/>
                  <wp:cNvGraphicFramePr/>
                  <a:graphic xmlns:a="http://schemas.openxmlformats.org/drawingml/2006/main">
                    <a:graphicData uri="http://schemas.openxmlformats.org/drawingml/2006/picture">
                      <pic:pic xmlns:pic="http://schemas.openxmlformats.org/drawingml/2006/picture">
                        <pic:nvPicPr>
                          <pic:cNvPr id="217" name="Picture_1165_SpCnt_4"/>
                          <pic:cNvPicPr/>
                        </pic:nvPicPr>
                        <pic:blipFill>
                          <a:blip r:embed="rId166"/>
                          <a:stretch>
                            <a:fillRect/>
                          </a:stretch>
                        </pic:blipFill>
                        <pic:spPr>
                          <a:xfrm>
                            <a:off x="0" y="0"/>
                            <a:ext cx="419100" cy="38354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13</w:t>
            </w:r>
          </w:p>
        </w:tc>
        <w:tc>
          <w:tcPr>
            <w:tcW w:w="15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风幕机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SIZE：约L=1500mm（最终长度依据现场实际）</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全金属不锈钢外壳和配件；采用全新遥控或控式开关；采用优化电机，性能可靠（没有安装条件，相应取消，数量按实际）</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52800" behindDoc="0" locked="0" layoutInCell="1" allowOverlap="1">
                  <wp:simplePos x="0" y="0"/>
                  <wp:positionH relativeFrom="column">
                    <wp:posOffset>66675</wp:posOffset>
                  </wp:positionH>
                  <wp:positionV relativeFrom="paragraph">
                    <wp:posOffset>220345</wp:posOffset>
                  </wp:positionV>
                  <wp:extent cx="562610" cy="0"/>
                  <wp:effectExtent l="0" t="0" r="0" b="0"/>
                  <wp:wrapNone/>
                  <wp:docPr id="218" name="图片_69_SpCnt_10"/>
                  <wp:cNvGraphicFramePr/>
                  <a:graphic xmlns:a="http://schemas.openxmlformats.org/drawingml/2006/main">
                    <a:graphicData uri="http://schemas.openxmlformats.org/drawingml/2006/picture">
                      <pic:pic xmlns:pic="http://schemas.openxmlformats.org/drawingml/2006/picture">
                        <pic:nvPicPr>
                          <pic:cNvPr id="218" name="图片_69_SpCnt_10"/>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53824" behindDoc="0" locked="0" layoutInCell="1" allowOverlap="1">
                  <wp:simplePos x="0" y="0"/>
                  <wp:positionH relativeFrom="column">
                    <wp:posOffset>66675</wp:posOffset>
                  </wp:positionH>
                  <wp:positionV relativeFrom="paragraph">
                    <wp:posOffset>220345</wp:posOffset>
                  </wp:positionV>
                  <wp:extent cx="562610" cy="0"/>
                  <wp:effectExtent l="0" t="0" r="0" b="0"/>
                  <wp:wrapNone/>
                  <wp:docPr id="219" name="图片_69_SpCnt_11"/>
                  <wp:cNvGraphicFramePr/>
                  <a:graphic xmlns:a="http://schemas.openxmlformats.org/drawingml/2006/main">
                    <a:graphicData uri="http://schemas.openxmlformats.org/drawingml/2006/picture">
                      <pic:pic xmlns:pic="http://schemas.openxmlformats.org/drawingml/2006/picture">
                        <pic:nvPicPr>
                          <pic:cNvPr id="219" name="图片_69_SpCnt_11"/>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54848" behindDoc="0" locked="0" layoutInCell="1" allowOverlap="1">
                  <wp:simplePos x="0" y="0"/>
                  <wp:positionH relativeFrom="column">
                    <wp:posOffset>76200</wp:posOffset>
                  </wp:positionH>
                  <wp:positionV relativeFrom="paragraph">
                    <wp:posOffset>237490</wp:posOffset>
                  </wp:positionV>
                  <wp:extent cx="561975" cy="0"/>
                  <wp:effectExtent l="0" t="0" r="0" b="0"/>
                  <wp:wrapNone/>
                  <wp:docPr id="220" name="图片_69_SpCnt_12"/>
                  <wp:cNvGraphicFramePr/>
                  <a:graphic xmlns:a="http://schemas.openxmlformats.org/drawingml/2006/main">
                    <a:graphicData uri="http://schemas.openxmlformats.org/drawingml/2006/picture">
                      <pic:pic xmlns:pic="http://schemas.openxmlformats.org/drawingml/2006/picture">
                        <pic:nvPicPr>
                          <pic:cNvPr id="220" name="图片_69_SpCnt_12"/>
                          <pic:cNvPicPr/>
                        </pic:nvPicPr>
                        <pic:blipFill>
                          <a:blip r:embed="rId67"/>
                          <a:stretch>
                            <a:fillRect/>
                          </a:stretch>
                        </pic:blipFill>
                        <pic:spPr>
                          <a:xfrm>
                            <a:off x="0" y="0"/>
                            <a:ext cx="561975"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55872" behindDoc="0" locked="0" layoutInCell="1" allowOverlap="1">
                  <wp:simplePos x="0" y="0"/>
                  <wp:positionH relativeFrom="column">
                    <wp:posOffset>85725</wp:posOffset>
                  </wp:positionH>
                  <wp:positionV relativeFrom="paragraph">
                    <wp:posOffset>256540</wp:posOffset>
                  </wp:positionV>
                  <wp:extent cx="562610" cy="0"/>
                  <wp:effectExtent l="0" t="0" r="0" b="0"/>
                  <wp:wrapNone/>
                  <wp:docPr id="221" name="图片_69_SpCnt_13"/>
                  <wp:cNvGraphicFramePr/>
                  <a:graphic xmlns:a="http://schemas.openxmlformats.org/drawingml/2006/main">
                    <a:graphicData uri="http://schemas.openxmlformats.org/drawingml/2006/picture">
                      <pic:pic xmlns:pic="http://schemas.openxmlformats.org/drawingml/2006/picture">
                        <pic:nvPicPr>
                          <pic:cNvPr id="221" name="图片_69_SpCnt_13"/>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56896" behindDoc="0" locked="0" layoutInCell="1" allowOverlap="1">
                  <wp:simplePos x="0" y="0"/>
                  <wp:positionH relativeFrom="column">
                    <wp:posOffset>95885</wp:posOffset>
                  </wp:positionH>
                  <wp:positionV relativeFrom="paragraph">
                    <wp:posOffset>228600</wp:posOffset>
                  </wp:positionV>
                  <wp:extent cx="523875" cy="343535"/>
                  <wp:effectExtent l="0" t="0" r="9525" b="18415"/>
                  <wp:wrapNone/>
                  <wp:docPr id="222" name="图片_69_SpCnt_14"/>
                  <wp:cNvGraphicFramePr/>
                  <a:graphic xmlns:a="http://schemas.openxmlformats.org/drawingml/2006/main">
                    <a:graphicData uri="http://schemas.openxmlformats.org/drawingml/2006/picture">
                      <pic:pic xmlns:pic="http://schemas.openxmlformats.org/drawingml/2006/picture">
                        <pic:nvPicPr>
                          <pic:cNvPr id="222" name="图片_69_SpCnt_14"/>
                          <pic:cNvPicPr/>
                        </pic:nvPicPr>
                        <pic:blipFill>
                          <a:blip r:embed="rId142"/>
                          <a:stretch>
                            <a:fillRect/>
                          </a:stretch>
                        </pic:blipFill>
                        <pic:spPr>
                          <a:xfrm>
                            <a:off x="0" y="0"/>
                            <a:ext cx="523875" cy="3435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57920" behindDoc="0" locked="0" layoutInCell="1" allowOverlap="1">
                  <wp:simplePos x="0" y="0"/>
                  <wp:positionH relativeFrom="column">
                    <wp:posOffset>142875</wp:posOffset>
                  </wp:positionH>
                  <wp:positionV relativeFrom="paragraph">
                    <wp:posOffset>504825</wp:posOffset>
                  </wp:positionV>
                  <wp:extent cx="485775" cy="379095"/>
                  <wp:effectExtent l="0" t="0" r="9525" b="1905"/>
                  <wp:wrapNone/>
                  <wp:docPr id="223" name="图片_3_SpCnt_13"/>
                  <wp:cNvGraphicFramePr/>
                  <a:graphic xmlns:a="http://schemas.openxmlformats.org/drawingml/2006/main">
                    <a:graphicData uri="http://schemas.openxmlformats.org/drawingml/2006/picture">
                      <pic:pic xmlns:pic="http://schemas.openxmlformats.org/drawingml/2006/picture">
                        <pic:nvPicPr>
                          <pic:cNvPr id="223" name="图片_3_SpCnt_13"/>
                          <pic:cNvPicPr/>
                        </pic:nvPicPr>
                        <pic:blipFill>
                          <a:blip r:embed="rId167"/>
                          <a:stretch>
                            <a:fillRect/>
                          </a:stretch>
                        </pic:blipFill>
                        <pic:spPr>
                          <a:xfrm>
                            <a:off x="0" y="0"/>
                            <a:ext cx="485775" cy="37909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一层教师餐厅</w:t>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洗手槽</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SIZE：约L=6600*500*750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选用SUS304-2B不锈钢板制作；支架、通脚、可调脚为Φ38不锈钢管，管壁厚1.0mm，配置不锈钢可调脚，配落水器；带后挡板，台板厚1.0mm。</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米</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6.6</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58944" behindDoc="0" locked="0" layoutInCell="1" allowOverlap="1">
                  <wp:simplePos x="0" y="0"/>
                  <wp:positionH relativeFrom="column">
                    <wp:posOffset>114300</wp:posOffset>
                  </wp:positionH>
                  <wp:positionV relativeFrom="paragraph">
                    <wp:posOffset>85090</wp:posOffset>
                  </wp:positionV>
                  <wp:extent cx="457200" cy="437515"/>
                  <wp:effectExtent l="0" t="0" r="0" b="635"/>
                  <wp:wrapNone/>
                  <wp:docPr id="224" name="Picture_242"/>
                  <wp:cNvGraphicFramePr/>
                  <a:graphic xmlns:a="http://schemas.openxmlformats.org/drawingml/2006/main">
                    <a:graphicData uri="http://schemas.openxmlformats.org/drawingml/2006/picture">
                      <pic:pic xmlns:pic="http://schemas.openxmlformats.org/drawingml/2006/picture">
                        <pic:nvPicPr>
                          <pic:cNvPr id="224" name="Picture_242"/>
                          <pic:cNvPicPr/>
                        </pic:nvPicPr>
                        <pic:blipFill>
                          <a:blip r:embed="rId168"/>
                          <a:stretch>
                            <a:fillRect/>
                          </a:stretch>
                        </pic:blipFill>
                        <pic:spPr>
                          <a:xfrm>
                            <a:off x="0" y="0"/>
                            <a:ext cx="457200" cy="4375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432"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1.座台式安装，单孔单温，鹅颈水嘴。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3.陶瓷阀芯一字开形手柄。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4.开孔尺寸为25mm，进水接口为1/2"内螺纹。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                        ◆产品材质铅的含量≤0.22%并提供相应检测报告复印件。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16</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59968" behindDoc="0" locked="0" layoutInCell="1" allowOverlap="1">
                  <wp:simplePos x="0" y="0"/>
                  <wp:positionH relativeFrom="column">
                    <wp:posOffset>209550</wp:posOffset>
                  </wp:positionH>
                  <wp:positionV relativeFrom="paragraph">
                    <wp:posOffset>845820</wp:posOffset>
                  </wp:positionV>
                  <wp:extent cx="294640" cy="468630"/>
                  <wp:effectExtent l="0" t="0" r="10160" b="7620"/>
                  <wp:wrapNone/>
                  <wp:docPr id="225" name="图片_32_SpCnt_7"/>
                  <wp:cNvGraphicFramePr/>
                  <a:graphic xmlns:a="http://schemas.openxmlformats.org/drawingml/2006/main">
                    <a:graphicData uri="http://schemas.openxmlformats.org/drawingml/2006/picture">
                      <pic:pic xmlns:pic="http://schemas.openxmlformats.org/drawingml/2006/picture">
                        <pic:nvPicPr>
                          <pic:cNvPr id="225" name="图片_32_SpCnt_7"/>
                          <pic:cNvPicPr/>
                        </pic:nvPicPr>
                        <pic:blipFill>
                          <a:blip r:embed="rId169"/>
                          <a:stretch>
                            <a:fillRect/>
                          </a:stretch>
                        </pic:blipFill>
                        <pic:spPr>
                          <a:xfrm>
                            <a:off x="0" y="0"/>
                            <a:ext cx="294640" cy="46863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08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三孔回收台柜</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SIZE：约1700*650*750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选用SUS304-2B不锈钢板制作（包括加强档、筋），台面板厚1.0mm，台面开孔，下配抽屉式推车（最终尺寸按现场实际测量）</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组</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60992" behindDoc="0" locked="0" layoutInCell="1" allowOverlap="1">
                  <wp:simplePos x="0" y="0"/>
                  <wp:positionH relativeFrom="column">
                    <wp:posOffset>104775</wp:posOffset>
                  </wp:positionH>
                  <wp:positionV relativeFrom="paragraph">
                    <wp:posOffset>152400</wp:posOffset>
                  </wp:positionV>
                  <wp:extent cx="523875" cy="361950"/>
                  <wp:effectExtent l="0" t="0" r="9525" b="0"/>
                  <wp:wrapNone/>
                  <wp:docPr id="226" name="图片_1_SpCnt_9"/>
                  <wp:cNvGraphicFramePr/>
                  <a:graphic xmlns:a="http://schemas.openxmlformats.org/drawingml/2006/main">
                    <a:graphicData uri="http://schemas.openxmlformats.org/drawingml/2006/picture">
                      <pic:pic xmlns:pic="http://schemas.openxmlformats.org/drawingml/2006/picture">
                        <pic:nvPicPr>
                          <pic:cNvPr id="226" name="图片_1_SpCnt_9"/>
                          <pic:cNvPicPr/>
                        </pic:nvPicPr>
                        <pic:blipFill>
                          <a:blip r:embed="rId170"/>
                          <a:stretch>
                            <a:fillRect/>
                          </a:stretch>
                        </pic:blipFill>
                        <pic:spPr>
                          <a:xfrm>
                            <a:off x="0" y="0"/>
                            <a:ext cx="523875" cy="3619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454"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62016" behindDoc="0" locked="0" layoutInCell="1" allowOverlap="1">
                  <wp:simplePos x="0" y="0"/>
                  <wp:positionH relativeFrom="column">
                    <wp:posOffset>114300</wp:posOffset>
                  </wp:positionH>
                  <wp:positionV relativeFrom="paragraph">
                    <wp:posOffset>486410</wp:posOffset>
                  </wp:positionV>
                  <wp:extent cx="534035" cy="428625"/>
                  <wp:effectExtent l="0" t="0" r="18415" b="9525"/>
                  <wp:wrapNone/>
                  <wp:docPr id="227" name="图片_3_SpCnt_14"/>
                  <wp:cNvGraphicFramePr/>
                  <a:graphic xmlns:a="http://schemas.openxmlformats.org/drawingml/2006/main">
                    <a:graphicData uri="http://schemas.openxmlformats.org/drawingml/2006/picture">
                      <pic:pic xmlns:pic="http://schemas.openxmlformats.org/drawingml/2006/picture">
                        <pic:nvPicPr>
                          <pic:cNvPr id="227" name="图片_3_SpCnt_14"/>
                          <pic:cNvPicPr/>
                        </pic:nvPicPr>
                        <pic:blipFill>
                          <a:blip r:embed="rId171"/>
                          <a:stretch>
                            <a:fillRect/>
                          </a:stretch>
                        </pic:blipFill>
                        <pic:spPr>
                          <a:xfrm>
                            <a:off x="0" y="0"/>
                            <a:ext cx="534035" cy="4286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二层</w:t>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二层二次更衣</w:t>
            </w:r>
          </w:p>
        </w:tc>
      </w:tr>
      <w:tr>
        <w:tblPrEx>
          <w:tblCellMar>
            <w:top w:w="0" w:type="dxa"/>
            <w:left w:w="108" w:type="dxa"/>
            <w:bottom w:w="0" w:type="dxa"/>
            <w:right w:w="108" w:type="dxa"/>
          </w:tblCellMar>
        </w:tblPrEx>
        <w:trPr>
          <w:trHeight w:val="10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单水池连平台带感应龙头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SIZE：900*500*800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选用SUS304不锈钢板制作；支架、通脚、可调脚为Φ38不锈钢管，管壁厚1.0mm，配置不锈钢可调脚，配落水器；带后挡板，台板厚1.0mm；配单星盆；带感应龙头；</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63040" behindDoc="0" locked="0" layoutInCell="1" allowOverlap="1">
                  <wp:simplePos x="0" y="0"/>
                  <wp:positionH relativeFrom="column">
                    <wp:posOffset>133350</wp:posOffset>
                  </wp:positionH>
                  <wp:positionV relativeFrom="paragraph">
                    <wp:posOffset>125095</wp:posOffset>
                  </wp:positionV>
                  <wp:extent cx="485140" cy="401320"/>
                  <wp:effectExtent l="0" t="0" r="10160" b="17780"/>
                  <wp:wrapNone/>
                  <wp:docPr id="228" name="图片_185_SpCnt_5"/>
                  <wp:cNvGraphicFramePr/>
                  <a:graphic xmlns:a="http://schemas.openxmlformats.org/drawingml/2006/main">
                    <a:graphicData uri="http://schemas.openxmlformats.org/drawingml/2006/picture">
                      <pic:pic xmlns:pic="http://schemas.openxmlformats.org/drawingml/2006/picture">
                        <pic:nvPicPr>
                          <pic:cNvPr id="228" name="图片_185_SpCnt_5"/>
                          <pic:cNvPicPr/>
                        </pic:nvPicPr>
                        <pic:blipFill>
                          <a:blip r:embed="rId172"/>
                          <a:stretch>
                            <a:fillRect/>
                          </a:stretch>
                        </pic:blipFill>
                        <pic:spPr>
                          <a:xfrm>
                            <a:off x="0" y="0"/>
                            <a:ext cx="485140" cy="40132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0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挂墙式烘手机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型号：冷热型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启动方式：红外感应                         机身材质：主体塑料                           热风温度：65±15℃                     说明：精选ABS材料；大口径加热出风口；涡轮增压扇叶风扇；大功率电机；信息处理中枢；智能微电脑控制。（如无安装条件则取消）</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64064" behindDoc="0" locked="0" layoutInCell="1" allowOverlap="1">
                  <wp:simplePos x="0" y="0"/>
                  <wp:positionH relativeFrom="column">
                    <wp:posOffset>95885</wp:posOffset>
                  </wp:positionH>
                  <wp:positionV relativeFrom="paragraph">
                    <wp:posOffset>426720</wp:posOffset>
                  </wp:positionV>
                  <wp:extent cx="485140" cy="457200"/>
                  <wp:effectExtent l="0" t="0" r="10160" b="0"/>
                  <wp:wrapNone/>
                  <wp:docPr id="229" name="图片_1_SpCnt_10"/>
                  <wp:cNvGraphicFramePr/>
                  <a:graphic xmlns:a="http://schemas.openxmlformats.org/drawingml/2006/main">
                    <a:graphicData uri="http://schemas.openxmlformats.org/drawingml/2006/picture">
                      <pic:pic xmlns:pic="http://schemas.openxmlformats.org/drawingml/2006/picture">
                        <pic:nvPicPr>
                          <pic:cNvPr id="229" name="图片_1_SpCnt_10"/>
                          <pic:cNvPicPr/>
                        </pic:nvPicPr>
                        <pic:blipFill>
                          <a:blip r:embed="rId173"/>
                          <a:stretch>
                            <a:fillRect/>
                          </a:stretch>
                        </pic:blipFill>
                        <pic:spPr>
                          <a:xfrm>
                            <a:off x="0" y="0"/>
                            <a:ext cx="485140" cy="4572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二层学生备餐区</w:t>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选用SUS304不锈钢板制作（包括加强档、筋），下置一层栅档，台面用衬板加强，配置不锈钢可调脚，台面板厚1.0mm。                                                                       ◆提供生产厂家工作台加档符合GB/T3280-2015《不锈钢冷轧钢板和钢带》的型式检测报告。  </w:t>
            </w:r>
          </w:p>
        </w:tc>
        <w:tc>
          <w:tcPr>
            <w:tcW w:w="6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65088" behindDoc="0" locked="0" layoutInCell="1" allowOverlap="1">
                  <wp:simplePos x="0" y="0"/>
                  <wp:positionH relativeFrom="column">
                    <wp:posOffset>95885</wp:posOffset>
                  </wp:positionH>
                  <wp:positionV relativeFrom="paragraph">
                    <wp:posOffset>401955</wp:posOffset>
                  </wp:positionV>
                  <wp:extent cx="513715" cy="401955"/>
                  <wp:effectExtent l="0" t="0" r="635" b="17145"/>
                  <wp:wrapNone/>
                  <wp:docPr id="230" name="Picture_4_SpCnt_11"/>
                  <wp:cNvGraphicFramePr/>
                  <a:graphic xmlns:a="http://schemas.openxmlformats.org/drawingml/2006/main">
                    <a:graphicData uri="http://schemas.openxmlformats.org/drawingml/2006/picture">
                      <pic:pic xmlns:pic="http://schemas.openxmlformats.org/drawingml/2006/picture">
                        <pic:nvPicPr>
                          <pic:cNvPr id="230" name="Picture_4_SpCnt_11"/>
                          <pic:cNvPicPr/>
                        </pic:nvPicPr>
                        <pic:blipFill>
                          <a:blip r:embed="rId56"/>
                          <a:stretch>
                            <a:fillRect/>
                          </a:stretch>
                        </pic:blipFill>
                        <pic:spPr>
                          <a:xfrm>
                            <a:off x="0" y="0"/>
                            <a:ext cx="513715" cy="401955"/>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66112" behindDoc="0" locked="0" layoutInCell="1" allowOverlap="1">
                  <wp:simplePos x="0" y="0"/>
                  <wp:positionH relativeFrom="column">
                    <wp:posOffset>104775</wp:posOffset>
                  </wp:positionH>
                  <wp:positionV relativeFrom="paragraph">
                    <wp:posOffset>209550</wp:posOffset>
                  </wp:positionV>
                  <wp:extent cx="533400" cy="0"/>
                  <wp:effectExtent l="0" t="0" r="0" b="0"/>
                  <wp:wrapNone/>
                  <wp:docPr id="231" name="图片_53"/>
                  <wp:cNvGraphicFramePr/>
                  <a:graphic xmlns:a="http://schemas.openxmlformats.org/drawingml/2006/main">
                    <a:graphicData uri="http://schemas.openxmlformats.org/drawingml/2006/picture">
                      <pic:pic xmlns:pic="http://schemas.openxmlformats.org/drawingml/2006/picture">
                        <pic:nvPicPr>
                          <pic:cNvPr id="231" name="图片_53"/>
                          <pic:cNvPicPr/>
                        </pic:nvPicPr>
                        <pic:blipFill>
                          <a:blip r:embed="rId67"/>
                          <a:stretch>
                            <a:fillRect/>
                          </a:stretch>
                        </pic:blipFill>
                        <pic:spPr>
                          <a:xfrm>
                            <a:off x="0" y="0"/>
                            <a:ext cx="533400"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单开门操作台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选用SUS304不锈钢板制作（包括加强档、筋），台面用衬板加强，台面板厚1.0mm，内置一层搁板，一面配有上挂式双移门，配不锈钢可调脚。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67136" behindDoc="0" locked="0" layoutInCell="1" allowOverlap="1">
                  <wp:simplePos x="0" y="0"/>
                  <wp:positionH relativeFrom="column">
                    <wp:posOffset>95885</wp:posOffset>
                  </wp:positionH>
                  <wp:positionV relativeFrom="paragraph">
                    <wp:posOffset>133985</wp:posOffset>
                  </wp:positionV>
                  <wp:extent cx="523875" cy="361315"/>
                  <wp:effectExtent l="0" t="0" r="9525" b="635"/>
                  <wp:wrapNone/>
                  <wp:docPr id="232" name="Picture_360_SpCnt_8"/>
                  <wp:cNvGraphicFramePr/>
                  <a:graphic xmlns:a="http://schemas.openxmlformats.org/drawingml/2006/main">
                    <a:graphicData uri="http://schemas.openxmlformats.org/drawingml/2006/picture">
                      <pic:pic xmlns:pic="http://schemas.openxmlformats.org/drawingml/2006/picture">
                        <pic:nvPicPr>
                          <pic:cNvPr id="232" name="Picture_360_SpCnt_8"/>
                          <pic:cNvPicPr/>
                        </pic:nvPicPr>
                        <pic:blipFill>
                          <a:blip r:embed="rId174"/>
                          <a:stretch>
                            <a:fillRect/>
                          </a:stretch>
                        </pic:blipFill>
                        <pic:spPr>
                          <a:xfrm>
                            <a:off x="0" y="0"/>
                            <a:ext cx="523875" cy="3613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碗柜</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选用SUS304不锈钢板制作（包括加强档、筋），内分四层；上下配密封式上挂式移门，配置不锈钢可调脚，柜体板厚1.0mm。搁档板和移门面板厚0.8mm；</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68160" behindDoc="0" locked="0" layoutInCell="1" allowOverlap="1">
                  <wp:simplePos x="0" y="0"/>
                  <wp:positionH relativeFrom="column">
                    <wp:posOffset>180975</wp:posOffset>
                  </wp:positionH>
                  <wp:positionV relativeFrom="paragraph">
                    <wp:posOffset>57785</wp:posOffset>
                  </wp:positionV>
                  <wp:extent cx="361950" cy="475615"/>
                  <wp:effectExtent l="0" t="0" r="0" b="635"/>
                  <wp:wrapNone/>
                  <wp:docPr id="233" name="图片_87_SpCnt_1"/>
                  <wp:cNvGraphicFramePr/>
                  <a:graphic xmlns:a="http://schemas.openxmlformats.org/drawingml/2006/main">
                    <a:graphicData uri="http://schemas.openxmlformats.org/drawingml/2006/picture">
                      <pic:pic xmlns:pic="http://schemas.openxmlformats.org/drawingml/2006/picture">
                        <pic:nvPicPr>
                          <pic:cNvPr id="233" name="图片_87_SpCnt_1"/>
                          <pic:cNvPicPr/>
                        </pic:nvPicPr>
                        <pic:blipFill>
                          <a:blip r:embed="rId175"/>
                          <a:stretch>
                            <a:fillRect/>
                          </a:stretch>
                        </pic:blipFill>
                        <pic:spPr>
                          <a:xfrm>
                            <a:off x="0" y="0"/>
                            <a:ext cx="361950" cy="47561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00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SIZE：500*500*800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69184" behindDoc="0" locked="0" layoutInCell="1" allowOverlap="1">
                  <wp:simplePos x="0" y="0"/>
                  <wp:positionH relativeFrom="column">
                    <wp:posOffset>133350</wp:posOffset>
                  </wp:positionH>
                  <wp:positionV relativeFrom="paragraph">
                    <wp:posOffset>132080</wp:posOffset>
                  </wp:positionV>
                  <wp:extent cx="447675" cy="448945"/>
                  <wp:effectExtent l="0" t="0" r="9525" b="8255"/>
                  <wp:wrapNone/>
                  <wp:docPr id="234" name="Picture_114_SpCnt_7"/>
                  <wp:cNvGraphicFramePr/>
                  <a:graphic xmlns:a="http://schemas.openxmlformats.org/drawingml/2006/main">
                    <a:graphicData uri="http://schemas.openxmlformats.org/drawingml/2006/picture">
                      <pic:pic xmlns:pic="http://schemas.openxmlformats.org/drawingml/2006/picture">
                        <pic:nvPicPr>
                          <pic:cNvPr id="234" name="Picture_114_SpCnt_7"/>
                          <pic:cNvPicPr/>
                        </pic:nvPicPr>
                        <pic:blipFill>
                          <a:blip r:embed="rId176"/>
                          <a:stretch>
                            <a:fillRect/>
                          </a:stretch>
                        </pic:blipFill>
                        <pic:spPr>
                          <a:xfrm>
                            <a:off x="0" y="0"/>
                            <a:ext cx="447675" cy="44894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283"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1.座台式安装，单孔单温，鹅颈水嘴；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3.陶瓷阀芯一字开形手柄；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4.开孔尺寸为25mm，进水接口为1/2"内螺纹。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eastAsia="zh-CN" w:bidi="ar"/>
              </w:rPr>
              <w:t>。</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◆产品材质铅的含量≤0.22%并提供相应检测报告复印件。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70208" behindDoc="0" locked="0" layoutInCell="1" allowOverlap="1">
                  <wp:simplePos x="0" y="0"/>
                  <wp:positionH relativeFrom="column">
                    <wp:posOffset>200025</wp:posOffset>
                  </wp:positionH>
                  <wp:positionV relativeFrom="paragraph">
                    <wp:posOffset>770255</wp:posOffset>
                  </wp:positionV>
                  <wp:extent cx="323850" cy="568960"/>
                  <wp:effectExtent l="0" t="0" r="0" b="2540"/>
                  <wp:wrapNone/>
                  <wp:docPr id="235" name="图片_32_SpCnt_8"/>
                  <wp:cNvGraphicFramePr/>
                  <a:graphic xmlns:a="http://schemas.openxmlformats.org/drawingml/2006/main">
                    <a:graphicData uri="http://schemas.openxmlformats.org/drawingml/2006/picture">
                      <pic:pic xmlns:pic="http://schemas.openxmlformats.org/drawingml/2006/picture">
                        <pic:nvPicPr>
                          <pic:cNvPr id="235" name="图片_32_SpCnt_8"/>
                          <pic:cNvPicPr/>
                        </pic:nvPicPr>
                        <pic:blipFill>
                          <a:blip r:embed="rId177"/>
                          <a:stretch>
                            <a:fillRect/>
                          </a:stretch>
                        </pic:blipFill>
                        <pic:spPr>
                          <a:xfrm>
                            <a:off x="0" y="0"/>
                            <a:ext cx="323850" cy="56896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5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风幕机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SIZE：约L=1500mm（最终长度依据现场实际）</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hint="eastAsia" w:ascii="宋体" w:hAnsi="宋体" w:eastAsia="宋体" w:cs="宋体"/>
                <w:color w:val="000000"/>
                <w:sz w:val="24"/>
                <w:lang w:eastAsia="zh-CN"/>
              </w:rPr>
            </w:pPr>
            <w:r>
              <w:rPr>
                <w:rFonts w:hint="eastAsia" w:ascii="宋体" w:hAnsi="宋体" w:cs="宋体"/>
                <w:color w:val="000000"/>
                <w:kern w:val="0"/>
                <w:sz w:val="24"/>
                <w:lang w:bidi="ar"/>
              </w:rPr>
              <w:t>全金属不锈钢外壳和配件；采用全新遥控或控式开关；采用优化电机，性能可靠（没有安装条件，相应取消，数量按实际）</w:t>
            </w:r>
            <w:r>
              <w:rPr>
                <w:rFonts w:hint="eastAsia" w:ascii="宋体" w:hAnsi="宋体" w:cs="宋体"/>
                <w:color w:val="000000"/>
                <w:kern w:val="0"/>
                <w:sz w:val="24"/>
                <w:lang w:eastAsia="zh-CN" w:bidi="ar"/>
              </w:rPr>
              <w:t>。</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71232" behindDoc="0" locked="0" layoutInCell="1" allowOverlap="1">
                  <wp:simplePos x="0" y="0"/>
                  <wp:positionH relativeFrom="column">
                    <wp:posOffset>66675</wp:posOffset>
                  </wp:positionH>
                  <wp:positionV relativeFrom="paragraph">
                    <wp:posOffset>220345</wp:posOffset>
                  </wp:positionV>
                  <wp:extent cx="562610" cy="0"/>
                  <wp:effectExtent l="0" t="0" r="0" b="0"/>
                  <wp:wrapNone/>
                  <wp:docPr id="236" name="图片_69_SpCnt_15"/>
                  <wp:cNvGraphicFramePr/>
                  <a:graphic xmlns:a="http://schemas.openxmlformats.org/drawingml/2006/main">
                    <a:graphicData uri="http://schemas.openxmlformats.org/drawingml/2006/picture">
                      <pic:pic xmlns:pic="http://schemas.openxmlformats.org/drawingml/2006/picture">
                        <pic:nvPicPr>
                          <pic:cNvPr id="236" name="图片_69_SpCnt_15"/>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72256" behindDoc="0" locked="0" layoutInCell="1" allowOverlap="1">
                  <wp:simplePos x="0" y="0"/>
                  <wp:positionH relativeFrom="column">
                    <wp:posOffset>66675</wp:posOffset>
                  </wp:positionH>
                  <wp:positionV relativeFrom="paragraph">
                    <wp:posOffset>220345</wp:posOffset>
                  </wp:positionV>
                  <wp:extent cx="562610" cy="0"/>
                  <wp:effectExtent l="0" t="0" r="0" b="0"/>
                  <wp:wrapNone/>
                  <wp:docPr id="237" name="图片_69_SpCnt_16"/>
                  <wp:cNvGraphicFramePr/>
                  <a:graphic xmlns:a="http://schemas.openxmlformats.org/drawingml/2006/main">
                    <a:graphicData uri="http://schemas.openxmlformats.org/drawingml/2006/picture">
                      <pic:pic xmlns:pic="http://schemas.openxmlformats.org/drawingml/2006/picture">
                        <pic:nvPicPr>
                          <pic:cNvPr id="237" name="图片_69_SpCnt_16"/>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73280" behindDoc="0" locked="0" layoutInCell="1" allowOverlap="1">
                  <wp:simplePos x="0" y="0"/>
                  <wp:positionH relativeFrom="column">
                    <wp:posOffset>76200</wp:posOffset>
                  </wp:positionH>
                  <wp:positionV relativeFrom="paragraph">
                    <wp:posOffset>237490</wp:posOffset>
                  </wp:positionV>
                  <wp:extent cx="561975" cy="0"/>
                  <wp:effectExtent l="0" t="0" r="0" b="0"/>
                  <wp:wrapNone/>
                  <wp:docPr id="238" name="图片_69_SpCnt_17"/>
                  <wp:cNvGraphicFramePr/>
                  <a:graphic xmlns:a="http://schemas.openxmlformats.org/drawingml/2006/main">
                    <a:graphicData uri="http://schemas.openxmlformats.org/drawingml/2006/picture">
                      <pic:pic xmlns:pic="http://schemas.openxmlformats.org/drawingml/2006/picture">
                        <pic:nvPicPr>
                          <pic:cNvPr id="238" name="图片_69_SpCnt_17"/>
                          <pic:cNvPicPr/>
                        </pic:nvPicPr>
                        <pic:blipFill>
                          <a:blip r:embed="rId67"/>
                          <a:stretch>
                            <a:fillRect/>
                          </a:stretch>
                        </pic:blipFill>
                        <pic:spPr>
                          <a:xfrm>
                            <a:off x="0" y="0"/>
                            <a:ext cx="561975"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74304" behindDoc="0" locked="0" layoutInCell="1" allowOverlap="1">
                  <wp:simplePos x="0" y="0"/>
                  <wp:positionH relativeFrom="column">
                    <wp:posOffset>85725</wp:posOffset>
                  </wp:positionH>
                  <wp:positionV relativeFrom="paragraph">
                    <wp:posOffset>256540</wp:posOffset>
                  </wp:positionV>
                  <wp:extent cx="562610" cy="0"/>
                  <wp:effectExtent l="0" t="0" r="0" b="0"/>
                  <wp:wrapNone/>
                  <wp:docPr id="239" name="图片_69_SpCnt_18"/>
                  <wp:cNvGraphicFramePr/>
                  <a:graphic xmlns:a="http://schemas.openxmlformats.org/drawingml/2006/main">
                    <a:graphicData uri="http://schemas.openxmlformats.org/drawingml/2006/picture">
                      <pic:pic xmlns:pic="http://schemas.openxmlformats.org/drawingml/2006/picture">
                        <pic:nvPicPr>
                          <pic:cNvPr id="239" name="图片_69_SpCnt_18"/>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75328" behindDoc="0" locked="0" layoutInCell="1" allowOverlap="1">
                  <wp:simplePos x="0" y="0"/>
                  <wp:positionH relativeFrom="column">
                    <wp:posOffset>104775</wp:posOffset>
                  </wp:positionH>
                  <wp:positionV relativeFrom="paragraph">
                    <wp:posOffset>200660</wp:posOffset>
                  </wp:positionV>
                  <wp:extent cx="513715" cy="332105"/>
                  <wp:effectExtent l="0" t="0" r="635" b="10795"/>
                  <wp:wrapNone/>
                  <wp:docPr id="240" name="图片_69_SpCnt_19"/>
                  <wp:cNvGraphicFramePr/>
                  <a:graphic xmlns:a="http://schemas.openxmlformats.org/drawingml/2006/main">
                    <a:graphicData uri="http://schemas.openxmlformats.org/drawingml/2006/picture">
                      <pic:pic xmlns:pic="http://schemas.openxmlformats.org/drawingml/2006/picture">
                        <pic:nvPicPr>
                          <pic:cNvPr id="240" name="图片_69_SpCnt_19"/>
                          <pic:cNvPicPr/>
                        </pic:nvPicPr>
                        <pic:blipFill>
                          <a:blip r:embed="rId68"/>
                          <a:stretch>
                            <a:fillRect/>
                          </a:stretch>
                        </pic:blipFill>
                        <pic:spPr>
                          <a:xfrm>
                            <a:off x="0" y="0"/>
                            <a:ext cx="513715" cy="33210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76352" behindDoc="0" locked="0" layoutInCell="1" allowOverlap="1">
                  <wp:simplePos x="0" y="0"/>
                  <wp:positionH relativeFrom="column">
                    <wp:posOffset>95885</wp:posOffset>
                  </wp:positionH>
                  <wp:positionV relativeFrom="paragraph">
                    <wp:posOffset>486410</wp:posOffset>
                  </wp:positionV>
                  <wp:extent cx="533400" cy="455930"/>
                  <wp:effectExtent l="0" t="0" r="0" b="1270"/>
                  <wp:wrapNone/>
                  <wp:docPr id="241" name="图片_3_SpCnt_15"/>
                  <wp:cNvGraphicFramePr/>
                  <a:graphic xmlns:a="http://schemas.openxmlformats.org/drawingml/2006/main">
                    <a:graphicData uri="http://schemas.openxmlformats.org/drawingml/2006/picture">
                      <pic:pic xmlns:pic="http://schemas.openxmlformats.org/drawingml/2006/picture">
                        <pic:nvPicPr>
                          <pic:cNvPr id="241" name="图片_3_SpCnt_15"/>
                          <pic:cNvPicPr/>
                        </pic:nvPicPr>
                        <pic:blipFill>
                          <a:blip r:embed="rId178"/>
                          <a:stretch>
                            <a:fillRect/>
                          </a:stretch>
                        </pic:blipFill>
                        <pic:spPr>
                          <a:xfrm>
                            <a:off x="0" y="0"/>
                            <a:ext cx="533400" cy="45593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350" w:hRule="atLeast"/>
          <w:jc w:val="center"/>
        </w:trPr>
        <w:tc>
          <w:tcPr>
            <w:tcW w:w="72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w:t>
            </w:r>
          </w:p>
        </w:tc>
        <w:tc>
          <w:tcPr>
            <w:tcW w:w="1533"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紫外线消毒灯管</w:t>
            </w:r>
          </w:p>
        </w:tc>
        <w:tc>
          <w:tcPr>
            <w:tcW w:w="1471"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SIZE：管长约90cm </w:t>
            </w:r>
          </w:p>
        </w:tc>
        <w:tc>
          <w:tcPr>
            <w:tcW w:w="261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输入电压：AC220V50Hz                          适用面积：20㎡-50㎡（含）                    电源方式：交流电                         说明：3D立体环绕杀菌；双重杀菌不怕死角， 国标T6石英管。  </w:t>
            </w:r>
          </w:p>
        </w:tc>
        <w:tc>
          <w:tcPr>
            <w:tcW w:w="670"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支</w:t>
            </w:r>
          </w:p>
        </w:tc>
        <w:tc>
          <w:tcPr>
            <w:tcW w:w="55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170"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77376" behindDoc="0" locked="0" layoutInCell="1" allowOverlap="1">
                  <wp:simplePos x="0" y="0"/>
                  <wp:positionH relativeFrom="column">
                    <wp:posOffset>114300</wp:posOffset>
                  </wp:positionH>
                  <wp:positionV relativeFrom="paragraph">
                    <wp:posOffset>237490</wp:posOffset>
                  </wp:positionV>
                  <wp:extent cx="514350" cy="325120"/>
                  <wp:effectExtent l="0" t="0" r="0" b="17780"/>
                  <wp:wrapNone/>
                  <wp:docPr id="242" name="图片_158_SpCnt_3"/>
                  <wp:cNvGraphicFramePr/>
                  <a:graphic xmlns:a="http://schemas.openxmlformats.org/drawingml/2006/main">
                    <a:graphicData uri="http://schemas.openxmlformats.org/drawingml/2006/picture">
                      <pic:pic xmlns:pic="http://schemas.openxmlformats.org/drawingml/2006/picture">
                        <pic:nvPicPr>
                          <pic:cNvPr id="242" name="图片_158_SpCnt_3"/>
                          <pic:cNvPicPr/>
                        </pic:nvPicPr>
                        <pic:blipFill>
                          <a:blip r:embed="rId179"/>
                          <a:stretch>
                            <a:fillRect/>
                          </a:stretch>
                        </pic:blipFill>
                        <pic:spPr>
                          <a:xfrm>
                            <a:off x="0" y="0"/>
                            <a:ext cx="514350" cy="32512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二层洗消区</w:t>
            </w:r>
          </w:p>
        </w:tc>
      </w:tr>
      <w:tr>
        <w:tblPrEx>
          <w:tblCellMar>
            <w:top w:w="0" w:type="dxa"/>
            <w:left w:w="108" w:type="dxa"/>
            <w:bottom w:w="0" w:type="dxa"/>
            <w:right w:w="108" w:type="dxa"/>
          </w:tblCellMar>
        </w:tblPrEx>
        <w:trPr>
          <w:trHeight w:val="900" w:hRule="atLeast"/>
          <w:jc w:val="center"/>
        </w:trPr>
        <w:tc>
          <w:tcPr>
            <w:tcW w:w="72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w:t>
            </w:r>
          </w:p>
        </w:tc>
        <w:tc>
          <w:tcPr>
            <w:tcW w:w="147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SIZE：1100*700*800</w:t>
            </w:r>
          </w:p>
        </w:tc>
        <w:tc>
          <w:tcPr>
            <w:tcW w:w="261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w:t>
            </w:r>
          </w:p>
        </w:tc>
        <w:tc>
          <w:tcPr>
            <w:tcW w:w="67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78400" behindDoc="0" locked="0" layoutInCell="1" allowOverlap="1">
                  <wp:simplePos x="0" y="0"/>
                  <wp:positionH relativeFrom="column">
                    <wp:posOffset>123190</wp:posOffset>
                  </wp:positionH>
                  <wp:positionV relativeFrom="paragraph">
                    <wp:posOffset>46990</wp:posOffset>
                  </wp:positionV>
                  <wp:extent cx="448310" cy="457835"/>
                  <wp:effectExtent l="0" t="0" r="8890" b="18415"/>
                  <wp:wrapNone/>
                  <wp:docPr id="243" name="Picture_185_SpCnt_3"/>
                  <wp:cNvGraphicFramePr/>
                  <a:graphic xmlns:a="http://schemas.openxmlformats.org/drawingml/2006/main">
                    <a:graphicData uri="http://schemas.openxmlformats.org/drawingml/2006/picture">
                      <pic:pic xmlns:pic="http://schemas.openxmlformats.org/drawingml/2006/picture">
                        <pic:nvPicPr>
                          <pic:cNvPr id="243" name="Picture_185_SpCnt_3"/>
                          <pic:cNvPicPr/>
                        </pic:nvPicPr>
                        <pic:blipFill>
                          <a:blip r:embed="rId180"/>
                          <a:stretch>
                            <a:fillRect/>
                          </a:stretch>
                        </pic:blipFill>
                        <pic:spPr>
                          <a:xfrm>
                            <a:off x="0" y="0"/>
                            <a:ext cx="448310" cy="4578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4050" w:hRule="atLeast"/>
          <w:jc w:val="center"/>
        </w:trPr>
        <w:tc>
          <w:tcPr>
            <w:tcW w:w="725"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1a</w:t>
            </w:r>
          </w:p>
        </w:tc>
        <w:tc>
          <w:tcPr>
            <w:tcW w:w="1533"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高抛混合龙头</w:t>
            </w:r>
          </w:p>
        </w:tc>
        <w:tc>
          <w:tcPr>
            <w:tcW w:w="1471"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1.座台式安装，双孔双温鹅颈水嘴；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3.配1/4转优质陶瓷阀芯一字型手柄；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4.冷热接口开孔间距为101mm，采用偏芯设计可微调（15mm）；</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5.开孔尺寸为25mm ，接口为标准4分外螺纹；</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◆生产厂家有购买产品第三方责任险，累计赔偿额不低于200万元。                             ◆产品材质铅的含量≤0.22%并提供相应检测报告复印件。                                           </w:t>
            </w:r>
          </w:p>
        </w:tc>
        <w:tc>
          <w:tcPr>
            <w:tcW w:w="670"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79424" behindDoc="0" locked="0" layoutInCell="1" allowOverlap="1">
                  <wp:simplePos x="0" y="0"/>
                  <wp:positionH relativeFrom="column">
                    <wp:posOffset>190500</wp:posOffset>
                  </wp:positionH>
                  <wp:positionV relativeFrom="paragraph">
                    <wp:posOffset>1024890</wp:posOffset>
                  </wp:positionV>
                  <wp:extent cx="352425" cy="502285"/>
                  <wp:effectExtent l="0" t="0" r="9525" b="12065"/>
                  <wp:wrapNone/>
                  <wp:docPr id="244" name="图片_1_SpCnt_11"/>
                  <wp:cNvGraphicFramePr/>
                  <a:graphic xmlns:a="http://schemas.openxmlformats.org/drawingml/2006/main">
                    <a:graphicData uri="http://schemas.openxmlformats.org/drawingml/2006/picture">
                      <pic:pic xmlns:pic="http://schemas.openxmlformats.org/drawingml/2006/picture">
                        <pic:nvPicPr>
                          <pic:cNvPr id="244" name="图片_1_SpCnt_11"/>
                          <pic:cNvPicPr/>
                        </pic:nvPicPr>
                        <pic:blipFill>
                          <a:blip r:embed="rId181"/>
                          <a:stretch>
                            <a:fillRect/>
                          </a:stretch>
                        </pic:blipFill>
                        <pic:spPr>
                          <a:xfrm>
                            <a:off x="0" y="0"/>
                            <a:ext cx="352425" cy="50228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电热开水器</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SIZE：容量约80L</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说明：整机采用不锈钢打造；内胆简洁大方易清洁；紫铜加热管耐高温、耐腐蚀；设有内胆水位口防止水位过高溢出，满水自停；设有冷热水挡板减少阴阳水；磁吸缺水断电防干烧；可视化温度计；黄铜水龙头。</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80448" behindDoc="0" locked="0" layoutInCell="1" allowOverlap="1">
                  <wp:simplePos x="0" y="0"/>
                  <wp:positionH relativeFrom="column">
                    <wp:posOffset>152400</wp:posOffset>
                  </wp:positionH>
                  <wp:positionV relativeFrom="paragraph">
                    <wp:posOffset>312420</wp:posOffset>
                  </wp:positionV>
                  <wp:extent cx="390525" cy="544830"/>
                  <wp:effectExtent l="0" t="0" r="9525" b="7620"/>
                  <wp:wrapNone/>
                  <wp:docPr id="245" name="Picture_186_SpCnt_2"/>
                  <wp:cNvGraphicFramePr/>
                  <a:graphic xmlns:a="http://schemas.openxmlformats.org/drawingml/2006/main">
                    <a:graphicData uri="http://schemas.openxmlformats.org/drawingml/2006/picture">
                      <pic:pic xmlns:pic="http://schemas.openxmlformats.org/drawingml/2006/picture">
                        <pic:nvPicPr>
                          <pic:cNvPr id="245" name="Picture_186_SpCnt_2"/>
                          <pic:cNvPicPr/>
                        </pic:nvPicPr>
                        <pic:blipFill>
                          <a:blip r:embed="rId182"/>
                          <a:stretch>
                            <a:fillRect/>
                          </a:stretch>
                        </pic:blipFill>
                        <pic:spPr>
                          <a:xfrm>
                            <a:off x="0" y="0"/>
                            <a:ext cx="390525" cy="54483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2a</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开水器底座</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SIZE：适配开水器</w:t>
            </w:r>
          </w:p>
        </w:tc>
        <w:tc>
          <w:tcPr>
            <w:tcW w:w="261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选用SUS304-2B不锈钢板制作，台板厚0.8mm；支架、通脚、可调脚为Φ38不锈钢管，管壁厚1.0mm，配置不锈钢可调脚；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p>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81472" behindDoc="0" locked="0" layoutInCell="1" allowOverlap="1">
                  <wp:simplePos x="0" y="0"/>
                  <wp:positionH relativeFrom="column">
                    <wp:posOffset>180975</wp:posOffset>
                  </wp:positionH>
                  <wp:positionV relativeFrom="paragraph">
                    <wp:posOffset>66675</wp:posOffset>
                  </wp:positionV>
                  <wp:extent cx="342900" cy="332740"/>
                  <wp:effectExtent l="0" t="0" r="0" b="10160"/>
                  <wp:wrapNone/>
                  <wp:docPr id="246" name="图片_48_SpCnt_2"/>
                  <wp:cNvGraphicFramePr/>
                  <a:graphic xmlns:a="http://schemas.openxmlformats.org/drawingml/2006/main">
                    <a:graphicData uri="http://schemas.openxmlformats.org/drawingml/2006/picture">
                      <pic:pic xmlns:pic="http://schemas.openxmlformats.org/drawingml/2006/picture">
                        <pic:nvPicPr>
                          <pic:cNvPr id="246" name="图片_48_SpCnt_2"/>
                          <pic:cNvPicPr/>
                        </pic:nvPicPr>
                        <pic:blipFill>
                          <a:blip r:embed="rId183"/>
                          <a:stretch>
                            <a:fillRect/>
                          </a:stretch>
                        </pic:blipFill>
                        <pic:spPr>
                          <a:xfrm>
                            <a:off x="0" y="0"/>
                            <a:ext cx="342900" cy="33274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48"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SIZE：1200*800*860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选用SUS304-2B不锈钢板制作（包括加强档、筋），下置一层栅档，台面用衬板加强，配置不锈钢可调脚，台面板厚1.0mm。实际规格以配套洗碗机出口尺寸为准。                                                                                      ◆提供生产厂家工作台加档符合GB/T3280-2015《不锈钢冷轧钢板和钢带》的型式检测报告。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82496" behindDoc="0" locked="0" layoutInCell="1" allowOverlap="1">
                  <wp:simplePos x="0" y="0"/>
                  <wp:positionH relativeFrom="column">
                    <wp:posOffset>85725</wp:posOffset>
                  </wp:positionH>
                  <wp:positionV relativeFrom="paragraph">
                    <wp:posOffset>467360</wp:posOffset>
                  </wp:positionV>
                  <wp:extent cx="523875" cy="391795"/>
                  <wp:effectExtent l="0" t="0" r="9525" b="8255"/>
                  <wp:wrapNone/>
                  <wp:docPr id="247" name="Picture_279_SpCnt_1"/>
                  <wp:cNvGraphicFramePr/>
                  <a:graphic xmlns:a="http://schemas.openxmlformats.org/drawingml/2006/main">
                    <a:graphicData uri="http://schemas.openxmlformats.org/drawingml/2006/picture">
                      <pic:pic xmlns:pic="http://schemas.openxmlformats.org/drawingml/2006/picture">
                        <pic:nvPicPr>
                          <pic:cNvPr id="247" name="Picture_279_SpCnt_1"/>
                          <pic:cNvPicPr/>
                        </pic:nvPicPr>
                        <pic:blipFill>
                          <a:blip r:embed="rId184"/>
                          <a:stretch>
                            <a:fillRect/>
                          </a:stretch>
                        </pic:blipFill>
                        <pic:spPr>
                          <a:xfrm>
                            <a:off x="0" y="0"/>
                            <a:ext cx="523875" cy="39179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SIZE：1800*700*800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选用SUS304不锈钢板制作（包括加强档、筋），下置一层栅档，台面用衬板加强，配置不锈钢可调脚，台面板厚1.0mm。                                                                       ◆提供生产厂家工作台加档符合GB/T3280-2015《不锈钢冷轧钢板和钢带》的型式检测报告。  </w:t>
            </w:r>
          </w:p>
        </w:tc>
        <w:tc>
          <w:tcPr>
            <w:tcW w:w="6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83520" behindDoc="0" locked="0" layoutInCell="1" allowOverlap="1">
                  <wp:simplePos x="0" y="0"/>
                  <wp:positionH relativeFrom="column">
                    <wp:posOffset>104775</wp:posOffset>
                  </wp:positionH>
                  <wp:positionV relativeFrom="paragraph">
                    <wp:posOffset>361950</wp:posOffset>
                  </wp:positionV>
                  <wp:extent cx="523875" cy="387985"/>
                  <wp:effectExtent l="0" t="0" r="9525" b="12065"/>
                  <wp:wrapNone/>
                  <wp:docPr id="248" name="Picture_279_SpCnt_2"/>
                  <wp:cNvGraphicFramePr/>
                  <a:graphic xmlns:a="http://schemas.openxmlformats.org/drawingml/2006/main">
                    <a:graphicData uri="http://schemas.openxmlformats.org/drawingml/2006/picture">
                      <pic:pic xmlns:pic="http://schemas.openxmlformats.org/drawingml/2006/picture">
                        <pic:nvPicPr>
                          <pic:cNvPr id="248" name="Picture_279_SpCnt_2"/>
                          <pic:cNvPicPr/>
                        </pic:nvPicPr>
                        <pic:blipFill>
                          <a:blip r:embed="rId185"/>
                          <a:stretch>
                            <a:fillRect/>
                          </a:stretch>
                        </pic:blipFill>
                        <pic:spPr>
                          <a:xfrm>
                            <a:off x="0" y="0"/>
                            <a:ext cx="523875" cy="38798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0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双门热风循环消毒柜</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SIZE：约1300*630*1850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选用优质不锈钢板制作，采用循环热风干式消毒工艺，特制串片式加热器及保温结构，配不锈钢消毒筐。                                                               ◆提供生产厂家门封条通过食品接触安全检测，具备消毒生产许可证，所使用的加热管为304材质并提供检测报告。</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84544" behindDoc="0" locked="0" layoutInCell="1" allowOverlap="1">
                  <wp:simplePos x="0" y="0"/>
                  <wp:positionH relativeFrom="column">
                    <wp:posOffset>104775</wp:posOffset>
                  </wp:positionH>
                  <wp:positionV relativeFrom="paragraph">
                    <wp:posOffset>341630</wp:posOffset>
                  </wp:positionV>
                  <wp:extent cx="552450" cy="597535"/>
                  <wp:effectExtent l="0" t="0" r="0" b="12065"/>
                  <wp:wrapNone/>
                  <wp:docPr id="249" name="Picture_188_SpCnt_1"/>
                  <wp:cNvGraphicFramePr/>
                  <a:graphic xmlns:a="http://schemas.openxmlformats.org/drawingml/2006/main">
                    <a:graphicData uri="http://schemas.openxmlformats.org/drawingml/2006/picture">
                      <pic:pic xmlns:pic="http://schemas.openxmlformats.org/drawingml/2006/picture">
                        <pic:nvPicPr>
                          <pic:cNvPr id="249" name="Picture_188_SpCnt_1"/>
                          <pic:cNvPicPr/>
                        </pic:nvPicPr>
                        <pic:blipFill>
                          <a:blip r:embed="rId186"/>
                          <a:stretch>
                            <a:fillRect/>
                          </a:stretch>
                        </pic:blipFill>
                        <pic:spPr>
                          <a:xfrm>
                            <a:off x="0" y="0"/>
                            <a:ext cx="552450" cy="5975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3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无后档单水池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SIZE：约1500*800*860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选用SUS304不锈钢板制作；支架、通脚、可调脚为Φ38不锈钢管，管壁厚1.0mm，配置不锈钢可调脚，配落水器；带后挡板，台板厚1.0mm；配单星盆；斗深300mm，实际规格以配套洗碗机入口尺寸为准。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85568" behindDoc="0" locked="0" layoutInCell="1" allowOverlap="1">
                  <wp:simplePos x="0" y="0"/>
                  <wp:positionH relativeFrom="column">
                    <wp:posOffset>133350</wp:posOffset>
                  </wp:positionH>
                  <wp:positionV relativeFrom="paragraph">
                    <wp:posOffset>144145</wp:posOffset>
                  </wp:positionV>
                  <wp:extent cx="466725" cy="448310"/>
                  <wp:effectExtent l="0" t="0" r="9525" b="8890"/>
                  <wp:wrapNone/>
                  <wp:docPr id="250" name="Picture_185_SpCnt_4"/>
                  <wp:cNvGraphicFramePr/>
                  <a:graphic xmlns:a="http://schemas.openxmlformats.org/drawingml/2006/main">
                    <a:graphicData uri="http://schemas.openxmlformats.org/drawingml/2006/picture">
                      <pic:pic xmlns:pic="http://schemas.openxmlformats.org/drawingml/2006/picture">
                        <pic:nvPicPr>
                          <pic:cNvPr id="250" name="Picture_185_SpCnt_4"/>
                          <pic:cNvPicPr/>
                        </pic:nvPicPr>
                        <pic:blipFill>
                          <a:blip r:embed="rId187"/>
                          <a:stretch>
                            <a:fillRect/>
                          </a:stretch>
                        </pic:blipFill>
                        <pic:spPr>
                          <a:xfrm>
                            <a:off x="0" y="0"/>
                            <a:ext cx="466725" cy="44831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945" w:hRule="atLeast"/>
          <w:jc w:val="center"/>
        </w:trPr>
        <w:tc>
          <w:tcPr>
            <w:tcW w:w="72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6a</w:t>
            </w:r>
          </w:p>
        </w:tc>
        <w:tc>
          <w:tcPr>
            <w:tcW w:w="1533"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高抛混合龙头</w:t>
            </w:r>
          </w:p>
        </w:tc>
        <w:tc>
          <w:tcPr>
            <w:tcW w:w="1471"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1.座台式安装，双孔双温鹅颈水嘴</w:t>
            </w:r>
            <w:r>
              <w:rPr>
                <w:rFonts w:hint="eastAsia" w:ascii="宋体" w:hAnsi="宋体" w:cs="宋体"/>
                <w:color w:val="000000"/>
                <w:kern w:val="0"/>
                <w:sz w:val="24"/>
                <w:lang w:eastAsia="zh-CN" w:bidi="ar"/>
              </w:rPr>
              <w:t>；</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eastAsia="zh-CN" w:bidi="ar"/>
              </w:rPr>
              <w:t>；</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3.配1/4转优质陶瓷阀芯一字型手柄；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4.冷热接口开孔间距为101mm，采用偏芯设计可微调（15mm）；</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5.开孔尺寸为25mm ，接口为标准4分外螺纹；</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◆产品材质铅的含量≤0.22%并提供相应检测报告复印件。                                           </w:t>
            </w:r>
          </w:p>
        </w:tc>
        <w:tc>
          <w:tcPr>
            <w:tcW w:w="670"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86592" behindDoc="0" locked="0" layoutInCell="1" allowOverlap="1">
                  <wp:simplePos x="0" y="0"/>
                  <wp:positionH relativeFrom="column">
                    <wp:posOffset>171450</wp:posOffset>
                  </wp:positionH>
                  <wp:positionV relativeFrom="paragraph">
                    <wp:posOffset>1062355</wp:posOffset>
                  </wp:positionV>
                  <wp:extent cx="381000" cy="493395"/>
                  <wp:effectExtent l="0" t="0" r="0" b="1905"/>
                  <wp:wrapNone/>
                  <wp:docPr id="251" name="图片_1_SpCnt_12"/>
                  <wp:cNvGraphicFramePr/>
                  <a:graphic xmlns:a="http://schemas.openxmlformats.org/drawingml/2006/main">
                    <a:graphicData uri="http://schemas.openxmlformats.org/drawingml/2006/picture">
                      <pic:pic xmlns:pic="http://schemas.openxmlformats.org/drawingml/2006/picture">
                        <pic:nvPicPr>
                          <pic:cNvPr id="251" name="图片_1_SpCnt_12"/>
                          <pic:cNvPicPr/>
                        </pic:nvPicPr>
                        <pic:blipFill>
                          <a:blip r:embed="rId188"/>
                          <a:stretch>
                            <a:fillRect/>
                          </a:stretch>
                        </pic:blipFill>
                        <pic:spPr>
                          <a:xfrm>
                            <a:off x="0" y="0"/>
                            <a:ext cx="381000" cy="49339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7" w:hRule="atLeast"/>
          <w:jc w:val="center"/>
        </w:trPr>
        <w:tc>
          <w:tcPr>
            <w:tcW w:w="72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w:t>
            </w:r>
          </w:p>
        </w:tc>
        <w:tc>
          <w:tcPr>
            <w:tcW w:w="153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长龙式洗碗机</w:t>
            </w:r>
          </w:p>
        </w:tc>
        <w:tc>
          <w:tcPr>
            <w:tcW w:w="147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SIZE：约4450*910*2130</w:t>
            </w:r>
          </w:p>
        </w:tc>
        <w:tc>
          <w:tcPr>
            <w:tcW w:w="261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1</w:t>
            </w:r>
            <w:r>
              <w:rPr>
                <w:rFonts w:hint="eastAsia" w:ascii="宋体" w:hAnsi="宋体" w:cs="宋体"/>
                <w:color w:val="000000"/>
                <w:kern w:val="0"/>
                <w:sz w:val="24"/>
                <w:lang w:val="en-US" w:eastAsia="zh-CN" w:bidi="ar"/>
              </w:rPr>
              <w:t>.</w:t>
            </w:r>
            <w:r>
              <w:rPr>
                <w:rFonts w:hint="eastAsia" w:ascii="宋体" w:hAnsi="宋体" w:cs="宋体"/>
                <w:color w:val="000000"/>
                <w:kern w:val="0"/>
                <w:sz w:val="24"/>
                <w:lang w:bidi="ar"/>
              </w:rPr>
              <w:t>产品功能：全自动传送餐具，对碗碟等餐具进行洗涤、漂洗和烘干。</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w:t>
            </w:r>
            <w:r>
              <w:rPr>
                <w:rFonts w:hint="eastAsia" w:ascii="宋体" w:hAnsi="宋体" w:cs="宋体"/>
                <w:color w:val="000000"/>
                <w:kern w:val="0"/>
                <w:sz w:val="24"/>
                <w:lang w:val="en-US" w:eastAsia="zh-CN" w:bidi="ar"/>
              </w:rPr>
              <w:t>.</w:t>
            </w:r>
            <w:r>
              <w:rPr>
                <w:rFonts w:hint="eastAsia" w:ascii="宋体" w:hAnsi="宋体" w:cs="宋体"/>
                <w:color w:val="000000"/>
                <w:kern w:val="0"/>
                <w:sz w:val="24"/>
                <w:lang w:bidi="ar"/>
              </w:rPr>
              <w:t>组成部分：入口区、清洗区、漂洗区、烘干区和出口区。</w:t>
            </w:r>
            <w:r>
              <w:rPr>
                <w:rFonts w:hint="eastAsia" w:ascii="宋体" w:hAnsi="宋体" w:cs="宋体"/>
                <w:color w:val="000000"/>
                <w:kern w:val="0"/>
                <w:sz w:val="24"/>
                <w:lang w:bidi="ar"/>
              </w:rPr>
              <w:br w:type="textWrapping"/>
            </w:r>
            <w:r>
              <w:rPr>
                <w:rFonts w:hint="eastAsia" w:ascii="宋体" w:hAnsi="宋体" w:cs="宋体"/>
                <w:color w:val="000000"/>
                <w:kern w:val="0"/>
                <w:sz w:val="24"/>
                <w:lang w:val="en-US" w:eastAsia="zh-CN" w:bidi="ar"/>
              </w:rPr>
              <w:t>3.</w:t>
            </w:r>
            <w:r>
              <w:rPr>
                <w:rFonts w:hint="eastAsia" w:ascii="宋体" w:hAnsi="宋体" w:cs="宋体"/>
                <w:color w:val="000000"/>
                <w:kern w:val="0"/>
                <w:sz w:val="24"/>
                <w:lang w:bidi="ar"/>
              </w:rPr>
              <w:t>洗涤能力：约5100碟/小时。</w:t>
            </w:r>
            <w:r>
              <w:rPr>
                <w:rFonts w:hint="eastAsia" w:ascii="宋体" w:hAnsi="宋体" w:cs="宋体"/>
                <w:color w:val="000000"/>
                <w:kern w:val="0"/>
                <w:sz w:val="24"/>
                <w:lang w:bidi="ar"/>
              </w:rPr>
              <w:br w:type="textWrapping"/>
            </w:r>
            <w:r>
              <w:rPr>
                <w:rFonts w:hint="eastAsia" w:ascii="宋体" w:hAnsi="宋体" w:cs="宋体"/>
                <w:color w:val="000000"/>
                <w:kern w:val="0"/>
                <w:sz w:val="24"/>
                <w:lang w:val="en-US" w:eastAsia="zh-CN" w:bidi="ar"/>
              </w:rPr>
              <w:t>4.</w:t>
            </w:r>
            <w:r>
              <w:rPr>
                <w:rFonts w:hint="eastAsia" w:ascii="宋体" w:hAnsi="宋体" w:cs="宋体"/>
                <w:color w:val="000000"/>
                <w:kern w:val="0"/>
                <w:sz w:val="24"/>
                <w:lang w:bidi="ar"/>
              </w:rPr>
              <w:t>最大耗水量：约280升/小时。</w:t>
            </w:r>
            <w:r>
              <w:rPr>
                <w:rFonts w:hint="eastAsia" w:ascii="宋体" w:hAnsi="宋体" w:cs="宋体"/>
                <w:color w:val="000000"/>
                <w:kern w:val="0"/>
                <w:sz w:val="24"/>
                <w:lang w:bidi="ar"/>
              </w:rPr>
              <w:br w:type="textWrapping"/>
            </w:r>
            <w:r>
              <w:rPr>
                <w:rFonts w:hint="eastAsia" w:ascii="宋体" w:hAnsi="宋体" w:cs="宋体"/>
                <w:color w:val="000000"/>
                <w:kern w:val="0"/>
                <w:sz w:val="24"/>
                <w:lang w:val="en-US" w:eastAsia="zh-CN" w:bidi="ar"/>
              </w:rPr>
              <w:t>5.</w:t>
            </w:r>
            <w:r>
              <w:rPr>
                <w:rFonts w:hint="eastAsia" w:ascii="宋体" w:hAnsi="宋体" w:cs="宋体"/>
                <w:color w:val="000000"/>
                <w:kern w:val="0"/>
                <w:sz w:val="24"/>
                <w:lang w:bidi="ar"/>
              </w:rPr>
              <w:t xml:space="preserve">总功率：约380V/45KW。                                                                            </w:t>
            </w:r>
            <w:r>
              <w:rPr>
                <w:rFonts w:hint="eastAsia" w:ascii="宋体" w:hAnsi="宋体" w:cs="宋体"/>
                <w:color w:val="000000"/>
                <w:kern w:val="0"/>
                <w:sz w:val="24"/>
                <w:lang w:bidi="ar"/>
              </w:rPr>
              <w:br w:type="textWrapping"/>
            </w:r>
            <w:r>
              <w:rPr>
                <w:rFonts w:hint="eastAsia" w:ascii="宋体" w:hAnsi="宋体" w:cs="宋体"/>
                <w:color w:val="000000"/>
                <w:kern w:val="0"/>
                <w:sz w:val="24"/>
                <w:lang w:val="en-US" w:eastAsia="zh-CN" w:bidi="ar"/>
              </w:rPr>
              <w:t>6.</w:t>
            </w:r>
            <w:r>
              <w:rPr>
                <w:rFonts w:hint="eastAsia" w:ascii="宋体" w:hAnsi="宋体" w:cs="宋体"/>
                <w:color w:val="000000"/>
                <w:kern w:val="0"/>
                <w:sz w:val="24"/>
                <w:lang w:bidi="ar"/>
              </w:rPr>
              <w:t xml:space="preserve">整机双层结构，节能降噪，改善操作环境。                                                                  </w:t>
            </w:r>
            <w:r>
              <w:rPr>
                <w:rFonts w:hint="eastAsia" w:ascii="宋体" w:hAnsi="宋体" w:cs="宋体"/>
                <w:color w:val="000000"/>
                <w:kern w:val="0"/>
                <w:sz w:val="24"/>
                <w:lang w:bidi="ar"/>
              </w:rPr>
              <w:br w:type="textWrapping"/>
            </w:r>
            <w:r>
              <w:rPr>
                <w:rFonts w:hint="eastAsia" w:ascii="宋体" w:hAnsi="宋体" w:cs="宋体"/>
                <w:color w:val="000000"/>
                <w:kern w:val="0"/>
                <w:sz w:val="24"/>
                <w:lang w:val="en-US" w:eastAsia="zh-CN" w:bidi="ar"/>
              </w:rPr>
              <w:t>7.</w:t>
            </w:r>
            <w:r>
              <w:rPr>
                <w:rFonts w:hint="eastAsia" w:ascii="宋体" w:hAnsi="宋体" w:cs="宋体"/>
                <w:color w:val="000000"/>
                <w:kern w:val="0"/>
                <w:sz w:val="24"/>
                <w:lang w:bidi="ar"/>
              </w:rPr>
              <w:t>可视化电子面板，实时显示机器工作状态。</w:t>
            </w:r>
            <w:r>
              <w:rPr>
                <w:rFonts w:hint="eastAsia" w:ascii="宋体" w:hAnsi="宋体" w:cs="宋体"/>
                <w:color w:val="000000"/>
                <w:kern w:val="0"/>
                <w:sz w:val="24"/>
                <w:lang w:bidi="ar"/>
              </w:rPr>
              <w:br w:type="textWrapping"/>
            </w:r>
            <w:r>
              <w:rPr>
                <w:rFonts w:hint="eastAsia" w:ascii="宋体" w:hAnsi="宋体" w:cs="宋体"/>
                <w:color w:val="000000"/>
                <w:kern w:val="0"/>
                <w:sz w:val="24"/>
                <w:lang w:val="en-US" w:eastAsia="zh-CN" w:bidi="ar"/>
              </w:rPr>
              <w:t>8.</w:t>
            </w:r>
            <w:r>
              <w:rPr>
                <w:rFonts w:hint="eastAsia" w:ascii="宋体" w:hAnsi="宋体" w:cs="宋体"/>
                <w:color w:val="000000"/>
                <w:kern w:val="0"/>
                <w:sz w:val="24"/>
                <w:lang w:bidi="ar"/>
              </w:rPr>
              <w:t>双速可选洗涤速度，可根据餐具情况自由切换。</w:t>
            </w:r>
            <w:r>
              <w:rPr>
                <w:rFonts w:hint="eastAsia" w:ascii="宋体" w:hAnsi="宋体" w:cs="宋体"/>
                <w:color w:val="000000"/>
                <w:kern w:val="0"/>
                <w:sz w:val="24"/>
                <w:lang w:bidi="ar"/>
              </w:rPr>
              <w:br w:type="textWrapping"/>
            </w:r>
            <w:r>
              <w:rPr>
                <w:rFonts w:hint="eastAsia" w:ascii="宋体" w:hAnsi="宋体" w:cs="宋体"/>
                <w:color w:val="000000"/>
                <w:kern w:val="0"/>
                <w:sz w:val="24"/>
                <w:lang w:val="en-US" w:eastAsia="zh-CN" w:bidi="ar"/>
              </w:rPr>
              <w:t>9.</w:t>
            </w:r>
            <w:r>
              <w:rPr>
                <w:rFonts w:hint="eastAsia" w:ascii="宋体" w:hAnsi="宋体" w:cs="宋体"/>
                <w:color w:val="000000"/>
                <w:kern w:val="0"/>
                <w:sz w:val="24"/>
                <w:lang w:bidi="ar"/>
              </w:rPr>
              <w:t>进出口端配置操作开关，方便操作人员控制机器的运行。</w:t>
            </w:r>
            <w:r>
              <w:rPr>
                <w:rFonts w:hint="eastAsia" w:ascii="宋体" w:hAnsi="宋体" w:cs="宋体"/>
                <w:color w:val="000000"/>
                <w:kern w:val="0"/>
                <w:sz w:val="24"/>
                <w:lang w:bidi="ar"/>
              </w:rPr>
              <w:br w:type="textWrapping"/>
            </w:r>
            <w:r>
              <w:rPr>
                <w:rFonts w:hint="eastAsia" w:ascii="宋体" w:hAnsi="宋体" w:cs="宋体"/>
                <w:color w:val="000000"/>
                <w:kern w:val="0"/>
                <w:sz w:val="24"/>
                <w:lang w:val="en-US" w:eastAsia="zh-CN" w:bidi="ar"/>
              </w:rPr>
              <w:t>10.</w:t>
            </w:r>
            <w:r>
              <w:rPr>
                <w:rFonts w:hint="eastAsia" w:ascii="宋体" w:hAnsi="宋体" w:cs="宋体"/>
                <w:color w:val="000000"/>
                <w:kern w:val="0"/>
                <w:sz w:val="24"/>
                <w:lang w:bidi="ar"/>
              </w:rPr>
              <w:t>主洗内置截流片，洗臂水压可灵活调节。</w:t>
            </w:r>
            <w:r>
              <w:rPr>
                <w:rFonts w:hint="eastAsia" w:ascii="宋体" w:hAnsi="宋体" w:cs="宋体"/>
                <w:color w:val="000000"/>
                <w:kern w:val="0"/>
                <w:sz w:val="24"/>
                <w:lang w:bidi="ar"/>
              </w:rPr>
              <w:br w:type="textWrapping"/>
            </w:r>
            <w:r>
              <w:rPr>
                <w:rFonts w:hint="eastAsia" w:ascii="宋体" w:hAnsi="宋体" w:cs="宋体"/>
                <w:color w:val="000000"/>
                <w:kern w:val="0"/>
                <w:sz w:val="24"/>
                <w:lang w:val="en-US" w:eastAsia="zh-CN" w:bidi="ar"/>
              </w:rPr>
              <w:t>11.</w:t>
            </w:r>
            <w:r>
              <w:rPr>
                <w:rFonts w:hint="eastAsia" w:ascii="宋体" w:hAnsi="宋体" w:cs="宋体"/>
                <w:color w:val="000000"/>
                <w:kern w:val="0"/>
                <w:sz w:val="24"/>
                <w:lang w:bidi="ar"/>
              </w:rPr>
              <w:t>直插式清洗臂设计，拆装更便捷。</w:t>
            </w:r>
            <w:r>
              <w:rPr>
                <w:rFonts w:hint="eastAsia" w:ascii="宋体" w:hAnsi="宋体" w:cs="宋体"/>
                <w:color w:val="000000"/>
                <w:kern w:val="0"/>
                <w:sz w:val="24"/>
                <w:lang w:bidi="ar"/>
              </w:rPr>
              <w:br w:type="textWrapping"/>
            </w:r>
            <w:r>
              <w:rPr>
                <w:rFonts w:hint="eastAsia" w:ascii="宋体" w:hAnsi="宋体" w:cs="宋体"/>
                <w:color w:val="000000"/>
                <w:kern w:val="0"/>
                <w:sz w:val="24"/>
                <w:lang w:val="en-US" w:eastAsia="zh-CN" w:bidi="ar"/>
              </w:rPr>
              <w:t>12.</w:t>
            </w:r>
            <w:r>
              <w:rPr>
                <w:rFonts w:hint="eastAsia" w:ascii="宋体" w:hAnsi="宋体" w:cs="宋体"/>
                <w:color w:val="000000"/>
                <w:kern w:val="0"/>
                <w:sz w:val="24"/>
                <w:lang w:bidi="ar"/>
              </w:rPr>
              <w:t>链排双齿轮传动设计，最大限度降低链排的磨损。</w:t>
            </w:r>
            <w:r>
              <w:rPr>
                <w:rFonts w:hint="eastAsia" w:ascii="宋体" w:hAnsi="宋体" w:cs="宋体"/>
                <w:color w:val="000000"/>
                <w:kern w:val="0"/>
                <w:sz w:val="24"/>
                <w:lang w:bidi="ar"/>
              </w:rPr>
              <w:br w:type="textWrapping"/>
            </w:r>
            <w:r>
              <w:rPr>
                <w:rFonts w:hint="eastAsia" w:ascii="宋体" w:hAnsi="宋体" w:cs="宋体"/>
                <w:color w:val="000000"/>
                <w:kern w:val="0"/>
                <w:sz w:val="24"/>
                <w:lang w:val="en-US" w:eastAsia="zh-CN" w:bidi="ar"/>
              </w:rPr>
              <w:t>13.</w:t>
            </w:r>
            <w:r>
              <w:rPr>
                <w:rFonts w:hint="eastAsia" w:ascii="宋体" w:hAnsi="宋体" w:cs="宋体"/>
                <w:color w:val="000000"/>
                <w:kern w:val="0"/>
                <w:sz w:val="24"/>
                <w:lang w:bidi="ar"/>
              </w:rPr>
              <w:t>光电感应自动检测传送履带，进一步降低能耗。</w:t>
            </w:r>
            <w:r>
              <w:rPr>
                <w:rFonts w:hint="eastAsia" w:ascii="宋体" w:hAnsi="宋体" w:cs="宋体"/>
                <w:color w:val="000000"/>
                <w:kern w:val="0"/>
                <w:sz w:val="24"/>
                <w:lang w:bidi="ar"/>
              </w:rPr>
              <w:br w:type="textWrapping"/>
            </w:r>
            <w:r>
              <w:rPr>
                <w:rFonts w:hint="eastAsia" w:ascii="宋体" w:hAnsi="宋体" w:cs="宋体"/>
                <w:color w:val="000000"/>
                <w:kern w:val="0"/>
                <w:sz w:val="24"/>
                <w:lang w:val="en-US" w:eastAsia="zh-CN" w:bidi="ar"/>
              </w:rPr>
              <w:t>14.</w:t>
            </w:r>
            <w:r>
              <w:rPr>
                <w:rFonts w:hint="eastAsia" w:ascii="宋体" w:hAnsi="宋体" w:cs="宋体"/>
                <w:color w:val="000000"/>
                <w:kern w:val="0"/>
                <w:sz w:val="24"/>
                <w:lang w:bidi="ar"/>
              </w:rPr>
              <w:t>内循环环绕热风烘干设计，干燥效果更佳。                                                   控制箱要求：</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尺寸:783*690*223mm ;控制箱置于机器顶部，节省空间；控制箱配置可视化电子面板，实时显示机器工作状态；                                            </w:t>
            </w:r>
          </w:p>
        </w:tc>
        <w:tc>
          <w:tcPr>
            <w:tcW w:w="67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rPr>
              <w:drawing>
                <wp:anchor distT="0" distB="0" distL="114300" distR="114300" simplePos="0" relativeHeight="251887616" behindDoc="0" locked="0" layoutInCell="1" allowOverlap="1">
                  <wp:simplePos x="0" y="0"/>
                  <wp:positionH relativeFrom="column">
                    <wp:posOffset>57150</wp:posOffset>
                  </wp:positionH>
                  <wp:positionV relativeFrom="paragraph">
                    <wp:posOffset>1925320</wp:posOffset>
                  </wp:positionV>
                  <wp:extent cx="591185" cy="401955"/>
                  <wp:effectExtent l="0" t="0" r="18415" b="17145"/>
                  <wp:wrapNone/>
                  <wp:docPr id="252" name="图片_194_SpCnt_1"/>
                  <wp:cNvGraphicFramePr/>
                  <a:graphic xmlns:a="http://schemas.openxmlformats.org/drawingml/2006/main">
                    <a:graphicData uri="http://schemas.openxmlformats.org/drawingml/2006/picture">
                      <pic:pic xmlns:pic="http://schemas.openxmlformats.org/drawingml/2006/picture">
                        <pic:nvPicPr>
                          <pic:cNvPr id="252" name="图片_194_SpCnt_1"/>
                          <pic:cNvPicPr/>
                        </pic:nvPicPr>
                        <pic:blipFill>
                          <a:blip r:embed="rId189"/>
                          <a:stretch>
                            <a:fillRect/>
                          </a:stretch>
                        </pic:blipFill>
                        <pic:spPr>
                          <a:xfrm>
                            <a:off x="0" y="0"/>
                            <a:ext cx="591185" cy="40195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55" w:hRule="atLeast"/>
          <w:jc w:val="center"/>
        </w:trPr>
        <w:tc>
          <w:tcPr>
            <w:tcW w:w="725"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7a</w:t>
            </w:r>
          </w:p>
        </w:tc>
        <w:tc>
          <w:tcPr>
            <w:tcW w:w="1533"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洗碗机洗涤剂分配器</w:t>
            </w:r>
          </w:p>
        </w:tc>
        <w:tc>
          <w:tcPr>
            <w:tcW w:w="1471"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洗碗机分配器，用于洗碗机，洗涤剂及催干剂的分配。</w:t>
            </w:r>
          </w:p>
        </w:tc>
        <w:tc>
          <w:tcPr>
            <w:tcW w:w="670"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套</w:t>
            </w:r>
          </w:p>
        </w:tc>
        <w:tc>
          <w:tcPr>
            <w:tcW w:w="555"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88640" behindDoc="0" locked="0" layoutInCell="1" allowOverlap="1">
                  <wp:simplePos x="0" y="0"/>
                  <wp:positionH relativeFrom="column">
                    <wp:posOffset>142875</wp:posOffset>
                  </wp:positionH>
                  <wp:positionV relativeFrom="paragraph">
                    <wp:posOffset>66040</wp:posOffset>
                  </wp:positionV>
                  <wp:extent cx="400050" cy="400685"/>
                  <wp:effectExtent l="0" t="0" r="0" b="18415"/>
                  <wp:wrapNone/>
                  <wp:docPr id="253" name="图片_109_SpCnt_1"/>
                  <wp:cNvGraphicFramePr/>
                  <a:graphic xmlns:a="http://schemas.openxmlformats.org/drawingml/2006/main">
                    <a:graphicData uri="http://schemas.openxmlformats.org/drawingml/2006/picture">
                      <pic:pic xmlns:pic="http://schemas.openxmlformats.org/drawingml/2006/picture">
                        <pic:nvPicPr>
                          <pic:cNvPr id="253" name="图片_109_SpCnt_1"/>
                          <pic:cNvPicPr/>
                        </pic:nvPicPr>
                        <pic:blipFill>
                          <a:blip r:embed="rId190"/>
                          <a:stretch>
                            <a:fillRect/>
                          </a:stretch>
                        </pic:blipFill>
                        <pic:spPr>
                          <a:xfrm>
                            <a:off x="0" y="0"/>
                            <a:ext cx="400050" cy="40068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11"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7b</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洗碗机用清洁剂</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SIZE：20L</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本品含高浓缩强碱，可将餐具上的残留污渍彻底洗净。具有除菌作用，确保餐具光洁卫生。</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桶</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89664" behindDoc="0" locked="0" layoutInCell="1" allowOverlap="1">
                  <wp:simplePos x="0" y="0"/>
                  <wp:positionH relativeFrom="column">
                    <wp:posOffset>133350</wp:posOffset>
                  </wp:positionH>
                  <wp:positionV relativeFrom="paragraph">
                    <wp:posOffset>57785</wp:posOffset>
                  </wp:positionV>
                  <wp:extent cx="409575" cy="438150"/>
                  <wp:effectExtent l="0" t="0" r="9525" b="0"/>
                  <wp:wrapNone/>
                  <wp:docPr id="254" name="图片_107_SpCnt_1"/>
                  <wp:cNvGraphicFramePr/>
                  <a:graphic xmlns:a="http://schemas.openxmlformats.org/drawingml/2006/main">
                    <a:graphicData uri="http://schemas.openxmlformats.org/drawingml/2006/picture">
                      <pic:pic xmlns:pic="http://schemas.openxmlformats.org/drawingml/2006/picture">
                        <pic:nvPicPr>
                          <pic:cNvPr id="254" name="图片_107_SpCnt_1"/>
                          <pic:cNvPicPr/>
                        </pic:nvPicPr>
                        <pic:blipFill>
                          <a:blip r:embed="rId191"/>
                          <a:stretch>
                            <a:fillRect/>
                          </a:stretch>
                        </pic:blipFill>
                        <pic:spPr>
                          <a:xfrm>
                            <a:off x="0" y="0"/>
                            <a:ext cx="409575" cy="4381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3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7c</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洗碗机用催干剂</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SIZE：20L</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本品含多种有效成分，用于洗碗机最后过水，使餐具快速干燥。由于快速干燥，无须用布擦拭，减少了细菌的感染机会。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桶</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90688" behindDoc="0" locked="0" layoutInCell="1" allowOverlap="1">
                  <wp:simplePos x="0" y="0"/>
                  <wp:positionH relativeFrom="column">
                    <wp:posOffset>161925</wp:posOffset>
                  </wp:positionH>
                  <wp:positionV relativeFrom="paragraph">
                    <wp:posOffset>200660</wp:posOffset>
                  </wp:positionV>
                  <wp:extent cx="381000" cy="448945"/>
                  <wp:effectExtent l="0" t="0" r="0" b="8255"/>
                  <wp:wrapNone/>
                  <wp:docPr id="255" name="图片_106_SpCnt_1"/>
                  <wp:cNvGraphicFramePr/>
                  <a:graphic xmlns:a="http://schemas.openxmlformats.org/drawingml/2006/main">
                    <a:graphicData uri="http://schemas.openxmlformats.org/drawingml/2006/picture">
                      <pic:pic xmlns:pic="http://schemas.openxmlformats.org/drawingml/2006/picture">
                        <pic:nvPicPr>
                          <pic:cNvPr id="255" name="图片_106_SpCnt_1"/>
                          <pic:cNvPicPr/>
                        </pic:nvPicPr>
                        <pic:blipFill>
                          <a:blip r:embed="rId192"/>
                          <a:stretch>
                            <a:fillRect/>
                          </a:stretch>
                        </pic:blipFill>
                        <pic:spPr>
                          <a:xfrm>
                            <a:off x="0" y="0"/>
                            <a:ext cx="381000" cy="44894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3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集汽罩（洗碗）</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SIZE：约6.84m</w:t>
            </w:r>
            <w:r>
              <w:rPr>
                <w:rFonts w:hint="eastAsia" w:ascii="宋体" w:hAnsi="宋体" w:cs="宋体"/>
                <w:color w:val="000000"/>
                <w:kern w:val="0"/>
                <w:sz w:val="24"/>
                <w:vertAlign w:val="superscript"/>
                <w:lang w:bidi="ar"/>
              </w:rPr>
              <w:t>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选用优质不锈钢板制作，板厚0.8mm，防爆灯。</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6.84</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91712" behindDoc="0" locked="0" layoutInCell="1" allowOverlap="1">
                  <wp:simplePos x="0" y="0"/>
                  <wp:positionH relativeFrom="column">
                    <wp:posOffset>95885</wp:posOffset>
                  </wp:positionH>
                  <wp:positionV relativeFrom="paragraph">
                    <wp:posOffset>85725</wp:posOffset>
                  </wp:positionV>
                  <wp:extent cx="523875" cy="286385"/>
                  <wp:effectExtent l="0" t="0" r="9525" b="18415"/>
                  <wp:wrapNone/>
                  <wp:docPr id="256" name="Picture_258_SpCnt_1"/>
                  <wp:cNvGraphicFramePr/>
                  <a:graphic xmlns:a="http://schemas.openxmlformats.org/drawingml/2006/main">
                    <a:graphicData uri="http://schemas.openxmlformats.org/drawingml/2006/picture">
                      <pic:pic xmlns:pic="http://schemas.openxmlformats.org/drawingml/2006/picture">
                        <pic:nvPicPr>
                          <pic:cNvPr id="256" name="Picture_258_SpCnt_1"/>
                          <pic:cNvPicPr/>
                        </pic:nvPicPr>
                        <pic:blipFill>
                          <a:blip r:embed="rId193"/>
                          <a:stretch>
                            <a:fillRect/>
                          </a:stretch>
                        </pic:blipFill>
                        <pic:spPr>
                          <a:xfrm>
                            <a:off x="0" y="0"/>
                            <a:ext cx="523875" cy="28638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残食桌加档（无后档板）</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SIZE：1500*800*860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选用SUS304不锈钢板制作（包括加强档、筋），下置一层栅档，台面用衬板加强，配置不锈钢可调脚，台面板厚1.0mm。（实际规格以配套无后档单水池尺寸为准）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92736" behindDoc="0" locked="0" layoutInCell="1" allowOverlap="1">
                  <wp:simplePos x="0" y="0"/>
                  <wp:positionH relativeFrom="column">
                    <wp:posOffset>76200</wp:posOffset>
                  </wp:positionH>
                  <wp:positionV relativeFrom="paragraph">
                    <wp:posOffset>133985</wp:posOffset>
                  </wp:positionV>
                  <wp:extent cx="542290" cy="418465"/>
                  <wp:effectExtent l="0" t="0" r="10160" b="635"/>
                  <wp:wrapNone/>
                  <wp:docPr id="257" name="图片_184_SpCnt_6"/>
                  <wp:cNvGraphicFramePr/>
                  <a:graphic xmlns:a="http://schemas.openxmlformats.org/drawingml/2006/main">
                    <a:graphicData uri="http://schemas.openxmlformats.org/drawingml/2006/picture">
                      <pic:pic xmlns:pic="http://schemas.openxmlformats.org/drawingml/2006/picture">
                        <pic:nvPicPr>
                          <pic:cNvPr id="257" name="图片_184_SpCnt_6"/>
                          <pic:cNvPicPr/>
                        </pic:nvPicPr>
                        <pic:blipFill>
                          <a:blip r:embed="rId194"/>
                          <a:stretch>
                            <a:fillRect/>
                          </a:stretch>
                        </pic:blipFill>
                        <pic:spPr>
                          <a:xfrm>
                            <a:off x="0" y="0"/>
                            <a:ext cx="542290" cy="41846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10</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四层货架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选用SUS304不锈钢制作，搁档采用约0.8mm不锈钢复边成条状，配置不锈钢可调脚，不锈钢封口盖加厚型圆管制作；格栅型。</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93760" behindDoc="0" locked="0" layoutInCell="1" allowOverlap="1">
                  <wp:simplePos x="0" y="0"/>
                  <wp:positionH relativeFrom="column">
                    <wp:posOffset>171450</wp:posOffset>
                  </wp:positionH>
                  <wp:positionV relativeFrom="paragraph">
                    <wp:posOffset>46990</wp:posOffset>
                  </wp:positionV>
                  <wp:extent cx="371475" cy="495300"/>
                  <wp:effectExtent l="0" t="0" r="9525" b="0"/>
                  <wp:wrapNone/>
                  <wp:docPr id="258" name="Picture_1_SpCnt_6"/>
                  <wp:cNvGraphicFramePr/>
                  <a:graphic xmlns:a="http://schemas.openxmlformats.org/drawingml/2006/main">
                    <a:graphicData uri="http://schemas.openxmlformats.org/drawingml/2006/picture">
                      <pic:pic xmlns:pic="http://schemas.openxmlformats.org/drawingml/2006/picture">
                        <pic:nvPicPr>
                          <pic:cNvPr id="258" name="Picture_1_SpCnt_6"/>
                          <pic:cNvPicPr/>
                        </pic:nvPicPr>
                        <pic:blipFill>
                          <a:blip r:embed="rId195"/>
                          <a:stretch>
                            <a:fillRect/>
                          </a:stretch>
                        </pic:blipFill>
                        <pic:spPr>
                          <a:xfrm>
                            <a:off x="0" y="0"/>
                            <a:ext cx="371475" cy="4953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残食桌加档（带后档板）</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SIZE：1800*700*800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选用SUS304不锈钢板制作（包括加强档、筋），下置一层栅档，台面用衬板加强，配置不锈钢可调脚，台面板厚1.0mm。（最终规格按现场实际空间实量为准）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94784" behindDoc="0" locked="0" layoutInCell="1" allowOverlap="1">
                  <wp:simplePos x="0" y="0"/>
                  <wp:positionH relativeFrom="column">
                    <wp:posOffset>66675</wp:posOffset>
                  </wp:positionH>
                  <wp:positionV relativeFrom="paragraph">
                    <wp:posOffset>170180</wp:posOffset>
                  </wp:positionV>
                  <wp:extent cx="553085" cy="429895"/>
                  <wp:effectExtent l="0" t="0" r="18415" b="8255"/>
                  <wp:wrapNone/>
                  <wp:docPr id="259" name="图片_184_SpCnt_7"/>
                  <wp:cNvGraphicFramePr/>
                  <a:graphic xmlns:a="http://schemas.openxmlformats.org/drawingml/2006/main">
                    <a:graphicData uri="http://schemas.openxmlformats.org/drawingml/2006/picture">
                      <pic:pic xmlns:pic="http://schemas.openxmlformats.org/drawingml/2006/picture">
                        <pic:nvPicPr>
                          <pic:cNvPr id="259" name="图片_184_SpCnt_7"/>
                          <pic:cNvPicPr/>
                        </pic:nvPicPr>
                        <pic:blipFill>
                          <a:blip r:embed="rId196"/>
                          <a:stretch>
                            <a:fillRect/>
                          </a:stretch>
                        </pic:blipFill>
                        <pic:spPr>
                          <a:xfrm>
                            <a:off x="0" y="0"/>
                            <a:ext cx="553085" cy="42989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7"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冲地龙头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开放式洗地龙头、碳钢主体，表面环氧喷涂处理（浅蓝色）；                                      固定侧支架钢板厚度5mm，黄铜进水主体；                                                   10.8米重工无痕三层液压钢丝管（蓝色）、与主体接口为金属连接件、耐温85度；                                                                 黄铜铸造枪式喷头、配有橡胶保护套水压可调。（配置一把喷头）；                                                                                  进水接口为标准1/2"外螺纹；                                                                  ◆生产厂家有购买产品第三方责任险，累计赔偿额不低于200万元。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nil"/>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rPr>
              <w:drawing>
                <wp:anchor distT="0" distB="0" distL="114300" distR="114300" simplePos="0" relativeHeight="251895808" behindDoc="0" locked="0" layoutInCell="1" allowOverlap="1">
                  <wp:simplePos x="0" y="0"/>
                  <wp:positionH relativeFrom="column">
                    <wp:posOffset>161925</wp:posOffset>
                  </wp:positionH>
                  <wp:positionV relativeFrom="paragraph">
                    <wp:posOffset>964565</wp:posOffset>
                  </wp:positionV>
                  <wp:extent cx="409575" cy="419735"/>
                  <wp:effectExtent l="0" t="0" r="9525" b="18415"/>
                  <wp:wrapNone/>
                  <wp:docPr id="260" name="Picture_1165_SpCnt_5"/>
                  <wp:cNvGraphicFramePr/>
                  <a:graphic xmlns:a="http://schemas.openxmlformats.org/drawingml/2006/main">
                    <a:graphicData uri="http://schemas.openxmlformats.org/drawingml/2006/picture">
                      <pic:pic xmlns:pic="http://schemas.openxmlformats.org/drawingml/2006/picture">
                        <pic:nvPicPr>
                          <pic:cNvPr id="260" name="Picture_1165_SpCnt_5"/>
                          <pic:cNvPicPr/>
                        </pic:nvPicPr>
                        <pic:blipFill>
                          <a:blip r:embed="rId197"/>
                          <a:stretch>
                            <a:fillRect/>
                          </a:stretch>
                        </pic:blipFill>
                        <pic:spPr>
                          <a:xfrm>
                            <a:off x="0" y="0"/>
                            <a:ext cx="409575" cy="4197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13</w:t>
            </w:r>
          </w:p>
        </w:tc>
        <w:tc>
          <w:tcPr>
            <w:tcW w:w="15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风幕机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SIZE：约L=1500mm（最终长度依据现场实际）</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全金属不锈钢外壳和配件；采用全新遥控或控式开关；采用优化电机，性能可靠（没有安装条件，相应取消，数量按实际）</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896832" behindDoc="0" locked="0" layoutInCell="1" allowOverlap="1">
                  <wp:simplePos x="0" y="0"/>
                  <wp:positionH relativeFrom="column">
                    <wp:posOffset>66675</wp:posOffset>
                  </wp:positionH>
                  <wp:positionV relativeFrom="paragraph">
                    <wp:posOffset>200660</wp:posOffset>
                  </wp:positionV>
                  <wp:extent cx="562610" cy="363220"/>
                  <wp:effectExtent l="0" t="0" r="8890" b="17780"/>
                  <wp:wrapNone/>
                  <wp:docPr id="261" name="图片_69_SpCnt_20"/>
                  <wp:cNvGraphicFramePr/>
                  <a:graphic xmlns:a="http://schemas.openxmlformats.org/drawingml/2006/main">
                    <a:graphicData uri="http://schemas.openxmlformats.org/drawingml/2006/picture">
                      <pic:pic xmlns:pic="http://schemas.openxmlformats.org/drawingml/2006/picture">
                        <pic:nvPicPr>
                          <pic:cNvPr id="261" name="图片_69_SpCnt_20"/>
                          <pic:cNvPicPr/>
                        </pic:nvPicPr>
                        <pic:blipFill>
                          <a:blip r:embed="rId198"/>
                          <a:stretch>
                            <a:fillRect/>
                          </a:stretch>
                        </pic:blipFill>
                        <pic:spPr>
                          <a:xfrm>
                            <a:off x="0" y="0"/>
                            <a:ext cx="562610" cy="36322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97856" behindDoc="0" locked="0" layoutInCell="1" allowOverlap="1">
                  <wp:simplePos x="0" y="0"/>
                  <wp:positionH relativeFrom="column">
                    <wp:posOffset>66675</wp:posOffset>
                  </wp:positionH>
                  <wp:positionV relativeFrom="paragraph">
                    <wp:posOffset>220345</wp:posOffset>
                  </wp:positionV>
                  <wp:extent cx="562610" cy="0"/>
                  <wp:effectExtent l="0" t="0" r="0" b="0"/>
                  <wp:wrapNone/>
                  <wp:docPr id="262" name="图片_69_SpCnt_21"/>
                  <wp:cNvGraphicFramePr/>
                  <a:graphic xmlns:a="http://schemas.openxmlformats.org/drawingml/2006/main">
                    <a:graphicData uri="http://schemas.openxmlformats.org/drawingml/2006/picture">
                      <pic:pic xmlns:pic="http://schemas.openxmlformats.org/drawingml/2006/picture">
                        <pic:nvPicPr>
                          <pic:cNvPr id="262" name="图片_69_SpCnt_21"/>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98880" behindDoc="0" locked="0" layoutInCell="1" allowOverlap="1">
                  <wp:simplePos x="0" y="0"/>
                  <wp:positionH relativeFrom="column">
                    <wp:posOffset>66675</wp:posOffset>
                  </wp:positionH>
                  <wp:positionV relativeFrom="paragraph">
                    <wp:posOffset>220345</wp:posOffset>
                  </wp:positionV>
                  <wp:extent cx="562610" cy="0"/>
                  <wp:effectExtent l="0" t="0" r="0" b="0"/>
                  <wp:wrapNone/>
                  <wp:docPr id="263" name="图片_69_SpCnt_22"/>
                  <wp:cNvGraphicFramePr/>
                  <a:graphic xmlns:a="http://schemas.openxmlformats.org/drawingml/2006/main">
                    <a:graphicData uri="http://schemas.openxmlformats.org/drawingml/2006/picture">
                      <pic:pic xmlns:pic="http://schemas.openxmlformats.org/drawingml/2006/picture">
                        <pic:nvPicPr>
                          <pic:cNvPr id="263" name="图片_69_SpCnt_22"/>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899904" behindDoc="0" locked="0" layoutInCell="1" allowOverlap="1">
                  <wp:simplePos x="0" y="0"/>
                  <wp:positionH relativeFrom="column">
                    <wp:posOffset>76200</wp:posOffset>
                  </wp:positionH>
                  <wp:positionV relativeFrom="paragraph">
                    <wp:posOffset>220345</wp:posOffset>
                  </wp:positionV>
                  <wp:extent cx="561975" cy="0"/>
                  <wp:effectExtent l="0" t="0" r="0" b="0"/>
                  <wp:wrapNone/>
                  <wp:docPr id="264" name="图片_69_SpCnt_23"/>
                  <wp:cNvGraphicFramePr/>
                  <a:graphic xmlns:a="http://schemas.openxmlformats.org/drawingml/2006/main">
                    <a:graphicData uri="http://schemas.openxmlformats.org/drawingml/2006/picture">
                      <pic:pic xmlns:pic="http://schemas.openxmlformats.org/drawingml/2006/picture">
                        <pic:nvPicPr>
                          <pic:cNvPr id="264" name="图片_69_SpCnt_23"/>
                          <pic:cNvPicPr/>
                        </pic:nvPicPr>
                        <pic:blipFill>
                          <a:blip r:embed="rId67"/>
                          <a:stretch>
                            <a:fillRect/>
                          </a:stretch>
                        </pic:blipFill>
                        <pic:spPr>
                          <a:xfrm>
                            <a:off x="0" y="0"/>
                            <a:ext cx="561975"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00928" behindDoc="0" locked="0" layoutInCell="1" allowOverlap="1">
                  <wp:simplePos x="0" y="0"/>
                  <wp:positionH relativeFrom="column">
                    <wp:posOffset>76200</wp:posOffset>
                  </wp:positionH>
                  <wp:positionV relativeFrom="paragraph">
                    <wp:posOffset>237490</wp:posOffset>
                  </wp:positionV>
                  <wp:extent cx="561975" cy="0"/>
                  <wp:effectExtent l="0" t="0" r="0" b="0"/>
                  <wp:wrapNone/>
                  <wp:docPr id="265" name="图片_69_SpCnt_24"/>
                  <wp:cNvGraphicFramePr/>
                  <a:graphic xmlns:a="http://schemas.openxmlformats.org/drawingml/2006/main">
                    <a:graphicData uri="http://schemas.openxmlformats.org/drawingml/2006/picture">
                      <pic:pic xmlns:pic="http://schemas.openxmlformats.org/drawingml/2006/picture">
                        <pic:nvPicPr>
                          <pic:cNvPr id="265" name="图片_69_SpCnt_24"/>
                          <pic:cNvPicPr/>
                        </pic:nvPicPr>
                        <pic:blipFill>
                          <a:blip r:embed="rId67"/>
                          <a:stretch>
                            <a:fillRect/>
                          </a:stretch>
                        </pic:blipFill>
                        <pic:spPr>
                          <a:xfrm>
                            <a:off x="0" y="0"/>
                            <a:ext cx="561975"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01952" behindDoc="0" locked="0" layoutInCell="1" allowOverlap="1">
                  <wp:simplePos x="0" y="0"/>
                  <wp:positionH relativeFrom="column">
                    <wp:posOffset>85725</wp:posOffset>
                  </wp:positionH>
                  <wp:positionV relativeFrom="paragraph">
                    <wp:posOffset>256540</wp:posOffset>
                  </wp:positionV>
                  <wp:extent cx="562610" cy="0"/>
                  <wp:effectExtent l="0" t="0" r="0" b="0"/>
                  <wp:wrapNone/>
                  <wp:docPr id="266" name="图片_69_SpCnt_25"/>
                  <wp:cNvGraphicFramePr/>
                  <a:graphic xmlns:a="http://schemas.openxmlformats.org/drawingml/2006/main">
                    <a:graphicData uri="http://schemas.openxmlformats.org/drawingml/2006/picture">
                      <pic:pic xmlns:pic="http://schemas.openxmlformats.org/drawingml/2006/picture">
                        <pic:nvPicPr>
                          <pic:cNvPr id="266" name="图片_69_SpCnt_25"/>
                          <pic:cNvPicPr/>
                        </pic:nvPicPr>
                        <pic:blipFill>
                          <a:blip r:embed="rId67"/>
                          <a:stretch>
                            <a:fillRect/>
                          </a:stretch>
                        </pic:blipFill>
                        <pic:spPr>
                          <a:xfrm>
                            <a:off x="0" y="0"/>
                            <a:ext cx="562610"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02976" behindDoc="0" locked="0" layoutInCell="1" allowOverlap="1">
                  <wp:simplePos x="0" y="0"/>
                  <wp:positionH relativeFrom="column">
                    <wp:posOffset>123190</wp:posOffset>
                  </wp:positionH>
                  <wp:positionV relativeFrom="paragraph">
                    <wp:posOffset>544830</wp:posOffset>
                  </wp:positionV>
                  <wp:extent cx="476885" cy="401955"/>
                  <wp:effectExtent l="0" t="0" r="18415" b="17145"/>
                  <wp:wrapNone/>
                  <wp:docPr id="267" name="图片_3_SpCnt_16"/>
                  <wp:cNvGraphicFramePr/>
                  <a:graphic xmlns:a="http://schemas.openxmlformats.org/drawingml/2006/main">
                    <a:graphicData uri="http://schemas.openxmlformats.org/drawingml/2006/picture">
                      <pic:pic xmlns:pic="http://schemas.openxmlformats.org/drawingml/2006/picture">
                        <pic:nvPicPr>
                          <pic:cNvPr id="267" name="图片_3_SpCnt_16"/>
                          <pic:cNvPicPr/>
                        </pic:nvPicPr>
                        <pic:blipFill>
                          <a:blip r:embed="rId199"/>
                          <a:stretch>
                            <a:fillRect/>
                          </a:stretch>
                        </pic:blipFill>
                        <pic:spPr>
                          <a:xfrm>
                            <a:off x="0" y="0"/>
                            <a:ext cx="476885" cy="40195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3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15</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紫外线消毒灯管</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SIZE：管长约90cm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输入电压：AC220V50Hz                          适用面积：20㎡-50㎡（含）                  电源方式：交流电                         说明：3D立体环绕杀菌；双重杀菌不怕死角， 国标T6石英管。  </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支</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04000" behindDoc="0" locked="0" layoutInCell="1" allowOverlap="1">
                  <wp:simplePos x="0" y="0"/>
                  <wp:positionH relativeFrom="column">
                    <wp:posOffset>133350</wp:posOffset>
                  </wp:positionH>
                  <wp:positionV relativeFrom="paragraph">
                    <wp:posOffset>227965</wp:posOffset>
                  </wp:positionV>
                  <wp:extent cx="495300" cy="351155"/>
                  <wp:effectExtent l="0" t="0" r="0" b="10795"/>
                  <wp:wrapNone/>
                  <wp:docPr id="268" name="图片_158_SpCnt_4"/>
                  <wp:cNvGraphicFramePr/>
                  <a:graphic xmlns:a="http://schemas.openxmlformats.org/drawingml/2006/main">
                    <a:graphicData uri="http://schemas.openxmlformats.org/drawingml/2006/picture">
                      <pic:pic xmlns:pic="http://schemas.openxmlformats.org/drawingml/2006/picture">
                        <pic:nvPicPr>
                          <pic:cNvPr id="268" name="图片_158_SpCnt_4"/>
                          <pic:cNvPicPr/>
                        </pic:nvPicPr>
                        <pic:blipFill>
                          <a:blip r:embed="rId200"/>
                          <a:stretch>
                            <a:fillRect/>
                          </a:stretch>
                        </pic:blipFill>
                        <pic:spPr>
                          <a:xfrm>
                            <a:off x="0" y="0"/>
                            <a:ext cx="495300" cy="35115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725" w:type="dxa"/>
            <w:tcBorders>
              <w:top w:val="nil"/>
              <w:left w:val="single" w:color="000000" w:sz="4" w:space="0"/>
              <w:bottom w:val="nil"/>
              <w:right w:val="nil"/>
            </w:tcBorders>
            <w:shd w:val="clear" w:color="auto" w:fill="auto"/>
            <w:vAlign w:val="center"/>
          </w:tcPr>
          <w:p>
            <w:pPr>
              <w:spacing w:line="360" w:lineRule="auto"/>
              <w:jc w:val="center"/>
              <w:rPr>
                <w:rFonts w:ascii="宋体" w:hAnsi="宋体" w:cs="宋体"/>
                <w:color w:val="000000"/>
                <w:sz w:val="24"/>
              </w:rPr>
            </w:pPr>
          </w:p>
        </w:tc>
        <w:tc>
          <w:tcPr>
            <w:tcW w:w="1533" w:type="dxa"/>
            <w:tcBorders>
              <w:top w:val="nil"/>
              <w:left w:val="nil"/>
              <w:bottom w:val="nil"/>
              <w:right w:val="nil"/>
            </w:tcBorders>
            <w:shd w:val="clear" w:color="auto" w:fill="auto"/>
            <w:noWrap/>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洁具间</w:t>
            </w:r>
          </w:p>
        </w:tc>
        <w:tc>
          <w:tcPr>
            <w:tcW w:w="1471" w:type="dxa"/>
            <w:tcBorders>
              <w:top w:val="nil"/>
              <w:left w:val="nil"/>
              <w:bottom w:val="nil"/>
              <w:right w:val="nil"/>
            </w:tcBorders>
            <w:shd w:val="clear" w:color="auto" w:fill="auto"/>
            <w:vAlign w:val="center"/>
          </w:tcPr>
          <w:p>
            <w:pPr>
              <w:spacing w:line="360" w:lineRule="auto"/>
              <w:jc w:val="center"/>
              <w:rPr>
                <w:rFonts w:ascii="宋体" w:hAnsi="宋体" w:cs="宋体"/>
                <w:color w:val="000000"/>
                <w:sz w:val="24"/>
              </w:rPr>
            </w:pPr>
          </w:p>
        </w:tc>
        <w:tc>
          <w:tcPr>
            <w:tcW w:w="2615" w:type="dxa"/>
            <w:tcBorders>
              <w:top w:val="nil"/>
              <w:left w:val="nil"/>
              <w:bottom w:val="nil"/>
              <w:right w:val="nil"/>
            </w:tcBorders>
            <w:shd w:val="clear" w:color="auto" w:fill="auto"/>
            <w:vAlign w:val="center"/>
          </w:tcPr>
          <w:p>
            <w:pPr>
              <w:spacing w:line="360" w:lineRule="auto"/>
              <w:rPr>
                <w:rFonts w:ascii="宋体" w:hAnsi="宋体" w:cs="宋体"/>
                <w:color w:val="000000"/>
                <w:sz w:val="24"/>
              </w:rPr>
            </w:pPr>
          </w:p>
        </w:tc>
        <w:tc>
          <w:tcPr>
            <w:tcW w:w="670" w:type="dxa"/>
            <w:tcBorders>
              <w:top w:val="nil"/>
              <w:left w:val="nil"/>
              <w:bottom w:val="nil"/>
              <w:right w:val="nil"/>
            </w:tcBorders>
            <w:shd w:val="clear" w:color="auto" w:fill="auto"/>
            <w:vAlign w:val="center"/>
          </w:tcPr>
          <w:p>
            <w:pPr>
              <w:spacing w:line="360" w:lineRule="auto"/>
              <w:jc w:val="center"/>
              <w:rPr>
                <w:rFonts w:ascii="宋体" w:hAnsi="宋体" w:cs="宋体"/>
                <w:color w:val="000000"/>
                <w:sz w:val="24"/>
              </w:rPr>
            </w:pPr>
          </w:p>
        </w:tc>
        <w:tc>
          <w:tcPr>
            <w:tcW w:w="555" w:type="dxa"/>
            <w:tcBorders>
              <w:top w:val="nil"/>
              <w:left w:val="nil"/>
              <w:bottom w:val="nil"/>
              <w:right w:val="nil"/>
            </w:tcBorders>
            <w:shd w:val="clear" w:color="auto" w:fill="auto"/>
            <w:vAlign w:val="center"/>
          </w:tcPr>
          <w:p>
            <w:pPr>
              <w:spacing w:line="360" w:lineRule="auto"/>
              <w:jc w:val="center"/>
              <w:rPr>
                <w:rFonts w:ascii="宋体" w:hAnsi="宋体" w:cs="宋体"/>
                <w:color w:val="000000"/>
                <w:sz w:val="24"/>
              </w:rPr>
            </w:pPr>
          </w:p>
        </w:tc>
        <w:tc>
          <w:tcPr>
            <w:tcW w:w="1170" w:type="dxa"/>
            <w:tcBorders>
              <w:top w:val="nil"/>
              <w:left w:val="nil"/>
              <w:bottom w:val="nil"/>
              <w:right w:val="single" w:color="000000" w:sz="4" w:space="0"/>
            </w:tcBorders>
            <w:shd w:val="clear" w:color="auto" w:fill="auto"/>
            <w:noWrap/>
            <w:vAlign w:val="center"/>
          </w:tcPr>
          <w:p>
            <w:pPr>
              <w:spacing w:line="360" w:lineRule="auto"/>
              <w:rPr>
                <w:rFonts w:ascii="宋体" w:hAnsi="宋体" w:cs="宋体"/>
                <w:color w:val="000000"/>
                <w:sz w:val="24"/>
              </w:rPr>
            </w:pP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拖把池连挂架</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SIZE：1500*500*1800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选用SUS304不锈钢板制作；支架、通脚、可调脚为Φ38不锈钢管，管壁厚1.0mm，配置不锈钢可调脚，配落水器；带后挡板，台板厚1.0mm；配单星盆；（最终规格按现场实际空间实量为准）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05024" behindDoc="0" locked="0" layoutInCell="1" allowOverlap="1">
                  <wp:simplePos x="0" y="0"/>
                  <wp:positionH relativeFrom="column">
                    <wp:posOffset>152400</wp:posOffset>
                  </wp:positionH>
                  <wp:positionV relativeFrom="paragraph">
                    <wp:posOffset>142240</wp:posOffset>
                  </wp:positionV>
                  <wp:extent cx="370840" cy="466090"/>
                  <wp:effectExtent l="0" t="0" r="10160" b="10160"/>
                  <wp:wrapNone/>
                  <wp:docPr id="269" name="图片_131_SpCnt_2"/>
                  <wp:cNvGraphicFramePr/>
                  <a:graphic xmlns:a="http://schemas.openxmlformats.org/drawingml/2006/main">
                    <a:graphicData uri="http://schemas.openxmlformats.org/drawingml/2006/picture">
                      <pic:pic xmlns:pic="http://schemas.openxmlformats.org/drawingml/2006/picture">
                        <pic:nvPicPr>
                          <pic:cNvPr id="269" name="图片_131_SpCnt_2"/>
                          <pic:cNvPicPr/>
                        </pic:nvPicPr>
                        <pic:blipFill>
                          <a:blip r:embed="rId201"/>
                          <a:stretch>
                            <a:fillRect/>
                          </a:stretch>
                        </pic:blipFill>
                        <pic:spPr>
                          <a:xfrm>
                            <a:off x="0" y="0"/>
                            <a:ext cx="370840" cy="46609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06048" behindDoc="0" locked="0" layoutInCell="1" allowOverlap="1">
                  <wp:simplePos x="0" y="0"/>
                  <wp:positionH relativeFrom="column">
                    <wp:posOffset>171450</wp:posOffset>
                  </wp:positionH>
                  <wp:positionV relativeFrom="paragraph">
                    <wp:posOffset>267970</wp:posOffset>
                  </wp:positionV>
                  <wp:extent cx="371475" cy="0"/>
                  <wp:effectExtent l="0" t="0" r="0" b="0"/>
                  <wp:wrapNone/>
                  <wp:docPr id="270" name="图片_131_SpCnt_3"/>
                  <wp:cNvGraphicFramePr/>
                  <a:graphic xmlns:a="http://schemas.openxmlformats.org/drawingml/2006/main">
                    <a:graphicData uri="http://schemas.openxmlformats.org/drawingml/2006/picture">
                      <pic:pic xmlns:pic="http://schemas.openxmlformats.org/drawingml/2006/picture">
                        <pic:nvPicPr>
                          <pic:cNvPr id="270" name="图片_131_SpCnt_3"/>
                          <pic:cNvPicPr/>
                        </pic:nvPicPr>
                        <pic:blipFill>
                          <a:blip r:embed="rId67"/>
                          <a:stretch>
                            <a:fillRect/>
                          </a:stretch>
                        </pic:blipFill>
                        <pic:spPr>
                          <a:xfrm>
                            <a:off x="0" y="0"/>
                            <a:ext cx="371475"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拖把洗池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SIZE：600*500*600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07072" behindDoc="0" locked="0" layoutInCell="1" allowOverlap="1">
                  <wp:simplePos x="0" y="0"/>
                  <wp:positionH relativeFrom="column">
                    <wp:posOffset>142875</wp:posOffset>
                  </wp:positionH>
                  <wp:positionV relativeFrom="paragraph">
                    <wp:posOffset>85090</wp:posOffset>
                  </wp:positionV>
                  <wp:extent cx="400050" cy="428625"/>
                  <wp:effectExtent l="0" t="0" r="0" b="9525"/>
                  <wp:wrapNone/>
                  <wp:docPr id="272" name="Picture_185_SpCnt_5"/>
                  <wp:cNvGraphicFramePr/>
                  <a:graphic xmlns:a="http://schemas.openxmlformats.org/drawingml/2006/main">
                    <a:graphicData uri="http://schemas.openxmlformats.org/drawingml/2006/picture">
                      <pic:pic xmlns:pic="http://schemas.openxmlformats.org/drawingml/2006/picture">
                        <pic:nvPicPr>
                          <pic:cNvPr id="272" name="Picture_185_SpCnt_5"/>
                          <pic:cNvPicPr/>
                        </pic:nvPicPr>
                        <pic:blipFill>
                          <a:blip r:embed="rId202"/>
                          <a:stretch>
                            <a:fillRect/>
                          </a:stretch>
                        </pic:blipFill>
                        <pic:spPr>
                          <a:xfrm>
                            <a:off x="0" y="0"/>
                            <a:ext cx="400050" cy="4286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1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座台式安装，单孔单温，鹅颈水嘴。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陶瓷阀芯一字开形手柄；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开孔尺寸为25mm，进水接口为1/2"内螺纹。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                            ◆产品材质铅的含量≤0.22%并提供相应检测报告复印件。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08096" behindDoc="0" locked="0" layoutInCell="1" allowOverlap="1">
                  <wp:simplePos x="0" y="0"/>
                  <wp:positionH relativeFrom="column">
                    <wp:posOffset>228600</wp:posOffset>
                  </wp:positionH>
                  <wp:positionV relativeFrom="paragraph">
                    <wp:posOffset>786765</wp:posOffset>
                  </wp:positionV>
                  <wp:extent cx="295275" cy="569595"/>
                  <wp:effectExtent l="0" t="0" r="9525" b="1905"/>
                  <wp:wrapNone/>
                  <wp:docPr id="273" name="图片_32_SpCnt_9"/>
                  <wp:cNvGraphicFramePr/>
                  <a:graphic xmlns:a="http://schemas.openxmlformats.org/drawingml/2006/main">
                    <a:graphicData uri="http://schemas.openxmlformats.org/drawingml/2006/picture">
                      <pic:pic xmlns:pic="http://schemas.openxmlformats.org/drawingml/2006/picture">
                        <pic:nvPicPr>
                          <pic:cNvPr id="273" name="图片_32_SpCnt_9"/>
                          <pic:cNvPicPr/>
                        </pic:nvPicPr>
                        <pic:blipFill>
                          <a:blip r:embed="rId203"/>
                          <a:stretch>
                            <a:fillRect/>
                          </a:stretch>
                        </pic:blipFill>
                        <pic:spPr>
                          <a:xfrm>
                            <a:off x="0" y="0"/>
                            <a:ext cx="295275" cy="56959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二层学生餐厅</w:t>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洗手槽</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SIZE：约L=13600*500*750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选用SUS304-2B不锈钢板制作；支架、通脚、可调脚为Φ38不锈钢管，管壁厚1.0mm，配置不锈钢可调脚，配落水器；带后挡板，台板厚1.0mm。</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米</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13.6</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09120" behindDoc="0" locked="0" layoutInCell="1" allowOverlap="1">
                  <wp:simplePos x="0" y="0"/>
                  <wp:positionH relativeFrom="column">
                    <wp:posOffset>152400</wp:posOffset>
                  </wp:positionH>
                  <wp:positionV relativeFrom="paragraph">
                    <wp:posOffset>104775</wp:posOffset>
                  </wp:positionV>
                  <wp:extent cx="437515" cy="419735"/>
                  <wp:effectExtent l="0" t="0" r="635" b="18415"/>
                  <wp:wrapNone/>
                  <wp:docPr id="274" name="Picture_242_SpCnt_1"/>
                  <wp:cNvGraphicFramePr/>
                  <a:graphic xmlns:a="http://schemas.openxmlformats.org/drawingml/2006/main">
                    <a:graphicData uri="http://schemas.openxmlformats.org/drawingml/2006/picture">
                      <pic:pic xmlns:pic="http://schemas.openxmlformats.org/drawingml/2006/picture">
                        <pic:nvPicPr>
                          <pic:cNvPr id="274" name="Picture_242_SpCnt_1"/>
                          <pic:cNvPicPr/>
                        </pic:nvPicPr>
                        <pic:blipFill>
                          <a:blip r:embed="rId57"/>
                          <a:stretch>
                            <a:fillRect/>
                          </a:stretch>
                        </pic:blipFill>
                        <pic:spPr>
                          <a:xfrm>
                            <a:off x="0" y="0"/>
                            <a:ext cx="437515" cy="4197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37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1.座台式安装，单孔单温，鹅颈水嘴。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3.陶瓷阀芯一字开形手柄；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4.开孔尺寸为25mm，进水接口为1/2"内螺纹。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◆产品材质铅的含量≤0.22%并提供相应检测报告复印件。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34</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10144" behindDoc="0" locked="0" layoutInCell="1" allowOverlap="1">
                  <wp:simplePos x="0" y="0"/>
                  <wp:positionH relativeFrom="column">
                    <wp:posOffset>152400</wp:posOffset>
                  </wp:positionH>
                  <wp:positionV relativeFrom="paragraph">
                    <wp:posOffset>217805</wp:posOffset>
                  </wp:positionV>
                  <wp:extent cx="342900" cy="0"/>
                  <wp:effectExtent l="0" t="0" r="0" b="0"/>
                  <wp:wrapNone/>
                  <wp:docPr id="275" name="图片_84"/>
                  <wp:cNvGraphicFramePr/>
                  <a:graphic xmlns:a="http://schemas.openxmlformats.org/drawingml/2006/main">
                    <a:graphicData uri="http://schemas.openxmlformats.org/drawingml/2006/picture">
                      <pic:pic xmlns:pic="http://schemas.openxmlformats.org/drawingml/2006/picture">
                        <pic:nvPicPr>
                          <pic:cNvPr id="275" name="图片_84"/>
                          <pic:cNvPicPr/>
                        </pic:nvPicPr>
                        <pic:blipFill>
                          <a:blip r:embed="rId67"/>
                          <a:stretch>
                            <a:fillRect/>
                          </a:stretch>
                        </pic:blipFill>
                        <pic:spPr>
                          <a:xfrm>
                            <a:off x="0" y="0"/>
                            <a:ext cx="34290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11168" behindDoc="0" locked="0" layoutInCell="1" allowOverlap="1">
                  <wp:simplePos x="0" y="0"/>
                  <wp:positionH relativeFrom="column">
                    <wp:posOffset>200025</wp:posOffset>
                  </wp:positionH>
                  <wp:positionV relativeFrom="paragraph">
                    <wp:posOffset>770255</wp:posOffset>
                  </wp:positionV>
                  <wp:extent cx="295275" cy="594360"/>
                  <wp:effectExtent l="0" t="0" r="9525" b="15240"/>
                  <wp:wrapNone/>
                  <wp:docPr id="276" name="图片_32_SpCnt_10"/>
                  <wp:cNvGraphicFramePr/>
                  <a:graphic xmlns:a="http://schemas.openxmlformats.org/drawingml/2006/main">
                    <a:graphicData uri="http://schemas.openxmlformats.org/drawingml/2006/picture">
                      <pic:pic xmlns:pic="http://schemas.openxmlformats.org/drawingml/2006/picture">
                        <pic:nvPicPr>
                          <pic:cNvPr id="276" name="图片_32_SpCnt_10"/>
                          <pic:cNvPicPr/>
                        </pic:nvPicPr>
                        <pic:blipFill>
                          <a:blip r:embed="rId204"/>
                          <a:stretch>
                            <a:fillRect/>
                          </a:stretch>
                        </pic:blipFill>
                        <pic:spPr>
                          <a:xfrm>
                            <a:off x="0" y="0"/>
                            <a:ext cx="295275" cy="59436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7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三孔回收台柜</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SIZE：约1700*650*750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选用SUS304-2B不锈钢板制作（包括加强档、筋），台面板厚1.0mm，台面开孔，下配抽屉式推车（最终尺寸按现场实际测量）</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组</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12192" behindDoc="0" locked="0" layoutInCell="1" allowOverlap="1">
                  <wp:simplePos x="0" y="0"/>
                  <wp:positionH relativeFrom="column">
                    <wp:posOffset>47625</wp:posOffset>
                  </wp:positionH>
                  <wp:positionV relativeFrom="paragraph">
                    <wp:posOffset>77470</wp:posOffset>
                  </wp:positionV>
                  <wp:extent cx="609600" cy="457200"/>
                  <wp:effectExtent l="0" t="0" r="0" b="0"/>
                  <wp:wrapNone/>
                  <wp:docPr id="277" name="图片_1_SpCnt_13"/>
                  <wp:cNvGraphicFramePr/>
                  <a:graphic xmlns:a="http://schemas.openxmlformats.org/drawingml/2006/main">
                    <a:graphicData uri="http://schemas.openxmlformats.org/drawingml/2006/picture">
                      <pic:pic xmlns:pic="http://schemas.openxmlformats.org/drawingml/2006/picture">
                        <pic:nvPicPr>
                          <pic:cNvPr id="277" name="图片_1_SpCnt_13"/>
                          <pic:cNvPicPr/>
                        </pic:nvPicPr>
                        <pic:blipFill>
                          <a:blip r:embed="rId205"/>
                          <a:stretch>
                            <a:fillRect/>
                          </a:stretch>
                        </pic:blipFill>
                        <pic:spPr>
                          <a:xfrm>
                            <a:off x="0" y="0"/>
                            <a:ext cx="609600" cy="4572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家用粘捕式灭蝇灯</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SIZE：约370*220*180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效范围：约40㎡                                粘虫板规格：230*90mm                       产品功率：8w                                   电压频率：220v/50Hz                    采用独特的紫外光、不可抗拒的飞虫引诱剂，以及无毒的粘捕胶剂来引诱和捕捉飞虫。                  防爆灯管。</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10</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13216" behindDoc="0" locked="0" layoutInCell="1" allowOverlap="1">
                  <wp:simplePos x="0" y="0"/>
                  <wp:positionH relativeFrom="column">
                    <wp:posOffset>104775</wp:posOffset>
                  </wp:positionH>
                  <wp:positionV relativeFrom="paragraph">
                    <wp:posOffset>495300</wp:posOffset>
                  </wp:positionV>
                  <wp:extent cx="495300" cy="388620"/>
                  <wp:effectExtent l="0" t="0" r="0" b="11430"/>
                  <wp:wrapNone/>
                  <wp:docPr id="278" name="图片_3_SpCnt_17"/>
                  <wp:cNvGraphicFramePr/>
                  <a:graphic xmlns:a="http://schemas.openxmlformats.org/drawingml/2006/main">
                    <a:graphicData uri="http://schemas.openxmlformats.org/drawingml/2006/picture">
                      <pic:pic xmlns:pic="http://schemas.openxmlformats.org/drawingml/2006/picture">
                        <pic:nvPicPr>
                          <pic:cNvPr id="278" name="图片_3_SpCnt_17"/>
                          <pic:cNvPicPr/>
                        </pic:nvPicPr>
                        <pic:blipFill>
                          <a:blip r:embed="rId46"/>
                          <a:stretch>
                            <a:fillRect/>
                          </a:stretch>
                        </pic:blipFill>
                        <pic:spPr>
                          <a:xfrm>
                            <a:off x="0" y="0"/>
                            <a:ext cx="495300" cy="38862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3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pPr>
            <w:r>
              <w:rPr>
                <w:rFonts w:hint="eastAsia"/>
              </w:rPr>
              <w:t>自助式六斗保温餐台</w:t>
            </w:r>
          </w:p>
          <w:p>
            <w:pPr>
              <w:pStyle w:val="2"/>
              <w:rPr>
                <w:rFonts w:eastAsia="宋体"/>
              </w:rPr>
            </w:pPr>
            <w:r>
              <w:rPr>
                <w:rFonts w:hint="eastAsia" w:ascii="宋体" w:hAnsi="宋体" w:eastAsia="宋体" w:cs="宋体"/>
                <w:color w:val="000000"/>
                <w:kern w:val="0"/>
                <w:sz w:val="24"/>
                <w:szCs w:val="24"/>
                <w:lang w:val="en-US" w:bidi="ar"/>
              </w:rPr>
              <w:t>（提供样品）</w:t>
            </w:r>
            <w:r>
              <w:rPr>
                <w:rFonts w:hint="eastAsia" w:ascii="宋体" w:hAnsi="宋体" w:eastAsia="宋体" w:cs="宋体"/>
                <w:color w:val="000000"/>
                <w:kern w:val="0"/>
                <w:sz w:val="24"/>
                <w:szCs w:val="24"/>
                <w:lang w:bidi="ar"/>
              </w:rPr>
              <w:t>）</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SIZE：约2100*1200*750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选用SUS304-2B不锈钢板制作，台面板厚1.0mm，圆角模压成型，配一次压制成型菜盘6只，配不锈钢可调脚，自动恒温；双侧为餐盘滑道，两端为餐具存放筐（最终尺寸按使用方要求定制）；220V电源</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14240" behindDoc="0" locked="0" layoutInCell="1" allowOverlap="1">
                  <wp:simplePos x="0" y="0"/>
                  <wp:positionH relativeFrom="column">
                    <wp:posOffset>161925</wp:posOffset>
                  </wp:positionH>
                  <wp:positionV relativeFrom="paragraph">
                    <wp:posOffset>133985</wp:posOffset>
                  </wp:positionV>
                  <wp:extent cx="427990" cy="619760"/>
                  <wp:effectExtent l="0" t="0" r="10160" b="8890"/>
                  <wp:wrapNone/>
                  <wp:docPr id="279" name="图片_155"/>
                  <wp:cNvGraphicFramePr/>
                  <a:graphic xmlns:a="http://schemas.openxmlformats.org/drawingml/2006/main">
                    <a:graphicData uri="http://schemas.openxmlformats.org/drawingml/2006/picture">
                      <pic:pic xmlns:pic="http://schemas.openxmlformats.org/drawingml/2006/picture">
                        <pic:nvPicPr>
                          <pic:cNvPr id="279" name="图片_155"/>
                          <pic:cNvPicPr/>
                        </pic:nvPicPr>
                        <pic:blipFill>
                          <a:blip r:embed="rId206"/>
                          <a:stretch>
                            <a:fillRect/>
                          </a:stretch>
                        </pic:blipFill>
                        <pic:spPr>
                          <a:xfrm>
                            <a:off x="0" y="0"/>
                            <a:ext cx="427990" cy="61976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三层</w:t>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三层二次更衣</w:t>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单水池连平台带感应龙头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SIZE：900*500*800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选用SUS304不锈钢板制作；支架、通脚、可调脚为Φ38不锈钢管，管壁厚1.0mm，配置不锈钢可调脚，配落水器；带后挡板，台板厚1.0mm；配单星盆；带感应龙头。</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15264" behindDoc="0" locked="0" layoutInCell="1" allowOverlap="1">
                  <wp:simplePos x="0" y="0"/>
                  <wp:positionH relativeFrom="column">
                    <wp:posOffset>104775</wp:posOffset>
                  </wp:positionH>
                  <wp:positionV relativeFrom="paragraph">
                    <wp:posOffset>94615</wp:posOffset>
                  </wp:positionV>
                  <wp:extent cx="495300" cy="410210"/>
                  <wp:effectExtent l="0" t="0" r="0" b="8890"/>
                  <wp:wrapNone/>
                  <wp:docPr id="280" name="图片_185_SpCnt_6"/>
                  <wp:cNvGraphicFramePr/>
                  <a:graphic xmlns:a="http://schemas.openxmlformats.org/drawingml/2006/main">
                    <a:graphicData uri="http://schemas.openxmlformats.org/drawingml/2006/picture">
                      <pic:pic xmlns:pic="http://schemas.openxmlformats.org/drawingml/2006/picture">
                        <pic:nvPicPr>
                          <pic:cNvPr id="280" name="图片_185_SpCnt_6"/>
                          <pic:cNvPicPr/>
                        </pic:nvPicPr>
                        <pic:blipFill>
                          <a:blip r:embed="rId207"/>
                          <a:stretch>
                            <a:fillRect/>
                          </a:stretch>
                        </pic:blipFill>
                        <pic:spPr>
                          <a:xfrm>
                            <a:off x="0" y="0"/>
                            <a:ext cx="495300" cy="41021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0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挂墙式烘手机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 xml:space="preserve">型号：冷热型 </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启动方式：红外感应                         机身材质：主体塑料                           热风温度：65±15℃                     说明：精选ABS材料；大口径加热出风口；涡轮增压扇叶风扇；大功率电机；信息处理中枢；智能微电脑控制。（如无安装条件则取消）</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16288" behindDoc="0" locked="0" layoutInCell="1" allowOverlap="1">
                  <wp:simplePos x="0" y="0"/>
                  <wp:positionH relativeFrom="column">
                    <wp:posOffset>104775</wp:posOffset>
                  </wp:positionH>
                  <wp:positionV relativeFrom="paragraph">
                    <wp:posOffset>436880</wp:posOffset>
                  </wp:positionV>
                  <wp:extent cx="466725" cy="427355"/>
                  <wp:effectExtent l="0" t="0" r="9525" b="10795"/>
                  <wp:wrapNone/>
                  <wp:docPr id="281" name="图片_1_SpCnt_14"/>
                  <wp:cNvGraphicFramePr/>
                  <a:graphic xmlns:a="http://schemas.openxmlformats.org/drawingml/2006/main">
                    <a:graphicData uri="http://schemas.openxmlformats.org/drawingml/2006/picture">
                      <pic:pic xmlns:pic="http://schemas.openxmlformats.org/drawingml/2006/picture">
                        <pic:nvPicPr>
                          <pic:cNvPr id="281" name="图片_1_SpCnt_14"/>
                          <pic:cNvPicPr/>
                        </pic:nvPicPr>
                        <pic:blipFill>
                          <a:blip r:embed="rId121"/>
                          <a:stretch>
                            <a:fillRect/>
                          </a:stretch>
                        </pic:blipFill>
                        <pic:spPr>
                          <a:xfrm>
                            <a:off x="0" y="0"/>
                            <a:ext cx="466725" cy="42735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三层学生备餐区</w:t>
            </w:r>
          </w:p>
        </w:tc>
      </w:tr>
      <w:tr>
        <w:tblPrEx>
          <w:tblCellMar>
            <w:top w:w="0" w:type="dxa"/>
            <w:left w:w="108" w:type="dxa"/>
            <w:bottom w:w="0" w:type="dxa"/>
            <w:right w:w="108" w:type="dxa"/>
          </w:tblCellMar>
        </w:tblPrEx>
        <w:trPr>
          <w:trHeight w:val="559"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工作台加档</w:t>
            </w:r>
          </w:p>
        </w:tc>
        <w:tc>
          <w:tcPr>
            <w:tcW w:w="1471"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选用SUS304不锈钢板制作（包括加强档、筋），下置一层栅档，台面用衬板加强，配置不锈钢可调脚，台面板厚1.0mm。                                                                       ◆提供生产厂家工作台加档符合GB/T3280-2015《不锈钢冷轧钢板和钢带》的型式检测报告。  </w:t>
            </w:r>
          </w:p>
        </w:tc>
        <w:tc>
          <w:tcPr>
            <w:tcW w:w="670"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nil"/>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nil"/>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17312" behindDoc="0" locked="0" layoutInCell="1" allowOverlap="1">
                  <wp:simplePos x="0" y="0"/>
                  <wp:positionH relativeFrom="column">
                    <wp:posOffset>85725</wp:posOffset>
                  </wp:positionH>
                  <wp:positionV relativeFrom="paragraph">
                    <wp:posOffset>200660</wp:posOffset>
                  </wp:positionV>
                  <wp:extent cx="534035" cy="0"/>
                  <wp:effectExtent l="0" t="0" r="0" b="0"/>
                  <wp:wrapNone/>
                  <wp:docPr id="271" name="图片_53_SpCnt_1"/>
                  <wp:cNvGraphicFramePr/>
                  <a:graphic xmlns:a="http://schemas.openxmlformats.org/drawingml/2006/main">
                    <a:graphicData uri="http://schemas.openxmlformats.org/drawingml/2006/picture">
                      <pic:pic xmlns:pic="http://schemas.openxmlformats.org/drawingml/2006/picture">
                        <pic:nvPicPr>
                          <pic:cNvPr id="271" name="图片_53_SpCnt_1"/>
                          <pic:cNvPicPr/>
                        </pic:nvPicPr>
                        <pic:blipFill>
                          <a:blip r:embed="rId67"/>
                          <a:stretch>
                            <a:fillRect/>
                          </a:stretch>
                        </pic:blipFill>
                        <pic:spPr>
                          <a:xfrm>
                            <a:off x="0" y="0"/>
                            <a:ext cx="534035"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18336" behindDoc="0" locked="0" layoutInCell="1" allowOverlap="1">
                  <wp:simplePos x="0" y="0"/>
                  <wp:positionH relativeFrom="column">
                    <wp:posOffset>114300</wp:posOffset>
                  </wp:positionH>
                  <wp:positionV relativeFrom="paragraph">
                    <wp:posOffset>401955</wp:posOffset>
                  </wp:positionV>
                  <wp:extent cx="505460" cy="388620"/>
                  <wp:effectExtent l="0" t="0" r="8890" b="11430"/>
                  <wp:wrapNone/>
                  <wp:docPr id="283" name="Picture_4_SpCnt_12"/>
                  <wp:cNvGraphicFramePr/>
                  <a:graphic xmlns:a="http://schemas.openxmlformats.org/drawingml/2006/main">
                    <a:graphicData uri="http://schemas.openxmlformats.org/drawingml/2006/picture">
                      <pic:pic xmlns:pic="http://schemas.openxmlformats.org/drawingml/2006/picture">
                        <pic:nvPicPr>
                          <pic:cNvPr id="283" name="Picture_4_SpCnt_12"/>
                          <pic:cNvPicPr/>
                        </pic:nvPicPr>
                        <pic:blipFill>
                          <a:blip r:embed="rId154"/>
                          <a:stretch>
                            <a:fillRect/>
                          </a:stretch>
                        </pic:blipFill>
                        <pic:spPr>
                          <a:xfrm>
                            <a:off x="0" y="0"/>
                            <a:ext cx="505460" cy="38862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19360" behindDoc="0" locked="0" layoutInCell="1" allowOverlap="1">
                  <wp:simplePos x="0" y="0"/>
                  <wp:positionH relativeFrom="column">
                    <wp:posOffset>104775</wp:posOffset>
                  </wp:positionH>
                  <wp:positionV relativeFrom="paragraph">
                    <wp:posOffset>209550</wp:posOffset>
                  </wp:positionV>
                  <wp:extent cx="533400" cy="0"/>
                  <wp:effectExtent l="0" t="0" r="0" b="0"/>
                  <wp:wrapNone/>
                  <wp:docPr id="284" name="图片_53_SpCnt_2"/>
                  <wp:cNvGraphicFramePr/>
                  <a:graphic xmlns:a="http://schemas.openxmlformats.org/drawingml/2006/main">
                    <a:graphicData uri="http://schemas.openxmlformats.org/drawingml/2006/picture">
                      <pic:pic xmlns:pic="http://schemas.openxmlformats.org/drawingml/2006/picture">
                        <pic:nvPicPr>
                          <pic:cNvPr id="284" name="图片_53_SpCnt_2"/>
                          <pic:cNvPicPr/>
                        </pic:nvPicPr>
                        <pic:blipFill>
                          <a:blip r:embed="rId67"/>
                          <a:stretch>
                            <a:fillRect/>
                          </a:stretch>
                        </pic:blipFill>
                        <pic:spPr>
                          <a:xfrm>
                            <a:off x="0" y="0"/>
                            <a:ext cx="533400"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单开门操作台</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SIZE：1800*800*800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选用SUS304不锈钢板制作（包括加强档、筋），台面用衬板加强，台面板厚1.0mm，内置一层搁板，一面配有上挂式双移门，配不锈钢可调脚。</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张</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20384" behindDoc="0" locked="0" layoutInCell="1" allowOverlap="1">
                  <wp:simplePos x="0" y="0"/>
                  <wp:positionH relativeFrom="column">
                    <wp:posOffset>95885</wp:posOffset>
                  </wp:positionH>
                  <wp:positionV relativeFrom="paragraph">
                    <wp:posOffset>104775</wp:posOffset>
                  </wp:positionV>
                  <wp:extent cx="523875" cy="361950"/>
                  <wp:effectExtent l="0" t="0" r="9525" b="0"/>
                  <wp:wrapNone/>
                  <wp:docPr id="285" name="Picture_360_SpCnt_9"/>
                  <wp:cNvGraphicFramePr/>
                  <a:graphic xmlns:a="http://schemas.openxmlformats.org/drawingml/2006/main">
                    <a:graphicData uri="http://schemas.openxmlformats.org/drawingml/2006/picture">
                      <pic:pic xmlns:pic="http://schemas.openxmlformats.org/drawingml/2006/picture">
                        <pic:nvPicPr>
                          <pic:cNvPr id="285" name="Picture_360_SpCnt_9"/>
                          <pic:cNvPicPr/>
                        </pic:nvPicPr>
                        <pic:blipFill>
                          <a:blip r:embed="rId174"/>
                          <a:stretch>
                            <a:fillRect/>
                          </a:stretch>
                        </pic:blipFill>
                        <pic:spPr>
                          <a:xfrm>
                            <a:off x="0" y="0"/>
                            <a:ext cx="523875" cy="36195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碗柜</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SIZE：1200*500*1800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选用SUS304不锈钢板制作（包括加强档、筋），内分四层；上下配密封式上挂式移门，配置不锈钢可调脚，柜体板厚1.0mm。搁档板和移门面板厚0.8mm；</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21408" behindDoc="0" locked="0" layoutInCell="1" allowOverlap="1">
                  <wp:simplePos x="0" y="0"/>
                  <wp:positionH relativeFrom="column">
                    <wp:posOffset>209550</wp:posOffset>
                  </wp:positionH>
                  <wp:positionV relativeFrom="paragraph">
                    <wp:posOffset>76200</wp:posOffset>
                  </wp:positionV>
                  <wp:extent cx="323215" cy="428625"/>
                  <wp:effectExtent l="0" t="0" r="635" b="9525"/>
                  <wp:wrapNone/>
                  <wp:docPr id="286" name="图片_87_SpCnt_2"/>
                  <wp:cNvGraphicFramePr/>
                  <a:graphic xmlns:a="http://schemas.openxmlformats.org/drawingml/2006/main">
                    <a:graphicData uri="http://schemas.openxmlformats.org/drawingml/2006/picture">
                      <pic:pic xmlns:pic="http://schemas.openxmlformats.org/drawingml/2006/picture">
                        <pic:nvPicPr>
                          <pic:cNvPr id="286" name="图片_87_SpCnt_2"/>
                          <pic:cNvPicPr/>
                        </pic:nvPicPr>
                        <pic:blipFill>
                          <a:blip r:embed="rId208"/>
                          <a:stretch>
                            <a:fillRect/>
                          </a:stretch>
                        </pic:blipFill>
                        <pic:spPr>
                          <a:xfrm>
                            <a:off x="0" y="0"/>
                            <a:ext cx="323215" cy="42862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单水池</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SIZE：500*500*800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选用SUS304不锈钢板制作；支架、通脚、可调脚为Φ38不锈钢管，管壁厚1.0mm，配置不锈钢可调脚，配落水器；带后挡板，台板厚1.0mm；</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22432" behindDoc="0" locked="0" layoutInCell="1" allowOverlap="1">
                  <wp:simplePos x="0" y="0"/>
                  <wp:positionH relativeFrom="column">
                    <wp:posOffset>133350</wp:posOffset>
                  </wp:positionH>
                  <wp:positionV relativeFrom="paragraph">
                    <wp:posOffset>85090</wp:posOffset>
                  </wp:positionV>
                  <wp:extent cx="447675" cy="457200"/>
                  <wp:effectExtent l="0" t="0" r="9525" b="0"/>
                  <wp:wrapNone/>
                  <wp:docPr id="287" name="Picture_114_SpCnt_8"/>
                  <wp:cNvGraphicFramePr/>
                  <a:graphic xmlns:a="http://schemas.openxmlformats.org/drawingml/2006/main">
                    <a:graphicData uri="http://schemas.openxmlformats.org/drawingml/2006/picture">
                      <pic:pic xmlns:pic="http://schemas.openxmlformats.org/drawingml/2006/picture">
                        <pic:nvPicPr>
                          <pic:cNvPr id="287" name="Picture_114_SpCnt_8"/>
                          <pic:cNvPicPr/>
                        </pic:nvPicPr>
                        <pic:blipFill>
                          <a:blip r:embed="rId209"/>
                          <a:stretch>
                            <a:fillRect/>
                          </a:stretch>
                        </pic:blipFill>
                        <pic:spPr>
                          <a:xfrm>
                            <a:off x="0" y="0"/>
                            <a:ext cx="447675" cy="4572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337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4a</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高抛龙头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 xml:space="preserve">                            1.座台式安装，单孔单温，鹅颈水嘴；</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2.低铅铜铸造表面抛光镀铬处理；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3.陶瓷阀芯一字开形手柄；</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4.开孔尺寸为25mm，进水接口为1/2"内螺纹；                                                   </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◆生产厂家有购买产品第三方责任险，累计赔偿额不低于200万元。</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 xml:space="preserve">                                 ◆产品材质铅的含量≤0.22%并提供相应检测报告复印件。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23456" behindDoc="0" locked="0" layoutInCell="1" allowOverlap="1">
                  <wp:simplePos x="0" y="0"/>
                  <wp:positionH relativeFrom="column">
                    <wp:posOffset>219075</wp:posOffset>
                  </wp:positionH>
                  <wp:positionV relativeFrom="paragraph">
                    <wp:posOffset>828675</wp:posOffset>
                  </wp:positionV>
                  <wp:extent cx="314325" cy="494030"/>
                  <wp:effectExtent l="0" t="0" r="9525" b="1270"/>
                  <wp:wrapNone/>
                  <wp:docPr id="288" name="图片_32_SpCnt_11"/>
                  <wp:cNvGraphicFramePr/>
                  <a:graphic xmlns:a="http://schemas.openxmlformats.org/drawingml/2006/main">
                    <a:graphicData uri="http://schemas.openxmlformats.org/drawingml/2006/picture">
                      <pic:pic xmlns:pic="http://schemas.openxmlformats.org/drawingml/2006/picture">
                        <pic:nvPicPr>
                          <pic:cNvPr id="288" name="图片_32_SpCnt_11"/>
                          <pic:cNvPicPr/>
                        </pic:nvPicPr>
                        <pic:blipFill>
                          <a:blip r:embed="rId210"/>
                          <a:stretch>
                            <a:fillRect/>
                          </a:stretch>
                        </pic:blipFill>
                        <pic:spPr>
                          <a:xfrm>
                            <a:off x="0" y="0"/>
                            <a:ext cx="314325" cy="49403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其它</w:t>
            </w:r>
            <w:r>
              <w:rPr>
                <w:rFonts w:hint="eastAsia" w:ascii="宋体" w:hAnsi="宋体" w:cs="宋体"/>
                <w:color w:val="000000"/>
                <w:kern w:val="0"/>
                <w:sz w:val="24"/>
              </w:rPr>
              <w:drawing>
                <wp:anchor distT="0" distB="0" distL="114300" distR="114300" simplePos="0" relativeHeight="251924480" behindDoc="0" locked="0" layoutInCell="1" allowOverlap="1">
                  <wp:simplePos x="0" y="0"/>
                  <wp:positionH relativeFrom="column">
                    <wp:posOffset>57150</wp:posOffset>
                  </wp:positionH>
                  <wp:positionV relativeFrom="paragraph">
                    <wp:posOffset>0</wp:posOffset>
                  </wp:positionV>
                  <wp:extent cx="562610" cy="0"/>
                  <wp:effectExtent l="0" t="0" r="0" b="0"/>
                  <wp:wrapNone/>
                  <wp:docPr id="289" name="图片_69_SpCnt_26"/>
                  <wp:cNvGraphicFramePr/>
                  <a:graphic xmlns:a="http://schemas.openxmlformats.org/drawingml/2006/main">
                    <a:graphicData uri="http://schemas.openxmlformats.org/drawingml/2006/picture">
                      <pic:pic xmlns:pic="http://schemas.openxmlformats.org/drawingml/2006/picture">
                        <pic:nvPicPr>
                          <pic:cNvPr id="289" name="图片_69_SpCnt_26"/>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25504" behindDoc="0" locked="0" layoutInCell="1" allowOverlap="1">
                  <wp:simplePos x="0" y="0"/>
                  <wp:positionH relativeFrom="column">
                    <wp:posOffset>57150</wp:posOffset>
                  </wp:positionH>
                  <wp:positionV relativeFrom="paragraph">
                    <wp:posOffset>0</wp:posOffset>
                  </wp:positionV>
                  <wp:extent cx="562610" cy="0"/>
                  <wp:effectExtent l="0" t="0" r="0" b="0"/>
                  <wp:wrapNone/>
                  <wp:docPr id="290" name="图片_69_SpCnt_27"/>
                  <wp:cNvGraphicFramePr/>
                  <a:graphic xmlns:a="http://schemas.openxmlformats.org/drawingml/2006/main">
                    <a:graphicData uri="http://schemas.openxmlformats.org/drawingml/2006/picture">
                      <pic:pic xmlns:pic="http://schemas.openxmlformats.org/drawingml/2006/picture">
                        <pic:nvPicPr>
                          <pic:cNvPr id="290" name="图片_69_SpCnt_27"/>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26528" behindDoc="0" locked="0" layoutInCell="1" allowOverlap="1">
                  <wp:simplePos x="0" y="0"/>
                  <wp:positionH relativeFrom="column">
                    <wp:posOffset>66675</wp:posOffset>
                  </wp:positionH>
                  <wp:positionV relativeFrom="paragraph">
                    <wp:posOffset>0</wp:posOffset>
                  </wp:positionV>
                  <wp:extent cx="562610" cy="0"/>
                  <wp:effectExtent l="0" t="0" r="0" b="0"/>
                  <wp:wrapNone/>
                  <wp:docPr id="291" name="图片_69_SpCnt_28"/>
                  <wp:cNvGraphicFramePr/>
                  <a:graphic xmlns:a="http://schemas.openxmlformats.org/drawingml/2006/main">
                    <a:graphicData uri="http://schemas.openxmlformats.org/drawingml/2006/picture">
                      <pic:pic xmlns:pic="http://schemas.openxmlformats.org/drawingml/2006/picture">
                        <pic:nvPicPr>
                          <pic:cNvPr id="291" name="图片_69_SpCnt_28"/>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27552" behindDoc="0" locked="0" layoutInCell="1" allowOverlap="1">
                  <wp:simplePos x="0" y="0"/>
                  <wp:positionH relativeFrom="column">
                    <wp:posOffset>66675</wp:posOffset>
                  </wp:positionH>
                  <wp:positionV relativeFrom="paragraph">
                    <wp:posOffset>0</wp:posOffset>
                  </wp:positionV>
                  <wp:extent cx="562610" cy="0"/>
                  <wp:effectExtent l="0" t="0" r="0" b="0"/>
                  <wp:wrapNone/>
                  <wp:docPr id="292" name="图片_69_SpCnt_29"/>
                  <wp:cNvGraphicFramePr/>
                  <a:graphic xmlns:a="http://schemas.openxmlformats.org/drawingml/2006/main">
                    <a:graphicData uri="http://schemas.openxmlformats.org/drawingml/2006/picture">
                      <pic:pic xmlns:pic="http://schemas.openxmlformats.org/drawingml/2006/picture">
                        <pic:nvPicPr>
                          <pic:cNvPr id="292" name="图片_69_SpCnt_29"/>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28576" behindDoc="0" locked="0" layoutInCell="1" allowOverlap="1">
                  <wp:simplePos x="0" y="0"/>
                  <wp:positionH relativeFrom="column">
                    <wp:posOffset>66675</wp:posOffset>
                  </wp:positionH>
                  <wp:positionV relativeFrom="paragraph">
                    <wp:posOffset>0</wp:posOffset>
                  </wp:positionV>
                  <wp:extent cx="562610" cy="0"/>
                  <wp:effectExtent l="0" t="0" r="0" b="0"/>
                  <wp:wrapNone/>
                  <wp:docPr id="293" name="图片_69_SpCnt_30"/>
                  <wp:cNvGraphicFramePr/>
                  <a:graphic xmlns:a="http://schemas.openxmlformats.org/drawingml/2006/main">
                    <a:graphicData uri="http://schemas.openxmlformats.org/drawingml/2006/picture">
                      <pic:pic xmlns:pic="http://schemas.openxmlformats.org/drawingml/2006/picture">
                        <pic:nvPicPr>
                          <pic:cNvPr id="293" name="图片_69_SpCnt_30"/>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29600" behindDoc="0" locked="0" layoutInCell="1" allowOverlap="1">
                  <wp:simplePos x="0" y="0"/>
                  <wp:positionH relativeFrom="column">
                    <wp:posOffset>66675</wp:posOffset>
                  </wp:positionH>
                  <wp:positionV relativeFrom="paragraph">
                    <wp:posOffset>0</wp:posOffset>
                  </wp:positionV>
                  <wp:extent cx="562610" cy="0"/>
                  <wp:effectExtent l="0" t="0" r="0" b="0"/>
                  <wp:wrapNone/>
                  <wp:docPr id="294" name="图片_69_SpCnt_31"/>
                  <wp:cNvGraphicFramePr/>
                  <a:graphic xmlns:a="http://schemas.openxmlformats.org/drawingml/2006/main">
                    <a:graphicData uri="http://schemas.openxmlformats.org/drawingml/2006/picture">
                      <pic:pic xmlns:pic="http://schemas.openxmlformats.org/drawingml/2006/picture">
                        <pic:nvPicPr>
                          <pic:cNvPr id="294" name="图片_69_SpCnt_31"/>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30624" behindDoc="0" locked="0" layoutInCell="1" allowOverlap="1">
                  <wp:simplePos x="0" y="0"/>
                  <wp:positionH relativeFrom="column">
                    <wp:posOffset>66675</wp:posOffset>
                  </wp:positionH>
                  <wp:positionV relativeFrom="paragraph">
                    <wp:posOffset>0</wp:posOffset>
                  </wp:positionV>
                  <wp:extent cx="562610" cy="0"/>
                  <wp:effectExtent l="0" t="0" r="0" b="0"/>
                  <wp:wrapNone/>
                  <wp:docPr id="295" name="图片_69_SpCnt_32"/>
                  <wp:cNvGraphicFramePr/>
                  <a:graphic xmlns:a="http://schemas.openxmlformats.org/drawingml/2006/main">
                    <a:graphicData uri="http://schemas.openxmlformats.org/drawingml/2006/picture">
                      <pic:pic xmlns:pic="http://schemas.openxmlformats.org/drawingml/2006/picture">
                        <pic:nvPicPr>
                          <pic:cNvPr id="295" name="图片_69_SpCnt_32"/>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31648" behindDoc="0" locked="0" layoutInCell="1" allowOverlap="1">
                  <wp:simplePos x="0" y="0"/>
                  <wp:positionH relativeFrom="column">
                    <wp:posOffset>66675</wp:posOffset>
                  </wp:positionH>
                  <wp:positionV relativeFrom="paragraph">
                    <wp:posOffset>0</wp:posOffset>
                  </wp:positionV>
                  <wp:extent cx="562610" cy="0"/>
                  <wp:effectExtent l="0" t="0" r="0" b="0"/>
                  <wp:wrapNone/>
                  <wp:docPr id="296" name="图片_69_SpCnt_33"/>
                  <wp:cNvGraphicFramePr/>
                  <a:graphic xmlns:a="http://schemas.openxmlformats.org/drawingml/2006/main">
                    <a:graphicData uri="http://schemas.openxmlformats.org/drawingml/2006/picture">
                      <pic:pic xmlns:pic="http://schemas.openxmlformats.org/drawingml/2006/picture">
                        <pic:nvPicPr>
                          <pic:cNvPr id="296" name="图片_69_SpCnt_33"/>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32672" behindDoc="0" locked="0" layoutInCell="1" allowOverlap="1">
                  <wp:simplePos x="0" y="0"/>
                  <wp:positionH relativeFrom="column">
                    <wp:posOffset>76200</wp:posOffset>
                  </wp:positionH>
                  <wp:positionV relativeFrom="paragraph">
                    <wp:posOffset>0</wp:posOffset>
                  </wp:positionV>
                  <wp:extent cx="561975" cy="0"/>
                  <wp:effectExtent l="0" t="0" r="0" b="0"/>
                  <wp:wrapNone/>
                  <wp:docPr id="297" name="图片_69_SpCnt_34"/>
                  <wp:cNvGraphicFramePr/>
                  <a:graphic xmlns:a="http://schemas.openxmlformats.org/drawingml/2006/main">
                    <a:graphicData uri="http://schemas.openxmlformats.org/drawingml/2006/picture">
                      <pic:pic xmlns:pic="http://schemas.openxmlformats.org/drawingml/2006/picture">
                        <pic:nvPicPr>
                          <pic:cNvPr id="297" name="图片_69_SpCnt_34"/>
                          <pic:cNvPicPr/>
                        </pic:nvPicPr>
                        <pic:blipFill>
                          <a:blip r:embed="rId67"/>
                          <a:stretch>
                            <a:fillRect/>
                          </a:stretch>
                        </pic:blipFill>
                        <pic:spPr>
                          <a:xfrm>
                            <a:off x="0" y="0"/>
                            <a:ext cx="56197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33696" behindDoc="0" locked="0" layoutInCell="1" allowOverlap="1">
                  <wp:simplePos x="0" y="0"/>
                  <wp:positionH relativeFrom="column">
                    <wp:posOffset>76200</wp:posOffset>
                  </wp:positionH>
                  <wp:positionV relativeFrom="paragraph">
                    <wp:posOffset>0</wp:posOffset>
                  </wp:positionV>
                  <wp:extent cx="561975" cy="0"/>
                  <wp:effectExtent l="0" t="0" r="0" b="0"/>
                  <wp:wrapNone/>
                  <wp:docPr id="298" name="图片_69_SpCnt_35"/>
                  <wp:cNvGraphicFramePr/>
                  <a:graphic xmlns:a="http://schemas.openxmlformats.org/drawingml/2006/main">
                    <a:graphicData uri="http://schemas.openxmlformats.org/drawingml/2006/picture">
                      <pic:pic xmlns:pic="http://schemas.openxmlformats.org/drawingml/2006/picture">
                        <pic:nvPicPr>
                          <pic:cNvPr id="298" name="图片_69_SpCnt_35"/>
                          <pic:cNvPicPr/>
                        </pic:nvPicPr>
                        <pic:blipFill>
                          <a:blip r:embed="rId67"/>
                          <a:stretch>
                            <a:fillRect/>
                          </a:stretch>
                        </pic:blipFill>
                        <pic:spPr>
                          <a:xfrm>
                            <a:off x="0" y="0"/>
                            <a:ext cx="56197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34720" behindDoc="0" locked="0" layoutInCell="1" allowOverlap="1">
                  <wp:simplePos x="0" y="0"/>
                  <wp:positionH relativeFrom="column">
                    <wp:posOffset>76200</wp:posOffset>
                  </wp:positionH>
                  <wp:positionV relativeFrom="paragraph">
                    <wp:posOffset>0</wp:posOffset>
                  </wp:positionV>
                  <wp:extent cx="561975" cy="0"/>
                  <wp:effectExtent l="0" t="0" r="0" b="0"/>
                  <wp:wrapNone/>
                  <wp:docPr id="299" name="图片_69_SpCnt_36"/>
                  <wp:cNvGraphicFramePr/>
                  <a:graphic xmlns:a="http://schemas.openxmlformats.org/drawingml/2006/main">
                    <a:graphicData uri="http://schemas.openxmlformats.org/drawingml/2006/picture">
                      <pic:pic xmlns:pic="http://schemas.openxmlformats.org/drawingml/2006/picture">
                        <pic:nvPicPr>
                          <pic:cNvPr id="299" name="图片_69_SpCnt_36"/>
                          <pic:cNvPicPr/>
                        </pic:nvPicPr>
                        <pic:blipFill>
                          <a:blip r:embed="rId67"/>
                          <a:stretch>
                            <a:fillRect/>
                          </a:stretch>
                        </pic:blipFill>
                        <pic:spPr>
                          <a:xfrm>
                            <a:off x="0" y="0"/>
                            <a:ext cx="56197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35744" behindDoc="0" locked="0" layoutInCell="1" allowOverlap="1">
                  <wp:simplePos x="0" y="0"/>
                  <wp:positionH relativeFrom="column">
                    <wp:posOffset>76200</wp:posOffset>
                  </wp:positionH>
                  <wp:positionV relativeFrom="paragraph">
                    <wp:posOffset>0</wp:posOffset>
                  </wp:positionV>
                  <wp:extent cx="561975" cy="0"/>
                  <wp:effectExtent l="0" t="0" r="0" b="0"/>
                  <wp:wrapNone/>
                  <wp:docPr id="300" name="图片_69_SpCnt_37"/>
                  <wp:cNvGraphicFramePr/>
                  <a:graphic xmlns:a="http://schemas.openxmlformats.org/drawingml/2006/main">
                    <a:graphicData uri="http://schemas.openxmlformats.org/drawingml/2006/picture">
                      <pic:pic xmlns:pic="http://schemas.openxmlformats.org/drawingml/2006/picture">
                        <pic:nvPicPr>
                          <pic:cNvPr id="300" name="图片_69_SpCnt_37"/>
                          <pic:cNvPicPr/>
                        </pic:nvPicPr>
                        <pic:blipFill>
                          <a:blip r:embed="rId67"/>
                          <a:stretch>
                            <a:fillRect/>
                          </a:stretch>
                        </pic:blipFill>
                        <pic:spPr>
                          <a:xfrm>
                            <a:off x="0" y="0"/>
                            <a:ext cx="56197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36768" behindDoc="0" locked="0" layoutInCell="1" allowOverlap="1">
                  <wp:simplePos x="0" y="0"/>
                  <wp:positionH relativeFrom="column">
                    <wp:posOffset>76200</wp:posOffset>
                  </wp:positionH>
                  <wp:positionV relativeFrom="paragraph">
                    <wp:posOffset>0</wp:posOffset>
                  </wp:positionV>
                  <wp:extent cx="561975" cy="0"/>
                  <wp:effectExtent l="0" t="0" r="0" b="0"/>
                  <wp:wrapNone/>
                  <wp:docPr id="301" name="图片_69_SpCnt_38"/>
                  <wp:cNvGraphicFramePr/>
                  <a:graphic xmlns:a="http://schemas.openxmlformats.org/drawingml/2006/main">
                    <a:graphicData uri="http://schemas.openxmlformats.org/drawingml/2006/picture">
                      <pic:pic xmlns:pic="http://schemas.openxmlformats.org/drawingml/2006/picture">
                        <pic:nvPicPr>
                          <pic:cNvPr id="301" name="图片_69_SpCnt_38"/>
                          <pic:cNvPicPr/>
                        </pic:nvPicPr>
                        <pic:blipFill>
                          <a:blip r:embed="rId67"/>
                          <a:stretch>
                            <a:fillRect/>
                          </a:stretch>
                        </pic:blipFill>
                        <pic:spPr>
                          <a:xfrm>
                            <a:off x="0" y="0"/>
                            <a:ext cx="56197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37792" behindDoc="0" locked="0" layoutInCell="1" allowOverlap="1">
                  <wp:simplePos x="0" y="0"/>
                  <wp:positionH relativeFrom="column">
                    <wp:posOffset>76200</wp:posOffset>
                  </wp:positionH>
                  <wp:positionV relativeFrom="paragraph">
                    <wp:posOffset>0</wp:posOffset>
                  </wp:positionV>
                  <wp:extent cx="561975" cy="0"/>
                  <wp:effectExtent l="0" t="0" r="0" b="0"/>
                  <wp:wrapNone/>
                  <wp:docPr id="302" name="图片_69_SpCnt_39"/>
                  <wp:cNvGraphicFramePr/>
                  <a:graphic xmlns:a="http://schemas.openxmlformats.org/drawingml/2006/main">
                    <a:graphicData uri="http://schemas.openxmlformats.org/drawingml/2006/picture">
                      <pic:pic xmlns:pic="http://schemas.openxmlformats.org/drawingml/2006/picture">
                        <pic:nvPicPr>
                          <pic:cNvPr id="302" name="图片_69_SpCnt_39"/>
                          <pic:cNvPicPr/>
                        </pic:nvPicPr>
                        <pic:blipFill>
                          <a:blip r:embed="rId67"/>
                          <a:stretch>
                            <a:fillRect/>
                          </a:stretch>
                        </pic:blipFill>
                        <pic:spPr>
                          <a:xfrm>
                            <a:off x="0" y="0"/>
                            <a:ext cx="56197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38816" behindDoc="0" locked="0" layoutInCell="1" allowOverlap="1">
                  <wp:simplePos x="0" y="0"/>
                  <wp:positionH relativeFrom="column">
                    <wp:posOffset>76200</wp:posOffset>
                  </wp:positionH>
                  <wp:positionV relativeFrom="paragraph">
                    <wp:posOffset>0</wp:posOffset>
                  </wp:positionV>
                  <wp:extent cx="561975" cy="0"/>
                  <wp:effectExtent l="0" t="0" r="0" b="0"/>
                  <wp:wrapNone/>
                  <wp:docPr id="303" name="图片_69_SpCnt_40"/>
                  <wp:cNvGraphicFramePr/>
                  <a:graphic xmlns:a="http://schemas.openxmlformats.org/drawingml/2006/main">
                    <a:graphicData uri="http://schemas.openxmlformats.org/drawingml/2006/picture">
                      <pic:pic xmlns:pic="http://schemas.openxmlformats.org/drawingml/2006/picture">
                        <pic:nvPicPr>
                          <pic:cNvPr id="303" name="图片_69_SpCnt_40"/>
                          <pic:cNvPicPr/>
                        </pic:nvPicPr>
                        <pic:blipFill>
                          <a:blip r:embed="rId67"/>
                          <a:stretch>
                            <a:fillRect/>
                          </a:stretch>
                        </pic:blipFill>
                        <pic:spPr>
                          <a:xfrm>
                            <a:off x="0" y="0"/>
                            <a:ext cx="56197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39840" behindDoc="0" locked="0" layoutInCell="1" allowOverlap="1">
                  <wp:simplePos x="0" y="0"/>
                  <wp:positionH relativeFrom="column">
                    <wp:posOffset>76200</wp:posOffset>
                  </wp:positionH>
                  <wp:positionV relativeFrom="paragraph">
                    <wp:posOffset>0</wp:posOffset>
                  </wp:positionV>
                  <wp:extent cx="561975" cy="0"/>
                  <wp:effectExtent l="0" t="0" r="0" b="0"/>
                  <wp:wrapNone/>
                  <wp:docPr id="304" name="图片_69_SpCnt_41"/>
                  <wp:cNvGraphicFramePr/>
                  <a:graphic xmlns:a="http://schemas.openxmlformats.org/drawingml/2006/main">
                    <a:graphicData uri="http://schemas.openxmlformats.org/drawingml/2006/picture">
                      <pic:pic xmlns:pic="http://schemas.openxmlformats.org/drawingml/2006/picture">
                        <pic:nvPicPr>
                          <pic:cNvPr id="304" name="图片_69_SpCnt_41"/>
                          <pic:cNvPicPr/>
                        </pic:nvPicPr>
                        <pic:blipFill>
                          <a:blip r:embed="rId67"/>
                          <a:stretch>
                            <a:fillRect/>
                          </a:stretch>
                        </pic:blipFill>
                        <pic:spPr>
                          <a:xfrm>
                            <a:off x="0" y="0"/>
                            <a:ext cx="56197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40864" behindDoc="0" locked="0" layoutInCell="1" allowOverlap="1">
                  <wp:simplePos x="0" y="0"/>
                  <wp:positionH relativeFrom="column">
                    <wp:posOffset>76200</wp:posOffset>
                  </wp:positionH>
                  <wp:positionV relativeFrom="paragraph">
                    <wp:posOffset>0</wp:posOffset>
                  </wp:positionV>
                  <wp:extent cx="561975" cy="0"/>
                  <wp:effectExtent l="0" t="0" r="0" b="0"/>
                  <wp:wrapNone/>
                  <wp:docPr id="305" name="图片_69_SpCnt_42"/>
                  <wp:cNvGraphicFramePr/>
                  <a:graphic xmlns:a="http://schemas.openxmlformats.org/drawingml/2006/main">
                    <a:graphicData uri="http://schemas.openxmlformats.org/drawingml/2006/picture">
                      <pic:pic xmlns:pic="http://schemas.openxmlformats.org/drawingml/2006/picture">
                        <pic:nvPicPr>
                          <pic:cNvPr id="305" name="图片_69_SpCnt_42"/>
                          <pic:cNvPicPr/>
                        </pic:nvPicPr>
                        <pic:blipFill>
                          <a:blip r:embed="rId67"/>
                          <a:stretch>
                            <a:fillRect/>
                          </a:stretch>
                        </pic:blipFill>
                        <pic:spPr>
                          <a:xfrm>
                            <a:off x="0" y="0"/>
                            <a:ext cx="56197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41888" behindDoc="0" locked="0" layoutInCell="1" allowOverlap="1">
                  <wp:simplePos x="0" y="0"/>
                  <wp:positionH relativeFrom="column">
                    <wp:posOffset>85725</wp:posOffset>
                  </wp:positionH>
                  <wp:positionV relativeFrom="paragraph">
                    <wp:posOffset>0</wp:posOffset>
                  </wp:positionV>
                  <wp:extent cx="562610" cy="0"/>
                  <wp:effectExtent l="0" t="0" r="0" b="0"/>
                  <wp:wrapNone/>
                  <wp:docPr id="306" name="图片_69_SpCnt_43"/>
                  <wp:cNvGraphicFramePr/>
                  <a:graphic xmlns:a="http://schemas.openxmlformats.org/drawingml/2006/main">
                    <a:graphicData uri="http://schemas.openxmlformats.org/drawingml/2006/picture">
                      <pic:pic xmlns:pic="http://schemas.openxmlformats.org/drawingml/2006/picture">
                        <pic:nvPicPr>
                          <pic:cNvPr id="306" name="图片_69_SpCnt_43"/>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42912" behindDoc="0" locked="0" layoutInCell="1" allowOverlap="1">
                  <wp:simplePos x="0" y="0"/>
                  <wp:positionH relativeFrom="column">
                    <wp:posOffset>85725</wp:posOffset>
                  </wp:positionH>
                  <wp:positionV relativeFrom="paragraph">
                    <wp:posOffset>0</wp:posOffset>
                  </wp:positionV>
                  <wp:extent cx="562610" cy="0"/>
                  <wp:effectExtent l="0" t="0" r="0" b="0"/>
                  <wp:wrapNone/>
                  <wp:docPr id="307" name="图片_69_SpCnt_44"/>
                  <wp:cNvGraphicFramePr/>
                  <a:graphic xmlns:a="http://schemas.openxmlformats.org/drawingml/2006/main">
                    <a:graphicData uri="http://schemas.openxmlformats.org/drawingml/2006/picture">
                      <pic:pic xmlns:pic="http://schemas.openxmlformats.org/drawingml/2006/picture">
                        <pic:nvPicPr>
                          <pic:cNvPr id="307" name="图片_69_SpCnt_44"/>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43936" behindDoc="0" locked="0" layoutInCell="1" allowOverlap="1">
                  <wp:simplePos x="0" y="0"/>
                  <wp:positionH relativeFrom="column">
                    <wp:posOffset>85725</wp:posOffset>
                  </wp:positionH>
                  <wp:positionV relativeFrom="paragraph">
                    <wp:posOffset>0</wp:posOffset>
                  </wp:positionV>
                  <wp:extent cx="562610" cy="0"/>
                  <wp:effectExtent l="0" t="0" r="0" b="0"/>
                  <wp:wrapNone/>
                  <wp:docPr id="308" name="图片_69_SpCnt_45"/>
                  <wp:cNvGraphicFramePr/>
                  <a:graphic xmlns:a="http://schemas.openxmlformats.org/drawingml/2006/main">
                    <a:graphicData uri="http://schemas.openxmlformats.org/drawingml/2006/picture">
                      <pic:pic xmlns:pic="http://schemas.openxmlformats.org/drawingml/2006/picture">
                        <pic:nvPicPr>
                          <pic:cNvPr id="308" name="图片_69_SpCnt_45"/>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44960" behindDoc="0" locked="0" layoutInCell="1" allowOverlap="1">
                  <wp:simplePos x="0" y="0"/>
                  <wp:positionH relativeFrom="column">
                    <wp:posOffset>85725</wp:posOffset>
                  </wp:positionH>
                  <wp:positionV relativeFrom="paragraph">
                    <wp:posOffset>0</wp:posOffset>
                  </wp:positionV>
                  <wp:extent cx="562610" cy="0"/>
                  <wp:effectExtent l="0" t="0" r="0" b="0"/>
                  <wp:wrapNone/>
                  <wp:docPr id="309" name="图片_69_SpCnt_46"/>
                  <wp:cNvGraphicFramePr/>
                  <a:graphic xmlns:a="http://schemas.openxmlformats.org/drawingml/2006/main">
                    <a:graphicData uri="http://schemas.openxmlformats.org/drawingml/2006/picture">
                      <pic:pic xmlns:pic="http://schemas.openxmlformats.org/drawingml/2006/picture">
                        <pic:nvPicPr>
                          <pic:cNvPr id="309" name="图片_69_SpCnt_46"/>
                          <pic:cNvPicPr/>
                        </pic:nvPicPr>
                        <pic:blipFill>
                          <a:blip r:embed="rId67"/>
                          <a:stretch>
                            <a:fillRect/>
                          </a:stretch>
                        </pic:blipFill>
                        <pic:spPr>
                          <a:xfrm>
                            <a:off x="0" y="0"/>
                            <a:ext cx="56261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45984" behindDoc="0" locked="0" layoutInCell="1" allowOverlap="1">
                  <wp:simplePos x="0" y="0"/>
                  <wp:positionH relativeFrom="column">
                    <wp:posOffset>152400</wp:posOffset>
                  </wp:positionH>
                  <wp:positionV relativeFrom="paragraph">
                    <wp:posOffset>0</wp:posOffset>
                  </wp:positionV>
                  <wp:extent cx="342900" cy="0"/>
                  <wp:effectExtent l="0" t="0" r="0" b="0"/>
                  <wp:wrapNone/>
                  <wp:docPr id="310" name="图片_84_SpCnt_1"/>
                  <wp:cNvGraphicFramePr/>
                  <a:graphic xmlns:a="http://schemas.openxmlformats.org/drawingml/2006/main">
                    <a:graphicData uri="http://schemas.openxmlformats.org/drawingml/2006/picture">
                      <pic:pic xmlns:pic="http://schemas.openxmlformats.org/drawingml/2006/picture">
                        <pic:nvPicPr>
                          <pic:cNvPr id="310" name="图片_84_SpCnt_1"/>
                          <pic:cNvPicPr/>
                        </pic:nvPicPr>
                        <pic:blipFill>
                          <a:blip r:embed="rId67"/>
                          <a:stretch>
                            <a:fillRect/>
                          </a:stretch>
                        </pic:blipFill>
                        <pic:spPr>
                          <a:xfrm>
                            <a:off x="0" y="0"/>
                            <a:ext cx="34290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47008" behindDoc="0" locked="0" layoutInCell="1" allowOverlap="1">
                  <wp:simplePos x="0" y="0"/>
                  <wp:positionH relativeFrom="column">
                    <wp:posOffset>171450</wp:posOffset>
                  </wp:positionH>
                  <wp:positionV relativeFrom="paragraph">
                    <wp:posOffset>0</wp:posOffset>
                  </wp:positionV>
                  <wp:extent cx="371475" cy="0"/>
                  <wp:effectExtent l="0" t="0" r="0" b="0"/>
                  <wp:wrapNone/>
                  <wp:docPr id="311" name="图片_131_SpCnt_4"/>
                  <wp:cNvGraphicFramePr/>
                  <a:graphic xmlns:a="http://schemas.openxmlformats.org/drawingml/2006/main">
                    <a:graphicData uri="http://schemas.openxmlformats.org/drawingml/2006/picture">
                      <pic:pic xmlns:pic="http://schemas.openxmlformats.org/drawingml/2006/picture">
                        <pic:nvPicPr>
                          <pic:cNvPr id="311" name="图片_131_SpCnt_4"/>
                          <pic:cNvPicPr/>
                        </pic:nvPicPr>
                        <pic:blipFill>
                          <a:blip r:embed="rId67"/>
                          <a:stretch>
                            <a:fillRect/>
                          </a:stretch>
                        </pic:blipFill>
                        <pic:spPr>
                          <a:xfrm>
                            <a:off x="0" y="0"/>
                            <a:ext cx="37147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48032" behindDoc="0" locked="0" layoutInCell="1" allowOverlap="1">
                  <wp:simplePos x="0" y="0"/>
                  <wp:positionH relativeFrom="column">
                    <wp:posOffset>209550</wp:posOffset>
                  </wp:positionH>
                  <wp:positionV relativeFrom="paragraph">
                    <wp:posOffset>0</wp:posOffset>
                  </wp:positionV>
                  <wp:extent cx="342900" cy="0"/>
                  <wp:effectExtent l="0" t="0" r="0" b="0"/>
                  <wp:wrapNone/>
                  <wp:docPr id="312" name="图片_84_SpCnt_2"/>
                  <wp:cNvGraphicFramePr/>
                  <a:graphic xmlns:a="http://schemas.openxmlformats.org/drawingml/2006/main">
                    <a:graphicData uri="http://schemas.openxmlformats.org/drawingml/2006/picture">
                      <pic:pic xmlns:pic="http://schemas.openxmlformats.org/drawingml/2006/picture">
                        <pic:nvPicPr>
                          <pic:cNvPr id="312" name="图片_84_SpCnt_2"/>
                          <pic:cNvPicPr/>
                        </pic:nvPicPr>
                        <pic:blipFill>
                          <a:blip r:embed="rId67"/>
                          <a:stretch>
                            <a:fillRect/>
                          </a:stretch>
                        </pic:blipFill>
                        <pic:spPr>
                          <a:xfrm>
                            <a:off x="0" y="0"/>
                            <a:ext cx="342900"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三层餐车</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SIZE：900*500*900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选用SUS304不锈钢板制作，台面板厚1.0mm，分三层，平台式，模压推车手，下配万向脚轮。</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辆</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49056" behindDoc="0" locked="0" layoutInCell="1" allowOverlap="1">
                  <wp:simplePos x="0" y="0"/>
                  <wp:positionH relativeFrom="column">
                    <wp:posOffset>123190</wp:posOffset>
                  </wp:positionH>
                  <wp:positionV relativeFrom="paragraph">
                    <wp:posOffset>56515</wp:posOffset>
                  </wp:positionV>
                  <wp:extent cx="428625" cy="410210"/>
                  <wp:effectExtent l="0" t="0" r="9525" b="8890"/>
                  <wp:wrapNone/>
                  <wp:docPr id="313" name="Picture_379"/>
                  <wp:cNvGraphicFramePr/>
                  <a:graphic xmlns:a="http://schemas.openxmlformats.org/drawingml/2006/main">
                    <a:graphicData uri="http://schemas.openxmlformats.org/drawingml/2006/picture">
                      <pic:pic xmlns:pic="http://schemas.openxmlformats.org/drawingml/2006/picture">
                        <pic:nvPicPr>
                          <pic:cNvPr id="313" name="Picture_379"/>
                          <pic:cNvPicPr/>
                        </pic:nvPicPr>
                        <pic:blipFill>
                          <a:blip r:embed="rId211"/>
                          <a:stretch>
                            <a:fillRect/>
                          </a:stretch>
                        </pic:blipFill>
                        <pic:spPr>
                          <a:xfrm>
                            <a:off x="0" y="0"/>
                            <a:ext cx="428625" cy="41021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二层回收车</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SIZE：900*500*900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选用SUS304不锈钢板制作，台面板厚1.0mm，分两层，深斗式，模压推车手，下配万向脚轮。</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辆</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50080" behindDoc="0" locked="0" layoutInCell="1" allowOverlap="1">
                  <wp:simplePos x="0" y="0"/>
                  <wp:positionH relativeFrom="column">
                    <wp:posOffset>133350</wp:posOffset>
                  </wp:positionH>
                  <wp:positionV relativeFrom="paragraph">
                    <wp:posOffset>66675</wp:posOffset>
                  </wp:positionV>
                  <wp:extent cx="456565" cy="410210"/>
                  <wp:effectExtent l="0" t="0" r="635" b="8890"/>
                  <wp:wrapNone/>
                  <wp:docPr id="314" name="Picture_158"/>
                  <wp:cNvGraphicFramePr/>
                  <a:graphic xmlns:a="http://schemas.openxmlformats.org/drawingml/2006/main">
                    <a:graphicData uri="http://schemas.openxmlformats.org/drawingml/2006/picture">
                      <pic:pic xmlns:pic="http://schemas.openxmlformats.org/drawingml/2006/picture">
                        <pic:nvPicPr>
                          <pic:cNvPr id="314" name="Picture_158"/>
                          <pic:cNvPicPr/>
                        </pic:nvPicPr>
                        <pic:blipFill>
                          <a:blip r:embed="rId212"/>
                          <a:stretch>
                            <a:fillRect/>
                          </a:stretch>
                        </pic:blipFill>
                        <pic:spPr>
                          <a:xfrm>
                            <a:off x="0" y="0"/>
                            <a:ext cx="456565" cy="41021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平板推车</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SIZE：800*600*800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选用SUS304不锈钢板制作，台面板厚1.0mm，模压推车手，下配万向脚轮。</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辆</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51104" behindDoc="0" locked="0" layoutInCell="1" allowOverlap="1">
                  <wp:simplePos x="0" y="0"/>
                  <wp:positionH relativeFrom="column">
                    <wp:posOffset>133350</wp:posOffset>
                  </wp:positionH>
                  <wp:positionV relativeFrom="paragraph">
                    <wp:posOffset>95885</wp:posOffset>
                  </wp:positionV>
                  <wp:extent cx="419100" cy="381000"/>
                  <wp:effectExtent l="0" t="0" r="0" b="0"/>
                  <wp:wrapNone/>
                  <wp:docPr id="315" name="Picture_157"/>
                  <wp:cNvGraphicFramePr/>
                  <a:graphic xmlns:a="http://schemas.openxmlformats.org/drawingml/2006/main">
                    <a:graphicData uri="http://schemas.openxmlformats.org/drawingml/2006/picture">
                      <pic:pic xmlns:pic="http://schemas.openxmlformats.org/drawingml/2006/picture">
                        <pic:nvPicPr>
                          <pic:cNvPr id="315" name="Picture_157"/>
                          <pic:cNvPicPr/>
                        </pic:nvPicPr>
                        <pic:blipFill>
                          <a:blip r:embed="rId213"/>
                          <a:stretch>
                            <a:fillRect/>
                          </a:stretch>
                        </pic:blipFill>
                        <pic:spPr>
                          <a:xfrm>
                            <a:off x="0" y="0"/>
                            <a:ext cx="419100" cy="3810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保温送餐车</w:t>
            </w:r>
          </w:p>
        </w:tc>
        <w:tc>
          <w:tcPr>
            <w:tcW w:w="1471"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SIZE：按使用方要求定制</w:t>
            </w:r>
          </w:p>
        </w:tc>
        <w:tc>
          <w:tcPr>
            <w:tcW w:w="261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选用SUS304-2B不锈钢板制作，面板厚1.0mm，模压推车手，下配万向脚轮。最终尺寸按餐梯轿箱尺寸及使用方要求定制。</w:t>
            </w:r>
          </w:p>
        </w:tc>
        <w:tc>
          <w:tcPr>
            <w:tcW w:w="670"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辆</w:t>
            </w:r>
          </w:p>
        </w:tc>
        <w:tc>
          <w:tcPr>
            <w:tcW w:w="55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170"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52128" behindDoc="0" locked="0" layoutInCell="1" allowOverlap="1">
                  <wp:simplePos x="0" y="0"/>
                  <wp:positionH relativeFrom="column">
                    <wp:posOffset>123190</wp:posOffset>
                  </wp:positionH>
                  <wp:positionV relativeFrom="paragraph">
                    <wp:posOffset>66675</wp:posOffset>
                  </wp:positionV>
                  <wp:extent cx="457200" cy="429260"/>
                  <wp:effectExtent l="0" t="0" r="0" b="8890"/>
                  <wp:wrapNone/>
                  <wp:docPr id="316" name="Picture_73"/>
                  <wp:cNvGraphicFramePr/>
                  <a:graphic xmlns:a="http://schemas.openxmlformats.org/drawingml/2006/main">
                    <a:graphicData uri="http://schemas.openxmlformats.org/drawingml/2006/picture">
                      <pic:pic xmlns:pic="http://schemas.openxmlformats.org/drawingml/2006/picture">
                        <pic:nvPicPr>
                          <pic:cNvPr id="316" name="Picture_73"/>
                          <pic:cNvPicPr/>
                        </pic:nvPicPr>
                        <pic:blipFill>
                          <a:blip r:embed="rId214"/>
                          <a:stretch>
                            <a:fillRect/>
                          </a:stretch>
                        </pic:blipFill>
                        <pic:spPr>
                          <a:xfrm>
                            <a:off x="0" y="0"/>
                            <a:ext cx="457200" cy="42926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排烟系统</w:t>
            </w:r>
          </w:p>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rPr>
              <w:drawing>
                <wp:anchor distT="0" distB="0" distL="114300" distR="114300" simplePos="0" relativeHeight="251953152" behindDoc="0" locked="0" layoutInCell="1" allowOverlap="1">
                  <wp:simplePos x="0" y="0"/>
                  <wp:positionH relativeFrom="column">
                    <wp:posOffset>171450</wp:posOffset>
                  </wp:positionH>
                  <wp:positionV relativeFrom="paragraph">
                    <wp:posOffset>0</wp:posOffset>
                  </wp:positionV>
                  <wp:extent cx="371475" cy="0"/>
                  <wp:effectExtent l="0" t="0" r="0" b="0"/>
                  <wp:wrapNone/>
                  <wp:docPr id="317" name="图片_131_SpCnt_5"/>
                  <wp:cNvGraphicFramePr/>
                  <a:graphic xmlns:a="http://schemas.openxmlformats.org/drawingml/2006/main">
                    <a:graphicData uri="http://schemas.openxmlformats.org/drawingml/2006/picture">
                      <pic:pic xmlns:pic="http://schemas.openxmlformats.org/drawingml/2006/picture">
                        <pic:nvPicPr>
                          <pic:cNvPr id="317" name="图片_131_SpCnt_5"/>
                          <pic:cNvPicPr/>
                        </pic:nvPicPr>
                        <pic:blipFill>
                          <a:blip r:embed="rId67"/>
                          <a:stretch>
                            <a:fillRect/>
                          </a:stretch>
                        </pic:blipFill>
                        <pic:spPr>
                          <a:xfrm>
                            <a:off x="0" y="0"/>
                            <a:ext cx="371475"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auto" w:sz="4" w:space="0"/>
              <w:left w:val="single" w:color="000000" w:sz="4" w:space="0"/>
              <w:bottom w:val="nil"/>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烹饪区</w:t>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排油烟风柜</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SIZE：约36#</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机箱外壳为优质A3钢板，整机可拆卸，风量：约66000~72000m3/h，（带消声装置，电机带消声罩），包括减震器、槽钢架底座等配套安装辅件。                                                             ◆提供生产厂家有效期内的消防产品认证证书。</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54176" behindDoc="0" locked="0" layoutInCell="1" allowOverlap="1">
                  <wp:simplePos x="0" y="0"/>
                  <wp:positionH relativeFrom="column">
                    <wp:posOffset>114300</wp:posOffset>
                  </wp:positionH>
                  <wp:positionV relativeFrom="paragraph">
                    <wp:posOffset>303530</wp:posOffset>
                  </wp:positionV>
                  <wp:extent cx="466725" cy="477520"/>
                  <wp:effectExtent l="0" t="0" r="9525" b="17780"/>
                  <wp:wrapNone/>
                  <wp:docPr id="318" name="Picture_257"/>
                  <wp:cNvGraphicFramePr/>
                  <a:graphic xmlns:a="http://schemas.openxmlformats.org/drawingml/2006/main">
                    <a:graphicData uri="http://schemas.openxmlformats.org/drawingml/2006/picture">
                      <pic:pic xmlns:pic="http://schemas.openxmlformats.org/drawingml/2006/picture">
                        <pic:nvPicPr>
                          <pic:cNvPr id="318" name="Picture_257"/>
                          <pic:cNvPicPr/>
                        </pic:nvPicPr>
                        <pic:blipFill>
                          <a:blip r:embed="rId215"/>
                          <a:stretch>
                            <a:fillRect/>
                          </a:stretch>
                        </pic:blipFill>
                        <pic:spPr>
                          <a:xfrm>
                            <a:off x="0" y="0"/>
                            <a:ext cx="466725" cy="47752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166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油烟净化器</w:t>
            </w:r>
            <w:r>
              <w:rPr>
                <w:rFonts w:hint="eastAsia" w:ascii="宋体" w:hAnsi="宋体" w:cs="宋体"/>
                <w:b/>
                <w:bCs/>
                <w:color w:val="000000"/>
                <w:kern w:val="0"/>
                <w:sz w:val="24"/>
                <w:lang w:bidi="ar"/>
              </w:rPr>
              <w:t>（提供净化器“电场”样品）</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SIZE：约72000风量</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kern w:val="0"/>
                <w:sz w:val="24"/>
                <w:lang w:bidi="ar"/>
              </w:rPr>
            </w:pPr>
            <w:r>
              <w:rPr>
                <w:rFonts w:hint="eastAsia" w:ascii="宋体" w:hAnsi="宋体" w:cs="宋体"/>
                <w:color w:val="000000"/>
                <w:kern w:val="0"/>
                <w:sz w:val="24"/>
                <w:lang w:bidi="ar"/>
              </w:rPr>
              <w:t xml:space="preserve">                                                    1、机箱采用高品质冷板焊接，表面进行喷塑处理。</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2、油烟净化率≥95%，非甲烷总烃去除率≥85%，颗粒物去除率≥95%，除臭效果≤60无量纲。</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3、智能电源具有软启动，恒流输出控制，灭弧保护，多次放电保护，高压开路保护，高压短路保护，电源板过温保护，高压变压器过温保护等功能。</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4、电源数码显示：数码输出端口，通过LED数码管，实时的显示工作电流或是对应的故障代码，可以准确的判断工作状态及故障情况。</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5、为确保净化效率，增加比收尘极面积，降低清洗频次，电场应采用菱形、多边形蜂窝结构，电场采用全铝压模制作，模块化设计，</w:t>
            </w:r>
            <w:r>
              <w:rPr>
                <w:rFonts w:hint="eastAsia" w:ascii="宋体" w:hAnsi="宋体" w:cs="宋体"/>
                <w:b/>
                <w:color w:val="000000"/>
                <w:kern w:val="0"/>
                <w:sz w:val="24"/>
                <w:lang w:bidi="ar"/>
              </w:rPr>
              <w:t>电场尺寸：长522*宽562*465高；</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6、为便于清洗维护，每个电场不超过20公斤。</w:t>
            </w:r>
            <w:r>
              <w:rPr>
                <w:rFonts w:hint="eastAsia" w:ascii="宋体" w:hAnsi="宋体" w:cs="宋体"/>
                <w:color w:val="000000"/>
                <w:kern w:val="0"/>
                <w:sz w:val="24"/>
                <w:lang w:bidi="ar"/>
              </w:rPr>
              <w:br w:type="textWrapping"/>
            </w:r>
            <w:r>
              <w:rPr>
                <w:rFonts w:hint="eastAsia" w:ascii="宋体" w:hAnsi="宋体" w:cs="宋体"/>
                <w:color w:val="000000"/>
                <w:kern w:val="0"/>
                <w:sz w:val="24"/>
                <w:lang w:bidi="ar"/>
              </w:rPr>
              <w:t>7、为采购人能随时了解净化系统的工作状态，净化系统应配置实时在线监测装置，用于监测净化设备与风机的开关状态、电流值，并对油烟浓度、颗粒物浓度的排放数据进行实时监测，并将监测状态和数据上传管理平台，通过平台实时了解系统工作状态、排放状态。</w:t>
            </w:r>
          </w:p>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监测装置和管理平台应符合：T/ZS 0220-2021《餐饮油烟排放在线监测系统技术规范（试行）》标准要求，采用光散射技术监测油烟浓度、油烟检测误差≤±10%、油烟检测一小时零点漂移≤±0.1mg/m3、线性误差≤±10%。</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55200" behindDoc="0" locked="0" layoutInCell="1" allowOverlap="1">
                  <wp:simplePos x="0" y="0"/>
                  <wp:positionH relativeFrom="column">
                    <wp:posOffset>95885</wp:posOffset>
                  </wp:positionH>
                  <wp:positionV relativeFrom="paragraph">
                    <wp:posOffset>2305050</wp:posOffset>
                  </wp:positionV>
                  <wp:extent cx="485140" cy="448945"/>
                  <wp:effectExtent l="0" t="0" r="10160" b="8255"/>
                  <wp:wrapNone/>
                  <wp:docPr id="282" name="图片_110"/>
                  <wp:cNvGraphicFramePr/>
                  <a:graphic xmlns:a="http://schemas.openxmlformats.org/drawingml/2006/main">
                    <a:graphicData uri="http://schemas.openxmlformats.org/drawingml/2006/picture">
                      <pic:pic xmlns:pic="http://schemas.openxmlformats.org/drawingml/2006/picture">
                        <pic:nvPicPr>
                          <pic:cNvPr id="282" name="图片_110"/>
                          <pic:cNvPicPr/>
                        </pic:nvPicPr>
                        <pic:blipFill>
                          <a:blip r:embed="rId216"/>
                          <a:stretch>
                            <a:fillRect/>
                          </a:stretch>
                        </pic:blipFill>
                        <pic:spPr>
                          <a:xfrm>
                            <a:off x="0" y="0"/>
                            <a:ext cx="485140" cy="44894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不锈钢排油烟风管</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SIZE：约460m</w:t>
            </w:r>
            <w:r>
              <w:rPr>
                <w:rFonts w:hint="eastAsia" w:ascii="宋体" w:hAnsi="宋体" w:cs="宋体"/>
                <w:color w:val="000000"/>
                <w:kern w:val="0"/>
                <w:sz w:val="24"/>
                <w:vertAlign w:val="superscript"/>
                <w:lang w:bidi="ar"/>
              </w:rPr>
              <w:t>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选用SUS304不锈钢板制作；板厚约0.8厚度；配法兰，机压加强筋；包括软连接等配套安装辅件。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460</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56224" behindDoc="0" locked="0" layoutInCell="1" allowOverlap="1">
                  <wp:simplePos x="0" y="0"/>
                  <wp:positionH relativeFrom="column">
                    <wp:posOffset>85725</wp:posOffset>
                  </wp:positionH>
                  <wp:positionV relativeFrom="paragraph">
                    <wp:posOffset>543560</wp:posOffset>
                  </wp:positionV>
                  <wp:extent cx="485775" cy="0"/>
                  <wp:effectExtent l="0" t="0" r="0" b="0"/>
                  <wp:wrapNone/>
                  <wp:docPr id="319" name="图片_110_SpCnt_1"/>
                  <wp:cNvGraphicFramePr/>
                  <a:graphic xmlns:a="http://schemas.openxmlformats.org/drawingml/2006/main">
                    <a:graphicData uri="http://schemas.openxmlformats.org/drawingml/2006/picture">
                      <pic:pic xmlns:pic="http://schemas.openxmlformats.org/drawingml/2006/picture">
                        <pic:nvPicPr>
                          <pic:cNvPr id="319" name="图片_110_SpCnt_1"/>
                          <pic:cNvPicPr/>
                        </pic:nvPicPr>
                        <pic:blipFill>
                          <a:blip r:embed="rId67"/>
                          <a:stretch>
                            <a:fillRect/>
                          </a:stretch>
                        </pic:blipFill>
                        <pic:spPr>
                          <a:xfrm>
                            <a:off x="0" y="0"/>
                            <a:ext cx="485775"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57248" behindDoc="0" locked="0" layoutInCell="1" allowOverlap="1">
                  <wp:simplePos x="0" y="0"/>
                  <wp:positionH relativeFrom="column">
                    <wp:posOffset>95885</wp:posOffset>
                  </wp:positionH>
                  <wp:positionV relativeFrom="paragraph">
                    <wp:posOffset>0</wp:posOffset>
                  </wp:positionV>
                  <wp:extent cx="485140" cy="0"/>
                  <wp:effectExtent l="0" t="0" r="0" b="0"/>
                  <wp:wrapNone/>
                  <wp:docPr id="320" name="图片_110_SpCnt_2"/>
                  <wp:cNvGraphicFramePr/>
                  <a:graphic xmlns:a="http://schemas.openxmlformats.org/drawingml/2006/main">
                    <a:graphicData uri="http://schemas.openxmlformats.org/drawingml/2006/picture">
                      <pic:pic xmlns:pic="http://schemas.openxmlformats.org/drawingml/2006/picture">
                        <pic:nvPicPr>
                          <pic:cNvPr id="320" name="图片_110_SpCnt_2"/>
                          <pic:cNvPicPr/>
                        </pic:nvPicPr>
                        <pic:blipFill>
                          <a:blip r:embed="rId67"/>
                          <a:stretch>
                            <a:fillRect/>
                          </a:stretch>
                        </pic:blipFill>
                        <pic:spPr>
                          <a:xfrm>
                            <a:off x="0" y="0"/>
                            <a:ext cx="48514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58272" behindDoc="0" locked="0" layoutInCell="1" allowOverlap="1">
                  <wp:simplePos x="0" y="0"/>
                  <wp:positionH relativeFrom="column">
                    <wp:posOffset>95885</wp:posOffset>
                  </wp:positionH>
                  <wp:positionV relativeFrom="paragraph">
                    <wp:posOffset>495935</wp:posOffset>
                  </wp:positionV>
                  <wp:extent cx="485140" cy="0"/>
                  <wp:effectExtent l="0" t="0" r="0" b="0"/>
                  <wp:wrapNone/>
                  <wp:docPr id="321" name="图片_110_SpCnt_3"/>
                  <wp:cNvGraphicFramePr/>
                  <a:graphic xmlns:a="http://schemas.openxmlformats.org/drawingml/2006/main">
                    <a:graphicData uri="http://schemas.openxmlformats.org/drawingml/2006/picture">
                      <pic:pic xmlns:pic="http://schemas.openxmlformats.org/drawingml/2006/picture">
                        <pic:nvPicPr>
                          <pic:cNvPr id="321" name="图片_110_SpCnt_3"/>
                          <pic:cNvPicPr/>
                        </pic:nvPicPr>
                        <pic:blipFill>
                          <a:blip r:embed="rId67"/>
                          <a:stretch>
                            <a:fillRect/>
                          </a:stretch>
                        </pic:blipFill>
                        <pic:spPr>
                          <a:xfrm>
                            <a:off x="0" y="0"/>
                            <a:ext cx="48514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59296" behindDoc="0" locked="0" layoutInCell="1" allowOverlap="1">
                  <wp:simplePos x="0" y="0"/>
                  <wp:positionH relativeFrom="column">
                    <wp:posOffset>180975</wp:posOffset>
                  </wp:positionH>
                  <wp:positionV relativeFrom="paragraph">
                    <wp:posOffset>85725</wp:posOffset>
                  </wp:positionV>
                  <wp:extent cx="380365" cy="370840"/>
                  <wp:effectExtent l="0" t="0" r="635" b="10160"/>
                  <wp:wrapNone/>
                  <wp:docPr id="322" name="Picture_261"/>
                  <wp:cNvGraphicFramePr/>
                  <a:graphic xmlns:a="http://schemas.openxmlformats.org/drawingml/2006/main">
                    <a:graphicData uri="http://schemas.openxmlformats.org/drawingml/2006/picture">
                      <pic:pic xmlns:pic="http://schemas.openxmlformats.org/drawingml/2006/picture">
                        <pic:nvPicPr>
                          <pic:cNvPr id="322" name="Picture_261"/>
                          <pic:cNvPicPr/>
                        </pic:nvPicPr>
                        <pic:blipFill>
                          <a:blip r:embed="rId217"/>
                          <a:stretch>
                            <a:fillRect/>
                          </a:stretch>
                        </pic:blipFill>
                        <pic:spPr>
                          <a:xfrm>
                            <a:off x="0" y="0"/>
                            <a:ext cx="380365" cy="37084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5</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防火阀</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SIZE：与风管相适配</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优质防火材料制作。</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60320" behindDoc="0" locked="0" layoutInCell="1" allowOverlap="1">
                  <wp:simplePos x="0" y="0"/>
                  <wp:positionH relativeFrom="column">
                    <wp:posOffset>76200</wp:posOffset>
                  </wp:positionH>
                  <wp:positionV relativeFrom="paragraph">
                    <wp:posOffset>76200</wp:posOffset>
                  </wp:positionV>
                  <wp:extent cx="533400" cy="351790"/>
                  <wp:effectExtent l="0" t="0" r="0" b="10160"/>
                  <wp:wrapNone/>
                  <wp:docPr id="323" name="Picture_260"/>
                  <wp:cNvGraphicFramePr/>
                  <a:graphic xmlns:a="http://schemas.openxmlformats.org/drawingml/2006/main">
                    <a:graphicData uri="http://schemas.openxmlformats.org/drawingml/2006/picture">
                      <pic:pic xmlns:pic="http://schemas.openxmlformats.org/drawingml/2006/picture">
                        <pic:nvPicPr>
                          <pic:cNvPr id="323" name="Picture_260"/>
                          <pic:cNvPicPr/>
                        </pic:nvPicPr>
                        <pic:blipFill>
                          <a:blip r:embed="rId218"/>
                          <a:stretch>
                            <a:fillRect/>
                          </a:stretch>
                        </pic:blipFill>
                        <pic:spPr>
                          <a:xfrm>
                            <a:off x="0" y="0"/>
                            <a:ext cx="533400" cy="35179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智能控制器</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SIZE：与风柜相适配</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商业厨房量身定制:触控按键，科技智能，一键设置切换: 无极调速:集成风机、净化器、燃气报警联动控制:不锈钢拉丝箱体，奢华精致:体机小巧，便于安装:触摸按键自动解锁，防止误操作。</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组</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kern w:val="0"/>
                <w:sz w:val="24"/>
                <w:lang w:bidi="ar"/>
              </w:rPr>
            </w:pPr>
            <w:r>
              <w:rPr>
                <w:rFonts w:hint="eastAsia" w:ascii="宋体" w:hAnsi="宋体" w:cs="宋体"/>
                <w:color w:val="000000"/>
                <w:kern w:val="0"/>
                <w:sz w:val="24"/>
              </w:rPr>
              <w:drawing>
                <wp:anchor distT="0" distB="0" distL="114300" distR="114300" simplePos="0" relativeHeight="251961344" behindDoc="0" locked="0" layoutInCell="1" allowOverlap="1">
                  <wp:simplePos x="0" y="0"/>
                  <wp:positionH relativeFrom="column">
                    <wp:posOffset>76200</wp:posOffset>
                  </wp:positionH>
                  <wp:positionV relativeFrom="paragraph">
                    <wp:posOffset>0</wp:posOffset>
                  </wp:positionV>
                  <wp:extent cx="523875" cy="0"/>
                  <wp:effectExtent l="0" t="0" r="0" b="0"/>
                  <wp:wrapNone/>
                  <wp:docPr id="324" name="图片_110_SpCnt_4"/>
                  <wp:cNvGraphicFramePr/>
                  <a:graphic xmlns:a="http://schemas.openxmlformats.org/drawingml/2006/main">
                    <a:graphicData uri="http://schemas.openxmlformats.org/drawingml/2006/picture">
                      <pic:pic xmlns:pic="http://schemas.openxmlformats.org/drawingml/2006/picture">
                        <pic:nvPicPr>
                          <pic:cNvPr id="324" name="图片_110_SpCnt_4"/>
                          <pic:cNvPicPr/>
                        </pic:nvPicPr>
                        <pic:blipFill>
                          <a:blip r:embed="rId67"/>
                          <a:stretch>
                            <a:fillRect/>
                          </a:stretch>
                        </pic:blipFill>
                        <pic:spPr>
                          <a:xfrm>
                            <a:off x="0" y="0"/>
                            <a:ext cx="52387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62368" behindDoc="0" locked="0" layoutInCell="1" allowOverlap="1">
                  <wp:simplePos x="0" y="0"/>
                  <wp:positionH relativeFrom="column">
                    <wp:posOffset>76200</wp:posOffset>
                  </wp:positionH>
                  <wp:positionV relativeFrom="paragraph">
                    <wp:posOffset>0</wp:posOffset>
                  </wp:positionV>
                  <wp:extent cx="523875" cy="0"/>
                  <wp:effectExtent l="0" t="0" r="0" b="0"/>
                  <wp:wrapNone/>
                  <wp:docPr id="325" name="图片_110_SpCnt_5"/>
                  <wp:cNvGraphicFramePr/>
                  <a:graphic xmlns:a="http://schemas.openxmlformats.org/drawingml/2006/main">
                    <a:graphicData uri="http://schemas.openxmlformats.org/drawingml/2006/picture">
                      <pic:pic xmlns:pic="http://schemas.openxmlformats.org/drawingml/2006/picture">
                        <pic:nvPicPr>
                          <pic:cNvPr id="325" name="图片_110_SpCnt_5"/>
                          <pic:cNvPicPr/>
                        </pic:nvPicPr>
                        <pic:blipFill>
                          <a:blip r:embed="rId67"/>
                          <a:stretch>
                            <a:fillRect/>
                          </a:stretch>
                        </pic:blipFill>
                        <pic:spPr>
                          <a:xfrm>
                            <a:off x="0" y="0"/>
                            <a:ext cx="52387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63392" behindDoc="0" locked="0" layoutInCell="1" allowOverlap="1">
                  <wp:simplePos x="0" y="0"/>
                  <wp:positionH relativeFrom="column">
                    <wp:posOffset>85725</wp:posOffset>
                  </wp:positionH>
                  <wp:positionV relativeFrom="paragraph">
                    <wp:posOffset>0</wp:posOffset>
                  </wp:positionV>
                  <wp:extent cx="485775" cy="0"/>
                  <wp:effectExtent l="0" t="0" r="0" b="0"/>
                  <wp:wrapNone/>
                  <wp:docPr id="326" name="图片_110_SpCnt_6"/>
                  <wp:cNvGraphicFramePr/>
                  <a:graphic xmlns:a="http://schemas.openxmlformats.org/drawingml/2006/main">
                    <a:graphicData uri="http://schemas.openxmlformats.org/drawingml/2006/picture">
                      <pic:pic xmlns:pic="http://schemas.openxmlformats.org/drawingml/2006/picture">
                        <pic:nvPicPr>
                          <pic:cNvPr id="326" name="图片_110_SpCnt_6"/>
                          <pic:cNvPicPr/>
                        </pic:nvPicPr>
                        <pic:blipFill>
                          <a:blip r:embed="rId67"/>
                          <a:stretch>
                            <a:fillRect/>
                          </a:stretch>
                        </pic:blipFill>
                        <pic:spPr>
                          <a:xfrm>
                            <a:off x="0" y="0"/>
                            <a:ext cx="485775"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64416" behindDoc="0" locked="0" layoutInCell="1" allowOverlap="1">
                  <wp:simplePos x="0" y="0"/>
                  <wp:positionH relativeFrom="column">
                    <wp:posOffset>95885</wp:posOffset>
                  </wp:positionH>
                  <wp:positionV relativeFrom="paragraph">
                    <wp:posOffset>0</wp:posOffset>
                  </wp:positionV>
                  <wp:extent cx="485140" cy="0"/>
                  <wp:effectExtent l="0" t="0" r="0" b="0"/>
                  <wp:wrapNone/>
                  <wp:docPr id="327" name="图片_110_SpCnt_7"/>
                  <wp:cNvGraphicFramePr/>
                  <a:graphic xmlns:a="http://schemas.openxmlformats.org/drawingml/2006/main">
                    <a:graphicData uri="http://schemas.openxmlformats.org/drawingml/2006/picture">
                      <pic:pic xmlns:pic="http://schemas.openxmlformats.org/drawingml/2006/picture">
                        <pic:nvPicPr>
                          <pic:cNvPr id="327" name="图片_110_SpCnt_7"/>
                          <pic:cNvPicPr/>
                        </pic:nvPicPr>
                        <pic:blipFill>
                          <a:blip r:embed="rId67"/>
                          <a:stretch>
                            <a:fillRect/>
                          </a:stretch>
                        </pic:blipFill>
                        <pic:spPr>
                          <a:xfrm>
                            <a:off x="0" y="0"/>
                            <a:ext cx="485140" cy="0"/>
                          </a:xfrm>
                          <a:prstGeom prst="rect">
                            <a:avLst/>
                          </a:prstGeom>
                          <a:noFill/>
                          <a:ln>
                            <a:noFill/>
                          </a:ln>
                        </pic:spPr>
                      </pic:pic>
                    </a:graphicData>
                  </a:graphic>
                </wp:anchor>
              </w:drawing>
            </w:r>
            <w:r>
              <w:rPr>
                <w:rFonts w:hint="eastAsia" w:ascii="宋体" w:hAnsi="宋体" w:cs="宋体"/>
                <w:color w:val="000000"/>
                <w:kern w:val="0"/>
                <w:sz w:val="24"/>
              </w:rPr>
              <w:drawing>
                <wp:anchor distT="0" distB="0" distL="114300" distR="114300" simplePos="0" relativeHeight="251965440" behindDoc="0" locked="0" layoutInCell="1" allowOverlap="1">
                  <wp:simplePos x="0" y="0"/>
                  <wp:positionH relativeFrom="column">
                    <wp:posOffset>104775</wp:posOffset>
                  </wp:positionH>
                  <wp:positionV relativeFrom="paragraph">
                    <wp:posOffset>0</wp:posOffset>
                  </wp:positionV>
                  <wp:extent cx="523875" cy="0"/>
                  <wp:effectExtent l="0" t="0" r="0" b="0"/>
                  <wp:wrapNone/>
                  <wp:docPr id="328" name="图片_110_SpCnt_8"/>
                  <wp:cNvGraphicFramePr/>
                  <a:graphic xmlns:a="http://schemas.openxmlformats.org/drawingml/2006/main">
                    <a:graphicData uri="http://schemas.openxmlformats.org/drawingml/2006/picture">
                      <pic:pic xmlns:pic="http://schemas.openxmlformats.org/drawingml/2006/picture">
                        <pic:nvPicPr>
                          <pic:cNvPr id="328" name="图片_110_SpCnt_8"/>
                          <pic:cNvPicPr/>
                        </pic:nvPicPr>
                        <pic:blipFill>
                          <a:blip r:embed="rId67"/>
                          <a:stretch>
                            <a:fillRect/>
                          </a:stretch>
                        </pic:blipFill>
                        <pic:spPr>
                          <a:xfrm>
                            <a:off x="0" y="0"/>
                            <a:ext cx="523875"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蒸煮间+面点间</w:t>
            </w:r>
          </w:p>
        </w:tc>
      </w:tr>
      <w:tr>
        <w:tblPrEx>
          <w:tblCellMar>
            <w:top w:w="0" w:type="dxa"/>
            <w:left w:w="108" w:type="dxa"/>
            <w:bottom w:w="0" w:type="dxa"/>
            <w:right w:w="108" w:type="dxa"/>
          </w:tblCellMar>
        </w:tblPrEx>
        <w:trPr>
          <w:trHeight w:val="180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排油烟风柜（蒸煮间+面点间）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SIZE：约30#</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外配类产品，机箱外壳为优质A3钢板，整机可拆卸，风量：约42000~48000m3/h，（带消声装置，电机带消声罩），包括减震器、槽钢架底座等配套安装辅件                                                   ◆提供生产厂家有效期内的消防产品认证证书。</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66464" behindDoc="0" locked="0" layoutInCell="1" allowOverlap="1">
                  <wp:simplePos x="0" y="0"/>
                  <wp:positionH relativeFrom="column">
                    <wp:posOffset>104775</wp:posOffset>
                  </wp:positionH>
                  <wp:positionV relativeFrom="paragraph">
                    <wp:posOffset>227965</wp:posOffset>
                  </wp:positionV>
                  <wp:extent cx="466725" cy="0"/>
                  <wp:effectExtent l="0" t="0" r="0" b="0"/>
                  <wp:wrapNone/>
                  <wp:docPr id="330" name="Picture_257_SpCnt_1"/>
                  <wp:cNvGraphicFramePr/>
                  <a:graphic xmlns:a="http://schemas.openxmlformats.org/drawingml/2006/main">
                    <a:graphicData uri="http://schemas.openxmlformats.org/drawingml/2006/picture">
                      <pic:pic xmlns:pic="http://schemas.openxmlformats.org/drawingml/2006/picture">
                        <pic:nvPicPr>
                          <pic:cNvPr id="330" name="Picture_257_SpCnt_1"/>
                          <pic:cNvPicPr/>
                        </pic:nvPicPr>
                        <pic:blipFill>
                          <a:blip r:embed="rId67"/>
                          <a:stretch>
                            <a:fillRect/>
                          </a:stretch>
                        </pic:blipFill>
                        <pic:spPr>
                          <a:xfrm>
                            <a:off x="0" y="0"/>
                            <a:ext cx="466725"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67488" behindDoc="0" locked="0" layoutInCell="1" allowOverlap="1">
                  <wp:simplePos x="0" y="0"/>
                  <wp:positionH relativeFrom="column">
                    <wp:posOffset>123190</wp:posOffset>
                  </wp:positionH>
                  <wp:positionV relativeFrom="paragraph">
                    <wp:posOffset>303530</wp:posOffset>
                  </wp:positionV>
                  <wp:extent cx="466725" cy="477520"/>
                  <wp:effectExtent l="0" t="0" r="9525" b="17780"/>
                  <wp:wrapNone/>
                  <wp:docPr id="331" name="Picture_257_SpCnt_2"/>
                  <wp:cNvGraphicFramePr/>
                  <a:graphic xmlns:a="http://schemas.openxmlformats.org/drawingml/2006/main">
                    <a:graphicData uri="http://schemas.openxmlformats.org/drawingml/2006/picture">
                      <pic:pic xmlns:pic="http://schemas.openxmlformats.org/drawingml/2006/picture">
                        <pic:nvPicPr>
                          <pic:cNvPr id="331" name="Picture_257_SpCnt_2"/>
                          <pic:cNvPicPr/>
                        </pic:nvPicPr>
                        <pic:blipFill>
                          <a:blip r:embed="rId215"/>
                          <a:stretch>
                            <a:fillRect/>
                          </a:stretch>
                        </pic:blipFill>
                        <pic:spPr>
                          <a:xfrm>
                            <a:off x="0" y="0"/>
                            <a:ext cx="466725" cy="47752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不锈钢排油烟风管</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SIZE：约380m</w:t>
            </w:r>
            <w:r>
              <w:rPr>
                <w:rFonts w:hint="eastAsia" w:ascii="宋体" w:hAnsi="宋体" w:cs="宋体"/>
                <w:color w:val="000000"/>
                <w:kern w:val="0"/>
                <w:sz w:val="24"/>
                <w:vertAlign w:val="superscript"/>
                <w:lang w:bidi="ar"/>
              </w:rPr>
              <w:t>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选用SUS304不锈钢板制作；板厚约0.8厚度；配法兰，机压加强筋；包括软连接等配套安装辅件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380</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68512" behindDoc="0" locked="0" layoutInCell="1" allowOverlap="1">
                  <wp:simplePos x="0" y="0"/>
                  <wp:positionH relativeFrom="column">
                    <wp:posOffset>142875</wp:posOffset>
                  </wp:positionH>
                  <wp:positionV relativeFrom="paragraph">
                    <wp:posOffset>66675</wp:posOffset>
                  </wp:positionV>
                  <wp:extent cx="381000" cy="370840"/>
                  <wp:effectExtent l="0" t="0" r="0" b="10160"/>
                  <wp:wrapNone/>
                  <wp:docPr id="332" name="Picture_261_SpCnt_1"/>
                  <wp:cNvGraphicFramePr/>
                  <a:graphic xmlns:a="http://schemas.openxmlformats.org/drawingml/2006/main">
                    <a:graphicData uri="http://schemas.openxmlformats.org/drawingml/2006/picture">
                      <pic:pic xmlns:pic="http://schemas.openxmlformats.org/drawingml/2006/picture">
                        <pic:nvPicPr>
                          <pic:cNvPr id="332" name="Picture_261_SpCnt_1"/>
                          <pic:cNvPicPr/>
                        </pic:nvPicPr>
                        <pic:blipFill>
                          <a:blip r:embed="rId217"/>
                          <a:stretch>
                            <a:fillRect/>
                          </a:stretch>
                        </pic:blipFill>
                        <pic:spPr>
                          <a:xfrm>
                            <a:off x="0" y="0"/>
                            <a:ext cx="381000" cy="37084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75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防火阀</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SIZE：与风管相适配</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优质防火材料制作；</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个</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69536" behindDoc="0" locked="0" layoutInCell="1" allowOverlap="1">
                  <wp:simplePos x="0" y="0"/>
                  <wp:positionH relativeFrom="column">
                    <wp:posOffset>114300</wp:posOffset>
                  </wp:positionH>
                  <wp:positionV relativeFrom="paragraph">
                    <wp:posOffset>66675</wp:posOffset>
                  </wp:positionV>
                  <wp:extent cx="534035" cy="333375"/>
                  <wp:effectExtent l="0" t="0" r="18415" b="9525"/>
                  <wp:wrapNone/>
                  <wp:docPr id="333" name="Picture_260_SpCnt_1"/>
                  <wp:cNvGraphicFramePr/>
                  <a:graphic xmlns:a="http://schemas.openxmlformats.org/drawingml/2006/main">
                    <a:graphicData uri="http://schemas.openxmlformats.org/drawingml/2006/picture">
                      <pic:pic xmlns:pic="http://schemas.openxmlformats.org/drawingml/2006/picture">
                        <pic:nvPicPr>
                          <pic:cNvPr id="333" name="Picture_260_SpCnt_1"/>
                          <pic:cNvPicPr/>
                        </pic:nvPicPr>
                        <pic:blipFill>
                          <a:blip r:embed="rId219"/>
                          <a:stretch>
                            <a:fillRect/>
                          </a:stretch>
                        </pic:blipFill>
                        <pic:spPr>
                          <a:xfrm>
                            <a:off x="0" y="0"/>
                            <a:ext cx="534035" cy="33337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96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4</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kern w:val="0"/>
                <w:sz w:val="24"/>
                <w:lang w:bidi="ar"/>
              </w:rPr>
            </w:pPr>
            <w:r>
              <w:rPr>
                <w:rFonts w:hint="eastAsia" w:ascii="宋体" w:hAnsi="宋体" w:cs="宋体"/>
                <w:color w:val="000000"/>
                <w:kern w:val="0"/>
                <w:sz w:val="24"/>
                <w:lang w:bidi="ar"/>
              </w:rPr>
              <w:t>智能控制器</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kern w:val="0"/>
                <w:sz w:val="24"/>
                <w:lang w:bidi="ar"/>
              </w:rPr>
            </w:pPr>
            <w:r>
              <w:rPr>
                <w:rFonts w:hint="eastAsia" w:ascii="宋体" w:hAnsi="宋体" w:cs="宋体"/>
                <w:color w:val="000000"/>
                <w:kern w:val="0"/>
                <w:sz w:val="24"/>
                <w:lang w:bidi="ar"/>
              </w:rPr>
              <w:t>SIZE：与风柜相适配</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kern w:val="0"/>
                <w:sz w:val="24"/>
                <w:lang w:bidi="ar"/>
              </w:rPr>
            </w:pPr>
            <w:r>
              <w:rPr>
                <w:rFonts w:hint="eastAsia" w:ascii="宋体" w:hAnsi="宋体" w:cs="宋体"/>
                <w:color w:val="000000"/>
                <w:kern w:val="0"/>
                <w:sz w:val="24"/>
                <w:lang w:bidi="ar"/>
              </w:rPr>
              <w:t>商业厨房量身定制:触控按键，科技智能，一键设置切换: 无极调速:集成风机、净化器、燃气报警联动控制:不锈钢拉丝箱体，奢华精致:体机小巧，便于安装:触摸按键自动解锁，防止误操作。</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kern w:val="0"/>
                <w:sz w:val="24"/>
                <w:lang w:bidi="ar"/>
              </w:rPr>
            </w:pPr>
            <w:r>
              <w:rPr>
                <w:rFonts w:hint="eastAsia" w:ascii="宋体" w:hAnsi="宋体" w:cs="宋体"/>
                <w:color w:val="000000"/>
                <w:kern w:val="0"/>
                <w:sz w:val="24"/>
                <w:lang w:bidi="ar"/>
              </w:rPr>
              <w:t>组</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kern w:val="0"/>
                <w:sz w:val="24"/>
                <w:lang w:bidi="ar"/>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70560" behindDoc="0" locked="0" layoutInCell="1" allowOverlap="1">
                  <wp:simplePos x="0" y="0"/>
                  <wp:positionH relativeFrom="column">
                    <wp:posOffset>76200</wp:posOffset>
                  </wp:positionH>
                  <wp:positionV relativeFrom="paragraph">
                    <wp:posOffset>0</wp:posOffset>
                  </wp:positionV>
                  <wp:extent cx="523875" cy="0"/>
                  <wp:effectExtent l="0" t="0" r="0" b="0"/>
                  <wp:wrapNone/>
                  <wp:docPr id="334" name="图片_110_SpCnt_9"/>
                  <wp:cNvGraphicFramePr/>
                  <a:graphic xmlns:a="http://schemas.openxmlformats.org/drawingml/2006/main">
                    <a:graphicData uri="http://schemas.openxmlformats.org/drawingml/2006/picture">
                      <pic:pic xmlns:pic="http://schemas.openxmlformats.org/drawingml/2006/picture">
                        <pic:nvPicPr>
                          <pic:cNvPr id="334" name="图片_110_SpCnt_9"/>
                          <pic:cNvPicPr/>
                        </pic:nvPicPr>
                        <pic:blipFill>
                          <a:blip r:embed="rId67"/>
                          <a:stretch>
                            <a:fillRect/>
                          </a:stretch>
                        </pic:blipFill>
                        <pic:spPr>
                          <a:xfrm>
                            <a:off x="0" y="0"/>
                            <a:ext cx="523875"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71584" behindDoc="0" locked="0" layoutInCell="1" allowOverlap="1">
                  <wp:simplePos x="0" y="0"/>
                  <wp:positionH relativeFrom="column">
                    <wp:posOffset>76200</wp:posOffset>
                  </wp:positionH>
                  <wp:positionV relativeFrom="paragraph">
                    <wp:posOffset>0</wp:posOffset>
                  </wp:positionV>
                  <wp:extent cx="523875" cy="0"/>
                  <wp:effectExtent l="0" t="0" r="0" b="0"/>
                  <wp:wrapNone/>
                  <wp:docPr id="335" name="图片_110_SpCnt_10"/>
                  <wp:cNvGraphicFramePr/>
                  <a:graphic xmlns:a="http://schemas.openxmlformats.org/drawingml/2006/main">
                    <a:graphicData uri="http://schemas.openxmlformats.org/drawingml/2006/picture">
                      <pic:pic xmlns:pic="http://schemas.openxmlformats.org/drawingml/2006/picture">
                        <pic:nvPicPr>
                          <pic:cNvPr id="335" name="图片_110_SpCnt_10"/>
                          <pic:cNvPicPr/>
                        </pic:nvPicPr>
                        <pic:blipFill>
                          <a:blip r:embed="rId67"/>
                          <a:stretch>
                            <a:fillRect/>
                          </a:stretch>
                        </pic:blipFill>
                        <pic:spPr>
                          <a:xfrm>
                            <a:off x="0" y="0"/>
                            <a:ext cx="523875"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72608" behindDoc="0" locked="0" layoutInCell="1" allowOverlap="1">
                  <wp:simplePos x="0" y="0"/>
                  <wp:positionH relativeFrom="column">
                    <wp:posOffset>85725</wp:posOffset>
                  </wp:positionH>
                  <wp:positionV relativeFrom="paragraph">
                    <wp:posOffset>0</wp:posOffset>
                  </wp:positionV>
                  <wp:extent cx="485775" cy="0"/>
                  <wp:effectExtent l="0" t="0" r="0" b="0"/>
                  <wp:wrapNone/>
                  <wp:docPr id="336" name="图片_110_SpCnt_11"/>
                  <wp:cNvGraphicFramePr/>
                  <a:graphic xmlns:a="http://schemas.openxmlformats.org/drawingml/2006/main">
                    <a:graphicData uri="http://schemas.openxmlformats.org/drawingml/2006/picture">
                      <pic:pic xmlns:pic="http://schemas.openxmlformats.org/drawingml/2006/picture">
                        <pic:nvPicPr>
                          <pic:cNvPr id="336" name="图片_110_SpCnt_11"/>
                          <pic:cNvPicPr/>
                        </pic:nvPicPr>
                        <pic:blipFill>
                          <a:blip r:embed="rId67"/>
                          <a:stretch>
                            <a:fillRect/>
                          </a:stretch>
                        </pic:blipFill>
                        <pic:spPr>
                          <a:xfrm>
                            <a:off x="0" y="0"/>
                            <a:ext cx="485775"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73632" behindDoc="0" locked="0" layoutInCell="1" allowOverlap="1">
                  <wp:simplePos x="0" y="0"/>
                  <wp:positionH relativeFrom="column">
                    <wp:posOffset>95885</wp:posOffset>
                  </wp:positionH>
                  <wp:positionV relativeFrom="paragraph">
                    <wp:posOffset>0</wp:posOffset>
                  </wp:positionV>
                  <wp:extent cx="485140" cy="0"/>
                  <wp:effectExtent l="0" t="0" r="0" b="0"/>
                  <wp:wrapNone/>
                  <wp:docPr id="337" name="图片_110_SpCnt_12"/>
                  <wp:cNvGraphicFramePr/>
                  <a:graphic xmlns:a="http://schemas.openxmlformats.org/drawingml/2006/main">
                    <a:graphicData uri="http://schemas.openxmlformats.org/drawingml/2006/picture">
                      <pic:pic xmlns:pic="http://schemas.openxmlformats.org/drawingml/2006/picture">
                        <pic:nvPicPr>
                          <pic:cNvPr id="337" name="图片_110_SpCnt_12"/>
                          <pic:cNvPicPr/>
                        </pic:nvPicPr>
                        <pic:blipFill>
                          <a:blip r:embed="rId67"/>
                          <a:stretch>
                            <a:fillRect/>
                          </a:stretch>
                        </pic:blipFill>
                        <pic:spPr>
                          <a:xfrm>
                            <a:off x="0" y="0"/>
                            <a:ext cx="48514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74656" behindDoc="0" locked="0" layoutInCell="1" allowOverlap="1">
                  <wp:simplePos x="0" y="0"/>
                  <wp:positionH relativeFrom="column">
                    <wp:posOffset>104775</wp:posOffset>
                  </wp:positionH>
                  <wp:positionV relativeFrom="paragraph">
                    <wp:posOffset>0</wp:posOffset>
                  </wp:positionV>
                  <wp:extent cx="523875" cy="0"/>
                  <wp:effectExtent l="0" t="0" r="0" b="0"/>
                  <wp:wrapNone/>
                  <wp:docPr id="338" name="图片_110_SpCnt_13"/>
                  <wp:cNvGraphicFramePr/>
                  <a:graphic xmlns:a="http://schemas.openxmlformats.org/drawingml/2006/main">
                    <a:graphicData uri="http://schemas.openxmlformats.org/drawingml/2006/picture">
                      <pic:pic xmlns:pic="http://schemas.openxmlformats.org/drawingml/2006/picture">
                        <pic:nvPicPr>
                          <pic:cNvPr id="338" name="图片_110_SpCnt_13"/>
                          <pic:cNvPicPr/>
                        </pic:nvPicPr>
                        <pic:blipFill>
                          <a:blip r:embed="rId67"/>
                          <a:stretch>
                            <a:fillRect/>
                          </a:stretch>
                        </pic:blipFill>
                        <pic:spPr>
                          <a:xfrm>
                            <a:off x="0" y="0"/>
                            <a:ext cx="523875"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一层洗消间</w:t>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排油烟轴流风机（一二层洗消间）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SIZE：4#</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机箱外壳为优质A3钢板，整机可拆卸，风量：约4000~6000m3/h，备用，现场情况洗消间无法实现并入主风管时使用。</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75680" behindDoc="0" locked="0" layoutInCell="1" allowOverlap="1">
                  <wp:simplePos x="0" y="0"/>
                  <wp:positionH relativeFrom="column">
                    <wp:posOffset>123190</wp:posOffset>
                  </wp:positionH>
                  <wp:positionV relativeFrom="paragraph">
                    <wp:posOffset>237490</wp:posOffset>
                  </wp:positionV>
                  <wp:extent cx="438150" cy="382270"/>
                  <wp:effectExtent l="0" t="0" r="0" b="17780"/>
                  <wp:wrapNone/>
                  <wp:docPr id="340" name="图片_112"/>
                  <wp:cNvGraphicFramePr/>
                  <a:graphic xmlns:a="http://schemas.openxmlformats.org/drawingml/2006/main">
                    <a:graphicData uri="http://schemas.openxmlformats.org/drawingml/2006/picture">
                      <pic:pic xmlns:pic="http://schemas.openxmlformats.org/drawingml/2006/picture">
                        <pic:nvPicPr>
                          <pic:cNvPr id="340" name="图片_112"/>
                          <pic:cNvPicPr/>
                        </pic:nvPicPr>
                        <pic:blipFill>
                          <a:blip r:embed="rId220"/>
                          <a:stretch>
                            <a:fillRect/>
                          </a:stretch>
                        </pic:blipFill>
                        <pic:spPr>
                          <a:xfrm>
                            <a:off x="0" y="0"/>
                            <a:ext cx="438150" cy="38227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76704" behindDoc="0" locked="0" layoutInCell="1" allowOverlap="1">
                  <wp:simplePos x="0" y="0"/>
                  <wp:positionH relativeFrom="column">
                    <wp:posOffset>114300</wp:posOffset>
                  </wp:positionH>
                  <wp:positionV relativeFrom="paragraph">
                    <wp:posOffset>267970</wp:posOffset>
                  </wp:positionV>
                  <wp:extent cx="438150" cy="0"/>
                  <wp:effectExtent l="0" t="0" r="0" b="0"/>
                  <wp:wrapNone/>
                  <wp:docPr id="341" name="图片_112_SpCnt_1"/>
                  <wp:cNvGraphicFramePr/>
                  <a:graphic xmlns:a="http://schemas.openxmlformats.org/drawingml/2006/main">
                    <a:graphicData uri="http://schemas.openxmlformats.org/drawingml/2006/picture">
                      <pic:pic xmlns:pic="http://schemas.openxmlformats.org/drawingml/2006/picture">
                        <pic:nvPicPr>
                          <pic:cNvPr id="341" name="图片_112_SpCnt_1"/>
                          <pic:cNvPicPr/>
                        </pic:nvPicPr>
                        <pic:blipFill>
                          <a:blip r:embed="rId67"/>
                          <a:stretch>
                            <a:fillRect/>
                          </a:stretch>
                        </pic:blipFill>
                        <pic:spPr>
                          <a:xfrm>
                            <a:off x="0" y="0"/>
                            <a:ext cx="438150"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不锈钢排油烟风管</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SIZE：约25m</w:t>
            </w:r>
            <w:r>
              <w:rPr>
                <w:rFonts w:hint="eastAsia" w:ascii="宋体" w:hAnsi="宋体" w:cs="宋体"/>
                <w:color w:val="000000"/>
                <w:kern w:val="0"/>
                <w:sz w:val="24"/>
                <w:vertAlign w:val="superscript"/>
                <w:lang w:bidi="ar"/>
              </w:rPr>
              <w:t>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选用SUS304不锈钢板制作；板厚约0.8厚度；配法兰，机压加强筋；包括软连接等配套安装辅件。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25</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77728" behindDoc="0" locked="0" layoutInCell="1" allowOverlap="1">
                  <wp:simplePos x="0" y="0"/>
                  <wp:positionH relativeFrom="column">
                    <wp:posOffset>171450</wp:posOffset>
                  </wp:positionH>
                  <wp:positionV relativeFrom="paragraph">
                    <wp:posOffset>85725</wp:posOffset>
                  </wp:positionV>
                  <wp:extent cx="381000" cy="351790"/>
                  <wp:effectExtent l="0" t="0" r="0" b="10160"/>
                  <wp:wrapNone/>
                  <wp:docPr id="342" name="Picture_261_SpCnt_2"/>
                  <wp:cNvGraphicFramePr/>
                  <a:graphic xmlns:a="http://schemas.openxmlformats.org/drawingml/2006/main">
                    <a:graphicData uri="http://schemas.openxmlformats.org/drawingml/2006/picture">
                      <pic:pic xmlns:pic="http://schemas.openxmlformats.org/drawingml/2006/picture">
                        <pic:nvPicPr>
                          <pic:cNvPr id="342" name="Picture_261_SpCnt_2"/>
                          <pic:cNvPicPr/>
                        </pic:nvPicPr>
                        <pic:blipFill>
                          <a:blip r:embed="rId221"/>
                          <a:stretch>
                            <a:fillRect/>
                          </a:stretch>
                        </pic:blipFill>
                        <pic:spPr>
                          <a:xfrm>
                            <a:off x="0" y="0"/>
                            <a:ext cx="381000" cy="35179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二层洗消间</w:t>
            </w:r>
          </w:p>
        </w:tc>
      </w:tr>
      <w:tr>
        <w:tblPrEx>
          <w:tblCellMar>
            <w:top w:w="0" w:type="dxa"/>
            <w:left w:w="108" w:type="dxa"/>
            <w:bottom w:w="0" w:type="dxa"/>
            <w:right w:w="108" w:type="dxa"/>
          </w:tblCellMar>
        </w:tblPrEx>
        <w:trPr>
          <w:trHeight w:val="112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排油烟轴流风机（一二层洗消间）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SIZE：4#</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，机箱外壳为优质A3钢板，整机可拆卸，风量：约4000~6000m3/h，备用，现场情况洗消间无法实现并入主风管时使用。</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78752" behindDoc="0" locked="0" layoutInCell="1" allowOverlap="1">
                  <wp:simplePos x="0" y="0"/>
                  <wp:positionH relativeFrom="column">
                    <wp:posOffset>123190</wp:posOffset>
                  </wp:positionH>
                  <wp:positionV relativeFrom="paragraph">
                    <wp:posOffset>237490</wp:posOffset>
                  </wp:positionV>
                  <wp:extent cx="438150" cy="0"/>
                  <wp:effectExtent l="0" t="0" r="0" b="0"/>
                  <wp:wrapNone/>
                  <wp:docPr id="343" name="图片_112_SpCnt_2"/>
                  <wp:cNvGraphicFramePr/>
                  <a:graphic xmlns:a="http://schemas.openxmlformats.org/drawingml/2006/main">
                    <a:graphicData uri="http://schemas.openxmlformats.org/drawingml/2006/picture">
                      <pic:pic xmlns:pic="http://schemas.openxmlformats.org/drawingml/2006/picture">
                        <pic:nvPicPr>
                          <pic:cNvPr id="343" name="图片_112_SpCnt_2"/>
                          <pic:cNvPicPr/>
                        </pic:nvPicPr>
                        <pic:blipFill>
                          <a:blip r:embed="rId67"/>
                          <a:stretch>
                            <a:fillRect/>
                          </a:stretch>
                        </pic:blipFill>
                        <pic:spPr>
                          <a:xfrm>
                            <a:off x="0" y="0"/>
                            <a:ext cx="43815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79776" behindDoc="0" locked="0" layoutInCell="1" allowOverlap="1">
                  <wp:simplePos x="0" y="0"/>
                  <wp:positionH relativeFrom="column">
                    <wp:posOffset>114300</wp:posOffset>
                  </wp:positionH>
                  <wp:positionV relativeFrom="paragraph">
                    <wp:posOffset>267970</wp:posOffset>
                  </wp:positionV>
                  <wp:extent cx="438150" cy="0"/>
                  <wp:effectExtent l="0" t="0" r="0" b="0"/>
                  <wp:wrapNone/>
                  <wp:docPr id="344" name="图片_112_SpCnt_3"/>
                  <wp:cNvGraphicFramePr/>
                  <a:graphic xmlns:a="http://schemas.openxmlformats.org/drawingml/2006/main">
                    <a:graphicData uri="http://schemas.openxmlformats.org/drawingml/2006/picture">
                      <pic:pic xmlns:pic="http://schemas.openxmlformats.org/drawingml/2006/picture">
                        <pic:nvPicPr>
                          <pic:cNvPr id="344" name="图片_112_SpCnt_3"/>
                          <pic:cNvPicPr/>
                        </pic:nvPicPr>
                        <pic:blipFill>
                          <a:blip r:embed="rId67"/>
                          <a:stretch>
                            <a:fillRect/>
                          </a:stretch>
                        </pic:blipFill>
                        <pic:spPr>
                          <a:xfrm>
                            <a:off x="0" y="0"/>
                            <a:ext cx="43815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80800" behindDoc="0" locked="0" layoutInCell="1" allowOverlap="1">
                  <wp:simplePos x="0" y="0"/>
                  <wp:positionH relativeFrom="column">
                    <wp:posOffset>133350</wp:posOffset>
                  </wp:positionH>
                  <wp:positionV relativeFrom="paragraph">
                    <wp:posOffset>228600</wp:posOffset>
                  </wp:positionV>
                  <wp:extent cx="438150" cy="382270"/>
                  <wp:effectExtent l="0" t="0" r="0" b="17780"/>
                  <wp:wrapNone/>
                  <wp:docPr id="345" name="图片_112_SpCnt_4"/>
                  <wp:cNvGraphicFramePr/>
                  <a:graphic xmlns:a="http://schemas.openxmlformats.org/drawingml/2006/main">
                    <a:graphicData uri="http://schemas.openxmlformats.org/drawingml/2006/picture">
                      <pic:pic xmlns:pic="http://schemas.openxmlformats.org/drawingml/2006/picture">
                        <pic:nvPicPr>
                          <pic:cNvPr id="345" name="图片_112_SpCnt_4"/>
                          <pic:cNvPicPr/>
                        </pic:nvPicPr>
                        <pic:blipFill>
                          <a:blip r:embed="rId220"/>
                          <a:stretch>
                            <a:fillRect/>
                          </a:stretch>
                        </pic:blipFill>
                        <pic:spPr>
                          <a:xfrm>
                            <a:off x="0" y="0"/>
                            <a:ext cx="438150" cy="38227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single" w:color="000000" w:sz="4" w:space="0"/>
              <w:left w:val="single" w:color="000000" w:sz="4" w:space="0"/>
              <w:bottom w:val="single" w:color="000000" w:sz="4" w:space="0"/>
              <w:right w:val="nil"/>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不锈钢排油烟风管</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SIZE：约12m</w:t>
            </w:r>
            <w:r>
              <w:rPr>
                <w:rFonts w:hint="eastAsia" w:ascii="宋体" w:hAnsi="宋体" w:cs="宋体"/>
                <w:color w:val="000000"/>
                <w:kern w:val="0"/>
                <w:sz w:val="24"/>
                <w:vertAlign w:val="superscript"/>
                <w:lang w:bidi="ar"/>
              </w:rPr>
              <w:t>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选用SUS304不锈钢板制作；板厚约0.8厚度；配法兰，机压加强筋；包括软连接等配套安装辅件。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81824" behindDoc="0" locked="0" layoutInCell="1" allowOverlap="1">
                  <wp:simplePos x="0" y="0"/>
                  <wp:positionH relativeFrom="column">
                    <wp:posOffset>152400</wp:posOffset>
                  </wp:positionH>
                  <wp:positionV relativeFrom="paragraph">
                    <wp:posOffset>95885</wp:posOffset>
                  </wp:positionV>
                  <wp:extent cx="380365" cy="343535"/>
                  <wp:effectExtent l="0" t="0" r="635" b="18415"/>
                  <wp:wrapNone/>
                  <wp:docPr id="346" name="Picture_261_SpCnt_3"/>
                  <wp:cNvGraphicFramePr/>
                  <a:graphic xmlns:a="http://schemas.openxmlformats.org/drawingml/2006/main">
                    <a:graphicData uri="http://schemas.openxmlformats.org/drawingml/2006/picture">
                      <pic:pic xmlns:pic="http://schemas.openxmlformats.org/drawingml/2006/picture">
                        <pic:nvPicPr>
                          <pic:cNvPr id="346" name="Picture_261_SpCnt_3"/>
                          <pic:cNvPicPr/>
                        </pic:nvPicPr>
                        <pic:blipFill>
                          <a:blip r:embed="rId222"/>
                          <a:stretch>
                            <a:fillRect/>
                          </a:stretch>
                        </pic:blipFill>
                        <pic:spPr>
                          <a:xfrm>
                            <a:off x="0" y="0"/>
                            <a:ext cx="380365" cy="3435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三层洗消间</w:t>
            </w:r>
          </w:p>
        </w:tc>
      </w:tr>
      <w:tr>
        <w:tblPrEx>
          <w:tblCellMar>
            <w:top w:w="0" w:type="dxa"/>
            <w:left w:w="108" w:type="dxa"/>
            <w:bottom w:w="0" w:type="dxa"/>
            <w:right w:w="108" w:type="dxa"/>
          </w:tblCellMar>
        </w:tblPrEx>
        <w:trPr>
          <w:trHeight w:val="41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排油烟轴流风机（一二层洗消间）</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SIZE：4#</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机箱外壳为优质A3钢板，整机可拆卸，风量：约4000~6000m3/h，备用，现场情况洗消间无法实现并入主风管时使用。</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台</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82848" behindDoc="0" locked="0" layoutInCell="1" allowOverlap="1">
                  <wp:simplePos x="0" y="0"/>
                  <wp:positionH relativeFrom="column">
                    <wp:posOffset>123190</wp:posOffset>
                  </wp:positionH>
                  <wp:positionV relativeFrom="paragraph">
                    <wp:posOffset>237490</wp:posOffset>
                  </wp:positionV>
                  <wp:extent cx="438150" cy="0"/>
                  <wp:effectExtent l="0" t="0" r="0" b="0"/>
                  <wp:wrapNone/>
                  <wp:docPr id="36" name="图片_112_SpCnt_5"/>
                  <wp:cNvGraphicFramePr/>
                  <a:graphic xmlns:a="http://schemas.openxmlformats.org/drawingml/2006/main">
                    <a:graphicData uri="http://schemas.openxmlformats.org/drawingml/2006/picture">
                      <pic:pic xmlns:pic="http://schemas.openxmlformats.org/drawingml/2006/picture">
                        <pic:nvPicPr>
                          <pic:cNvPr id="36" name="图片_112_SpCnt_5"/>
                          <pic:cNvPicPr/>
                        </pic:nvPicPr>
                        <pic:blipFill>
                          <a:blip r:embed="rId67"/>
                          <a:stretch>
                            <a:fillRect/>
                          </a:stretch>
                        </pic:blipFill>
                        <pic:spPr>
                          <a:xfrm>
                            <a:off x="0" y="0"/>
                            <a:ext cx="43815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83872" behindDoc="0" locked="0" layoutInCell="1" allowOverlap="1">
                  <wp:simplePos x="0" y="0"/>
                  <wp:positionH relativeFrom="column">
                    <wp:posOffset>114300</wp:posOffset>
                  </wp:positionH>
                  <wp:positionV relativeFrom="paragraph">
                    <wp:posOffset>267970</wp:posOffset>
                  </wp:positionV>
                  <wp:extent cx="438150" cy="0"/>
                  <wp:effectExtent l="0" t="0" r="0" b="0"/>
                  <wp:wrapNone/>
                  <wp:docPr id="35" name="图片_112_SpCnt_6"/>
                  <wp:cNvGraphicFramePr/>
                  <a:graphic xmlns:a="http://schemas.openxmlformats.org/drawingml/2006/main">
                    <a:graphicData uri="http://schemas.openxmlformats.org/drawingml/2006/picture">
                      <pic:pic xmlns:pic="http://schemas.openxmlformats.org/drawingml/2006/picture">
                        <pic:nvPicPr>
                          <pic:cNvPr id="35" name="图片_112_SpCnt_6"/>
                          <pic:cNvPicPr/>
                        </pic:nvPicPr>
                        <pic:blipFill>
                          <a:blip r:embed="rId67"/>
                          <a:stretch>
                            <a:fillRect/>
                          </a:stretch>
                        </pic:blipFill>
                        <pic:spPr>
                          <a:xfrm>
                            <a:off x="0" y="0"/>
                            <a:ext cx="438150" cy="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84896" behindDoc="0" locked="0" layoutInCell="1" allowOverlap="1">
                  <wp:simplePos x="0" y="0"/>
                  <wp:positionH relativeFrom="column">
                    <wp:posOffset>133350</wp:posOffset>
                  </wp:positionH>
                  <wp:positionV relativeFrom="paragraph">
                    <wp:posOffset>161925</wp:posOffset>
                  </wp:positionV>
                  <wp:extent cx="438150" cy="382270"/>
                  <wp:effectExtent l="0" t="0" r="0" b="17780"/>
                  <wp:wrapNone/>
                  <wp:docPr id="34" name="图片_112_SpCnt_7"/>
                  <wp:cNvGraphicFramePr/>
                  <a:graphic xmlns:a="http://schemas.openxmlformats.org/drawingml/2006/main">
                    <a:graphicData uri="http://schemas.openxmlformats.org/drawingml/2006/picture">
                      <pic:pic xmlns:pic="http://schemas.openxmlformats.org/drawingml/2006/picture">
                        <pic:nvPicPr>
                          <pic:cNvPr id="34" name="图片_112_SpCnt_7"/>
                          <pic:cNvPicPr/>
                        </pic:nvPicPr>
                        <pic:blipFill>
                          <a:blip r:embed="rId220"/>
                          <a:stretch>
                            <a:fillRect/>
                          </a:stretch>
                        </pic:blipFill>
                        <pic:spPr>
                          <a:xfrm>
                            <a:off x="0" y="0"/>
                            <a:ext cx="438150" cy="382270"/>
                          </a:xfrm>
                          <a:prstGeom prst="rect">
                            <a:avLst/>
                          </a:prstGeom>
                          <a:noFill/>
                          <a:ln>
                            <a:noFill/>
                          </a:ln>
                        </pic:spPr>
                      </pic:pic>
                    </a:graphicData>
                  </a:graphic>
                </wp:anchor>
              </w:drawing>
            </w:r>
            <w:r>
              <w:rPr>
                <w:rFonts w:hint="eastAsia" w:ascii="宋体" w:hAnsi="宋体" w:cs="宋体"/>
                <w:color w:val="000000"/>
                <w:kern w:val="0"/>
                <w:sz w:val="24"/>
                <w:bdr w:val="single" w:color="000000" w:sz="4" w:space="0"/>
              </w:rPr>
              <w:drawing>
                <wp:anchor distT="0" distB="0" distL="114300" distR="114300" simplePos="0" relativeHeight="251985920" behindDoc="0" locked="0" layoutInCell="1" allowOverlap="1">
                  <wp:simplePos x="0" y="0"/>
                  <wp:positionH relativeFrom="column">
                    <wp:posOffset>133350</wp:posOffset>
                  </wp:positionH>
                  <wp:positionV relativeFrom="paragraph">
                    <wp:posOffset>228600</wp:posOffset>
                  </wp:positionV>
                  <wp:extent cx="438150" cy="0"/>
                  <wp:effectExtent l="0" t="0" r="0" b="0"/>
                  <wp:wrapNone/>
                  <wp:docPr id="33" name="图片_112_SpCnt_8"/>
                  <wp:cNvGraphicFramePr/>
                  <a:graphic xmlns:a="http://schemas.openxmlformats.org/drawingml/2006/main">
                    <a:graphicData uri="http://schemas.openxmlformats.org/drawingml/2006/picture">
                      <pic:pic xmlns:pic="http://schemas.openxmlformats.org/drawingml/2006/picture">
                        <pic:nvPicPr>
                          <pic:cNvPr id="33" name="图片_112_SpCnt_8"/>
                          <pic:cNvPicPr/>
                        </pic:nvPicPr>
                        <pic:blipFill>
                          <a:blip r:embed="rId67"/>
                          <a:stretch>
                            <a:fillRect/>
                          </a:stretch>
                        </pic:blipFill>
                        <pic:spPr>
                          <a:xfrm>
                            <a:off x="0" y="0"/>
                            <a:ext cx="438150" cy="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84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2</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不锈钢排油烟风管</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SIZE：约12m</w:t>
            </w:r>
            <w:r>
              <w:rPr>
                <w:rFonts w:hint="eastAsia" w:ascii="宋体" w:hAnsi="宋体" w:cs="宋体"/>
                <w:color w:val="000000"/>
                <w:kern w:val="0"/>
                <w:sz w:val="24"/>
                <w:vertAlign w:val="superscript"/>
                <w:lang w:bidi="ar"/>
              </w:rPr>
              <w:t>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选用SUS304不锈钢板制作；板厚约0.8厚度；配法兰，机压加强筋；包括软连接等配套安装辅件。</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12</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86944" behindDoc="0" locked="0" layoutInCell="1" allowOverlap="1">
                  <wp:simplePos x="0" y="0"/>
                  <wp:positionH relativeFrom="column">
                    <wp:posOffset>152400</wp:posOffset>
                  </wp:positionH>
                  <wp:positionV relativeFrom="paragraph">
                    <wp:posOffset>104140</wp:posOffset>
                  </wp:positionV>
                  <wp:extent cx="380365" cy="343535"/>
                  <wp:effectExtent l="0" t="0" r="635" b="18415"/>
                  <wp:wrapNone/>
                  <wp:docPr id="30" name="Picture_261_SpCnt_4"/>
                  <wp:cNvGraphicFramePr/>
                  <a:graphic xmlns:a="http://schemas.openxmlformats.org/drawingml/2006/main">
                    <a:graphicData uri="http://schemas.openxmlformats.org/drawingml/2006/picture">
                      <pic:pic xmlns:pic="http://schemas.openxmlformats.org/drawingml/2006/picture">
                        <pic:nvPicPr>
                          <pic:cNvPr id="30" name="Picture_261_SpCnt_4"/>
                          <pic:cNvPicPr/>
                        </pic:nvPicPr>
                        <pic:blipFill>
                          <a:blip r:embed="rId222"/>
                          <a:stretch>
                            <a:fillRect/>
                          </a:stretch>
                        </pic:blipFill>
                        <pic:spPr>
                          <a:xfrm>
                            <a:off x="0" y="0"/>
                            <a:ext cx="380365" cy="343535"/>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600"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3</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集汽罩（洗碗机）</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SIZE：约6.84m</w:t>
            </w:r>
            <w:r>
              <w:rPr>
                <w:rFonts w:hint="eastAsia" w:ascii="宋体" w:hAnsi="宋体" w:cs="宋体"/>
                <w:color w:val="000000"/>
                <w:kern w:val="0"/>
                <w:sz w:val="24"/>
                <w:vertAlign w:val="superscript"/>
                <w:lang w:bidi="ar"/>
              </w:rPr>
              <w:t>2</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lang w:bidi="ar"/>
              </w:rPr>
              <w:t>选用优质不锈钢板制作，板厚0.8mm，防爆灯。</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m</w:t>
            </w:r>
            <w:r>
              <w:rPr>
                <w:rFonts w:hint="eastAsia" w:ascii="宋体" w:hAnsi="宋体" w:cs="宋体"/>
                <w:color w:val="000000"/>
                <w:kern w:val="0"/>
                <w:sz w:val="24"/>
                <w:vertAlign w:val="superscript"/>
                <w:lang w:bidi="ar"/>
              </w:rPr>
              <w:t>2</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6.84</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ascii="宋体" w:hAnsi="宋体" w:cs="宋体"/>
                <w:color w:val="000000"/>
                <w:sz w:val="24"/>
              </w:rPr>
            </w:pPr>
            <w:r>
              <w:rPr>
                <w:rFonts w:hint="eastAsia" w:ascii="宋体" w:hAnsi="宋体" w:cs="宋体"/>
                <w:color w:val="000000"/>
                <w:kern w:val="0"/>
                <w:sz w:val="24"/>
                <w:bdr w:val="single" w:color="000000" w:sz="4" w:space="0"/>
              </w:rPr>
              <w:drawing>
                <wp:anchor distT="0" distB="0" distL="114300" distR="114300" simplePos="0" relativeHeight="251987968" behindDoc="0" locked="0" layoutInCell="1" allowOverlap="1">
                  <wp:simplePos x="0" y="0"/>
                  <wp:positionH relativeFrom="column">
                    <wp:posOffset>95885</wp:posOffset>
                  </wp:positionH>
                  <wp:positionV relativeFrom="paragraph">
                    <wp:posOffset>47625</wp:posOffset>
                  </wp:positionV>
                  <wp:extent cx="523875" cy="266700"/>
                  <wp:effectExtent l="0" t="0" r="9525" b="0"/>
                  <wp:wrapNone/>
                  <wp:docPr id="29" name="Picture_258_SpCnt_2"/>
                  <wp:cNvGraphicFramePr/>
                  <a:graphic xmlns:a="http://schemas.openxmlformats.org/drawingml/2006/main">
                    <a:graphicData uri="http://schemas.openxmlformats.org/drawingml/2006/picture">
                      <pic:pic xmlns:pic="http://schemas.openxmlformats.org/drawingml/2006/picture">
                        <pic:nvPicPr>
                          <pic:cNvPr id="29" name="Picture_258_SpCnt_2"/>
                          <pic:cNvPicPr/>
                        </pic:nvPicPr>
                        <pic:blipFill>
                          <a:blip r:embed="rId223"/>
                          <a:stretch>
                            <a:fillRect/>
                          </a:stretch>
                        </pic:blipFill>
                        <pic:spPr>
                          <a:xfrm>
                            <a:off x="0" y="0"/>
                            <a:ext cx="523875" cy="266700"/>
                          </a:xfrm>
                          <a:prstGeom prst="rect">
                            <a:avLst/>
                          </a:prstGeom>
                          <a:noFill/>
                          <a:ln>
                            <a:noFill/>
                          </a:ln>
                        </pic:spPr>
                      </pic:pic>
                    </a:graphicData>
                  </a:graphic>
                </wp:anchor>
              </w:drawing>
            </w:r>
          </w:p>
        </w:tc>
      </w:tr>
      <w:tr>
        <w:tblPrEx>
          <w:tblCellMar>
            <w:top w:w="0" w:type="dxa"/>
            <w:left w:w="108" w:type="dxa"/>
            <w:bottom w:w="0" w:type="dxa"/>
            <w:right w:w="108" w:type="dxa"/>
          </w:tblCellMar>
        </w:tblPrEx>
        <w:trPr>
          <w:trHeight w:val="240" w:hRule="atLeast"/>
          <w:jc w:val="center"/>
        </w:trPr>
        <w:tc>
          <w:tcPr>
            <w:tcW w:w="8739" w:type="dxa"/>
            <w:gridSpan w:val="7"/>
            <w:tcBorders>
              <w:top w:val="single" w:color="000000" w:sz="4" w:space="0"/>
              <w:left w:val="single" w:color="000000" w:sz="4" w:space="0"/>
              <w:bottom w:val="nil"/>
              <w:right w:val="single" w:color="000000" w:sz="4" w:space="0"/>
            </w:tcBorders>
            <w:shd w:val="clear" w:color="auto" w:fill="auto"/>
            <w:vAlign w:val="center"/>
          </w:tcPr>
          <w:p>
            <w:pPr>
              <w:spacing w:line="360" w:lineRule="auto"/>
              <w:jc w:val="center"/>
              <w:rPr>
                <w:rFonts w:ascii="宋体" w:hAnsi="宋体" w:cs="宋体"/>
                <w:color w:val="000000"/>
                <w:sz w:val="24"/>
              </w:rPr>
            </w:pPr>
            <w:r>
              <w:rPr>
                <w:rFonts w:hint="eastAsia" w:ascii="宋体" w:hAnsi="宋体" w:cs="宋体"/>
                <w:color w:val="000000"/>
                <w:kern w:val="0"/>
                <w:sz w:val="24"/>
                <w:lang w:bidi="ar"/>
              </w:rPr>
              <w:t>报警系统</w:t>
            </w:r>
          </w:p>
        </w:tc>
      </w:tr>
      <w:tr>
        <w:tblPrEx>
          <w:tblCellMar>
            <w:top w:w="0" w:type="dxa"/>
            <w:left w:w="108" w:type="dxa"/>
            <w:bottom w:w="0" w:type="dxa"/>
            <w:right w:w="108" w:type="dxa"/>
          </w:tblCellMar>
        </w:tblPrEx>
        <w:trPr>
          <w:trHeight w:val="675" w:hRule="atLeast"/>
          <w:jc w:val="center"/>
        </w:trPr>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53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防爆报警系统</w:t>
            </w:r>
          </w:p>
        </w:tc>
        <w:tc>
          <w:tcPr>
            <w:tcW w:w="147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rPr>
                <w:rFonts w:ascii="宋体" w:hAnsi="宋体" w:cs="宋体"/>
                <w:color w:val="000000"/>
                <w:sz w:val="24"/>
              </w:rPr>
            </w:pPr>
            <w:r>
              <w:rPr>
                <w:rFonts w:hint="eastAsia" w:ascii="宋体" w:hAnsi="宋体" w:cs="宋体"/>
                <w:color w:val="000000"/>
                <w:sz w:val="24"/>
              </w:rPr>
              <w:t>根据本项目要求定制。</w:t>
            </w:r>
          </w:p>
        </w:tc>
        <w:tc>
          <w:tcPr>
            <w:tcW w:w="26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left"/>
              <w:textAlignment w:val="center"/>
              <w:rPr>
                <w:rFonts w:hint="eastAsia" w:ascii="宋体" w:hAnsi="宋体" w:eastAsia="宋体" w:cs="宋体"/>
                <w:color w:val="000000"/>
                <w:sz w:val="24"/>
                <w:lang w:eastAsia="zh-CN"/>
              </w:rPr>
            </w:pPr>
            <w:r>
              <w:rPr>
                <w:rFonts w:hint="eastAsia" w:ascii="宋体" w:hAnsi="宋体" w:cs="宋体"/>
                <w:color w:val="000000"/>
                <w:kern w:val="0"/>
                <w:sz w:val="24"/>
                <w:lang w:bidi="ar"/>
              </w:rPr>
              <w:t>联动排烟风机</w:t>
            </w:r>
            <w:r>
              <w:rPr>
                <w:rFonts w:hint="eastAsia" w:ascii="宋体" w:hAnsi="宋体" w:cs="宋体"/>
                <w:color w:val="000000"/>
                <w:kern w:val="0"/>
                <w:sz w:val="24"/>
                <w:lang w:eastAsia="zh-CN" w:bidi="ar"/>
              </w:rPr>
              <w:t>。</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组</w:t>
            </w:r>
          </w:p>
        </w:tc>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auto"/>
              <w:jc w:val="center"/>
              <w:textAlignment w:val="center"/>
              <w:rPr>
                <w:rFonts w:ascii="宋体" w:hAnsi="宋体" w:cs="宋体"/>
                <w:color w:val="000000"/>
                <w:sz w:val="24"/>
              </w:rPr>
            </w:pPr>
            <w:r>
              <w:rPr>
                <w:rFonts w:hint="eastAsia" w:ascii="宋体" w:hAnsi="宋体" w:cs="宋体"/>
                <w:color w:val="000000"/>
                <w:kern w:val="0"/>
                <w:sz w:val="24"/>
                <w:lang w:bidi="ar"/>
              </w:rPr>
              <w:t>/</w:t>
            </w:r>
          </w:p>
        </w:tc>
      </w:tr>
    </w:tbl>
    <w:p>
      <w:pPr>
        <w:snapToGrid w:val="0"/>
        <w:spacing w:line="288" w:lineRule="auto"/>
        <w:ind w:firstLine="482" w:firstLineChars="200"/>
        <w:rPr>
          <w:rFonts w:ascii="宋体" w:hAnsi="宋体" w:cs="仿宋"/>
          <w:b/>
          <w:sz w:val="24"/>
        </w:rPr>
      </w:pPr>
      <w:r>
        <w:rPr>
          <w:rFonts w:hint="eastAsia" w:ascii="宋体" w:hAnsi="宋体" w:cs="仿宋"/>
          <w:b/>
          <w:sz w:val="24"/>
        </w:rPr>
        <w:t>注：1.以上采购清单中所列图片只作为生产制作时的参考款式与样式，具体制作以“规格、参数”中要求为准；</w:t>
      </w:r>
    </w:p>
    <w:p>
      <w:pPr>
        <w:snapToGrid w:val="0"/>
        <w:spacing w:line="288" w:lineRule="auto"/>
        <w:ind w:firstLine="826" w:firstLineChars="343"/>
      </w:pPr>
      <w:r>
        <w:rPr>
          <w:rFonts w:hint="eastAsia" w:ascii="宋体" w:hAnsi="宋体" w:cs="仿宋"/>
          <w:b/>
          <w:sz w:val="24"/>
        </w:rPr>
        <w:t>2、若所投设备有规定外形尺寸，则外形尺寸的长、宽、高允许在±5%以内偏差。</w:t>
      </w:r>
    </w:p>
    <w:p>
      <w:pPr>
        <w:spacing w:line="360" w:lineRule="auto"/>
        <w:ind w:firstLine="482" w:firstLineChars="200"/>
        <w:rPr>
          <w:rFonts w:ascii="宋体" w:hAnsi="宋体" w:cs="宋体"/>
          <w:b/>
          <w:sz w:val="24"/>
        </w:rPr>
      </w:pPr>
      <w:r>
        <w:rPr>
          <w:rFonts w:hint="eastAsia" w:ascii="宋体" w:hAnsi="宋体" w:cs="宋体"/>
          <w:b/>
          <w:sz w:val="24"/>
        </w:rPr>
        <w:t>三、项目实施要求</w:t>
      </w:r>
    </w:p>
    <w:p>
      <w:pPr>
        <w:spacing w:line="360" w:lineRule="auto"/>
        <w:ind w:firstLine="480" w:firstLineChars="200"/>
        <w:rPr>
          <w:rFonts w:ascii="宋体" w:hAnsi="宋体" w:cs="宋体"/>
          <w:bCs/>
          <w:sz w:val="24"/>
        </w:rPr>
      </w:pPr>
      <w:r>
        <w:rPr>
          <w:rFonts w:hint="eastAsia" w:ascii="宋体" w:hAnsi="宋体" w:cs="宋体"/>
          <w:bCs/>
          <w:sz w:val="24"/>
        </w:rPr>
        <w:t>1、签订合同后，供应商按照其与采购人的事先约定将所供货物送货至采购人指定地点后拆箱，负责免费安装调试，正常运行后交用户单位并通过验收。</w:t>
      </w:r>
    </w:p>
    <w:p>
      <w:pPr>
        <w:spacing w:line="360" w:lineRule="auto"/>
        <w:ind w:firstLine="480" w:firstLineChars="200"/>
        <w:rPr>
          <w:rFonts w:ascii="宋体" w:hAnsi="宋体" w:cs="宋体"/>
          <w:bCs/>
          <w:sz w:val="24"/>
        </w:rPr>
      </w:pPr>
      <w:r>
        <w:rPr>
          <w:rFonts w:hint="eastAsia" w:ascii="宋体" w:hAnsi="宋体" w:cs="宋体"/>
          <w:bCs/>
          <w:sz w:val="24"/>
        </w:rPr>
        <w:t>2、售后服务按国家和我省相关规定以及生产厂家或投标人的承诺执行，并提供上门服务。</w:t>
      </w:r>
    </w:p>
    <w:p>
      <w:pPr>
        <w:spacing w:line="360" w:lineRule="auto"/>
        <w:ind w:firstLine="482" w:firstLineChars="200"/>
        <w:rPr>
          <w:rFonts w:ascii="宋体" w:hAnsi="宋体" w:cs="宋体"/>
          <w:b/>
          <w:sz w:val="24"/>
        </w:rPr>
      </w:pPr>
      <w:r>
        <w:rPr>
          <w:rFonts w:hint="eastAsia" w:ascii="宋体" w:hAnsi="宋体" w:cs="宋体"/>
          <w:b/>
          <w:sz w:val="24"/>
        </w:rPr>
        <w:t>四、要求质量标准</w:t>
      </w:r>
    </w:p>
    <w:p>
      <w:pPr>
        <w:spacing w:line="360" w:lineRule="auto"/>
        <w:ind w:firstLine="480" w:firstLineChars="200"/>
        <w:rPr>
          <w:rFonts w:ascii="宋体" w:hAnsi="宋体" w:cs="宋体"/>
          <w:bCs/>
          <w:sz w:val="24"/>
        </w:rPr>
      </w:pPr>
      <w:r>
        <w:rPr>
          <w:rFonts w:hint="eastAsia" w:ascii="宋体" w:hAnsi="宋体" w:cs="宋体"/>
          <w:bCs/>
          <w:sz w:val="24"/>
        </w:rPr>
        <w:t>1、供方所供的货物必须为全新的，符合国家标准的合格产品；</w:t>
      </w:r>
    </w:p>
    <w:p>
      <w:pPr>
        <w:spacing w:line="360" w:lineRule="auto"/>
        <w:ind w:firstLine="480" w:firstLineChars="200"/>
        <w:rPr>
          <w:rFonts w:ascii="宋体" w:hAnsi="宋体" w:cs="宋体"/>
          <w:bCs/>
          <w:sz w:val="24"/>
        </w:rPr>
      </w:pPr>
      <w:r>
        <w:rPr>
          <w:rFonts w:hint="eastAsia" w:ascii="宋体" w:hAnsi="宋体" w:cs="宋体"/>
          <w:bCs/>
          <w:sz w:val="24"/>
        </w:rPr>
        <w:t>2、必所供货物不会侵犯任何第三方知识产权；</w:t>
      </w:r>
    </w:p>
    <w:p>
      <w:pPr>
        <w:spacing w:line="360" w:lineRule="auto"/>
        <w:ind w:firstLine="480" w:firstLineChars="200"/>
        <w:rPr>
          <w:rFonts w:ascii="宋体" w:hAnsi="宋体" w:cs="宋体"/>
          <w:bCs/>
          <w:sz w:val="24"/>
        </w:rPr>
      </w:pPr>
      <w:r>
        <w:rPr>
          <w:rFonts w:hint="eastAsia" w:ascii="宋体" w:hAnsi="宋体" w:cs="宋体"/>
          <w:bCs/>
          <w:sz w:val="24"/>
        </w:rPr>
        <w:t>3、送货地址：采购人指定地点。</w:t>
      </w:r>
    </w:p>
    <w:p>
      <w:pPr>
        <w:spacing w:line="360" w:lineRule="auto"/>
        <w:ind w:firstLine="482" w:firstLineChars="200"/>
        <w:rPr>
          <w:rFonts w:ascii="宋体" w:hAnsi="宋体" w:cs="宋体"/>
          <w:b/>
          <w:sz w:val="24"/>
        </w:rPr>
      </w:pPr>
      <w:r>
        <w:rPr>
          <w:rFonts w:hint="eastAsia" w:ascii="宋体" w:hAnsi="宋体" w:cs="宋体"/>
          <w:b/>
          <w:sz w:val="24"/>
        </w:rPr>
        <w:t>五、售后服务要求</w:t>
      </w:r>
    </w:p>
    <w:p>
      <w:pPr>
        <w:spacing w:line="600" w:lineRule="exact"/>
        <w:ind w:firstLine="482" w:firstLineChars="200"/>
        <w:rPr>
          <w:rFonts w:ascii="宋体" w:hAnsi="宋体" w:cs="宋体"/>
          <w:b/>
          <w:sz w:val="24"/>
        </w:rPr>
      </w:pPr>
      <w:r>
        <w:rPr>
          <w:rFonts w:hint="eastAsia" w:ascii="宋体" w:hAnsi="宋体" w:cs="宋体"/>
          <w:b/>
          <w:sz w:val="24"/>
        </w:rPr>
        <w:t>1、质保期：产品验收合格使用之日起1年，在质保期内提供免费现场技术服务。在质保期内，投标人应对货物出现的质量及安全问题负责处理解决并承担一切费用。</w:t>
      </w:r>
    </w:p>
    <w:p>
      <w:pPr>
        <w:spacing w:line="600" w:lineRule="exact"/>
        <w:ind w:firstLine="480" w:firstLineChars="200"/>
        <w:rPr>
          <w:rFonts w:ascii="宋体" w:hAnsi="宋体" w:cs="宋体"/>
          <w:sz w:val="24"/>
        </w:rPr>
      </w:pPr>
      <w:r>
        <w:rPr>
          <w:rFonts w:hint="eastAsia" w:ascii="宋体" w:hAnsi="宋体" w:cs="宋体"/>
          <w:sz w:val="24"/>
        </w:rPr>
        <w:t>2、质保期内的维修费用（包括配件）全部由供货方负责，质保期后的维修酌情以成本价收费。</w:t>
      </w:r>
    </w:p>
    <w:p>
      <w:pPr>
        <w:spacing w:line="600" w:lineRule="exact"/>
        <w:ind w:firstLine="480" w:firstLineChars="200"/>
        <w:rPr>
          <w:rFonts w:ascii="宋体" w:hAnsi="宋体" w:cs="宋体"/>
          <w:sz w:val="24"/>
        </w:rPr>
      </w:pPr>
      <w:r>
        <w:rPr>
          <w:rFonts w:hint="eastAsia" w:ascii="宋体" w:hAnsi="宋体" w:cs="宋体"/>
          <w:sz w:val="24"/>
        </w:rPr>
        <w:t>3、技术支持要求：质保期内出现问题，1小时内响应，2小时内到达现场，12小时内解决问题，对于现场解决不了的故障，中标单位应提供采购人同型号、同规格的备用设备使用，直至故障设备修复；</w:t>
      </w:r>
    </w:p>
    <w:p>
      <w:pPr>
        <w:spacing w:line="600" w:lineRule="exact"/>
        <w:ind w:firstLine="480" w:firstLineChars="200"/>
        <w:rPr>
          <w:rFonts w:ascii="宋体" w:hAnsi="宋体" w:cs="宋体"/>
          <w:sz w:val="24"/>
        </w:rPr>
      </w:pPr>
      <w:r>
        <w:rPr>
          <w:rFonts w:hint="eastAsia" w:ascii="宋体" w:hAnsi="宋体" w:cs="宋体"/>
          <w:sz w:val="24"/>
        </w:rPr>
        <w:t>4、在保修期内供方必须不得以任何理由影响用户的正常使用。投标方必须对所供产品实行终身维修。</w:t>
      </w:r>
    </w:p>
    <w:p>
      <w:pPr>
        <w:spacing w:line="360" w:lineRule="auto"/>
        <w:ind w:firstLine="482" w:firstLineChars="200"/>
        <w:rPr>
          <w:rFonts w:ascii="宋体" w:hAnsi="宋体" w:cs="宋体"/>
          <w:b/>
          <w:color w:val="000000"/>
          <w:sz w:val="24"/>
        </w:rPr>
      </w:pPr>
      <w:r>
        <w:rPr>
          <w:rFonts w:hint="eastAsia" w:ascii="宋体" w:hAnsi="宋体" w:cs="宋体"/>
          <w:b/>
          <w:color w:val="000000"/>
          <w:sz w:val="24"/>
        </w:rPr>
        <w:t>六、培训要求</w:t>
      </w:r>
    </w:p>
    <w:p>
      <w:pPr>
        <w:spacing w:line="360" w:lineRule="auto"/>
        <w:ind w:right="60"/>
        <w:rPr>
          <w:rFonts w:ascii="宋体" w:hAnsi="宋体" w:cs="宋体"/>
          <w:bCs/>
          <w:sz w:val="24"/>
        </w:rPr>
      </w:pPr>
      <w:r>
        <w:rPr>
          <w:rFonts w:hint="eastAsia" w:ascii="宋体" w:hAnsi="宋体" w:cs="宋体"/>
          <w:b/>
          <w:bCs/>
          <w:color w:val="000000"/>
          <w:sz w:val="28"/>
          <w:szCs w:val="28"/>
        </w:rPr>
        <w:t xml:space="preserve">   </w:t>
      </w:r>
      <w:r>
        <w:rPr>
          <w:rFonts w:hint="eastAsia" w:ascii="宋体" w:hAnsi="宋体" w:cs="宋体"/>
          <w:bCs/>
          <w:sz w:val="24"/>
        </w:rPr>
        <w:t>安装调试后，供应商须向使用方人员做好所供产品日常保养、使用、管理的现场实地培训，直至会熟练使用。</w:t>
      </w:r>
    </w:p>
    <w:p>
      <w:pPr>
        <w:spacing w:line="360" w:lineRule="auto"/>
        <w:ind w:firstLine="482" w:firstLineChars="200"/>
        <w:rPr>
          <w:rFonts w:ascii="宋体" w:hAnsi="宋体" w:cs="宋体"/>
          <w:b/>
          <w:sz w:val="24"/>
        </w:rPr>
      </w:pPr>
      <w:r>
        <w:rPr>
          <w:rFonts w:hint="eastAsia" w:ascii="宋体" w:hAnsi="宋体" w:cs="宋体"/>
          <w:b/>
          <w:sz w:val="24"/>
        </w:rPr>
        <w:t>七、工期要求</w:t>
      </w:r>
    </w:p>
    <w:p>
      <w:pPr>
        <w:snapToGrid w:val="0"/>
        <w:spacing w:line="360" w:lineRule="auto"/>
        <w:ind w:firstLine="481"/>
        <w:rPr>
          <w:rFonts w:ascii="宋体" w:hAnsi="宋体" w:cs="宋体"/>
          <w:b/>
          <w:color w:val="000000"/>
          <w:sz w:val="24"/>
        </w:rPr>
      </w:pPr>
      <w:r>
        <w:rPr>
          <w:rFonts w:hint="eastAsia" w:ascii="宋体" w:hAnsi="宋体" w:cs="宋体"/>
          <w:b/>
          <w:color w:val="000000"/>
          <w:sz w:val="24"/>
        </w:rPr>
        <w:t>中标单位与采购人签订合同后30日内送货并安装、调试完毕及使用方初步验收。</w:t>
      </w:r>
    </w:p>
    <w:p>
      <w:pPr>
        <w:snapToGrid w:val="0"/>
        <w:spacing w:line="360" w:lineRule="auto"/>
        <w:ind w:firstLine="482" w:firstLineChars="200"/>
        <w:rPr>
          <w:rFonts w:ascii="宋体" w:hAnsi="宋体" w:cs="宋体"/>
          <w:b/>
          <w:sz w:val="24"/>
        </w:rPr>
      </w:pPr>
      <w:r>
        <w:rPr>
          <w:rFonts w:hint="eastAsia" w:ascii="宋体" w:hAnsi="宋体" w:cs="宋体"/>
          <w:b/>
          <w:sz w:val="24"/>
        </w:rPr>
        <w:t>八、履约保证金</w:t>
      </w:r>
    </w:p>
    <w:p>
      <w:pPr>
        <w:autoSpaceDE w:val="0"/>
        <w:autoSpaceDN w:val="0"/>
        <w:snapToGrid w:val="0"/>
        <w:spacing w:line="360" w:lineRule="auto"/>
        <w:ind w:firstLine="482" w:firstLineChars="200"/>
        <w:rPr>
          <w:rFonts w:ascii="宋体" w:hAnsi="宋体" w:cs="宋体"/>
          <w:bCs/>
          <w:sz w:val="24"/>
        </w:rPr>
      </w:pPr>
      <w:r>
        <w:rPr>
          <w:rFonts w:hint="eastAsia" w:ascii="宋体" w:hAnsi="宋体" w:cs="宋体"/>
          <w:b/>
          <w:bCs/>
          <w:color w:val="000000"/>
          <w:sz w:val="24"/>
        </w:rPr>
        <w:t>签订合同后3个工作日内，中标人须向招标人缴纳相当于合同总额1％的履约保证金。</w:t>
      </w:r>
    </w:p>
    <w:p>
      <w:pPr>
        <w:spacing w:line="360" w:lineRule="auto"/>
        <w:ind w:firstLine="482" w:firstLineChars="200"/>
        <w:rPr>
          <w:rFonts w:ascii="宋体" w:hAnsi="宋体" w:cs="宋体"/>
          <w:b/>
          <w:sz w:val="24"/>
        </w:rPr>
      </w:pPr>
      <w:r>
        <w:rPr>
          <w:rFonts w:hint="eastAsia" w:ascii="宋体" w:hAnsi="宋体" w:cs="宋体"/>
          <w:b/>
          <w:sz w:val="24"/>
        </w:rPr>
        <w:t>九、货款支付</w:t>
      </w:r>
    </w:p>
    <w:p>
      <w:pPr>
        <w:spacing w:line="360" w:lineRule="auto"/>
        <w:ind w:firstLine="480" w:firstLineChars="200"/>
        <w:rPr>
          <w:rFonts w:ascii="宋体" w:hAnsi="宋体" w:cs="宋体"/>
          <w:bCs/>
          <w:sz w:val="24"/>
        </w:rPr>
      </w:pPr>
      <w:r>
        <w:rPr>
          <w:rFonts w:hint="eastAsia" w:ascii="宋体" w:hAnsi="宋体" w:cs="宋体"/>
          <w:bCs/>
          <w:sz w:val="24"/>
        </w:rPr>
        <w:t>合同签订后支付合同总价40%的预付款，项目安装调试完成，经业主初验后支付合同总价的30%，项目终验完成后支付合同总价的30%。</w:t>
      </w:r>
    </w:p>
    <w:p>
      <w:pPr>
        <w:spacing w:line="360" w:lineRule="auto"/>
        <w:ind w:firstLine="482" w:firstLineChars="200"/>
        <w:jc w:val="left"/>
        <w:rPr>
          <w:rFonts w:ascii="宋体" w:hAnsi="宋体" w:cs="宋体"/>
          <w:iCs/>
          <w:sz w:val="24"/>
        </w:rPr>
      </w:pPr>
      <w:r>
        <w:rPr>
          <w:rFonts w:hint="eastAsia" w:ascii="宋体" w:hAnsi="宋体" w:cs="宋体"/>
          <w:b/>
          <w:bCs/>
          <w:iCs/>
          <w:sz w:val="24"/>
        </w:rPr>
        <w:t>十、验收、交付标准和方法</w:t>
      </w:r>
    </w:p>
    <w:p>
      <w:pPr>
        <w:spacing w:line="360" w:lineRule="auto"/>
        <w:ind w:firstLine="480" w:firstLineChars="200"/>
        <w:rPr>
          <w:rFonts w:ascii="宋体" w:hAnsi="宋体" w:cs="宋体"/>
          <w:kern w:val="0"/>
          <w:sz w:val="24"/>
        </w:rPr>
      </w:pPr>
      <w:r>
        <w:rPr>
          <w:rFonts w:hint="eastAsia" w:ascii="宋体" w:hAnsi="宋体" w:cs="宋体"/>
          <w:kern w:val="0"/>
          <w:sz w:val="24"/>
        </w:rPr>
        <w:t>1、采购人按照《杭州市政府采购履约验收暂行办法》（杭财采监[2019]10号）规定组织对</w:t>
      </w:r>
      <w:r>
        <w:rPr>
          <w:rFonts w:hint="eastAsia" w:ascii="宋体" w:hAnsi="宋体" w:cs="宋体"/>
          <w:sz w:val="24"/>
        </w:rPr>
        <w:t>中标人</w:t>
      </w:r>
      <w:r>
        <w:rPr>
          <w:rFonts w:hint="eastAsia" w:ascii="宋体" w:hAnsi="宋体" w:cs="宋体"/>
          <w:kern w:val="0"/>
          <w:sz w:val="24"/>
        </w:rPr>
        <w:t>履约的验收。验收方成员应当在验收书上签字，并承担相应的法律责任。如果发现与合同中要求不符，</w:t>
      </w:r>
      <w:r>
        <w:rPr>
          <w:rFonts w:hint="eastAsia" w:ascii="宋体" w:hAnsi="宋体" w:cs="宋体"/>
          <w:sz w:val="24"/>
        </w:rPr>
        <w:t>中标人</w:t>
      </w:r>
      <w:r>
        <w:rPr>
          <w:rFonts w:hint="eastAsia" w:ascii="宋体" w:hAnsi="宋体" w:cs="宋体"/>
          <w:kern w:val="0"/>
          <w:sz w:val="24"/>
        </w:rPr>
        <w:t>须承担由此发生的一切损失和费用，并接受相应的处理。</w:t>
      </w:r>
    </w:p>
    <w:p>
      <w:pPr>
        <w:spacing w:line="360" w:lineRule="auto"/>
        <w:ind w:firstLine="480" w:firstLineChars="200"/>
        <w:rPr>
          <w:rFonts w:ascii="宋体" w:hAnsi="宋体" w:cs="宋体"/>
          <w:kern w:val="0"/>
          <w:sz w:val="24"/>
        </w:rPr>
      </w:pPr>
      <w:r>
        <w:rPr>
          <w:rFonts w:hint="eastAsia" w:ascii="宋体" w:hAnsi="宋体" w:cs="宋体"/>
          <w:kern w:val="0"/>
          <w:sz w:val="24"/>
        </w:rPr>
        <w:t>2、严格按照采购合同开展履约验收。采购人或委托第三方机构成立验收小组，</w:t>
      </w:r>
      <w:r>
        <w:rPr>
          <w:rFonts w:hint="eastAsia" w:ascii="宋体" w:hAnsi="宋体" w:cs="宋体"/>
          <w:sz w:val="24"/>
        </w:rPr>
        <w:t>采购人、专家、代表人、服务对象等为成员开展验收会议。</w:t>
      </w:r>
      <w:r>
        <w:rPr>
          <w:rFonts w:hint="eastAsia" w:ascii="宋体" w:hAnsi="宋体" w:cs="宋体"/>
          <w:kern w:val="0"/>
          <w:sz w:val="24"/>
        </w:rPr>
        <w:t>按照采购合同的约定对供应商履约情况进行验收，验收时，按照采购合同的约定对每一项技术、服务、安全标准的履约情况进行确认，出具验收报告并经验收小组全体成员签字。采购人根据验收报告形成验收意见并经采购人与</w:t>
      </w:r>
      <w:r>
        <w:rPr>
          <w:rFonts w:hint="eastAsia" w:ascii="宋体" w:hAnsi="宋体" w:cs="宋体"/>
          <w:sz w:val="24"/>
        </w:rPr>
        <w:t>中标人</w:t>
      </w:r>
      <w:r>
        <w:rPr>
          <w:rFonts w:hint="eastAsia" w:ascii="宋体" w:hAnsi="宋体" w:cs="宋体"/>
          <w:kern w:val="0"/>
          <w:sz w:val="24"/>
        </w:rPr>
        <w:t>签字盖章，并在财政指定媒体上公示无异议后生效。验收结果与采购合同约定的资金支付及履约保证金返还条件挂钩。履约验收的各项资料应当存档备查。</w:t>
      </w:r>
    </w:p>
    <w:p>
      <w:pPr>
        <w:spacing w:line="360" w:lineRule="auto"/>
        <w:ind w:firstLine="480" w:firstLineChars="200"/>
        <w:rPr>
          <w:rFonts w:ascii="宋体" w:hAnsi="宋体" w:cs="宋体"/>
          <w:kern w:val="0"/>
          <w:sz w:val="24"/>
        </w:rPr>
      </w:pPr>
      <w:r>
        <w:rPr>
          <w:rFonts w:hint="eastAsia" w:ascii="宋体" w:hAnsi="宋体" w:cs="宋体"/>
          <w:kern w:val="0"/>
          <w:sz w:val="24"/>
        </w:rPr>
        <w:t>3、验收合格的项目，采购人将根据采购合同的约定及时向供应商支付采购资金、退还履约保证金（如有）。验收不合格的项目，采购人将依法及时处理。采购合同的履行、违约责任和解决争议的方式等适用《中华人民共和国民法典》。</w:t>
      </w:r>
    </w:p>
    <w:p>
      <w:pPr>
        <w:spacing w:line="360" w:lineRule="auto"/>
        <w:ind w:firstLine="480" w:firstLineChars="200"/>
        <w:rPr>
          <w:rFonts w:ascii="宋体" w:hAnsi="宋体" w:cs="宋体"/>
          <w:sz w:val="24"/>
        </w:rPr>
      </w:pPr>
      <w:r>
        <w:rPr>
          <w:rFonts w:hint="eastAsia" w:ascii="宋体" w:hAnsi="宋体" w:cs="宋体"/>
          <w:kern w:val="0"/>
          <w:sz w:val="24"/>
        </w:rPr>
        <w:t>4、验收产生的费用首次验收费用由采购人承担，如首次验收不合格，后续验收费用由</w:t>
      </w:r>
      <w:r>
        <w:rPr>
          <w:rFonts w:hint="eastAsia" w:ascii="宋体" w:hAnsi="宋体" w:cs="宋体"/>
          <w:sz w:val="24"/>
        </w:rPr>
        <w:t>中标人</w:t>
      </w:r>
      <w:r>
        <w:rPr>
          <w:rFonts w:hint="eastAsia" w:ascii="宋体" w:hAnsi="宋体" w:cs="宋体"/>
          <w:kern w:val="0"/>
          <w:sz w:val="24"/>
        </w:rPr>
        <w:t>支付。</w:t>
      </w:r>
    </w:p>
    <w:p>
      <w:pPr>
        <w:tabs>
          <w:tab w:val="left" w:pos="904"/>
        </w:tabs>
        <w:snapToGrid w:val="0"/>
        <w:spacing w:line="360" w:lineRule="auto"/>
        <w:ind w:firstLine="480" w:firstLineChars="200"/>
        <w:jc w:val="left"/>
        <w:rPr>
          <w:rFonts w:ascii="宋体" w:hAnsi="宋体" w:cs="宋体"/>
          <w:sz w:val="24"/>
        </w:rPr>
      </w:pPr>
      <w:r>
        <w:rPr>
          <w:rFonts w:hint="eastAsia" w:ascii="宋体" w:hAnsi="宋体" w:cs="宋体"/>
          <w:sz w:val="24"/>
        </w:rPr>
        <w:t>5、验收内容及资料要求：</w:t>
      </w:r>
    </w:p>
    <w:p>
      <w:pPr>
        <w:tabs>
          <w:tab w:val="left" w:pos="904"/>
        </w:tabs>
        <w:snapToGrid w:val="0"/>
        <w:spacing w:line="360" w:lineRule="auto"/>
        <w:ind w:firstLine="480" w:firstLineChars="200"/>
        <w:jc w:val="left"/>
        <w:rPr>
          <w:rFonts w:ascii="宋体" w:hAnsi="宋体" w:cs="宋体"/>
          <w:sz w:val="24"/>
        </w:rPr>
      </w:pPr>
      <w:r>
        <w:rPr>
          <w:rFonts w:hint="eastAsia" w:ascii="宋体" w:hAnsi="宋体" w:cs="宋体"/>
          <w:sz w:val="24"/>
        </w:rPr>
        <w:t>根据采购文件确定的技术指标或者服务要求确定验收指标和标准。未进行相应约定的，应当符合国家强制性规定、政策要求、安全标准、行业或企业有关标准等。</w:t>
      </w:r>
    </w:p>
    <w:p>
      <w:pPr>
        <w:tabs>
          <w:tab w:val="left" w:pos="904"/>
        </w:tabs>
        <w:snapToGrid w:val="0"/>
        <w:spacing w:line="360" w:lineRule="auto"/>
        <w:ind w:firstLine="480" w:firstLineChars="200"/>
        <w:jc w:val="left"/>
        <w:rPr>
          <w:rFonts w:ascii="宋体" w:hAnsi="宋体" w:cs="宋体"/>
          <w:sz w:val="24"/>
        </w:rPr>
      </w:pPr>
      <w:r>
        <w:rPr>
          <w:rFonts w:hint="eastAsia" w:ascii="宋体" w:hAnsi="宋体" w:cs="宋体"/>
          <w:sz w:val="24"/>
        </w:rPr>
        <w:t>5.1验收内容</w:t>
      </w:r>
    </w:p>
    <w:tbl>
      <w:tblPr>
        <w:tblStyle w:val="63"/>
        <w:tblW w:w="8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1815"/>
        <w:gridCol w:w="58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865" w:type="dxa"/>
            <w:noWrap/>
            <w:vAlign w:val="center"/>
          </w:tcPr>
          <w:p>
            <w:pPr>
              <w:tabs>
                <w:tab w:val="left" w:pos="904"/>
              </w:tabs>
              <w:snapToGrid w:val="0"/>
              <w:spacing w:line="360" w:lineRule="auto"/>
              <w:jc w:val="center"/>
              <w:rPr>
                <w:rFonts w:ascii="宋体" w:hAnsi="宋体" w:cs="宋体"/>
                <w:sz w:val="24"/>
              </w:rPr>
            </w:pPr>
            <w:r>
              <w:rPr>
                <w:rFonts w:hint="eastAsia" w:ascii="宋体" w:hAnsi="宋体" w:cs="宋体"/>
                <w:sz w:val="24"/>
              </w:rPr>
              <w:t>序号</w:t>
            </w:r>
          </w:p>
        </w:tc>
        <w:tc>
          <w:tcPr>
            <w:tcW w:w="1815" w:type="dxa"/>
            <w:noWrap/>
            <w:vAlign w:val="center"/>
          </w:tcPr>
          <w:p>
            <w:pPr>
              <w:tabs>
                <w:tab w:val="left" w:pos="904"/>
              </w:tabs>
              <w:snapToGrid w:val="0"/>
              <w:spacing w:line="360" w:lineRule="auto"/>
              <w:jc w:val="center"/>
              <w:rPr>
                <w:rFonts w:ascii="宋体" w:hAnsi="宋体" w:cs="宋体"/>
                <w:sz w:val="24"/>
              </w:rPr>
            </w:pPr>
            <w:r>
              <w:rPr>
                <w:rFonts w:hint="eastAsia" w:ascii="宋体" w:hAnsi="宋体" w:cs="宋体"/>
                <w:sz w:val="24"/>
              </w:rPr>
              <w:t>验收内容</w:t>
            </w:r>
          </w:p>
        </w:tc>
        <w:tc>
          <w:tcPr>
            <w:tcW w:w="5837" w:type="dxa"/>
            <w:vAlign w:val="center"/>
          </w:tcPr>
          <w:p>
            <w:pPr>
              <w:tabs>
                <w:tab w:val="left" w:pos="904"/>
              </w:tabs>
              <w:snapToGrid w:val="0"/>
              <w:spacing w:line="360" w:lineRule="auto"/>
              <w:jc w:val="center"/>
              <w:rPr>
                <w:rFonts w:ascii="宋体" w:hAnsi="宋体" w:cs="宋体"/>
                <w:sz w:val="24"/>
              </w:rPr>
            </w:pPr>
            <w:r>
              <w:rPr>
                <w:rFonts w:hint="eastAsia" w:ascii="宋体" w:hAnsi="宋体" w:cs="宋体"/>
                <w:sz w:val="24"/>
              </w:rPr>
              <w:t>验收标准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65" w:type="dxa"/>
            <w:noWrap/>
            <w:vAlign w:val="center"/>
          </w:tcPr>
          <w:p>
            <w:pPr>
              <w:tabs>
                <w:tab w:val="left" w:pos="904"/>
              </w:tabs>
              <w:snapToGrid w:val="0"/>
              <w:spacing w:line="360" w:lineRule="auto"/>
              <w:jc w:val="center"/>
              <w:rPr>
                <w:rFonts w:ascii="宋体" w:hAnsi="宋体" w:cs="宋体"/>
                <w:sz w:val="24"/>
              </w:rPr>
            </w:pPr>
            <w:r>
              <w:rPr>
                <w:rFonts w:hint="eastAsia" w:ascii="宋体" w:hAnsi="宋体" w:cs="宋体"/>
                <w:sz w:val="24"/>
              </w:rPr>
              <w:t>1</w:t>
            </w:r>
          </w:p>
        </w:tc>
        <w:tc>
          <w:tcPr>
            <w:tcW w:w="1815" w:type="dxa"/>
            <w:noWrap/>
            <w:vAlign w:val="center"/>
          </w:tcPr>
          <w:p>
            <w:pPr>
              <w:tabs>
                <w:tab w:val="left" w:pos="904"/>
              </w:tabs>
              <w:snapToGrid w:val="0"/>
              <w:spacing w:line="360" w:lineRule="auto"/>
              <w:jc w:val="center"/>
              <w:rPr>
                <w:rFonts w:ascii="宋体" w:hAnsi="宋体" w:cs="宋体"/>
                <w:sz w:val="24"/>
              </w:rPr>
            </w:pPr>
            <w:r>
              <w:rPr>
                <w:rFonts w:hint="eastAsia" w:ascii="宋体" w:hAnsi="宋体" w:cs="宋体"/>
                <w:sz w:val="24"/>
              </w:rPr>
              <w:t>交货产品数量</w:t>
            </w:r>
          </w:p>
        </w:tc>
        <w:tc>
          <w:tcPr>
            <w:tcW w:w="5837" w:type="dxa"/>
            <w:vAlign w:val="center"/>
          </w:tcPr>
          <w:p>
            <w:pPr>
              <w:tabs>
                <w:tab w:val="left" w:pos="904"/>
              </w:tabs>
              <w:snapToGrid w:val="0"/>
              <w:spacing w:line="360" w:lineRule="auto"/>
              <w:jc w:val="left"/>
              <w:rPr>
                <w:rFonts w:ascii="宋体" w:hAnsi="宋体" w:cs="宋体"/>
                <w:sz w:val="24"/>
              </w:rPr>
            </w:pPr>
            <w:r>
              <w:rPr>
                <w:rFonts w:hint="eastAsia" w:ascii="宋体" w:hAnsi="宋体" w:cs="宋体"/>
                <w:sz w:val="24"/>
              </w:rPr>
              <w:t>根据采购人下单情况和实际到货核验清单（需采购核验人、复核人及中标人三方签字盖章）；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jc w:val="center"/>
        </w:trPr>
        <w:tc>
          <w:tcPr>
            <w:tcW w:w="865" w:type="dxa"/>
            <w:noWrap/>
            <w:vAlign w:val="center"/>
          </w:tcPr>
          <w:p>
            <w:pPr>
              <w:tabs>
                <w:tab w:val="left" w:pos="904"/>
              </w:tabs>
              <w:snapToGrid w:val="0"/>
              <w:spacing w:line="360" w:lineRule="auto"/>
              <w:jc w:val="center"/>
              <w:rPr>
                <w:rFonts w:ascii="宋体" w:hAnsi="宋体" w:cs="宋体"/>
                <w:sz w:val="24"/>
              </w:rPr>
            </w:pPr>
            <w:r>
              <w:rPr>
                <w:rFonts w:hint="eastAsia" w:ascii="宋体" w:hAnsi="宋体" w:cs="宋体"/>
                <w:sz w:val="24"/>
              </w:rPr>
              <w:t>2</w:t>
            </w:r>
          </w:p>
        </w:tc>
        <w:tc>
          <w:tcPr>
            <w:tcW w:w="1815" w:type="dxa"/>
            <w:noWrap/>
            <w:vAlign w:val="center"/>
          </w:tcPr>
          <w:p>
            <w:pPr>
              <w:tabs>
                <w:tab w:val="left" w:pos="904"/>
              </w:tabs>
              <w:snapToGrid w:val="0"/>
              <w:spacing w:line="360" w:lineRule="auto"/>
              <w:jc w:val="center"/>
              <w:rPr>
                <w:rFonts w:ascii="宋体" w:hAnsi="宋体" w:cs="宋体"/>
                <w:sz w:val="24"/>
              </w:rPr>
            </w:pPr>
            <w:r>
              <w:rPr>
                <w:rFonts w:hint="eastAsia" w:ascii="宋体" w:hAnsi="宋体" w:cs="宋体"/>
                <w:sz w:val="24"/>
              </w:rPr>
              <w:t>交货产品的质量文件</w:t>
            </w:r>
          </w:p>
        </w:tc>
        <w:tc>
          <w:tcPr>
            <w:tcW w:w="5837" w:type="dxa"/>
            <w:vAlign w:val="center"/>
          </w:tcPr>
          <w:p>
            <w:pPr>
              <w:tabs>
                <w:tab w:val="left" w:pos="904"/>
              </w:tabs>
              <w:snapToGrid w:val="0"/>
              <w:spacing w:line="360" w:lineRule="auto"/>
              <w:jc w:val="left"/>
              <w:rPr>
                <w:rFonts w:ascii="宋体" w:hAnsi="宋体" w:cs="宋体"/>
                <w:sz w:val="24"/>
              </w:rPr>
            </w:pPr>
            <w:r>
              <w:rPr>
                <w:rFonts w:hint="eastAsia" w:ascii="宋体" w:hAnsi="宋体" w:cs="宋体"/>
                <w:sz w:val="24"/>
              </w:rPr>
              <w:t>质量保证书原件、原厂质保承诺函、出厂合格证、第三方检测机构出具的检测报告等；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865" w:type="dxa"/>
            <w:noWrap/>
            <w:vAlign w:val="center"/>
          </w:tcPr>
          <w:p>
            <w:pPr>
              <w:tabs>
                <w:tab w:val="left" w:pos="904"/>
              </w:tabs>
              <w:snapToGrid w:val="0"/>
              <w:spacing w:line="360" w:lineRule="auto"/>
              <w:jc w:val="center"/>
              <w:rPr>
                <w:rFonts w:ascii="宋体" w:hAnsi="宋体" w:cs="宋体"/>
                <w:sz w:val="24"/>
              </w:rPr>
            </w:pPr>
            <w:r>
              <w:rPr>
                <w:rFonts w:hint="eastAsia" w:ascii="宋体" w:hAnsi="宋体" w:cs="宋体"/>
                <w:sz w:val="24"/>
              </w:rPr>
              <w:t>3</w:t>
            </w:r>
          </w:p>
        </w:tc>
        <w:tc>
          <w:tcPr>
            <w:tcW w:w="1815" w:type="dxa"/>
            <w:noWrap/>
            <w:vAlign w:val="center"/>
          </w:tcPr>
          <w:p>
            <w:pPr>
              <w:tabs>
                <w:tab w:val="left" w:pos="904"/>
              </w:tabs>
              <w:snapToGrid w:val="0"/>
              <w:spacing w:line="360" w:lineRule="auto"/>
              <w:jc w:val="center"/>
              <w:rPr>
                <w:rFonts w:ascii="宋体" w:hAnsi="宋体" w:cs="宋体"/>
                <w:sz w:val="24"/>
              </w:rPr>
            </w:pPr>
            <w:r>
              <w:rPr>
                <w:rFonts w:hint="eastAsia" w:ascii="宋体" w:hAnsi="宋体" w:cs="宋体"/>
                <w:sz w:val="24"/>
              </w:rPr>
              <w:t>交货产品技术、性能指标</w:t>
            </w:r>
          </w:p>
        </w:tc>
        <w:tc>
          <w:tcPr>
            <w:tcW w:w="5837" w:type="dxa"/>
            <w:vAlign w:val="center"/>
          </w:tcPr>
          <w:p>
            <w:pPr>
              <w:spacing w:line="360" w:lineRule="auto"/>
              <w:jc w:val="left"/>
              <w:rPr>
                <w:rFonts w:ascii="宋体" w:hAnsi="宋体" w:cs="宋体"/>
                <w:sz w:val="24"/>
              </w:rPr>
            </w:pPr>
            <w:r>
              <w:rPr>
                <w:rFonts w:hint="eastAsia" w:ascii="宋体" w:hAnsi="宋体" w:cs="宋体"/>
                <w:sz w:val="24"/>
              </w:rPr>
              <w:t>交付产品符合合同约定的品牌、型号、参数要求；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jc w:val="center"/>
        </w:trPr>
        <w:tc>
          <w:tcPr>
            <w:tcW w:w="865" w:type="dxa"/>
            <w:noWrap/>
            <w:vAlign w:val="center"/>
          </w:tcPr>
          <w:p>
            <w:pPr>
              <w:tabs>
                <w:tab w:val="left" w:pos="904"/>
              </w:tabs>
              <w:snapToGrid w:val="0"/>
              <w:spacing w:line="360" w:lineRule="auto"/>
              <w:jc w:val="center"/>
              <w:rPr>
                <w:rFonts w:ascii="宋体" w:hAnsi="宋体" w:cs="宋体"/>
                <w:sz w:val="24"/>
              </w:rPr>
            </w:pPr>
            <w:r>
              <w:rPr>
                <w:rFonts w:hint="eastAsia" w:ascii="宋体" w:hAnsi="宋体" w:cs="宋体"/>
                <w:sz w:val="24"/>
              </w:rPr>
              <w:t>4</w:t>
            </w:r>
          </w:p>
        </w:tc>
        <w:tc>
          <w:tcPr>
            <w:tcW w:w="1815" w:type="dxa"/>
            <w:vAlign w:val="center"/>
          </w:tcPr>
          <w:p>
            <w:pPr>
              <w:tabs>
                <w:tab w:val="left" w:pos="904"/>
              </w:tabs>
              <w:snapToGrid w:val="0"/>
              <w:spacing w:line="360" w:lineRule="auto"/>
              <w:jc w:val="center"/>
              <w:rPr>
                <w:rFonts w:ascii="宋体" w:hAnsi="宋体" w:cs="宋体"/>
                <w:sz w:val="24"/>
              </w:rPr>
            </w:pPr>
            <w:r>
              <w:rPr>
                <w:rFonts w:hint="eastAsia" w:ascii="宋体" w:hAnsi="宋体" w:cs="宋体"/>
                <w:sz w:val="24"/>
              </w:rPr>
              <w:t>其他工作</w:t>
            </w:r>
          </w:p>
        </w:tc>
        <w:tc>
          <w:tcPr>
            <w:tcW w:w="5837" w:type="dxa"/>
            <w:vAlign w:val="center"/>
          </w:tcPr>
          <w:p>
            <w:pPr>
              <w:tabs>
                <w:tab w:val="left" w:pos="904"/>
              </w:tabs>
              <w:snapToGrid w:val="0"/>
              <w:spacing w:line="360" w:lineRule="auto"/>
              <w:jc w:val="left"/>
              <w:rPr>
                <w:rFonts w:ascii="宋体" w:hAnsi="宋体" w:cs="宋体"/>
                <w:sz w:val="24"/>
              </w:rPr>
            </w:pPr>
            <w:r>
              <w:rPr>
                <w:rFonts w:hint="eastAsia" w:ascii="宋体" w:hAnsi="宋体" w:cs="宋体"/>
                <w:sz w:val="24"/>
              </w:rPr>
              <w:t xml:space="preserve">履行项目采购文件、投标文件、合同条款中涉及的其他承诺的情况。 </w:t>
            </w:r>
          </w:p>
        </w:tc>
      </w:tr>
    </w:tbl>
    <w:p>
      <w:pPr>
        <w:pStyle w:val="34"/>
        <w:spacing w:line="360" w:lineRule="auto"/>
        <w:ind w:firstLine="410" w:firstLineChars="171"/>
        <w:rPr>
          <w:rFonts w:hAnsi="宋体" w:cs="宋体"/>
          <w:snapToGrid/>
          <w:sz w:val="24"/>
          <w:szCs w:val="24"/>
        </w:rPr>
      </w:pPr>
      <w:r>
        <w:rPr>
          <w:rFonts w:hint="eastAsia" w:hAnsi="宋体" w:cs="宋体"/>
          <w:snapToGrid/>
          <w:sz w:val="24"/>
          <w:szCs w:val="24"/>
        </w:rPr>
        <w:t>5.2验收资料要求</w:t>
      </w:r>
    </w:p>
    <w:p>
      <w:pPr>
        <w:pStyle w:val="34"/>
        <w:spacing w:line="360" w:lineRule="auto"/>
        <w:ind w:firstLine="410" w:firstLineChars="171"/>
        <w:rPr>
          <w:rFonts w:hAnsi="宋体" w:cs="宋体"/>
          <w:snapToGrid/>
          <w:sz w:val="24"/>
          <w:szCs w:val="24"/>
        </w:rPr>
      </w:pPr>
      <w:r>
        <w:rPr>
          <w:rFonts w:hint="eastAsia" w:hAnsi="宋体" w:cs="宋体"/>
          <w:snapToGrid/>
          <w:sz w:val="24"/>
          <w:szCs w:val="24"/>
        </w:rPr>
        <w:t>验收资料要求包括（不限于）以下内容：</w:t>
      </w:r>
    </w:p>
    <w:p>
      <w:pPr>
        <w:pStyle w:val="34"/>
        <w:spacing w:line="360" w:lineRule="auto"/>
        <w:ind w:firstLine="410" w:firstLineChars="171"/>
        <w:rPr>
          <w:rFonts w:hAnsi="宋体" w:cs="宋体"/>
          <w:snapToGrid/>
          <w:sz w:val="24"/>
          <w:szCs w:val="24"/>
        </w:rPr>
      </w:pPr>
      <w:r>
        <w:rPr>
          <w:rFonts w:hint="eastAsia" w:hAnsi="宋体" w:cs="宋体"/>
          <w:snapToGrid/>
          <w:sz w:val="24"/>
          <w:szCs w:val="24"/>
        </w:rPr>
        <w:t>①采购文件；</w:t>
      </w:r>
    </w:p>
    <w:p>
      <w:pPr>
        <w:pStyle w:val="34"/>
        <w:spacing w:line="360" w:lineRule="auto"/>
        <w:ind w:firstLine="410" w:firstLineChars="171"/>
        <w:rPr>
          <w:rFonts w:hAnsi="宋体" w:cs="宋体"/>
          <w:snapToGrid/>
          <w:sz w:val="24"/>
          <w:szCs w:val="24"/>
        </w:rPr>
      </w:pPr>
      <w:r>
        <w:rPr>
          <w:rFonts w:hint="eastAsia" w:hAnsi="宋体" w:cs="宋体"/>
          <w:snapToGrid/>
          <w:sz w:val="24"/>
          <w:szCs w:val="24"/>
        </w:rPr>
        <w:t>②投标文件；</w:t>
      </w:r>
    </w:p>
    <w:p>
      <w:pPr>
        <w:pStyle w:val="34"/>
        <w:spacing w:line="360" w:lineRule="auto"/>
        <w:ind w:firstLine="410" w:firstLineChars="171"/>
        <w:rPr>
          <w:rFonts w:hAnsi="宋体" w:cs="宋体"/>
          <w:snapToGrid/>
          <w:sz w:val="24"/>
          <w:szCs w:val="24"/>
        </w:rPr>
      </w:pPr>
      <w:r>
        <w:rPr>
          <w:rFonts w:hint="eastAsia" w:hAnsi="宋体" w:cs="宋体"/>
          <w:snapToGrid/>
          <w:sz w:val="24"/>
          <w:szCs w:val="24"/>
        </w:rPr>
        <w:t>③采购合同；</w:t>
      </w:r>
    </w:p>
    <w:p>
      <w:pPr>
        <w:pStyle w:val="34"/>
        <w:spacing w:line="360" w:lineRule="auto"/>
        <w:ind w:firstLine="410" w:firstLineChars="171"/>
        <w:rPr>
          <w:rFonts w:hAnsi="宋体" w:cs="宋体"/>
          <w:snapToGrid/>
          <w:sz w:val="24"/>
          <w:szCs w:val="24"/>
        </w:rPr>
      </w:pPr>
      <w:r>
        <w:rPr>
          <w:rFonts w:hint="eastAsia" w:hAnsi="宋体" w:cs="宋体"/>
          <w:snapToGrid/>
          <w:sz w:val="24"/>
          <w:szCs w:val="24"/>
        </w:rPr>
        <w:t>④产品清单：产品数量、规格、质量证明文件；</w:t>
      </w:r>
    </w:p>
    <w:p>
      <w:pPr>
        <w:pStyle w:val="34"/>
        <w:spacing w:line="360" w:lineRule="auto"/>
        <w:ind w:firstLine="410" w:firstLineChars="171"/>
        <w:rPr>
          <w:rFonts w:hAnsi="宋体" w:cs="宋体"/>
          <w:snapToGrid/>
          <w:sz w:val="24"/>
          <w:szCs w:val="24"/>
        </w:rPr>
      </w:pPr>
      <w:r>
        <w:rPr>
          <w:rFonts w:hint="eastAsia" w:hAnsi="宋体" w:cs="宋体"/>
          <w:snapToGrid/>
          <w:sz w:val="24"/>
          <w:szCs w:val="24"/>
        </w:rPr>
        <w:t>⑤到货核验单（需采购核验人、复核人及中标人三方签字盖章）、出厂合格证、检测报告、产品说明书、原厂质保函、质量保证书原件、三包凭证、产品拍照图片；</w:t>
      </w:r>
    </w:p>
    <w:p>
      <w:pPr>
        <w:pStyle w:val="34"/>
        <w:spacing w:line="360" w:lineRule="auto"/>
        <w:ind w:firstLine="410" w:firstLineChars="171"/>
        <w:rPr>
          <w:rFonts w:hAnsi="宋体" w:cs="宋体"/>
          <w:snapToGrid/>
          <w:sz w:val="24"/>
          <w:szCs w:val="24"/>
        </w:rPr>
      </w:pPr>
      <w:r>
        <w:rPr>
          <w:rFonts w:hint="eastAsia" w:hAnsi="宋体" w:cs="宋体"/>
          <w:snapToGrid/>
          <w:sz w:val="24"/>
          <w:szCs w:val="24"/>
        </w:rPr>
        <w:t>⑥其他需提供的相关材料。</w:t>
      </w:r>
    </w:p>
    <w:p>
      <w:pPr>
        <w:pStyle w:val="34"/>
        <w:spacing w:line="360" w:lineRule="auto"/>
        <w:ind w:firstLine="410" w:firstLineChars="171"/>
        <w:rPr>
          <w:rFonts w:hAnsi="宋体" w:cs="宋体"/>
          <w:snapToGrid/>
          <w:sz w:val="24"/>
          <w:szCs w:val="24"/>
        </w:rPr>
      </w:pPr>
      <w:r>
        <w:rPr>
          <w:rFonts w:hint="eastAsia" w:hAnsi="宋体" w:cs="宋体"/>
          <w:snapToGrid/>
          <w:sz w:val="24"/>
          <w:szCs w:val="24"/>
        </w:rPr>
        <w:t>6、履约验收标准：按照采购文件、响应文件及采购合同的约定对每一项技术、服务、安全标准的履约情况进行确认。</w:t>
      </w:r>
    </w:p>
    <w:p>
      <w:pPr>
        <w:pStyle w:val="34"/>
        <w:spacing w:line="360" w:lineRule="auto"/>
        <w:ind w:firstLine="410" w:firstLineChars="171"/>
        <w:rPr>
          <w:rFonts w:hAnsi="宋体" w:cs="宋体"/>
          <w:snapToGrid/>
          <w:sz w:val="24"/>
          <w:szCs w:val="24"/>
        </w:rPr>
      </w:pPr>
      <w:r>
        <w:rPr>
          <w:rFonts w:hint="eastAsia" w:hAnsi="宋体" w:cs="宋体"/>
          <w:snapToGrid/>
          <w:sz w:val="24"/>
          <w:szCs w:val="24"/>
        </w:rPr>
        <w:t>7、履约验收其他事项：验收合格的项目，采购人将根据采购合同的约定及时向供应商支付采购资金、退还履约保证金。验收不合格的项目，采购人将依法及时处理。采购合同的履行、违约责任和解决争议的方式等适用《中华人民共和国民法典》。</w:t>
      </w:r>
    </w:p>
    <w:p>
      <w:pPr>
        <w:pStyle w:val="34"/>
        <w:snapToGrid w:val="0"/>
        <w:spacing w:line="360" w:lineRule="auto"/>
        <w:ind w:firstLine="410" w:firstLineChars="171"/>
        <w:rPr>
          <w:rFonts w:hAnsi="宋体" w:cs="宋体"/>
          <w:bCs/>
          <w:sz w:val="24"/>
          <w:szCs w:val="24"/>
        </w:rPr>
      </w:pPr>
      <w:r>
        <w:rPr>
          <w:rFonts w:hint="eastAsia" w:hAnsi="宋体" w:cs="宋体"/>
          <w:bCs/>
          <w:sz w:val="24"/>
          <w:szCs w:val="24"/>
        </w:rPr>
        <w:t>8、验收要求</w:t>
      </w:r>
    </w:p>
    <w:p>
      <w:pPr>
        <w:pStyle w:val="34"/>
        <w:snapToGrid w:val="0"/>
        <w:spacing w:line="360" w:lineRule="auto"/>
        <w:ind w:firstLine="410" w:firstLineChars="171"/>
        <w:rPr>
          <w:rFonts w:hAnsi="宋体" w:cs="宋体"/>
          <w:bCs/>
          <w:sz w:val="24"/>
          <w:szCs w:val="24"/>
        </w:rPr>
      </w:pPr>
      <w:r>
        <w:rPr>
          <w:rFonts w:hint="eastAsia" w:hAnsi="宋体" w:cs="宋体"/>
          <w:bCs/>
          <w:sz w:val="24"/>
          <w:szCs w:val="24"/>
        </w:rPr>
        <w:t>根据《杭州市政府采购履约验收暂行办法》（杭财采监〔2019〕10号）规定，采购人应当根据采购项目的具体情况，自行组织项目验收或者委托采购代理机构验收。</w:t>
      </w:r>
    </w:p>
    <w:p>
      <w:pPr>
        <w:pStyle w:val="34"/>
        <w:snapToGrid w:val="0"/>
        <w:spacing w:line="360" w:lineRule="auto"/>
        <w:ind w:firstLine="410" w:firstLineChars="171"/>
        <w:rPr>
          <w:rFonts w:hAnsi="宋体" w:cs="宋体"/>
          <w:color w:val="000000"/>
          <w:sz w:val="24"/>
        </w:rPr>
      </w:pPr>
      <w:r>
        <w:rPr>
          <w:rFonts w:hint="eastAsia" w:hAnsi="宋体" w:cs="宋体"/>
          <w:color w:val="000000"/>
          <w:sz w:val="24"/>
        </w:rPr>
        <w:t>经验收不合格且无法整改的，不付款不退货，所产生的所有损失由乙方承担。</w:t>
      </w:r>
    </w:p>
    <w:p>
      <w:pPr>
        <w:pStyle w:val="25"/>
        <w:spacing w:line="360" w:lineRule="auto"/>
        <w:ind w:firstLine="482"/>
      </w:pPr>
      <w:r>
        <w:rPr>
          <w:rFonts w:hint="eastAsia" w:cs="宋体"/>
          <w:b/>
          <w:snapToGrid w:val="0"/>
          <w:kern w:val="0"/>
        </w:rPr>
        <w:t>十一、其他要求</w:t>
      </w:r>
    </w:p>
    <w:p>
      <w:pPr>
        <w:spacing w:line="360" w:lineRule="auto"/>
        <w:ind w:firstLine="480" w:firstLineChars="200"/>
        <w:rPr>
          <w:rFonts w:ascii="宋体" w:hAnsi="宋体" w:cs="宋体"/>
          <w:sz w:val="24"/>
        </w:rPr>
      </w:pPr>
      <w:r>
        <w:rPr>
          <w:rFonts w:hint="eastAsia" w:ascii="宋体" w:hAnsi="宋体" w:cs="宋体"/>
          <w:sz w:val="24"/>
        </w:rPr>
        <w:t>1、中标人在安装过程中应采取措施保护沿线和附近的建筑物、地上、地下的管线设施等免遭破坏，如因投标人在安装现场对其它建筑物或设备物品发生损坏的，必须无条件赔偿或复原。中标人在安装现场周围，安设一切必要的标志牌、防护栏等确保安全。对安装现场人员、公众及其他财产的安全事故和由此引起的纠纷全部由中标人负责。</w:t>
      </w:r>
    </w:p>
    <w:p>
      <w:pPr>
        <w:spacing w:line="360" w:lineRule="auto"/>
        <w:ind w:firstLine="480" w:firstLineChars="200"/>
        <w:rPr>
          <w:rFonts w:ascii="宋体" w:hAnsi="宋体" w:cs="宋体"/>
          <w:sz w:val="24"/>
        </w:rPr>
      </w:pPr>
      <w:r>
        <w:rPr>
          <w:rFonts w:hint="eastAsia" w:ascii="宋体" w:hAnsi="宋体" w:cs="宋体"/>
          <w:sz w:val="24"/>
        </w:rPr>
        <w:t>2、投标人做好安全施工管理，对施工过程中发生的一切的安全问题都有投标人无条件承担。</w:t>
      </w:r>
    </w:p>
    <w:p>
      <w:pPr>
        <w:spacing w:line="360" w:lineRule="auto"/>
        <w:ind w:firstLine="480" w:firstLineChars="200"/>
        <w:rPr>
          <w:rFonts w:ascii="宋体" w:hAnsi="宋体" w:cs="宋体"/>
          <w:sz w:val="24"/>
        </w:rPr>
      </w:pPr>
      <w:r>
        <w:rPr>
          <w:rFonts w:hint="eastAsia" w:ascii="宋体" w:hAnsi="宋体" w:cs="宋体"/>
          <w:sz w:val="24"/>
        </w:rPr>
        <w:t>3、中标人应遵守国家、现行有关行业管理规定；在备料、安装及生活中控制污染，废弃物运至指定地点。</w:t>
      </w:r>
    </w:p>
    <w:p>
      <w:pPr>
        <w:spacing w:line="360" w:lineRule="auto"/>
        <w:ind w:firstLine="482" w:firstLineChars="200"/>
        <w:rPr>
          <w:rFonts w:ascii="宋体" w:hAnsi="宋体" w:cs="宋体"/>
          <w:b/>
          <w:sz w:val="24"/>
        </w:rPr>
      </w:pPr>
      <w:r>
        <w:rPr>
          <w:rFonts w:hint="eastAsia" w:ascii="宋体" w:hAnsi="宋体" w:cs="宋体"/>
          <w:b/>
          <w:sz w:val="24"/>
        </w:rPr>
        <w:t>十二、关于知识产权</w:t>
      </w:r>
    </w:p>
    <w:p>
      <w:pPr>
        <w:spacing w:line="360" w:lineRule="auto"/>
        <w:ind w:firstLine="480" w:firstLineChars="200"/>
        <w:rPr>
          <w:rFonts w:ascii="宋体" w:hAnsi="宋体" w:cs="宋体"/>
          <w:sz w:val="24"/>
        </w:rPr>
      </w:pPr>
      <w:r>
        <w:rPr>
          <w:rFonts w:hint="eastAsia" w:ascii="宋体" w:hAnsi="宋体" w:cs="宋体"/>
          <w:sz w:val="24"/>
        </w:rPr>
        <w:t>1、投标人保证，采购人在中华人民共和国境内因使用本招标项目产品和服务中的任何一部分时，采购人免受第三方提出的侵犯其专利权、商标权或其它知识产权的起诉。若出现以上情况，所有责任由投标人承担。</w:t>
      </w:r>
    </w:p>
    <w:p>
      <w:pPr>
        <w:spacing w:line="360" w:lineRule="auto"/>
        <w:ind w:firstLine="480" w:firstLineChars="200"/>
        <w:rPr>
          <w:rFonts w:ascii="宋体" w:hAnsi="宋体" w:cs="宋体"/>
          <w:sz w:val="24"/>
        </w:rPr>
      </w:pPr>
      <w:r>
        <w:rPr>
          <w:rFonts w:hint="eastAsia" w:ascii="宋体" w:hAnsi="宋体" w:cs="宋体"/>
          <w:sz w:val="24"/>
        </w:rPr>
        <w:t>2、投标价格应包括所有应支付的对专利权、版权、设计或其他因知识产权而需要向其他方支付的税费。</w:t>
      </w:r>
    </w:p>
    <w:p>
      <w:pPr>
        <w:pStyle w:val="26"/>
        <w:ind w:firstLine="344"/>
        <w:sectPr>
          <w:headerReference r:id="rId3" w:type="default"/>
          <w:footerReference r:id="rId4" w:type="default"/>
          <w:pgSz w:w="11906" w:h="16838"/>
          <w:pgMar w:top="992" w:right="1474" w:bottom="1134" w:left="1474" w:header="851" w:footer="641" w:gutter="0"/>
          <w:cols w:space="720" w:num="1"/>
          <w:docGrid w:type="lines" w:linePitch="319" w:charSpace="0"/>
        </w:sectPr>
      </w:pPr>
    </w:p>
    <w:p>
      <w:pPr>
        <w:jc w:val="center"/>
        <w:rPr>
          <w:rFonts w:ascii="仿宋" w:hAnsi="仿宋" w:eastAsia="仿宋" w:cs="仿宋"/>
          <w:b/>
          <w:sz w:val="36"/>
          <w:szCs w:val="36"/>
        </w:rPr>
      </w:pPr>
      <w:r>
        <w:rPr>
          <w:rFonts w:hint="eastAsia" w:ascii="仿宋" w:hAnsi="仿宋" w:eastAsia="仿宋" w:cs="仿宋"/>
          <w:b/>
          <w:sz w:val="36"/>
          <w:szCs w:val="36"/>
        </w:rPr>
        <w:t xml:space="preserve">第四部分   </w:t>
      </w:r>
      <w:bookmarkStart w:id="27" w:name="_Toc184313300"/>
      <w:bookmarkEnd w:id="27"/>
      <w:bookmarkStart w:id="28" w:name="_Toc184314419"/>
      <w:bookmarkEnd w:id="28"/>
      <w:bookmarkStart w:id="29" w:name="_Toc184314480"/>
      <w:bookmarkEnd w:id="29"/>
      <w:bookmarkStart w:id="30" w:name="_Toc184308093"/>
      <w:bookmarkEnd w:id="30"/>
      <w:bookmarkStart w:id="31" w:name="_Toc184310295"/>
      <w:bookmarkEnd w:id="31"/>
      <w:bookmarkStart w:id="32" w:name="_Toc184308046"/>
      <w:bookmarkEnd w:id="32"/>
      <w:bookmarkStart w:id="33" w:name="_Toc184312134"/>
      <w:bookmarkEnd w:id="33"/>
      <w:bookmarkStart w:id="34" w:name="_Toc184312080"/>
      <w:bookmarkEnd w:id="34"/>
      <w:bookmarkStart w:id="35" w:name="_Toc184312135"/>
      <w:bookmarkEnd w:id="35"/>
      <w:bookmarkStart w:id="36" w:name="_Toc184308041"/>
      <w:bookmarkEnd w:id="36"/>
      <w:bookmarkStart w:id="37" w:name="_Toc184314473"/>
      <w:bookmarkEnd w:id="37"/>
      <w:bookmarkStart w:id="38" w:name="_Toc184314425"/>
      <w:bookmarkEnd w:id="38"/>
      <w:bookmarkStart w:id="39" w:name="_Toc184312112"/>
      <w:bookmarkEnd w:id="39"/>
      <w:bookmarkStart w:id="40" w:name="_Toc184308042"/>
      <w:bookmarkEnd w:id="40"/>
      <w:bookmarkStart w:id="41" w:name="_Toc184310328"/>
      <w:bookmarkEnd w:id="41"/>
      <w:bookmarkStart w:id="42" w:name="_Toc184312130"/>
      <w:bookmarkEnd w:id="42"/>
      <w:bookmarkStart w:id="43" w:name="_Toc184313256"/>
      <w:bookmarkEnd w:id="43"/>
      <w:bookmarkStart w:id="44" w:name="_Toc184308059"/>
      <w:bookmarkEnd w:id="44"/>
      <w:bookmarkStart w:id="45" w:name="_Toc184313283"/>
      <w:bookmarkEnd w:id="45"/>
      <w:bookmarkStart w:id="46" w:name="_Toc184313288"/>
      <w:bookmarkEnd w:id="46"/>
      <w:bookmarkStart w:id="47" w:name="_Toc184312108"/>
      <w:bookmarkEnd w:id="47"/>
      <w:bookmarkStart w:id="48" w:name="_Toc184310330"/>
      <w:bookmarkEnd w:id="48"/>
      <w:bookmarkStart w:id="49" w:name="_Toc184310286"/>
      <w:bookmarkEnd w:id="49"/>
      <w:bookmarkStart w:id="50" w:name="_Toc184308069"/>
      <w:bookmarkEnd w:id="50"/>
      <w:bookmarkStart w:id="51" w:name="_Toc184310323"/>
      <w:bookmarkEnd w:id="51"/>
      <w:bookmarkStart w:id="52" w:name="_Toc184308070"/>
      <w:bookmarkEnd w:id="52"/>
      <w:bookmarkStart w:id="53" w:name="_Toc184313284"/>
      <w:bookmarkEnd w:id="53"/>
      <w:bookmarkStart w:id="54" w:name="_Toc184308051"/>
      <w:bookmarkEnd w:id="54"/>
      <w:bookmarkStart w:id="55" w:name="_Toc184310317"/>
      <w:bookmarkEnd w:id="55"/>
      <w:bookmarkStart w:id="56" w:name="_Toc184314434"/>
      <w:bookmarkEnd w:id="56"/>
      <w:bookmarkStart w:id="57" w:name="_Toc184310327"/>
      <w:bookmarkEnd w:id="57"/>
      <w:bookmarkStart w:id="58" w:name="_Toc184308095"/>
      <w:bookmarkEnd w:id="58"/>
      <w:bookmarkStart w:id="59" w:name="_Toc184310342"/>
      <w:bookmarkEnd w:id="59"/>
      <w:bookmarkStart w:id="60" w:name="_Toc184312076"/>
      <w:bookmarkEnd w:id="60"/>
      <w:bookmarkStart w:id="61" w:name="_Toc184312127"/>
      <w:bookmarkEnd w:id="61"/>
      <w:bookmarkStart w:id="62" w:name="_Toc184312129"/>
      <w:bookmarkEnd w:id="62"/>
      <w:bookmarkStart w:id="63" w:name="_Toc184312120"/>
      <w:bookmarkEnd w:id="63"/>
      <w:bookmarkStart w:id="64" w:name="_Toc184308055"/>
      <w:bookmarkEnd w:id="64"/>
      <w:bookmarkStart w:id="65" w:name="_Toc184312114"/>
      <w:bookmarkEnd w:id="65"/>
      <w:bookmarkStart w:id="66" w:name="_Toc184308107"/>
      <w:bookmarkEnd w:id="66"/>
      <w:bookmarkStart w:id="67" w:name="_Toc184308103"/>
      <w:bookmarkEnd w:id="67"/>
      <w:bookmarkStart w:id="68" w:name="_Toc184310282"/>
      <w:bookmarkEnd w:id="68"/>
      <w:bookmarkStart w:id="69" w:name="_Toc184312070"/>
      <w:bookmarkEnd w:id="69"/>
      <w:bookmarkStart w:id="70" w:name="_Toc184310341"/>
      <w:bookmarkEnd w:id="70"/>
      <w:bookmarkStart w:id="71" w:name="_Toc184312109"/>
      <w:bookmarkEnd w:id="71"/>
      <w:bookmarkStart w:id="72" w:name="_Toc184312093"/>
      <w:bookmarkEnd w:id="72"/>
      <w:bookmarkStart w:id="73" w:name="_Toc184314464"/>
      <w:bookmarkEnd w:id="73"/>
      <w:bookmarkStart w:id="74" w:name="_Toc184312098"/>
      <w:bookmarkEnd w:id="74"/>
      <w:bookmarkStart w:id="75" w:name="_Toc184308094"/>
      <w:bookmarkEnd w:id="75"/>
      <w:bookmarkStart w:id="76" w:name="_Toc184314435"/>
      <w:bookmarkEnd w:id="76"/>
      <w:bookmarkStart w:id="77" w:name="_Toc184312122"/>
      <w:bookmarkEnd w:id="77"/>
      <w:bookmarkStart w:id="78" w:name="_Toc184312086"/>
      <w:bookmarkEnd w:id="78"/>
      <w:bookmarkStart w:id="79" w:name="_Toc184313294"/>
      <w:bookmarkEnd w:id="79"/>
      <w:bookmarkStart w:id="80" w:name="_Toc184314468"/>
      <w:bookmarkEnd w:id="80"/>
      <w:bookmarkStart w:id="81" w:name="_Toc184308108"/>
      <w:bookmarkEnd w:id="81"/>
      <w:bookmarkStart w:id="82" w:name="_Toc184312110"/>
      <w:bookmarkEnd w:id="82"/>
      <w:bookmarkStart w:id="83" w:name="_Toc184313285"/>
      <w:bookmarkEnd w:id="83"/>
      <w:bookmarkStart w:id="84" w:name="_Toc184314471"/>
      <w:bookmarkEnd w:id="84"/>
      <w:bookmarkStart w:id="85" w:name="_Toc184313271"/>
      <w:bookmarkEnd w:id="85"/>
      <w:bookmarkStart w:id="86" w:name="_Toc184312116"/>
      <w:bookmarkEnd w:id="86"/>
      <w:bookmarkStart w:id="87" w:name="_Toc184308043"/>
      <w:bookmarkEnd w:id="87"/>
      <w:bookmarkStart w:id="88" w:name="_Toc184310308"/>
      <w:bookmarkEnd w:id="88"/>
      <w:bookmarkStart w:id="89" w:name="_Toc184310305"/>
      <w:bookmarkEnd w:id="89"/>
      <w:bookmarkStart w:id="90" w:name="_Toc184310334"/>
      <w:bookmarkEnd w:id="90"/>
      <w:bookmarkStart w:id="91" w:name="_Toc184314459"/>
      <w:bookmarkEnd w:id="91"/>
      <w:bookmarkStart w:id="92" w:name="_Toc184314444"/>
      <w:bookmarkEnd w:id="92"/>
      <w:bookmarkStart w:id="93" w:name="_Toc184314454"/>
      <w:bookmarkEnd w:id="93"/>
      <w:bookmarkStart w:id="94" w:name="_Toc184314414"/>
      <w:bookmarkEnd w:id="94"/>
      <w:bookmarkStart w:id="95" w:name="_Toc184312074"/>
      <w:bookmarkEnd w:id="95"/>
      <w:bookmarkStart w:id="96" w:name="_Toc184308058"/>
      <w:bookmarkEnd w:id="96"/>
      <w:bookmarkStart w:id="97" w:name="_Toc184314446"/>
      <w:bookmarkEnd w:id="97"/>
      <w:bookmarkStart w:id="98" w:name="_Toc184314478"/>
      <w:bookmarkEnd w:id="98"/>
      <w:bookmarkStart w:id="99" w:name="_Toc184313308"/>
      <w:bookmarkEnd w:id="99"/>
      <w:bookmarkStart w:id="100" w:name="_Toc184312099"/>
      <w:bookmarkEnd w:id="100"/>
      <w:bookmarkStart w:id="101" w:name="_Toc184313245"/>
      <w:bookmarkEnd w:id="101"/>
      <w:bookmarkStart w:id="102" w:name="_Toc184312105"/>
      <w:bookmarkEnd w:id="102"/>
      <w:bookmarkStart w:id="103" w:name="_Toc184314467"/>
      <w:bookmarkEnd w:id="103"/>
      <w:bookmarkStart w:id="104" w:name="_Toc184312075"/>
      <w:bookmarkEnd w:id="104"/>
      <w:bookmarkStart w:id="105" w:name="_Toc184308092"/>
      <w:bookmarkEnd w:id="105"/>
      <w:bookmarkStart w:id="106" w:name="_Toc184310332"/>
      <w:bookmarkEnd w:id="106"/>
      <w:bookmarkStart w:id="107" w:name="_Toc184308053"/>
      <w:bookmarkEnd w:id="107"/>
      <w:bookmarkStart w:id="108" w:name="_Toc184308048"/>
      <w:bookmarkEnd w:id="108"/>
      <w:bookmarkStart w:id="109" w:name="_Toc184313289"/>
      <w:bookmarkEnd w:id="109"/>
      <w:bookmarkStart w:id="110" w:name="_Toc184313293"/>
      <w:bookmarkEnd w:id="110"/>
      <w:bookmarkStart w:id="111" w:name="_Toc184312136"/>
      <w:bookmarkEnd w:id="111"/>
      <w:bookmarkStart w:id="112" w:name="_Toc184308073"/>
      <w:bookmarkEnd w:id="112"/>
      <w:bookmarkStart w:id="113" w:name="_Toc184308074"/>
      <w:bookmarkEnd w:id="113"/>
      <w:bookmarkStart w:id="114" w:name="_Toc184308099"/>
      <w:bookmarkEnd w:id="114"/>
      <w:bookmarkStart w:id="115" w:name="_Toc184313295"/>
      <w:bookmarkEnd w:id="115"/>
      <w:bookmarkStart w:id="116" w:name="_Toc184312089"/>
      <w:bookmarkEnd w:id="116"/>
      <w:bookmarkStart w:id="117" w:name="_Toc184310288"/>
      <w:bookmarkEnd w:id="117"/>
      <w:bookmarkStart w:id="118" w:name="_Toc184312128"/>
      <w:bookmarkEnd w:id="118"/>
      <w:bookmarkStart w:id="119" w:name="_Toc184308061"/>
      <w:bookmarkEnd w:id="119"/>
      <w:bookmarkStart w:id="120" w:name="_Toc184313286"/>
      <w:bookmarkEnd w:id="120"/>
      <w:bookmarkStart w:id="121" w:name="_Toc184308098"/>
      <w:bookmarkEnd w:id="121"/>
      <w:bookmarkStart w:id="122" w:name="_Toc184308076"/>
      <w:bookmarkEnd w:id="122"/>
      <w:bookmarkStart w:id="123" w:name="_Toc184314470"/>
      <w:bookmarkEnd w:id="123"/>
      <w:bookmarkStart w:id="124" w:name="_Toc184312073"/>
      <w:bookmarkEnd w:id="124"/>
      <w:bookmarkStart w:id="125" w:name="_Toc184310322"/>
      <w:bookmarkEnd w:id="125"/>
      <w:bookmarkStart w:id="126" w:name="_Toc184314413"/>
      <w:bookmarkEnd w:id="126"/>
      <w:bookmarkStart w:id="127" w:name="_Toc184310285"/>
      <w:bookmarkEnd w:id="127"/>
      <w:bookmarkStart w:id="128" w:name="_Toc184314432"/>
      <w:bookmarkEnd w:id="128"/>
      <w:bookmarkStart w:id="129" w:name="_Toc184313253"/>
      <w:bookmarkEnd w:id="129"/>
      <w:bookmarkStart w:id="130" w:name="_Toc184310278"/>
      <w:bookmarkEnd w:id="130"/>
      <w:bookmarkStart w:id="131" w:name="_Toc184308038"/>
      <w:bookmarkEnd w:id="131"/>
      <w:bookmarkStart w:id="132" w:name="_Toc184308086"/>
      <w:bookmarkEnd w:id="132"/>
      <w:bookmarkStart w:id="133" w:name="_Toc184308060"/>
      <w:bookmarkEnd w:id="133"/>
      <w:bookmarkStart w:id="134" w:name="_Toc184308091"/>
      <w:bookmarkEnd w:id="134"/>
      <w:bookmarkStart w:id="135" w:name="_Toc184314450"/>
      <w:bookmarkEnd w:id="135"/>
      <w:bookmarkStart w:id="136" w:name="_Toc184314461"/>
      <w:bookmarkEnd w:id="136"/>
      <w:bookmarkStart w:id="137" w:name="_Toc184310325"/>
      <w:bookmarkEnd w:id="137"/>
      <w:bookmarkStart w:id="138" w:name="_Toc184313243"/>
      <w:bookmarkEnd w:id="138"/>
      <w:bookmarkStart w:id="139" w:name="_Toc184310277"/>
      <w:bookmarkEnd w:id="139"/>
      <w:bookmarkStart w:id="140" w:name="_Toc184308072"/>
      <w:bookmarkEnd w:id="140"/>
      <w:bookmarkStart w:id="141" w:name="_Toc184312139"/>
      <w:bookmarkEnd w:id="141"/>
      <w:bookmarkStart w:id="142" w:name="_Toc184314440"/>
      <w:bookmarkEnd w:id="142"/>
      <w:bookmarkStart w:id="143" w:name="_Toc184310304"/>
      <w:bookmarkEnd w:id="143"/>
      <w:bookmarkStart w:id="144" w:name="_Toc184314417"/>
      <w:bookmarkEnd w:id="144"/>
      <w:bookmarkStart w:id="145" w:name="_Toc184313303"/>
      <w:bookmarkEnd w:id="145"/>
      <w:bookmarkStart w:id="146" w:name="_Toc184312102"/>
      <w:bookmarkEnd w:id="146"/>
      <w:bookmarkStart w:id="147" w:name="_Toc184313304"/>
      <w:bookmarkEnd w:id="147"/>
      <w:bookmarkStart w:id="148" w:name="_Toc184313266"/>
      <w:bookmarkEnd w:id="148"/>
      <w:bookmarkStart w:id="149" w:name="_Toc184313268"/>
      <w:bookmarkEnd w:id="149"/>
      <w:bookmarkStart w:id="150" w:name="_Toc184310299"/>
      <w:bookmarkEnd w:id="150"/>
      <w:bookmarkStart w:id="151" w:name="_Toc184313276"/>
      <w:bookmarkEnd w:id="151"/>
      <w:bookmarkStart w:id="152" w:name="_Toc184314472"/>
      <w:bookmarkEnd w:id="152"/>
      <w:bookmarkStart w:id="153" w:name="_Toc184312091"/>
      <w:bookmarkEnd w:id="153"/>
      <w:bookmarkStart w:id="154" w:name="_Toc184310309"/>
      <w:bookmarkEnd w:id="154"/>
      <w:bookmarkStart w:id="155" w:name="_Toc184312085"/>
      <w:bookmarkEnd w:id="155"/>
      <w:bookmarkStart w:id="156" w:name="_Toc184312111"/>
      <w:bookmarkEnd w:id="156"/>
      <w:bookmarkStart w:id="157" w:name="_Toc184310294"/>
      <w:bookmarkEnd w:id="157"/>
      <w:bookmarkStart w:id="158" w:name="_Toc184308050"/>
      <w:bookmarkEnd w:id="158"/>
      <w:bookmarkStart w:id="159" w:name="_Toc184310291"/>
      <w:bookmarkEnd w:id="159"/>
      <w:bookmarkStart w:id="160" w:name="_Toc184314455"/>
      <w:bookmarkEnd w:id="160"/>
      <w:bookmarkStart w:id="161" w:name="_Toc184308052"/>
      <w:bookmarkEnd w:id="161"/>
      <w:bookmarkStart w:id="162" w:name="_Toc184314458"/>
      <w:bookmarkEnd w:id="162"/>
      <w:bookmarkStart w:id="163" w:name="_Toc184308087"/>
      <w:bookmarkEnd w:id="163"/>
      <w:bookmarkStart w:id="164" w:name="_Toc184313291"/>
      <w:bookmarkEnd w:id="164"/>
      <w:bookmarkStart w:id="165" w:name="_Toc184310343"/>
      <w:bookmarkEnd w:id="165"/>
      <w:bookmarkStart w:id="166" w:name="_Toc184313274"/>
      <w:bookmarkEnd w:id="166"/>
      <w:bookmarkStart w:id="167" w:name="_Toc184313254"/>
      <w:bookmarkEnd w:id="167"/>
      <w:bookmarkStart w:id="168" w:name="_Toc184313240"/>
      <w:bookmarkEnd w:id="168"/>
      <w:bookmarkStart w:id="169" w:name="_Toc184312068"/>
      <w:bookmarkEnd w:id="169"/>
      <w:bookmarkStart w:id="170" w:name="_Toc184310297"/>
      <w:bookmarkEnd w:id="170"/>
      <w:bookmarkStart w:id="171" w:name="_Toc184313279"/>
      <w:bookmarkEnd w:id="171"/>
      <w:bookmarkStart w:id="172" w:name="_Toc184312104"/>
      <w:bookmarkEnd w:id="172"/>
      <w:bookmarkStart w:id="173" w:name="_Toc184313280"/>
      <w:bookmarkEnd w:id="173"/>
      <w:bookmarkStart w:id="174" w:name="_Toc184308047"/>
      <w:bookmarkEnd w:id="174"/>
      <w:bookmarkStart w:id="175" w:name="_Toc184312100"/>
      <w:bookmarkEnd w:id="175"/>
      <w:bookmarkStart w:id="176" w:name="_Toc184314453"/>
      <w:bookmarkEnd w:id="176"/>
      <w:bookmarkStart w:id="177" w:name="_Toc184308084"/>
      <w:bookmarkEnd w:id="177"/>
      <w:bookmarkStart w:id="178" w:name="_Toc184312133"/>
      <w:bookmarkEnd w:id="178"/>
      <w:bookmarkStart w:id="179" w:name="_Toc184312103"/>
      <w:bookmarkEnd w:id="179"/>
      <w:bookmarkStart w:id="180" w:name="_Toc184312067"/>
      <w:bookmarkEnd w:id="180"/>
      <w:bookmarkStart w:id="181" w:name="_Toc184312092"/>
      <w:bookmarkEnd w:id="181"/>
      <w:bookmarkStart w:id="182" w:name="_Toc184313249"/>
      <w:bookmarkEnd w:id="182"/>
      <w:bookmarkStart w:id="183" w:name="_Toc184313247"/>
      <w:bookmarkEnd w:id="183"/>
      <w:bookmarkStart w:id="184" w:name="_Toc184308065"/>
      <w:bookmarkEnd w:id="184"/>
      <w:bookmarkStart w:id="185" w:name="_Toc184313298"/>
      <w:bookmarkEnd w:id="185"/>
      <w:bookmarkStart w:id="186" w:name="_Toc184312101"/>
      <w:bookmarkEnd w:id="186"/>
      <w:bookmarkStart w:id="187" w:name="_Toc184313273"/>
      <w:bookmarkEnd w:id="187"/>
      <w:bookmarkStart w:id="188" w:name="_Toc184314474"/>
      <w:bookmarkEnd w:id="188"/>
      <w:bookmarkStart w:id="189" w:name="_Toc184312079"/>
      <w:bookmarkEnd w:id="189"/>
      <w:bookmarkStart w:id="190" w:name="_Toc184310326"/>
      <w:bookmarkEnd w:id="190"/>
      <w:bookmarkStart w:id="191" w:name="_Toc184312107"/>
      <w:bookmarkEnd w:id="191"/>
      <w:bookmarkStart w:id="192" w:name="_Toc184313238"/>
      <w:bookmarkEnd w:id="192"/>
      <w:bookmarkStart w:id="193" w:name="_Toc184310335"/>
      <w:bookmarkEnd w:id="193"/>
      <w:bookmarkStart w:id="194" w:name="_Toc184310312"/>
      <w:bookmarkEnd w:id="194"/>
      <w:bookmarkStart w:id="195" w:name="_Toc184310298"/>
      <w:bookmarkEnd w:id="195"/>
      <w:bookmarkStart w:id="196" w:name="_Toc184314479"/>
      <w:bookmarkEnd w:id="196"/>
      <w:bookmarkStart w:id="197" w:name="_Toc184312132"/>
      <w:bookmarkEnd w:id="197"/>
      <w:bookmarkStart w:id="198" w:name="_Toc184313244"/>
      <w:bookmarkEnd w:id="198"/>
      <w:bookmarkStart w:id="199" w:name="_Toc184308105"/>
      <w:bookmarkEnd w:id="199"/>
      <w:bookmarkStart w:id="200" w:name="_Toc184308104"/>
      <w:bookmarkEnd w:id="200"/>
      <w:bookmarkStart w:id="201" w:name="_Toc184314456"/>
      <w:bookmarkEnd w:id="201"/>
      <w:bookmarkStart w:id="202" w:name="_Toc184310344"/>
      <w:bookmarkEnd w:id="202"/>
      <w:bookmarkStart w:id="203" w:name="_Toc184314411"/>
      <w:bookmarkEnd w:id="203"/>
      <w:bookmarkStart w:id="204" w:name="_Toc184310320"/>
      <w:bookmarkEnd w:id="204"/>
      <w:bookmarkStart w:id="205" w:name="_Toc184314449"/>
      <w:bookmarkEnd w:id="205"/>
      <w:bookmarkStart w:id="206" w:name="_Toc184308036"/>
      <w:bookmarkEnd w:id="206"/>
      <w:bookmarkStart w:id="207" w:name="_Toc184310301"/>
      <w:bookmarkEnd w:id="207"/>
      <w:bookmarkStart w:id="208" w:name="_Toc184312131"/>
      <w:bookmarkEnd w:id="208"/>
      <w:bookmarkStart w:id="209" w:name="_Toc184310337"/>
      <w:bookmarkEnd w:id="209"/>
      <w:bookmarkStart w:id="210" w:name="_Toc184310293"/>
      <w:bookmarkEnd w:id="210"/>
      <w:bookmarkStart w:id="211" w:name="_Toc184313252"/>
      <w:bookmarkEnd w:id="211"/>
      <w:bookmarkStart w:id="212" w:name="_Toc184314447"/>
      <w:bookmarkEnd w:id="212"/>
      <w:bookmarkStart w:id="213" w:name="_Toc184314428"/>
      <w:bookmarkEnd w:id="213"/>
      <w:bookmarkStart w:id="214" w:name="_Toc184312096"/>
      <w:bookmarkEnd w:id="214"/>
      <w:bookmarkStart w:id="215" w:name="_Toc184310333"/>
      <w:bookmarkEnd w:id="215"/>
      <w:bookmarkStart w:id="216" w:name="_Toc184314441"/>
      <w:bookmarkEnd w:id="216"/>
      <w:bookmarkStart w:id="217" w:name="_Toc184310324"/>
      <w:bookmarkEnd w:id="217"/>
      <w:bookmarkStart w:id="218" w:name="_Toc184308045"/>
      <w:bookmarkEnd w:id="218"/>
      <w:bookmarkStart w:id="219" w:name="_Toc184308078"/>
      <w:bookmarkEnd w:id="219"/>
      <w:bookmarkStart w:id="220" w:name="_Toc184308089"/>
      <w:bookmarkEnd w:id="220"/>
      <w:bookmarkStart w:id="221" w:name="_Toc184312113"/>
      <w:bookmarkEnd w:id="221"/>
      <w:bookmarkStart w:id="222" w:name="_Toc184308077"/>
      <w:bookmarkEnd w:id="222"/>
      <w:bookmarkStart w:id="223" w:name="_Toc184308056"/>
      <w:bookmarkEnd w:id="223"/>
      <w:bookmarkStart w:id="224" w:name="_Toc184313272"/>
      <w:bookmarkEnd w:id="224"/>
      <w:bookmarkStart w:id="225" w:name="_Toc184312123"/>
      <w:bookmarkEnd w:id="225"/>
      <w:bookmarkStart w:id="226" w:name="_Toc184313258"/>
      <w:bookmarkEnd w:id="226"/>
      <w:bookmarkStart w:id="227" w:name="_Toc184308102"/>
      <w:bookmarkEnd w:id="227"/>
      <w:bookmarkStart w:id="228" w:name="_Toc184312071"/>
      <w:bookmarkEnd w:id="228"/>
      <w:bookmarkStart w:id="229" w:name="_Toc184314416"/>
      <w:bookmarkEnd w:id="229"/>
      <w:bookmarkStart w:id="230" w:name="_Toc184310279"/>
      <w:bookmarkEnd w:id="230"/>
      <w:bookmarkStart w:id="231" w:name="_Toc184310280"/>
      <w:bookmarkEnd w:id="231"/>
      <w:bookmarkStart w:id="232" w:name="_Toc184310311"/>
      <w:bookmarkEnd w:id="232"/>
      <w:bookmarkStart w:id="233" w:name="_Toc184312088"/>
      <w:bookmarkEnd w:id="233"/>
      <w:bookmarkStart w:id="234" w:name="_Toc184310321"/>
      <w:bookmarkEnd w:id="234"/>
      <w:bookmarkStart w:id="235" w:name="_Toc184313259"/>
      <w:bookmarkEnd w:id="235"/>
      <w:bookmarkStart w:id="236" w:name="_Toc184314443"/>
      <w:bookmarkEnd w:id="236"/>
      <w:bookmarkStart w:id="237" w:name="_Toc184308057"/>
      <w:bookmarkEnd w:id="237"/>
      <w:bookmarkStart w:id="238" w:name="_Toc184314426"/>
      <w:bookmarkEnd w:id="238"/>
      <w:bookmarkStart w:id="239" w:name="_Toc184310275"/>
      <w:bookmarkEnd w:id="239"/>
      <w:bookmarkStart w:id="240" w:name="_Toc184313257"/>
      <w:bookmarkEnd w:id="240"/>
      <w:bookmarkStart w:id="241" w:name="_Toc184310292"/>
      <w:bookmarkEnd w:id="241"/>
      <w:bookmarkStart w:id="242" w:name="_Toc184308071"/>
      <w:bookmarkEnd w:id="242"/>
      <w:bookmarkStart w:id="243" w:name="_Toc184310314"/>
      <w:bookmarkEnd w:id="243"/>
      <w:bookmarkStart w:id="244" w:name="_Toc184308039"/>
      <w:bookmarkEnd w:id="244"/>
      <w:bookmarkStart w:id="245" w:name="_Toc184312072"/>
      <w:bookmarkEnd w:id="245"/>
      <w:bookmarkStart w:id="246" w:name="_Toc184313251"/>
      <w:bookmarkEnd w:id="246"/>
      <w:bookmarkStart w:id="247" w:name="_Toc184308067"/>
      <w:bookmarkEnd w:id="247"/>
      <w:bookmarkStart w:id="248" w:name="_Toc184313261"/>
      <w:bookmarkEnd w:id="248"/>
      <w:bookmarkStart w:id="249" w:name="_Toc184313305"/>
      <w:bookmarkEnd w:id="249"/>
      <w:bookmarkStart w:id="250" w:name="_Toc184308081"/>
      <w:bookmarkEnd w:id="250"/>
      <w:bookmarkStart w:id="251" w:name="_Toc184310296"/>
      <w:bookmarkEnd w:id="251"/>
      <w:bookmarkStart w:id="252" w:name="_Toc184313287"/>
      <w:bookmarkEnd w:id="252"/>
      <w:bookmarkStart w:id="253" w:name="_Toc184314423"/>
      <w:bookmarkEnd w:id="253"/>
      <w:bookmarkStart w:id="254" w:name="_Toc184314457"/>
      <w:bookmarkEnd w:id="254"/>
      <w:bookmarkStart w:id="255" w:name="_Toc184314429"/>
      <w:bookmarkEnd w:id="255"/>
      <w:bookmarkStart w:id="256" w:name="_Toc184313282"/>
      <w:bookmarkEnd w:id="256"/>
      <w:bookmarkStart w:id="257" w:name="_Toc184308068"/>
      <w:bookmarkEnd w:id="257"/>
      <w:bookmarkStart w:id="258" w:name="_Toc184310283"/>
      <w:bookmarkEnd w:id="258"/>
      <w:bookmarkStart w:id="259" w:name="_Toc184314465"/>
      <w:bookmarkEnd w:id="259"/>
      <w:bookmarkStart w:id="260" w:name="_Toc184314438"/>
      <w:bookmarkEnd w:id="260"/>
      <w:bookmarkStart w:id="261" w:name="_Toc184308082"/>
      <w:bookmarkEnd w:id="261"/>
      <w:bookmarkStart w:id="262" w:name="_Toc184310329"/>
      <w:bookmarkEnd w:id="262"/>
      <w:bookmarkStart w:id="263" w:name="_Toc184310306"/>
      <w:bookmarkEnd w:id="263"/>
      <w:bookmarkStart w:id="264" w:name="_Toc184310303"/>
      <w:bookmarkEnd w:id="264"/>
      <w:bookmarkStart w:id="265" w:name="_Toc184314448"/>
      <w:bookmarkEnd w:id="265"/>
      <w:bookmarkStart w:id="266" w:name="_Toc184308096"/>
      <w:bookmarkEnd w:id="266"/>
      <w:bookmarkStart w:id="267" w:name="_Toc184312090"/>
      <w:bookmarkEnd w:id="267"/>
      <w:bookmarkStart w:id="268" w:name="_Toc184313309"/>
      <w:bookmarkEnd w:id="268"/>
      <w:bookmarkStart w:id="269" w:name="_Toc184313239"/>
      <w:bookmarkEnd w:id="269"/>
      <w:bookmarkStart w:id="270" w:name="_Toc184308075"/>
      <w:bookmarkEnd w:id="270"/>
      <w:bookmarkStart w:id="271" w:name="_Toc184313263"/>
      <w:bookmarkEnd w:id="271"/>
      <w:bookmarkStart w:id="272" w:name="_Toc184312081"/>
      <w:bookmarkEnd w:id="272"/>
      <w:bookmarkStart w:id="273" w:name="_Toc184313296"/>
      <w:bookmarkEnd w:id="273"/>
      <w:bookmarkStart w:id="274" w:name="_Toc184308100"/>
      <w:bookmarkEnd w:id="274"/>
      <w:bookmarkStart w:id="275" w:name="_Toc184308083"/>
      <w:bookmarkEnd w:id="275"/>
      <w:bookmarkStart w:id="276" w:name="_Toc184312094"/>
      <w:bookmarkEnd w:id="276"/>
      <w:bookmarkStart w:id="277" w:name="_Toc184312084"/>
      <w:bookmarkEnd w:id="277"/>
      <w:bookmarkStart w:id="278" w:name="_Toc184308097"/>
      <w:bookmarkEnd w:id="278"/>
      <w:bookmarkStart w:id="279" w:name="_Toc184313307"/>
      <w:bookmarkEnd w:id="279"/>
      <w:bookmarkStart w:id="280" w:name="_Toc184314415"/>
      <w:bookmarkEnd w:id="280"/>
      <w:bookmarkStart w:id="281" w:name="_Toc184313262"/>
      <w:bookmarkEnd w:id="281"/>
      <w:bookmarkStart w:id="282" w:name="_Toc184314481"/>
      <w:bookmarkEnd w:id="282"/>
      <w:bookmarkStart w:id="283" w:name="_Toc184310287"/>
      <w:bookmarkEnd w:id="283"/>
      <w:bookmarkStart w:id="284" w:name="_Toc184314466"/>
      <w:bookmarkEnd w:id="284"/>
      <w:bookmarkStart w:id="285" w:name="_Toc184313255"/>
      <w:bookmarkEnd w:id="285"/>
      <w:bookmarkStart w:id="286" w:name="_Toc184314475"/>
      <w:bookmarkEnd w:id="286"/>
      <w:bookmarkStart w:id="287" w:name="_Toc184312083"/>
      <w:bookmarkEnd w:id="287"/>
      <w:bookmarkStart w:id="288" w:name="_Toc184308064"/>
      <w:bookmarkEnd w:id="288"/>
      <w:bookmarkStart w:id="289" w:name="_Toc184310338"/>
      <w:bookmarkEnd w:id="289"/>
      <w:bookmarkStart w:id="290" w:name="_Toc184308062"/>
      <w:bookmarkEnd w:id="290"/>
      <w:bookmarkStart w:id="291" w:name="_Toc184313264"/>
      <w:bookmarkEnd w:id="291"/>
      <w:bookmarkStart w:id="292" w:name="_Toc184314430"/>
      <w:bookmarkEnd w:id="292"/>
      <w:bookmarkStart w:id="293" w:name="_Toc184314442"/>
      <w:bookmarkEnd w:id="293"/>
      <w:bookmarkStart w:id="294" w:name="_Toc184314445"/>
      <w:bookmarkEnd w:id="294"/>
      <w:bookmarkStart w:id="295" w:name="_Toc184313290"/>
      <w:bookmarkEnd w:id="295"/>
      <w:bookmarkStart w:id="296" w:name="_Toc184308044"/>
      <w:bookmarkEnd w:id="296"/>
      <w:bookmarkStart w:id="297" w:name="_Toc184314410"/>
      <w:bookmarkEnd w:id="297"/>
      <w:bookmarkStart w:id="298" w:name="_Toc184308049"/>
      <w:bookmarkEnd w:id="298"/>
      <w:bookmarkStart w:id="299" w:name="_Toc184314463"/>
      <w:bookmarkEnd w:id="299"/>
      <w:bookmarkStart w:id="300" w:name="_Toc184310315"/>
      <w:bookmarkEnd w:id="300"/>
      <w:bookmarkStart w:id="301" w:name="_Toc184310289"/>
      <w:bookmarkEnd w:id="301"/>
      <w:bookmarkStart w:id="302" w:name="_Toc184312097"/>
      <w:bookmarkEnd w:id="302"/>
      <w:bookmarkStart w:id="303" w:name="_Toc184313310"/>
      <w:bookmarkEnd w:id="303"/>
      <w:bookmarkStart w:id="304" w:name="_Toc184313265"/>
      <w:bookmarkEnd w:id="304"/>
      <w:bookmarkStart w:id="305" w:name="_Toc184313260"/>
      <w:bookmarkEnd w:id="305"/>
      <w:bookmarkStart w:id="306" w:name="_Toc184313299"/>
      <w:bookmarkEnd w:id="306"/>
      <w:bookmarkStart w:id="307" w:name="_Toc184313302"/>
      <w:bookmarkEnd w:id="307"/>
      <w:bookmarkStart w:id="308" w:name="_Toc184314422"/>
      <w:bookmarkEnd w:id="308"/>
      <w:bookmarkStart w:id="309" w:name="_Toc184310302"/>
      <w:bookmarkEnd w:id="309"/>
      <w:bookmarkStart w:id="310" w:name="_Toc184312095"/>
      <w:bookmarkEnd w:id="310"/>
      <w:bookmarkStart w:id="311" w:name="_Toc184310272"/>
      <w:bookmarkEnd w:id="311"/>
      <w:bookmarkStart w:id="312" w:name="_Toc184314439"/>
      <w:bookmarkEnd w:id="312"/>
      <w:bookmarkStart w:id="313" w:name="_Toc184310300"/>
      <w:bookmarkEnd w:id="313"/>
      <w:bookmarkStart w:id="314" w:name="_Toc184308080"/>
      <w:bookmarkEnd w:id="314"/>
      <w:bookmarkStart w:id="315" w:name="_Toc184310307"/>
      <w:bookmarkEnd w:id="315"/>
      <w:bookmarkStart w:id="316" w:name="_Toc184308066"/>
      <w:bookmarkEnd w:id="316"/>
      <w:bookmarkStart w:id="317" w:name="_Toc184312138"/>
      <w:bookmarkEnd w:id="317"/>
      <w:bookmarkStart w:id="318" w:name="_Toc184310290"/>
      <w:bookmarkEnd w:id="318"/>
      <w:bookmarkStart w:id="319" w:name="_Toc184313246"/>
      <w:bookmarkEnd w:id="319"/>
      <w:bookmarkStart w:id="320" w:name="_Toc184313277"/>
      <w:bookmarkEnd w:id="320"/>
      <w:bookmarkStart w:id="321" w:name="_Toc184313292"/>
      <w:bookmarkEnd w:id="321"/>
      <w:bookmarkStart w:id="322" w:name="_Toc184310310"/>
      <w:bookmarkEnd w:id="322"/>
      <w:bookmarkStart w:id="323" w:name="_Toc184314452"/>
      <w:bookmarkEnd w:id="323"/>
      <w:bookmarkStart w:id="324" w:name="_Toc184310274"/>
      <w:bookmarkEnd w:id="324"/>
      <w:bookmarkStart w:id="325" w:name="_Toc184313281"/>
      <w:bookmarkEnd w:id="325"/>
      <w:bookmarkStart w:id="326" w:name="_Toc184312077"/>
      <w:bookmarkEnd w:id="326"/>
      <w:bookmarkStart w:id="327" w:name="_Toc184313270"/>
      <w:bookmarkEnd w:id="327"/>
      <w:bookmarkStart w:id="328" w:name="_Toc184314421"/>
      <w:bookmarkEnd w:id="328"/>
      <w:bookmarkStart w:id="329" w:name="_Toc184312115"/>
      <w:bookmarkEnd w:id="329"/>
      <w:bookmarkStart w:id="330" w:name="_Toc184308090"/>
      <w:bookmarkEnd w:id="330"/>
      <w:bookmarkStart w:id="331" w:name="_Toc184308037"/>
      <w:bookmarkEnd w:id="331"/>
      <w:bookmarkStart w:id="332" w:name="_Toc184308079"/>
      <w:bookmarkEnd w:id="332"/>
      <w:bookmarkStart w:id="333" w:name="_Toc184312087"/>
      <w:bookmarkEnd w:id="333"/>
      <w:bookmarkStart w:id="334" w:name="_Toc184313297"/>
      <w:bookmarkEnd w:id="334"/>
      <w:bookmarkStart w:id="335" w:name="_Toc184310281"/>
      <w:bookmarkEnd w:id="335"/>
      <w:bookmarkStart w:id="336" w:name="_Toc184312082"/>
      <w:bookmarkEnd w:id="336"/>
      <w:bookmarkStart w:id="337" w:name="_Toc184314477"/>
      <w:bookmarkEnd w:id="337"/>
      <w:bookmarkStart w:id="338" w:name="_Toc184313275"/>
      <w:bookmarkEnd w:id="338"/>
      <w:bookmarkStart w:id="339" w:name="_Toc184308063"/>
      <w:bookmarkEnd w:id="339"/>
      <w:bookmarkStart w:id="340" w:name="_Toc184312106"/>
      <w:bookmarkEnd w:id="340"/>
      <w:bookmarkStart w:id="341" w:name="_Toc184312121"/>
      <w:bookmarkEnd w:id="341"/>
      <w:bookmarkStart w:id="342" w:name="_Toc184314433"/>
      <w:bookmarkEnd w:id="342"/>
      <w:bookmarkStart w:id="343" w:name="_Toc184313269"/>
      <w:bookmarkEnd w:id="343"/>
      <w:bookmarkStart w:id="344" w:name="_Toc184314420"/>
      <w:bookmarkEnd w:id="344"/>
      <w:bookmarkStart w:id="345" w:name="_Toc184313278"/>
      <w:bookmarkEnd w:id="345"/>
      <w:bookmarkStart w:id="346" w:name="_Toc184310284"/>
      <w:bookmarkEnd w:id="346"/>
      <w:bookmarkStart w:id="347" w:name="_Toc184314412"/>
      <w:bookmarkEnd w:id="347"/>
      <w:bookmarkStart w:id="348" w:name="_Toc184312137"/>
      <w:bookmarkEnd w:id="348"/>
      <w:bookmarkStart w:id="349" w:name="_Toc184312078"/>
      <w:bookmarkEnd w:id="349"/>
      <w:bookmarkStart w:id="350" w:name="_Toc184313250"/>
      <w:bookmarkEnd w:id="350"/>
      <w:bookmarkStart w:id="351" w:name="_Toc184312118"/>
      <w:bookmarkEnd w:id="351"/>
      <w:bookmarkStart w:id="352" w:name="_Toc184310319"/>
      <w:bookmarkEnd w:id="352"/>
      <w:bookmarkStart w:id="353" w:name="_Toc184314462"/>
      <w:bookmarkEnd w:id="353"/>
      <w:bookmarkStart w:id="354" w:name="_Toc184313267"/>
      <w:bookmarkEnd w:id="354"/>
      <w:bookmarkStart w:id="355" w:name="_Toc184313241"/>
      <w:bookmarkEnd w:id="355"/>
      <w:bookmarkStart w:id="356" w:name="_Toc184314436"/>
      <w:bookmarkEnd w:id="356"/>
      <w:bookmarkStart w:id="357" w:name="_Toc184310313"/>
      <w:bookmarkEnd w:id="357"/>
      <w:bookmarkStart w:id="358" w:name="_Toc184312119"/>
      <w:bookmarkEnd w:id="358"/>
      <w:bookmarkStart w:id="359" w:name="_Toc184310331"/>
      <w:bookmarkEnd w:id="359"/>
      <w:bookmarkStart w:id="360" w:name="_Toc184314451"/>
      <w:bookmarkEnd w:id="360"/>
      <w:bookmarkStart w:id="361" w:name="_Toc184314469"/>
      <w:bookmarkEnd w:id="361"/>
      <w:bookmarkStart w:id="362" w:name="_Toc184312126"/>
      <w:bookmarkEnd w:id="362"/>
      <w:bookmarkStart w:id="363" w:name="_Toc184308054"/>
      <w:bookmarkEnd w:id="363"/>
      <w:bookmarkStart w:id="364" w:name="_Toc184310276"/>
      <w:bookmarkEnd w:id="364"/>
      <w:bookmarkStart w:id="365" w:name="_Toc184314482"/>
      <w:bookmarkEnd w:id="365"/>
      <w:bookmarkStart w:id="366" w:name="_Toc184312125"/>
      <w:bookmarkEnd w:id="366"/>
      <w:bookmarkStart w:id="367" w:name="_Toc184308040"/>
      <w:bookmarkEnd w:id="367"/>
      <w:bookmarkStart w:id="368" w:name="_Toc184314427"/>
      <w:bookmarkEnd w:id="368"/>
      <w:bookmarkStart w:id="369" w:name="_Toc184313242"/>
      <w:bookmarkEnd w:id="369"/>
      <w:bookmarkStart w:id="370" w:name="_Toc184314460"/>
      <w:bookmarkEnd w:id="370"/>
      <w:bookmarkStart w:id="371" w:name="_Toc184308088"/>
      <w:bookmarkEnd w:id="371"/>
      <w:bookmarkStart w:id="372" w:name="_Toc184313301"/>
      <w:bookmarkEnd w:id="372"/>
      <w:bookmarkStart w:id="373" w:name="_Toc184314476"/>
      <w:bookmarkEnd w:id="373"/>
      <w:bookmarkStart w:id="374" w:name="_Toc184314418"/>
      <w:bookmarkEnd w:id="374"/>
      <w:bookmarkStart w:id="375" w:name="_Toc184310339"/>
      <w:bookmarkEnd w:id="375"/>
      <w:bookmarkStart w:id="376" w:name="_Toc184310316"/>
      <w:bookmarkEnd w:id="376"/>
      <w:bookmarkStart w:id="377" w:name="_Toc184312124"/>
      <w:bookmarkEnd w:id="377"/>
      <w:bookmarkStart w:id="378" w:name="_Toc184312069"/>
      <w:bookmarkEnd w:id="378"/>
      <w:bookmarkStart w:id="379" w:name="_Toc184312117"/>
      <w:bookmarkEnd w:id="379"/>
      <w:bookmarkStart w:id="380" w:name="_Toc184310340"/>
      <w:bookmarkEnd w:id="380"/>
      <w:bookmarkStart w:id="381" w:name="_Toc184310318"/>
      <w:bookmarkEnd w:id="381"/>
      <w:bookmarkStart w:id="382" w:name="_Toc184314424"/>
      <w:bookmarkEnd w:id="382"/>
      <w:bookmarkStart w:id="383" w:name="_Toc184313248"/>
      <w:bookmarkEnd w:id="383"/>
      <w:bookmarkStart w:id="384" w:name="_Toc184310336"/>
      <w:bookmarkEnd w:id="384"/>
      <w:bookmarkStart w:id="385" w:name="_Toc184313306"/>
      <w:bookmarkEnd w:id="385"/>
      <w:bookmarkStart w:id="386" w:name="_Toc184314437"/>
      <w:bookmarkEnd w:id="386"/>
      <w:bookmarkStart w:id="387" w:name="_Toc184308106"/>
      <w:bookmarkEnd w:id="387"/>
      <w:bookmarkStart w:id="388" w:name="_Toc184308085"/>
      <w:bookmarkEnd w:id="388"/>
      <w:bookmarkStart w:id="389" w:name="_Toc184308101"/>
      <w:bookmarkEnd w:id="389"/>
      <w:bookmarkStart w:id="390" w:name="_Toc184314431"/>
      <w:bookmarkEnd w:id="390"/>
      <w:bookmarkStart w:id="391" w:name="_Toc184310273"/>
      <w:bookmarkEnd w:id="391"/>
      <w:r>
        <w:rPr>
          <w:rFonts w:hint="eastAsia" w:ascii="仿宋" w:hAnsi="仿宋" w:eastAsia="仿宋" w:cs="仿宋"/>
          <w:b/>
          <w:sz w:val="36"/>
          <w:szCs w:val="36"/>
        </w:rPr>
        <w:t>评标办法</w:t>
      </w:r>
    </w:p>
    <w:p/>
    <w:p>
      <w:pPr>
        <w:snapToGrid w:val="0"/>
        <w:spacing w:line="360" w:lineRule="auto"/>
        <w:jc w:val="center"/>
        <w:rPr>
          <w:rFonts w:ascii="仿宋" w:hAnsi="仿宋" w:eastAsia="仿宋" w:cs="仿宋"/>
          <w:b/>
          <w:sz w:val="32"/>
          <w:szCs w:val="20"/>
        </w:rPr>
      </w:pPr>
      <w:r>
        <w:rPr>
          <w:rFonts w:hint="eastAsia" w:ascii="仿宋" w:hAnsi="仿宋" w:eastAsia="仿宋" w:cs="仿宋"/>
          <w:b/>
          <w:sz w:val="32"/>
          <w:szCs w:val="20"/>
        </w:rPr>
        <w:t>评标办法前附表</w:t>
      </w:r>
    </w:p>
    <w:p>
      <w:pPr>
        <w:pStyle w:val="94"/>
        <w:spacing w:before="0"/>
        <w:ind w:firstLine="602" w:firstLineChars="250"/>
        <w:rPr>
          <w:rFonts w:hint="eastAsia" w:ascii="宋体" w:hAnsi="宋体" w:eastAsia="宋体" w:cs="宋体"/>
          <w:color w:val="auto"/>
          <w:szCs w:val="24"/>
          <w:highlight w:val="none"/>
        </w:rPr>
      </w:pPr>
      <w:r>
        <w:rPr>
          <w:rFonts w:hint="eastAsia" w:ascii="宋体" w:hAnsi="宋体" w:eastAsia="宋体" w:cs="宋体"/>
          <w:b/>
          <w:color w:val="auto"/>
          <w:szCs w:val="24"/>
          <w:highlight w:val="none"/>
        </w:rPr>
        <w:t>本次评标采用综合评分法，总分为100分。</w:t>
      </w:r>
      <w:r>
        <w:rPr>
          <w:rFonts w:hint="eastAsia" w:ascii="宋体" w:hAnsi="宋体" w:eastAsia="宋体" w:cs="宋体"/>
          <w:color w:val="auto"/>
          <w:szCs w:val="24"/>
          <w:highlight w:val="none"/>
        </w:rPr>
        <w:t>合格投标人的评标得分为各项目汇总得分，中标候选资格按评标得分高低顺序排列，得分相同的，按投标报价得分高低顺序排列；得分且投标报价相同的，按技术指标优劣顺序排列。排名第一的投标人为第一中标候选人。评分过程中采用四舍五入法，并保留小数2位。</w:t>
      </w:r>
    </w:p>
    <w:p>
      <w:pPr>
        <w:pStyle w:val="94"/>
        <w:spacing w:before="0"/>
        <w:ind w:left="479" w:leftChars="228" w:firstLine="0" w:firstLineChars="0"/>
        <w:rPr>
          <w:rFonts w:hint="eastAsia" w:ascii="宋体" w:hAnsi="宋体" w:eastAsia="宋体" w:cs="宋体"/>
          <w:color w:val="auto"/>
          <w:szCs w:val="24"/>
          <w:highlight w:val="none"/>
        </w:rPr>
      </w:pPr>
      <w:r>
        <w:rPr>
          <w:rFonts w:hint="eastAsia" w:ascii="仿宋" w:hAnsi="仿宋" w:eastAsia="仿宋" w:cs="仿宋"/>
          <w:b/>
          <w:bCs w:val="0"/>
          <w:color w:val="000000"/>
          <w:szCs w:val="24"/>
        </w:rPr>
        <w:t>各投标人的综合得分为：商务技术得分</w:t>
      </w:r>
      <w:r>
        <w:rPr>
          <w:rFonts w:hint="eastAsia" w:ascii="仿宋" w:hAnsi="仿宋" w:eastAsia="仿宋" w:cs="仿宋"/>
          <w:b/>
          <w:bCs w:val="0"/>
          <w:color w:val="000000"/>
          <w:szCs w:val="24"/>
          <w:lang w:val="en-US" w:eastAsia="zh-CN"/>
        </w:rPr>
        <w:t>+</w:t>
      </w:r>
      <w:r>
        <w:rPr>
          <w:rFonts w:hint="eastAsia" w:ascii="仿宋" w:hAnsi="仿宋" w:eastAsia="仿宋" w:cs="仿宋"/>
          <w:b/>
          <w:bCs w:val="0"/>
          <w:color w:val="000000"/>
          <w:szCs w:val="24"/>
        </w:rPr>
        <w:t>投标</w:t>
      </w:r>
      <w:r>
        <w:rPr>
          <w:rFonts w:hint="eastAsia" w:ascii="仿宋" w:hAnsi="仿宋" w:eastAsia="仿宋" w:cs="仿宋"/>
          <w:b/>
          <w:bCs w:val="0"/>
          <w:color w:val="000000"/>
          <w:szCs w:val="24"/>
          <w:lang w:val="en-US" w:eastAsia="zh-CN"/>
        </w:rPr>
        <w:t>价格</w:t>
      </w:r>
      <w:r>
        <w:rPr>
          <w:rFonts w:hint="eastAsia" w:ascii="仿宋" w:hAnsi="仿宋" w:eastAsia="仿宋" w:cs="仿宋"/>
          <w:b/>
          <w:bCs w:val="0"/>
          <w:color w:val="000000"/>
          <w:szCs w:val="24"/>
        </w:rPr>
        <w:t>得分之和，总</w:t>
      </w:r>
      <w:r>
        <w:rPr>
          <w:rFonts w:hint="eastAsia" w:ascii="仿宋" w:hAnsi="仿宋" w:eastAsia="仿宋" w:cs="仿宋"/>
          <w:b/>
          <w:bCs w:val="0"/>
          <w:color w:val="000000"/>
          <w:szCs w:val="24"/>
          <w:lang w:val="en-US" w:eastAsia="zh-CN"/>
        </w:rPr>
        <w:t>分</w:t>
      </w:r>
      <w:r>
        <w:rPr>
          <w:rFonts w:hint="eastAsia" w:ascii="仿宋" w:hAnsi="仿宋" w:eastAsia="仿宋" w:cs="仿宋"/>
          <w:b/>
          <w:bCs w:val="0"/>
          <w:color w:val="000000"/>
          <w:szCs w:val="24"/>
        </w:rPr>
        <w:t>为100</w:t>
      </w:r>
      <w:r>
        <w:rPr>
          <w:rFonts w:hint="eastAsia" w:ascii="仿宋" w:hAnsi="仿宋" w:eastAsia="仿宋" w:cs="仿宋"/>
          <w:b/>
          <w:bCs w:val="0"/>
          <w:color w:val="000000"/>
          <w:szCs w:val="24"/>
          <w:lang w:val="en-US" w:eastAsia="zh-CN"/>
        </w:rPr>
        <w:t>分，</w:t>
      </w:r>
      <w:r>
        <w:rPr>
          <w:rFonts w:hint="eastAsia" w:ascii="仿宋" w:hAnsi="仿宋" w:eastAsia="仿宋" w:cs="仿宋"/>
          <w:b/>
          <w:bCs w:val="0"/>
          <w:color w:val="000000"/>
          <w:szCs w:val="24"/>
        </w:rPr>
        <w:t>其中：商务技术得分</w:t>
      </w:r>
      <w:r>
        <w:rPr>
          <w:rFonts w:hint="eastAsia" w:ascii="仿宋" w:hAnsi="仿宋" w:eastAsia="仿宋" w:cs="仿宋"/>
          <w:b/>
          <w:bCs w:val="0"/>
          <w:color w:val="000000"/>
          <w:szCs w:val="24"/>
          <w:lang w:val="en-US" w:eastAsia="zh-CN"/>
        </w:rPr>
        <w:t>70分，</w:t>
      </w:r>
      <w:r>
        <w:rPr>
          <w:rFonts w:hint="eastAsia" w:ascii="仿宋" w:hAnsi="仿宋" w:eastAsia="仿宋" w:cs="仿宋"/>
          <w:b/>
          <w:bCs w:val="0"/>
          <w:color w:val="000000"/>
          <w:szCs w:val="24"/>
        </w:rPr>
        <w:t>投标价格得分</w:t>
      </w:r>
      <w:r>
        <w:rPr>
          <w:rFonts w:hint="eastAsia" w:ascii="仿宋" w:hAnsi="仿宋" w:eastAsia="仿宋" w:cs="仿宋"/>
          <w:b/>
          <w:bCs w:val="0"/>
          <w:color w:val="000000"/>
          <w:szCs w:val="24"/>
          <w:lang w:val="en-US" w:eastAsia="zh-CN"/>
        </w:rPr>
        <w:t>30分</w:t>
      </w:r>
      <w:r>
        <w:rPr>
          <w:rFonts w:hint="eastAsia" w:ascii="仿宋" w:hAnsi="仿宋" w:eastAsia="仿宋" w:cs="仿宋"/>
          <w:b/>
          <w:bCs w:val="0"/>
          <w:color w:val="000000"/>
          <w:szCs w:val="24"/>
        </w:rPr>
        <w:t>。</w:t>
      </w:r>
    </w:p>
    <w:p>
      <w:pPr>
        <w:numPr>
          <w:ilvl w:val="0"/>
          <w:numId w:val="3"/>
        </w:numPr>
        <w:snapToGrid w:val="0"/>
        <w:spacing w:line="360" w:lineRule="auto"/>
        <w:ind w:firstLine="482" w:firstLineChars="200"/>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评标标准</w:t>
      </w:r>
      <w:r>
        <w:rPr>
          <w:rFonts w:hint="eastAsia" w:ascii="宋体" w:hAnsi="宋体" w:cs="宋体"/>
          <w:b/>
          <w:bCs/>
          <w:color w:val="000000" w:themeColor="text1"/>
          <w:sz w:val="24"/>
          <w:szCs w:val="24"/>
          <w:lang w:val="en-US" w:eastAsia="zh-CN"/>
          <w14:textFill>
            <w14:solidFill>
              <w14:schemeClr w14:val="tx1"/>
            </w14:solidFill>
          </w14:textFill>
        </w:rPr>
        <w:t>见下表：</w:t>
      </w:r>
    </w:p>
    <w:p>
      <w:pPr>
        <w:pStyle w:val="94"/>
        <w:spacing w:before="0"/>
        <w:ind w:firstLine="420" w:firstLineChars="0"/>
        <w:rPr>
          <w:rFonts w:hint="eastAsia" w:ascii="宋体" w:hAnsi="宋体" w:eastAsia="宋体" w:cs="宋体"/>
          <w:b/>
          <w:szCs w:val="24"/>
        </w:rPr>
      </w:pPr>
      <w:r>
        <w:rPr>
          <w:rFonts w:hint="eastAsia" w:ascii="宋体" w:hAnsi="宋体" w:eastAsia="宋体" w:cs="宋体"/>
          <w:b/>
          <w:szCs w:val="24"/>
        </w:rPr>
        <w:t>技术分（</w:t>
      </w:r>
      <w:r>
        <w:rPr>
          <w:rFonts w:hint="eastAsia" w:ascii="宋体" w:hAnsi="宋体" w:cs="宋体"/>
          <w:b/>
          <w:szCs w:val="24"/>
          <w:lang w:val="en-US" w:eastAsia="zh-CN"/>
        </w:rPr>
        <w:t>63</w:t>
      </w:r>
      <w:r>
        <w:rPr>
          <w:rFonts w:hint="eastAsia" w:ascii="宋体" w:hAnsi="宋体" w:eastAsia="宋体" w:cs="宋体"/>
          <w:b/>
          <w:szCs w:val="24"/>
        </w:rPr>
        <w:t>分）：</w:t>
      </w:r>
    </w:p>
    <w:tbl>
      <w:tblPr>
        <w:tblStyle w:val="63"/>
        <w:tblW w:w="9951" w:type="dxa"/>
        <w:tblInd w:w="-72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29"/>
        <w:gridCol w:w="7266"/>
        <w:gridCol w:w="11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3" w:hRule="atLeast"/>
        </w:trPr>
        <w:tc>
          <w:tcPr>
            <w:tcW w:w="1529" w:type="dxa"/>
            <w:vAlign w:val="bottom"/>
          </w:tcPr>
          <w:p>
            <w:pPr>
              <w:spacing w:line="360" w:lineRule="auto"/>
              <w:jc w:val="center"/>
              <w:rPr>
                <w:rFonts w:ascii="宋体" w:hAnsi="宋体" w:cs="宋体"/>
                <w:b/>
                <w:bCs/>
                <w:sz w:val="24"/>
              </w:rPr>
            </w:pPr>
            <w:r>
              <w:rPr>
                <w:rFonts w:hint="eastAsia" w:ascii="宋体" w:hAnsi="宋体" w:cs="宋体"/>
                <w:b/>
                <w:bCs/>
                <w:sz w:val="24"/>
              </w:rPr>
              <w:t>评分内容</w:t>
            </w:r>
          </w:p>
        </w:tc>
        <w:tc>
          <w:tcPr>
            <w:tcW w:w="7266" w:type="dxa"/>
            <w:vAlign w:val="bottom"/>
          </w:tcPr>
          <w:p>
            <w:pPr>
              <w:spacing w:line="360" w:lineRule="auto"/>
              <w:jc w:val="center"/>
              <w:rPr>
                <w:rFonts w:ascii="宋体" w:hAnsi="宋体" w:cs="宋体"/>
                <w:b/>
                <w:bCs/>
                <w:sz w:val="24"/>
              </w:rPr>
            </w:pPr>
            <w:r>
              <w:rPr>
                <w:rFonts w:hint="eastAsia" w:ascii="宋体" w:hAnsi="宋体" w:cs="宋体"/>
                <w:b/>
                <w:bCs/>
                <w:sz w:val="24"/>
              </w:rPr>
              <w:t>评分细则内容</w:t>
            </w:r>
          </w:p>
        </w:tc>
        <w:tc>
          <w:tcPr>
            <w:tcW w:w="1156" w:type="dxa"/>
            <w:vAlign w:val="bottom"/>
          </w:tcPr>
          <w:p>
            <w:pPr>
              <w:spacing w:line="360" w:lineRule="auto"/>
              <w:jc w:val="center"/>
              <w:rPr>
                <w:rFonts w:ascii="宋体" w:hAnsi="宋体" w:cs="宋体"/>
                <w:b/>
                <w:bCs/>
                <w:sz w:val="24"/>
              </w:rPr>
            </w:pPr>
            <w:r>
              <w:rPr>
                <w:rFonts w:hint="eastAsia" w:ascii="宋体" w:hAnsi="宋体" w:cs="宋体"/>
                <w:b/>
                <w:bCs/>
                <w:sz w:val="24"/>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trPr>
        <w:tc>
          <w:tcPr>
            <w:tcW w:w="1529" w:type="dxa"/>
            <w:vAlign w:val="center"/>
          </w:tcPr>
          <w:p>
            <w:pPr>
              <w:spacing w:line="360" w:lineRule="auto"/>
              <w:jc w:val="center"/>
              <w:rPr>
                <w:rFonts w:ascii="宋体" w:hAnsi="宋体" w:cs="宋体"/>
                <w:b/>
                <w:bCs/>
                <w:color w:val="000000"/>
                <w:sz w:val="24"/>
              </w:rPr>
            </w:pPr>
            <w:r>
              <w:rPr>
                <w:rFonts w:hint="eastAsia" w:ascii="宋体" w:hAnsi="宋体" w:cs="宋体"/>
                <w:b/>
                <w:bCs/>
                <w:color w:val="000000"/>
                <w:sz w:val="24"/>
              </w:rPr>
              <w:t>1、</w:t>
            </w:r>
            <w:r>
              <w:rPr>
                <w:rFonts w:hint="eastAsia" w:ascii="宋体" w:hAnsi="宋体" w:cs="宋体"/>
                <w:b/>
                <w:bCs/>
                <w:sz w:val="24"/>
              </w:rPr>
              <w:t>样品打分</w:t>
            </w:r>
          </w:p>
        </w:tc>
        <w:tc>
          <w:tcPr>
            <w:tcW w:w="7266" w:type="dxa"/>
            <w:vAlign w:val="center"/>
          </w:tcPr>
          <w:p>
            <w:pPr>
              <w:adjustRightInd/>
              <w:spacing w:line="360" w:lineRule="auto"/>
              <w:rPr>
                <w:rFonts w:ascii="宋体" w:hAnsi="宋体" w:cs="宋体"/>
                <w:b/>
                <w:bCs/>
                <w:color w:val="000000"/>
                <w:sz w:val="24"/>
              </w:rPr>
            </w:pPr>
            <w:r>
              <w:rPr>
                <w:rFonts w:hint="eastAsia" w:ascii="宋体" w:hAnsi="宋体" w:cs="宋体"/>
                <w:b/>
                <w:bCs/>
                <w:color w:val="000000"/>
                <w:sz w:val="24"/>
                <w:lang w:val="en-US" w:eastAsia="zh-CN"/>
              </w:rPr>
              <w:t>投标</w:t>
            </w:r>
            <w:r>
              <w:rPr>
                <w:rFonts w:hint="eastAsia" w:ascii="宋体" w:hAnsi="宋体" w:cs="宋体"/>
                <w:b/>
                <w:bCs/>
                <w:color w:val="000000"/>
                <w:sz w:val="24"/>
              </w:rPr>
              <w:t>样品打分标准：</w:t>
            </w:r>
          </w:p>
          <w:p>
            <w:pPr>
              <w:adjustRightInd/>
              <w:spacing w:line="360" w:lineRule="auto"/>
              <w:rPr>
                <w:rFonts w:ascii="宋体" w:hAnsi="宋体" w:cs="宋体"/>
                <w:bCs/>
                <w:sz w:val="24"/>
              </w:rPr>
            </w:pPr>
            <w:r>
              <w:rPr>
                <w:rFonts w:hint="eastAsia" w:ascii="宋体" w:hAnsi="宋体" w:cs="宋体"/>
                <w:b/>
                <w:sz w:val="24"/>
              </w:rPr>
              <w:t>(1)烹饪间-序号6</w:t>
            </w:r>
            <w:r>
              <w:rPr>
                <w:rFonts w:hint="eastAsia" w:ascii="宋体" w:hAnsi="宋体" w:cs="宋体"/>
                <w:bCs/>
                <w:sz w:val="24"/>
              </w:rPr>
              <w:t>,一广一京炒灶（后档同大灶）(3分):产品的制作质量(0-1分)，美观度(0-1分)，制作工艺(0-1分)</w:t>
            </w:r>
            <w:r>
              <w:rPr>
                <w:rFonts w:hint="eastAsia" w:ascii="宋体" w:hAnsi="宋体" w:cs="宋体"/>
                <w:bCs/>
                <w:sz w:val="24"/>
                <w:lang w:val="en-US" w:eastAsia="zh-CN"/>
              </w:rPr>
              <w:t>；</w:t>
            </w:r>
          </w:p>
          <w:p>
            <w:pPr>
              <w:adjustRightInd/>
              <w:spacing w:line="360" w:lineRule="auto"/>
              <w:rPr>
                <w:rFonts w:ascii="宋体" w:hAnsi="宋体" w:cs="宋体"/>
                <w:bCs/>
                <w:sz w:val="24"/>
              </w:rPr>
            </w:pPr>
            <w:r>
              <w:rPr>
                <w:rFonts w:hint="eastAsia" w:ascii="宋体" w:hAnsi="宋体" w:cs="宋体"/>
                <w:bCs/>
                <w:sz w:val="24"/>
              </w:rPr>
              <w:t>(2)</w:t>
            </w:r>
            <w:r>
              <w:rPr>
                <w:rFonts w:hint="eastAsia" w:ascii="宋体" w:hAnsi="宋体"/>
                <w:b/>
                <w:sz w:val="24"/>
              </w:rPr>
              <w:t>洗消区-</w:t>
            </w:r>
            <w:r>
              <w:rPr>
                <w:rFonts w:ascii="宋体" w:hAnsi="宋体"/>
                <w:b/>
                <w:sz w:val="24"/>
              </w:rPr>
              <w:t>序号7</w:t>
            </w:r>
            <w:r>
              <w:rPr>
                <w:rFonts w:hint="eastAsia" w:ascii="宋体" w:hAnsi="宋体"/>
                <w:b/>
                <w:sz w:val="24"/>
              </w:rPr>
              <w:t>,</w:t>
            </w:r>
            <w:r>
              <w:rPr>
                <w:rFonts w:ascii="宋体" w:hAnsi="宋体"/>
                <w:b/>
                <w:sz w:val="24"/>
              </w:rPr>
              <w:t>长龙式洗碗机控制箱</w:t>
            </w:r>
            <w:r>
              <w:rPr>
                <w:rFonts w:hint="eastAsia" w:ascii="宋体" w:hAnsi="宋体" w:cs="宋体"/>
                <w:bCs/>
                <w:sz w:val="24"/>
              </w:rPr>
              <w:t>(3分):产品的制作质量(0-1分)，美观度(0-1分)，制作工艺(0-1分)</w:t>
            </w:r>
            <w:r>
              <w:rPr>
                <w:rFonts w:hint="eastAsia" w:ascii="宋体" w:hAnsi="宋体" w:cs="宋体"/>
                <w:bCs/>
                <w:sz w:val="24"/>
                <w:lang w:val="en-US" w:eastAsia="zh-CN"/>
              </w:rPr>
              <w:t>；</w:t>
            </w:r>
          </w:p>
          <w:p>
            <w:pPr>
              <w:adjustRightInd/>
              <w:spacing w:line="360" w:lineRule="auto"/>
              <w:rPr>
                <w:rFonts w:hint="eastAsia" w:ascii="宋体" w:hAnsi="宋体" w:eastAsia="宋体" w:cs="宋体"/>
                <w:bCs/>
                <w:sz w:val="24"/>
                <w:lang w:eastAsia="zh-CN"/>
              </w:rPr>
            </w:pPr>
            <w:r>
              <w:rPr>
                <w:rFonts w:hint="eastAsia" w:ascii="宋体" w:hAnsi="宋体" w:cs="宋体"/>
                <w:bCs/>
                <w:sz w:val="24"/>
              </w:rPr>
              <w:t>(3)</w:t>
            </w:r>
            <w:r>
              <w:rPr>
                <w:rFonts w:hint="eastAsia" w:ascii="宋体" w:hAnsi="宋体"/>
                <w:b/>
                <w:sz w:val="24"/>
              </w:rPr>
              <w:t>一层学生餐厅-</w:t>
            </w:r>
            <w:r>
              <w:rPr>
                <w:rFonts w:ascii="宋体" w:hAnsi="宋体"/>
                <w:b/>
                <w:sz w:val="24"/>
              </w:rPr>
              <w:t>序号4</w:t>
            </w:r>
            <w:r>
              <w:rPr>
                <w:rFonts w:hint="eastAsia" w:ascii="宋体" w:hAnsi="宋体"/>
                <w:b/>
                <w:sz w:val="24"/>
              </w:rPr>
              <w:t>，</w:t>
            </w:r>
            <w:r>
              <w:rPr>
                <w:rFonts w:ascii="宋体" w:hAnsi="宋体"/>
                <w:b/>
                <w:sz w:val="24"/>
              </w:rPr>
              <w:t>自助式六斗保温餐台</w:t>
            </w:r>
            <w:r>
              <w:rPr>
                <w:rFonts w:hint="eastAsia" w:ascii="宋体" w:hAnsi="宋体" w:cs="宋体"/>
                <w:bCs/>
                <w:sz w:val="24"/>
              </w:rPr>
              <w:t>(3分):产品的制作质量(0-1分)，美观度(0-1分)，制作工艺(0-1分)</w:t>
            </w:r>
            <w:r>
              <w:rPr>
                <w:rFonts w:hint="eastAsia" w:ascii="宋体" w:hAnsi="宋体" w:cs="宋体"/>
                <w:bCs/>
                <w:sz w:val="24"/>
                <w:lang w:val="en-US" w:eastAsia="zh-CN"/>
              </w:rPr>
              <w:t>；</w:t>
            </w:r>
          </w:p>
          <w:p>
            <w:pPr>
              <w:adjustRightInd/>
              <w:spacing w:line="360" w:lineRule="auto"/>
              <w:rPr>
                <w:rFonts w:ascii="宋体" w:hAnsi="宋体" w:cs="宋体"/>
                <w:bCs/>
                <w:sz w:val="24"/>
              </w:rPr>
            </w:pPr>
            <w:r>
              <w:rPr>
                <w:rFonts w:hint="eastAsia" w:ascii="宋体" w:hAnsi="宋体" w:cs="宋体"/>
                <w:bCs/>
                <w:sz w:val="24"/>
              </w:rPr>
              <w:t>(4)</w:t>
            </w:r>
            <w:r>
              <w:rPr>
                <w:rFonts w:hint="eastAsia" w:ascii="宋体" w:hAnsi="宋体"/>
                <w:b/>
                <w:sz w:val="24"/>
              </w:rPr>
              <w:t>排烟系统烹饪区-序号2-油烟净化器“电场”</w:t>
            </w:r>
            <w:r>
              <w:rPr>
                <w:rFonts w:hint="eastAsia" w:ascii="宋体" w:hAnsi="宋体" w:cs="宋体"/>
                <w:bCs/>
                <w:sz w:val="24"/>
              </w:rPr>
              <w:t>(3分):产品的制作质量(0-1分)，美观度(0-1分)，制作工艺(0-1分)。</w:t>
            </w:r>
          </w:p>
          <w:p>
            <w:pPr>
              <w:spacing w:line="360" w:lineRule="auto"/>
              <w:jc w:val="left"/>
              <w:rPr>
                <w:rFonts w:ascii="宋体" w:hAnsi="宋体" w:cs="宋体"/>
                <w:color w:val="000000"/>
                <w:sz w:val="24"/>
              </w:rPr>
            </w:pPr>
            <w:r>
              <w:rPr>
                <w:rFonts w:hint="eastAsia" w:ascii="宋体" w:hAnsi="宋体" w:cs="宋体"/>
                <w:b/>
                <w:bCs/>
                <w:sz w:val="24"/>
                <w:lang w:val="en-US" w:eastAsia="zh-CN"/>
              </w:rPr>
              <w:t>注：</w:t>
            </w:r>
            <w:r>
              <w:rPr>
                <w:rFonts w:hint="eastAsia" w:ascii="宋体" w:hAnsi="宋体" w:cs="宋体"/>
                <w:b/>
                <w:bCs/>
                <w:sz w:val="24"/>
              </w:rPr>
              <w:t>投标人不提供样品则视其投标无效，样品提供不全或样品中出现投标单位名称或外观尺寸不符合要求或技术参数明显不符合招标文件要求的则样品分为0分</w:t>
            </w:r>
            <w:r>
              <w:rPr>
                <w:rFonts w:hint="eastAsia" w:ascii="宋体" w:hAnsi="宋体" w:cs="宋体"/>
                <w:b/>
                <w:bCs/>
                <w:sz w:val="24"/>
                <w:lang w:eastAsia="zh-CN"/>
              </w:rPr>
              <w:t>。</w:t>
            </w:r>
          </w:p>
        </w:tc>
        <w:tc>
          <w:tcPr>
            <w:tcW w:w="1156" w:type="dxa"/>
            <w:vAlign w:val="center"/>
          </w:tcPr>
          <w:p>
            <w:pPr>
              <w:spacing w:line="360" w:lineRule="auto"/>
              <w:jc w:val="center"/>
              <w:rPr>
                <w:rFonts w:ascii="宋体" w:hAnsi="宋体" w:cs="宋体"/>
                <w:color w:val="000000"/>
                <w:sz w:val="24"/>
              </w:rPr>
            </w:pPr>
            <w:r>
              <w:rPr>
                <w:rFonts w:hint="eastAsia" w:ascii="宋体" w:hAnsi="宋体" w:cs="宋体"/>
                <w:color w:val="000000"/>
                <w:sz w:val="24"/>
              </w:rPr>
              <w:t>0-12分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trPr>
        <w:tc>
          <w:tcPr>
            <w:tcW w:w="1529" w:type="dxa"/>
            <w:vAlign w:val="center"/>
          </w:tcPr>
          <w:p>
            <w:pPr>
              <w:spacing w:line="360" w:lineRule="auto"/>
              <w:jc w:val="center"/>
              <w:rPr>
                <w:rFonts w:ascii="宋体" w:hAnsi="宋体" w:cs="宋体"/>
                <w:b/>
                <w:bCs/>
                <w:color w:val="000000"/>
                <w:sz w:val="24"/>
              </w:rPr>
            </w:pPr>
            <w:r>
              <w:rPr>
                <w:rFonts w:hint="eastAsia" w:ascii="宋体" w:hAnsi="宋体" w:cs="宋体"/>
                <w:b/>
                <w:bCs/>
                <w:color w:val="000000"/>
                <w:sz w:val="24"/>
              </w:rPr>
              <w:t>2、</w:t>
            </w:r>
            <w:r>
              <w:rPr>
                <w:rFonts w:hint="eastAsia" w:ascii="宋体" w:hAnsi="宋体" w:cs="仿宋"/>
                <w:b/>
                <w:bCs/>
                <w:sz w:val="24"/>
              </w:rPr>
              <w:t>技术参数及响应程度</w:t>
            </w:r>
          </w:p>
        </w:tc>
        <w:tc>
          <w:tcPr>
            <w:tcW w:w="7266" w:type="dxa"/>
            <w:vAlign w:val="center"/>
          </w:tcPr>
          <w:p>
            <w:pPr>
              <w:spacing w:line="360" w:lineRule="auto"/>
              <w:jc w:val="left"/>
              <w:rPr>
                <w:rFonts w:ascii="宋体" w:hAnsi="宋体" w:cs="宋体"/>
                <w:b/>
                <w:color w:val="000000"/>
                <w:sz w:val="24"/>
              </w:rPr>
            </w:pPr>
            <w:r>
              <w:rPr>
                <w:rFonts w:hint="eastAsia" w:ascii="宋体" w:hAnsi="宋体" w:cs="仿宋"/>
                <w:b/>
                <w:sz w:val="24"/>
                <w:lang w:val="en-US" w:eastAsia="zh-CN"/>
              </w:rPr>
              <w:t>投标产品</w:t>
            </w:r>
            <w:r>
              <w:rPr>
                <w:rFonts w:hint="eastAsia" w:ascii="宋体" w:hAnsi="宋体" w:cs="仿宋"/>
                <w:b/>
                <w:sz w:val="24"/>
              </w:rPr>
              <w:t>技术参数及响应程度</w:t>
            </w:r>
            <w:r>
              <w:rPr>
                <w:rFonts w:hint="eastAsia" w:ascii="宋体" w:hAnsi="宋体" w:cs="仿宋"/>
                <w:b/>
                <w:sz w:val="24"/>
                <w:lang w:eastAsia="zh-CN"/>
              </w:rPr>
              <w:t>：</w:t>
            </w:r>
            <w:r>
              <w:rPr>
                <w:rFonts w:hint="eastAsia" w:ascii="宋体" w:hAnsi="宋体" w:cs="仿宋"/>
                <w:b/>
                <w:sz w:val="24"/>
              </w:rPr>
              <w:t>全部满足招标文件明确的功能、性能、参数和技术指标要求，得16分，允许偏离的功能、性能和技术指标低于招标需求（负偏离）的，每项扣1分，标注“</w:t>
            </w:r>
            <w:r>
              <w:rPr>
                <w:rFonts w:hint="eastAsia" w:ascii="仿宋" w:eastAsia="仿宋" w:cs="仿宋"/>
                <w:color w:val="000000"/>
                <w:kern w:val="0"/>
                <w:sz w:val="24"/>
                <w:szCs w:val="24"/>
              </w:rPr>
              <w:t>◆</w:t>
            </w:r>
            <w:r>
              <w:rPr>
                <w:rFonts w:hint="eastAsia" w:ascii="宋体" w:hAnsi="宋体" w:cs="仿宋"/>
                <w:b/>
                <w:sz w:val="24"/>
              </w:rPr>
              <w:t>”为重要参数，需要提供招标文件上提出的相应证明材料予以佐证，标注“</w:t>
            </w:r>
            <w:r>
              <w:rPr>
                <w:rFonts w:hint="eastAsia" w:ascii="仿宋" w:eastAsia="仿宋" w:cs="仿宋"/>
                <w:color w:val="000000"/>
                <w:kern w:val="0"/>
                <w:sz w:val="24"/>
                <w:szCs w:val="24"/>
              </w:rPr>
              <w:t>◆</w:t>
            </w:r>
            <w:r>
              <w:rPr>
                <w:rFonts w:hint="eastAsia" w:ascii="宋体" w:hAnsi="宋体" w:cs="仿宋"/>
                <w:b/>
                <w:sz w:val="24"/>
              </w:rPr>
              <w:t>”的参数低于招标需求（负偏离）的或不提供证明材料的，每项扣</w:t>
            </w:r>
            <w:r>
              <w:rPr>
                <w:rFonts w:hint="eastAsia" w:ascii="宋体" w:hAnsi="宋体" w:cs="仿宋"/>
                <w:b/>
                <w:sz w:val="24"/>
                <w:lang w:val="en-US" w:eastAsia="zh-CN"/>
              </w:rPr>
              <w:t>2</w:t>
            </w:r>
            <w:r>
              <w:rPr>
                <w:rFonts w:hint="eastAsia" w:ascii="宋体" w:hAnsi="宋体" w:cs="仿宋"/>
                <w:b/>
                <w:sz w:val="24"/>
              </w:rPr>
              <w:t>分，扣完为</w:t>
            </w:r>
            <w:r>
              <w:rPr>
                <w:rFonts w:hint="eastAsia" w:ascii="宋体" w:hAnsi="宋体" w:cs="仿宋"/>
                <w:b/>
                <w:sz w:val="24"/>
                <w:lang w:val="en-US" w:eastAsia="zh-CN"/>
              </w:rPr>
              <w:t>止。</w:t>
            </w:r>
          </w:p>
        </w:tc>
        <w:tc>
          <w:tcPr>
            <w:tcW w:w="1156" w:type="dxa"/>
            <w:vAlign w:val="center"/>
          </w:tcPr>
          <w:p>
            <w:pPr>
              <w:spacing w:line="360" w:lineRule="auto"/>
              <w:jc w:val="center"/>
              <w:rPr>
                <w:rFonts w:ascii="宋体" w:hAnsi="宋体" w:cs="宋体"/>
                <w:color w:val="000000"/>
                <w:sz w:val="24"/>
              </w:rPr>
            </w:pPr>
            <w:r>
              <w:rPr>
                <w:rFonts w:hint="eastAsia" w:ascii="宋体" w:hAnsi="宋体" w:cs="宋体"/>
                <w:color w:val="000000"/>
                <w:sz w:val="24"/>
              </w:rPr>
              <w:t>0-16分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trPr>
        <w:tc>
          <w:tcPr>
            <w:tcW w:w="1529" w:type="dxa"/>
            <w:vAlign w:val="center"/>
          </w:tcPr>
          <w:p>
            <w:pPr>
              <w:spacing w:line="360" w:lineRule="auto"/>
              <w:jc w:val="center"/>
              <w:rPr>
                <w:rFonts w:ascii="宋体" w:hAnsi="宋体" w:cs="宋体"/>
                <w:b/>
                <w:bCs/>
                <w:color w:val="000000"/>
                <w:sz w:val="24"/>
              </w:rPr>
            </w:pPr>
            <w:r>
              <w:rPr>
                <w:rFonts w:hint="eastAsia" w:ascii="宋体" w:hAnsi="宋体" w:cs="宋体"/>
                <w:b/>
                <w:bCs/>
                <w:color w:val="000000"/>
                <w:sz w:val="24"/>
              </w:rPr>
              <w:t>3、</w:t>
            </w:r>
            <w:r>
              <w:rPr>
                <w:rFonts w:hint="eastAsia" w:ascii="宋体" w:hAnsi="宋体" w:cs="宋体"/>
                <w:b/>
                <w:bCs/>
                <w:sz w:val="24"/>
              </w:rPr>
              <w:t>项目进度安排</w:t>
            </w:r>
          </w:p>
        </w:tc>
        <w:tc>
          <w:tcPr>
            <w:tcW w:w="7266" w:type="dxa"/>
            <w:vAlign w:val="center"/>
          </w:tcPr>
          <w:p>
            <w:pPr>
              <w:spacing w:line="360" w:lineRule="auto"/>
              <w:rPr>
                <w:rFonts w:hint="eastAsia" w:ascii="宋体" w:hAnsi="宋体" w:cs="宋体"/>
                <w:sz w:val="24"/>
                <w:lang w:val="en-US" w:eastAsia="zh-CN"/>
              </w:rPr>
            </w:pPr>
            <w:r>
              <w:rPr>
                <w:rFonts w:hint="eastAsia" w:ascii="宋体" w:hAnsi="宋体" w:cs="宋体"/>
                <w:sz w:val="24"/>
              </w:rPr>
              <w:t>在满足招标文件工期要求的基础上，根据材料采购、生产及供货、保证</w:t>
            </w:r>
            <w:r>
              <w:rPr>
                <w:rFonts w:hint="eastAsia" w:ascii="宋体" w:hAnsi="宋体" w:cs="宋体"/>
                <w:sz w:val="24"/>
                <w:lang w:val="en-US" w:eastAsia="zh-CN"/>
              </w:rPr>
              <w:t>项目</w:t>
            </w:r>
            <w:r>
              <w:rPr>
                <w:rFonts w:hint="eastAsia" w:ascii="宋体" w:hAnsi="宋体" w:cs="宋体"/>
                <w:sz w:val="24"/>
              </w:rPr>
              <w:t>工期</w:t>
            </w:r>
            <w:r>
              <w:rPr>
                <w:rFonts w:hint="eastAsia" w:ascii="宋体" w:hAnsi="宋体" w:cs="宋体"/>
                <w:sz w:val="24"/>
                <w:lang w:val="en-US" w:eastAsia="zh-CN"/>
              </w:rPr>
              <w:t>进度安排</w:t>
            </w:r>
            <w:r>
              <w:rPr>
                <w:rFonts w:hint="eastAsia" w:ascii="宋体" w:hAnsi="宋体" w:cs="宋体"/>
                <w:sz w:val="24"/>
              </w:rPr>
              <w:t>的措施</w:t>
            </w:r>
            <w:r>
              <w:rPr>
                <w:rFonts w:hint="eastAsia" w:ascii="宋体" w:hAnsi="宋体" w:cs="宋体"/>
                <w:sz w:val="24"/>
                <w:lang w:val="en-US" w:eastAsia="zh-CN"/>
              </w:rPr>
              <w:t>合理性和内容安排完整性打分；</w:t>
            </w:r>
          </w:p>
          <w:p>
            <w:pPr>
              <w:spacing w:line="360" w:lineRule="auto"/>
              <w:rPr>
                <w:rFonts w:ascii="宋体" w:hAnsi="宋体" w:cs="宋体"/>
                <w:b/>
                <w:bCs/>
                <w:color w:val="000000"/>
                <w:sz w:val="24"/>
              </w:rPr>
            </w:pPr>
            <w:r>
              <w:rPr>
                <w:rFonts w:hint="eastAsia" w:ascii="宋体" w:hAnsi="宋体" w:cs="宋体"/>
                <w:sz w:val="24"/>
                <w:lang w:val="en-US" w:eastAsia="zh-CN"/>
              </w:rPr>
              <w:t>措施</w:t>
            </w:r>
            <w:r>
              <w:rPr>
                <w:rFonts w:hint="eastAsia" w:ascii="宋体" w:hAnsi="宋体" w:cs="宋体"/>
                <w:sz w:val="24"/>
              </w:rPr>
              <w:t>安排合理、内容完整的得</w:t>
            </w:r>
            <w:r>
              <w:rPr>
                <w:rFonts w:hint="eastAsia" w:ascii="宋体" w:hAnsi="宋体" w:cs="宋体"/>
                <w:sz w:val="24"/>
                <w:lang w:val="en-US" w:eastAsia="zh-CN"/>
              </w:rPr>
              <w:t>1-</w:t>
            </w:r>
            <w:r>
              <w:rPr>
                <w:rFonts w:hint="eastAsia" w:ascii="宋体" w:hAnsi="宋体" w:cs="宋体"/>
                <w:sz w:val="24"/>
              </w:rPr>
              <w:t>2分；</w:t>
            </w:r>
            <w:r>
              <w:rPr>
                <w:rFonts w:hint="eastAsia" w:ascii="宋体" w:hAnsi="宋体" w:cs="宋体"/>
                <w:sz w:val="24"/>
                <w:lang w:val="en-US" w:eastAsia="zh-CN"/>
              </w:rPr>
              <w:t>措施</w:t>
            </w:r>
            <w:r>
              <w:rPr>
                <w:rFonts w:hint="eastAsia" w:ascii="宋体" w:hAnsi="宋体" w:cs="宋体"/>
                <w:sz w:val="24"/>
              </w:rPr>
              <w:t>安排欠佳、内容欠完整的得</w:t>
            </w:r>
            <w:r>
              <w:rPr>
                <w:rFonts w:hint="eastAsia" w:ascii="宋体" w:hAnsi="宋体" w:cs="宋体"/>
                <w:sz w:val="24"/>
                <w:lang w:val="en-US" w:eastAsia="zh-CN"/>
              </w:rPr>
              <w:t>0-</w:t>
            </w:r>
            <w:r>
              <w:rPr>
                <w:rFonts w:hint="eastAsia" w:ascii="宋体" w:hAnsi="宋体" w:cs="宋体"/>
                <w:sz w:val="24"/>
              </w:rPr>
              <w:t>1分；其他不得分。</w:t>
            </w:r>
          </w:p>
        </w:tc>
        <w:tc>
          <w:tcPr>
            <w:tcW w:w="1156" w:type="dxa"/>
            <w:vAlign w:val="center"/>
          </w:tcPr>
          <w:p>
            <w:pPr>
              <w:spacing w:line="360" w:lineRule="auto"/>
              <w:jc w:val="center"/>
              <w:rPr>
                <w:rFonts w:ascii="宋体" w:hAnsi="宋体" w:cs="宋体"/>
                <w:color w:val="000000"/>
                <w:sz w:val="24"/>
              </w:rPr>
            </w:pPr>
            <w:r>
              <w:rPr>
                <w:rFonts w:hint="eastAsia" w:ascii="宋体" w:hAnsi="宋体" w:cs="宋体"/>
                <w:color w:val="000000"/>
                <w:sz w:val="24"/>
              </w:rPr>
              <w:t>0-2分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529" w:type="dxa"/>
            <w:vAlign w:val="center"/>
          </w:tcPr>
          <w:p>
            <w:pPr>
              <w:spacing w:line="360" w:lineRule="auto"/>
              <w:jc w:val="center"/>
              <w:rPr>
                <w:rFonts w:ascii="宋体" w:hAnsi="宋体" w:cs="宋体"/>
                <w:b/>
                <w:bCs/>
                <w:color w:val="000000"/>
                <w:sz w:val="24"/>
              </w:rPr>
            </w:pPr>
            <w:r>
              <w:rPr>
                <w:rFonts w:hint="eastAsia" w:ascii="宋体" w:hAnsi="宋体" w:cs="宋体"/>
                <w:b/>
                <w:bCs/>
                <w:color w:val="000000"/>
                <w:sz w:val="24"/>
              </w:rPr>
              <w:t>4、质量保证措施</w:t>
            </w:r>
          </w:p>
        </w:tc>
        <w:tc>
          <w:tcPr>
            <w:tcW w:w="7266" w:type="dxa"/>
            <w:vAlign w:val="center"/>
          </w:tcPr>
          <w:p>
            <w:pPr>
              <w:spacing w:line="360" w:lineRule="auto"/>
              <w:jc w:val="left"/>
              <w:rPr>
                <w:rFonts w:hint="eastAsia" w:ascii="宋体" w:hAnsi="宋体" w:cs="宋体"/>
                <w:color w:val="000000"/>
                <w:sz w:val="24"/>
                <w:lang w:val="en-US" w:eastAsia="zh-CN"/>
              </w:rPr>
            </w:pPr>
            <w:r>
              <w:rPr>
                <w:rFonts w:hint="eastAsia" w:ascii="宋体" w:hAnsi="宋体" w:cs="宋体"/>
                <w:color w:val="000000"/>
                <w:sz w:val="24"/>
              </w:rPr>
              <w:t>根据投标人员安排保障措施、质量</w:t>
            </w:r>
            <w:r>
              <w:rPr>
                <w:rFonts w:hint="eastAsia" w:ascii="宋体" w:hAnsi="宋体" w:cs="宋体"/>
                <w:color w:val="000000"/>
                <w:sz w:val="24"/>
              </w:rPr>
              <w:t>目标</w:t>
            </w:r>
            <w:r>
              <w:rPr>
                <w:rFonts w:hint="eastAsia" w:ascii="宋体" w:hAnsi="宋体" w:cs="宋体"/>
                <w:color w:val="000000"/>
                <w:sz w:val="24"/>
              </w:rPr>
              <w:t>保证情况</w:t>
            </w:r>
            <w:r>
              <w:rPr>
                <w:rFonts w:hint="eastAsia" w:ascii="宋体" w:hAnsi="宋体" w:cs="宋体"/>
                <w:color w:val="000000"/>
                <w:sz w:val="24"/>
                <w:lang w:val="en-US" w:eastAsia="zh-CN"/>
              </w:rPr>
              <w:t>进行</w:t>
            </w:r>
            <w:r>
              <w:rPr>
                <w:rFonts w:hint="eastAsia" w:ascii="宋体" w:hAnsi="宋体" w:cs="宋体"/>
                <w:color w:val="000000"/>
                <w:sz w:val="24"/>
              </w:rPr>
              <w:t>打分</w:t>
            </w:r>
            <w:r>
              <w:rPr>
                <w:rFonts w:hint="eastAsia" w:ascii="宋体" w:hAnsi="宋体" w:cs="宋体"/>
                <w:color w:val="000000"/>
                <w:sz w:val="24"/>
                <w:lang w:val="en-US" w:eastAsia="zh-CN"/>
              </w:rPr>
              <w:t>；</w:t>
            </w:r>
          </w:p>
          <w:p>
            <w:pPr>
              <w:spacing w:line="360" w:lineRule="auto"/>
              <w:jc w:val="left"/>
              <w:rPr>
                <w:rFonts w:hint="eastAsia" w:ascii="宋体" w:hAnsi="宋体" w:cs="宋体"/>
                <w:sz w:val="24"/>
                <w:lang w:val="en-US" w:eastAsia="zh-CN"/>
              </w:rPr>
            </w:pPr>
            <w:r>
              <w:rPr>
                <w:rFonts w:hint="eastAsia" w:ascii="宋体" w:hAnsi="宋体" w:cs="宋体"/>
                <w:color w:val="000000"/>
                <w:sz w:val="24"/>
                <w:lang w:val="en-US" w:eastAsia="zh-CN"/>
              </w:rPr>
              <w:t>人员</w:t>
            </w:r>
            <w:r>
              <w:rPr>
                <w:rFonts w:hint="eastAsia" w:ascii="宋体" w:hAnsi="宋体" w:cs="宋体"/>
                <w:color w:val="000000"/>
                <w:sz w:val="24"/>
              </w:rPr>
              <w:t>保障</w:t>
            </w:r>
            <w:r>
              <w:rPr>
                <w:rFonts w:hint="eastAsia" w:ascii="宋体" w:hAnsi="宋体" w:cs="宋体"/>
                <w:color w:val="000000"/>
                <w:sz w:val="24"/>
              </w:rPr>
              <w:t>措施完善、</w:t>
            </w:r>
            <w:r>
              <w:rPr>
                <w:rFonts w:hint="eastAsia" w:ascii="宋体" w:hAnsi="宋体" w:cs="宋体"/>
                <w:color w:val="000000"/>
                <w:sz w:val="24"/>
              </w:rPr>
              <w:t>质量目标保证</w:t>
            </w:r>
            <w:r>
              <w:rPr>
                <w:rFonts w:hint="eastAsia" w:ascii="宋体" w:hAnsi="宋体" w:cs="宋体"/>
                <w:sz w:val="24"/>
              </w:rPr>
              <w:t>合理的得</w:t>
            </w:r>
            <w:r>
              <w:rPr>
                <w:rFonts w:hint="eastAsia" w:ascii="宋体" w:hAnsi="宋体" w:cs="宋体"/>
                <w:sz w:val="24"/>
                <w:lang w:val="en-US" w:eastAsia="zh-CN"/>
              </w:rPr>
              <w:t>1-</w:t>
            </w:r>
            <w:r>
              <w:rPr>
                <w:rFonts w:hint="eastAsia" w:ascii="宋体" w:hAnsi="宋体" w:cs="宋体"/>
                <w:sz w:val="24"/>
              </w:rPr>
              <w:t>2分</w:t>
            </w:r>
            <w:r>
              <w:rPr>
                <w:rFonts w:hint="eastAsia" w:ascii="宋体" w:hAnsi="宋体" w:cs="宋体"/>
                <w:sz w:val="24"/>
                <w:lang w:val="en-US" w:eastAsia="zh-CN"/>
              </w:rPr>
              <w:t>；</w:t>
            </w:r>
          </w:p>
          <w:p>
            <w:pPr>
              <w:spacing w:line="360" w:lineRule="auto"/>
              <w:jc w:val="left"/>
              <w:rPr>
                <w:rFonts w:hint="eastAsia" w:ascii="宋体" w:hAnsi="宋体" w:cs="宋体"/>
                <w:sz w:val="24"/>
                <w:lang w:val="en-US" w:eastAsia="zh-CN"/>
              </w:rPr>
            </w:pPr>
            <w:r>
              <w:rPr>
                <w:rFonts w:hint="eastAsia" w:ascii="宋体" w:hAnsi="宋体" w:cs="宋体"/>
                <w:color w:val="000000"/>
                <w:sz w:val="24"/>
                <w:lang w:val="en-US" w:eastAsia="zh-CN"/>
              </w:rPr>
              <w:t>人员</w:t>
            </w:r>
            <w:r>
              <w:rPr>
                <w:rFonts w:hint="eastAsia" w:ascii="宋体" w:hAnsi="宋体" w:cs="宋体"/>
                <w:color w:val="000000"/>
                <w:sz w:val="24"/>
              </w:rPr>
              <w:t>保障措施</w:t>
            </w:r>
            <w:r>
              <w:rPr>
                <w:rFonts w:hint="eastAsia" w:ascii="宋体" w:hAnsi="宋体" w:cs="宋体"/>
                <w:color w:val="000000"/>
                <w:sz w:val="24"/>
                <w:lang w:val="en-US" w:eastAsia="zh-CN"/>
              </w:rPr>
              <w:t>较完善</w:t>
            </w:r>
            <w:r>
              <w:rPr>
                <w:rFonts w:hint="eastAsia" w:ascii="宋体" w:hAnsi="宋体" w:cs="宋体"/>
                <w:color w:val="000000"/>
                <w:sz w:val="24"/>
              </w:rPr>
              <w:t>、质量目标保证</w:t>
            </w:r>
            <w:r>
              <w:rPr>
                <w:rFonts w:hint="eastAsia" w:ascii="宋体" w:hAnsi="宋体" w:cs="宋体"/>
                <w:color w:val="000000"/>
                <w:sz w:val="24"/>
                <w:lang w:val="en-US" w:eastAsia="zh-CN"/>
              </w:rPr>
              <w:t>较</w:t>
            </w:r>
            <w:r>
              <w:rPr>
                <w:rFonts w:hint="eastAsia" w:ascii="宋体" w:hAnsi="宋体" w:cs="宋体"/>
                <w:sz w:val="24"/>
              </w:rPr>
              <w:t>合理的得</w:t>
            </w:r>
            <w:r>
              <w:rPr>
                <w:rFonts w:hint="eastAsia" w:ascii="宋体" w:hAnsi="宋体" w:cs="宋体"/>
                <w:sz w:val="24"/>
                <w:lang w:val="en-US" w:eastAsia="zh-CN"/>
              </w:rPr>
              <w:t>0-1</w:t>
            </w:r>
            <w:r>
              <w:rPr>
                <w:rFonts w:hint="eastAsia" w:ascii="宋体" w:hAnsi="宋体" w:cs="宋体"/>
                <w:sz w:val="24"/>
              </w:rPr>
              <w:t>分</w:t>
            </w:r>
            <w:r>
              <w:rPr>
                <w:rFonts w:hint="eastAsia" w:ascii="宋体" w:hAnsi="宋体" w:cs="宋体"/>
                <w:sz w:val="24"/>
                <w:lang w:val="en-US" w:eastAsia="zh-CN"/>
              </w:rPr>
              <w:t>；</w:t>
            </w:r>
          </w:p>
          <w:p>
            <w:pPr>
              <w:spacing w:line="360" w:lineRule="auto"/>
              <w:jc w:val="left"/>
              <w:rPr>
                <w:rFonts w:ascii="宋体" w:hAnsi="宋体" w:cs="宋体"/>
                <w:color w:val="000000"/>
                <w:sz w:val="24"/>
              </w:rPr>
            </w:pPr>
            <w:r>
              <w:rPr>
                <w:rFonts w:hint="eastAsia" w:ascii="宋体" w:hAnsi="宋体" w:cs="宋体"/>
                <w:sz w:val="24"/>
                <w:lang w:val="en-US" w:eastAsia="zh-CN"/>
              </w:rPr>
              <w:t>人员</w:t>
            </w:r>
            <w:r>
              <w:rPr>
                <w:rFonts w:hint="eastAsia" w:ascii="宋体" w:hAnsi="宋体" w:cs="宋体"/>
                <w:color w:val="000000"/>
                <w:sz w:val="24"/>
              </w:rPr>
              <w:t>保障措施</w:t>
            </w:r>
            <w:r>
              <w:rPr>
                <w:rFonts w:hint="eastAsia" w:ascii="宋体" w:hAnsi="宋体" w:cs="宋体"/>
                <w:color w:val="000000"/>
                <w:sz w:val="24"/>
                <w:lang w:val="en-US" w:eastAsia="zh-CN"/>
              </w:rPr>
              <w:t>不完善</w:t>
            </w:r>
            <w:r>
              <w:rPr>
                <w:rFonts w:hint="eastAsia" w:ascii="宋体" w:hAnsi="宋体" w:cs="宋体"/>
                <w:color w:val="000000"/>
                <w:sz w:val="24"/>
              </w:rPr>
              <w:t>、质量保证目标</w:t>
            </w:r>
            <w:r>
              <w:rPr>
                <w:rFonts w:hint="eastAsia" w:ascii="宋体" w:hAnsi="宋体" w:cs="宋体"/>
                <w:sz w:val="24"/>
              </w:rPr>
              <w:t>合理</w:t>
            </w:r>
            <w:r>
              <w:rPr>
                <w:rFonts w:hint="eastAsia" w:ascii="宋体" w:hAnsi="宋体" w:cs="宋体"/>
                <w:sz w:val="24"/>
                <w:lang w:val="en-US" w:eastAsia="zh-CN"/>
              </w:rPr>
              <w:t>性差的</w:t>
            </w:r>
            <w:r>
              <w:rPr>
                <w:rFonts w:hint="eastAsia" w:ascii="宋体" w:hAnsi="宋体" w:cs="宋体"/>
                <w:sz w:val="24"/>
              </w:rPr>
              <w:t>不得分。</w:t>
            </w:r>
          </w:p>
        </w:tc>
        <w:tc>
          <w:tcPr>
            <w:tcW w:w="1156" w:type="dxa"/>
            <w:vAlign w:val="center"/>
          </w:tcPr>
          <w:p>
            <w:pPr>
              <w:spacing w:line="360" w:lineRule="auto"/>
              <w:jc w:val="center"/>
              <w:rPr>
                <w:rFonts w:ascii="宋体" w:hAnsi="宋体" w:cs="宋体"/>
                <w:color w:val="000000"/>
                <w:sz w:val="24"/>
              </w:rPr>
            </w:pPr>
            <w:r>
              <w:rPr>
                <w:rFonts w:hint="eastAsia" w:ascii="宋体" w:hAnsi="宋体" w:cs="宋体"/>
                <w:color w:val="000000"/>
                <w:sz w:val="24"/>
              </w:rPr>
              <w:t>0-2分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90" w:hRule="atLeast"/>
        </w:trPr>
        <w:tc>
          <w:tcPr>
            <w:tcW w:w="1529" w:type="dxa"/>
            <w:vAlign w:val="center"/>
          </w:tcPr>
          <w:p>
            <w:pPr>
              <w:spacing w:line="360" w:lineRule="auto"/>
              <w:jc w:val="center"/>
              <w:rPr>
                <w:rFonts w:hint="default" w:ascii="宋体" w:hAnsi="宋体" w:eastAsia="宋体" w:cs="宋体"/>
                <w:b/>
                <w:bCs/>
                <w:color w:val="000000"/>
                <w:sz w:val="24"/>
                <w:lang w:val="en-US" w:eastAsia="zh-CN"/>
              </w:rPr>
            </w:pPr>
            <w:r>
              <w:rPr>
                <w:rFonts w:hint="eastAsia" w:ascii="宋体" w:hAnsi="宋体" w:cs="宋体"/>
                <w:b/>
                <w:bCs/>
                <w:color w:val="000000"/>
                <w:sz w:val="24"/>
                <w:lang w:val="en-US" w:eastAsia="zh-CN"/>
              </w:rPr>
              <w:t>5</w:t>
            </w:r>
            <w:r>
              <w:rPr>
                <w:rFonts w:hint="eastAsia" w:ascii="宋体" w:hAnsi="宋体" w:cs="宋体"/>
                <w:b/>
                <w:bCs/>
                <w:color w:val="000000"/>
                <w:sz w:val="24"/>
              </w:rPr>
              <w:t>、</w:t>
            </w:r>
            <w:r>
              <w:rPr>
                <w:rFonts w:hint="eastAsia" w:ascii="宋体" w:hAnsi="宋体" w:cs="宋体"/>
                <w:b/>
                <w:bCs/>
                <w:sz w:val="24"/>
                <w:lang w:val="en-US" w:eastAsia="zh-CN"/>
              </w:rPr>
              <w:t>服务响应</w:t>
            </w:r>
          </w:p>
        </w:tc>
        <w:tc>
          <w:tcPr>
            <w:tcW w:w="7266" w:type="dxa"/>
            <w:vAlign w:val="center"/>
          </w:tcPr>
          <w:p>
            <w:pPr>
              <w:spacing w:line="360" w:lineRule="auto"/>
              <w:rPr>
                <w:rFonts w:ascii="宋体" w:hAnsi="宋体" w:cs="宋体"/>
                <w:sz w:val="24"/>
              </w:rPr>
            </w:pPr>
            <w:r>
              <w:rPr>
                <w:rFonts w:hint="eastAsia" w:ascii="宋体" w:hAnsi="宋体" w:cs="宋体"/>
                <w:b/>
                <w:bCs/>
                <w:sz w:val="24"/>
                <w:lang w:val="en-US" w:eastAsia="zh-CN"/>
              </w:rPr>
              <w:t>根据投标人</w:t>
            </w:r>
            <w:r>
              <w:rPr>
                <w:rFonts w:hint="eastAsia" w:ascii="宋体" w:hAnsi="宋体" w:cs="宋体"/>
                <w:sz w:val="24"/>
              </w:rPr>
              <w:t>技术支持能力及质保期内、外对用户故障的响应、处理、定期巡检情况合理性（0-1分）和可行性（0-1分）进行打分。</w:t>
            </w:r>
          </w:p>
        </w:tc>
        <w:tc>
          <w:tcPr>
            <w:tcW w:w="1156" w:type="dxa"/>
            <w:vAlign w:val="center"/>
          </w:tcPr>
          <w:p>
            <w:pPr>
              <w:spacing w:line="360" w:lineRule="auto"/>
              <w:jc w:val="center"/>
              <w:rPr>
                <w:rFonts w:ascii="宋体" w:hAnsi="宋体" w:cs="宋体"/>
                <w:sz w:val="24"/>
              </w:rPr>
            </w:pPr>
            <w:r>
              <w:rPr>
                <w:rFonts w:hint="eastAsia" w:ascii="宋体" w:hAnsi="宋体" w:cs="宋体"/>
                <w:sz w:val="24"/>
              </w:rPr>
              <w:t>0-2分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90" w:hRule="atLeast"/>
        </w:trPr>
        <w:tc>
          <w:tcPr>
            <w:tcW w:w="1529" w:type="dxa"/>
            <w:vMerge w:val="restart"/>
            <w:vAlign w:val="center"/>
          </w:tcPr>
          <w:p>
            <w:pPr>
              <w:spacing w:line="360" w:lineRule="auto"/>
              <w:jc w:val="center"/>
              <w:rPr>
                <w:rFonts w:hint="eastAsia" w:ascii="宋体" w:hAnsi="宋体" w:cs="宋体"/>
                <w:b/>
                <w:bCs/>
                <w:color w:val="000000"/>
                <w:sz w:val="24"/>
                <w:lang w:val="en-US" w:eastAsia="zh-CN"/>
              </w:rPr>
            </w:pPr>
            <w:r>
              <w:rPr>
                <w:rFonts w:hint="eastAsia" w:ascii="宋体" w:hAnsi="宋体" w:cs="宋体"/>
                <w:b/>
                <w:bCs/>
                <w:color w:val="000000"/>
                <w:sz w:val="24"/>
                <w:lang w:val="en-US" w:eastAsia="zh-CN"/>
              </w:rPr>
              <w:t>6</w:t>
            </w:r>
            <w:r>
              <w:rPr>
                <w:rFonts w:hint="eastAsia" w:ascii="宋体" w:hAnsi="宋体" w:cs="宋体"/>
                <w:b/>
                <w:bCs/>
                <w:color w:val="000000"/>
                <w:sz w:val="24"/>
              </w:rPr>
              <w:t>、</w:t>
            </w:r>
            <w:r>
              <w:rPr>
                <w:rFonts w:hint="eastAsia" w:ascii="宋体" w:hAnsi="宋体" w:cs="宋体"/>
                <w:b/>
                <w:bCs/>
                <w:color w:val="000000"/>
                <w:sz w:val="24"/>
                <w:lang w:val="en-US" w:eastAsia="zh-CN"/>
              </w:rPr>
              <w:t>产品相关资质及检测报告</w:t>
            </w:r>
          </w:p>
        </w:tc>
        <w:tc>
          <w:tcPr>
            <w:tcW w:w="7266" w:type="dxa"/>
            <w:vAlign w:val="center"/>
          </w:tcPr>
          <w:p>
            <w:pPr>
              <w:pStyle w:val="19"/>
              <w:spacing w:line="360" w:lineRule="auto"/>
              <w:rPr>
                <w:rFonts w:ascii="宋体" w:hAnsi="宋体" w:cs="宋体"/>
                <w:b/>
                <w:color w:val="000000"/>
                <w:sz w:val="24"/>
              </w:rPr>
            </w:pPr>
            <w:r>
              <w:rPr>
                <w:rFonts w:hint="eastAsia" w:ascii="宋体" w:hAnsi="宋体" w:cs="宋体"/>
                <w:b/>
                <w:color w:val="000000"/>
                <w:sz w:val="24"/>
              </w:rPr>
              <w:t>1.所投</w:t>
            </w:r>
            <w:r>
              <w:rPr>
                <w:rFonts w:hint="eastAsia" w:ascii="宋体" w:hAnsi="宋体" w:cs="宋体"/>
                <w:b/>
                <w:color w:val="000000"/>
                <w:kern w:val="0"/>
                <w:sz w:val="24"/>
              </w:rPr>
              <w:t>长龙式洗碗机：</w:t>
            </w:r>
          </w:p>
          <w:p>
            <w:pPr>
              <w:pStyle w:val="19"/>
              <w:spacing w:line="360" w:lineRule="auto"/>
              <w:rPr>
                <w:rFonts w:ascii="宋体" w:hAnsi="宋体" w:cs="宋体"/>
                <w:bCs/>
                <w:sz w:val="24"/>
              </w:rPr>
            </w:pPr>
            <w:r>
              <w:rPr>
                <w:rFonts w:hint="eastAsia" w:ascii="宋体" w:hAnsi="宋体" w:cs="宋体"/>
                <w:bCs/>
                <w:color w:val="000000"/>
                <w:sz w:val="24"/>
              </w:rPr>
              <w:t>①</w:t>
            </w:r>
            <w:r>
              <w:rPr>
                <w:rFonts w:hint="eastAsia" w:ascii="宋体" w:hAnsi="宋体" w:cs="宋体"/>
                <w:bCs/>
                <w:color w:val="000000"/>
                <w:kern w:val="0"/>
                <w:sz w:val="24"/>
              </w:rPr>
              <w:t>具有卫生认证证书的</w:t>
            </w:r>
            <w:r>
              <w:rPr>
                <w:rFonts w:hint="eastAsia" w:ascii="宋体" w:hAnsi="宋体" w:cs="宋体"/>
                <w:bCs/>
                <w:sz w:val="24"/>
              </w:rPr>
              <w:t>得1分；</w:t>
            </w:r>
          </w:p>
          <w:p>
            <w:pPr>
              <w:pStyle w:val="19"/>
              <w:spacing w:line="360" w:lineRule="auto"/>
              <w:rPr>
                <w:rFonts w:ascii="宋体" w:hAnsi="宋体" w:cs="宋体"/>
                <w:bCs/>
                <w:sz w:val="24"/>
              </w:rPr>
            </w:pPr>
            <w:r>
              <w:rPr>
                <w:rFonts w:hint="eastAsia" w:ascii="宋体" w:hAnsi="宋体" w:cs="宋体"/>
                <w:sz w:val="24"/>
              </w:rPr>
              <w:t>②</w:t>
            </w:r>
            <w:r>
              <w:rPr>
                <w:rFonts w:ascii="宋体" w:hAnsi="宋体" w:cs="宋体"/>
                <w:bCs/>
                <w:sz w:val="24"/>
              </w:rPr>
              <w:t>长龙式洗碗机电箱防护等级达到IP67，需提供具有</w:t>
            </w:r>
            <w:r>
              <w:rPr>
                <w:rFonts w:hint="eastAsia" w:ascii="宋体" w:hAnsi="宋体" w:cs="宋体"/>
                <w:sz w:val="24"/>
              </w:rPr>
              <w:t>CMA或CNAS标识</w:t>
            </w:r>
            <w:r>
              <w:rPr>
                <w:rFonts w:ascii="宋体" w:hAnsi="宋体" w:cs="宋体"/>
                <w:bCs/>
                <w:sz w:val="24"/>
              </w:rPr>
              <w:t>的第三方检测机构出具的检验检测报告</w:t>
            </w:r>
            <w:r>
              <w:rPr>
                <w:rFonts w:hint="eastAsia" w:ascii="宋体" w:hAnsi="宋体" w:cs="宋体"/>
                <w:bCs/>
                <w:sz w:val="24"/>
              </w:rPr>
              <w:t>的得2分</w:t>
            </w:r>
            <w:r>
              <w:rPr>
                <w:rFonts w:hint="eastAsia" w:ascii="宋体" w:hAnsi="宋体" w:cs="宋体"/>
                <w:bCs/>
                <w:sz w:val="24"/>
                <w:lang w:val="en-US" w:eastAsia="zh-CN"/>
              </w:rPr>
              <w:t>；</w:t>
            </w:r>
          </w:p>
          <w:p>
            <w:pPr>
              <w:pStyle w:val="19"/>
              <w:spacing w:line="360" w:lineRule="auto"/>
              <w:rPr>
                <w:rFonts w:ascii="宋体" w:hAnsi="宋体" w:cs="宋体"/>
                <w:bCs/>
                <w:sz w:val="24"/>
              </w:rPr>
            </w:pPr>
            <w:r>
              <w:rPr>
                <w:rFonts w:hint="eastAsia" w:ascii="宋体" w:hAnsi="宋体" w:cs="宋体"/>
                <w:sz w:val="24"/>
              </w:rPr>
              <w:t>③</w:t>
            </w:r>
            <w:r>
              <w:rPr>
                <w:rFonts w:hint="eastAsia" w:ascii="宋体" w:hAnsi="宋体" w:cs="宋体"/>
                <w:bCs/>
                <w:sz w:val="24"/>
              </w:rPr>
              <w:t>依据</w:t>
            </w:r>
            <w:r>
              <w:rPr>
                <w:rFonts w:ascii="宋体" w:hAnsi="宋体" w:cs="宋体"/>
                <w:bCs/>
                <w:sz w:val="24"/>
              </w:rPr>
              <w:t>GB/T 1040.1-2018，长龙机传送履带拉断力＞5000N ,需提供具有</w:t>
            </w:r>
            <w:r>
              <w:rPr>
                <w:rFonts w:hint="eastAsia" w:ascii="宋体" w:hAnsi="宋体" w:cs="宋体"/>
                <w:sz w:val="24"/>
              </w:rPr>
              <w:t>CMA或CNAS标识</w:t>
            </w:r>
            <w:r>
              <w:rPr>
                <w:rFonts w:ascii="宋体" w:hAnsi="宋体" w:cs="宋体"/>
                <w:bCs/>
                <w:sz w:val="24"/>
              </w:rPr>
              <w:t>的第三方检测机构出具的检验检测报告</w:t>
            </w:r>
            <w:r>
              <w:rPr>
                <w:rFonts w:hint="eastAsia" w:ascii="宋体" w:hAnsi="宋体" w:cs="宋体"/>
                <w:bCs/>
                <w:sz w:val="24"/>
              </w:rPr>
              <w:t>；得2分</w:t>
            </w:r>
            <w:r>
              <w:rPr>
                <w:rFonts w:hint="eastAsia" w:ascii="宋体" w:hAnsi="宋体" w:cs="宋体"/>
                <w:bCs/>
                <w:sz w:val="24"/>
                <w:lang w:val="en-US" w:eastAsia="zh-CN"/>
              </w:rPr>
              <w:t>；</w:t>
            </w:r>
          </w:p>
          <w:p>
            <w:pPr>
              <w:pStyle w:val="19"/>
              <w:spacing w:line="360" w:lineRule="auto"/>
              <w:rPr>
                <w:rFonts w:ascii="宋体" w:hAnsi="宋体" w:cs="宋体"/>
                <w:bCs/>
                <w:sz w:val="24"/>
              </w:rPr>
            </w:pPr>
            <w:r>
              <w:rPr>
                <w:rFonts w:hint="eastAsia" w:ascii="宋体" w:hAnsi="宋体" w:cs="宋体"/>
                <w:sz w:val="24"/>
              </w:rPr>
              <w:t>④</w:t>
            </w:r>
            <w:r>
              <w:rPr>
                <w:rFonts w:hint="eastAsia" w:ascii="宋体" w:hAnsi="宋体" w:cs="宋体"/>
                <w:bCs/>
                <w:sz w:val="24"/>
              </w:rPr>
              <w:t>依据</w:t>
            </w:r>
            <w:r>
              <w:rPr>
                <w:rFonts w:ascii="宋体" w:hAnsi="宋体" w:cs="宋体"/>
                <w:bCs/>
                <w:sz w:val="24"/>
              </w:rPr>
              <w:t>GB/T2651-2008 ，长龙式洗碗机水箱抗拉强度＞700N,需提供检验检测报告</w:t>
            </w:r>
            <w:r>
              <w:rPr>
                <w:rFonts w:hint="eastAsia" w:ascii="宋体" w:hAnsi="宋体" w:cs="宋体"/>
                <w:bCs/>
                <w:sz w:val="24"/>
              </w:rPr>
              <w:t>；得2分</w:t>
            </w:r>
          </w:p>
          <w:p>
            <w:pPr>
              <w:pStyle w:val="19"/>
              <w:spacing w:line="360" w:lineRule="auto"/>
              <w:rPr>
                <w:rFonts w:hint="eastAsia" w:ascii="宋体" w:hAnsi="宋体" w:cs="宋体"/>
                <w:sz w:val="24"/>
                <w:shd w:val="clear" w:color="auto" w:fill="FFFFFF"/>
              </w:rPr>
            </w:pPr>
            <w:r>
              <w:rPr>
                <w:rFonts w:hint="eastAsia" w:ascii="宋体" w:hAnsi="宋体" w:eastAsia="宋体" w:cs="宋体"/>
                <w:kern w:val="0"/>
                <w:sz w:val="24"/>
              </w:rPr>
              <w:t>⑤</w:t>
            </w:r>
            <w:r>
              <w:rPr>
                <w:rFonts w:hint="eastAsia" w:ascii="宋体" w:hAnsi="宋体" w:cs="宋体"/>
                <w:sz w:val="24"/>
                <w:shd w:val="clear" w:color="auto" w:fill="FFFFFF"/>
              </w:rPr>
              <w:t>提供生产厂家针对本项目原厂质保与售后服务承诺书的得1分</w:t>
            </w:r>
            <w:r>
              <w:rPr>
                <w:rFonts w:hint="eastAsia" w:ascii="宋体" w:hAnsi="宋体" w:cs="宋体"/>
                <w:sz w:val="24"/>
                <w:shd w:val="clear" w:color="auto" w:fill="FFFFFF"/>
                <w:lang w:eastAsia="zh-CN"/>
              </w:rPr>
              <w:t>，须加盖原厂公章</w:t>
            </w:r>
            <w:r>
              <w:rPr>
                <w:rFonts w:hint="eastAsia" w:ascii="宋体" w:hAnsi="宋体" w:cs="宋体"/>
                <w:sz w:val="24"/>
                <w:shd w:val="clear" w:color="auto" w:fill="FFFFFF"/>
              </w:rPr>
              <w:t>。</w:t>
            </w:r>
          </w:p>
          <w:p>
            <w:pPr>
              <w:pStyle w:val="19"/>
              <w:spacing w:line="360" w:lineRule="auto"/>
              <w:rPr>
                <w:rFonts w:hint="default" w:ascii="宋体" w:hAnsi="宋体" w:eastAsia="宋体" w:cs="宋体"/>
                <w:sz w:val="24"/>
                <w:shd w:val="clear" w:color="auto" w:fill="FFFFFF"/>
                <w:lang w:val="en-US" w:eastAsia="zh-CN"/>
              </w:rPr>
            </w:pPr>
            <w:r>
              <w:rPr>
                <w:rFonts w:hint="eastAsia" w:ascii="宋体" w:hAnsi="宋体" w:cs="宋体"/>
                <w:sz w:val="24"/>
                <w:shd w:val="clear" w:color="auto" w:fill="FFFFFF"/>
                <w:lang w:val="en-US" w:eastAsia="zh-CN"/>
              </w:rPr>
              <w:t>上述材料投标文件中予以提供。</w:t>
            </w:r>
          </w:p>
        </w:tc>
        <w:tc>
          <w:tcPr>
            <w:tcW w:w="1156" w:type="dxa"/>
            <w:vAlign w:val="center"/>
          </w:tcPr>
          <w:p>
            <w:pPr>
              <w:spacing w:line="360" w:lineRule="auto"/>
              <w:jc w:val="center"/>
              <w:rPr>
                <w:rFonts w:hint="eastAsia" w:ascii="宋体" w:hAnsi="宋体" w:cs="宋体"/>
                <w:sz w:val="24"/>
              </w:rPr>
            </w:pPr>
            <w:r>
              <w:rPr>
                <w:rFonts w:hint="eastAsia" w:ascii="宋体" w:hAnsi="宋体" w:cs="宋体"/>
                <w:color w:val="000000"/>
                <w:sz w:val="24"/>
              </w:rPr>
              <w:t>0-</w:t>
            </w:r>
            <w:r>
              <w:rPr>
                <w:rFonts w:hint="eastAsia" w:ascii="宋体" w:hAnsi="宋体" w:cs="宋体"/>
                <w:color w:val="000000"/>
                <w:sz w:val="24"/>
                <w:lang w:val="en-US" w:eastAsia="zh-CN"/>
              </w:rPr>
              <w:t>8</w:t>
            </w:r>
            <w:r>
              <w:rPr>
                <w:rFonts w:hint="eastAsia" w:ascii="宋体" w:hAnsi="宋体" w:cs="宋体"/>
                <w:color w:val="000000"/>
                <w:sz w:val="24"/>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90" w:hRule="atLeast"/>
        </w:trPr>
        <w:tc>
          <w:tcPr>
            <w:tcW w:w="1529" w:type="dxa"/>
            <w:vMerge w:val="continue"/>
            <w:vAlign w:val="center"/>
          </w:tcPr>
          <w:p>
            <w:pPr>
              <w:spacing w:line="360" w:lineRule="auto"/>
              <w:jc w:val="center"/>
              <w:rPr>
                <w:rFonts w:hint="eastAsia" w:ascii="宋体" w:hAnsi="宋体" w:cs="宋体"/>
                <w:color w:val="000000"/>
                <w:sz w:val="24"/>
                <w:lang w:val="en-US" w:eastAsia="zh-CN"/>
              </w:rPr>
            </w:pPr>
          </w:p>
        </w:tc>
        <w:tc>
          <w:tcPr>
            <w:tcW w:w="7266" w:type="dxa"/>
            <w:vAlign w:val="center"/>
          </w:tcPr>
          <w:p>
            <w:pPr>
              <w:pStyle w:val="19"/>
              <w:spacing w:line="360" w:lineRule="auto"/>
              <w:rPr>
                <w:rFonts w:hint="eastAsia" w:ascii="宋体" w:hAnsi="宋体" w:cs="宋体"/>
                <w:b/>
                <w:sz w:val="24"/>
              </w:rPr>
            </w:pPr>
            <w:r>
              <w:rPr>
                <w:rFonts w:hint="eastAsia" w:ascii="宋体" w:hAnsi="宋体" w:cs="宋体"/>
                <w:b/>
                <w:sz w:val="24"/>
              </w:rPr>
              <w:t>2.所投油烟净化器：</w:t>
            </w:r>
          </w:p>
          <w:p>
            <w:pPr>
              <w:pStyle w:val="19"/>
              <w:spacing w:line="360" w:lineRule="auto"/>
              <w:rPr>
                <w:rFonts w:hint="eastAsia" w:ascii="宋体" w:hAnsi="宋体" w:cs="宋体"/>
                <w:sz w:val="24"/>
              </w:rPr>
            </w:pPr>
            <w:r>
              <w:rPr>
                <w:rFonts w:hint="eastAsia" w:ascii="宋体" w:hAnsi="宋体" w:cs="宋体"/>
                <w:sz w:val="24"/>
              </w:rPr>
              <w:t>①净化器具有与生产技术或产品质量相关的发明或实用新型外观证书的每项0.5分，最高1分。</w:t>
            </w:r>
          </w:p>
          <w:p>
            <w:pPr>
              <w:pStyle w:val="19"/>
              <w:spacing w:line="360" w:lineRule="auto"/>
              <w:rPr>
                <w:rFonts w:hint="eastAsia" w:ascii="宋体" w:hAnsi="宋体" w:cs="宋体"/>
                <w:sz w:val="24"/>
              </w:rPr>
            </w:pPr>
            <w:r>
              <w:rPr>
                <w:rFonts w:hint="eastAsia" w:ascii="宋体" w:hAnsi="宋体" w:cs="宋体"/>
                <w:sz w:val="24"/>
              </w:rPr>
              <w:t>②净化器设备制造商拥有高新企业技术企业证书得1分。</w:t>
            </w:r>
          </w:p>
          <w:p>
            <w:pPr>
              <w:pStyle w:val="19"/>
              <w:spacing w:line="360" w:lineRule="auto"/>
              <w:rPr>
                <w:rFonts w:hint="eastAsia" w:ascii="宋体" w:hAnsi="宋体" w:cs="宋体"/>
                <w:sz w:val="24"/>
              </w:rPr>
            </w:pPr>
            <w:r>
              <w:rPr>
                <w:rFonts w:hint="eastAsia" w:ascii="宋体" w:hAnsi="宋体" w:cs="宋体"/>
                <w:sz w:val="24"/>
              </w:rPr>
              <w:t>③所投净化器应具有保险公司对产品责任以及产品质量保证保险的，得1分。</w:t>
            </w:r>
          </w:p>
          <w:p>
            <w:pPr>
              <w:pStyle w:val="19"/>
              <w:spacing w:line="360" w:lineRule="auto"/>
              <w:rPr>
                <w:rFonts w:hint="eastAsia" w:ascii="宋体" w:hAnsi="宋体" w:cs="宋体"/>
                <w:sz w:val="24"/>
              </w:rPr>
            </w:pPr>
            <w:r>
              <w:rPr>
                <w:rFonts w:hint="eastAsia" w:ascii="宋体" w:hAnsi="宋体" w:cs="宋体"/>
                <w:sz w:val="24"/>
              </w:rPr>
              <w:t>④油烟净化率≥95%，非甲烷总烃去除率≥85%，颗粒物去除率≥95%，除臭效果≤60无量纲；须提供具有CMA或CNAS标识的检测报告，得1分。</w:t>
            </w:r>
          </w:p>
          <w:p>
            <w:pPr>
              <w:pStyle w:val="19"/>
              <w:spacing w:line="360" w:lineRule="auto"/>
              <w:rPr>
                <w:rFonts w:hint="eastAsia" w:ascii="宋体" w:hAnsi="宋体" w:cs="宋体"/>
                <w:sz w:val="24"/>
              </w:rPr>
            </w:pPr>
            <w:r>
              <w:rPr>
                <w:rFonts w:hint="eastAsia" w:ascii="宋体" w:hAnsi="宋体" w:eastAsia="宋体" w:cs="宋体"/>
                <w:kern w:val="0"/>
                <w:sz w:val="24"/>
              </w:rPr>
              <w:t>⑤</w:t>
            </w:r>
            <w:r>
              <w:rPr>
                <w:rFonts w:hint="eastAsia" w:ascii="宋体" w:hAnsi="宋体" w:cs="宋体"/>
                <w:kern w:val="0"/>
                <w:sz w:val="24"/>
              </w:rPr>
              <w:t>提供生产厂家净化器IP65防水防尘检测报告，</w:t>
            </w:r>
            <w:r>
              <w:rPr>
                <w:rFonts w:hint="eastAsia" w:ascii="宋体" w:hAnsi="宋体" w:cs="宋体"/>
                <w:sz w:val="24"/>
              </w:rPr>
              <w:t>得2分。</w:t>
            </w:r>
          </w:p>
          <w:p>
            <w:pPr>
              <w:pStyle w:val="19"/>
              <w:spacing w:line="360" w:lineRule="auto"/>
              <w:rPr>
                <w:rFonts w:hint="eastAsia" w:ascii="宋体" w:hAnsi="宋体" w:cs="宋体"/>
                <w:sz w:val="24"/>
                <w:shd w:val="clear" w:color="auto" w:fill="FFFFFF"/>
              </w:rPr>
            </w:pPr>
            <w:r>
              <w:rPr>
                <w:rFonts w:hint="eastAsia" w:ascii="宋体" w:hAnsi="宋体" w:cs="宋体"/>
                <w:sz w:val="24"/>
              </w:rPr>
              <w:t>⑥</w:t>
            </w:r>
            <w:r>
              <w:rPr>
                <w:rFonts w:hint="eastAsia" w:ascii="宋体" w:hAnsi="宋体" w:cs="宋体"/>
                <w:sz w:val="24"/>
                <w:shd w:val="clear" w:color="auto" w:fill="FFFFFF"/>
              </w:rPr>
              <w:t>提供生产厂家针对本项目原厂质保与售后服务承诺书的得1分</w:t>
            </w:r>
            <w:r>
              <w:rPr>
                <w:rFonts w:hint="eastAsia" w:ascii="宋体" w:hAnsi="宋体" w:cs="宋体"/>
                <w:sz w:val="24"/>
                <w:shd w:val="clear" w:color="auto" w:fill="FFFFFF"/>
                <w:lang w:eastAsia="zh-CN"/>
              </w:rPr>
              <w:t>，须加盖原厂公章</w:t>
            </w:r>
            <w:r>
              <w:rPr>
                <w:rFonts w:hint="eastAsia" w:ascii="宋体" w:hAnsi="宋体" w:cs="宋体"/>
                <w:sz w:val="24"/>
                <w:shd w:val="clear" w:color="auto" w:fill="FFFFFF"/>
              </w:rPr>
              <w:t>。</w:t>
            </w:r>
          </w:p>
          <w:p>
            <w:pPr>
              <w:pStyle w:val="19"/>
              <w:spacing w:line="360" w:lineRule="auto"/>
              <w:rPr>
                <w:rFonts w:hint="eastAsia" w:ascii="宋体" w:hAnsi="宋体" w:cs="宋体"/>
                <w:sz w:val="24"/>
                <w:shd w:val="clear" w:color="auto" w:fill="FFFFFF"/>
              </w:rPr>
            </w:pPr>
            <w:r>
              <w:rPr>
                <w:rFonts w:hint="eastAsia" w:ascii="宋体" w:hAnsi="宋体" w:cs="宋体"/>
                <w:sz w:val="24"/>
                <w:shd w:val="clear" w:color="auto" w:fill="FFFFFF"/>
                <w:lang w:val="en-US" w:eastAsia="zh-CN"/>
              </w:rPr>
              <w:t>上述材料投标文件中予以提供。</w:t>
            </w:r>
          </w:p>
        </w:tc>
        <w:tc>
          <w:tcPr>
            <w:tcW w:w="1156" w:type="dxa"/>
            <w:vAlign w:val="center"/>
          </w:tcPr>
          <w:p>
            <w:pPr>
              <w:spacing w:line="360" w:lineRule="auto"/>
              <w:jc w:val="center"/>
              <w:rPr>
                <w:rFonts w:hint="eastAsia" w:ascii="宋体" w:hAnsi="宋体" w:cs="宋体"/>
                <w:sz w:val="24"/>
              </w:rPr>
            </w:pPr>
            <w:r>
              <w:rPr>
                <w:rFonts w:hint="eastAsia" w:ascii="宋体" w:hAnsi="宋体" w:cs="宋体"/>
                <w:color w:val="000000"/>
                <w:sz w:val="24"/>
              </w:rPr>
              <w:t>0-</w:t>
            </w:r>
            <w:r>
              <w:rPr>
                <w:rFonts w:hint="eastAsia" w:ascii="宋体" w:hAnsi="宋体" w:cs="宋体"/>
                <w:color w:val="000000"/>
                <w:sz w:val="24"/>
                <w:lang w:val="en-US" w:eastAsia="zh-CN"/>
              </w:rPr>
              <w:t>7</w:t>
            </w:r>
            <w:r>
              <w:rPr>
                <w:rFonts w:hint="eastAsia" w:ascii="宋体" w:hAnsi="宋体" w:cs="宋体"/>
                <w:color w:val="000000"/>
                <w:sz w:val="24"/>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90" w:hRule="atLeast"/>
        </w:trPr>
        <w:tc>
          <w:tcPr>
            <w:tcW w:w="1529" w:type="dxa"/>
            <w:vMerge w:val="continue"/>
            <w:vAlign w:val="center"/>
          </w:tcPr>
          <w:p>
            <w:pPr>
              <w:spacing w:line="360" w:lineRule="auto"/>
              <w:jc w:val="center"/>
              <w:rPr>
                <w:rFonts w:hint="eastAsia" w:ascii="宋体" w:hAnsi="宋体" w:cs="宋体"/>
                <w:color w:val="000000"/>
                <w:sz w:val="24"/>
                <w:lang w:val="en-US" w:eastAsia="zh-CN"/>
              </w:rPr>
            </w:pPr>
          </w:p>
        </w:tc>
        <w:tc>
          <w:tcPr>
            <w:tcW w:w="7266" w:type="dxa"/>
            <w:vAlign w:val="center"/>
          </w:tcPr>
          <w:p>
            <w:pPr>
              <w:pStyle w:val="19"/>
              <w:spacing w:line="360" w:lineRule="auto"/>
              <w:rPr>
                <w:rFonts w:hint="eastAsia" w:ascii="宋体" w:hAnsi="宋体" w:cs="宋体"/>
                <w:b/>
                <w:sz w:val="24"/>
              </w:rPr>
            </w:pPr>
            <w:r>
              <w:rPr>
                <w:rFonts w:hint="eastAsia" w:ascii="宋体" w:hAnsi="宋体" w:cs="宋体"/>
                <w:b/>
                <w:sz w:val="24"/>
                <w:lang w:val="en-US" w:eastAsia="zh-CN"/>
              </w:rPr>
              <w:t>3.</w:t>
            </w:r>
            <w:r>
              <w:rPr>
                <w:rFonts w:hint="eastAsia" w:ascii="宋体" w:hAnsi="宋体" w:cs="宋体"/>
                <w:b/>
                <w:sz w:val="24"/>
              </w:rPr>
              <w:t>所投</w:t>
            </w:r>
            <w:r>
              <w:rPr>
                <w:rFonts w:hint="eastAsia" w:ascii="宋体" w:hAnsi="宋体" w:cs="宋体"/>
                <w:b/>
                <w:sz w:val="24"/>
                <w:lang w:bidi="ar"/>
              </w:rPr>
              <w:t>排油烟罩</w:t>
            </w:r>
            <w:r>
              <w:rPr>
                <w:rFonts w:hint="eastAsia" w:ascii="宋体" w:hAnsi="宋体" w:cs="宋体"/>
                <w:b/>
                <w:sz w:val="24"/>
              </w:rPr>
              <w:t>灭火系统：</w:t>
            </w:r>
          </w:p>
          <w:p>
            <w:pPr>
              <w:pStyle w:val="19"/>
              <w:spacing w:line="360" w:lineRule="auto"/>
              <w:rPr>
                <w:rFonts w:hint="eastAsia" w:ascii="宋体" w:hAnsi="宋体" w:cs="宋体"/>
                <w:sz w:val="24"/>
              </w:rPr>
            </w:pPr>
            <w:r>
              <w:rPr>
                <w:rFonts w:hint="eastAsia" w:ascii="宋体" w:hAnsi="宋体" w:cs="宋体"/>
                <w:sz w:val="24"/>
              </w:rPr>
              <w:t>①产品具有应急管理部消防产品合格评定中心出具的消防产品认证证书复印件加盖制造商公章，得1分。</w:t>
            </w:r>
          </w:p>
          <w:p>
            <w:pPr>
              <w:pStyle w:val="19"/>
              <w:spacing w:line="360" w:lineRule="auto"/>
              <w:rPr>
                <w:rFonts w:hint="eastAsia" w:ascii="宋体" w:hAnsi="宋体" w:cs="宋体"/>
                <w:sz w:val="24"/>
              </w:rPr>
            </w:pPr>
            <w:r>
              <w:rPr>
                <w:rFonts w:hint="eastAsia" w:ascii="宋体" w:hAnsi="宋体" w:cs="宋体"/>
                <w:sz w:val="24"/>
              </w:rPr>
              <w:t>②产品联动性能双瓶组喷射时间≥23.1秒，喷射延迟时间≥1.0秒，水流联动阀自动切换时间≥3.1秒（提供检验依据的型式检验报告带有CMA或CNAS复印件加盖制造商公章），得1分。</w:t>
            </w:r>
          </w:p>
          <w:p>
            <w:pPr>
              <w:pStyle w:val="19"/>
              <w:spacing w:line="360" w:lineRule="auto"/>
              <w:rPr>
                <w:rFonts w:hint="eastAsia" w:ascii="宋体" w:hAnsi="宋体" w:cs="宋体"/>
                <w:sz w:val="24"/>
              </w:rPr>
            </w:pPr>
            <w:r>
              <w:rPr>
                <w:rFonts w:hint="eastAsia" w:ascii="宋体" w:hAnsi="宋体" w:eastAsia="宋体" w:cs="宋体"/>
                <w:sz w:val="24"/>
              </w:rPr>
              <w:t>③</w:t>
            </w:r>
            <w:r>
              <w:rPr>
                <w:rFonts w:hint="eastAsia" w:ascii="宋体" w:hAnsi="宋体" w:cs="宋体"/>
                <w:sz w:val="24"/>
              </w:rPr>
              <w:t>产品具有投保责任险金额≥1000万（提供责任险保险单复印件）</w:t>
            </w:r>
            <w:r>
              <w:rPr>
                <w:rFonts w:hint="eastAsia" w:ascii="宋体" w:hAnsi="宋体" w:cs="宋体"/>
                <w:sz w:val="24"/>
                <w:lang w:eastAsia="zh-CN"/>
              </w:rPr>
              <w:t>，得</w:t>
            </w:r>
            <w:r>
              <w:rPr>
                <w:rFonts w:hint="eastAsia" w:ascii="宋体" w:hAnsi="宋体" w:cs="宋体"/>
                <w:sz w:val="24"/>
              </w:rPr>
              <w:t>1分。</w:t>
            </w:r>
          </w:p>
          <w:p>
            <w:pPr>
              <w:pStyle w:val="19"/>
              <w:spacing w:line="360" w:lineRule="auto"/>
              <w:rPr>
                <w:rFonts w:hint="eastAsia" w:ascii="宋体" w:hAnsi="宋体" w:cs="宋体"/>
                <w:sz w:val="24"/>
              </w:rPr>
            </w:pPr>
            <w:r>
              <w:rPr>
                <w:rFonts w:hint="eastAsia" w:ascii="宋体" w:hAnsi="宋体" w:cs="宋体"/>
                <w:sz w:val="24"/>
              </w:rPr>
              <w:t>④产品具有灭火装置机械式水流阀食品接触检测报告</w:t>
            </w:r>
            <w:r>
              <w:rPr>
                <w:rFonts w:hint="eastAsia" w:ascii="宋体" w:hAnsi="宋体" w:cs="宋体"/>
                <w:b w:val="0"/>
                <w:bCs w:val="0"/>
                <w:sz w:val="24"/>
              </w:rPr>
              <w:t>（提供带有CMA和CNAS检测报告复印件加盖制造商公章）</w:t>
            </w:r>
            <w:r>
              <w:rPr>
                <w:rFonts w:hint="eastAsia" w:ascii="宋体" w:hAnsi="宋体" w:cs="宋体"/>
                <w:sz w:val="24"/>
              </w:rPr>
              <w:t>，得1分。</w:t>
            </w:r>
          </w:p>
          <w:p>
            <w:pPr>
              <w:pStyle w:val="19"/>
              <w:spacing w:line="360" w:lineRule="auto"/>
              <w:rPr>
                <w:rFonts w:hint="eastAsia" w:ascii="宋体" w:hAnsi="宋体" w:cs="宋体"/>
                <w:sz w:val="24"/>
              </w:rPr>
            </w:pPr>
            <w:r>
              <w:rPr>
                <w:rFonts w:hint="eastAsia" w:ascii="宋体" w:hAnsi="宋体" w:cs="宋体"/>
                <w:sz w:val="24"/>
              </w:rPr>
              <w:t xml:space="preserve">⑤产品具有灭火装置控制箱、密封接头、感温支架的SUS304材质和耐热钢牌号及化学成分检测报告3项检测且合格。（提供带有CMA和CNAS第三方检测报告复印件加盖制造商公章），得1分。     </w:t>
            </w:r>
          </w:p>
          <w:p>
            <w:pPr>
              <w:pStyle w:val="19"/>
              <w:spacing w:line="360" w:lineRule="auto"/>
              <w:rPr>
                <w:rFonts w:hint="eastAsia" w:ascii="宋体" w:hAnsi="宋体" w:cs="宋体"/>
                <w:sz w:val="24"/>
              </w:rPr>
            </w:pPr>
            <w:r>
              <w:rPr>
                <w:rFonts w:hint="eastAsia" w:ascii="宋体" w:hAnsi="宋体" w:cs="宋体"/>
                <w:sz w:val="24"/>
              </w:rPr>
              <w:t>⑥灭火装置厂家具有安全生产标准化一级认证证书（提供复印件加盖制造商公章）</w:t>
            </w:r>
            <w:r>
              <w:rPr>
                <w:rFonts w:hint="eastAsia" w:ascii="宋体" w:hAnsi="宋体" w:cs="宋体"/>
                <w:sz w:val="24"/>
                <w:lang w:eastAsia="zh-CN"/>
              </w:rPr>
              <w:t>，</w:t>
            </w:r>
            <w:r>
              <w:rPr>
                <w:rFonts w:hint="eastAsia" w:ascii="宋体" w:hAnsi="宋体" w:cs="宋体"/>
                <w:sz w:val="24"/>
              </w:rPr>
              <w:t>得1分。</w:t>
            </w:r>
          </w:p>
          <w:p>
            <w:pPr>
              <w:pStyle w:val="19"/>
              <w:spacing w:line="360" w:lineRule="auto"/>
              <w:rPr>
                <w:rFonts w:hint="eastAsia" w:ascii="宋体" w:hAnsi="宋体" w:cs="宋体"/>
                <w:sz w:val="24"/>
              </w:rPr>
            </w:pPr>
            <w:r>
              <w:rPr>
                <w:rFonts w:hint="eastAsia" w:ascii="宋体" w:hAnsi="宋体" w:cs="宋体"/>
                <w:sz w:val="24"/>
              </w:rPr>
              <w:t>⑦产品具有灭火剂大鼠急性经口毒性无毒检测报告（提供带有CMA或CNAS第三方检测报告复印件加盖制造商公章）</w:t>
            </w:r>
            <w:r>
              <w:rPr>
                <w:rFonts w:hint="eastAsia" w:ascii="宋体" w:hAnsi="宋体" w:cs="宋体"/>
                <w:sz w:val="24"/>
                <w:lang w:eastAsia="zh-CN"/>
              </w:rPr>
              <w:t>，</w:t>
            </w:r>
            <w:r>
              <w:rPr>
                <w:rFonts w:hint="eastAsia" w:ascii="宋体" w:hAnsi="宋体" w:cs="宋体"/>
                <w:sz w:val="24"/>
              </w:rPr>
              <w:t>得1分。</w:t>
            </w:r>
          </w:p>
          <w:p>
            <w:pPr>
              <w:pStyle w:val="19"/>
              <w:spacing w:line="360" w:lineRule="auto"/>
              <w:rPr>
                <w:rFonts w:hint="eastAsia" w:ascii="宋体" w:hAnsi="宋体" w:cs="宋体"/>
                <w:sz w:val="24"/>
              </w:rPr>
            </w:pPr>
            <w:r>
              <w:rPr>
                <w:rFonts w:hint="eastAsia" w:ascii="宋体" w:hAnsi="宋体" w:cs="宋体"/>
                <w:sz w:val="24"/>
              </w:rPr>
              <w:t>⑧产品具有灭火装置主机箱观察口（提供固定灭火系统和耐火构件质量监督检验中心检测报告产品照片页证明材料复印件加盖制造商公章）</w:t>
            </w:r>
            <w:r>
              <w:rPr>
                <w:rFonts w:hint="eastAsia" w:ascii="宋体" w:hAnsi="宋体" w:cs="宋体"/>
                <w:sz w:val="24"/>
                <w:lang w:eastAsia="zh-CN"/>
              </w:rPr>
              <w:t>，</w:t>
            </w:r>
            <w:r>
              <w:rPr>
                <w:rFonts w:hint="eastAsia" w:ascii="宋体" w:hAnsi="宋体" w:cs="宋体"/>
                <w:sz w:val="24"/>
              </w:rPr>
              <w:t>得1分</w:t>
            </w:r>
          </w:p>
          <w:p>
            <w:pPr>
              <w:pStyle w:val="19"/>
              <w:spacing w:line="360" w:lineRule="auto"/>
              <w:rPr>
                <w:rFonts w:hint="eastAsia" w:ascii="宋体" w:hAnsi="宋体" w:cs="宋体"/>
                <w:sz w:val="24"/>
              </w:rPr>
            </w:pPr>
            <w:r>
              <w:rPr>
                <w:rFonts w:hint="eastAsia" w:ascii="宋体" w:hAnsi="宋体" w:cs="宋体"/>
                <w:sz w:val="24"/>
              </w:rPr>
              <w:t>⑨产品具有灭火装置钢丝绳不锈钢丝标准304（06Cr19Ni10）、破断拉力检测报告任缺一项视为不得分（提供带有CMA和CNAS第三方检测报告复印件加盖制造商公章）</w:t>
            </w:r>
            <w:r>
              <w:rPr>
                <w:rFonts w:hint="eastAsia" w:ascii="宋体" w:hAnsi="宋体" w:cs="宋体"/>
                <w:sz w:val="24"/>
                <w:lang w:eastAsia="zh-CN"/>
              </w:rPr>
              <w:t>，</w:t>
            </w:r>
            <w:r>
              <w:rPr>
                <w:rFonts w:hint="eastAsia" w:ascii="宋体" w:hAnsi="宋体" w:cs="宋体"/>
                <w:sz w:val="24"/>
              </w:rPr>
              <w:t>得1分</w:t>
            </w:r>
          </w:p>
          <w:p>
            <w:pPr>
              <w:pStyle w:val="19"/>
              <w:spacing w:line="360" w:lineRule="auto"/>
              <w:rPr>
                <w:rFonts w:hint="eastAsia" w:ascii="宋体" w:hAnsi="宋体" w:cs="宋体"/>
                <w:sz w:val="24"/>
                <w:lang w:eastAsia="zh-CN"/>
              </w:rPr>
            </w:pPr>
            <w:r>
              <w:rPr>
                <w:rFonts w:hint="eastAsia" w:ascii="宋体" w:hAnsi="宋体" w:cs="宋体"/>
                <w:sz w:val="24"/>
              </w:rPr>
              <w:t>⑩产品具有灭火装置燃气联动关闭提示报警管理系统</w:t>
            </w:r>
            <w:r>
              <w:rPr>
                <w:rFonts w:hint="eastAsia" w:ascii="宋体" w:hAnsi="宋体" w:cs="宋体"/>
                <w:sz w:val="24"/>
                <w:lang w:eastAsia="zh-CN"/>
              </w:rPr>
              <w:t>和</w:t>
            </w:r>
            <w:r>
              <w:rPr>
                <w:rFonts w:hint="eastAsia" w:ascii="宋体" w:hAnsi="宋体" w:cs="宋体"/>
                <w:sz w:val="24"/>
              </w:rPr>
              <w:t>故障报修显示报警管理系统，提供产品软件登记证书的</w:t>
            </w:r>
            <w:r>
              <w:rPr>
                <w:rFonts w:hint="eastAsia" w:ascii="宋体" w:hAnsi="宋体" w:cs="宋体"/>
                <w:sz w:val="24"/>
                <w:lang w:eastAsia="zh-CN"/>
              </w:rPr>
              <w:t>，</w:t>
            </w:r>
            <w:r>
              <w:rPr>
                <w:rFonts w:hint="eastAsia" w:ascii="宋体" w:hAnsi="宋体" w:cs="宋体"/>
                <w:sz w:val="24"/>
              </w:rPr>
              <w:t>得</w:t>
            </w:r>
            <w:r>
              <w:rPr>
                <w:rFonts w:hint="eastAsia" w:ascii="宋体" w:hAnsi="宋体" w:cs="宋体"/>
                <w:sz w:val="24"/>
                <w:lang w:val="en-US" w:eastAsia="zh-CN"/>
              </w:rPr>
              <w:t>1</w:t>
            </w:r>
            <w:r>
              <w:rPr>
                <w:rFonts w:hint="eastAsia" w:ascii="宋体" w:hAnsi="宋体" w:cs="宋体"/>
                <w:sz w:val="24"/>
              </w:rPr>
              <w:t>分</w:t>
            </w:r>
            <w:r>
              <w:rPr>
                <w:rFonts w:hint="eastAsia" w:ascii="宋体" w:hAnsi="宋体" w:cs="宋体"/>
                <w:sz w:val="24"/>
                <w:lang w:eastAsia="zh-CN"/>
              </w:rPr>
              <w:t>。</w:t>
            </w:r>
          </w:p>
          <w:p>
            <w:pPr>
              <w:pStyle w:val="19"/>
              <w:spacing w:line="360" w:lineRule="auto"/>
              <w:rPr>
                <w:rFonts w:hint="eastAsia" w:ascii="宋体" w:hAnsi="宋体" w:cs="宋体"/>
                <w:sz w:val="24"/>
                <w:lang w:eastAsia="zh-CN"/>
              </w:rPr>
            </w:pPr>
            <w:r>
              <w:rPr>
                <w:rFonts w:hint="eastAsia" w:ascii="宋体" w:hAnsi="宋体" w:cs="宋体"/>
                <w:sz w:val="24"/>
                <w:shd w:val="clear" w:color="auto" w:fill="FFFFFF"/>
                <w:lang w:val="en-US" w:eastAsia="zh-CN"/>
              </w:rPr>
              <w:t>上述材料投标文件中予以提供。</w:t>
            </w:r>
          </w:p>
        </w:tc>
        <w:tc>
          <w:tcPr>
            <w:tcW w:w="1156" w:type="dxa"/>
            <w:vAlign w:val="center"/>
          </w:tcPr>
          <w:p>
            <w:pPr>
              <w:spacing w:line="360" w:lineRule="auto"/>
              <w:jc w:val="center"/>
              <w:rPr>
                <w:rFonts w:hint="eastAsia" w:ascii="宋体" w:hAnsi="宋体" w:cs="宋体"/>
                <w:sz w:val="24"/>
              </w:rPr>
            </w:pPr>
            <w:r>
              <w:rPr>
                <w:rFonts w:hint="eastAsia" w:ascii="宋体" w:hAnsi="宋体" w:cs="宋体"/>
                <w:color w:val="000000"/>
                <w:sz w:val="24"/>
              </w:rPr>
              <w:t>0-</w:t>
            </w:r>
            <w:r>
              <w:rPr>
                <w:rFonts w:hint="eastAsia" w:ascii="宋体" w:hAnsi="宋体" w:cs="宋体"/>
                <w:color w:val="000000"/>
                <w:sz w:val="24"/>
                <w:lang w:val="en-US" w:eastAsia="zh-CN"/>
              </w:rPr>
              <w:t>10</w:t>
            </w:r>
            <w:r>
              <w:rPr>
                <w:rFonts w:hint="eastAsia" w:ascii="宋体" w:hAnsi="宋体" w:cs="宋体"/>
                <w:color w:val="000000"/>
                <w:sz w:val="24"/>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trPr>
        <w:tc>
          <w:tcPr>
            <w:tcW w:w="1529" w:type="dxa"/>
            <w:vAlign w:val="center"/>
          </w:tcPr>
          <w:p>
            <w:pPr>
              <w:spacing w:line="360" w:lineRule="auto"/>
              <w:jc w:val="center"/>
              <w:rPr>
                <w:rFonts w:ascii="宋体" w:hAnsi="宋体" w:cs="宋体"/>
                <w:b/>
                <w:bCs/>
                <w:color w:val="000000"/>
                <w:sz w:val="24"/>
              </w:rPr>
            </w:pPr>
            <w:r>
              <w:rPr>
                <w:rFonts w:hint="eastAsia" w:ascii="宋体" w:hAnsi="宋体" w:cs="宋体"/>
                <w:b/>
                <w:bCs/>
                <w:color w:val="000000"/>
                <w:sz w:val="24"/>
                <w:lang w:val="en-US" w:eastAsia="zh-CN"/>
              </w:rPr>
              <w:t>7</w:t>
            </w:r>
            <w:r>
              <w:rPr>
                <w:rFonts w:hint="eastAsia" w:ascii="宋体" w:hAnsi="宋体" w:cs="宋体"/>
                <w:b/>
                <w:bCs/>
                <w:color w:val="000000"/>
                <w:sz w:val="24"/>
              </w:rPr>
              <w:t>、培训方案</w:t>
            </w:r>
          </w:p>
        </w:tc>
        <w:tc>
          <w:tcPr>
            <w:tcW w:w="7266" w:type="dxa"/>
            <w:vAlign w:val="center"/>
          </w:tcPr>
          <w:p>
            <w:pPr>
              <w:spacing w:line="360" w:lineRule="auto"/>
            </w:pPr>
          </w:p>
          <w:p>
            <w:pPr>
              <w:spacing w:line="360" w:lineRule="auto"/>
              <w:ind w:firstLine="0" w:firstLineChars="0"/>
              <w:rPr>
                <w:rFonts w:ascii="宋体" w:hAnsi="宋体" w:cs="宋体"/>
                <w:color w:val="000000"/>
                <w:sz w:val="24"/>
              </w:rPr>
            </w:pPr>
            <w:r>
              <w:rPr>
                <w:rFonts w:hint="eastAsia" w:ascii="宋体" w:hAnsi="宋体" w:cs="宋体"/>
                <w:color w:val="000000"/>
                <w:sz w:val="24"/>
              </w:rPr>
              <w:t>根据投标人提供的培训方案进行打分</w:t>
            </w:r>
            <w:r>
              <w:rPr>
                <w:rFonts w:hint="eastAsia" w:ascii="宋体" w:hAnsi="宋体" w:cs="宋体"/>
                <w:color w:val="000000"/>
                <w:sz w:val="24"/>
                <w:lang w:val="en-US" w:eastAsia="zh-CN"/>
              </w:rPr>
              <w:t>；</w:t>
            </w:r>
            <w:r>
              <w:rPr>
                <w:rFonts w:hint="eastAsia" w:ascii="宋体" w:hAnsi="宋体" w:cs="宋体"/>
                <w:color w:val="000000"/>
                <w:sz w:val="24"/>
              </w:rPr>
              <w:t>培训</w:t>
            </w:r>
            <w:r>
              <w:rPr>
                <w:rFonts w:hint="eastAsia" w:ascii="宋体" w:hAnsi="宋体" w:cs="宋体"/>
                <w:sz w:val="24"/>
              </w:rPr>
              <w:t>方案安排合理、内容完整的得1-2分；培训方案安排欠佳、内容完整</w:t>
            </w:r>
            <w:r>
              <w:rPr>
                <w:rFonts w:hint="eastAsia" w:ascii="宋体" w:hAnsi="宋体" w:cs="宋体"/>
                <w:sz w:val="24"/>
                <w:lang w:val="en-US" w:eastAsia="zh-CN"/>
              </w:rPr>
              <w:t>性不足</w:t>
            </w:r>
            <w:r>
              <w:rPr>
                <w:rFonts w:hint="eastAsia" w:ascii="宋体" w:hAnsi="宋体" w:cs="宋体"/>
                <w:sz w:val="24"/>
              </w:rPr>
              <w:t>的得0-1分；方案安排较差</w:t>
            </w:r>
            <w:r>
              <w:rPr>
                <w:rFonts w:hint="eastAsia" w:ascii="宋体" w:hAnsi="宋体" w:cs="宋体"/>
                <w:sz w:val="24"/>
                <w:lang w:val="en-US" w:eastAsia="zh-CN"/>
              </w:rPr>
              <w:t>的不</w:t>
            </w:r>
            <w:r>
              <w:rPr>
                <w:rFonts w:hint="eastAsia" w:ascii="宋体" w:hAnsi="宋体" w:cs="宋体"/>
                <w:sz w:val="24"/>
              </w:rPr>
              <w:t>得分。</w:t>
            </w:r>
          </w:p>
        </w:tc>
        <w:tc>
          <w:tcPr>
            <w:tcW w:w="1156" w:type="dxa"/>
            <w:vAlign w:val="center"/>
          </w:tcPr>
          <w:p>
            <w:pPr>
              <w:spacing w:line="360" w:lineRule="auto"/>
              <w:jc w:val="center"/>
              <w:rPr>
                <w:rFonts w:ascii="宋体" w:hAnsi="宋体" w:cs="宋体"/>
                <w:color w:val="000000"/>
                <w:sz w:val="24"/>
              </w:rPr>
            </w:pPr>
            <w:r>
              <w:rPr>
                <w:rFonts w:hint="eastAsia" w:ascii="宋体" w:hAnsi="宋体" w:cs="宋体"/>
                <w:color w:val="000000"/>
                <w:sz w:val="24"/>
              </w:rPr>
              <w:t>0-2分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trPr>
        <w:tc>
          <w:tcPr>
            <w:tcW w:w="1529" w:type="dxa"/>
            <w:vAlign w:val="center"/>
          </w:tcPr>
          <w:p>
            <w:pPr>
              <w:widowControl/>
              <w:spacing w:line="360" w:lineRule="auto"/>
              <w:jc w:val="center"/>
              <w:rPr>
                <w:rFonts w:ascii="宋体" w:hAnsi="宋体" w:cs="宋体"/>
                <w:b/>
                <w:bCs/>
                <w:color w:val="000000"/>
                <w:sz w:val="24"/>
              </w:rPr>
            </w:pPr>
            <w:r>
              <w:rPr>
                <w:rFonts w:hint="eastAsia" w:ascii="宋体" w:hAnsi="宋体" w:cs="宋体"/>
                <w:b/>
                <w:bCs/>
                <w:sz w:val="24"/>
                <w:lang w:val="en-US" w:eastAsia="zh-CN"/>
              </w:rPr>
              <w:t>8</w:t>
            </w:r>
            <w:r>
              <w:rPr>
                <w:rFonts w:hint="eastAsia" w:ascii="宋体" w:hAnsi="宋体" w:cs="宋体"/>
                <w:b/>
                <w:bCs/>
                <w:sz w:val="24"/>
              </w:rPr>
              <w:t>、售后服务方案和保障</w:t>
            </w:r>
            <w:r>
              <w:rPr>
                <w:rFonts w:hint="eastAsia" w:ascii="宋体" w:hAnsi="宋体" w:cs="宋体"/>
                <w:b/>
                <w:bCs/>
                <w:sz w:val="24"/>
              </w:rPr>
              <w:t>能力</w:t>
            </w:r>
          </w:p>
        </w:tc>
        <w:tc>
          <w:tcPr>
            <w:tcW w:w="7266" w:type="dxa"/>
            <w:vAlign w:val="center"/>
          </w:tcPr>
          <w:p>
            <w:pPr>
              <w:pStyle w:val="19"/>
              <w:widowControl/>
              <w:spacing w:line="360" w:lineRule="auto"/>
              <w:ind w:firstLine="0" w:firstLineChars="0"/>
              <w:rPr>
                <w:rFonts w:ascii="宋体" w:hAnsi="宋体" w:cs="宋体"/>
                <w:color w:val="000000"/>
                <w:sz w:val="24"/>
              </w:rPr>
            </w:pPr>
            <w:r>
              <w:rPr>
                <w:rFonts w:hint="eastAsia" w:ascii="宋体" w:hAnsi="宋体" w:cs="宋体"/>
                <w:sz w:val="24"/>
              </w:rPr>
              <w:t>根据售后服务方案</w:t>
            </w:r>
            <w:r>
              <w:rPr>
                <w:rFonts w:hint="eastAsia" w:ascii="宋体" w:hAnsi="宋体" w:cs="宋体"/>
                <w:sz w:val="24"/>
                <w:lang w:val="en-US" w:eastAsia="zh-CN"/>
              </w:rPr>
              <w:t>完善性</w:t>
            </w:r>
            <w:r>
              <w:rPr>
                <w:rFonts w:hint="eastAsia" w:ascii="宋体" w:hAnsi="宋体" w:cs="宋体"/>
                <w:sz w:val="24"/>
              </w:rPr>
              <w:t>（0-1分）</w:t>
            </w:r>
            <w:r>
              <w:rPr>
                <w:rFonts w:hint="eastAsia" w:ascii="宋体" w:hAnsi="宋体" w:cs="宋体"/>
                <w:sz w:val="24"/>
                <w:lang w:val="en-US" w:eastAsia="zh-CN"/>
              </w:rPr>
              <w:t>和</w:t>
            </w:r>
            <w:r>
              <w:rPr>
                <w:rFonts w:hint="eastAsia" w:ascii="宋体" w:hAnsi="宋体" w:cs="宋体"/>
                <w:sz w:val="24"/>
              </w:rPr>
              <w:t>保障</w:t>
            </w:r>
            <w:r>
              <w:rPr>
                <w:rFonts w:hint="eastAsia" w:ascii="宋体" w:hAnsi="宋体" w:cs="宋体"/>
                <w:sz w:val="24"/>
                <w:lang w:val="en-US" w:eastAsia="zh-CN"/>
              </w:rPr>
              <w:t>能力</w:t>
            </w:r>
            <w:r>
              <w:rPr>
                <w:rFonts w:hint="eastAsia" w:ascii="宋体" w:hAnsi="宋体" w:cs="宋体"/>
                <w:sz w:val="24"/>
              </w:rPr>
              <w:t>措施</w:t>
            </w:r>
            <w:r>
              <w:rPr>
                <w:rFonts w:hint="eastAsia" w:ascii="宋体" w:hAnsi="宋体" w:cs="宋体"/>
                <w:sz w:val="24"/>
                <w:lang w:val="en-US" w:eastAsia="zh-CN"/>
              </w:rPr>
              <w:t>有效性</w:t>
            </w:r>
            <w:r>
              <w:rPr>
                <w:rFonts w:hint="eastAsia" w:ascii="宋体" w:hAnsi="宋体" w:cs="宋体"/>
                <w:sz w:val="24"/>
              </w:rPr>
              <w:t>及维护能力合理性（0-</w:t>
            </w:r>
            <w:r>
              <w:rPr>
                <w:rFonts w:hint="eastAsia" w:ascii="宋体" w:hAnsi="宋体" w:cs="宋体"/>
                <w:sz w:val="24"/>
                <w:lang w:val="en-US" w:eastAsia="zh-CN"/>
              </w:rPr>
              <w:t>1</w:t>
            </w:r>
            <w:r>
              <w:rPr>
                <w:rFonts w:hint="eastAsia" w:ascii="宋体" w:hAnsi="宋体" w:cs="宋体"/>
                <w:sz w:val="24"/>
              </w:rPr>
              <w:t>分）进行打分。</w:t>
            </w:r>
          </w:p>
        </w:tc>
        <w:tc>
          <w:tcPr>
            <w:tcW w:w="1156" w:type="dxa"/>
            <w:vAlign w:val="center"/>
          </w:tcPr>
          <w:p>
            <w:pPr>
              <w:spacing w:line="360" w:lineRule="auto"/>
              <w:jc w:val="center"/>
              <w:rPr>
                <w:rFonts w:ascii="宋体" w:hAnsi="宋体" w:cs="宋体"/>
                <w:color w:val="000000"/>
                <w:sz w:val="24"/>
              </w:rPr>
            </w:pPr>
            <w:r>
              <w:rPr>
                <w:rFonts w:hint="eastAsia" w:ascii="宋体" w:hAnsi="宋体" w:cs="宋体"/>
                <w:sz w:val="24"/>
              </w:rPr>
              <w:t>0-2分</w:t>
            </w:r>
          </w:p>
        </w:tc>
      </w:tr>
    </w:tbl>
    <w:p>
      <w:pPr>
        <w:pStyle w:val="25"/>
        <w:spacing w:line="600" w:lineRule="exact"/>
        <w:ind w:firstLine="482"/>
        <w:rPr>
          <w:rFonts w:cs="宋体"/>
          <w:b/>
          <w:bCs/>
          <w:color w:val="000000"/>
        </w:rPr>
      </w:pPr>
      <w:r>
        <w:rPr>
          <w:rFonts w:hint="eastAsia" w:cs="宋体"/>
          <w:b/>
          <w:bCs/>
          <w:color w:val="000000"/>
        </w:rPr>
        <w:t>商务分（</w:t>
      </w:r>
      <w:r>
        <w:rPr>
          <w:rFonts w:hint="eastAsia" w:cs="宋体"/>
          <w:b/>
          <w:bCs/>
          <w:color w:val="000000"/>
          <w:lang w:val="en-US" w:eastAsia="zh-CN"/>
        </w:rPr>
        <w:t>7</w:t>
      </w:r>
      <w:r>
        <w:rPr>
          <w:rFonts w:hint="eastAsia" w:cs="宋体"/>
          <w:b/>
          <w:bCs/>
          <w:color w:val="000000"/>
        </w:rPr>
        <w:t>分）：</w:t>
      </w:r>
    </w:p>
    <w:tbl>
      <w:tblPr>
        <w:tblStyle w:val="63"/>
        <w:tblW w:w="9758" w:type="dxa"/>
        <w:tblInd w:w="-72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50"/>
        <w:gridCol w:w="7332"/>
        <w:gridCol w:w="97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7" w:hRule="atLeast"/>
        </w:trPr>
        <w:tc>
          <w:tcPr>
            <w:tcW w:w="1450" w:type="dxa"/>
            <w:vAlign w:val="bottom"/>
          </w:tcPr>
          <w:p>
            <w:pPr>
              <w:spacing w:line="360" w:lineRule="auto"/>
              <w:jc w:val="center"/>
              <w:rPr>
                <w:rFonts w:ascii="宋体" w:hAnsi="宋体" w:cs="宋体"/>
                <w:b/>
                <w:bCs/>
                <w:color w:val="000000"/>
                <w:sz w:val="24"/>
              </w:rPr>
            </w:pPr>
            <w:r>
              <w:rPr>
                <w:rFonts w:hint="eastAsia" w:ascii="宋体" w:hAnsi="宋体" w:cs="宋体"/>
                <w:b/>
                <w:bCs/>
                <w:sz w:val="24"/>
              </w:rPr>
              <w:t>评分内容</w:t>
            </w:r>
          </w:p>
        </w:tc>
        <w:tc>
          <w:tcPr>
            <w:tcW w:w="7332" w:type="dxa"/>
            <w:vAlign w:val="bottom"/>
          </w:tcPr>
          <w:p>
            <w:pPr>
              <w:spacing w:line="360" w:lineRule="auto"/>
              <w:jc w:val="center"/>
              <w:rPr>
                <w:rFonts w:ascii="宋体" w:hAnsi="宋体" w:cs="宋体"/>
                <w:b/>
                <w:bCs/>
                <w:color w:val="000000"/>
                <w:sz w:val="24"/>
              </w:rPr>
            </w:pPr>
            <w:r>
              <w:rPr>
                <w:rFonts w:hint="eastAsia" w:ascii="宋体" w:hAnsi="宋体" w:cs="宋体"/>
                <w:b/>
                <w:bCs/>
                <w:sz w:val="24"/>
              </w:rPr>
              <w:t>评分细则内容</w:t>
            </w:r>
          </w:p>
        </w:tc>
        <w:tc>
          <w:tcPr>
            <w:tcW w:w="976" w:type="dxa"/>
            <w:vAlign w:val="bottom"/>
          </w:tcPr>
          <w:p>
            <w:pPr>
              <w:spacing w:line="360" w:lineRule="auto"/>
              <w:jc w:val="center"/>
              <w:rPr>
                <w:rFonts w:ascii="宋体" w:hAnsi="宋体" w:cs="宋体"/>
                <w:b/>
                <w:bCs/>
                <w:color w:val="000000"/>
                <w:sz w:val="24"/>
              </w:rPr>
            </w:pPr>
            <w:r>
              <w:rPr>
                <w:rFonts w:hint="eastAsia" w:ascii="宋体" w:hAnsi="宋体" w:cs="宋体"/>
                <w:b/>
                <w:bCs/>
                <w:sz w:val="24"/>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84" w:hRule="atLeast"/>
        </w:trPr>
        <w:tc>
          <w:tcPr>
            <w:tcW w:w="1450" w:type="dxa"/>
            <w:vAlign w:val="center"/>
          </w:tcPr>
          <w:p>
            <w:pPr>
              <w:spacing w:line="360" w:lineRule="auto"/>
              <w:jc w:val="center"/>
              <w:rPr>
                <w:rFonts w:ascii="宋体" w:hAnsi="宋体" w:cs="宋体"/>
                <w:color w:val="000000"/>
                <w:sz w:val="24"/>
              </w:rPr>
            </w:pPr>
            <w:r>
              <w:rPr>
                <w:rFonts w:hint="eastAsia" w:ascii="宋体" w:hAnsi="宋体" w:cs="宋体"/>
                <w:color w:val="000000"/>
                <w:sz w:val="24"/>
                <w:lang w:val="en-US" w:eastAsia="zh-CN"/>
              </w:rPr>
              <w:t>1</w:t>
            </w:r>
            <w:r>
              <w:rPr>
                <w:rFonts w:hint="eastAsia" w:ascii="宋体" w:hAnsi="宋体" w:cs="宋体"/>
                <w:color w:val="000000"/>
                <w:sz w:val="24"/>
              </w:rPr>
              <w:t>、</w:t>
            </w:r>
            <w:r>
              <w:rPr>
                <w:rFonts w:hint="eastAsia" w:ascii="宋体" w:hAnsi="宋体" w:cs="宋体"/>
                <w:b/>
                <w:bCs/>
                <w:color w:val="000000"/>
                <w:sz w:val="24"/>
              </w:rPr>
              <w:t>类似案例经验业绩</w:t>
            </w:r>
          </w:p>
        </w:tc>
        <w:tc>
          <w:tcPr>
            <w:tcW w:w="7332" w:type="dxa"/>
            <w:vAlign w:val="center"/>
          </w:tcPr>
          <w:p>
            <w:pPr>
              <w:spacing w:line="360" w:lineRule="auto"/>
              <w:jc w:val="left"/>
              <w:rPr>
                <w:rFonts w:ascii="宋体" w:hAnsi="宋体" w:cs="宋体"/>
                <w:color w:val="000000"/>
                <w:sz w:val="24"/>
              </w:rPr>
            </w:pPr>
            <w:r>
              <w:rPr>
                <w:rFonts w:hint="eastAsia" w:ascii="宋体" w:hAnsi="宋体" w:cs="宋体"/>
                <w:color w:val="000000"/>
                <w:sz w:val="24"/>
              </w:rPr>
              <w:t>投标人自2020年1月1日（含）以来（以合同签订时间为准）承担过类似项目销售成功案例，每提供一个案例得0.5分，最多得3分；</w:t>
            </w:r>
          </w:p>
          <w:p>
            <w:pPr>
              <w:spacing w:line="360" w:lineRule="auto"/>
              <w:jc w:val="left"/>
              <w:rPr>
                <w:rFonts w:ascii="宋体" w:hAnsi="宋体" w:cs="宋体"/>
                <w:color w:val="000000"/>
                <w:sz w:val="24"/>
              </w:rPr>
            </w:pPr>
            <w:r>
              <w:rPr>
                <w:rFonts w:hint="eastAsia" w:ascii="宋体" w:hAnsi="宋体" w:cs="宋体"/>
                <w:b w:val="0"/>
                <w:bCs w:val="0"/>
                <w:sz w:val="24"/>
                <w:lang w:val="en-US" w:eastAsia="zh-CN"/>
              </w:rPr>
              <w:t>注：</w:t>
            </w:r>
            <w:r>
              <w:rPr>
                <w:rFonts w:hint="eastAsia" w:ascii="宋体" w:hAnsi="宋体" w:cs="宋体"/>
                <w:b w:val="0"/>
                <w:bCs w:val="0"/>
                <w:sz w:val="24"/>
              </w:rPr>
              <w:t>投标文件中必须同时提供项目中标通知书、项目合同复印件或扫描件加盖投标人公章</w:t>
            </w:r>
            <w:r>
              <w:rPr>
                <w:rFonts w:hint="eastAsia" w:ascii="宋体" w:hAnsi="宋体" w:cs="宋体"/>
                <w:b w:val="0"/>
                <w:bCs w:val="0"/>
                <w:sz w:val="24"/>
                <w:lang w:eastAsia="zh-CN"/>
              </w:rPr>
              <w:t>，</w:t>
            </w:r>
            <w:r>
              <w:rPr>
                <w:rFonts w:hint="eastAsia" w:ascii="宋体" w:hAnsi="宋体" w:cs="宋体"/>
                <w:b w:val="0"/>
                <w:bCs w:val="0"/>
                <w:color w:val="000000"/>
                <w:sz w:val="24"/>
              </w:rPr>
              <w:t>否则不予认可。</w:t>
            </w:r>
          </w:p>
        </w:tc>
        <w:tc>
          <w:tcPr>
            <w:tcW w:w="976" w:type="dxa"/>
            <w:vAlign w:val="center"/>
          </w:tcPr>
          <w:p>
            <w:pPr>
              <w:spacing w:line="360" w:lineRule="auto"/>
              <w:jc w:val="center"/>
              <w:rPr>
                <w:rFonts w:ascii="宋体" w:hAnsi="宋体" w:cs="宋体"/>
                <w:color w:val="000000"/>
                <w:sz w:val="24"/>
              </w:rPr>
            </w:pPr>
            <w:r>
              <w:rPr>
                <w:rFonts w:hint="eastAsia" w:ascii="宋体" w:hAnsi="宋体" w:cs="宋体"/>
                <w:color w:val="000000"/>
                <w:sz w:val="24"/>
              </w:rPr>
              <w:t>0-3分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67" w:hRule="atLeast"/>
        </w:trPr>
        <w:tc>
          <w:tcPr>
            <w:tcW w:w="1450" w:type="dxa"/>
            <w:vAlign w:val="center"/>
          </w:tcPr>
          <w:p>
            <w:pPr>
              <w:spacing w:line="360" w:lineRule="auto"/>
              <w:jc w:val="center"/>
              <w:rPr>
                <w:rFonts w:hint="eastAsia" w:ascii="宋体" w:hAnsi="宋体" w:eastAsia="宋体" w:cs="宋体"/>
                <w:color w:val="000000"/>
                <w:kern w:val="2"/>
                <w:sz w:val="24"/>
                <w:szCs w:val="24"/>
                <w:lang w:val="en-US" w:eastAsia="zh-CN" w:bidi="ar-SA"/>
              </w:rPr>
            </w:pPr>
            <w:r>
              <w:rPr>
                <w:rFonts w:hint="eastAsia" w:ascii="宋体" w:hAnsi="宋体" w:cs="宋体"/>
                <w:color w:val="000000"/>
                <w:sz w:val="24"/>
                <w:lang w:val="en-US" w:eastAsia="zh-CN"/>
              </w:rPr>
              <w:t>2</w:t>
            </w:r>
            <w:r>
              <w:rPr>
                <w:rFonts w:hint="eastAsia" w:ascii="宋体" w:hAnsi="宋体" w:cs="宋体"/>
                <w:color w:val="000000"/>
                <w:sz w:val="24"/>
              </w:rPr>
              <w:t>、</w:t>
            </w:r>
            <w:r>
              <w:rPr>
                <w:rFonts w:hint="eastAsia" w:ascii="宋体" w:hAnsi="宋体" w:cs="宋体"/>
                <w:b/>
                <w:bCs/>
                <w:color w:val="000000"/>
                <w:sz w:val="24"/>
              </w:rPr>
              <w:t>拟派项目组人员</w:t>
            </w:r>
            <w:r>
              <w:rPr>
                <w:rFonts w:hint="eastAsia" w:ascii="宋体" w:hAnsi="宋体" w:cs="宋体"/>
                <w:b/>
                <w:bCs/>
                <w:color w:val="000000"/>
                <w:sz w:val="24"/>
                <w:lang w:val="en-US" w:eastAsia="zh-CN"/>
              </w:rPr>
              <w:t>配置</w:t>
            </w:r>
          </w:p>
        </w:tc>
        <w:tc>
          <w:tcPr>
            <w:tcW w:w="7332" w:type="dxa"/>
            <w:vAlign w:val="center"/>
          </w:tcPr>
          <w:p>
            <w:pPr>
              <w:spacing w:line="360" w:lineRule="auto"/>
              <w:jc w:val="left"/>
              <w:rPr>
                <w:rFonts w:ascii="宋体" w:hAnsi="宋体" w:cs="宋体"/>
                <w:color w:val="000000"/>
                <w:sz w:val="24"/>
              </w:rPr>
            </w:pPr>
            <w:bookmarkStart w:id="419" w:name="_GoBack"/>
            <w:r>
              <w:rPr>
                <w:rFonts w:hint="eastAsia" w:ascii="宋体" w:hAnsi="宋体" w:cs="宋体"/>
                <w:color w:val="000000"/>
                <w:sz w:val="24"/>
                <w:lang w:eastAsia="zh-CN"/>
              </w:rPr>
              <w:t>（</w:t>
            </w:r>
            <w:r>
              <w:rPr>
                <w:rFonts w:hint="eastAsia" w:ascii="宋体" w:hAnsi="宋体" w:cs="宋体"/>
                <w:color w:val="000000"/>
                <w:sz w:val="24"/>
              </w:rPr>
              <w:t>1）具有机械类或助理燃气工程师</w:t>
            </w:r>
            <w:r>
              <w:rPr>
                <w:rFonts w:hint="eastAsia" w:ascii="宋体" w:hAnsi="宋体" w:cs="宋体"/>
                <w:color w:val="000000"/>
                <w:sz w:val="24"/>
                <w:lang w:val="en-US" w:eastAsia="zh-CN"/>
              </w:rPr>
              <w:t>职称证书</w:t>
            </w:r>
            <w:r>
              <w:rPr>
                <w:rFonts w:hint="eastAsia" w:ascii="宋体" w:hAnsi="宋体" w:cs="宋体"/>
                <w:color w:val="000000"/>
                <w:sz w:val="24"/>
              </w:rPr>
              <w:t>的，每提供一份得0.5分，最高得2分；</w:t>
            </w:r>
          </w:p>
          <w:p>
            <w:pPr>
              <w:spacing w:line="360" w:lineRule="auto"/>
              <w:jc w:val="left"/>
              <w:rPr>
                <w:rFonts w:ascii="宋体" w:hAnsi="宋体" w:cs="宋体"/>
                <w:color w:val="000000"/>
                <w:sz w:val="24"/>
              </w:rPr>
            </w:pPr>
            <w:r>
              <w:rPr>
                <w:rFonts w:hint="eastAsia" w:ascii="宋体" w:hAnsi="宋体" w:cs="宋体"/>
                <w:color w:val="000000"/>
                <w:sz w:val="24"/>
                <w:lang w:eastAsia="zh-CN"/>
              </w:rPr>
              <w:t>（</w:t>
            </w:r>
            <w:r>
              <w:rPr>
                <w:rFonts w:hint="eastAsia" w:ascii="宋体" w:hAnsi="宋体" w:cs="宋体"/>
                <w:color w:val="000000"/>
                <w:sz w:val="24"/>
              </w:rPr>
              <w:t>2）具有焊接与热切割作业</w:t>
            </w:r>
            <w:r>
              <w:rPr>
                <w:rFonts w:hint="eastAsia" w:ascii="宋体" w:hAnsi="宋体" w:cs="宋体"/>
                <w:color w:val="000000"/>
                <w:sz w:val="24"/>
                <w:lang w:val="en-US" w:eastAsia="zh-CN"/>
              </w:rPr>
              <w:t>职业</w:t>
            </w:r>
            <w:r>
              <w:rPr>
                <w:rFonts w:hint="eastAsia" w:ascii="宋体" w:hAnsi="宋体" w:cs="宋体"/>
                <w:color w:val="000000"/>
                <w:sz w:val="24"/>
              </w:rPr>
              <w:t>证书的，每提供一份得0.5分，最多得2分；</w:t>
            </w:r>
          </w:p>
          <w:p>
            <w:pPr>
              <w:spacing w:line="360" w:lineRule="auto"/>
              <w:jc w:val="left"/>
              <w:rPr>
                <w:rFonts w:hint="eastAsia" w:ascii="宋体" w:hAnsi="宋体" w:eastAsia="宋体" w:cs="宋体"/>
                <w:b/>
                <w:bCs/>
                <w:kern w:val="2"/>
                <w:sz w:val="24"/>
                <w:szCs w:val="24"/>
                <w:lang w:val="en-US" w:eastAsia="zh-CN" w:bidi="ar-SA"/>
              </w:rPr>
            </w:pPr>
            <w:r>
              <w:rPr>
                <w:rFonts w:hint="eastAsia" w:ascii="宋体" w:hAnsi="宋体" w:cs="宋体"/>
                <w:b w:val="0"/>
                <w:bCs w:val="0"/>
                <w:sz w:val="24"/>
                <w:lang w:val="en-US" w:eastAsia="zh-CN"/>
              </w:rPr>
              <w:t>注：</w:t>
            </w:r>
            <w:r>
              <w:rPr>
                <w:rFonts w:hint="eastAsia" w:ascii="宋体" w:hAnsi="宋体" w:cs="宋体"/>
                <w:color w:val="000000"/>
                <w:sz w:val="24"/>
              </w:rPr>
              <w:t>投标文件中同时提供人员证书复印件加盖投标人公章和近3个月的社保缴纳证明复印件加盖投标人公章，否则不得分</w:t>
            </w:r>
            <w:r>
              <w:rPr>
                <w:rFonts w:hint="eastAsia" w:ascii="宋体" w:hAnsi="宋体" w:cs="宋体"/>
                <w:color w:val="000000"/>
                <w:sz w:val="24"/>
                <w:lang w:eastAsia="zh-CN"/>
              </w:rPr>
              <w:t>。</w:t>
            </w:r>
            <w:bookmarkEnd w:id="419"/>
          </w:p>
        </w:tc>
        <w:tc>
          <w:tcPr>
            <w:tcW w:w="976" w:type="dxa"/>
            <w:vAlign w:val="center"/>
          </w:tcPr>
          <w:p>
            <w:pPr>
              <w:spacing w:line="360" w:lineRule="auto"/>
              <w:jc w:val="center"/>
              <w:rPr>
                <w:rFonts w:hint="eastAsia" w:ascii="宋体" w:hAnsi="宋体" w:eastAsia="宋体" w:cs="宋体"/>
                <w:color w:val="000000"/>
                <w:kern w:val="2"/>
                <w:sz w:val="24"/>
                <w:szCs w:val="24"/>
                <w:lang w:val="en-US" w:eastAsia="zh-CN" w:bidi="ar-SA"/>
              </w:rPr>
            </w:pPr>
            <w:r>
              <w:rPr>
                <w:rFonts w:hint="eastAsia" w:ascii="宋体" w:hAnsi="宋体" w:cs="宋体"/>
                <w:color w:val="000000"/>
                <w:sz w:val="24"/>
              </w:rPr>
              <w:t>0-4分</w:t>
            </w:r>
          </w:p>
        </w:tc>
      </w:tr>
    </w:tbl>
    <w:p>
      <w:pPr>
        <w:pStyle w:val="94"/>
        <w:spacing w:before="0"/>
        <w:ind w:firstLine="482"/>
        <w:rPr>
          <w:rFonts w:ascii="仿宋" w:hAnsi="仿宋" w:eastAsia="仿宋" w:cs="仿宋"/>
          <w:b/>
          <w:bCs/>
          <w:color w:val="000000" w:themeColor="text1"/>
          <w:kern w:val="0"/>
          <w:szCs w:val="24"/>
          <w14:textFill>
            <w14:solidFill>
              <w14:schemeClr w14:val="tx1"/>
            </w14:solidFill>
          </w14:textFill>
        </w:rPr>
      </w:pPr>
      <w:r>
        <w:rPr>
          <w:rFonts w:hint="eastAsia" w:ascii="仿宋" w:hAnsi="仿宋" w:eastAsia="仿宋" w:cs="仿宋"/>
          <w:b/>
          <w:bCs/>
          <w:color w:val="000000" w:themeColor="text1"/>
          <w:kern w:val="0"/>
          <w:szCs w:val="24"/>
          <w14:textFill>
            <w14:solidFill>
              <w14:schemeClr w14:val="tx1"/>
            </w14:solidFill>
          </w14:textFill>
        </w:rPr>
        <w:t>备注：投标人编制投标文件（商务技术文件部分）时，建议按此目录（序号和内容）提供评标标准相应的商务技术资料。 </w:t>
      </w:r>
    </w:p>
    <w:p>
      <w:pPr>
        <w:spacing w:line="360" w:lineRule="auto"/>
        <w:ind w:firstLine="482" w:firstLineChars="200"/>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2、技术分+商务分=评标委员会所有成员评分合计数/评标委员会组成人员数（精确到小数点后二位）；</w:t>
      </w:r>
    </w:p>
    <w:p>
      <w:pPr>
        <w:spacing w:line="360" w:lineRule="auto"/>
        <w:ind w:firstLine="482"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3、价格分（30分）</w:t>
      </w:r>
      <w:r>
        <w:rPr>
          <w:rFonts w:hint="eastAsia" w:ascii="仿宋" w:hAnsi="仿宋" w:eastAsia="仿宋" w:cs="仿宋"/>
          <w:color w:val="000000" w:themeColor="text1"/>
          <w:sz w:val="24"/>
          <w14:textFill>
            <w14:solidFill>
              <w14:schemeClr w14:val="tx1"/>
            </w14:solidFill>
          </w14:textFill>
        </w:rPr>
        <w:t>采用低价优先法计算，即满足招标文件要求且投标价格最低的投标报价为评标基准价，其他投标人的价格分按照下列公式计算：价格分=（评标基准价/投标报价）×30%×100（精确到小数点后二位）；</w:t>
      </w:r>
    </w:p>
    <w:p>
      <w:pPr>
        <w:spacing w:line="360" w:lineRule="auto"/>
        <w:ind w:firstLine="482" w:firstLineChars="200"/>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4、投标人评标综合得分=技术分+商务分+价格分（精确到小数点后二位）；</w:t>
      </w:r>
    </w:p>
    <w:p>
      <w:pPr>
        <w:spacing w:line="360" w:lineRule="auto"/>
        <w:ind w:firstLine="472" w:firstLineChars="196"/>
        <w:rPr>
          <w:rFonts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报价是中标的一个重要因素，但最低报价不是中标的唯一依据。</w:t>
      </w:r>
    </w:p>
    <w:p>
      <w:pPr>
        <w:pStyle w:val="80"/>
        <w:rPr>
          <w:rFonts w:ascii="仿宋" w:hAnsi="仿宋" w:eastAsia="仿宋" w:cs="仿宋"/>
        </w:rPr>
      </w:pPr>
    </w:p>
    <w:p>
      <w:pPr>
        <w:pStyle w:val="80"/>
        <w:rPr>
          <w:rFonts w:ascii="仿宋" w:hAnsi="仿宋" w:eastAsia="仿宋" w:cs="仿宋"/>
        </w:rPr>
      </w:pPr>
    </w:p>
    <w:p>
      <w:pPr>
        <w:pStyle w:val="80"/>
        <w:rPr>
          <w:rFonts w:ascii="仿宋" w:hAnsi="仿宋" w:eastAsia="仿宋" w:cs="仿宋"/>
        </w:rPr>
      </w:pPr>
    </w:p>
    <w:p>
      <w:pPr>
        <w:snapToGrid w:val="0"/>
        <w:spacing w:line="360" w:lineRule="auto"/>
        <w:rPr>
          <w:rFonts w:ascii="仿宋" w:hAnsi="仿宋" w:eastAsia="仿宋" w:cs="仿宋"/>
          <w:b/>
          <w:sz w:val="28"/>
          <w:szCs w:val="28"/>
        </w:rPr>
      </w:pPr>
      <w:r>
        <w:rPr>
          <w:rFonts w:hint="eastAsia" w:ascii="仿宋" w:hAnsi="仿宋" w:eastAsia="仿宋" w:cs="仿宋"/>
          <w:b/>
          <w:sz w:val="32"/>
        </w:rPr>
        <w:t>一、评标方法</w:t>
      </w:r>
    </w:p>
    <w:p>
      <w:pPr>
        <w:adjustRightInd/>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仿宋" w:hAnsi="仿宋" w:eastAsia="仿宋" w:cs="仿宋"/>
          <w:kern w:val="0"/>
          <w:sz w:val="24"/>
        </w:rPr>
      </w:pPr>
      <w:r>
        <w:rPr>
          <w:rFonts w:hint="eastAsia" w:ascii="仿宋" w:hAnsi="仿宋" w:eastAsia="仿宋" w:cs="仿宋"/>
          <w:b/>
          <w:sz w:val="32"/>
        </w:rPr>
        <w:t>二、评标标准</w:t>
      </w:r>
    </w:p>
    <w:p>
      <w:pPr>
        <w:spacing w:line="360" w:lineRule="auto"/>
        <w:ind w:firstLine="472" w:firstLineChars="196"/>
        <w:rPr>
          <w:rFonts w:ascii="仿宋" w:hAnsi="仿宋" w:eastAsia="仿宋" w:cs="仿宋"/>
          <w:b/>
          <w:sz w:val="24"/>
        </w:rPr>
      </w:pPr>
      <w:r>
        <w:rPr>
          <w:rFonts w:hint="eastAsia" w:ascii="仿宋" w:hAnsi="仿宋" w:eastAsia="仿宋" w:cs="仿宋"/>
          <w:b/>
          <w:sz w:val="24"/>
        </w:rPr>
        <w:t>2.</w:t>
      </w:r>
      <w:r>
        <w:rPr>
          <w:rFonts w:hint="eastAsia" w:ascii="仿宋" w:hAnsi="仿宋" w:eastAsia="仿宋" w:cs="仿宋"/>
        </w:rPr>
        <w:t xml:space="preserve"> </w:t>
      </w:r>
      <w:r>
        <w:rPr>
          <w:rFonts w:hint="eastAsia" w:ascii="仿宋" w:hAnsi="仿宋" w:eastAsia="仿宋" w:cs="仿宋"/>
          <w:b/>
          <w:sz w:val="24"/>
        </w:rPr>
        <w:t>评标标准：</w:t>
      </w:r>
      <w:r>
        <w:rPr>
          <w:rFonts w:hint="eastAsia" w:ascii="仿宋" w:hAnsi="仿宋" w:eastAsia="仿宋" w:cs="仿宋"/>
          <w:kern w:val="0"/>
          <w:sz w:val="24"/>
        </w:rPr>
        <w:t>见评标办法前附表。</w:t>
      </w:r>
    </w:p>
    <w:p>
      <w:pPr>
        <w:spacing w:line="360" w:lineRule="auto"/>
        <w:outlineLvl w:val="0"/>
        <w:rPr>
          <w:rFonts w:ascii="仿宋" w:hAnsi="仿宋" w:eastAsia="仿宋" w:cs="仿宋"/>
          <w:b/>
          <w:sz w:val="36"/>
          <w:szCs w:val="36"/>
        </w:rPr>
      </w:pPr>
      <w:r>
        <w:rPr>
          <w:rFonts w:hint="eastAsia" w:ascii="仿宋" w:hAnsi="仿宋" w:eastAsia="仿宋" w:cs="仿宋"/>
          <w:b/>
          <w:sz w:val="36"/>
          <w:szCs w:val="36"/>
        </w:rPr>
        <w:t>三、评标程序</w:t>
      </w:r>
    </w:p>
    <w:p>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评标委员会各成员应当独立对每个投标人的商务和技术文件进行评价，并汇总商务技术得分情况。</w:t>
      </w:r>
    </w:p>
    <w:p>
      <w:pPr>
        <w:spacing w:line="360" w:lineRule="auto"/>
        <w:ind w:firstLine="472" w:firstLineChars="196"/>
        <w:rPr>
          <w:rFonts w:ascii="仿宋" w:hAnsi="仿宋" w:eastAsia="仿宋" w:cs="仿宋"/>
          <w:b/>
          <w:kern w:val="0"/>
          <w:sz w:val="24"/>
        </w:rPr>
      </w:pPr>
      <w:r>
        <w:rPr>
          <w:rFonts w:hint="eastAsia" w:ascii="仿宋" w:hAnsi="仿宋" w:eastAsia="仿宋" w:cs="仿宋"/>
          <w:b/>
          <w:kern w:val="0"/>
          <w:sz w:val="24"/>
        </w:rPr>
        <w:t>3.4报价评审。</w:t>
      </w:r>
    </w:p>
    <w:p>
      <w:pPr>
        <w:pStyle w:val="94"/>
        <w:spacing w:before="0"/>
        <w:ind w:firstLine="508" w:firstLineChars="212"/>
        <w:rPr>
          <w:rFonts w:ascii="仿宋" w:hAnsi="仿宋" w:eastAsia="仿宋" w:cs="仿宋"/>
          <w:kern w:val="0"/>
        </w:rPr>
      </w:pPr>
      <w:r>
        <w:rPr>
          <w:rFonts w:hint="eastAsia" w:ascii="仿宋" w:hAnsi="仿宋" w:eastAsia="仿宋" w:cs="仿宋"/>
          <w:kern w:val="0"/>
        </w:rPr>
        <w:t>3.4.1投标文件报价出现前后不一致的，按照下列规定修正：</w:t>
      </w:r>
    </w:p>
    <w:p>
      <w:pPr>
        <w:pStyle w:val="94"/>
        <w:spacing w:before="0"/>
        <w:ind w:firstLine="480"/>
        <w:rPr>
          <w:rFonts w:ascii="仿宋" w:hAnsi="仿宋" w:eastAsia="仿宋" w:cs="仿宋"/>
          <w:kern w:val="0"/>
          <w:szCs w:val="24"/>
        </w:rPr>
      </w:pPr>
      <w:r>
        <w:rPr>
          <w:rFonts w:hint="eastAsia" w:ascii="仿宋" w:hAnsi="仿宋" w:eastAsia="仿宋" w:cs="仿宋"/>
          <w:kern w:val="0"/>
          <w:szCs w:val="24"/>
        </w:rPr>
        <w:t>3.4.1.1投标文件中开标一览表(报价表)内容与投标文件中相应内容不一致的，以开标一览表(报价表)为准;</w:t>
      </w:r>
    </w:p>
    <w:p>
      <w:pPr>
        <w:pStyle w:val="94"/>
        <w:spacing w:before="0"/>
        <w:ind w:firstLine="480"/>
        <w:rPr>
          <w:rFonts w:ascii="仿宋" w:hAnsi="仿宋" w:eastAsia="仿宋" w:cs="仿宋"/>
          <w:kern w:val="0"/>
          <w:szCs w:val="24"/>
        </w:rPr>
      </w:pPr>
      <w:r>
        <w:rPr>
          <w:rFonts w:hint="eastAsia" w:ascii="仿宋" w:hAnsi="仿宋" w:eastAsia="仿宋" w:cs="仿宋"/>
          <w:kern w:val="0"/>
          <w:szCs w:val="24"/>
        </w:rPr>
        <w:t>3.4.1.2大写金额和小写金额不一致的，以大写金额为准;</w:t>
      </w:r>
    </w:p>
    <w:p>
      <w:pPr>
        <w:pStyle w:val="94"/>
        <w:spacing w:before="0"/>
        <w:ind w:firstLine="480"/>
        <w:rPr>
          <w:rFonts w:ascii="仿宋" w:hAnsi="仿宋" w:eastAsia="仿宋" w:cs="仿宋"/>
          <w:kern w:val="0"/>
          <w:szCs w:val="24"/>
        </w:rPr>
      </w:pPr>
      <w:r>
        <w:rPr>
          <w:rFonts w:hint="eastAsia" w:ascii="仿宋" w:hAnsi="仿宋" w:eastAsia="仿宋" w:cs="仿宋"/>
          <w:kern w:val="0"/>
          <w:szCs w:val="24"/>
        </w:rPr>
        <w:t>3.4.1.3单价金额小数点或者百分比有明显错位的，以开标一览表的总价为准，并修改单价;</w:t>
      </w:r>
    </w:p>
    <w:p>
      <w:pPr>
        <w:pStyle w:val="94"/>
        <w:spacing w:before="0"/>
        <w:ind w:firstLine="480"/>
        <w:rPr>
          <w:rFonts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pPr>
        <w:pStyle w:val="94"/>
        <w:spacing w:before="0"/>
        <w:ind w:firstLine="480"/>
        <w:rPr>
          <w:rFonts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3.4.2投标文件出现不是唯一的、有选择性投标报价的，投标无效。</w:t>
      </w:r>
    </w:p>
    <w:p>
      <w:pPr>
        <w:snapToGrid w:val="0"/>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3.4.3投标报价超过招标文件中规定的预算金额或者最高限价的，投标无效。</w:t>
      </w:r>
    </w:p>
    <w:p>
      <w:pPr>
        <w:pStyle w:val="94"/>
        <w:spacing w:before="0"/>
        <w:ind w:firstLine="480"/>
        <w:rPr>
          <w:rFonts w:ascii="仿宋" w:hAnsi="仿宋" w:eastAsia="仿宋" w:cs="仿宋"/>
          <w:kern w:val="0"/>
          <w:szCs w:val="24"/>
        </w:rPr>
      </w:pPr>
      <w:r>
        <w:rPr>
          <w:rFonts w:hint="eastAsia" w:ascii="仿宋" w:hAnsi="仿宋" w:eastAsia="仿宋" w:cs="仿宋"/>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94"/>
        <w:spacing w:before="0"/>
        <w:ind w:firstLine="480"/>
        <w:rPr>
          <w:rFonts w:hint="eastAsia" w:ascii="仿宋" w:hAnsi="仿宋" w:eastAsia="仿宋" w:cs="仿宋"/>
          <w:kern w:val="0"/>
          <w:szCs w:val="24"/>
        </w:rPr>
      </w:pPr>
      <w:r>
        <w:rPr>
          <w:rFonts w:hint="eastAsia" w:ascii="仿宋" w:hAnsi="仿宋" w:eastAsia="仿宋" w:cs="仿宋"/>
          <w:color w:val="000000" w:themeColor="text1"/>
          <w:kern w:val="0"/>
          <w:szCs w:val="24"/>
          <w14:textFill>
            <w14:solidFill>
              <w14:schemeClr w14:val="tx1"/>
            </w14:solidFill>
          </w14:textFill>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w:t>
      </w:r>
      <w:r>
        <w:rPr>
          <w:rFonts w:hint="eastAsia" w:ascii="仿宋" w:hAnsi="仿宋" w:eastAsia="仿宋" w:cs="仿宋"/>
          <w:kern w:val="0"/>
          <w:szCs w:val="24"/>
        </w:rPr>
        <w:t>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pStyle w:val="94"/>
        <w:tabs>
          <w:tab w:val="left" w:pos="432"/>
        </w:tabs>
        <w:spacing w:before="0"/>
        <w:ind w:firstLine="480" w:firstLineChars="0"/>
        <w:rPr>
          <w:rFonts w:hint="eastAsia" w:ascii="仿宋" w:hAnsi="仿宋" w:eastAsia="仿宋" w:cs="仿宋"/>
          <w:kern w:val="0"/>
          <w:szCs w:val="24"/>
        </w:rPr>
      </w:pPr>
      <w:r>
        <w:rPr>
          <w:rFonts w:hint="default" w:ascii="仿宋" w:hAnsi="仿宋" w:eastAsia="仿宋" w:cs="仿宋"/>
          <w:b/>
          <w:bCs/>
          <w:kern w:val="0"/>
          <w:sz w:val="24"/>
          <w:szCs w:val="24"/>
          <w:lang w:val="en-US" w:eastAsia="zh-CN"/>
        </w:rPr>
        <w:t>本项目为专门面向中小企业采购，</w:t>
      </w:r>
      <w:r>
        <w:rPr>
          <w:rFonts w:hint="default" w:ascii="仿宋" w:hAnsi="仿宋" w:eastAsia="仿宋" w:cs="仿宋"/>
          <w:b/>
          <w:bCs/>
          <w:kern w:val="0"/>
          <w:sz w:val="24"/>
          <w:szCs w:val="24"/>
        </w:rPr>
        <w:t>对小型和微型企业的投标报价</w:t>
      </w:r>
      <w:r>
        <w:rPr>
          <w:rFonts w:hint="default" w:ascii="仿宋" w:hAnsi="仿宋" w:eastAsia="仿宋" w:cs="仿宋"/>
          <w:b/>
          <w:bCs/>
          <w:kern w:val="0"/>
          <w:sz w:val="24"/>
          <w:szCs w:val="24"/>
          <w:lang w:val="en-US" w:eastAsia="zh-CN"/>
        </w:rPr>
        <w:t>不</w:t>
      </w:r>
      <w:r>
        <w:rPr>
          <w:rFonts w:hint="default" w:ascii="仿宋" w:hAnsi="仿宋" w:eastAsia="仿宋" w:cs="仿宋"/>
          <w:b/>
          <w:bCs/>
          <w:kern w:val="0"/>
          <w:sz w:val="24"/>
          <w:szCs w:val="24"/>
        </w:rPr>
        <w:t>予</w:t>
      </w:r>
      <w:r>
        <w:rPr>
          <w:rFonts w:ascii="仿宋" w:hAnsi="仿宋" w:eastAsia="仿宋" w:cs="仿宋"/>
          <w:b/>
          <w:bCs/>
          <w:kern w:val="0"/>
          <w:sz w:val="24"/>
          <w:szCs w:val="24"/>
        </w:rPr>
        <w:t>扣除评审。</w:t>
      </w:r>
    </w:p>
    <w:p>
      <w:pPr>
        <w:spacing w:line="360" w:lineRule="auto"/>
        <w:ind w:firstLine="482" w:firstLineChars="200"/>
        <w:rPr>
          <w:rFonts w:ascii="仿宋" w:hAnsi="仿宋" w:eastAsia="仿宋" w:cs="仿宋"/>
          <w:kern w:val="0"/>
          <w:sz w:val="24"/>
        </w:rPr>
      </w:pPr>
      <w:r>
        <w:rPr>
          <w:rFonts w:hint="eastAsia" w:ascii="仿宋" w:hAnsi="仿宋" w:eastAsia="仿宋" w:cs="仿宋"/>
          <w:b/>
          <w:kern w:val="0"/>
          <w:sz w:val="24"/>
        </w:rPr>
        <w:t>3.5排序与推荐。</w:t>
      </w:r>
      <w:r>
        <w:rPr>
          <w:rFonts w:hint="eastAsia" w:ascii="仿宋" w:hAnsi="仿宋" w:eastAsia="仿宋" w:cs="仿宋"/>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adjustRightInd/>
        <w:spacing w:line="360" w:lineRule="auto"/>
        <w:rPr>
          <w:rFonts w:ascii="仿宋" w:hAnsi="仿宋" w:eastAsia="仿宋" w:cs="仿宋"/>
          <w:b/>
          <w:sz w:val="32"/>
        </w:rPr>
      </w:pPr>
      <w:r>
        <w:rPr>
          <w:rFonts w:hint="eastAsia" w:ascii="仿宋" w:hAnsi="仿宋" w:eastAsia="仿宋" w:cs="仿宋"/>
          <w:b/>
          <w:sz w:val="32"/>
        </w:rPr>
        <w:t>四、评标中的其他事项</w:t>
      </w:r>
    </w:p>
    <w:p>
      <w:pPr>
        <w:pStyle w:val="94"/>
        <w:spacing w:before="0"/>
        <w:ind w:firstLine="472" w:firstLineChars="196"/>
        <w:rPr>
          <w:rFonts w:ascii="仿宋" w:hAnsi="仿宋" w:eastAsia="仿宋" w:cs="仿宋"/>
          <w:kern w:val="0"/>
          <w:szCs w:val="24"/>
        </w:rPr>
      </w:pPr>
      <w:r>
        <w:rPr>
          <w:rFonts w:hint="eastAsia" w:ascii="仿宋" w:hAnsi="仿宋" w:eastAsia="仿宋" w:cs="仿宋"/>
          <w:b/>
          <w:kern w:val="0"/>
          <w:szCs w:val="24"/>
        </w:rPr>
        <w:t>4.1投标人澄清、说明或者补正。</w:t>
      </w:r>
      <w:r>
        <w:rPr>
          <w:rFonts w:hint="eastAsia" w:ascii="仿宋" w:hAnsi="仿宋" w:eastAsia="仿宋" w:cs="仿宋"/>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ascii="仿宋" w:hAnsi="仿宋" w:eastAsia="仿宋" w:cs="仿宋"/>
          <w:szCs w:val="21"/>
        </w:rPr>
      </w:pPr>
      <w:r>
        <w:rPr>
          <w:rFonts w:hint="eastAsia" w:ascii="仿宋" w:hAnsi="仿宋" w:eastAsia="仿宋" w:cs="仿宋"/>
          <w:b/>
          <w:kern w:val="0"/>
        </w:rPr>
        <w:t>4.2投标无效。</w:t>
      </w:r>
      <w:r>
        <w:rPr>
          <w:rFonts w:hint="eastAsia" w:ascii="仿宋" w:hAnsi="仿宋" w:eastAsia="仿宋" w:cs="仿宋"/>
          <w:szCs w:val="21"/>
        </w:rPr>
        <w:t>有下列情况之一的，投标无效：</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4.2.2投标文件未按照招标文件要求签署、盖章的；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4.2.4投标文件含有采购人不能接受的附加条件的；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4.2.5投标文件中承诺的投标有效期少于招标文件中载明的投标有效期的；</w:t>
      </w:r>
    </w:p>
    <w:p>
      <w:pPr>
        <w:snapToGrid w:val="0"/>
        <w:spacing w:line="360" w:lineRule="auto"/>
        <w:ind w:firstLine="120" w:firstLineChars="50"/>
        <w:jc w:val="left"/>
        <w:rPr>
          <w:rFonts w:ascii="仿宋" w:hAnsi="仿宋" w:eastAsia="仿宋" w:cs="仿宋"/>
          <w:kern w:val="0"/>
          <w:sz w:val="24"/>
        </w:rPr>
      </w:pPr>
      <w:r>
        <w:rPr>
          <w:rFonts w:hint="eastAsia" w:ascii="仿宋" w:hAnsi="仿宋" w:eastAsia="仿宋" w:cs="仿宋"/>
          <w:kern w:val="0"/>
          <w:sz w:val="24"/>
        </w:rPr>
        <w:t xml:space="preserve">   4.2.6投标文件出现不是唯一的、有选择性投标报价的;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4.2.7投标报价超过招标文件中规定的预算金额或者最高限价的;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4.2.9投标人对根据修正原则修正后的报价不确认的；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4.2.10投标人提供虚假材料投标的；</w:t>
      </w:r>
    </w:p>
    <w:p>
      <w:pPr>
        <w:spacing w:line="360" w:lineRule="auto"/>
        <w:ind w:firstLine="240" w:firstLineChars="100"/>
        <w:rPr>
          <w:rFonts w:ascii="仿宋" w:hAnsi="仿宋" w:eastAsia="仿宋" w:cs="仿宋"/>
          <w:kern w:val="0"/>
          <w:sz w:val="24"/>
        </w:rPr>
      </w:pPr>
      <w:r>
        <w:rPr>
          <w:rFonts w:hint="eastAsia" w:ascii="仿宋" w:hAnsi="仿宋" w:eastAsia="仿宋" w:cs="仿宋"/>
          <w:kern w:val="0"/>
          <w:sz w:val="24"/>
        </w:rPr>
        <w:t xml:space="preserve">  4.2.11投标人有恶意串通、妨碍其他投标人的竞争行为、损害采购人或者其他投标人的合法权益情形的；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4.2.12投标人仅提交备份投标文件，没有在电子交易平台传输递交投标文件的，投标无效；</w:t>
      </w:r>
    </w:p>
    <w:p>
      <w:pPr>
        <w:pStyle w:val="2"/>
        <w:ind w:left="862" w:leftChars="205"/>
        <w:rPr>
          <w:rFonts w:ascii="仿宋" w:eastAsia="仿宋" w:cs="仿宋"/>
          <w:b w:val="0"/>
          <w:bCs w:val="0"/>
          <w:kern w:val="0"/>
          <w:sz w:val="24"/>
          <w:szCs w:val="24"/>
          <w:lang w:val="en-US"/>
        </w:rPr>
      </w:pPr>
      <w:r>
        <w:rPr>
          <w:rFonts w:hint="eastAsia" w:ascii="仿宋" w:eastAsia="仿宋" w:cs="仿宋"/>
          <w:b w:val="0"/>
          <w:bCs w:val="0"/>
          <w:kern w:val="0"/>
          <w:sz w:val="24"/>
          <w:szCs w:val="24"/>
          <w:lang w:val="en-US"/>
        </w:rPr>
        <w:t>4.2.13 投标文件不满足招标文件的其它实质性要求的；</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4.2.14法律、法规、规章（适用本市的）及省级以上规范性文件（适用本市的）规定的其他无效情形。</w:t>
      </w:r>
    </w:p>
    <w:p>
      <w:pPr>
        <w:pStyle w:val="25"/>
        <w:snapToGrid w:val="0"/>
        <w:spacing w:line="360" w:lineRule="auto"/>
        <w:ind w:firstLine="472" w:firstLineChars="196"/>
        <w:rPr>
          <w:rFonts w:ascii="仿宋" w:hAnsi="仿宋" w:eastAsia="仿宋" w:cs="仿宋"/>
        </w:rPr>
      </w:pPr>
      <w:r>
        <w:rPr>
          <w:rFonts w:hint="eastAsia" w:ascii="仿宋" w:hAnsi="仿宋" w:eastAsia="仿宋" w:cs="仿宋"/>
          <w:b/>
        </w:rPr>
        <w:t>5.废标。</w:t>
      </w:r>
      <w:r>
        <w:rPr>
          <w:rFonts w:hint="eastAsia" w:ascii="仿宋" w:hAnsi="仿宋" w:eastAsia="仿宋" w:cs="仿宋"/>
        </w:rPr>
        <w:t>根据《中华人民共和国政府采购法》第三十六条之规定，在采购中，出现下列情形之一的，应予废标：</w:t>
      </w:r>
    </w:p>
    <w:p>
      <w:pPr>
        <w:pStyle w:val="25"/>
        <w:snapToGrid w:val="0"/>
        <w:spacing w:line="360" w:lineRule="auto"/>
        <w:rPr>
          <w:rFonts w:ascii="仿宋" w:hAnsi="仿宋" w:eastAsia="仿宋" w:cs="仿宋"/>
        </w:rPr>
      </w:pPr>
      <w:r>
        <w:rPr>
          <w:rFonts w:hint="eastAsia" w:ascii="仿宋" w:hAnsi="仿宋" w:eastAsia="仿宋" w:cs="仿宋"/>
        </w:rPr>
        <w:t>5.1符合专业条件的供应商或者对招标文件作实质响应的供应商不足3家的；</w:t>
      </w:r>
    </w:p>
    <w:p>
      <w:pPr>
        <w:pStyle w:val="25"/>
        <w:snapToGrid w:val="0"/>
        <w:spacing w:line="360" w:lineRule="auto"/>
        <w:rPr>
          <w:rFonts w:ascii="仿宋" w:hAnsi="仿宋" w:eastAsia="仿宋" w:cs="仿宋"/>
        </w:rPr>
      </w:pPr>
      <w:r>
        <w:rPr>
          <w:rFonts w:hint="eastAsia" w:ascii="仿宋" w:hAnsi="仿宋" w:eastAsia="仿宋" w:cs="仿宋"/>
        </w:rPr>
        <w:t>5.2出现影响采购公正的违法、违规行为的；</w:t>
      </w:r>
    </w:p>
    <w:p>
      <w:pPr>
        <w:pStyle w:val="25"/>
        <w:snapToGrid w:val="0"/>
        <w:spacing w:line="360" w:lineRule="auto"/>
        <w:rPr>
          <w:rFonts w:ascii="仿宋" w:hAnsi="仿宋" w:eastAsia="仿宋" w:cs="仿宋"/>
        </w:rPr>
      </w:pPr>
      <w:r>
        <w:rPr>
          <w:rFonts w:hint="eastAsia" w:ascii="仿宋" w:hAnsi="仿宋" w:eastAsia="仿宋" w:cs="仿宋"/>
        </w:rPr>
        <w:t>5.3投标人的报价均超过了采购预算，采购人不能支付的；</w:t>
      </w:r>
    </w:p>
    <w:p>
      <w:pPr>
        <w:pStyle w:val="25"/>
        <w:snapToGrid w:val="0"/>
        <w:spacing w:line="360" w:lineRule="auto"/>
        <w:rPr>
          <w:rFonts w:ascii="仿宋" w:hAnsi="仿宋" w:eastAsia="仿宋" w:cs="仿宋"/>
        </w:rPr>
      </w:pPr>
      <w:r>
        <w:rPr>
          <w:rFonts w:hint="eastAsia" w:ascii="仿宋" w:hAnsi="仿宋" w:eastAsia="仿宋" w:cs="仿宋"/>
        </w:rPr>
        <w:t>5.4因重大变故，采购任务取消的。</w:t>
      </w:r>
    </w:p>
    <w:p>
      <w:pPr>
        <w:pStyle w:val="25"/>
        <w:snapToGrid w:val="0"/>
        <w:spacing w:line="360" w:lineRule="auto"/>
        <w:rPr>
          <w:rFonts w:ascii="仿宋" w:hAnsi="仿宋" w:eastAsia="仿宋" w:cs="仿宋"/>
        </w:rPr>
      </w:pPr>
      <w:r>
        <w:rPr>
          <w:rFonts w:hint="eastAsia" w:ascii="仿宋" w:hAnsi="仿宋" w:eastAsia="仿宋" w:cs="仿宋"/>
        </w:rPr>
        <w:t>废标后，采购机构应当将废标理由通知所有投标人。</w:t>
      </w:r>
    </w:p>
    <w:p>
      <w:pPr>
        <w:pStyle w:val="25"/>
        <w:snapToGrid w:val="0"/>
        <w:spacing w:line="360" w:lineRule="auto"/>
        <w:ind w:firstLine="590" w:firstLineChars="245"/>
        <w:rPr>
          <w:rFonts w:ascii="仿宋" w:hAnsi="仿宋" w:eastAsia="仿宋" w:cs="仿宋"/>
        </w:rPr>
      </w:pPr>
      <w:r>
        <w:rPr>
          <w:rFonts w:hint="eastAsia" w:ascii="仿宋" w:hAnsi="仿宋" w:eastAsia="仿宋" w:cs="仿宋"/>
          <w:b/>
        </w:rPr>
        <w:t>6.修改招标文件，重新组织采购活动。</w:t>
      </w:r>
      <w:r>
        <w:rPr>
          <w:rFonts w:hint="eastAsia" w:ascii="仿宋" w:hAnsi="仿宋" w:eastAsia="仿宋" w:cs="仿宋"/>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5"/>
        <w:snapToGrid w:val="0"/>
        <w:spacing w:line="360" w:lineRule="auto"/>
        <w:ind w:firstLine="590" w:firstLineChars="245"/>
        <w:rPr>
          <w:rFonts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有政府采购法第七十一条、第七十二条规定的违法行为之一，影响或者可能影响中标、成交结果的，依照下列规定处理：</w:t>
      </w:r>
    </w:p>
    <w:p>
      <w:pPr>
        <w:pStyle w:val="25"/>
        <w:snapToGrid w:val="0"/>
        <w:spacing w:line="360" w:lineRule="auto"/>
        <w:ind w:firstLine="600" w:firstLineChars="250"/>
        <w:rPr>
          <w:rFonts w:ascii="仿宋" w:hAnsi="仿宋" w:eastAsia="仿宋" w:cs="仿宋"/>
        </w:rPr>
      </w:pPr>
      <w:r>
        <w:rPr>
          <w:rFonts w:hint="eastAsia" w:ascii="仿宋" w:hAnsi="仿宋" w:eastAsia="仿宋" w:cs="仿宋"/>
        </w:rPr>
        <w:t>7.1未确定中标或者中标人的，终止本次政府采购活动，重新开展政府采购活动。</w:t>
      </w:r>
    </w:p>
    <w:p>
      <w:pPr>
        <w:pStyle w:val="25"/>
        <w:snapToGrid w:val="0"/>
        <w:spacing w:line="360" w:lineRule="auto"/>
        <w:ind w:firstLine="600" w:firstLineChars="250"/>
        <w:rPr>
          <w:rFonts w:ascii="仿宋" w:hAnsi="仿宋" w:eastAsia="仿宋" w:cs="仿宋"/>
        </w:rPr>
      </w:pPr>
      <w:r>
        <w:rPr>
          <w:rFonts w:hint="eastAsia" w:ascii="仿宋" w:hAnsi="仿宋" w:eastAsia="仿宋" w:cs="仿宋"/>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5"/>
        <w:snapToGrid w:val="0"/>
        <w:spacing w:line="360" w:lineRule="auto"/>
        <w:ind w:firstLine="600" w:firstLineChars="250"/>
        <w:rPr>
          <w:rFonts w:ascii="仿宋" w:hAnsi="仿宋" w:eastAsia="仿宋" w:cs="仿宋"/>
        </w:rPr>
      </w:pPr>
      <w:r>
        <w:rPr>
          <w:rFonts w:hint="eastAsia" w:ascii="仿宋" w:hAnsi="仿宋" w:eastAsia="仿宋" w:cs="仿宋"/>
        </w:rPr>
        <w:t>7.3政府采购合同已签订但尚未履行的，撤销合同，从合格的中标或者成交候选人中另行确定中标或者中标人；没有合格的中标或者成交候选人的，重新开展政府采购活动。</w:t>
      </w:r>
    </w:p>
    <w:p>
      <w:pPr>
        <w:pStyle w:val="25"/>
        <w:snapToGrid w:val="0"/>
        <w:spacing w:line="360" w:lineRule="auto"/>
        <w:rPr>
          <w:rFonts w:ascii="仿宋" w:hAnsi="仿宋" w:eastAsia="仿宋" w:cs="仿宋"/>
        </w:rPr>
      </w:pPr>
      <w:r>
        <w:rPr>
          <w:rFonts w:hint="eastAsia" w:ascii="仿宋" w:hAnsi="仿宋" w:eastAsia="仿宋" w:cs="仿宋"/>
        </w:rPr>
        <w:t>7.4政府采购合同已经履行，给采购人、供应商造成损失的，由责任人承担赔偿责任。</w:t>
      </w:r>
    </w:p>
    <w:p>
      <w:pPr>
        <w:pStyle w:val="25"/>
        <w:snapToGrid w:val="0"/>
        <w:spacing w:line="360" w:lineRule="auto"/>
        <w:rPr>
          <w:rFonts w:ascii="仿宋" w:hAnsi="仿宋" w:eastAsia="仿宋" w:cs="仿宋"/>
        </w:rPr>
      </w:pPr>
      <w:r>
        <w:rPr>
          <w:rFonts w:hint="eastAsia" w:ascii="仿宋" w:hAnsi="仿宋" w:eastAsia="仿宋" w:cs="仿宋"/>
        </w:rPr>
        <w:t>7.5政府采购当事人有其他违反政府采购法</w:t>
      </w:r>
      <w:r>
        <w:rPr>
          <w:rFonts w:hint="eastAsia" w:ascii="仿宋" w:hAnsi="仿宋" w:eastAsia="仿宋" w:cs="仿宋"/>
          <w:kern w:val="0"/>
        </w:rPr>
        <w:t>或者政府采购法实施条例等法律法规规定</w:t>
      </w:r>
      <w:r>
        <w:rPr>
          <w:rFonts w:hint="eastAsia" w:ascii="仿宋" w:hAnsi="仿宋" w:eastAsia="仿宋" w:cs="仿宋"/>
        </w:rPr>
        <w:t>的行为，经改正后仍然影响或者可能影响中标、成交结果或者依法被认定为中标、成交无效的，依照7.1-7.4规定处理。</w:t>
      </w:r>
    </w:p>
    <w:bookmarkEnd w:id="26"/>
    <w:p>
      <w:pPr>
        <w:rPr>
          <w:rFonts w:ascii="仿宋" w:hAnsi="仿宋" w:eastAsia="仿宋" w:cs="仿宋"/>
          <w:b/>
          <w:sz w:val="36"/>
          <w:szCs w:val="36"/>
        </w:rPr>
      </w:pPr>
      <w:bookmarkStart w:id="392" w:name="第五部分"/>
      <w:bookmarkStart w:id="393" w:name="_Toc86217003"/>
    </w:p>
    <w:p>
      <w:pPr>
        <w:pStyle w:val="62"/>
        <w:ind w:firstLine="723"/>
        <w:rPr>
          <w:rFonts w:ascii="仿宋" w:hAnsi="仿宋" w:eastAsia="仿宋" w:cs="仿宋"/>
          <w:b/>
          <w:sz w:val="36"/>
          <w:szCs w:val="36"/>
        </w:rPr>
      </w:pPr>
    </w:p>
    <w:p>
      <w:pPr>
        <w:pStyle w:val="24"/>
      </w:pPr>
    </w:p>
    <w:p>
      <w:pPr>
        <w:rPr>
          <w:rFonts w:ascii="仿宋" w:hAnsi="仿宋" w:eastAsia="仿宋" w:cs="仿宋"/>
          <w:b/>
          <w:sz w:val="36"/>
          <w:szCs w:val="36"/>
        </w:rPr>
      </w:pPr>
      <w:r>
        <w:rPr>
          <w:rFonts w:hint="eastAsia" w:ascii="仿宋" w:hAnsi="仿宋" w:eastAsia="仿宋" w:cs="仿宋"/>
          <w:b/>
          <w:sz w:val="36"/>
          <w:szCs w:val="36"/>
        </w:rPr>
        <w:br w:type="page"/>
      </w:r>
    </w:p>
    <w:p>
      <w:pPr>
        <w:spacing w:line="360" w:lineRule="auto"/>
        <w:ind w:left="720" w:leftChars="343" w:firstLine="1084" w:firstLineChars="300"/>
        <w:outlineLvl w:val="0"/>
        <w:rPr>
          <w:rFonts w:ascii="仿宋" w:hAnsi="仿宋" w:eastAsia="仿宋" w:cs="仿宋"/>
          <w:b/>
          <w:sz w:val="36"/>
          <w:szCs w:val="36"/>
        </w:rPr>
      </w:pPr>
      <w:r>
        <w:rPr>
          <w:rFonts w:hint="eastAsia" w:ascii="仿宋" w:hAnsi="仿宋" w:eastAsia="仿宋" w:cs="仿宋"/>
          <w:b/>
          <w:sz w:val="36"/>
          <w:szCs w:val="36"/>
        </w:rPr>
        <w:t>第五部分   拟签订的合同文本</w:t>
      </w:r>
    </w:p>
    <w:p>
      <w:pPr>
        <w:ind w:firstLine="6240" w:firstLineChars="2600"/>
        <w:rPr>
          <w:rFonts w:ascii="仿宋" w:hAnsi="仿宋" w:eastAsia="仿宋" w:cs="仿宋"/>
          <w:sz w:val="24"/>
        </w:rPr>
      </w:pPr>
    </w:p>
    <w:p>
      <w:pPr>
        <w:spacing w:line="480" w:lineRule="auto"/>
        <w:jc w:val="center"/>
        <w:rPr>
          <w:rFonts w:ascii="仿宋" w:hAnsi="仿宋" w:eastAsia="仿宋"/>
          <w:b/>
          <w:sz w:val="24"/>
        </w:rPr>
      </w:pPr>
    </w:p>
    <w:p>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政府采购合同参考范本</w:t>
      </w:r>
    </w:p>
    <w:p>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（货物类）</w:t>
      </w:r>
    </w:p>
    <w:p>
      <w:pPr>
        <w:pStyle w:val="82"/>
        <w:ind w:left="0" w:leftChars="0" w:firstLine="0" w:firstLineChars="0"/>
        <w:rPr>
          <w:rFonts w:ascii="仿宋" w:hAnsi="仿宋" w:eastAsia="仿宋"/>
          <w:szCs w:val="24"/>
        </w:rPr>
      </w:pPr>
    </w:p>
    <w:p>
      <w:pPr>
        <w:pStyle w:val="82"/>
        <w:jc w:val="center"/>
        <w:rPr>
          <w:rFonts w:ascii="仿宋" w:hAnsi="仿宋" w:eastAsia="仿宋"/>
          <w:szCs w:val="24"/>
        </w:rPr>
      </w:pPr>
    </w:p>
    <w:p>
      <w:pPr>
        <w:pStyle w:val="82"/>
        <w:ind w:left="0" w:leftChars="0" w:firstLine="2249" w:firstLineChars="700"/>
        <w:rPr>
          <w:rFonts w:ascii="仿宋" w:hAnsi="仿宋" w:eastAsia="仿宋"/>
          <w:b/>
          <w:sz w:val="32"/>
          <w:szCs w:val="32"/>
        </w:rPr>
      </w:pPr>
      <w:r>
        <w:rPr>
          <w:rFonts w:hint="eastAsia" w:ascii="仿宋" w:hAnsi="仿宋" w:eastAsia="仿宋"/>
          <w:b/>
          <w:sz w:val="32"/>
          <w:szCs w:val="32"/>
        </w:rPr>
        <w:t>第一部分</w:t>
      </w:r>
      <w:r>
        <w:rPr>
          <w:rFonts w:ascii="仿宋" w:hAnsi="仿宋" w:eastAsia="仿宋"/>
          <w:b/>
          <w:sz w:val="32"/>
          <w:szCs w:val="32"/>
        </w:rPr>
        <w:t xml:space="preserve"> </w:t>
      </w:r>
      <w:r>
        <w:rPr>
          <w:rFonts w:hint="eastAsia" w:ascii="仿宋" w:hAnsi="仿宋" w:eastAsia="仿宋"/>
          <w:b/>
          <w:sz w:val="32"/>
          <w:szCs w:val="32"/>
        </w:rPr>
        <w:t>合同书</w:t>
      </w:r>
    </w:p>
    <w:p>
      <w:pPr>
        <w:pStyle w:val="82"/>
        <w:rPr>
          <w:rFonts w:ascii="仿宋" w:hAnsi="仿宋" w:eastAsia="仿宋"/>
          <w:szCs w:val="24"/>
        </w:rPr>
      </w:pPr>
    </w:p>
    <w:p>
      <w:pPr>
        <w:pStyle w:val="82"/>
        <w:rPr>
          <w:rFonts w:ascii="仿宋" w:hAnsi="仿宋" w:eastAsia="仿宋"/>
          <w:szCs w:val="24"/>
        </w:rPr>
      </w:pPr>
    </w:p>
    <w:p>
      <w:pPr>
        <w:spacing w:before="120" w:line="22" w:lineRule="atLeast"/>
        <w:rPr>
          <w:rFonts w:ascii="仿宋" w:hAnsi="仿宋" w:eastAsia="仿宋"/>
          <w:sz w:val="24"/>
        </w:rPr>
      </w:pPr>
    </w:p>
    <w:p>
      <w:pPr>
        <w:spacing w:before="120" w:line="22" w:lineRule="atLeast"/>
        <w:ind w:left="960"/>
        <w:rPr>
          <w:rFonts w:ascii="仿宋" w:hAnsi="仿宋" w:eastAsia="仿宋"/>
          <w:sz w:val="24"/>
        </w:rPr>
      </w:pPr>
      <w:r>
        <w:rPr>
          <w:rFonts w:hint="eastAsia" w:ascii="仿宋" w:hAnsi="仿宋" w:eastAsia="仿宋"/>
          <w:sz w:val="24"/>
        </w:rPr>
        <w:t>项目名称：</w:t>
      </w:r>
      <w:r>
        <w:rPr>
          <w:rFonts w:ascii="仿宋" w:hAnsi="仿宋" w:eastAsia="仿宋"/>
          <w:sz w:val="24"/>
          <w:u w:val="single"/>
        </w:rPr>
        <w:t xml:space="preserve">                                   </w:t>
      </w:r>
    </w:p>
    <w:p>
      <w:pPr>
        <w:pStyle w:val="291"/>
        <w:spacing w:before="120" w:line="22" w:lineRule="atLeast"/>
        <w:rPr>
          <w:rFonts w:ascii="仿宋" w:hAnsi="仿宋" w:eastAsia="仿宋"/>
          <w:szCs w:val="24"/>
        </w:rPr>
      </w:pPr>
    </w:p>
    <w:p>
      <w:pPr>
        <w:pStyle w:val="291"/>
        <w:spacing w:before="120" w:line="22" w:lineRule="atLeast"/>
        <w:rPr>
          <w:rFonts w:ascii="仿宋" w:hAnsi="仿宋" w:eastAsia="仿宋"/>
          <w:szCs w:val="24"/>
        </w:rPr>
      </w:pPr>
    </w:p>
    <w:p>
      <w:pPr>
        <w:rPr>
          <w:rFonts w:ascii="仿宋" w:hAnsi="仿宋" w:eastAsia="仿宋"/>
          <w:sz w:val="24"/>
        </w:rPr>
      </w:pPr>
    </w:p>
    <w:p>
      <w:pPr>
        <w:spacing w:before="120" w:line="22" w:lineRule="atLeast"/>
        <w:ind w:left="960"/>
        <w:rPr>
          <w:rFonts w:ascii="仿宋" w:hAnsi="仿宋" w:eastAsia="仿宋"/>
          <w:sz w:val="24"/>
          <w:u w:val="single"/>
        </w:rPr>
      </w:pPr>
      <w:r>
        <w:rPr>
          <w:rFonts w:hint="eastAsia" w:ascii="仿宋" w:hAnsi="仿宋" w:eastAsia="仿宋"/>
          <w:sz w:val="24"/>
        </w:rPr>
        <w:t>甲方：</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left="960"/>
        <w:rPr>
          <w:rFonts w:ascii="仿宋" w:hAnsi="仿宋" w:eastAsia="仿宋"/>
          <w:sz w:val="24"/>
          <w:u w:val="single"/>
        </w:rPr>
      </w:pPr>
      <w:r>
        <w:rPr>
          <w:rFonts w:hint="eastAsia" w:ascii="仿宋" w:hAnsi="仿宋" w:eastAsia="仿宋"/>
          <w:sz w:val="24"/>
        </w:rPr>
        <w:t>乙方：</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firstLine="960" w:firstLineChars="400"/>
        <w:rPr>
          <w:rFonts w:ascii="仿宋" w:hAnsi="仿宋" w:eastAsia="仿宋"/>
          <w:sz w:val="24"/>
          <w:u w:val="single"/>
        </w:rPr>
      </w:pPr>
      <w:r>
        <w:rPr>
          <w:rFonts w:hint="eastAsia" w:ascii="仿宋" w:hAnsi="仿宋" w:eastAsia="仿宋"/>
          <w:sz w:val="24"/>
        </w:rPr>
        <w:t>签订地：</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firstLine="960" w:firstLineChars="400"/>
        <w:rPr>
          <w:rFonts w:ascii="仿宋" w:hAnsi="仿宋" w:eastAsia="仿宋"/>
          <w:sz w:val="24"/>
          <w:u w:val="single"/>
        </w:rPr>
      </w:pPr>
      <w:r>
        <w:rPr>
          <w:rFonts w:hint="eastAsia" w:ascii="仿宋" w:hAnsi="仿宋" w:eastAsia="仿宋"/>
          <w:sz w:val="24"/>
        </w:rPr>
        <w:t>签订日期：</w:t>
      </w:r>
      <w:r>
        <w:rPr>
          <w:rFonts w:ascii="仿宋" w:hAnsi="仿宋" w:eastAsia="仿宋"/>
          <w:sz w:val="24"/>
          <w:u w:val="single"/>
        </w:rPr>
        <w:t xml:space="preserve">               </w:t>
      </w:r>
      <w:r>
        <w:rPr>
          <w:rFonts w:hint="eastAsia" w:ascii="仿宋" w:hAnsi="仿宋" w:eastAsia="仿宋"/>
          <w:sz w:val="24"/>
        </w:rPr>
        <w:t>年</w:t>
      </w:r>
      <w:r>
        <w:rPr>
          <w:rFonts w:ascii="仿宋" w:hAnsi="仿宋" w:eastAsia="仿宋"/>
          <w:sz w:val="24"/>
          <w:u w:val="single"/>
        </w:rPr>
        <w:t xml:space="preserve">       </w:t>
      </w:r>
      <w:r>
        <w:rPr>
          <w:rFonts w:hint="eastAsia" w:ascii="仿宋" w:hAnsi="仿宋" w:eastAsia="仿宋"/>
          <w:sz w:val="24"/>
        </w:rPr>
        <w:t>月</w:t>
      </w:r>
      <w:r>
        <w:rPr>
          <w:rFonts w:ascii="仿宋" w:hAnsi="仿宋" w:eastAsia="仿宋"/>
          <w:sz w:val="24"/>
          <w:u w:val="single"/>
        </w:rPr>
        <w:t xml:space="preserve">       </w:t>
      </w:r>
      <w:r>
        <w:rPr>
          <w:rFonts w:hint="eastAsia" w:ascii="仿宋" w:hAnsi="仿宋" w:eastAsia="仿宋"/>
          <w:sz w:val="24"/>
        </w:rPr>
        <w:t>日</w:t>
      </w:r>
    </w:p>
    <w:p>
      <w:pPr>
        <w:widowControl/>
        <w:jc w:val="left"/>
        <w:rPr>
          <w:rFonts w:ascii="仿宋" w:hAnsi="仿宋" w:eastAsia="仿宋"/>
          <w:kern w:val="0"/>
          <w:sz w:val="24"/>
        </w:rPr>
        <w:sectPr>
          <w:pgSz w:w="11907" w:h="16840"/>
          <w:pgMar w:top="1474" w:right="1814" w:bottom="1474" w:left="1814" w:header="851" w:footer="851" w:gutter="0"/>
          <w:cols w:space="720" w:num="1"/>
        </w:sectPr>
      </w:pPr>
    </w:p>
    <w:p>
      <w:pPr>
        <w:pStyle w:val="34"/>
        <w:adjustRightInd w:val="0"/>
        <w:snapToGrid w:val="0"/>
        <w:spacing w:line="360" w:lineRule="auto"/>
        <w:ind w:left="0" w:leftChars="0" w:right="0" w:firstLine="482" w:firstLineChars="200"/>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甲方：（买方）</w:t>
      </w:r>
    </w:p>
    <w:p>
      <w:pPr>
        <w:pStyle w:val="34"/>
        <w:adjustRightInd w:val="0"/>
        <w:snapToGrid w:val="0"/>
        <w:spacing w:line="360" w:lineRule="auto"/>
        <w:ind w:left="0" w:leftChars="0" w:right="0" w:firstLine="482" w:firstLineChars="200"/>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乙方：（卖方）</w:t>
      </w:r>
    </w:p>
    <w:p>
      <w:pPr>
        <w:pStyle w:val="34"/>
        <w:adjustRightInd w:val="0"/>
        <w:snapToGrid w:val="0"/>
        <w:spacing w:line="360" w:lineRule="auto"/>
        <w:ind w:left="0" w:leftChars="0" w:right="0" w:firstLine="482" w:firstLineChars="200"/>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甲、乙双方根据</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项目（项目编号：</w:t>
      </w:r>
      <w:r>
        <w:rPr>
          <w:rFonts w:hint="eastAsia"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u w:val="single"/>
        </w:rPr>
        <w:t xml:space="preserve">  </w:t>
      </w:r>
      <w:r>
        <w:rPr>
          <w:rFonts w:hint="eastAsia" w:ascii="宋体" w:hAnsi="宋体" w:eastAsia="宋体" w:cs="宋体"/>
          <w:b/>
          <w:bCs/>
          <w:color w:val="auto"/>
          <w:sz w:val="24"/>
          <w:szCs w:val="24"/>
          <w:highlight w:val="none"/>
        </w:rPr>
        <w:t>）公开招标的结果，签署本合同。</w:t>
      </w:r>
    </w:p>
    <w:p>
      <w:pPr>
        <w:spacing w:line="560" w:lineRule="exact"/>
        <w:ind w:firstLine="482" w:firstLineChars="200"/>
        <w:outlineLvl w:val="0"/>
        <w:rPr>
          <w:rFonts w:ascii="仿宋" w:hAnsi="仿宋" w:eastAsia="仿宋"/>
          <w:b/>
          <w:sz w:val="24"/>
          <w:highlight w:val="none"/>
        </w:rPr>
      </w:pPr>
      <w:r>
        <w:rPr>
          <w:rFonts w:hint="eastAsia" w:ascii="仿宋" w:hAnsi="仿宋" w:eastAsia="仿宋"/>
          <w:b/>
          <w:sz w:val="24"/>
          <w:highlight w:val="none"/>
          <w:lang w:val="en-US" w:eastAsia="zh-CN"/>
        </w:rPr>
        <w:t>1、</w:t>
      </w:r>
      <w:r>
        <w:rPr>
          <w:rFonts w:hint="eastAsia" w:ascii="仿宋" w:hAnsi="仿宋" w:eastAsia="仿宋"/>
          <w:b/>
          <w:sz w:val="24"/>
          <w:highlight w:val="none"/>
        </w:rPr>
        <w:t>货物</w:t>
      </w:r>
    </w:p>
    <w:p>
      <w:pPr>
        <w:spacing w:line="560" w:lineRule="exact"/>
        <w:ind w:firstLine="480" w:firstLineChars="200"/>
        <w:rPr>
          <w:rFonts w:ascii="仿宋" w:hAnsi="仿宋" w:eastAsia="仿宋"/>
          <w:sz w:val="24"/>
          <w:highlight w:val="none"/>
          <w:u w:val="single"/>
        </w:rPr>
      </w:pPr>
      <w:r>
        <w:rPr>
          <w:rFonts w:ascii="仿宋" w:hAnsi="仿宋" w:eastAsia="仿宋"/>
          <w:sz w:val="24"/>
          <w:highlight w:val="none"/>
        </w:rPr>
        <w:t xml:space="preserve">1.1 </w:t>
      </w:r>
      <w:r>
        <w:rPr>
          <w:rFonts w:hint="eastAsia" w:ascii="仿宋" w:hAnsi="仿宋" w:eastAsia="仿宋"/>
          <w:sz w:val="24"/>
          <w:highlight w:val="none"/>
        </w:rPr>
        <w:t>货物名称：</w:t>
      </w:r>
      <w:r>
        <w:rPr>
          <w:rFonts w:ascii="仿宋" w:hAnsi="仿宋" w:eastAsia="仿宋"/>
          <w:sz w:val="24"/>
          <w:highlight w:val="none"/>
          <w:u w:val="single"/>
        </w:rPr>
        <w:t xml:space="preserve">                                                </w:t>
      </w:r>
      <w:r>
        <w:rPr>
          <w:rFonts w:hint="eastAsia" w:ascii="仿宋" w:hAnsi="仿宋" w:eastAsia="仿宋"/>
          <w:sz w:val="24"/>
          <w:highlight w:val="none"/>
        </w:rPr>
        <w:t>；</w:t>
      </w:r>
    </w:p>
    <w:p>
      <w:pPr>
        <w:spacing w:line="560" w:lineRule="exact"/>
        <w:ind w:firstLine="480" w:firstLineChars="200"/>
        <w:rPr>
          <w:rFonts w:ascii="仿宋" w:hAnsi="仿宋" w:eastAsia="仿宋"/>
          <w:sz w:val="24"/>
          <w:highlight w:val="none"/>
          <w:u w:val="single"/>
        </w:rPr>
      </w:pPr>
      <w:r>
        <w:rPr>
          <w:rFonts w:ascii="仿宋" w:hAnsi="仿宋" w:eastAsia="仿宋"/>
          <w:sz w:val="24"/>
          <w:highlight w:val="none"/>
        </w:rPr>
        <w:t xml:space="preserve">1.2 </w:t>
      </w:r>
      <w:r>
        <w:rPr>
          <w:rFonts w:hint="eastAsia" w:ascii="仿宋" w:hAnsi="仿宋" w:eastAsia="仿宋"/>
          <w:sz w:val="24"/>
          <w:highlight w:val="none"/>
        </w:rPr>
        <w:t>货物数量：</w:t>
      </w:r>
      <w:r>
        <w:rPr>
          <w:rFonts w:ascii="仿宋" w:hAnsi="仿宋" w:eastAsia="仿宋"/>
          <w:sz w:val="24"/>
          <w:highlight w:val="none"/>
          <w:u w:val="single"/>
        </w:rPr>
        <w:t xml:space="preserve">                                                </w:t>
      </w:r>
      <w:r>
        <w:rPr>
          <w:rFonts w:hint="eastAsia" w:ascii="仿宋" w:hAnsi="仿宋" w:eastAsia="仿宋"/>
          <w:sz w:val="24"/>
          <w:highlight w:val="none"/>
        </w:rPr>
        <w:t>；</w:t>
      </w:r>
    </w:p>
    <w:p>
      <w:pPr>
        <w:spacing w:line="560" w:lineRule="exact"/>
        <w:ind w:firstLine="480" w:firstLineChars="200"/>
        <w:rPr>
          <w:rFonts w:ascii="仿宋" w:hAnsi="仿宋" w:eastAsia="仿宋"/>
          <w:sz w:val="24"/>
          <w:highlight w:val="none"/>
        </w:rPr>
      </w:pPr>
      <w:r>
        <w:rPr>
          <w:rFonts w:ascii="仿宋" w:hAnsi="仿宋" w:eastAsia="仿宋"/>
          <w:sz w:val="24"/>
          <w:highlight w:val="none"/>
        </w:rPr>
        <w:t xml:space="preserve">1.3 </w:t>
      </w:r>
      <w:r>
        <w:rPr>
          <w:rFonts w:hint="eastAsia" w:ascii="仿宋" w:hAnsi="仿宋" w:eastAsia="仿宋"/>
          <w:sz w:val="24"/>
          <w:highlight w:val="none"/>
        </w:rPr>
        <w:t>货物质量：</w:t>
      </w:r>
      <w:r>
        <w:rPr>
          <w:rFonts w:hint="eastAsia" w:ascii="仿宋" w:hAnsi="仿宋" w:eastAsia="仿宋"/>
          <w:sz w:val="24"/>
          <w:highlight w:val="none"/>
          <w:u w:val="single"/>
        </w:rPr>
        <w:t>　　　　　　　　　</w:t>
      </w:r>
      <w:r>
        <w:rPr>
          <w:rFonts w:ascii="仿宋" w:hAnsi="仿宋" w:eastAsia="仿宋"/>
          <w:sz w:val="24"/>
          <w:highlight w:val="none"/>
          <w:u w:val="single"/>
        </w:rPr>
        <w:t xml:space="preserve">                      　      </w:t>
      </w:r>
      <w:r>
        <w:rPr>
          <w:rFonts w:hint="eastAsia" w:ascii="仿宋" w:hAnsi="仿宋" w:eastAsia="仿宋"/>
          <w:sz w:val="24"/>
          <w:highlight w:val="none"/>
        </w:rPr>
        <w:t>。</w:t>
      </w:r>
    </w:p>
    <w:p>
      <w:pPr>
        <w:pStyle w:val="34"/>
        <w:adjustRightInd w:val="0"/>
        <w:snapToGrid w:val="0"/>
        <w:spacing w:line="360" w:lineRule="auto"/>
        <w:ind w:left="0" w:leftChars="0" w:right="0" w:firstLine="482" w:firstLineChars="200"/>
        <w:outlineLvl w:val="9"/>
        <w:rPr>
          <w:rFonts w:hint="eastAsia" w:ascii="宋体" w:hAnsi="宋体" w:eastAsia="宋体" w:cs="宋体"/>
          <w:b/>
          <w:bCs/>
          <w:color w:val="auto"/>
          <w:sz w:val="24"/>
          <w:szCs w:val="24"/>
          <w:highlight w:val="none"/>
        </w:rPr>
      </w:pPr>
    </w:p>
    <w:p>
      <w:pPr>
        <w:pStyle w:val="34"/>
        <w:adjustRightInd w:val="0"/>
        <w:snapToGrid w:val="0"/>
        <w:spacing w:line="360" w:lineRule="auto"/>
        <w:ind w:left="0" w:leftChars="0" w:right="0" w:firstLine="482" w:firstLineChars="200"/>
        <w:outlineLvl w:val="9"/>
        <w:rPr>
          <w:rFonts w:hint="eastAsia" w:ascii="宋体" w:hAnsi="宋体" w:eastAsia="宋体" w:cs="宋体"/>
          <w:b/>
          <w:bCs/>
          <w:color w:val="auto"/>
          <w:sz w:val="24"/>
          <w:szCs w:val="24"/>
          <w:highlight w:val="none"/>
        </w:rPr>
      </w:pPr>
      <w:r>
        <w:rPr>
          <w:rFonts w:hint="eastAsia" w:ascii="仿宋" w:hAnsi="仿宋" w:eastAsia="仿宋"/>
          <w:b/>
          <w:sz w:val="24"/>
          <w:highlight w:val="none"/>
          <w:lang w:val="en-US" w:eastAsia="zh-CN"/>
        </w:rPr>
        <w:t>2、</w:t>
      </w:r>
      <w:r>
        <w:rPr>
          <w:rFonts w:hint="eastAsia" w:ascii="仿宋" w:hAnsi="仿宋" w:eastAsia="仿宋"/>
          <w:b/>
          <w:sz w:val="24"/>
          <w:highlight w:val="none"/>
        </w:rPr>
        <w:t>价款</w:t>
      </w:r>
    </w:p>
    <w:p>
      <w:pPr>
        <w:spacing w:line="560" w:lineRule="exact"/>
        <w:ind w:firstLine="480" w:firstLineChars="200"/>
        <w:rPr>
          <w:rFonts w:ascii="仿宋" w:hAnsi="仿宋" w:eastAsia="仿宋"/>
          <w:sz w:val="24"/>
          <w:highlight w:val="none"/>
        </w:rPr>
      </w:pPr>
      <w:r>
        <w:rPr>
          <w:rFonts w:hint="eastAsia" w:ascii="仿宋" w:hAnsi="仿宋" w:eastAsia="仿宋"/>
          <w:sz w:val="24"/>
          <w:highlight w:val="none"/>
        </w:rPr>
        <w:t>本合同总价为：￥</w:t>
      </w:r>
      <w:r>
        <w:rPr>
          <w:rFonts w:ascii="仿宋" w:hAnsi="仿宋" w:eastAsia="仿宋"/>
          <w:sz w:val="24"/>
          <w:highlight w:val="none"/>
          <w:u w:val="single"/>
        </w:rPr>
        <w:t xml:space="preserve">           </w:t>
      </w:r>
      <w:r>
        <w:rPr>
          <w:rFonts w:hint="eastAsia" w:ascii="仿宋" w:hAnsi="仿宋" w:eastAsia="仿宋"/>
          <w:sz w:val="24"/>
          <w:highlight w:val="none"/>
        </w:rPr>
        <w:t>元（大写：</w:t>
      </w:r>
      <w:r>
        <w:rPr>
          <w:rFonts w:ascii="仿宋" w:hAnsi="仿宋" w:eastAsia="仿宋"/>
          <w:sz w:val="24"/>
          <w:highlight w:val="none"/>
          <w:u w:val="single"/>
        </w:rPr>
        <w:t xml:space="preserve">              </w:t>
      </w:r>
      <w:r>
        <w:rPr>
          <w:rFonts w:hint="eastAsia" w:ascii="仿宋" w:hAnsi="仿宋" w:eastAsia="仿宋"/>
          <w:sz w:val="24"/>
          <w:highlight w:val="none"/>
        </w:rPr>
        <w:t>元人民币）。</w:t>
      </w:r>
    </w:p>
    <w:p>
      <w:pPr>
        <w:spacing w:line="560" w:lineRule="exact"/>
        <w:ind w:firstLine="480" w:firstLineChars="200"/>
        <w:rPr>
          <w:rFonts w:ascii="仿宋" w:hAnsi="仿宋" w:eastAsia="仿宋"/>
          <w:sz w:val="24"/>
          <w:highlight w:val="none"/>
          <w:u w:val="single"/>
        </w:rPr>
      </w:pPr>
      <w:r>
        <w:rPr>
          <w:rFonts w:hint="eastAsia" w:ascii="仿宋" w:hAnsi="仿宋" w:eastAsia="仿宋"/>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jc w:val="center"/>
              <w:rPr>
                <w:rFonts w:hint="eastAsia" w:ascii="仿宋" w:hAnsi="仿宋" w:eastAsia="仿宋" w:cs="Times New Roman"/>
                <w:sz w:val="24"/>
                <w:szCs w:val="24"/>
                <w:highlight w:val="none"/>
              </w:rPr>
            </w:pPr>
            <w:r>
              <w:rPr>
                <w:rFonts w:hint="eastAsia" w:ascii="仿宋" w:hAnsi="仿宋" w:eastAsia="仿宋" w:cs="Times New Roman"/>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r>
              <w:rPr>
                <w:rFonts w:hint="eastAsia" w:ascii="仿宋" w:hAnsi="仿宋" w:eastAsia="仿宋" w:cs="Times New Roman"/>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jc w:val="center"/>
              <w:rPr>
                <w:rFonts w:hint="eastAsia" w:ascii="仿宋" w:hAnsi="仿宋" w:eastAsia="仿宋" w:cs="Times New Roman"/>
                <w:sz w:val="24"/>
                <w:szCs w:val="24"/>
                <w:highlight w:val="none"/>
              </w:rPr>
            </w:pPr>
            <w:r>
              <w:rPr>
                <w:rFonts w:hint="eastAsia" w:ascii="仿宋" w:hAnsi="仿宋" w:eastAsia="仿宋" w:cs="Times New Roman"/>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r>
              <w:rPr>
                <w:rFonts w:hint="eastAsia" w:ascii="仿宋" w:hAnsi="仿宋" w:eastAsia="仿宋" w:cs="Times New Roman"/>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114"/>
              <w:spacing w:before="0" w:beforeAutospacing="0" w:after="0" w:afterAutospacing="0" w:line="560" w:lineRule="exact"/>
              <w:ind w:left="0" w:right="0" w:firstLine="200"/>
              <w:jc w:val="center"/>
              <w:rPr>
                <w:rFonts w:hint="eastAsia" w:ascii="仿宋" w:hAnsi="仿宋" w:eastAsia="仿宋" w:cs="Times New Roman"/>
                <w:sz w:val="24"/>
                <w:szCs w:val="24"/>
                <w:highlight w:val="none"/>
              </w:rPr>
            </w:pPr>
          </w:p>
        </w:tc>
      </w:tr>
    </w:tbl>
    <w:p>
      <w:pPr>
        <w:spacing w:line="360" w:lineRule="auto"/>
        <w:ind w:firstLine="480" w:firstLineChars="200"/>
        <w:rPr>
          <w:rFonts w:hint="eastAsia" w:ascii="仿宋" w:hAnsi="仿宋" w:eastAsia="仿宋" w:cs="Times New Roman"/>
          <w:kern w:val="0"/>
          <w:sz w:val="24"/>
          <w:szCs w:val="20"/>
        </w:rPr>
      </w:pPr>
    </w:p>
    <w:p>
      <w:pPr>
        <w:pStyle w:val="34"/>
        <w:adjustRightInd w:val="0"/>
        <w:snapToGrid w:val="0"/>
        <w:spacing w:line="360" w:lineRule="auto"/>
        <w:ind w:left="0" w:leftChars="0" w:right="0"/>
        <w:outlineLvl w:val="9"/>
        <w:rPr>
          <w:rFonts w:hint="eastAsia" w:ascii="仿宋" w:hAnsi="仿宋" w:eastAsia="仿宋" w:cs="仿宋"/>
          <w:b/>
          <w:bCs/>
          <w:color w:val="auto"/>
          <w:sz w:val="24"/>
          <w:szCs w:val="24"/>
          <w:highlight w:val="none"/>
        </w:rPr>
      </w:pPr>
      <w:r>
        <w:rPr>
          <w:rFonts w:hint="eastAsia" w:ascii="宋体" w:hAnsi="宋体" w:eastAsia="宋体" w:cs="宋体"/>
          <w:color w:val="auto"/>
          <w:sz w:val="24"/>
          <w:szCs w:val="24"/>
          <w:highlight w:val="none"/>
        </w:rPr>
        <w:t xml:space="preserve"> </w:t>
      </w:r>
      <w:r>
        <w:rPr>
          <w:rFonts w:hint="eastAsia" w:hAnsi="宋体" w:cs="宋体"/>
          <w:color w:val="auto"/>
          <w:sz w:val="24"/>
          <w:szCs w:val="24"/>
          <w:highlight w:val="none"/>
          <w:lang w:val="en-US" w:eastAsia="zh-CN"/>
        </w:rPr>
        <w:t xml:space="preserve">  </w:t>
      </w:r>
      <w:r>
        <w:rPr>
          <w:rFonts w:hint="eastAsia" w:ascii="宋体" w:hAnsi="宋体" w:eastAsia="宋体" w:cs="宋体"/>
          <w:b/>
          <w:bCs/>
          <w:color w:val="auto"/>
          <w:sz w:val="24"/>
          <w:szCs w:val="24"/>
          <w:highlight w:val="none"/>
        </w:rPr>
        <w:t xml:space="preserve"> </w:t>
      </w: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color w:val="auto"/>
          <w:sz w:val="24"/>
          <w:szCs w:val="24"/>
          <w:highlight w:val="none"/>
        </w:rPr>
        <w:t>技术资料</w:t>
      </w:r>
    </w:p>
    <w:p>
      <w:pPr>
        <w:pStyle w:val="34"/>
        <w:adjustRightInd w:val="0"/>
        <w:snapToGrid w:val="0"/>
        <w:spacing w:line="360" w:lineRule="auto"/>
        <w:ind w:left="0" w:leftChars="0" w:right="0"/>
        <w:outlineLvl w:val="9"/>
        <w:rPr>
          <w:rFonts w:hint="eastAsia" w:ascii="仿宋" w:hAnsi="仿宋" w:eastAsia="仿宋" w:cs="Times New Roman"/>
          <w:bCs w:val="0"/>
          <w:color w:val="auto"/>
          <w:kern w:val="0"/>
          <w:sz w:val="24"/>
          <w:szCs w:val="20"/>
          <w:highlight w:val="none"/>
          <w:lang w:val="en-US" w:eastAsia="zh-CN" w:bidi="ar-SA"/>
        </w:rPr>
      </w:pPr>
      <w:r>
        <w:rPr>
          <w:rFonts w:hint="eastAsia" w:ascii="宋体" w:hAnsi="宋体" w:eastAsia="宋体" w:cs="宋体"/>
          <w:bCs/>
          <w:color w:val="auto"/>
          <w:sz w:val="24"/>
          <w:szCs w:val="24"/>
          <w:highlight w:val="none"/>
        </w:rPr>
        <w:t xml:space="preserve">  </w:t>
      </w:r>
      <w:r>
        <w:rPr>
          <w:rFonts w:hint="eastAsia" w:ascii="仿宋" w:hAnsi="仿宋" w:eastAsia="仿宋" w:cs="Times New Roman"/>
          <w:bCs w:val="0"/>
          <w:color w:val="auto"/>
          <w:kern w:val="0"/>
          <w:sz w:val="24"/>
          <w:szCs w:val="20"/>
          <w:highlight w:val="none"/>
          <w:lang w:val="en-US" w:eastAsia="zh-CN" w:bidi="ar-SA"/>
        </w:rPr>
        <w:t xml:space="preserve">  3.1乙方应按招标文件规定的时间向甲方提供使用货物的有关技术资料。</w:t>
      </w:r>
    </w:p>
    <w:p>
      <w:pPr>
        <w:adjustRightInd w:val="0"/>
        <w:snapToGrid/>
        <w:spacing w:line="360" w:lineRule="auto"/>
        <w:ind w:left="0" w:leftChars="0" w:right="0" w:firstLine="480" w:firstLineChars="200"/>
        <w:outlineLvl w:val="9"/>
        <w:rPr>
          <w:rFonts w:hint="eastAsia" w:ascii="仿宋" w:hAnsi="仿宋" w:eastAsia="仿宋" w:cs="Times New Roman"/>
          <w:b w:val="0"/>
          <w:color w:val="auto"/>
          <w:sz w:val="24"/>
          <w:szCs w:val="20"/>
          <w:highlight w:val="none"/>
        </w:rPr>
      </w:pPr>
      <w:r>
        <w:rPr>
          <w:rFonts w:hint="eastAsia" w:ascii="仿宋" w:hAnsi="仿宋" w:eastAsia="仿宋" w:cs="Times New Roman"/>
          <w:bCs w:val="0"/>
          <w:color w:val="auto"/>
          <w:kern w:val="0"/>
          <w:sz w:val="24"/>
          <w:szCs w:val="20"/>
          <w:highlight w:val="none"/>
          <w:lang w:val="en-US" w:eastAsia="zh-CN"/>
        </w:rPr>
        <w:t>3.2</w:t>
      </w:r>
      <w:r>
        <w:rPr>
          <w:rFonts w:hint="eastAsia" w:ascii="仿宋" w:hAnsi="仿宋" w:eastAsia="仿宋" w:cs="Times New Roman"/>
          <w:bCs w:val="0"/>
          <w:color w:val="auto"/>
          <w:kern w:val="0"/>
          <w:sz w:val="24"/>
          <w:szCs w:val="20"/>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r>
        <w:rPr>
          <w:rFonts w:hint="eastAsia" w:ascii="仿宋" w:hAnsi="仿宋" w:eastAsia="仿宋" w:cs="Times New Roman"/>
          <w:bCs w:val="0"/>
          <w:color w:val="auto"/>
          <w:sz w:val="24"/>
          <w:szCs w:val="20"/>
          <w:highlight w:val="none"/>
        </w:rPr>
        <w:t>。</w:t>
      </w:r>
    </w:p>
    <w:p>
      <w:pPr>
        <w:adjustRightInd w:val="0"/>
        <w:snapToGrid w:val="0"/>
        <w:spacing w:line="360" w:lineRule="auto"/>
        <w:ind w:left="0" w:leftChars="0" w:right="0" w:firstLine="354" w:firstLineChars="147"/>
        <w:outlineLvl w:val="9"/>
        <w:rPr>
          <w:rFonts w:hint="eastAsia" w:ascii="宋体" w:hAnsi="宋体" w:eastAsia="宋体" w:cs="宋体"/>
          <w:b/>
          <w:bCs w:val="0"/>
          <w:color w:val="auto"/>
          <w:sz w:val="24"/>
          <w:szCs w:val="24"/>
          <w:highlight w:val="none"/>
        </w:rPr>
      </w:pPr>
      <w:r>
        <w:rPr>
          <w:rFonts w:hint="eastAsia" w:ascii="宋体" w:hAnsi="宋体" w:cs="宋体"/>
          <w:b/>
          <w:color w:val="auto"/>
          <w:sz w:val="24"/>
          <w:szCs w:val="24"/>
          <w:highlight w:val="none"/>
          <w:lang w:val="en-US" w:eastAsia="zh-CN"/>
        </w:rPr>
        <w:t xml:space="preserve"> 4</w:t>
      </w:r>
      <w:r>
        <w:rPr>
          <w:rFonts w:hint="eastAsia" w:ascii="宋体" w:hAnsi="宋体" w:eastAsia="宋体" w:cs="宋体"/>
          <w:b/>
          <w:color w:val="auto"/>
          <w:sz w:val="24"/>
          <w:szCs w:val="24"/>
          <w:highlight w:val="none"/>
          <w:lang w:val="en-US" w:eastAsia="zh-CN"/>
        </w:rPr>
        <w:t>.</w:t>
      </w:r>
      <w:r>
        <w:rPr>
          <w:rFonts w:hint="eastAsia" w:ascii="宋体" w:hAnsi="宋体" w:eastAsia="宋体" w:cs="宋体"/>
          <w:b/>
          <w:color w:val="auto"/>
          <w:sz w:val="24"/>
          <w:szCs w:val="24"/>
          <w:highlight w:val="none"/>
        </w:rPr>
        <w:t>权利担保</w:t>
      </w:r>
    </w:p>
    <w:p>
      <w:pPr>
        <w:adjustRightInd w:val="0"/>
        <w:snapToGrid/>
        <w:spacing w:line="360" w:lineRule="auto"/>
        <w:ind w:left="0" w:leftChars="0" w:right="0" w:firstLine="480" w:firstLineChars="200"/>
        <w:outlineLvl w:val="9"/>
        <w:rPr>
          <w:rFonts w:hint="eastAsia" w:ascii="仿宋" w:hAnsi="仿宋" w:eastAsia="仿宋" w:cs="Times New Roman"/>
          <w:bCs w:val="0"/>
          <w:color w:val="auto"/>
          <w:sz w:val="24"/>
          <w:szCs w:val="20"/>
          <w:highlight w:val="none"/>
        </w:rPr>
      </w:pPr>
      <w:r>
        <w:rPr>
          <w:rFonts w:hint="eastAsia" w:ascii="仿宋" w:hAnsi="仿宋" w:eastAsia="仿宋" w:cs="Times New Roman"/>
          <w:bCs w:val="0"/>
          <w:color w:val="auto"/>
          <w:sz w:val="24"/>
          <w:szCs w:val="20"/>
          <w:highlight w:val="none"/>
          <w:lang w:val="en-US" w:eastAsia="zh-CN"/>
        </w:rPr>
        <w:t>4.1</w:t>
      </w:r>
      <w:r>
        <w:rPr>
          <w:rFonts w:hint="eastAsia" w:ascii="仿宋" w:hAnsi="仿宋" w:eastAsia="仿宋" w:cs="Times New Roman"/>
          <w:bCs w:val="0"/>
          <w:color w:val="auto"/>
          <w:sz w:val="24"/>
          <w:szCs w:val="20"/>
          <w:highlight w:val="none"/>
        </w:rPr>
        <w:t>乙方应保证所提供的货物或其任何一部分均不会侵犯任何第三方的知识产权。</w:t>
      </w:r>
    </w:p>
    <w:p>
      <w:pPr>
        <w:adjustRightInd w:val="0"/>
        <w:snapToGrid/>
        <w:spacing w:line="360" w:lineRule="auto"/>
        <w:ind w:left="0" w:leftChars="0" w:right="0" w:firstLine="480" w:firstLineChars="200"/>
        <w:outlineLvl w:val="9"/>
        <w:rPr>
          <w:rFonts w:hint="eastAsia" w:ascii="仿宋" w:hAnsi="仿宋" w:eastAsia="仿宋" w:cs="Times New Roman"/>
          <w:bCs w:val="0"/>
          <w:color w:val="auto"/>
          <w:sz w:val="24"/>
          <w:szCs w:val="20"/>
          <w:highlight w:val="none"/>
        </w:rPr>
      </w:pPr>
      <w:r>
        <w:rPr>
          <w:rFonts w:hint="eastAsia" w:ascii="仿宋" w:hAnsi="仿宋" w:eastAsia="仿宋" w:cs="Times New Roman"/>
          <w:bCs w:val="0"/>
          <w:color w:val="auto"/>
          <w:sz w:val="24"/>
          <w:szCs w:val="20"/>
          <w:highlight w:val="none"/>
          <w:lang w:val="en-US" w:eastAsia="zh-CN"/>
        </w:rPr>
        <w:t>4.2</w:t>
      </w:r>
      <w:r>
        <w:rPr>
          <w:rFonts w:hint="eastAsia" w:ascii="仿宋" w:hAnsi="仿宋" w:eastAsia="仿宋" w:cs="Times New Roman"/>
          <w:bCs w:val="0"/>
          <w:color w:val="auto"/>
          <w:sz w:val="24"/>
          <w:szCs w:val="20"/>
          <w:highlight w:val="none"/>
        </w:rPr>
        <w:t>乙方保证所交付的货物的所有权完全属于乙方且无任何抵押、查封等产权瑕疵。</w:t>
      </w:r>
    </w:p>
    <w:p>
      <w:pPr>
        <w:adjustRightInd w:val="0"/>
        <w:snapToGrid w:val="0"/>
        <w:spacing w:line="360" w:lineRule="auto"/>
        <w:ind w:left="0" w:leftChars="0" w:right="0" w:firstLine="354" w:firstLineChars="147"/>
        <w:outlineLvl w:val="9"/>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 xml:space="preserve"> 5</w:t>
      </w:r>
      <w:r>
        <w:rPr>
          <w:rFonts w:hint="eastAsia" w:ascii="宋体" w:hAnsi="宋体" w:eastAsia="宋体" w:cs="宋体"/>
          <w:b/>
          <w:color w:val="auto"/>
          <w:sz w:val="24"/>
          <w:szCs w:val="24"/>
          <w:highlight w:val="none"/>
          <w:lang w:val="en-US" w:eastAsia="zh-CN"/>
        </w:rPr>
        <w:t>.</w:t>
      </w:r>
      <w:r>
        <w:rPr>
          <w:rFonts w:hint="eastAsia" w:ascii="宋体" w:hAnsi="宋体" w:eastAsia="宋体" w:cs="宋体"/>
          <w:b/>
          <w:color w:val="auto"/>
          <w:sz w:val="24"/>
          <w:szCs w:val="24"/>
          <w:highlight w:val="none"/>
        </w:rPr>
        <w:t>履约保证金</w:t>
      </w:r>
    </w:p>
    <w:p>
      <w:pPr>
        <w:pStyle w:val="624"/>
        <w:spacing w:before="0" w:beforeAutospacing="0" w:after="0" w:afterAutospacing="0" w:line="360" w:lineRule="auto"/>
        <w:ind w:firstLine="420"/>
        <w:rPr>
          <w:rFonts w:ascii="仿宋" w:hAnsi="仿宋" w:eastAsia="仿宋"/>
          <w:highlight w:val="none"/>
        </w:rPr>
      </w:pPr>
      <w:r>
        <w:rPr>
          <w:rFonts w:hint="eastAsia" w:ascii="仿宋" w:hAnsi="仿宋" w:eastAsia="仿宋"/>
          <w:highlight w:val="none"/>
          <w:lang w:val="en-US" w:eastAsia="zh-CN"/>
        </w:rPr>
        <w:t xml:space="preserve"> 5.</w:t>
      </w:r>
      <w:r>
        <w:rPr>
          <w:rFonts w:ascii="仿宋" w:hAnsi="仿宋" w:eastAsia="仿宋"/>
          <w:highlight w:val="none"/>
        </w:rPr>
        <w:t xml:space="preserve">1 </w:t>
      </w:r>
      <w:r>
        <w:rPr>
          <w:rFonts w:hint="eastAsia" w:ascii="仿宋" w:hAnsi="仿宋" w:eastAsia="仿宋"/>
          <w:highlight w:val="none"/>
        </w:rPr>
        <w:t>采购文件要求乙方提交履约保证金的，乙方应按</w:t>
      </w:r>
      <w:r>
        <w:rPr>
          <w:rFonts w:hint="eastAsia" w:ascii="仿宋" w:hAnsi="仿宋" w:eastAsia="仿宋"/>
          <w:highlight w:val="none"/>
          <w:u w:val="single"/>
          <w:lang w:val="en-US" w:eastAsia="zh-CN"/>
        </w:rPr>
        <w:t xml:space="preserve">               </w:t>
      </w:r>
      <w:r>
        <w:rPr>
          <w:rFonts w:hint="eastAsia" w:ascii="仿宋" w:hAnsi="仿宋" w:eastAsia="仿宋"/>
          <w:highlight w:val="none"/>
        </w:rPr>
        <w:t>的方式，以支票、汇票、本票或者金融机构、担保机构出具的保函等非现金形式，提交不超过合同金额</w:t>
      </w:r>
      <w:r>
        <w:rPr>
          <w:rFonts w:hint="eastAsia" w:ascii="仿宋" w:hAnsi="仿宋" w:eastAsia="仿宋"/>
          <w:highlight w:val="none"/>
          <w:lang w:val="en-US" w:eastAsia="zh-CN"/>
        </w:rPr>
        <w:t>1</w:t>
      </w:r>
      <w:r>
        <w:rPr>
          <w:rFonts w:ascii="仿宋" w:hAnsi="仿宋" w:eastAsia="仿宋"/>
          <w:highlight w:val="none"/>
        </w:rPr>
        <w:t>%的履约保证金；鼓励和支持乙方以银行、保险公司出具的保函形式提供履约保证。</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lang w:val="en-US" w:eastAsia="zh-CN"/>
        </w:rPr>
        <w:t>5</w:t>
      </w:r>
      <w:r>
        <w:rPr>
          <w:rFonts w:ascii="仿宋" w:hAnsi="仿宋" w:eastAsia="仿宋"/>
          <w:sz w:val="24"/>
          <w:highlight w:val="none"/>
        </w:rPr>
        <w:t xml:space="preserve">.2  </w:t>
      </w:r>
      <w:r>
        <w:rPr>
          <w:rFonts w:hint="eastAsia" w:ascii="仿宋" w:hAnsi="仿宋" w:eastAsia="仿宋"/>
          <w:sz w:val="24"/>
          <w:highlight w:val="none"/>
        </w:rPr>
        <w:t>履约保证金在</w:t>
      </w:r>
      <w:r>
        <w:rPr>
          <w:rFonts w:hint="eastAsia" w:ascii="仿宋" w:hAnsi="仿宋" w:eastAsia="仿宋"/>
          <w:sz w:val="24"/>
          <w:highlight w:val="none"/>
          <w:u w:val="single"/>
          <w:lang w:val="en-US" w:eastAsia="zh-CN"/>
        </w:rPr>
        <w:t xml:space="preserve">                     </w:t>
      </w:r>
      <w:r>
        <w:rPr>
          <w:rFonts w:hint="eastAsia" w:ascii="仿宋" w:hAnsi="仿宋" w:eastAsia="仿宋"/>
          <w:sz w:val="24"/>
          <w:highlight w:val="none"/>
        </w:rPr>
        <w:t>期间内不予退还。乙方在前述约定期间届满前能履行完合同约定义务事项的，甲方在前述约定期间届满之日起</w:t>
      </w:r>
      <w:r>
        <w:rPr>
          <w:rFonts w:ascii="仿宋" w:hAnsi="仿宋" w:eastAsia="仿宋"/>
          <w:sz w:val="24"/>
          <w:highlight w:val="none"/>
          <w:u w:val="single"/>
        </w:rPr>
        <w:t xml:space="preserve"> </w:t>
      </w:r>
      <w:r>
        <w:rPr>
          <w:rFonts w:hint="eastAsia" w:ascii="仿宋" w:hAnsi="仿宋" w:eastAsia="仿宋"/>
          <w:sz w:val="24"/>
          <w:highlight w:val="none"/>
          <w:u w:val="single"/>
        </w:rPr>
        <w:t>5</w:t>
      </w:r>
      <w:r>
        <w:rPr>
          <w:rFonts w:ascii="仿宋" w:hAnsi="仿宋" w:eastAsia="仿宋"/>
          <w:sz w:val="24"/>
          <w:highlight w:val="none"/>
          <w:u w:val="single"/>
        </w:rPr>
        <w:t xml:space="preserve"> </w:t>
      </w:r>
      <w:r>
        <w:rPr>
          <w:rFonts w:hint="eastAsia" w:ascii="仿宋" w:hAnsi="仿宋" w:eastAsia="仿宋"/>
          <w:sz w:val="24"/>
          <w:highlight w:val="none"/>
        </w:rPr>
        <w:t>个工作日内，</w:t>
      </w:r>
      <w:r>
        <w:rPr>
          <w:rFonts w:hint="eastAsia" w:ascii="仿宋" w:hAnsi="仿宋" w:eastAsia="仿宋"/>
          <w:sz w:val="24"/>
          <w:highlight w:val="none"/>
          <w:lang w:val="en-US" w:eastAsia="zh-CN"/>
        </w:rPr>
        <w:t>以</w:t>
      </w:r>
      <w:r>
        <w:rPr>
          <w:rFonts w:hint="eastAsia" w:ascii="仿宋" w:hAnsi="仿宋" w:eastAsia="仿宋"/>
          <w:sz w:val="24"/>
          <w:highlight w:val="none"/>
          <w:u w:val="single"/>
          <w:lang w:val="en-US" w:eastAsia="zh-CN"/>
        </w:rPr>
        <w:t xml:space="preserve">                      </w:t>
      </w:r>
      <w:r>
        <w:rPr>
          <w:rFonts w:hint="eastAsia" w:ascii="仿宋" w:hAnsi="仿宋" w:eastAsia="仿宋"/>
          <w:sz w:val="24"/>
          <w:highlight w:val="none"/>
        </w:rPr>
        <w:t>方式将履约保证金退还乙方，逾期退还的，乙方可要求甲方支付违约金，违约金按每迟延退还一日的应退还而未退还金额的</w:t>
      </w:r>
      <w:r>
        <w:rPr>
          <w:rFonts w:ascii="仿宋" w:hAnsi="仿宋" w:eastAsia="仿宋"/>
          <w:sz w:val="24"/>
          <w:highlight w:val="none"/>
          <w:u w:val="single"/>
        </w:rPr>
        <w:t xml:space="preserve">  </w:t>
      </w:r>
      <w:r>
        <w:rPr>
          <w:rFonts w:hint="eastAsia" w:ascii="仿宋" w:hAnsi="仿宋" w:eastAsia="仿宋"/>
          <w:sz w:val="24"/>
          <w:highlight w:val="none"/>
          <w:u w:val="single"/>
        </w:rPr>
        <w:t>0.05</w:t>
      </w:r>
      <w:r>
        <w:rPr>
          <w:rFonts w:ascii="仿宋" w:hAnsi="仿宋" w:eastAsia="仿宋"/>
          <w:sz w:val="24"/>
          <w:highlight w:val="none"/>
          <w:u w:val="single"/>
        </w:rPr>
        <w:t xml:space="preserve">  </w:t>
      </w:r>
      <w:r>
        <w:rPr>
          <w:rFonts w:ascii="仿宋" w:hAnsi="仿宋" w:eastAsia="仿宋"/>
          <w:sz w:val="24"/>
          <w:highlight w:val="none"/>
        </w:rPr>
        <w:t>%计算，最高限额为本合同履约保证金的</w:t>
      </w:r>
      <w:r>
        <w:rPr>
          <w:rFonts w:ascii="仿宋" w:hAnsi="仿宋" w:eastAsia="仿宋"/>
          <w:sz w:val="24"/>
          <w:highlight w:val="none"/>
          <w:u w:val="single"/>
        </w:rPr>
        <w:t xml:space="preserve">  </w:t>
      </w:r>
      <w:r>
        <w:rPr>
          <w:rFonts w:hint="eastAsia" w:ascii="仿宋" w:hAnsi="仿宋" w:eastAsia="仿宋"/>
          <w:sz w:val="24"/>
          <w:highlight w:val="none"/>
          <w:u w:val="single"/>
        </w:rPr>
        <w:t>20</w:t>
      </w:r>
      <w:r>
        <w:rPr>
          <w:rFonts w:ascii="仿宋" w:hAnsi="仿宋" w:eastAsia="仿宋"/>
          <w:sz w:val="24"/>
          <w:highlight w:val="none"/>
          <w:u w:val="single"/>
        </w:rPr>
        <w:t xml:space="preserve">   </w:t>
      </w:r>
      <w:r>
        <w:rPr>
          <w:rFonts w:ascii="仿宋" w:hAnsi="仿宋" w:eastAsia="仿宋"/>
          <w:sz w:val="24"/>
          <w:highlight w:val="none"/>
        </w:rPr>
        <w:t xml:space="preserve">%； </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lang w:val="en-US" w:eastAsia="zh-CN"/>
        </w:rPr>
        <w:t>5.</w:t>
      </w:r>
      <w:r>
        <w:rPr>
          <w:rFonts w:ascii="仿宋" w:hAnsi="仿宋" w:eastAsia="仿宋"/>
          <w:sz w:val="24"/>
          <w:highlight w:val="none"/>
        </w:rPr>
        <w:t xml:space="preserve">3 </w:t>
      </w:r>
      <w:r>
        <w:rPr>
          <w:rFonts w:hint="eastAsia" w:ascii="仿宋" w:hAnsi="仿宋" w:eastAsia="仿宋"/>
          <w:sz w:val="24"/>
          <w:highlight w:val="none"/>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360" w:lineRule="auto"/>
        <w:ind w:firstLine="480" w:firstLineChars="200"/>
        <w:rPr>
          <w:highlight w:val="none"/>
        </w:rPr>
      </w:pPr>
      <w:r>
        <w:rPr>
          <w:rFonts w:hint="eastAsia" w:ascii="仿宋" w:hAnsi="仿宋" w:eastAsia="仿宋"/>
          <w:sz w:val="24"/>
          <w:highlight w:val="none"/>
          <w:lang w:val="en-US" w:eastAsia="zh-CN"/>
        </w:rPr>
        <w:t>5</w:t>
      </w:r>
      <w:r>
        <w:rPr>
          <w:rFonts w:ascii="仿宋" w:hAnsi="仿宋" w:eastAsia="仿宋"/>
          <w:sz w:val="24"/>
          <w:highlight w:val="none"/>
        </w:rPr>
        <w:t>.</w:t>
      </w:r>
      <w:r>
        <w:rPr>
          <w:rFonts w:hint="eastAsia" w:ascii="仿宋" w:hAnsi="仿宋" w:eastAsia="仿宋"/>
          <w:sz w:val="24"/>
          <w:highlight w:val="none"/>
          <w:lang w:val="en-US" w:eastAsia="zh-CN"/>
        </w:rPr>
        <w:t>4</w:t>
      </w:r>
      <w:r>
        <w:rPr>
          <w:rFonts w:hint="eastAsia" w:ascii="仿宋" w:hAnsi="仿宋" w:eastAsia="仿宋"/>
          <w:sz w:val="24"/>
          <w:highlight w:val="none"/>
        </w:rPr>
        <w:t>甲方</w:t>
      </w:r>
      <w:r>
        <w:rPr>
          <w:rFonts w:ascii="仿宋" w:hAnsi="仿宋" w:eastAsia="仿宋"/>
          <w:sz w:val="24"/>
          <w:highlight w:val="none"/>
        </w:rPr>
        <w:t>在</w:t>
      </w:r>
      <w:r>
        <w:rPr>
          <w:rFonts w:hint="eastAsia" w:ascii="仿宋" w:hAnsi="仿宋" w:eastAsia="仿宋"/>
          <w:sz w:val="24"/>
          <w:highlight w:val="none"/>
        </w:rPr>
        <w:t>乙方</w:t>
      </w:r>
      <w:r>
        <w:rPr>
          <w:rFonts w:ascii="仿宋" w:hAnsi="仿宋" w:eastAsia="仿宋"/>
          <w:sz w:val="24"/>
          <w:highlight w:val="none"/>
        </w:rPr>
        <w:t>履行完合同约定义务事项后及时退还，延迟退还的，应当按照合同约定和法律规定承担相应的赔偿责任。</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lang w:val="en-US" w:eastAsia="zh-CN"/>
        </w:rPr>
        <w:t>5.5</w:t>
      </w:r>
      <w:r>
        <w:rPr>
          <w:rFonts w:ascii="仿宋" w:hAnsi="仿宋" w:eastAsia="仿宋"/>
          <w:sz w:val="24"/>
          <w:highlight w:val="none"/>
        </w:rPr>
        <w:t>对于因甲方原因导致变更、中止或者终止政府采购合同的，甲方应当依照合同约定对供应商受到的损失予以赔偿或者补偿。</w:t>
      </w:r>
    </w:p>
    <w:p>
      <w:pPr>
        <w:adjustRightInd w:val="0"/>
        <w:snapToGrid w:val="0"/>
        <w:spacing w:line="360" w:lineRule="auto"/>
        <w:ind w:left="0" w:leftChars="0" w:right="0" w:firstLine="352" w:firstLineChars="147"/>
        <w:outlineLvl w:val="9"/>
        <w:rPr>
          <w:rFonts w:hint="eastAsia" w:ascii="宋体" w:hAnsi="宋体" w:eastAsia="宋体" w:cs="宋体"/>
          <w:b/>
          <w:color w:val="auto"/>
          <w:sz w:val="24"/>
          <w:szCs w:val="24"/>
          <w:highlight w:val="none"/>
        </w:rPr>
      </w:pPr>
      <w:r>
        <w:rPr>
          <w:rFonts w:hint="eastAsia" w:ascii="宋体" w:hAnsi="宋体" w:cs="宋体"/>
          <w:bCs/>
          <w:color w:val="auto"/>
          <w:sz w:val="24"/>
          <w:szCs w:val="24"/>
          <w:highlight w:val="none"/>
          <w:lang w:val="en-US" w:eastAsia="zh-CN"/>
        </w:rPr>
        <w:t xml:space="preserve"> </w:t>
      </w:r>
      <w:r>
        <w:rPr>
          <w:rFonts w:hint="eastAsia" w:ascii="宋体" w:hAnsi="宋体" w:cs="宋体"/>
          <w:b/>
          <w:bCs w:val="0"/>
          <w:color w:val="auto"/>
          <w:sz w:val="24"/>
          <w:szCs w:val="24"/>
          <w:highlight w:val="none"/>
          <w:lang w:val="en-US" w:eastAsia="zh-CN"/>
        </w:rPr>
        <w:t>6</w:t>
      </w:r>
      <w:r>
        <w:rPr>
          <w:rFonts w:hint="eastAsia" w:ascii="宋体" w:hAnsi="宋体" w:eastAsia="宋体" w:cs="宋体"/>
          <w:b/>
          <w:bCs w:val="0"/>
          <w:color w:val="auto"/>
          <w:sz w:val="24"/>
          <w:szCs w:val="24"/>
          <w:highlight w:val="none"/>
          <w:lang w:val="en-US" w:eastAsia="zh-CN"/>
        </w:rPr>
        <w:t>.</w:t>
      </w:r>
      <w:r>
        <w:rPr>
          <w:rFonts w:hint="eastAsia" w:ascii="宋体" w:hAnsi="宋体" w:eastAsia="宋体" w:cs="宋体"/>
          <w:b/>
          <w:bCs w:val="0"/>
          <w:color w:val="auto"/>
          <w:sz w:val="24"/>
          <w:szCs w:val="24"/>
          <w:highlight w:val="none"/>
        </w:rPr>
        <w:t>转包</w:t>
      </w:r>
      <w:r>
        <w:rPr>
          <w:rFonts w:hint="eastAsia" w:ascii="宋体" w:hAnsi="宋体" w:eastAsia="宋体" w:cs="宋体"/>
          <w:b/>
          <w:color w:val="auto"/>
          <w:sz w:val="24"/>
          <w:szCs w:val="24"/>
          <w:highlight w:val="none"/>
        </w:rPr>
        <w:t>或分包</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lang w:val="en-US" w:eastAsia="zh-CN"/>
        </w:rPr>
        <w:t>6</w:t>
      </w:r>
      <w:r>
        <w:rPr>
          <w:rFonts w:ascii="仿宋" w:hAnsi="仿宋" w:eastAsia="仿宋"/>
          <w:sz w:val="24"/>
          <w:highlight w:val="none"/>
        </w:rPr>
        <w:t>.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lang w:val="en-US" w:eastAsia="zh-CN"/>
        </w:rPr>
        <w:t>6</w:t>
      </w:r>
      <w:r>
        <w:rPr>
          <w:rFonts w:ascii="仿宋" w:hAnsi="仿宋" w:eastAsia="仿宋"/>
          <w:sz w:val="24"/>
          <w:highlight w:val="none"/>
        </w:rPr>
        <w:t>.2乙方采取分包方式履行合同的，甲方可直接向分包供应商支付款项。</w:t>
      </w:r>
    </w:p>
    <w:p>
      <w:pPr>
        <w:adjustRightInd w:val="0"/>
        <w:snapToGrid w:val="0"/>
        <w:spacing w:line="360" w:lineRule="auto"/>
        <w:ind w:left="0" w:leftChars="0" w:right="0" w:firstLine="354" w:firstLineChars="147"/>
        <w:outlineLvl w:val="9"/>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lang w:val="en-US" w:eastAsia="zh-CN"/>
        </w:rPr>
        <w:t>7.</w:t>
      </w:r>
      <w:r>
        <w:rPr>
          <w:rFonts w:hint="eastAsia" w:ascii="仿宋" w:hAnsi="仿宋" w:eastAsia="仿宋" w:cs="仿宋"/>
          <w:b/>
          <w:color w:val="auto"/>
          <w:sz w:val="24"/>
          <w:szCs w:val="24"/>
          <w:highlight w:val="none"/>
        </w:rPr>
        <w:t>质保期</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质保期：产品验收合格使用之日起，质保期</w:t>
      </w: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u w:val="single" w:color="auto"/>
          <w:lang w:val="en-US" w:eastAsia="zh-CN"/>
        </w:rPr>
        <w:t xml:space="preserve">        </w:t>
      </w:r>
      <w:r>
        <w:rPr>
          <w:rFonts w:hint="eastAsia" w:ascii="仿宋" w:hAnsi="仿宋" w:eastAsia="仿宋" w:cs="仿宋"/>
          <w:bCs/>
          <w:color w:val="auto"/>
          <w:sz w:val="24"/>
          <w:szCs w:val="24"/>
          <w:highlight w:val="none"/>
        </w:rPr>
        <w:t>年（具体再参照乙方按投标文件承诺确定），质保期内的维修费用（包括材料）全部由乙方负责。超过质保期的，维修时只收部件成本费。</w:t>
      </w:r>
    </w:p>
    <w:p>
      <w:pPr>
        <w:adjustRightInd w:val="0"/>
        <w:snapToGrid w:val="0"/>
        <w:spacing w:line="360" w:lineRule="auto"/>
        <w:ind w:left="0" w:leftChars="0" w:right="0" w:firstLine="354" w:firstLineChars="147"/>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8.</w:t>
      </w:r>
      <w:r>
        <w:rPr>
          <w:rFonts w:hint="eastAsia" w:ascii="仿宋" w:hAnsi="仿宋" w:eastAsia="仿宋" w:cs="仿宋"/>
          <w:b/>
          <w:color w:val="auto"/>
          <w:sz w:val="24"/>
          <w:szCs w:val="24"/>
          <w:highlight w:val="none"/>
        </w:rPr>
        <w:t>交货期、交货方式、交货地点及供货要求</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8.1</w:t>
      </w:r>
      <w:r>
        <w:rPr>
          <w:rFonts w:hint="eastAsia" w:ascii="仿宋" w:hAnsi="仿宋" w:eastAsia="仿宋" w:cs="仿宋"/>
          <w:bCs/>
          <w:color w:val="auto"/>
          <w:sz w:val="24"/>
          <w:szCs w:val="24"/>
          <w:highlight w:val="none"/>
        </w:rPr>
        <w:t>交货期：</w:t>
      </w:r>
      <w:r>
        <w:rPr>
          <w:rFonts w:hint="eastAsia" w:ascii="仿宋" w:hAnsi="仿宋" w:eastAsia="仿宋" w:cs="仿宋"/>
          <w:color w:val="auto"/>
          <w:sz w:val="24"/>
          <w:szCs w:val="24"/>
          <w:highlight w:val="none"/>
        </w:rPr>
        <w:t>签订合同后，供应商须于</w:t>
      </w:r>
      <w:r>
        <w:rPr>
          <w:rFonts w:hint="eastAsia" w:ascii="仿宋" w:hAnsi="仿宋" w:eastAsia="仿宋" w:cs="仿宋"/>
          <w:bCs/>
          <w:color w:val="auto"/>
          <w:sz w:val="24"/>
          <w:szCs w:val="24"/>
          <w:highlight w:val="none"/>
          <w:u w:val="single" w:color="auto"/>
          <w:lang w:val="en-US" w:eastAsia="zh-CN"/>
        </w:rPr>
        <w:t xml:space="preserve">          </w:t>
      </w:r>
      <w:r>
        <w:rPr>
          <w:rFonts w:hint="eastAsia" w:ascii="仿宋" w:hAnsi="仿宋" w:eastAsia="仿宋" w:cs="仿宋"/>
          <w:color w:val="auto"/>
          <w:sz w:val="24"/>
          <w:szCs w:val="24"/>
          <w:highlight w:val="none"/>
        </w:rPr>
        <w:t>前完成供货、安装</w:t>
      </w:r>
      <w:r>
        <w:rPr>
          <w:rFonts w:hint="eastAsia" w:ascii="仿宋" w:hAnsi="仿宋" w:eastAsia="仿宋" w:cs="仿宋"/>
          <w:color w:val="auto"/>
          <w:kern w:val="0"/>
          <w:sz w:val="24"/>
          <w:szCs w:val="24"/>
          <w:highlight w:val="none"/>
        </w:rPr>
        <w:t>调试</w:t>
      </w:r>
      <w:r>
        <w:rPr>
          <w:rFonts w:hint="eastAsia" w:ascii="仿宋" w:hAnsi="仿宋" w:eastAsia="仿宋" w:cs="仿宋"/>
          <w:color w:val="auto"/>
          <w:sz w:val="24"/>
          <w:szCs w:val="24"/>
          <w:highlight w:val="none"/>
        </w:rPr>
        <w:t>及使用方初步验收。</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8.2</w:t>
      </w:r>
      <w:r>
        <w:rPr>
          <w:rFonts w:hint="eastAsia" w:ascii="仿宋" w:hAnsi="仿宋" w:eastAsia="仿宋" w:cs="仿宋"/>
          <w:bCs/>
          <w:color w:val="auto"/>
          <w:sz w:val="24"/>
          <w:szCs w:val="24"/>
          <w:highlight w:val="none"/>
        </w:rPr>
        <w:t>交货方式：由乙方负责运输至指定地点现场交货，并安装调试完毕。安装调试完毕交付甲方前发生的风险均由乙方负责。</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8.3</w:t>
      </w:r>
      <w:r>
        <w:rPr>
          <w:rFonts w:hint="eastAsia" w:ascii="仿宋" w:hAnsi="仿宋" w:eastAsia="仿宋" w:cs="仿宋"/>
          <w:bCs/>
          <w:color w:val="auto"/>
          <w:sz w:val="24"/>
          <w:szCs w:val="24"/>
          <w:highlight w:val="none"/>
        </w:rPr>
        <w:t xml:space="preserve"> 交货地点：</w:t>
      </w: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u w:val="single" w:color="auto"/>
          <w:lang w:val="en-US" w:eastAsia="zh-CN"/>
        </w:rPr>
        <w:t xml:space="preserve">                         </w:t>
      </w: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lang w:val="en-US" w:eastAsia="zh-CN"/>
        </w:rPr>
        <w:t>8.4</w:t>
      </w:r>
      <w:r>
        <w:rPr>
          <w:rFonts w:hint="eastAsia" w:ascii="仿宋" w:hAnsi="仿宋" w:eastAsia="仿宋" w:cs="仿宋"/>
          <w:color w:val="auto"/>
          <w:kern w:val="0"/>
          <w:sz w:val="24"/>
          <w:szCs w:val="24"/>
          <w:highlight w:val="none"/>
        </w:rPr>
        <w:t>供货要求：乙方所供的货物必须为全新的，符合国家标准的合格产品。凡需国家强制保证或认可的产品、需提供相应的</w:t>
      </w:r>
      <w:r>
        <w:rPr>
          <w:rFonts w:hint="eastAsia" w:ascii="仿宋" w:hAnsi="仿宋" w:eastAsia="仿宋" w:cs="仿宋"/>
          <w:color w:val="auto"/>
          <w:sz w:val="24"/>
          <w:szCs w:val="24"/>
          <w:highlight w:val="none"/>
        </w:rPr>
        <w:t>证书和认可的标志。</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8.5</w:t>
      </w:r>
      <w:r>
        <w:rPr>
          <w:rFonts w:hint="eastAsia" w:ascii="仿宋" w:hAnsi="仿宋" w:eastAsia="仿宋" w:cs="仿宋"/>
          <w:bCs/>
          <w:color w:val="auto"/>
          <w:sz w:val="24"/>
          <w:szCs w:val="24"/>
          <w:highlight w:val="none"/>
        </w:rPr>
        <w:t>乙方应先派有经验的技术人员对安装现场进行实地勘察，对各种设备采购、制造、运输（到现场安装）、安装、工期、安全、文明施工进行总承包，一切费用均由乙方负责。</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8.6</w:t>
      </w:r>
      <w:r>
        <w:rPr>
          <w:rFonts w:hint="eastAsia" w:ascii="仿宋" w:hAnsi="仿宋" w:eastAsia="仿宋" w:cs="仿宋"/>
          <w:bCs/>
          <w:color w:val="auto"/>
          <w:sz w:val="24"/>
          <w:szCs w:val="24"/>
          <w:highlight w:val="none"/>
        </w:rPr>
        <w:t>乙方在设备在安装、调试时不得损坏墙体、门窗等，如有损坏要予以赔偿。</w:t>
      </w:r>
    </w:p>
    <w:p>
      <w:pPr>
        <w:adjustRightInd w:val="0"/>
        <w:snapToGrid w:val="0"/>
        <w:spacing w:line="360" w:lineRule="auto"/>
        <w:ind w:right="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8.7</w:t>
      </w:r>
      <w:r>
        <w:rPr>
          <w:rFonts w:hint="eastAsia" w:ascii="仿宋" w:hAnsi="仿宋" w:eastAsia="仿宋" w:cs="仿宋"/>
          <w:color w:val="auto"/>
          <w:sz w:val="24"/>
          <w:szCs w:val="24"/>
          <w:highlight w:val="none"/>
        </w:rPr>
        <w:t>培训要求：安装调试后，供应商须向使用方人员做好所供产品日常保养、使用、管理的现场实地培训，直至会熟练使用。</w:t>
      </w:r>
    </w:p>
    <w:p>
      <w:pPr>
        <w:spacing w:line="360" w:lineRule="auto"/>
        <w:ind w:firstLine="482" w:firstLineChars="200"/>
        <w:outlineLvl w:val="0"/>
        <w:rPr>
          <w:rFonts w:ascii="仿宋" w:hAnsi="仿宋" w:eastAsia="仿宋"/>
          <w:b/>
          <w:sz w:val="24"/>
        </w:rPr>
      </w:pPr>
      <w:r>
        <w:rPr>
          <w:rFonts w:hint="eastAsia" w:ascii="宋体" w:hAnsi="宋体" w:cs="宋体"/>
          <w:b/>
          <w:bCs w:val="0"/>
          <w:color w:val="auto"/>
          <w:sz w:val="24"/>
          <w:szCs w:val="24"/>
          <w:highlight w:val="none"/>
          <w:lang w:val="en-US" w:eastAsia="zh-CN"/>
        </w:rPr>
        <w:t>9.</w:t>
      </w:r>
      <w:r>
        <w:rPr>
          <w:rFonts w:hint="eastAsia" w:ascii="宋体" w:hAnsi="宋体" w:eastAsia="宋体" w:cs="宋体"/>
          <w:b/>
          <w:sz w:val="24"/>
          <w:highlight w:val="none"/>
        </w:rPr>
        <w:t>付款方式、时间和条件</w:t>
      </w:r>
    </w:p>
    <w:p>
      <w:pPr>
        <w:pStyle w:val="624"/>
        <w:spacing w:before="0" w:beforeAutospacing="0" w:after="0" w:afterAutospacing="0" w:line="360" w:lineRule="auto"/>
        <w:ind w:firstLine="480"/>
        <w:rPr>
          <w:rFonts w:ascii="仿宋" w:hAnsi="仿宋" w:eastAsia="仿宋" w:cs="Times New Roman"/>
        </w:rPr>
      </w:pPr>
      <w:r>
        <w:rPr>
          <w:rFonts w:hint="eastAsia" w:ascii="仿宋" w:hAnsi="仿宋" w:eastAsia="仿宋" w:cs="Times New Roman"/>
          <w:lang w:val="en-US" w:eastAsia="zh-CN"/>
        </w:rPr>
        <w:t>9.</w:t>
      </w:r>
      <w:r>
        <w:rPr>
          <w:rFonts w:ascii="仿宋" w:hAnsi="仿宋" w:eastAsia="仿宋" w:cs="Times New Roman"/>
        </w:rPr>
        <w:t>1</w:t>
      </w:r>
      <w:r>
        <w:rPr>
          <w:rFonts w:hint="eastAsia" w:ascii="仿宋" w:hAnsi="仿宋" w:eastAsia="仿宋" w:cs="Times New Roman"/>
        </w:rPr>
        <w:t>甲方应严格履行合同，及时组织验收，验收合格后及时将合同款支付完毕。对于满足合同约定支付条件的，甲方自收到发票后</w:t>
      </w:r>
      <w:r>
        <w:rPr>
          <w:rFonts w:hint="eastAsia" w:ascii="仿宋" w:hAnsi="仿宋" w:eastAsia="仿宋" w:cs="Times New Roman"/>
          <w:lang w:val="en-US" w:eastAsia="zh-CN"/>
        </w:rPr>
        <w:t>7</w:t>
      </w:r>
      <w:r>
        <w:rPr>
          <w:rFonts w:ascii="仿宋" w:hAnsi="仿宋" w:eastAsia="仿宋" w:cs="Times New Roman"/>
        </w:rPr>
        <w:t>个工作日内将资金支付到合同约定的乙方账户，有条件的甲方可以即时支付。甲方不得以机构变动、人员更替、政策调整、单位放假等为由延迟付款。</w:t>
      </w:r>
    </w:p>
    <w:p>
      <w:pPr>
        <w:spacing w:line="360" w:lineRule="auto"/>
        <w:ind w:firstLine="480" w:firstLineChars="200"/>
        <w:rPr>
          <w:rFonts w:ascii="仿宋" w:hAnsi="仿宋" w:eastAsia="仿宋"/>
          <w:sz w:val="24"/>
          <w:highlight w:val="none"/>
        </w:rPr>
      </w:pPr>
      <w:r>
        <w:rPr>
          <w:rFonts w:hint="eastAsia" w:ascii="仿宋" w:hAnsi="仿宋" w:eastAsia="仿宋"/>
          <w:sz w:val="24"/>
          <w:lang w:val="en-US" w:eastAsia="zh-CN"/>
        </w:rPr>
        <w:t>9</w:t>
      </w:r>
      <w:r>
        <w:rPr>
          <w:rFonts w:ascii="仿宋" w:hAnsi="仿宋" w:eastAsia="仿宋"/>
          <w:sz w:val="24"/>
        </w:rPr>
        <w:t>.2甲方在政府采购合同中约定预付款，预付款比例</w:t>
      </w:r>
      <w:r>
        <w:rPr>
          <w:rFonts w:hint="eastAsia" w:ascii="仿宋" w:hAnsi="仿宋" w:eastAsia="仿宋"/>
          <w:sz w:val="24"/>
        </w:rPr>
        <w:t>为</w:t>
      </w:r>
      <w:r>
        <w:rPr>
          <w:rFonts w:ascii="仿宋" w:hAnsi="仿宋" w:eastAsia="仿宋"/>
          <w:sz w:val="24"/>
        </w:rPr>
        <w:t>合同金额的</w:t>
      </w:r>
      <w:r>
        <w:rPr>
          <w:rFonts w:hint="eastAsia" w:ascii="仿宋" w:hAnsi="仿宋" w:eastAsia="仿宋"/>
          <w:sz w:val="24"/>
          <w:lang w:val="en-US" w:eastAsia="zh-CN"/>
        </w:rPr>
        <w:t>40</w:t>
      </w:r>
      <w:r>
        <w:rPr>
          <w:rFonts w:ascii="仿宋" w:hAnsi="仿宋" w:eastAsia="仿宋"/>
          <w:sz w:val="24"/>
        </w:rPr>
        <w:t>％；项目分年安排预算的，每年预付款比例</w:t>
      </w:r>
      <w:r>
        <w:rPr>
          <w:rFonts w:hint="eastAsia" w:ascii="仿宋" w:hAnsi="仿宋" w:eastAsia="仿宋"/>
          <w:sz w:val="24"/>
        </w:rPr>
        <w:t>为</w:t>
      </w:r>
      <w:r>
        <w:rPr>
          <w:rFonts w:ascii="仿宋" w:hAnsi="仿宋" w:eastAsia="仿宋"/>
          <w:sz w:val="24"/>
        </w:rPr>
        <w:t>项目年度计划支付资金额的</w:t>
      </w:r>
      <w:r>
        <w:rPr>
          <w:rFonts w:hint="eastAsia" w:ascii="仿宋" w:hAnsi="仿宋" w:eastAsia="仿宋"/>
          <w:sz w:val="24"/>
          <w:lang w:val="en-US" w:eastAsia="zh-CN"/>
        </w:rPr>
        <w:t>40</w:t>
      </w:r>
      <w:r>
        <w:rPr>
          <w:rFonts w:ascii="仿宋" w:hAnsi="仿宋" w:eastAsia="仿宋"/>
          <w:sz w:val="24"/>
        </w:rPr>
        <w:t>％。采购项目实施以人工投入为主的，可适当降低预付款比例，但不低于</w:t>
      </w:r>
      <w:r>
        <w:rPr>
          <w:rFonts w:hint="eastAsia" w:ascii="仿宋" w:hAnsi="仿宋" w:eastAsia="仿宋"/>
          <w:sz w:val="24"/>
          <w:lang w:val="en-US" w:eastAsia="zh-CN"/>
        </w:rPr>
        <w:t>20</w:t>
      </w:r>
      <w:r>
        <w:rPr>
          <w:rFonts w:ascii="仿宋" w:hAnsi="仿宋" w:eastAsia="仿宋"/>
          <w:sz w:val="24"/>
        </w:rPr>
        <w:t>%。甲方可以根据项目特点、乙方信用等实际情况提高预付款比例，最高预付比例可以达到</w:t>
      </w:r>
      <w:r>
        <w:rPr>
          <w:rFonts w:hint="eastAsia" w:ascii="仿宋" w:hAnsi="仿宋" w:eastAsia="仿宋"/>
          <w:sz w:val="24"/>
          <w:lang w:val="en-US" w:eastAsia="zh-CN"/>
        </w:rPr>
        <w:t>70</w:t>
      </w:r>
      <w:r>
        <w:rPr>
          <w:rFonts w:ascii="仿宋" w:hAnsi="仿宋" w:eastAsia="仿宋"/>
          <w:sz w:val="24"/>
        </w:rPr>
        <w:t>%。</w:t>
      </w:r>
      <w:r>
        <w:rPr>
          <w:rFonts w:hint="eastAsia" w:ascii="仿宋" w:hAnsi="仿宋" w:eastAsia="仿宋"/>
          <w:sz w:val="24"/>
        </w:rPr>
        <w:t>乙方可登录政采云前台大厅选择金融服务 - 【保函保险服务】出具预付款保函，具体步骤：选择产品—填写供应商信息—选择中标项目—确认信息—等待保险/保函受理—确认保单—支付保费—成功出单。政采云金</w:t>
      </w:r>
      <w:r>
        <w:rPr>
          <w:rFonts w:hint="eastAsia" w:ascii="仿宋" w:hAnsi="仿宋" w:eastAsia="仿宋"/>
          <w:sz w:val="24"/>
          <w:highlight w:val="none"/>
        </w:rPr>
        <w:t>融专线400-903-9583。</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lang w:val="en-US" w:eastAsia="zh-CN"/>
        </w:rPr>
        <w:t>9</w:t>
      </w:r>
      <w:r>
        <w:rPr>
          <w:rFonts w:ascii="仿宋" w:hAnsi="仿宋" w:eastAsia="仿宋"/>
          <w:sz w:val="24"/>
          <w:highlight w:val="none"/>
        </w:rPr>
        <w:t>.3</w:t>
      </w:r>
      <w:r>
        <w:rPr>
          <w:rFonts w:hint="eastAsia" w:ascii="仿宋" w:hAnsi="仿宋" w:eastAsia="仿宋"/>
          <w:sz w:val="24"/>
          <w:highlight w:val="none"/>
        </w:rPr>
        <w:t>甲方迟延支付乙方款项的，向乙方支付逾期利息。双方可以在合同专用条款中约定逾期利率，约定利率不得低于合同订立时</w:t>
      </w:r>
      <w:r>
        <w:rPr>
          <w:rFonts w:ascii="仿宋" w:hAnsi="仿宋" w:eastAsia="仿宋"/>
          <w:sz w:val="24"/>
          <w:highlight w:val="none"/>
        </w:rPr>
        <w:t>1年</w:t>
      </w:r>
      <w:r>
        <w:rPr>
          <w:rFonts w:hint="eastAsia" w:ascii="仿宋" w:hAnsi="仿宋" w:eastAsia="仿宋"/>
          <w:sz w:val="24"/>
          <w:highlight w:val="none"/>
        </w:rPr>
        <w:t>期贷款市场报价利率；未作约定的，按照每日利率万分之五支付逾期利息。</w:t>
      </w:r>
    </w:p>
    <w:p>
      <w:pPr>
        <w:spacing w:line="360" w:lineRule="auto"/>
        <w:ind w:firstLine="480" w:firstLineChars="200"/>
        <w:outlineLvl w:val="0"/>
        <w:rPr>
          <w:rFonts w:ascii="仿宋" w:hAnsi="仿宋" w:eastAsia="仿宋"/>
          <w:sz w:val="24"/>
          <w:highlight w:val="none"/>
        </w:rPr>
      </w:pPr>
      <w:r>
        <w:rPr>
          <w:rFonts w:hint="eastAsia" w:ascii="仿宋" w:hAnsi="仿宋" w:eastAsia="仿宋"/>
          <w:sz w:val="24"/>
          <w:highlight w:val="none"/>
          <w:lang w:val="en-US" w:eastAsia="zh-CN"/>
        </w:rPr>
        <w:t>9</w:t>
      </w:r>
      <w:r>
        <w:rPr>
          <w:rFonts w:ascii="仿宋" w:hAnsi="仿宋" w:eastAsia="仿宋"/>
          <w:sz w:val="24"/>
          <w:highlight w:val="none"/>
        </w:rPr>
        <w:t>.4资金支付的方式、时间和条</w:t>
      </w:r>
      <w:r>
        <w:rPr>
          <w:rFonts w:hint="eastAsia" w:ascii="仿宋" w:hAnsi="仿宋" w:eastAsia="仿宋"/>
          <w:sz w:val="24"/>
          <w:highlight w:val="none"/>
          <w:lang w:val="en-US" w:eastAsia="zh-CN"/>
        </w:rPr>
        <w:t>件：</w:t>
      </w:r>
      <w:r>
        <w:rPr>
          <w:rFonts w:hint="eastAsia" w:ascii="仿宋" w:hAnsi="仿宋" w:eastAsia="仿宋"/>
          <w:sz w:val="24"/>
          <w:highlight w:val="none"/>
          <w:u w:val="single" w:color="auto"/>
          <w:lang w:val="en-US" w:eastAsia="zh-CN"/>
        </w:rPr>
        <w:t xml:space="preserve">                            </w:t>
      </w:r>
      <w:r>
        <w:rPr>
          <w:rFonts w:hint="eastAsia" w:ascii="仿宋" w:hAnsi="仿宋" w:eastAsia="仿宋"/>
          <w:sz w:val="24"/>
          <w:highlight w:val="none"/>
        </w:rPr>
        <w:t>。</w:t>
      </w:r>
    </w:p>
    <w:p>
      <w:pPr>
        <w:adjustRightInd w:val="0"/>
        <w:snapToGrid w:val="0"/>
        <w:spacing w:line="360" w:lineRule="auto"/>
        <w:ind w:left="0" w:leftChars="0" w:right="0" w:firstLine="352" w:firstLineChars="147"/>
        <w:outlineLvl w:val="9"/>
        <w:rPr>
          <w:rFonts w:hint="eastAsia" w:ascii="仿宋" w:hAnsi="仿宋" w:eastAsia="仿宋" w:cs="仿宋"/>
          <w:b/>
          <w:color w:val="auto"/>
          <w:sz w:val="24"/>
          <w:szCs w:val="24"/>
          <w:highlight w:val="none"/>
        </w:rPr>
      </w:pPr>
      <w:r>
        <w:rPr>
          <w:rFonts w:hint="eastAsia" w:ascii="宋体" w:hAnsi="宋体" w:cs="宋体"/>
          <w:bCs/>
          <w:color w:val="auto"/>
          <w:sz w:val="24"/>
          <w:szCs w:val="24"/>
          <w:highlight w:val="none"/>
          <w:lang w:val="en-US" w:eastAsia="zh-CN"/>
        </w:rPr>
        <w:t xml:space="preserve"> 10</w:t>
      </w:r>
      <w:r>
        <w:rPr>
          <w:rFonts w:hint="eastAsia" w:ascii="仿宋" w:hAnsi="仿宋" w:eastAsia="仿宋" w:cs="仿宋"/>
          <w:b/>
          <w:color w:val="auto"/>
          <w:sz w:val="24"/>
          <w:szCs w:val="24"/>
          <w:highlight w:val="none"/>
          <w:lang w:val="en-US" w:eastAsia="zh-CN"/>
        </w:rPr>
        <w:t>.</w:t>
      </w:r>
      <w:r>
        <w:rPr>
          <w:rFonts w:hint="eastAsia" w:ascii="仿宋" w:hAnsi="仿宋" w:eastAsia="仿宋" w:cs="仿宋"/>
          <w:b/>
          <w:color w:val="auto"/>
          <w:sz w:val="24"/>
          <w:szCs w:val="24"/>
          <w:highlight w:val="none"/>
        </w:rPr>
        <w:t>税费</w:t>
      </w:r>
    </w:p>
    <w:p>
      <w:pPr>
        <w:adjustRightInd w:val="0"/>
        <w:snapToGrid/>
        <w:spacing w:line="360" w:lineRule="auto"/>
        <w:ind w:left="0" w:leftChars="0" w:right="0"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highlight w:val="none"/>
        </w:rPr>
        <w:t>与合同有关的一切税费，均按照中华人民共和国法律的相关规定缴纳。</w:t>
      </w:r>
    </w:p>
    <w:p>
      <w:pPr>
        <w:adjustRightInd w:val="0"/>
        <w:snapToGrid w:val="0"/>
        <w:spacing w:line="360" w:lineRule="auto"/>
        <w:ind w:left="0" w:leftChars="0" w:right="0" w:firstLine="352" w:firstLineChars="147"/>
        <w:outlineLvl w:val="9"/>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rPr>
        <w:t xml:space="preserve"> </w:t>
      </w:r>
      <w:r>
        <w:rPr>
          <w:rFonts w:hint="eastAsia" w:ascii="仿宋" w:hAnsi="仿宋" w:eastAsia="仿宋" w:cs="仿宋"/>
          <w:b/>
          <w:color w:val="auto"/>
          <w:sz w:val="24"/>
          <w:szCs w:val="24"/>
          <w:highlight w:val="none"/>
          <w:lang w:val="en-US" w:eastAsia="zh-CN"/>
        </w:rPr>
        <w:t>11.</w:t>
      </w:r>
      <w:r>
        <w:rPr>
          <w:rFonts w:hint="eastAsia" w:ascii="仿宋" w:hAnsi="仿宋" w:eastAsia="仿宋" w:cs="仿宋"/>
          <w:b/>
          <w:color w:val="auto"/>
          <w:sz w:val="24"/>
          <w:szCs w:val="24"/>
          <w:highlight w:val="none"/>
        </w:rPr>
        <w:t>质量保证及售后服务</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 11.1</w:t>
      </w:r>
      <w:r>
        <w:rPr>
          <w:rFonts w:hint="eastAsia" w:ascii="仿宋" w:hAnsi="仿宋" w:eastAsia="仿宋" w:cs="仿宋"/>
          <w:bCs/>
          <w:color w:val="auto"/>
          <w:sz w:val="24"/>
          <w:szCs w:val="24"/>
          <w:highlight w:val="none"/>
        </w:rPr>
        <w:t>乙方应按招标文件规定的货物性能、技术要求、质量标准向甲方提供未经使用的全产品。所使用的材料必须具有质量保证书或符合规定做的试验资料报告。严禁使用质量不合格或不符合设计要求的材料，否则乙方须承担由此产生的一切责任。如有外购产品由乙方统一配备。乙方所提供的货物必须是符合需求的合法产品，杜绝三无、假冒和走私产品。</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11.2</w:t>
      </w:r>
      <w:r>
        <w:rPr>
          <w:rFonts w:hint="eastAsia" w:ascii="仿宋" w:hAnsi="仿宋" w:eastAsia="仿宋" w:cs="仿宋"/>
          <w:bCs/>
          <w:color w:val="auto"/>
          <w:sz w:val="24"/>
          <w:szCs w:val="24"/>
          <w:highlight w:val="none"/>
        </w:rPr>
        <w:t>乙方提供的货物在质保期内因货物本身的质量问题发生故障，乙方应负责免费更换。对达不到技术要求者，根据实际情况，经双方协商，可按以下办法处理：</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更换：由乙方承担所发生的全部费用。</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贬值处理：由甲乙双方合议定价。</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退货处理：乙方应退还甲方支付的合同款，同时应承担该货物的直接费用（运输、保险、检验、货款利息及银行手续费等）。</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11.3</w:t>
      </w:r>
      <w:r>
        <w:rPr>
          <w:rFonts w:hint="eastAsia" w:ascii="仿宋" w:hAnsi="仿宋" w:eastAsia="仿宋" w:cs="仿宋"/>
          <w:bCs/>
          <w:color w:val="auto"/>
          <w:sz w:val="24"/>
          <w:szCs w:val="24"/>
          <w:highlight w:val="none"/>
        </w:rPr>
        <w:t>在质保期内，乙方应对货物出现的质量及安全问题负责处理解决并承担一切费用。</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11.4</w:t>
      </w:r>
      <w:r>
        <w:rPr>
          <w:rFonts w:hint="eastAsia" w:ascii="仿宋" w:hAnsi="仿宋" w:eastAsia="仿宋" w:cs="仿宋"/>
          <w:bCs/>
          <w:color w:val="auto"/>
          <w:sz w:val="24"/>
          <w:szCs w:val="24"/>
          <w:highlight w:val="none"/>
        </w:rPr>
        <w:t>乙方必须对所供产品实行终身维修，乙方在接到电话后2小时内响应，6小时内到达现场解决问题，最迟在2个工作日内修复，如不能修复应采取补救措施，以保证使用方的正常工作，乙方有其它服务承诺的，一并履行。</w:t>
      </w:r>
    </w:p>
    <w:p>
      <w:pPr>
        <w:adjustRightInd w:val="0"/>
        <w:snapToGrid w:val="0"/>
        <w:spacing w:line="360" w:lineRule="auto"/>
        <w:ind w:left="0" w:leftChars="0" w:right="0" w:firstLine="352" w:firstLineChars="147"/>
        <w:outlineLvl w:val="9"/>
        <w:rPr>
          <w:rFonts w:hint="eastAsia" w:ascii="仿宋" w:hAnsi="仿宋" w:eastAsia="仿宋" w:cs="仿宋"/>
          <w:color w:val="auto"/>
          <w:kern w:val="0"/>
          <w:sz w:val="24"/>
          <w:szCs w:val="24"/>
          <w:highlight w:val="none"/>
        </w:rPr>
      </w:pPr>
      <w:r>
        <w:rPr>
          <w:rFonts w:hint="eastAsia" w:ascii="仿宋" w:hAnsi="仿宋" w:eastAsia="仿宋" w:cs="仿宋"/>
          <w:bCs/>
          <w:color w:val="auto"/>
          <w:sz w:val="24"/>
          <w:szCs w:val="24"/>
          <w:highlight w:val="none"/>
          <w:lang w:val="en-US" w:eastAsia="zh-CN"/>
        </w:rPr>
        <w:t>11.5</w:t>
      </w:r>
      <w:r>
        <w:rPr>
          <w:rFonts w:hint="eastAsia" w:ascii="仿宋" w:hAnsi="仿宋" w:eastAsia="仿宋" w:cs="仿宋"/>
          <w:bCs/>
          <w:color w:val="auto"/>
          <w:sz w:val="24"/>
          <w:szCs w:val="24"/>
          <w:highlight w:val="none"/>
        </w:rPr>
        <w:t>乙方在质保期内每年应（不少于一次）到使用方进行设备保养、检修。</w:t>
      </w:r>
    </w:p>
    <w:p>
      <w:pPr>
        <w:adjustRightInd w:val="0"/>
        <w:snapToGrid w:val="0"/>
        <w:spacing w:line="360" w:lineRule="auto"/>
        <w:ind w:left="0" w:leftChars="0" w:right="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en-US" w:eastAsia="zh-CN"/>
        </w:rPr>
        <w:t>11.6</w:t>
      </w:r>
      <w:r>
        <w:rPr>
          <w:rFonts w:hint="eastAsia" w:ascii="仿宋" w:hAnsi="仿宋" w:eastAsia="仿宋" w:cs="仿宋"/>
          <w:color w:val="auto"/>
          <w:kern w:val="0"/>
          <w:sz w:val="24"/>
          <w:szCs w:val="24"/>
          <w:highlight w:val="none"/>
        </w:rPr>
        <w:t>在质保期内，乙方应兑现“投标文件”中“售后服务”的诸项相关承诺，并应对货物出现的质量及安全问题负责处理解决并承担一切费用。在质保期内乙方不得以任何理由影响用户的正常使用，乙方必须对所供产品实行终身维修，配件按市场价格收取。</w:t>
      </w:r>
    </w:p>
    <w:p>
      <w:pPr>
        <w:adjustRightInd w:val="0"/>
        <w:snapToGrid w:val="0"/>
        <w:spacing w:line="360" w:lineRule="auto"/>
        <w:ind w:left="0" w:leftChars="0" w:right="0" w:firstLine="354" w:firstLineChars="147"/>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12.</w:t>
      </w:r>
      <w:r>
        <w:rPr>
          <w:rFonts w:hint="eastAsia" w:ascii="仿宋" w:hAnsi="仿宋" w:eastAsia="仿宋" w:cs="仿宋"/>
          <w:b/>
          <w:color w:val="auto"/>
          <w:sz w:val="24"/>
          <w:szCs w:val="24"/>
          <w:highlight w:val="none"/>
        </w:rPr>
        <w:t>货物包装、发运及运输</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12.1</w:t>
      </w:r>
      <w:r>
        <w:rPr>
          <w:rFonts w:hint="eastAsia" w:ascii="仿宋" w:hAnsi="仿宋" w:eastAsia="仿宋" w:cs="仿宋"/>
          <w:bCs/>
          <w:color w:val="auto"/>
          <w:sz w:val="24"/>
          <w:szCs w:val="24"/>
          <w:highlight w:val="none"/>
        </w:rPr>
        <w:t>乙方应在货物发运前对其进行满足运输距离、防潮、防震、防锈和防破损装卸等要求包装，以保证货物安全运达甲方指定地点。</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12.2</w:t>
      </w:r>
      <w:r>
        <w:rPr>
          <w:rFonts w:hint="eastAsia" w:ascii="仿宋" w:hAnsi="仿宋" w:eastAsia="仿宋" w:cs="仿宋"/>
          <w:bCs/>
          <w:color w:val="auto"/>
          <w:sz w:val="24"/>
          <w:szCs w:val="24"/>
          <w:highlight w:val="none"/>
        </w:rPr>
        <w:t>使用说明书、质量检验证明书、随配附件和工具以及清单一并附于货物内。</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12.3</w:t>
      </w:r>
      <w:r>
        <w:rPr>
          <w:rFonts w:hint="eastAsia" w:ascii="仿宋" w:hAnsi="仿宋" w:eastAsia="仿宋" w:cs="仿宋"/>
          <w:bCs/>
          <w:color w:val="auto"/>
          <w:sz w:val="24"/>
          <w:szCs w:val="24"/>
          <w:highlight w:val="none"/>
        </w:rPr>
        <w:t>乙方在货物发运手续办理完毕后24小时内或货到甲方48小时前通知甲方，以准备接货。</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12.4</w:t>
      </w:r>
      <w:r>
        <w:rPr>
          <w:rFonts w:hint="eastAsia" w:ascii="仿宋" w:hAnsi="仿宋" w:eastAsia="仿宋" w:cs="仿宋"/>
          <w:bCs/>
          <w:color w:val="auto"/>
          <w:sz w:val="24"/>
          <w:szCs w:val="24"/>
          <w:highlight w:val="none"/>
        </w:rPr>
        <w:t>货物在交付甲方前发生的风险均由乙方负责。</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12.5</w:t>
      </w:r>
      <w:r>
        <w:rPr>
          <w:rFonts w:hint="eastAsia" w:ascii="仿宋" w:hAnsi="仿宋" w:eastAsia="仿宋" w:cs="仿宋"/>
          <w:bCs/>
          <w:color w:val="auto"/>
          <w:sz w:val="24"/>
          <w:szCs w:val="24"/>
          <w:highlight w:val="none"/>
        </w:rPr>
        <w:t>货物在规定的交付期限内由乙方送达甲方指定的地点，及时通知甲方货物已送达并安装调试完毕视为交付。</w:t>
      </w:r>
    </w:p>
    <w:p>
      <w:pPr>
        <w:adjustRightInd w:val="0"/>
        <w:snapToGrid w:val="0"/>
        <w:spacing w:line="360" w:lineRule="auto"/>
        <w:ind w:left="0" w:leftChars="0" w:right="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    </w:t>
      </w:r>
      <w:r>
        <w:rPr>
          <w:rFonts w:hint="eastAsia" w:ascii="仿宋" w:hAnsi="仿宋" w:eastAsia="仿宋" w:cs="仿宋"/>
          <w:b/>
          <w:color w:val="auto"/>
          <w:sz w:val="24"/>
          <w:szCs w:val="24"/>
          <w:highlight w:val="none"/>
          <w:lang w:val="en-US" w:eastAsia="zh-CN"/>
        </w:rPr>
        <w:t>13.</w:t>
      </w:r>
      <w:r>
        <w:rPr>
          <w:rFonts w:hint="eastAsia" w:ascii="仿宋" w:hAnsi="仿宋" w:eastAsia="仿宋" w:cs="仿宋"/>
          <w:b/>
          <w:color w:val="auto"/>
          <w:sz w:val="24"/>
          <w:szCs w:val="24"/>
          <w:highlight w:val="none"/>
        </w:rPr>
        <w:t>调试和验收</w:t>
      </w:r>
    </w:p>
    <w:p>
      <w:pPr>
        <w:adjustRightInd w:val="0"/>
        <w:snapToGrid/>
        <w:spacing w:line="360" w:lineRule="auto"/>
        <w:ind w:left="0" w:leftChars="0" w:right="0" w:firstLine="480" w:firstLineChars="200"/>
        <w:outlineLvl w:val="0"/>
        <w:rPr>
          <w:rFonts w:hint="eastAsia" w:ascii="仿宋" w:hAnsi="仿宋" w:eastAsia="仿宋" w:cs="仿宋"/>
          <w:bCs/>
          <w:color w:val="auto"/>
          <w:sz w:val="24"/>
          <w:szCs w:val="24"/>
          <w:highlight w:val="none"/>
        </w:rPr>
      </w:pPr>
      <w:r>
        <w:rPr>
          <w:rFonts w:hint="eastAsia" w:ascii="仿宋" w:hAnsi="仿宋" w:eastAsia="仿宋" w:cs="仿宋"/>
          <w:sz w:val="24"/>
          <w:highlight w:val="none"/>
          <w:lang w:val="en-US" w:eastAsia="zh-CN"/>
        </w:rPr>
        <w:t>13.1</w:t>
      </w:r>
      <w:r>
        <w:rPr>
          <w:rFonts w:hint="eastAsia" w:ascii="仿宋" w:hAnsi="仿宋" w:eastAsia="仿宋"/>
          <w:sz w:val="24"/>
          <w:highlight w:val="none"/>
          <w:u w:val="single" w:color="auto"/>
          <w:lang w:val="en-US" w:eastAsia="zh-CN"/>
        </w:rPr>
        <w:t xml:space="preserve">                                                             </w:t>
      </w:r>
      <w:r>
        <w:rPr>
          <w:rFonts w:hint="eastAsia" w:ascii="仿宋" w:hAnsi="仿宋" w:eastAsia="仿宋"/>
          <w:sz w:val="24"/>
          <w:highlight w:val="none"/>
        </w:rPr>
        <w:t>。</w:t>
      </w:r>
    </w:p>
    <w:p>
      <w:pPr>
        <w:adjustRightInd w:val="0"/>
        <w:snapToGrid w:val="0"/>
        <w:spacing w:line="360" w:lineRule="auto"/>
        <w:ind w:left="0" w:leftChars="0" w:right="0" w:firstLine="352" w:firstLineChars="147"/>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 13.2</w:t>
      </w:r>
      <w:r>
        <w:rPr>
          <w:rFonts w:hint="eastAsia" w:ascii="仿宋" w:hAnsi="仿宋" w:eastAsia="仿宋" w:cs="仿宋"/>
          <w:bCs/>
          <w:color w:val="auto"/>
          <w:sz w:val="24"/>
          <w:szCs w:val="24"/>
          <w:highlight w:val="none"/>
        </w:rPr>
        <w:t>经验收不合格且无法整改的，不付款不退货，所产生的所有损失由乙方承担。</w:t>
      </w:r>
    </w:p>
    <w:p>
      <w:pPr>
        <w:adjustRightInd w:val="0"/>
        <w:snapToGrid w:val="0"/>
        <w:spacing w:line="360" w:lineRule="auto"/>
        <w:ind w:left="0" w:leftChars="0" w:right="0" w:firstLine="354" w:firstLineChars="147"/>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 xml:space="preserve"> 14.</w:t>
      </w:r>
      <w:r>
        <w:rPr>
          <w:rFonts w:hint="eastAsia" w:ascii="仿宋" w:hAnsi="仿宋" w:eastAsia="仿宋" w:cs="仿宋"/>
          <w:b/>
          <w:color w:val="auto"/>
          <w:sz w:val="24"/>
          <w:szCs w:val="24"/>
          <w:highlight w:val="none"/>
        </w:rPr>
        <w:t>违约责任</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lang w:val="en-US" w:eastAsia="zh-CN"/>
        </w:rPr>
        <w:t>14.</w:t>
      </w:r>
      <w:r>
        <w:rPr>
          <w:rFonts w:ascii="仿宋" w:hAnsi="仿宋" w:eastAsia="仿宋"/>
          <w:sz w:val="24"/>
          <w:highlight w:val="none"/>
        </w:rPr>
        <w:t xml:space="preserve">1 </w:t>
      </w:r>
      <w:r>
        <w:rPr>
          <w:rFonts w:hint="eastAsia" w:ascii="仿宋" w:hAnsi="仿宋" w:eastAsia="仿宋"/>
          <w:sz w:val="24"/>
          <w:highlight w:val="none"/>
        </w:rPr>
        <w:t>除不可抗力外，如果乙方没有按照本合同约定的期限、地点和方式交付货物，那么甲方可要求乙方支付违约金，违约金按每迟延交付货物一日的应交付而未交付货物价格的</w:t>
      </w:r>
      <w:r>
        <w:rPr>
          <w:rFonts w:ascii="仿宋" w:hAnsi="仿宋" w:eastAsia="仿宋"/>
          <w:sz w:val="24"/>
          <w:highlight w:val="none"/>
          <w:u w:val="single"/>
        </w:rPr>
        <w:t xml:space="preserve">  </w:t>
      </w:r>
      <w:r>
        <w:rPr>
          <w:rFonts w:hint="eastAsia" w:ascii="仿宋" w:hAnsi="仿宋" w:eastAsia="仿宋"/>
          <w:sz w:val="24"/>
          <w:highlight w:val="none"/>
          <w:u w:val="single"/>
        </w:rPr>
        <w:t>0.05</w:t>
      </w:r>
      <w:r>
        <w:rPr>
          <w:rFonts w:ascii="仿宋" w:hAnsi="仿宋" w:eastAsia="仿宋"/>
          <w:sz w:val="24"/>
          <w:highlight w:val="none"/>
          <w:u w:val="single"/>
        </w:rPr>
        <w:t xml:space="preserve">  </w:t>
      </w:r>
      <w:r>
        <w:rPr>
          <w:rFonts w:ascii="仿宋" w:hAnsi="仿宋" w:eastAsia="仿宋"/>
          <w:sz w:val="24"/>
          <w:highlight w:val="none"/>
        </w:rPr>
        <w:t>%计算，最高限额为本合同总价的</w:t>
      </w:r>
      <w:r>
        <w:rPr>
          <w:rFonts w:ascii="仿宋" w:hAnsi="仿宋" w:eastAsia="仿宋"/>
          <w:sz w:val="24"/>
          <w:highlight w:val="none"/>
          <w:u w:val="single"/>
        </w:rPr>
        <w:t xml:space="preserve"> </w:t>
      </w:r>
      <w:r>
        <w:rPr>
          <w:rFonts w:hint="eastAsia" w:ascii="仿宋" w:hAnsi="仿宋" w:eastAsia="仿宋"/>
          <w:sz w:val="24"/>
          <w:highlight w:val="none"/>
          <w:u w:val="single"/>
        </w:rPr>
        <w:t>20</w:t>
      </w:r>
      <w:r>
        <w:rPr>
          <w:rFonts w:ascii="仿宋" w:hAnsi="仿宋" w:eastAsia="仿宋"/>
          <w:sz w:val="24"/>
          <w:highlight w:val="none"/>
          <w:u w:val="single"/>
        </w:rPr>
        <w:t xml:space="preserve">  </w:t>
      </w:r>
      <w:r>
        <w:rPr>
          <w:rFonts w:ascii="仿宋" w:hAnsi="仿宋" w:eastAsia="仿宋"/>
          <w:sz w:val="24"/>
          <w:highlight w:val="none"/>
        </w:rPr>
        <w:t>%；迟延交付货物的违约金计算数额达到前述最高限额之日起，甲方有权在要求乙方支付违约金的同时，书面通知乙方解除本合同；</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lang w:val="en-US" w:eastAsia="zh-CN"/>
        </w:rPr>
        <w:t>14</w:t>
      </w:r>
      <w:r>
        <w:rPr>
          <w:rFonts w:ascii="仿宋" w:hAnsi="仿宋" w:eastAsia="仿宋"/>
          <w:sz w:val="24"/>
          <w:highlight w:val="none"/>
        </w:rPr>
        <w:t xml:space="preserve">.2 </w:t>
      </w:r>
      <w:r>
        <w:rPr>
          <w:rFonts w:hint="eastAsia" w:ascii="仿宋" w:hAnsi="仿宋" w:eastAsia="仿宋"/>
          <w:sz w:val="24"/>
          <w:highlight w:val="none"/>
        </w:rPr>
        <w:t>除不可抗力外，如果甲方没有按照本合同约定的付款方式付款，那么乙方可要求甲方支付违约金，违约金按每迟延付款一日的应付而未付款的</w:t>
      </w:r>
      <w:r>
        <w:rPr>
          <w:rFonts w:ascii="仿宋" w:hAnsi="仿宋" w:eastAsia="仿宋"/>
          <w:sz w:val="24"/>
          <w:highlight w:val="none"/>
          <w:u w:val="single"/>
        </w:rPr>
        <w:t xml:space="preserve">  </w:t>
      </w:r>
      <w:r>
        <w:rPr>
          <w:rFonts w:hint="eastAsia" w:ascii="仿宋" w:hAnsi="仿宋" w:eastAsia="仿宋"/>
          <w:sz w:val="24"/>
          <w:highlight w:val="none"/>
          <w:u w:val="single"/>
        </w:rPr>
        <w:t>0.05</w:t>
      </w:r>
      <w:r>
        <w:rPr>
          <w:rFonts w:ascii="仿宋" w:hAnsi="仿宋" w:eastAsia="仿宋"/>
          <w:sz w:val="24"/>
          <w:highlight w:val="none"/>
          <w:u w:val="single"/>
        </w:rPr>
        <w:t xml:space="preserve">  </w:t>
      </w:r>
      <w:r>
        <w:rPr>
          <w:rFonts w:ascii="仿宋" w:hAnsi="仿宋" w:eastAsia="仿宋"/>
          <w:sz w:val="24"/>
          <w:highlight w:val="none"/>
        </w:rPr>
        <w:t>%计算，最高限额为本合同总价的</w:t>
      </w:r>
      <w:r>
        <w:rPr>
          <w:rFonts w:ascii="仿宋" w:hAnsi="仿宋" w:eastAsia="仿宋"/>
          <w:sz w:val="24"/>
          <w:highlight w:val="none"/>
          <w:u w:val="single"/>
        </w:rPr>
        <w:t xml:space="preserve">  </w:t>
      </w:r>
      <w:r>
        <w:rPr>
          <w:rFonts w:hint="eastAsia" w:ascii="仿宋" w:hAnsi="仿宋" w:eastAsia="仿宋"/>
          <w:sz w:val="24"/>
          <w:highlight w:val="none"/>
          <w:u w:val="single"/>
        </w:rPr>
        <w:t>20</w:t>
      </w:r>
      <w:r>
        <w:rPr>
          <w:rFonts w:ascii="仿宋" w:hAnsi="仿宋" w:eastAsia="仿宋"/>
          <w:sz w:val="24"/>
          <w:highlight w:val="none"/>
          <w:u w:val="single"/>
        </w:rPr>
        <w:t xml:space="preserve">   </w:t>
      </w:r>
      <w:r>
        <w:rPr>
          <w:rFonts w:ascii="仿宋" w:hAnsi="仿宋" w:eastAsia="仿宋"/>
          <w:sz w:val="24"/>
          <w:highlight w:val="none"/>
        </w:rPr>
        <w:t>%；迟延付款的违约金计算数额达到前述最高限额之日起，乙方有权在要求甲方支付违约金的同时，书面通知甲方解除本合同；</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lang w:val="en-US" w:eastAsia="zh-CN"/>
        </w:rPr>
        <w:t>14.</w:t>
      </w:r>
      <w:r>
        <w:rPr>
          <w:rFonts w:ascii="仿宋" w:hAnsi="仿宋" w:eastAsia="仿宋"/>
          <w:sz w:val="24"/>
          <w:highlight w:val="none"/>
        </w:rPr>
        <w:t xml:space="preserve">3 </w:t>
      </w:r>
      <w:r>
        <w:rPr>
          <w:rFonts w:hint="eastAsia" w:ascii="仿宋" w:hAnsi="仿宋" w:eastAsia="仿宋"/>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lang w:val="en-US" w:eastAsia="zh-CN"/>
        </w:rPr>
        <w:t>14</w:t>
      </w:r>
      <w:r>
        <w:rPr>
          <w:rFonts w:ascii="仿宋" w:hAnsi="仿宋" w:eastAsia="仿宋"/>
          <w:sz w:val="24"/>
          <w:highlight w:val="none"/>
        </w:rPr>
        <w:t xml:space="preserve">.4 </w:t>
      </w:r>
      <w:r>
        <w:rPr>
          <w:rFonts w:hint="eastAsia" w:ascii="仿宋" w:hAnsi="仿宋" w:eastAsia="仿宋"/>
          <w:sz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lang w:val="en-US" w:eastAsia="zh-CN"/>
        </w:rPr>
        <w:t>14</w:t>
      </w:r>
      <w:r>
        <w:rPr>
          <w:rFonts w:ascii="仿宋" w:hAnsi="仿宋" w:eastAsia="仿宋"/>
          <w:sz w:val="24"/>
          <w:highlight w:val="none"/>
        </w:rPr>
        <w:t xml:space="preserve">.5 </w:t>
      </w:r>
      <w:r>
        <w:rPr>
          <w:rFonts w:hint="eastAsia" w:ascii="仿宋" w:hAnsi="仿宋" w:eastAsia="仿宋"/>
          <w:sz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360" w:lineRule="auto"/>
        <w:ind w:firstLine="480" w:firstLineChars="200"/>
        <w:rPr>
          <w:rFonts w:ascii="仿宋" w:hAnsi="仿宋" w:eastAsia="仿宋"/>
          <w:sz w:val="24"/>
          <w:highlight w:val="none"/>
        </w:rPr>
      </w:pPr>
      <w:r>
        <w:rPr>
          <w:rFonts w:hint="eastAsia" w:ascii="仿宋" w:hAnsi="仿宋" w:eastAsia="仿宋"/>
          <w:sz w:val="24"/>
          <w:highlight w:val="none"/>
          <w:lang w:val="en-US" w:eastAsia="zh-CN"/>
        </w:rPr>
        <w:t>14</w:t>
      </w:r>
      <w:r>
        <w:rPr>
          <w:rFonts w:ascii="仿宋" w:hAnsi="仿宋" w:eastAsia="仿宋"/>
          <w:sz w:val="24"/>
          <w:highlight w:val="none"/>
        </w:rPr>
        <w:t xml:space="preserve">.6 </w:t>
      </w:r>
      <w:r>
        <w:rPr>
          <w:rFonts w:hint="eastAsia" w:ascii="仿宋" w:hAnsi="仿宋" w:eastAsia="仿宋"/>
          <w:sz w:val="24"/>
          <w:highlight w:val="none"/>
        </w:rPr>
        <w:t>如果出现政府采购监督管理部门在处理投诉事项期间，书面通知甲方暂停采购活动的情形，或者询问或质疑事项可能影响中标结果的，导致甲方中止履行合同的情形，均不视为甲方违约。</w:t>
      </w:r>
    </w:p>
    <w:p>
      <w:pPr>
        <w:spacing w:line="360" w:lineRule="auto"/>
        <w:ind w:left="-420" w:leftChars="-200" w:right="-420" w:rightChars="-200" w:firstLine="960" w:firstLineChars="400"/>
        <w:rPr>
          <w:highlight w:val="none"/>
        </w:rPr>
      </w:pPr>
      <w:r>
        <w:rPr>
          <w:rFonts w:hint="eastAsia" w:ascii="仿宋" w:hAnsi="仿宋" w:eastAsia="仿宋"/>
          <w:sz w:val="24"/>
          <w:highlight w:val="none"/>
          <w:lang w:val="en-US" w:eastAsia="zh-CN"/>
        </w:rPr>
        <w:t>14</w:t>
      </w:r>
      <w:r>
        <w:rPr>
          <w:rFonts w:hint="eastAsia" w:ascii="仿宋" w:hAnsi="仿宋" w:eastAsia="仿宋"/>
          <w:sz w:val="24"/>
          <w:highlight w:val="none"/>
        </w:rPr>
        <w:t>.7违约责任</w:t>
      </w:r>
      <w:r>
        <w:rPr>
          <w:rFonts w:hint="eastAsia" w:ascii="仿宋" w:hAnsi="仿宋" w:eastAsia="仿宋"/>
          <w:sz w:val="24"/>
          <w:highlight w:val="none"/>
          <w:lang w:val="en-US" w:eastAsia="zh-CN"/>
        </w:rPr>
        <w:t>采购人</w:t>
      </w:r>
      <w:r>
        <w:rPr>
          <w:rFonts w:hint="eastAsia" w:ascii="仿宋" w:hAnsi="仿宋" w:eastAsia="仿宋"/>
          <w:sz w:val="24"/>
          <w:highlight w:val="none"/>
        </w:rPr>
        <w:t>另有约定的</w:t>
      </w:r>
      <w:r>
        <w:rPr>
          <w:rFonts w:hint="eastAsia" w:ascii="仿宋" w:hAnsi="仿宋" w:eastAsia="仿宋"/>
          <w:sz w:val="24"/>
          <w:highlight w:val="none"/>
          <w:lang w:eastAsia="zh-CN"/>
        </w:rPr>
        <w:t>：</w:t>
      </w:r>
      <w:r>
        <w:rPr>
          <w:rFonts w:hint="eastAsia" w:ascii="仿宋" w:hAnsi="仿宋" w:eastAsia="仿宋"/>
          <w:sz w:val="24"/>
          <w:highlight w:val="none"/>
          <w:u w:val="single" w:color="auto"/>
          <w:lang w:val="en-US" w:eastAsia="zh-CN"/>
        </w:rPr>
        <w:t xml:space="preserve">                         </w:t>
      </w:r>
      <w:r>
        <w:rPr>
          <w:rFonts w:hint="eastAsia" w:ascii="仿宋" w:hAnsi="仿宋" w:eastAsia="仿宋"/>
          <w:sz w:val="24"/>
          <w:highlight w:val="none"/>
        </w:rPr>
        <w:t>从其约定。</w:t>
      </w:r>
    </w:p>
    <w:p>
      <w:pPr>
        <w:adjustRightInd w:val="0"/>
        <w:snapToGrid/>
        <w:spacing w:line="360" w:lineRule="auto"/>
        <w:ind w:left="0" w:leftChars="0" w:right="0" w:firstLine="0" w:firstLineChars="0"/>
        <w:outlineLvl w:val="9"/>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 xml:space="preserve">    15.</w:t>
      </w:r>
      <w:r>
        <w:rPr>
          <w:rFonts w:hint="eastAsia" w:ascii="仿宋" w:hAnsi="仿宋" w:eastAsia="仿宋" w:cs="仿宋"/>
          <w:b/>
          <w:bCs/>
          <w:sz w:val="24"/>
          <w:highlight w:val="none"/>
        </w:rPr>
        <w:t>不可抗力事件处理</w:t>
      </w:r>
    </w:p>
    <w:p>
      <w:pPr>
        <w:adjustRightInd w:val="0"/>
        <w:snapToGrid/>
        <w:spacing w:line="360" w:lineRule="auto"/>
        <w:ind w:left="0" w:leftChars="0" w:right="0" w:firstLine="0" w:firstLineChars="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    15.1</w:t>
      </w:r>
      <w:r>
        <w:rPr>
          <w:rFonts w:hint="eastAsia" w:ascii="仿宋" w:hAnsi="仿宋" w:eastAsia="仿宋" w:cs="仿宋"/>
          <w:sz w:val="24"/>
          <w:highlight w:val="none"/>
        </w:rPr>
        <w:t>在合同有效期内，任何一方因不可抗力事件导致不能履行合同，则合同履行期可延长，其延长期与不可抗力影响期相同。</w:t>
      </w:r>
    </w:p>
    <w:p>
      <w:pPr>
        <w:adjustRightInd w:val="0"/>
        <w:snapToGrid/>
        <w:spacing w:line="360" w:lineRule="auto"/>
        <w:ind w:left="0" w:leftChars="0" w:right="0" w:firstLine="0" w:firstLineChars="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    15.2</w:t>
      </w:r>
      <w:r>
        <w:rPr>
          <w:rFonts w:hint="eastAsia" w:ascii="仿宋" w:hAnsi="仿宋" w:eastAsia="仿宋" w:cs="仿宋"/>
          <w:sz w:val="24"/>
          <w:highlight w:val="none"/>
        </w:rPr>
        <w:t>不可抗力事件发生后，应立即通知对方，并寄送有关权威机构出具的证明。</w:t>
      </w:r>
    </w:p>
    <w:p>
      <w:pPr>
        <w:adjustRightInd w:val="0"/>
        <w:snapToGrid/>
        <w:spacing w:line="360" w:lineRule="auto"/>
        <w:ind w:left="0" w:leftChars="0" w:right="0" w:firstLine="0" w:firstLineChars="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    15.3</w:t>
      </w:r>
      <w:r>
        <w:rPr>
          <w:rFonts w:hint="eastAsia" w:ascii="仿宋" w:hAnsi="仿宋" w:eastAsia="仿宋" w:cs="仿宋"/>
          <w:sz w:val="24"/>
          <w:highlight w:val="none"/>
        </w:rPr>
        <w:t>不可抗力事件延续120天以上，双方应通过友好协商，确定是否继续履行合同。</w:t>
      </w:r>
    </w:p>
    <w:p>
      <w:pPr>
        <w:adjustRightInd w:val="0"/>
        <w:snapToGrid/>
        <w:spacing w:line="360" w:lineRule="auto"/>
        <w:ind w:left="0" w:leftChars="0" w:right="0" w:firstLine="0" w:firstLineChars="0"/>
        <w:outlineLvl w:val="9"/>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 xml:space="preserve">    16.</w:t>
      </w:r>
      <w:r>
        <w:rPr>
          <w:rFonts w:hint="eastAsia" w:ascii="仿宋" w:hAnsi="仿宋" w:eastAsia="仿宋" w:cs="仿宋"/>
          <w:b/>
          <w:bCs/>
          <w:sz w:val="24"/>
          <w:highlight w:val="none"/>
        </w:rPr>
        <w:t>诉讼</w:t>
      </w:r>
    </w:p>
    <w:p>
      <w:pPr>
        <w:adjustRightInd w:val="0"/>
        <w:snapToGrid/>
        <w:spacing w:line="360" w:lineRule="auto"/>
        <w:ind w:left="0" w:leftChars="0" w:right="0" w:firstLine="0" w:firstLineChars="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双方在执行合同中所发生的一切争议，应通过协商解决。如协商不成，可向甲方所在地法院起诉。</w:t>
      </w:r>
    </w:p>
    <w:p>
      <w:pPr>
        <w:adjustRightInd w:val="0"/>
        <w:snapToGrid/>
        <w:spacing w:line="360" w:lineRule="auto"/>
        <w:ind w:left="0" w:leftChars="0" w:right="0" w:firstLine="0" w:firstLineChars="0"/>
        <w:outlineLvl w:val="9"/>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 xml:space="preserve">    17.</w:t>
      </w:r>
      <w:r>
        <w:rPr>
          <w:rFonts w:hint="eastAsia" w:ascii="仿宋" w:hAnsi="仿宋" w:eastAsia="仿宋" w:cs="仿宋"/>
          <w:b/>
          <w:bCs/>
          <w:sz w:val="24"/>
          <w:highlight w:val="none"/>
        </w:rPr>
        <w:t>合同生效及其它</w:t>
      </w:r>
    </w:p>
    <w:p>
      <w:pPr>
        <w:adjustRightInd w:val="0"/>
        <w:snapToGrid/>
        <w:spacing w:line="360" w:lineRule="auto"/>
        <w:ind w:left="0" w:leftChars="0" w:right="0" w:firstLine="0" w:firstLineChars="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    17.1</w:t>
      </w:r>
      <w:r>
        <w:rPr>
          <w:rFonts w:hint="eastAsia" w:ascii="仿宋" w:hAnsi="仿宋" w:eastAsia="仿宋" w:cs="仿宋"/>
          <w:sz w:val="24"/>
          <w:highlight w:val="none"/>
        </w:rPr>
        <w:t>招标文件、投标文件、更正公告、中标通知书、承诺函等均作为本合同组成部分，具有同等效力。</w:t>
      </w:r>
    </w:p>
    <w:p>
      <w:pPr>
        <w:adjustRightInd w:val="0"/>
        <w:snapToGrid/>
        <w:spacing w:line="360" w:lineRule="auto"/>
        <w:ind w:left="0" w:leftChars="0" w:right="0" w:firstLine="0" w:firstLineChars="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    17.2</w:t>
      </w:r>
      <w:r>
        <w:rPr>
          <w:rFonts w:hint="eastAsia" w:ascii="仿宋" w:hAnsi="仿宋" w:eastAsia="仿宋" w:cs="仿宋"/>
          <w:sz w:val="24"/>
          <w:highlight w:val="none"/>
        </w:rPr>
        <w:t>合同经双方法定代表人或其授权代表签字并加盖单位公章后方可生效。</w:t>
      </w:r>
    </w:p>
    <w:p>
      <w:pPr>
        <w:adjustRightInd w:val="0"/>
        <w:snapToGrid/>
        <w:spacing w:line="360" w:lineRule="auto"/>
        <w:ind w:left="0" w:leftChars="0" w:right="0" w:firstLine="0" w:firstLineChars="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    17.3</w:t>
      </w:r>
      <w:r>
        <w:rPr>
          <w:rFonts w:hint="eastAsia" w:ascii="仿宋" w:hAnsi="仿宋" w:eastAsia="仿宋" w:cs="仿宋"/>
          <w:sz w:val="24"/>
          <w:highlight w:val="none"/>
        </w:rPr>
        <w:t>合同执行中涉及采购资金和采购内容修改或补充的，须经审批，并签书面补充协议，作为主合同不可分割的一部分。</w:t>
      </w:r>
    </w:p>
    <w:p>
      <w:pPr>
        <w:snapToGrid/>
        <w:spacing w:line="360" w:lineRule="auto"/>
        <w:ind w:firstLine="0" w:firstLineChars="0"/>
        <w:rPr>
          <w:rFonts w:hint="eastAsia" w:ascii="仿宋" w:hAnsi="仿宋" w:eastAsia="仿宋" w:cs="仿宋"/>
          <w:b/>
          <w:bCs/>
          <w:sz w:val="24"/>
          <w:highlight w:val="none"/>
        </w:rPr>
      </w:pPr>
      <w:r>
        <w:rPr>
          <w:rFonts w:hint="eastAsia" w:ascii="仿宋" w:hAnsi="仿宋" w:eastAsia="仿宋" w:cs="仿宋"/>
          <w:sz w:val="24"/>
          <w:highlight w:val="none"/>
          <w:lang w:val="en-US" w:eastAsia="zh-CN"/>
        </w:rPr>
        <w:t xml:space="preserve">    </w:t>
      </w:r>
      <w:r>
        <w:rPr>
          <w:rFonts w:hint="eastAsia" w:ascii="仿宋" w:hAnsi="仿宋" w:eastAsia="仿宋" w:cs="仿宋"/>
          <w:b/>
          <w:bCs/>
          <w:sz w:val="24"/>
          <w:highlight w:val="none"/>
          <w:lang w:eastAsia="zh-CN"/>
        </w:rPr>
        <w:t>1</w:t>
      </w:r>
      <w:r>
        <w:rPr>
          <w:rFonts w:hint="eastAsia" w:ascii="仿宋" w:hAnsi="仿宋" w:eastAsia="仿宋" w:cs="仿宋"/>
          <w:b/>
          <w:bCs/>
          <w:sz w:val="24"/>
          <w:highlight w:val="none"/>
          <w:lang w:val="en-US" w:eastAsia="zh-CN"/>
        </w:rPr>
        <w:t>7.4</w:t>
      </w:r>
      <w:r>
        <w:rPr>
          <w:rFonts w:hint="eastAsia" w:ascii="仿宋" w:hAnsi="仿宋" w:eastAsia="仿宋" w:cs="仿宋"/>
          <w:b/>
          <w:bCs/>
          <w:sz w:val="24"/>
          <w:highlight w:val="none"/>
          <w:lang w:val="zh-CN"/>
        </w:rPr>
        <w:t>本合同</w:t>
      </w:r>
      <w:r>
        <w:rPr>
          <w:rFonts w:hint="eastAsia" w:ascii="仿宋" w:hAnsi="仿宋" w:eastAsia="仿宋" w:cs="仿宋"/>
          <w:b/>
          <w:bCs/>
          <w:sz w:val="24"/>
          <w:highlight w:val="none"/>
        </w:rPr>
        <w:t>（□是  □</w:t>
      </w:r>
      <w:r>
        <w:rPr>
          <w:rFonts w:hint="eastAsia" w:ascii="仿宋" w:hAnsi="仿宋" w:eastAsia="仿宋" w:cs="仿宋"/>
          <w:b/>
          <w:bCs/>
          <w:sz w:val="24"/>
          <w:highlight w:val="none"/>
          <w:lang w:val="zh-CN"/>
        </w:rPr>
        <w:t>否</w:t>
      </w:r>
      <w:r>
        <w:rPr>
          <w:rFonts w:hint="eastAsia" w:ascii="仿宋" w:hAnsi="仿宋" w:eastAsia="仿宋" w:cs="仿宋"/>
          <w:b/>
          <w:bCs/>
          <w:sz w:val="24"/>
          <w:highlight w:val="none"/>
        </w:rPr>
        <w:t>）</w:t>
      </w:r>
      <w:r>
        <w:rPr>
          <w:rFonts w:hint="eastAsia" w:ascii="仿宋" w:hAnsi="仿宋" w:eastAsia="仿宋" w:cs="仿宋"/>
          <w:b/>
          <w:bCs/>
          <w:sz w:val="24"/>
          <w:highlight w:val="none"/>
          <w:lang w:val="zh-CN"/>
        </w:rPr>
        <w:t>为可融资合同</w:t>
      </w:r>
      <w:r>
        <w:rPr>
          <w:rFonts w:hint="eastAsia" w:ascii="仿宋" w:hAnsi="仿宋" w:eastAsia="仿宋" w:cs="仿宋"/>
          <w:b/>
          <w:bCs/>
          <w:sz w:val="24"/>
          <w:highlight w:val="none"/>
        </w:rPr>
        <w:t>，</w:t>
      </w:r>
      <w:r>
        <w:rPr>
          <w:rFonts w:hint="eastAsia" w:ascii="仿宋" w:hAnsi="仿宋" w:eastAsia="仿宋" w:cs="仿宋"/>
          <w:b/>
          <w:bCs/>
          <w:sz w:val="24"/>
          <w:highlight w:val="none"/>
          <w:lang w:val="zh-CN"/>
        </w:rPr>
        <w:t>关于中小企业信用融资事项</w:t>
      </w:r>
      <w:r>
        <w:rPr>
          <w:rFonts w:hint="eastAsia" w:ascii="仿宋" w:hAnsi="仿宋" w:eastAsia="仿宋" w:cs="仿宋"/>
          <w:b/>
          <w:bCs/>
          <w:sz w:val="24"/>
          <w:highlight w:val="none"/>
        </w:rPr>
        <w:t>详见《政府采购支持中小企业信用融资相关事项通知》。</w:t>
      </w:r>
    </w:p>
    <w:p>
      <w:pPr>
        <w:adjustRightInd w:val="0"/>
        <w:snapToGrid/>
        <w:spacing w:line="360" w:lineRule="auto"/>
        <w:ind w:left="0" w:leftChars="0" w:right="0" w:firstLine="0" w:firstLineChars="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    17.5</w:t>
      </w:r>
      <w:r>
        <w:rPr>
          <w:rFonts w:hint="eastAsia" w:ascii="仿宋" w:hAnsi="仿宋" w:eastAsia="仿宋" w:cs="仿宋"/>
          <w:sz w:val="24"/>
          <w:highlight w:val="none"/>
        </w:rPr>
        <w:t>本合同未尽事宜，遵照《</w:t>
      </w:r>
      <w:r>
        <w:rPr>
          <w:rFonts w:hint="eastAsia" w:ascii="仿宋" w:hAnsi="仿宋" w:eastAsia="仿宋" w:cs="仿宋"/>
          <w:sz w:val="24"/>
          <w:highlight w:val="none"/>
          <w:lang w:val="en-US" w:eastAsia="zh-CN"/>
        </w:rPr>
        <w:t>民法典</w:t>
      </w:r>
      <w:r>
        <w:rPr>
          <w:rFonts w:hint="eastAsia" w:ascii="仿宋" w:hAnsi="仿宋" w:eastAsia="仿宋" w:cs="仿宋"/>
          <w:sz w:val="24"/>
          <w:highlight w:val="none"/>
        </w:rPr>
        <w:t>》有关条文执行。</w:t>
      </w:r>
    </w:p>
    <w:p>
      <w:pPr>
        <w:adjustRightInd w:val="0"/>
        <w:snapToGrid/>
        <w:spacing w:line="360" w:lineRule="auto"/>
        <w:ind w:left="0" w:leftChars="0" w:right="0" w:firstLine="0" w:firstLineChars="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    17.6</w:t>
      </w:r>
      <w:r>
        <w:rPr>
          <w:rFonts w:hint="eastAsia" w:ascii="仿宋" w:hAnsi="仿宋" w:eastAsia="仿宋" w:cs="仿宋"/>
          <w:sz w:val="24"/>
          <w:highlight w:val="none"/>
        </w:rPr>
        <w:t xml:space="preserve">本合同一式多份，具有同等法律效力，甲乙双方、验收单位，各执一份。 </w:t>
      </w:r>
    </w:p>
    <w:p>
      <w:pPr>
        <w:adjustRightInd w:val="0"/>
        <w:snapToGrid/>
        <w:spacing w:line="360" w:lineRule="auto"/>
        <w:ind w:left="0" w:leftChars="0" w:right="0" w:firstLine="0" w:firstLineChars="0"/>
        <w:outlineLvl w:val="9"/>
        <w:rPr>
          <w:rFonts w:hint="eastAsia" w:ascii="仿宋" w:hAnsi="仿宋" w:eastAsia="仿宋" w:cs="仿宋"/>
          <w:sz w:val="24"/>
          <w:highlight w:val="none"/>
        </w:rPr>
      </w:pPr>
    </w:p>
    <w:p>
      <w:pPr>
        <w:adjustRightInd w:val="0"/>
        <w:snapToGrid/>
        <w:spacing w:line="360" w:lineRule="auto"/>
        <w:ind w:left="0" w:leftChars="0" w:right="0" w:firstLine="0" w:firstLineChars="0"/>
        <w:outlineLvl w:val="9"/>
        <w:rPr>
          <w:rFonts w:hint="eastAsia" w:ascii="仿宋" w:hAnsi="仿宋" w:eastAsia="仿宋" w:cs="仿宋"/>
          <w:sz w:val="24"/>
          <w:highlight w:val="none"/>
        </w:rPr>
      </w:pPr>
      <w:r>
        <w:rPr>
          <w:rFonts w:hint="eastAsia" w:ascii="仿宋" w:hAnsi="仿宋" w:eastAsia="仿宋" w:cs="仿宋"/>
          <w:sz w:val="24"/>
          <w:highlight w:val="none"/>
        </w:rPr>
        <w:t xml:space="preserve">甲方（盖章）：                         乙方（盖章）：                 </w:t>
      </w:r>
    </w:p>
    <w:p>
      <w:pPr>
        <w:adjustRightInd w:val="0"/>
        <w:snapToGrid/>
        <w:spacing w:line="360" w:lineRule="auto"/>
        <w:ind w:left="0" w:leftChars="0" w:right="0" w:firstLine="0" w:firstLineChars="0"/>
        <w:outlineLvl w:val="9"/>
        <w:rPr>
          <w:rFonts w:hint="eastAsia" w:ascii="仿宋" w:hAnsi="仿宋" w:eastAsia="仿宋" w:cs="仿宋"/>
          <w:sz w:val="24"/>
          <w:highlight w:val="none"/>
        </w:rPr>
      </w:pPr>
      <w:r>
        <w:rPr>
          <w:rFonts w:hint="eastAsia" w:ascii="仿宋" w:hAnsi="仿宋" w:eastAsia="仿宋" w:cs="仿宋"/>
          <w:sz w:val="24"/>
          <w:highlight w:val="none"/>
        </w:rPr>
        <w:t xml:space="preserve">法定代表人：                          法定代表人：                </w:t>
      </w:r>
    </w:p>
    <w:p>
      <w:pPr>
        <w:adjustRightInd w:val="0"/>
        <w:snapToGrid/>
        <w:spacing w:line="360" w:lineRule="auto"/>
        <w:ind w:left="0" w:leftChars="0" w:right="0" w:firstLine="0" w:firstLineChars="0"/>
        <w:outlineLvl w:val="9"/>
        <w:rPr>
          <w:rFonts w:hint="eastAsia" w:ascii="仿宋" w:hAnsi="仿宋" w:eastAsia="仿宋" w:cs="仿宋"/>
          <w:sz w:val="24"/>
          <w:highlight w:val="none"/>
        </w:rPr>
      </w:pPr>
      <w:r>
        <w:rPr>
          <w:rFonts w:hint="eastAsia" w:ascii="仿宋" w:hAnsi="仿宋" w:eastAsia="仿宋" w:cs="仿宋"/>
          <w:sz w:val="24"/>
          <w:highlight w:val="none"/>
        </w:rPr>
        <w:t xml:space="preserve">或授权代表（签字）：                   或授权代表（签字）：           </w:t>
      </w:r>
    </w:p>
    <w:p>
      <w:pPr>
        <w:adjustRightInd w:val="0"/>
        <w:snapToGrid/>
        <w:spacing w:line="360" w:lineRule="auto"/>
        <w:ind w:left="0" w:leftChars="0" w:right="0" w:firstLine="0" w:firstLineChars="0"/>
        <w:outlineLvl w:val="9"/>
        <w:rPr>
          <w:rFonts w:hint="eastAsia" w:ascii="仿宋" w:hAnsi="仿宋" w:eastAsia="仿宋" w:cs="仿宋"/>
          <w:sz w:val="24"/>
        </w:rPr>
      </w:pPr>
      <w:r>
        <w:rPr>
          <w:rFonts w:hint="eastAsia" w:ascii="仿宋" w:hAnsi="仿宋" w:eastAsia="仿宋" w:cs="仿宋"/>
          <w:sz w:val="24"/>
        </w:rPr>
        <w:t xml:space="preserve">地址：                                地址：    </w:t>
      </w:r>
    </w:p>
    <w:p>
      <w:pPr>
        <w:adjustRightInd w:val="0"/>
        <w:snapToGrid/>
        <w:spacing w:line="360" w:lineRule="auto"/>
        <w:ind w:left="0" w:leftChars="0" w:right="0" w:firstLine="0" w:firstLineChars="0"/>
        <w:outlineLvl w:val="9"/>
        <w:rPr>
          <w:rFonts w:hint="eastAsia" w:ascii="仿宋" w:hAnsi="仿宋" w:eastAsia="仿宋" w:cs="仿宋"/>
          <w:sz w:val="24"/>
        </w:rPr>
      </w:pPr>
      <w:r>
        <w:rPr>
          <w:rFonts w:hint="eastAsia" w:ascii="仿宋" w:hAnsi="仿宋" w:eastAsia="仿宋" w:cs="仿宋"/>
          <w:sz w:val="24"/>
        </w:rPr>
        <w:t xml:space="preserve">邮编：                                邮编：                     </w:t>
      </w:r>
    </w:p>
    <w:p>
      <w:pPr>
        <w:adjustRightInd w:val="0"/>
        <w:snapToGrid/>
        <w:spacing w:line="360" w:lineRule="auto"/>
        <w:ind w:left="0" w:leftChars="0" w:right="0" w:firstLine="0" w:firstLineChars="0"/>
        <w:outlineLvl w:val="9"/>
        <w:rPr>
          <w:rFonts w:hint="eastAsia" w:ascii="仿宋" w:hAnsi="仿宋" w:eastAsia="仿宋" w:cs="仿宋"/>
          <w:sz w:val="24"/>
        </w:rPr>
      </w:pPr>
      <w:r>
        <w:rPr>
          <w:rFonts w:hint="eastAsia" w:ascii="仿宋" w:hAnsi="仿宋" w:eastAsia="仿宋" w:cs="仿宋"/>
          <w:sz w:val="24"/>
        </w:rPr>
        <w:t xml:space="preserve">电话：                                电话：             </w:t>
      </w:r>
    </w:p>
    <w:p>
      <w:pPr>
        <w:adjustRightInd w:val="0"/>
        <w:snapToGrid/>
        <w:spacing w:line="360" w:lineRule="auto"/>
        <w:ind w:left="0" w:leftChars="0" w:right="0" w:firstLine="0" w:firstLineChars="0"/>
        <w:outlineLvl w:val="9"/>
        <w:rPr>
          <w:rFonts w:hint="eastAsia" w:ascii="仿宋" w:hAnsi="仿宋" w:eastAsia="仿宋" w:cs="仿宋"/>
          <w:sz w:val="24"/>
        </w:rPr>
      </w:pPr>
      <w:r>
        <w:rPr>
          <w:rFonts w:hint="eastAsia" w:ascii="仿宋" w:hAnsi="仿宋" w:eastAsia="仿宋" w:cs="仿宋"/>
          <w:sz w:val="24"/>
        </w:rPr>
        <w:t xml:space="preserve">开户银行：                            开户银行：    </w:t>
      </w:r>
    </w:p>
    <w:p>
      <w:pPr>
        <w:adjustRightInd w:val="0"/>
        <w:snapToGrid/>
        <w:spacing w:line="360" w:lineRule="auto"/>
        <w:ind w:left="0" w:leftChars="0" w:right="0" w:firstLine="0" w:firstLineChars="0"/>
        <w:outlineLvl w:val="9"/>
        <w:rPr>
          <w:rFonts w:hint="eastAsia" w:ascii="仿宋" w:hAnsi="仿宋" w:eastAsia="仿宋" w:cs="仿宋"/>
          <w:sz w:val="24"/>
        </w:rPr>
      </w:pPr>
      <w:r>
        <w:rPr>
          <w:rFonts w:hint="eastAsia" w:ascii="仿宋" w:hAnsi="仿宋" w:eastAsia="仿宋" w:cs="仿宋"/>
          <w:sz w:val="24"/>
        </w:rPr>
        <w:t xml:space="preserve">帐号：                                帐号：     </w:t>
      </w:r>
    </w:p>
    <w:p>
      <w:pPr>
        <w:adjustRightInd w:val="0"/>
        <w:snapToGrid/>
        <w:spacing w:line="360" w:lineRule="auto"/>
        <w:ind w:left="0" w:leftChars="0" w:right="0" w:firstLine="0" w:firstLineChars="0"/>
        <w:jc w:val="left"/>
        <w:outlineLvl w:val="9"/>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签约时间：      年    月   日</w:t>
      </w:r>
    </w:p>
    <w:p>
      <w:pPr>
        <w:wordWrap/>
        <w:spacing w:line="360" w:lineRule="auto"/>
        <w:jc w:val="both"/>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 xml:space="preserve">签约地点： </w:t>
      </w:r>
    </w:p>
    <w:p>
      <w:pPr>
        <w:spacing w:line="360" w:lineRule="auto"/>
        <w:rPr>
          <w:rFonts w:hint="eastAsia" w:ascii="仿宋" w:hAnsi="仿宋" w:eastAsia="仿宋" w:cs="仿宋"/>
          <w:b/>
          <w:bCs/>
          <w:sz w:val="24"/>
        </w:rPr>
      </w:pPr>
      <w:bookmarkStart w:id="394" w:name="_Toc328381300"/>
      <w:bookmarkStart w:id="395" w:name="_Toc339872468"/>
      <w:bookmarkStart w:id="396" w:name="_Toc350327365"/>
      <w:bookmarkStart w:id="397" w:name="_Toc326765771"/>
      <w:bookmarkStart w:id="398" w:name="_Toc868"/>
      <w:bookmarkStart w:id="399" w:name="_Toc349721554"/>
    </w:p>
    <w:p>
      <w:pPr>
        <w:spacing w:line="360" w:lineRule="auto"/>
        <w:rPr>
          <w:rFonts w:hint="eastAsia" w:ascii="仿宋" w:hAnsi="仿宋" w:eastAsia="仿宋" w:cs="仿宋"/>
          <w:b/>
          <w:bCs/>
          <w:sz w:val="24"/>
        </w:rPr>
      </w:pPr>
      <w:r>
        <w:rPr>
          <w:rFonts w:hint="eastAsia" w:ascii="仿宋" w:hAnsi="仿宋" w:eastAsia="仿宋" w:cs="仿宋"/>
          <w:b/>
          <w:bCs/>
          <w:sz w:val="24"/>
        </w:rPr>
        <w:t xml:space="preserve"> 此仅为合同书样本，中标单位需根据实际情况和采购人签订相应的合同！</w:t>
      </w:r>
      <w:bookmarkEnd w:id="394"/>
      <w:bookmarkEnd w:id="395"/>
      <w:bookmarkEnd w:id="396"/>
      <w:bookmarkEnd w:id="397"/>
      <w:bookmarkEnd w:id="398"/>
      <w:bookmarkEnd w:id="399"/>
    </w:p>
    <w:p>
      <w:pPr>
        <w:spacing w:line="360" w:lineRule="auto"/>
        <w:ind w:left="720" w:firstLine="723" w:firstLineChars="200"/>
        <w:outlineLvl w:val="0"/>
        <w:rPr>
          <w:rFonts w:ascii="仿宋" w:hAnsi="仿宋" w:eastAsia="仿宋" w:cs="仿宋"/>
          <w:b/>
          <w:sz w:val="36"/>
          <w:szCs w:val="20"/>
        </w:rPr>
      </w:pPr>
    </w:p>
    <w:p>
      <w:pPr>
        <w:spacing w:line="360" w:lineRule="auto"/>
        <w:ind w:left="720" w:firstLine="723" w:firstLineChars="200"/>
        <w:outlineLvl w:val="0"/>
        <w:rPr>
          <w:rFonts w:ascii="仿宋" w:hAnsi="仿宋" w:eastAsia="仿宋" w:cs="仿宋"/>
          <w:b/>
          <w:sz w:val="36"/>
          <w:szCs w:val="20"/>
        </w:rPr>
      </w:pPr>
      <w:r>
        <w:rPr>
          <w:rFonts w:hint="eastAsia" w:ascii="仿宋" w:hAnsi="仿宋" w:eastAsia="仿宋" w:cs="仿宋"/>
          <w:b/>
          <w:sz w:val="36"/>
          <w:szCs w:val="20"/>
        </w:rPr>
        <w:t>第六部分</w:t>
      </w:r>
      <w:bookmarkEnd w:id="392"/>
      <w:r>
        <w:rPr>
          <w:rFonts w:hint="eastAsia" w:ascii="仿宋" w:hAnsi="仿宋" w:eastAsia="仿宋" w:cs="仿宋"/>
          <w:b/>
          <w:sz w:val="36"/>
          <w:szCs w:val="20"/>
        </w:rPr>
        <w:t xml:space="preserve"> </w:t>
      </w:r>
      <w:bookmarkEnd w:id="393"/>
      <w:r>
        <w:rPr>
          <w:rFonts w:hint="eastAsia" w:ascii="仿宋" w:hAnsi="仿宋" w:eastAsia="仿宋" w:cs="仿宋"/>
          <w:b/>
          <w:sz w:val="36"/>
          <w:szCs w:val="20"/>
        </w:rPr>
        <w:t>应提交的有关格式范例</w:t>
      </w:r>
    </w:p>
    <w:p>
      <w:pPr>
        <w:spacing w:line="360" w:lineRule="auto"/>
        <w:jc w:val="center"/>
        <w:outlineLvl w:val="0"/>
        <w:rPr>
          <w:rFonts w:ascii="仿宋" w:hAnsi="仿宋" w:eastAsia="仿宋" w:cs="仿宋"/>
          <w:b/>
          <w:kern w:val="0"/>
          <w:sz w:val="36"/>
          <w:szCs w:val="36"/>
        </w:rPr>
      </w:pPr>
    </w:p>
    <w:p>
      <w:pPr>
        <w:pStyle w:val="2"/>
        <w:rPr>
          <w:rFonts w:ascii="仿宋" w:eastAsia="仿宋" w:cs="仿宋"/>
          <w:kern w:val="0"/>
          <w:sz w:val="36"/>
          <w:szCs w:val="36"/>
        </w:rPr>
      </w:pPr>
    </w:p>
    <w:p>
      <w:pPr>
        <w:snapToGrid w:val="0"/>
        <w:spacing w:line="360" w:lineRule="auto"/>
        <w:rPr>
          <w:rFonts w:ascii="仿宋" w:hAnsi="仿宋" w:eastAsia="仿宋" w:cs="仿宋"/>
          <w:b/>
          <w:color w:val="000000"/>
          <w:sz w:val="24"/>
        </w:rPr>
      </w:pPr>
      <w:r>
        <w:rPr>
          <w:rFonts w:hint="eastAsia" w:ascii="仿宋" w:hAnsi="仿宋" w:eastAsia="仿宋" w:cs="仿宋"/>
          <w:b/>
          <w:color w:val="000000"/>
          <w:sz w:val="24"/>
        </w:rPr>
        <w:t>一、投标人提交投标文件须知：</w:t>
      </w:r>
    </w:p>
    <w:p>
      <w:pPr>
        <w:snapToGrid w:val="0"/>
        <w:spacing w:line="360" w:lineRule="auto"/>
        <w:ind w:firstLine="480" w:firstLineChars="200"/>
        <w:rPr>
          <w:rFonts w:ascii="仿宋" w:hAnsi="仿宋" w:eastAsia="仿宋" w:cs="仿宋"/>
          <w:color w:val="000000"/>
          <w:sz w:val="24"/>
        </w:rPr>
      </w:pPr>
      <w:r>
        <w:rPr>
          <w:rFonts w:hint="eastAsia" w:ascii="仿宋" w:hAnsi="仿宋" w:eastAsia="仿宋" w:cs="仿宋"/>
          <w:color w:val="000000"/>
          <w:sz w:val="24"/>
        </w:rPr>
        <w:t>1、投标人应严格按照以下顺序填写和提交下述规定的全部格式文件以及其他有关资料，混乱的编排导致投标文件被误读或评标委员会查找不到有效文件是投标人的风险。</w:t>
      </w:r>
    </w:p>
    <w:p>
      <w:pPr>
        <w:snapToGrid w:val="0"/>
        <w:spacing w:line="360" w:lineRule="auto"/>
        <w:ind w:firstLine="480" w:firstLineChars="200"/>
        <w:rPr>
          <w:rFonts w:ascii="仿宋" w:hAnsi="仿宋" w:eastAsia="仿宋" w:cs="仿宋"/>
          <w:color w:val="000000"/>
          <w:sz w:val="24"/>
        </w:rPr>
      </w:pPr>
      <w:r>
        <w:rPr>
          <w:rFonts w:hint="eastAsia" w:ascii="仿宋" w:hAnsi="仿宋" w:eastAsia="仿宋" w:cs="仿宋"/>
          <w:color w:val="000000"/>
          <w:sz w:val="24"/>
        </w:rPr>
        <w:t>2、所附表格中要求回答的全部问题和/或信息都必须正面回答。</w:t>
      </w:r>
    </w:p>
    <w:p>
      <w:pPr>
        <w:snapToGrid w:val="0"/>
        <w:spacing w:line="360" w:lineRule="auto"/>
        <w:ind w:firstLine="480" w:firstLineChars="200"/>
        <w:rPr>
          <w:rFonts w:ascii="仿宋" w:hAnsi="仿宋" w:eastAsia="仿宋" w:cs="仿宋"/>
          <w:color w:val="000000"/>
          <w:sz w:val="24"/>
        </w:rPr>
      </w:pPr>
      <w:r>
        <w:rPr>
          <w:rFonts w:hint="eastAsia" w:ascii="仿宋" w:hAnsi="仿宋" w:eastAsia="仿宋" w:cs="仿宋"/>
          <w:color w:val="000000"/>
          <w:sz w:val="24"/>
        </w:rPr>
        <w:t>3、本声明书的签字人应保证全部声明和问题的回答是真实的和准确的。</w:t>
      </w:r>
    </w:p>
    <w:p>
      <w:pPr>
        <w:snapToGrid w:val="0"/>
        <w:spacing w:line="360" w:lineRule="auto"/>
        <w:ind w:firstLine="480" w:firstLineChars="200"/>
        <w:rPr>
          <w:rFonts w:ascii="仿宋" w:hAnsi="仿宋" w:eastAsia="仿宋" w:cs="仿宋"/>
          <w:color w:val="000000"/>
          <w:sz w:val="24"/>
        </w:rPr>
      </w:pPr>
      <w:r>
        <w:rPr>
          <w:rFonts w:hint="eastAsia" w:ascii="仿宋" w:hAnsi="仿宋" w:eastAsia="仿宋" w:cs="仿宋"/>
          <w:color w:val="000000"/>
          <w:sz w:val="24"/>
        </w:rPr>
        <w:t>4、评标委员会将应用投标人提交的资料作出自己的判断。</w:t>
      </w:r>
    </w:p>
    <w:p>
      <w:pPr>
        <w:snapToGrid w:val="0"/>
        <w:spacing w:line="360" w:lineRule="auto"/>
        <w:ind w:firstLine="480" w:firstLineChars="200"/>
        <w:rPr>
          <w:rFonts w:ascii="仿宋" w:hAnsi="仿宋" w:eastAsia="仿宋" w:cs="仿宋"/>
          <w:color w:val="000000"/>
          <w:sz w:val="24"/>
        </w:rPr>
      </w:pPr>
      <w:r>
        <w:rPr>
          <w:rFonts w:hint="eastAsia" w:ascii="仿宋" w:hAnsi="仿宋" w:eastAsia="仿宋" w:cs="仿宋"/>
          <w:color w:val="000000"/>
          <w:sz w:val="24"/>
        </w:rPr>
        <w:t>5、投标人提交的材料将在一定期限内被保密保存，但不退还。</w:t>
      </w:r>
    </w:p>
    <w:p>
      <w:pPr>
        <w:snapToGrid w:val="0"/>
        <w:spacing w:line="360" w:lineRule="auto"/>
        <w:ind w:firstLine="480" w:firstLineChars="200"/>
        <w:rPr>
          <w:rFonts w:ascii="仿宋" w:hAnsi="仿宋" w:eastAsia="仿宋" w:cs="仿宋"/>
          <w:color w:val="000000"/>
          <w:sz w:val="24"/>
          <w:lang w:val="zh-CN"/>
        </w:rPr>
      </w:pPr>
      <w:r>
        <w:rPr>
          <w:rFonts w:hint="eastAsia" w:ascii="仿宋" w:hAnsi="仿宋" w:eastAsia="仿宋" w:cs="仿宋"/>
          <w:color w:val="000000"/>
          <w:sz w:val="24"/>
        </w:rPr>
        <w:t>6、全部文件应按投标人须知中规定的语言和份数提交。投标文件组成漏项或未按规定的格式编制，内容不全或内容字迹模糊辨认不清的情况，</w:t>
      </w:r>
      <w:r>
        <w:rPr>
          <w:rFonts w:hint="eastAsia" w:ascii="仿宋" w:hAnsi="仿宋" w:eastAsia="仿宋" w:cs="仿宋"/>
          <w:b/>
          <w:color w:val="000000"/>
          <w:sz w:val="24"/>
        </w:rPr>
        <w:t>将有可能被评标委员会认定为投标无效。</w:t>
      </w:r>
    </w:p>
    <w:p>
      <w:pPr>
        <w:spacing w:line="360" w:lineRule="auto"/>
        <w:jc w:val="center"/>
        <w:outlineLvl w:val="0"/>
        <w:rPr>
          <w:rFonts w:ascii="仿宋" w:hAnsi="仿宋" w:eastAsia="仿宋" w:cs="仿宋"/>
          <w:b/>
          <w:kern w:val="0"/>
          <w:sz w:val="36"/>
          <w:szCs w:val="36"/>
        </w:rPr>
      </w:pPr>
    </w:p>
    <w:p>
      <w:pPr>
        <w:rPr>
          <w:rFonts w:ascii="仿宋" w:hAnsi="仿宋" w:eastAsia="仿宋" w:cs="仿宋"/>
        </w:rPr>
      </w:pPr>
    </w:p>
    <w:p>
      <w:pPr>
        <w:pStyle w:val="2"/>
        <w:rPr>
          <w:rFonts w:ascii="仿宋" w:eastAsia="仿宋" w:cs="仿宋"/>
        </w:rPr>
      </w:pPr>
    </w:p>
    <w:p>
      <w:pPr>
        <w:rPr>
          <w:rFonts w:ascii="仿宋" w:hAnsi="仿宋" w:eastAsia="仿宋" w:cs="仿宋"/>
        </w:rPr>
      </w:pPr>
    </w:p>
    <w:p>
      <w:pPr>
        <w:pStyle w:val="2"/>
        <w:rPr>
          <w:rFonts w:ascii="仿宋" w:eastAsia="仿宋" w:cs="仿宋"/>
        </w:rPr>
      </w:pPr>
    </w:p>
    <w:p>
      <w:pPr>
        <w:rPr>
          <w:rFonts w:ascii="仿宋" w:hAnsi="仿宋" w:eastAsia="仿宋" w:cs="仿宋"/>
        </w:rPr>
      </w:pPr>
    </w:p>
    <w:p>
      <w:pPr>
        <w:pStyle w:val="2"/>
        <w:rPr>
          <w:rFonts w:ascii="仿宋" w:eastAsia="仿宋" w:cs="仿宋"/>
        </w:rPr>
      </w:pPr>
    </w:p>
    <w:p>
      <w:pPr>
        <w:rPr>
          <w:rFonts w:ascii="仿宋" w:hAnsi="仿宋" w:eastAsia="仿宋" w:cs="仿宋"/>
        </w:rPr>
      </w:pPr>
    </w:p>
    <w:p>
      <w:pPr>
        <w:pStyle w:val="2"/>
        <w:rPr>
          <w:rFonts w:ascii="仿宋" w:eastAsia="仿宋" w:cs="仿宋"/>
        </w:rPr>
      </w:pPr>
    </w:p>
    <w:p>
      <w:pPr>
        <w:rPr>
          <w:rFonts w:ascii="仿宋" w:hAnsi="仿宋" w:eastAsia="仿宋" w:cs="仿宋"/>
        </w:rPr>
      </w:pPr>
    </w:p>
    <w:p>
      <w:pPr>
        <w:jc w:val="left"/>
        <w:rPr>
          <w:rFonts w:ascii="仿宋" w:hAnsi="仿宋" w:eastAsia="仿宋" w:cs="仿宋"/>
          <w:b/>
          <w:bCs/>
          <w:sz w:val="40"/>
          <w:szCs w:val="48"/>
        </w:rPr>
      </w:pPr>
      <w:bookmarkStart w:id="400" w:name="_Toc12947"/>
      <w:r>
        <w:rPr>
          <w:rFonts w:hint="eastAsia" w:ascii="仿宋" w:hAnsi="仿宋" w:eastAsia="仿宋" w:cs="仿宋"/>
          <w:b/>
          <w:bCs/>
          <w:sz w:val="40"/>
          <w:szCs w:val="48"/>
        </w:rPr>
        <w:br w:type="page"/>
      </w:r>
    </w:p>
    <w:p>
      <w:pPr>
        <w:jc w:val="center"/>
        <w:outlineLvl w:val="0"/>
        <w:rPr>
          <w:rFonts w:ascii="仿宋" w:hAnsi="仿宋" w:eastAsia="仿宋" w:cs="仿宋"/>
          <w:b/>
          <w:bCs/>
          <w:sz w:val="40"/>
          <w:szCs w:val="48"/>
        </w:rPr>
      </w:pPr>
      <w:r>
        <w:rPr>
          <w:rFonts w:hint="eastAsia" w:ascii="仿宋" w:hAnsi="仿宋" w:eastAsia="仿宋" w:cs="仿宋"/>
          <w:b/>
          <w:bCs/>
          <w:sz w:val="40"/>
          <w:szCs w:val="48"/>
        </w:rPr>
        <w:t>电子备份投标文件的外包装封面格式</w:t>
      </w:r>
      <w:bookmarkEnd w:id="400"/>
    </w:p>
    <w:p>
      <w:pPr>
        <w:rPr>
          <w:rFonts w:ascii="仿宋" w:hAnsi="仿宋" w:eastAsia="仿宋" w:cs="仿宋"/>
          <w:b/>
          <w:bCs/>
          <w:sz w:val="40"/>
          <w:szCs w:val="48"/>
        </w:rPr>
      </w:pPr>
    </w:p>
    <w:p>
      <w:pPr>
        <w:rPr>
          <w:rFonts w:ascii="仿宋" w:hAnsi="仿宋" w:eastAsia="仿宋" w:cs="仿宋"/>
          <w:b/>
          <w:bCs/>
          <w:sz w:val="40"/>
          <w:szCs w:val="48"/>
        </w:rPr>
      </w:pPr>
    </w:p>
    <w:p>
      <w:pPr>
        <w:jc w:val="center"/>
        <w:outlineLvl w:val="0"/>
        <w:rPr>
          <w:rFonts w:ascii="仿宋" w:hAnsi="仿宋" w:eastAsia="仿宋" w:cs="仿宋"/>
          <w:b/>
          <w:bCs/>
          <w:sz w:val="40"/>
          <w:szCs w:val="48"/>
        </w:rPr>
      </w:pPr>
      <w:bookmarkStart w:id="401" w:name="_Toc13184"/>
      <w:r>
        <w:rPr>
          <w:rFonts w:hint="eastAsia" w:ascii="仿宋" w:hAnsi="仿宋" w:eastAsia="仿宋" w:cs="仿宋"/>
          <w:b/>
          <w:bCs/>
          <w:sz w:val="40"/>
          <w:szCs w:val="48"/>
        </w:rPr>
        <w:t>电子备份投标文件</w:t>
      </w:r>
      <w:bookmarkEnd w:id="401"/>
    </w:p>
    <w:p>
      <w:pPr>
        <w:jc w:val="center"/>
        <w:rPr>
          <w:rFonts w:ascii="仿宋" w:hAnsi="仿宋" w:eastAsia="仿宋" w:cs="仿宋"/>
          <w:b/>
          <w:bCs/>
          <w:sz w:val="40"/>
          <w:szCs w:val="48"/>
        </w:rPr>
      </w:pPr>
    </w:p>
    <w:p>
      <w:pPr>
        <w:jc w:val="center"/>
        <w:rPr>
          <w:rFonts w:ascii="仿宋" w:hAnsi="仿宋" w:eastAsia="仿宋" w:cs="仿宋"/>
          <w:b/>
          <w:bCs/>
          <w:sz w:val="40"/>
          <w:szCs w:val="48"/>
        </w:rPr>
      </w:pPr>
    </w:p>
    <w:p>
      <w:pPr>
        <w:jc w:val="center"/>
        <w:outlineLvl w:val="0"/>
        <w:rPr>
          <w:rFonts w:ascii="仿宋" w:hAnsi="仿宋" w:eastAsia="仿宋" w:cs="仿宋"/>
          <w:b/>
          <w:bCs/>
          <w:sz w:val="40"/>
          <w:szCs w:val="48"/>
        </w:rPr>
      </w:pPr>
      <w:bookmarkStart w:id="402" w:name="_Toc18701"/>
      <w:r>
        <w:rPr>
          <w:rFonts w:hint="eastAsia" w:ascii="仿宋" w:hAnsi="仿宋" w:eastAsia="仿宋" w:cs="仿宋"/>
          <w:b/>
          <w:bCs/>
          <w:sz w:val="40"/>
          <w:szCs w:val="48"/>
        </w:rPr>
        <w:t>项目名称：</w:t>
      </w:r>
      <w:bookmarkEnd w:id="402"/>
    </w:p>
    <w:p>
      <w:pPr>
        <w:jc w:val="center"/>
        <w:rPr>
          <w:rFonts w:ascii="仿宋" w:hAnsi="仿宋" w:eastAsia="仿宋" w:cs="仿宋"/>
          <w:b/>
          <w:bCs/>
          <w:sz w:val="40"/>
          <w:szCs w:val="48"/>
        </w:rPr>
      </w:pPr>
    </w:p>
    <w:p>
      <w:pPr>
        <w:jc w:val="center"/>
        <w:outlineLvl w:val="0"/>
        <w:rPr>
          <w:rFonts w:ascii="仿宋" w:hAnsi="仿宋" w:eastAsia="仿宋" w:cs="仿宋"/>
          <w:b/>
          <w:bCs/>
          <w:sz w:val="40"/>
          <w:szCs w:val="48"/>
        </w:rPr>
      </w:pPr>
      <w:bookmarkStart w:id="403" w:name="_Toc20693"/>
      <w:r>
        <w:rPr>
          <w:rFonts w:hint="eastAsia" w:ascii="仿宋" w:hAnsi="仿宋" w:eastAsia="仿宋" w:cs="仿宋"/>
          <w:b/>
          <w:bCs/>
          <w:sz w:val="40"/>
          <w:szCs w:val="48"/>
        </w:rPr>
        <w:t>项目编号：</w:t>
      </w:r>
      <w:bookmarkEnd w:id="403"/>
    </w:p>
    <w:p>
      <w:pPr>
        <w:rPr>
          <w:rFonts w:ascii="仿宋" w:hAnsi="仿宋" w:eastAsia="仿宋" w:cs="仿宋"/>
          <w:b/>
          <w:bCs/>
          <w:sz w:val="40"/>
          <w:szCs w:val="48"/>
        </w:rPr>
      </w:pPr>
    </w:p>
    <w:p>
      <w:pPr>
        <w:rPr>
          <w:rFonts w:ascii="仿宋" w:hAnsi="仿宋" w:eastAsia="仿宋" w:cs="仿宋"/>
          <w:b/>
          <w:bCs/>
          <w:sz w:val="40"/>
          <w:szCs w:val="48"/>
        </w:rPr>
      </w:pPr>
    </w:p>
    <w:p>
      <w:pPr>
        <w:rPr>
          <w:rFonts w:ascii="仿宋" w:hAnsi="仿宋" w:eastAsia="仿宋" w:cs="仿宋"/>
          <w:b/>
          <w:bCs/>
          <w:sz w:val="40"/>
          <w:szCs w:val="48"/>
        </w:rPr>
      </w:pPr>
    </w:p>
    <w:p>
      <w:pPr>
        <w:rPr>
          <w:rFonts w:ascii="仿宋" w:hAnsi="仿宋" w:eastAsia="仿宋" w:cs="仿宋"/>
          <w:b/>
          <w:bCs/>
          <w:sz w:val="40"/>
          <w:szCs w:val="48"/>
        </w:rPr>
      </w:pPr>
    </w:p>
    <w:p>
      <w:pPr>
        <w:jc w:val="center"/>
        <w:outlineLvl w:val="0"/>
        <w:rPr>
          <w:rFonts w:ascii="仿宋" w:hAnsi="仿宋" w:eastAsia="仿宋" w:cs="仿宋"/>
          <w:b/>
          <w:bCs/>
          <w:sz w:val="40"/>
          <w:szCs w:val="48"/>
        </w:rPr>
      </w:pPr>
      <w:bookmarkStart w:id="404" w:name="_Toc27616"/>
      <w:r>
        <w:rPr>
          <w:rFonts w:hint="eastAsia" w:ascii="仿宋" w:hAnsi="仿宋" w:eastAsia="仿宋" w:cs="仿宋"/>
          <w:b/>
          <w:bCs/>
          <w:sz w:val="40"/>
          <w:szCs w:val="48"/>
        </w:rPr>
        <w:t>投标人名称：（盖章）</w:t>
      </w:r>
      <w:bookmarkEnd w:id="404"/>
    </w:p>
    <w:p>
      <w:pPr>
        <w:jc w:val="center"/>
        <w:rPr>
          <w:rFonts w:ascii="仿宋" w:hAnsi="仿宋" w:eastAsia="仿宋" w:cs="仿宋"/>
          <w:b/>
          <w:bCs/>
          <w:sz w:val="40"/>
          <w:szCs w:val="48"/>
        </w:rPr>
      </w:pPr>
    </w:p>
    <w:p>
      <w:pPr>
        <w:jc w:val="center"/>
        <w:outlineLvl w:val="0"/>
        <w:rPr>
          <w:rFonts w:ascii="仿宋" w:hAnsi="仿宋" w:eastAsia="仿宋" w:cs="仿宋"/>
          <w:b/>
          <w:bCs/>
          <w:sz w:val="40"/>
          <w:szCs w:val="48"/>
        </w:rPr>
      </w:pPr>
      <w:bookmarkStart w:id="405" w:name="_Toc8328"/>
      <w:r>
        <w:rPr>
          <w:rFonts w:hint="eastAsia" w:ascii="仿宋" w:hAnsi="仿宋" w:eastAsia="仿宋" w:cs="仿宋"/>
          <w:b/>
          <w:bCs/>
          <w:sz w:val="40"/>
          <w:szCs w:val="48"/>
        </w:rPr>
        <w:t>投标人地址：</w:t>
      </w:r>
      <w:bookmarkEnd w:id="405"/>
    </w:p>
    <w:p>
      <w:pPr>
        <w:jc w:val="center"/>
        <w:rPr>
          <w:rFonts w:ascii="仿宋" w:hAnsi="仿宋" w:eastAsia="仿宋" w:cs="仿宋"/>
          <w:b/>
          <w:bCs/>
          <w:sz w:val="40"/>
          <w:szCs w:val="48"/>
        </w:rPr>
      </w:pPr>
    </w:p>
    <w:p>
      <w:pPr>
        <w:jc w:val="center"/>
        <w:outlineLvl w:val="0"/>
        <w:rPr>
          <w:rFonts w:ascii="仿宋" w:hAnsi="仿宋" w:eastAsia="仿宋" w:cs="仿宋"/>
          <w:b/>
          <w:bCs/>
          <w:sz w:val="40"/>
          <w:szCs w:val="48"/>
        </w:rPr>
      </w:pPr>
      <w:bookmarkStart w:id="406" w:name="_Toc23143"/>
      <w:r>
        <w:rPr>
          <w:rFonts w:hint="eastAsia" w:ascii="仿宋" w:hAnsi="仿宋" w:eastAsia="仿宋" w:cs="仿宋"/>
          <w:b/>
          <w:bCs/>
          <w:sz w:val="40"/>
          <w:szCs w:val="48"/>
        </w:rPr>
        <w:t>在</w:t>
      </w:r>
      <w:r>
        <w:rPr>
          <w:rFonts w:hint="eastAsia" w:ascii="仿宋" w:hAnsi="仿宋" w:eastAsia="仿宋" w:cs="仿宋"/>
          <w:b/>
          <w:bCs/>
          <w:sz w:val="40"/>
          <w:szCs w:val="48"/>
        </w:rPr>
        <w:tab/>
      </w:r>
      <w:r>
        <w:rPr>
          <w:rFonts w:hint="eastAsia" w:ascii="仿宋" w:hAnsi="仿宋" w:eastAsia="仿宋" w:cs="仿宋"/>
          <w:b/>
          <w:bCs/>
          <w:sz w:val="40"/>
          <w:szCs w:val="48"/>
        </w:rPr>
        <w:t xml:space="preserve">年 </w:t>
      </w:r>
      <w:r>
        <w:rPr>
          <w:rFonts w:hint="eastAsia" w:ascii="仿宋" w:hAnsi="仿宋" w:eastAsia="仿宋" w:cs="仿宋"/>
          <w:b/>
          <w:bCs/>
          <w:sz w:val="40"/>
          <w:szCs w:val="48"/>
        </w:rPr>
        <w:tab/>
      </w:r>
      <w:r>
        <w:rPr>
          <w:rFonts w:hint="eastAsia" w:ascii="仿宋" w:hAnsi="仿宋" w:eastAsia="仿宋" w:cs="仿宋"/>
          <w:b/>
          <w:bCs/>
          <w:sz w:val="40"/>
          <w:szCs w:val="48"/>
        </w:rPr>
        <w:t>月</w:t>
      </w:r>
      <w:r>
        <w:rPr>
          <w:rFonts w:hint="eastAsia" w:ascii="仿宋" w:hAnsi="仿宋" w:eastAsia="仿宋" w:cs="仿宋"/>
          <w:b/>
          <w:bCs/>
          <w:sz w:val="40"/>
          <w:szCs w:val="48"/>
        </w:rPr>
        <w:tab/>
      </w:r>
      <w:r>
        <w:rPr>
          <w:rFonts w:hint="eastAsia" w:ascii="仿宋" w:hAnsi="仿宋" w:eastAsia="仿宋" w:cs="仿宋"/>
          <w:b/>
          <w:bCs/>
          <w:sz w:val="40"/>
          <w:szCs w:val="48"/>
        </w:rPr>
        <w:t xml:space="preserve"> 日</w:t>
      </w:r>
      <w:r>
        <w:rPr>
          <w:rFonts w:hint="eastAsia" w:ascii="仿宋" w:hAnsi="仿宋" w:eastAsia="仿宋" w:cs="仿宋"/>
          <w:b/>
          <w:bCs/>
          <w:sz w:val="40"/>
          <w:szCs w:val="48"/>
        </w:rPr>
        <w:tab/>
      </w:r>
      <w:r>
        <w:rPr>
          <w:rFonts w:hint="eastAsia" w:ascii="仿宋" w:hAnsi="仿宋" w:eastAsia="仿宋" w:cs="仿宋"/>
          <w:b/>
          <w:bCs/>
          <w:sz w:val="40"/>
          <w:szCs w:val="48"/>
        </w:rPr>
        <w:t xml:space="preserve"> 时</w:t>
      </w:r>
      <w:r>
        <w:rPr>
          <w:rFonts w:hint="eastAsia" w:ascii="仿宋" w:hAnsi="仿宋" w:eastAsia="仿宋" w:cs="仿宋"/>
          <w:b/>
          <w:bCs/>
          <w:sz w:val="40"/>
          <w:szCs w:val="48"/>
        </w:rPr>
        <w:tab/>
      </w:r>
      <w:r>
        <w:rPr>
          <w:rFonts w:hint="eastAsia" w:ascii="仿宋" w:hAnsi="仿宋" w:eastAsia="仿宋" w:cs="仿宋"/>
          <w:b/>
          <w:bCs/>
          <w:sz w:val="40"/>
          <w:szCs w:val="48"/>
        </w:rPr>
        <w:t xml:space="preserve"> 分之前不得启封。</w:t>
      </w:r>
      <w:bookmarkEnd w:id="406"/>
    </w:p>
    <w:p>
      <w:pPr>
        <w:jc w:val="center"/>
        <w:rPr>
          <w:rFonts w:ascii="仿宋" w:hAnsi="仿宋" w:eastAsia="仿宋" w:cs="仿宋"/>
          <w:b/>
          <w:bCs/>
          <w:sz w:val="40"/>
          <w:szCs w:val="48"/>
        </w:rPr>
      </w:pPr>
    </w:p>
    <w:p>
      <w:pPr>
        <w:jc w:val="center"/>
        <w:outlineLvl w:val="0"/>
        <w:rPr>
          <w:rFonts w:ascii="仿宋" w:hAnsi="仿宋" w:eastAsia="仿宋" w:cs="仿宋"/>
          <w:b/>
          <w:bCs/>
          <w:sz w:val="40"/>
          <w:szCs w:val="48"/>
        </w:rPr>
      </w:pPr>
      <w:bookmarkStart w:id="407" w:name="_Toc10680"/>
      <w:r>
        <w:rPr>
          <w:rFonts w:hint="eastAsia" w:ascii="仿宋" w:hAnsi="仿宋" w:eastAsia="仿宋" w:cs="仿宋"/>
          <w:b/>
          <w:bCs/>
          <w:sz w:val="40"/>
          <w:szCs w:val="48"/>
        </w:rPr>
        <w:t>年</w:t>
      </w:r>
      <w:r>
        <w:rPr>
          <w:rFonts w:hint="eastAsia" w:ascii="仿宋" w:hAnsi="仿宋" w:eastAsia="仿宋" w:cs="仿宋"/>
          <w:b/>
          <w:bCs/>
          <w:sz w:val="40"/>
          <w:szCs w:val="48"/>
        </w:rPr>
        <w:tab/>
      </w:r>
      <w:r>
        <w:rPr>
          <w:rFonts w:hint="eastAsia" w:ascii="仿宋" w:hAnsi="仿宋" w:eastAsia="仿宋" w:cs="仿宋"/>
          <w:b/>
          <w:bCs/>
          <w:sz w:val="40"/>
          <w:szCs w:val="48"/>
        </w:rPr>
        <w:t xml:space="preserve">  月   </w:t>
      </w:r>
      <w:r>
        <w:rPr>
          <w:rFonts w:hint="eastAsia" w:ascii="仿宋" w:hAnsi="仿宋" w:eastAsia="仿宋" w:cs="仿宋"/>
          <w:b/>
          <w:bCs/>
          <w:sz w:val="40"/>
          <w:szCs w:val="48"/>
        </w:rPr>
        <w:tab/>
      </w:r>
      <w:r>
        <w:rPr>
          <w:rFonts w:hint="eastAsia" w:ascii="仿宋" w:hAnsi="仿宋" w:eastAsia="仿宋" w:cs="仿宋"/>
          <w:b/>
          <w:bCs/>
          <w:sz w:val="40"/>
          <w:szCs w:val="48"/>
        </w:rPr>
        <w:t>日</w:t>
      </w:r>
      <w:bookmarkEnd w:id="407"/>
    </w:p>
    <w:p>
      <w:pPr>
        <w:pStyle w:val="2"/>
        <w:rPr>
          <w:rFonts w:ascii="仿宋" w:eastAsia="仿宋" w:cs="仿宋"/>
        </w:rPr>
      </w:pPr>
    </w:p>
    <w:p>
      <w:pPr>
        <w:rPr>
          <w:rFonts w:ascii="仿宋" w:hAnsi="仿宋" w:eastAsia="仿宋" w:cs="仿宋"/>
        </w:rPr>
      </w:pPr>
    </w:p>
    <w:p>
      <w:pPr>
        <w:jc w:val="left"/>
        <w:rPr>
          <w:rFonts w:ascii="仿宋" w:hAnsi="仿宋" w:eastAsia="仿宋" w:cs="仿宋"/>
          <w:b/>
          <w:kern w:val="0"/>
          <w:sz w:val="36"/>
          <w:szCs w:val="36"/>
        </w:rPr>
      </w:pPr>
      <w:r>
        <w:rPr>
          <w:rFonts w:hint="eastAsia" w:ascii="仿宋" w:hAnsi="仿宋" w:eastAsia="仿宋" w:cs="仿宋"/>
          <w:b/>
          <w:kern w:val="0"/>
          <w:sz w:val="36"/>
          <w:szCs w:val="36"/>
        </w:rPr>
        <w:br w:type="page"/>
      </w:r>
    </w:p>
    <w:p>
      <w:pPr>
        <w:shd w:val="clear" w:color="auto" w:fill="FFFFFF"/>
        <w:snapToGrid w:val="0"/>
        <w:spacing w:line="360" w:lineRule="auto"/>
        <w:jc w:val="center"/>
        <w:outlineLvl w:val="0"/>
        <w:rPr>
          <w:rFonts w:ascii="仿宋" w:hAnsi="仿宋" w:eastAsia="仿宋" w:cs="仿宋"/>
          <w:b/>
          <w:bCs/>
          <w:color w:val="000000"/>
          <w:sz w:val="52"/>
          <w:szCs w:val="52"/>
        </w:rPr>
      </w:pPr>
    </w:p>
    <w:p>
      <w:pPr>
        <w:spacing w:line="360" w:lineRule="auto"/>
        <w:jc w:val="center"/>
        <w:outlineLvl w:val="0"/>
        <w:rPr>
          <w:rFonts w:ascii="仿宋_GB2312" w:hAnsi="仿宋_GB2312" w:eastAsia="仿宋_GB2312" w:cs="仿宋_GB2312"/>
          <w:b/>
          <w:kern w:val="0"/>
          <w:sz w:val="44"/>
          <w:szCs w:val="44"/>
        </w:rPr>
      </w:pPr>
      <w:r>
        <w:rPr>
          <w:rFonts w:hint="eastAsia" w:ascii="仿宋_GB2312" w:hAnsi="仿宋_GB2312" w:eastAsia="仿宋_GB2312" w:cs="仿宋_GB2312"/>
          <w:b/>
          <w:kern w:val="0"/>
          <w:sz w:val="44"/>
          <w:szCs w:val="44"/>
        </w:rPr>
        <w:t>资格文件部分(封面）</w:t>
      </w:r>
    </w:p>
    <w:p>
      <w:pPr>
        <w:spacing w:line="360" w:lineRule="auto"/>
        <w:jc w:val="center"/>
        <w:outlineLvl w:val="0"/>
        <w:rPr>
          <w:rFonts w:ascii="仿宋_GB2312" w:hAnsi="仿宋_GB2312" w:eastAsia="仿宋_GB2312" w:cs="仿宋_GB2312"/>
          <w:b/>
          <w:kern w:val="0"/>
          <w:sz w:val="36"/>
          <w:szCs w:val="36"/>
        </w:rPr>
      </w:pPr>
    </w:p>
    <w:p>
      <w:pPr>
        <w:shd w:val="clear" w:color="auto" w:fill="FFFFFF"/>
        <w:snapToGrid w:val="0"/>
        <w:spacing w:line="360" w:lineRule="auto"/>
        <w:jc w:val="center"/>
        <w:outlineLvl w:val="0"/>
        <w:rPr>
          <w:rFonts w:ascii="仿宋_GB2312" w:hAnsi="仿宋_GB2312" w:eastAsia="仿宋_GB2312" w:cs="仿宋_GB2312"/>
          <w:b/>
          <w:bCs/>
          <w:color w:val="000000"/>
          <w:sz w:val="44"/>
          <w:szCs w:val="44"/>
        </w:rPr>
      </w:pPr>
      <w:r>
        <w:rPr>
          <w:rFonts w:hint="eastAsia" w:ascii="仿宋_GB2312" w:hAnsi="仿宋_GB2312" w:eastAsia="仿宋_GB2312" w:cs="仿宋_GB2312"/>
          <w:b/>
          <w:bCs/>
          <w:color w:val="000000"/>
          <w:sz w:val="44"/>
          <w:szCs w:val="44"/>
        </w:rPr>
        <w:t>（项目名称）</w:t>
      </w:r>
    </w:p>
    <w:p>
      <w:pPr>
        <w:shd w:val="clear" w:color="auto" w:fill="FFFFFF"/>
        <w:snapToGrid w:val="0"/>
        <w:spacing w:line="360" w:lineRule="auto"/>
        <w:jc w:val="center"/>
        <w:outlineLvl w:val="0"/>
        <w:rPr>
          <w:rFonts w:ascii="仿宋_GB2312" w:hAnsi="仿宋_GB2312" w:eastAsia="仿宋_GB2312" w:cs="仿宋_GB2312"/>
          <w:b/>
          <w:bCs/>
          <w:color w:val="000000"/>
          <w:sz w:val="52"/>
          <w:szCs w:val="52"/>
        </w:rPr>
      </w:pPr>
    </w:p>
    <w:p>
      <w:pPr>
        <w:shd w:val="clear" w:color="auto" w:fill="FFFFFF"/>
        <w:snapToGrid w:val="0"/>
        <w:spacing w:line="360" w:lineRule="auto"/>
        <w:jc w:val="center"/>
        <w:outlineLvl w:val="0"/>
        <w:rPr>
          <w:rFonts w:ascii="仿宋_GB2312" w:hAnsi="仿宋_GB2312" w:eastAsia="仿宋_GB2312" w:cs="仿宋_GB2312"/>
          <w:b/>
          <w:bCs/>
          <w:color w:val="000000"/>
          <w:sz w:val="52"/>
          <w:szCs w:val="52"/>
        </w:rPr>
      </w:pPr>
      <w:r>
        <w:rPr>
          <w:rFonts w:hint="eastAsia" w:ascii="仿宋_GB2312" w:hAnsi="仿宋_GB2312" w:eastAsia="仿宋_GB2312" w:cs="仿宋_GB2312"/>
          <w:b/>
          <w:bCs/>
          <w:color w:val="000000"/>
          <w:sz w:val="52"/>
          <w:szCs w:val="52"/>
        </w:rPr>
        <w:t>资  格  文  件</w:t>
      </w:r>
    </w:p>
    <w:p>
      <w:pPr>
        <w:widowControl/>
        <w:spacing w:line="360" w:lineRule="auto"/>
        <w:ind w:right="-2"/>
        <w:jc w:val="center"/>
        <w:outlineLvl w:val="1"/>
        <w:rPr>
          <w:rFonts w:ascii="仿宋_GB2312" w:hAnsi="仿宋_GB2312" w:eastAsia="仿宋_GB2312" w:cs="仿宋_GB2312"/>
          <w:b/>
          <w:color w:val="000000"/>
          <w:sz w:val="32"/>
          <w:szCs w:val="32"/>
        </w:rPr>
      </w:pPr>
      <w:r>
        <w:rPr>
          <w:rFonts w:hint="eastAsia" w:ascii="仿宋_GB2312" w:hAnsi="仿宋_GB2312" w:eastAsia="仿宋_GB2312" w:cs="仿宋_GB2312"/>
          <w:b/>
          <w:color w:val="000000"/>
          <w:sz w:val="32"/>
          <w:szCs w:val="32"/>
        </w:rPr>
        <w:t>（线上电子招投标）</w:t>
      </w:r>
    </w:p>
    <w:p>
      <w:pPr>
        <w:pStyle w:val="80"/>
        <w:spacing w:line="360" w:lineRule="auto"/>
        <w:rPr>
          <w:rFonts w:ascii="仿宋_GB2312" w:hAnsi="仿宋_GB2312" w:eastAsia="仿宋_GB2312" w:cs="仿宋_GB2312"/>
          <w:sz w:val="32"/>
          <w:szCs w:val="32"/>
        </w:rPr>
      </w:pPr>
    </w:p>
    <w:p>
      <w:pPr>
        <w:shd w:val="clear" w:color="auto" w:fill="FFFFFF"/>
        <w:snapToGrid w:val="0"/>
        <w:spacing w:line="360" w:lineRule="auto"/>
        <w:jc w:val="center"/>
        <w:outlineLvl w:val="1"/>
        <w:rPr>
          <w:rFonts w:ascii="仿宋_GB2312" w:hAnsi="仿宋_GB2312" w:eastAsia="仿宋_GB2312" w:cs="仿宋_GB2312"/>
          <w:b/>
          <w:bCs/>
          <w:color w:val="000000"/>
          <w:sz w:val="32"/>
          <w:szCs w:val="32"/>
        </w:rPr>
      </w:pPr>
      <w:r>
        <w:rPr>
          <w:rFonts w:hint="eastAsia" w:ascii="仿宋_GB2312" w:hAnsi="仿宋_GB2312" w:eastAsia="仿宋_GB2312" w:cs="仿宋_GB2312"/>
          <w:b/>
          <w:bCs/>
          <w:color w:val="000000"/>
          <w:sz w:val="32"/>
          <w:szCs w:val="32"/>
        </w:rPr>
        <w:t>招标编号：YHZFCG2023-</w:t>
      </w:r>
    </w:p>
    <w:p>
      <w:pPr>
        <w:snapToGrid w:val="0"/>
        <w:spacing w:line="360" w:lineRule="auto"/>
        <w:jc w:val="center"/>
        <w:rPr>
          <w:rFonts w:ascii="仿宋_GB2312" w:hAnsi="仿宋_GB2312" w:eastAsia="仿宋_GB2312" w:cs="仿宋_GB2312"/>
          <w:color w:val="000000"/>
          <w:sz w:val="52"/>
          <w:szCs w:val="52"/>
        </w:rPr>
      </w:pPr>
      <w:r>
        <w:rPr>
          <w:rFonts w:hint="eastAsia" w:ascii="仿宋_GB2312" w:hAnsi="仿宋_GB2312" w:eastAsia="仿宋_GB2312" w:cs="仿宋_GB2312"/>
          <w:color w:val="000000"/>
          <w:sz w:val="52"/>
          <w:szCs w:val="52"/>
        </w:rPr>
        <w:t>投</w:t>
      </w:r>
    </w:p>
    <w:p>
      <w:pPr>
        <w:snapToGrid w:val="0"/>
        <w:spacing w:line="360" w:lineRule="auto"/>
        <w:jc w:val="center"/>
        <w:rPr>
          <w:rFonts w:ascii="仿宋_GB2312" w:hAnsi="仿宋_GB2312" w:eastAsia="仿宋_GB2312" w:cs="仿宋_GB2312"/>
          <w:color w:val="000000"/>
          <w:sz w:val="52"/>
          <w:szCs w:val="52"/>
        </w:rPr>
      </w:pPr>
      <w:r>
        <w:rPr>
          <w:rFonts w:hint="eastAsia" w:ascii="仿宋_GB2312" w:hAnsi="仿宋_GB2312" w:eastAsia="仿宋_GB2312" w:cs="仿宋_GB2312"/>
          <w:color w:val="000000"/>
          <w:sz w:val="52"/>
          <w:szCs w:val="52"/>
        </w:rPr>
        <w:t>标</w:t>
      </w:r>
    </w:p>
    <w:p>
      <w:pPr>
        <w:snapToGrid w:val="0"/>
        <w:spacing w:line="360" w:lineRule="auto"/>
        <w:jc w:val="center"/>
        <w:rPr>
          <w:rFonts w:ascii="仿宋_GB2312" w:hAnsi="仿宋_GB2312" w:eastAsia="仿宋_GB2312" w:cs="仿宋_GB2312"/>
          <w:color w:val="000000"/>
          <w:sz w:val="52"/>
          <w:szCs w:val="52"/>
        </w:rPr>
      </w:pPr>
      <w:r>
        <w:rPr>
          <w:rFonts w:hint="eastAsia" w:ascii="仿宋_GB2312" w:hAnsi="仿宋_GB2312" w:eastAsia="仿宋_GB2312" w:cs="仿宋_GB2312"/>
          <w:color w:val="000000"/>
          <w:sz w:val="52"/>
          <w:szCs w:val="52"/>
        </w:rPr>
        <w:t>文</w:t>
      </w:r>
    </w:p>
    <w:p>
      <w:pPr>
        <w:snapToGrid w:val="0"/>
        <w:spacing w:line="360" w:lineRule="auto"/>
        <w:jc w:val="center"/>
        <w:rPr>
          <w:rFonts w:ascii="仿宋_GB2312" w:hAnsi="仿宋_GB2312" w:eastAsia="仿宋_GB2312" w:cs="仿宋_GB2312"/>
          <w:color w:val="000000"/>
          <w:sz w:val="52"/>
          <w:szCs w:val="52"/>
        </w:rPr>
      </w:pPr>
      <w:r>
        <w:rPr>
          <w:rFonts w:hint="eastAsia" w:ascii="仿宋_GB2312" w:hAnsi="仿宋_GB2312" w:eastAsia="仿宋_GB2312" w:cs="仿宋_GB2312"/>
          <w:color w:val="000000"/>
          <w:sz w:val="52"/>
          <w:szCs w:val="52"/>
        </w:rPr>
        <w:t>件</w:t>
      </w:r>
    </w:p>
    <w:p>
      <w:pPr>
        <w:snapToGrid w:val="0"/>
        <w:spacing w:line="360" w:lineRule="auto"/>
        <w:ind w:firstLine="1680" w:firstLineChars="600"/>
        <w:rPr>
          <w:rFonts w:ascii="仿宋_GB2312" w:hAnsi="仿宋_GB2312" w:eastAsia="仿宋_GB2312" w:cs="仿宋_GB2312"/>
          <w:color w:val="000000"/>
          <w:sz w:val="28"/>
          <w:szCs w:val="28"/>
        </w:rPr>
      </w:pPr>
    </w:p>
    <w:p>
      <w:pPr>
        <w:snapToGrid w:val="0"/>
        <w:spacing w:line="360" w:lineRule="auto"/>
        <w:ind w:firstLine="1920" w:firstLineChars="600"/>
        <w:rPr>
          <w:rFonts w:ascii="仿宋_GB2312" w:hAnsi="仿宋_GB2312" w:eastAsia="仿宋_GB2312" w:cs="仿宋_GB2312"/>
          <w:color w:val="000000"/>
          <w:sz w:val="32"/>
          <w:szCs w:val="32"/>
        </w:rPr>
      </w:pPr>
    </w:p>
    <w:p>
      <w:pPr>
        <w:snapToGrid w:val="0"/>
        <w:spacing w:line="360" w:lineRule="auto"/>
        <w:ind w:firstLine="1920" w:firstLineChars="6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投标人全称：（单位公章或电子公章）</w:t>
      </w:r>
    </w:p>
    <w:p>
      <w:pPr>
        <w:snapToGrid w:val="0"/>
        <w:spacing w:line="360" w:lineRule="auto"/>
        <w:ind w:firstLine="1920" w:firstLineChars="6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投标人地址：</w:t>
      </w:r>
    </w:p>
    <w:p>
      <w:pPr>
        <w:snapToGrid w:val="0"/>
        <w:spacing w:line="360" w:lineRule="auto"/>
        <w:jc w:val="center"/>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年   月   日</w:t>
      </w:r>
    </w:p>
    <w:p>
      <w:pPr>
        <w:pStyle w:val="3"/>
        <w:snapToGrid w:val="0"/>
        <w:rPr>
          <w:rFonts w:ascii="仿宋_GB2312" w:hAnsi="仿宋_GB2312" w:eastAsia="仿宋_GB2312" w:cs="仿宋_GB2312"/>
          <w:color w:val="000000"/>
          <w:sz w:val="32"/>
          <w:szCs w:val="32"/>
        </w:rPr>
        <w:sectPr>
          <w:headerReference r:id="rId5" w:type="default"/>
          <w:footerReference r:id="rId6" w:type="default"/>
          <w:pgSz w:w="11906" w:h="16838"/>
          <w:pgMar w:top="993" w:right="1474" w:bottom="1134" w:left="1474" w:header="851" w:footer="641" w:gutter="0"/>
          <w:cols w:space="720" w:num="1"/>
          <w:docGrid w:type="lines" w:linePitch="315" w:charSpace="0"/>
        </w:sectPr>
      </w:pPr>
    </w:p>
    <w:p>
      <w:pPr>
        <w:spacing w:line="360" w:lineRule="auto"/>
        <w:jc w:val="center"/>
        <w:outlineLvl w:val="0"/>
        <w:rPr>
          <w:rFonts w:ascii="仿宋_GB2312" w:hAnsi="仿宋" w:eastAsia="仿宋_GB2312" w:cs="仿宋_GB2312"/>
          <w:b/>
          <w:kern w:val="0"/>
          <w:sz w:val="36"/>
          <w:szCs w:val="36"/>
        </w:rPr>
      </w:pPr>
    </w:p>
    <w:p>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w:t>
      </w:r>
      <w:r>
        <w:rPr>
          <w:rFonts w:hint="eastAsia" w:ascii="仿宋_GB2312" w:hAnsi="仿宋" w:eastAsia="仿宋_GB2312" w:cs="仿宋_GB2312"/>
          <w:b/>
          <w:kern w:val="0"/>
          <w:sz w:val="36"/>
          <w:szCs w:val="36"/>
          <w:lang w:val="en-US" w:eastAsia="zh-CN"/>
        </w:rPr>
        <w:t xml:space="preserve"> </w:t>
      </w:r>
      <w:r>
        <w:rPr>
          <w:rFonts w:hint="eastAsia" w:ascii="仿宋_GB2312" w:hAnsi="仿宋" w:eastAsia="仿宋_GB2312" w:cs="仿宋_GB2312"/>
          <w:b/>
          <w:kern w:val="0"/>
          <w:sz w:val="36"/>
          <w:szCs w:val="36"/>
        </w:rPr>
        <w:t>录</w:t>
      </w:r>
    </w:p>
    <w:p>
      <w:pPr>
        <w:spacing w:line="360" w:lineRule="auto"/>
        <w:jc w:val="center"/>
        <w:outlineLvl w:val="0"/>
        <w:rPr>
          <w:rFonts w:ascii="仿宋_GB2312" w:hAnsi="仿宋" w:eastAsia="仿宋_GB2312" w:cs="仿宋_GB2312"/>
          <w:b/>
          <w:kern w:val="0"/>
          <w:sz w:val="36"/>
          <w:szCs w:val="36"/>
        </w:rPr>
      </w:pP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1）符合参加政府采购活动应当具备的一般条件的承诺函……</w:t>
      </w:r>
      <w:r>
        <w:rPr>
          <w:rFonts w:hint="eastAsia" w:ascii="仿宋_GB2312" w:hAnsi="仿宋" w:eastAsia="仿宋_GB2312" w:cs="仿宋_GB2312"/>
          <w:sz w:val="24"/>
        </w:rPr>
        <w:t>………（页码）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2）落实政府采购政策需满足的资格要求……</w:t>
      </w:r>
      <w:r>
        <w:rPr>
          <w:rFonts w:hint="eastAsia" w:ascii="仿宋_GB2312" w:hAnsi="仿宋" w:eastAsia="仿宋_GB2312" w:cs="仿宋_GB2312"/>
          <w:sz w:val="24"/>
        </w:rPr>
        <w:t>…………………………（页码）</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w:t>
      </w:r>
      <w:r>
        <w:rPr>
          <w:rFonts w:ascii="仿宋_GB2312" w:hAnsi="仿宋" w:eastAsia="仿宋_GB2312" w:cs="仿宋_GB2312"/>
          <w:sz w:val="24"/>
        </w:rPr>
        <w:t>3）本项目的特定资格要求……</w:t>
      </w:r>
      <w:r>
        <w:rPr>
          <w:rFonts w:hint="eastAsia" w:ascii="仿宋_GB2312" w:hAnsi="仿宋" w:eastAsia="仿宋_GB2312" w:cs="仿宋_GB2312"/>
          <w:sz w:val="24"/>
        </w:rPr>
        <w:t>…………………………………………（页码）</w:t>
      </w:r>
    </w:p>
    <w:p>
      <w:pPr>
        <w:snapToGrid w:val="0"/>
        <w:spacing w:line="360" w:lineRule="auto"/>
        <w:ind w:right="480"/>
        <w:jc w:val="center"/>
        <w:rPr>
          <w:rFonts w:ascii="仿宋_GB2312" w:hAnsi="仿宋" w:eastAsia="仿宋_GB2312" w:cs="仿宋_GB2312"/>
          <w:b/>
          <w:kern w:val="0"/>
          <w:sz w:val="32"/>
          <w:szCs w:val="32"/>
        </w:rPr>
      </w:pPr>
    </w:p>
    <w:p>
      <w:pPr>
        <w:spacing w:line="360" w:lineRule="auto"/>
        <w:ind w:firstLine="480" w:firstLineChars="200"/>
        <w:rPr>
          <w:rFonts w:ascii="仿宋_GB2312" w:hAnsi="仿宋" w:eastAsia="仿宋_GB2312" w:cs="仿宋_GB2312"/>
          <w:sz w:val="24"/>
        </w:rPr>
      </w:pPr>
    </w:p>
    <w:p>
      <w:pPr>
        <w:snapToGrid w:val="0"/>
        <w:spacing w:line="360" w:lineRule="auto"/>
        <w:ind w:right="480"/>
        <w:jc w:val="center"/>
        <w:rPr>
          <w:rFonts w:ascii="仿宋_GB2312" w:hAnsi="仿宋" w:eastAsia="仿宋_GB2312" w:cs="仿宋_GB2312"/>
          <w:b/>
          <w:kern w:val="0"/>
          <w:sz w:val="32"/>
          <w:szCs w:val="32"/>
        </w:rPr>
      </w:pPr>
      <w:r>
        <w:rPr>
          <w:rFonts w:ascii="仿宋_GB2312" w:hAnsi="仿宋" w:eastAsia="仿宋_GB2312" w:cs="仿宋_GB2312"/>
          <w:kern w:val="0"/>
          <w:sz w:val="24"/>
        </w:rPr>
        <w:br w:type="page"/>
      </w:r>
      <w:r>
        <w:rPr>
          <w:rFonts w:ascii="仿宋_GB2312" w:hAnsi="仿宋" w:eastAsia="仿宋_GB2312" w:cs="仿宋_GB2312"/>
          <w:b/>
          <w:kern w:val="0"/>
          <w:sz w:val="32"/>
          <w:szCs w:val="32"/>
        </w:rPr>
        <w:t xml:space="preserve">  </w:t>
      </w:r>
    </w:p>
    <w:p>
      <w:pPr>
        <w:snapToGrid w:val="0"/>
        <w:spacing w:line="360" w:lineRule="auto"/>
        <w:ind w:right="480"/>
        <w:jc w:val="center"/>
        <w:rPr>
          <w:rFonts w:ascii="仿宋_GB2312" w:hAnsi="仿宋" w:eastAsia="仿宋_GB2312" w:cs="仿宋_GB2312"/>
          <w:b/>
          <w:kern w:val="0"/>
          <w:sz w:val="32"/>
          <w:szCs w:val="32"/>
        </w:rPr>
      </w:pPr>
      <w:r>
        <w:rPr>
          <w:rFonts w:ascii="仿宋_GB2312" w:hAnsi="仿宋" w:eastAsia="仿宋_GB2312" w:cs="仿宋_GB2312"/>
          <w:b/>
          <w:kern w:val="0"/>
          <w:sz w:val="32"/>
          <w:szCs w:val="32"/>
        </w:rPr>
        <w:t>一、 符合参加政府采购活动应当具备的一般条件的承诺函</w:t>
      </w:r>
    </w:p>
    <w:p>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我方参与（临平区星桥中学食堂厨房设备采购）【招标编号：</w:t>
      </w:r>
      <w:r>
        <w:rPr>
          <w:rFonts w:hint="eastAsia" w:ascii="仿宋_GB2312" w:hAnsi="仿宋" w:eastAsia="仿宋_GB2312"/>
          <w:sz w:val="24"/>
        </w:rPr>
        <w:t>（YHZFCG2023-015）</w:t>
      </w:r>
      <w:r>
        <w:rPr>
          <w:rFonts w:hint="eastAsia" w:ascii="仿宋_GB2312" w:hAnsi="仿宋" w:eastAsia="仿宋_GB2312" w:cs="仿宋_GB2312"/>
          <w:sz w:val="24"/>
        </w:rPr>
        <w:t>】政府采购活动，郑重承诺：</w:t>
      </w:r>
    </w:p>
    <w:p>
      <w:pPr>
        <w:snapToGrid w:val="0"/>
        <w:spacing w:line="360" w:lineRule="auto"/>
        <w:ind w:firstLine="360" w:firstLineChars="150"/>
        <w:rPr>
          <w:rFonts w:ascii="仿宋_GB2312" w:hAnsi="仿宋" w:eastAsia="仿宋_GB2312" w:cs="仿宋_GB2312"/>
          <w:sz w:val="24"/>
        </w:rPr>
      </w:pPr>
      <w:r>
        <w:rPr>
          <w:rFonts w:hint="eastAsia" w:ascii="仿宋_GB2312" w:hAnsi="仿宋" w:eastAsia="仿宋_GB2312" w:cs="仿宋_GB2312"/>
          <w:sz w:val="24"/>
        </w:rPr>
        <w:t>（一）具备《中华人民共和国政府采购法》第二十二条第一款规定的条件：</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具有独立承担民事责任的能力；</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2、</w:t>
      </w:r>
      <w:r>
        <w:rPr>
          <w:rFonts w:ascii="仿宋_GB2312" w:hAnsi="仿宋" w:eastAsia="仿宋_GB2312"/>
          <w:sz w:val="24"/>
        </w:rPr>
        <w:t xml:space="preserve">具有良好的商业信誉和健全的财务会计制度； </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3、</w:t>
      </w:r>
      <w:r>
        <w:rPr>
          <w:rFonts w:ascii="仿宋_GB2312" w:hAnsi="仿宋" w:eastAsia="仿宋_GB2312"/>
          <w:sz w:val="24"/>
        </w:rPr>
        <w:t>具有履行合同所必需的设备和专业技术能力；</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4、</w:t>
      </w:r>
      <w:r>
        <w:rPr>
          <w:rFonts w:ascii="仿宋_GB2312" w:hAnsi="仿宋" w:eastAsia="仿宋_GB2312"/>
          <w:sz w:val="24"/>
        </w:rPr>
        <w:t>有依法缴纳税收和社会保障资金的良好记录；</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5、</w:t>
      </w:r>
      <w:r>
        <w:rPr>
          <w:rFonts w:ascii="仿宋_GB2312" w:hAnsi="仿宋" w:eastAsia="仿宋_GB2312"/>
          <w:sz w:val="24"/>
        </w:rPr>
        <w:t>参加政府采购活动前三年内，在经营活动中没有重大违法记录；</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6、</w:t>
      </w:r>
      <w:r>
        <w:rPr>
          <w:rFonts w:ascii="仿宋_GB2312" w:hAnsi="仿宋" w:eastAsia="仿宋_GB2312"/>
          <w:sz w:val="24"/>
        </w:rPr>
        <w:t>具有法律、行政法规规定的其他条件。</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（二）未被信用中国（</w:t>
      </w:r>
      <w:r>
        <w:rPr>
          <w:rFonts w:ascii="仿宋_GB2312" w:hAnsi="仿宋" w:eastAsia="仿宋_GB2312"/>
          <w:sz w:val="24"/>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_GB2312" w:hAnsi="仿宋" w:eastAsia="仿宋_GB2312"/>
          <w:sz w:val="24"/>
        </w:rPr>
      </w:pPr>
      <w:r>
        <w:rPr>
          <w:rFonts w:hint="eastAsia" w:ascii="仿宋_GB2312" w:hAnsi="仿宋" w:eastAsia="仿宋_GB2312"/>
          <w:sz w:val="24"/>
        </w:rPr>
        <w:t>（三）不存在以下情况：</w:t>
      </w:r>
    </w:p>
    <w:p>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w:t>
      </w:r>
      <w:r>
        <w:rPr>
          <w:rFonts w:ascii="仿宋_GB2312" w:hAnsi="仿宋" w:eastAsia="仿宋_GB2312" w:cs="仿宋_GB2312"/>
          <w:sz w:val="24"/>
        </w:rPr>
        <w:t>单位负责人为同一人或者存在直接控股、管理关系的不同供应商参加同一合同项下的政府采购活动的；</w:t>
      </w:r>
    </w:p>
    <w:p>
      <w:pPr>
        <w:snapToGrid w:val="0"/>
        <w:spacing w:line="360" w:lineRule="auto"/>
        <w:ind w:firstLine="5520" w:firstLineChars="2300"/>
        <w:rPr>
          <w:rFonts w:ascii="仿宋_GB2312" w:hAnsi="仿宋" w:eastAsia="仿宋_GB2312" w:cs="仿宋_GB2312"/>
          <w:kern w:val="0"/>
          <w:sz w:val="24"/>
          <w:lang w:val="zh-CN"/>
        </w:rPr>
      </w:pPr>
    </w:p>
    <w:p>
      <w:pPr>
        <w:pStyle w:val="80"/>
      </w:pPr>
    </w:p>
    <w:p>
      <w:pPr>
        <w:snapToGrid w:val="0"/>
        <w:spacing w:line="360" w:lineRule="auto"/>
        <w:ind w:firstLine="5520" w:firstLineChars="2300"/>
        <w:rPr>
          <w:rFonts w:ascii="仿宋_GB2312" w:hAnsi="仿宋" w:eastAsia="仿宋_GB2312" w:cs="仿宋_GB2312"/>
          <w:kern w:val="0"/>
          <w:sz w:val="24"/>
          <w:lang w:val="zh-CN"/>
        </w:rPr>
      </w:pPr>
    </w:p>
    <w:p>
      <w:pPr>
        <w:snapToGrid w:val="0"/>
        <w:spacing w:line="360" w:lineRule="auto"/>
        <w:ind w:firstLine="5520" w:firstLineChars="2300"/>
        <w:rPr>
          <w:rFonts w:ascii="仿宋_GB2312" w:hAnsi="仿宋" w:eastAsia="仿宋_GB2312" w:cs="仿宋_GB2312"/>
          <w:kern w:val="0"/>
          <w:sz w:val="24"/>
        </w:rPr>
      </w:pPr>
      <w:r>
        <w:rPr>
          <w:rFonts w:hint="eastAsia" w:ascii="仿宋_GB2312" w:hAnsi="仿宋" w:eastAsia="仿宋_GB2312" w:cs="仿宋_GB2312"/>
          <w:kern w:val="0"/>
          <w:sz w:val="24"/>
          <w:lang w:val="zh-CN"/>
        </w:rPr>
        <w:t>投标人名称</w:t>
      </w:r>
      <w:r>
        <w:rPr>
          <w:rFonts w:ascii="仿宋_GB2312" w:hAnsi="仿宋" w:eastAsia="仿宋_GB2312" w:cs="仿宋_GB2312"/>
          <w:kern w:val="0"/>
          <w:sz w:val="24"/>
          <w:lang w:val="zh-CN"/>
        </w:rPr>
        <w:t>(电子签名)：</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lang w:val="zh-CN"/>
        </w:rPr>
        <w:t xml:space="preserve">                        </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日期</w:t>
      </w:r>
      <w:r>
        <w:rPr>
          <w:rFonts w:hint="eastAsia" w:ascii="仿宋_GB2312" w:hAnsi="仿宋" w:eastAsia="仿宋_GB2312" w:cs="仿宋_GB2312"/>
          <w:kern w:val="0"/>
          <w:sz w:val="24"/>
        </w:rPr>
        <w:t>：</w:t>
      </w:r>
      <w:r>
        <w:rPr>
          <w:rFonts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p>
    <w:p>
      <w:pPr>
        <w:snapToGrid w:val="0"/>
        <w:spacing w:line="360" w:lineRule="auto"/>
        <w:ind w:right="480"/>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二、落实政府采购政策需满足的资格要求</w:t>
      </w:r>
    </w:p>
    <w:p>
      <w:pPr>
        <w:spacing w:line="360" w:lineRule="auto"/>
        <w:rPr>
          <w:rFonts w:ascii="仿宋_GB2312" w:hAnsi="仿宋" w:eastAsia="仿宋_GB2312"/>
          <w:sz w:val="24"/>
        </w:rPr>
      </w:pPr>
      <w:r>
        <w:rPr>
          <w:rFonts w:hint="eastAsia" w:ascii="仿宋_GB2312" w:hAnsi="仿宋" w:eastAsia="仿宋_GB2312" w:cs="仿宋_GB2312"/>
          <w:sz w:val="24"/>
        </w:rPr>
        <w:t>（根据招标公告</w:t>
      </w:r>
      <w:r>
        <w:rPr>
          <w:rFonts w:hint="eastAsia" w:ascii="仿宋_GB2312" w:hAnsi="仿宋" w:eastAsia="仿宋_GB2312"/>
          <w:sz w:val="24"/>
        </w:rPr>
        <w:t>落实政府采购政策需满足的资格要求选择提供相应的材料；</w:t>
      </w:r>
      <w:r>
        <w:rPr>
          <w:rFonts w:hint="eastAsia" w:ascii="仿宋_GB2312" w:hAnsi="仿宋" w:eastAsia="仿宋_GB2312" w:cs="仿宋_GB2312"/>
          <w:sz w:val="24"/>
        </w:rPr>
        <w:t>）</w:t>
      </w:r>
    </w:p>
    <w:p>
      <w:pPr>
        <w:numPr>
          <w:ilvl w:val="0"/>
          <w:numId w:val="4"/>
        </w:numPr>
        <w:snapToGrid w:val="0"/>
        <w:spacing w:before="50" w:after="50" w:line="360" w:lineRule="auto"/>
        <w:ind w:firstLine="470" w:firstLineChars="196"/>
        <w:jc w:val="left"/>
        <w:rPr>
          <w:rFonts w:ascii="仿宋_GB2312" w:hAnsi="仿宋" w:eastAsia="仿宋_GB2312" w:cs="仿宋_GB2312"/>
          <w:sz w:val="24"/>
        </w:rPr>
      </w:pPr>
      <w:r>
        <w:rPr>
          <w:rFonts w:hint="eastAsia" w:ascii="仿宋_GB2312" w:hAnsi="仿宋" w:eastAsia="仿宋_GB2312" w:cs="仿宋_GB2312"/>
          <w:sz w:val="24"/>
        </w:rPr>
        <w:t>专门面向中小企业，货物全部由符合政策要求的中小企业（或小微企业）制造或者服务全部由符合政策要求的中小企业（或小微企业）承接的，提供相应的中小企业声明函（附件</w:t>
      </w:r>
      <w:r>
        <w:rPr>
          <w:rFonts w:ascii="仿宋_GB2312" w:hAnsi="仿宋" w:eastAsia="仿宋_GB2312" w:cs="仿宋_GB2312"/>
          <w:sz w:val="24"/>
        </w:rPr>
        <w:t>5</w:t>
      </w:r>
      <w:r>
        <w:rPr>
          <w:rFonts w:hint="eastAsia" w:ascii="仿宋_GB2312" w:hAnsi="仿宋" w:eastAsia="仿宋_GB2312" w:cs="仿宋_GB2312"/>
          <w:sz w:val="24"/>
        </w:rPr>
        <w:t>）。</w:t>
      </w:r>
      <w:r>
        <w:rPr>
          <w:rFonts w:ascii="仿宋_GB2312" w:hAnsi="仿宋" w:eastAsia="仿宋_GB2312" w:cs="仿宋_GB2312"/>
          <w:sz w:val="24"/>
        </w:rPr>
        <w:t xml:space="preserve"> </w:t>
      </w:r>
    </w:p>
    <w:p>
      <w:pPr>
        <w:snapToGrid w:val="0"/>
        <w:spacing w:line="360" w:lineRule="auto"/>
        <w:ind w:firstLine="482" w:firstLineChars="200"/>
        <w:rPr>
          <w:rFonts w:hint="eastAsia" w:ascii="仿宋" w:hAnsi="仿宋" w:eastAsia="仿宋" w:cs="仿宋"/>
          <w:b/>
          <w:bCs/>
          <w:color w:val="000000"/>
          <w:sz w:val="24"/>
          <w:lang w:eastAsia="zh-CN"/>
        </w:rPr>
      </w:pPr>
      <w:r>
        <w:rPr>
          <w:rFonts w:hint="eastAsia" w:ascii="仿宋" w:hAnsi="仿宋" w:eastAsia="仿宋" w:cs="仿宋"/>
          <w:b/>
          <w:bCs/>
          <w:color w:val="000000"/>
          <w:sz w:val="24"/>
          <w:szCs w:val="24"/>
          <w:lang w:eastAsia="zh-CN"/>
        </w:rPr>
        <w:t>本次采购为</w:t>
      </w:r>
      <w:r>
        <w:rPr>
          <w:rFonts w:hint="eastAsia" w:ascii="仿宋" w:hAnsi="仿宋" w:eastAsia="仿宋" w:cs="仿宋"/>
          <w:b/>
          <w:bCs/>
          <w:color w:val="000000"/>
          <w:sz w:val="24"/>
          <w:szCs w:val="24"/>
          <w:u w:val="single"/>
          <w:lang w:eastAsia="zh-CN"/>
        </w:rPr>
        <w:t>专门面向中小企业预留采购份额的采购项目，投标人和货物生产厂商均须</w:t>
      </w:r>
      <w:r>
        <w:rPr>
          <w:rFonts w:hint="eastAsia" w:ascii="仿宋" w:hAnsi="仿宋" w:eastAsia="仿宋" w:cs="仿宋"/>
          <w:b/>
          <w:bCs/>
          <w:color w:val="000000"/>
          <w:sz w:val="24"/>
          <w:lang w:val="en-US" w:eastAsia="zh-CN"/>
        </w:rPr>
        <w:t>提供</w:t>
      </w:r>
      <w:r>
        <w:rPr>
          <w:rFonts w:hint="eastAsia" w:ascii="仿宋" w:hAnsi="仿宋" w:eastAsia="仿宋" w:cs="仿宋"/>
          <w:b/>
          <w:bCs/>
          <w:color w:val="000000"/>
          <w:sz w:val="24"/>
        </w:rPr>
        <w:t>中小（或小微企业）企业声明函。</w:t>
      </w:r>
      <w:r>
        <w:rPr>
          <w:rFonts w:hint="eastAsia" w:ascii="仿宋" w:hAnsi="仿宋" w:eastAsia="仿宋" w:cs="仿宋"/>
          <w:b/>
          <w:bCs/>
          <w:color w:val="000000"/>
          <w:sz w:val="24"/>
          <w:lang w:eastAsia="zh-CN"/>
        </w:rPr>
        <w:t>否则作无效投标处理。</w:t>
      </w:r>
    </w:p>
    <w:p>
      <w:pPr>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lang w:eastAsia="zh-CN"/>
        </w:rPr>
        <w:t>注：</w:t>
      </w:r>
      <w:r>
        <w:rPr>
          <w:rFonts w:hint="eastAsia" w:ascii="仿宋" w:hAnsi="仿宋" w:eastAsia="仿宋" w:cs="仿宋"/>
          <w:color w:val="000000"/>
          <w:sz w:val="24"/>
        </w:rPr>
        <w:t>在货物采购项目中，货物由中小企业制造，即货物由中小企业生产且使用该中小企业商号或者注册商标；</w:t>
      </w:r>
    </w:p>
    <w:p>
      <w:pPr>
        <w:pStyle w:val="2"/>
        <w:numPr>
          <w:ilvl w:val="0"/>
          <w:numId w:val="0"/>
        </w:numPr>
        <w:ind w:left="0" w:firstLine="0"/>
      </w:pPr>
    </w:p>
    <w:p>
      <w:pPr>
        <w:widowControl/>
        <w:spacing w:line="360" w:lineRule="auto"/>
        <w:ind w:firstLine="480"/>
        <w:jc w:val="left"/>
        <w:rPr>
          <w:rFonts w:hint="eastAsia" w:ascii="仿宋_GB2312" w:hAnsi="宋体" w:eastAsia="仿宋_GB2312"/>
          <w:sz w:val="24"/>
          <w:lang w:eastAsia="zh-CN"/>
        </w:rPr>
      </w:pPr>
    </w:p>
    <w:p>
      <w:pPr>
        <w:widowControl/>
        <w:spacing w:line="360" w:lineRule="auto"/>
        <w:ind w:firstLine="472" w:firstLineChars="196"/>
        <w:jc w:val="left"/>
        <w:rPr>
          <w:rFonts w:ascii="仿宋_GB2312" w:hAnsi="仿宋" w:eastAsia="仿宋_GB2312" w:cs="仿宋_GB2312"/>
          <w:b/>
          <w:sz w:val="24"/>
        </w:rPr>
      </w:pPr>
    </w:p>
    <w:p>
      <w:pPr>
        <w:widowControl/>
        <w:spacing w:line="360" w:lineRule="auto"/>
        <w:ind w:firstLine="472" w:firstLineChars="196"/>
        <w:jc w:val="left"/>
        <w:rPr>
          <w:rFonts w:ascii="仿宋_GB2312" w:hAnsi="仿宋" w:eastAsia="仿宋_GB2312" w:cs="仿宋_GB2312"/>
          <w:b/>
          <w:sz w:val="24"/>
        </w:rPr>
      </w:pPr>
    </w:p>
    <w:p>
      <w:pPr>
        <w:widowControl/>
        <w:spacing w:line="360" w:lineRule="auto"/>
        <w:ind w:firstLine="472" w:firstLineChars="196"/>
        <w:jc w:val="left"/>
        <w:rPr>
          <w:rFonts w:ascii="仿宋_GB2312" w:hAnsi="仿宋" w:eastAsia="仿宋_GB2312" w:cs="仿宋_GB2312"/>
          <w:sz w:val="24"/>
        </w:rPr>
      </w:pPr>
      <w:r>
        <w:rPr>
          <w:rFonts w:ascii="仿宋_GB2312" w:hAnsi="仿宋" w:eastAsia="仿宋_GB2312" w:cs="仿宋_GB2312"/>
          <w:b/>
          <w:sz w:val="24"/>
        </w:rPr>
        <w:t>B.</w:t>
      </w:r>
      <w:r>
        <w:rPr>
          <w:rFonts w:hint="eastAsia" w:ascii="仿宋_GB2312" w:hAnsi="仿宋" w:eastAsia="仿宋_GB2312" w:cs="仿宋_GB2312"/>
          <w:sz w:val="24"/>
        </w:rPr>
        <w:t>要求以联合体形式参加的，提供联合协议和中小企业声明函（附件</w:t>
      </w:r>
      <w:r>
        <w:rPr>
          <w:rFonts w:ascii="仿宋_GB2312" w:hAnsi="仿宋" w:eastAsia="仿宋_GB2312" w:cs="仿宋_GB2312"/>
          <w:sz w:val="24"/>
        </w:rPr>
        <w:t>5</w:t>
      </w:r>
      <w:r>
        <w:rPr>
          <w:rFonts w:hint="eastAsia" w:ascii="仿宋_GB2312" w:hAnsi="仿宋" w:eastAsia="仿宋_GB2312" w:cs="仿宋_GB2312"/>
          <w:sz w:val="24"/>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仿宋_GB2312" w:hAnsi="仿宋" w:eastAsia="仿宋_GB2312" w:cs="仿宋_GB2312"/>
          <w:b/>
          <w:sz w:val="24"/>
        </w:rPr>
      </w:pPr>
    </w:p>
    <w:p>
      <w:pPr>
        <w:snapToGrid w:val="0"/>
        <w:spacing w:before="50" w:after="50" w:line="360" w:lineRule="auto"/>
        <w:jc w:val="center"/>
        <w:rPr>
          <w:rFonts w:ascii="仿宋_GB2312" w:hAnsi="仿宋" w:eastAsia="仿宋_GB2312" w:cs="仿宋_GB2312"/>
          <w:b/>
          <w:sz w:val="24"/>
        </w:rPr>
      </w:pPr>
    </w:p>
    <w:p>
      <w:pPr>
        <w:snapToGrid w:val="0"/>
        <w:spacing w:before="50" w:after="50" w:line="360" w:lineRule="auto"/>
        <w:jc w:val="center"/>
        <w:rPr>
          <w:rFonts w:ascii="仿宋_GB2312" w:hAnsi="仿宋" w:eastAsia="仿宋_GB2312" w:cs="仿宋_GB2312"/>
          <w:b/>
          <w:sz w:val="24"/>
        </w:rPr>
      </w:pPr>
    </w:p>
    <w:p>
      <w:pPr>
        <w:snapToGrid w:val="0"/>
        <w:spacing w:before="50" w:after="50" w:line="360" w:lineRule="auto"/>
        <w:jc w:val="center"/>
        <w:rPr>
          <w:rFonts w:ascii="仿宋_GB2312" w:hAnsi="仿宋" w:eastAsia="仿宋_GB2312" w:cs="仿宋_GB2312"/>
          <w:b/>
          <w:sz w:val="24"/>
        </w:rPr>
      </w:pPr>
    </w:p>
    <w:p>
      <w:pPr>
        <w:snapToGrid w:val="0"/>
        <w:spacing w:before="50" w:after="50" w:line="360" w:lineRule="auto"/>
        <w:jc w:val="center"/>
        <w:rPr>
          <w:rFonts w:ascii="仿宋_GB2312" w:hAnsi="仿宋" w:eastAsia="仿宋_GB2312" w:cs="仿宋_GB2312"/>
          <w:b/>
          <w:sz w:val="24"/>
        </w:rPr>
      </w:pPr>
    </w:p>
    <w:p>
      <w:pPr>
        <w:snapToGrid w:val="0"/>
        <w:spacing w:before="50" w:after="50" w:line="360" w:lineRule="auto"/>
        <w:jc w:val="center"/>
        <w:rPr>
          <w:rFonts w:ascii="仿宋_GB2312" w:hAnsi="仿宋" w:eastAsia="仿宋_GB2312" w:cs="仿宋_GB2312"/>
          <w:b/>
          <w:sz w:val="24"/>
        </w:rPr>
      </w:pPr>
    </w:p>
    <w:p>
      <w:pPr>
        <w:snapToGrid w:val="0"/>
        <w:spacing w:before="50" w:after="50" w:line="360" w:lineRule="auto"/>
        <w:jc w:val="center"/>
        <w:rPr>
          <w:rFonts w:ascii="仿宋_GB2312" w:hAnsi="仿宋" w:eastAsia="仿宋_GB2312" w:cs="仿宋_GB2312"/>
          <w:b/>
          <w:sz w:val="24"/>
        </w:rPr>
      </w:pPr>
    </w:p>
    <w:p>
      <w:pPr>
        <w:snapToGrid w:val="0"/>
        <w:spacing w:before="50" w:after="50" w:line="360" w:lineRule="auto"/>
        <w:jc w:val="center"/>
        <w:rPr>
          <w:rFonts w:ascii="仿宋_GB2312" w:hAnsi="仿宋" w:eastAsia="仿宋_GB2312" w:cs="仿宋_GB2312"/>
          <w:b/>
          <w:sz w:val="24"/>
        </w:rPr>
      </w:pPr>
    </w:p>
    <w:p>
      <w:pPr>
        <w:snapToGrid w:val="0"/>
        <w:spacing w:before="50" w:after="50" w:line="360" w:lineRule="auto"/>
        <w:jc w:val="center"/>
        <w:rPr>
          <w:rFonts w:ascii="仿宋_GB2312" w:hAnsi="仿宋" w:eastAsia="仿宋_GB2312" w:cs="仿宋_GB2312"/>
          <w:b/>
          <w:sz w:val="24"/>
        </w:rPr>
      </w:pPr>
    </w:p>
    <w:p>
      <w:pPr>
        <w:snapToGrid w:val="0"/>
        <w:spacing w:before="50" w:after="50" w:line="360" w:lineRule="auto"/>
        <w:jc w:val="center"/>
        <w:rPr>
          <w:rFonts w:ascii="仿宋_GB2312" w:hAnsi="仿宋" w:eastAsia="仿宋_GB2312" w:cs="仿宋_GB2312"/>
          <w:b/>
          <w:sz w:val="24"/>
        </w:rPr>
      </w:pPr>
    </w:p>
    <w:p>
      <w:pPr>
        <w:snapToGrid w:val="0"/>
        <w:spacing w:before="50" w:after="50" w:line="360" w:lineRule="auto"/>
        <w:jc w:val="center"/>
        <w:rPr>
          <w:rFonts w:ascii="仿宋_GB2312" w:hAnsi="仿宋" w:eastAsia="仿宋_GB2312" w:cs="仿宋_GB2312"/>
          <w:b/>
          <w:kern w:val="0"/>
          <w:sz w:val="32"/>
          <w:szCs w:val="32"/>
          <w:lang w:val="zh-CN"/>
        </w:rPr>
      </w:pPr>
      <w:r>
        <w:rPr>
          <w:rFonts w:ascii="仿宋_GB2312" w:hAnsi="仿宋" w:eastAsia="仿宋_GB2312" w:cs="仿宋_GB2312"/>
          <w:b/>
          <w:sz w:val="24"/>
        </w:rPr>
        <w:t xml:space="preserve">    </w:t>
      </w:r>
      <w:r>
        <w:rPr>
          <w:rFonts w:hint="eastAsia" w:ascii="仿宋_GB2312" w:hAnsi="仿宋" w:eastAsia="仿宋_GB2312" w:cs="仿宋_GB2312"/>
          <w:b/>
          <w:kern w:val="0"/>
          <w:sz w:val="32"/>
          <w:szCs w:val="32"/>
          <w:lang w:val="zh-CN"/>
        </w:rPr>
        <w:t>联合协议</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u w:val="single"/>
        </w:rPr>
        <w:t>（联合体所有成员名称）</w:t>
      </w:r>
      <w:r>
        <w:rPr>
          <w:rFonts w:hint="eastAsia" w:ascii="仿宋_GB2312" w:hAnsi="仿宋" w:eastAsia="仿宋_GB2312" w:cs="仿宋_GB2312"/>
          <w:kern w:val="0"/>
          <w:sz w:val="24"/>
        </w:rPr>
        <w:t>自愿</w:t>
      </w:r>
      <w:r>
        <w:rPr>
          <w:rFonts w:hint="eastAsia" w:ascii="仿宋_GB2312" w:hAnsi="仿宋" w:eastAsia="仿宋_GB2312" w:cs="仿宋_GB2312"/>
          <w:kern w:val="0"/>
          <w:sz w:val="24"/>
          <w:lang w:val="zh-CN"/>
        </w:rPr>
        <w:t>组成一个联合体，以一个投标人的身份</w:t>
      </w:r>
      <w:r>
        <w:rPr>
          <w:rFonts w:hint="eastAsia" w:ascii="仿宋_GB2312" w:hAnsi="仿宋" w:eastAsia="仿宋_GB2312" w:cs="仿宋_GB2312"/>
          <w:kern w:val="0"/>
          <w:sz w:val="24"/>
        </w:rPr>
        <w:t>参加</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投标。</w:t>
      </w:r>
      <w:r>
        <w:rPr>
          <w:rFonts w:ascii="仿宋_GB2312" w:hAnsi="仿宋" w:eastAsia="仿宋_GB2312" w:cs="仿宋_GB2312"/>
          <w:kern w:val="0"/>
          <w:sz w:val="24"/>
          <w:lang w:val="zh-CN"/>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一、各方一致决定，</w:t>
      </w:r>
      <w:r>
        <w:rPr>
          <w:rFonts w:hint="eastAsia" w:ascii="仿宋_GB2312" w:hAnsi="仿宋" w:eastAsia="仿宋_GB2312" w:cs="仿宋_GB2312"/>
          <w:kern w:val="0"/>
          <w:sz w:val="24"/>
          <w:u w:val="single"/>
        </w:rPr>
        <w:t>（某联合体成员名称）</w:t>
      </w:r>
      <w:r>
        <w:rPr>
          <w:rFonts w:hint="eastAsia" w:ascii="仿宋_GB2312" w:hAnsi="仿宋" w:eastAsia="仿宋_GB2312" w:cs="仿宋_GB2312"/>
          <w:kern w:val="0"/>
          <w:sz w:val="24"/>
        </w:rPr>
        <w:t>为联合体</w:t>
      </w:r>
      <w:r>
        <w:rPr>
          <w:rFonts w:hint="eastAsia" w:ascii="仿宋_GB2312" w:hAnsi="仿宋" w:eastAsia="仿宋_GB2312" w:cs="仿宋_GB2312"/>
          <w:kern w:val="0"/>
          <w:sz w:val="24"/>
          <w:lang w:val="zh-CN"/>
        </w:rPr>
        <w:t>牵头人</w:t>
      </w:r>
      <w:r>
        <w:rPr>
          <w:rFonts w:hint="eastAsia" w:ascii="仿宋_GB2312" w:hAnsi="仿宋" w:eastAsia="仿宋_GB2312" w:cs="Arial"/>
          <w:sz w:val="24"/>
        </w:rPr>
        <w:t>，代表所有联合体成员负责投标和合同实施阶段的主办、协调工作</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二、</w:t>
      </w:r>
      <w:r>
        <w:rPr>
          <w:rFonts w:hint="eastAsia" w:ascii="仿宋_GB2312" w:hAnsi="仿宋" w:eastAsia="仿宋_GB2312" w:cs="Arial"/>
          <w:sz w:val="24"/>
        </w:rPr>
        <w:t>所有联合体成员各方签署授权书，授权书载明的</w:t>
      </w:r>
      <w:r>
        <w:rPr>
          <w:rFonts w:hint="eastAsia" w:ascii="仿宋_GB2312" w:hAnsi="仿宋" w:eastAsia="仿宋_GB2312" w:cs="仿宋_GB2312"/>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三、本次联合投标中，分工如下：</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ascii="仿宋_GB2312" w:hAnsi="仿宋" w:eastAsia="仿宋_GB2312"/>
          <w:u w:val="single"/>
        </w:rPr>
        <w:t xml:space="preserve">             </w:t>
      </w:r>
      <w:r>
        <w:rPr>
          <w:rFonts w:hint="eastAsia" w:ascii="仿宋_GB2312" w:hAnsi="仿宋" w:eastAsia="仿宋_GB2312" w:cs="仿宋_GB2312"/>
          <w:kern w:val="0"/>
          <w:sz w:val="24"/>
          <w:lang w:val="zh-CN"/>
        </w:rPr>
        <w:t>；</w:t>
      </w:r>
      <w:r>
        <w:rPr>
          <w:rFonts w:hint="eastAsia" w:ascii="仿宋_GB2312" w:hAnsi="仿宋" w:eastAsia="仿宋_GB2312" w:cs="仿宋_GB2312"/>
          <w:kern w:val="0"/>
          <w:sz w:val="24"/>
          <w:u w:val="single"/>
        </w:rPr>
        <w:t>（联合体其中一方成员名称）</w:t>
      </w:r>
      <w:r>
        <w:rPr>
          <w:rFonts w:hint="eastAsia" w:ascii="仿宋_GB2312" w:hAnsi="仿宋" w:eastAsia="仿宋_GB2312" w:cs="仿宋_GB2312"/>
          <w:kern w:val="0"/>
          <w:sz w:val="24"/>
          <w:lang w:val="zh-CN"/>
        </w:rPr>
        <w:t>承担的工作和义务为：</w:t>
      </w:r>
      <w:r>
        <w:rPr>
          <w:rFonts w:ascii="仿宋_GB2312" w:hAnsi="仿宋" w:eastAsia="仿宋_GB2312"/>
          <w:u w:val="single"/>
        </w:rPr>
        <w:t xml:space="preserve">            </w:t>
      </w:r>
      <w:r>
        <w:rPr>
          <w:rFonts w:ascii="仿宋_GB2312" w:hAnsi="仿宋" w:eastAsia="仿宋_GB2312" w:cs="仿宋_GB2312"/>
          <w:kern w:val="0"/>
          <w:sz w:val="24"/>
          <w:lang w:val="zh-CN"/>
        </w:rPr>
        <w:t xml:space="preserve"> ；……。</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四、</w:t>
      </w:r>
      <w:r>
        <w:rPr>
          <w:rFonts w:hint="eastAsia" w:ascii="仿宋_GB2312" w:hAnsi="仿宋" w:eastAsia="仿宋_GB2312"/>
          <w:sz w:val="24"/>
        </w:rPr>
        <w:t>中小企业合同金额达到</w:t>
      </w:r>
      <w:r>
        <w:rPr>
          <w:rFonts w:ascii="仿宋_GB2312" w:hAnsi="仿宋" w:eastAsia="仿宋_GB2312"/>
          <w:sz w:val="24"/>
          <w:u w:val="single"/>
        </w:rPr>
        <w:t xml:space="preserve">  </w:t>
      </w:r>
      <w:r>
        <w:rPr>
          <w:rFonts w:ascii="仿宋_GB2312" w:hAnsi="仿宋" w:eastAsia="仿宋_GB2312"/>
          <w:sz w:val="24"/>
        </w:rPr>
        <w:t>%，小</w:t>
      </w:r>
      <w:r>
        <w:rPr>
          <w:rFonts w:hint="eastAsia" w:ascii="仿宋_GB2312" w:hAnsi="仿宋" w:eastAsia="仿宋_GB2312"/>
          <w:sz w:val="24"/>
        </w:rPr>
        <w:t>微企业合同金额达到</w:t>
      </w:r>
      <w:r>
        <w:rPr>
          <w:rFonts w:ascii="仿宋_GB2312" w:hAnsi="仿宋" w:eastAsia="仿宋_GB2312"/>
          <w:sz w:val="24"/>
          <w:u w:val="single"/>
        </w:rPr>
        <w:t xml:space="preserve"> </w:t>
      </w:r>
      <w:r>
        <w:rPr>
          <w:rFonts w:ascii="仿宋_GB2312" w:hAnsi="仿宋" w:eastAsia="仿宋_GB2312"/>
          <w:sz w:val="24"/>
        </w:rPr>
        <w:t>%</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五、如果中标，</w:t>
      </w:r>
      <w:r>
        <w:rPr>
          <w:rFonts w:hint="eastAsia" w:ascii="仿宋_GB2312" w:hAnsi="仿宋" w:eastAsia="仿宋_GB2312"/>
          <w:sz w:val="24"/>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六、有关本次联合投标的其他事宜：</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1、联合体各方不再单独参加或者与其</w:t>
      </w:r>
      <w:r>
        <w:rPr>
          <w:rFonts w:hint="eastAsia" w:ascii="仿宋_GB2312" w:hAnsi="仿宋" w:eastAsia="仿宋_GB2312" w:cs="仿宋_GB2312"/>
          <w:kern w:val="0"/>
          <w:sz w:val="24"/>
          <w:lang w:val="zh-CN"/>
        </w:rPr>
        <w:t>他供应商另外组成联合体参加同一合同项下的政府采购活动。</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kern w:val="0"/>
          <w:sz w:val="24"/>
          <w:lang w:val="zh-CN"/>
        </w:rPr>
      </w:pPr>
      <w:r>
        <w:rPr>
          <w:rFonts w:ascii="仿宋_GB2312" w:hAnsi="仿宋" w:eastAsia="仿宋_GB2312" w:cs="仿宋_GB2312"/>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pPr>
        <w:snapToGrid w:val="0"/>
        <w:spacing w:line="360" w:lineRule="auto"/>
        <w:ind w:firstLine="5760" w:firstLineChars="2400"/>
      </w:pPr>
      <w:r>
        <w:rPr>
          <w:rFonts w:hint="eastAsia" w:ascii="仿宋_GB2312" w:hAnsi="仿宋" w:eastAsia="仿宋_GB2312" w:cs="仿宋_GB2312"/>
          <w:kern w:val="0"/>
          <w:sz w:val="24"/>
          <w:lang w:val="zh-CN"/>
        </w:rPr>
        <w:t>……</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spacing w:line="360" w:lineRule="auto"/>
        <w:ind w:firstLine="480" w:firstLineChars="200"/>
        <w:rPr>
          <w:rFonts w:ascii="仿宋_GB2312" w:hAnsi="仿宋" w:eastAsia="仿宋_GB2312" w:cs="仿宋_GB2312"/>
          <w:sz w:val="24"/>
        </w:rPr>
      </w:pPr>
    </w:p>
    <w:p>
      <w:pPr>
        <w:snapToGrid w:val="0"/>
        <w:spacing w:before="50" w:after="50" w:line="360" w:lineRule="auto"/>
        <w:ind w:firstLine="472" w:firstLineChars="196"/>
        <w:jc w:val="left"/>
        <w:rPr>
          <w:rFonts w:ascii="仿宋_GB2312" w:hAnsi="仿宋" w:eastAsia="仿宋_GB2312" w:cs="仿宋_GB2312"/>
          <w:b/>
          <w:sz w:val="24"/>
        </w:rPr>
      </w:pPr>
    </w:p>
    <w:p>
      <w:pPr>
        <w:snapToGrid w:val="0"/>
        <w:spacing w:before="50" w:after="50" w:line="360" w:lineRule="auto"/>
        <w:ind w:firstLine="472" w:firstLineChars="196"/>
        <w:jc w:val="left"/>
        <w:rPr>
          <w:rFonts w:ascii="仿宋_GB2312" w:hAnsi="仿宋" w:eastAsia="仿宋_GB2312" w:cs="仿宋_GB2312"/>
          <w:b/>
          <w:sz w:val="24"/>
        </w:rPr>
      </w:pPr>
    </w:p>
    <w:p>
      <w:pPr>
        <w:snapToGrid w:val="0"/>
        <w:spacing w:before="50" w:after="50" w:line="360" w:lineRule="auto"/>
        <w:ind w:firstLine="472" w:firstLineChars="196"/>
        <w:jc w:val="left"/>
        <w:rPr>
          <w:rFonts w:ascii="仿宋_GB2312" w:hAnsi="仿宋" w:eastAsia="仿宋_GB2312" w:cs="仿宋_GB2312"/>
          <w:b/>
          <w:sz w:val="24"/>
        </w:rPr>
      </w:pPr>
    </w:p>
    <w:p>
      <w:pPr>
        <w:autoSpaceDE w:val="0"/>
        <w:autoSpaceDN w:val="0"/>
        <w:jc w:val="center"/>
        <w:rPr>
          <w:rFonts w:ascii="仿宋" w:hAnsi="仿宋" w:eastAsia="仿宋" w:cs="仿宋"/>
          <w:b/>
          <w:bCs/>
          <w:sz w:val="32"/>
          <w:szCs w:val="32"/>
        </w:rPr>
      </w:pPr>
      <w:r>
        <w:rPr>
          <w:rFonts w:hint="eastAsia" w:ascii="仿宋" w:hAnsi="仿宋" w:eastAsia="仿宋" w:cs="仿宋"/>
          <w:b/>
          <w:spacing w:val="6"/>
          <w:sz w:val="32"/>
          <w:szCs w:val="32"/>
        </w:rPr>
        <w:t>附件5：</w:t>
      </w:r>
      <w:r>
        <w:rPr>
          <w:rFonts w:hint="eastAsia" w:ascii="仿宋" w:hAnsi="仿宋" w:eastAsia="仿宋" w:cs="仿宋"/>
          <w:b/>
          <w:sz w:val="32"/>
          <w:szCs w:val="32"/>
        </w:rPr>
        <w:t>中小企业声明函</w:t>
      </w:r>
    </w:p>
    <w:p>
      <w:pPr>
        <w:spacing w:line="360" w:lineRule="auto"/>
        <w:jc w:val="center"/>
        <w:rPr>
          <w:rFonts w:ascii="仿宋" w:hAnsi="仿宋" w:eastAsia="仿宋" w:cs="仿宋"/>
          <w:sz w:val="24"/>
          <w:u w:val="single"/>
        </w:rPr>
      </w:pPr>
    </w:p>
    <w:p>
      <w:pPr>
        <w:spacing w:line="360" w:lineRule="auto"/>
        <w:jc w:val="center"/>
        <w:rPr>
          <w:rFonts w:ascii="仿宋" w:hAnsi="仿宋" w:eastAsia="仿宋" w:cs="仿宋"/>
          <w:b/>
          <w:sz w:val="32"/>
          <w:szCs w:val="32"/>
        </w:rPr>
      </w:pPr>
      <w:r>
        <w:rPr>
          <w:rFonts w:hint="eastAsia" w:ascii="仿宋" w:hAnsi="仿宋" w:eastAsia="仿宋" w:cs="仿宋"/>
          <w:b/>
          <w:sz w:val="32"/>
          <w:szCs w:val="32"/>
        </w:rPr>
        <w:t>中小企业声明函（货物）</w:t>
      </w:r>
    </w:p>
    <w:p>
      <w:pPr>
        <w:spacing w:line="360" w:lineRule="auto"/>
        <w:ind w:firstLine="480" w:firstLineChars="200"/>
        <w:rPr>
          <w:rFonts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b/>
          <w:bCs/>
          <w:sz w:val="24"/>
          <w:u w:val="single"/>
        </w:rPr>
        <w:t>（单位名称）</w:t>
      </w:r>
      <w:r>
        <w:rPr>
          <w:rFonts w:hint="eastAsia" w:ascii="仿宋" w:hAnsi="仿宋" w:eastAsia="仿宋" w:cs="仿宋"/>
          <w:sz w:val="24"/>
        </w:rPr>
        <w:t xml:space="preserve"> 的</w:t>
      </w:r>
      <w:r>
        <w:rPr>
          <w:rFonts w:hint="eastAsia" w:ascii="仿宋" w:hAnsi="仿宋" w:eastAsia="仿宋" w:cs="仿宋"/>
          <w:b/>
          <w:bCs/>
          <w:sz w:val="24"/>
          <w:u w:val="single"/>
        </w:rPr>
        <w:t xml:space="preserve"> （项目名称）</w:t>
      </w:r>
      <w:r>
        <w:rPr>
          <w:rFonts w:hint="eastAsia" w:ascii="仿宋" w:hAnsi="仿宋" w:eastAsia="仿宋" w:cs="仿宋"/>
          <w:sz w:val="24"/>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w:t>
      </w:r>
      <w:r>
        <w:rPr>
          <w:rFonts w:hint="eastAsia" w:ascii="仿宋" w:hAnsi="仿宋" w:eastAsia="仿宋" w:cs="仿宋"/>
          <w:sz w:val="24"/>
          <w:u w:val="single"/>
          <w:lang w:eastAsia="zh-CN"/>
        </w:rPr>
        <w:t>产品</w:t>
      </w:r>
      <w:r>
        <w:rPr>
          <w:rFonts w:hint="eastAsia" w:ascii="仿宋" w:hAnsi="仿宋" w:eastAsia="仿宋" w:cs="仿宋"/>
          <w:sz w:val="24"/>
          <w:u w:val="single"/>
        </w:rPr>
        <w:t>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w:t>
      </w:r>
      <w:r>
        <w:rPr>
          <w:rFonts w:hint="eastAsia" w:ascii="仿宋" w:hAnsi="仿宋" w:eastAsia="仿宋" w:cs="仿宋"/>
          <w:sz w:val="24"/>
          <w:u w:val="single"/>
        </w:rPr>
        <w:sym w:font="Wingdings" w:char="00A8"/>
      </w:r>
      <w:r>
        <w:rPr>
          <w:rFonts w:hint="eastAsia" w:ascii="仿宋" w:hAnsi="仿宋" w:eastAsia="仿宋" w:cs="仿宋"/>
          <w:sz w:val="24"/>
          <w:u w:val="single"/>
        </w:rPr>
        <w:t>中型企业、</w:t>
      </w:r>
      <w:r>
        <w:rPr>
          <w:rFonts w:hint="eastAsia" w:ascii="仿宋" w:hAnsi="仿宋" w:eastAsia="仿宋" w:cs="仿宋"/>
          <w:sz w:val="24"/>
          <w:u w:val="single"/>
        </w:rPr>
        <w:sym w:font="Wingdings" w:char="00A8"/>
      </w:r>
      <w:r>
        <w:rPr>
          <w:rFonts w:hint="eastAsia" w:ascii="仿宋" w:hAnsi="仿宋" w:eastAsia="仿宋" w:cs="仿宋"/>
          <w:sz w:val="24"/>
          <w:u w:val="single"/>
        </w:rPr>
        <w:t>小型企业、</w:t>
      </w:r>
      <w:r>
        <w:rPr>
          <w:rFonts w:hint="eastAsia" w:ascii="仿宋" w:hAnsi="仿宋" w:eastAsia="仿宋" w:cs="仿宋"/>
          <w:sz w:val="24"/>
          <w:u w:val="single"/>
        </w:rPr>
        <w:sym w:font="Wingdings" w:char="00A8"/>
      </w:r>
      <w:r>
        <w:rPr>
          <w:rFonts w:hint="eastAsia" w:ascii="仿宋" w:hAnsi="仿宋" w:eastAsia="仿宋" w:cs="仿宋"/>
          <w:sz w:val="24"/>
          <w:u w:val="single"/>
        </w:rPr>
        <w:t>微型企业）</w:t>
      </w:r>
      <w:r>
        <w:rPr>
          <w:rFonts w:hint="eastAsia" w:ascii="仿宋" w:hAnsi="仿宋" w:eastAsia="仿宋" w:cs="仿宋"/>
          <w:sz w:val="24"/>
        </w:rPr>
        <w:t xml:space="preserve"> ；</w:t>
      </w:r>
    </w:p>
    <w:p>
      <w:pPr>
        <w:spacing w:line="360" w:lineRule="auto"/>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w:t>
      </w:r>
      <w:r>
        <w:rPr>
          <w:rFonts w:hint="eastAsia" w:ascii="仿宋" w:hAnsi="仿宋" w:eastAsia="仿宋" w:cs="仿宋"/>
          <w:sz w:val="24"/>
          <w:u w:val="single"/>
          <w:lang w:eastAsia="zh-CN"/>
        </w:rPr>
        <w:t>产品</w:t>
      </w:r>
      <w:r>
        <w:rPr>
          <w:rFonts w:hint="eastAsia" w:ascii="仿宋" w:hAnsi="仿宋" w:eastAsia="仿宋" w:cs="仿宋"/>
          <w:sz w:val="24"/>
          <w:u w:val="single"/>
        </w:rPr>
        <w:t>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w:t>
      </w:r>
      <w:r>
        <w:rPr>
          <w:rFonts w:hint="eastAsia" w:ascii="仿宋" w:hAnsi="仿宋" w:eastAsia="仿宋" w:cs="仿宋"/>
          <w:sz w:val="24"/>
          <w:u w:val="single"/>
        </w:rPr>
        <w:sym w:font="Wingdings" w:char="00A8"/>
      </w:r>
      <w:r>
        <w:rPr>
          <w:rFonts w:hint="eastAsia" w:ascii="仿宋" w:hAnsi="仿宋" w:eastAsia="仿宋" w:cs="仿宋"/>
          <w:sz w:val="24"/>
          <w:u w:val="single"/>
        </w:rPr>
        <w:t>中型企业、</w:t>
      </w:r>
      <w:r>
        <w:rPr>
          <w:rFonts w:hint="eastAsia" w:ascii="仿宋" w:hAnsi="仿宋" w:eastAsia="仿宋" w:cs="仿宋"/>
          <w:sz w:val="24"/>
          <w:u w:val="single"/>
        </w:rPr>
        <w:sym w:font="Wingdings" w:char="00A8"/>
      </w:r>
      <w:r>
        <w:rPr>
          <w:rFonts w:hint="eastAsia" w:ascii="仿宋" w:hAnsi="仿宋" w:eastAsia="仿宋" w:cs="仿宋"/>
          <w:sz w:val="24"/>
          <w:u w:val="single"/>
        </w:rPr>
        <w:t>小型企业、</w:t>
      </w:r>
      <w:r>
        <w:rPr>
          <w:rFonts w:hint="eastAsia" w:ascii="仿宋" w:hAnsi="仿宋" w:eastAsia="仿宋" w:cs="仿宋"/>
          <w:sz w:val="24"/>
          <w:u w:val="single"/>
        </w:rPr>
        <w:sym w:font="Wingdings" w:char="00A8"/>
      </w:r>
      <w:r>
        <w:rPr>
          <w:rFonts w:hint="eastAsia" w:ascii="仿宋" w:hAnsi="仿宋" w:eastAsia="仿宋" w:cs="仿宋"/>
          <w:sz w:val="24"/>
          <w:u w:val="single"/>
        </w:rPr>
        <w:t>微型企业）</w:t>
      </w:r>
      <w:r>
        <w:rPr>
          <w:rFonts w:hint="eastAsia" w:ascii="仿宋" w:hAnsi="仿宋" w:eastAsia="仿宋" w:cs="仿宋"/>
          <w:sz w:val="24"/>
        </w:rPr>
        <w:t xml:space="preserve"> ；</w:t>
      </w:r>
    </w:p>
    <w:p>
      <w:pPr>
        <w:spacing w:line="360" w:lineRule="auto"/>
        <w:ind w:firstLine="480" w:firstLineChars="200"/>
        <w:rPr>
          <w:rFonts w:ascii="仿宋" w:hAnsi="仿宋" w:eastAsia="仿宋" w:cs="仿宋"/>
          <w:sz w:val="24"/>
        </w:rPr>
      </w:pPr>
      <w:r>
        <w:rPr>
          <w:rFonts w:hint="eastAsia" w:ascii="仿宋" w:hAnsi="仿宋" w:eastAsia="仿宋" w:cs="仿宋"/>
          <w:sz w:val="24"/>
          <w:lang w:val="en-US" w:eastAsia="zh-CN"/>
        </w:rPr>
        <w:t>3</w:t>
      </w:r>
      <w:r>
        <w:rPr>
          <w:rFonts w:hint="eastAsia" w:ascii="仿宋" w:hAnsi="仿宋" w:eastAsia="仿宋" w:cs="仿宋"/>
          <w:sz w:val="24"/>
        </w:rPr>
        <w:t>.</w:t>
      </w:r>
      <w:r>
        <w:rPr>
          <w:rFonts w:hint="eastAsia" w:ascii="仿宋" w:hAnsi="仿宋" w:eastAsia="仿宋" w:cs="仿宋"/>
        </w:rPr>
        <w:t xml:space="preserve"> </w:t>
      </w:r>
      <w:r>
        <w:rPr>
          <w:rFonts w:hint="eastAsia" w:ascii="仿宋" w:hAnsi="仿宋" w:eastAsia="仿宋" w:cs="仿宋"/>
          <w:sz w:val="24"/>
          <w:u w:val="single"/>
        </w:rPr>
        <w:t>（标的</w:t>
      </w:r>
      <w:r>
        <w:rPr>
          <w:rFonts w:hint="eastAsia" w:ascii="仿宋" w:hAnsi="仿宋" w:eastAsia="仿宋" w:cs="仿宋"/>
          <w:sz w:val="24"/>
          <w:u w:val="single"/>
          <w:lang w:eastAsia="zh-CN"/>
        </w:rPr>
        <w:t>产品</w:t>
      </w:r>
      <w:r>
        <w:rPr>
          <w:rFonts w:hint="eastAsia" w:ascii="仿宋" w:hAnsi="仿宋" w:eastAsia="仿宋" w:cs="仿宋"/>
          <w:sz w:val="24"/>
          <w:u w:val="single"/>
        </w:rPr>
        <w:t>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w:t>
      </w:r>
      <w:r>
        <w:rPr>
          <w:rFonts w:hint="eastAsia" w:ascii="仿宋" w:hAnsi="仿宋" w:eastAsia="仿宋" w:cs="仿宋"/>
          <w:sz w:val="24"/>
          <w:u w:val="single"/>
        </w:rPr>
        <w:sym w:font="Wingdings" w:char="00A8"/>
      </w:r>
      <w:r>
        <w:rPr>
          <w:rFonts w:hint="eastAsia" w:ascii="仿宋" w:hAnsi="仿宋" w:eastAsia="仿宋" w:cs="仿宋"/>
          <w:sz w:val="24"/>
          <w:u w:val="single"/>
        </w:rPr>
        <w:t>中型企业、</w:t>
      </w:r>
      <w:r>
        <w:rPr>
          <w:rFonts w:hint="eastAsia" w:ascii="仿宋" w:hAnsi="仿宋" w:eastAsia="仿宋" w:cs="仿宋"/>
          <w:sz w:val="24"/>
          <w:u w:val="single"/>
        </w:rPr>
        <w:sym w:font="Wingdings" w:char="00A8"/>
      </w:r>
      <w:r>
        <w:rPr>
          <w:rFonts w:hint="eastAsia" w:ascii="仿宋" w:hAnsi="仿宋" w:eastAsia="仿宋" w:cs="仿宋"/>
          <w:sz w:val="24"/>
          <w:u w:val="single"/>
        </w:rPr>
        <w:t>小型企业、</w:t>
      </w:r>
      <w:r>
        <w:rPr>
          <w:rFonts w:hint="eastAsia" w:ascii="仿宋" w:hAnsi="仿宋" w:eastAsia="仿宋" w:cs="仿宋"/>
          <w:sz w:val="24"/>
          <w:u w:val="single"/>
        </w:rPr>
        <w:sym w:font="Wingdings" w:char="00A8"/>
      </w:r>
      <w:r>
        <w:rPr>
          <w:rFonts w:hint="eastAsia" w:ascii="仿宋" w:hAnsi="仿宋" w:eastAsia="仿宋" w:cs="仿宋"/>
          <w:sz w:val="24"/>
          <w:u w:val="single"/>
        </w:rPr>
        <w:t>微型企业）</w:t>
      </w:r>
      <w:r>
        <w:rPr>
          <w:rFonts w:hint="eastAsia" w:ascii="仿宋" w:hAnsi="仿宋" w:eastAsia="仿宋" w:cs="仿宋"/>
          <w:sz w:val="24"/>
        </w:rPr>
        <w:t xml:space="preserve">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4</w:t>
      </w:r>
      <w:r>
        <w:rPr>
          <w:rFonts w:hint="eastAsia" w:ascii="仿宋" w:hAnsi="仿宋" w:eastAsia="仿宋" w:cs="仿宋"/>
          <w:sz w:val="24"/>
        </w:rPr>
        <w:t>.</w:t>
      </w:r>
      <w:r>
        <w:rPr>
          <w:rFonts w:hint="eastAsia" w:ascii="仿宋" w:hAnsi="仿宋" w:eastAsia="仿宋" w:cs="仿宋"/>
        </w:rPr>
        <w:t xml:space="preserve"> </w:t>
      </w:r>
      <w:r>
        <w:rPr>
          <w:rFonts w:hint="eastAsia" w:ascii="仿宋" w:hAnsi="仿宋" w:eastAsia="仿宋" w:cs="仿宋"/>
          <w:sz w:val="24"/>
          <w:u w:val="single"/>
        </w:rPr>
        <w:t>（标的</w:t>
      </w:r>
      <w:r>
        <w:rPr>
          <w:rFonts w:hint="eastAsia" w:ascii="仿宋" w:hAnsi="仿宋" w:eastAsia="仿宋" w:cs="仿宋"/>
          <w:sz w:val="24"/>
          <w:u w:val="single"/>
          <w:lang w:eastAsia="zh-CN"/>
        </w:rPr>
        <w:t>产品</w:t>
      </w:r>
      <w:r>
        <w:rPr>
          <w:rFonts w:hint="eastAsia" w:ascii="仿宋" w:hAnsi="仿宋" w:eastAsia="仿宋" w:cs="仿宋"/>
          <w:sz w:val="24"/>
          <w:u w:val="single"/>
        </w:rPr>
        <w:t>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w:t>
      </w:r>
      <w:r>
        <w:rPr>
          <w:rFonts w:hint="eastAsia" w:ascii="仿宋" w:hAnsi="仿宋" w:eastAsia="仿宋" w:cs="仿宋"/>
          <w:sz w:val="24"/>
          <w:u w:val="single"/>
        </w:rPr>
        <w:sym w:font="Wingdings" w:char="00A8"/>
      </w:r>
      <w:r>
        <w:rPr>
          <w:rFonts w:hint="eastAsia" w:ascii="仿宋" w:hAnsi="仿宋" w:eastAsia="仿宋" w:cs="仿宋"/>
          <w:sz w:val="24"/>
          <w:u w:val="single"/>
        </w:rPr>
        <w:t>中型企业、</w:t>
      </w:r>
      <w:r>
        <w:rPr>
          <w:rFonts w:hint="eastAsia" w:ascii="仿宋" w:hAnsi="仿宋" w:eastAsia="仿宋" w:cs="仿宋"/>
          <w:sz w:val="24"/>
          <w:u w:val="single"/>
        </w:rPr>
        <w:sym w:font="Wingdings" w:char="00A8"/>
      </w:r>
      <w:r>
        <w:rPr>
          <w:rFonts w:hint="eastAsia" w:ascii="仿宋" w:hAnsi="仿宋" w:eastAsia="仿宋" w:cs="仿宋"/>
          <w:sz w:val="24"/>
          <w:u w:val="single"/>
        </w:rPr>
        <w:t>小型企业、</w:t>
      </w:r>
      <w:r>
        <w:rPr>
          <w:rFonts w:hint="eastAsia" w:ascii="仿宋" w:hAnsi="仿宋" w:eastAsia="仿宋" w:cs="仿宋"/>
          <w:sz w:val="24"/>
          <w:u w:val="single"/>
        </w:rPr>
        <w:sym w:font="Wingdings" w:char="00A8"/>
      </w:r>
      <w:r>
        <w:rPr>
          <w:rFonts w:hint="eastAsia" w:ascii="仿宋" w:hAnsi="仿宋" w:eastAsia="仿宋" w:cs="仿宋"/>
          <w:sz w:val="24"/>
          <w:u w:val="single"/>
        </w:rPr>
        <w:t>微型企业）</w:t>
      </w:r>
      <w:r>
        <w:rPr>
          <w:rFonts w:hint="eastAsia" w:ascii="仿宋" w:hAnsi="仿宋" w:eastAsia="仿宋" w:cs="仿宋"/>
          <w:sz w:val="24"/>
        </w:rPr>
        <w:t xml:space="preserve"> ；</w:t>
      </w:r>
    </w:p>
    <w:p>
      <w:pPr>
        <w:spacing w:line="360" w:lineRule="auto"/>
        <w:ind w:firstLine="1050" w:firstLineChars="500"/>
        <w:rPr>
          <w:rFonts w:hint="default"/>
          <w:lang w:val="en-US" w:eastAsia="zh-CN"/>
        </w:rPr>
      </w:pPr>
      <w:r>
        <w:rPr>
          <w:rFonts w:hint="eastAsia"/>
          <w:lang w:val="en-US" w:eastAsia="zh-CN"/>
        </w:rPr>
        <w:t>根据上述内容自行增加表格填写。.................</w:t>
      </w:r>
    </w:p>
    <w:p>
      <w:pPr>
        <w:spacing w:line="360" w:lineRule="auto"/>
        <w:ind w:firstLine="420" w:firstLineChars="200"/>
        <w:rPr>
          <w:rFonts w:hint="eastAsia"/>
          <w:lang w:val="en-US" w:eastAsia="zh-CN"/>
        </w:rPr>
      </w:pPr>
    </w:p>
    <w:p>
      <w:pPr>
        <w:spacing w:line="360" w:lineRule="auto"/>
        <w:ind w:firstLine="480" w:firstLineChars="200"/>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pPr>
        <w:spacing w:line="360" w:lineRule="auto"/>
        <w:ind w:firstLine="480" w:firstLineChars="200"/>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pPr>
        <w:snapToGrid w:val="0"/>
        <w:spacing w:line="360" w:lineRule="auto"/>
        <w:ind w:firstLine="5160" w:firstLineChars="2150"/>
        <w:rPr>
          <w:rFonts w:ascii="仿宋" w:hAnsi="仿宋" w:eastAsia="仿宋" w:cs="仿宋"/>
          <w:kern w:val="0"/>
          <w:sz w:val="24"/>
          <w:lang w:val="zh-CN"/>
        </w:rPr>
      </w:pPr>
    </w:p>
    <w:p>
      <w:pPr>
        <w:snapToGrid w:val="0"/>
        <w:spacing w:line="360" w:lineRule="auto"/>
        <w:ind w:firstLine="5160" w:firstLineChars="2150"/>
        <w:rPr>
          <w:rFonts w:ascii="仿宋" w:hAnsi="仿宋" w:eastAsia="仿宋" w:cs="仿宋"/>
          <w:kern w:val="0"/>
          <w:sz w:val="24"/>
        </w:rPr>
      </w:pPr>
      <w:r>
        <w:rPr>
          <w:rFonts w:hint="eastAsia" w:ascii="仿宋" w:hAnsi="仿宋" w:eastAsia="仿宋" w:cs="仿宋"/>
          <w:kern w:val="0"/>
          <w:sz w:val="24"/>
          <w:lang w:val="zh-CN"/>
        </w:rPr>
        <w:t>投标人名称(电子签名)：</w:t>
      </w:r>
    </w:p>
    <w:p>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spacing w:line="360" w:lineRule="auto"/>
        <w:jc w:val="left"/>
        <w:rPr>
          <w:rFonts w:ascii="仿宋" w:hAnsi="仿宋" w:eastAsia="仿宋" w:cs="仿宋"/>
          <w:b/>
          <w:bCs/>
          <w:szCs w:val="21"/>
        </w:rPr>
      </w:pPr>
    </w:p>
    <w:p>
      <w:pPr>
        <w:spacing w:line="360" w:lineRule="auto"/>
        <w:ind w:firstLine="211" w:firstLineChars="100"/>
        <w:jc w:val="left"/>
        <w:rPr>
          <w:rFonts w:ascii="仿宋" w:hAnsi="仿宋" w:eastAsia="仿宋" w:cs="仿宋"/>
          <w:b/>
          <w:bCs/>
          <w:szCs w:val="21"/>
        </w:rPr>
      </w:pPr>
      <w:r>
        <w:rPr>
          <w:rFonts w:hint="eastAsia" w:ascii="仿宋" w:hAnsi="仿宋" w:eastAsia="仿宋" w:cs="仿宋"/>
          <w:b/>
          <w:bCs/>
          <w:szCs w:val="21"/>
        </w:rPr>
        <w:t>从业人员、营业收入、资产总额填报上一年度数据，无上一年度数据的新成立企业可不填报。</w:t>
      </w:r>
    </w:p>
    <w:p>
      <w:pPr>
        <w:spacing w:line="360" w:lineRule="auto"/>
        <w:ind w:right="420" w:firstLine="0" w:firstLineChars="0"/>
        <w:rPr>
          <w:rFonts w:ascii="宋体" w:hAnsi="宋体" w:cs="宋体"/>
          <w:sz w:val="24"/>
        </w:rPr>
      </w:pPr>
      <w:r>
        <w:rPr>
          <w:rFonts w:hint="eastAsia" w:ascii="宋体" w:hAnsi="宋体" w:cs="宋体"/>
          <w:sz w:val="24"/>
        </w:rPr>
        <w:t xml:space="preserve">  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2"/>
        <w:rPr>
          <w:rFonts w:ascii="宋体" w:hAnsi="宋体" w:eastAsia="宋体" w:cs="宋体"/>
          <w:lang w:val="en-US"/>
        </w:rPr>
      </w:pPr>
    </w:p>
    <w:p>
      <w:pPr>
        <w:rPr>
          <w:rFonts w:ascii="宋体" w:hAnsi="宋体" w:eastAsia="宋体" w:cs="宋体"/>
          <w:lang w:val="en-US"/>
        </w:rPr>
      </w:pPr>
    </w:p>
    <w:p>
      <w:pPr>
        <w:pStyle w:val="2"/>
        <w:rPr>
          <w:rFonts w:ascii="宋体" w:hAnsi="宋体" w:eastAsia="宋体" w:cs="宋体"/>
          <w:lang w:val="en-US"/>
        </w:rPr>
      </w:pPr>
    </w:p>
    <w:p>
      <w:pPr>
        <w:rPr>
          <w:rFonts w:ascii="宋体" w:hAnsi="宋体" w:eastAsia="宋体" w:cs="宋体"/>
          <w:lang w:val="en-US"/>
        </w:rPr>
      </w:pPr>
    </w:p>
    <w:p>
      <w:pPr>
        <w:pStyle w:val="2"/>
        <w:rPr>
          <w:rFonts w:ascii="宋体" w:hAnsi="宋体" w:eastAsia="宋体" w:cs="宋体"/>
          <w:lang w:val="en-US"/>
        </w:rPr>
      </w:pPr>
    </w:p>
    <w:p>
      <w:pPr>
        <w:rPr>
          <w:rFonts w:ascii="宋体" w:hAnsi="宋体" w:eastAsia="宋体" w:cs="宋体"/>
          <w:lang w:val="en-US"/>
        </w:rPr>
      </w:pPr>
    </w:p>
    <w:p>
      <w:pPr>
        <w:pStyle w:val="2"/>
        <w:rPr>
          <w:rFonts w:ascii="宋体" w:hAnsi="宋体" w:eastAsia="宋体" w:cs="宋体"/>
          <w:lang w:val="en-US"/>
        </w:rPr>
      </w:pPr>
    </w:p>
    <w:p>
      <w:pPr>
        <w:rPr>
          <w:rFonts w:ascii="宋体" w:hAnsi="宋体" w:eastAsia="宋体" w:cs="宋体"/>
          <w:lang w:val="en-US"/>
        </w:rPr>
      </w:pPr>
    </w:p>
    <w:p>
      <w:pPr>
        <w:pStyle w:val="2"/>
        <w:rPr>
          <w:rFonts w:ascii="宋体" w:hAnsi="宋体" w:eastAsia="宋体" w:cs="宋体"/>
          <w:lang w:val="en-US"/>
        </w:rPr>
      </w:pPr>
    </w:p>
    <w:p>
      <w:pPr>
        <w:rPr>
          <w:rFonts w:ascii="宋体" w:hAnsi="宋体" w:eastAsia="宋体" w:cs="宋体"/>
          <w:lang w:val="en-US"/>
        </w:rPr>
      </w:pPr>
    </w:p>
    <w:p>
      <w:pPr>
        <w:pStyle w:val="2"/>
        <w:rPr>
          <w:rFonts w:ascii="宋体" w:hAnsi="宋体" w:eastAsia="宋体" w:cs="宋体"/>
          <w:lang w:val="en-US"/>
        </w:rPr>
      </w:pPr>
    </w:p>
    <w:p>
      <w:pPr>
        <w:rPr>
          <w:rFonts w:ascii="宋体" w:hAnsi="宋体" w:eastAsia="宋体" w:cs="宋体"/>
          <w:lang w:val="en-US"/>
        </w:rPr>
      </w:pPr>
    </w:p>
    <w:p>
      <w:pPr>
        <w:pStyle w:val="2"/>
        <w:rPr>
          <w:rFonts w:ascii="宋体" w:hAnsi="宋体" w:eastAsia="宋体" w:cs="宋体"/>
          <w:lang w:val="en-US"/>
        </w:rPr>
      </w:pPr>
    </w:p>
    <w:p>
      <w:pPr>
        <w:rPr>
          <w:rFonts w:ascii="宋体" w:hAnsi="宋体" w:eastAsia="宋体" w:cs="宋体"/>
          <w:lang w:val="en-US"/>
        </w:rPr>
      </w:pPr>
    </w:p>
    <w:p>
      <w:pPr>
        <w:pStyle w:val="2"/>
        <w:rPr>
          <w:rFonts w:ascii="宋体" w:hAnsi="宋体" w:eastAsia="宋体" w:cs="宋体"/>
          <w:lang w:val="en-US"/>
        </w:rPr>
      </w:pPr>
    </w:p>
    <w:p>
      <w:pPr>
        <w:rPr>
          <w:rFonts w:ascii="宋体" w:hAnsi="宋体" w:eastAsia="宋体" w:cs="宋体"/>
          <w:lang w:val="en-US"/>
        </w:rPr>
      </w:pPr>
    </w:p>
    <w:p>
      <w:pPr>
        <w:pStyle w:val="2"/>
        <w:rPr>
          <w:rFonts w:ascii="宋体" w:hAnsi="宋体" w:eastAsia="宋体" w:cs="宋体"/>
          <w:lang w:val="en-US"/>
        </w:rPr>
      </w:pPr>
    </w:p>
    <w:p>
      <w:pPr>
        <w:rPr>
          <w:rFonts w:ascii="宋体" w:hAnsi="宋体" w:eastAsia="宋体" w:cs="宋体"/>
          <w:lang w:val="en-US"/>
        </w:rPr>
      </w:pPr>
    </w:p>
    <w:p>
      <w:pPr>
        <w:pStyle w:val="2"/>
        <w:rPr>
          <w:rFonts w:ascii="宋体" w:hAnsi="宋体" w:eastAsia="宋体" w:cs="宋体"/>
          <w:lang w:val="en-US"/>
        </w:rPr>
      </w:pPr>
    </w:p>
    <w:p>
      <w:pPr>
        <w:rPr>
          <w:lang w:val="en-US"/>
        </w:rPr>
      </w:pPr>
    </w:p>
    <w:p>
      <w:pPr>
        <w:spacing w:line="360" w:lineRule="auto"/>
        <w:ind w:right="420" w:firstLine="2209" w:firstLineChars="500"/>
        <w:rPr>
          <w:rFonts w:hint="eastAsia" w:ascii="仿宋" w:hAnsi="仿宋" w:eastAsia="仿宋" w:cs="仿宋"/>
          <w:b/>
          <w:kern w:val="0"/>
          <w:sz w:val="44"/>
          <w:szCs w:val="44"/>
        </w:rPr>
      </w:pPr>
    </w:p>
    <w:p>
      <w:pPr>
        <w:spacing w:line="360" w:lineRule="auto"/>
        <w:ind w:right="420" w:firstLine="2209" w:firstLineChars="500"/>
        <w:rPr>
          <w:rFonts w:ascii="仿宋" w:hAnsi="仿宋" w:eastAsia="仿宋" w:cs="仿宋"/>
          <w:b/>
          <w:kern w:val="0"/>
          <w:sz w:val="44"/>
          <w:szCs w:val="44"/>
        </w:rPr>
      </w:pPr>
      <w:r>
        <w:rPr>
          <w:rFonts w:hint="eastAsia" w:ascii="仿宋" w:hAnsi="仿宋" w:eastAsia="仿宋" w:cs="仿宋"/>
          <w:b/>
          <w:kern w:val="0"/>
          <w:sz w:val="44"/>
          <w:szCs w:val="44"/>
        </w:rPr>
        <w:t>商务技术文件部分（封面）</w:t>
      </w:r>
    </w:p>
    <w:p>
      <w:pPr>
        <w:spacing w:line="360" w:lineRule="auto"/>
        <w:jc w:val="center"/>
        <w:outlineLvl w:val="0"/>
        <w:rPr>
          <w:rFonts w:ascii="仿宋" w:hAnsi="仿宋" w:eastAsia="仿宋" w:cs="仿宋"/>
          <w:b/>
          <w:kern w:val="0"/>
          <w:sz w:val="24"/>
        </w:rPr>
      </w:pPr>
    </w:p>
    <w:p>
      <w:pPr>
        <w:shd w:val="clear" w:color="auto" w:fill="FFFFFF"/>
        <w:snapToGrid w:val="0"/>
        <w:spacing w:line="360" w:lineRule="auto"/>
        <w:jc w:val="center"/>
        <w:outlineLvl w:val="0"/>
        <w:rPr>
          <w:rFonts w:ascii="仿宋" w:hAnsi="仿宋" w:eastAsia="仿宋" w:cs="仿宋"/>
          <w:b/>
          <w:bCs/>
          <w:color w:val="000000"/>
          <w:sz w:val="32"/>
          <w:szCs w:val="32"/>
        </w:rPr>
      </w:pPr>
      <w:r>
        <w:rPr>
          <w:rFonts w:hint="eastAsia" w:ascii="仿宋" w:hAnsi="仿宋" w:eastAsia="仿宋" w:cs="仿宋"/>
          <w:b/>
          <w:bCs/>
          <w:color w:val="000000"/>
          <w:sz w:val="32"/>
          <w:szCs w:val="32"/>
        </w:rPr>
        <w:t>（项目名称）</w:t>
      </w:r>
    </w:p>
    <w:p>
      <w:pPr>
        <w:shd w:val="clear" w:color="auto" w:fill="FFFFFF"/>
        <w:snapToGrid w:val="0"/>
        <w:spacing w:line="360" w:lineRule="auto"/>
        <w:jc w:val="center"/>
        <w:outlineLvl w:val="0"/>
        <w:rPr>
          <w:rFonts w:ascii="仿宋" w:hAnsi="仿宋" w:eastAsia="仿宋" w:cs="仿宋"/>
          <w:b/>
          <w:bCs/>
          <w:color w:val="000000"/>
          <w:sz w:val="52"/>
          <w:szCs w:val="52"/>
        </w:rPr>
      </w:pPr>
      <w:bookmarkStart w:id="408" w:name="_Toc17190"/>
      <w:r>
        <w:rPr>
          <w:rFonts w:hint="eastAsia" w:ascii="仿宋" w:hAnsi="仿宋" w:eastAsia="仿宋" w:cs="仿宋"/>
          <w:b/>
          <w:bCs/>
          <w:color w:val="000000"/>
          <w:sz w:val="52"/>
          <w:szCs w:val="52"/>
        </w:rPr>
        <w:t>商 务 技 术 文 件</w:t>
      </w:r>
      <w:bookmarkEnd w:id="408"/>
    </w:p>
    <w:p>
      <w:pPr>
        <w:widowControl/>
        <w:spacing w:line="360" w:lineRule="auto"/>
        <w:ind w:right="-2"/>
        <w:jc w:val="center"/>
        <w:outlineLvl w:val="1"/>
        <w:rPr>
          <w:rFonts w:ascii="仿宋" w:hAnsi="仿宋" w:eastAsia="仿宋" w:cs="仿宋"/>
          <w:b/>
          <w:color w:val="000000"/>
          <w:sz w:val="36"/>
          <w:szCs w:val="36"/>
        </w:rPr>
      </w:pPr>
      <w:bookmarkStart w:id="409" w:name="_Toc27078"/>
      <w:r>
        <w:rPr>
          <w:rFonts w:hint="eastAsia" w:ascii="仿宋" w:hAnsi="仿宋" w:eastAsia="仿宋" w:cs="仿宋"/>
          <w:b/>
          <w:color w:val="000000"/>
          <w:sz w:val="36"/>
          <w:szCs w:val="36"/>
        </w:rPr>
        <w:t>（线上电子招投标）</w:t>
      </w:r>
      <w:bookmarkEnd w:id="409"/>
    </w:p>
    <w:p>
      <w:pPr>
        <w:pStyle w:val="80"/>
        <w:spacing w:line="360" w:lineRule="auto"/>
        <w:rPr>
          <w:rFonts w:ascii="仿宋" w:hAnsi="仿宋" w:eastAsia="仿宋" w:cs="仿宋"/>
          <w:sz w:val="36"/>
          <w:szCs w:val="36"/>
        </w:rPr>
      </w:pPr>
    </w:p>
    <w:p>
      <w:pPr>
        <w:shd w:val="clear" w:color="auto" w:fill="FFFFFF"/>
        <w:snapToGrid w:val="0"/>
        <w:spacing w:line="360" w:lineRule="auto"/>
        <w:jc w:val="center"/>
        <w:outlineLvl w:val="1"/>
        <w:rPr>
          <w:rFonts w:ascii="仿宋" w:hAnsi="仿宋" w:eastAsia="仿宋" w:cs="仿宋"/>
          <w:b/>
          <w:bCs/>
          <w:color w:val="000000"/>
          <w:sz w:val="36"/>
          <w:szCs w:val="36"/>
        </w:rPr>
      </w:pPr>
      <w:bookmarkStart w:id="410" w:name="_Toc28851"/>
      <w:r>
        <w:rPr>
          <w:rFonts w:hint="eastAsia" w:ascii="仿宋" w:hAnsi="仿宋" w:eastAsia="仿宋" w:cs="仿宋"/>
          <w:b/>
          <w:bCs/>
          <w:color w:val="000000"/>
          <w:sz w:val="36"/>
          <w:szCs w:val="36"/>
        </w:rPr>
        <w:t xml:space="preserve">  招标编号：</w:t>
      </w:r>
      <w:bookmarkEnd w:id="410"/>
      <w:r>
        <w:rPr>
          <w:rFonts w:hint="eastAsia" w:ascii="仿宋" w:hAnsi="仿宋" w:eastAsia="仿宋" w:cs="仿宋"/>
          <w:b/>
          <w:bCs/>
          <w:color w:val="000000"/>
          <w:sz w:val="36"/>
          <w:szCs w:val="36"/>
        </w:rPr>
        <w:t xml:space="preserve">YHZFCG2023- </w:t>
      </w:r>
    </w:p>
    <w:p>
      <w:pPr>
        <w:pStyle w:val="80"/>
        <w:spacing w:line="360" w:lineRule="auto"/>
        <w:rPr>
          <w:rFonts w:ascii="仿宋" w:hAnsi="仿宋" w:eastAsia="仿宋" w:cs="仿宋"/>
        </w:rPr>
      </w:pPr>
    </w:p>
    <w:p>
      <w:pPr>
        <w:snapToGrid w:val="0"/>
        <w:spacing w:line="360" w:lineRule="auto"/>
        <w:jc w:val="center"/>
        <w:rPr>
          <w:rFonts w:ascii="仿宋" w:hAnsi="仿宋" w:eastAsia="仿宋" w:cs="仿宋"/>
          <w:color w:val="000000"/>
          <w:sz w:val="52"/>
          <w:szCs w:val="52"/>
        </w:rPr>
      </w:pPr>
      <w:r>
        <w:rPr>
          <w:rFonts w:hint="eastAsia" w:ascii="仿宋" w:hAnsi="仿宋" w:eastAsia="仿宋" w:cs="仿宋"/>
          <w:color w:val="000000"/>
          <w:sz w:val="52"/>
          <w:szCs w:val="52"/>
        </w:rPr>
        <w:t>投</w:t>
      </w:r>
    </w:p>
    <w:p>
      <w:pPr>
        <w:snapToGrid w:val="0"/>
        <w:spacing w:line="360" w:lineRule="auto"/>
        <w:jc w:val="center"/>
        <w:rPr>
          <w:rFonts w:ascii="仿宋" w:hAnsi="仿宋" w:eastAsia="仿宋" w:cs="仿宋"/>
          <w:color w:val="000000"/>
          <w:sz w:val="52"/>
          <w:szCs w:val="52"/>
        </w:rPr>
      </w:pPr>
      <w:r>
        <w:rPr>
          <w:rFonts w:hint="eastAsia" w:ascii="仿宋" w:hAnsi="仿宋" w:eastAsia="仿宋" w:cs="仿宋"/>
          <w:color w:val="000000"/>
          <w:sz w:val="52"/>
          <w:szCs w:val="52"/>
        </w:rPr>
        <w:t>标</w:t>
      </w:r>
    </w:p>
    <w:p>
      <w:pPr>
        <w:snapToGrid w:val="0"/>
        <w:spacing w:line="360" w:lineRule="auto"/>
        <w:jc w:val="center"/>
        <w:rPr>
          <w:rFonts w:ascii="仿宋" w:hAnsi="仿宋" w:eastAsia="仿宋" w:cs="仿宋"/>
          <w:color w:val="000000"/>
          <w:sz w:val="52"/>
          <w:szCs w:val="52"/>
        </w:rPr>
      </w:pPr>
      <w:r>
        <w:rPr>
          <w:rFonts w:hint="eastAsia" w:ascii="仿宋" w:hAnsi="仿宋" w:eastAsia="仿宋" w:cs="仿宋"/>
          <w:color w:val="000000"/>
          <w:sz w:val="52"/>
          <w:szCs w:val="52"/>
        </w:rPr>
        <w:t>文</w:t>
      </w:r>
    </w:p>
    <w:p>
      <w:pPr>
        <w:snapToGrid w:val="0"/>
        <w:spacing w:line="360" w:lineRule="auto"/>
        <w:jc w:val="center"/>
        <w:rPr>
          <w:rFonts w:ascii="仿宋" w:hAnsi="仿宋" w:eastAsia="仿宋" w:cs="仿宋"/>
          <w:color w:val="000000"/>
          <w:sz w:val="52"/>
          <w:szCs w:val="52"/>
        </w:rPr>
      </w:pPr>
      <w:r>
        <w:rPr>
          <w:rFonts w:hint="eastAsia" w:ascii="仿宋" w:hAnsi="仿宋" w:eastAsia="仿宋" w:cs="仿宋"/>
          <w:color w:val="000000"/>
          <w:sz w:val="52"/>
          <w:szCs w:val="52"/>
        </w:rPr>
        <w:t>件</w:t>
      </w:r>
    </w:p>
    <w:p>
      <w:pPr>
        <w:snapToGrid w:val="0"/>
        <w:spacing w:line="360" w:lineRule="auto"/>
        <w:ind w:firstLine="1920" w:firstLineChars="600"/>
        <w:rPr>
          <w:rFonts w:ascii="仿宋" w:hAnsi="仿宋" w:eastAsia="仿宋" w:cs="仿宋"/>
          <w:color w:val="000000"/>
          <w:sz w:val="32"/>
          <w:szCs w:val="32"/>
        </w:rPr>
      </w:pPr>
    </w:p>
    <w:p>
      <w:pPr>
        <w:snapToGrid w:val="0"/>
        <w:spacing w:line="360" w:lineRule="auto"/>
        <w:ind w:firstLine="1920" w:firstLineChars="600"/>
        <w:rPr>
          <w:rFonts w:ascii="仿宋" w:hAnsi="仿宋" w:eastAsia="仿宋" w:cs="仿宋"/>
          <w:color w:val="000000"/>
          <w:sz w:val="32"/>
          <w:szCs w:val="32"/>
        </w:rPr>
      </w:pPr>
    </w:p>
    <w:p>
      <w:pPr>
        <w:snapToGrid w:val="0"/>
        <w:spacing w:line="360" w:lineRule="auto"/>
        <w:ind w:firstLine="1920" w:firstLineChars="600"/>
        <w:rPr>
          <w:rFonts w:ascii="仿宋" w:hAnsi="仿宋" w:eastAsia="仿宋" w:cs="仿宋"/>
          <w:color w:val="000000"/>
          <w:sz w:val="32"/>
          <w:szCs w:val="32"/>
        </w:rPr>
      </w:pPr>
      <w:r>
        <w:rPr>
          <w:rFonts w:hint="eastAsia" w:ascii="仿宋" w:hAnsi="仿宋" w:eastAsia="仿宋" w:cs="仿宋"/>
          <w:color w:val="000000"/>
          <w:sz w:val="32"/>
          <w:szCs w:val="32"/>
        </w:rPr>
        <w:t>投标人全称：（单位公章或电子公章）</w:t>
      </w:r>
    </w:p>
    <w:p>
      <w:pPr>
        <w:snapToGrid w:val="0"/>
        <w:spacing w:line="360" w:lineRule="auto"/>
        <w:ind w:firstLine="1920" w:firstLineChars="600"/>
        <w:rPr>
          <w:rFonts w:ascii="仿宋" w:hAnsi="仿宋" w:eastAsia="仿宋" w:cs="仿宋"/>
          <w:color w:val="000000"/>
          <w:sz w:val="32"/>
          <w:szCs w:val="32"/>
        </w:rPr>
      </w:pPr>
      <w:r>
        <w:rPr>
          <w:rFonts w:hint="eastAsia" w:ascii="仿宋" w:hAnsi="仿宋" w:eastAsia="仿宋" w:cs="仿宋"/>
          <w:color w:val="000000"/>
          <w:sz w:val="32"/>
          <w:szCs w:val="32"/>
        </w:rPr>
        <w:t>投标人地址：</w:t>
      </w:r>
    </w:p>
    <w:p>
      <w:pPr>
        <w:snapToGrid w:val="0"/>
        <w:spacing w:line="360" w:lineRule="auto"/>
        <w:jc w:val="center"/>
        <w:rPr>
          <w:rFonts w:ascii="仿宋" w:hAnsi="仿宋" w:eastAsia="仿宋" w:cs="仿宋"/>
          <w:color w:val="000000"/>
          <w:sz w:val="32"/>
          <w:szCs w:val="32"/>
        </w:rPr>
      </w:pPr>
      <w:r>
        <w:rPr>
          <w:rFonts w:hint="eastAsia" w:ascii="仿宋" w:hAnsi="仿宋" w:eastAsia="仿宋" w:cs="仿宋"/>
          <w:color w:val="000000"/>
          <w:sz w:val="32"/>
          <w:szCs w:val="32"/>
        </w:rPr>
        <w:t>年   月   日</w:t>
      </w:r>
    </w:p>
    <w:p>
      <w:pPr>
        <w:pStyle w:val="3"/>
        <w:snapToGrid w:val="0"/>
        <w:rPr>
          <w:rFonts w:ascii="仿宋" w:hAnsi="仿宋" w:eastAsia="仿宋" w:cs="仿宋"/>
          <w:color w:val="000000"/>
          <w:kern w:val="0"/>
          <w:sz w:val="32"/>
          <w:szCs w:val="32"/>
        </w:rPr>
        <w:sectPr>
          <w:headerReference r:id="rId7" w:type="default"/>
          <w:footerReference r:id="rId8" w:type="default"/>
          <w:pgSz w:w="11906" w:h="16838"/>
          <w:pgMar w:top="993" w:right="1474" w:bottom="1134" w:left="1474" w:header="851" w:footer="641" w:gutter="0"/>
          <w:cols w:space="720" w:num="1"/>
          <w:docGrid w:type="lines" w:linePitch="315" w:charSpace="0"/>
        </w:sectPr>
      </w:pPr>
    </w:p>
    <w:p>
      <w:pPr>
        <w:spacing w:line="360" w:lineRule="auto"/>
        <w:ind w:right="420" w:firstLine="3614" w:firstLineChars="1000"/>
        <w:rPr>
          <w:rFonts w:ascii="仿宋" w:hAnsi="仿宋" w:eastAsia="仿宋" w:cs="仿宋"/>
          <w:b/>
          <w:kern w:val="0"/>
          <w:sz w:val="36"/>
          <w:szCs w:val="36"/>
        </w:rPr>
      </w:pPr>
    </w:p>
    <w:p>
      <w:pPr>
        <w:spacing w:line="360" w:lineRule="auto"/>
        <w:ind w:right="420" w:firstLine="3614" w:firstLineChars="1000"/>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pPr>
        <w:spacing w:line="360" w:lineRule="auto"/>
        <w:jc w:val="center"/>
        <w:outlineLvl w:val="0"/>
        <w:rPr>
          <w:rFonts w:ascii="仿宋" w:hAnsi="仿宋" w:eastAsia="仿宋" w:cs="仿宋"/>
          <w:b/>
          <w:kern w:val="0"/>
          <w:sz w:val="24"/>
        </w:rPr>
      </w:pPr>
    </w:p>
    <w:p>
      <w:pPr>
        <w:spacing w:line="360"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pPr>
        <w:snapToGrid w:val="0"/>
        <w:spacing w:line="360" w:lineRule="auto"/>
        <w:ind w:left="479" w:leftChars="228"/>
        <w:rPr>
          <w:rFonts w:ascii="仿宋" w:hAnsi="仿宋" w:eastAsia="仿宋" w:cs="仿宋"/>
        </w:rPr>
      </w:pPr>
      <w:r>
        <w:rPr>
          <w:rFonts w:hint="eastAsia" w:ascii="仿宋" w:hAnsi="仿宋" w:eastAsia="仿宋" w:cs="仿宋"/>
          <w:sz w:val="24"/>
        </w:rPr>
        <w:t>（1）投标函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pPr>
        <w:snapToGrid w:val="0"/>
        <w:spacing w:line="360" w:lineRule="auto"/>
        <w:ind w:firstLine="480" w:firstLineChars="200"/>
        <w:rPr>
          <w:rFonts w:ascii="仿宋" w:hAnsi="仿宋" w:eastAsia="仿宋" w:cs="仿宋"/>
        </w:rPr>
      </w:pPr>
      <w:r>
        <w:rPr>
          <w:rFonts w:hint="eastAsia" w:ascii="仿宋" w:hAnsi="仿宋" w:eastAsia="仿宋" w:cs="仿宋"/>
          <w:sz w:val="24"/>
        </w:rPr>
        <w:t>（3）符合性审查资料</w:t>
      </w:r>
      <w:r>
        <w:rPr>
          <w:rFonts w:hint="eastAsia" w:ascii="仿宋" w:hAnsi="仿宋" w:eastAsia="仿宋" w:cs="仿宋"/>
        </w:rPr>
        <w:t>………………………………………………………………………（页码）</w:t>
      </w:r>
    </w:p>
    <w:p>
      <w:pPr>
        <w:snapToGrid w:val="0"/>
        <w:spacing w:line="360" w:lineRule="auto"/>
        <w:ind w:left="479" w:leftChars="228"/>
        <w:rPr>
          <w:rFonts w:ascii="仿宋" w:hAnsi="仿宋" w:eastAsia="仿宋" w:cs="仿宋"/>
        </w:rPr>
      </w:pPr>
      <w:r>
        <w:rPr>
          <w:rFonts w:hint="eastAsia" w:ascii="仿宋" w:hAnsi="仿宋" w:eastAsia="仿宋" w:cs="仿宋"/>
          <w:sz w:val="24"/>
        </w:rPr>
        <w:t>（4）评标标准相应的商务技术资料</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p>
    <w:p>
      <w:pPr>
        <w:snapToGrid w:val="0"/>
        <w:spacing w:line="360" w:lineRule="auto"/>
        <w:ind w:left="479" w:leftChars="228"/>
        <w:rPr>
          <w:rFonts w:ascii="仿宋" w:hAnsi="仿宋" w:eastAsia="仿宋" w:cs="仿宋"/>
        </w:rPr>
      </w:pPr>
      <w:r>
        <w:rPr>
          <w:rFonts w:hint="eastAsia" w:ascii="仿宋" w:hAnsi="仿宋" w:eastAsia="仿宋" w:cs="仿宋"/>
          <w:sz w:val="24"/>
        </w:rPr>
        <w:t>（5）商务技术偏离表</w:t>
      </w:r>
      <w:r>
        <w:rPr>
          <w:rFonts w:hint="eastAsia" w:ascii="仿宋" w:hAnsi="仿宋" w:eastAsia="仿宋" w:cs="仿宋"/>
        </w:rPr>
        <w:t>………………………………………………………………………（页码）</w:t>
      </w:r>
    </w:p>
    <w:p>
      <w:pPr>
        <w:snapToGrid w:val="0"/>
        <w:spacing w:line="360" w:lineRule="auto"/>
        <w:ind w:left="479" w:leftChars="228"/>
        <w:rPr>
          <w:rFonts w:ascii="仿宋" w:hAnsi="仿宋" w:eastAsia="仿宋" w:cs="仿宋"/>
          <w:sz w:val="24"/>
          <w:lang w:val="zh-CN"/>
        </w:rPr>
      </w:pPr>
      <w:r>
        <w:rPr>
          <w:rFonts w:hint="eastAsia" w:ascii="仿宋" w:hAnsi="仿宋" w:eastAsia="仿宋" w:cs="仿宋"/>
          <w:sz w:val="24"/>
          <w:lang w:val="zh-CN"/>
        </w:rPr>
        <w:t>（</w:t>
      </w:r>
      <w:r>
        <w:rPr>
          <w:rFonts w:hint="eastAsia" w:ascii="仿宋" w:hAnsi="仿宋" w:eastAsia="仿宋" w:cs="仿宋"/>
          <w:sz w:val="24"/>
        </w:rPr>
        <w:t>6</w:t>
      </w:r>
      <w:r>
        <w:rPr>
          <w:rFonts w:hint="eastAsia" w:ascii="仿宋" w:hAnsi="仿宋" w:eastAsia="仿宋" w:cs="仿宋"/>
          <w:sz w:val="24"/>
          <w:lang w:val="zh-CN"/>
        </w:rPr>
        <w:t>）所投产品具体配置表</w:t>
      </w:r>
      <w:r>
        <w:rPr>
          <w:rFonts w:hint="eastAsia" w:ascii="仿宋" w:hAnsi="仿宋" w:eastAsia="仿宋" w:cs="仿宋"/>
        </w:rPr>
        <w:t>………………………………………………………………（页码）</w:t>
      </w:r>
    </w:p>
    <w:p>
      <w:pPr>
        <w:snapToGrid w:val="0"/>
        <w:spacing w:line="360" w:lineRule="auto"/>
        <w:ind w:left="479" w:leftChars="228"/>
        <w:rPr>
          <w:rFonts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7</w:t>
      </w:r>
      <w:r>
        <w:rPr>
          <w:rFonts w:hint="eastAsia" w:ascii="仿宋" w:hAnsi="仿宋" w:eastAsia="仿宋" w:cs="仿宋"/>
          <w:sz w:val="24"/>
          <w:lang w:val="zh-CN"/>
        </w:rPr>
        <w:t>）政府采购供应商廉洁自律承诺书</w:t>
      </w:r>
      <w:r>
        <w:rPr>
          <w:rFonts w:hint="eastAsia" w:ascii="仿宋" w:hAnsi="仿宋" w:eastAsia="仿宋" w:cs="仿宋"/>
        </w:rPr>
        <w:t>…………………………………………………（页码）</w:t>
      </w:r>
    </w:p>
    <w:p>
      <w:pPr>
        <w:snapToGrid w:val="0"/>
        <w:spacing w:line="360" w:lineRule="auto"/>
        <w:ind w:left="479" w:leftChars="228"/>
        <w:rPr>
          <w:rFonts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）投标人签署的《政府采购活动现场确认声明书》</w:t>
      </w:r>
      <w:r>
        <w:rPr>
          <w:rFonts w:hint="eastAsia" w:ascii="仿宋" w:hAnsi="仿宋" w:eastAsia="仿宋" w:cs="仿宋"/>
        </w:rPr>
        <w:t>……………………………（页码）</w:t>
      </w: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jc w:val="center"/>
        <w:outlineLvl w:val="0"/>
        <w:rPr>
          <w:rFonts w:ascii="仿宋" w:hAnsi="仿宋" w:eastAsia="仿宋" w:cs="仿宋"/>
          <w:b/>
          <w:kern w:val="0"/>
          <w:sz w:val="32"/>
          <w:szCs w:val="32"/>
        </w:rPr>
      </w:pPr>
    </w:p>
    <w:p>
      <w:pPr>
        <w:snapToGrid w:val="0"/>
        <w:spacing w:line="360" w:lineRule="auto"/>
        <w:jc w:val="center"/>
        <w:outlineLvl w:val="0"/>
        <w:rPr>
          <w:rFonts w:ascii="仿宋" w:hAnsi="仿宋" w:eastAsia="仿宋" w:cs="仿宋"/>
          <w:b/>
          <w:kern w:val="0"/>
          <w:sz w:val="32"/>
          <w:szCs w:val="32"/>
        </w:rPr>
      </w:pPr>
    </w:p>
    <w:p>
      <w:pPr>
        <w:rPr>
          <w:rFonts w:ascii="仿宋" w:hAnsi="仿宋" w:eastAsia="仿宋" w:cs="仿宋"/>
        </w:rPr>
      </w:pPr>
    </w:p>
    <w:p>
      <w:pPr>
        <w:snapToGrid w:val="0"/>
        <w:spacing w:line="360" w:lineRule="auto"/>
        <w:jc w:val="center"/>
        <w:outlineLvl w:val="0"/>
        <w:rPr>
          <w:rFonts w:ascii="仿宋" w:hAnsi="仿宋" w:eastAsia="仿宋" w:cs="仿宋"/>
          <w:b/>
          <w:kern w:val="0"/>
          <w:sz w:val="32"/>
          <w:szCs w:val="32"/>
        </w:rPr>
      </w:pPr>
    </w:p>
    <w:p>
      <w:pPr>
        <w:snapToGrid w:val="0"/>
        <w:spacing w:line="360" w:lineRule="auto"/>
        <w:jc w:val="center"/>
        <w:outlineLvl w:val="0"/>
        <w:rPr>
          <w:rFonts w:ascii="仿宋" w:hAnsi="仿宋" w:eastAsia="仿宋" w:cs="仿宋"/>
          <w:b/>
          <w:kern w:val="0"/>
          <w:sz w:val="32"/>
          <w:szCs w:val="32"/>
        </w:rPr>
      </w:pPr>
    </w:p>
    <w:p>
      <w:pPr>
        <w:snapToGrid w:val="0"/>
        <w:spacing w:line="360" w:lineRule="auto"/>
        <w:jc w:val="center"/>
        <w:outlineLvl w:val="0"/>
        <w:rPr>
          <w:rFonts w:ascii="仿宋" w:hAnsi="仿宋" w:eastAsia="仿宋" w:cs="仿宋"/>
          <w:b/>
          <w:kern w:val="0"/>
          <w:sz w:val="32"/>
          <w:szCs w:val="32"/>
        </w:rPr>
      </w:pPr>
    </w:p>
    <w:p>
      <w:pPr>
        <w:snapToGrid w:val="0"/>
        <w:spacing w:line="360" w:lineRule="auto"/>
        <w:jc w:val="center"/>
        <w:outlineLvl w:val="0"/>
        <w:rPr>
          <w:rFonts w:ascii="仿宋" w:hAnsi="仿宋" w:eastAsia="仿宋" w:cs="仿宋"/>
          <w:b/>
          <w:kern w:val="0"/>
          <w:sz w:val="32"/>
          <w:szCs w:val="32"/>
        </w:rPr>
      </w:pPr>
    </w:p>
    <w:p>
      <w:pPr>
        <w:snapToGrid w:val="0"/>
        <w:spacing w:line="360" w:lineRule="auto"/>
        <w:jc w:val="center"/>
        <w:outlineLvl w:val="0"/>
        <w:rPr>
          <w:rFonts w:ascii="仿宋" w:hAnsi="仿宋" w:eastAsia="仿宋" w:cs="仿宋"/>
          <w:b/>
          <w:kern w:val="0"/>
          <w:sz w:val="32"/>
          <w:szCs w:val="32"/>
        </w:rPr>
      </w:pPr>
    </w:p>
    <w:p>
      <w:pPr>
        <w:snapToGrid w:val="0"/>
        <w:spacing w:line="360" w:lineRule="auto"/>
        <w:jc w:val="center"/>
        <w:outlineLvl w:val="0"/>
        <w:rPr>
          <w:rFonts w:ascii="仿宋" w:hAnsi="仿宋" w:eastAsia="仿宋" w:cs="仿宋"/>
          <w:b/>
          <w:kern w:val="0"/>
          <w:sz w:val="32"/>
          <w:szCs w:val="32"/>
        </w:rPr>
      </w:pPr>
    </w:p>
    <w:p>
      <w:pPr>
        <w:snapToGrid w:val="0"/>
        <w:spacing w:line="480" w:lineRule="auto"/>
        <w:jc w:val="center"/>
        <w:outlineLvl w:val="0"/>
        <w:rPr>
          <w:rFonts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pPr>
        <w:snapToGrid w:val="0"/>
        <w:spacing w:line="480" w:lineRule="auto"/>
        <w:rPr>
          <w:rFonts w:ascii="仿宋" w:hAnsi="仿宋" w:eastAsia="仿宋" w:cs="仿宋"/>
          <w:sz w:val="24"/>
        </w:rPr>
      </w:pPr>
      <w:r>
        <w:rPr>
          <w:rFonts w:hint="eastAsia" w:ascii="仿宋" w:hAnsi="仿宋" w:eastAsia="仿宋" w:cs="仿宋"/>
          <w:sz w:val="24"/>
        </w:rPr>
        <w:t>（采购人）、（采购代理机构）：</w:t>
      </w:r>
    </w:p>
    <w:p>
      <w:pPr>
        <w:snapToGrid w:val="0"/>
        <w:spacing w:line="480" w:lineRule="auto"/>
        <w:ind w:firstLine="480" w:firstLineChars="200"/>
        <w:rPr>
          <w:rFonts w:ascii="仿宋" w:hAnsi="仿宋" w:eastAsia="仿宋" w:cs="仿宋"/>
          <w:sz w:val="24"/>
        </w:rPr>
      </w:pPr>
      <w:r>
        <w:rPr>
          <w:rFonts w:hint="eastAsia" w:ascii="仿宋" w:hAnsi="仿宋" w:eastAsia="仿宋" w:cs="仿宋"/>
          <w:sz w:val="24"/>
        </w:rPr>
        <w:t>我方参加你方组织的（临平区星桥中学食堂厨房设备采购）【招标编号：（YHZFCG2023-015）】招标的有关活动，并对此项目进行投标。为此：</w:t>
      </w:r>
    </w:p>
    <w:p>
      <w:pPr>
        <w:snapToGrid w:val="0"/>
        <w:spacing w:line="480" w:lineRule="auto"/>
        <w:ind w:firstLine="480" w:firstLineChars="200"/>
        <w:rPr>
          <w:rFonts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pPr>
        <w:snapToGrid w:val="0"/>
        <w:spacing w:line="480" w:lineRule="auto"/>
        <w:ind w:firstLine="480" w:firstLineChars="200"/>
        <w:rPr>
          <w:rFonts w:ascii="仿宋" w:hAnsi="仿宋" w:eastAsia="仿宋" w:cs="仿宋"/>
          <w:sz w:val="24"/>
        </w:rPr>
      </w:pPr>
      <w:r>
        <w:rPr>
          <w:rFonts w:hint="eastAsia" w:ascii="仿宋" w:hAnsi="仿宋" w:eastAsia="仿宋" w:cs="仿宋"/>
          <w:sz w:val="24"/>
        </w:rPr>
        <w:t>2、我方的投标文件包括以下内容：</w:t>
      </w:r>
    </w:p>
    <w:p>
      <w:pPr>
        <w:snapToGrid w:val="0"/>
        <w:spacing w:line="480" w:lineRule="auto"/>
        <w:ind w:left="210" w:leftChars="100" w:firstLine="482" w:firstLineChars="200"/>
        <w:rPr>
          <w:rFonts w:ascii="仿宋" w:hAnsi="仿宋" w:eastAsia="仿宋" w:cs="仿宋"/>
          <w:b/>
          <w:bCs/>
          <w:sz w:val="24"/>
        </w:rPr>
      </w:pPr>
      <w:r>
        <w:rPr>
          <w:rFonts w:hint="eastAsia" w:ascii="仿宋" w:hAnsi="仿宋" w:eastAsia="仿宋" w:cs="仿宋"/>
          <w:b/>
          <w:bCs/>
          <w:sz w:val="24"/>
        </w:rPr>
        <w:t>2.1资格文件：</w:t>
      </w:r>
    </w:p>
    <w:p>
      <w:pPr>
        <w:snapToGrid w:val="0"/>
        <w:spacing w:line="480" w:lineRule="auto"/>
        <w:ind w:left="420" w:leftChars="200" w:firstLine="480" w:firstLineChars="200"/>
        <w:rPr>
          <w:rFonts w:ascii="仿宋" w:hAnsi="仿宋" w:eastAsia="仿宋" w:cs="仿宋"/>
          <w:sz w:val="24"/>
        </w:rPr>
      </w:pPr>
      <w:r>
        <w:rPr>
          <w:rFonts w:hint="eastAsia" w:ascii="仿宋" w:hAnsi="仿宋" w:eastAsia="仿宋" w:cs="仿宋"/>
          <w:sz w:val="24"/>
        </w:rPr>
        <w:t>2.1.1承诺函；</w:t>
      </w:r>
    </w:p>
    <w:p>
      <w:pPr>
        <w:snapToGrid w:val="0"/>
        <w:spacing w:line="480" w:lineRule="auto"/>
        <w:ind w:left="420" w:leftChars="200" w:firstLine="480" w:firstLineChars="200"/>
        <w:rPr>
          <w:rFonts w:ascii="仿宋" w:hAnsi="仿宋" w:eastAsia="仿宋" w:cs="仿宋"/>
          <w:sz w:val="24"/>
        </w:rPr>
      </w:pPr>
      <w:r>
        <w:rPr>
          <w:rFonts w:hint="eastAsia" w:ascii="仿宋" w:hAnsi="仿宋" w:eastAsia="仿宋" w:cs="仿宋"/>
          <w:sz w:val="24"/>
        </w:rPr>
        <w:t>2.1.2落实政府采购政策需满足的资格要求（如果有）；</w:t>
      </w:r>
    </w:p>
    <w:p>
      <w:pPr>
        <w:snapToGrid w:val="0"/>
        <w:spacing w:line="480" w:lineRule="auto"/>
        <w:ind w:left="420" w:leftChars="200" w:firstLine="480" w:firstLineChars="200"/>
        <w:rPr>
          <w:rFonts w:ascii="仿宋" w:hAnsi="仿宋" w:eastAsia="仿宋" w:cs="仿宋"/>
          <w:sz w:val="24"/>
        </w:rPr>
      </w:pPr>
      <w:r>
        <w:rPr>
          <w:rFonts w:hint="eastAsia" w:ascii="仿宋" w:hAnsi="仿宋" w:eastAsia="仿宋" w:cs="仿宋"/>
          <w:sz w:val="24"/>
        </w:rPr>
        <w:t>2.1.3本项目的特定资格要求（如果有）。</w:t>
      </w:r>
    </w:p>
    <w:p>
      <w:pPr>
        <w:snapToGrid w:val="0"/>
        <w:spacing w:line="480" w:lineRule="auto"/>
        <w:ind w:left="210" w:leftChars="100" w:firstLine="482" w:firstLineChars="200"/>
        <w:rPr>
          <w:rFonts w:ascii="仿宋" w:hAnsi="仿宋" w:eastAsia="仿宋" w:cs="仿宋"/>
          <w:b/>
          <w:bCs/>
          <w:sz w:val="24"/>
          <w:lang w:val="zh-CN"/>
        </w:rPr>
      </w:pPr>
      <w:r>
        <w:rPr>
          <w:rFonts w:hint="eastAsia" w:ascii="仿宋" w:hAnsi="仿宋" w:eastAsia="仿宋" w:cs="仿宋"/>
          <w:b/>
          <w:bCs/>
          <w:sz w:val="24"/>
        </w:rPr>
        <w:t>2</w:t>
      </w:r>
      <w:r>
        <w:rPr>
          <w:rFonts w:hint="eastAsia" w:ascii="仿宋" w:hAnsi="仿宋" w:eastAsia="仿宋" w:cs="仿宋"/>
          <w:b/>
          <w:bCs/>
          <w:sz w:val="24"/>
          <w:lang w:val="zh-CN"/>
        </w:rPr>
        <w:t>.</w:t>
      </w:r>
      <w:r>
        <w:rPr>
          <w:rFonts w:hint="eastAsia" w:ascii="仿宋" w:hAnsi="仿宋" w:eastAsia="仿宋" w:cs="仿宋"/>
          <w:b/>
          <w:bCs/>
          <w:sz w:val="24"/>
        </w:rPr>
        <w:t>2</w:t>
      </w:r>
      <w:r>
        <w:rPr>
          <w:rFonts w:hint="eastAsia" w:ascii="仿宋" w:hAnsi="仿宋" w:eastAsia="仿宋" w:cs="仿宋"/>
          <w:b/>
          <w:bCs/>
          <w:sz w:val="24"/>
          <w:lang w:val="zh-CN"/>
        </w:rPr>
        <w:t xml:space="preserve"> </w:t>
      </w:r>
      <w:r>
        <w:rPr>
          <w:rFonts w:hint="eastAsia" w:ascii="仿宋" w:hAnsi="仿宋" w:eastAsia="仿宋" w:cs="仿宋"/>
          <w:b/>
          <w:bCs/>
          <w:sz w:val="24"/>
        </w:rPr>
        <w:t>商务技术</w:t>
      </w:r>
      <w:r>
        <w:rPr>
          <w:rFonts w:hint="eastAsia" w:ascii="仿宋" w:hAnsi="仿宋" w:eastAsia="仿宋" w:cs="仿宋"/>
          <w:b/>
          <w:bCs/>
          <w:sz w:val="24"/>
          <w:lang w:val="zh-CN"/>
        </w:rPr>
        <w:t>文件：</w:t>
      </w:r>
    </w:p>
    <w:p>
      <w:pPr>
        <w:snapToGrid w:val="0"/>
        <w:spacing w:line="480" w:lineRule="auto"/>
        <w:ind w:left="420" w:leftChars="200" w:firstLine="480" w:firstLineChars="200"/>
        <w:rPr>
          <w:rFonts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pPr>
        <w:snapToGrid w:val="0"/>
        <w:spacing w:line="480" w:lineRule="auto"/>
        <w:ind w:left="420" w:leftChars="200" w:firstLine="480" w:firstLineChars="200"/>
        <w:rPr>
          <w:rFonts w:ascii="仿宋" w:hAnsi="仿宋" w:eastAsia="仿宋" w:cs="仿宋"/>
          <w:sz w:val="24"/>
        </w:rPr>
      </w:pPr>
      <w:r>
        <w:rPr>
          <w:rFonts w:hint="eastAsia" w:ascii="仿宋" w:hAnsi="仿宋" w:eastAsia="仿宋" w:cs="仿宋"/>
          <w:sz w:val="24"/>
        </w:rPr>
        <w:t>2.2.2授权委托书或法定代表人（单位负责人）身份证明；</w:t>
      </w:r>
    </w:p>
    <w:p>
      <w:pPr>
        <w:snapToGrid w:val="0"/>
        <w:spacing w:line="480" w:lineRule="auto"/>
        <w:ind w:left="420" w:leftChars="200" w:firstLine="480" w:firstLineChars="200"/>
        <w:rPr>
          <w:rFonts w:ascii="仿宋" w:hAnsi="仿宋" w:eastAsia="仿宋" w:cs="仿宋"/>
          <w:sz w:val="24"/>
        </w:rPr>
      </w:pPr>
      <w:r>
        <w:rPr>
          <w:rFonts w:hint="eastAsia" w:ascii="仿宋" w:hAnsi="仿宋" w:eastAsia="仿宋" w:cs="仿宋"/>
          <w:sz w:val="24"/>
        </w:rPr>
        <w:t>2.2.3联合协议（如果有）；</w:t>
      </w:r>
    </w:p>
    <w:p>
      <w:pPr>
        <w:snapToGrid w:val="0"/>
        <w:spacing w:line="480" w:lineRule="auto"/>
        <w:ind w:left="420" w:leftChars="200" w:firstLine="480" w:firstLineChars="200"/>
        <w:rPr>
          <w:rFonts w:ascii="仿宋" w:hAnsi="仿宋" w:eastAsia="仿宋" w:cs="仿宋"/>
          <w:sz w:val="24"/>
        </w:rPr>
      </w:pPr>
      <w:r>
        <w:rPr>
          <w:rFonts w:hint="eastAsia" w:ascii="仿宋" w:hAnsi="仿宋" w:eastAsia="仿宋" w:cs="仿宋"/>
          <w:sz w:val="24"/>
        </w:rPr>
        <w:t>2.2.4分包意向协议（如果有）；</w:t>
      </w:r>
    </w:p>
    <w:p>
      <w:pPr>
        <w:snapToGrid w:val="0"/>
        <w:spacing w:line="480" w:lineRule="auto"/>
        <w:ind w:left="420" w:leftChars="200" w:firstLine="480" w:firstLineChars="200"/>
        <w:rPr>
          <w:rFonts w:ascii="仿宋" w:hAnsi="仿宋" w:eastAsia="仿宋" w:cs="仿宋"/>
          <w:sz w:val="24"/>
        </w:rPr>
      </w:pPr>
      <w:r>
        <w:rPr>
          <w:rFonts w:hint="eastAsia" w:ascii="仿宋" w:hAnsi="仿宋" w:eastAsia="仿宋" w:cs="仿宋"/>
          <w:sz w:val="24"/>
        </w:rPr>
        <w:t>2.2.5符合性审查资料；</w:t>
      </w:r>
    </w:p>
    <w:p>
      <w:pPr>
        <w:snapToGrid w:val="0"/>
        <w:spacing w:line="480" w:lineRule="auto"/>
        <w:ind w:left="420" w:leftChars="200" w:firstLine="480" w:firstLineChars="200"/>
        <w:rPr>
          <w:rFonts w:ascii="仿宋" w:hAnsi="仿宋" w:eastAsia="仿宋" w:cs="仿宋"/>
          <w:sz w:val="24"/>
        </w:rPr>
      </w:pPr>
      <w:r>
        <w:rPr>
          <w:rFonts w:hint="eastAsia" w:ascii="仿宋" w:hAnsi="仿宋" w:eastAsia="仿宋" w:cs="仿宋"/>
          <w:sz w:val="24"/>
        </w:rPr>
        <w:t>2.2.6评标标准相应的商务技术资料；</w:t>
      </w:r>
    </w:p>
    <w:p>
      <w:pPr>
        <w:snapToGrid w:val="0"/>
        <w:spacing w:line="480" w:lineRule="auto"/>
        <w:ind w:left="420" w:leftChars="200" w:firstLine="480" w:firstLineChars="200"/>
        <w:rPr>
          <w:rFonts w:ascii="仿宋" w:hAnsi="仿宋" w:eastAsia="仿宋" w:cs="仿宋"/>
          <w:sz w:val="24"/>
        </w:rPr>
      </w:pPr>
      <w:r>
        <w:rPr>
          <w:rFonts w:hint="eastAsia" w:ascii="仿宋" w:hAnsi="仿宋" w:eastAsia="仿宋" w:cs="仿宋"/>
          <w:sz w:val="24"/>
        </w:rPr>
        <w:t>2.2.7商务技术偏离表；</w:t>
      </w:r>
    </w:p>
    <w:p>
      <w:pPr>
        <w:snapToGrid w:val="0"/>
        <w:spacing w:line="480" w:lineRule="auto"/>
        <w:ind w:left="420" w:leftChars="200" w:firstLine="480" w:firstLineChars="200"/>
        <w:rPr>
          <w:rFonts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pPr>
        <w:snapToGrid w:val="0"/>
        <w:spacing w:line="480" w:lineRule="auto"/>
        <w:ind w:left="210" w:leftChars="100" w:firstLine="482" w:firstLineChars="200"/>
        <w:rPr>
          <w:rFonts w:ascii="仿宋" w:hAnsi="仿宋" w:eastAsia="仿宋" w:cs="仿宋"/>
          <w:b/>
          <w:bCs/>
          <w:sz w:val="24"/>
        </w:rPr>
      </w:pPr>
      <w:r>
        <w:rPr>
          <w:rFonts w:hint="eastAsia" w:ascii="仿宋" w:hAnsi="仿宋" w:eastAsia="仿宋" w:cs="仿宋"/>
          <w:b/>
          <w:bCs/>
          <w:sz w:val="24"/>
        </w:rPr>
        <w:t>2</w:t>
      </w:r>
      <w:r>
        <w:rPr>
          <w:rFonts w:hint="eastAsia" w:ascii="仿宋" w:hAnsi="仿宋" w:eastAsia="仿宋" w:cs="仿宋"/>
          <w:b/>
          <w:bCs/>
          <w:sz w:val="24"/>
          <w:lang w:val="zh-CN"/>
        </w:rPr>
        <w:t>.</w:t>
      </w:r>
      <w:r>
        <w:rPr>
          <w:rFonts w:hint="eastAsia" w:ascii="仿宋" w:hAnsi="仿宋" w:eastAsia="仿宋" w:cs="仿宋"/>
          <w:b/>
          <w:bCs/>
          <w:sz w:val="24"/>
        </w:rPr>
        <w:t>3报价文件</w:t>
      </w:r>
    </w:p>
    <w:p>
      <w:pPr>
        <w:snapToGrid w:val="0"/>
        <w:spacing w:line="480" w:lineRule="auto"/>
        <w:ind w:left="420" w:leftChars="200" w:firstLine="480" w:firstLineChars="200"/>
        <w:rPr>
          <w:rFonts w:ascii="仿宋" w:hAnsi="仿宋" w:eastAsia="仿宋" w:cs="仿宋"/>
          <w:sz w:val="24"/>
        </w:rPr>
      </w:pPr>
      <w:r>
        <w:rPr>
          <w:rFonts w:hint="eastAsia" w:ascii="仿宋" w:hAnsi="仿宋" w:eastAsia="仿宋" w:cs="仿宋"/>
          <w:sz w:val="24"/>
        </w:rPr>
        <w:t>2.3.1开标一览表（报价表）；</w:t>
      </w:r>
    </w:p>
    <w:p>
      <w:pPr>
        <w:snapToGrid w:val="0"/>
        <w:spacing w:line="480" w:lineRule="auto"/>
        <w:ind w:left="420" w:leftChars="200" w:firstLine="480" w:firstLineChars="200"/>
        <w:rPr>
          <w:rFonts w:ascii="仿宋" w:hAnsi="仿宋" w:eastAsia="仿宋" w:cs="仿宋"/>
          <w:sz w:val="24"/>
        </w:rPr>
      </w:pPr>
      <w:r>
        <w:rPr>
          <w:rFonts w:hint="eastAsia" w:ascii="仿宋" w:hAnsi="仿宋" w:eastAsia="仿宋" w:cs="仿宋"/>
          <w:sz w:val="24"/>
        </w:rPr>
        <w:t>2.3.2中小企业声明函（如果有）。</w:t>
      </w:r>
    </w:p>
    <w:p>
      <w:pPr>
        <w:snapToGrid w:val="0"/>
        <w:spacing w:line="480" w:lineRule="auto"/>
        <w:ind w:firstLine="480" w:firstLineChars="200"/>
        <w:rPr>
          <w:rFonts w:ascii="仿宋" w:hAnsi="仿宋" w:eastAsia="仿宋" w:cs="仿宋"/>
          <w:sz w:val="24"/>
        </w:rPr>
      </w:pPr>
      <w:r>
        <w:rPr>
          <w:rFonts w:hint="eastAsia" w:ascii="仿宋" w:hAnsi="仿宋" w:eastAsia="仿宋" w:cs="仿宋"/>
          <w:sz w:val="24"/>
        </w:rPr>
        <w:t>3、我方承诺除商务技术偏离表列出的偏离外，我方响应招标文件的全部要求。</w:t>
      </w:r>
    </w:p>
    <w:p>
      <w:pPr>
        <w:snapToGrid w:val="0"/>
        <w:spacing w:line="480" w:lineRule="auto"/>
        <w:ind w:firstLine="480" w:firstLineChars="200"/>
        <w:rPr>
          <w:rFonts w:ascii="仿宋" w:hAnsi="仿宋" w:eastAsia="仿宋" w:cs="仿宋"/>
          <w:sz w:val="24"/>
        </w:rPr>
      </w:pPr>
      <w:r>
        <w:rPr>
          <w:rFonts w:hint="eastAsia" w:ascii="仿宋" w:hAnsi="仿宋" w:eastAsia="仿宋" w:cs="仿宋"/>
          <w:sz w:val="24"/>
        </w:rPr>
        <w:t>4、如我方中标，我方承诺：</w:t>
      </w:r>
    </w:p>
    <w:p>
      <w:pPr>
        <w:snapToGrid w:val="0"/>
        <w:spacing w:line="480" w:lineRule="auto"/>
        <w:ind w:left="210" w:leftChars="100" w:firstLine="480" w:firstLineChars="200"/>
        <w:rPr>
          <w:rFonts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pPr>
        <w:snapToGrid w:val="0"/>
        <w:spacing w:line="480" w:lineRule="auto"/>
        <w:ind w:left="210" w:leftChars="100" w:firstLine="480" w:firstLineChars="200"/>
        <w:rPr>
          <w:rFonts w:ascii="仿宋" w:hAnsi="仿宋" w:eastAsia="仿宋" w:cs="仿宋"/>
          <w:sz w:val="24"/>
        </w:rPr>
      </w:pPr>
      <w:r>
        <w:rPr>
          <w:rFonts w:hint="eastAsia" w:ascii="仿宋" w:hAnsi="仿宋" w:eastAsia="仿宋" w:cs="仿宋"/>
          <w:sz w:val="24"/>
        </w:rPr>
        <w:t xml:space="preserve">4.2在签订合同时不向你方提出附加条件； </w:t>
      </w:r>
    </w:p>
    <w:p>
      <w:pPr>
        <w:snapToGrid w:val="0"/>
        <w:spacing w:line="480" w:lineRule="auto"/>
        <w:ind w:left="210" w:leftChars="100" w:firstLine="480" w:firstLineChars="200"/>
        <w:rPr>
          <w:rFonts w:ascii="仿宋" w:hAnsi="仿宋" w:eastAsia="仿宋" w:cs="仿宋"/>
          <w:sz w:val="24"/>
        </w:rPr>
      </w:pPr>
      <w:r>
        <w:rPr>
          <w:rFonts w:hint="eastAsia" w:ascii="仿宋" w:hAnsi="仿宋" w:eastAsia="仿宋" w:cs="仿宋"/>
          <w:sz w:val="24"/>
        </w:rPr>
        <w:t xml:space="preserve">4.3按照招标文件要求提交履约保证金； </w:t>
      </w:r>
    </w:p>
    <w:p>
      <w:pPr>
        <w:snapToGrid w:val="0"/>
        <w:spacing w:line="480" w:lineRule="auto"/>
        <w:ind w:left="210" w:leftChars="100" w:firstLine="480" w:firstLineChars="200"/>
        <w:rPr>
          <w:rFonts w:ascii="仿宋" w:hAnsi="仿宋" w:eastAsia="仿宋" w:cs="仿宋"/>
          <w:sz w:val="24"/>
        </w:rPr>
      </w:pPr>
      <w:r>
        <w:rPr>
          <w:rFonts w:hint="eastAsia" w:ascii="仿宋" w:hAnsi="仿宋" w:eastAsia="仿宋" w:cs="仿宋"/>
          <w:sz w:val="24"/>
        </w:rPr>
        <w:t xml:space="preserve">4.4在合同约定的期限内完成合同规定的全部义务。 </w:t>
      </w:r>
    </w:p>
    <w:p>
      <w:pPr>
        <w:snapToGrid w:val="0"/>
        <w:spacing w:line="480" w:lineRule="auto"/>
        <w:ind w:left="210" w:leftChars="100" w:firstLine="480" w:firstLineChars="200"/>
        <w:rPr>
          <w:rFonts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pPr>
        <w:spacing w:line="480" w:lineRule="auto"/>
        <w:ind w:firstLine="3600" w:firstLineChars="1500"/>
        <w:rPr>
          <w:rFonts w:ascii="仿宋" w:hAnsi="仿宋" w:eastAsia="仿宋" w:cs="仿宋"/>
          <w:sz w:val="24"/>
        </w:rPr>
      </w:pPr>
    </w:p>
    <w:p>
      <w:pPr>
        <w:spacing w:line="480" w:lineRule="auto"/>
        <w:ind w:firstLine="3600" w:firstLineChars="1500"/>
        <w:rPr>
          <w:rFonts w:ascii="仿宋" w:hAnsi="仿宋" w:eastAsia="仿宋" w:cs="仿宋"/>
          <w:sz w:val="24"/>
        </w:rPr>
      </w:pPr>
    </w:p>
    <w:p>
      <w:pPr>
        <w:spacing w:line="480" w:lineRule="auto"/>
        <w:ind w:firstLine="3600" w:firstLineChars="1500"/>
        <w:rPr>
          <w:rFonts w:ascii="仿宋" w:hAnsi="仿宋" w:eastAsia="仿宋" w:cs="仿宋"/>
          <w:sz w:val="24"/>
        </w:rPr>
      </w:pPr>
      <w:r>
        <w:rPr>
          <w:rFonts w:hint="eastAsia" w:ascii="仿宋" w:hAnsi="仿宋" w:eastAsia="仿宋" w:cs="仿宋"/>
          <w:sz w:val="24"/>
        </w:rPr>
        <w:t xml:space="preserve">投标人名称（电子签名）：                          </w:t>
      </w:r>
    </w:p>
    <w:p>
      <w:pPr>
        <w:spacing w:line="480" w:lineRule="auto"/>
        <w:jc w:val="center"/>
        <w:rPr>
          <w:rFonts w:ascii="仿宋" w:hAnsi="仿宋" w:eastAsia="仿宋" w:cs="仿宋"/>
          <w:sz w:val="24"/>
        </w:rPr>
      </w:pPr>
      <w:r>
        <w:rPr>
          <w:rFonts w:hint="eastAsia" w:ascii="仿宋" w:hAnsi="仿宋" w:eastAsia="仿宋" w:cs="仿宋"/>
          <w:sz w:val="24"/>
        </w:rPr>
        <w:t xml:space="preserve">     日期：  年   月   日</w:t>
      </w:r>
    </w:p>
    <w:p>
      <w:pPr>
        <w:snapToGrid w:val="0"/>
        <w:spacing w:line="360" w:lineRule="auto"/>
        <w:ind w:left="420" w:leftChars="200" w:firstLine="4200" w:firstLineChars="1750"/>
        <w:rPr>
          <w:rFonts w:ascii="仿宋" w:hAnsi="仿宋" w:eastAsia="仿宋" w:cs="仿宋"/>
          <w:kern w:val="0"/>
          <w:sz w:val="24"/>
          <w:u w:val="single"/>
          <w:lang w:val="zh-CN"/>
        </w:rPr>
      </w:pPr>
    </w:p>
    <w:p>
      <w:pPr>
        <w:snapToGrid w:val="0"/>
        <w:spacing w:line="360" w:lineRule="auto"/>
        <w:jc w:val="center"/>
        <w:rPr>
          <w:rFonts w:ascii="仿宋" w:hAnsi="仿宋" w:eastAsia="仿宋" w:cs="仿宋"/>
          <w:b/>
          <w:kern w:val="0"/>
          <w:sz w:val="32"/>
          <w:szCs w:val="32"/>
          <w:lang w:val="zh-CN"/>
        </w:rPr>
      </w:pPr>
    </w:p>
    <w:p>
      <w:pPr>
        <w:snapToGrid w:val="0"/>
        <w:spacing w:line="360" w:lineRule="auto"/>
        <w:rPr>
          <w:rFonts w:ascii="仿宋" w:hAnsi="仿宋" w:eastAsia="仿宋" w:cs="仿宋"/>
          <w:sz w:val="24"/>
        </w:rPr>
      </w:pPr>
    </w:p>
    <w:p>
      <w:pPr>
        <w:jc w:val="center"/>
        <w:rPr>
          <w:rFonts w:ascii="仿宋" w:hAnsi="仿宋" w:eastAsia="仿宋" w:cs="仿宋"/>
          <w:b/>
          <w:kern w:val="0"/>
          <w:sz w:val="32"/>
          <w:szCs w:val="32"/>
          <w:lang w:val="zh-CN"/>
        </w:rPr>
      </w:pPr>
    </w:p>
    <w:p>
      <w:pPr>
        <w:jc w:val="center"/>
        <w:rPr>
          <w:rFonts w:ascii="仿宋" w:hAnsi="仿宋" w:eastAsia="仿宋" w:cs="仿宋"/>
          <w:b/>
          <w:kern w:val="0"/>
          <w:sz w:val="32"/>
          <w:szCs w:val="32"/>
          <w:lang w:val="zh-CN"/>
        </w:rPr>
      </w:pPr>
    </w:p>
    <w:p>
      <w:pPr>
        <w:jc w:val="center"/>
        <w:rPr>
          <w:rFonts w:ascii="仿宋" w:hAnsi="仿宋" w:eastAsia="仿宋" w:cs="仿宋"/>
          <w:b/>
          <w:kern w:val="0"/>
          <w:sz w:val="32"/>
          <w:szCs w:val="32"/>
          <w:lang w:val="zh-CN"/>
        </w:rPr>
      </w:pPr>
    </w:p>
    <w:p>
      <w:pPr>
        <w:jc w:val="center"/>
        <w:rPr>
          <w:rFonts w:ascii="仿宋" w:hAnsi="仿宋" w:eastAsia="仿宋" w:cs="仿宋"/>
          <w:b/>
          <w:kern w:val="0"/>
          <w:sz w:val="32"/>
          <w:szCs w:val="32"/>
          <w:lang w:val="zh-CN"/>
        </w:rPr>
      </w:pPr>
    </w:p>
    <w:p>
      <w:pPr>
        <w:jc w:val="center"/>
        <w:rPr>
          <w:rFonts w:ascii="仿宋" w:hAnsi="仿宋" w:eastAsia="仿宋" w:cs="仿宋"/>
          <w:b/>
          <w:kern w:val="0"/>
          <w:sz w:val="32"/>
          <w:szCs w:val="32"/>
          <w:lang w:val="zh-CN"/>
        </w:rPr>
      </w:pPr>
    </w:p>
    <w:p>
      <w:pPr>
        <w:jc w:val="center"/>
        <w:rPr>
          <w:rFonts w:ascii="仿宋" w:hAnsi="仿宋" w:eastAsia="仿宋" w:cs="仿宋"/>
          <w:b/>
          <w:kern w:val="0"/>
          <w:sz w:val="32"/>
          <w:szCs w:val="32"/>
          <w:lang w:val="zh-CN"/>
        </w:rPr>
      </w:pPr>
    </w:p>
    <w:p>
      <w:pPr>
        <w:jc w:val="center"/>
        <w:rPr>
          <w:rFonts w:ascii="仿宋" w:hAnsi="仿宋" w:eastAsia="仿宋" w:cs="仿宋"/>
          <w:b/>
          <w:kern w:val="0"/>
          <w:sz w:val="32"/>
          <w:szCs w:val="32"/>
          <w:lang w:val="zh-CN"/>
        </w:rPr>
      </w:pPr>
    </w:p>
    <w:p>
      <w:pPr>
        <w:jc w:val="center"/>
        <w:rPr>
          <w:rFonts w:ascii="仿宋" w:hAnsi="仿宋" w:eastAsia="仿宋" w:cs="仿宋"/>
          <w:b/>
          <w:kern w:val="0"/>
          <w:sz w:val="32"/>
          <w:szCs w:val="32"/>
          <w:lang w:val="zh-CN"/>
        </w:rPr>
      </w:pPr>
    </w:p>
    <w:p>
      <w:pPr>
        <w:jc w:val="center"/>
        <w:rPr>
          <w:rFonts w:ascii="仿宋" w:hAnsi="仿宋" w:eastAsia="仿宋" w:cs="仿宋"/>
          <w:b/>
          <w:kern w:val="0"/>
          <w:sz w:val="32"/>
          <w:szCs w:val="32"/>
          <w:lang w:val="zh-CN"/>
        </w:rPr>
      </w:pPr>
    </w:p>
    <w:p>
      <w:pPr>
        <w:pStyle w:val="24"/>
        <w:rPr>
          <w:rFonts w:ascii="仿宋" w:hAnsi="仿宋" w:eastAsia="仿宋" w:cs="仿宋"/>
        </w:rPr>
      </w:pPr>
    </w:p>
    <w:p>
      <w:pPr>
        <w:rPr>
          <w:rFonts w:ascii="仿宋" w:hAnsi="仿宋" w:eastAsia="仿宋" w:cs="仿宋"/>
          <w:b/>
          <w:kern w:val="0"/>
          <w:sz w:val="32"/>
          <w:szCs w:val="32"/>
          <w:lang w:val="zh-CN"/>
        </w:rPr>
      </w:pPr>
    </w:p>
    <w:p>
      <w:pPr>
        <w:jc w:val="center"/>
        <w:rPr>
          <w:rFonts w:ascii="仿宋" w:hAnsi="仿宋" w:eastAsia="仿宋" w:cs="仿宋"/>
          <w:b/>
          <w:kern w:val="0"/>
          <w:sz w:val="32"/>
          <w:szCs w:val="32"/>
          <w:lang w:val="zh-CN"/>
        </w:rPr>
      </w:pPr>
    </w:p>
    <w:p>
      <w:pPr>
        <w:jc w:val="center"/>
        <w:rPr>
          <w:rFonts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pPr>
        <w:snapToGrid w:val="0"/>
        <w:spacing w:line="360" w:lineRule="auto"/>
        <w:rPr>
          <w:rFonts w:ascii="仿宋" w:hAnsi="仿宋" w:eastAsia="仿宋" w:cs="仿宋"/>
          <w:sz w:val="24"/>
        </w:rPr>
      </w:pPr>
      <w:r>
        <w:rPr>
          <w:rFonts w:hint="eastAsia" w:ascii="仿宋" w:hAnsi="仿宋" w:eastAsia="仿宋" w:cs="仿宋"/>
          <w:sz w:val="24"/>
        </w:rPr>
        <w:t xml:space="preserve">                                </w:t>
      </w:r>
    </w:p>
    <w:p>
      <w:pPr>
        <w:snapToGrid w:val="0"/>
        <w:spacing w:line="360" w:lineRule="auto"/>
        <w:ind w:firstLine="2872" w:firstLineChars="894"/>
      </w:pPr>
      <w:r>
        <w:rPr>
          <w:rFonts w:hint="eastAsia" w:ascii="仿宋_GB2312" w:hAnsi="仿宋" w:eastAsia="仿宋_GB2312" w:cs="仿宋_GB2312"/>
          <w:b/>
          <w:kern w:val="0"/>
          <w:sz w:val="32"/>
          <w:szCs w:val="32"/>
          <w:lang w:val="zh-CN"/>
        </w:rPr>
        <w:t>授权委托书（适用于非联合体投标）</w:t>
      </w:r>
      <w:r>
        <w:t xml:space="preserve">                               </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（姓名）为我方代理人（身份证号码：</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，手机：</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），以我方名义处理</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政府采购投标的一切事项，其法律后果由我方承担。</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日起至</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日止。</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特此告知。</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lang w:val="zh-CN"/>
        </w:rPr>
        <w:t xml:space="preserve">                                                 投标人名称(电子签名)：</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签发日期：  年  月   日</w:t>
      </w:r>
    </w:p>
    <w:p>
      <w:pPr>
        <w:snapToGrid w:val="0"/>
        <w:spacing w:line="360" w:lineRule="auto"/>
        <w:rPr>
          <w:rFonts w:ascii="仿宋_GB2312" w:hAnsi="仿宋" w:eastAsia="仿宋_GB2312" w:cs="仿宋_GB2312"/>
          <w:sz w:val="24"/>
        </w:rPr>
      </w:pPr>
    </w:p>
    <w:p>
      <w:pPr>
        <w:jc w:val="center"/>
        <w:rPr>
          <w:rFonts w:ascii="仿宋_GB2312" w:hAnsi="仿宋" w:eastAsia="仿宋_GB2312" w:cs="仿宋_GB2312"/>
          <w:b/>
          <w:kern w:val="0"/>
          <w:sz w:val="32"/>
          <w:szCs w:val="32"/>
        </w:rPr>
      </w:pPr>
      <w:r>
        <w:rPr>
          <w:rFonts w:ascii="仿宋_GB2312" w:hAnsi="仿宋" w:eastAsia="仿宋_GB2312" w:cs="仿宋_GB2312"/>
          <w:b/>
          <w:kern w:val="0"/>
          <w:sz w:val="32"/>
          <w:szCs w:val="32"/>
          <w:lang w:val="zh-CN"/>
        </w:rPr>
        <w:t xml:space="preserve">      </w:t>
      </w:r>
      <w:r>
        <w:rPr>
          <w:rFonts w:ascii="仿宋_GB2312" w:hAnsi="仿宋" w:eastAsia="仿宋_GB2312" w:cs="仿宋_GB2312"/>
          <w:b/>
          <w:kern w:val="0"/>
          <w:sz w:val="32"/>
          <w:szCs w:val="32"/>
        </w:rPr>
        <w:t xml:space="preserve"> </w:t>
      </w:r>
      <w:r>
        <w:rPr>
          <w:rFonts w:hint="eastAsia" w:ascii="仿宋_GB2312" w:hAnsi="仿宋" w:eastAsia="仿宋_GB2312" w:cs="仿宋_GB2312"/>
          <w:b/>
          <w:kern w:val="0"/>
          <w:sz w:val="32"/>
          <w:szCs w:val="32"/>
          <w:lang w:val="zh-CN"/>
        </w:rPr>
        <w:t>授权委托书（适用于联合体投标）</w:t>
      </w:r>
    </w:p>
    <w:p>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（姓名）为我方代理人（身份证号码：</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，手机：</w:t>
      </w:r>
      <w:r>
        <w:rPr>
          <w:rFonts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），以我方名义处理</w:t>
      </w:r>
      <w:r>
        <w:rPr>
          <w:rFonts w:hint="eastAsia" w:ascii="仿宋_GB2312" w:hAnsi="仿宋" w:eastAsia="仿宋_GB2312" w:cs="仿宋_GB2312"/>
          <w:sz w:val="24"/>
        </w:rPr>
        <w:t>（项目名称）【招标编号：</w:t>
      </w:r>
      <w:r>
        <w:rPr>
          <w:rFonts w:hint="eastAsia" w:ascii="仿宋_GB2312" w:hAnsi="仿宋" w:eastAsia="仿宋_GB2312"/>
          <w:sz w:val="24"/>
        </w:rPr>
        <w:t>（采购编号）</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政府采购投标的一切事项，其法律后果由我方承担。</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日起至</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日止。</w:t>
      </w:r>
    </w:p>
    <w:p>
      <w:pPr>
        <w:snapToGrid w:val="0"/>
        <w:spacing w:line="360" w:lineRule="auto"/>
        <w:rPr>
          <w:rFonts w:ascii="仿宋_GB2312" w:hAnsi="仿宋" w:eastAsia="仿宋_GB2312" w:cs="仿宋_GB2312"/>
          <w:kern w:val="0"/>
          <w:sz w:val="24"/>
        </w:rPr>
      </w:pP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特此告知。</w:t>
      </w: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Pr>
        <w:jc w:val="center"/>
        <w:rPr>
          <w:rFonts w:ascii="仿宋_GB2312" w:hAnsi="仿宋" w:eastAsia="仿宋_GB2312" w:cs="仿宋_GB2312"/>
          <w:b/>
          <w:kern w:val="0"/>
          <w:sz w:val="32"/>
          <w:szCs w:val="32"/>
        </w:rPr>
      </w:pPr>
    </w:p>
    <w:p/>
    <w:p>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pPr>
        <w:snapToGrid w:val="0"/>
        <w:spacing w:line="360" w:lineRule="auto"/>
        <w:ind w:firstLine="5040" w:firstLineChars="21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联合体成员名称</w:t>
      </w:r>
      <w:r>
        <w:rPr>
          <w:rFonts w:ascii="仿宋_GB2312" w:hAnsi="仿宋" w:eastAsia="仿宋_GB2312" w:cs="仿宋_GB2312"/>
          <w:kern w:val="0"/>
          <w:sz w:val="24"/>
          <w:lang w:val="zh-CN"/>
        </w:rPr>
        <w:t>(电子签名/公章)：</w:t>
      </w:r>
    </w:p>
    <w:p>
      <w:pPr>
        <w:snapToGrid w:val="0"/>
        <w:spacing w:line="360" w:lineRule="auto"/>
        <w:ind w:firstLine="5760" w:firstLineChars="2400"/>
      </w:pPr>
      <w:r>
        <w:rPr>
          <w:rFonts w:hint="eastAsia" w:ascii="仿宋_GB2312" w:hAnsi="仿宋" w:eastAsia="仿宋_GB2312" w:cs="仿宋_GB2312"/>
          <w:kern w:val="0"/>
          <w:sz w:val="24"/>
          <w:lang w:val="zh-CN"/>
        </w:rPr>
        <w:t>……</w:t>
      </w:r>
    </w:p>
    <w:p>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  年  月   日</w:t>
      </w:r>
    </w:p>
    <w:p>
      <w:pPr>
        <w:pStyle w:val="62"/>
        <w:ind w:firstLine="480"/>
        <w:rPr>
          <w:rFonts w:ascii="仿宋" w:hAnsi="仿宋" w:eastAsia="仿宋" w:cs="仿宋"/>
          <w:kern w:val="0"/>
          <w:sz w:val="24"/>
          <w:lang w:val="zh-CN"/>
        </w:rPr>
      </w:pPr>
    </w:p>
    <w:p>
      <w:pPr>
        <w:ind w:firstLine="643" w:firstLineChars="200"/>
        <w:rPr>
          <w:rFonts w:ascii="仿宋" w:hAnsi="仿宋" w:eastAsia="仿宋" w:cs="仿宋"/>
          <w:b/>
          <w:kern w:val="0"/>
          <w:sz w:val="32"/>
          <w:szCs w:val="32"/>
        </w:rPr>
      </w:pPr>
      <w:r>
        <w:rPr>
          <w:rFonts w:hint="eastAsia" w:ascii="仿宋" w:hAnsi="仿宋" w:eastAsia="仿宋" w:cs="仿宋"/>
          <w:b/>
          <w:kern w:val="0"/>
          <w:sz w:val="32"/>
          <w:szCs w:val="32"/>
        </w:rPr>
        <w:t xml:space="preserve">注：另提供-法人或者其他组织机构的营业执照（扫描件或复印件加盖公章）或事业法人登记证书或其他工商等登记证明材料； </w:t>
      </w:r>
    </w:p>
    <w:p>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pStyle w:val="62"/>
        <w:ind w:firstLine="480"/>
        <w:rPr>
          <w:rFonts w:ascii="仿宋" w:hAnsi="仿宋" w:eastAsia="仿宋" w:cs="仿宋"/>
          <w:sz w:val="24"/>
        </w:rPr>
      </w:pPr>
    </w:p>
    <w:p>
      <w:pPr>
        <w:pStyle w:val="24"/>
        <w:rPr>
          <w:rFonts w:ascii="仿宋" w:hAnsi="仿宋" w:eastAsia="仿宋" w:cs="仿宋"/>
        </w:rPr>
      </w:pPr>
    </w:p>
    <w:p>
      <w:pPr>
        <w:rPr>
          <w:rFonts w:ascii="仿宋" w:hAnsi="仿宋" w:eastAsia="仿宋" w:cs="仿宋"/>
          <w:sz w:val="24"/>
        </w:rPr>
      </w:pPr>
    </w:p>
    <w:p>
      <w:pPr>
        <w:pStyle w:val="62"/>
        <w:ind w:firstLine="480"/>
        <w:rPr>
          <w:rFonts w:ascii="仿宋" w:hAnsi="仿宋" w:eastAsia="仿宋" w:cs="仿宋"/>
          <w:sz w:val="24"/>
        </w:rPr>
      </w:pPr>
    </w:p>
    <w:p>
      <w:pPr>
        <w:snapToGrid w:val="0"/>
        <w:spacing w:line="360" w:lineRule="auto"/>
        <w:rPr>
          <w:rFonts w:ascii="仿宋" w:hAnsi="仿宋" w:eastAsia="仿宋" w:cs="仿宋"/>
          <w:sz w:val="24"/>
        </w:rPr>
      </w:pPr>
    </w:p>
    <w:p>
      <w:pPr>
        <w:autoSpaceDE w:val="0"/>
        <w:autoSpaceDN w:val="0"/>
        <w:spacing w:line="360" w:lineRule="auto"/>
        <w:jc w:val="center"/>
        <w:rPr>
          <w:rFonts w:ascii="仿宋" w:hAnsi="仿宋" w:eastAsia="仿宋" w:cs="仿宋"/>
          <w:b/>
          <w:kern w:val="0"/>
          <w:sz w:val="32"/>
          <w:szCs w:val="32"/>
          <w:lang w:val="zh-CN"/>
        </w:rPr>
      </w:pPr>
    </w:p>
    <w:p>
      <w:pPr>
        <w:autoSpaceDE w:val="0"/>
        <w:autoSpaceDN w:val="0"/>
        <w:spacing w:line="360" w:lineRule="auto"/>
        <w:jc w:val="center"/>
        <w:rPr>
          <w:rFonts w:ascii="仿宋" w:hAnsi="仿宋" w:eastAsia="仿宋" w:cs="仿宋"/>
          <w:b/>
          <w:sz w:val="24"/>
        </w:rPr>
      </w:pPr>
      <w:r>
        <w:rPr>
          <w:rFonts w:hint="eastAsia" w:ascii="仿宋" w:hAnsi="仿宋" w:eastAsia="仿宋" w:cs="仿宋"/>
          <w:b/>
          <w:kern w:val="0"/>
          <w:sz w:val="32"/>
          <w:szCs w:val="32"/>
          <w:lang w:val="zh-CN"/>
        </w:rPr>
        <w:t>法定代表人、单位负责人和自然人本人</w:t>
      </w:r>
      <w:r>
        <w:rPr>
          <w:rFonts w:hint="eastAsia" w:ascii="仿宋" w:hAnsi="仿宋" w:eastAsia="仿宋" w:cs="仿宋"/>
          <w:b/>
          <w:sz w:val="30"/>
          <w:szCs w:val="30"/>
        </w:rPr>
        <w:t>的身份证明（适用于法定代表人、单位负责人或者自然人本人代表投标人参加投标）</w:t>
      </w:r>
    </w:p>
    <w:p>
      <w:pPr>
        <w:pStyle w:val="96"/>
        <w:spacing w:line="360" w:lineRule="auto"/>
        <w:rPr>
          <w:rFonts w:ascii="仿宋" w:hAnsi="仿宋" w:eastAsia="仿宋" w:cs="仿宋"/>
          <w:bCs/>
          <w:sz w:val="24"/>
        </w:rPr>
      </w:pPr>
      <w:r>
        <w:rPr>
          <w:rFonts w:hint="eastAsia" w:ascii="仿宋" w:hAnsi="仿宋" w:eastAsia="仿宋" w:cs="仿宋"/>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2" w:hRule="atLeast"/>
          <w:jc w:val="center"/>
        </w:trPr>
        <w:tc>
          <w:tcPr>
            <w:tcW w:w="9207" w:type="dxa"/>
            <w:noWrap w:val="0"/>
            <w:vAlign w:val="top"/>
          </w:tcPr>
          <w:p>
            <w:pPr>
              <w:pStyle w:val="96"/>
              <w:adjustRightInd w:val="0"/>
              <w:spacing w:line="360" w:lineRule="auto"/>
              <w:rPr>
                <w:rFonts w:ascii="仿宋" w:hAnsi="仿宋" w:eastAsia="仿宋" w:cs="仿宋"/>
                <w:bCs/>
                <w:sz w:val="24"/>
              </w:rPr>
            </w:pPr>
            <w:r>
              <w:rPr>
                <w:rFonts w:hint="eastAsia" w:ascii="仿宋" w:hAnsi="仿宋" w:eastAsia="仿宋" w:cs="仿宋"/>
                <w:bCs/>
                <w:sz w:val="24"/>
              </w:rPr>
              <w:t>正面：                                 反面：</w:t>
            </w:r>
          </w:p>
          <w:p>
            <w:pPr>
              <w:pStyle w:val="96"/>
              <w:adjustRightInd w:val="0"/>
              <w:spacing w:line="360" w:lineRule="auto"/>
              <w:rPr>
                <w:rFonts w:ascii="仿宋" w:hAnsi="仿宋" w:eastAsia="仿宋" w:cs="仿宋"/>
                <w:bCs/>
                <w:sz w:val="24"/>
              </w:rPr>
            </w:pPr>
          </w:p>
        </w:tc>
      </w:tr>
    </w:tbl>
    <w:p>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w:t>
      </w:r>
    </w:p>
    <w:p>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pPr>
        <w:spacing w:line="360"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pStyle w:val="24"/>
        <w:rPr>
          <w:rFonts w:ascii="仿宋" w:hAnsi="仿宋" w:eastAsia="仿宋" w:cs="仿宋"/>
          <w:kern w:val="0"/>
        </w:rPr>
      </w:pPr>
    </w:p>
    <w:p>
      <w:pPr>
        <w:rPr>
          <w:rFonts w:ascii="仿宋" w:hAnsi="仿宋" w:eastAsia="仿宋" w:cs="仿宋"/>
          <w:lang w:val="zh-CN"/>
        </w:rPr>
      </w:pPr>
    </w:p>
    <w:p>
      <w:pPr>
        <w:rPr>
          <w:rFonts w:ascii="仿宋" w:hAnsi="仿宋" w:eastAsia="仿宋" w:cs="仿宋"/>
          <w:lang w:val="zh-CN"/>
        </w:rPr>
      </w:pPr>
    </w:p>
    <w:p>
      <w:pPr>
        <w:jc w:val="left"/>
        <w:rPr>
          <w:rFonts w:ascii="仿宋" w:hAnsi="仿宋" w:eastAsia="仿宋" w:cs="仿宋"/>
          <w:b/>
          <w:kern w:val="0"/>
          <w:sz w:val="32"/>
          <w:szCs w:val="32"/>
        </w:rPr>
      </w:pPr>
    </w:p>
    <w:p>
      <w:pPr>
        <w:jc w:val="center"/>
        <w:rPr>
          <w:rFonts w:ascii="仿宋" w:hAnsi="仿宋" w:eastAsia="仿宋" w:cs="仿宋"/>
          <w:b/>
          <w:kern w:val="0"/>
          <w:sz w:val="32"/>
          <w:szCs w:val="32"/>
        </w:rPr>
      </w:pPr>
      <w:r>
        <w:rPr>
          <w:rFonts w:hint="eastAsia" w:ascii="仿宋" w:hAnsi="仿宋" w:eastAsia="仿宋" w:cs="仿宋"/>
          <w:b/>
          <w:kern w:val="0"/>
          <w:sz w:val="32"/>
          <w:szCs w:val="32"/>
        </w:rPr>
        <w:t>三、符合性审查资料</w:t>
      </w:r>
    </w:p>
    <w:p>
      <w:pPr>
        <w:jc w:val="center"/>
        <w:rPr>
          <w:rFonts w:ascii="仿宋" w:hAnsi="仿宋" w:eastAsia="仿宋" w:cs="仿宋"/>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2" w:hRule="atLeast"/>
        </w:trPr>
        <w:tc>
          <w:tcPr>
            <w:tcW w:w="646" w:type="dxa"/>
            <w:vAlign w:val="center"/>
          </w:tcPr>
          <w:p>
            <w:pPr>
              <w:snapToGrid w:val="0"/>
              <w:spacing w:line="240" w:lineRule="atLeast"/>
              <w:jc w:val="center"/>
              <w:rPr>
                <w:rFonts w:ascii="仿宋" w:hAnsi="仿宋" w:eastAsia="仿宋" w:cs="仿宋"/>
                <w:b/>
                <w:sz w:val="24"/>
              </w:rPr>
            </w:pPr>
            <w:r>
              <w:rPr>
                <w:rFonts w:hint="eastAsia" w:ascii="仿宋" w:hAnsi="仿宋" w:eastAsia="仿宋" w:cs="仿宋"/>
                <w:b/>
                <w:sz w:val="24"/>
              </w:rPr>
              <w:t>序号</w:t>
            </w:r>
          </w:p>
        </w:tc>
        <w:tc>
          <w:tcPr>
            <w:tcW w:w="4991" w:type="dxa"/>
            <w:vAlign w:val="center"/>
          </w:tcPr>
          <w:p>
            <w:pPr>
              <w:snapToGrid w:val="0"/>
              <w:spacing w:line="240" w:lineRule="atLeast"/>
              <w:jc w:val="center"/>
              <w:rPr>
                <w:rFonts w:ascii="仿宋" w:hAnsi="仿宋" w:eastAsia="仿宋" w:cs="仿宋"/>
                <w:b/>
                <w:sz w:val="24"/>
              </w:rPr>
            </w:pPr>
            <w:r>
              <w:rPr>
                <w:rFonts w:hint="eastAsia" w:ascii="仿宋" w:hAnsi="仿宋" w:eastAsia="仿宋" w:cs="仿宋"/>
                <w:b/>
                <w:sz w:val="24"/>
              </w:rPr>
              <w:t>实质性要求</w:t>
            </w:r>
          </w:p>
        </w:tc>
        <w:tc>
          <w:tcPr>
            <w:tcW w:w="2551" w:type="dxa"/>
            <w:vAlign w:val="center"/>
          </w:tcPr>
          <w:p>
            <w:pPr>
              <w:snapToGrid w:val="0"/>
              <w:spacing w:line="240" w:lineRule="atLeast"/>
              <w:jc w:val="center"/>
              <w:rPr>
                <w:rFonts w:ascii="仿宋" w:hAnsi="仿宋" w:eastAsia="仿宋" w:cs="仿宋"/>
                <w:b/>
                <w:sz w:val="24"/>
              </w:rPr>
            </w:pPr>
            <w:r>
              <w:rPr>
                <w:rFonts w:hint="eastAsia" w:ascii="仿宋" w:hAnsi="仿宋" w:eastAsia="仿宋" w:cs="仿宋"/>
                <w:b/>
                <w:sz w:val="24"/>
              </w:rPr>
              <w:t>需要提供的符合性审查资料</w:t>
            </w:r>
          </w:p>
        </w:tc>
        <w:tc>
          <w:tcPr>
            <w:tcW w:w="1418" w:type="dxa"/>
            <w:vAlign w:val="center"/>
          </w:tcPr>
          <w:p>
            <w:pPr>
              <w:snapToGrid w:val="0"/>
              <w:spacing w:line="240" w:lineRule="atLeast"/>
              <w:jc w:val="center"/>
              <w:rPr>
                <w:rFonts w:ascii="仿宋" w:hAnsi="仿宋" w:eastAsia="仿宋" w:cs="仿宋"/>
                <w:b/>
                <w:sz w:val="24"/>
              </w:rPr>
            </w:pPr>
            <w:r>
              <w:rPr>
                <w:rFonts w:hint="eastAsia" w:ascii="仿宋" w:hAnsi="仿宋" w:eastAsia="仿宋" w:cs="仿宋"/>
                <w:b/>
                <w:sz w:val="24"/>
              </w:rPr>
              <w:t>投标文件中的</w:t>
            </w:r>
          </w:p>
          <w:p>
            <w:pPr>
              <w:snapToGrid w:val="0"/>
              <w:spacing w:line="240" w:lineRule="atLeast"/>
              <w:jc w:val="center"/>
              <w:rPr>
                <w:rFonts w:ascii="仿宋" w:hAnsi="仿宋" w:eastAsia="仿宋" w:cs="仿宋"/>
                <w:b/>
                <w:sz w:val="24"/>
              </w:rPr>
            </w:pPr>
            <w:r>
              <w:rPr>
                <w:rFonts w:hint="eastAsia" w:ascii="仿宋" w:hAnsi="仿宋" w:eastAsia="仿宋" w:cs="仿宋"/>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仿宋" w:hAnsi="仿宋" w:eastAsia="仿宋" w:cs="仿宋"/>
                <w:sz w:val="24"/>
              </w:rPr>
            </w:pPr>
            <w:r>
              <w:rPr>
                <w:rFonts w:hint="eastAsia" w:ascii="仿宋" w:hAnsi="仿宋" w:eastAsia="仿宋" w:cs="仿宋"/>
                <w:sz w:val="24"/>
              </w:rPr>
              <w:t>1</w:t>
            </w:r>
          </w:p>
        </w:tc>
        <w:tc>
          <w:tcPr>
            <w:tcW w:w="4991" w:type="dxa"/>
            <w:vAlign w:val="center"/>
          </w:tcPr>
          <w:p>
            <w:pPr>
              <w:spacing w:line="360" w:lineRule="auto"/>
              <w:jc w:val="left"/>
              <w:rPr>
                <w:rFonts w:ascii="仿宋" w:hAnsi="仿宋" w:eastAsia="仿宋" w:cs="仿宋"/>
                <w:sz w:val="24"/>
              </w:rPr>
            </w:pPr>
            <w:r>
              <w:rPr>
                <w:rFonts w:hint="eastAsia" w:ascii="仿宋" w:hAnsi="仿宋" w:eastAsia="仿宋" w:cs="仿宋"/>
                <w:sz w:val="24"/>
              </w:rPr>
              <w:t>投标文件按照招标文件要求签署、盖章。</w:t>
            </w:r>
          </w:p>
        </w:tc>
        <w:tc>
          <w:tcPr>
            <w:tcW w:w="2551" w:type="dxa"/>
            <w:vAlign w:val="center"/>
          </w:tcPr>
          <w:p>
            <w:pPr>
              <w:rPr>
                <w:rFonts w:ascii="仿宋" w:hAnsi="仿宋" w:eastAsia="仿宋" w:cs="仿宋"/>
                <w:sz w:val="24"/>
              </w:rPr>
            </w:pPr>
            <w:r>
              <w:rPr>
                <w:rFonts w:hint="eastAsia" w:ascii="仿宋" w:hAnsi="仿宋" w:eastAsia="仿宋" w:cs="仿宋"/>
                <w:sz w:val="24"/>
              </w:rPr>
              <w:t>需要使用电子签名或者签字盖章的投标文件的组成部分</w:t>
            </w:r>
          </w:p>
        </w:tc>
        <w:tc>
          <w:tcPr>
            <w:tcW w:w="1418" w:type="dxa"/>
          </w:tcPr>
          <w:p>
            <w:pPr>
              <w:rPr>
                <w:rFonts w:ascii="仿宋" w:hAnsi="仿宋" w:eastAsia="仿宋" w:cs="仿宋"/>
                <w:sz w:val="24"/>
              </w:rPr>
            </w:pPr>
          </w:p>
          <w:p>
            <w:pPr>
              <w:rPr>
                <w:rFonts w:ascii="仿宋" w:hAnsi="仿宋" w:eastAsia="仿宋" w:cs="仿宋"/>
              </w:rPr>
            </w:pPr>
            <w:r>
              <w:rPr>
                <w:rFonts w:hint="eastAsia" w:ascii="仿宋" w:hAnsi="仿宋" w:eastAsia="仿宋" w:cs="仿宋"/>
                <w:sz w:val="24"/>
              </w:rPr>
              <w:t>投标文件相关签署、盖章页面。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jc w:val="center"/>
              <w:rPr>
                <w:rFonts w:ascii="仿宋" w:hAnsi="仿宋" w:eastAsia="仿宋" w:cs="仿宋"/>
                <w:sz w:val="24"/>
              </w:rPr>
            </w:pPr>
            <w:r>
              <w:rPr>
                <w:rFonts w:hint="eastAsia" w:ascii="仿宋" w:hAnsi="仿宋" w:eastAsia="仿宋" w:cs="仿宋"/>
                <w:sz w:val="24"/>
              </w:rPr>
              <w:t>2</w:t>
            </w:r>
          </w:p>
        </w:tc>
        <w:tc>
          <w:tcPr>
            <w:tcW w:w="4991" w:type="dxa"/>
            <w:vAlign w:val="center"/>
          </w:tcPr>
          <w:p>
            <w:pPr>
              <w:spacing w:line="360" w:lineRule="auto"/>
              <w:jc w:val="left"/>
              <w:rPr>
                <w:rFonts w:ascii="仿宋" w:hAnsi="仿宋" w:eastAsia="仿宋" w:cs="仿宋"/>
                <w:sz w:val="24"/>
              </w:rPr>
            </w:pPr>
            <w:r>
              <w:rPr>
                <w:rFonts w:hint="eastAsia" w:ascii="仿宋" w:hAnsi="仿宋" w:eastAsia="仿宋" w:cs="仿宋"/>
                <w:sz w:val="24"/>
              </w:rPr>
              <w:t>投标文件中承诺的投标有效期不少于招标文件中载明的投标有效期。</w:t>
            </w:r>
          </w:p>
        </w:tc>
        <w:tc>
          <w:tcPr>
            <w:tcW w:w="2551" w:type="dxa"/>
            <w:vAlign w:val="center"/>
          </w:tcPr>
          <w:p>
            <w:pPr>
              <w:rPr>
                <w:rFonts w:ascii="仿宋" w:hAnsi="仿宋" w:eastAsia="仿宋" w:cs="仿宋"/>
                <w:sz w:val="24"/>
              </w:rPr>
            </w:pPr>
            <w:r>
              <w:rPr>
                <w:rFonts w:hint="eastAsia" w:ascii="仿宋" w:hAnsi="仿宋" w:eastAsia="仿宋" w:cs="仿宋"/>
                <w:sz w:val="24"/>
              </w:rPr>
              <w:t>投标函</w:t>
            </w:r>
          </w:p>
        </w:tc>
        <w:tc>
          <w:tcPr>
            <w:tcW w:w="1418" w:type="dxa"/>
          </w:tcPr>
          <w:p>
            <w:pPr>
              <w:rPr>
                <w:rFonts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jc w:val="center"/>
              <w:rPr>
                <w:rFonts w:ascii="仿宋" w:hAnsi="仿宋" w:eastAsia="仿宋" w:cs="仿宋"/>
                <w:sz w:val="24"/>
              </w:rPr>
            </w:pPr>
            <w:r>
              <w:rPr>
                <w:rFonts w:hint="eastAsia" w:ascii="仿宋" w:hAnsi="仿宋" w:eastAsia="仿宋" w:cs="仿宋"/>
                <w:sz w:val="24"/>
              </w:rPr>
              <w:t>3</w:t>
            </w:r>
          </w:p>
        </w:tc>
        <w:tc>
          <w:tcPr>
            <w:tcW w:w="4991" w:type="dxa"/>
            <w:vAlign w:val="center"/>
          </w:tcPr>
          <w:p>
            <w:pPr>
              <w:spacing w:line="360" w:lineRule="auto"/>
              <w:rPr>
                <w:rFonts w:ascii="仿宋" w:hAnsi="仿宋" w:eastAsia="仿宋" w:cs="仿宋"/>
                <w:sz w:val="24"/>
              </w:rPr>
            </w:pPr>
            <w:r>
              <w:rPr>
                <w:rFonts w:hint="eastAsia" w:ascii="仿宋" w:hAnsi="仿宋" w:eastAsia="仿宋" w:cs="仿宋"/>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ascii="仿宋" w:hAnsi="仿宋" w:eastAsia="仿宋" w:cs="仿宋"/>
                <w:sz w:val="24"/>
              </w:rPr>
            </w:pPr>
            <w:r>
              <w:rPr>
                <w:rFonts w:hint="eastAsia" w:ascii="仿宋" w:hAnsi="仿宋" w:eastAsia="仿宋" w:cs="仿宋"/>
                <w:sz w:val="24"/>
              </w:rPr>
              <w:t>节能产品认证证书（本项目拟采购的产品不属于政府强制采购的节能产品品目清单范围的，无需提供）</w:t>
            </w:r>
          </w:p>
        </w:tc>
        <w:tc>
          <w:tcPr>
            <w:tcW w:w="1418" w:type="dxa"/>
            <w:vAlign w:val="center"/>
          </w:tcPr>
          <w:p>
            <w:pPr>
              <w:rPr>
                <w:rFonts w:ascii="仿宋" w:hAnsi="仿宋" w:eastAsia="仿宋" w:cs="仿宋"/>
                <w:sz w:val="24"/>
              </w:rPr>
            </w:pPr>
          </w:p>
          <w:p>
            <w:pPr>
              <w:rPr>
                <w:rFonts w:ascii="仿宋" w:hAnsi="仿宋" w:eastAsia="仿宋" w:cs="仿宋"/>
                <w:sz w:val="24"/>
              </w:rPr>
            </w:pPr>
          </w:p>
          <w:p>
            <w:pPr>
              <w:rPr>
                <w:rFonts w:ascii="仿宋" w:hAnsi="仿宋" w:eastAsia="仿宋" w:cs="仿宋"/>
                <w:sz w:val="24"/>
              </w:rPr>
            </w:pPr>
            <w:r>
              <w:rPr>
                <w:rFonts w:hint="eastAsia" w:ascii="仿宋" w:hAnsi="仿宋" w:eastAsia="仿宋" w:cs="仿宋"/>
                <w:sz w:val="24"/>
              </w:rPr>
              <w:t>见投标文件</w:t>
            </w:r>
          </w:p>
          <w:p>
            <w:pPr>
              <w:pStyle w:val="2"/>
              <w:jc w:val="both"/>
              <w:rPr>
                <w:rFonts w:ascii="仿宋" w:eastAsia="仿宋" w:cs="仿宋"/>
                <w:sz w:val="24"/>
              </w:rPr>
            </w:pPr>
            <w:r>
              <w:rPr>
                <w:rFonts w:hint="eastAsia" w:ascii="仿宋" w:eastAsia="仿宋" w:cs="仿宋"/>
                <w:b w:val="0"/>
                <w:bCs w:val="0"/>
                <w:sz w:val="24"/>
                <w:szCs w:val="24"/>
                <w:lang w:val="en-US"/>
              </w:rPr>
              <w:t>第</w:t>
            </w:r>
            <w:r>
              <w:rPr>
                <w:rFonts w:hint="eastAsia" w:ascii="仿宋" w:eastAsia="仿宋" w:cs="仿宋"/>
                <w:b w:val="0"/>
                <w:bCs w:val="0"/>
                <w:sz w:val="24"/>
                <w:szCs w:val="24"/>
                <w:u w:val="single"/>
                <w:lang w:val="en-US"/>
              </w:rPr>
              <w:t xml:space="preserve">  </w:t>
            </w:r>
            <w:r>
              <w:rPr>
                <w:rFonts w:hint="eastAsia" w:ascii="仿宋" w:eastAsia="仿宋" w:cs="仿宋"/>
                <w:b w:val="0"/>
                <w:bCs w:val="0"/>
                <w:sz w:val="24"/>
                <w:szCs w:val="24"/>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jc w:val="center"/>
              <w:rPr>
                <w:rFonts w:ascii="仿宋" w:hAnsi="仿宋" w:eastAsia="仿宋" w:cs="仿宋"/>
                <w:sz w:val="24"/>
              </w:rPr>
            </w:pPr>
            <w:r>
              <w:rPr>
                <w:rFonts w:hint="eastAsia" w:ascii="仿宋" w:hAnsi="仿宋" w:eastAsia="仿宋" w:cs="仿宋"/>
                <w:sz w:val="24"/>
              </w:rPr>
              <w:t>4</w:t>
            </w:r>
          </w:p>
        </w:tc>
        <w:tc>
          <w:tcPr>
            <w:tcW w:w="4991" w:type="dxa"/>
            <w:vAlign w:val="center"/>
          </w:tcPr>
          <w:p>
            <w:pPr>
              <w:spacing w:line="360" w:lineRule="auto"/>
              <w:rPr>
                <w:rFonts w:ascii="仿宋" w:hAnsi="仿宋" w:eastAsia="仿宋" w:cs="仿宋"/>
                <w:sz w:val="24"/>
              </w:rPr>
            </w:pPr>
            <w:r>
              <w:rPr>
                <w:rFonts w:hint="eastAsia" w:ascii="仿宋" w:hAnsi="仿宋" w:eastAsia="仿宋" w:cs="仿宋"/>
                <w:sz w:val="24"/>
              </w:rPr>
              <w:t>投标文件满足招标文件的其它实质性要求。</w:t>
            </w:r>
          </w:p>
        </w:tc>
        <w:tc>
          <w:tcPr>
            <w:tcW w:w="2551" w:type="dxa"/>
            <w:vAlign w:val="center"/>
          </w:tcPr>
          <w:p>
            <w:pPr>
              <w:rPr>
                <w:rFonts w:ascii="仿宋" w:hAnsi="仿宋" w:eastAsia="仿宋" w:cs="仿宋"/>
                <w:sz w:val="24"/>
              </w:rPr>
            </w:pPr>
            <w:r>
              <w:rPr>
                <w:rFonts w:hint="eastAsia" w:ascii="仿宋" w:hAnsi="仿宋" w:eastAsia="仿宋" w:cs="仿宋"/>
                <w:kern w:val="0"/>
                <w:sz w:val="24"/>
              </w:rPr>
              <w:t>招标文件其它实质性要求相应的材料（“▲” 系指实质性要求条款，招标文件无其它实质性要求的，无需提供）</w:t>
            </w:r>
          </w:p>
        </w:tc>
        <w:tc>
          <w:tcPr>
            <w:tcW w:w="1418" w:type="dxa"/>
            <w:vAlign w:val="center"/>
          </w:tcPr>
          <w:p>
            <w:pPr>
              <w:rPr>
                <w:rFonts w:ascii="仿宋" w:hAnsi="仿宋" w:eastAsia="仿宋" w:cs="仿宋"/>
                <w:sz w:val="24"/>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pPr>
        <w:jc w:val="center"/>
        <w:rPr>
          <w:rFonts w:ascii="仿宋" w:hAnsi="仿宋" w:eastAsia="仿宋" w:cs="仿宋"/>
          <w:b/>
          <w:kern w:val="0"/>
          <w:sz w:val="32"/>
          <w:szCs w:val="32"/>
        </w:rPr>
      </w:pPr>
    </w:p>
    <w:p>
      <w:pPr>
        <w:jc w:val="center"/>
        <w:rPr>
          <w:rFonts w:ascii="仿宋" w:hAnsi="仿宋" w:eastAsia="仿宋" w:cs="仿宋"/>
          <w:b/>
          <w:kern w:val="0"/>
          <w:sz w:val="32"/>
          <w:szCs w:val="32"/>
        </w:rPr>
      </w:pPr>
      <w:r>
        <w:rPr>
          <w:rFonts w:hint="eastAsia" w:ascii="仿宋" w:hAnsi="仿宋" w:eastAsia="仿宋" w:cs="仿宋"/>
          <w:b/>
          <w:kern w:val="0"/>
          <w:sz w:val="32"/>
          <w:szCs w:val="32"/>
        </w:rPr>
        <w:t xml:space="preserve">            </w:t>
      </w:r>
    </w:p>
    <w:p>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w:t>
      </w:r>
    </w:p>
    <w:p>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pPr>
        <w:spacing w:line="360"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rPr>
      </w:pPr>
      <w:r>
        <w:rPr>
          <w:rFonts w:hint="eastAsia" w:ascii="仿宋" w:hAnsi="仿宋" w:eastAsia="仿宋" w:cs="仿宋"/>
          <w:b/>
          <w:kern w:val="0"/>
          <w:sz w:val="32"/>
          <w:szCs w:val="32"/>
        </w:rPr>
        <w:t>四、评标标准相应的商务技术资料</w:t>
      </w:r>
    </w:p>
    <w:p>
      <w:pPr>
        <w:snapToGrid w:val="0"/>
        <w:spacing w:line="360" w:lineRule="auto"/>
        <w:jc w:val="left"/>
        <w:rPr>
          <w:rFonts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w:t>
      </w:r>
    </w:p>
    <w:tbl>
      <w:tblPr>
        <w:tblStyle w:val="63"/>
        <w:tblpPr w:leftFromText="180" w:rightFromText="180" w:vertAnchor="text" w:horzAnchor="page" w:tblpX="1031" w:tblpY="126"/>
        <w:tblW w:w="94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5"/>
        <w:gridCol w:w="5399"/>
        <w:gridCol w:w="1344"/>
        <w:gridCol w:w="1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835" w:type="dxa"/>
            <w:vAlign w:val="center"/>
          </w:tcPr>
          <w:p>
            <w:pPr>
              <w:spacing w:line="360" w:lineRule="auto"/>
              <w:jc w:val="center"/>
              <w:outlineLvl w:val="0"/>
              <w:rPr>
                <w:rFonts w:ascii="仿宋" w:hAnsi="仿宋" w:eastAsia="仿宋" w:cs="仿宋"/>
                <w:bCs/>
                <w:sz w:val="24"/>
              </w:rPr>
            </w:pPr>
            <w:r>
              <w:rPr>
                <w:rFonts w:hint="eastAsia" w:ascii="仿宋" w:hAnsi="仿宋" w:eastAsia="仿宋" w:cs="仿宋"/>
                <w:bCs/>
                <w:sz w:val="24"/>
              </w:rPr>
              <w:t>序号</w:t>
            </w:r>
          </w:p>
        </w:tc>
        <w:tc>
          <w:tcPr>
            <w:tcW w:w="5399" w:type="dxa"/>
            <w:vAlign w:val="center"/>
          </w:tcPr>
          <w:p>
            <w:pPr>
              <w:spacing w:line="360" w:lineRule="auto"/>
              <w:ind w:firstLine="1560" w:firstLineChars="650"/>
              <w:outlineLvl w:val="0"/>
              <w:rPr>
                <w:rFonts w:ascii="仿宋" w:hAnsi="仿宋" w:eastAsia="仿宋" w:cs="仿宋"/>
                <w:bCs/>
                <w:sz w:val="24"/>
              </w:rPr>
            </w:pPr>
            <w:r>
              <w:rPr>
                <w:rFonts w:hint="eastAsia" w:ascii="仿宋" w:hAnsi="仿宋" w:eastAsia="仿宋" w:cs="仿宋"/>
                <w:bCs/>
                <w:sz w:val="24"/>
              </w:rPr>
              <w:t>评标标准</w:t>
            </w:r>
          </w:p>
        </w:tc>
        <w:tc>
          <w:tcPr>
            <w:tcW w:w="1344" w:type="dxa"/>
            <w:vAlign w:val="center"/>
          </w:tcPr>
          <w:p>
            <w:pPr>
              <w:spacing w:line="360" w:lineRule="auto"/>
              <w:outlineLvl w:val="0"/>
              <w:rPr>
                <w:rFonts w:ascii="仿宋" w:hAnsi="仿宋" w:eastAsia="仿宋" w:cs="仿宋"/>
                <w:bCs/>
                <w:sz w:val="24"/>
              </w:rPr>
            </w:pPr>
            <w:r>
              <w:rPr>
                <w:rFonts w:hint="eastAsia" w:ascii="仿宋" w:hAnsi="仿宋" w:eastAsia="仿宋" w:cs="仿宋"/>
                <w:bCs/>
                <w:sz w:val="24"/>
              </w:rPr>
              <w:t>自评分值</w:t>
            </w:r>
          </w:p>
        </w:tc>
        <w:tc>
          <w:tcPr>
            <w:tcW w:w="1890" w:type="dxa"/>
          </w:tcPr>
          <w:p>
            <w:pPr>
              <w:spacing w:line="360" w:lineRule="auto"/>
              <w:outlineLvl w:val="0"/>
              <w:rPr>
                <w:rFonts w:ascii="仿宋" w:hAnsi="仿宋" w:eastAsia="仿宋" w:cs="仿宋"/>
                <w:bCs/>
                <w:sz w:val="24"/>
              </w:rPr>
            </w:pPr>
            <w:r>
              <w:rPr>
                <w:rFonts w:hint="eastAsia" w:ascii="仿宋" w:hAnsi="仿宋" w:eastAsia="仿宋" w:cs="仿宋"/>
                <w:bCs/>
                <w:sz w:val="24"/>
              </w:rPr>
              <w:t>投标文件中评标标准相应的商务技术资料目录对应页面范围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trPr>
        <w:tc>
          <w:tcPr>
            <w:tcW w:w="835" w:type="dxa"/>
            <w:vAlign w:val="center"/>
          </w:tcPr>
          <w:p>
            <w:pPr>
              <w:spacing w:line="360" w:lineRule="auto"/>
              <w:ind w:firstLine="360" w:firstLineChars="150"/>
              <w:jc w:val="left"/>
              <w:outlineLvl w:val="0"/>
              <w:rPr>
                <w:rFonts w:ascii="仿宋" w:hAnsi="仿宋" w:eastAsia="仿宋" w:cs="仿宋"/>
                <w:sz w:val="24"/>
              </w:rPr>
            </w:pPr>
            <w:r>
              <w:rPr>
                <w:rFonts w:hint="eastAsia" w:ascii="仿宋" w:hAnsi="仿宋" w:eastAsia="仿宋" w:cs="仿宋"/>
                <w:sz w:val="24"/>
              </w:rPr>
              <w:t>1</w:t>
            </w:r>
          </w:p>
        </w:tc>
        <w:tc>
          <w:tcPr>
            <w:tcW w:w="5399" w:type="dxa"/>
            <w:vAlign w:val="center"/>
          </w:tcPr>
          <w:p>
            <w:pPr>
              <w:spacing w:line="360" w:lineRule="auto"/>
              <w:outlineLvl w:val="0"/>
              <w:rPr>
                <w:rFonts w:ascii="仿宋" w:hAnsi="仿宋" w:eastAsia="仿宋" w:cs="仿宋"/>
                <w:sz w:val="24"/>
              </w:rPr>
            </w:pPr>
          </w:p>
        </w:tc>
        <w:tc>
          <w:tcPr>
            <w:tcW w:w="1344" w:type="dxa"/>
          </w:tcPr>
          <w:p>
            <w:pPr>
              <w:rPr>
                <w:rFonts w:ascii="仿宋" w:hAnsi="仿宋" w:eastAsia="仿宋" w:cs="仿宋"/>
              </w:rPr>
            </w:pPr>
          </w:p>
          <w:p>
            <w:pPr>
              <w:spacing w:line="360" w:lineRule="auto"/>
              <w:ind w:firstLine="240" w:firstLineChars="100"/>
              <w:outlineLvl w:val="0"/>
              <w:rPr>
                <w:rFonts w:ascii="仿宋" w:hAnsi="仿宋" w:eastAsia="仿宋" w:cs="仿宋"/>
                <w:sz w:val="24"/>
              </w:rPr>
            </w:pPr>
          </w:p>
        </w:tc>
        <w:tc>
          <w:tcPr>
            <w:tcW w:w="1890" w:type="dxa"/>
            <w:vAlign w:val="center"/>
          </w:tcPr>
          <w:p>
            <w:pPr>
              <w:spacing w:line="360" w:lineRule="auto"/>
              <w:jc w:val="center"/>
              <w:outlineLvl w:val="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835" w:type="dxa"/>
            <w:vAlign w:val="center"/>
          </w:tcPr>
          <w:p>
            <w:pPr>
              <w:spacing w:line="360" w:lineRule="auto"/>
              <w:ind w:firstLine="360" w:firstLineChars="150"/>
              <w:jc w:val="left"/>
              <w:outlineLvl w:val="0"/>
              <w:rPr>
                <w:rFonts w:ascii="仿宋" w:hAnsi="仿宋" w:eastAsia="仿宋" w:cs="仿宋"/>
                <w:sz w:val="24"/>
              </w:rPr>
            </w:pPr>
            <w:r>
              <w:rPr>
                <w:rFonts w:hint="eastAsia" w:ascii="仿宋" w:hAnsi="仿宋" w:eastAsia="仿宋" w:cs="仿宋"/>
                <w:sz w:val="24"/>
              </w:rPr>
              <w:t>2</w:t>
            </w:r>
          </w:p>
        </w:tc>
        <w:tc>
          <w:tcPr>
            <w:tcW w:w="5399" w:type="dxa"/>
            <w:vAlign w:val="center"/>
          </w:tcPr>
          <w:p>
            <w:pPr>
              <w:spacing w:line="360" w:lineRule="auto"/>
              <w:outlineLvl w:val="0"/>
              <w:rPr>
                <w:rFonts w:ascii="仿宋" w:hAnsi="仿宋" w:eastAsia="仿宋" w:cs="仿宋"/>
                <w:sz w:val="24"/>
              </w:rPr>
            </w:pPr>
          </w:p>
        </w:tc>
        <w:tc>
          <w:tcPr>
            <w:tcW w:w="1344" w:type="dxa"/>
          </w:tcPr>
          <w:p>
            <w:pPr>
              <w:rPr>
                <w:rFonts w:ascii="仿宋" w:hAnsi="仿宋" w:eastAsia="仿宋" w:cs="仿宋"/>
              </w:rPr>
            </w:pPr>
          </w:p>
          <w:p>
            <w:pPr>
              <w:spacing w:line="360" w:lineRule="auto"/>
              <w:ind w:firstLine="240" w:firstLineChars="100"/>
              <w:outlineLvl w:val="0"/>
              <w:rPr>
                <w:rFonts w:ascii="仿宋" w:hAnsi="仿宋" w:eastAsia="仿宋" w:cs="仿宋"/>
                <w:sz w:val="24"/>
              </w:rPr>
            </w:pPr>
          </w:p>
        </w:tc>
        <w:tc>
          <w:tcPr>
            <w:tcW w:w="1890" w:type="dxa"/>
          </w:tcPr>
          <w:p>
            <w:pPr>
              <w:spacing w:line="360" w:lineRule="auto"/>
              <w:outlineLvl w:val="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835" w:type="dxa"/>
            <w:vAlign w:val="center"/>
          </w:tcPr>
          <w:p>
            <w:pPr>
              <w:spacing w:line="360" w:lineRule="auto"/>
              <w:ind w:firstLine="360" w:firstLineChars="150"/>
              <w:jc w:val="left"/>
              <w:outlineLvl w:val="0"/>
              <w:rPr>
                <w:rFonts w:ascii="仿宋" w:hAnsi="仿宋" w:eastAsia="仿宋" w:cs="仿宋"/>
                <w:sz w:val="24"/>
              </w:rPr>
            </w:pPr>
            <w:r>
              <w:rPr>
                <w:rFonts w:hint="eastAsia" w:ascii="仿宋" w:hAnsi="仿宋" w:eastAsia="仿宋" w:cs="仿宋"/>
                <w:sz w:val="24"/>
              </w:rPr>
              <w:t>3</w:t>
            </w:r>
          </w:p>
        </w:tc>
        <w:tc>
          <w:tcPr>
            <w:tcW w:w="5399" w:type="dxa"/>
            <w:vAlign w:val="center"/>
          </w:tcPr>
          <w:p>
            <w:pPr>
              <w:spacing w:line="360" w:lineRule="auto"/>
              <w:outlineLvl w:val="0"/>
              <w:rPr>
                <w:rFonts w:ascii="仿宋" w:hAnsi="仿宋" w:eastAsia="仿宋" w:cs="仿宋"/>
                <w:sz w:val="24"/>
              </w:rPr>
            </w:pPr>
          </w:p>
        </w:tc>
        <w:tc>
          <w:tcPr>
            <w:tcW w:w="1344" w:type="dxa"/>
          </w:tcPr>
          <w:p>
            <w:pPr>
              <w:rPr>
                <w:rFonts w:ascii="仿宋" w:hAnsi="仿宋" w:eastAsia="仿宋" w:cs="仿宋"/>
              </w:rPr>
            </w:pPr>
          </w:p>
          <w:p>
            <w:pPr>
              <w:spacing w:line="360" w:lineRule="auto"/>
              <w:ind w:firstLine="240" w:firstLineChars="100"/>
              <w:outlineLvl w:val="0"/>
              <w:rPr>
                <w:rFonts w:ascii="仿宋" w:hAnsi="仿宋" w:eastAsia="仿宋" w:cs="仿宋"/>
                <w:sz w:val="24"/>
              </w:rPr>
            </w:pPr>
          </w:p>
        </w:tc>
        <w:tc>
          <w:tcPr>
            <w:tcW w:w="1890" w:type="dxa"/>
          </w:tcPr>
          <w:p>
            <w:pPr>
              <w:spacing w:line="360" w:lineRule="auto"/>
              <w:outlineLvl w:val="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835" w:type="dxa"/>
            <w:vAlign w:val="center"/>
          </w:tcPr>
          <w:p>
            <w:pPr>
              <w:rPr>
                <w:rFonts w:ascii="仿宋" w:hAnsi="仿宋" w:eastAsia="仿宋" w:cs="仿宋"/>
              </w:rPr>
            </w:pPr>
            <w:r>
              <w:rPr>
                <w:rFonts w:hint="eastAsia" w:ascii="仿宋" w:hAnsi="仿宋" w:eastAsia="仿宋" w:cs="仿宋"/>
              </w:rPr>
              <w:t>……</w:t>
            </w:r>
          </w:p>
        </w:tc>
        <w:tc>
          <w:tcPr>
            <w:tcW w:w="5399" w:type="dxa"/>
            <w:vAlign w:val="center"/>
          </w:tcPr>
          <w:p>
            <w:pPr>
              <w:rPr>
                <w:rFonts w:ascii="仿宋" w:hAnsi="仿宋" w:eastAsia="仿宋" w:cs="仿宋"/>
              </w:rPr>
            </w:pPr>
          </w:p>
        </w:tc>
        <w:tc>
          <w:tcPr>
            <w:tcW w:w="1344" w:type="dxa"/>
          </w:tcPr>
          <w:p>
            <w:pPr>
              <w:rPr>
                <w:rFonts w:ascii="仿宋" w:hAnsi="仿宋" w:eastAsia="仿宋" w:cs="仿宋"/>
              </w:rPr>
            </w:pPr>
          </w:p>
          <w:p>
            <w:pPr>
              <w:rPr>
                <w:rFonts w:ascii="仿宋" w:hAnsi="仿宋" w:eastAsia="仿宋" w:cs="仿宋"/>
              </w:rPr>
            </w:pPr>
          </w:p>
        </w:tc>
        <w:tc>
          <w:tcPr>
            <w:tcW w:w="1890" w:type="dxa"/>
          </w:tcPr>
          <w:p>
            <w:pPr>
              <w:rPr>
                <w:rFonts w:ascii="仿宋" w:hAnsi="仿宋" w:eastAsia="仿宋" w:cs="仿宋"/>
              </w:rPr>
            </w:pPr>
          </w:p>
        </w:tc>
      </w:tr>
    </w:tbl>
    <w:p>
      <w:pPr>
        <w:jc w:val="center"/>
        <w:rPr>
          <w:rFonts w:ascii="仿宋" w:hAnsi="仿宋" w:eastAsia="仿宋" w:cs="仿宋"/>
          <w:b/>
          <w:kern w:val="0"/>
          <w:sz w:val="32"/>
          <w:szCs w:val="32"/>
        </w:rPr>
      </w:pPr>
    </w:p>
    <w:p>
      <w:pPr>
        <w:pStyle w:val="25"/>
        <w:rPr>
          <w:rFonts w:ascii="仿宋" w:hAnsi="仿宋" w:eastAsia="仿宋" w:cs="仿宋"/>
        </w:rPr>
      </w:pPr>
    </w:p>
    <w:p>
      <w:pPr>
        <w:pStyle w:val="62"/>
        <w:ind w:firstLine="420"/>
        <w:rPr>
          <w:rFonts w:ascii="仿宋" w:hAnsi="仿宋" w:eastAsia="仿宋" w:cs="仿宋"/>
        </w:rPr>
      </w:pPr>
    </w:p>
    <w:p>
      <w:pPr>
        <w:pStyle w:val="24"/>
        <w:rPr>
          <w:rFonts w:ascii="仿宋" w:hAnsi="仿宋" w:eastAsia="仿宋" w:cs="仿宋"/>
        </w:rPr>
      </w:pPr>
    </w:p>
    <w:p>
      <w:pPr>
        <w:rPr>
          <w:rFonts w:ascii="仿宋" w:hAnsi="仿宋" w:eastAsia="仿宋" w:cs="仿宋"/>
        </w:rPr>
      </w:pPr>
    </w:p>
    <w:p>
      <w:pPr>
        <w:pStyle w:val="25"/>
        <w:rPr>
          <w:rFonts w:ascii="仿宋" w:hAnsi="仿宋" w:eastAsia="仿宋" w:cs="仿宋"/>
        </w:rPr>
      </w:pPr>
    </w:p>
    <w:p>
      <w:pPr>
        <w:pStyle w:val="62"/>
        <w:ind w:firstLine="420"/>
        <w:rPr>
          <w:rFonts w:ascii="仿宋" w:hAnsi="仿宋" w:eastAsia="仿宋" w:cs="仿宋"/>
        </w:rPr>
      </w:pPr>
    </w:p>
    <w:p>
      <w:pPr>
        <w:pStyle w:val="24"/>
        <w:rPr>
          <w:rFonts w:ascii="仿宋" w:hAnsi="仿宋" w:eastAsia="仿宋" w:cs="仿宋"/>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p>
    <w:p>
      <w:pPr>
        <w:jc w:val="center"/>
        <w:rPr>
          <w:rFonts w:ascii="仿宋" w:hAnsi="仿宋" w:eastAsia="仿宋" w:cs="仿宋"/>
          <w:b/>
          <w:kern w:val="0"/>
          <w:sz w:val="32"/>
          <w:szCs w:val="32"/>
        </w:rPr>
      </w:pPr>
      <w:r>
        <w:rPr>
          <w:rFonts w:hint="eastAsia" w:ascii="仿宋" w:hAnsi="仿宋" w:eastAsia="仿宋" w:cs="仿宋"/>
          <w:b/>
          <w:kern w:val="0"/>
          <w:sz w:val="32"/>
          <w:szCs w:val="32"/>
        </w:rPr>
        <w:t>五、商务偏离表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6" w:hRule="atLeast"/>
        </w:trPr>
        <w:tc>
          <w:tcPr>
            <w:tcW w:w="959" w:type="dxa"/>
            <w:vAlign w:val="center"/>
          </w:tcPr>
          <w:p>
            <w:pPr>
              <w:jc w:val="center"/>
              <w:rPr>
                <w:rFonts w:ascii="仿宋" w:hAnsi="仿宋" w:eastAsia="仿宋" w:cs="仿宋"/>
                <w:b/>
                <w:bCs/>
                <w:sz w:val="24"/>
              </w:rPr>
            </w:pPr>
            <w:r>
              <w:rPr>
                <w:rFonts w:hint="eastAsia" w:ascii="仿宋" w:hAnsi="仿宋" w:eastAsia="仿宋" w:cs="仿宋"/>
                <w:b/>
                <w:bCs/>
                <w:sz w:val="24"/>
              </w:rPr>
              <w:t>序号</w:t>
            </w:r>
          </w:p>
        </w:tc>
        <w:tc>
          <w:tcPr>
            <w:tcW w:w="3683" w:type="dxa"/>
            <w:vAlign w:val="center"/>
          </w:tcPr>
          <w:p>
            <w:pPr>
              <w:jc w:val="center"/>
              <w:rPr>
                <w:rFonts w:ascii="仿宋" w:hAnsi="仿宋" w:eastAsia="仿宋" w:cs="仿宋"/>
                <w:b/>
                <w:bCs/>
                <w:sz w:val="24"/>
              </w:rPr>
            </w:pPr>
            <w:r>
              <w:rPr>
                <w:rFonts w:hint="eastAsia" w:ascii="仿宋" w:hAnsi="仿宋" w:eastAsia="仿宋" w:cs="仿宋"/>
                <w:b/>
                <w:bCs/>
                <w:sz w:val="24"/>
              </w:rPr>
              <w:t>招标文件章节及具体内容</w:t>
            </w:r>
          </w:p>
        </w:tc>
        <w:tc>
          <w:tcPr>
            <w:tcW w:w="3546" w:type="dxa"/>
            <w:vAlign w:val="center"/>
          </w:tcPr>
          <w:p>
            <w:pPr>
              <w:jc w:val="center"/>
              <w:rPr>
                <w:rFonts w:ascii="仿宋" w:hAnsi="仿宋" w:eastAsia="仿宋" w:cs="仿宋"/>
                <w:b/>
                <w:bCs/>
                <w:sz w:val="24"/>
              </w:rPr>
            </w:pPr>
            <w:r>
              <w:rPr>
                <w:rFonts w:hint="eastAsia" w:ascii="仿宋" w:hAnsi="仿宋" w:eastAsia="仿宋" w:cs="仿宋"/>
                <w:b/>
                <w:bCs/>
                <w:sz w:val="24"/>
              </w:rPr>
              <w:t>投标文件章节及具体内容</w:t>
            </w:r>
          </w:p>
        </w:tc>
        <w:tc>
          <w:tcPr>
            <w:tcW w:w="1276" w:type="dxa"/>
            <w:vAlign w:val="center"/>
          </w:tcPr>
          <w:p>
            <w:pPr>
              <w:jc w:val="center"/>
              <w:rPr>
                <w:rFonts w:ascii="仿宋" w:hAnsi="仿宋" w:eastAsia="仿宋" w:cs="仿宋"/>
                <w:b/>
                <w:bCs/>
                <w:sz w:val="24"/>
              </w:rPr>
            </w:pPr>
            <w:r>
              <w:rPr>
                <w:rFonts w:hint="eastAsia" w:ascii="仿宋" w:hAnsi="仿宋" w:eastAsia="仿宋" w:cs="仿宋"/>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trPr>
        <w:tc>
          <w:tcPr>
            <w:tcW w:w="959" w:type="dxa"/>
            <w:vAlign w:val="center"/>
          </w:tcPr>
          <w:p>
            <w:pPr>
              <w:jc w:val="center"/>
              <w:rPr>
                <w:rFonts w:ascii="仿宋" w:hAnsi="仿宋" w:eastAsia="仿宋" w:cs="仿宋"/>
                <w:kern w:val="0"/>
                <w:sz w:val="24"/>
              </w:rPr>
            </w:pPr>
            <w:r>
              <w:rPr>
                <w:rFonts w:hint="eastAsia" w:ascii="仿宋" w:hAnsi="仿宋" w:eastAsia="仿宋" w:cs="仿宋"/>
                <w:kern w:val="0"/>
                <w:sz w:val="24"/>
              </w:rPr>
              <w:t>1</w:t>
            </w:r>
          </w:p>
        </w:tc>
        <w:tc>
          <w:tcPr>
            <w:tcW w:w="3683" w:type="dxa"/>
            <w:vAlign w:val="center"/>
          </w:tcPr>
          <w:p>
            <w:pPr>
              <w:jc w:val="center"/>
              <w:rPr>
                <w:rFonts w:ascii="仿宋" w:hAnsi="仿宋" w:eastAsia="仿宋" w:cs="仿宋"/>
                <w:b/>
                <w:kern w:val="0"/>
                <w:sz w:val="32"/>
                <w:szCs w:val="32"/>
              </w:rPr>
            </w:pPr>
          </w:p>
        </w:tc>
        <w:tc>
          <w:tcPr>
            <w:tcW w:w="3546" w:type="dxa"/>
            <w:vAlign w:val="center"/>
          </w:tcPr>
          <w:p>
            <w:pPr>
              <w:jc w:val="center"/>
              <w:rPr>
                <w:rFonts w:ascii="仿宋" w:hAnsi="仿宋" w:eastAsia="仿宋" w:cs="仿宋"/>
                <w:b/>
                <w:kern w:val="0"/>
                <w:sz w:val="32"/>
                <w:szCs w:val="32"/>
              </w:rPr>
            </w:pPr>
          </w:p>
        </w:tc>
        <w:tc>
          <w:tcPr>
            <w:tcW w:w="1276" w:type="dxa"/>
            <w:vAlign w:val="center"/>
          </w:tcPr>
          <w:p>
            <w:pPr>
              <w:jc w:val="center"/>
              <w:rPr>
                <w:rFonts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trPr>
        <w:tc>
          <w:tcPr>
            <w:tcW w:w="959" w:type="dxa"/>
            <w:vAlign w:val="center"/>
          </w:tcPr>
          <w:p>
            <w:pPr>
              <w:jc w:val="center"/>
              <w:rPr>
                <w:rFonts w:ascii="仿宋" w:hAnsi="仿宋" w:eastAsia="仿宋" w:cs="仿宋"/>
                <w:kern w:val="0"/>
                <w:sz w:val="24"/>
              </w:rPr>
            </w:pPr>
            <w:r>
              <w:rPr>
                <w:rFonts w:hint="eastAsia" w:ascii="仿宋" w:hAnsi="仿宋" w:eastAsia="仿宋" w:cs="仿宋"/>
                <w:kern w:val="0"/>
                <w:sz w:val="24"/>
              </w:rPr>
              <w:t>2</w:t>
            </w:r>
          </w:p>
        </w:tc>
        <w:tc>
          <w:tcPr>
            <w:tcW w:w="3683" w:type="dxa"/>
            <w:vAlign w:val="center"/>
          </w:tcPr>
          <w:p>
            <w:pPr>
              <w:jc w:val="center"/>
              <w:rPr>
                <w:rFonts w:ascii="仿宋" w:hAnsi="仿宋" w:eastAsia="仿宋" w:cs="仿宋"/>
                <w:b/>
                <w:kern w:val="0"/>
                <w:sz w:val="32"/>
                <w:szCs w:val="32"/>
              </w:rPr>
            </w:pPr>
          </w:p>
        </w:tc>
        <w:tc>
          <w:tcPr>
            <w:tcW w:w="3546" w:type="dxa"/>
            <w:vAlign w:val="center"/>
          </w:tcPr>
          <w:p>
            <w:pPr>
              <w:jc w:val="center"/>
              <w:rPr>
                <w:rFonts w:ascii="仿宋" w:hAnsi="仿宋" w:eastAsia="仿宋" w:cs="仿宋"/>
                <w:b/>
                <w:kern w:val="0"/>
                <w:sz w:val="32"/>
                <w:szCs w:val="32"/>
              </w:rPr>
            </w:pPr>
          </w:p>
        </w:tc>
        <w:tc>
          <w:tcPr>
            <w:tcW w:w="1276" w:type="dxa"/>
            <w:vAlign w:val="center"/>
          </w:tcPr>
          <w:p>
            <w:pPr>
              <w:jc w:val="center"/>
              <w:rPr>
                <w:rFonts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trPr>
        <w:tc>
          <w:tcPr>
            <w:tcW w:w="959" w:type="dxa"/>
            <w:vAlign w:val="center"/>
          </w:tcPr>
          <w:p>
            <w:pPr>
              <w:jc w:val="center"/>
              <w:rPr>
                <w:rFonts w:ascii="仿宋" w:hAnsi="仿宋" w:eastAsia="仿宋" w:cs="仿宋"/>
                <w:kern w:val="0"/>
                <w:sz w:val="24"/>
              </w:rPr>
            </w:pPr>
            <w:r>
              <w:rPr>
                <w:rFonts w:hint="eastAsia" w:ascii="仿宋" w:hAnsi="仿宋" w:eastAsia="仿宋" w:cs="仿宋"/>
                <w:kern w:val="0"/>
                <w:sz w:val="24"/>
              </w:rPr>
              <w:t>……</w:t>
            </w:r>
          </w:p>
        </w:tc>
        <w:tc>
          <w:tcPr>
            <w:tcW w:w="3683" w:type="dxa"/>
            <w:vAlign w:val="center"/>
          </w:tcPr>
          <w:p>
            <w:pPr>
              <w:jc w:val="center"/>
              <w:rPr>
                <w:rFonts w:ascii="仿宋" w:hAnsi="仿宋" w:eastAsia="仿宋" w:cs="仿宋"/>
                <w:b/>
                <w:kern w:val="0"/>
                <w:sz w:val="32"/>
                <w:szCs w:val="32"/>
              </w:rPr>
            </w:pPr>
          </w:p>
        </w:tc>
        <w:tc>
          <w:tcPr>
            <w:tcW w:w="3546" w:type="dxa"/>
            <w:vAlign w:val="center"/>
          </w:tcPr>
          <w:p>
            <w:pPr>
              <w:jc w:val="center"/>
              <w:rPr>
                <w:rFonts w:ascii="仿宋" w:hAnsi="仿宋" w:eastAsia="仿宋" w:cs="仿宋"/>
                <w:b/>
                <w:kern w:val="0"/>
                <w:sz w:val="32"/>
                <w:szCs w:val="32"/>
              </w:rPr>
            </w:pPr>
          </w:p>
        </w:tc>
        <w:tc>
          <w:tcPr>
            <w:tcW w:w="1276" w:type="dxa"/>
            <w:vAlign w:val="center"/>
          </w:tcPr>
          <w:p>
            <w:pPr>
              <w:jc w:val="center"/>
              <w:rPr>
                <w:rFonts w:ascii="仿宋" w:hAnsi="仿宋" w:eastAsia="仿宋" w:cs="仿宋"/>
                <w:b/>
                <w:kern w:val="0"/>
                <w:sz w:val="32"/>
                <w:szCs w:val="32"/>
              </w:rPr>
            </w:pPr>
          </w:p>
        </w:tc>
      </w:tr>
    </w:tbl>
    <w:p>
      <w:pPr>
        <w:jc w:val="left"/>
        <w:rPr>
          <w:rFonts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pPr>
        <w:pStyle w:val="83"/>
        <w:rPr>
          <w:rFonts w:ascii="仿宋" w:hAnsi="仿宋" w:eastAsia="仿宋" w:cs="仿宋"/>
        </w:rPr>
      </w:pPr>
      <w:r>
        <w:rPr>
          <w:rFonts w:hint="eastAsia" w:ascii="仿宋" w:hAnsi="仿宋" w:eastAsia="仿宋" w:cs="仿宋"/>
        </w:rPr>
        <w:t>其中商务文件中带“▲”条款系指实质性要求条款，如未填入此表，即加盖公章视默认同意或认可。</w:t>
      </w:r>
    </w:p>
    <w:p>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pPr>
        <w:spacing w:line="360"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jc w:val="center"/>
        <w:rPr>
          <w:rFonts w:ascii="仿宋" w:hAnsi="仿宋" w:eastAsia="仿宋" w:cs="仿宋"/>
          <w:b/>
          <w:kern w:val="0"/>
          <w:sz w:val="32"/>
          <w:szCs w:val="32"/>
        </w:rPr>
      </w:pPr>
    </w:p>
    <w:p>
      <w:pPr>
        <w:snapToGrid w:val="0"/>
        <w:spacing w:line="360" w:lineRule="auto"/>
        <w:ind w:left="570"/>
        <w:jc w:val="center"/>
        <w:outlineLvl w:val="0"/>
        <w:rPr>
          <w:rFonts w:ascii="仿宋" w:hAnsi="仿宋" w:eastAsia="仿宋" w:cs="仿宋"/>
          <w:b/>
          <w:color w:val="000000"/>
          <w:sz w:val="32"/>
          <w:szCs w:val="32"/>
          <w:lang w:val="zh-CN"/>
        </w:rPr>
      </w:pPr>
      <w:bookmarkStart w:id="411" w:name="_Toc6828"/>
      <w:bookmarkStart w:id="412" w:name="_Toc2817"/>
      <w:r>
        <w:rPr>
          <w:rFonts w:hint="eastAsia" w:ascii="仿宋" w:hAnsi="仿宋" w:eastAsia="仿宋" w:cs="仿宋"/>
          <w:b/>
          <w:color w:val="000000"/>
          <w:sz w:val="32"/>
          <w:szCs w:val="32"/>
          <w:lang w:val="zh-CN"/>
        </w:rPr>
        <w:t>技术偏离表</w:t>
      </w:r>
      <w:bookmarkEnd w:id="411"/>
      <w:bookmarkEnd w:id="412"/>
    </w:p>
    <w:p>
      <w:pPr>
        <w:snapToGrid w:val="0"/>
        <w:spacing w:line="360" w:lineRule="auto"/>
        <w:ind w:firstLine="240" w:firstLineChars="100"/>
        <w:rPr>
          <w:rFonts w:ascii="仿宋" w:hAnsi="仿宋" w:eastAsia="仿宋" w:cs="仿宋"/>
          <w:color w:val="000000"/>
          <w:sz w:val="24"/>
        </w:rPr>
      </w:pPr>
      <w:r>
        <w:rPr>
          <w:rFonts w:hint="eastAsia" w:ascii="仿宋" w:hAnsi="仿宋" w:eastAsia="仿宋" w:cs="仿宋"/>
          <w:color w:val="000000"/>
          <w:sz w:val="24"/>
        </w:rPr>
        <w:t xml:space="preserve">项目名称：                                         招标编号：                                                          </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2684"/>
        <w:gridCol w:w="2129"/>
        <w:gridCol w:w="3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jc w:val="center"/>
        </w:trPr>
        <w:tc>
          <w:tcPr>
            <w:tcW w:w="878" w:type="dxa"/>
            <w:tcBorders>
              <w:bottom w:val="single" w:color="auto" w:sz="4" w:space="0"/>
            </w:tcBorders>
            <w:vAlign w:val="center"/>
          </w:tcPr>
          <w:p>
            <w:pPr>
              <w:jc w:val="center"/>
              <w:rPr>
                <w:rFonts w:ascii="仿宋" w:hAnsi="仿宋" w:eastAsia="仿宋" w:cs="仿宋"/>
                <w:color w:val="000000"/>
                <w:sz w:val="24"/>
              </w:rPr>
            </w:pPr>
            <w:r>
              <w:rPr>
                <w:rFonts w:hint="eastAsia" w:ascii="仿宋" w:hAnsi="仿宋" w:eastAsia="仿宋" w:cs="仿宋"/>
                <w:color w:val="000000"/>
                <w:sz w:val="24"/>
              </w:rPr>
              <w:t>序号</w:t>
            </w:r>
          </w:p>
        </w:tc>
        <w:tc>
          <w:tcPr>
            <w:tcW w:w="2684" w:type="dxa"/>
            <w:tcBorders>
              <w:bottom w:val="single" w:color="auto" w:sz="4" w:space="0"/>
            </w:tcBorders>
            <w:vAlign w:val="center"/>
          </w:tcPr>
          <w:p>
            <w:pPr>
              <w:jc w:val="center"/>
              <w:rPr>
                <w:rFonts w:ascii="仿宋" w:hAnsi="仿宋" w:eastAsia="仿宋" w:cs="仿宋"/>
                <w:color w:val="000000"/>
                <w:sz w:val="24"/>
              </w:rPr>
            </w:pPr>
            <w:r>
              <w:rPr>
                <w:rFonts w:hint="eastAsia" w:ascii="仿宋" w:hAnsi="仿宋" w:eastAsia="仿宋" w:cs="仿宋"/>
                <w:sz w:val="24"/>
              </w:rPr>
              <w:t>招标文件要求</w:t>
            </w:r>
          </w:p>
        </w:tc>
        <w:tc>
          <w:tcPr>
            <w:tcW w:w="2129" w:type="dxa"/>
            <w:tcBorders>
              <w:bottom w:val="single" w:color="auto" w:sz="4" w:space="0"/>
            </w:tcBorders>
            <w:vAlign w:val="center"/>
          </w:tcPr>
          <w:p>
            <w:pPr>
              <w:jc w:val="center"/>
              <w:rPr>
                <w:rFonts w:ascii="仿宋" w:hAnsi="仿宋" w:eastAsia="仿宋" w:cs="仿宋"/>
                <w:color w:val="000000"/>
                <w:sz w:val="24"/>
              </w:rPr>
            </w:pPr>
            <w:r>
              <w:rPr>
                <w:rFonts w:hint="eastAsia" w:ascii="仿宋" w:hAnsi="仿宋" w:eastAsia="仿宋" w:cs="仿宋"/>
                <w:sz w:val="24"/>
              </w:rPr>
              <w:t>投标文件响应</w:t>
            </w:r>
          </w:p>
        </w:tc>
        <w:tc>
          <w:tcPr>
            <w:tcW w:w="3247" w:type="dxa"/>
            <w:tcBorders>
              <w:bottom w:val="single" w:color="auto" w:sz="4" w:space="0"/>
            </w:tcBorders>
            <w:vAlign w:val="center"/>
          </w:tcPr>
          <w:p>
            <w:pPr>
              <w:jc w:val="center"/>
              <w:rPr>
                <w:rFonts w:ascii="仿宋" w:hAnsi="仿宋" w:eastAsia="仿宋" w:cs="仿宋"/>
                <w:color w:val="000000"/>
                <w:sz w:val="24"/>
              </w:rPr>
            </w:pPr>
            <w:r>
              <w:rPr>
                <w:rFonts w:hint="eastAsia" w:ascii="仿宋" w:hAnsi="仿宋" w:eastAsia="仿宋" w:cs="仿宋"/>
                <w:color w:val="000000"/>
                <w:sz w:val="24"/>
              </w:rPr>
              <w:t>偏离情况</w:t>
            </w:r>
          </w:p>
          <w:p>
            <w:pPr>
              <w:jc w:val="center"/>
              <w:rPr>
                <w:rFonts w:ascii="仿宋" w:hAnsi="仿宋" w:eastAsia="仿宋" w:cs="仿宋"/>
                <w:color w:val="000000"/>
                <w:sz w:val="24"/>
              </w:rPr>
            </w:pPr>
            <w:r>
              <w:rPr>
                <w:rFonts w:hint="eastAsia" w:ascii="仿宋" w:hAnsi="仿宋" w:eastAsia="仿宋" w:cs="仿宋"/>
                <w:color w:val="000000"/>
                <w:sz w:val="24"/>
              </w:rPr>
              <w:t>（注明正偏离、负偏离或无偏离）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878" w:type="dxa"/>
          </w:tcPr>
          <w:p>
            <w:pPr>
              <w:spacing w:line="560" w:lineRule="exact"/>
              <w:jc w:val="center"/>
              <w:rPr>
                <w:rFonts w:ascii="仿宋" w:hAnsi="仿宋" w:eastAsia="仿宋" w:cs="仿宋"/>
                <w:color w:val="000000"/>
                <w:sz w:val="24"/>
              </w:rPr>
            </w:pPr>
          </w:p>
        </w:tc>
        <w:tc>
          <w:tcPr>
            <w:tcW w:w="2684" w:type="dxa"/>
          </w:tcPr>
          <w:p>
            <w:pPr>
              <w:spacing w:line="560" w:lineRule="exact"/>
              <w:rPr>
                <w:rFonts w:ascii="仿宋" w:hAnsi="仿宋" w:eastAsia="仿宋" w:cs="仿宋"/>
                <w:color w:val="000000"/>
                <w:sz w:val="24"/>
              </w:rPr>
            </w:pPr>
          </w:p>
        </w:tc>
        <w:tc>
          <w:tcPr>
            <w:tcW w:w="2129" w:type="dxa"/>
          </w:tcPr>
          <w:p>
            <w:pPr>
              <w:spacing w:line="560" w:lineRule="exact"/>
              <w:rPr>
                <w:rFonts w:ascii="仿宋" w:hAnsi="仿宋" w:eastAsia="仿宋" w:cs="仿宋"/>
                <w:color w:val="000000"/>
                <w:sz w:val="24"/>
              </w:rPr>
            </w:pPr>
          </w:p>
        </w:tc>
        <w:tc>
          <w:tcPr>
            <w:tcW w:w="3247" w:type="dxa"/>
          </w:tcPr>
          <w:p>
            <w:pPr>
              <w:spacing w:line="560" w:lineRule="exact"/>
              <w:rPr>
                <w:rFonts w:ascii="仿宋" w:hAnsi="仿宋" w:eastAsia="仿宋" w:cs="仿宋"/>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878" w:type="dxa"/>
          </w:tcPr>
          <w:p>
            <w:pPr>
              <w:spacing w:line="560" w:lineRule="exact"/>
              <w:rPr>
                <w:rFonts w:ascii="仿宋" w:hAnsi="仿宋" w:eastAsia="仿宋" w:cs="仿宋"/>
                <w:color w:val="000000"/>
                <w:sz w:val="24"/>
              </w:rPr>
            </w:pPr>
          </w:p>
        </w:tc>
        <w:tc>
          <w:tcPr>
            <w:tcW w:w="2684" w:type="dxa"/>
          </w:tcPr>
          <w:p>
            <w:pPr>
              <w:spacing w:line="560" w:lineRule="exact"/>
              <w:rPr>
                <w:rFonts w:ascii="仿宋" w:hAnsi="仿宋" w:eastAsia="仿宋" w:cs="仿宋"/>
                <w:color w:val="000000"/>
                <w:sz w:val="24"/>
              </w:rPr>
            </w:pPr>
            <w:r>
              <w:rPr>
                <w:rFonts w:hint="eastAsia" w:ascii="仿宋" w:hAnsi="仿宋" w:eastAsia="仿宋" w:cs="仿宋"/>
                <w:color w:val="000000"/>
                <w:sz w:val="24"/>
              </w:rPr>
              <w:t>......</w:t>
            </w:r>
          </w:p>
        </w:tc>
        <w:tc>
          <w:tcPr>
            <w:tcW w:w="2129" w:type="dxa"/>
          </w:tcPr>
          <w:p>
            <w:pPr>
              <w:spacing w:line="560" w:lineRule="exact"/>
              <w:rPr>
                <w:rFonts w:ascii="仿宋" w:hAnsi="仿宋" w:eastAsia="仿宋" w:cs="仿宋"/>
                <w:color w:val="000000"/>
                <w:sz w:val="24"/>
              </w:rPr>
            </w:pPr>
          </w:p>
        </w:tc>
        <w:tc>
          <w:tcPr>
            <w:tcW w:w="3247" w:type="dxa"/>
          </w:tcPr>
          <w:p>
            <w:pPr>
              <w:spacing w:line="560" w:lineRule="exact"/>
              <w:rPr>
                <w:rFonts w:ascii="仿宋" w:hAnsi="仿宋" w:eastAsia="仿宋" w:cs="仿宋"/>
                <w:color w:val="000000"/>
                <w:sz w:val="24"/>
              </w:rPr>
            </w:pPr>
          </w:p>
        </w:tc>
      </w:tr>
    </w:tbl>
    <w:p>
      <w:pPr>
        <w:spacing w:line="560" w:lineRule="exact"/>
        <w:ind w:firstLine="482" w:firstLineChars="200"/>
        <w:rPr>
          <w:rFonts w:ascii="仿宋" w:hAnsi="仿宋" w:eastAsia="仿宋" w:cs="仿宋"/>
          <w:b/>
          <w:bCs/>
          <w:color w:val="000000"/>
          <w:sz w:val="24"/>
        </w:rPr>
      </w:pPr>
      <w:r>
        <w:rPr>
          <w:rFonts w:hint="eastAsia" w:ascii="仿宋" w:hAnsi="仿宋" w:eastAsia="仿宋" w:cs="仿宋"/>
          <w:b/>
          <w:bCs/>
          <w:color w:val="000000"/>
          <w:sz w:val="24"/>
        </w:rPr>
        <w:t>注：投标人应根据投标设备的性能指标、对照招标文件中“第三部分 采购需求”在“偏离情况”栏注明“正偏离”、“负偏离”或“无偏离”。</w:t>
      </w:r>
    </w:p>
    <w:p>
      <w:pPr>
        <w:snapToGrid w:val="0"/>
        <w:spacing w:line="560" w:lineRule="exact"/>
        <w:rPr>
          <w:rFonts w:ascii="仿宋" w:hAnsi="仿宋" w:eastAsia="仿宋" w:cs="仿宋"/>
          <w:color w:val="000000"/>
          <w:spacing w:val="20"/>
          <w:sz w:val="24"/>
        </w:rPr>
      </w:pPr>
    </w:p>
    <w:p>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rPr>
        <w:t xml:space="preserve">           </w:t>
      </w:r>
      <w:r>
        <w:rPr>
          <w:rFonts w:hint="eastAsia" w:ascii="仿宋" w:hAnsi="仿宋" w:eastAsia="仿宋" w:cs="仿宋"/>
          <w:kern w:val="0"/>
          <w:sz w:val="24"/>
          <w:lang w:val="zh-CN"/>
        </w:rPr>
        <w:t xml:space="preserve">  投标人名称(电子签名)：                              </w:t>
      </w:r>
    </w:p>
    <w:p>
      <w:pPr>
        <w:spacing w:line="360"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jc w:val="center"/>
        <w:rPr>
          <w:rFonts w:ascii="仿宋" w:hAnsi="仿宋" w:eastAsia="仿宋" w:cs="仿宋"/>
          <w:b/>
          <w:kern w:val="0"/>
          <w:sz w:val="32"/>
          <w:szCs w:val="32"/>
        </w:rPr>
      </w:pPr>
    </w:p>
    <w:p>
      <w:pPr>
        <w:ind w:firstLine="2891" w:firstLineChars="900"/>
        <w:rPr>
          <w:rFonts w:ascii="仿宋" w:hAnsi="仿宋" w:eastAsia="仿宋" w:cs="仿宋"/>
          <w:b/>
          <w:kern w:val="0"/>
          <w:sz w:val="32"/>
          <w:szCs w:val="32"/>
        </w:rPr>
      </w:pPr>
    </w:p>
    <w:p>
      <w:pPr>
        <w:jc w:val="center"/>
        <w:rPr>
          <w:rFonts w:ascii="仿宋" w:hAnsi="仿宋" w:eastAsia="仿宋" w:cs="仿宋"/>
          <w:b/>
          <w:kern w:val="0"/>
          <w:sz w:val="32"/>
          <w:szCs w:val="32"/>
        </w:rPr>
      </w:pPr>
      <w:r>
        <w:rPr>
          <w:rFonts w:hint="eastAsia" w:ascii="仿宋" w:hAnsi="仿宋" w:eastAsia="仿宋" w:cs="仿宋"/>
          <w:b/>
          <w:kern w:val="0"/>
          <w:sz w:val="32"/>
          <w:szCs w:val="32"/>
        </w:rPr>
        <w:t>六、所投产品具体配置表</w:t>
      </w:r>
    </w:p>
    <w:p>
      <w:pPr>
        <w:spacing w:line="360" w:lineRule="auto"/>
        <w:ind w:firstLine="482" w:firstLineChars="200"/>
        <w:rPr>
          <w:rFonts w:ascii="仿宋" w:hAnsi="仿宋" w:eastAsia="仿宋" w:cs="仿宋"/>
          <w:b/>
          <w:bCs/>
          <w:color w:val="000000"/>
          <w:sz w:val="24"/>
        </w:rPr>
      </w:pPr>
    </w:p>
    <w:p>
      <w:pPr>
        <w:spacing w:line="360" w:lineRule="auto"/>
        <w:ind w:firstLine="482" w:firstLineChars="200"/>
        <w:rPr>
          <w:rFonts w:ascii="仿宋" w:hAnsi="仿宋" w:eastAsia="仿宋" w:cs="仿宋"/>
          <w:color w:val="000000"/>
          <w:sz w:val="24"/>
        </w:rPr>
      </w:pPr>
      <w:r>
        <w:rPr>
          <w:rFonts w:hint="eastAsia" w:ascii="仿宋" w:hAnsi="仿宋" w:eastAsia="仿宋" w:cs="仿宋"/>
          <w:b/>
          <w:bCs/>
          <w:color w:val="000000"/>
          <w:sz w:val="24"/>
        </w:rPr>
        <w:t>所投产品具体配置表：</w:t>
      </w:r>
      <w:r>
        <w:rPr>
          <w:rFonts w:hint="eastAsia" w:ascii="仿宋" w:hAnsi="仿宋" w:eastAsia="仿宋" w:cs="仿宋"/>
          <w:color w:val="000000"/>
          <w:sz w:val="24"/>
        </w:rPr>
        <w:t>详细列明所投产品设备清单，完整配置方案及技术指标，项目的主要设备必须明确所投产品的</w:t>
      </w:r>
      <w:r>
        <w:rPr>
          <w:rFonts w:hint="eastAsia" w:ascii="仿宋" w:hAnsi="仿宋" w:eastAsia="仿宋" w:cs="仿宋"/>
          <w:b/>
          <w:bCs/>
          <w:color w:val="000000"/>
          <w:sz w:val="24"/>
        </w:rPr>
        <w:t>品牌</w:t>
      </w:r>
      <w:r>
        <w:rPr>
          <w:rFonts w:hint="eastAsia" w:ascii="仿宋" w:hAnsi="仿宋" w:eastAsia="仿宋" w:cs="仿宋"/>
          <w:color w:val="000000"/>
          <w:sz w:val="24"/>
        </w:rPr>
        <w:t>、规格型号、材质及具体技术指标，任何含糊不清的表述对评标结果的影响将是投标人的责任；</w:t>
      </w:r>
    </w:p>
    <w:p>
      <w:pPr>
        <w:numPr>
          <w:ilvl w:val="255"/>
          <w:numId w:val="0"/>
        </w:numPr>
        <w:snapToGrid w:val="0"/>
        <w:spacing w:line="360" w:lineRule="auto"/>
        <w:ind w:firstLine="420" w:firstLineChars="200"/>
        <w:rPr>
          <w:rFonts w:ascii="仿宋" w:hAnsi="仿宋" w:eastAsia="仿宋" w:cs="仿宋"/>
          <w:color w:val="000000"/>
          <w:szCs w:val="21"/>
        </w:rPr>
      </w:pPr>
      <w:r>
        <w:rPr>
          <w:rFonts w:hint="eastAsia" w:ascii="仿宋" w:hAnsi="仿宋" w:eastAsia="仿宋" w:cs="仿宋"/>
          <w:color w:val="000000"/>
          <w:szCs w:val="21"/>
        </w:rPr>
        <w:t xml:space="preserve">                                     </w:t>
      </w:r>
    </w:p>
    <w:tbl>
      <w:tblPr>
        <w:tblStyle w:val="63"/>
        <w:tblW w:w="970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2888"/>
        <w:gridCol w:w="2190"/>
        <w:gridCol w:w="1020"/>
        <w:gridCol w:w="1050"/>
        <w:gridCol w:w="1052"/>
        <w:gridCol w:w="76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7"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pPr>
              <w:pStyle w:val="34"/>
              <w:spacing w:line="360" w:lineRule="auto"/>
              <w:jc w:val="center"/>
              <w:rPr>
                <w:rFonts w:ascii="仿宋" w:hAnsi="仿宋" w:eastAsia="仿宋" w:cs="仿宋"/>
                <w:b/>
                <w:bCs/>
                <w:sz w:val="24"/>
                <w:szCs w:val="22"/>
              </w:rPr>
            </w:pPr>
            <w:r>
              <w:rPr>
                <w:rFonts w:hint="eastAsia" w:ascii="仿宋" w:hAnsi="仿宋" w:eastAsia="仿宋" w:cs="仿宋"/>
                <w:b/>
                <w:bCs/>
                <w:sz w:val="24"/>
                <w:szCs w:val="24"/>
              </w:rPr>
              <w:t>序号</w:t>
            </w:r>
          </w:p>
        </w:tc>
        <w:tc>
          <w:tcPr>
            <w:tcW w:w="2888" w:type="dxa"/>
            <w:tcBorders>
              <w:top w:val="single" w:color="auto" w:sz="4" w:space="0"/>
              <w:left w:val="single" w:color="auto" w:sz="4" w:space="0"/>
              <w:bottom w:val="single" w:color="auto" w:sz="4" w:space="0"/>
              <w:right w:val="single" w:color="auto" w:sz="4" w:space="0"/>
            </w:tcBorders>
            <w:vAlign w:val="center"/>
          </w:tcPr>
          <w:p>
            <w:pPr>
              <w:pStyle w:val="34"/>
              <w:spacing w:line="360" w:lineRule="auto"/>
              <w:jc w:val="center"/>
              <w:rPr>
                <w:rFonts w:ascii="仿宋" w:hAnsi="仿宋" w:eastAsia="仿宋" w:cs="仿宋"/>
                <w:b/>
                <w:bCs/>
                <w:sz w:val="24"/>
                <w:szCs w:val="22"/>
              </w:rPr>
            </w:pPr>
            <w:r>
              <w:rPr>
                <w:rFonts w:hint="eastAsia" w:ascii="仿宋" w:hAnsi="仿宋" w:eastAsia="仿宋" w:cs="仿宋"/>
                <w:b/>
                <w:bCs/>
                <w:sz w:val="24"/>
                <w:szCs w:val="24"/>
              </w:rPr>
              <w:t>货物名称</w:t>
            </w:r>
          </w:p>
        </w:tc>
        <w:tc>
          <w:tcPr>
            <w:tcW w:w="2190" w:type="dxa"/>
            <w:tcBorders>
              <w:top w:val="single" w:color="auto" w:sz="4" w:space="0"/>
              <w:left w:val="single" w:color="auto" w:sz="4" w:space="0"/>
              <w:bottom w:val="single" w:color="auto" w:sz="4" w:space="0"/>
              <w:right w:val="single" w:color="auto" w:sz="4" w:space="0"/>
            </w:tcBorders>
            <w:vAlign w:val="center"/>
          </w:tcPr>
          <w:p>
            <w:pPr>
              <w:pStyle w:val="34"/>
              <w:spacing w:line="360" w:lineRule="auto"/>
              <w:jc w:val="center"/>
              <w:rPr>
                <w:rFonts w:ascii="仿宋" w:hAnsi="仿宋" w:eastAsia="仿宋" w:cs="仿宋"/>
                <w:b/>
                <w:bCs/>
                <w:sz w:val="24"/>
                <w:szCs w:val="24"/>
              </w:rPr>
            </w:pPr>
            <w:r>
              <w:rPr>
                <w:rFonts w:hint="eastAsia" w:ascii="仿宋" w:hAnsi="仿宋" w:eastAsia="仿宋" w:cs="仿宋"/>
                <w:b/>
                <w:bCs/>
                <w:sz w:val="24"/>
                <w:szCs w:val="24"/>
              </w:rPr>
              <w:t>型号规格配置</w:t>
            </w:r>
          </w:p>
          <w:p>
            <w:pPr>
              <w:pStyle w:val="34"/>
              <w:spacing w:line="360" w:lineRule="auto"/>
              <w:jc w:val="center"/>
              <w:rPr>
                <w:rFonts w:ascii="仿宋" w:hAnsi="仿宋" w:eastAsia="仿宋" w:cs="仿宋"/>
                <w:b/>
                <w:bCs/>
                <w:sz w:val="24"/>
                <w:szCs w:val="22"/>
              </w:rPr>
            </w:pPr>
            <w:r>
              <w:rPr>
                <w:rFonts w:hint="eastAsia" w:ascii="仿宋" w:hAnsi="仿宋" w:eastAsia="仿宋" w:cs="仿宋"/>
                <w:b/>
                <w:bCs/>
                <w:sz w:val="24"/>
                <w:szCs w:val="24"/>
              </w:rPr>
              <w:t>及技术参数</w:t>
            </w:r>
          </w:p>
        </w:tc>
        <w:tc>
          <w:tcPr>
            <w:tcW w:w="1020" w:type="dxa"/>
            <w:tcBorders>
              <w:top w:val="single" w:color="auto" w:sz="4" w:space="0"/>
              <w:left w:val="single" w:color="auto" w:sz="4" w:space="0"/>
              <w:bottom w:val="single" w:color="auto" w:sz="4" w:space="0"/>
              <w:right w:val="single" w:color="auto" w:sz="4" w:space="0"/>
            </w:tcBorders>
            <w:vAlign w:val="center"/>
          </w:tcPr>
          <w:p>
            <w:pPr>
              <w:pStyle w:val="34"/>
              <w:spacing w:line="360" w:lineRule="auto"/>
              <w:jc w:val="center"/>
              <w:rPr>
                <w:rFonts w:ascii="仿宋" w:hAnsi="仿宋" w:eastAsia="仿宋" w:cs="仿宋"/>
                <w:b/>
                <w:bCs/>
                <w:sz w:val="24"/>
                <w:szCs w:val="22"/>
              </w:rPr>
            </w:pPr>
            <w:r>
              <w:rPr>
                <w:rFonts w:hint="eastAsia" w:ascii="仿宋" w:hAnsi="仿宋" w:eastAsia="仿宋" w:cs="仿宋"/>
                <w:b/>
                <w:bCs/>
                <w:sz w:val="24"/>
                <w:szCs w:val="24"/>
              </w:rPr>
              <w:t>数量</w:t>
            </w:r>
          </w:p>
        </w:tc>
        <w:tc>
          <w:tcPr>
            <w:tcW w:w="1050" w:type="dxa"/>
            <w:tcBorders>
              <w:top w:val="single" w:color="auto" w:sz="4" w:space="0"/>
              <w:left w:val="single" w:color="auto" w:sz="4" w:space="0"/>
              <w:bottom w:val="single" w:color="auto" w:sz="4" w:space="0"/>
              <w:right w:val="single" w:color="auto" w:sz="4" w:space="0"/>
            </w:tcBorders>
            <w:vAlign w:val="center"/>
          </w:tcPr>
          <w:p>
            <w:pPr>
              <w:pStyle w:val="34"/>
              <w:spacing w:line="360" w:lineRule="auto"/>
              <w:jc w:val="center"/>
              <w:rPr>
                <w:rFonts w:ascii="仿宋" w:hAnsi="仿宋" w:eastAsia="仿宋" w:cs="仿宋"/>
                <w:b/>
                <w:bCs/>
                <w:sz w:val="24"/>
                <w:szCs w:val="24"/>
              </w:rPr>
            </w:pPr>
            <w:r>
              <w:rPr>
                <w:rFonts w:hint="eastAsia" w:ascii="仿宋" w:hAnsi="仿宋" w:eastAsia="仿宋" w:cs="仿宋"/>
                <w:b/>
                <w:bCs/>
                <w:sz w:val="24"/>
                <w:szCs w:val="24"/>
              </w:rPr>
              <w:t>品牌</w:t>
            </w:r>
          </w:p>
        </w:tc>
        <w:tc>
          <w:tcPr>
            <w:tcW w:w="1052" w:type="dxa"/>
            <w:tcBorders>
              <w:top w:val="single" w:color="auto" w:sz="4" w:space="0"/>
              <w:left w:val="single" w:color="auto" w:sz="4" w:space="0"/>
              <w:bottom w:val="single" w:color="auto" w:sz="4" w:space="0"/>
              <w:right w:val="single" w:color="auto" w:sz="4" w:space="0"/>
            </w:tcBorders>
            <w:vAlign w:val="center"/>
          </w:tcPr>
          <w:p>
            <w:pPr>
              <w:pStyle w:val="34"/>
              <w:spacing w:line="360" w:lineRule="auto"/>
              <w:jc w:val="center"/>
              <w:rPr>
                <w:rFonts w:ascii="仿宋" w:hAnsi="仿宋" w:eastAsia="仿宋" w:cs="仿宋"/>
                <w:b/>
                <w:bCs/>
                <w:sz w:val="24"/>
                <w:szCs w:val="24"/>
              </w:rPr>
            </w:pPr>
            <w:r>
              <w:rPr>
                <w:rFonts w:hint="eastAsia" w:ascii="仿宋" w:hAnsi="仿宋" w:eastAsia="仿宋" w:cs="仿宋"/>
                <w:b/>
                <w:bCs/>
                <w:sz w:val="24"/>
                <w:szCs w:val="24"/>
              </w:rPr>
              <w:t>产地</w:t>
            </w:r>
          </w:p>
        </w:tc>
        <w:tc>
          <w:tcPr>
            <w:tcW w:w="764" w:type="dxa"/>
            <w:tcBorders>
              <w:top w:val="single" w:color="auto" w:sz="4" w:space="0"/>
              <w:left w:val="single" w:color="auto" w:sz="4" w:space="0"/>
              <w:bottom w:val="single" w:color="auto" w:sz="4" w:space="0"/>
              <w:right w:val="single" w:color="auto" w:sz="4" w:space="0"/>
            </w:tcBorders>
            <w:vAlign w:val="center"/>
          </w:tcPr>
          <w:p>
            <w:pPr>
              <w:pStyle w:val="34"/>
              <w:spacing w:line="360" w:lineRule="auto"/>
              <w:jc w:val="center"/>
              <w:rPr>
                <w:rFonts w:ascii="仿宋" w:hAnsi="仿宋" w:eastAsia="仿宋" w:cs="仿宋"/>
                <w:b/>
                <w:bCs/>
                <w:sz w:val="24"/>
                <w:szCs w:val="24"/>
              </w:rPr>
            </w:pPr>
            <w:r>
              <w:rPr>
                <w:rFonts w:hint="eastAsia" w:ascii="仿宋" w:hAnsi="仿宋" w:eastAsia="仿宋" w:cs="仿宋"/>
                <w:b/>
                <w:bCs/>
                <w:sz w:val="24"/>
                <w:szCs w:val="24"/>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6"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r>
              <w:rPr>
                <w:rFonts w:hint="eastAsia" w:ascii="仿宋" w:hAnsi="仿宋" w:eastAsia="仿宋" w:cs="仿宋"/>
                <w:color w:val="000000"/>
                <w:sz w:val="24"/>
                <w:szCs w:val="22"/>
              </w:rPr>
              <w:t>1</w:t>
            </w:r>
          </w:p>
        </w:tc>
        <w:tc>
          <w:tcPr>
            <w:tcW w:w="288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219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2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5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5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76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r>
              <w:rPr>
                <w:rFonts w:hint="eastAsia" w:ascii="仿宋" w:hAnsi="仿宋" w:eastAsia="仿宋" w:cs="仿宋"/>
                <w:color w:val="000000"/>
                <w:sz w:val="24"/>
                <w:szCs w:val="22"/>
              </w:rPr>
              <w:t>2</w:t>
            </w:r>
          </w:p>
        </w:tc>
        <w:tc>
          <w:tcPr>
            <w:tcW w:w="288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219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2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5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5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76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r>
              <w:rPr>
                <w:rFonts w:hint="eastAsia" w:ascii="仿宋" w:hAnsi="仿宋" w:eastAsia="仿宋" w:cs="仿宋"/>
                <w:color w:val="000000"/>
                <w:sz w:val="24"/>
                <w:szCs w:val="22"/>
              </w:rPr>
              <w:t>3</w:t>
            </w:r>
          </w:p>
        </w:tc>
        <w:tc>
          <w:tcPr>
            <w:tcW w:w="288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219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2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5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5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76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r>
              <w:rPr>
                <w:rFonts w:hint="eastAsia" w:ascii="仿宋" w:hAnsi="仿宋" w:eastAsia="仿宋" w:cs="仿宋"/>
                <w:color w:val="000000"/>
                <w:sz w:val="24"/>
                <w:szCs w:val="22"/>
              </w:rPr>
              <w:t>4</w:t>
            </w:r>
          </w:p>
        </w:tc>
        <w:tc>
          <w:tcPr>
            <w:tcW w:w="288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219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2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5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5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76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r>
              <w:rPr>
                <w:rFonts w:hint="eastAsia" w:ascii="仿宋" w:hAnsi="仿宋" w:eastAsia="仿宋" w:cs="仿宋"/>
                <w:color w:val="000000"/>
                <w:sz w:val="24"/>
                <w:szCs w:val="22"/>
              </w:rPr>
              <w:t>5</w:t>
            </w:r>
          </w:p>
        </w:tc>
        <w:tc>
          <w:tcPr>
            <w:tcW w:w="288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219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2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5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5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76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4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288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r>
              <w:rPr>
                <w:rFonts w:hint="eastAsia" w:ascii="仿宋" w:hAnsi="仿宋" w:eastAsia="仿宋" w:cs="仿宋"/>
                <w:color w:val="000000"/>
                <w:sz w:val="24"/>
                <w:szCs w:val="22"/>
              </w:rPr>
              <w:t>.......</w:t>
            </w:r>
          </w:p>
        </w:tc>
        <w:tc>
          <w:tcPr>
            <w:tcW w:w="219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2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5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1052"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c>
          <w:tcPr>
            <w:tcW w:w="76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000000"/>
                <w:sz w:val="24"/>
                <w:szCs w:val="22"/>
              </w:rPr>
            </w:pPr>
          </w:p>
        </w:tc>
      </w:tr>
    </w:tbl>
    <w:p>
      <w:pPr>
        <w:snapToGrid w:val="0"/>
        <w:spacing w:line="360" w:lineRule="auto"/>
        <w:ind w:firstLine="241" w:firstLineChars="100"/>
        <w:rPr>
          <w:rFonts w:ascii="仿宋" w:hAnsi="仿宋" w:eastAsia="仿宋" w:cs="仿宋"/>
          <w:b/>
          <w:bCs/>
          <w:color w:val="000000"/>
          <w:sz w:val="24"/>
        </w:rPr>
      </w:pPr>
    </w:p>
    <w:p>
      <w:pPr>
        <w:snapToGrid w:val="0"/>
        <w:spacing w:line="360" w:lineRule="auto"/>
        <w:ind w:firstLine="241" w:firstLineChars="100"/>
        <w:rPr>
          <w:rFonts w:ascii="仿宋" w:hAnsi="仿宋" w:eastAsia="仿宋" w:cs="仿宋"/>
          <w:b/>
          <w:bCs/>
          <w:color w:val="000000"/>
          <w:sz w:val="24"/>
        </w:rPr>
      </w:pPr>
    </w:p>
    <w:p>
      <w:pPr>
        <w:autoSpaceDE w:val="0"/>
        <w:autoSpaceDN w:val="0"/>
        <w:snapToGrid w:val="0"/>
        <w:spacing w:line="360" w:lineRule="auto"/>
        <w:ind w:firstLine="5400" w:firstLineChars="2250"/>
        <w:rPr>
          <w:rFonts w:ascii="仿宋" w:hAnsi="仿宋" w:eastAsia="仿宋" w:cs="仿宋"/>
          <w:color w:val="000000"/>
          <w:kern w:val="0"/>
          <w:sz w:val="24"/>
        </w:rPr>
      </w:pPr>
      <w:r>
        <w:rPr>
          <w:rFonts w:hint="eastAsia" w:ascii="仿宋" w:hAnsi="仿宋" w:eastAsia="仿宋" w:cs="仿宋"/>
          <w:color w:val="000000"/>
          <w:kern w:val="0"/>
          <w:sz w:val="24"/>
          <w:lang w:val="zh-CN"/>
        </w:rPr>
        <w:t xml:space="preserve">投标人名称（公章）：      </w:t>
      </w:r>
    </w:p>
    <w:p>
      <w:pPr>
        <w:autoSpaceDE w:val="0"/>
        <w:autoSpaceDN w:val="0"/>
        <w:snapToGrid w:val="0"/>
        <w:spacing w:line="360" w:lineRule="auto"/>
        <w:ind w:left="5387" w:leftChars="2508" w:hanging="120" w:hangingChars="50"/>
        <w:rPr>
          <w:rFonts w:ascii="仿宋" w:hAnsi="仿宋" w:eastAsia="仿宋" w:cs="仿宋"/>
          <w:color w:val="000000"/>
          <w:kern w:val="0"/>
          <w:sz w:val="24"/>
          <w:lang w:val="zh-CN"/>
        </w:rPr>
      </w:pPr>
      <w:r>
        <w:rPr>
          <w:rFonts w:hint="eastAsia" w:ascii="仿宋" w:hAnsi="仿宋" w:eastAsia="仿宋" w:cs="仿宋"/>
          <w:color w:val="000000"/>
          <w:kern w:val="0"/>
          <w:sz w:val="24"/>
          <w:lang w:val="zh-CN"/>
        </w:rPr>
        <w:t>日期：   年  月   日</w:t>
      </w:r>
    </w:p>
    <w:p>
      <w:pPr>
        <w:autoSpaceDE w:val="0"/>
        <w:autoSpaceDN w:val="0"/>
        <w:snapToGrid w:val="0"/>
        <w:spacing w:line="360" w:lineRule="auto"/>
        <w:ind w:firstLine="5160" w:firstLineChars="2150"/>
        <w:rPr>
          <w:rFonts w:ascii="仿宋" w:hAnsi="仿宋" w:eastAsia="仿宋" w:cs="仿宋"/>
          <w:color w:val="000000"/>
          <w:kern w:val="0"/>
          <w:sz w:val="24"/>
          <w:lang w:val="zh-CN"/>
        </w:rPr>
      </w:pPr>
    </w:p>
    <w:p>
      <w:pPr>
        <w:ind w:firstLine="2891" w:firstLineChars="900"/>
        <w:rPr>
          <w:rFonts w:ascii="仿宋" w:hAnsi="仿宋" w:eastAsia="仿宋" w:cs="仿宋"/>
          <w:b/>
          <w:kern w:val="0"/>
          <w:sz w:val="32"/>
          <w:szCs w:val="32"/>
        </w:rPr>
      </w:pPr>
    </w:p>
    <w:p>
      <w:pPr>
        <w:pStyle w:val="80"/>
        <w:rPr>
          <w:rFonts w:ascii="仿宋" w:hAnsi="仿宋" w:eastAsia="仿宋" w:cs="仿宋"/>
          <w:b/>
          <w:sz w:val="32"/>
          <w:szCs w:val="32"/>
        </w:rPr>
      </w:pPr>
    </w:p>
    <w:p>
      <w:pPr>
        <w:pStyle w:val="80"/>
        <w:rPr>
          <w:rFonts w:ascii="仿宋" w:hAnsi="仿宋" w:eastAsia="仿宋" w:cs="仿宋"/>
          <w:b/>
          <w:sz w:val="32"/>
          <w:szCs w:val="32"/>
        </w:rPr>
      </w:pPr>
    </w:p>
    <w:p>
      <w:pPr>
        <w:pStyle w:val="80"/>
        <w:rPr>
          <w:rFonts w:ascii="仿宋" w:hAnsi="仿宋" w:eastAsia="仿宋" w:cs="仿宋"/>
          <w:b/>
          <w:sz w:val="32"/>
          <w:szCs w:val="32"/>
        </w:rPr>
      </w:pPr>
    </w:p>
    <w:p>
      <w:pPr>
        <w:pStyle w:val="80"/>
        <w:rPr>
          <w:rFonts w:ascii="仿宋" w:hAnsi="仿宋" w:eastAsia="仿宋" w:cs="仿宋"/>
          <w:b/>
          <w:sz w:val="32"/>
          <w:szCs w:val="32"/>
        </w:rPr>
      </w:pPr>
    </w:p>
    <w:p>
      <w:pPr>
        <w:pStyle w:val="80"/>
        <w:rPr>
          <w:rFonts w:ascii="仿宋" w:hAnsi="仿宋" w:eastAsia="仿宋" w:cs="仿宋"/>
          <w:b/>
          <w:sz w:val="32"/>
          <w:szCs w:val="32"/>
        </w:rPr>
      </w:pPr>
    </w:p>
    <w:p>
      <w:pPr>
        <w:pStyle w:val="80"/>
        <w:rPr>
          <w:rFonts w:ascii="仿宋" w:hAnsi="仿宋" w:eastAsia="仿宋" w:cs="仿宋"/>
          <w:b/>
          <w:sz w:val="32"/>
          <w:szCs w:val="32"/>
        </w:rPr>
      </w:pPr>
    </w:p>
    <w:p>
      <w:pPr>
        <w:pStyle w:val="80"/>
        <w:rPr>
          <w:rFonts w:ascii="仿宋" w:hAnsi="仿宋" w:eastAsia="仿宋" w:cs="仿宋"/>
          <w:b/>
          <w:sz w:val="32"/>
          <w:szCs w:val="32"/>
        </w:rPr>
      </w:pPr>
    </w:p>
    <w:p>
      <w:pPr>
        <w:pStyle w:val="80"/>
        <w:rPr>
          <w:rFonts w:ascii="仿宋" w:hAnsi="仿宋" w:eastAsia="仿宋" w:cs="仿宋"/>
          <w:b/>
          <w:sz w:val="32"/>
          <w:szCs w:val="32"/>
        </w:rPr>
      </w:pPr>
    </w:p>
    <w:p>
      <w:pPr>
        <w:pStyle w:val="80"/>
        <w:rPr>
          <w:rFonts w:ascii="仿宋" w:hAnsi="仿宋" w:eastAsia="仿宋" w:cs="仿宋"/>
          <w:b/>
          <w:sz w:val="32"/>
          <w:szCs w:val="32"/>
        </w:rPr>
      </w:pPr>
    </w:p>
    <w:p>
      <w:pPr>
        <w:pStyle w:val="80"/>
        <w:rPr>
          <w:rFonts w:ascii="仿宋" w:hAnsi="仿宋" w:eastAsia="仿宋" w:cs="仿宋"/>
          <w:b/>
          <w:sz w:val="32"/>
          <w:szCs w:val="32"/>
        </w:rPr>
      </w:pPr>
    </w:p>
    <w:p>
      <w:pPr>
        <w:pStyle w:val="80"/>
        <w:rPr>
          <w:rFonts w:ascii="仿宋" w:hAnsi="仿宋" w:eastAsia="仿宋" w:cs="仿宋"/>
          <w:b/>
          <w:sz w:val="32"/>
          <w:szCs w:val="32"/>
        </w:rPr>
      </w:pPr>
    </w:p>
    <w:p>
      <w:pPr>
        <w:ind w:firstLine="1911" w:firstLineChars="595"/>
        <w:rPr>
          <w:rFonts w:ascii="仿宋" w:hAnsi="仿宋" w:eastAsia="仿宋" w:cs="仿宋"/>
          <w:b/>
          <w:kern w:val="0"/>
          <w:sz w:val="32"/>
          <w:szCs w:val="32"/>
        </w:rPr>
      </w:pPr>
      <w:r>
        <w:rPr>
          <w:rFonts w:hint="eastAsia" w:ascii="仿宋" w:hAnsi="仿宋" w:eastAsia="仿宋" w:cs="仿宋"/>
          <w:b/>
          <w:kern w:val="0"/>
          <w:sz w:val="32"/>
          <w:szCs w:val="32"/>
        </w:rPr>
        <w:t>七、</w:t>
      </w:r>
      <w:r>
        <w:rPr>
          <w:rFonts w:hint="eastAsia" w:ascii="仿宋" w:hAnsi="仿宋" w:eastAsia="仿宋" w:cs="仿宋"/>
          <w:b/>
          <w:kern w:val="0"/>
          <w:sz w:val="32"/>
          <w:szCs w:val="32"/>
          <w:lang w:val="zh-CN"/>
        </w:rPr>
        <w:t>政府采购供应商廉洁自律承诺书</w:t>
      </w:r>
    </w:p>
    <w:p>
      <w:pPr>
        <w:snapToGrid w:val="0"/>
        <w:spacing w:line="360" w:lineRule="auto"/>
        <w:rPr>
          <w:rFonts w:ascii="仿宋" w:hAnsi="仿宋" w:eastAsia="仿宋" w:cs="仿宋"/>
          <w:sz w:val="24"/>
        </w:rPr>
      </w:pPr>
    </w:p>
    <w:p>
      <w:pPr>
        <w:snapToGrid w:val="0"/>
        <w:spacing w:line="360" w:lineRule="auto"/>
        <w:rPr>
          <w:rFonts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好处；</w:t>
      </w:r>
    </w:p>
    <w:p>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仿宋" w:hAnsi="仿宋" w:eastAsia="仿宋" w:cs="仿宋"/>
          <w:kern w:val="0"/>
          <w:sz w:val="24"/>
          <w:lang w:val="zh-CN"/>
        </w:rPr>
      </w:pPr>
    </w:p>
    <w:p>
      <w:pPr>
        <w:autoSpaceDE w:val="0"/>
        <w:autoSpaceDN w:val="0"/>
        <w:spacing w:line="360" w:lineRule="auto"/>
        <w:ind w:left="2"/>
        <w:jc w:val="left"/>
        <w:rPr>
          <w:rFonts w:ascii="仿宋" w:hAnsi="仿宋" w:eastAsia="仿宋" w:cs="仿宋"/>
          <w:kern w:val="0"/>
          <w:sz w:val="24"/>
          <w:lang w:val="zh-CN"/>
        </w:rPr>
      </w:pPr>
    </w:p>
    <w:p>
      <w:pPr>
        <w:autoSpaceDE w:val="0"/>
        <w:autoSpaceDN w:val="0"/>
        <w:spacing w:line="360" w:lineRule="auto"/>
        <w:ind w:left="2"/>
        <w:jc w:val="left"/>
        <w:rPr>
          <w:rFonts w:ascii="仿宋" w:hAnsi="仿宋" w:eastAsia="仿宋" w:cs="仿宋"/>
          <w:kern w:val="0"/>
          <w:sz w:val="24"/>
          <w:lang w:val="zh-CN"/>
        </w:rPr>
      </w:pPr>
    </w:p>
    <w:p>
      <w:pPr>
        <w:autoSpaceDE w:val="0"/>
        <w:autoSpaceDN w:val="0"/>
        <w:spacing w:line="360" w:lineRule="auto"/>
        <w:ind w:left="2" w:leftChars="1" w:right="1120" w:firstLine="4560" w:firstLineChars="1900"/>
        <w:jc w:val="left"/>
        <w:rPr>
          <w:rFonts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pPr>
        <w:spacing w:line="360" w:lineRule="auto"/>
        <w:ind w:left="4620" w:leftChars="2200"/>
        <w:rPr>
          <w:rFonts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pPr>
        <w:spacing w:line="360" w:lineRule="auto"/>
        <w:jc w:val="center"/>
        <w:rPr>
          <w:rFonts w:ascii="仿宋" w:hAnsi="仿宋" w:eastAsia="仿宋" w:cs="仿宋"/>
          <w:b/>
          <w:bCs/>
          <w:sz w:val="24"/>
        </w:rPr>
      </w:pPr>
    </w:p>
    <w:p>
      <w:pPr>
        <w:spacing w:line="360" w:lineRule="auto"/>
        <w:jc w:val="center"/>
        <w:rPr>
          <w:rFonts w:ascii="仿宋" w:hAnsi="仿宋" w:eastAsia="仿宋" w:cs="仿宋"/>
          <w:b/>
          <w:bCs/>
          <w:sz w:val="24"/>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仿宋" w:hAnsi="仿宋" w:eastAsia="仿宋" w:cs="仿宋"/>
          <w:b/>
          <w:kern w:val="0"/>
          <w:sz w:val="36"/>
          <w:szCs w:val="36"/>
        </w:rPr>
      </w:pPr>
    </w:p>
    <w:p>
      <w:pPr>
        <w:spacing w:line="360" w:lineRule="auto"/>
        <w:jc w:val="center"/>
        <w:outlineLvl w:val="0"/>
        <w:rPr>
          <w:rFonts w:ascii="仿宋" w:hAnsi="仿宋" w:eastAsia="仿宋" w:cs="仿宋"/>
          <w:b/>
          <w:kern w:val="0"/>
          <w:sz w:val="44"/>
          <w:szCs w:val="44"/>
        </w:rPr>
      </w:pPr>
      <w:r>
        <w:rPr>
          <w:rFonts w:hint="eastAsia" w:ascii="仿宋" w:hAnsi="仿宋" w:eastAsia="仿宋" w:cs="仿宋"/>
          <w:b/>
          <w:kern w:val="0"/>
          <w:sz w:val="44"/>
          <w:szCs w:val="44"/>
        </w:rPr>
        <w:t>报价文件部分</w:t>
      </w:r>
      <w:r>
        <w:rPr>
          <w:rFonts w:hint="eastAsia" w:ascii="仿宋" w:hAnsi="仿宋" w:eastAsia="仿宋" w:cs="仿宋"/>
          <w:b/>
          <w:bCs/>
          <w:color w:val="000000"/>
          <w:sz w:val="44"/>
          <w:szCs w:val="44"/>
        </w:rPr>
        <w:t>（封面）</w:t>
      </w:r>
    </w:p>
    <w:p>
      <w:pPr>
        <w:spacing w:line="360" w:lineRule="auto"/>
        <w:jc w:val="center"/>
        <w:outlineLvl w:val="0"/>
        <w:rPr>
          <w:rFonts w:ascii="仿宋" w:hAnsi="仿宋" w:eastAsia="仿宋" w:cs="仿宋"/>
          <w:b/>
          <w:kern w:val="0"/>
          <w:sz w:val="36"/>
          <w:szCs w:val="36"/>
        </w:rPr>
      </w:pPr>
    </w:p>
    <w:p>
      <w:pPr>
        <w:shd w:val="clear" w:color="auto" w:fill="FFFFFF"/>
        <w:snapToGrid w:val="0"/>
        <w:spacing w:line="360" w:lineRule="auto"/>
        <w:jc w:val="center"/>
        <w:outlineLvl w:val="0"/>
        <w:rPr>
          <w:rFonts w:ascii="仿宋" w:hAnsi="仿宋" w:eastAsia="仿宋" w:cs="仿宋"/>
          <w:b/>
          <w:bCs/>
          <w:color w:val="000000"/>
          <w:sz w:val="36"/>
          <w:szCs w:val="36"/>
        </w:rPr>
      </w:pPr>
      <w:r>
        <w:rPr>
          <w:rFonts w:hint="eastAsia" w:ascii="仿宋" w:hAnsi="仿宋" w:eastAsia="仿宋" w:cs="仿宋"/>
          <w:b/>
          <w:bCs/>
          <w:color w:val="000000"/>
          <w:sz w:val="36"/>
          <w:szCs w:val="36"/>
        </w:rPr>
        <w:t xml:space="preserve"> （项目名称）</w:t>
      </w:r>
    </w:p>
    <w:p>
      <w:pPr>
        <w:shd w:val="clear" w:color="auto" w:fill="FFFFFF"/>
        <w:snapToGrid w:val="0"/>
        <w:spacing w:line="360" w:lineRule="auto"/>
        <w:jc w:val="center"/>
        <w:outlineLvl w:val="0"/>
        <w:rPr>
          <w:rFonts w:ascii="仿宋" w:hAnsi="仿宋" w:eastAsia="仿宋" w:cs="仿宋"/>
          <w:b/>
          <w:bCs/>
          <w:color w:val="000000"/>
          <w:sz w:val="52"/>
          <w:szCs w:val="52"/>
        </w:rPr>
      </w:pPr>
      <w:bookmarkStart w:id="413" w:name="_Toc105"/>
      <w:r>
        <w:rPr>
          <w:rFonts w:hint="eastAsia" w:ascii="仿宋" w:hAnsi="仿宋" w:eastAsia="仿宋" w:cs="仿宋"/>
          <w:b/>
          <w:bCs/>
          <w:color w:val="000000"/>
          <w:sz w:val="52"/>
          <w:szCs w:val="52"/>
        </w:rPr>
        <w:t>报 价 文 件</w:t>
      </w:r>
      <w:bookmarkEnd w:id="413"/>
    </w:p>
    <w:p>
      <w:pPr>
        <w:widowControl/>
        <w:spacing w:line="360" w:lineRule="auto"/>
        <w:ind w:right="-2"/>
        <w:jc w:val="center"/>
        <w:outlineLvl w:val="1"/>
        <w:rPr>
          <w:rFonts w:ascii="仿宋" w:hAnsi="仿宋" w:eastAsia="仿宋" w:cs="仿宋"/>
          <w:b/>
          <w:color w:val="000000"/>
          <w:sz w:val="36"/>
          <w:szCs w:val="36"/>
        </w:rPr>
      </w:pPr>
      <w:bookmarkStart w:id="414" w:name="_Toc22501"/>
      <w:r>
        <w:rPr>
          <w:rFonts w:hint="eastAsia" w:ascii="仿宋" w:hAnsi="仿宋" w:eastAsia="仿宋" w:cs="仿宋"/>
          <w:b/>
          <w:color w:val="000000"/>
          <w:sz w:val="36"/>
          <w:szCs w:val="36"/>
        </w:rPr>
        <w:t>（线上电子招投标）</w:t>
      </w:r>
      <w:bookmarkEnd w:id="414"/>
    </w:p>
    <w:p>
      <w:pPr>
        <w:shd w:val="clear" w:color="auto" w:fill="FFFFFF"/>
        <w:snapToGrid w:val="0"/>
        <w:spacing w:line="360" w:lineRule="auto"/>
        <w:jc w:val="center"/>
        <w:outlineLvl w:val="1"/>
        <w:rPr>
          <w:rFonts w:ascii="仿宋" w:hAnsi="仿宋" w:eastAsia="仿宋" w:cs="仿宋"/>
          <w:b/>
          <w:bCs/>
          <w:color w:val="000000"/>
          <w:sz w:val="36"/>
          <w:szCs w:val="36"/>
        </w:rPr>
      </w:pPr>
      <w:bookmarkStart w:id="415" w:name="_Toc13670"/>
    </w:p>
    <w:p>
      <w:pPr>
        <w:shd w:val="clear" w:color="auto" w:fill="FFFFFF"/>
        <w:snapToGrid w:val="0"/>
        <w:spacing w:line="360" w:lineRule="auto"/>
        <w:jc w:val="center"/>
        <w:outlineLvl w:val="1"/>
        <w:rPr>
          <w:rFonts w:ascii="仿宋" w:hAnsi="仿宋" w:eastAsia="仿宋" w:cs="仿宋"/>
          <w:b/>
          <w:bCs/>
          <w:color w:val="000000"/>
          <w:sz w:val="36"/>
          <w:szCs w:val="36"/>
        </w:rPr>
      </w:pPr>
      <w:r>
        <w:rPr>
          <w:rFonts w:hint="eastAsia" w:ascii="仿宋" w:hAnsi="仿宋" w:eastAsia="仿宋" w:cs="仿宋"/>
          <w:b/>
          <w:bCs/>
          <w:color w:val="000000"/>
          <w:sz w:val="36"/>
          <w:szCs w:val="36"/>
        </w:rPr>
        <w:t xml:space="preserve">  招标编号：</w:t>
      </w:r>
      <w:bookmarkEnd w:id="415"/>
      <w:r>
        <w:rPr>
          <w:rFonts w:hint="eastAsia" w:ascii="仿宋" w:hAnsi="仿宋" w:eastAsia="仿宋" w:cs="仿宋"/>
          <w:b/>
          <w:bCs/>
          <w:color w:val="000000"/>
          <w:sz w:val="36"/>
          <w:szCs w:val="36"/>
        </w:rPr>
        <w:t xml:space="preserve">YHZFCG2023- </w:t>
      </w:r>
    </w:p>
    <w:p>
      <w:pPr>
        <w:snapToGrid w:val="0"/>
        <w:spacing w:line="360" w:lineRule="auto"/>
        <w:jc w:val="center"/>
        <w:rPr>
          <w:rFonts w:ascii="仿宋" w:hAnsi="仿宋" w:eastAsia="仿宋" w:cs="仿宋"/>
          <w:color w:val="000000"/>
          <w:sz w:val="44"/>
          <w:szCs w:val="44"/>
        </w:rPr>
      </w:pPr>
      <w:r>
        <w:rPr>
          <w:rFonts w:hint="eastAsia" w:ascii="仿宋" w:hAnsi="仿宋" w:eastAsia="仿宋" w:cs="仿宋"/>
          <w:color w:val="000000"/>
          <w:sz w:val="44"/>
          <w:szCs w:val="44"/>
        </w:rPr>
        <w:t>投</w:t>
      </w:r>
    </w:p>
    <w:p>
      <w:pPr>
        <w:snapToGrid w:val="0"/>
        <w:spacing w:line="360" w:lineRule="auto"/>
        <w:jc w:val="center"/>
        <w:rPr>
          <w:rFonts w:ascii="仿宋" w:hAnsi="仿宋" w:eastAsia="仿宋" w:cs="仿宋"/>
          <w:color w:val="000000"/>
          <w:sz w:val="44"/>
          <w:szCs w:val="44"/>
        </w:rPr>
      </w:pPr>
      <w:r>
        <w:rPr>
          <w:rFonts w:hint="eastAsia" w:ascii="仿宋" w:hAnsi="仿宋" w:eastAsia="仿宋" w:cs="仿宋"/>
          <w:color w:val="000000"/>
          <w:sz w:val="44"/>
          <w:szCs w:val="44"/>
        </w:rPr>
        <w:t>标</w:t>
      </w:r>
    </w:p>
    <w:p>
      <w:pPr>
        <w:snapToGrid w:val="0"/>
        <w:spacing w:line="360" w:lineRule="auto"/>
        <w:jc w:val="center"/>
        <w:rPr>
          <w:rFonts w:ascii="仿宋" w:hAnsi="仿宋" w:eastAsia="仿宋" w:cs="仿宋"/>
          <w:color w:val="000000"/>
          <w:sz w:val="44"/>
          <w:szCs w:val="44"/>
        </w:rPr>
      </w:pPr>
      <w:r>
        <w:rPr>
          <w:rFonts w:hint="eastAsia" w:ascii="仿宋" w:hAnsi="仿宋" w:eastAsia="仿宋" w:cs="仿宋"/>
          <w:color w:val="000000"/>
          <w:sz w:val="44"/>
          <w:szCs w:val="44"/>
        </w:rPr>
        <w:t>文</w:t>
      </w:r>
    </w:p>
    <w:p>
      <w:pPr>
        <w:snapToGrid w:val="0"/>
        <w:spacing w:line="360" w:lineRule="auto"/>
        <w:jc w:val="center"/>
        <w:rPr>
          <w:rFonts w:ascii="仿宋" w:hAnsi="仿宋" w:eastAsia="仿宋" w:cs="仿宋"/>
          <w:color w:val="000000"/>
          <w:sz w:val="44"/>
          <w:szCs w:val="44"/>
        </w:rPr>
      </w:pPr>
      <w:r>
        <w:rPr>
          <w:rFonts w:hint="eastAsia" w:ascii="仿宋" w:hAnsi="仿宋" w:eastAsia="仿宋" w:cs="仿宋"/>
          <w:color w:val="000000"/>
          <w:sz w:val="44"/>
          <w:szCs w:val="44"/>
        </w:rPr>
        <w:t>件</w:t>
      </w:r>
    </w:p>
    <w:p>
      <w:pPr>
        <w:snapToGrid w:val="0"/>
        <w:spacing w:line="360" w:lineRule="auto"/>
        <w:ind w:firstLine="1680" w:firstLineChars="600"/>
        <w:rPr>
          <w:rFonts w:ascii="仿宋" w:hAnsi="仿宋" w:eastAsia="仿宋" w:cs="仿宋"/>
          <w:color w:val="000000"/>
          <w:sz w:val="28"/>
          <w:szCs w:val="28"/>
        </w:rPr>
      </w:pPr>
    </w:p>
    <w:p>
      <w:pPr>
        <w:snapToGrid w:val="0"/>
        <w:spacing w:line="360" w:lineRule="auto"/>
        <w:ind w:firstLine="1680" w:firstLineChars="600"/>
        <w:rPr>
          <w:rFonts w:ascii="仿宋" w:hAnsi="仿宋" w:eastAsia="仿宋" w:cs="仿宋"/>
          <w:color w:val="000000"/>
          <w:sz w:val="28"/>
          <w:szCs w:val="28"/>
        </w:rPr>
      </w:pPr>
      <w:r>
        <w:rPr>
          <w:rFonts w:hint="eastAsia" w:ascii="仿宋" w:hAnsi="仿宋" w:eastAsia="仿宋" w:cs="仿宋"/>
          <w:color w:val="000000"/>
          <w:sz w:val="28"/>
          <w:szCs w:val="28"/>
        </w:rPr>
        <w:t>投标人全称：（单位公章或电子公章）</w:t>
      </w:r>
    </w:p>
    <w:p>
      <w:pPr>
        <w:snapToGrid w:val="0"/>
        <w:spacing w:line="360" w:lineRule="auto"/>
        <w:ind w:firstLine="1680" w:firstLineChars="600"/>
        <w:rPr>
          <w:rFonts w:ascii="仿宋" w:hAnsi="仿宋" w:eastAsia="仿宋" w:cs="仿宋"/>
          <w:color w:val="000000"/>
          <w:sz w:val="28"/>
          <w:szCs w:val="28"/>
        </w:rPr>
      </w:pPr>
      <w:r>
        <w:rPr>
          <w:rFonts w:hint="eastAsia" w:ascii="仿宋" w:hAnsi="仿宋" w:eastAsia="仿宋" w:cs="仿宋"/>
          <w:color w:val="000000"/>
          <w:sz w:val="28"/>
          <w:szCs w:val="28"/>
        </w:rPr>
        <w:t>投标人地址：</w:t>
      </w:r>
    </w:p>
    <w:p>
      <w:pPr>
        <w:snapToGrid w:val="0"/>
        <w:spacing w:line="360" w:lineRule="auto"/>
        <w:jc w:val="center"/>
        <w:rPr>
          <w:rFonts w:ascii="仿宋" w:hAnsi="仿宋" w:eastAsia="仿宋" w:cs="仿宋"/>
          <w:b/>
          <w:bCs/>
          <w:color w:val="000000"/>
          <w:kern w:val="0"/>
          <w:sz w:val="28"/>
          <w:szCs w:val="28"/>
        </w:rPr>
      </w:pPr>
      <w:r>
        <w:rPr>
          <w:rFonts w:hint="eastAsia" w:ascii="仿宋" w:hAnsi="仿宋" w:eastAsia="仿宋" w:cs="仿宋"/>
          <w:color w:val="000000"/>
          <w:sz w:val="28"/>
          <w:szCs w:val="28"/>
        </w:rPr>
        <w:t>年   月   日</w:t>
      </w:r>
    </w:p>
    <w:p>
      <w:pPr>
        <w:pageBreakBefore/>
        <w:shd w:val="clear" w:color="auto" w:fill="FFFFFF"/>
        <w:snapToGrid w:val="0"/>
        <w:spacing w:line="360" w:lineRule="auto"/>
        <w:jc w:val="center"/>
        <w:rPr>
          <w:rFonts w:ascii="仿宋" w:hAnsi="仿宋" w:eastAsia="仿宋" w:cs="仿宋"/>
          <w:b/>
          <w:bCs/>
          <w:color w:val="000000"/>
          <w:kern w:val="0"/>
          <w:sz w:val="32"/>
          <w:szCs w:val="32"/>
        </w:rPr>
        <w:sectPr>
          <w:headerReference r:id="rId13" w:type="default"/>
          <w:footerReference r:id="rId14" w:type="default"/>
          <w:pgSz w:w="11906" w:h="16838"/>
          <w:pgMar w:top="993" w:right="1474" w:bottom="1134" w:left="1474" w:header="851" w:footer="641" w:gutter="0"/>
          <w:cols w:space="720" w:num="1"/>
          <w:docGrid w:type="lines" w:linePitch="315" w:charSpace="0"/>
        </w:sectPr>
      </w:pPr>
    </w:p>
    <w:p>
      <w:pPr>
        <w:spacing w:line="360" w:lineRule="auto"/>
        <w:jc w:val="center"/>
        <w:outlineLvl w:val="0"/>
        <w:rPr>
          <w:rFonts w:ascii="仿宋" w:hAnsi="仿宋" w:eastAsia="仿宋" w:cs="仿宋"/>
          <w:b/>
          <w:kern w:val="0"/>
          <w:sz w:val="36"/>
          <w:szCs w:val="36"/>
        </w:rPr>
      </w:pPr>
    </w:p>
    <w:p>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报价文件部分</w:t>
      </w:r>
    </w:p>
    <w:p>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pPr>
        <w:pStyle w:val="2"/>
        <w:ind w:left="0" w:firstLine="0"/>
        <w:rPr>
          <w:rFonts w:ascii="仿宋" w:eastAsia="仿宋" w:cs="仿宋"/>
          <w:lang w:val="en-US"/>
        </w:rPr>
      </w:pPr>
    </w:p>
    <w:p>
      <w:pPr>
        <w:spacing w:line="360" w:lineRule="auto"/>
        <w:jc w:val="center"/>
        <w:outlineLvl w:val="0"/>
        <w:rPr>
          <w:rFonts w:ascii="仿宋" w:hAnsi="仿宋" w:eastAsia="仿宋" w:cs="仿宋"/>
          <w:b/>
          <w:kern w:val="0"/>
          <w:sz w:val="36"/>
          <w:szCs w:val="36"/>
        </w:rPr>
      </w:pPr>
    </w:p>
    <w:p>
      <w:pPr>
        <w:snapToGrid w:val="0"/>
        <w:spacing w:line="360" w:lineRule="auto"/>
        <w:rPr>
          <w:rFonts w:ascii="仿宋" w:hAnsi="仿宋" w:eastAsia="仿宋" w:cs="仿宋"/>
          <w:sz w:val="24"/>
        </w:rPr>
      </w:pPr>
      <w:r>
        <w:rPr>
          <w:rFonts w:hint="eastAsia" w:ascii="仿宋" w:hAnsi="仿宋" w:eastAsia="仿宋" w:cs="仿宋"/>
          <w:sz w:val="24"/>
        </w:rPr>
        <w:t>（1）开标一览表（报价表）………………………………………………………（页码）</w:t>
      </w: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snapToGrid w:val="0"/>
        <w:spacing w:line="360" w:lineRule="auto"/>
        <w:ind w:right="480"/>
        <w:jc w:val="center"/>
        <w:rPr>
          <w:rFonts w:ascii="仿宋" w:hAnsi="仿宋" w:eastAsia="仿宋" w:cs="仿宋"/>
          <w:b/>
          <w:kern w:val="0"/>
          <w:sz w:val="32"/>
          <w:szCs w:val="32"/>
        </w:rPr>
      </w:pPr>
    </w:p>
    <w:p>
      <w:pPr>
        <w:pStyle w:val="385"/>
        <w:tabs>
          <w:tab w:val="clear" w:pos="720"/>
        </w:tabs>
        <w:snapToGrid w:val="0"/>
        <w:spacing w:before="120" w:after="120"/>
        <w:ind w:firstLine="643"/>
        <w:outlineLvl w:val="9"/>
        <w:rPr>
          <w:rFonts w:ascii="仿宋" w:hAnsi="仿宋" w:eastAsia="仿宋" w:cs="仿宋"/>
          <w:kern w:val="2"/>
          <w:sz w:val="32"/>
          <w:szCs w:val="32"/>
        </w:rPr>
        <w:sectPr>
          <w:headerReference r:id="rId16" w:type="first"/>
          <w:footerReference r:id="rId18" w:type="first"/>
          <w:headerReference r:id="rId15" w:type="default"/>
          <w:footerReference r:id="rId17" w:type="default"/>
          <w:pgSz w:w="11906" w:h="16838"/>
          <w:pgMar w:top="1276" w:right="1418" w:bottom="1247" w:left="1418" w:header="851" w:footer="992" w:gutter="0"/>
          <w:cols w:space="720" w:num="1"/>
          <w:titlePg/>
          <w:docGrid w:linePitch="312" w:charSpace="0"/>
        </w:sectPr>
      </w:pPr>
    </w:p>
    <w:p>
      <w:pPr>
        <w:pStyle w:val="385"/>
        <w:tabs>
          <w:tab w:val="clear" w:pos="720"/>
        </w:tabs>
        <w:snapToGrid w:val="0"/>
        <w:spacing w:before="120" w:after="120"/>
        <w:ind w:firstLine="643"/>
        <w:outlineLvl w:val="9"/>
        <w:rPr>
          <w:rFonts w:ascii="仿宋" w:hAnsi="仿宋" w:eastAsia="仿宋" w:cs="仿宋"/>
          <w:kern w:val="2"/>
          <w:sz w:val="32"/>
          <w:szCs w:val="32"/>
        </w:rPr>
      </w:pPr>
      <w:r>
        <w:rPr>
          <w:rFonts w:hint="eastAsia" w:ascii="仿宋" w:hAnsi="仿宋" w:eastAsia="仿宋" w:cs="仿宋"/>
          <w:kern w:val="2"/>
          <w:sz w:val="32"/>
          <w:szCs w:val="32"/>
        </w:rPr>
        <w:t>一、开标一览表（报价表）</w:t>
      </w:r>
    </w:p>
    <w:p>
      <w:pPr>
        <w:snapToGrid w:val="0"/>
        <w:spacing w:line="360" w:lineRule="auto"/>
        <w:rPr>
          <w:rFonts w:hint="eastAsia" w:ascii="仿宋" w:hAnsi="仿宋" w:eastAsia="仿宋" w:cs="仿宋"/>
          <w:sz w:val="24"/>
        </w:rPr>
      </w:pPr>
    </w:p>
    <w:p>
      <w:pPr>
        <w:snapToGrid w:val="0"/>
        <w:spacing w:line="360" w:lineRule="auto"/>
        <w:rPr>
          <w:rFonts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snapToGrid w:val="0"/>
        <w:spacing w:line="360" w:lineRule="auto"/>
        <w:ind w:firstLine="482"/>
        <w:rPr>
          <w:rFonts w:ascii="仿宋" w:hAnsi="仿宋" w:eastAsia="仿宋" w:cs="仿宋"/>
          <w:kern w:val="0"/>
          <w:sz w:val="24"/>
          <w:lang w:val="zh-CN"/>
        </w:rPr>
      </w:pPr>
      <w:r>
        <w:rPr>
          <w:rFonts w:hint="eastAsia" w:ascii="仿宋" w:hAnsi="仿宋" w:eastAsia="仿宋" w:cs="仿宋"/>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sz w:val="24"/>
        </w:rPr>
        <w:t>（临平区星桥中学食堂厨房设备采购）</w:t>
      </w:r>
      <w:r>
        <w:rPr>
          <w:rFonts w:hint="eastAsia" w:ascii="仿宋" w:hAnsi="仿宋" w:eastAsia="仿宋" w:cs="仿宋"/>
          <w:kern w:val="0"/>
          <w:sz w:val="24"/>
          <w:lang w:val="zh-CN"/>
        </w:rPr>
        <w:t>【招标编号：</w:t>
      </w:r>
      <w:r>
        <w:rPr>
          <w:rFonts w:hint="eastAsia" w:ascii="仿宋" w:hAnsi="仿宋" w:eastAsia="仿宋" w:cs="仿宋"/>
          <w:sz w:val="24"/>
        </w:rPr>
        <w:t>（YHZFCG2023-015）】的实施</w:t>
      </w:r>
      <w:r>
        <w:rPr>
          <w:rFonts w:hint="eastAsia" w:ascii="仿宋" w:hAnsi="仿宋" w:eastAsia="仿宋" w:cs="仿宋"/>
          <w:kern w:val="0"/>
          <w:sz w:val="24"/>
          <w:lang w:val="zh-CN"/>
        </w:rPr>
        <w:t>。</w:t>
      </w:r>
    </w:p>
    <w:p>
      <w:pPr>
        <w:spacing w:line="360" w:lineRule="auto"/>
        <w:jc w:val="center"/>
        <w:rPr>
          <w:rFonts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63"/>
        <w:tblW w:w="96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871"/>
        <w:gridCol w:w="2067"/>
        <w:gridCol w:w="658"/>
        <w:gridCol w:w="1033"/>
        <w:gridCol w:w="1315"/>
        <w:gridCol w:w="20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644"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序号</w:t>
            </w:r>
          </w:p>
        </w:tc>
        <w:tc>
          <w:tcPr>
            <w:tcW w:w="1871"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名称</w:t>
            </w:r>
          </w:p>
        </w:tc>
        <w:tc>
          <w:tcPr>
            <w:tcW w:w="2067"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规格型号</w:t>
            </w:r>
          </w:p>
        </w:tc>
        <w:tc>
          <w:tcPr>
            <w:tcW w:w="658"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数量</w:t>
            </w:r>
          </w:p>
        </w:tc>
        <w:tc>
          <w:tcPr>
            <w:tcW w:w="1033"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单价</w:t>
            </w:r>
          </w:p>
        </w:tc>
        <w:tc>
          <w:tcPr>
            <w:tcW w:w="1315"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总价</w:t>
            </w:r>
          </w:p>
        </w:tc>
        <w:tc>
          <w:tcPr>
            <w:tcW w:w="2068" w:type="dxa"/>
            <w:vAlign w:val="center"/>
          </w:tcPr>
          <w:p>
            <w:pPr>
              <w:spacing w:line="360" w:lineRule="auto"/>
              <w:jc w:val="center"/>
              <w:rPr>
                <w:rFonts w:ascii="仿宋" w:hAnsi="仿宋" w:eastAsia="仿宋" w:cs="仿宋"/>
                <w:b/>
                <w:sz w:val="24"/>
              </w:rPr>
            </w:pPr>
            <w:r>
              <w:rPr>
                <w:rFonts w:hint="eastAsia" w:ascii="仿宋" w:hAnsi="仿宋" w:eastAsia="仿宋" w:cs="仿宋"/>
                <w:b/>
                <w:sz w:val="24"/>
              </w:rPr>
              <w:t>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44" w:type="dxa"/>
            <w:vAlign w:val="center"/>
          </w:tcPr>
          <w:p>
            <w:pPr>
              <w:spacing w:line="360" w:lineRule="auto"/>
              <w:jc w:val="center"/>
              <w:rPr>
                <w:rFonts w:ascii="仿宋" w:hAnsi="仿宋" w:eastAsia="仿宋" w:cs="仿宋"/>
                <w:sz w:val="24"/>
              </w:rPr>
            </w:pPr>
            <w:r>
              <w:rPr>
                <w:rFonts w:hint="eastAsia" w:ascii="仿宋" w:hAnsi="仿宋" w:eastAsia="仿宋" w:cs="仿宋"/>
                <w:sz w:val="24"/>
              </w:rPr>
              <w:t>1</w:t>
            </w:r>
          </w:p>
        </w:tc>
        <w:tc>
          <w:tcPr>
            <w:tcW w:w="1871" w:type="dxa"/>
            <w:vAlign w:val="center"/>
          </w:tcPr>
          <w:p>
            <w:pPr>
              <w:snapToGrid w:val="0"/>
              <w:spacing w:line="360" w:lineRule="auto"/>
              <w:jc w:val="center"/>
              <w:rPr>
                <w:rFonts w:ascii="仿宋" w:hAnsi="仿宋" w:eastAsia="仿宋" w:cs="仿宋"/>
                <w:sz w:val="24"/>
              </w:rPr>
            </w:pPr>
          </w:p>
        </w:tc>
        <w:tc>
          <w:tcPr>
            <w:tcW w:w="2067" w:type="dxa"/>
            <w:vAlign w:val="center"/>
          </w:tcPr>
          <w:p>
            <w:pPr>
              <w:snapToGrid w:val="0"/>
              <w:spacing w:line="360" w:lineRule="auto"/>
              <w:jc w:val="center"/>
              <w:rPr>
                <w:rFonts w:ascii="仿宋" w:hAnsi="仿宋" w:eastAsia="仿宋" w:cs="仿宋"/>
                <w:sz w:val="24"/>
              </w:rPr>
            </w:pPr>
          </w:p>
        </w:tc>
        <w:tc>
          <w:tcPr>
            <w:tcW w:w="658" w:type="dxa"/>
            <w:vAlign w:val="center"/>
          </w:tcPr>
          <w:p>
            <w:pPr>
              <w:snapToGrid w:val="0"/>
              <w:spacing w:line="360" w:lineRule="auto"/>
              <w:jc w:val="center"/>
              <w:rPr>
                <w:rFonts w:ascii="仿宋" w:hAnsi="仿宋" w:eastAsia="仿宋" w:cs="仿宋"/>
                <w:sz w:val="24"/>
              </w:rPr>
            </w:pPr>
          </w:p>
        </w:tc>
        <w:tc>
          <w:tcPr>
            <w:tcW w:w="1033" w:type="dxa"/>
            <w:vAlign w:val="center"/>
          </w:tcPr>
          <w:p>
            <w:pPr>
              <w:spacing w:line="360" w:lineRule="auto"/>
              <w:jc w:val="center"/>
              <w:rPr>
                <w:rFonts w:ascii="仿宋" w:hAnsi="仿宋" w:eastAsia="仿宋" w:cs="仿宋"/>
                <w:sz w:val="24"/>
              </w:rPr>
            </w:pPr>
          </w:p>
        </w:tc>
        <w:tc>
          <w:tcPr>
            <w:tcW w:w="1315" w:type="dxa"/>
            <w:vAlign w:val="center"/>
          </w:tcPr>
          <w:p>
            <w:pPr>
              <w:spacing w:line="360" w:lineRule="auto"/>
              <w:jc w:val="center"/>
              <w:rPr>
                <w:rFonts w:ascii="仿宋" w:hAnsi="仿宋" w:eastAsia="仿宋" w:cs="仿宋"/>
                <w:sz w:val="24"/>
              </w:rPr>
            </w:pPr>
          </w:p>
        </w:tc>
        <w:tc>
          <w:tcPr>
            <w:tcW w:w="2068"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44" w:type="dxa"/>
            <w:vAlign w:val="center"/>
          </w:tcPr>
          <w:p>
            <w:pPr>
              <w:spacing w:line="360" w:lineRule="auto"/>
              <w:jc w:val="center"/>
              <w:rPr>
                <w:rFonts w:ascii="仿宋" w:hAnsi="仿宋" w:eastAsia="仿宋" w:cs="仿宋"/>
                <w:sz w:val="24"/>
              </w:rPr>
            </w:pPr>
            <w:r>
              <w:rPr>
                <w:rFonts w:hint="eastAsia" w:ascii="仿宋" w:hAnsi="仿宋" w:eastAsia="仿宋" w:cs="仿宋"/>
                <w:sz w:val="24"/>
              </w:rPr>
              <w:t>2</w:t>
            </w:r>
          </w:p>
        </w:tc>
        <w:tc>
          <w:tcPr>
            <w:tcW w:w="1871" w:type="dxa"/>
            <w:vAlign w:val="center"/>
          </w:tcPr>
          <w:p>
            <w:pPr>
              <w:snapToGrid w:val="0"/>
              <w:spacing w:line="360" w:lineRule="auto"/>
              <w:jc w:val="center"/>
              <w:rPr>
                <w:rFonts w:ascii="仿宋" w:hAnsi="仿宋" w:eastAsia="仿宋" w:cs="仿宋"/>
                <w:sz w:val="24"/>
              </w:rPr>
            </w:pPr>
          </w:p>
        </w:tc>
        <w:tc>
          <w:tcPr>
            <w:tcW w:w="2067" w:type="dxa"/>
            <w:vAlign w:val="center"/>
          </w:tcPr>
          <w:p>
            <w:pPr>
              <w:snapToGrid w:val="0"/>
              <w:spacing w:line="360" w:lineRule="auto"/>
              <w:jc w:val="center"/>
              <w:rPr>
                <w:rFonts w:ascii="仿宋" w:hAnsi="仿宋" w:eastAsia="仿宋" w:cs="仿宋"/>
                <w:sz w:val="24"/>
              </w:rPr>
            </w:pPr>
          </w:p>
        </w:tc>
        <w:tc>
          <w:tcPr>
            <w:tcW w:w="658" w:type="dxa"/>
            <w:vAlign w:val="center"/>
          </w:tcPr>
          <w:p>
            <w:pPr>
              <w:snapToGrid w:val="0"/>
              <w:spacing w:line="360" w:lineRule="auto"/>
              <w:jc w:val="center"/>
              <w:rPr>
                <w:rFonts w:ascii="仿宋" w:hAnsi="仿宋" w:eastAsia="仿宋" w:cs="仿宋"/>
                <w:sz w:val="24"/>
              </w:rPr>
            </w:pPr>
          </w:p>
        </w:tc>
        <w:tc>
          <w:tcPr>
            <w:tcW w:w="1033" w:type="dxa"/>
            <w:vAlign w:val="center"/>
          </w:tcPr>
          <w:p>
            <w:pPr>
              <w:spacing w:line="360" w:lineRule="auto"/>
              <w:jc w:val="center"/>
              <w:rPr>
                <w:rFonts w:ascii="仿宋" w:hAnsi="仿宋" w:eastAsia="仿宋" w:cs="仿宋"/>
                <w:sz w:val="24"/>
              </w:rPr>
            </w:pPr>
          </w:p>
        </w:tc>
        <w:tc>
          <w:tcPr>
            <w:tcW w:w="1315" w:type="dxa"/>
            <w:vAlign w:val="center"/>
          </w:tcPr>
          <w:p>
            <w:pPr>
              <w:spacing w:line="360" w:lineRule="auto"/>
              <w:jc w:val="center"/>
              <w:rPr>
                <w:rFonts w:ascii="仿宋" w:hAnsi="仿宋" w:eastAsia="仿宋" w:cs="仿宋"/>
                <w:sz w:val="24"/>
              </w:rPr>
            </w:pPr>
          </w:p>
        </w:tc>
        <w:tc>
          <w:tcPr>
            <w:tcW w:w="2068"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44" w:type="dxa"/>
            <w:vAlign w:val="center"/>
          </w:tcPr>
          <w:p>
            <w:pPr>
              <w:spacing w:line="360" w:lineRule="auto"/>
              <w:jc w:val="center"/>
              <w:rPr>
                <w:rFonts w:ascii="仿宋" w:hAnsi="仿宋" w:eastAsia="仿宋" w:cs="仿宋"/>
                <w:sz w:val="24"/>
              </w:rPr>
            </w:pPr>
            <w:r>
              <w:rPr>
                <w:rFonts w:hint="eastAsia" w:ascii="仿宋" w:hAnsi="仿宋" w:eastAsia="仿宋" w:cs="仿宋"/>
                <w:sz w:val="24"/>
              </w:rPr>
              <w:t>…</w:t>
            </w:r>
          </w:p>
        </w:tc>
        <w:tc>
          <w:tcPr>
            <w:tcW w:w="1871" w:type="dxa"/>
            <w:vAlign w:val="center"/>
          </w:tcPr>
          <w:p>
            <w:pPr>
              <w:snapToGrid w:val="0"/>
              <w:spacing w:line="360" w:lineRule="auto"/>
              <w:jc w:val="center"/>
              <w:rPr>
                <w:rFonts w:ascii="仿宋" w:hAnsi="仿宋" w:eastAsia="仿宋" w:cs="仿宋"/>
                <w:sz w:val="24"/>
              </w:rPr>
            </w:pPr>
          </w:p>
        </w:tc>
        <w:tc>
          <w:tcPr>
            <w:tcW w:w="2067" w:type="dxa"/>
            <w:vAlign w:val="center"/>
          </w:tcPr>
          <w:p>
            <w:pPr>
              <w:snapToGrid w:val="0"/>
              <w:spacing w:line="360" w:lineRule="auto"/>
              <w:jc w:val="center"/>
              <w:rPr>
                <w:rFonts w:ascii="仿宋" w:hAnsi="仿宋" w:eastAsia="仿宋" w:cs="仿宋"/>
                <w:sz w:val="24"/>
              </w:rPr>
            </w:pPr>
          </w:p>
        </w:tc>
        <w:tc>
          <w:tcPr>
            <w:tcW w:w="658" w:type="dxa"/>
            <w:vAlign w:val="center"/>
          </w:tcPr>
          <w:p>
            <w:pPr>
              <w:snapToGrid w:val="0"/>
              <w:spacing w:line="360" w:lineRule="auto"/>
              <w:jc w:val="center"/>
              <w:rPr>
                <w:rFonts w:ascii="仿宋" w:hAnsi="仿宋" w:eastAsia="仿宋" w:cs="仿宋"/>
                <w:sz w:val="24"/>
              </w:rPr>
            </w:pPr>
          </w:p>
        </w:tc>
        <w:tc>
          <w:tcPr>
            <w:tcW w:w="1033" w:type="dxa"/>
            <w:vAlign w:val="center"/>
          </w:tcPr>
          <w:p>
            <w:pPr>
              <w:spacing w:line="360" w:lineRule="auto"/>
              <w:jc w:val="center"/>
              <w:rPr>
                <w:rFonts w:ascii="仿宋" w:hAnsi="仿宋" w:eastAsia="仿宋" w:cs="仿宋"/>
                <w:sz w:val="24"/>
              </w:rPr>
            </w:pPr>
          </w:p>
        </w:tc>
        <w:tc>
          <w:tcPr>
            <w:tcW w:w="1315" w:type="dxa"/>
            <w:vAlign w:val="center"/>
          </w:tcPr>
          <w:p>
            <w:pPr>
              <w:spacing w:line="360" w:lineRule="auto"/>
              <w:jc w:val="center"/>
              <w:rPr>
                <w:rFonts w:ascii="仿宋" w:hAnsi="仿宋" w:eastAsia="仿宋" w:cs="仿宋"/>
                <w:sz w:val="24"/>
              </w:rPr>
            </w:pPr>
          </w:p>
        </w:tc>
        <w:tc>
          <w:tcPr>
            <w:tcW w:w="2068"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44" w:type="dxa"/>
            <w:vAlign w:val="center"/>
          </w:tcPr>
          <w:p>
            <w:pPr>
              <w:spacing w:line="360" w:lineRule="auto"/>
              <w:jc w:val="center"/>
              <w:rPr>
                <w:rFonts w:hint="eastAsia" w:ascii="仿宋" w:hAnsi="仿宋" w:eastAsia="仿宋" w:cs="仿宋"/>
                <w:sz w:val="24"/>
              </w:rPr>
            </w:pPr>
          </w:p>
        </w:tc>
        <w:tc>
          <w:tcPr>
            <w:tcW w:w="1871" w:type="dxa"/>
            <w:vAlign w:val="center"/>
          </w:tcPr>
          <w:p>
            <w:pPr>
              <w:snapToGrid w:val="0"/>
              <w:spacing w:line="360" w:lineRule="auto"/>
              <w:jc w:val="center"/>
              <w:rPr>
                <w:rFonts w:ascii="仿宋" w:hAnsi="仿宋" w:eastAsia="仿宋" w:cs="仿宋"/>
                <w:sz w:val="24"/>
              </w:rPr>
            </w:pPr>
          </w:p>
        </w:tc>
        <w:tc>
          <w:tcPr>
            <w:tcW w:w="2067" w:type="dxa"/>
            <w:vAlign w:val="center"/>
          </w:tcPr>
          <w:p>
            <w:pPr>
              <w:snapToGrid w:val="0"/>
              <w:spacing w:line="360" w:lineRule="auto"/>
              <w:jc w:val="center"/>
              <w:rPr>
                <w:rFonts w:ascii="仿宋" w:hAnsi="仿宋" w:eastAsia="仿宋" w:cs="仿宋"/>
                <w:sz w:val="24"/>
              </w:rPr>
            </w:pPr>
          </w:p>
        </w:tc>
        <w:tc>
          <w:tcPr>
            <w:tcW w:w="658" w:type="dxa"/>
            <w:vAlign w:val="center"/>
          </w:tcPr>
          <w:p>
            <w:pPr>
              <w:snapToGrid w:val="0"/>
              <w:spacing w:line="360" w:lineRule="auto"/>
              <w:jc w:val="center"/>
              <w:rPr>
                <w:rFonts w:ascii="仿宋" w:hAnsi="仿宋" w:eastAsia="仿宋" w:cs="仿宋"/>
                <w:sz w:val="24"/>
              </w:rPr>
            </w:pPr>
          </w:p>
        </w:tc>
        <w:tc>
          <w:tcPr>
            <w:tcW w:w="1033" w:type="dxa"/>
            <w:vAlign w:val="center"/>
          </w:tcPr>
          <w:p>
            <w:pPr>
              <w:spacing w:line="360" w:lineRule="auto"/>
              <w:jc w:val="center"/>
              <w:rPr>
                <w:rFonts w:ascii="仿宋" w:hAnsi="仿宋" w:eastAsia="仿宋" w:cs="仿宋"/>
                <w:sz w:val="24"/>
              </w:rPr>
            </w:pPr>
          </w:p>
        </w:tc>
        <w:tc>
          <w:tcPr>
            <w:tcW w:w="1315" w:type="dxa"/>
            <w:vAlign w:val="center"/>
          </w:tcPr>
          <w:p>
            <w:pPr>
              <w:spacing w:line="360" w:lineRule="auto"/>
              <w:jc w:val="center"/>
              <w:rPr>
                <w:rFonts w:ascii="仿宋" w:hAnsi="仿宋" w:eastAsia="仿宋" w:cs="仿宋"/>
                <w:sz w:val="24"/>
              </w:rPr>
            </w:pPr>
          </w:p>
        </w:tc>
        <w:tc>
          <w:tcPr>
            <w:tcW w:w="2068"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44" w:type="dxa"/>
            <w:vAlign w:val="center"/>
          </w:tcPr>
          <w:p>
            <w:pPr>
              <w:spacing w:line="360" w:lineRule="auto"/>
              <w:jc w:val="center"/>
              <w:rPr>
                <w:rFonts w:hint="eastAsia" w:ascii="仿宋" w:hAnsi="仿宋" w:eastAsia="仿宋" w:cs="仿宋"/>
                <w:sz w:val="24"/>
              </w:rPr>
            </w:pPr>
          </w:p>
        </w:tc>
        <w:tc>
          <w:tcPr>
            <w:tcW w:w="1871" w:type="dxa"/>
            <w:vAlign w:val="center"/>
          </w:tcPr>
          <w:p>
            <w:pPr>
              <w:snapToGrid w:val="0"/>
              <w:spacing w:line="360" w:lineRule="auto"/>
              <w:jc w:val="center"/>
              <w:rPr>
                <w:rFonts w:ascii="仿宋" w:hAnsi="仿宋" w:eastAsia="仿宋" w:cs="仿宋"/>
                <w:sz w:val="24"/>
              </w:rPr>
            </w:pPr>
          </w:p>
        </w:tc>
        <w:tc>
          <w:tcPr>
            <w:tcW w:w="2067" w:type="dxa"/>
            <w:vAlign w:val="center"/>
          </w:tcPr>
          <w:p>
            <w:pPr>
              <w:snapToGrid w:val="0"/>
              <w:spacing w:line="360" w:lineRule="auto"/>
              <w:jc w:val="center"/>
              <w:rPr>
                <w:rFonts w:ascii="仿宋" w:hAnsi="仿宋" w:eastAsia="仿宋" w:cs="仿宋"/>
                <w:sz w:val="24"/>
              </w:rPr>
            </w:pPr>
          </w:p>
        </w:tc>
        <w:tc>
          <w:tcPr>
            <w:tcW w:w="658" w:type="dxa"/>
            <w:vAlign w:val="center"/>
          </w:tcPr>
          <w:p>
            <w:pPr>
              <w:snapToGrid w:val="0"/>
              <w:spacing w:line="360" w:lineRule="auto"/>
              <w:jc w:val="center"/>
              <w:rPr>
                <w:rFonts w:ascii="仿宋" w:hAnsi="仿宋" w:eastAsia="仿宋" w:cs="仿宋"/>
                <w:sz w:val="24"/>
              </w:rPr>
            </w:pPr>
          </w:p>
        </w:tc>
        <w:tc>
          <w:tcPr>
            <w:tcW w:w="1033" w:type="dxa"/>
            <w:vAlign w:val="center"/>
          </w:tcPr>
          <w:p>
            <w:pPr>
              <w:spacing w:line="360" w:lineRule="auto"/>
              <w:jc w:val="center"/>
              <w:rPr>
                <w:rFonts w:ascii="仿宋" w:hAnsi="仿宋" w:eastAsia="仿宋" w:cs="仿宋"/>
                <w:sz w:val="24"/>
              </w:rPr>
            </w:pPr>
          </w:p>
        </w:tc>
        <w:tc>
          <w:tcPr>
            <w:tcW w:w="1315" w:type="dxa"/>
            <w:vAlign w:val="center"/>
          </w:tcPr>
          <w:p>
            <w:pPr>
              <w:spacing w:line="360" w:lineRule="auto"/>
              <w:jc w:val="center"/>
              <w:rPr>
                <w:rFonts w:ascii="仿宋" w:hAnsi="仿宋" w:eastAsia="仿宋" w:cs="仿宋"/>
                <w:sz w:val="24"/>
              </w:rPr>
            </w:pPr>
          </w:p>
        </w:tc>
        <w:tc>
          <w:tcPr>
            <w:tcW w:w="2068"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44" w:type="dxa"/>
            <w:vAlign w:val="center"/>
          </w:tcPr>
          <w:p>
            <w:pPr>
              <w:spacing w:line="360" w:lineRule="auto"/>
              <w:jc w:val="center"/>
              <w:rPr>
                <w:rFonts w:hint="eastAsia" w:ascii="仿宋" w:hAnsi="仿宋" w:eastAsia="仿宋" w:cs="仿宋"/>
                <w:sz w:val="24"/>
              </w:rPr>
            </w:pPr>
          </w:p>
        </w:tc>
        <w:tc>
          <w:tcPr>
            <w:tcW w:w="1871" w:type="dxa"/>
            <w:vAlign w:val="center"/>
          </w:tcPr>
          <w:p>
            <w:pPr>
              <w:snapToGrid w:val="0"/>
              <w:spacing w:line="360" w:lineRule="auto"/>
              <w:jc w:val="center"/>
              <w:rPr>
                <w:rFonts w:ascii="仿宋" w:hAnsi="仿宋" w:eastAsia="仿宋" w:cs="仿宋"/>
                <w:sz w:val="24"/>
              </w:rPr>
            </w:pPr>
          </w:p>
        </w:tc>
        <w:tc>
          <w:tcPr>
            <w:tcW w:w="2067" w:type="dxa"/>
            <w:vAlign w:val="center"/>
          </w:tcPr>
          <w:p>
            <w:pPr>
              <w:snapToGrid w:val="0"/>
              <w:spacing w:line="360" w:lineRule="auto"/>
              <w:jc w:val="center"/>
              <w:rPr>
                <w:rFonts w:ascii="仿宋" w:hAnsi="仿宋" w:eastAsia="仿宋" w:cs="仿宋"/>
                <w:sz w:val="24"/>
              </w:rPr>
            </w:pPr>
          </w:p>
        </w:tc>
        <w:tc>
          <w:tcPr>
            <w:tcW w:w="658" w:type="dxa"/>
            <w:vAlign w:val="center"/>
          </w:tcPr>
          <w:p>
            <w:pPr>
              <w:snapToGrid w:val="0"/>
              <w:spacing w:line="360" w:lineRule="auto"/>
              <w:jc w:val="center"/>
              <w:rPr>
                <w:rFonts w:ascii="仿宋" w:hAnsi="仿宋" w:eastAsia="仿宋" w:cs="仿宋"/>
                <w:sz w:val="24"/>
              </w:rPr>
            </w:pPr>
          </w:p>
        </w:tc>
        <w:tc>
          <w:tcPr>
            <w:tcW w:w="1033" w:type="dxa"/>
            <w:vAlign w:val="center"/>
          </w:tcPr>
          <w:p>
            <w:pPr>
              <w:spacing w:line="360" w:lineRule="auto"/>
              <w:jc w:val="center"/>
              <w:rPr>
                <w:rFonts w:ascii="仿宋" w:hAnsi="仿宋" w:eastAsia="仿宋" w:cs="仿宋"/>
                <w:sz w:val="24"/>
              </w:rPr>
            </w:pPr>
          </w:p>
        </w:tc>
        <w:tc>
          <w:tcPr>
            <w:tcW w:w="1315" w:type="dxa"/>
            <w:vAlign w:val="center"/>
          </w:tcPr>
          <w:p>
            <w:pPr>
              <w:spacing w:line="360" w:lineRule="auto"/>
              <w:jc w:val="center"/>
              <w:rPr>
                <w:rFonts w:ascii="仿宋" w:hAnsi="仿宋" w:eastAsia="仿宋" w:cs="仿宋"/>
                <w:sz w:val="24"/>
              </w:rPr>
            </w:pPr>
          </w:p>
        </w:tc>
        <w:tc>
          <w:tcPr>
            <w:tcW w:w="2068" w:type="dxa"/>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4582" w:type="dxa"/>
            <w:gridSpan w:val="3"/>
            <w:vAlign w:val="center"/>
          </w:tcPr>
          <w:p>
            <w:pPr>
              <w:spacing w:line="360" w:lineRule="auto"/>
              <w:jc w:val="center"/>
              <w:rPr>
                <w:rFonts w:ascii="仿宋" w:hAnsi="仿宋" w:eastAsia="仿宋" w:cs="仿宋"/>
                <w:b/>
                <w:sz w:val="24"/>
              </w:rPr>
            </w:pPr>
            <w:r>
              <w:rPr>
                <w:rFonts w:hint="eastAsia" w:ascii="仿宋" w:hAnsi="仿宋" w:eastAsia="仿宋" w:cs="仿宋"/>
                <w:b/>
                <w:sz w:val="24"/>
              </w:rPr>
              <w:t>投标报价（小写）</w:t>
            </w:r>
          </w:p>
        </w:tc>
        <w:tc>
          <w:tcPr>
            <w:tcW w:w="5074" w:type="dxa"/>
            <w:gridSpan w:val="4"/>
            <w:vAlign w:val="center"/>
          </w:tcPr>
          <w:p>
            <w:pPr>
              <w:spacing w:line="360" w:lineRule="auto"/>
              <w:jc w:val="center"/>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4582" w:type="dxa"/>
            <w:gridSpan w:val="3"/>
            <w:vAlign w:val="center"/>
          </w:tcPr>
          <w:p>
            <w:pPr>
              <w:spacing w:line="360" w:lineRule="auto"/>
              <w:jc w:val="center"/>
              <w:rPr>
                <w:rFonts w:ascii="仿宋" w:hAnsi="仿宋" w:eastAsia="仿宋" w:cs="仿宋"/>
                <w:b/>
                <w:sz w:val="24"/>
              </w:rPr>
            </w:pPr>
            <w:r>
              <w:rPr>
                <w:rFonts w:hint="eastAsia" w:ascii="仿宋" w:hAnsi="仿宋" w:eastAsia="仿宋" w:cs="仿宋"/>
                <w:b/>
                <w:sz w:val="24"/>
              </w:rPr>
              <w:t>投标报价（大写）</w:t>
            </w:r>
          </w:p>
        </w:tc>
        <w:tc>
          <w:tcPr>
            <w:tcW w:w="5074" w:type="dxa"/>
            <w:gridSpan w:val="4"/>
            <w:vAlign w:val="center"/>
          </w:tcPr>
          <w:p>
            <w:pPr>
              <w:spacing w:line="360" w:lineRule="auto"/>
              <w:jc w:val="center"/>
              <w:rPr>
                <w:rFonts w:ascii="仿宋" w:hAnsi="仿宋" w:eastAsia="仿宋" w:cs="仿宋"/>
                <w:sz w:val="24"/>
              </w:rPr>
            </w:pPr>
          </w:p>
        </w:tc>
      </w:tr>
    </w:tbl>
    <w:p>
      <w:pPr>
        <w:numPr>
          <w:ilvl w:val="255"/>
          <w:numId w:val="0"/>
        </w:numPr>
        <w:snapToGrid w:val="0"/>
        <w:spacing w:line="360" w:lineRule="auto"/>
        <w:ind w:left="480"/>
        <w:rPr>
          <w:rFonts w:ascii="宋体" w:hAnsi="宋体" w:cs="宋体"/>
          <w:bCs/>
          <w:sz w:val="24"/>
          <w:lang w:val="zh-CN"/>
        </w:rPr>
      </w:pPr>
      <w:r>
        <w:rPr>
          <w:rFonts w:hint="eastAsia" w:ascii="仿宋" w:hAnsi="仿宋" w:eastAsia="仿宋" w:cs="仿宋"/>
          <w:b/>
          <w:kern w:val="0"/>
          <w:sz w:val="24"/>
          <w:lang w:val="zh-CN"/>
        </w:rPr>
        <w:t>注：</w:t>
      </w:r>
    </w:p>
    <w:p>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ascii="宋体" w:hAnsi="宋体" w:cs="宋体"/>
          <w:color w:val="FF0000"/>
          <w:kern w:val="0"/>
          <w:sz w:val="24"/>
          <w:lang w:val="zh-CN"/>
        </w:rPr>
      </w:pPr>
      <w:r>
        <w:rPr>
          <w:rFonts w:ascii="宋体" w:hAnsi="宋体" w:cs="宋体"/>
          <w:color w:val="FF0000"/>
          <w:kern w:val="0"/>
          <w:sz w:val="24"/>
          <w:szCs w:val="22"/>
          <w:lang w:val="zh-CN"/>
        </w:rPr>
        <w:t>4</w:t>
      </w:r>
      <w:r>
        <w:rPr>
          <w:rFonts w:hint="eastAsia" w:ascii="宋体" w:hAnsi="宋体" w:cs="宋体"/>
          <w:color w:val="FF0000"/>
          <w:kern w:val="0"/>
          <w:sz w:val="24"/>
          <w:szCs w:val="22"/>
          <w:lang w:val="zh-CN"/>
        </w:rPr>
        <w:t>、</w:t>
      </w:r>
      <w:r>
        <w:rPr>
          <w:rFonts w:hint="eastAsia" w:ascii="宋体" w:hAnsi="宋体" w:cs="宋体"/>
          <w:color w:val="FF0000"/>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autoSpaceDE w:val="0"/>
        <w:autoSpaceDN w:val="0"/>
        <w:snapToGrid w:val="0"/>
        <w:spacing w:line="360" w:lineRule="auto"/>
        <w:ind w:firstLine="5400" w:firstLineChars="2250"/>
        <w:rPr>
          <w:rFonts w:hint="eastAsia" w:ascii="仿宋" w:hAnsi="仿宋" w:eastAsia="仿宋" w:cs="仿宋"/>
          <w:color w:val="000000"/>
          <w:kern w:val="0"/>
          <w:sz w:val="24"/>
          <w:lang w:val="zh-CN"/>
        </w:rPr>
      </w:pPr>
    </w:p>
    <w:p>
      <w:pPr>
        <w:autoSpaceDE w:val="0"/>
        <w:autoSpaceDN w:val="0"/>
        <w:snapToGrid w:val="0"/>
        <w:spacing w:line="360" w:lineRule="auto"/>
        <w:ind w:firstLine="5400" w:firstLineChars="2250"/>
        <w:rPr>
          <w:rFonts w:ascii="仿宋" w:hAnsi="仿宋" w:eastAsia="仿宋" w:cs="仿宋"/>
          <w:color w:val="000000"/>
          <w:kern w:val="0"/>
          <w:sz w:val="24"/>
        </w:rPr>
      </w:pPr>
      <w:r>
        <w:rPr>
          <w:rFonts w:hint="eastAsia" w:ascii="仿宋" w:hAnsi="仿宋" w:eastAsia="仿宋" w:cs="仿宋"/>
          <w:color w:val="000000"/>
          <w:kern w:val="0"/>
          <w:sz w:val="24"/>
          <w:lang w:val="zh-CN"/>
        </w:rPr>
        <w:t xml:space="preserve">投标人名称（公章）：      </w:t>
      </w:r>
    </w:p>
    <w:p>
      <w:pPr>
        <w:spacing w:line="360" w:lineRule="auto"/>
        <w:ind w:left="5387" w:leftChars="2508" w:hanging="120" w:hangingChars="50"/>
        <w:rPr>
          <w:rFonts w:ascii="仿宋" w:hAnsi="仿宋" w:eastAsia="仿宋" w:cs="仿宋"/>
          <w:b/>
          <w:sz w:val="24"/>
          <w:szCs w:val="24"/>
        </w:rPr>
      </w:pPr>
      <w:r>
        <w:rPr>
          <w:rFonts w:hint="eastAsia" w:ascii="仿宋" w:hAnsi="仿宋" w:eastAsia="仿宋" w:cs="仿宋"/>
          <w:color w:val="000000"/>
          <w:kern w:val="0"/>
          <w:sz w:val="24"/>
          <w:lang w:val="zh-CN"/>
        </w:rPr>
        <w:t>日期：   年  月   日</w:t>
      </w:r>
    </w:p>
    <w:p>
      <w:pPr>
        <w:pStyle w:val="86"/>
        <w:ind w:firstLine="627"/>
        <w:rPr>
          <w:rFonts w:ascii="仿宋" w:hAnsi="仿宋" w:eastAsia="仿宋" w:cs="仿宋"/>
          <w:b/>
          <w:sz w:val="32"/>
          <w:szCs w:val="32"/>
        </w:rPr>
      </w:pPr>
    </w:p>
    <w:p>
      <w:pPr>
        <w:pStyle w:val="86"/>
        <w:ind w:firstLine="627"/>
        <w:rPr>
          <w:rFonts w:ascii="仿宋" w:hAnsi="仿宋" w:eastAsia="仿宋" w:cs="仿宋"/>
          <w:b/>
          <w:sz w:val="32"/>
          <w:szCs w:val="32"/>
        </w:rPr>
      </w:pPr>
    </w:p>
    <w:p>
      <w:pPr>
        <w:tabs>
          <w:tab w:val="left" w:pos="8085"/>
        </w:tabs>
        <w:spacing w:line="360" w:lineRule="auto"/>
        <w:ind w:firstLine="1285" w:firstLineChars="400"/>
        <w:jc w:val="left"/>
        <w:rPr>
          <w:rFonts w:ascii="仿宋" w:hAnsi="仿宋" w:eastAsia="仿宋" w:cs="仿宋"/>
          <w:b/>
          <w:sz w:val="32"/>
          <w:szCs w:val="32"/>
        </w:rPr>
      </w:pPr>
      <w:r>
        <w:rPr>
          <w:rFonts w:hint="eastAsia" w:ascii="仿宋" w:hAnsi="仿宋" w:eastAsia="仿宋" w:cs="仿宋"/>
          <w:b/>
          <w:sz w:val="32"/>
          <w:szCs w:val="32"/>
        </w:rPr>
        <w:t>政府采购支持中小企业信用融资相关事项通知</w:t>
      </w:r>
    </w:p>
    <w:p>
      <w:pPr>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ascii="仿宋" w:hAnsi="仿宋" w:eastAsia="仿宋" w:cs="仿宋"/>
          <w:kern w:val="0"/>
          <w:sz w:val="24"/>
          <w:lang w:val="zh-CN"/>
        </w:rPr>
      </w:pPr>
      <w:r>
        <w:rPr>
          <w:rFonts w:hint="eastAsia" w:ascii="仿宋" w:hAnsi="仿宋" w:eastAsia="仿宋" w:cs="仿宋"/>
          <w:kern w:val="0"/>
          <w:sz w:val="24"/>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ascii="仿宋" w:hAnsi="仿宋" w:eastAsia="仿宋" w:cs="仿宋"/>
          <w:b/>
          <w:sz w:val="24"/>
        </w:rPr>
      </w:pPr>
      <w:r>
        <w:rPr>
          <w:rFonts w:hint="eastAsia" w:ascii="仿宋" w:hAnsi="仿宋" w:eastAsia="仿宋" w:cs="仿宋"/>
          <w:b/>
          <w:sz w:val="24"/>
        </w:rPr>
        <w:t>一、适用对象</w:t>
      </w:r>
    </w:p>
    <w:p>
      <w:pPr>
        <w:spacing w:line="360" w:lineRule="auto"/>
        <w:ind w:firstLine="480" w:firstLineChars="200"/>
        <w:rPr>
          <w:rFonts w:ascii="仿宋" w:hAnsi="仿宋" w:eastAsia="仿宋" w:cs="仿宋"/>
          <w:sz w:val="24"/>
        </w:rPr>
      </w:pPr>
      <w:r>
        <w:rPr>
          <w:rFonts w:hint="eastAsia" w:ascii="仿宋" w:hAnsi="仿宋" w:eastAsia="仿宋" w:cs="仿宋"/>
          <w:sz w:val="24"/>
        </w:rPr>
        <w:t>凡已在浙江政府采购网上注册入库，并取得杭州市政府采购合同的中小企业供应商（以下简称“供应商”），均可申请政府采购信用融资。</w:t>
      </w:r>
    </w:p>
    <w:p>
      <w:pPr>
        <w:spacing w:line="360" w:lineRule="auto"/>
        <w:ind w:firstLine="482" w:firstLineChars="200"/>
        <w:rPr>
          <w:rFonts w:ascii="仿宋" w:hAnsi="仿宋" w:eastAsia="仿宋" w:cs="仿宋"/>
          <w:b/>
          <w:sz w:val="24"/>
        </w:rPr>
      </w:pPr>
      <w:r>
        <w:rPr>
          <w:rFonts w:hint="eastAsia" w:ascii="仿宋" w:hAnsi="仿宋" w:eastAsia="仿宋" w:cs="仿宋"/>
          <w:b/>
          <w:sz w:val="24"/>
        </w:rPr>
        <w:t>二、相关信息获取方式</w:t>
      </w:r>
    </w:p>
    <w:p>
      <w:pPr>
        <w:spacing w:line="360" w:lineRule="auto"/>
        <w:ind w:firstLine="480" w:firstLineChars="200"/>
        <w:rPr>
          <w:rFonts w:ascii="仿宋" w:hAnsi="仿宋" w:eastAsia="仿宋" w:cs="仿宋"/>
          <w:sz w:val="24"/>
        </w:rPr>
      </w:pPr>
      <w:r>
        <w:rPr>
          <w:rFonts w:hint="eastAsia" w:ascii="仿宋" w:hAnsi="仿宋" w:eastAsia="仿宋" w:cs="仿宋"/>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ascii="仿宋" w:hAnsi="仿宋" w:eastAsia="仿宋" w:cs="仿宋"/>
          <w:b/>
          <w:sz w:val="24"/>
        </w:rPr>
      </w:pPr>
      <w:r>
        <w:rPr>
          <w:rFonts w:hint="eastAsia" w:ascii="仿宋" w:hAnsi="仿宋" w:eastAsia="仿宋" w:cs="仿宋"/>
          <w:b/>
          <w:sz w:val="24"/>
        </w:rPr>
        <w:t>三、　政府采购信用融资操作流程：</w:t>
      </w:r>
    </w:p>
    <w:p>
      <w:pPr>
        <w:spacing w:line="360" w:lineRule="auto"/>
        <w:ind w:firstLine="480" w:firstLineChars="200"/>
        <w:rPr>
          <w:rFonts w:ascii="仿宋" w:hAnsi="仿宋" w:eastAsia="仿宋" w:cs="仿宋"/>
          <w:sz w:val="24"/>
        </w:rPr>
      </w:pPr>
      <w:r>
        <w:rPr>
          <w:rFonts w:hint="eastAsia" w:ascii="仿宋" w:hAnsi="仿宋" w:eastAsia="仿宋" w:cs="仿宋"/>
          <w:sz w:val="24"/>
        </w:rPr>
        <w:t>（一）线上融资模式：</w:t>
      </w:r>
    </w:p>
    <w:p>
      <w:pPr>
        <w:spacing w:line="360" w:lineRule="auto"/>
        <w:ind w:firstLine="480" w:firstLineChars="200"/>
        <w:rPr>
          <w:rFonts w:ascii="仿宋" w:hAnsi="仿宋" w:eastAsia="仿宋" w:cs="仿宋"/>
          <w:sz w:val="24"/>
        </w:rPr>
      </w:pPr>
      <w:r>
        <w:rPr>
          <w:rFonts w:hint="eastAsia" w:ascii="仿宋" w:hAnsi="仿宋" w:eastAsia="仿宋" w:cs="仿宋"/>
          <w:sz w:val="24"/>
        </w:rPr>
        <w:t>1.供应商根据合作银行提供的方案，自行选择金融产品，并办理开户等手续；</w:t>
      </w:r>
    </w:p>
    <w:p>
      <w:pPr>
        <w:spacing w:line="360" w:lineRule="auto"/>
        <w:ind w:firstLine="480" w:firstLineChars="200"/>
        <w:rPr>
          <w:rFonts w:ascii="仿宋" w:hAnsi="仿宋" w:eastAsia="仿宋" w:cs="仿宋"/>
          <w:sz w:val="24"/>
        </w:rPr>
      </w:pPr>
      <w:r>
        <w:rPr>
          <w:rFonts w:hint="eastAsia" w:ascii="仿宋" w:hAnsi="仿宋" w:eastAsia="仿宋" w:cs="仿宋"/>
          <w:sz w:val="24"/>
        </w:rPr>
        <w:t>2.供应商中标后，可通过杭州市政府采购网或“浙里办”测算授信额度；</w:t>
      </w:r>
    </w:p>
    <w:p>
      <w:pPr>
        <w:spacing w:line="360" w:lineRule="auto"/>
        <w:ind w:firstLine="480" w:firstLineChars="200"/>
        <w:rPr>
          <w:rFonts w:ascii="仿宋" w:hAnsi="仿宋" w:eastAsia="仿宋" w:cs="仿宋"/>
          <w:sz w:val="24"/>
        </w:rPr>
      </w:pPr>
      <w:r>
        <w:rPr>
          <w:rFonts w:hint="eastAsia" w:ascii="仿宋" w:hAnsi="仿宋" w:eastAsia="仿宋" w:cs="仿宋"/>
          <w:sz w:val="24"/>
        </w:rPr>
        <w:t>3.采购合同签订后，供应商在杭州市政府采购网或“浙里办”向合作银行发出融资申请；</w:t>
      </w:r>
    </w:p>
    <w:p>
      <w:pPr>
        <w:spacing w:line="360" w:lineRule="auto"/>
        <w:ind w:firstLine="480" w:firstLineChars="200"/>
        <w:rPr>
          <w:rFonts w:ascii="仿宋" w:hAnsi="仿宋" w:eastAsia="仿宋" w:cs="仿宋"/>
          <w:sz w:val="24"/>
        </w:rPr>
      </w:pPr>
      <w:r>
        <w:rPr>
          <w:rFonts w:hint="eastAsia" w:ascii="仿宋" w:hAnsi="仿宋" w:eastAsia="仿宋" w:cs="仿宋"/>
          <w:sz w:val="24"/>
        </w:rPr>
        <w:t>4.审批通过后，在线办理放贷手续。</w:t>
      </w:r>
    </w:p>
    <w:p>
      <w:pPr>
        <w:spacing w:line="360" w:lineRule="auto"/>
        <w:ind w:firstLine="480" w:firstLineChars="200"/>
        <w:rPr>
          <w:rFonts w:ascii="仿宋" w:hAnsi="仿宋" w:eastAsia="仿宋" w:cs="仿宋"/>
          <w:sz w:val="24"/>
        </w:rPr>
      </w:pPr>
      <w:r>
        <w:rPr>
          <w:rFonts w:hint="eastAsia" w:ascii="仿宋" w:hAnsi="仿宋" w:eastAsia="仿宋" w:cs="仿宋"/>
          <w:sz w:val="24"/>
        </w:rPr>
        <w:t>（二）线下融资模式：</w:t>
      </w:r>
    </w:p>
    <w:p>
      <w:pPr>
        <w:spacing w:line="360" w:lineRule="auto"/>
        <w:ind w:firstLine="480" w:firstLineChars="200"/>
        <w:rPr>
          <w:rFonts w:ascii="仿宋" w:hAnsi="仿宋" w:eastAsia="仿宋" w:cs="仿宋"/>
          <w:sz w:val="24"/>
        </w:rPr>
      </w:pPr>
      <w:r>
        <w:rPr>
          <w:rFonts w:hint="eastAsia" w:ascii="仿宋" w:hAnsi="仿宋" w:eastAsia="仿宋" w:cs="仿宋"/>
          <w:sz w:val="24"/>
        </w:rPr>
        <w:t>1.供应商根据合作银行提供的方案，自行选择金融产品，向合作银行提出信用资格预审，并办理开户等手续；</w:t>
      </w:r>
    </w:p>
    <w:p>
      <w:pPr>
        <w:spacing w:line="360" w:lineRule="auto"/>
        <w:ind w:firstLine="480" w:firstLineChars="200"/>
        <w:rPr>
          <w:rFonts w:ascii="仿宋" w:hAnsi="仿宋" w:eastAsia="仿宋" w:cs="仿宋"/>
          <w:sz w:val="24"/>
        </w:rPr>
      </w:pPr>
      <w:r>
        <w:rPr>
          <w:rFonts w:hint="eastAsia" w:ascii="仿宋" w:hAnsi="仿宋" w:eastAsia="仿宋" w:cs="仿宋"/>
          <w:sz w:val="24"/>
        </w:rPr>
        <w:t>2.采购合同签订后，供应商在杭州市政府采购网或“浙里办”向合作银行发出融资申请；</w:t>
      </w:r>
    </w:p>
    <w:p>
      <w:pPr>
        <w:spacing w:line="360" w:lineRule="auto"/>
        <w:ind w:firstLine="480" w:firstLineChars="200"/>
        <w:rPr>
          <w:rFonts w:ascii="仿宋" w:hAnsi="仿宋" w:eastAsia="仿宋" w:cs="仿宋"/>
          <w:sz w:val="24"/>
        </w:rPr>
      </w:pPr>
      <w:r>
        <w:rPr>
          <w:rFonts w:hint="eastAsia" w:ascii="仿宋" w:hAnsi="仿宋" w:eastAsia="仿宋" w:cs="仿宋"/>
          <w:sz w:val="24"/>
        </w:rPr>
        <w:t>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ascii="仿宋" w:hAnsi="仿宋" w:eastAsia="仿宋" w:cs="仿宋"/>
          <w:sz w:val="24"/>
        </w:rPr>
      </w:pPr>
      <w:r>
        <w:rPr>
          <w:rFonts w:hint="eastAsia" w:ascii="仿宋" w:hAnsi="仿宋" w:eastAsia="仿宋" w:cs="仿宋"/>
          <w:sz w:val="24"/>
        </w:rPr>
        <w:t>4.审批通过后，合作银行应按照合作备忘录中约定的审批放款期限和优惠利率及时予以放款。</w:t>
      </w:r>
    </w:p>
    <w:p>
      <w:pPr>
        <w:ind w:firstLine="480" w:firstLineChars="200"/>
        <w:rPr>
          <w:rFonts w:ascii="仿宋" w:eastAsia="仿宋" w:cs="仿宋"/>
          <w:sz w:val="24"/>
        </w:rPr>
      </w:pPr>
      <w:r>
        <w:rPr>
          <w:rFonts w:hint="eastAsia" w:ascii="仿宋" w:eastAsia="仿宋" w:cs="仿宋"/>
          <w:sz w:val="24"/>
        </w:rPr>
        <w:t>（三）杭州e融平台申请融资</w:t>
      </w:r>
    </w:p>
    <w:p>
      <w:pPr>
        <w:pStyle w:val="2"/>
        <w:ind w:left="0" w:firstLine="480" w:firstLineChars="200"/>
        <w:rPr>
          <w:rFonts w:ascii="仿宋" w:eastAsia="仿宋" w:cs="仿宋"/>
          <w:b w:val="0"/>
          <w:bCs w:val="0"/>
          <w:sz w:val="24"/>
          <w:szCs w:val="24"/>
          <w:lang w:val="en-US"/>
        </w:rPr>
      </w:pPr>
      <w:r>
        <w:rPr>
          <w:rFonts w:hint="eastAsia" w:ascii="仿宋" w:eastAsia="仿宋" w:cs="仿宋"/>
          <w:b w:val="0"/>
          <w:bCs w:val="0"/>
          <w:sz w:val="24"/>
          <w:szCs w:val="24"/>
          <w:lang w:val="en-US"/>
        </w:rPr>
        <w:t>供应商通过杭州e融平台政采贷专区，自行选择金融产品，按规定手续办理贷款流程。</w:t>
      </w:r>
    </w:p>
    <w:p>
      <w:pPr>
        <w:spacing w:line="360" w:lineRule="auto"/>
        <w:ind w:firstLine="482" w:firstLineChars="200"/>
        <w:rPr>
          <w:rFonts w:ascii="仿宋" w:hAnsi="仿宋" w:eastAsia="仿宋" w:cs="仿宋"/>
          <w:b/>
          <w:sz w:val="24"/>
        </w:rPr>
      </w:pPr>
      <w:r>
        <w:rPr>
          <w:rFonts w:hint="eastAsia" w:ascii="仿宋" w:hAnsi="仿宋" w:eastAsia="仿宋" w:cs="仿宋"/>
          <w:b/>
          <w:sz w:val="24"/>
        </w:rPr>
        <w:t>四、注意事项</w:t>
      </w:r>
    </w:p>
    <w:p>
      <w:pPr>
        <w:spacing w:line="360" w:lineRule="auto"/>
        <w:ind w:firstLine="480" w:firstLineChars="200"/>
        <w:rPr>
          <w:rFonts w:ascii="仿宋" w:hAnsi="仿宋" w:eastAsia="仿宋" w:cs="仿宋"/>
          <w:sz w:val="24"/>
        </w:rPr>
      </w:pPr>
      <w:r>
        <w:rPr>
          <w:rFonts w:hint="eastAsia" w:ascii="仿宋" w:hAnsi="仿宋" w:eastAsia="仿宋" w:cs="仿宋"/>
          <w:sz w:val="24"/>
        </w:rPr>
        <w:t>1、对拟用于信用融资的政府采购合同，供应商在签订合同时应当在合同中注明融资银行名称及账号，作为在该银行的唯一收款账号。</w:t>
      </w:r>
    </w:p>
    <w:p>
      <w:pPr>
        <w:spacing w:line="360" w:lineRule="auto"/>
        <w:ind w:firstLine="480" w:firstLineChars="200"/>
        <w:rPr>
          <w:rFonts w:ascii="仿宋" w:hAnsi="仿宋" w:eastAsia="仿宋" w:cs="仿宋"/>
          <w:sz w:val="24"/>
        </w:rPr>
      </w:pPr>
      <w:r>
        <w:rPr>
          <w:rFonts w:hint="eastAsia" w:ascii="仿宋" w:hAnsi="仿宋" w:eastAsia="仿宋" w:cs="仿宋"/>
          <w:sz w:val="24"/>
        </w:rPr>
        <w:t>2、供应商弄虚作假或以伪造政府采购合同等方式违规获取政府采购信用融资，或不及时还款，或出现其他违反本办法规定情形的，按融资合同约定承担违约责任；涉嫌犯罪的，移送司法机关处理。</w:t>
      </w:r>
    </w:p>
    <w:p>
      <w:pPr>
        <w:pStyle w:val="3"/>
        <w:pageBreakBefore/>
        <w:widowControl/>
        <w:spacing w:before="100" w:beforeAutospacing="1" w:after="100" w:afterAutospacing="1" w:line="360" w:lineRule="auto"/>
        <w:ind w:left="1290" w:firstLine="3092" w:firstLineChars="700"/>
        <w:rPr>
          <w:rFonts w:ascii="仿宋" w:hAnsi="仿宋" w:eastAsia="仿宋" w:cs="仿宋"/>
        </w:rPr>
      </w:pPr>
      <w:bookmarkStart w:id="416" w:name="_Toc465665161"/>
      <w:r>
        <w:rPr>
          <w:rFonts w:hint="eastAsia" w:ascii="仿宋" w:hAnsi="仿宋" w:eastAsia="仿宋" w:cs="仿宋"/>
        </w:rPr>
        <w:t>附件</w:t>
      </w:r>
      <w:bookmarkEnd w:id="416"/>
    </w:p>
    <w:p>
      <w:pPr>
        <w:spacing w:line="360" w:lineRule="auto"/>
        <w:rPr>
          <w:rFonts w:ascii="仿宋" w:hAnsi="仿宋" w:eastAsia="仿宋" w:cs="仿宋"/>
          <w:b/>
          <w:spacing w:val="6"/>
          <w:sz w:val="32"/>
          <w:szCs w:val="32"/>
        </w:rPr>
      </w:pPr>
      <w:r>
        <w:rPr>
          <w:rFonts w:hint="eastAsia" w:ascii="仿宋" w:hAnsi="仿宋" w:eastAsia="仿宋" w:cs="仿宋"/>
          <w:b/>
          <w:spacing w:val="6"/>
          <w:sz w:val="32"/>
          <w:szCs w:val="32"/>
        </w:rPr>
        <w:t>附件1：</w:t>
      </w:r>
    </w:p>
    <w:p>
      <w:pPr>
        <w:spacing w:line="360" w:lineRule="auto"/>
        <w:jc w:val="center"/>
        <w:rPr>
          <w:rFonts w:ascii="仿宋" w:hAnsi="仿宋" w:eastAsia="仿宋" w:cs="仿宋"/>
          <w:b/>
          <w:spacing w:val="6"/>
          <w:sz w:val="32"/>
          <w:szCs w:val="32"/>
        </w:rPr>
      </w:pPr>
      <w:bookmarkStart w:id="417" w:name="OLE_LINK13"/>
      <w:bookmarkStart w:id="418" w:name="OLE_LINK14"/>
      <w:r>
        <w:rPr>
          <w:rFonts w:hint="eastAsia" w:ascii="仿宋" w:hAnsi="仿宋" w:eastAsia="仿宋" w:cs="仿宋"/>
          <w:b/>
          <w:spacing w:val="6"/>
          <w:sz w:val="32"/>
          <w:szCs w:val="32"/>
        </w:rPr>
        <w:t>残疾人福利性单位声明函</w:t>
      </w:r>
    </w:p>
    <w:bookmarkEnd w:id="417"/>
    <w:bookmarkEnd w:id="418"/>
    <w:p>
      <w:pPr>
        <w:spacing w:line="360" w:lineRule="auto"/>
        <w:rPr>
          <w:rFonts w:ascii="仿宋" w:hAnsi="仿宋" w:eastAsia="仿宋" w:cs="仿宋"/>
          <w:b/>
          <w:spacing w:val="6"/>
          <w:sz w:val="30"/>
          <w:szCs w:val="30"/>
        </w:rPr>
      </w:pPr>
    </w:p>
    <w:p>
      <w:pPr>
        <w:spacing w:line="360" w:lineRule="auto"/>
        <w:ind w:firstLine="480" w:firstLineChars="200"/>
        <w:rPr>
          <w:rFonts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 w:hAnsi="仿宋" w:eastAsia="仿宋" w:cs="仿宋"/>
          <w:sz w:val="24"/>
        </w:rPr>
      </w:pPr>
      <w:r>
        <w:rPr>
          <w:rFonts w:hint="eastAsia" w:ascii="仿宋" w:hAnsi="仿宋" w:eastAsia="仿宋" w:cs="仿宋"/>
          <w:sz w:val="24"/>
        </w:rPr>
        <w:t>本单位对上述声明的真实性负责。如有虚假，将依法承担相应责任。</w:t>
      </w:r>
    </w:p>
    <w:p>
      <w:pPr>
        <w:spacing w:line="360" w:lineRule="auto"/>
        <w:ind w:firstLine="480" w:firstLineChars="200"/>
        <w:rPr>
          <w:rFonts w:ascii="仿宋" w:hAnsi="仿宋" w:eastAsia="仿宋" w:cs="仿宋"/>
          <w:sz w:val="24"/>
        </w:rPr>
      </w:pPr>
    </w:p>
    <w:p>
      <w:pPr>
        <w:spacing w:line="360" w:lineRule="auto"/>
        <w:ind w:firstLine="480" w:firstLineChars="200"/>
        <w:rPr>
          <w:rFonts w:ascii="仿宋" w:hAnsi="仿宋" w:eastAsia="仿宋" w:cs="仿宋"/>
          <w:sz w:val="24"/>
        </w:rPr>
      </w:pPr>
    </w:p>
    <w:p>
      <w:pPr>
        <w:tabs>
          <w:tab w:val="left" w:pos="4860"/>
        </w:tabs>
        <w:spacing w:line="360" w:lineRule="auto"/>
        <w:ind w:right="1560" w:firstLine="480" w:firstLineChars="200"/>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pPr>
        <w:tabs>
          <w:tab w:val="left" w:pos="4860"/>
        </w:tabs>
        <w:spacing w:line="360" w:lineRule="auto"/>
        <w:ind w:right="1560" w:firstLine="480" w:firstLineChars="200"/>
        <w:jc w:val="center"/>
        <w:rPr>
          <w:rFonts w:ascii="仿宋" w:hAnsi="仿宋" w:eastAsia="仿宋" w:cs="仿宋"/>
          <w:sz w:val="24"/>
        </w:rPr>
      </w:pPr>
      <w:r>
        <w:rPr>
          <w:rFonts w:hint="eastAsia" w:ascii="仿宋" w:hAnsi="仿宋" w:eastAsia="仿宋" w:cs="仿宋"/>
          <w:sz w:val="24"/>
        </w:rPr>
        <w:t xml:space="preserve">       日  期：</w:t>
      </w:r>
    </w:p>
    <w:p>
      <w:pPr>
        <w:spacing w:line="360" w:lineRule="auto"/>
        <w:ind w:firstLine="480" w:firstLineChars="200"/>
        <w:rPr>
          <w:rFonts w:ascii="仿宋" w:hAnsi="仿宋" w:eastAsia="仿宋" w:cs="仿宋"/>
          <w:sz w:val="24"/>
        </w:rPr>
      </w:pPr>
    </w:p>
    <w:p>
      <w:pPr>
        <w:spacing w:line="360" w:lineRule="auto"/>
        <w:ind w:firstLine="420" w:firstLineChars="200"/>
        <w:rPr>
          <w:rFonts w:ascii="仿宋" w:hAnsi="仿宋" w:eastAsia="仿宋" w:cs="仿宋"/>
        </w:rPr>
      </w:pPr>
    </w:p>
    <w:p>
      <w:pPr>
        <w:spacing w:line="360" w:lineRule="auto"/>
        <w:ind w:firstLine="420" w:firstLineChars="200"/>
        <w:rPr>
          <w:rFonts w:ascii="仿宋" w:hAnsi="仿宋" w:eastAsia="仿宋" w:cs="仿宋"/>
        </w:rPr>
      </w:pPr>
    </w:p>
    <w:p>
      <w:pPr>
        <w:spacing w:line="360" w:lineRule="auto"/>
        <w:ind w:firstLine="420" w:firstLineChars="200"/>
        <w:rPr>
          <w:rFonts w:ascii="仿宋" w:hAnsi="仿宋" w:eastAsia="仿宋" w:cs="仿宋"/>
        </w:rPr>
      </w:pPr>
    </w:p>
    <w:p>
      <w:pPr>
        <w:spacing w:line="360" w:lineRule="auto"/>
        <w:ind w:firstLine="420" w:firstLineChars="200"/>
        <w:rPr>
          <w:rFonts w:ascii="仿宋" w:hAnsi="仿宋" w:eastAsia="仿宋" w:cs="仿宋"/>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质疑函范本</w:t>
      </w:r>
    </w:p>
    <w:p>
      <w:pPr>
        <w:snapToGrid w:val="0"/>
        <w:spacing w:before="240" w:beforeLines="100" w:line="360" w:lineRule="auto"/>
        <w:rPr>
          <w:rFonts w:ascii="仿宋" w:hAnsi="仿宋" w:eastAsia="仿宋" w:cs="仿宋"/>
          <w:bCs/>
          <w:sz w:val="24"/>
        </w:rPr>
      </w:pPr>
      <w:r>
        <w:rPr>
          <w:rFonts w:hint="eastAsia" w:ascii="仿宋" w:hAnsi="仿宋" w:eastAsia="仿宋" w:cs="仿宋"/>
          <w:bCs/>
          <w:sz w:val="24"/>
        </w:rPr>
        <w:t>一、质疑供应商基本信息</w:t>
      </w:r>
    </w:p>
    <w:p>
      <w:pPr>
        <w:snapToGrid w:val="0"/>
        <w:spacing w:line="360" w:lineRule="auto"/>
        <w:rPr>
          <w:rFonts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snapToGrid w:val="0"/>
        <w:spacing w:line="360" w:lineRule="auto"/>
        <w:rPr>
          <w:rFonts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spacing w:line="360" w:lineRule="auto"/>
        <w:rPr>
          <w:rFonts w:ascii="仿宋" w:hAnsi="仿宋" w:eastAsia="仿宋" w:cs="仿宋"/>
          <w:bCs/>
          <w:sz w:val="24"/>
        </w:rPr>
      </w:pPr>
      <w:r>
        <w:rPr>
          <w:rFonts w:hint="eastAsia" w:ascii="仿宋" w:hAnsi="仿宋" w:eastAsia="仿宋" w:cs="仿宋"/>
          <w:bCs/>
          <w:sz w:val="24"/>
        </w:rPr>
        <w:t>二、质疑项目基本情况</w:t>
      </w:r>
    </w:p>
    <w:p>
      <w:pPr>
        <w:snapToGrid w:val="0"/>
        <w:spacing w:line="360" w:lineRule="auto"/>
        <w:rPr>
          <w:rFonts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pPr>
        <w:snapToGrid w:val="0"/>
        <w:spacing w:line="360" w:lineRule="auto"/>
        <w:rPr>
          <w:rFonts w:ascii="仿宋" w:hAnsi="仿宋" w:eastAsia="仿宋" w:cs="仿宋"/>
          <w:bCs/>
          <w:sz w:val="24"/>
        </w:rPr>
      </w:pPr>
      <w:r>
        <w:rPr>
          <w:rFonts w:hint="eastAsia" w:ascii="仿宋" w:hAnsi="仿宋" w:eastAsia="仿宋" w:cs="仿宋"/>
          <w:bCs/>
          <w:sz w:val="24"/>
        </w:rPr>
        <w:t>三、质疑事项具体内容</w:t>
      </w:r>
    </w:p>
    <w:p>
      <w:pPr>
        <w:snapToGrid w:val="0"/>
        <w:spacing w:line="360" w:lineRule="auto"/>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rPr>
      </w:pPr>
      <w:r>
        <w:rPr>
          <w:rFonts w:hint="eastAsia" w:ascii="仿宋" w:hAnsi="仿宋" w:eastAsia="仿宋" w:cs="仿宋"/>
          <w:sz w:val="24"/>
          <w:u w:val="dotted"/>
        </w:rPr>
        <w:t xml:space="preserve">                                                       </w:t>
      </w:r>
    </w:p>
    <w:p>
      <w:pPr>
        <w:snapToGrid w:val="0"/>
        <w:spacing w:line="360" w:lineRule="auto"/>
        <w:rPr>
          <w:rFonts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pPr>
        <w:snapToGrid w:val="0"/>
        <w:spacing w:line="360" w:lineRule="auto"/>
        <w:rPr>
          <w:rFonts w:ascii="仿宋" w:hAnsi="仿宋" w:eastAsia="仿宋" w:cs="仿宋"/>
          <w:sz w:val="24"/>
          <w:u w:val="dotted"/>
        </w:rPr>
      </w:pPr>
      <w:r>
        <w:rPr>
          <w:rFonts w:hint="eastAsia" w:ascii="仿宋" w:hAnsi="仿宋" w:eastAsia="仿宋" w:cs="仿宋"/>
          <w:sz w:val="24"/>
          <w:u w:val="dotted"/>
        </w:rPr>
        <w:t xml:space="preserve">                                                     </w:t>
      </w:r>
    </w:p>
    <w:p>
      <w:pPr>
        <w:snapToGrid w:val="0"/>
        <w:spacing w:line="360" w:lineRule="auto"/>
        <w:rPr>
          <w:rFonts w:ascii="仿宋" w:hAnsi="仿宋" w:eastAsia="仿宋" w:cs="仿宋"/>
          <w:sz w:val="24"/>
          <w:u w:val="dotted"/>
        </w:rPr>
      </w:pPr>
      <w:r>
        <w:rPr>
          <w:rFonts w:hint="eastAsia" w:ascii="仿宋" w:hAnsi="仿宋" w:eastAsia="仿宋" w:cs="仿宋"/>
          <w:sz w:val="24"/>
        </w:rPr>
        <w:t>质疑事项2</w:t>
      </w:r>
    </w:p>
    <w:p>
      <w:pPr>
        <w:snapToGrid w:val="0"/>
        <w:spacing w:line="360" w:lineRule="auto"/>
        <w:rPr>
          <w:rFonts w:ascii="仿宋" w:hAnsi="仿宋" w:eastAsia="仿宋" w:cs="仿宋"/>
          <w:sz w:val="24"/>
        </w:rPr>
      </w:pPr>
      <w:r>
        <w:rPr>
          <w:rFonts w:hint="eastAsia" w:ascii="仿宋" w:hAnsi="仿宋" w:eastAsia="仿宋" w:cs="仿宋"/>
          <w:sz w:val="24"/>
        </w:rPr>
        <w:t>……</w:t>
      </w:r>
    </w:p>
    <w:p>
      <w:pPr>
        <w:snapToGrid w:val="0"/>
        <w:spacing w:line="360" w:lineRule="auto"/>
        <w:rPr>
          <w:rFonts w:ascii="仿宋" w:hAnsi="仿宋" w:eastAsia="仿宋" w:cs="仿宋"/>
          <w:bCs/>
          <w:sz w:val="24"/>
        </w:rPr>
      </w:pPr>
      <w:r>
        <w:rPr>
          <w:rFonts w:hint="eastAsia" w:ascii="仿宋" w:hAnsi="仿宋" w:eastAsia="仿宋" w:cs="仿宋"/>
          <w:bCs/>
          <w:sz w:val="24"/>
        </w:rPr>
        <w:t>四、与质疑事项相关的质疑请求</w:t>
      </w:r>
    </w:p>
    <w:p>
      <w:pPr>
        <w:snapToGrid w:val="0"/>
        <w:spacing w:line="360" w:lineRule="auto"/>
        <w:rPr>
          <w:rFonts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pPr>
        <w:spacing w:line="360" w:lineRule="auto"/>
        <w:rPr>
          <w:rFonts w:ascii="仿宋" w:hAnsi="仿宋" w:eastAsia="仿宋" w:cs="仿宋"/>
          <w:sz w:val="24"/>
        </w:rPr>
      </w:pPr>
      <w:r>
        <w:rPr>
          <w:rFonts w:hint="eastAsia" w:ascii="仿宋" w:hAnsi="仿宋" w:eastAsia="仿宋" w:cs="仿宋"/>
          <w:sz w:val="24"/>
        </w:rPr>
        <w:t xml:space="preserve">签字(签章)：                   公章：                      </w:t>
      </w:r>
    </w:p>
    <w:p>
      <w:pPr>
        <w:spacing w:line="360" w:lineRule="auto"/>
        <w:rPr>
          <w:rFonts w:ascii="仿宋" w:hAnsi="仿宋" w:eastAsia="仿宋" w:cs="仿宋"/>
          <w:sz w:val="24"/>
        </w:rPr>
      </w:pPr>
      <w:r>
        <w:rPr>
          <w:rFonts w:hint="eastAsia" w:ascii="仿宋" w:hAnsi="仿宋" w:eastAsia="仿宋" w:cs="仿宋"/>
          <w:sz w:val="24"/>
        </w:rPr>
        <w:t xml:space="preserve">日期：    </w:t>
      </w:r>
    </w:p>
    <w:p>
      <w:pPr>
        <w:spacing w:line="360" w:lineRule="auto"/>
        <w:jc w:val="center"/>
        <w:rPr>
          <w:rFonts w:ascii="仿宋" w:hAnsi="仿宋" w:eastAsia="仿宋" w:cs="仿宋"/>
          <w:b/>
          <w:bCs/>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r>
        <w:rPr>
          <w:rFonts w:hint="eastAsia" w:ascii="仿宋" w:hAnsi="仿宋" w:eastAsia="仿宋" w:cs="仿宋"/>
          <w:b/>
          <w:sz w:val="24"/>
        </w:rPr>
        <w:t>质疑函制作说明：</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1.供应商提出质疑时，应提交质疑函和必要的证明材料。</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3.质疑供应商若对项目的某一分包进行质疑，质疑函中应列明具体分包号。</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4.质疑函的质疑事项应具体、明确，并有必要的事实依据和法律依据。</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5.质疑函的质疑请求应与质疑事项相关。</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s="仿宋"/>
          <w:sz w:val="30"/>
          <w:szCs w:val="30"/>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center"/>
        <w:rPr>
          <w:rFonts w:ascii="仿宋" w:hAnsi="仿宋" w:eastAsia="仿宋" w:cs="仿宋"/>
          <w:b/>
          <w:spacing w:val="6"/>
          <w:sz w:val="32"/>
          <w:szCs w:val="32"/>
        </w:rPr>
      </w:pPr>
    </w:p>
    <w:p>
      <w:pPr>
        <w:spacing w:line="360" w:lineRule="auto"/>
        <w:jc w:val="left"/>
        <w:rPr>
          <w:rFonts w:ascii="仿宋" w:hAnsi="仿宋" w:eastAsia="仿宋" w:cs="仿宋"/>
          <w:b/>
          <w:spacing w:val="6"/>
          <w:sz w:val="32"/>
          <w:szCs w:val="32"/>
        </w:rPr>
      </w:pPr>
    </w:p>
    <w:p>
      <w:pPr>
        <w:spacing w:line="360" w:lineRule="auto"/>
        <w:jc w:val="left"/>
        <w:rPr>
          <w:rFonts w:ascii="仿宋" w:hAnsi="仿宋" w:eastAsia="仿宋" w:cs="仿宋"/>
          <w:b/>
          <w:spacing w:val="6"/>
          <w:sz w:val="32"/>
          <w:szCs w:val="32"/>
        </w:rPr>
      </w:pPr>
    </w:p>
    <w:p>
      <w:pPr>
        <w:spacing w:line="360"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pPr>
        <w:spacing w:line="360" w:lineRule="auto"/>
        <w:jc w:val="center"/>
        <w:rPr>
          <w:rFonts w:ascii="仿宋" w:hAnsi="仿宋" w:eastAsia="仿宋" w:cs="仿宋"/>
          <w:b/>
          <w:sz w:val="24"/>
        </w:rPr>
      </w:pPr>
    </w:p>
    <w:p>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投诉书范本</w:t>
      </w:r>
    </w:p>
    <w:p>
      <w:pPr>
        <w:spacing w:line="360" w:lineRule="auto"/>
        <w:rPr>
          <w:rFonts w:ascii="仿宋" w:hAnsi="仿宋" w:eastAsia="仿宋" w:cs="仿宋"/>
          <w:sz w:val="24"/>
        </w:rPr>
      </w:pPr>
      <w:r>
        <w:rPr>
          <w:rFonts w:hint="eastAsia" w:ascii="仿宋" w:hAnsi="仿宋" w:eastAsia="仿宋" w:cs="仿宋"/>
          <w:sz w:val="24"/>
        </w:rPr>
        <w:t>一、投诉相关主体基本情况</w:t>
      </w:r>
    </w:p>
    <w:p>
      <w:pPr>
        <w:spacing w:line="360" w:lineRule="auto"/>
        <w:rPr>
          <w:rFonts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tabs>
          <w:tab w:val="left" w:pos="6510"/>
        </w:tabs>
        <w:spacing w:line="360" w:lineRule="auto"/>
        <w:jc w:val="left"/>
        <w:rPr>
          <w:rFonts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tabs>
          <w:tab w:val="left" w:pos="6510"/>
        </w:tabs>
        <w:spacing w:line="360" w:lineRule="auto"/>
        <w:rPr>
          <w:rFonts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pPr>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spacing w:line="360" w:lineRule="auto"/>
        <w:rPr>
          <w:rFonts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pPr>
        <w:spacing w:line="360" w:lineRule="auto"/>
        <w:rPr>
          <w:rFonts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rPr>
      </w:pPr>
      <w:r>
        <w:rPr>
          <w:rFonts w:hint="eastAsia" w:ascii="仿宋" w:hAnsi="仿宋" w:eastAsia="仿宋" w:cs="仿宋"/>
          <w:sz w:val="24"/>
        </w:rPr>
        <w:t>被投诉人2</w:t>
      </w:r>
    </w:p>
    <w:p>
      <w:pPr>
        <w:spacing w:line="360" w:lineRule="auto"/>
        <w:rPr>
          <w:rFonts w:ascii="仿宋" w:hAnsi="仿宋" w:eastAsia="仿宋" w:cs="仿宋"/>
          <w:sz w:val="24"/>
          <w:u w:val="dotted"/>
        </w:rPr>
      </w:pPr>
      <w:r>
        <w:rPr>
          <w:rFonts w:hint="eastAsia" w:ascii="仿宋" w:hAnsi="仿宋" w:eastAsia="仿宋" w:cs="仿宋"/>
          <w:sz w:val="24"/>
        </w:rPr>
        <w:t>……</w:t>
      </w:r>
    </w:p>
    <w:p>
      <w:pPr>
        <w:spacing w:line="360" w:lineRule="auto"/>
        <w:rPr>
          <w:rFonts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rPr>
      </w:pPr>
      <w:r>
        <w:rPr>
          <w:rFonts w:hint="eastAsia" w:ascii="仿宋" w:hAnsi="仿宋" w:eastAsia="仿宋" w:cs="仿宋"/>
          <w:sz w:val="24"/>
        </w:rPr>
        <w:t>二、投诉项目基本情况</w:t>
      </w:r>
    </w:p>
    <w:p>
      <w:pPr>
        <w:spacing w:line="360" w:lineRule="auto"/>
        <w:rPr>
          <w:rFonts w:ascii="仿宋" w:hAnsi="仿宋" w:eastAsia="仿宋" w:cs="仿宋"/>
          <w:sz w:val="24"/>
          <w:u w:val="dotted"/>
        </w:rPr>
      </w:pPr>
      <w:r>
        <w:rPr>
          <w:rFonts w:hint="eastAsia" w:ascii="仿宋" w:hAnsi="仿宋" w:eastAsia="仿宋" w:cs="仿宋"/>
          <w:sz w:val="24"/>
        </w:rPr>
        <w:t>项目采购：</w:t>
      </w:r>
      <w:r>
        <w:rPr>
          <w:rFonts w:hint="eastAsia" w:ascii="仿宋" w:hAnsi="仿宋" w:eastAsia="仿宋" w:cs="仿宋"/>
          <w:sz w:val="24"/>
          <w:u w:val="dotted"/>
        </w:rPr>
        <w:t xml:space="preserve">                                        </w:t>
      </w:r>
    </w:p>
    <w:p>
      <w:pPr>
        <w:spacing w:line="360" w:lineRule="auto"/>
        <w:rPr>
          <w:rFonts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spacing w:line="360" w:lineRule="auto"/>
        <w:rPr>
          <w:rFonts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pPr>
        <w:spacing w:line="360" w:lineRule="auto"/>
        <w:rPr>
          <w:rFonts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spacing w:line="360" w:lineRule="auto"/>
        <w:rPr>
          <w:rFonts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spacing w:line="360" w:lineRule="auto"/>
        <w:rPr>
          <w:rFonts w:ascii="仿宋" w:hAnsi="仿宋" w:eastAsia="仿宋" w:cs="仿宋"/>
          <w:sz w:val="24"/>
        </w:rPr>
      </w:pPr>
      <w:r>
        <w:rPr>
          <w:rFonts w:hint="eastAsia" w:ascii="仿宋" w:hAnsi="仿宋" w:eastAsia="仿宋" w:cs="仿宋"/>
          <w:sz w:val="24"/>
        </w:rPr>
        <w:t>三、质疑基本情况</w:t>
      </w:r>
    </w:p>
    <w:p>
      <w:pPr>
        <w:spacing w:line="360" w:lineRule="auto"/>
        <w:ind w:firstLine="480" w:firstLineChars="200"/>
        <w:rPr>
          <w:rFonts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pPr>
        <w:spacing w:line="360" w:lineRule="auto"/>
        <w:rPr>
          <w:rFonts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pPr>
        <w:spacing w:line="360" w:lineRule="auto"/>
        <w:ind w:firstLine="360" w:firstLineChars="150"/>
        <w:rPr>
          <w:rFonts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pPr>
        <w:spacing w:line="360" w:lineRule="auto"/>
        <w:rPr>
          <w:rFonts w:ascii="仿宋" w:hAnsi="仿宋" w:eastAsia="仿宋" w:cs="仿宋"/>
          <w:sz w:val="24"/>
        </w:rPr>
      </w:pPr>
      <w:r>
        <w:rPr>
          <w:rFonts w:hint="eastAsia" w:ascii="仿宋" w:hAnsi="仿宋" w:eastAsia="仿宋" w:cs="仿宋"/>
          <w:sz w:val="24"/>
        </w:rPr>
        <w:t>四、投诉事项具体内容</w:t>
      </w:r>
    </w:p>
    <w:p>
      <w:pPr>
        <w:spacing w:line="360" w:lineRule="auto"/>
        <w:rPr>
          <w:rFonts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pPr>
        <w:spacing w:line="360" w:lineRule="auto"/>
        <w:rPr>
          <w:rFonts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pPr>
        <w:spacing w:line="360" w:lineRule="auto"/>
        <w:rPr>
          <w:rFonts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pPr>
        <w:spacing w:line="360" w:lineRule="auto"/>
        <w:rPr>
          <w:rFonts w:ascii="仿宋" w:hAnsi="仿宋" w:eastAsia="仿宋" w:cs="仿宋"/>
          <w:sz w:val="24"/>
        </w:rPr>
      </w:pPr>
      <w:r>
        <w:rPr>
          <w:rFonts w:hint="eastAsia" w:ascii="仿宋" w:hAnsi="仿宋" w:eastAsia="仿宋" w:cs="仿宋"/>
          <w:sz w:val="24"/>
        </w:rPr>
        <w:t>投诉事项2</w:t>
      </w:r>
    </w:p>
    <w:p>
      <w:pPr>
        <w:spacing w:line="360" w:lineRule="auto"/>
        <w:rPr>
          <w:rFonts w:ascii="仿宋" w:hAnsi="仿宋" w:eastAsia="仿宋" w:cs="仿宋"/>
          <w:sz w:val="24"/>
          <w:u w:val="dotted"/>
        </w:rPr>
      </w:pPr>
      <w:r>
        <w:rPr>
          <w:rFonts w:hint="eastAsia" w:ascii="仿宋" w:hAnsi="仿宋" w:eastAsia="仿宋" w:cs="仿宋"/>
          <w:sz w:val="24"/>
        </w:rPr>
        <w:t>……</w:t>
      </w:r>
    </w:p>
    <w:p>
      <w:pPr>
        <w:spacing w:line="360" w:lineRule="auto"/>
        <w:rPr>
          <w:rFonts w:ascii="仿宋" w:hAnsi="仿宋" w:eastAsia="仿宋" w:cs="仿宋"/>
          <w:sz w:val="24"/>
        </w:rPr>
      </w:pPr>
      <w:r>
        <w:rPr>
          <w:rFonts w:hint="eastAsia" w:ascii="仿宋" w:hAnsi="仿宋" w:eastAsia="仿宋" w:cs="仿宋"/>
          <w:sz w:val="24"/>
        </w:rPr>
        <w:t>五、与投诉事项相关的投诉请求</w:t>
      </w:r>
    </w:p>
    <w:p>
      <w:pPr>
        <w:spacing w:line="360" w:lineRule="auto"/>
        <w:rPr>
          <w:rFonts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spacing w:line="360" w:lineRule="auto"/>
        <w:rPr>
          <w:rFonts w:ascii="仿宋" w:hAnsi="仿宋" w:eastAsia="仿宋" w:cs="仿宋"/>
          <w:sz w:val="24"/>
          <w:u w:val="single"/>
        </w:rPr>
      </w:pPr>
      <w:r>
        <w:rPr>
          <w:rFonts w:hint="eastAsia" w:ascii="仿宋" w:hAnsi="仿宋" w:eastAsia="仿宋" w:cs="仿宋"/>
          <w:sz w:val="24"/>
        </w:rPr>
        <w:t xml:space="preserve">                                                                                                    </w:t>
      </w:r>
    </w:p>
    <w:p>
      <w:pPr>
        <w:spacing w:line="360" w:lineRule="auto"/>
        <w:rPr>
          <w:rFonts w:ascii="仿宋" w:hAnsi="仿宋" w:eastAsia="仿宋" w:cs="仿宋"/>
          <w:sz w:val="24"/>
        </w:rPr>
      </w:pPr>
      <w:r>
        <w:rPr>
          <w:rFonts w:hint="eastAsia" w:ascii="仿宋" w:hAnsi="仿宋" w:eastAsia="仿宋" w:cs="仿宋"/>
          <w:sz w:val="24"/>
        </w:rPr>
        <w:t xml:space="preserve">签字(签章)：                   公章：                      </w:t>
      </w:r>
    </w:p>
    <w:p>
      <w:pPr>
        <w:spacing w:line="360" w:lineRule="auto"/>
        <w:rPr>
          <w:rFonts w:ascii="仿宋" w:hAnsi="仿宋" w:eastAsia="仿宋" w:cs="仿宋"/>
          <w:sz w:val="24"/>
        </w:rPr>
      </w:pPr>
      <w:r>
        <w:rPr>
          <w:rFonts w:hint="eastAsia" w:ascii="仿宋" w:hAnsi="仿宋" w:eastAsia="仿宋" w:cs="仿宋"/>
          <w:sz w:val="24"/>
        </w:rPr>
        <w:t xml:space="preserve">日期：    </w:t>
      </w:r>
    </w:p>
    <w:p>
      <w:pPr>
        <w:spacing w:line="360" w:lineRule="auto"/>
        <w:rPr>
          <w:rFonts w:ascii="仿宋" w:hAnsi="仿宋" w:eastAsia="仿宋" w:cs="仿宋"/>
          <w:b/>
          <w:sz w:val="24"/>
        </w:rPr>
      </w:pPr>
    </w:p>
    <w:p>
      <w:pPr>
        <w:spacing w:line="360" w:lineRule="auto"/>
        <w:rPr>
          <w:rFonts w:ascii="仿宋" w:hAnsi="仿宋" w:eastAsia="仿宋" w:cs="仿宋"/>
          <w:b/>
          <w:sz w:val="24"/>
        </w:rPr>
      </w:pPr>
    </w:p>
    <w:p>
      <w:pPr>
        <w:spacing w:line="360" w:lineRule="auto"/>
        <w:rPr>
          <w:rFonts w:ascii="仿宋" w:hAnsi="仿宋" w:eastAsia="仿宋" w:cs="仿宋"/>
          <w:b/>
          <w:sz w:val="24"/>
        </w:rPr>
      </w:pPr>
      <w:r>
        <w:rPr>
          <w:rFonts w:hint="eastAsia" w:ascii="仿宋" w:hAnsi="仿宋" w:eastAsia="仿宋" w:cs="仿宋"/>
          <w:b/>
          <w:sz w:val="24"/>
        </w:rPr>
        <w:t>投诉书制作说明：</w:t>
      </w:r>
    </w:p>
    <w:p>
      <w:pPr>
        <w:widowControl/>
        <w:spacing w:line="360" w:lineRule="auto"/>
        <w:ind w:firstLine="480" w:firstLineChars="200"/>
        <w:rPr>
          <w:rFonts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3.投诉人若对项目的某一分包进行投诉，投诉书应列明具体分包号。</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4.投诉书应简要列明质疑事项，质疑函、质疑答复等作为附件材料提供。</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5.投诉书的投诉事项应具体、明确，并有必要的事实依据和法律依据。</w:t>
      </w:r>
    </w:p>
    <w:p>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6.投诉书的投诉请求应与投诉事项相关。</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eastAsia="仿宋" w:cs="仿宋"/>
          <w:b/>
          <w:sz w:val="24"/>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bCs/>
          <w:sz w:val="32"/>
          <w:szCs w:val="32"/>
        </w:rPr>
      </w:pPr>
      <w:r>
        <w:rPr>
          <w:rFonts w:hint="eastAsia" w:ascii="仿宋" w:hAnsi="仿宋" w:eastAsia="仿宋" w:cs="仿宋"/>
          <w:b/>
          <w:spacing w:val="6"/>
          <w:sz w:val="32"/>
          <w:szCs w:val="32"/>
        </w:rPr>
        <w:t>附件4：</w:t>
      </w:r>
      <w:r>
        <w:rPr>
          <w:rFonts w:hint="eastAsia" w:ascii="仿宋" w:hAnsi="仿宋" w:eastAsia="仿宋" w:cs="仿宋"/>
          <w:b/>
          <w:bCs/>
          <w:sz w:val="32"/>
          <w:szCs w:val="32"/>
        </w:rPr>
        <w:t>业务专用章使用说明函</w:t>
      </w:r>
    </w:p>
    <w:p>
      <w:pPr>
        <w:spacing w:line="360" w:lineRule="auto"/>
        <w:rPr>
          <w:rFonts w:ascii="仿宋" w:hAnsi="仿宋" w:eastAsia="仿宋" w:cs="仿宋"/>
          <w:sz w:val="24"/>
          <w:u w:val="single"/>
        </w:rPr>
      </w:pPr>
    </w:p>
    <w:p>
      <w:pPr>
        <w:spacing w:line="360" w:lineRule="auto"/>
        <w:rPr>
          <w:rFonts w:ascii="仿宋" w:hAnsi="仿宋" w:eastAsia="仿宋" w:cs="仿宋"/>
          <w:sz w:val="24"/>
        </w:rPr>
      </w:pPr>
      <w:r>
        <w:rPr>
          <w:rFonts w:hint="eastAsia" w:ascii="仿宋" w:hAnsi="仿宋" w:eastAsia="仿宋" w:cs="仿宋"/>
          <w:sz w:val="24"/>
          <w:u w:val="single"/>
        </w:rPr>
        <w:t>（采购人）、（采购代理机构）</w:t>
      </w:r>
    </w:p>
    <w:p>
      <w:pPr>
        <w:spacing w:line="360" w:lineRule="auto"/>
        <w:ind w:firstLine="480" w:firstLineChars="200"/>
        <w:rPr>
          <w:rFonts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(投标人全称)是中华人民共和国依法登记注册的合法企业，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你方组织的（临平区星桥中学食堂厨房设备采购）项目【招标编号：（YHZFCG2023-015）】</w:t>
      </w:r>
      <w:r>
        <w:rPr>
          <w:rFonts w:hint="eastAsia" w:ascii="仿宋" w:hAnsi="仿宋" w:eastAsia="仿宋" w:cs="仿宋"/>
          <w:bCs/>
          <w:sz w:val="24"/>
        </w:rPr>
        <w:t>投标活动中作如下说明：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仿宋" w:hAnsi="仿宋" w:eastAsia="仿宋" w:cs="仿宋"/>
          <w:sz w:val="24"/>
        </w:rPr>
      </w:pPr>
      <w:r>
        <w:rPr>
          <w:rFonts w:hint="eastAsia" w:ascii="仿宋" w:hAnsi="仿宋" w:eastAsia="仿宋" w:cs="仿宋"/>
          <w:sz w:val="24"/>
        </w:rPr>
        <w:t>特此说明。</w:t>
      </w:r>
    </w:p>
    <w:p>
      <w:pPr>
        <w:spacing w:line="360" w:lineRule="auto"/>
        <w:ind w:firstLine="494"/>
        <w:rPr>
          <w:rFonts w:ascii="仿宋" w:hAnsi="仿宋" w:eastAsia="仿宋" w:cs="仿宋"/>
          <w:sz w:val="24"/>
        </w:rPr>
      </w:pPr>
    </w:p>
    <w:p>
      <w:pPr>
        <w:spacing w:line="360" w:lineRule="auto"/>
        <w:ind w:firstLine="494"/>
        <w:rPr>
          <w:rFonts w:ascii="仿宋" w:hAnsi="仿宋" w:eastAsia="仿宋" w:cs="仿宋"/>
          <w:sz w:val="24"/>
        </w:rPr>
      </w:pPr>
    </w:p>
    <w:p>
      <w:pPr>
        <w:spacing w:line="360" w:lineRule="auto"/>
        <w:ind w:firstLine="494"/>
        <w:rPr>
          <w:rFonts w:ascii="仿宋" w:hAnsi="仿宋" w:eastAsia="仿宋" w:cs="仿宋"/>
          <w:sz w:val="24"/>
        </w:rPr>
      </w:pPr>
    </w:p>
    <w:p>
      <w:pPr>
        <w:spacing w:line="360" w:lineRule="auto"/>
        <w:ind w:firstLine="494"/>
        <w:rPr>
          <w:rFonts w:ascii="仿宋" w:hAnsi="仿宋" w:eastAsia="仿宋" w:cs="仿宋"/>
          <w:sz w:val="24"/>
        </w:rPr>
      </w:pPr>
    </w:p>
    <w:p>
      <w:pPr>
        <w:spacing w:line="360" w:lineRule="auto"/>
        <w:ind w:right="480" w:firstLine="4080" w:firstLineChars="1700"/>
        <w:rPr>
          <w:rFonts w:ascii="仿宋" w:hAnsi="仿宋" w:eastAsia="仿宋" w:cs="仿宋"/>
          <w:sz w:val="24"/>
        </w:rPr>
      </w:pPr>
      <w:r>
        <w:rPr>
          <w:rFonts w:hint="eastAsia" w:ascii="仿宋" w:hAnsi="仿宋" w:eastAsia="仿宋" w:cs="仿宋"/>
          <w:sz w:val="24"/>
        </w:rPr>
        <w:t>投标单位（法定名称章）：</w:t>
      </w:r>
    </w:p>
    <w:p>
      <w:pPr>
        <w:ind w:right="1440" w:firstLine="494"/>
        <w:jc w:val="center"/>
        <w:rPr>
          <w:rFonts w:ascii="仿宋" w:hAnsi="仿宋" w:eastAsia="仿宋" w:cs="仿宋"/>
          <w:sz w:val="24"/>
        </w:rPr>
      </w:pPr>
      <w:r>
        <w:rPr>
          <w:rFonts w:hint="eastAsia" w:ascii="仿宋" w:hAnsi="仿宋" w:eastAsia="仿宋" w:cs="仿宋"/>
          <w:sz w:val="24"/>
        </w:rPr>
        <w:t xml:space="preserve">                              日期：       年     月     日</w:t>
      </w:r>
    </w:p>
    <w:p>
      <w:pPr>
        <w:rPr>
          <w:rFonts w:ascii="仿宋" w:hAnsi="仿宋" w:eastAsia="仿宋" w:cs="仿宋"/>
          <w:sz w:val="24"/>
        </w:rPr>
      </w:pPr>
      <w:r>
        <w:rPr>
          <w:rFonts w:hint="eastAsia" w:ascii="仿宋" w:hAnsi="仿宋" w:eastAsia="仿宋" w:cs="仿宋"/>
          <w:b/>
          <w:bCs/>
          <w:sz w:val="24"/>
        </w:rPr>
        <w:t>附：</w:t>
      </w:r>
    </w:p>
    <w:p>
      <w:pPr>
        <w:spacing w:line="360" w:lineRule="auto"/>
        <w:rPr>
          <w:rFonts w:ascii="仿宋" w:hAnsi="仿宋" w:eastAsia="仿宋" w:cs="仿宋"/>
          <w:bCs/>
          <w:sz w:val="24"/>
        </w:rPr>
      </w:pPr>
      <w:r>
        <w:rPr>
          <w:rFonts w:ascii="仿宋" w:hAnsi="仿宋" w:eastAsia="仿宋" w:cs="仿宋"/>
          <w:b/>
          <w:bCs/>
          <w:sz w:val="24"/>
        </w:rPr>
        <mc:AlternateContent>
          <mc:Choice Requires="wps">
            <w:drawing>
              <wp:anchor distT="0" distB="0" distL="114300" distR="114300" simplePos="0" relativeHeight="251826176"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pPr>
                          </w:p>
                        </w:txbxContent>
                      </wps:txbx>
                      <wps:bodyPr upright="1"/>
                    </wps:wsp>
                  </a:graphicData>
                </a:graphic>
              </wp:anchor>
            </w:drawing>
          </mc:Choice>
          <mc:Fallback>
            <w:pict>
              <v:rect id="Rectangle 17" o:spid="_x0000_s1026" o:spt="1" style="position:absolute;left:0pt;margin-left:238.9pt;margin-top:28.05pt;height:177.45pt;width:212.95pt;z-index:-251490304;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HHP+MHYAAAACgEAAA8AAAAAAAAAAQAgAAAAIgAAAGRycy9kb3ducmV2&#10;LnhtbFBLAQIUABQAAAAIAIdO4kC7E4jX/AEAADwEAAAOAAAAAAAAAAEAIAAAACcBAABkcnMvZTJv&#10;RG9jLnhtbFBLBQYAAAAABgAGAFkBAACVBQAAAAA=&#10;">
                <v:fill on="t" focussize="0,0"/>
                <v:stroke color="#000000" joinstyle="miter"/>
                <v:imagedata o:title=""/>
                <o:lock v:ext="edit" aspectratio="f"/>
                <v:textbox>
                  <w:txbxContent>
                    <w:p>
                      <w:pPr>
                        <w:jc w:val="center"/>
                      </w:pPr>
                    </w:p>
                  </w:txbxContent>
                </v:textbox>
              </v:rect>
            </w:pict>
          </mc:Fallback>
        </mc:AlternateContent>
      </w:r>
      <w:r>
        <w:rPr>
          <w:rFonts w:ascii="仿宋" w:hAnsi="仿宋" w:eastAsia="仿宋" w:cs="仿宋"/>
          <w:b/>
          <w:bCs/>
          <w:sz w:val="24"/>
        </w:rPr>
        <mc:AlternateContent>
          <mc:Choice Requires="wps">
            <w:drawing>
              <wp:anchor distT="0" distB="0" distL="114300" distR="114300" simplePos="0" relativeHeight="251828224"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pPr>
                          </w:p>
                        </w:txbxContent>
                      </wps:txbx>
                      <wps:bodyPr upright="1"/>
                    </wps:wsp>
                  </a:graphicData>
                </a:graphic>
              </wp:anchor>
            </w:drawing>
          </mc:Choice>
          <mc:Fallback>
            <w:pict>
              <v:rect id="Rectangle 16" o:spid="_x0000_s1026" o:spt="1" style="position:absolute;left:0pt;margin-left:-7.2pt;margin-top:30.3pt;height:177.45pt;width:208.5pt;z-index:-25148825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ndOwWNgAAAAKAQAADwAAAAAAAAABACAAAAAiAAAAZHJzL2Rvd25y&#10;ZXYueG1sUEsBAhQAFAAAAAgAh07iQLTSBgX+AQAAPQQAAA4AAAAAAAAAAQAgAAAAJwEAAGRycy9l&#10;Mm9Eb2MueG1sUEsFBgAAAAAGAAYAWQEAAJcFAAAAAA==&#10;">
                <v:fill on="t" focussize="0,0"/>
                <v:stroke color="#000000" joinstyle="miter"/>
                <v:imagedata o:title=""/>
                <o:lock v:ext="edit" aspectratio="f"/>
                <v:textbox>
                  <w:txbxContent>
                    <w:p>
                      <w:pPr>
                        <w:jc w:val="center"/>
                      </w:pPr>
                    </w:p>
                  </w:txbxContent>
                </v:textbox>
              </v:rect>
            </w:pict>
          </mc:Fallback>
        </mc:AlternateContent>
      </w:r>
      <w:r>
        <w:rPr>
          <w:rFonts w:hint="eastAsia" w:ascii="仿宋" w:hAnsi="仿宋" w:eastAsia="仿宋" w:cs="仿宋"/>
          <w:sz w:val="24"/>
        </w:rPr>
        <w:t>投标单位法定名称章（印模）                投标单位“XX专用章”（印模）</w:t>
      </w: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spacing w:val="6"/>
          <w:sz w:val="32"/>
          <w:szCs w:val="32"/>
        </w:rPr>
      </w:pPr>
    </w:p>
    <w:p>
      <w:pPr>
        <w:autoSpaceDE w:val="0"/>
        <w:autoSpaceDN w:val="0"/>
        <w:jc w:val="center"/>
        <w:rPr>
          <w:rFonts w:ascii="仿宋" w:hAnsi="仿宋" w:eastAsia="仿宋" w:cs="仿宋"/>
          <w:b/>
          <w:bCs/>
          <w:sz w:val="32"/>
          <w:szCs w:val="32"/>
        </w:rPr>
      </w:pPr>
      <w:r>
        <w:rPr>
          <w:rFonts w:hint="eastAsia" w:ascii="仿宋" w:hAnsi="仿宋" w:eastAsia="仿宋" w:cs="仿宋"/>
          <w:b/>
          <w:spacing w:val="6"/>
          <w:sz w:val="32"/>
          <w:szCs w:val="32"/>
        </w:rPr>
        <w:t>附件5：</w:t>
      </w:r>
      <w:r>
        <w:rPr>
          <w:rFonts w:hint="eastAsia" w:ascii="仿宋" w:hAnsi="仿宋" w:eastAsia="仿宋" w:cs="仿宋"/>
          <w:b/>
          <w:sz w:val="32"/>
          <w:szCs w:val="32"/>
        </w:rPr>
        <w:t>中小企业声明函</w:t>
      </w:r>
    </w:p>
    <w:p>
      <w:pPr>
        <w:spacing w:line="360" w:lineRule="auto"/>
        <w:jc w:val="center"/>
        <w:rPr>
          <w:rFonts w:ascii="仿宋" w:hAnsi="仿宋" w:eastAsia="仿宋" w:cs="仿宋"/>
          <w:sz w:val="24"/>
          <w:u w:val="single"/>
        </w:rPr>
      </w:pPr>
    </w:p>
    <w:p>
      <w:pPr>
        <w:spacing w:line="360" w:lineRule="auto"/>
        <w:jc w:val="center"/>
        <w:rPr>
          <w:rFonts w:ascii="仿宋" w:hAnsi="仿宋" w:eastAsia="仿宋" w:cs="仿宋"/>
          <w:b/>
          <w:sz w:val="32"/>
          <w:szCs w:val="32"/>
        </w:rPr>
      </w:pPr>
      <w:r>
        <w:rPr>
          <w:rFonts w:hint="eastAsia" w:ascii="仿宋" w:hAnsi="仿宋" w:eastAsia="仿宋" w:cs="仿宋"/>
          <w:b/>
          <w:sz w:val="32"/>
          <w:szCs w:val="32"/>
        </w:rPr>
        <w:t>中小企业声明函（货物）</w:t>
      </w:r>
    </w:p>
    <w:p>
      <w:pPr>
        <w:spacing w:line="360" w:lineRule="auto"/>
        <w:ind w:firstLine="480" w:firstLineChars="200"/>
        <w:rPr>
          <w:rFonts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b/>
          <w:bCs/>
          <w:sz w:val="24"/>
          <w:u w:val="single"/>
        </w:rPr>
        <w:t>（单位名称）</w:t>
      </w:r>
      <w:r>
        <w:rPr>
          <w:rFonts w:hint="eastAsia" w:ascii="仿宋" w:hAnsi="仿宋" w:eastAsia="仿宋" w:cs="仿宋"/>
          <w:sz w:val="24"/>
        </w:rPr>
        <w:t xml:space="preserve"> 的</w:t>
      </w:r>
      <w:r>
        <w:rPr>
          <w:rFonts w:hint="eastAsia" w:ascii="仿宋" w:hAnsi="仿宋" w:eastAsia="仿宋" w:cs="仿宋"/>
          <w:b/>
          <w:bCs/>
          <w:sz w:val="24"/>
          <w:u w:val="single"/>
        </w:rPr>
        <w:t xml:space="preserve"> （项目名称）</w:t>
      </w:r>
      <w:r>
        <w:rPr>
          <w:rFonts w:hint="eastAsia" w:ascii="仿宋" w:hAnsi="仿宋" w:eastAsia="仿宋" w:cs="仿宋"/>
          <w:sz w:val="24"/>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w:t>
      </w:r>
      <w:r>
        <w:rPr>
          <w:rFonts w:hint="eastAsia" w:ascii="仿宋" w:hAnsi="仿宋" w:eastAsia="仿宋" w:cs="仿宋"/>
          <w:sz w:val="24"/>
          <w:u w:val="single"/>
        </w:rPr>
        <w:sym w:font="Wingdings" w:char="00A8"/>
      </w:r>
      <w:r>
        <w:rPr>
          <w:rFonts w:hint="eastAsia" w:ascii="仿宋" w:hAnsi="仿宋" w:eastAsia="仿宋" w:cs="仿宋"/>
          <w:sz w:val="24"/>
          <w:u w:val="single"/>
        </w:rPr>
        <w:t>中型企业、</w:t>
      </w:r>
      <w:r>
        <w:rPr>
          <w:rFonts w:hint="eastAsia" w:ascii="仿宋" w:hAnsi="仿宋" w:eastAsia="仿宋" w:cs="仿宋"/>
          <w:sz w:val="24"/>
          <w:u w:val="single"/>
        </w:rPr>
        <w:sym w:font="Wingdings" w:char="00A8"/>
      </w:r>
      <w:r>
        <w:rPr>
          <w:rFonts w:hint="eastAsia" w:ascii="仿宋" w:hAnsi="仿宋" w:eastAsia="仿宋" w:cs="仿宋"/>
          <w:sz w:val="24"/>
          <w:u w:val="single"/>
        </w:rPr>
        <w:t>小型企业、</w:t>
      </w:r>
      <w:r>
        <w:rPr>
          <w:rFonts w:hint="eastAsia" w:ascii="仿宋" w:hAnsi="仿宋" w:eastAsia="仿宋" w:cs="仿宋"/>
          <w:sz w:val="24"/>
          <w:u w:val="single"/>
        </w:rPr>
        <w:sym w:font="Wingdings" w:char="00A8"/>
      </w:r>
      <w:r>
        <w:rPr>
          <w:rFonts w:hint="eastAsia" w:ascii="仿宋" w:hAnsi="仿宋" w:eastAsia="仿宋" w:cs="仿宋"/>
          <w:sz w:val="24"/>
          <w:u w:val="single"/>
        </w:rPr>
        <w:t>微型企业）</w:t>
      </w:r>
      <w:r>
        <w:rPr>
          <w:rFonts w:hint="eastAsia" w:ascii="仿宋" w:hAnsi="仿宋" w:eastAsia="仿宋" w:cs="仿宋"/>
          <w:sz w:val="24"/>
        </w:rPr>
        <w:t xml:space="preserve"> ；</w:t>
      </w:r>
    </w:p>
    <w:p>
      <w:pPr>
        <w:spacing w:line="360" w:lineRule="auto"/>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w:t>
      </w:r>
      <w:r>
        <w:rPr>
          <w:rFonts w:hint="eastAsia" w:ascii="仿宋" w:hAnsi="仿宋" w:eastAsia="仿宋" w:cs="仿宋"/>
          <w:sz w:val="24"/>
          <w:u w:val="single"/>
        </w:rPr>
        <w:sym w:font="Wingdings" w:char="00A8"/>
      </w:r>
      <w:r>
        <w:rPr>
          <w:rFonts w:hint="eastAsia" w:ascii="仿宋" w:hAnsi="仿宋" w:eastAsia="仿宋" w:cs="仿宋"/>
          <w:sz w:val="24"/>
          <w:u w:val="single"/>
        </w:rPr>
        <w:t>中型企业、</w:t>
      </w:r>
      <w:r>
        <w:rPr>
          <w:rFonts w:hint="eastAsia" w:ascii="仿宋" w:hAnsi="仿宋" w:eastAsia="仿宋" w:cs="仿宋"/>
          <w:sz w:val="24"/>
          <w:u w:val="single"/>
        </w:rPr>
        <w:sym w:font="Wingdings" w:char="00A8"/>
      </w:r>
      <w:r>
        <w:rPr>
          <w:rFonts w:hint="eastAsia" w:ascii="仿宋" w:hAnsi="仿宋" w:eastAsia="仿宋" w:cs="仿宋"/>
          <w:sz w:val="24"/>
          <w:u w:val="single"/>
        </w:rPr>
        <w:t>小型企业、</w:t>
      </w:r>
      <w:r>
        <w:rPr>
          <w:rFonts w:hint="eastAsia" w:ascii="仿宋" w:hAnsi="仿宋" w:eastAsia="仿宋" w:cs="仿宋"/>
          <w:sz w:val="24"/>
          <w:u w:val="single"/>
        </w:rPr>
        <w:sym w:font="Wingdings" w:char="00A8"/>
      </w:r>
      <w:r>
        <w:rPr>
          <w:rFonts w:hint="eastAsia" w:ascii="仿宋" w:hAnsi="仿宋" w:eastAsia="仿宋" w:cs="仿宋"/>
          <w:sz w:val="24"/>
          <w:u w:val="single"/>
        </w:rPr>
        <w:t>微型企业）</w:t>
      </w:r>
      <w:r>
        <w:rPr>
          <w:rFonts w:hint="eastAsia" w:ascii="仿宋" w:hAnsi="仿宋" w:eastAsia="仿宋" w:cs="仿宋"/>
          <w:sz w:val="24"/>
        </w:rPr>
        <w:t xml:space="preserve"> ；</w:t>
      </w:r>
    </w:p>
    <w:p>
      <w:pPr>
        <w:spacing w:line="360" w:lineRule="auto"/>
        <w:ind w:firstLine="480" w:firstLineChars="200"/>
        <w:rPr>
          <w:rFonts w:ascii="仿宋" w:hAnsi="仿宋" w:eastAsia="仿宋" w:cs="仿宋"/>
          <w:sz w:val="24"/>
        </w:rPr>
      </w:pPr>
      <w:r>
        <w:rPr>
          <w:rFonts w:hint="eastAsia" w:ascii="仿宋" w:hAnsi="仿宋" w:eastAsia="仿宋" w:cs="仿宋"/>
          <w:sz w:val="24"/>
        </w:rPr>
        <w:t>……</w:t>
      </w:r>
    </w:p>
    <w:p>
      <w:pPr>
        <w:spacing w:line="360" w:lineRule="auto"/>
        <w:ind w:firstLine="480" w:firstLineChars="200"/>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pPr>
        <w:spacing w:line="360" w:lineRule="auto"/>
        <w:ind w:firstLine="480" w:firstLineChars="200"/>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pPr>
        <w:snapToGrid w:val="0"/>
        <w:spacing w:line="360" w:lineRule="auto"/>
        <w:ind w:firstLine="5160" w:firstLineChars="2150"/>
        <w:rPr>
          <w:rFonts w:ascii="仿宋" w:hAnsi="仿宋" w:eastAsia="仿宋" w:cs="仿宋"/>
          <w:kern w:val="0"/>
          <w:sz w:val="24"/>
          <w:lang w:val="zh-CN"/>
        </w:rPr>
      </w:pPr>
    </w:p>
    <w:p>
      <w:pPr>
        <w:snapToGrid w:val="0"/>
        <w:spacing w:line="360" w:lineRule="auto"/>
        <w:ind w:firstLine="5160" w:firstLineChars="2150"/>
        <w:rPr>
          <w:rFonts w:ascii="仿宋" w:hAnsi="仿宋" w:eastAsia="仿宋" w:cs="仿宋"/>
          <w:kern w:val="0"/>
          <w:sz w:val="24"/>
        </w:rPr>
      </w:pPr>
      <w:r>
        <w:rPr>
          <w:rFonts w:hint="eastAsia" w:ascii="仿宋" w:hAnsi="仿宋" w:eastAsia="仿宋" w:cs="仿宋"/>
          <w:kern w:val="0"/>
          <w:sz w:val="24"/>
          <w:lang w:val="zh-CN"/>
        </w:rPr>
        <w:t>投标人名称(电子签名)：</w:t>
      </w:r>
    </w:p>
    <w:p>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spacing w:line="360" w:lineRule="auto"/>
        <w:jc w:val="left"/>
        <w:rPr>
          <w:rFonts w:ascii="仿宋" w:hAnsi="仿宋" w:eastAsia="仿宋" w:cs="仿宋"/>
          <w:b/>
          <w:bCs/>
          <w:szCs w:val="21"/>
        </w:rPr>
      </w:pPr>
    </w:p>
    <w:p>
      <w:pPr>
        <w:spacing w:line="360" w:lineRule="auto"/>
        <w:jc w:val="left"/>
        <w:rPr>
          <w:rFonts w:ascii="仿宋" w:hAnsi="仿宋" w:eastAsia="仿宋" w:cs="仿宋"/>
          <w:b/>
          <w:bCs/>
          <w:szCs w:val="21"/>
        </w:rPr>
      </w:pPr>
      <w:r>
        <w:rPr>
          <w:rFonts w:hint="eastAsia" w:ascii="仿宋" w:hAnsi="仿宋" w:eastAsia="仿宋" w:cs="仿宋"/>
          <w:b/>
          <w:bCs/>
          <w:szCs w:val="21"/>
        </w:rPr>
        <w:t>从业人员、营业收入、资产总额填报上一年度数据，无上一年度数据的新成立企业可不填报。</w:t>
      </w:r>
    </w:p>
    <w:p>
      <w:pPr>
        <w:spacing w:line="360" w:lineRule="auto"/>
        <w:ind w:right="420" w:firstLine="480" w:firstLineChars="200"/>
        <w:rPr>
          <w:rFonts w:ascii="仿宋" w:hAnsi="仿宋" w:eastAsia="仿宋" w:cs="仿宋"/>
          <w:sz w:val="24"/>
        </w:rPr>
      </w:pPr>
    </w:p>
    <w:p>
      <w:pPr>
        <w:spacing w:line="360" w:lineRule="auto"/>
        <w:ind w:right="420" w:firstLine="480" w:firstLineChars="200"/>
        <w:rPr>
          <w:rFonts w:ascii="仿宋" w:hAnsi="仿宋" w:eastAsia="仿宋" w:cs="仿宋"/>
          <w:sz w:val="24"/>
        </w:rPr>
        <w:sectPr>
          <w:headerReference r:id="rId20" w:type="first"/>
          <w:footerReference r:id="rId23" w:type="first"/>
          <w:headerReference r:id="rId19" w:type="default"/>
          <w:footerReference r:id="rId21" w:type="default"/>
          <w:footerReference r:id="rId22" w:type="even"/>
          <w:pgSz w:w="11906" w:h="16838"/>
          <w:pgMar w:top="1276" w:right="1418" w:bottom="1247" w:left="1418" w:header="851" w:footer="992" w:gutter="0"/>
          <w:cols w:space="720" w:num="1"/>
          <w:titlePg/>
          <w:docGrid w:linePitch="312" w:charSpace="0"/>
        </w:sectPr>
      </w:pPr>
      <w:r>
        <w:rPr>
          <w:rFonts w:hint="eastAsia" w:ascii="仿宋" w:hAnsi="仿宋" w:eastAsia="仿宋" w:cs="仿宋"/>
          <w:sz w:val="24"/>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tbl>
      <w:tblPr>
        <w:tblStyle w:val="63"/>
        <w:tblW w:w="14811" w:type="dxa"/>
        <w:tblInd w:w="0" w:type="dxa"/>
        <w:tblLayout w:type="fixed"/>
        <w:tblCellMar>
          <w:top w:w="0" w:type="dxa"/>
          <w:left w:w="108" w:type="dxa"/>
          <w:bottom w:w="0" w:type="dxa"/>
          <w:right w:w="108" w:type="dxa"/>
        </w:tblCellMar>
      </w:tblPr>
      <w:tblGrid>
        <w:gridCol w:w="2178"/>
        <w:gridCol w:w="1383"/>
        <w:gridCol w:w="1575"/>
        <w:gridCol w:w="1550"/>
        <w:gridCol w:w="1182"/>
        <w:gridCol w:w="1387"/>
        <w:gridCol w:w="1425"/>
        <w:gridCol w:w="1010"/>
        <w:gridCol w:w="976"/>
        <w:gridCol w:w="2145"/>
      </w:tblGrid>
      <w:tr>
        <w:tblPrEx>
          <w:tblCellMar>
            <w:top w:w="0" w:type="dxa"/>
            <w:left w:w="108" w:type="dxa"/>
            <w:bottom w:w="0" w:type="dxa"/>
            <w:right w:w="108" w:type="dxa"/>
          </w:tblCellMar>
        </w:tblPrEx>
        <w:trPr>
          <w:trHeight w:val="235" w:hRule="atLeast"/>
        </w:trPr>
        <w:tc>
          <w:tcPr>
            <w:tcW w:w="14811" w:type="dxa"/>
            <w:gridSpan w:val="10"/>
            <w:tcMar>
              <w:top w:w="15" w:type="dxa"/>
              <w:left w:w="15" w:type="dxa"/>
              <w:bottom w:w="15" w:type="dxa"/>
              <w:right w:w="15" w:type="dxa"/>
            </w:tcMar>
            <w:vAlign w:val="bottom"/>
          </w:tcPr>
          <w:p>
            <w:pPr>
              <w:widowControl/>
              <w:jc w:val="center"/>
              <w:textAlignment w:val="bottom"/>
              <w:rPr>
                <w:rFonts w:ascii="仿宋" w:hAnsi="仿宋" w:eastAsia="仿宋" w:cs="仿宋"/>
                <w:b/>
                <w:sz w:val="32"/>
                <w:szCs w:val="32"/>
              </w:rPr>
            </w:pPr>
            <w:r>
              <w:rPr>
                <w:rFonts w:hint="eastAsia" w:ascii="仿宋" w:hAnsi="仿宋" w:eastAsia="仿宋" w:cs="仿宋"/>
                <w:b/>
                <w:kern w:val="0"/>
                <w:sz w:val="32"/>
                <w:szCs w:val="32"/>
              </w:rPr>
              <w:t>中小微行业划型标准规定</w:t>
            </w:r>
            <w:r>
              <w:rPr>
                <w:rFonts w:hint="eastAsia" w:ascii="仿宋" w:hAnsi="仿宋" w:eastAsia="仿宋" w:cs="仿宋"/>
                <w:b/>
                <w:kern w:val="0"/>
                <w:sz w:val="24"/>
              </w:rPr>
              <w:t>（根据工信部联企业〔2011〕300号制定）</w:t>
            </w:r>
          </w:p>
        </w:tc>
      </w:tr>
      <w:tr>
        <w:tblPrEx>
          <w:tblCellMar>
            <w:top w:w="0" w:type="dxa"/>
            <w:left w:w="108" w:type="dxa"/>
            <w:bottom w:w="0" w:type="dxa"/>
            <w:right w:w="108" w:type="dxa"/>
          </w:tblCellMar>
        </w:tblPrEx>
        <w:trPr>
          <w:trHeight w:val="212" w:hRule="atLeast"/>
        </w:trPr>
        <w:tc>
          <w:tcPr>
            <w:tcW w:w="217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pPr>
              <w:widowControl/>
              <w:jc w:val="center"/>
              <w:textAlignment w:val="center"/>
              <w:rPr>
                <w:rFonts w:ascii="仿宋" w:hAnsi="仿宋" w:eastAsia="仿宋" w:cs="仿宋"/>
                <w:b/>
                <w:sz w:val="24"/>
              </w:rPr>
            </w:pPr>
            <w:r>
              <w:rPr>
                <w:rFonts w:hint="eastAsia" w:ascii="仿宋" w:hAnsi="仿宋" w:eastAsia="仿宋" w:cs="仿宋"/>
                <w:b/>
                <w:kern w:val="0"/>
                <w:sz w:val="24"/>
              </w:rPr>
              <w:t>行业</w:t>
            </w:r>
          </w:p>
        </w:tc>
        <w:tc>
          <w:tcPr>
            <w:tcW w:w="4508"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center"/>
              <w:textAlignment w:val="bottom"/>
              <w:rPr>
                <w:rFonts w:ascii="仿宋" w:hAnsi="仿宋" w:eastAsia="仿宋" w:cs="仿宋"/>
                <w:b/>
                <w:sz w:val="24"/>
              </w:rPr>
            </w:pPr>
            <w:r>
              <w:rPr>
                <w:rFonts w:hint="eastAsia" w:ascii="仿宋" w:hAnsi="仿宋" w:eastAsia="仿宋" w:cs="仿宋"/>
                <w:b/>
                <w:kern w:val="0"/>
                <w:sz w:val="24"/>
              </w:rPr>
              <w:t>中型企业</w:t>
            </w:r>
          </w:p>
        </w:tc>
        <w:tc>
          <w:tcPr>
            <w:tcW w:w="399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center"/>
              <w:textAlignment w:val="bottom"/>
              <w:rPr>
                <w:rFonts w:ascii="仿宋" w:hAnsi="仿宋" w:eastAsia="仿宋" w:cs="仿宋"/>
                <w:b/>
                <w:sz w:val="24"/>
              </w:rPr>
            </w:pPr>
            <w:r>
              <w:rPr>
                <w:rFonts w:hint="eastAsia" w:ascii="仿宋" w:hAnsi="仿宋" w:eastAsia="仿宋" w:cs="仿宋"/>
                <w:b/>
                <w:kern w:val="0"/>
                <w:sz w:val="24"/>
              </w:rPr>
              <w:t>小型企业</w:t>
            </w:r>
          </w:p>
        </w:tc>
        <w:tc>
          <w:tcPr>
            <w:tcW w:w="4131"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center"/>
              <w:textAlignment w:val="bottom"/>
              <w:rPr>
                <w:rFonts w:ascii="仿宋" w:hAnsi="仿宋" w:eastAsia="仿宋" w:cs="仿宋"/>
                <w:b/>
                <w:sz w:val="24"/>
              </w:rPr>
            </w:pPr>
            <w:r>
              <w:rPr>
                <w:rFonts w:hint="eastAsia" w:ascii="仿宋" w:hAnsi="仿宋" w:eastAsia="仿宋" w:cs="仿宋"/>
                <w:b/>
                <w:kern w:val="0"/>
                <w:sz w:val="24"/>
              </w:rPr>
              <w:t>微型企业</w:t>
            </w:r>
          </w:p>
        </w:tc>
      </w:tr>
      <w:tr>
        <w:tblPrEx>
          <w:tblCellMar>
            <w:top w:w="0" w:type="dxa"/>
            <w:left w:w="108" w:type="dxa"/>
            <w:bottom w:w="0" w:type="dxa"/>
            <w:right w:w="108" w:type="dxa"/>
          </w:tblCellMar>
        </w:tblPrEx>
        <w:trPr>
          <w:trHeight w:val="314" w:hRule="atLeast"/>
        </w:trPr>
        <w:tc>
          <w:tcPr>
            <w:tcW w:w="217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pPr>
              <w:rPr>
                <w:rFonts w:ascii="仿宋" w:hAnsi="仿宋" w:eastAsia="仿宋" w:cs="仿宋"/>
              </w:rPr>
            </w:pP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从业人员X　　　（人）</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营业收入 Y    （万元）</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资产总额 Z　 （万元）</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从业人员X（人）</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营业收入Y　　（万元）</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资产总额Z　　（万元）</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从业人员X（人）</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营业收入Y（万元）</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资产总额Z（万元）</w:t>
            </w: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1、农林牧渔业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50≤Y＜500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2、工业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2000≤Y＜40000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300≤Y＜2000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3、建筑业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6000≤Y＜80000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5000≤Z＜80000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300≤Y＜6000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300≤Z＜5000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Z＜300</w:t>
            </w: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4、批发业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20≤X＜200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5000≤Y＜40000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5≤X＜20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1000≤Y＜5000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X＜5</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Y＜1000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5、零售业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50≤X＜300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10≤X＜50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6、交通运输业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3000≤Y＜30000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200≤Y＜3000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V＜200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7、仓储业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20≤X＜100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8、邮政业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2000≤Y＜30000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9、住宿业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10、餐饮业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V＜100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11、信息传输业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100≤X＜2000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1000≤Y＜100000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r>
      <w:tr>
        <w:tblPrEx>
          <w:tblCellMar>
            <w:top w:w="0" w:type="dxa"/>
            <w:left w:w="108" w:type="dxa"/>
            <w:bottom w:w="0" w:type="dxa"/>
            <w:right w:w="108" w:type="dxa"/>
          </w:tblCellMar>
        </w:tblPrEx>
        <w:trPr>
          <w:trHeight w:val="295"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12、软件和信息技术服务业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50≤Y＜1000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13、房地产开发经营</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1000≤Y＜200000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5000≤Z＜10000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2000≤Z＜5000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Z＜2000</w:t>
            </w: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14、物业管理</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1000≤Y＜5000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500≤Y＜1000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X＜100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Y＜500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15、租赁和商务服务业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8000≤Z＜120000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 xml:space="preserve"> 100≤Z＜8000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Z＜100</w:t>
            </w:r>
          </w:p>
        </w:tc>
      </w:tr>
      <w:tr>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12" w:space="0"/>
              <w:right w:val="single" w:color="000000" w:sz="12"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16、其他未列明行业</w:t>
            </w:r>
          </w:p>
        </w:tc>
        <w:tc>
          <w:tcPr>
            <w:tcW w:w="1383"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100≤X＜300</w:t>
            </w:r>
          </w:p>
        </w:tc>
        <w:tc>
          <w:tcPr>
            <w:tcW w:w="1575"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1550"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182"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10≤X＜100</w:t>
            </w:r>
          </w:p>
        </w:tc>
        <w:tc>
          <w:tcPr>
            <w:tcW w:w="1387"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142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c>
          <w:tcPr>
            <w:tcW w:w="1010"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X＜10</w:t>
            </w:r>
          </w:p>
        </w:tc>
        <w:tc>
          <w:tcPr>
            <w:tcW w:w="976"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pPr>
              <w:rPr>
                <w:rFonts w:ascii="仿宋" w:hAnsi="仿宋" w:eastAsia="仿宋" w:cs="仿宋"/>
                <w:sz w:val="20"/>
              </w:rPr>
            </w:pPr>
          </w:p>
        </w:tc>
        <w:tc>
          <w:tcPr>
            <w:tcW w:w="214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pPr>
              <w:rPr>
                <w:rFonts w:ascii="仿宋" w:hAnsi="仿宋" w:eastAsia="仿宋" w:cs="仿宋"/>
                <w:sz w:val="20"/>
              </w:rPr>
            </w:pPr>
          </w:p>
        </w:tc>
      </w:tr>
      <w:tr>
        <w:tblPrEx>
          <w:tblCellMar>
            <w:top w:w="0" w:type="dxa"/>
            <w:left w:w="108" w:type="dxa"/>
            <w:bottom w:w="0" w:type="dxa"/>
            <w:right w:w="108" w:type="dxa"/>
          </w:tblCellMar>
        </w:tblPrEx>
        <w:trPr>
          <w:trHeight w:val="187" w:hRule="atLeast"/>
        </w:trPr>
        <w:tc>
          <w:tcPr>
            <w:tcW w:w="14811" w:type="dxa"/>
            <w:gridSpan w:val="10"/>
            <w:tcMar>
              <w:top w:w="15" w:type="dxa"/>
              <w:left w:w="15" w:type="dxa"/>
              <w:bottom w:w="15" w:type="dxa"/>
              <w:right w:w="15" w:type="dxa"/>
            </w:tcMar>
            <w:vAlign w:val="bottom"/>
          </w:tcPr>
          <w:p>
            <w:pPr>
              <w:widowControl/>
              <w:jc w:val="left"/>
              <w:textAlignment w:val="bottom"/>
              <w:rPr>
                <w:rFonts w:ascii="仿宋" w:hAnsi="仿宋" w:eastAsia="仿宋" w:cs="仿宋"/>
                <w:sz w:val="20"/>
              </w:rPr>
            </w:pPr>
            <w:r>
              <w:rPr>
                <w:rFonts w:hint="eastAsia" w:ascii="仿宋" w:hAnsi="仿宋" w:eastAsia="仿宋" w:cs="仿宋"/>
                <w:kern w:val="0"/>
                <w:sz w:val="20"/>
              </w:rPr>
              <w:t>说明　1、企业类型的划分以统计部门的统计数据为依据。2、个体工商户和本规定以外的行业，参照本规定进行划型。3、本规定的中型企业标准上限即为大型企业标准的下限。</w:t>
            </w:r>
          </w:p>
        </w:tc>
      </w:tr>
    </w:tbl>
    <w:p>
      <w:pPr>
        <w:pStyle w:val="2"/>
        <w:rPr>
          <w:rFonts w:ascii="仿宋" w:eastAsia="仿宋" w:cs="仿宋"/>
        </w:rPr>
        <w:sectPr>
          <w:headerReference r:id="rId25" w:type="first"/>
          <w:footerReference r:id="rId27" w:type="first"/>
          <w:headerReference r:id="rId24" w:type="default"/>
          <w:footerReference r:id="rId26" w:type="default"/>
          <w:pgSz w:w="16838" w:h="11905" w:orient="landscape"/>
          <w:pgMar w:top="1417" w:right="1276" w:bottom="1417" w:left="1247" w:header="851" w:footer="992" w:gutter="0"/>
          <w:cols w:space="0" w:num="1"/>
          <w:titlePg/>
          <w:docGrid w:linePitch="312" w:charSpace="0"/>
        </w:sectPr>
      </w:pPr>
    </w:p>
    <w:p>
      <w:pPr>
        <w:rPr>
          <w:rFonts w:ascii="仿宋" w:hAnsi="仿宋" w:eastAsia="仿宋" w:cs="仿宋"/>
        </w:rPr>
      </w:pPr>
    </w:p>
    <w:p>
      <w:pPr>
        <w:rPr>
          <w:rFonts w:ascii="仿宋" w:hAnsi="仿宋" w:eastAsia="仿宋" w:cs="仿宋"/>
          <w:b/>
          <w:sz w:val="48"/>
          <w:szCs w:val="48"/>
        </w:rPr>
      </w:pPr>
      <w:r>
        <w:rPr>
          <w:rFonts w:hint="eastAsia" w:ascii="仿宋" w:hAnsi="仿宋" w:eastAsia="仿宋" w:cs="仿宋"/>
          <w:sz w:val="30"/>
          <w:szCs w:val="30"/>
        </w:rPr>
        <w:t>附件（中标后提供）：</w:t>
      </w:r>
    </w:p>
    <w:p>
      <w:pPr>
        <w:jc w:val="center"/>
        <w:rPr>
          <w:rFonts w:ascii="仿宋" w:hAnsi="仿宋" w:eastAsia="仿宋" w:cs="仿宋"/>
          <w:b/>
          <w:sz w:val="48"/>
          <w:szCs w:val="48"/>
        </w:rPr>
      </w:pPr>
    </w:p>
    <w:p>
      <w:pPr>
        <w:jc w:val="center"/>
        <w:rPr>
          <w:rFonts w:ascii="仿宋" w:hAnsi="仿宋" w:eastAsia="仿宋" w:cs="仿宋"/>
          <w:b/>
          <w:sz w:val="48"/>
          <w:szCs w:val="48"/>
        </w:rPr>
      </w:pPr>
      <w:r>
        <w:rPr>
          <w:rFonts w:hint="eastAsia" w:ascii="仿宋" w:hAnsi="仿宋" w:eastAsia="仿宋" w:cs="仿宋"/>
          <w:b/>
          <w:sz w:val="48"/>
          <w:szCs w:val="48"/>
        </w:rPr>
        <w:t>承 诺 书</w:t>
      </w:r>
    </w:p>
    <w:p>
      <w:pPr>
        <w:rPr>
          <w:rFonts w:ascii="仿宋" w:hAnsi="仿宋" w:eastAsia="仿宋" w:cs="仿宋"/>
          <w:sz w:val="30"/>
          <w:szCs w:val="30"/>
        </w:rPr>
      </w:pPr>
    </w:p>
    <w:p>
      <w:pPr>
        <w:rPr>
          <w:rFonts w:ascii="仿宋" w:hAnsi="仿宋" w:eastAsia="仿宋" w:cs="仿宋"/>
          <w:sz w:val="30"/>
          <w:szCs w:val="30"/>
        </w:rPr>
      </w:pPr>
      <w:r>
        <w:rPr>
          <w:rFonts w:hint="eastAsia" w:ascii="仿宋" w:hAnsi="仿宋" w:eastAsia="仿宋" w:cs="仿宋"/>
          <w:sz w:val="30"/>
          <w:szCs w:val="30"/>
          <w:u w:val="single"/>
        </w:rPr>
        <w:t xml:space="preserve">耀华建设管理有限公司 </w:t>
      </w:r>
      <w:r>
        <w:rPr>
          <w:rFonts w:hint="eastAsia" w:ascii="仿宋" w:hAnsi="仿宋" w:eastAsia="仿宋" w:cs="仿宋"/>
          <w:sz w:val="30"/>
          <w:szCs w:val="30"/>
        </w:rPr>
        <w:t>：</w:t>
      </w:r>
    </w:p>
    <w:p>
      <w:pPr>
        <w:spacing w:line="780" w:lineRule="exact"/>
        <w:ind w:firstLine="600" w:firstLineChars="200"/>
        <w:rPr>
          <w:rFonts w:ascii="仿宋" w:hAnsi="仿宋" w:eastAsia="仿宋" w:cs="仿宋"/>
          <w:sz w:val="30"/>
          <w:szCs w:val="30"/>
        </w:rPr>
      </w:pPr>
      <w:r>
        <w:rPr>
          <w:rFonts w:hint="eastAsia" w:ascii="仿宋" w:hAnsi="仿宋" w:eastAsia="仿宋" w:cs="仿宋"/>
          <w:sz w:val="30"/>
          <w:szCs w:val="30"/>
        </w:rPr>
        <w:t>我单位参与投标的</w:t>
      </w:r>
      <w:r>
        <w:rPr>
          <w:rFonts w:hint="eastAsia" w:ascii="仿宋" w:hAnsi="仿宋" w:eastAsia="仿宋" w:cs="仿宋"/>
          <w:sz w:val="30"/>
          <w:szCs w:val="30"/>
          <w:u w:val="single"/>
        </w:rPr>
        <w:t xml:space="preserve">   （项目名称）   </w:t>
      </w:r>
      <w:r>
        <w:rPr>
          <w:rFonts w:hint="eastAsia" w:ascii="仿宋" w:hAnsi="仿宋" w:eastAsia="仿宋" w:cs="仿宋"/>
          <w:sz w:val="30"/>
          <w:szCs w:val="30"/>
        </w:rPr>
        <w:t>有幸中标，考虑本项目备案事宜，故由我单位再提供纸质版电子投标文件一式三份（正本一份红章版，副本二份，可为正本复印件）递交给招标代理机构备案，本公司承诺：</w:t>
      </w:r>
    </w:p>
    <w:p>
      <w:pPr>
        <w:spacing w:line="780" w:lineRule="exact"/>
        <w:ind w:firstLine="600" w:firstLineChars="200"/>
        <w:rPr>
          <w:rFonts w:ascii="仿宋" w:hAnsi="仿宋" w:eastAsia="仿宋" w:cs="仿宋"/>
          <w:sz w:val="30"/>
          <w:szCs w:val="30"/>
        </w:rPr>
      </w:pPr>
      <w:r>
        <w:rPr>
          <w:rFonts w:hint="eastAsia" w:ascii="仿宋" w:hAnsi="仿宋" w:eastAsia="仿宋" w:cs="仿宋"/>
          <w:sz w:val="30"/>
          <w:szCs w:val="30"/>
        </w:rPr>
        <w:t>本单位提交给招标代理机构备案的</w:t>
      </w:r>
      <w:r>
        <w:rPr>
          <w:rFonts w:hint="eastAsia" w:ascii="仿宋" w:hAnsi="仿宋" w:eastAsia="仿宋" w:cs="仿宋"/>
          <w:sz w:val="30"/>
          <w:szCs w:val="30"/>
          <w:u w:val="single"/>
        </w:rPr>
        <w:t>投标文件纸质版</w:t>
      </w:r>
      <w:r>
        <w:rPr>
          <w:rFonts w:hint="eastAsia" w:ascii="仿宋" w:hAnsi="仿宋" w:eastAsia="仿宋" w:cs="仿宋"/>
          <w:sz w:val="30"/>
          <w:szCs w:val="30"/>
        </w:rPr>
        <w:t>与</w:t>
      </w:r>
      <w:r>
        <w:rPr>
          <w:rFonts w:hint="eastAsia" w:ascii="仿宋" w:hAnsi="仿宋" w:eastAsia="仿宋" w:cs="仿宋"/>
          <w:sz w:val="30"/>
          <w:szCs w:val="30"/>
          <w:u w:val="single"/>
        </w:rPr>
        <w:t>电子投标文件</w:t>
      </w:r>
      <w:r>
        <w:rPr>
          <w:rFonts w:hint="eastAsia" w:ascii="仿宋" w:hAnsi="仿宋" w:eastAsia="仿宋" w:cs="仿宋"/>
          <w:sz w:val="30"/>
          <w:szCs w:val="30"/>
        </w:rPr>
        <w:t>内容均一致，如不一致导致的任何法律责任自负。特此承诺！</w:t>
      </w:r>
    </w:p>
    <w:p>
      <w:pPr>
        <w:spacing w:line="780" w:lineRule="exact"/>
        <w:ind w:firstLine="450" w:firstLineChars="150"/>
        <w:rPr>
          <w:rFonts w:ascii="仿宋" w:hAnsi="仿宋" w:eastAsia="仿宋" w:cs="仿宋"/>
          <w:sz w:val="30"/>
          <w:szCs w:val="30"/>
        </w:rPr>
      </w:pPr>
    </w:p>
    <w:p>
      <w:pPr>
        <w:spacing w:line="780" w:lineRule="exact"/>
        <w:rPr>
          <w:rFonts w:ascii="仿宋" w:hAnsi="仿宋" w:eastAsia="仿宋" w:cs="仿宋"/>
          <w:sz w:val="30"/>
          <w:szCs w:val="30"/>
        </w:rPr>
      </w:pPr>
    </w:p>
    <w:p>
      <w:pPr>
        <w:spacing w:line="780" w:lineRule="exact"/>
        <w:rPr>
          <w:rFonts w:ascii="仿宋" w:hAnsi="仿宋" w:eastAsia="仿宋" w:cs="仿宋"/>
          <w:sz w:val="30"/>
          <w:szCs w:val="30"/>
        </w:rPr>
      </w:pPr>
    </w:p>
    <w:p>
      <w:pPr>
        <w:spacing w:line="780" w:lineRule="exact"/>
        <w:rPr>
          <w:rFonts w:ascii="仿宋" w:hAnsi="仿宋" w:eastAsia="仿宋" w:cs="仿宋"/>
          <w:sz w:val="30"/>
          <w:szCs w:val="30"/>
        </w:rPr>
      </w:pPr>
      <w:r>
        <w:rPr>
          <w:rFonts w:hint="eastAsia" w:ascii="仿宋" w:hAnsi="仿宋" w:eastAsia="仿宋" w:cs="仿宋"/>
          <w:sz w:val="30"/>
          <w:szCs w:val="30"/>
        </w:rPr>
        <w:t>投标人名称（盖公章）：</w:t>
      </w:r>
    </w:p>
    <w:p>
      <w:pPr>
        <w:spacing w:line="780" w:lineRule="exact"/>
        <w:ind w:firstLine="5850" w:firstLineChars="1950"/>
        <w:rPr>
          <w:rFonts w:ascii="仿宋" w:hAnsi="仿宋" w:eastAsia="仿宋" w:cs="仿宋"/>
          <w:sz w:val="30"/>
          <w:szCs w:val="30"/>
        </w:rPr>
      </w:pPr>
      <w:r>
        <w:rPr>
          <w:rFonts w:hint="eastAsia" w:ascii="仿宋" w:hAnsi="仿宋" w:eastAsia="仿宋" w:cs="仿宋"/>
          <w:sz w:val="30"/>
          <w:szCs w:val="30"/>
        </w:rPr>
        <w:t>2023年   月   日</w:t>
      </w:r>
    </w:p>
    <w:p>
      <w:pPr>
        <w:spacing w:line="360" w:lineRule="auto"/>
        <w:ind w:firstLine="480" w:firstLineChars="200"/>
        <w:rPr>
          <w:rFonts w:ascii="仿宋" w:hAnsi="仿宋" w:eastAsia="仿宋" w:cs="仿宋"/>
          <w:color w:val="000000"/>
          <w:sz w:val="24"/>
        </w:rPr>
      </w:pPr>
    </w:p>
    <w:p>
      <w:pPr>
        <w:rPr>
          <w:rFonts w:ascii="仿宋" w:hAnsi="仿宋" w:eastAsia="仿宋" w:cs="仿宋"/>
        </w:rPr>
      </w:pPr>
    </w:p>
    <w:p>
      <w:pPr>
        <w:pStyle w:val="24"/>
        <w:ind w:firstLine="0"/>
        <w:rPr>
          <w:rFonts w:ascii="仿宋" w:hAnsi="仿宋" w:eastAsia="仿宋" w:cs="仿宋"/>
        </w:rPr>
      </w:pPr>
    </w:p>
    <w:p>
      <w:pPr>
        <w:pStyle w:val="2"/>
        <w:rPr>
          <w:rFonts w:ascii="仿宋" w:eastAsia="仿宋" w:cs="仿宋"/>
          <w:lang w:val="en-US"/>
        </w:rPr>
      </w:pPr>
    </w:p>
    <w:p>
      <w:pPr>
        <w:rPr>
          <w:rFonts w:ascii="仿宋" w:hAnsi="仿宋" w:eastAsia="仿宋" w:cs="仿宋"/>
        </w:rPr>
      </w:pPr>
    </w:p>
    <w:p>
      <w:pPr>
        <w:pStyle w:val="971"/>
        <w:numPr>
          <w:ilvl w:val="255"/>
          <w:numId w:val="0"/>
        </w:numPr>
        <w:snapToGrid w:val="0"/>
        <w:spacing w:before="120" w:after="120"/>
        <w:rPr>
          <w:rFonts w:ascii="仿宋" w:hAnsi="仿宋" w:eastAsia="仿宋" w:cs="仿宋"/>
          <w:b/>
          <w:sz w:val="28"/>
          <w:szCs w:val="28"/>
          <w:highlight w:val="yellow"/>
        </w:rPr>
      </w:pPr>
    </w:p>
    <w:p>
      <w:pPr>
        <w:pStyle w:val="971"/>
        <w:numPr>
          <w:ilvl w:val="255"/>
          <w:numId w:val="0"/>
        </w:numPr>
        <w:snapToGrid w:val="0"/>
        <w:spacing w:before="120" w:after="120"/>
        <w:rPr>
          <w:rFonts w:ascii="仿宋" w:hAnsi="仿宋" w:eastAsia="仿宋" w:cs="仿宋"/>
          <w:b/>
          <w:sz w:val="28"/>
          <w:szCs w:val="28"/>
          <w:highlight w:val="yellow"/>
        </w:rPr>
      </w:pPr>
    </w:p>
    <w:p>
      <w:pPr>
        <w:pStyle w:val="971"/>
        <w:numPr>
          <w:ilvl w:val="255"/>
          <w:numId w:val="0"/>
        </w:numPr>
        <w:snapToGrid w:val="0"/>
        <w:spacing w:before="120" w:after="120"/>
        <w:rPr>
          <w:rFonts w:ascii="仿宋" w:hAnsi="仿宋" w:eastAsia="仿宋" w:cs="仿宋"/>
          <w:b/>
          <w:sz w:val="28"/>
          <w:szCs w:val="28"/>
          <w:highlight w:val="yellow"/>
        </w:rPr>
      </w:pPr>
      <w:r>
        <w:rPr>
          <w:rFonts w:hint="eastAsia" w:ascii="仿宋" w:hAnsi="仿宋" w:eastAsia="仿宋" w:cs="仿宋"/>
          <w:b/>
          <w:sz w:val="28"/>
          <w:szCs w:val="28"/>
          <w:highlight w:val="yellow"/>
        </w:rPr>
        <w:t>确认声明书（将以下表格填写完成后，与投标文件同步制作递交）</w:t>
      </w:r>
    </w:p>
    <w:p>
      <w:pPr>
        <w:pStyle w:val="971"/>
        <w:snapToGrid w:val="0"/>
        <w:spacing w:before="120" w:after="120"/>
        <w:jc w:val="center"/>
        <w:rPr>
          <w:rFonts w:ascii="仿宋" w:hAnsi="仿宋" w:eastAsia="仿宋" w:cs="仿宋"/>
          <w:kern w:val="0"/>
          <w:sz w:val="21"/>
          <w:szCs w:val="21"/>
        </w:rPr>
      </w:pPr>
      <w:r>
        <w:rPr>
          <w:rFonts w:hint="eastAsia" w:ascii="仿宋" w:hAnsi="仿宋" w:eastAsia="仿宋" w:cs="仿宋"/>
          <w:b/>
        </w:rPr>
        <w:t>（要求在电子投标文件解密后，自行核实下述承诺内容，如有不符，重新联系代理公司重新按新的内容邮箱递交）</w:t>
      </w:r>
    </w:p>
    <w:p>
      <w:pPr>
        <w:pStyle w:val="971"/>
        <w:snapToGrid w:val="0"/>
        <w:spacing w:before="120" w:after="120"/>
        <w:jc w:val="center"/>
        <w:rPr>
          <w:rFonts w:ascii="仿宋" w:hAnsi="仿宋" w:eastAsia="仿宋" w:cs="仿宋"/>
          <w:b/>
          <w:sz w:val="32"/>
          <w:szCs w:val="32"/>
        </w:rPr>
      </w:pPr>
    </w:p>
    <w:p>
      <w:pPr>
        <w:pStyle w:val="971"/>
        <w:snapToGrid w:val="0"/>
        <w:spacing w:before="120" w:after="120"/>
        <w:jc w:val="center"/>
        <w:rPr>
          <w:rFonts w:ascii="仿宋" w:hAnsi="仿宋" w:eastAsia="仿宋" w:cs="仿宋"/>
          <w:b/>
          <w:sz w:val="32"/>
          <w:szCs w:val="32"/>
        </w:rPr>
      </w:pPr>
      <w:r>
        <w:rPr>
          <w:rFonts w:hint="eastAsia" w:ascii="仿宋" w:hAnsi="仿宋" w:eastAsia="仿宋" w:cs="仿宋"/>
          <w:b/>
          <w:sz w:val="32"/>
          <w:szCs w:val="32"/>
        </w:rPr>
        <w:t>政府采购活动现场确认声明书</w:t>
      </w:r>
    </w:p>
    <w:p>
      <w:pPr>
        <w:pStyle w:val="971"/>
        <w:snapToGrid w:val="0"/>
        <w:spacing w:before="120" w:after="120" w:line="380" w:lineRule="exact"/>
        <w:rPr>
          <w:rFonts w:ascii="仿宋" w:hAnsi="仿宋" w:eastAsia="仿宋" w:cs="仿宋"/>
          <w:b/>
          <w:sz w:val="21"/>
          <w:szCs w:val="21"/>
        </w:rPr>
      </w:pPr>
      <w:r>
        <w:rPr>
          <w:rFonts w:hint="eastAsia" w:ascii="仿宋" w:hAnsi="仿宋" w:eastAsia="仿宋" w:cs="仿宋"/>
          <w:kern w:val="0"/>
          <w:sz w:val="21"/>
          <w:szCs w:val="21"/>
          <w:u w:val="single"/>
        </w:rPr>
        <w:t xml:space="preserve">     采购人、代理机构        </w:t>
      </w:r>
      <w:r>
        <w:rPr>
          <w:rFonts w:hint="eastAsia" w:ascii="仿宋" w:hAnsi="仿宋" w:eastAsia="仿宋" w:cs="仿宋"/>
          <w:kern w:val="0"/>
          <w:sz w:val="21"/>
          <w:szCs w:val="21"/>
        </w:rPr>
        <w:t>：</w:t>
      </w:r>
    </w:p>
    <w:p>
      <w:pPr>
        <w:pStyle w:val="971"/>
        <w:snapToGrid w:val="0"/>
        <w:spacing w:before="120" w:after="120" w:line="380" w:lineRule="exact"/>
        <w:ind w:firstLine="444" w:firstLineChars="200"/>
        <w:rPr>
          <w:rFonts w:ascii="仿宋" w:hAnsi="仿宋" w:eastAsia="仿宋" w:cs="仿宋"/>
          <w:spacing w:val="6"/>
          <w:sz w:val="21"/>
          <w:szCs w:val="21"/>
        </w:rPr>
      </w:pPr>
      <w:r>
        <w:rPr>
          <w:rFonts w:hint="eastAsia" w:ascii="仿宋" w:hAnsi="仿宋" w:eastAsia="仿宋" w:cs="仿宋"/>
          <w:spacing w:val="6"/>
          <w:sz w:val="21"/>
          <w:szCs w:val="21"/>
        </w:rPr>
        <w:t>本人经由</w:t>
      </w:r>
      <w:r>
        <w:rPr>
          <w:rFonts w:hint="eastAsia" w:ascii="仿宋" w:hAnsi="仿宋" w:eastAsia="仿宋" w:cs="仿宋"/>
          <w:spacing w:val="6"/>
          <w:sz w:val="21"/>
          <w:szCs w:val="21"/>
          <w:u w:val="single"/>
        </w:rPr>
        <w:t xml:space="preserve">                  （单位）</w:t>
      </w:r>
      <w:r>
        <w:rPr>
          <w:rFonts w:hint="eastAsia" w:ascii="仿宋" w:hAnsi="仿宋" w:eastAsia="仿宋" w:cs="仿宋"/>
          <w:spacing w:val="6"/>
          <w:sz w:val="21"/>
          <w:szCs w:val="21"/>
        </w:rPr>
        <w:t>负责人</w:t>
      </w:r>
      <w:r>
        <w:rPr>
          <w:rFonts w:hint="eastAsia" w:ascii="仿宋" w:hAnsi="仿宋" w:eastAsia="仿宋" w:cs="仿宋"/>
          <w:spacing w:val="6"/>
          <w:sz w:val="21"/>
          <w:szCs w:val="21"/>
          <w:u w:val="single"/>
        </w:rPr>
        <w:t xml:space="preserve">        （姓名）</w:t>
      </w:r>
      <w:r>
        <w:rPr>
          <w:rFonts w:hint="eastAsia" w:ascii="仿宋" w:hAnsi="仿宋" w:eastAsia="仿宋" w:cs="仿宋"/>
          <w:spacing w:val="6"/>
          <w:sz w:val="21"/>
          <w:szCs w:val="21"/>
        </w:rPr>
        <w:t>合法授权参加</w:t>
      </w:r>
      <w:r>
        <w:rPr>
          <w:rFonts w:hint="eastAsia" w:ascii="仿宋" w:hAnsi="仿宋" w:eastAsia="仿宋" w:cs="仿宋"/>
          <w:spacing w:val="6"/>
          <w:sz w:val="21"/>
          <w:szCs w:val="21"/>
          <w:u w:val="single"/>
        </w:rPr>
        <w:t xml:space="preserve">                </w:t>
      </w:r>
      <w:r>
        <w:rPr>
          <w:rFonts w:hint="eastAsia" w:ascii="仿宋" w:hAnsi="仿宋" w:eastAsia="仿宋" w:cs="仿宋"/>
          <w:spacing w:val="6"/>
          <w:sz w:val="21"/>
          <w:szCs w:val="21"/>
        </w:rPr>
        <w:t>项目（编号：</w:t>
      </w:r>
      <w:r>
        <w:rPr>
          <w:rFonts w:hint="eastAsia" w:ascii="仿宋" w:hAnsi="仿宋" w:eastAsia="仿宋" w:cs="仿宋"/>
          <w:spacing w:val="6"/>
          <w:sz w:val="21"/>
          <w:szCs w:val="21"/>
          <w:u w:val="single"/>
        </w:rPr>
        <w:t xml:space="preserve">        </w:t>
      </w:r>
      <w:r>
        <w:rPr>
          <w:rFonts w:hint="eastAsia" w:ascii="仿宋" w:hAnsi="仿宋" w:eastAsia="仿宋" w:cs="仿宋"/>
          <w:spacing w:val="6"/>
          <w:sz w:val="21"/>
          <w:szCs w:val="21"/>
        </w:rPr>
        <w:t xml:space="preserve">）政府采购活动，经与本单位法人代表（负责人）联系确认，现就有关公平竞争事项郑重声明如下： </w:t>
      </w:r>
    </w:p>
    <w:p>
      <w:pPr>
        <w:pStyle w:val="972"/>
        <w:widowControl/>
        <w:numPr>
          <w:ilvl w:val="0"/>
          <w:numId w:val="5"/>
        </w:numPr>
        <w:snapToGrid w:val="0"/>
        <w:spacing w:line="380" w:lineRule="exact"/>
        <w:ind w:firstLine="396" w:firstLineChars="189"/>
        <w:rPr>
          <w:rFonts w:hint="default" w:ascii="仿宋" w:hAnsi="仿宋" w:eastAsia="仿宋" w:cs="仿宋"/>
          <w:kern w:val="0"/>
          <w:szCs w:val="21"/>
        </w:rPr>
      </w:pPr>
      <w:r>
        <w:rPr>
          <w:rFonts w:ascii="仿宋" w:hAnsi="仿宋" w:eastAsia="仿宋" w:cs="仿宋"/>
          <w:kern w:val="0"/>
          <w:szCs w:val="21"/>
        </w:rPr>
        <w:t>本单位与采购人之间 □不存在利害关系 □存在下列利害关系</w:t>
      </w:r>
      <w:r>
        <w:rPr>
          <w:rFonts w:ascii="仿宋" w:hAnsi="仿宋" w:eastAsia="仿宋" w:cs="仿宋"/>
          <w:kern w:val="0"/>
          <w:szCs w:val="21"/>
          <w:u w:val="single"/>
        </w:rPr>
        <w:t xml:space="preserve">           </w:t>
      </w:r>
      <w:r>
        <w:rPr>
          <w:rFonts w:ascii="仿宋" w:hAnsi="仿宋" w:eastAsia="仿宋" w:cs="仿宋"/>
          <w:kern w:val="0"/>
          <w:szCs w:val="21"/>
        </w:rPr>
        <w:t>：</w:t>
      </w:r>
    </w:p>
    <w:p>
      <w:pPr>
        <w:pStyle w:val="972"/>
        <w:widowControl/>
        <w:snapToGrid w:val="0"/>
        <w:spacing w:line="380" w:lineRule="exact"/>
        <w:rPr>
          <w:rFonts w:hint="default" w:ascii="仿宋" w:hAnsi="仿宋" w:eastAsia="仿宋" w:cs="仿宋"/>
          <w:kern w:val="0"/>
          <w:szCs w:val="21"/>
        </w:rPr>
      </w:pPr>
      <w:r>
        <w:rPr>
          <w:rFonts w:ascii="仿宋" w:hAnsi="仿宋" w:eastAsia="仿宋" w:cs="仿宋"/>
          <w:kern w:val="0"/>
          <w:szCs w:val="21"/>
        </w:rPr>
        <w:t xml:space="preserve">  A.投资关系    B.行政隶属关系    C.业务指导关系</w:t>
      </w:r>
    </w:p>
    <w:p>
      <w:pPr>
        <w:pStyle w:val="972"/>
        <w:widowControl/>
        <w:snapToGrid w:val="0"/>
        <w:spacing w:line="380" w:lineRule="exact"/>
        <w:rPr>
          <w:rFonts w:hint="default" w:ascii="仿宋" w:hAnsi="仿宋" w:eastAsia="仿宋" w:cs="仿宋"/>
          <w:kern w:val="0"/>
          <w:szCs w:val="21"/>
        </w:rPr>
      </w:pPr>
      <w:r>
        <w:rPr>
          <w:rFonts w:ascii="仿宋" w:hAnsi="仿宋" w:eastAsia="仿宋" w:cs="仿宋"/>
          <w:kern w:val="0"/>
          <w:szCs w:val="21"/>
        </w:rPr>
        <w:t xml:space="preserve">  D.其他可能</w:t>
      </w:r>
      <w:r>
        <w:rPr>
          <w:rFonts w:ascii="仿宋" w:hAnsi="仿宋" w:eastAsia="仿宋" w:cs="仿宋"/>
          <w:szCs w:val="21"/>
        </w:rPr>
        <w:t>影响采购公正的</w:t>
      </w:r>
      <w:r>
        <w:rPr>
          <w:rFonts w:ascii="仿宋" w:hAnsi="仿宋" w:eastAsia="仿宋" w:cs="仿宋"/>
          <w:kern w:val="0"/>
          <w:szCs w:val="21"/>
        </w:rPr>
        <w:t>利害关系</w:t>
      </w:r>
      <w:r>
        <w:rPr>
          <w:rFonts w:ascii="仿宋" w:hAnsi="仿宋" w:eastAsia="仿宋" w:cs="仿宋"/>
          <w:kern w:val="0"/>
          <w:szCs w:val="21"/>
          <w:u w:val="single"/>
        </w:rPr>
        <w:t xml:space="preserve">（如有，请如实说明）                 </w:t>
      </w:r>
      <w:r>
        <w:rPr>
          <w:rFonts w:ascii="仿宋" w:hAnsi="仿宋" w:eastAsia="仿宋" w:cs="仿宋"/>
          <w:kern w:val="0"/>
          <w:szCs w:val="21"/>
        </w:rPr>
        <w:t>。</w:t>
      </w:r>
    </w:p>
    <w:p>
      <w:pPr>
        <w:pStyle w:val="972"/>
        <w:widowControl/>
        <w:snapToGrid w:val="0"/>
        <w:spacing w:line="380" w:lineRule="exact"/>
        <w:rPr>
          <w:rFonts w:hint="default" w:ascii="仿宋" w:hAnsi="仿宋" w:eastAsia="仿宋" w:cs="仿宋"/>
          <w:kern w:val="0"/>
          <w:szCs w:val="21"/>
        </w:rPr>
      </w:pPr>
      <w:r>
        <w:rPr>
          <w:rFonts w:ascii="仿宋" w:hAnsi="仿宋" w:eastAsia="仿宋" w:cs="仿宋"/>
          <w:spacing w:val="6"/>
          <w:szCs w:val="21"/>
        </w:rPr>
        <w:t xml:space="preserve">  二、</w:t>
      </w:r>
      <w:r>
        <w:rPr>
          <w:rFonts w:ascii="仿宋" w:hAnsi="仿宋" w:eastAsia="仿宋" w:cs="仿宋"/>
          <w:kern w:val="0"/>
          <w:szCs w:val="21"/>
        </w:rPr>
        <w:t>现已清楚知道参加本项目采购活动的其他所有供应商名称，本单位 □与其他所有供应商之间均不存在利害关系 □与</w:t>
      </w:r>
      <w:r>
        <w:rPr>
          <w:rFonts w:ascii="仿宋" w:hAnsi="仿宋" w:eastAsia="仿宋" w:cs="仿宋"/>
          <w:kern w:val="0"/>
          <w:szCs w:val="21"/>
          <w:u w:val="single"/>
        </w:rPr>
        <w:t xml:space="preserve">           （供应商名称）</w:t>
      </w:r>
      <w:r>
        <w:rPr>
          <w:rFonts w:ascii="仿宋" w:hAnsi="仿宋" w:eastAsia="仿宋" w:cs="仿宋"/>
          <w:kern w:val="0"/>
          <w:szCs w:val="21"/>
        </w:rPr>
        <w:t>之间存在下列利害关系</w:t>
      </w:r>
      <w:r>
        <w:rPr>
          <w:rFonts w:ascii="仿宋" w:hAnsi="仿宋" w:eastAsia="仿宋" w:cs="仿宋"/>
          <w:kern w:val="0"/>
          <w:szCs w:val="21"/>
          <w:u w:val="single"/>
        </w:rPr>
        <w:t xml:space="preserve">          </w:t>
      </w:r>
      <w:r>
        <w:rPr>
          <w:rFonts w:ascii="仿宋" w:hAnsi="仿宋" w:eastAsia="仿宋" w:cs="仿宋"/>
          <w:kern w:val="0"/>
          <w:szCs w:val="21"/>
        </w:rPr>
        <w:t>：</w:t>
      </w:r>
    </w:p>
    <w:p>
      <w:pPr>
        <w:pStyle w:val="971"/>
        <w:adjustRightInd/>
        <w:snapToGrid w:val="0"/>
        <w:spacing w:before="120" w:after="120" w:line="300" w:lineRule="exact"/>
        <w:rPr>
          <w:rFonts w:ascii="仿宋" w:hAnsi="仿宋" w:eastAsia="仿宋" w:cs="仿宋"/>
          <w:kern w:val="0"/>
          <w:sz w:val="21"/>
          <w:szCs w:val="21"/>
        </w:rPr>
      </w:pPr>
      <w:r>
        <w:rPr>
          <w:rFonts w:hint="eastAsia" w:ascii="仿宋" w:hAnsi="仿宋" w:eastAsia="仿宋" w:cs="仿宋"/>
          <w:kern w:val="0"/>
          <w:sz w:val="21"/>
          <w:szCs w:val="21"/>
        </w:rPr>
        <w:t xml:space="preserve">  A.法定代表人或负责人或实际控制人是同一人</w:t>
      </w:r>
    </w:p>
    <w:p>
      <w:pPr>
        <w:pStyle w:val="971"/>
        <w:adjustRightInd/>
        <w:snapToGrid w:val="0"/>
        <w:spacing w:before="120" w:after="120" w:line="300" w:lineRule="exact"/>
        <w:rPr>
          <w:rFonts w:ascii="仿宋" w:hAnsi="仿宋" w:eastAsia="仿宋" w:cs="仿宋"/>
          <w:spacing w:val="6"/>
          <w:sz w:val="21"/>
          <w:szCs w:val="21"/>
        </w:rPr>
      </w:pPr>
      <w:r>
        <w:rPr>
          <w:rFonts w:hint="eastAsia" w:ascii="仿宋" w:hAnsi="仿宋" w:eastAsia="仿宋" w:cs="仿宋"/>
          <w:kern w:val="0"/>
          <w:sz w:val="21"/>
          <w:szCs w:val="21"/>
        </w:rPr>
        <w:t xml:space="preserve">  B.法定代表人或负责人或实际控制人是夫妻关系</w:t>
      </w:r>
    </w:p>
    <w:p>
      <w:pPr>
        <w:pStyle w:val="971"/>
        <w:adjustRightInd/>
        <w:snapToGrid w:val="0"/>
        <w:spacing w:before="120" w:after="120" w:line="300" w:lineRule="exact"/>
        <w:rPr>
          <w:rFonts w:ascii="仿宋" w:hAnsi="仿宋" w:eastAsia="仿宋" w:cs="仿宋"/>
          <w:spacing w:val="6"/>
          <w:sz w:val="21"/>
          <w:szCs w:val="21"/>
        </w:rPr>
      </w:pPr>
      <w:r>
        <w:rPr>
          <w:rFonts w:hint="eastAsia" w:ascii="仿宋" w:hAnsi="仿宋" w:eastAsia="仿宋" w:cs="仿宋"/>
          <w:kern w:val="0"/>
          <w:sz w:val="21"/>
          <w:szCs w:val="21"/>
        </w:rPr>
        <w:t xml:space="preserve">  C.法定代表人或负责人或实际控制人是直系血亲关系</w:t>
      </w:r>
    </w:p>
    <w:p>
      <w:pPr>
        <w:pStyle w:val="971"/>
        <w:adjustRightInd/>
        <w:snapToGrid w:val="0"/>
        <w:spacing w:before="120" w:after="120" w:line="300" w:lineRule="exact"/>
        <w:rPr>
          <w:rFonts w:ascii="仿宋" w:hAnsi="仿宋" w:eastAsia="仿宋" w:cs="仿宋"/>
          <w:spacing w:val="6"/>
          <w:sz w:val="21"/>
          <w:szCs w:val="21"/>
        </w:rPr>
      </w:pPr>
      <w:r>
        <w:rPr>
          <w:rFonts w:hint="eastAsia" w:ascii="仿宋" w:hAnsi="仿宋" w:eastAsia="仿宋" w:cs="仿宋"/>
          <w:kern w:val="0"/>
          <w:sz w:val="21"/>
          <w:szCs w:val="21"/>
        </w:rPr>
        <w:t xml:space="preserve">  D.法定代表人或负责人或实际控制人存在三代以内旁系血亲关系</w:t>
      </w:r>
    </w:p>
    <w:p>
      <w:pPr>
        <w:pStyle w:val="971"/>
        <w:adjustRightInd/>
        <w:snapToGrid w:val="0"/>
        <w:spacing w:before="120" w:after="120" w:line="300" w:lineRule="exact"/>
        <w:rPr>
          <w:rFonts w:ascii="仿宋" w:hAnsi="仿宋" w:eastAsia="仿宋" w:cs="仿宋"/>
          <w:kern w:val="0"/>
          <w:sz w:val="21"/>
          <w:szCs w:val="21"/>
        </w:rPr>
      </w:pPr>
      <w:r>
        <w:rPr>
          <w:rFonts w:hint="eastAsia" w:ascii="仿宋" w:hAnsi="仿宋" w:eastAsia="仿宋" w:cs="仿宋"/>
          <w:kern w:val="0"/>
          <w:sz w:val="21"/>
          <w:szCs w:val="21"/>
        </w:rPr>
        <w:t xml:space="preserve">  E.法定代表人或负责人或实际控制人存在近姻亲关系</w:t>
      </w:r>
    </w:p>
    <w:p>
      <w:pPr>
        <w:pStyle w:val="971"/>
        <w:adjustRightInd/>
        <w:snapToGrid w:val="0"/>
        <w:spacing w:before="120" w:after="120" w:line="300" w:lineRule="exact"/>
        <w:rPr>
          <w:rFonts w:ascii="仿宋" w:hAnsi="仿宋" w:eastAsia="仿宋" w:cs="仿宋"/>
          <w:kern w:val="0"/>
          <w:sz w:val="21"/>
          <w:szCs w:val="21"/>
        </w:rPr>
      </w:pPr>
      <w:r>
        <w:rPr>
          <w:rFonts w:hint="eastAsia" w:ascii="仿宋" w:hAnsi="仿宋" w:eastAsia="仿宋" w:cs="仿宋"/>
          <w:kern w:val="0"/>
          <w:sz w:val="21"/>
          <w:szCs w:val="21"/>
        </w:rPr>
        <w:t xml:space="preserve">  F.法定代表人或负责人或实际控制人存在股份控制或实际控制关系</w:t>
      </w:r>
    </w:p>
    <w:p>
      <w:pPr>
        <w:pStyle w:val="971"/>
        <w:adjustRightInd/>
        <w:snapToGrid w:val="0"/>
        <w:spacing w:before="120" w:after="120" w:line="300" w:lineRule="exact"/>
        <w:rPr>
          <w:rFonts w:ascii="仿宋" w:hAnsi="仿宋" w:eastAsia="仿宋" w:cs="仿宋"/>
          <w:kern w:val="0"/>
          <w:sz w:val="21"/>
          <w:szCs w:val="21"/>
        </w:rPr>
      </w:pPr>
      <w:r>
        <w:rPr>
          <w:rFonts w:hint="eastAsia" w:ascii="仿宋" w:hAnsi="仿宋" w:eastAsia="仿宋" w:cs="仿宋"/>
          <w:kern w:val="0"/>
          <w:sz w:val="21"/>
          <w:szCs w:val="21"/>
        </w:rPr>
        <w:t xml:space="preserve">  G.存在共同直接或间接投资设立子公司、联营企业和合营企业情况</w:t>
      </w:r>
    </w:p>
    <w:p>
      <w:pPr>
        <w:pStyle w:val="971"/>
        <w:adjustRightInd/>
        <w:snapToGrid w:val="0"/>
        <w:spacing w:before="120" w:after="120" w:line="300" w:lineRule="exact"/>
        <w:rPr>
          <w:rFonts w:ascii="仿宋" w:hAnsi="仿宋" w:eastAsia="仿宋" w:cs="仿宋"/>
          <w:sz w:val="21"/>
          <w:szCs w:val="21"/>
        </w:rPr>
      </w:pPr>
      <w:r>
        <w:rPr>
          <w:rFonts w:hint="eastAsia" w:ascii="仿宋" w:hAnsi="仿宋" w:eastAsia="仿宋" w:cs="仿宋"/>
          <w:kern w:val="0"/>
          <w:sz w:val="21"/>
          <w:szCs w:val="21"/>
        </w:rPr>
        <w:t xml:space="preserve">  H.存在分级代理或代销关系、同一生产制造商关系、</w:t>
      </w:r>
      <w:r>
        <w:rPr>
          <w:rFonts w:hint="eastAsia" w:ascii="仿宋" w:hAnsi="仿宋" w:eastAsia="仿宋" w:cs="仿宋"/>
          <w:sz w:val="21"/>
          <w:szCs w:val="21"/>
        </w:rPr>
        <w:t>管理关系、重要业务（占主营业务收入50%以上）或重要财务往来关系（如融资）等其他实质性控制关系</w:t>
      </w:r>
    </w:p>
    <w:p>
      <w:pPr>
        <w:pStyle w:val="971"/>
        <w:snapToGrid w:val="0"/>
        <w:spacing w:before="120" w:after="120" w:line="380" w:lineRule="exact"/>
        <w:rPr>
          <w:rFonts w:ascii="仿宋" w:hAnsi="仿宋" w:eastAsia="仿宋" w:cs="仿宋"/>
          <w:spacing w:val="6"/>
          <w:sz w:val="21"/>
          <w:szCs w:val="21"/>
        </w:rPr>
      </w:pPr>
      <w:r>
        <w:rPr>
          <w:rFonts w:hint="eastAsia" w:ascii="仿宋" w:hAnsi="仿宋" w:eastAsia="仿宋" w:cs="仿宋"/>
          <w:sz w:val="21"/>
          <w:szCs w:val="21"/>
        </w:rPr>
        <w:t xml:space="preserve">    I</w:t>
      </w:r>
      <w:r>
        <w:rPr>
          <w:rFonts w:hint="eastAsia" w:ascii="仿宋" w:hAnsi="仿宋" w:eastAsia="仿宋" w:cs="仿宋"/>
          <w:kern w:val="0"/>
          <w:sz w:val="21"/>
          <w:szCs w:val="21"/>
        </w:rPr>
        <w:t>.</w:t>
      </w:r>
      <w:r>
        <w:rPr>
          <w:rFonts w:hint="eastAsia" w:ascii="仿宋" w:hAnsi="仿宋" w:eastAsia="仿宋" w:cs="仿宋"/>
          <w:sz w:val="21"/>
          <w:szCs w:val="21"/>
        </w:rPr>
        <w:t>其他利害关系情况</w:t>
      </w:r>
      <w:r>
        <w:rPr>
          <w:rFonts w:hint="eastAsia" w:ascii="仿宋" w:hAnsi="仿宋" w:eastAsia="仿宋" w:cs="仿宋"/>
          <w:sz w:val="21"/>
          <w:szCs w:val="21"/>
          <w:u w:val="single"/>
        </w:rPr>
        <w:t xml:space="preserve">                              </w:t>
      </w:r>
      <w:r>
        <w:rPr>
          <w:rFonts w:hint="eastAsia" w:ascii="仿宋" w:hAnsi="仿宋" w:eastAsia="仿宋" w:cs="仿宋"/>
          <w:kern w:val="0"/>
          <w:sz w:val="21"/>
          <w:szCs w:val="21"/>
        </w:rPr>
        <w:t>。</w:t>
      </w:r>
    </w:p>
    <w:p>
      <w:pPr>
        <w:pStyle w:val="972"/>
        <w:widowControl/>
        <w:numPr>
          <w:ilvl w:val="0"/>
          <w:numId w:val="6"/>
        </w:numPr>
        <w:snapToGrid w:val="0"/>
        <w:spacing w:line="380" w:lineRule="exact"/>
        <w:ind w:firstLine="396" w:firstLineChars="189"/>
        <w:rPr>
          <w:rFonts w:hint="default" w:ascii="仿宋" w:hAnsi="仿宋" w:eastAsia="仿宋" w:cs="仿宋"/>
          <w:kern w:val="0"/>
          <w:szCs w:val="21"/>
        </w:rPr>
      </w:pPr>
      <w:r>
        <w:rPr>
          <w:rFonts w:ascii="仿宋" w:hAnsi="仿宋" w:eastAsia="仿宋" w:cs="仿宋"/>
          <w:szCs w:val="21"/>
        </w:rPr>
        <w:t>现已清楚知道并</w:t>
      </w:r>
      <w:r>
        <w:rPr>
          <w:rFonts w:ascii="仿宋" w:hAnsi="仿宋" w:eastAsia="仿宋" w:cs="仿宋"/>
          <w:kern w:val="0"/>
          <w:szCs w:val="21"/>
        </w:rPr>
        <w:t>严格遵守政府采购法律法规和现场纪律。</w:t>
      </w:r>
    </w:p>
    <w:p>
      <w:pPr>
        <w:pStyle w:val="972"/>
        <w:widowControl/>
        <w:numPr>
          <w:ilvl w:val="0"/>
          <w:numId w:val="6"/>
        </w:numPr>
        <w:snapToGrid w:val="0"/>
        <w:spacing w:line="380" w:lineRule="exact"/>
        <w:ind w:firstLine="396" w:firstLineChars="189"/>
        <w:rPr>
          <w:rFonts w:hint="default" w:ascii="仿宋" w:hAnsi="仿宋" w:eastAsia="仿宋" w:cs="仿宋"/>
          <w:szCs w:val="21"/>
        </w:rPr>
      </w:pPr>
      <w:r>
        <w:rPr>
          <w:rFonts w:ascii="仿宋" w:hAnsi="仿宋" w:eastAsia="仿宋" w:cs="仿宋"/>
          <w:kern w:val="0"/>
          <w:szCs w:val="21"/>
        </w:rPr>
        <w:t>我发现</w:t>
      </w:r>
      <w:r>
        <w:rPr>
          <w:rFonts w:ascii="仿宋" w:hAnsi="仿宋" w:eastAsia="仿宋" w:cs="仿宋"/>
          <w:kern w:val="0"/>
          <w:szCs w:val="21"/>
          <w:u w:val="single"/>
        </w:rPr>
        <w:t xml:space="preserve">                  </w:t>
      </w:r>
      <w:r>
        <w:rPr>
          <w:rFonts w:ascii="仿宋" w:hAnsi="仿宋" w:eastAsia="仿宋" w:cs="仿宋"/>
          <w:kern w:val="0"/>
          <w:szCs w:val="21"/>
        </w:rPr>
        <w:t>供应商之间存在或可能存在上述第二条第</w:t>
      </w:r>
      <w:r>
        <w:rPr>
          <w:rFonts w:ascii="仿宋" w:hAnsi="仿宋" w:eastAsia="仿宋" w:cs="仿宋"/>
          <w:kern w:val="0"/>
          <w:szCs w:val="21"/>
          <w:u w:val="single"/>
        </w:rPr>
        <w:t xml:space="preserve">        </w:t>
      </w:r>
      <w:r>
        <w:rPr>
          <w:rFonts w:ascii="仿宋" w:hAnsi="仿宋" w:eastAsia="仿宋" w:cs="仿宋"/>
          <w:kern w:val="0"/>
          <w:szCs w:val="21"/>
        </w:rPr>
        <w:t>项利害关系。</w:t>
      </w:r>
    </w:p>
    <w:p>
      <w:pPr>
        <w:pStyle w:val="971"/>
        <w:snapToGrid w:val="0"/>
        <w:spacing w:before="120" w:after="120"/>
        <w:ind w:firstLine="420" w:firstLineChars="200"/>
        <w:rPr>
          <w:rFonts w:hint="eastAsia" w:ascii="仿宋" w:hAnsi="仿宋" w:eastAsia="仿宋" w:cs="仿宋"/>
          <w:sz w:val="21"/>
          <w:szCs w:val="21"/>
        </w:rPr>
      </w:pPr>
      <w:r>
        <w:rPr>
          <w:rFonts w:hint="eastAsia" w:ascii="仿宋" w:hAnsi="仿宋" w:eastAsia="仿宋" w:cs="仿宋"/>
          <w:sz w:val="21"/>
          <w:szCs w:val="21"/>
        </w:rPr>
        <w:t xml:space="preserve">                                       </w:t>
      </w:r>
    </w:p>
    <w:p>
      <w:pPr>
        <w:pStyle w:val="971"/>
        <w:snapToGrid w:val="0"/>
        <w:spacing w:before="120" w:after="120"/>
        <w:ind w:firstLine="1890" w:firstLineChars="900"/>
        <w:rPr>
          <w:rFonts w:ascii="仿宋" w:hAnsi="仿宋" w:eastAsia="仿宋" w:cs="仿宋"/>
          <w:sz w:val="21"/>
          <w:szCs w:val="21"/>
        </w:rPr>
      </w:pPr>
      <w:r>
        <w:rPr>
          <w:rFonts w:hint="eastAsia" w:ascii="仿宋" w:hAnsi="仿宋" w:eastAsia="仿宋" w:cs="仿宋"/>
          <w:sz w:val="21"/>
          <w:szCs w:val="21"/>
        </w:rPr>
        <w:t xml:space="preserve">   供应商盖章：</w:t>
      </w:r>
    </w:p>
    <w:p>
      <w:pPr>
        <w:pStyle w:val="971"/>
        <w:snapToGrid w:val="0"/>
        <w:spacing w:before="120" w:after="120"/>
        <w:ind w:firstLine="4830" w:firstLineChars="2300"/>
        <w:rPr>
          <w:rFonts w:ascii="仿宋" w:hAnsi="仿宋" w:eastAsia="仿宋" w:cs="仿宋"/>
          <w:sz w:val="21"/>
          <w:szCs w:val="21"/>
        </w:rPr>
      </w:pPr>
      <w:r>
        <w:rPr>
          <w:rFonts w:hint="eastAsia" w:ascii="仿宋" w:hAnsi="仿宋" w:eastAsia="仿宋" w:cs="仿宋"/>
          <w:sz w:val="21"/>
          <w:szCs w:val="21"/>
        </w:rPr>
        <w:t>授权委托代表签名：</w:t>
      </w:r>
    </w:p>
    <w:p>
      <w:pPr>
        <w:snapToGrid w:val="0"/>
        <w:spacing w:line="360" w:lineRule="auto"/>
        <w:jc w:val="left"/>
        <w:rPr>
          <w:rFonts w:ascii="仿宋" w:hAnsi="仿宋" w:eastAsia="仿宋" w:cs="仿宋"/>
        </w:rPr>
      </w:pPr>
      <w:r>
        <w:rPr>
          <w:rFonts w:hint="eastAsia" w:ascii="仿宋" w:hAnsi="仿宋" w:eastAsia="仿宋" w:cs="仿宋"/>
          <w:szCs w:val="21"/>
        </w:rPr>
        <w:t xml:space="preserve">                                               年    月    日</w:t>
      </w:r>
    </w:p>
    <w:p>
      <w:pPr>
        <w:spacing w:line="360" w:lineRule="auto"/>
        <w:rPr>
          <w:rFonts w:ascii="仿宋" w:hAnsi="仿宋" w:eastAsia="仿宋" w:cs="仿宋"/>
          <w:bCs/>
          <w:sz w:val="24"/>
        </w:rPr>
      </w:pPr>
    </w:p>
    <w:sectPr>
      <w:pgSz w:w="11905" w:h="16838"/>
      <w:pgMar w:top="1276" w:right="1417" w:bottom="1247" w:left="1417"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
    <w:altName w:val="Times New Roman"/>
    <w:panose1 w:val="00000000000000000000"/>
    <w:charset w:val="00"/>
    <w:family w:val="auto"/>
    <w:pitch w:val="default"/>
    <w:sig w:usb0="00000000" w:usb1="00000000" w:usb2="00000000"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Tahoma">
    <w:panose1 w:val="020B0604030504040204"/>
    <w:charset w:val="00"/>
    <w:family w:val="swiss"/>
    <w:pitch w:val="default"/>
    <w:sig w:usb0="E1002EFF" w:usb1="C000605B" w:usb2="00000029" w:usb3="00000000" w:csb0="200101FF" w:csb1="20280000"/>
  </w:font>
  <w:font w:name="Lucida Sans">
    <w:altName w:val="Lucida Sans Unicode"/>
    <w:panose1 w:val="020B0602030504020204"/>
    <w:charset w:val="00"/>
    <w:family w:val="swiss"/>
    <w:pitch w:val="default"/>
    <w:sig w:usb0="00000000" w:usb1="00000000" w:usb2="00000000" w:usb3="00000000" w:csb0="20000001" w:csb1="00000000"/>
  </w:font>
  <w:font w:name="Verdana">
    <w:panose1 w:val="020B0604030504040204"/>
    <w:charset w:val="00"/>
    <w:family w:val="swiss"/>
    <w:pitch w:val="default"/>
    <w:sig w:usb0="A00006FF" w:usb1="4000205B" w:usb2="00000010" w:usb3="00000000" w:csb0="2000019F"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egoe Print"/>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Wingdings">
    <w:panose1 w:val="05000000000000000000"/>
    <w:charset w:val="00"/>
    <w:family w:val="auto"/>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r>
      <mc:AlternateContent>
        <mc:Choice Requires="wps">
          <w:drawing>
            <wp:anchor distT="0" distB="0" distL="114300" distR="114300" simplePos="0" relativeHeight="2519797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797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color w:val="0000FF"/>
        <w:u w:val="thick"/>
      </w:rPr>
    </w:pPr>
    <w:r>
      <mc:AlternateContent>
        <mc:Choice Requires="wps">
          <w:drawing>
            <wp:anchor distT="0" distB="0" distL="114300" distR="114300" simplePos="0" relativeHeight="2519982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19"/>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pStyle w:val="41"/>
                          </w:pPr>
                          <w:r>
                            <w:fldChar w:fldCharType="begin"/>
                          </w:r>
                          <w:r>
                            <w:instrText xml:space="preserve"> PAGE  \* MERGEFORMAT </w:instrText>
                          </w:r>
                          <w:r>
                            <w:fldChar w:fldCharType="separate"/>
                          </w:r>
                          <w:r>
                            <w:t>36</w:t>
                          </w:r>
                          <w:r>
                            <w:fldChar w:fldCharType="end"/>
                          </w:r>
                        </w:p>
                      </w:txbxContent>
                    </wps:txbx>
                    <wps:bodyPr wrap="none" lIns="0" tIns="0" rIns="0" bIns="0" upright="1">
                      <a:spAutoFit/>
                    </wps:bodyPr>
                  </wps:wsp>
                </a:graphicData>
              </a:graphic>
            </wp:anchor>
          </w:drawing>
        </mc:Choice>
        <mc:Fallback>
          <w:pict>
            <v:rect id="文本框 19" o:spid="_x0000_s1026" o:spt="1" style="position:absolute;left:0pt;margin-top:0pt;height:144pt;width:144pt;mso-position-horizontal:center;mso-position-horizontal-relative:margin;mso-wrap-style:none;z-index:25199820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W5UtAAAAAFAQAADwAAAAAAAAABACAAAAAiAAAAZHJzL2Rvd25yZXYu&#10;eG1sUEsBAhQAFAAAAAgAh07iQBJn4qvKAQAAnwMAAA4AAAAAAAAAAQAgAAAAHwEAAGRycy9lMm9E&#10;b2MueG1sUEsFBgAAAAAGAAYAWQEAAFsFAAAAAA==&#10;">
              <v:fill on="f" focussize="0,0"/>
              <v:stroke on="f"/>
              <v:imagedata o:title=""/>
              <o:lock v:ext="edit" aspectratio="f"/>
              <v:textbox inset="0mm,0mm,0mm,0mm" style="mso-fit-shape-to-text:t;">
                <w:txbxContent>
                  <w:p>
                    <w:pPr>
                      <w:pStyle w:val="41"/>
                    </w:pPr>
                    <w:r>
                      <w:fldChar w:fldCharType="begin"/>
                    </w:r>
                    <w:r>
                      <w:instrText xml:space="preserve"> PAGE  \* MERGEFORMAT </w:instrText>
                    </w:r>
                    <w:r>
                      <w:fldChar w:fldCharType="separate"/>
                    </w:r>
                    <w:r>
                      <w:t>36</w:t>
                    </w:r>
                    <w:r>
                      <w:fldChar w:fldCharType="end"/>
                    </w:r>
                  </w:p>
                </w:txbxContent>
              </v:textbox>
            </v:rect>
          </w:pict>
        </mc:Fallback>
      </mc:AlternateContent>
    </w:r>
    <w:r>
      <w:rPr>
        <w:rFonts w:hint="eastAsia" w:ascii="楷体_GB2312" w:eastAsia="楷体_GB2312"/>
        <w:color w:val="0000FF"/>
        <w:szCs w:val="28"/>
        <w:u w:val="thick"/>
      </w:rPr>
      <w:drawing>
        <wp:anchor distT="0" distB="0" distL="114300" distR="114300" simplePos="0" relativeHeight="251997184" behindDoc="0" locked="0" layoutInCell="1" allowOverlap="1">
          <wp:simplePos x="0" y="0"/>
          <wp:positionH relativeFrom="column">
            <wp:posOffset>85725</wp:posOffset>
          </wp:positionH>
          <wp:positionV relativeFrom="paragraph">
            <wp:posOffset>-135890</wp:posOffset>
          </wp:positionV>
          <wp:extent cx="1023620" cy="351155"/>
          <wp:effectExtent l="0" t="0" r="5080" b="10795"/>
          <wp:wrapNone/>
          <wp:docPr id="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9"/>
                  <pic:cNvPicPr>
                    <a:picLocks noChangeAspect="1"/>
                  </pic:cNvPicPr>
                </pic:nvPicPr>
                <pic:blipFill>
                  <a:blip r:embed="rId1">
                    <a:lum/>
                  </a:blip>
                  <a:stretch>
                    <a:fillRect/>
                  </a:stretch>
                </pic:blipFill>
                <pic:spPr>
                  <a:xfrm>
                    <a:off x="0" y="0"/>
                    <a:ext cx="1023620" cy="351155"/>
                  </a:xfrm>
                  <a:prstGeom prst="rect">
                    <a:avLst/>
                  </a:prstGeom>
                  <a:noFill/>
                  <a:ln>
                    <a:noFill/>
                  </a:ln>
                </pic:spPr>
              </pic:pic>
            </a:graphicData>
          </a:graphic>
        </wp:anchor>
      </w:drawing>
    </w:r>
    <w:r>
      <w:rPr>
        <w:rFonts w:eastAsia="??"/>
        <w:color w:val="0000FF"/>
        <w:szCs w:val="28"/>
        <w:u w:val="thick"/>
      </w:rPr>
      <mc:AlternateContent>
        <mc:Choice Requires="wps">
          <w:drawing>
            <wp:anchor distT="0" distB="0" distL="114300" distR="114300" simplePos="0" relativeHeight="251996160" behindDoc="0" locked="0" layoutInCell="1" allowOverlap="1">
              <wp:simplePos x="0" y="0"/>
              <wp:positionH relativeFrom="margin">
                <wp:align>right</wp:align>
              </wp:positionH>
              <wp:positionV relativeFrom="paragraph">
                <wp:posOffset>0</wp:posOffset>
              </wp:positionV>
              <wp:extent cx="1828800" cy="1828800"/>
              <wp:effectExtent l="0" t="0" r="0" b="0"/>
              <wp:wrapNone/>
              <wp:docPr id="15" name="矩形 2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txbxContent>
                    </wps:txbx>
                    <wps:bodyPr wrap="none" lIns="0" tIns="0" rIns="0" bIns="0" upright="1">
                      <a:spAutoFit/>
                    </wps:bodyPr>
                  </wps:wsp>
                </a:graphicData>
              </a:graphic>
            </wp:anchor>
          </w:drawing>
        </mc:Choice>
        <mc:Fallback>
          <w:pict>
            <v:rect id="矩形 21" o:spid="_x0000_s1026" o:spt="1" style="position:absolute;left:0pt;margin-top:0pt;height:144pt;width:144pt;mso-position-horizontal:right;mso-position-horizontal-relative:margin;mso-wrap-style:none;z-index:251996160;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5dblS0AAAAAUBAAAPAAAAAAAAAAEAIAAAACIAAABkcnMvZG93bnJldi54bWxQ&#10;SwECFAAUAAAACACHTuJAzzrlGMYBAACcAwAADgAAAAAAAAABACAAAAAfAQAAZHJzL2Uyb0RvYy54&#10;bWxQSwUGAAAAAAYABgBZAQAAVwUAAAAA&#10;">
              <v:fill on="f" focussize="0,0"/>
              <v:stroke on="f"/>
              <v:imagedata o:title=""/>
              <o:lock v:ext="edit" aspectratio="f"/>
              <v:textbox inset="0mm,0mm,0mm,0mm" style="mso-fit-shape-to-text:t;">
                <w:txbxContent>
                  <w:p/>
                </w:txbxContent>
              </v:textbox>
            </v:rect>
          </w:pict>
        </mc:Fallback>
      </mc:AlternateContent>
    </w:r>
    <w:r>
      <w:rPr>
        <w:rFonts w:hint="eastAsia"/>
        <w:color w:val="0000FF"/>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color w:val="0000FF"/>
        <w:u w:val="thick"/>
      </w:rPr>
    </w:pPr>
    <w:r>
      <mc:AlternateContent>
        <mc:Choice Requires="wps">
          <w:drawing>
            <wp:anchor distT="0" distB="0" distL="114300" distR="114300" simplePos="0" relativeHeight="2519910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910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YWikyAgAAZQ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VhaKTICAABlBAAADgAAAAAAAAABACAAAAAfAQAAZHJzL2Uyb0RvYy54bWxQSwUG&#10;AAAAAAYABgBZAQAAwwU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40</w:t>
                    </w:r>
                    <w:r>
                      <w:fldChar w:fldCharType="end"/>
                    </w:r>
                  </w:p>
                </w:txbxContent>
              </v:textbox>
            </v:shape>
          </w:pict>
        </mc:Fallback>
      </mc:AlternateContent>
    </w:r>
    <w:r>
      <w:rPr>
        <w:rFonts w:hint="eastAsia" w:ascii="楷体_GB2312" w:eastAsia="楷体_GB2312"/>
        <w:color w:val="0000FF"/>
        <w:szCs w:val="28"/>
        <w:u w:val="thick"/>
      </w:rPr>
      <w:drawing>
        <wp:anchor distT="0" distB="0" distL="114300" distR="114300" simplePos="0" relativeHeight="251990016" behindDoc="0" locked="0" layoutInCell="1" allowOverlap="1">
          <wp:simplePos x="0" y="0"/>
          <wp:positionH relativeFrom="column">
            <wp:posOffset>85725</wp:posOffset>
          </wp:positionH>
          <wp:positionV relativeFrom="paragraph">
            <wp:posOffset>-135890</wp:posOffset>
          </wp:positionV>
          <wp:extent cx="1023620" cy="351155"/>
          <wp:effectExtent l="0" t="0" r="5080" b="4445"/>
          <wp:wrapNone/>
          <wp:docPr id="2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9"/>
                  <pic:cNvPicPr>
                    <a:picLocks noChangeAspect="1"/>
                  </pic:cNvPicPr>
                </pic:nvPicPr>
                <pic:blipFill>
                  <a:blip r:embed="rId1">
                    <a:lum/>
                  </a:blip>
                  <a:stretch>
                    <a:fillRect/>
                  </a:stretch>
                </pic:blipFill>
                <pic:spPr>
                  <a:xfrm>
                    <a:off x="0" y="0"/>
                    <a:ext cx="1023620" cy="351155"/>
                  </a:xfrm>
                  <a:prstGeom prst="rect">
                    <a:avLst/>
                  </a:prstGeom>
                  <a:noFill/>
                  <a:ln>
                    <a:noFill/>
                  </a:ln>
                </pic:spPr>
              </pic:pic>
            </a:graphicData>
          </a:graphic>
        </wp:anchor>
      </w:drawing>
    </w:r>
    <w:r>
      <w:rPr>
        <w:rFonts w:eastAsia="??"/>
        <w:color w:val="0000FF"/>
        <w:szCs w:val="28"/>
        <w:u w:val="thick"/>
      </w:rPr>
      <mc:AlternateContent>
        <mc:Choice Requires="wps">
          <w:drawing>
            <wp:anchor distT="0" distB="0" distL="114300" distR="114300" simplePos="0" relativeHeight="251988992" behindDoc="0" locked="0" layoutInCell="1" allowOverlap="1">
              <wp:simplePos x="0" y="0"/>
              <wp:positionH relativeFrom="margin">
                <wp:align>right</wp:align>
              </wp:positionH>
              <wp:positionV relativeFrom="paragraph">
                <wp:posOffset>0</wp:posOffset>
              </wp:positionV>
              <wp:extent cx="1828800" cy="1828800"/>
              <wp:effectExtent l="0" t="0" r="0" b="0"/>
              <wp:wrapNone/>
              <wp:docPr id="21" name="矩形 2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txbxContent>
                    </wps:txbx>
                    <wps:bodyPr vert="horz" wrap="none" lIns="0" tIns="0" rIns="0" bIns="0" anchor="t" anchorCtr="0" upright="1">
                      <a:spAutoFit/>
                    </wps:bodyPr>
                  </wps:wsp>
                </a:graphicData>
              </a:graphic>
            </wp:anchor>
          </w:drawing>
        </mc:Choice>
        <mc:Fallback>
          <w:pict>
            <v:rect id="_x0000_s1026" o:spid="_x0000_s1026" o:spt="1" style="position:absolute;left:0pt;margin-top:0pt;height:144pt;width:144pt;mso-position-horizontal:right;mso-position-horizontal-relative:margin;mso-wrap-style:none;z-index:25198899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Ll1uVLQAAAABQEAAA8AAAAAAAAAAQAgAAAA&#10;IgAAAGRycy9kb3ducmV2LnhtbFBLAQIUABQAAAAIAIdO4kBBJvp12gEAAMEDAAAOAAAAAAAAAAEA&#10;IAAAAB8BAABkcnMvZTJvRG9jLnhtbFBLBQYAAAAABgAGAFkBAABrBQAAAAA=&#10;">
              <v:fill on="f" focussize="0,0"/>
              <v:stroke on="f"/>
              <v:imagedata o:title=""/>
              <o:lock v:ext="edit" aspectratio="f"/>
              <v:textbox inset="0mm,0mm,0mm,0mm" style="mso-fit-shape-to-text:t;">
                <w:txbxContent>
                  <w:p/>
                </w:txbxContent>
              </v:textbox>
            </v:rect>
          </w:pict>
        </mc:Fallback>
      </mc:AlternateContent>
    </w:r>
    <w:r>
      <w:rPr>
        <w:rFonts w:hint="eastAsia"/>
        <w:color w:val="0000FF"/>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981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818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cYOQyAgAAY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Zg8y8JG&#10;by2P0FEeb5eHADmTylGUTgl0Jx4we6lPlz2Jw/3nOUU9/TcsH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Zxg5DICAABjBAAADgAAAAAAAAABACAAAAAfAQAAZHJzL2Uyb0RvYy54bWxQSwUG&#10;AAAAAAYABgBZAQAAwwU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982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828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8V5Q0wAgAAYw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A8V5Q0wAgAAYwQAAA4AAAAAAAAAAQAgAAAAHwEAAGRycy9lMm9Eb2MueG1sUEsFBgAA&#10;AAAGAAYAWQEAAMEFA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983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83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tZlUyAgAAY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1mVTICAABjBAAADgAAAAAAAAABACAAAAAfAQAAZHJzL2Uyb0RvYy54bWxQSwUG&#10;AAAAAAYABgBZAQAAwwU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984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848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3lPQyAgAAY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7eU9DICAABjBAAADgAAAAAAAAABACAAAAAfAQAAZHJzL2Uyb0RvYy54bWxQSwUG&#10;AAAAAAYABgBZAQAAwwU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9859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859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E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mD3Lwlbv&#10;LI/QUR5vV8cAOZPKUZROCXQnHjB9qU/9psTx/vOcoh7/HZ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w/hMQIAAGUEAAAOAAAAAAAAAAEAIAAAAB8BAABkcnMvZTJvRG9jLnhtbFBLBQYA&#10;AAAABgAGAFkBAADCBQ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szCs w:val="24"/>
      </w:rPr>
    </w:pPr>
    <w:r>
      <mc:AlternateContent>
        <mc:Choice Requires="wps">
          <w:drawing>
            <wp:anchor distT="0" distB="0" distL="114300" distR="114300" simplePos="0" relativeHeight="2519941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941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vEGwwyAgAAZQQAAA4AAABkcnMvZTJvRG9jLnhtbK1UzY7TMBC+I/EO&#10;lu80bVes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n31dpwuXDwAlzrGijQNPUyk1JUerdDu&#10;2p7nzhQn0HSmmxRv+aZGKVvmwz1zGA2Uj8cT7rCU0iCl6S1KKuO+/us8xqNj8FLSYNRyqvGyKJEf&#10;NDoJwDAYbjB2g6EP6tZgdtEc1JJMXHBBDmbpjPqCF7WKOeBimiNTTsNg3oZu3PEiuVitUhBmz7Kw&#10;1Q+WR+goj7erQ4CcSeUoSqcEuhM3mL7Up/6lxPH+c5+inv4O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8QbDDICAABlBAAADgAAAAAAAAABACAAAAAfAQAAZHJzL2Uyb0RvYy54bWxQSwUG&#10;AAAAAAYABgBZAQAAwwU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62</w:t>
                    </w:r>
                    <w:r>
                      <w:fldChar w:fldCharType="end"/>
                    </w:r>
                  </w:p>
                </w:txbxContent>
              </v:textbox>
            </v:shape>
          </w:pict>
        </mc:Fallback>
      </mc:AlternateContent>
    </w:r>
    <w:r>
      <mc:AlternateContent>
        <mc:Choice Requires="wps">
          <w:drawing>
            <wp:anchor distT="0" distB="0" distL="114300" distR="114300" simplePos="0" relativeHeight="2519920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p>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920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KXd1ky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pd3WTICAABlBAAADgAAAAAAAAABACAAAAAfAQAAZHJzL2Uyb0RvYy54bWxQSwUG&#10;AAAAAAYABgBZAQAAwwUAAAAA&#10;">
              <v:fill on="f" focussize="0,0"/>
              <v:stroke on="f" weight="0.5pt"/>
              <v:imagedata o:title=""/>
              <o:lock v:ext="edit" aspectratio="f"/>
              <v:textbox inset="0mm,0mm,0mm,0mm" style="mso-fit-shape-to-text:t;">
                <w:txbxContent>
                  <w:p>
                    <w:pPr>
                      <w:pStyle w:val="41"/>
                    </w:pPr>
                  </w:p>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separate"/>
    </w:r>
    <w:r>
      <w:rPr>
        <w:rStyle w:val="73"/>
      </w:rPr>
      <w:t>28</w:t>
    </w:r>
    <w:r>
      <w:fldChar w:fldCharType="end"/>
    </w:r>
  </w:p>
  <w:p>
    <w:pPr>
      <w:pStyle w:val="41"/>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r>
      <mc:AlternateContent>
        <mc:Choice Requires="wps">
          <w:drawing>
            <wp:anchor distT="0" distB="0" distL="114300" distR="114300" simplePos="0" relativeHeight="2519951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951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X+3CIzAgAAZ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X+3CIzAgAAZQQAAA4AAAAAAAAAAQAgAAAAHwEAAGRycy9lMm9Eb2MueG1sUEsF&#10;BgAAAAAGAAYAWQEAAMQFA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53</w:t>
                    </w:r>
                    <w:r>
                      <w:fldChar w:fldCharType="end"/>
                    </w:r>
                  </w:p>
                </w:txbxContent>
              </v:textbox>
            </v:shape>
          </w:pict>
        </mc:Fallback>
      </mc:AlternateContent>
    </w:r>
    <w:r>
      <mc:AlternateContent>
        <mc:Choice Requires="wps">
          <w:drawing>
            <wp:anchor distT="0" distB="0" distL="114300" distR="114300" simplePos="0" relativeHeight="2519930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p>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930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h+NUMzAgAAZ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h+NUMzAgAAZQQAAA4AAAAAAAAAAQAgAAAAHwEAAGRycy9lMm9Eb2MueG1sUEsF&#10;BgAAAAAGAAYAWQEAAMQFAAAAAA==&#10;">
              <v:fill on="f" focussize="0,0"/>
              <v:stroke on="f" weight="0.5pt"/>
              <v:imagedata o:title=""/>
              <o:lock v:ext="edit" aspectratio="f"/>
              <v:textbox inset="0mm,0mm,0mm,0mm" style="mso-fit-shape-to-text:t;">
                <w:txbxContent>
                  <w:p>
                    <w:pPr>
                      <w:pStyle w:val="41"/>
                    </w:pPr>
                  </w:p>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szCs w:val="24"/>
      </w:rPr>
    </w:pPr>
    <w:r>
      <mc:AlternateContent>
        <mc:Choice Requires="wps">
          <w:drawing>
            <wp:anchor distT="0" distB="0" distL="114300" distR="114300" simplePos="0" relativeHeight="2519869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869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WTfsxAgAAZ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mD3Lwlbv&#10;LI/QUR5vV8cAOZPKUZROCXQnbjB9qU/9S4nj/ec+RT3+HZ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1Fk37MQIAAGUEAAAOAAAAAAAAAAEAIAAAAB8BAABkcnMvZTJvRG9jLnhtbFBLBQYA&#10;AAAABgAGAFkBAADCBQ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r>
      <mc:AlternateContent>
        <mc:Choice Requires="wps">
          <w:drawing>
            <wp:anchor distT="0" distB="0" distL="114300" distR="114300" simplePos="0" relativeHeight="2519879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879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sitUx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rLIrVMQIAAGUEAAAOAAAAAAAAAAEAIAAAAB8BAABkcnMvZTJvRG9jLnhtbFBLBQYA&#10;AAAABgAGAFkBAADCBQAAAAA=&#10;">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64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t></w:t>
    </w:r>
    <w:r>
      <w:rPr>
        <w:rFonts w:hint="eastAsia"/>
      </w:rPr>
      <w:t xml:space="preserve">             临平区</w:t>
    </w:r>
    <w:r>
      <w:rPr>
        <w:lang w:val="zh-CN"/>
      </w:rPr>
      <w:t>政府采购公开招标文件</w:t>
    </w:r>
  </w:p>
  <w:p>
    <w:pPr>
      <w:pStyle w:val="60"/>
      <w:tabs>
        <w:tab w:val="center" w:pos="4535"/>
        <w:tab w:val="right" w:pos="9070"/>
      </w:tabs>
      <w:ind w:firstLine="180" w:firstLineChars="10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rPr>
        <w:u w:val="single"/>
      </w:rPr>
    </w:pPr>
    <w:r>
      <w:rPr>
        <w:rFonts w:hint="eastAsia"/>
      </w:rPr>
      <w:t>临平区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rPr>
        <w:u w:val="single"/>
      </w:rPr>
    </w:pPr>
    <w:r>
      <w:rPr>
        <w:rFonts w:hint="eastAsia"/>
      </w:rPr>
      <w:t>临平区</w:t>
    </w:r>
    <w:r>
      <w:rPr>
        <w:lang w:val="zh-CN"/>
      </w:rPr>
      <w:t>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rPr>
        <w:rFonts w:ascii="仿宋_GB2312" w:eastAsia="仿宋_GB2312"/>
        <w:b/>
        <w:i/>
        <w:u w:val="single"/>
      </w:rPr>
    </w:pPr>
    <w:r>
      <w:t></w:t>
    </w:r>
    <w:r>
      <w:rPr>
        <w:rFonts w:hint="eastAsia"/>
      </w:rPr>
      <w:t xml:space="preserve">                                                  临平区</w:t>
    </w:r>
    <w:r>
      <w:rPr>
        <w:lang w:val="zh-CN"/>
      </w:rPr>
      <w:t>政府采购公开招标文件</w:t>
    </w:r>
  </w:p>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p>
  <w:p>
    <w:pPr>
      <w:pStyle w:val="42"/>
      <w:pBdr>
        <w:bottom w:val="single" w:color="auto" w:sz="6" w:space="0"/>
      </w:pBdr>
      <w:tabs>
        <w:tab w:val="center" w:pos="4535"/>
        <w:tab w:val="right" w:pos="9070"/>
        <w:tab w:val="clear" w:pos="4153"/>
        <w:tab w:val="clear" w:pos="8306"/>
      </w:tabs>
      <w:jc w:val="right"/>
    </w:pPr>
    <w:r>
      <w:rPr>
        <w:rFonts w:hint="eastAsia"/>
      </w:rPr>
      <w:t xml:space="preserve">                                                                 临平区</w:t>
    </w:r>
    <w:r>
      <w:rPr>
        <w:lang w:val="zh-CN"/>
      </w:rPr>
      <w:t>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rPr>
        <w:rFonts w:ascii="仿宋_GB2312" w:eastAsia="仿宋_GB2312"/>
        <w:b/>
        <w:i/>
        <w:u w:val="single"/>
      </w:rPr>
    </w:pPr>
    <w:r>
      <w:t></w:t>
    </w:r>
    <w:r>
      <w:rPr>
        <w:rFonts w:hint="eastAsia"/>
      </w:rPr>
      <w:t xml:space="preserve">                                                  临平区</w:t>
    </w:r>
    <w:r>
      <w:rPr>
        <w:lang w:val="zh-CN"/>
      </w:rPr>
      <w:t>政府采购公开招标文件</w:t>
    </w:r>
  </w:p>
  <w:p>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rFonts w:hint="eastAsia"/>
      </w:rPr>
      <w:t xml:space="preserve">                                                                                                        临平区</w:t>
    </w:r>
    <w:r>
      <w:rPr>
        <w:lang w:val="zh-CN"/>
      </w:rP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w:t>
    </w:r>
    <w:r>
      <w:rPr>
        <w:rFonts w:hint="eastAsia"/>
      </w:rPr>
      <w:t>临平区</w:t>
    </w:r>
    <w:r>
      <w:rPr>
        <w:lang w:val="zh-CN"/>
      </w:rP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t></w:t>
    </w:r>
    <w:r>
      <w:rPr>
        <w:rFonts w:hint="eastAsia"/>
      </w:rPr>
      <w:t xml:space="preserve">                                             临平区</w:t>
    </w:r>
    <w:r>
      <w:rPr>
        <w:lang w:val="zh-CN"/>
      </w:rPr>
      <w:t>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w:t>
    </w:r>
    <w:r>
      <w:rPr>
        <w:rFonts w:hint="eastAsia"/>
      </w:rPr>
      <w:t>临平区</w:t>
    </w:r>
    <w:r>
      <w:rPr>
        <w:lang w:val="zh-CN"/>
      </w:rPr>
      <w:t>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临平区</w:t>
    </w:r>
    <w:r>
      <w:rPr>
        <w:lang w:val="zh-CN"/>
      </w:rP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AA9089"/>
    <w:multiLevelType w:val="singleLevel"/>
    <w:tmpl w:val="B1AA9089"/>
    <w:lvl w:ilvl="0" w:tentative="0">
      <w:start w:val="3"/>
      <w:numFmt w:val="chineseCounting"/>
      <w:suff w:val="space"/>
      <w:lvlText w:val="第%1部分"/>
      <w:lvlJc w:val="left"/>
      <w:rPr>
        <w:rFonts w:hint="eastAsia"/>
      </w:rPr>
    </w:lvl>
  </w:abstractNum>
  <w:abstractNum w:abstractNumId="1">
    <w:nsid w:val="B8058E68"/>
    <w:multiLevelType w:val="singleLevel"/>
    <w:tmpl w:val="B8058E68"/>
    <w:lvl w:ilvl="0" w:tentative="0">
      <w:start w:val="1"/>
      <w:numFmt w:val="decimal"/>
      <w:suff w:val="nothing"/>
      <w:lvlText w:val="%1、"/>
      <w:lvlJc w:val="left"/>
    </w:lvl>
  </w:abstractNum>
  <w:abstractNum w:abstractNumId="2">
    <w:nsid w:val="EE92676D"/>
    <w:multiLevelType w:val="singleLevel"/>
    <w:tmpl w:val="EE92676D"/>
    <w:lvl w:ilvl="0" w:tentative="0">
      <w:start w:val="2"/>
      <w:numFmt w:val="chineseCounting"/>
      <w:suff w:val="nothing"/>
      <w:lvlText w:val="%1、"/>
      <w:lvlJc w:val="left"/>
      <w:rPr>
        <w:rFonts w:hint="eastAsia"/>
      </w:rPr>
    </w:lvl>
  </w:abstractNum>
  <w:abstractNum w:abstractNumId="3">
    <w:nsid w:val="051DBE2A"/>
    <w:multiLevelType w:val="singleLevel"/>
    <w:tmpl w:val="051DBE2A"/>
    <w:lvl w:ilvl="0" w:tentative="0">
      <w:start w:val="1"/>
      <w:numFmt w:val="upperLetter"/>
      <w:lvlText w:val="%1."/>
      <w:lvlJc w:val="left"/>
      <w:pPr>
        <w:tabs>
          <w:tab w:val="left" w:pos="312"/>
        </w:tabs>
      </w:pPr>
    </w:lvl>
  </w:abstractNum>
  <w:abstractNum w:abstractNumId="4">
    <w:nsid w:val="54F403B5"/>
    <w:multiLevelType w:val="singleLevel"/>
    <w:tmpl w:val="54F403B5"/>
    <w:lvl w:ilvl="0" w:tentative="0">
      <w:start w:val="1"/>
      <w:numFmt w:val="chineseCounting"/>
      <w:suff w:val="nothing"/>
      <w:lvlText w:val="%1、"/>
      <w:lvlJc w:val="left"/>
    </w:lvl>
  </w:abstractNum>
  <w:abstractNum w:abstractNumId="5">
    <w:nsid w:val="557FD3DA"/>
    <w:multiLevelType w:val="singleLevel"/>
    <w:tmpl w:val="557FD3DA"/>
    <w:lvl w:ilvl="0" w:tentative="0">
      <w:start w:val="3"/>
      <w:numFmt w:val="chineseCounting"/>
      <w:suff w:val="nothing"/>
      <w:lvlText w:val="%1、"/>
      <w:lvlJc w:val="left"/>
    </w:lvl>
  </w:abstractNum>
  <w:num w:numId="1">
    <w:abstractNumId w:val="0"/>
  </w:num>
  <w:num w:numId="2">
    <w:abstractNumId w:val="2"/>
  </w:num>
  <w:num w:numId="3">
    <w:abstractNumId w:val="1"/>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bordersDoNotSurroundHeader w:val="1"/>
  <w:bordersDoNotSurroundFooter w:val="1"/>
  <w:hideSpellingErrors/>
  <w:trackRevisions w:val="1"/>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RiYmE3MjA4ZjZjNDc5MDgyMTY1MjgxNjIwN2ExMjM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B77EB"/>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2A76"/>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3E46"/>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3D6B"/>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3B11"/>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365"/>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59BA"/>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7FF"/>
    <w:rsid w:val="00663D15"/>
    <w:rsid w:val="00665030"/>
    <w:rsid w:val="00665670"/>
    <w:rsid w:val="006659EA"/>
    <w:rsid w:val="006661E8"/>
    <w:rsid w:val="00666424"/>
    <w:rsid w:val="0066676C"/>
    <w:rsid w:val="006673B9"/>
    <w:rsid w:val="0066790C"/>
    <w:rsid w:val="00667FF0"/>
    <w:rsid w:val="00670466"/>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0E95"/>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821"/>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181"/>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85"/>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5E43"/>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51C"/>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8F6"/>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4163"/>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2FCC"/>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164"/>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6E1"/>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00F"/>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4DA3"/>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6E"/>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97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3823"/>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1C3"/>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BA1319"/>
    <w:rsid w:val="01D55165"/>
    <w:rsid w:val="01DF6BF8"/>
    <w:rsid w:val="01EC2C57"/>
    <w:rsid w:val="0241705E"/>
    <w:rsid w:val="026B2E25"/>
    <w:rsid w:val="02753ABB"/>
    <w:rsid w:val="02824D4D"/>
    <w:rsid w:val="02DC4B10"/>
    <w:rsid w:val="02DD76CE"/>
    <w:rsid w:val="02F36323"/>
    <w:rsid w:val="02F5619C"/>
    <w:rsid w:val="0326446A"/>
    <w:rsid w:val="032D5555"/>
    <w:rsid w:val="036634D2"/>
    <w:rsid w:val="039C6131"/>
    <w:rsid w:val="03DD35E4"/>
    <w:rsid w:val="04076900"/>
    <w:rsid w:val="041A5A3B"/>
    <w:rsid w:val="042311BA"/>
    <w:rsid w:val="042B157A"/>
    <w:rsid w:val="048F763B"/>
    <w:rsid w:val="049F330E"/>
    <w:rsid w:val="04AA775C"/>
    <w:rsid w:val="04AF1889"/>
    <w:rsid w:val="04DB09BB"/>
    <w:rsid w:val="04F66F48"/>
    <w:rsid w:val="050A0BBB"/>
    <w:rsid w:val="05251E14"/>
    <w:rsid w:val="053F7657"/>
    <w:rsid w:val="05A16594"/>
    <w:rsid w:val="05A7762D"/>
    <w:rsid w:val="05E958CE"/>
    <w:rsid w:val="06022AFF"/>
    <w:rsid w:val="060E5941"/>
    <w:rsid w:val="06110FAF"/>
    <w:rsid w:val="061354FB"/>
    <w:rsid w:val="06493CA7"/>
    <w:rsid w:val="06530F29"/>
    <w:rsid w:val="065511A4"/>
    <w:rsid w:val="065A6178"/>
    <w:rsid w:val="066F1CF3"/>
    <w:rsid w:val="06930BB8"/>
    <w:rsid w:val="06D32CB2"/>
    <w:rsid w:val="06F80AFB"/>
    <w:rsid w:val="07245D42"/>
    <w:rsid w:val="07247C28"/>
    <w:rsid w:val="07264C62"/>
    <w:rsid w:val="0779354C"/>
    <w:rsid w:val="08061376"/>
    <w:rsid w:val="08061CCE"/>
    <w:rsid w:val="080A32C2"/>
    <w:rsid w:val="08217F8C"/>
    <w:rsid w:val="08452D77"/>
    <w:rsid w:val="08483881"/>
    <w:rsid w:val="086401F8"/>
    <w:rsid w:val="08751CAA"/>
    <w:rsid w:val="087E4C40"/>
    <w:rsid w:val="088A61B1"/>
    <w:rsid w:val="088A6FB6"/>
    <w:rsid w:val="08D66AD6"/>
    <w:rsid w:val="08DA33A3"/>
    <w:rsid w:val="08E80F13"/>
    <w:rsid w:val="09335624"/>
    <w:rsid w:val="0944690F"/>
    <w:rsid w:val="09535675"/>
    <w:rsid w:val="095F057D"/>
    <w:rsid w:val="09642282"/>
    <w:rsid w:val="09664380"/>
    <w:rsid w:val="096B4CA4"/>
    <w:rsid w:val="09733572"/>
    <w:rsid w:val="09772C16"/>
    <w:rsid w:val="098353B5"/>
    <w:rsid w:val="09A92330"/>
    <w:rsid w:val="09B06B87"/>
    <w:rsid w:val="09C13146"/>
    <w:rsid w:val="09E04166"/>
    <w:rsid w:val="0A102680"/>
    <w:rsid w:val="0A1C0718"/>
    <w:rsid w:val="0A283ED3"/>
    <w:rsid w:val="0A3E7710"/>
    <w:rsid w:val="0A5B7E63"/>
    <w:rsid w:val="0AA374A5"/>
    <w:rsid w:val="0AAB7649"/>
    <w:rsid w:val="0ABC5606"/>
    <w:rsid w:val="0AC33255"/>
    <w:rsid w:val="0B30404E"/>
    <w:rsid w:val="0B4C6C14"/>
    <w:rsid w:val="0B631A88"/>
    <w:rsid w:val="0B683D45"/>
    <w:rsid w:val="0B7F3F11"/>
    <w:rsid w:val="0B884417"/>
    <w:rsid w:val="0BAF143E"/>
    <w:rsid w:val="0BB377CC"/>
    <w:rsid w:val="0BB93035"/>
    <w:rsid w:val="0BD55995"/>
    <w:rsid w:val="0BF6188C"/>
    <w:rsid w:val="0BF73C91"/>
    <w:rsid w:val="0C170175"/>
    <w:rsid w:val="0C177116"/>
    <w:rsid w:val="0C1B5A9E"/>
    <w:rsid w:val="0C4650EF"/>
    <w:rsid w:val="0C571A41"/>
    <w:rsid w:val="0C5C1171"/>
    <w:rsid w:val="0C5E1CBC"/>
    <w:rsid w:val="0C615B50"/>
    <w:rsid w:val="0C625742"/>
    <w:rsid w:val="0C840299"/>
    <w:rsid w:val="0C8445DA"/>
    <w:rsid w:val="0C87121B"/>
    <w:rsid w:val="0C970EB6"/>
    <w:rsid w:val="0CC007F7"/>
    <w:rsid w:val="0CFE707A"/>
    <w:rsid w:val="0D063BDA"/>
    <w:rsid w:val="0D08375F"/>
    <w:rsid w:val="0D184CFB"/>
    <w:rsid w:val="0D4A7419"/>
    <w:rsid w:val="0D797DC8"/>
    <w:rsid w:val="0D827401"/>
    <w:rsid w:val="0D84094E"/>
    <w:rsid w:val="0D8A00E9"/>
    <w:rsid w:val="0D8D589E"/>
    <w:rsid w:val="0D8F10B6"/>
    <w:rsid w:val="0D952BBB"/>
    <w:rsid w:val="0DA01C73"/>
    <w:rsid w:val="0DBE2C73"/>
    <w:rsid w:val="0DC80CC4"/>
    <w:rsid w:val="0DCD01D9"/>
    <w:rsid w:val="0DD63300"/>
    <w:rsid w:val="0DE407D2"/>
    <w:rsid w:val="0DF50604"/>
    <w:rsid w:val="0DF702FE"/>
    <w:rsid w:val="0E060E51"/>
    <w:rsid w:val="0E4D2D7F"/>
    <w:rsid w:val="0E5604B2"/>
    <w:rsid w:val="0E6A6040"/>
    <w:rsid w:val="0E6D5D79"/>
    <w:rsid w:val="0E9D0089"/>
    <w:rsid w:val="0EB803EE"/>
    <w:rsid w:val="0EF94D4B"/>
    <w:rsid w:val="0F0B3C4E"/>
    <w:rsid w:val="0F352103"/>
    <w:rsid w:val="0F480D40"/>
    <w:rsid w:val="0F4958DC"/>
    <w:rsid w:val="0F515DF7"/>
    <w:rsid w:val="0F596BA8"/>
    <w:rsid w:val="0F6248D2"/>
    <w:rsid w:val="0F693536"/>
    <w:rsid w:val="0F714B54"/>
    <w:rsid w:val="0F7B0511"/>
    <w:rsid w:val="0F7B76D9"/>
    <w:rsid w:val="0F7D3EF7"/>
    <w:rsid w:val="0F816ACD"/>
    <w:rsid w:val="0F9832DB"/>
    <w:rsid w:val="0FBF3FD2"/>
    <w:rsid w:val="0FBF7FF3"/>
    <w:rsid w:val="0FFB0A32"/>
    <w:rsid w:val="10024FA8"/>
    <w:rsid w:val="10264A11"/>
    <w:rsid w:val="103273DB"/>
    <w:rsid w:val="104C0DD9"/>
    <w:rsid w:val="10646583"/>
    <w:rsid w:val="107D4B15"/>
    <w:rsid w:val="108A3C80"/>
    <w:rsid w:val="10B855D5"/>
    <w:rsid w:val="10C26171"/>
    <w:rsid w:val="10D80401"/>
    <w:rsid w:val="10EC101A"/>
    <w:rsid w:val="10F33360"/>
    <w:rsid w:val="10FC16EA"/>
    <w:rsid w:val="110F1D40"/>
    <w:rsid w:val="11266F33"/>
    <w:rsid w:val="117C49C8"/>
    <w:rsid w:val="118963A1"/>
    <w:rsid w:val="11C6522A"/>
    <w:rsid w:val="11C72224"/>
    <w:rsid w:val="11E104CC"/>
    <w:rsid w:val="11E20309"/>
    <w:rsid w:val="12064AFA"/>
    <w:rsid w:val="122431D2"/>
    <w:rsid w:val="12255233"/>
    <w:rsid w:val="12386BC2"/>
    <w:rsid w:val="12530213"/>
    <w:rsid w:val="127723A9"/>
    <w:rsid w:val="12862074"/>
    <w:rsid w:val="12883966"/>
    <w:rsid w:val="129E45B4"/>
    <w:rsid w:val="12D81596"/>
    <w:rsid w:val="12EA7368"/>
    <w:rsid w:val="13072A44"/>
    <w:rsid w:val="135F4BE2"/>
    <w:rsid w:val="139B1A0A"/>
    <w:rsid w:val="139D148E"/>
    <w:rsid w:val="139D25C7"/>
    <w:rsid w:val="13BF3CE4"/>
    <w:rsid w:val="13F92CC0"/>
    <w:rsid w:val="141008D8"/>
    <w:rsid w:val="14125FE6"/>
    <w:rsid w:val="14630C7F"/>
    <w:rsid w:val="146D271E"/>
    <w:rsid w:val="146E1C8E"/>
    <w:rsid w:val="147914BD"/>
    <w:rsid w:val="14982588"/>
    <w:rsid w:val="149A5AD9"/>
    <w:rsid w:val="14A7619D"/>
    <w:rsid w:val="14B62C44"/>
    <w:rsid w:val="14C173FE"/>
    <w:rsid w:val="14CB5069"/>
    <w:rsid w:val="150536C3"/>
    <w:rsid w:val="150C1963"/>
    <w:rsid w:val="151447A0"/>
    <w:rsid w:val="154A6454"/>
    <w:rsid w:val="15762120"/>
    <w:rsid w:val="15A44D56"/>
    <w:rsid w:val="15F570FC"/>
    <w:rsid w:val="161F23A4"/>
    <w:rsid w:val="16A8729C"/>
    <w:rsid w:val="16B33777"/>
    <w:rsid w:val="16BC70A7"/>
    <w:rsid w:val="16C6339E"/>
    <w:rsid w:val="16F11225"/>
    <w:rsid w:val="17035AD4"/>
    <w:rsid w:val="17163A31"/>
    <w:rsid w:val="172F2D79"/>
    <w:rsid w:val="17557BEF"/>
    <w:rsid w:val="176F6C9D"/>
    <w:rsid w:val="17875F03"/>
    <w:rsid w:val="17BF5F86"/>
    <w:rsid w:val="17D349C1"/>
    <w:rsid w:val="1809540B"/>
    <w:rsid w:val="1830729E"/>
    <w:rsid w:val="1870062C"/>
    <w:rsid w:val="18817102"/>
    <w:rsid w:val="18830A15"/>
    <w:rsid w:val="18852B28"/>
    <w:rsid w:val="188B5321"/>
    <w:rsid w:val="189A78A7"/>
    <w:rsid w:val="18C92212"/>
    <w:rsid w:val="198367DE"/>
    <w:rsid w:val="19932372"/>
    <w:rsid w:val="19A20DD5"/>
    <w:rsid w:val="19AE03F1"/>
    <w:rsid w:val="1A071A03"/>
    <w:rsid w:val="1A1F16AE"/>
    <w:rsid w:val="1A323CF2"/>
    <w:rsid w:val="1A3B5C77"/>
    <w:rsid w:val="1A984BAD"/>
    <w:rsid w:val="1AB8220E"/>
    <w:rsid w:val="1ABF0FF7"/>
    <w:rsid w:val="1AD82707"/>
    <w:rsid w:val="1AE4166C"/>
    <w:rsid w:val="1AF06CFB"/>
    <w:rsid w:val="1AF11B8D"/>
    <w:rsid w:val="1B11359C"/>
    <w:rsid w:val="1B1F7E2E"/>
    <w:rsid w:val="1B2A271F"/>
    <w:rsid w:val="1B530544"/>
    <w:rsid w:val="1B713184"/>
    <w:rsid w:val="1BA209CF"/>
    <w:rsid w:val="1BB4777D"/>
    <w:rsid w:val="1BD31C27"/>
    <w:rsid w:val="1BD75AB8"/>
    <w:rsid w:val="1C0459C2"/>
    <w:rsid w:val="1C1B3B4A"/>
    <w:rsid w:val="1C203898"/>
    <w:rsid w:val="1C88086E"/>
    <w:rsid w:val="1CCF5EC9"/>
    <w:rsid w:val="1D1C3424"/>
    <w:rsid w:val="1D266CE1"/>
    <w:rsid w:val="1D3963AF"/>
    <w:rsid w:val="1D45110C"/>
    <w:rsid w:val="1D6220E7"/>
    <w:rsid w:val="1D6A673C"/>
    <w:rsid w:val="1D91146B"/>
    <w:rsid w:val="1D9247AE"/>
    <w:rsid w:val="1DB45D52"/>
    <w:rsid w:val="1DB567EC"/>
    <w:rsid w:val="1DBF5A9A"/>
    <w:rsid w:val="1DE95F1B"/>
    <w:rsid w:val="1DF51A98"/>
    <w:rsid w:val="1E3D060F"/>
    <w:rsid w:val="1E3F7D2E"/>
    <w:rsid w:val="1E4134E4"/>
    <w:rsid w:val="1E5062B3"/>
    <w:rsid w:val="1E523514"/>
    <w:rsid w:val="1E714A66"/>
    <w:rsid w:val="1E74728F"/>
    <w:rsid w:val="1E802593"/>
    <w:rsid w:val="1E871148"/>
    <w:rsid w:val="1EA43115"/>
    <w:rsid w:val="1EA703CC"/>
    <w:rsid w:val="1EAE512F"/>
    <w:rsid w:val="1EB7330C"/>
    <w:rsid w:val="1EBD00B4"/>
    <w:rsid w:val="1EE3658A"/>
    <w:rsid w:val="1F0A0FF3"/>
    <w:rsid w:val="1F5771FF"/>
    <w:rsid w:val="1F7A4175"/>
    <w:rsid w:val="1FB0622A"/>
    <w:rsid w:val="1FC82375"/>
    <w:rsid w:val="1FE868A9"/>
    <w:rsid w:val="20034907"/>
    <w:rsid w:val="200E0EE2"/>
    <w:rsid w:val="20173E4B"/>
    <w:rsid w:val="204E48BC"/>
    <w:rsid w:val="2087458D"/>
    <w:rsid w:val="208921B3"/>
    <w:rsid w:val="208B7552"/>
    <w:rsid w:val="20924998"/>
    <w:rsid w:val="20973DEB"/>
    <w:rsid w:val="20AF45AF"/>
    <w:rsid w:val="20B26522"/>
    <w:rsid w:val="20B44310"/>
    <w:rsid w:val="20CD20BC"/>
    <w:rsid w:val="211116EB"/>
    <w:rsid w:val="211F332B"/>
    <w:rsid w:val="21455913"/>
    <w:rsid w:val="216133FC"/>
    <w:rsid w:val="21D03B4C"/>
    <w:rsid w:val="21D56769"/>
    <w:rsid w:val="21E52EF3"/>
    <w:rsid w:val="21FB5D7B"/>
    <w:rsid w:val="220B1C3D"/>
    <w:rsid w:val="221D1D20"/>
    <w:rsid w:val="22334A87"/>
    <w:rsid w:val="223B0361"/>
    <w:rsid w:val="224B28CE"/>
    <w:rsid w:val="22BE6801"/>
    <w:rsid w:val="23290648"/>
    <w:rsid w:val="233500BF"/>
    <w:rsid w:val="23377FF7"/>
    <w:rsid w:val="235D3A43"/>
    <w:rsid w:val="236B425F"/>
    <w:rsid w:val="23836192"/>
    <w:rsid w:val="23901F29"/>
    <w:rsid w:val="239C0061"/>
    <w:rsid w:val="23B908A4"/>
    <w:rsid w:val="23E95BEF"/>
    <w:rsid w:val="23FD0064"/>
    <w:rsid w:val="243501DF"/>
    <w:rsid w:val="245375B0"/>
    <w:rsid w:val="24642C0A"/>
    <w:rsid w:val="24815D43"/>
    <w:rsid w:val="24B22173"/>
    <w:rsid w:val="24B95AD9"/>
    <w:rsid w:val="24BE24DA"/>
    <w:rsid w:val="24CF5825"/>
    <w:rsid w:val="24D663E6"/>
    <w:rsid w:val="24D77F2B"/>
    <w:rsid w:val="25257535"/>
    <w:rsid w:val="258B00E2"/>
    <w:rsid w:val="25A917A6"/>
    <w:rsid w:val="25AB0EA6"/>
    <w:rsid w:val="25BE27CC"/>
    <w:rsid w:val="25D0267F"/>
    <w:rsid w:val="25F74A5C"/>
    <w:rsid w:val="25FA2A58"/>
    <w:rsid w:val="260143FA"/>
    <w:rsid w:val="2628662C"/>
    <w:rsid w:val="262D45DE"/>
    <w:rsid w:val="2678675F"/>
    <w:rsid w:val="26A53EF9"/>
    <w:rsid w:val="26A94201"/>
    <w:rsid w:val="26AC274F"/>
    <w:rsid w:val="26E13ACA"/>
    <w:rsid w:val="27044A29"/>
    <w:rsid w:val="271D34C8"/>
    <w:rsid w:val="276142BF"/>
    <w:rsid w:val="27701E10"/>
    <w:rsid w:val="277511A5"/>
    <w:rsid w:val="27783712"/>
    <w:rsid w:val="27907362"/>
    <w:rsid w:val="279D3F72"/>
    <w:rsid w:val="2823123F"/>
    <w:rsid w:val="28333E1D"/>
    <w:rsid w:val="28454BD6"/>
    <w:rsid w:val="28455253"/>
    <w:rsid w:val="28551971"/>
    <w:rsid w:val="285B1C53"/>
    <w:rsid w:val="28610131"/>
    <w:rsid w:val="28643ED1"/>
    <w:rsid w:val="287A2989"/>
    <w:rsid w:val="289F7086"/>
    <w:rsid w:val="28C32028"/>
    <w:rsid w:val="28CC490F"/>
    <w:rsid w:val="28DE40AA"/>
    <w:rsid w:val="290F50CC"/>
    <w:rsid w:val="29345E77"/>
    <w:rsid w:val="294C65AD"/>
    <w:rsid w:val="296D720D"/>
    <w:rsid w:val="29806583"/>
    <w:rsid w:val="298B3C4C"/>
    <w:rsid w:val="29AA7008"/>
    <w:rsid w:val="29B86EA1"/>
    <w:rsid w:val="29C17889"/>
    <w:rsid w:val="29F26D24"/>
    <w:rsid w:val="2A15033F"/>
    <w:rsid w:val="2A1662C1"/>
    <w:rsid w:val="2A1821E1"/>
    <w:rsid w:val="2A1C7367"/>
    <w:rsid w:val="2A2815FA"/>
    <w:rsid w:val="2A420242"/>
    <w:rsid w:val="2A5A25CA"/>
    <w:rsid w:val="2A6D6092"/>
    <w:rsid w:val="2A7D76B4"/>
    <w:rsid w:val="2ABA0284"/>
    <w:rsid w:val="2AFE7D9D"/>
    <w:rsid w:val="2B437463"/>
    <w:rsid w:val="2B7807EE"/>
    <w:rsid w:val="2BBF00EC"/>
    <w:rsid w:val="2BC37CFD"/>
    <w:rsid w:val="2BD5237F"/>
    <w:rsid w:val="2BE536CE"/>
    <w:rsid w:val="2BE758D9"/>
    <w:rsid w:val="2C09049E"/>
    <w:rsid w:val="2C0A653C"/>
    <w:rsid w:val="2C191F85"/>
    <w:rsid w:val="2CB14DC8"/>
    <w:rsid w:val="2CE82D6F"/>
    <w:rsid w:val="2D343236"/>
    <w:rsid w:val="2D3D74A8"/>
    <w:rsid w:val="2D491818"/>
    <w:rsid w:val="2D940467"/>
    <w:rsid w:val="2DC53128"/>
    <w:rsid w:val="2DD15014"/>
    <w:rsid w:val="2DD84FAF"/>
    <w:rsid w:val="2DF72DE4"/>
    <w:rsid w:val="2E0220AF"/>
    <w:rsid w:val="2E325EB3"/>
    <w:rsid w:val="2E4B082A"/>
    <w:rsid w:val="2E56250D"/>
    <w:rsid w:val="2E5D4E86"/>
    <w:rsid w:val="2E5D790B"/>
    <w:rsid w:val="2E9A3C18"/>
    <w:rsid w:val="2EBB0FEE"/>
    <w:rsid w:val="2EC63002"/>
    <w:rsid w:val="2EED480B"/>
    <w:rsid w:val="2F0A6B38"/>
    <w:rsid w:val="2F3E6360"/>
    <w:rsid w:val="2F683CC4"/>
    <w:rsid w:val="2F86654F"/>
    <w:rsid w:val="2F9354BF"/>
    <w:rsid w:val="2F946CCB"/>
    <w:rsid w:val="2FCA5DA1"/>
    <w:rsid w:val="2FD25781"/>
    <w:rsid w:val="2FD85D33"/>
    <w:rsid w:val="2FDC6A42"/>
    <w:rsid w:val="2FFD7934"/>
    <w:rsid w:val="30733ACD"/>
    <w:rsid w:val="30853D41"/>
    <w:rsid w:val="308C3862"/>
    <w:rsid w:val="3092734B"/>
    <w:rsid w:val="309379D8"/>
    <w:rsid w:val="30A270F7"/>
    <w:rsid w:val="30C72FFF"/>
    <w:rsid w:val="30D83D34"/>
    <w:rsid w:val="30DF1478"/>
    <w:rsid w:val="30EC586F"/>
    <w:rsid w:val="3125759D"/>
    <w:rsid w:val="319C6071"/>
    <w:rsid w:val="31AC537E"/>
    <w:rsid w:val="31E3679B"/>
    <w:rsid w:val="31E732FD"/>
    <w:rsid w:val="32153643"/>
    <w:rsid w:val="3218353A"/>
    <w:rsid w:val="324375ED"/>
    <w:rsid w:val="3247621A"/>
    <w:rsid w:val="32517576"/>
    <w:rsid w:val="32704263"/>
    <w:rsid w:val="32BE5C2C"/>
    <w:rsid w:val="32CF393F"/>
    <w:rsid w:val="32FB6478"/>
    <w:rsid w:val="33093FF2"/>
    <w:rsid w:val="33263B3F"/>
    <w:rsid w:val="33572FB0"/>
    <w:rsid w:val="336963EB"/>
    <w:rsid w:val="33816EEB"/>
    <w:rsid w:val="33861030"/>
    <w:rsid w:val="33D3608A"/>
    <w:rsid w:val="33EB55CD"/>
    <w:rsid w:val="33EC4C02"/>
    <w:rsid w:val="34056568"/>
    <w:rsid w:val="340D2360"/>
    <w:rsid w:val="3410665D"/>
    <w:rsid w:val="34211214"/>
    <w:rsid w:val="342E63AB"/>
    <w:rsid w:val="34950E68"/>
    <w:rsid w:val="34986E94"/>
    <w:rsid w:val="34AF62C9"/>
    <w:rsid w:val="34CB4388"/>
    <w:rsid w:val="34DF40F8"/>
    <w:rsid w:val="34ED396C"/>
    <w:rsid w:val="34F17D83"/>
    <w:rsid w:val="34FA6E12"/>
    <w:rsid w:val="351555B6"/>
    <w:rsid w:val="353A7C8B"/>
    <w:rsid w:val="358D5588"/>
    <w:rsid w:val="35FB28C2"/>
    <w:rsid w:val="363A3B40"/>
    <w:rsid w:val="364D069A"/>
    <w:rsid w:val="364E0C73"/>
    <w:rsid w:val="365302AE"/>
    <w:rsid w:val="365563C5"/>
    <w:rsid w:val="36607A0A"/>
    <w:rsid w:val="36687B80"/>
    <w:rsid w:val="366A55A0"/>
    <w:rsid w:val="366E227C"/>
    <w:rsid w:val="366F2E0D"/>
    <w:rsid w:val="367B6A5C"/>
    <w:rsid w:val="36A74ADA"/>
    <w:rsid w:val="36AD60D5"/>
    <w:rsid w:val="36B224F9"/>
    <w:rsid w:val="36EC0CC9"/>
    <w:rsid w:val="372D1C56"/>
    <w:rsid w:val="373F410B"/>
    <w:rsid w:val="37781935"/>
    <w:rsid w:val="37B039E8"/>
    <w:rsid w:val="37EE7094"/>
    <w:rsid w:val="38296C89"/>
    <w:rsid w:val="382C1FAA"/>
    <w:rsid w:val="383002EB"/>
    <w:rsid w:val="38586797"/>
    <w:rsid w:val="387150D3"/>
    <w:rsid w:val="38BC0149"/>
    <w:rsid w:val="38D87D1C"/>
    <w:rsid w:val="38DC01CF"/>
    <w:rsid w:val="38F4246C"/>
    <w:rsid w:val="39636459"/>
    <w:rsid w:val="396B7F6C"/>
    <w:rsid w:val="397028EB"/>
    <w:rsid w:val="397549F5"/>
    <w:rsid w:val="39A77422"/>
    <w:rsid w:val="39B15671"/>
    <w:rsid w:val="39B26E7A"/>
    <w:rsid w:val="39B40600"/>
    <w:rsid w:val="39B417A9"/>
    <w:rsid w:val="39E84962"/>
    <w:rsid w:val="39E9692C"/>
    <w:rsid w:val="39F94DC1"/>
    <w:rsid w:val="39FC5695"/>
    <w:rsid w:val="3A006D8E"/>
    <w:rsid w:val="3A3651E5"/>
    <w:rsid w:val="3A4C6A14"/>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AD556F"/>
    <w:rsid w:val="3CCB21B4"/>
    <w:rsid w:val="3CCE23CB"/>
    <w:rsid w:val="3CD17D17"/>
    <w:rsid w:val="3CEC1E3A"/>
    <w:rsid w:val="3D1C3198"/>
    <w:rsid w:val="3D3C7F39"/>
    <w:rsid w:val="3D440F09"/>
    <w:rsid w:val="3D4504A0"/>
    <w:rsid w:val="3D6C2BB8"/>
    <w:rsid w:val="3D8734BB"/>
    <w:rsid w:val="3D873AA3"/>
    <w:rsid w:val="3D9A11D4"/>
    <w:rsid w:val="3DA16D89"/>
    <w:rsid w:val="3DA364BE"/>
    <w:rsid w:val="3DA77893"/>
    <w:rsid w:val="3DBF4D43"/>
    <w:rsid w:val="3DD81F09"/>
    <w:rsid w:val="3DE041CB"/>
    <w:rsid w:val="3E0D48F6"/>
    <w:rsid w:val="3E1868B4"/>
    <w:rsid w:val="3E377251"/>
    <w:rsid w:val="3E42664B"/>
    <w:rsid w:val="3E434E60"/>
    <w:rsid w:val="3E524A9F"/>
    <w:rsid w:val="3E5A7334"/>
    <w:rsid w:val="3E7B5D6B"/>
    <w:rsid w:val="3E843E66"/>
    <w:rsid w:val="3E8F51FE"/>
    <w:rsid w:val="3E926F87"/>
    <w:rsid w:val="3E9A59DE"/>
    <w:rsid w:val="3EAF4836"/>
    <w:rsid w:val="3EC33DFA"/>
    <w:rsid w:val="3F060E16"/>
    <w:rsid w:val="3F1D1096"/>
    <w:rsid w:val="3F2F0234"/>
    <w:rsid w:val="3F6363FE"/>
    <w:rsid w:val="3F756B8F"/>
    <w:rsid w:val="3F95482B"/>
    <w:rsid w:val="3FFA6F79"/>
    <w:rsid w:val="4019356B"/>
    <w:rsid w:val="40592157"/>
    <w:rsid w:val="406B706C"/>
    <w:rsid w:val="406E1CAE"/>
    <w:rsid w:val="407A0990"/>
    <w:rsid w:val="40A0133A"/>
    <w:rsid w:val="40A175C4"/>
    <w:rsid w:val="40B95F2E"/>
    <w:rsid w:val="40C24AD6"/>
    <w:rsid w:val="40C31A53"/>
    <w:rsid w:val="40E221E1"/>
    <w:rsid w:val="40F24A36"/>
    <w:rsid w:val="40FF545D"/>
    <w:rsid w:val="410067C8"/>
    <w:rsid w:val="41236011"/>
    <w:rsid w:val="414C64AC"/>
    <w:rsid w:val="418F0D2A"/>
    <w:rsid w:val="41B4781F"/>
    <w:rsid w:val="41C55819"/>
    <w:rsid w:val="41D01505"/>
    <w:rsid w:val="42297D7D"/>
    <w:rsid w:val="42474939"/>
    <w:rsid w:val="424C3C57"/>
    <w:rsid w:val="42557435"/>
    <w:rsid w:val="42613FF3"/>
    <w:rsid w:val="42660D96"/>
    <w:rsid w:val="428667D2"/>
    <w:rsid w:val="42B75819"/>
    <w:rsid w:val="42CD1CE0"/>
    <w:rsid w:val="42E1381E"/>
    <w:rsid w:val="42ED6459"/>
    <w:rsid w:val="42FE58DD"/>
    <w:rsid w:val="43174B3D"/>
    <w:rsid w:val="43343A76"/>
    <w:rsid w:val="434B790E"/>
    <w:rsid w:val="4360274F"/>
    <w:rsid w:val="43977AB6"/>
    <w:rsid w:val="43A3342B"/>
    <w:rsid w:val="43B43B06"/>
    <w:rsid w:val="43C77C27"/>
    <w:rsid w:val="43DE09EE"/>
    <w:rsid w:val="43F15FEB"/>
    <w:rsid w:val="44002FAD"/>
    <w:rsid w:val="440F5A54"/>
    <w:rsid w:val="4432770A"/>
    <w:rsid w:val="44332098"/>
    <w:rsid w:val="4473751E"/>
    <w:rsid w:val="449101DD"/>
    <w:rsid w:val="44B40341"/>
    <w:rsid w:val="44DE1391"/>
    <w:rsid w:val="451B225C"/>
    <w:rsid w:val="452410C9"/>
    <w:rsid w:val="45317DFB"/>
    <w:rsid w:val="456D3CE4"/>
    <w:rsid w:val="4579042C"/>
    <w:rsid w:val="457F0571"/>
    <w:rsid w:val="45851176"/>
    <w:rsid w:val="45C63B94"/>
    <w:rsid w:val="45ED139F"/>
    <w:rsid w:val="45F14B9E"/>
    <w:rsid w:val="46022E97"/>
    <w:rsid w:val="460E7DA5"/>
    <w:rsid w:val="46422483"/>
    <w:rsid w:val="4659254A"/>
    <w:rsid w:val="465B0637"/>
    <w:rsid w:val="465E3F0D"/>
    <w:rsid w:val="466A16E6"/>
    <w:rsid w:val="46893F2B"/>
    <w:rsid w:val="46C4686E"/>
    <w:rsid w:val="473C107A"/>
    <w:rsid w:val="4749546E"/>
    <w:rsid w:val="477B778F"/>
    <w:rsid w:val="478203EC"/>
    <w:rsid w:val="47B025FA"/>
    <w:rsid w:val="47BE5749"/>
    <w:rsid w:val="47D9586B"/>
    <w:rsid w:val="4809698F"/>
    <w:rsid w:val="4811697D"/>
    <w:rsid w:val="487A3E25"/>
    <w:rsid w:val="488B5503"/>
    <w:rsid w:val="48937E21"/>
    <w:rsid w:val="489A0361"/>
    <w:rsid w:val="489D6CA6"/>
    <w:rsid w:val="48B94FF3"/>
    <w:rsid w:val="48C82986"/>
    <w:rsid w:val="48E37AAB"/>
    <w:rsid w:val="48FD4B4C"/>
    <w:rsid w:val="490A68E0"/>
    <w:rsid w:val="491055FE"/>
    <w:rsid w:val="495F5B3E"/>
    <w:rsid w:val="496B7BEC"/>
    <w:rsid w:val="496F3FE6"/>
    <w:rsid w:val="496F77D7"/>
    <w:rsid w:val="497654FD"/>
    <w:rsid w:val="49953536"/>
    <w:rsid w:val="49B64211"/>
    <w:rsid w:val="49D62A28"/>
    <w:rsid w:val="49DA288A"/>
    <w:rsid w:val="49E14F29"/>
    <w:rsid w:val="49F6167F"/>
    <w:rsid w:val="4A0377F2"/>
    <w:rsid w:val="4A064FA0"/>
    <w:rsid w:val="4A0F69C0"/>
    <w:rsid w:val="4A16615C"/>
    <w:rsid w:val="4A2117CA"/>
    <w:rsid w:val="4A4424D7"/>
    <w:rsid w:val="4A4F27DB"/>
    <w:rsid w:val="4A77318E"/>
    <w:rsid w:val="4A8E0ECE"/>
    <w:rsid w:val="4AB82D0F"/>
    <w:rsid w:val="4AEB7664"/>
    <w:rsid w:val="4AFD7C19"/>
    <w:rsid w:val="4B0567D1"/>
    <w:rsid w:val="4B236AAE"/>
    <w:rsid w:val="4B707271"/>
    <w:rsid w:val="4B7A7FA2"/>
    <w:rsid w:val="4B9739F7"/>
    <w:rsid w:val="4BA024F7"/>
    <w:rsid w:val="4BEE2503"/>
    <w:rsid w:val="4C245A30"/>
    <w:rsid w:val="4C3B2B15"/>
    <w:rsid w:val="4CB6685F"/>
    <w:rsid w:val="4CC367FE"/>
    <w:rsid w:val="4D077F3C"/>
    <w:rsid w:val="4D123355"/>
    <w:rsid w:val="4D2A3B31"/>
    <w:rsid w:val="4D2F7A00"/>
    <w:rsid w:val="4D312C52"/>
    <w:rsid w:val="4D905305"/>
    <w:rsid w:val="4D964A72"/>
    <w:rsid w:val="4D9C1254"/>
    <w:rsid w:val="4DF55447"/>
    <w:rsid w:val="4DFE4EBD"/>
    <w:rsid w:val="4E7315B3"/>
    <w:rsid w:val="4E793892"/>
    <w:rsid w:val="4E800872"/>
    <w:rsid w:val="4EAF4E3E"/>
    <w:rsid w:val="4EC569ED"/>
    <w:rsid w:val="4ED50EA1"/>
    <w:rsid w:val="4EEC050C"/>
    <w:rsid w:val="4F104EC3"/>
    <w:rsid w:val="4F47354A"/>
    <w:rsid w:val="4F72556E"/>
    <w:rsid w:val="4F911C54"/>
    <w:rsid w:val="4FD11E53"/>
    <w:rsid w:val="4FE625E0"/>
    <w:rsid w:val="501661D2"/>
    <w:rsid w:val="5021480F"/>
    <w:rsid w:val="506B612A"/>
    <w:rsid w:val="50750E8F"/>
    <w:rsid w:val="50962ECB"/>
    <w:rsid w:val="50A42E38"/>
    <w:rsid w:val="50A4577F"/>
    <w:rsid w:val="50B73D1F"/>
    <w:rsid w:val="50BD5BC9"/>
    <w:rsid w:val="50C11EEE"/>
    <w:rsid w:val="50CA7505"/>
    <w:rsid w:val="50E2135C"/>
    <w:rsid w:val="50E377D9"/>
    <w:rsid w:val="50E97CFC"/>
    <w:rsid w:val="50FA4028"/>
    <w:rsid w:val="510D65B7"/>
    <w:rsid w:val="511157AB"/>
    <w:rsid w:val="5142540C"/>
    <w:rsid w:val="517C66A4"/>
    <w:rsid w:val="518832C8"/>
    <w:rsid w:val="51A0432A"/>
    <w:rsid w:val="51A86090"/>
    <w:rsid w:val="51B7396D"/>
    <w:rsid w:val="51C86B64"/>
    <w:rsid w:val="51C94786"/>
    <w:rsid w:val="51D72998"/>
    <w:rsid w:val="522E4CC3"/>
    <w:rsid w:val="5244713B"/>
    <w:rsid w:val="52615633"/>
    <w:rsid w:val="52977FD4"/>
    <w:rsid w:val="52A25790"/>
    <w:rsid w:val="52A96B6F"/>
    <w:rsid w:val="52B45975"/>
    <w:rsid w:val="52C673B2"/>
    <w:rsid w:val="52D94AA4"/>
    <w:rsid w:val="52EA3A62"/>
    <w:rsid w:val="52F50BB8"/>
    <w:rsid w:val="53097272"/>
    <w:rsid w:val="53544462"/>
    <w:rsid w:val="53656D06"/>
    <w:rsid w:val="5397158E"/>
    <w:rsid w:val="539F21DB"/>
    <w:rsid w:val="53C052F7"/>
    <w:rsid w:val="54013861"/>
    <w:rsid w:val="54112F30"/>
    <w:rsid w:val="54487265"/>
    <w:rsid w:val="544D6070"/>
    <w:rsid w:val="54605E1E"/>
    <w:rsid w:val="547768EF"/>
    <w:rsid w:val="549403ED"/>
    <w:rsid w:val="549B3450"/>
    <w:rsid w:val="54B3506A"/>
    <w:rsid w:val="54B64766"/>
    <w:rsid w:val="54CA0D16"/>
    <w:rsid w:val="54DD4057"/>
    <w:rsid w:val="54E7490F"/>
    <w:rsid w:val="5504377C"/>
    <w:rsid w:val="550764A4"/>
    <w:rsid w:val="550B2BF6"/>
    <w:rsid w:val="55214EB5"/>
    <w:rsid w:val="55364EFD"/>
    <w:rsid w:val="555D4828"/>
    <w:rsid w:val="55684751"/>
    <w:rsid w:val="557A4C8B"/>
    <w:rsid w:val="558931E1"/>
    <w:rsid w:val="55923347"/>
    <w:rsid w:val="55925180"/>
    <w:rsid w:val="55983B1B"/>
    <w:rsid w:val="55A8376B"/>
    <w:rsid w:val="55DC29B6"/>
    <w:rsid w:val="55DD4241"/>
    <w:rsid w:val="5654253D"/>
    <w:rsid w:val="566B6D1E"/>
    <w:rsid w:val="56967A4D"/>
    <w:rsid w:val="56A0748D"/>
    <w:rsid w:val="57032A2C"/>
    <w:rsid w:val="570F5219"/>
    <w:rsid w:val="57481289"/>
    <w:rsid w:val="575D12B5"/>
    <w:rsid w:val="57610A87"/>
    <w:rsid w:val="577B1140"/>
    <w:rsid w:val="577B7F21"/>
    <w:rsid w:val="577F181B"/>
    <w:rsid w:val="578605C7"/>
    <w:rsid w:val="57921984"/>
    <w:rsid w:val="579737F0"/>
    <w:rsid w:val="57AB7B30"/>
    <w:rsid w:val="57AF5251"/>
    <w:rsid w:val="57B26373"/>
    <w:rsid w:val="57B63F04"/>
    <w:rsid w:val="57CD20C2"/>
    <w:rsid w:val="57D675AB"/>
    <w:rsid w:val="57D95FDD"/>
    <w:rsid w:val="5855720E"/>
    <w:rsid w:val="588857DF"/>
    <w:rsid w:val="58917D2F"/>
    <w:rsid w:val="5894085C"/>
    <w:rsid w:val="58AE4F0C"/>
    <w:rsid w:val="58B85899"/>
    <w:rsid w:val="58D53AF8"/>
    <w:rsid w:val="58E363A9"/>
    <w:rsid w:val="58F555F9"/>
    <w:rsid w:val="590E12C8"/>
    <w:rsid w:val="5920308F"/>
    <w:rsid w:val="595E1678"/>
    <w:rsid w:val="596D5BD4"/>
    <w:rsid w:val="597E3DD8"/>
    <w:rsid w:val="59F80043"/>
    <w:rsid w:val="5A09252F"/>
    <w:rsid w:val="5A0B2778"/>
    <w:rsid w:val="5A2A7C7B"/>
    <w:rsid w:val="5A3E2560"/>
    <w:rsid w:val="5A5D3B6E"/>
    <w:rsid w:val="5A637A76"/>
    <w:rsid w:val="5A6D33BA"/>
    <w:rsid w:val="5A792B1F"/>
    <w:rsid w:val="5A874767"/>
    <w:rsid w:val="5A996280"/>
    <w:rsid w:val="5AAD6F28"/>
    <w:rsid w:val="5AD50114"/>
    <w:rsid w:val="5AD63A24"/>
    <w:rsid w:val="5B0942E0"/>
    <w:rsid w:val="5B1377EE"/>
    <w:rsid w:val="5B2E1A1D"/>
    <w:rsid w:val="5B6918E4"/>
    <w:rsid w:val="5B6A6148"/>
    <w:rsid w:val="5B780A69"/>
    <w:rsid w:val="5B843A1C"/>
    <w:rsid w:val="5B873E3F"/>
    <w:rsid w:val="5B8E663A"/>
    <w:rsid w:val="5BA872B8"/>
    <w:rsid w:val="5BE9310D"/>
    <w:rsid w:val="5BF52211"/>
    <w:rsid w:val="5C02690E"/>
    <w:rsid w:val="5C196DA7"/>
    <w:rsid w:val="5C2A048C"/>
    <w:rsid w:val="5C370523"/>
    <w:rsid w:val="5C7F5A5F"/>
    <w:rsid w:val="5C80234E"/>
    <w:rsid w:val="5C8A680C"/>
    <w:rsid w:val="5CA641C7"/>
    <w:rsid w:val="5D0C4701"/>
    <w:rsid w:val="5D0F0395"/>
    <w:rsid w:val="5D13298A"/>
    <w:rsid w:val="5D221076"/>
    <w:rsid w:val="5D397964"/>
    <w:rsid w:val="5D5A391C"/>
    <w:rsid w:val="5D5F10C0"/>
    <w:rsid w:val="5D891B7B"/>
    <w:rsid w:val="5DAD38EE"/>
    <w:rsid w:val="5DB054A9"/>
    <w:rsid w:val="5E006862"/>
    <w:rsid w:val="5E0207B9"/>
    <w:rsid w:val="5E1834A1"/>
    <w:rsid w:val="5E261785"/>
    <w:rsid w:val="5E4430BF"/>
    <w:rsid w:val="5E4A7017"/>
    <w:rsid w:val="5E526349"/>
    <w:rsid w:val="5E552BBA"/>
    <w:rsid w:val="5E611C10"/>
    <w:rsid w:val="5EFC7377"/>
    <w:rsid w:val="5F06174D"/>
    <w:rsid w:val="5F234AF1"/>
    <w:rsid w:val="5F3A3602"/>
    <w:rsid w:val="5F6277C6"/>
    <w:rsid w:val="5F6D0B1D"/>
    <w:rsid w:val="5F8D0B82"/>
    <w:rsid w:val="5FCC5339"/>
    <w:rsid w:val="5FE34A5B"/>
    <w:rsid w:val="5FFE1E36"/>
    <w:rsid w:val="60232584"/>
    <w:rsid w:val="607330CE"/>
    <w:rsid w:val="60825176"/>
    <w:rsid w:val="609F2AC4"/>
    <w:rsid w:val="60A82CA5"/>
    <w:rsid w:val="60FA2EE8"/>
    <w:rsid w:val="61054A27"/>
    <w:rsid w:val="610A52BC"/>
    <w:rsid w:val="611D2366"/>
    <w:rsid w:val="61322180"/>
    <w:rsid w:val="61421856"/>
    <w:rsid w:val="61427F2D"/>
    <w:rsid w:val="615227C4"/>
    <w:rsid w:val="61654E3F"/>
    <w:rsid w:val="61712CAB"/>
    <w:rsid w:val="6182292A"/>
    <w:rsid w:val="618C270E"/>
    <w:rsid w:val="619F7F92"/>
    <w:rsid w:val="61F94C26"/>
    <w:rsid w:val="62000E56"/>
    <w:rsid w:val="620152D8"/>
    <w:rsid w:val="620879D5"/>
    <w:rsid w:val="622D3E2A"/>
    <w:rsid w:val="624A4FAC"/>
    <w:rsid w:val="624F3E49"/>
    <w:rsid w:val="62632286"/>
    <w:rsid w:val="62885958"/>
    <w:rsid w:val="62E65BE7"/>
    <w:rsid w:val="62F40B65"/>
    <w:rsid w:val="62FC2CFE"/>
    <w:rsid w:val="63024505"/>
    <w:rsid w:val="635803E4"/>
    <w:rsid w:val="635B1DB5"/>
    <w:rsid w:val="63711FED"/>
    <w:rsid w:val="63736832"/>
    <w:rsid w:val="63880DDC"/>
    <w:rsid w:val="638D750D"/>
    <w:rsid w:val="63901D94"/>
    <w:rsid w:val="63AB38BC"/>
    <w:rsid w:val="63AC6CC0"/>
    <w:rsid w:val="63C63B2B"/>
    <w:rsid w:val="64055776"/>
    <w:rsid w:val="64240056"/>
    <w:rsid w:val="642E6B65"/>
    <w:rsid w:val="643E143A"/>
    <w:rsid w:val="645B2861"/>
    <w:rsid w:val="64854F93"/>
    <w:rsid w:val="648B6EEF"/>
    <w:rsid w:val="64A51C8E"/>
    <w:rsid w:val="64C158BF"/>
    <w:rsid w:val="64CE2EAA"/>
    <w:rsid w:val="6525631A"/>
    <w:rsid w:val="653623FB"/>
    <w:rsid w:val="65363C60"/>
    <w:rsid w:val="653C3090"/>
    <w:rsid w:val="6546685C"/>
    <w:rsid w:val="65501B81"/>
    <w:rsid w:val="65586590"/>
    <w:rsid w:val="65854376"/>
    <w:rsid w:val="658767BE"/>
    <w:rsid w:val="65892531"/>
    <w:rsid w:val="65A15E75"/>
    <w:rsid w:val="661029C7"/>
    <w:rsid w:val="66195831"/>
    <w:rsid w:val="662A7998"/>
    <w:rsid w:val="662E75B1"/>
    <w:rsid w:val="66342C2E"/>
    <w:rsid w:val="66384DC2"/>
    <w:rsid w:val="663E784C"/>
    <w:rsid w:val="664E0879"/>
    <w:rsid w:val="668B6A45"/>
    <w:rsid w:val="66A355E9"/>
    <w:rsid w:val="672D3625"/>
    <w:rsid w:val="672F3F24"/>
    <w:rsid w:val="673E055F"/>
    <w:rsid w:val="67551CE3"/>
    <w:rsid w:val="675D5BE1"/>
    <w:rsid w:val="67682F76"/>
    <w:rsid w:val="67902011"/>
    <w:rsid w:val="67A22552"/>
    <w:rsid w:val="67B22DCC"/>
    <w:rsid w:val="67BE71AA"/>
    <w:rsid w:val="67D90273"/>
    <w:rsid w:val="67DE5875"/>
    <w:rsid w:val="67E55852"/>
    <w:rsid w:val="67E61C31"/>
    <w:rsid w:val="67EB1AB4"/>
    <w:rsid w:val="67FA1285"/>
    <w:rsid w:val="68551F4F"/>
    <w:rsid w:val="687C10C9"/>
    <w:rsid w:val="68840C16"/>
    <w:rsid w:val="68876EFB"/>
    <w:rsid w:val="68884654"/>
    <w:rsid w:val="689F444F"/>
    <w:rsid w:val="68B96DBB"/>
    <w:rsid w:val="68CA2805"/>
    <w:rsid w:val="68E937A3"/>
    <w:rsid w:val="68EC19BF"/>
    <w:rsid w:val="693E15D3"/>
    <w:rsid w:val="69463B1F"/>
    <w:rsid w:val="69627681"/>
    <w:rsid w:val="6977531D"/>
    <w:rsid w:val="699D3CB5"/>
    <w:rsid w:val="69CC2BFF"/>
    <w:rsid w:val="69D550CD"/>
    <w:rsid w:val="69FD55B8"/>
    <w:rsid w:val="6A0B1C62"/>
    <w:rsid w:val="6A2406C8"/>
    <w:rsid w:val="6A2557A7"/>
    <w:rsid w:val="6A6D64D7"/>
    <w:rsid w:val="6A7E658D"/>
    <w:rsid w:val="6ADE0BD1"/>
    <w:rsid w:val="6AE96859"/>
    <w:rsid w:val="6AF74F45"/>
    <w:rsid w:val="6B147746"/>
    <w:rsid w:val="6B24787C"/>
    <w:rsid w:val="6B3414ED"/>
    <w:rsid w:val="6B573233"/>
    <w:rsid w:val="6B5B6274"/>
    <w:rsid w:val="6B935D53"/>
    <w:rsid w:val="6BEE3420"/>
    <w:rsid w:val="6BF1329A"/>
    <w:rsid w:val="6C1532AB"/>
    <w:rsid w:val="6C196F71"/>
    <w:rsid w:val="6C226FCB"/>
    <w:rsid w:val="6C31226F"/>
    <w:rsid w:val="6C552F0B"/>
    <w:rsid w:val="6C8C67B7"/>
    <w:rsid w:val="6C9D744C"/>
    <w:rsid w:val="6CD40368"/>
    <w:rsid w:val="6CF17EE6"/>
    <w:rsid w:val="6D167928"/>
    <w:rsid w:val="6D26299B"/>
    <w:rsid w:val="6D34343E"/>
    <w:rsid w:val="6D4772EC"/>
    <w:rsid w:val="6D9078AF"/>
    <w:rsid w:val="6DAA3FEF"/>
    <w:rsid w:val="6DC0172B"/>
    <w:rsid w:val="6DCB690C"/>
    <w:rsid w:val="6DCE73A1"/>
    <w:rsid w:val="6DD41A5B"/>
    <w:rsid w:val="6DDD5884"/>
    <w:rsid w:val="6DF43C2E"/>
    <w:rsid w:val="6DF51CA3"/>
    <w:rsid w:val="6E073DB0"/>
    <w:rsid w:val="6E3E4594"/>
    <w:rsid w:val="6E7F06E9"/>
    <w:rsid w:val="6E8335BD"/>
    <w:rsid w:val="6E8E12EF"/>
    <w:rsid w:val="6E972936"/>
    <w:rsid w:val="6ED446C5"/>
    <w:rsid w:val="6F0230C8"/>
    <w:rsid w:val="6F2A7D94"/>
    <w:rsid w:val="6F8331F1"/>
    <w:rsid w:val="6FAE1A09"/>
    <w:rsid w:val="6FD75BF8"/>
    <w:rsid w:val="707723D0"/>
    <w:rsid w:val="70F5661B"/>
    <w:rsid w:val="71360107"/>
    <w:rsid w:val="713B688E"/>
    <w:rsid w:val="7178701F"/>
    <w:rsid w:val="71B7463E"/>
    <w:rsid w:val="71D43752"/>
    <w:rsid w:val="71EA4A14"/>
    <w:rsid w:val="71F1796A"/>
    <w:rsid w:val="720033A7"/>
    <w:rsid w:val="72154626"/>
    <w:rsid w:val="72262B5D"/>
    <w:rsid w:val="72283FF7"/>
    <w:rsid w:val="722E7212"/>
    <w:rsid w:val="723A0474"/>
    <w:rsid w:val="7244764E"/>
    <w:rsid w:val="725923E4"/>
    <w:rsid w:val="72864BF7"/>
    <w:rsid w:val="729023FC"/>
    <w:rsid w:val="72DB70B2"/>
    <w:rsid w:val="73982B4E"/>
    <w:rsid w:val="73C0646E"/>
    <w:rsid w:val="742222F5"/>
    <w:rsid w:val="74472DDE"/>
    <w:rsid w:val="74476126"/>
    <w:rsid w:val="744C72C0"/>
    <w:rsid w:val="74706664"/>
    <w:rsid w:val="747955F9"/>
    <w:rsid w:val="747F3682"/>
    <w:rsid w:val="749C4185"/>
    <w:rsid w:val="75067759"/>
    <w:rsid w:val="752E6DCD"/>
    <w:rsid w:val="7551380D"/>
    <w:rsid w:val="75600BE5"/>
    <w:rsid w:val="7564475C"/>
    <w:rsid w:val="7583797F"/>
    <w:rsid w:val="75896940"/>
    <w:rsid w:val="75D20F1D"/>
    <w:rsid w:val="75DA2C18"/>
    <w:rsid w:val="75E35A02"/>
    <w:rsid w:val="75EC3712"/>
    <w:rsid w:val="75F419BD"/>
    <w:rsid w:val="75F54412"/>
    <w:rsid w:val="761D08E0"/>
    <w:rsid w:val="765D347C"/>
    <w:rsid w:val="76826699"/>
    <w:rsid w:val="76A96C4B"/>
    <w:rsid w:val="76C87133"/>
    <w:rsid w:val="76CD08D5"/>
    <w:rsid w:val="76DB4B92"/>
    <w:rsid w:val="77052AA4"/>
    <w:rsid w:val="77136511"/>
    <w:rsid w:val="77340A39"/>
    <w:rsid w:val="77351FD0"/>
    <w:rsid w:val="77472422"/>
    <w:rsid w:val="777F31F2"/>
    <w:rsid w:val="77D1700D"/>
    <w:rsid w:val="77EC04CC"/>
    <w:rsid w:val="77FF03B0"/>
    <w:rsid w:val="780C215E"/>
    <w:rsid w:val="78775729"/>
    <w:rsid w:val="788605AB"/>
    <w:rsid w:val="789C184B"/>
    <w:rsid w:val="78A42DB0"/>
    <w:rsid w:val="78A656AB"/>
    <w:rsid w:val="78B2245C"/>
    <w:rsid w:val="78B6564F"/>
    <w:rsid w:val="78DE27AC"/>
    <w:rsid w:val="78E172CC"/>
    <w:rsid w:val="78EA1D1F"/>
    <w:rsid w:val="78ED426E"/>
    <w:rsid w:val="7904172F"/>
    <w:rsid w:val="790F7E27"/>
    <w:rsid w:val="792A231A"/>
    <w:rsid w:val="79316829"/>
    <w:rsid w:val="797E66A9"/>
    <w:rsid w:val="798B079E"/>
    <w:rsid w:val="79A97383"/>
    <w:rsid w:val="79AD7D6A"/>
    <w:rsid w:val="79CB2A4A"/>
    <w:rsid w:val="79E27E8B"/>
    <w:rsid w:val="79F850CE"/>
    <w:rsid w:val="79FD443C"/>
    <w:rsid w:val="7A081EDB"/>
    <w:rsid w:val="7A0B3482"/>
    <w:rsid w:val="7A1D1975"/>
    <w:rsid w:val="7A3E5150"/>
    <w:rsid w:val="7A4670D6"/>
    <w:rsid w:val="7A534B63"/>
    <w:rsid w:val="7A615382"/>
    <w:rsid w:val="7A67303B"/>
    <w:rsid w:val="7AAB1D04"/>
    <w:rsid w:val="7ABA4368"/>
    <w:rsid w:val="7AD05746"/>
    <w:rsid w:val="7B2029F8"/>
    <w:rsid w:val="7B257FFD"/>
    <w:rsid w:val="7B343476"/>
    <w:rsid w:val="7B5A2978"/>
    <w:rsid w:val="7B5A7E4C"/>
    <w:rsid w:val="7B667AF9"/>
    <w:rsid w:val="7B7468F8"/>
    <w:rsid w:val="7B7B42F9"/>
    <w:rsid w:val="7B823602"/>
    <w:rsid w:val="7BED75DA"/>
    <w:rsid w:val="7BEE0103"/>
    <w:rsid w:val="7C0A0FE4"/>
    <w:rsid w:val="7C254906"/>
    <w:rsid w:val="7C405DA3"/>
    <w:rsid w:val="7C590818"/>
    <w:rsid w:val="7C6F4493"/>
    <w:rsid w:val="7C7C10F6"/>
    <w:rsid w:val="7C853BEA"/>
    <w:rsid w:val="7C881368"/>
    <w:rsid w:val="7CD2582C"/>
    <w:rsid w:val="7CE27788"/>
    <w:rsid w:val="7CED5C37"/>
    <w:rsid w:val="7CFA2B82"/>
    <w:rsid w:val="7D0B583E"/>
    <w:rsid w:val="7D0C32F1"/>
    <w:rsid w:val="7D0F408D"/>
    <w:rsid w:val="7D491C6C"/>
    <w:rsid w:val="7D5429C0"/>
    <w:rsid w:val="7D6E6D43"/>
    <w:rsid w:val="7DB57A34"/>
    <w:rsid w:val="7DE60973"/>
    <w:rsid w:val="7DEF0916"/>
    <w:rsid w:val="7E1E5218"/>
    <w:rsid w:val="7E2F0D11"/>
    <w:rsid w:val="7E9A4E1F"/>
    <w:rsid w:val="7EA7723A"/>
    <w:rsid w:val="7EAF5D5D"/>
    <w:rsid w:val="7EF56FBB"/>
    <w:rsid w:val="7F0768EB"/>
    <w:rsid w:val="7F143BEC"/>
    <w:rsid w:val="7F54171E"/>
    <w:rsid w:val="7F665733"/>
    <w:rsid w:val="7F6D458E"/>
    <w:rsid w:val="7F715AF2"/>
    <w:rsid w:val="7F886E69"/>
    <w:rsid w:val="7FB3087C"/>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0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84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14"/>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683"/>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26"/>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7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71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
    <w:link w:val="724"/>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75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31"/>
    <w:qFormat/>
    <w:uiPriority w:val="0"/>
    <w:pPr>
      <w:shd w:val="clear" w:color="auto" w:fill="000080"/>
    </w:pPr>
  </w:style>
  <w:style w:type="paragraph" w:styleId="19">
    <w:name w:val="annotation text"/>
    <w:basedOn w:val="1"/>
    <w:link w:val="859"/>
    <w:qFormat/>
    <w:uiPriority w:val="99"/>
    <w:pPr>
      <w:jc w:val="left"/>
    </w:pPr>
  </w:style>
  <w:style w:type="paragraph" w:styleId="20">
    <w:name w:val="Salutation"/>
    <w:basedOn w:val="1"/>
    <w:next w:val="1"/>
    <w:link w:val="819"/>
    <w:qFormat/>
    <w:uiPriority w:val="0"/>
    <w:rPr>
      <w:rFonts w:ascii="仿宋_GB2312" w:eastAsia="仿宋_GB2312"/>
      <w:sz w:val="28"/>
      <w:szCs w:val="20"/>
    </w:rPr>
  </w:style>
  <w:style w:type="paragraph" w:styleId="21">
    <w:name w:val="Body Text 3"/>
    <w:basedOn w:val="1"/>
    <w:link w:val="84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936"/>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838"/>
    <w:qFormat/>
    <w:uiPriority w:val="0"/>
    <w:pPr>
      <w:ind w:firstLine="420"/>
    </w:pPr>
    <w:rPr>
      <w:rFonts w:hAnsi="Calibri" w:cs="Times New Roman"/>
      <w:szCs w:val="20"/>
    </w:rPr>
  </w:style>
  <w:style w:type="paragraph" w:styleId="25">
    <w:name w:val="Body Text Indent"/>
    <w:basedOn w:val="1"/>
    <w:next w:val="26"/>
    <w:link w:val="787"/>
    <w:qFormat/>
    <w:uiPriority w:val="0"/>
    <w:pPr>
      <w:spacing w:line="480" w:lineRule="exact"/>
      <w:ind w:firstLine="480" w:firstLineChars="200"/>
    </w:pPr>
    <w:rPr>
      <w:rFonts w:ascii="宋体" w:hAnsi="宋体"/>
      <w:sz w:val="24"/>
    </w:rPr>
  </w:style>
  <w:style w:type="paragraph" w:customStyle="1" w:styleId="26">
    <w:name w:val="正文文本首行缩进 2"/>
    <w:basedOn w:val="25"/>
    <w:qFormat/>
    <w:uiPriority w:val="99"/>
    <w:pPr>
      <w:spacing w:line="200" w:lineRule="atLeast"/>
      <w:ind w:firstLine="420"/>
    </w:pPr>
    <w:rPr>
      <w:rFonts w:hAnsi="Courier New"/>
      <w:spacing w:val="-4"/>
      <w:sz w:val="18"/>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748"/>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663"/>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713"/>
    <w:qFormat/>
    <w:uiPriority w:val="0"/>
    <w:pPr>
      <w:ind w:left="100" w:leftChars="2500"/>
    </w:pPr>
    <w:rPr>
      <w:rFonts w:ascii="宋体"/>
      <w:sz w:val="24"/>
      <w:szCs w:val="21"/>
      <w:lang w:val="zh-CN"/>
    </w:rPr>
  </w:style>
  <w:style w:type="paragraph" w:styleId="38">
    <w:name w:val="Body Text Indent 2"/>
    <w:basedOn w:val="1"/>
    <w:link w:val="827"/>
    <w:qFormat/>
    <w:uiPriority w:val="0"/>
    <w:pPr>
      <w:spacing w:line="360" w:lineRule="auto"/>
      <w:ind w:firstLine="601"/>
      <w:textAlignment w:val="baseline"/>
    </w:pPr>
    <w:rPr>
      <w:rFonts w:ascii="宋体"/>
      <w:kern w:val="0"/>
      <w:sz w:val="28"/>
      <w:szCs w:val="20"/>
    </w:rPr>
  </w:style>
  <w:style w:type="paragraph" w:styleId="39">
    <w:name w:val="endnote text"/>
    <w:basedOn w:val="1"/>
    <w:link w:val="944"/>
    <w:qFormat/>
    <w:uiPriority w:val="0"/>
    <w:rPr>
      <w:lang w:val="zh-CN"/>
    </w:rPr>
  </w:style>
  <w:style w:type="paragraph" w:styleId="40">
    <w:name w:val="Balloon Text"/>
    <w:basedOn w:val="1"/>
    <w:link w:val="720"/>
    <w:qFormat/>
    <w:uiPriority w:val="0"/>
    <w:rPr>
      <w:sz w:val="18"/>
      <w:szCs w:val="18"/>
    </w:rPr>
  </w:style>
  <w:style w:type="paragraph" w:styleId="41">
    <w:name w:val="footer"/>
    <w:basedOn w:val="1"/>
    <w:link w:val="895"/>
    <w:qFormat/>
    <w:uiPriority w:val="99"/>
    <w:pPr>
      <w:tabs>
        <w:tab w:val="center" w:pos="4153"/>
        <w:tab w:val="right" w:pos="8306"/>
      </w:tabs>
      <w:snapToGrid w:val="0"/>
      <w:jc w:val="left"/>
    </w:pPr>
    <w:rPr>
      <w:sz w:val="18"/>
      <w:szCs w:val="18"/>
    </w:rPr>
  </w:style>
  <w:style w:type="paragraph" w:styleId="42">
    <w:name w:val="header"/>
    <w:basedOn w:val="1"/>
    <w:link w:val="903"/>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860"/>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67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5"/>
    <w:link w:val="829"/>
    <w:qFormat/>
    <w:uiPriority w:val="0"/>
    <w:pPr>
      <w:adjustRightInd/>
      <w:snapToGrid/>
      <w:spacing w:before="60" w:after="60" w:line="300" w:lineRule="exact"/>
      <w:ind w:firstLine="0"/>
    </w:pPr>
    <w:rPr>
      <w:rFonts w:ascii="Calibri"/>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888"/>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823"/>
    <w:qFormat/>
    <w:uiPriority w:val="0"/>
    <w:pPr>
      <w:spacing w:after="120" w:line="480" w:lineRule="auto"/>
    </w:pPr>
  </w:style>
  <w:style w:type="paragraph" w:styleId="58">
    <w:name w:val="HTML Preformatted"/>
    <w:basedOn w:val="1"/>
    <w:link w:val="82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807"/>
    <w:qFormat/>
    <w:uiPriority w:val="10"/>
    <w:pPr>
      <w:widowControl/>
      <w:overflowPunct w:val="0"/>
      <w:autoSpaceDE w:val="0"/>
      <w:autoSpaceDN w:val="0"/>
      <w:jc w:val="center"/>
      <w:textAlignment w:val="baseline"/>
    </w:pPr>
    <w:rPr>
      <w:b/>
      <w:kern w:val="0"/>
      <w:sz w:val="24"/>
      <w:szCs w:val="20"/>
    </w:rPr>
  </w:style>
  <w:style w:type="paragraph" w:styleId="61">
    <w:name w:val="annotation subject"/>
    <w:basedOn w:val="19"/>
    <w:next w:val="19"/>
    <w:link w:val="636"/>
    <w:qFormat/>
    <w:uiPriority w:val="0"/>
    <w:rPr>
      <w:b/>
      <w:bCs/>
    </w:rPr>
  </w:style>
  <w:style w:type="paragraph" w:styleId="62">
    <w:name w:val="Body Text First Indent 2"/>
    <w:basedOn w:val="25"/>
    <w:next w:val="24"/>
    <w:link w:val="65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Normal]"/>
    <w:qFormat/>
    <w:uiPriority w:val="0"/>
    <w:rPr>
      <w:rFonts w:ascii="宋体" w:hAnsi="宋体" w:eastAsia="宋体" w:cs="Times New Roman"/>
      <w:sz w:val="24"/>
      <w:szCs w:val="22"/>
      <w:lang w:val="zh-CN" w:eastAsia="zh-CN" w:bidi="ar-SA"/>
    </w:rPr>
  </w:style>
  <w:style w:type="paragraph" w:customStyle="1" w:styleId="81">
    <w:name w:val="正文文本首行缩进 21"/>
    <w:basedOn w:val="82"/>
    <w:qFormat/>
    <w:uiPriority w:val="99"/>
    <w:pPr>
      <w:tabs>
        <w:tab w:val="right" w:leader="dot" w:pos="8268"/>
      </w:tabs>
      <w:spacing w:line="200" w:lineRule="atLeast"/>
      <w:ind w:firstLine="420"/>
    </w:pPr>
    <w:rPr>
      <w:rFonts w:ascii="宋体"/>
      <w:spacing w:val="-4"/>
      <w:sz w:val="18"/>
    </w:rPr>
  </w:style>
  <w:style w:type="paragraph" w:customStyle="1" w:styleId="82">
    <w:name w:val="正文缩进1"/>
    <w:basedOn w:val="83"/>
    <w:next w:val="25"/>
    <w:qFormat/>
    <w:uiPriority w:val="0"/>
    <w:pPr>
      <w:tabs>
        <w:tab w:val="right" w:leader="dot" w:pos="8268"/>
      </w:tabs>
      <w:autoSpaceDE w:val="0"/>
      <w:autoSpaceDN w:val="0"/>
      <w:snapToGrid w:val="0"/>
      <w:spacing w:after="120" w:line="360" w:lineRule="auto"/>
      <w:ind w:left="420" w:leftChars="200"/>
    </w:pPr>
    <w:rPr>
      <w:szCs w:val="21"/>
    </w:rPr>
  </w:style>
  <w:style w:type="paragraph" w:customStyle="1" w:styleId="83">
    <w:name w:val="正文1"/>
    <w:basedOn w:val="33"/>
    <w:next w:val="84"/>
    <w:qFormat/>
    <w:uiPriority w:val="0"/>
    <w:pPr>
      <w:ind w:left="0" w:leftChars="0" w:firstLine="480" w:firstLineChars="200"/>
    </w:pPr>
    <w:rPr>
      <w:rFonts w:ascii="仿宋_GB2312" w:hAnsi="Courier New" w:eastAsia="仿宋_GB2312"/>
      <w:kern w:val="28"/>
      <w:sz w:val="24"/>
    </w:rPr>
  </w:style>
  <w:style w:type="paragraph" w:customStyle="1" w:styleId="84">
    <w:name w:val="目录 11"/>
    <w:basedOn w:val="83"/>
    <w:next w:val="83"/>
    <w:qFormat/>
    <w:uiPriority w:val="0"/>
    <w:pPr>
      <w:spacing w:line="240" w:lineRule="auto"/>
    </w:pPr>
    <w:rPr>
      <w:rFonts w:ascii="宋体" w:hAnsi="宋体" w:eastAsia="黑体" w:cs="宋体"/>
      <w:szCs w:val="21"/>
      <w:lang w:eastAsia="en-US"/>
    </w:rPr>
  </w:style>
  <w:style w:type="paragraph" w:customStyle="1" w:styleId="85">
    <w:name w:val="标题 21"/>
    <w:basedOn w:val="83"/>
    <w:next w:val="83"/>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86">
    <w:name w:val="正文文本首行缩进 22"/>
    <w:basedOn w:val="82"/>
    <w:qFormat/>
    <w:uiPriority w:val="99"/>
    <w:pPr>
      <w:spacing w:line="200" w:lineRule="atLeast"/>
      <w:ind w:firstLine="420"/>
    </w:pPr>
    <w:rPr>
      <w:rFonts w:ascii="宋体"/>
      <w:spacing w:val="-4"/>
      <w:sz w:val="18"/>
    </w:rPr>
  </w:style>
  <w:style w:type="paragraph" w:customStyle="1" w:styleId="87">
    <w:name w:val="正文首行缩进 21"/>
    <w:basedOn w:val="88"/>
    <w:next w:val="1"/>
    <w:qFormat/>
    <w:uiPriority w:val="0"/>
    <w:pPr>
      <w:ind w:firstLine="210"/>
    </w:pPr>
  </w:style>
  <w:style w:type="paragraph" w:customStyle="1" w:styleId="88">
    <w:name w:val="正文文本缩进1"/>
    <w:basedOn w:val="1"/>
    <w:next w:val="1"/>
    <w:qFormat/>
    <w:uiPriority w:val="0"/>
    <w:pPr>
      <w:widowControl/>
      <w:spacing w:after="120"/>
      <w:ind w:left="420"/>
    </w:pPr>
    <w:rPr>
      <w:color w:val="000000"/>
    </w:rPr>
  </w:style>
  <w:style w:type="paragraph" w:customStyle="1" w:styleId="89">
    <w:name w:val="表格非标题文字"/>
    <w:link w:val="625"/>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90">
    <w:name w:val="*正文"/>
    <w:basedOn w:val="1"/>
    <w:link w:val="626"/>
    <w:qFormat/>
    <w:uiPriority w:val="0"/>
    <w:pPr>
      <w:snapToGrid w:val="0"/>
      <w:spacing w:line="360" w:lineRule="auto"/>
      <w:ind w:firstLine="482"/>
      <w:jc w:val="left"/>
    </w:pPr>
    <w:rPr>
      <w:rFonts w:ascii="宋体" w:hAnsi="宋体"/>
      <w:kern w:val="0"/>
      <w:sz w:val="24"/>
      <w:szCs w:val="20"/>
    </w:rPr>
  </w:style>
  <w:style w:type="paragraph" w:customStyle="1" w:styleId="91">
    <w:name w:val="U_正文"/>
    <w:basedOn w:val="1"/>
    <w:link w:val="634"/>
    <w:qFormat/>
    <w:uiPriority w:val="0"/>
    <w:pPr>
      <w:adjustRightInd/>
      <w:spacing w:beforeLines="20" w:afterLines="20" w:line="300" w:lineRule="auto"/>
      <w:ind w:firstLine="200" w:firstLineChars="200"/>
    </w:pPr>
    <w:rPr>
      <w:kern w:val="0"/>
      <w:sz w:val="24"/>
    </w:rPr>
  </w:style>
  <w:style w:type="paragraph" w:customStyle="1" w:styleId="92">
    <w:name w:val="哈哈正文"/>
    <w:basedOn w:val="1"/>
    <w:link w:val="641"/>
    <w:qFormat/>
    <w:uiPriority w:val="0"/>
    <w:pPr>
      <w:adjustRightInd/>
      <w:spacing w:line="360" w:lineRule="auto"/>
      <w:ind w:firstLine="200" w:firstLineChars="200"/>
    </w:pPr>
    <w:rPr>
      <w:rFonts w:ascii="宋体" w:hAnsi="宋体"/>
      <w:sz w:val="24"/>
      <w:szCs w:val="20"/>
    </w:rPr>
  </w:style>
  <w:style w:type="paragraph" w:customStyle="1" w:styleId="93">
    <w:name w:val="5正文"/>
    <w:basedOn w:val="1"/>
    <w:link w:val="654"/>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4">
    <w:name w:val="正文2"/>
    <w:basedOn w:val="1"/>
    <w:link w:val="668"/>
    <w:qFormat/>
    <w:uiPriority w:val="0"/>
    <w:pPr>
      <w:spacing w:before="156" w:line="360" w:lineRule="auto"/>
      <w:ind w:firstLine="510" w:firstLineChars="200"/>
    </w:pPr>
    <w:rPr>
      <w:sz w:val="24"/>
      <w:szCs w:val="20"/>
    </w:rPr>
  </w:style>
  <w:style w:type="paragraph" w:customStyle="1" w:styleId="95">
    <w:name w:val="无间隔1"/>
    <w:link w:val="676"/>
    <w:qFormat/>
    <w:uiPriority w:val="1"/>
    <w:rPr>
      <w:rFonts w:ascii="Times New Roman" w:hAnsi="Times New Roman" w:eastAsia="宋体" w:cs="Times New Roman"/>
      <w:sz w:val="22"/>
      <w:szCs w:val="22"/>
      <w:lang w:val="en-US" w:eastAsia="zh-CN" w:bidi="ar-SA"/>
    </w:rPr>
  </w:style>
  <w:style w:type="paragraph" w:customStyle="1" w:styleId="96">
    <w:name w:val="纯文本_0_0"/>
    <w:basedOn w:val="97"/>
    <w:link w:val="684"/>
    <w:qFormat/>
    <w:uiPriority w:val="0"/>
    <w:rPr>
      <w:rFonts w:ascii="宋体" w:hAnsi="Courier New"/>
      <w:szCs w:val="21"/>
    </w:rPr>
  </w:style>
  <w:style w:type="paragraph" w:customStyle="1" w:styleId="9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
    <w:name w:val="正文（绿盟科技）"/>
    <w:link w:val="694"/>
    <w:qFormat/>
    <w:uiPriority w:val="0"/>
    <w:pPr>
      <w:spacing w:line="300" w:lineRule="auto"/>
    </w:pPr>
    <w:rPr>
      <w:rFonts w:ascii="Arial" w:hAnsi="Arial" w:eastAsia="宋体" w:cs="Times New Roman"/>
      <w:sz w:val="21"/>
      <w:szCs w:val="21"/>
      <w:lang w:val="en-US" w:eastAsia="zh-CN" w:bidi="ar-SA"/>
    </w:rPr>
  </w:style>
  <w:style w:type="paragraph" w:customStyle="1" w:styleId="99">
    <w:name w:val="表格名称"/>
    <w:basedOn w:val="2"/>
    <w:link w:val="703"/>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100">
    <w:name w:val="my正文"/>
    <w:basedOn w:val="1"/>
    <w:link w:val="723"/>
    <w:qFormat/>
    <w:uiPriority w:val="0"/>
    <w:pPr>
      <w:adjustRightInd/>
      <w:spacing w:line="360" w:lineRule="auto"/>
      <w:ind w:firstLine="480" w:firstLineChars="200"/>
    </w:pPr>
    <w:rPr>
      <w:rFonts w:ascii="Tahoma" w:hAnsi="Tahoma"/>
      <w:kern w:val="0"/>
      <w:sz w:val="24"/>
    </w:rPr>
  </w:style>
  <w:style w:type="paragraph" w:customStyle="1" w:styleId="101">
    <w:name w:val="3级"/>
    <w:basedOn w:val="102"/>
    <w:link w:val="729"/>
    <w:qFormat/>
    <w:uiPriority w:val="0"/>
    <w:pPr>
      <w:ind w:left="0" w:right="466" w:firstLine="288"/>
    </w:pPr>
    <w:rPr>
      <w:rFonts w:hAnsi="宋体"/>
    </w:rPr>
  </w:style>
  <w:style w:type="paragraph" w:customStyle="1" w:styleId="102">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03">
    <w:name w:val="标题4-dyf"/>
    <w:basedOn w:val="5"/>
    <w:link w:val="75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04">
    <w:name w:val="冯"/>
    <w:basedOn w:val="1"/>
    <w:link w:val="753"/>
    <w:qFormat/>
    <w:uiPriority w:val="0"/>
    <w:pPr>
      <w:widowControl/>
      <w:adjustRightInd/>
      <w:spacing w:line="360" w:lineRule="auto"/>
      <w:ind w:firstLine="480" w:firstLineChars="200"/>
    </w:pPr>
    <w:rPr>
      <w:rFonts w:ascii="宋体" w:hAnsi="宋体"/>
      <w:color w:val="000000"/>
      <w:kern w:val="0"/>
      <w:sz w:val="24"/>
    </w:rPr>
  </w:style>
  <w:style w:type="paragraph" w:customStyle="1" w:styleId="105">
    <w:name w:val="Default"/>
    <w:next w:val="1"/>
    <w:link w:val="76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6">
    <w:name w:val="正文样式"/>
    <w:basedOn w:val="1"/>
    <w:link w:val="771"/>
    <w:qFormat/>
    <w:uiPriority w:val="0"/>
    <w:pPr>
      <w:adjustRightInd/>
      <w:spacing w:line="360" w:lineRule="auto"/>
      <w:ind w:firstLine="480" w:firstLineChars="200"/>
    </w:pPr>
    <w:rPr>
      <w:kern w:val="0"/>
      <w:sz w:val="24"/>
    </w:rPr>
  </w:style>
  <w:style w:type="paragraph" w:customStyle="1" w:styleId="107">
    <w:name w:val="gf正文1"/>
    <w:basedOn w:val="1"/>
    <w:link w:val="777"/>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8">
    <w:name w:val="列表1"/>
    <w:basedOn w:val="1"/>
    <w:next w:val="109"/>
    <w:link w:val="780"/>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9">
    <w:name w:val="列表段落1"/>
    <w:basedOn w:val="1"/>
    <w:qFormat/>
    <w:uiPriority w:val="34"/>
    <w:pPr>
      <w:spacing w:line="360" w:lineRule="auto"/>
      <w:ind w:firstLine="200" w:firstLineChars="200"/>
    </w:pPr>
    <w:rPr>
      <w:rFonts w:eastAsia="楷体_GB2312" w:cs="Lucida Sans"/>
      <w:sz w:val="24"/>
    </w:rPr>
  </w:style>
  <w:style w:type="paragraph" w:customStyle="1" w:styleId="110">
    <w:name w:val="此正文"/>
    <w:basedOn w:val="1"/>
    <w:link w:val="802"/>
    <w:qFormat/>
    <w:uiPriority w:val="0"/>
    <w:pPr>
      <w:adjustRightInd/>
      <w:spacing w:line="360" w:lineRule="auto"/>
      <w:ind w:firstLine="200" w:firstLineChars="200"/>
    </w:pPr>
    <w:rPr>
      <w:sz w:val="24"/>
    </w:rPr>
  </w:style>
  <w:style w:type="paragraph" w:customStyle="1" w:styleId="111">
    <w:name w:val="样式 样式 标题 4h4H4Fab-4T5Ref Heading 1rh1Heading sqlsect 1.2.3.... +..."/>
    <w:basedOn w:val="112"/>
    <w:link w:val="824"/>
    <w:qFormat/>
    <w:uiPriority w:val="0"/>
    <w:pPr>
      <w:tabs>
        <w:tab w:val="left" w:pos="2356"/>
      </w:tabs>
    </w:pPr>
  </w:style>
  <w:style w:type="paragraph" w:customStyle="1" w:styleId="112">
    <w:name w:val="样式 标题 4h4H4Fab-4T5Ref Heading 1rh1Heading sqlsect 1.2.3...."/>
    <w:basedOn w:val="5"/>
    <w:link w:val="92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13">
    <w:name w:val="Item List"/>
    <w:link w:val="83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4">
    <w:name w:val="纯文本1"/>
    <w:basedOn w:val="1"/>
    <w:link w:val="837"/>
    <w:qFormat/>
    <w:uiPriority w:val="0"/>
    <w:pPr>
      <w:adjustRightInd/>
    </w:pPr>
    <w:rPr>
      <w:rFonts w:ascii="宋体" w:hAnsi="Courier New"/>
      <w:kern w:val="0"/>
      <w:sz w:val="20"/>
      <w:szCs w:val="20"/>
    </w:rPr>
  </w:style>
  <w:style w:type="paragraph" w:customStyle="1" w:styleId="115">
    <w:name w:val="正文说明"/>
    <w:basedOn w:val="1"/>
    <w:link w:val="849"/>
    <w:qFormat/>
    <w:uiPriority w:val="0"/>
    <w:pPr>
      <w:adjustRightInd/>
      <w:spacing w:line="360" w:lineRule="auto"/>
    </w:pPr>
    <w:rPr>
      <w:kern w:val="0"/>
      <w:sz w:val="24"/>
    </w:rPr>
  </w:style>
  <w:style w:type="paragraph" w:customStyle="1" w:styleId="116">
    <w:name w:val="Table Text"/>
    <w:basedOn w:val="1"/>
    <w:link w:val="855"/>
    <w:qFormat/>
    <w:uiPriority w:val="0"/>
    <w:pPr>
      <w:widowControl/>
      <w:spacing w:before="60" w:after="60"/>
      <w:jc w:val="left"/>
    </w:pPr>
    <w:rPr>
      <w:kern w:val="0"/>
      <w:sz w:val="24"/>
    </w:rPr>
  </w:style>
  <w:style w:type="paragraph" w:customStyle="1" w:styleId="117">
    <w:name w:val="公文正文"/>
    <w:basedOn w:val="1"/>
    <w:link w:val="867"/>
    <w:qFormat/>
    <w:uiPriority w:val="0"/>
    <w:pPr>
      <w:adjustRightInd/>
      <w:spacing w:before="156" w:line="360" w:lineRule="auto"/>
      <w:ind w:firstLine="360" w:firstLineChars="200"/>
    </w:pPr>
    <w:rPr>
      <w:rFonts w:ascii="仿宋_GB2312" w:eastAsia="仿宋_GB2312"/>
      <w:sz w:val="24"/>
    </w:rPr>
  </w:style>
  <w:style w:type="paragraph" w:customStyle="1" w:styleId="118">
    <w:name w:val="正文（缩进2汉字）"/>
    <w:basedOn w:val="1"/>
    <w:link w:val="870"/>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9">
    <w:name w:val="b11_01b"/>
    <w:basedOn w:val="1"/>
    <w:next w:val="1"/>
    <w:link w:val="89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20">
    <w:name w:val="段落"/>
    <w:basedOn w:val="1"/>
    <w:link w:val="900"/>
    <w:qFormat/>
    <w:uiPriority w:val="0"/>
    <w:pPr>
      <w:adjustRightInd/>
      <w:spacing w:line="360" w:lineRule="auto"/>
      <w:ind w:firstLine="480" w:firstLineChars="200"/>
    </w:pPr>
    <w:rPr>
      <w:rFonts w:ascii="宋体" w:hAnsi="宋体"/>
      <w:kern w:val="0"/>
      <w:sz w:val="24"/>
      <w:szCs w:val="20"/>
    </w:rPr>
  </w:style>
  <w:style w:type="paragraph" w:customStyle="1" w:styleId="121">
    <w:name w:val="正文段"/>
    <w:basedOn w:val="1"/>
    <w:link w:val="907"/>
    <w:qFormat/>
    <w:uiPriority w:val="0"/>
    <w:pPr>
      <w:widowControl/>
      <w:snapToGrid w:val="0"/>
      <w:spacing w:afterLines="50"/>
      <w:ind w:firstLine="200" w:firstLineChars="200"/>
    </w:pPr>
    <w:rPr>
      <w:kern w:val="0"/>
      <w:sz w:val="24"/>
      <w:szCs w:val="20"/>
    </w:rPr>
  </w:style>
  <w:style w:type="paragraph" w:customStyle="1" w:styleId="122">
    <w:name w:val="冯广丽"/>
    <w:basedOn w:val="1"/>
    <w:link w:val="910"/>
    <w:qFormat/>
    <w:uiPriority w:val="0"/>
    <w:pPr>
      <w:adjustRightInd/>
      <w:spacing w:line="360" w:lineRule="auto"/>
      <w:ind w:firstLine="480" w:firstLineChars="200"/>
    </w:pPr>
    <w:rPr>
      <w:rFonts w:ascii="宋体" w:hAnsi="宋体"/>
      <w:sz w:val="24"/>
      <w:szCs w:val="22"/>
    </w:rPr>
  </w:style>
  <w:style w:type="paragraph" w:customStyle="1" w:styleId="123">
    <w:name w:val="编号，小四"/>
    <w:basedOn w:val="1"/>
    <w:link w:val="916"/>
    <w:qFormat/>
    <w:uiPriority w:val="0"/>
    <w:pPr>
      <w:tabs>
        <w:tab w:val="left" w:pos="432"/>
      </w:tabs>
      <w:adjustRightInd/>
      <w:spacing w:line="360" w:lineRule="auto"/>
      <w:ind w:left="432" w:hanging="432"/>
    </w:pPr>
    <w:rPr>
      <w:rFonts w:ascii="Arial" w:hAnsi="Arial"/>
      <w:kern w:val="0"/>
      <w:sz w:val="24"/>
      <w:szCs w:val="20"/>
    </w:rPr>
  </w:style>
  <w:style w:type="paragraph" w:customStyle="1" w:styleId="124">
    <w:name w:val="仿宋正文"/>
    <w:basedOn w:val="1"/>
    <w:link w:val="923"/>
    <w:qFormat/>
    <w:uiPriority w:val="0"/>
    <w:pPr>
      <w:adjustRightInd/>
      <w:spacing w:line="360" w:lineRule="auto"/>
      <w:ind w:firstLine="480" w:firstLineChars="200"/>
    </w:pPr>
    <w:rPr>
      <w:rFonts w:ascii="仿宋_GB2312" w:eastAsia="仿宋_GB2312"/>
      <w:sz w:val="24"/>
      <w:szCs w:val="20"/>
    </w:rPr>
  </w:style>
  <w:style w:type="paragraph" w:customStyle="1" w:styleId="125">
    <w:name w:val="样式 正文缩进 + 首行缩进:  2 字符"/>
    <w:basedOn w:val="15"/>
    <w:link w:val="935"/>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6">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8">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3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3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3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33">
    <w:name w:val="标题4_自定义"/>
    <w:basedOn w:val="5"/>
    <w:qFormat/>
    <w:uiPriority w:val="0"/>
    <w:pPr>
      <w:adjustRightInd/>
      <w:spacing w:before="0" w:after="0" w:line="360" w:lineRule="auto"/>
    </w:pPr>
    <w:rPr>
      <w:rFonts w:ascii="Verdana" w:eastAsia="Verdana"/>
      <w:sz w:val="21"/>
      <w:lang w:val="en-US"/>
    </w:rPr>
  </w:style>
  <w:style w:type="paragraph" w:customStyle="1" w:styleId="134">
    <w:name w:val="正文 内标 序号标"/>
    <w:basedOn w:val="135"/>
    <w:qFormat/>
    <w:uiPriority w:val="0"/>
    <w:pPr>
      <w:tabs>
        <w:tab w:val="left" w:pos="0"/>
      </w:tabs>
      <w:adjustRightInd/>
      <w:spacing w:before="0"/>
      <w:ind w:firstLine="482"/>
    </w:pPr>
    <w:rPr>
      <w:rFonts w:ascii="微软雅黑" w:hAnsi="微软雅黑"/>
      <w:sz w:val="24"/>
      <w:szCs w:val="24"/>
    </w:rPr>
  </w:style>
  <w:style w:type="paragraph" w:customStyle="1" w:styleId="135">
    <w:name w:val="My正文"/>
    <w:basedOn w:val="1"/>
    <w:qFormat/>
    <w:uiPriority w:val="0"/>
    <w:pPr>
      <w:spacing w:before="120" w:line="360" w:lineRule="auto"/>
      <w:ind w:firstLine="567"/>
    </w:pPr>
    <w:rPr>
      <w:rFonts w:ascii="Arial" w:hAnsi="Arial"/>
      <w:sz w:val="20"/>
      <w:szCs w:val="20"/>
    </w:rPr>
  </w:style>
  <w:style w:type="paragraph" w:customStyle="1" w:styleId="13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9">
    <w:name w:val="修订2"/>
    <w:qFormat/>
    <w:uiPriority w:val="0"/>
    <w:rPr>
      <w:rFonts w:ascii="Times New Roman" w:hAnsi="Times New Roman" w:eastAsia="宋体" w:cs="Times New Roman"/>
      <w:kern w:val="2"/>
      <w:sz w:val="21"/>
      <w:lang w:val="en-US" w:eastAsia="zh-CN" w:bidi="ar-SA"/>
    </w:rPr>
  </w:style>
  <w:style w:type="paragraph" w:customStyle="1" w:styleId="14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42">
    <w:name w:val="文章标题"/>
    <w:next w:val="143"/>
    <w:qFormat/>
    <w:uiPriority w:val="0"/>
    <w:pPr>
      <w:spacing w:beforeLines="800" w:afterLines="100"/>
      <w:jc w:val="center"/>
    </w:pPr>
    <w:rPr>
      <w:rFonts w:ascii="Arial" w:hAnsi="Arial" w:eastAsia="黑体" w:cs="宋体"/>
      <w:bCs/>
      <w:kern w:val="2"/>
      <w:sz w:val="52"/>
      <w:lang w:val="en-US" w:eastAsia="zh-CN" w:bidi="ar-SA"/>
    </w:rPr>
  </w:style>
  <w:style w:type="paragraph" w:customStyle="1" w:styleId="143">
    <w:name w:val="封面公司名"/>
    <w:qFormat/>
    <w:uiPriority w:val="0"/>
    <w:pPr>
      <w:jc w:val="center"/>
    </w:pPr>
    <w:rPr>
      <w:rFonts w:ascii="Arial" w:hAnsi="Arial" w:eastAsia="楷体_GB2312" w:cs="宋体"/>
      <w:bCs/>
      <w:kern w:val="2"/>
      <w:sz w:val="28"/>
      <w:lang w:val="en-US" w:eastAsia="zh-CN" w:bidi="ar-SA"/>
    </w:rPr>
  </w:style>
  <w:style w:type="paragraph" w:customStyle="1" w:styleId="144">
    <w:name w:val="Char1 Char Char Char5"/>
    <w:basedOn w:val="1"/>
    <w:qFormat/>
    <w:uiPriority w:val="0"/>
    <w:pPr>
      <w:adjustRightInd/>
      <w:ind w:firstLine="200" w:firstLineChars="200"/>
    </w:pPr>
    <w:rPr>
      <w:rFonts w:ascii="Tahoma" w:hAnsi="Tahoma"/>
      <w:sz w:val="24"/>
      <w:szCs w:val="20"/>
    </w:rPr>
  </w:style>
  <w:style w:type="paragraph" w:customStyle="1" w:styleId="14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7">
    <w:name w:val="Char Char Char Char Char Char Char Char"/>
    <w:basedOn w:val="1"/>
    <w:qFormat/>
    <w:uiPriority w:val="0"/>
    <w:pPr>
      <w:tabs>
        <w:tab w:val="left" w:pos="360"/>
      </w:tabs>
    </w:pPr>
    <w:rPr>
      <w:sz w:val="24"/>
      <w:szCs w:val="20"/>
    </w:rPr>
  </w:style>
  <w:style w:type="paragraph" w:customStyle="1" w:styleId="148">
    <w:name w:val="Char Char11 Char Char Char"/>
    <w:basedOn w:val="1"/>
    <w:qFormat/>
    <w:uiPriority w:val="0"/>
    <w:pPr>
      <w:spacing w:line="360" w:lineRule="auto"/>
    </w:pPr>
    <w:rPr>
      <w:szCs w:val="20"/>
    </w:rPr>
  </w:style>
  <w:style w:type="paragraph" w:customStyle="1" w:styleId="14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15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51">
    <w:name w:val="样式3"/>
    <w:basedOn w:val="152"/>
    <w:qFormat/>
    <w:uiPriority w:val="0"/>
    <w:pPr>
      <w:tabs>
        <w:tab w:val="left" w:pos="2790"/>
        <w:tab w:val="left" w:pos="4230"/>
      </w:tabs>
      <w:spacing w:beforeLines="100"/>
      <w:jc w:val="left"/>
    </w:pPr>
  </w:style>
  <w:style w:type="paragraph" w:customStyle="1" w:styleId="15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3">
    <w:name w:val="Char Char1 Char Char1 Char Char1"/>
    <w:basedOn w:val="1"/>
    <w:qFormat/>
    <w:uiPriority w:val="0"/>
    <w:pPr>
      <w:tabs>
        <w:tab w:val="left" w:pos="840"/>
      </w:tabs>
      <w:ind w:left="840" w:hanging="420"/>
    </w:pPr>
    <w:rPr>
      <w:rFonts w:ascii="Tahoma" w:hAnsi="Tahoma"/>
      <w:sz w:val="24"/>
    </w:rPr>
  </w:style>
  <w:style w:type="paragraph" w:customStyle="1" w:styleId="15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55">
    <w:name w:val="标书标题2"/>
    <w:basedOn w:val="2"/>
    <w:qFormat/>
    <w:uiPriority w:val="0"/>
    <w:pPr>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15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7">
    <w:name w:val="正文21"/>
    <w:basedOn w:val="1"/>
    <w:qFormat/>
    <w:uiPriority w:val="0"/>
    <w:pPr>
      <w:adjustRightInd/>
      <w:spacing w:before="156" w:line="360" w:lineRule="auto"/>
      <w:ind w:firstLine="510" w:firstLineChars="200"/>
    </w:pPr>
    <w:rPr>
      <w:sz w:val="24"/>
      <w:szCs w:val="20"/>
    </w:rPr>
  </w:style>
  <w:style w:type="paragraph" w:customStyle="1" w:styleId="158">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0">
    <w:name w:val="Char1"/>
    <w:basedOn w:val="1"/>
    <w:qFormat/>
    <w:uiPriority w:val="0"/>
    <w:rPr>
      <w:rFonts w:ascii="仿宋_GB2312" w:eastAsia="仿宋_GB2312"/>
      <w:b/>
      <w:sz w:val="32"/>
      <w:szCs w:val="32"/>
    </w:rPr>
  </w:style>
  <w:style w:type="paragraph" w:customStyle="1" w:styleId="16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6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6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6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65">
    <w:name w:val="6级标题"/>
    <w:basedOn w:val="166"/>
    <w:qFormat/>
    <w:uiPriority w:val="0"/>
    <w:pPr>
      <w:keepNext/>
      <w:tabs>
        <w:tab w:val="left" w:pos="360"/>
      </w:tabs>
      <w:outlineLvl w:val="5"/>
    </w:pPr>
  </w:style>
  <w:style w:type="paragraph" w:customStyle="1" w:styleId="166">
    <w:name w:val="5级标题"/>
    <w:basedOn w:val="167"/>
    <w:qFormat/>
    <w:uiPriority w:val="0"/>
    <w:pPr>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167">
    <w:name w:val="4级标题"/>
    <w:basedOn w:val="10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8">
    <w:name w:val="样式 正文文本缩进 + 段前: 2 字符"/>
    <w:basedOn w:val="1"/>
    <w:qFormat/>
    <w:uiPriority w:val="0"/>
    <w:pPr>
      <w:adjustRightInd/>
      <w:ind w:left="420" w:leftChars="200"/>
      <w:jc w:val="left"/>
    </w:pPr>
    <w:rPr>
      <w:sz w:val="28"/>
      <w:szCs w:val="20"/>
      <w:lang w:eastAsia="zh-TW"/>
    </w:rPr>
  </w:style>
  <w:style w:type="paragraph" w:customStyle="1" w:styleId="169">
    <w:name w:val="Char2 Char Char"/>
    <w:basedOn w:val="1"/>
    <w:qFormat/>
    <w:uiPriority w:val="0"/>
    <w:pPr>
      <w:adjustRightInd/>
    </w:pPr>
    <w:rPr>
      <w:rFonts w:ascii="Tahoma" w:hAnsi="Tahoma"/>
      <w:sz w:val="24"/>
      <w:szCs w:val="20"/>
    </w:rPr>
  </w:style>
  <w:style w:type="paragraph" w:customStyle="1" w:styleId="170">
    <w:name w:val="_Style 11"/>
    <w:basedOn w:val="1"/>
    <w:qFormat/>
    <w:uiPriority w:val="34"/>
    <w:pPr>
      <w:adjustRightInd/>
      <w:ind w:firstLine="420" w:firstLineChars="200"/>
    </w:pPr>
    <w:rPr>
      <w:rFonts w:eastAsia="仿宋_GB2312"/>
      <w:sz w:val="28"/>
    </w:rPr>
  </w:style>
  <w:style w:type="paragraph" w:customStyle="1" w:styleId="17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72">
    <w:name w:val="Char Char Char"/>
    <w:basedOn w:val="1"/>
    <w:qFormat/>
    <w:uiPriority w:val="0"/>
    <w:rPr>
      <w:rFonts w:ascii="Tahoma" w:hAnsi="Tahoma"/>
      <w:sz w:val="24"/>
      <w:szCs w:val="20"/>
    </w:rPr>
  </w:style>
  <w:style w:type="paragraph" w:customStyle="1" w:styleId="173">
    <w:name w:val="数字标题6"/>
    <w:basedOn w:val="7"/>
    <w:next w:val="1"/>
    <w:qFormat/>
    <w:uiPriority w:val="0"/>
    <w:pPr>
      <w:tabs>
        <w:tab w:val="left" w:pos="1080"/>
        <w:tab w:val="clear" w:pos="1152"/>
      </w:tabs>
      <w:ind w:left="1080" w:hanging="1080"/>
    </w:pPr>
    <w:rPr>
      <w:rFonts w:ascii="Times New Roman" w:hAnsi="Times New Roman" w:eastAsia="宋体"/>
      <w:i/>
    </w:rPr>
  </w:style>
  <w:style w:type="paragraph" w:customStyle="1" w:styleId="17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75">
    <w:name w:val="无间隔2"/>
    <w:basedOn w:val="1"/>
    <w:link w:val="945"/>
    <w:qFormat/>
    <w:uiPriority w:val="99"/>
    <w:rPr>
      <w:szCs w:val="22"/>
    </w:rPr>
  </w:style>
  <w:style w:type="paragraph" w:customStyle="1" w:styleId="17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7">
    <w:name w:val="Char Char Char Char Char Char Char Char Char Char Char Char1 Char1"/>
    <w:basedOn w:val="1"/>
    <w:qFormat/>
    <w:uiPriority w:val="6"/>
    <w:rPr>
      <w:rFonts w:ascii="Tahoma" w:hAnsi="Tahoma" w:cs="仿宋_GB2312"/>
      <w:sz w:val="24"/>
      <w:szCs w:val="20"/>
    </w:rPr>
  </w:style>
  <w:style w:type="paragraph" w:customStyle="1" w:styleId="17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8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81">
    <w:name w:val="MM Topic 2"/>
    <w:basedOn w:val="2"/>
    <w:qFormat/>
    <w:uiPriority w:val="0"/>
    <w:pPr>
      <w:tabs>
        <w:tab w:val="left" w:pos="1260"/>
        <w:tab w:val="clear" w:pos="432"/>
      </w:tabs>
      <w:ind w:left="1260" w:hanging="420"/>
    </w:pPr>
    <w:rPr>
      <w:rFonts w:ascii="Arial" w:hAnsi="Arial" w:eastAsia="黑体"/>
      <w:lang w:val="en-US"/>
    </w:rPr>
  </w:style>
  <w:style w:type="paragraph" w:customStyle="1" w:styleId="182">
    <w:name w:val="五级无标题条"/>
    <w:basedOn w:val="1"/>
    <w:qFormat/>
    <w:uiPriority w:val="0"/>
    <w:pPr>
      <w:adjustRightInd/>
    </w:pPr>
  </w:style>
  <w:style w:type="paragraph" w:customStyle="1" w:styleId="183">
    <w:name w:val="Char5"/>
    <w:basedOn w:val="1"/>
    <w:qFormat/>
    <w:uiPriority w:val="0"/>
    <w:rPr>
      <w:rFonts w:ascii="仿宋_GB2312" w:eastAsia="仿宋_GB2312"/>
      <w:b/>
      <w:sz w:val="32"/>
      <w:szCs w:val="32"/>
    </w:rPr>
  </w:style>
  <w:style w:type="paragraph" w:customStyle="1" w:styleId="184">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85">
    <w:name w:val="彩色列表 - 强调文字颜色 12"/>
    <w:basedOn w:val="1"/>
    <w:qFormat/>
    <w:uiPriority w:val="0"/>
    <w:pPr>
      <w:adjustRightInd/>
      <w:ind w:firstLine="420" w:firstLineChars="200"/>
    </w:pPr>
    <w:rPr>
      <w:rFonts w:ascii="Calibri" w:hAnsi="Calibri"/>
      <w:szCs w:val="22"/>
    </w:rPr>
  </w:style>
  <w:style w:type="paragraph" w:customStyle="1" w:styleId="18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7">
    <w:name w:val="Char2"/>
    <w:basedOn w:val="1"/>
    <w:qFormat/>
    <w:uiPriority w:val="0"/>
    <w:rPr>
      <w:rFonts w:ascii="仿宋_GB2312" w:eastAsia="仿宋_GB2312"/>
      <w:b/>
      <w:sz w:val="32"/>
      <w:szCs w:val="32"/>
    </w:rPr>
  </w:style>
  <w:style w:type="paragraph" w:customStyle="1" w:styleId="188">
    <w:name w:val="数字标题3"/>
    <w:basedOn w:val="4"/>
    <w:next w:val="1"/>
    <w:qFormat/>
    <w:uiPriority w:val="0"/>
    <w:pPr>
      <w:spacing w:line="240" w:lineRule="auto"/>
    </w:pPr>
    <w:rPr>
      <w:sz w:val="28"/>
      <w:szCs w:val="28"/>
    </w:rPr>
  </w:style>
  <w:style w:type="paragraph" w:customStyle="1" w:styleId="189">
    <w:name w:val="FA正文"/>
    <w:basedOn w:val="1"/>
    <w:qFormat/>
    <w:uiPriority w:val="0"/>
    <w:pPr>
      <w:spacing w:line="360" w:lineRule="auto"/>
      <w:ind w:firstLine="480" w:firstLineChars="200"/>
    </w:pPr>
    <w:rPr>
      <w:rFonts w:hAnsi="宋体"/>
      <w:sz w:val="24"/>
      <w:szCs w:val="20"/>
    </w:rPr>
  </w:style>
  <w:style w:type="paragraph" w:customStyle="1" w:styleId="190">
    <w:name w:val="MM Topic 5"/>
    <w:basedOn w:val="6"/>
    <w:qFormat/>
    <w:uiPriority w:val="0"/>
    <w:pPr>
      <w:tabs>
        <w:tab w:val="left" w:pos="2520"/>
        <w:tab w:val="clear" w:pos="1008"/>
      </w:tabs>
      <w:adjustRightInd/>
      <w:ind w:left="2520" w:hanging="420"/>
    </w:pPr>
  </w:style>
  <w:style w:type="paragraph" w:customStyle="1" w:styleId="191">
    <w:name w:val="Char Char Char Char Char Char Char Char Char Char1"/>
    <w:basedOn w:val="1"/>
    <w:qFormat/>
    <w:uiPriority w:val="0"/>
    <w:rPr>
      <w:rFonts w:ascii="仿宋_GB2312" w:eastAsia="仿宋_GB2312"/>
      <w:b/>
      <w:sz w:val="32"/>
      <w:szCs w:val="32"/>
    </w:rPr>
  </w:style>
  <w:style w:type="paragraph" w:customStyle="1" w:styleId="19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93">
    <w:name w:val="修订1"/>
    <w:qFormat/>
    <w:uiPriority w:val="3"/>
    <w:rPr>
      <w:rFonts w:ascii="Times New Roman" w:hAnsi="Times New Roman" w:eastAsia="宋体" w:cs="Times New Roman"/>
      <w:color w:val="000000"/>
      <w:kern w:val="1"/>
      <w:sz w:val="21"/>
      <w:lang w:val="en-US" w:eastAsia="zh-CN" w:bidi="ar-SA"/>
    </w:rPr>
  </w:style>
  <w:style w:type="paragraph" w:customStyle="1" w:styleId="194">
    <w:name w:val="Char2 Char Char Char"/>
    <w:basedOn w:val="1"/>
    <w:qFormat/>
    <w:uiPriority w:val="0"/>
    <w:rPr>
      <w:rFonts w:ascii="仿宋_GB2312" w:eastAsia="仿宋_GB2312"/>
      <w:b/>
      <w:sz w:val="32"/>
      <w:szCs w:val="32"/>
    </w:rPr>
  </w:style>
  <w:style w:type="paragraph" w:customStyle="1" w:styleId="195">
    <w:name w:val="Char2 Char Char Char1"/>
    <w:basedOn w:val="1"/>
    <w:qFormat/>
    <w:uiPriority w:val="6"/>
    <w:rPr>
      <w:rFonts w:ascii="仿宋_GB2312" w:eastAsia="仿宋_GB2312"/>
      <w:b/>
      <w:sz w:val="32"/>
      <w:szCs w:val="32"/>
    </w:rPr>
  </w:style>
  <w:style w:type="paragraph" w:customStyle="1" w:styleId="196">
    <w:name w:val="默认段落样式"/>
    <w:basedOn w:val="94"/>
    <w:qFormat/>
    <w:uiPriority w:val="0"/>
    <w:pPr>
      <w:spacing w:before="0"/>
      <w:ind w:firstLine="480"/>
      <w:outlineLvl w:val="2"/>
    </w:pPr>
    <w:rPr>
      <w:rFonts w:ascii="仿宋_GB2312" w:hAnsi="宋体" w:eastAsia="仿宋_GB2312"/>
      <w:color w:val="000000"/>
      <w:szCs w:val="24"/>
    </w:rPr>
  </w:style>
  <w:style w:type="paragraph" w:customStyle="1" w:styleId="197">
    <w:name w:val="图中文字"/>
    <w:basedOn w:val="1"/>
    <w:qFormat/>
    <w:uiPriority w:val="0"/>
    <w:pPr>
      <w:snapToGrid w:val="0"/>
      <w:spacing w:line="0" w:lineRule="atLeast"/>
      <w:ind w:firstLine="200" w:firstLineChars="200"/>
      <w:jc w:val="center"/>
    </w:pPr>
    <w:rPr>
      <w:sz w:val="24"/>
      <w:szCs w:val="20"/>
    </w:rPr>
  </w:style>
  <w:style w:type="paragraph" w:customStyle="1" w:styleId="19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9">
    <w:name w:val="MM Topic 3"/>
    <w:basedOn w:val="4"/>
    <w:qFormat/>
    <w:uiPriority w:val="0"/>
    <w:pPr>
      <w:tabs>
        <w:tab w:val="left" w:pos="1680"/>
        <w:tab w:val="clear" w:pos="900"/>
      </w:tabs>
      <w:adjustRightInd/>
      <w:ind w:left="1680" w:hanging="420"/>
    </w:pPr>
  </w:style>
  <w:style w:type="paragraph" w:customStyle="1" w:styleId="200">
    <w:name w:val="标准小四"/>
    <w:basedOn w:val="1"/>
    <w:qFormat/>
    <w:uiPriority w:val="0"/>
    <w:pPr>
      <w:spacing w:line="360" w:lineRule="auto"/>
      <w:ind w:firstLine="480" w:firstLineChars="200"/>
    </w:pPr>
    <w:rPr>
      <w:rFonts w:ascii="Arial" w:hAnsi="Arial"/>
      <w:sz w:val="24"/>
      <w:szCs w:val="21"/>
    </w:rPr>
  </w:style>
  <w:style w:type="paragraph" w:customStyle="1" w:styleId="201">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202">
    <w:name w:val="表格（小）"/>
    <w:basedOn w:val="1"/>
    <w:qFormat/>
    <w:uiPriority w:val="0"/>
    <w:pPr>
      <w:adjustRightInd/>
      <w:snapToGrid w:val="0"/>
      <w:spacing w:line="300" w:lineRule="auto"/>
    </w:pPr>
    <w:rPr>
      <w:rFonts w:eastAsia="仿宋"/>
      <w:szCs w:val="21"/>
    </w:rPr>
  </w:style>
  <w:style w:type="paragraph" w:customStyle="1" w:styleId="20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04">
    <w:name w:val="Char2 Char Char1"/>
    <w:basedOn w:val="1"/>
    <w:qFormat/>
    <w:uiPriority w:val="6"/>
    <w:pPr>
      <w:adjustRightInd/>
    </w:pPr>
    <w:rPr>
      <w:rFonts w:ascii="Tahoma" w:hAnsi="Tahoma"/>
      <w:sz w:val="24"/>
      <w:szCs w:val="20"/>
    </w:rPr>
  </w:style>
  <w:style w:type="paragraph" w:customStyle="1" w:styleId="205">
    <w:name w:val="列出段落5"/>
    <w:basedOn w:val="1"/>
    <w:qFormat/>
    <w:uiPriority w:val="0"/>
    <w:pPr>
      <w:spacing w:line="360" w:lineRule="auto"/>
      <w:ind w:firstLine="200" w:firstLineChars="200"/>
    </w:pPr>
    <w:rPr>
      <w:rFonts w:eastAsia="楷体_GB2312" w:cs="Lucida Sans"/>
      <w:sz w:val="24"/>
    </w:rPr>
  </w:style>
  <w:style w:type="paragraph" w:customStyle="1" w:styleId="20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7">
    <w:name w:val="表格文字"/>
    <w:basedOn w:val="1"/>
    <w:next w:val="23"/>
    <w:qFormat/>
    <w:uiPriority w:val="0"/>
    <w:pPr>
      <w:adjustRightInd/>
      <w:ind w:firstLine="200" w:firstLineChars="200"/>
    </w:pPr>
    <w:rPr>
      <w:rFonts w:ascii="Arial" w:hAnsi="Arial"/>
      <w:spacing w:val="-5"/>
      <w:kern w:val="0"/>
      <w:sz w:val="24"/>
      <w:szCs w:val="20"/>
    </w:rPr>
  </w:style>
  <w:style w:type="paragraph" w:customStyle="1" w:styleId="20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9">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1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1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1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3">
    <w:name w:val="_Style 3"/>
    <w:basedOn w:val="1"/>
    <w:qFormat/>
    <w:uiPriority w:val="0"/>
    <w:pPr>
      <w:adjustRightInd/>
      <w:ind w:firstLine="420" w:firstLineChars="200"/>
    </w:pPr>
    <w:rPr>
      <w:rFonts w:eastAsia="仿宋_GB2312"/>
      <w:sz w:val="28"/>
    </w:rPr>
  </w:style>
  <w:style w:type="paragraph" w:customStyle="1" w:styleId="21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5">
    <w:name w:val="Bulleting First Indent 1"/>
    <w:basedOn w:val="2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6">
    <w:name w:val="左对齐表格文字"/>
    <w:basedOn w:val="1"/>
    <w:qFormat/>
    <w:uiPriority w:val="0"/>
    <w:pPr>
      <w:adjustRightInd/>
      <w:ind w:firstLine="200" w:firstLineChars="200"/>
      <w:jc w:val="right"/>
    </w:pPr>
  </w:style>
  <w:style w:type="paragraph" w:customStyle="1" w:styleId="217">
    <w:name w:val="Char Char11 Char Char Char Char Char Char Char Char Char"/>
    <w:basedOn w:val="1"/>
    <w:qFormat/>
    <w:uiPriority w:val="0"/>
    <w:pPr>
      <w:spacing w:line="360" w:lineRule="auto"/>
    </w:pPr>
    <w:rPr>
      <w:szCs w:val="20"/>
    </w:rPr>
  </w:style>
  <w:style w:type="paragraph" w:customStyle="1" w:styleId="218">
    <w:name w:val="正文1.25"/>
    <w:basedOn w:val="1"/>
    <w:qFormat/>
    <w:uiPriority w:val="0"/>
    <w:pPr>
      <w:adjustRightInd/>
      <w:spacing w:line="300" w:lineRule="auto"/>
      <w:ind w:firstLine="480" w:firstLineChars="200"/>
    </w:pPr>
    <w:rPr>
      <w:sz w:val="24"/>
      <w:szCs w:val="20"/>
    </w:rPr>
  </w:style>
  <w:style w:type="paragraph" w:customStyle="1" w:styleId="21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2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2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22">
    <w:name w:val="Char Char1 Char Char Char1"/>
    <w:basedOn w:val="1"/>
    <w:qFormat/>
    <w:uiPriority w:val="6"/>
    <w:rPr>
      <w:rFonts w:ascii="仿宋_GB2312" w:eastAsia="仿宋_GB2312"/>
      <w:b/>
      <w:sz w:val="32"/>
      <w:szCs w:val="20"/>
    </w:rPr>
  </w:style>
  <w:style w:type="paragraph" w:customStyle="1" w:styleId="223">
    <w:name w:val="列出段落2"/>
    <w:basedOn w:val="1"/>
    <w:qFormat/>
    <w:uiPriority w:val="0"/>
    <w:pPr>
      <w:adjustRightInd/>
      <w:ind w:firstLine="420" w:firstLineChars="200"/>
    </w:pPr>
    <w:rPr>
      <w:rFonts w:ascii="宋体" w:hAnsi="宋体"/>
      <w:sz w:val="24"/>
    </w:rPr>
  </w:style>
  <w:style w:type="paragraph" w:customStyle="1" w:styleId="224">
    <w:name w:val="默认段落字体 Para Char Char Char Char Char Char Char"/>
    <w:basedOn w:val="1"/>
    <w:qFormat/>
    <w:uiPriority w:val="0"/>
    <w:rPr>
      <w:rFonts w:eastAsia="仿宋_GB2312"/>
      <w:sz w:val="28"/>
      <w:szCs w:val="20"/>
    </w:rPr>
  </w:style>
  <w:style w:type="paragraph" w:customStyle="1" w:styleId="22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6">
    <w:name w:val="样式 标题 4PIM 4H4h4bulletblbbH41H42H43H44H45H46H47H48...1"/>
    <w:basedOn w:val="5"/>
    <w:qFormat/>
    <w:uiPriority w:val="0"/>
    <w:pPr>
      <w:widowControl/>
      <w:jc w:val="left"/>
    </w:pPr>
    <w:rPr>
      <w:rFonts w:cs="宋体"/>
      <w:sz w:val="24"/>
      <w:szCs w:val="20"/>
    </w:rPr>
  </w:style>
  <w:style w:type="paragraph" w:customStyle="1" w:styleId="227">
    <w:name w:val="彩色列表 - 强调文字颜色 11"/>
    <w:basedOn w:val="1"/>
    <w:qFormat/>
    <w:uiPriority w:val="0"/>
    <w:pPr>
      <w:adjustRightInd/>
      <w:ind w:firstLine="420" w:firstLineChars="200"/>
    </w:pPr>
    <w:rPr>
      <w:rFonts w:ascii="Calibri" w:hAnsi="Calibri"/>
      <w:szCs w:val="22"/>
    </w:rPr>
  </w:style>
  <w:style w:type="paragraph" w:customStyle="1" w:styleId="228">
    <w:name w:val="加粗正文"/>
    <w:basedOn w:val="1"/>
    <w:qFormat/>
    <w:uiPriority w:val="0"/>
    <w:pPr>
      <w:adjustRightInd/>
      <w:spacing w:beforeLines="50" w:afterLines="50" w:line="360" w:lineRule="auto"/>
      <w:ind w:firstLine="422" w:firstLineChars="200"/>
    </w:pPr>
    <w:rPr>
      <w:b/>
      <w:bCs/>
      <w:szCs w:val="21"/>
    </w:rPr>
  </w:style>
  <w:style w:type="paragraph" w:customStyle="1" w:styleId="22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3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31">
    <w:name w:val="Char Char Char1 Char1"/>
    <w:basedOn w:val="1"/>
    <w:qFormat/>
    <w:uiPriority w:val="6"/>
    <w:rPr>
      <w:szCs w:val="20"/>
    </w:rPr>
  </w:style>
  <w:style w:type="paragraph" w:customStyle="1" w:styleId="23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33">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3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3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7">
    <w:name w:val="CM14"/>
    <w:basedOn w:val="105"/>
    <w:next w:val="105"/>
    <w:qFormat/>
    <w:uiPriority w:val="0"/>
    <w:pPr>
      <w:spacing w:after="68"/>
    </w:pPr>
    <w:rPr>
      <w:rFonts w:ascii="FHLHE E+ Futura Bk" w:eastAsia="FHLHE E+ Futura Bk" w:cs="Times New Roman"/>
      <w:color w:val="auto"/>
    </w:rPr>
  </w:style>
  <w:style w:type="paragraph" w:customStyle="1" w:styleId="23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4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41">
    <w:name w:val="正文文字 2"/>
    <w:basedOn w:val="105"/>
    <w:next w:val="105"/>
    <w:qFormat/>
    <w:uiPriority w:val="0"/>
    <w:rPr>
      <w:rFonts w:ascii="宋体" w:eastAsia="宋体" w:cs="Times New Roman"/>
      <w:color w:val="auto"/>
    </w:rPr>
  </w:style>
  <w:style w:type="paragraph" w:customStyle="1" w:styleId="242">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3">
    <w:name w:val="Char Char1 Char"/>
    <w:basedOn w:val="1"/>
    <w:qFormat/>
    <w:uiPriority w:val="0"/>
    <w:rPr>
      <w:rFonts w:ascii="仿宋_GB2312" w:eastAsia="仿宋_GB2312"/>
      <w:b/>
      <w:sz w:val="32"/>
      <w:szCs w:val="32"/>
    </w:rPr>
  </w:style>
  <w:style w:type="paragraph" w:customStyle="1" w:styleId="24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6">
    <w:name w:val="Char Char111"/>
    <w:basedOn w:val="1"/>
    <w:qFormat/>
    <w:uiPriority w:val="0"/>
    <w:pPr>
      <w:spacing w:line="360" w:lineRule="auto"/>
    </w:pPr>
    <w:rPr>
      <w:szCs w:val="20"/>
    </w:rPr>
  </w:style>
  <w:style w:type="paragraph" w:customStyle="1" w:styleId="247">
    <w:name w:val="Char"/>
    <w:basedOn w:val="1"/>
    <w:qFormat/>
    <w:uiPriority w:val="0"/>
    <w:rPr>
      <w:rFonts w:ascii="仿宋_GB2312" w:eastAsia="仿宋_GB2312"/>
      <w:b/>
      <w:sz w:val="32"/>
      <w:szCs w:val="32"/>
    </w:rPr>
  </w:style>
  <w:style w:type="paragraph" w:customStyle="1" w:styleId="24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0">
    <w:name w:val="Char Char Char1 Char"/>
    <w:basedOn w:val="1"/>
    <w:qFormat/>
    <w:uiPriority w:val="0"/>
    <w:rPr>
      <w:szCs w:val="20"/>
    </w:rPr>
  </w:style>
  <w:style w:type="paragraph" w:customStyle="1" w:styleId="251">
    <w:name w:val="正文标准"/>
    <w:basedOn w:val="1"/>
    <w:qFormat/>
    <w:uiPriority w:val="0"/>
    <w:pPr>
      <w:adjustRightInd/>
      <w:spacing w:line="360" w:lineRule="auto"/>
      <w:ind w:firstLine="200" w:firstLineChars="200"/>
    </w:pPr>
    <w:rPr>
      <w:rFonts w:ascii="宋体" w:hAnsi="Calibri"/>
      <w:sz w:val="24"/>
    </w:rPr>
  </w:style>
  <w:style w:type="paragraph" w:customStyle="1" w:styleId="25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5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5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5">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25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6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3">
    <w:name w:val="标准有序列表（L1）"/>
    <w:basedOn w:val="1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4">
    <w:name w:val="Char Char Char Char Char Char Char Char Char Char"/>
    <w:basedOn w:val="1"/>
    <w:qFormat/>
    <w:uiPriority w:val="0"/>
    <w:rPr>
      <w:rFonts w:ascii="仿宋_GB2312" w:eastAsia="仿宋_GB2312"/>
      <w:b/>
      <w:sz w:val="32"/>
      <w:szCs w:val="32"/>
    </w:rPr>
  </w:style>
  <w:style w:type="paragraph" w:customStyle="1" w:styleId="26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6">
    <w:name w:val="_正文段落"/>
    <w:basedOn w:val="1"/>
    <w:qFormat/>
    <w:uiPriority w:val="0"/>
    <w:pPr>
      <w:adjustRightInd/>
      <w:ind w:firstLine="560"/>
    </w:pPr>
    <w:rPr>
      <w:rFonts w:ascii="仿宋_GB2312" w:hAnsi="仿宋" w:eastAsia="仿宋_GB2312"/>
      <w:kern w:val="0"/>
      <w:sz w:val="28"/>
      <w:szCs w:val="28"/>
    </w:rPr>
  </w:style>
  <w:style w:type="paragraph" w:customStyle="1" w:styleId="26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9">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7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7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7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73">
    <w:name w:val="Char Char Char1 Char2"/>
    <w:basedOn w:val="1"/>
    <w:qFormat/>
    <w:uiPriority w:val="0"/>
    <w:rPr>
      <w:szCs w:val="20"/>
    </w:rPr>
  </w:style>
  <w:style w:type="paragraph" w:customStyle="1" w:styleId="27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75">
    <w:name w:val="默认段落字体 Para Char"/>
    <w:basedOn w:val="1"/>
    <w:qFormat/>
    <w:uiPriority w:val="0"/>
    <w:rPr>
      <w:rFonts w:ascii="Tahoma" w:hAnsi="Tahoma"/>
      <w:sz w:val="24"/>
      <w:szCs w:val="20"/>
    </w:rPr>
  </w:style>
  <w:style w:type="paragraph" w:customStyle="1" w:styleId="276">
    <w:name w:val="标题五"/>
    <w:basedOn w:val="1"/>
    <w:qFormat/>
    <w:uiPriority w:val="0"/>
    <w:pPr>
      <w:adjustRightInd/>
      <w:spacing w:beforeLines="50" w:line="360" w:lineRule="auto"/>
    </w:pPr>
    <w:rPr>
      <w:b/>
      <w:sz w:val="24"/>
    </w:rPr>
  </w:style>
  <w:style w:type="paragraph" w:customStyle="1" w:styleId="277">
    <w:name w:val="Char Char1101"/>
    <w:basedOn w:val="1"/>
    <w:qFormat/>
    <w:uiPriority w:val="0"/>
    <w:pPr>
      <w:spacing w:line="360" w:lineRule="auto"/>
    </w:pPr>
    <w:rPr>
      <w:rFonts w:ascii="Tahoma" w:hAnsi="Tahoma"/>
      <w:sz w:val="24"/>
      <w:szCs w:val="20"/>
    </w:rPr>
  </w:style>
  <w:style w:type="paragraph" w:customStyle="1" w:styleId="278">
    <w:name w:val="Char Char Char Char Char Char Char Char1"/>
    <w:basedOn w:val="1"/>
    <w:qFormat/>
    <w:uiPriority w:val="0"/>
    <w:pPr>
      <w:tabs>
        <w:tab w:val="left" w:pos="360"/>
      </w:tabs>
    </w:pPr>
    <w:rPr>
      <w:sz w:val="24"/>
      <w:szCs w:val="20"/>
    </w:rPr>
  </w:style>
  <w:style w:type="paragraph" w:customStyle="1" w:styleId="279">
    <w:name w:val="Char Char Char 字元 字元"/>
    <w:basedOn w:val="1"/>
    <w:qFormat/>
    <w:uiPriority w:val="0"/>
    <w:pPr>
      <w:adjustRightInd/>
      <w:spacing w:line="360" w:lineRule="auto"/>
      <w:ind w:firstLine="200" w:firstLineChars="200"/>
    </w:pPr>
    <w:rPr>
      <w:szCs w:val="20"/>
    </w:rPr>
  </w:style>
  <w:style w:type="paragraph" w:customStyle="1" w:styleId="28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1">
    <w:name w:val="Char Char Char Char Char Char Char"/>
    <w:basedOn w:val="1"/>
    <w:qFormat/>
    <w:uiPriority w:val="0"/>
    <w:rPr>
      <w:rFonts w:ascii="仿宋_GB2312" w:eastAsia="仿宋_GB2312"/>
      <w:b/>
      <w:sz w:val="32"/>
      <w:szCs w:val="32"/>
    </w:rPr>
  </w:style>
  <w:style w:type="paragraph" w:customStyle="1" w:styleId="28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8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4">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85">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86">
    <w:name w:val="批注框文本 Char Char"/>
    <w:basedOn w:val="1"/>
    <w:qFormat/>
    <w:uiPriority w:val="0"/>
    <w:pPr>
      <w:adjustRightInd/>
    </w:pPr>
    <w:rPr>
      <w:sz w:val="18"/>
      <w:szCs w:val="20"/>
    </w:rPr>
  </w:style>
  <w:style w:type="paragraph" w:customStyle="1" w:styleId="28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9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291">
    <w:name w:val="索引 11"/>
    <w:basedOn w:val="1"/>
    <w:next w:val="1"/>
    <w:qFormat/>
    <w:uiPriority w:val="99"/>
    <w:pPr>
      <w:adjustRightInd/>
      <w:spacing w:line="360" w:lineRule="auto"/>
    </w:pPr>
    <w:rPr>
      <w:rFonts w:ascii="仿宋_GB2312" w:eastAsia="仿宋_GB2312"/>
      <w:sz w:val="24"/>
      <w:szCs w:val="20"/>
    </w:rPr>
  </w:style>
  <w:style w:type="paragraph" w:customStyle="1" w:styleId="29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94">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5">
    <w:name w:val="文档正文"/>
    <w:basedOn w:val="1"/>
    <w:qFormat/>
    <w:uiPriority w:val="0"/>
    <w:pPr>
      <w:spacing w:line="480" w:lineRule="atLeast"/>
      <w:ind w:firstLine="567"/>
      <w:textAlignment w:val="baseline"/>
    </w:pPr>
    <w:rPr>
      <w:kern w:val="0"/>
      <w:sz w:val="24"/>
      <w:szCs w:val="20"/>
    </w:rPr>
  </w:style>
  <w:style w:type="paragraph" w:customStyle="1" w:styleId="296">
    <w:name w:val="正文文字表格居中"/>
    <w:basedOn w:val="1"/>
    <w:next w:val="57"/>
    <w:qFormat/>
    <w:uiPriority w:val="0"/>
    <w:pPr>
      <w:snapToGrid w:val="0"/>
      <w:spacing w:line="360" w:lineRule="auto"/>
    </w:pPr>
    <w:rPr>
      <w:rFonts w:ascii="宋体"/>
      <w:b/>
      <w:sz w:val="24"/>
      <w:szCs w:val="20"/>
    </w:rPr>
  </w:style>
  <w:style w:type="paragraph" w:customStyle="1" w:styleId="297">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29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9">
    <w:name w:val="Plain Text1"/>
    <w:basedOn w:val="1"/>
    <w:qFormat/>
    <w:uiPriority w:val="7"/>
    <w:pPr>
      <w:adjustRightInd/>
    </w:pPr>
    <w:rPr>
      <w:rFonts w:ascii="宋体" w:hAnsi="Courier New"/>
    </w:rPr>
  </w:style>
  <w:style w:type="paragraph" w:customStyle="1" w:styleId="300">
    <w:name w:val="Char3"/>
    <w:basedOn w:val="1"/>
    <w:qFormat/>
    <w:uiPriority w:val="0"/>
    <w:pPr>
      <w:adjustRightInd/>
    </w:pPr>
    <w:rPr>
      <w:rFonts w:ascii="仿宋_GB2312" w:eastAsia="仿宋_GB2312"/>
      <w:b/>
      <w:sz w:val="32"/>
      <w:szCs w:val="32"/>
    </w:rPr>
  </w:style>
  <w:style w:type="paragraph" w:customStyle="1" w:styleId="30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03">
    <w:name w:val="标题2"/>
    <w:basedOn w:val="2"/>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04">
    <w:name w:val="List Paragraph1"/>
    <w:basedOn w:val="1"/>
    <w:qFormat/>
    <w:uiPriority w:val="0"/>
    <w:pPr>
      <w:spacing w:line="360" w:lineRule="auto"/>
      <w:ind w:firstLine="200" w:firstLineChars="200"/>
    </w:pPr>
    <w:rPr>
      <w:rFonts w:eastAsia="楷体_GB2312" w:cs="Lucida Sans"/>
      <w:sz w:val="24"/>
    </w:rPr>
  </w:style>
  <w:style w:type="paragraph" w:customStyle="1" w:styleId="30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8">
    <w:name w:val="Char3 Char Char Char"/>
    <w:basedOn w:val="1"/>
    <w:qFormat/>
    <w:uiPriority w:val="0"/>
    <w:pPr>
      <w:widowControl/>
      <w:adjustRightInd/>
      <w:spacing w:after="160" w:line="240" w:lineRule="exact"/>
      <w:jc w:val="left"/>
    </w:pPr>
    <w:rPr>
      <w:szCs w:val="20"/>
    </w:rPr>
  </w:style>
  <w:style w:type="paragraph" w:customStyle="1" w:styleId="309">
    <w:name w:val="表格标题2"/>
    <w:basedOn w:val="310"/>
    <w:qFormat/>
    <w:uiPriority w:val="0"/>
    <w:rPr>
      <w:b/>
    </w:rPr>
  </w:style>
  <w:style w:type="paragraph" w:customStyle="1" w:styleId="310">
    <w:name w:val="表格内文"/>
    <w:basedOn w:val="1"/>
    <w:qFormat/>
    <w:uiPriority w:val="0"/>
    <w:pPr>
      <w:adjustRightInd/>
      <w:spacing w:line="360" w:lineRule="auto"/>
    </w:pPr>
    <w:rPr>
      <w:rFonts w:ascii="宋体" w:hAnsi="宋体" w:cs="宋体"/>
      <w:color w:val="000000"/>
      <w:szCs w:val="20"/>
    </w:rPr>
  </w:style>
  <w:style w:type="paragraph" w:customStyle="1" w:styleId="311">
    <w:name w:val="Char Char Char Char Char Char Char Char Char Char2"/>
    <w:basedOn w:val="1"/>
    <w:qFormat/>
    <w:uiPriority w:val="0"/>
    <w:rPr>
      <w:rFonts w:ascii="仿宋_GB2312" w:eastAsia="仿宋_GB2312"/>
      <w:b/>
      <w:sz w:val="32"/>
      <w:szCs w:val="32"/>
    </w:rPr>
  </w:style>
  <w:style w:type="paragraph" w:customStyle="1" w:styleId="31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1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4">
    <w:name w:val="Char Char11 Char Char Char Char Char Char Char Char Char11"/>
    <w:basedOn w:val="1"/>
    <w:qFormat/>
    <w:uiPriority w:val="0"/>
    <w:pPr>
      <w:spacing w:line="360" w:lineRule="auto"/>
    </w:pPr>
    <w:rPr>
      <w:szCs w:val="20"/>
    </w:rPr>
  </w:style>
  <w:style w:type="paragraph" w:customStyle="1" w:styleId="31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17">
    <w:name w:val="MM Topic 1"/>
    <w:basedOn w:val="3"/>
    <w:qFormat/>
    <w:uiPriority w:val="0"/>
    <w:pPr>
      <w:tabs>
        <w:tab w:val="left" w:pos="840"/>
        <w:tab w:val="clear" w:pos="432"/>
      </w:tabs>
      <w:adjustRightInd/>
      <w:ind w:left="840" w:hanging="420"/>
    </w:pPr>
  </w:style>
  <w:style w:type="paragraph" w:customStyle="1" w:styleId="318">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319">
    <w:name w:val="文本正文 Char"/>
    <w:basedOn w:val="1"/>
    <w:qFormat/>
    <w:uiPriority w:val="0"/>
    <w:pPr>
      <w:spacing w:line="360" w:lineRule="auto"/>
      <w:ind w:firstLine="200" w:firstLineChars="200"/>
    </w:pPr>
    <w:rPr>
      <w:kern w:val="0"/>
      <w:sz w:val="24"/>
      <w:szCs w:val="20"/>
    </w:rPr>
  </w:style>
  <w:style w:type="paragraph" w:customStyle="1" w:styleId="320">
    <w:name w:val="表格"/>
    <w:basedOn w:val="1"/>
    <w:qFormat/>
    <w:uiPriority w:val="0"/>
    <w:pPr>
      <w:snapToGrid w:val="0"/>
      <w:ind w:firstLine="42" w:firstLineChars="21"/>
    </w:pPr>
    <w:rPr>
      <w:rFonts w:ascii="宋体" w:hAnsi="宋体"/>
      <w:kern w:val="0"/>
      <w:sz w:val="20"/>
      <w:szCs w:val="20"/>
    </w:rPr>
  </w:style>
  <w:style w:type="paragraph" w:customStyle="1" w:styleId="321">
    <w:name w:val="标书标题4"/>
    <w:basedOn w:val="5"/>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22">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32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4">
    <w:name w:val="表格项目符号 2"/>
    <w:basedOn w:val="30"/>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5">
    <w:name w:val="EB_表格"/>
    <w:basedOn w:val="1"/>
    <w:qFormat/>
    <w:uiPriority w:val="0"/>
    <w:pPr>
      <w:adjustRightInd/>
      <w:spacing w:line="300" w:lineRule="auto"/>
      <w:jc w:val="center"/>
    </w:pPr>
  </w:style>
  <w:style w:type="paragraph" w:customStyle="1" w:styleId="326">
    <w:name w:val="_Style 6"/>
    <w:basedOn w:val="1"/>
    <w:qFormat/>
    <w:uiPriority w:val="34"/>
    <w:pPr>
      <w:adjustRightInd/>
      <w:ind w:firstLine="420" w:firstLineChars="200"/>
    </w:pPr>
    <w:rPr>
      <w:rFonts w:eastAsia="仿宋_GB2312"/>
      <w:sz w:val="28"/>
    </w:rPr>
  </w:style>
  <w:style w:type="paragraph" w:customStyle="1" w:styleId="32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9">
    <w:name w:val="!大节"/>
    <w:basedOn w:val="2"/>
    <w:qFormat/>
    <w:uiPriority w:val="0"/>
    <w:pPr>
      <w:spacing w:before="260" w:after="260" w:line="415" w:lineRule="auto"/>
      <w:ind w:left="420" w:hanging="420"/>
    </w:pPr>
    <w:rPr>
      <w:rFonts w:ascii="Arial" w:hAnsi="Arial" w:eastAsia="微软雅黑"/>
      <w:lang w:val="en-US"/>
    </w:rPr>
  </w:style>
  <w:style w:type="paragraph" w:customStyle="1" w:styleId="330">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31">
    <w:name w:val="正文表标题"/>
    <w:next w:val="33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3">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334">
    <w:name w:val="trademark"/>
    <w:qFormat/>
    <w:uiPriority w:val="0"/>
    <w:pPr>
      <w:spacing w:after="60"/>
    </w:pPr>
    <w:rPr>
      <w:rFonts w:ascii="Futura Bk" w:hAnsi="Futura Bk" w:eastAsia="宋体" w:cs="Times New Roman"/>
      <w:sz w:val="15"/>
      <w:lang w:val="en-US" w:eastAsia="en-US" w:bidi="ar-SA"/>
    </w:rPr>
  </w:style>
  <w:style w:type="paragraph" w:customStyle="1" w:styleId="33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6">
    <w:name w:val="Char Char1 Char Char Char Char Char Char1"/>
    <w:basedOn w:val="1"/>
    <w:qFormat/>
    <w:uiPriority w:val="0"/>
    <w:rPr>
      <w:rFonts w:ascii="仿宋_GB2312" w:eastAsia="仿宋_GB2312"/>
      <w:b/>
      <w:sz w:val="32"/>
      <w:szCs w:val="20"/>
    </w:rPr>
  </w:style>
  <w:style w:type="paragraph" w:customStyle="1" w:styleId="33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8">
    <w:name w:val="Char1 Char Char Char1"/>
    <w:basedOn w:val="1"/>
    <w:qFormat/>
    <w:uiPriority w:val="0"/>
    <w:pPr>
      <w:adjustRightInd/>
      <w:ind w:firstLine="200" w:firstLineChars="200"/>
    </w:pPr>
    <w:rPr>
      <w:rFonts w:ascii="Tahoma" w:hAnsi="Tahoma"/>
      <w:sz w:val="24"/>
      <w:szCs w:val="20"/>
    </w:rPr>
  </w:style>
  <w:style w:type="paragraph" w:customStyle="1" w:styleId="339">
    <w:name w:val="a1"/>
    <w:basedOn w:val="1"/>
    <w:qFormat/>
    <w:uiPriority w:val="0"/>
    <w:pPr>
      <w:widowControl/>
      <w:spacing w:line="300" w:lineRule="atLeast"/>
      <w:jc w:val="left"/>
    </w:pPr>
    <w:rPr>
      <w:rFonts w:ascii="宋体" w:hAnsi="宋体"/>
      <w:kern w:val="0"/>
      <w:sz w:val="18"/>
      <w:szCs w:val="20"/>
    </w:rPr>
  </w:style>
  <w:style w:type="paragraph" w:customStyle="1" w:styleId="340">
    <w:name w:val="样式7"/>
    <w:basedOn w:val="341"/>
    <w:next w:val="1"/>
    <w:qFormat/>
    <w:uiPriority w:val="0"/>
    <w:pPr>
      <w:spacing w:afterLines="50"/>
      <w:jc w:val="left"/>
      <w:outlineLvl w:val="3"/>
    </w:pPr>
    <w:rPr>
      <w:sz w:val="24"/>
      <w:szCs w:val="24"/>
    </w:rPr>
  </w:style>
  <w:style w:type="paragraph" w:customStyle="1" w:styleId="34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4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4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4">
    <w:name w:val="样式 样式2 + 左侧:  1 字符 右侧:  1 字符"/>
    <w:basedOn w:val="152"/>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5">
    <w:name w:val="Char2 Char Char2"/>
    <w:basedOn w:val="1"/>
    <w:qFormat/>
    <w:uiPriority w:val="0"/>
    <w:pPr>
      <w:adjustRightInd/>
    </w:pPr>
    <w:rPr>
      <w:rFonts w:ascii="Tahoma" w:hAnsi="Tahoma"/>
      <w:sz w:val="24"/>
      <w:szCs w:val="20"/>
    </w:rPr>
  </w:style>
  <w:style w:type="paragraph" w:customStyle="1" w:styleId="34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7">
    <w:name w:val="三级条标题"/>
    <w:basedOn w:val="348"/>
    <w:next w:val="332"/>
    <w:qFormat/>
    <w:uiPriority w:val="0"/>
    <w:pPr>
      <w:tabs>
        <w:tab w:val="left" w:pos="1260"/>
        <w:tab w:val="left" w:pos="1680"/>
        <w:tab w:val="left" w:pos="2100"/>
        <w:tab w:val="left" w:pos="2520"/>
      </w:tabs>
      <w:ind w:left="2520"/>
      <w:outlineLvl w:val="4"/>
    </w:pPr>
  </w:style>
  <w:style w:type="paragraph" w:customStyle="1" w:styleId="348">
    <w:name w:val="二级条标题"/>
    <w:basedOn w:val="349"/>
    <w:next w:val="332"/>
    <w:qFormat/>
    <w:uiPriority w:val="0"/>
    <w:pPr>
      <w:tabs>
        <w:tab w:val="left" w:pos="1260"/>
        <w:tab w:val="left" w:pos="1680"/>
        <w:tab w:val="left" w:pos="2100"/>
      </w:tabs>
      <w:ind w:left="0"/>
      <w:outlineLvl w:val="3"/>
    </w:pPr>
  </w:style>
  <w:style w:type="paragraph" w:customStyle="1" w:styleId="349">
    <w:name w:val="一级条标题"/>
    <w:basedOn w:val="350"/>
    <w:next w:val="332"/>
    <w:qFormat/>
    <w:uiPriority w:val="0"/>
    <w:pPr>
      <w:tabs>
        <w:tab w:val="left" w:pos="1260"/>
        <w:tab w:val="left" w:pos="1680"/>
      </w:tabs>
      <w:spacing w:beforeLines="0" w:afterLines="0"/>
      <w:ind w:left="1680"/>
      <w:outlineLvl w:val="2"/>
    </w:pPr>
  </w:style>
  <w:style w:type="paragraph" w:customStyle="1" w:styleId="350">
    <w:name w:val="章标题"/>
    <w:next w:val="332"/>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351">
    <w:name w:val="数字标题2"/>
    <w:basedOn w:val="2"/>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5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53">
    <w:name w:val="样式 标题 1Level 1 HeadPIM 1Section Headh1l11Heading 0Datash..."/>
    <w:basedOn w:val="3"/>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5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5">
    <w:name w:val="样式 标题 1章节第一层h1H"/>
    <w:basedOn w:val="3"/>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5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7">
    <w:name w:val="正文 项目2"/>
    <w:basedOn w:val="358"/>
    <w:qFormat/>
    <w:uiPriority w:val="0"/>
    <w:pPr>
      <w:tabs>
        <w:tab w:val="left" w:pos="840"/>
      </w:tabs>
      <w:spacing w:after="0"/>
      <w:ind w:left="900"/>
    </w:pPr>
  </w:style>
  <w:style w:type="paragraph" w:customStyle="1" w:styleId="35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9">
    <w:name w:val="Body Text 2*"/>
    <w:basedOn w:val="1"/>
    <w:qFormat/>
    <w:uiPriority w:val="6"/>
    <w:pPr>
      <w:widowControl/>
      <w:adjustRightInd/>
      <w:ind w:left="720" w:hanging="720"/>
    </w:pPr>
    <w:rPr>
      <w:color w:val="000000"/>
      <w:kern w:val="0"/>
      <w:sz w:val="24"/>
      <w:szCs w:val="20"/>
    </w:rPr>
  </w:style>
  <w:style w:type="paragraph" w:customStyle="1" w:styleId="360">
    <w:name w:val="表1"/>
    <w:basedOn w:val="1"/>
    <w:qFormat/>
    <w:uiPriority w:val="0"/>
    <w:pPr>
      <w:tabs>
        <w:tab w:val="left" w:pos="703"/>
      </w:tabs>
      <w:adjustRightInd/>
      <w:spacing w:line="360" w:lineRule="auto"/>
      <w:ind w:left="703"/>
      <w:jc w:val="center"/>
    </w:pPr>
  </w:style>
  <w:style w:type="paragraph" w:customStyle="1" w:styleId="36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6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63">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364">
    <w:name w:val="2级标题"/>
    <w:basedOn w:val="365"/>
    <w:qFormat/>
    <w:uiPriority w:val="0"/>
    <w:pPr>
      <w:jc w:val="left"/>
      <w:outlineLvl w:val="1"/>
    </w:pPr>
    <w:rPr>
      <w:rFonts w:ascii="Times New Roman" w:hAnsi="Times New Roman" w:eastAsia="仿宋"/>
      <w:sz w:val="30"/>
    </w:rPr>
  </w:style>
  <w:style w:type="paragraph" w:customStyle="1" w:styleId="365">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36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70">
    <w:name w:val="bullet"/>
    <w:basedOn w:val="1"/>
    <w:qFormat/>
    <w:uiPriority w:val="0"/>
    <w:pPr>
      <w:tabs>
        <w:tab w:val="left" w:pos="840"/>
      </w:tabs>
      <w:adjustRightInd/>
      <w:ind w:left="840" w:hanging="420"/>
    </w:pPr>
  </w:style>
  <w:style w:type="paragraph" w:customStyle="1" w:styleId="37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7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7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8">
    <w:name w:val="MM Topic 4"/>
    <w:basedOn w:val="5"/>
    <w:qFormat/>
    <w:uiPriority w:val="0"/>
    <w:pPr>
      <w:tabs>
        <w:tab w:val="left" w:pos="2100"/>
        <w:tab w:val="clear" w:pos="864"/>
      </w:tabs>
      <w:adjustRightInd/>
      <w:ind w:left="2100" w:hanging="420"/>
    </w:pPr>
    <w:rPr>
      <w:lang w:val="en-US"/>
    </w:rPr>
  </w:style>
  <w:style w:type="paragraph" w:customStyle="1" w:styleId="379">
    <w:name w:val="Char11"/>
    <w:basedOn w:val="1"/>
    <w:qFormat/>
    <w:uiPriority w:val="0"/>
    <w:pPr>
      <w:tabs>
        <w:tab w:val="left" w:pos="432"/>
      </w:tabs>
      <w:adjustRightInd/>
      <w:spacing w:beforeLines="50" w:afterLines="50"/>
      <w:ind w:left="432" w:hanging="432" w:firstLineChars="200"/>
    </w:pPr>
    <w:rPr>
      <w:sz w:val="24"/>
    </w:rPr>
  </w:style>
  <w:style w:type="paragraph" w:customStyle="1" w:styleId="38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381">
    <w:name w:val="Char Char11 Char Char Char Char Char Char Char Char Char1"/>
    <w:basedOn w:val="1"/>
    <w:qFormat/>
    <w:uiPriority w:val="6"/>
    <w:pPr>
      <w:spacing w:line="360" w:lineRule="auto"/>
    </w:pPr>
    <w:rPr>
      <w:szCs w:val="20"/>
    </w:rPr>
  </w:style>
  <w:style w:type="paragraph" w:customStyle="1" w:styleId="38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8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84">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9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1">
    <w:name w:val="单元格居中"/>
    <w:basedOn w:val="1"/>
    <w:qFormat/>
    <w:uiPriority w:val="0"/>
    <w:pPr>
      <w:adjustRightInd/>
      <w:spacing w:line="360" w:lineRule="auto"/>
      <w:jc w:val="center"/>
    </w:pPr>
    <w:rPr>
      <w:sz w:val="24"/>
    </w:rPr>
  </w:style>
  <w:style w:type="paragraph" w:customStyle="1" w:styleId="392">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393">
    <w:name w:val="Char Char Char Char Char Char Char1"/>
    <w:basedOn w:val="1"/>
    <w:qFormat/>
    <w:uiPriority w:val="6"/>
    <w:rPr>
      <w:rFonts w:ascii="仿宋_GB2312" w:eastAsia="仿宋_GB2312"/>
      <w:b/>
      <w:sz w:val="32"/>
      <w:szCs w:val="32"/>
    </w:rPr>
  </w:style>
  <w:style w:type="paragraph" w:customStyle="1" w:styleId="39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5">
    <w:name w:val="Char3 Char Char Char11"/>
    <w:basedOn w:val="1"/>
    <w:qFormat/>
    <w:uiPriority w:val="0"/>
    <w:pPr>
      <w:widowControl/>
      <w:adjustRightInd/>
      <w:spacing w:after="160" w:line="240" w:lineRule="exact"/>
      <w:jc w:val="left"/>
    </w:pPr>
    <w:rPr>
      <w:szCs w:val="20"/>
    </w:rPr>
  </w:style>
  <w:style w:type="paragraph" w:customStyle="1" w:styleId="396">
    <w:name w:val="Char Char1121"/>
    <w:basedOn w:val="1"/>
    <w:qFormat/>
    <w:uiPriority w:val="0"/>
    <w:pPr>
      <w:spacing w:line="360" w:lineRule="auto"/>
    </w:pPr>
    <w:rPr>
      <w:szCs w:val="20"/>
    </w:rPr>
  </w:style>
  <w:style w:type="paragraph" w:customStyle="1" w:styleId="39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399">
    <w:name w:val="Normal0"/>
    <w:qFormat/>
    <w:uiPriority w:val="0"/>
    <w:rPr>
      <w:rFonts w:ascii="Times New Roman" w:hAnsi="Times New Roman" w:eastAsia="宋体" w:cs="Times New Roman"/>
      <w:lang w:val="en-US" w:eastAsia="en-US" w:bidi="ar-SA"/>
    </w:rPr>
  </w:style>
  <w:style w:type="paragraph" w:customStyle="1" w:styleId="400">
    <w:name w:val="带编号样式"/>
    <w:basedOn w:val="319"/>
    <w:qFormat/>
    <w:uiPriority w:val="0"/>
    <w:pPr>
      <w:tabs>
        <w:tab w:val="left" w:pos="840"/>
      </w:tabs>
      <w:snapToGrid w:val="0"/>
      <w:ind w:left="840" w:hanging="420" w:firstLineChars="0"/>
    </w:pPr>
    <w:rPr>
      <w:rFonts w:ascii="仿宋_GB2312" w:eastAsia="仿宋_GB2312"/>
      <w:color w:val="000000"/>
    </w:rPr>
  </w:style>
  <w:style w:type="paragraph" w:customStyle="1" w:styleId="40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3">
    <w:name w:val="封面"/>
    <w:basedOn w:val="1"/>
    <w:qFormat/>
    <w:uiPriority w:val="0"/>
    <w:pPr>
      <w:spacing w:line="360" w:lineRule="atLeast"/>
      <w:jc w:val="right"/>
      <w:textAlignment w:val="baseline"/>
    </w:pPr>
    <w:rPr>
      <w:rFonts w:ascii="Symbol" w:hAnsi="Symbol"/>
      <w:kern w:val="0"/>
      <w:szCs w:val="20"/>
    </w:rPr>
  </w:style>
  <w:style w:type="paragraph" w:customStyle="1" w:styleId="40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6">
    <w:name w:val="默认段落字体 Para Char Char Char1 Char"/>
    <w:basedOn w:val="1"/>
    <w:qFormat/>
    <w:uiPriority w:val="0"/>
    <w:pPr>
      <w:spacing w:line="240" w:lineRule="atLeast"/>
      <w:ind w:left="420" w:firstLine="420"/>
    </w:pPr>
    <w:rPr>
      <w:sz w:val="24"/>
    </w:rPr>
  </w:style>
  <w:style w:type="paragraph" w:customStyle="1" w:styleId="407">
    <w:name w:val="WW-正文文字缩进 2"/>
    <w:basedOn w:val="1"/>
    <w:qFormat/>
    <w:uiPriority w:val="0"/>
    <w:pPr>
      <w:suppressAutoHyphens/>
      <w:adjustRightInd/>
      <w:ind w:firstLine="420"/>
    </w:pPr>
    <w:rPr>
      <w:kern w:val="1"/>
      <w:szCs w:val="20"/>
    </w:rPr>
  </w:style>
  <w:style w:type="paragraph" w:customStyle="1" w:styleId="40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9">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410">
    <w:name w:val="有符号正文"/>
    <w:basedOn w:val="1"/>
    <w:qFormat/>
    <w:uiPriority w:val="0"/>
    <w:pPr>
      <w:adjustRightInd/>
      <w:spacing w:line="400" w:lineRule="exact"/>
      <w:ind w:firstLine="200" w:firstLineChars="200"/>
    </w:pPr>
    <w:rPr>
      <w:rFonts w:ascii="Arial" w:hAnsi="Arial"/>
    </w:rPr>
  </w:style>
  <w:style w:type="paragraph" w:customStyle="1" w:styleId="41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1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13">
    <w:name w:val="4"/>
    <w:basedOn w:val="1"/>
    <w:next w:val="38"/>
    <w:qFormat/>
    <w:uiPriority w:val="0"/>
    <w:pPr>
      <w:spacing w:after="120" w:line="480" w:lineRule="auto"/>
      <w:ind w:left="420" w:leftChars="200"/>
    </w:pPr>
    <w:rPr>
      <w:sz w:val="24"/>
      <w:szCs w:val="20"/>
    </w:rPr>
  </w:style>
  <w:style w:type="paragraph" w:customStyle="1" w:styleId="41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6">
    <w:name w:val="样式 标题 3H3 + 两端对齐"/>
    <w:basedOn w:val="4"/>
    <w:qFormat/>
    <w:uiPriority w:val="0"/>
    <w:pPr>
      <w:spacing w:before="0" w:after="0" w:line="240" w:lineRule="auto"/>
      <w:jc w:val="left"/>
    </w:pPr>
    <w:rPr>
      <w:rFonts w:cs="宋体"/>
      <w:sz w:val="21"/>
      <w:szCs w:val="20"/>
    </w:rPr>
  </w:style>
  <w:style w:type="paragraph" w:customStyle="1" w:styleId="41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0">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42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22">
    <w:name w:val="Char Char1 Char Char Char"/>
    <w:basedOn w:val="1"/>
    <w:qFormat/>
    <w:uiPriority w:val="0"/>
    <w:rPr>
      <w:rFonts w:ascii="仿宋_GB2312" w:eastAsia="仿宋_GB2312"/>
      <w:b/>
      <w:sz w:val="32"/>
      <w:szCs w:val="20"/>
    </w:rPr>
  </w:style>
  <w:style w:type="paragraph" w:customStyle="1" w:styleId="423">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42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6">
    <w:name w:val="Char Char1 Char Char Char2"/>
    <w:basedOn w:val="1"/>
    <w:qFormat/>
    <w:uiPriority w:val="0"/>
    <w:rPr>
      <w:rFonts w:ascii="仿宋_GB2312" w:eastAsia="仿宋_GB2312"/>
      <w:b/>
      <w:sz w:val="32"/>
      <w:szCs w:val="32"/>
    </w:rPr>
  </w:style>
  <w:style w:type="paragraph" w:customStyle="1" w:styleId="427">
    <w:name w:val="Char3 Char Char Char1"/>
    <w:basedOn w:val="1"/>
    <w:qFormat/>
    <w:uiPriority w:val="6"/>
    <w:pPr>
      <w:widowControl/>
      <w:adjustRightInd/>
      <w:spacing w:after="160" w:line="240" w:lineRule="exact"/>
      <w:jc w:val="left"/>
    </w:pPr>
    <w:rPr>
      <w:szCs w:val="20"/>
    </w:rPr>
  </w:style>
  <w:style w:type="paragraph" w:customStyle="1" w:styleId="428">
    <w:name w:val="Char1 Char Char Char21"/>
    <w:basedOn w:val="1"/>
    <w:qFormat/>
    <w:uiPriority w:val="0"/>
    <w:rPr>
      <w:rFonts w:ascii="Tahoma" w:hAnsi="Tahoma"/>
      <w:sz w:val="24"/>
      <w:szCs w:val="20"/>
    </w:rPr>
  </w:style>
  <w:style w:type="paragraph" w:customStyle="1" w:styleId="42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30">
    <w:name w:val="正文（标题三）"/>
    <w:basedOn w:val="1"/>
    <w:qFormat/>
    <w:uiPriority w:val="0"/>
    <w:pPr>
      <w:spacing w:line="360" w:lineRule="auto"/>
      <w:ind w:firstLine="200" w:firstLineChars="200"/>
    </w:pPr>
    <w:rPr>
      <w:sz w:val="24"/>
    </w:rPr>
  </w:style>
  <w:style w:type="paragraph" w:customStyle="1" w:styleId="43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3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3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6">
    <w:name w:val="Char1 Char Char Char4"/>
    <w:basedOn w:val="1"/>
    <w:qFormat/>
    <w:uiPriority w:val="0"/>
    <w:pPr>
      <w:adjustRightInd/>
      <w:ind w:firstLine="200" w:firstLineChars="200"/>
    </w:pPr>
    <w:rPr>
      <w:rFonts w:ascii="Tahoma" w:hAnsi="Tahoma"/>
      <w:sz w:val="24"/>
      <w:szCs w:val="20"/>
    </w:rPr>
  </w:style>
  <w:style w:type="paragraph" w:customStyle="1" w:styleId="437">
    <w:name w:val="_标题2"/>
    <w:basedOn w:val="404"/>
    <w:next w:val="404"/>
    <w:qFormat/>
    <w:uiPriority w:val="0"/>
    <w:pPr>
      <w:widowControl w:val="0"/>
      <w:tabs>
        <w:tab w:val="left" w:pos="480"/>
      </w:tabs>
      <w:spacing w:beforeLines="50" w:afterLines="50"/>
      <w:ind w:left="50" w:leftChars="50" w:hanging="420" w:firstLineChars="0"/>
      <w:outlineLvl w:val="1"/>
    </w:pPr>
    <w:rPr>
      <w:b/>
      <w:sz w:val="36"/>
    </w:rPr>
  </w:style>
  <w:style w:type="paragraph" w:customStyle="1" w:styleId="438">
    <w:name w:val="样式1 + (中宋体"/>
    <w:basedOn w:val="41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4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4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42">
    <w:name w:val="四号　首行缩进"/>
    <w:basedOn w:val="1"/>
    <w:qFormat/>
    <w:uiPriority w:val="0"/>
    <w:pPr>
      <w:adjustRightInd/>
      <w:spacing w:line="360" w:lineRule="auto"/>
    </w:pPr>
    <w:rPr>
      <w:rFonts w:ascii="宋体" w:hAnsi="宋体"/>
      <w:szCs w:val="20"/>
    </w:rPr>
  </w:style>
  <w:style w:type="paragraph" w:customStyle="1" w:styleId="44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44">
    <w:name w:val="Char Char Char Char Char Char Char Char Char Char Char1 Char"/>
    <w:basedOn w:val="1"/>
    <w:qFormat/>
    <w:uiPriority w:val="0"/>
    <w:pPr>
      <w:adjustRightInd/>
    </w:pPr>
    <w:rPr>
      <w:rFonts w:ascii="Tahoma" w:hAnsi="Tahoma"/>
      <w:sz w:val="24"/>
    </w:rPr>
  </w:style>
  <w:style w:type="paragraph" w:customStyle="1" w:styleId="445">
    <w:name w:val="Char Char Char Char11"/>
    <w:basedOn w:val="1"/>
    <w:qFormat/>
    <w:uiPriority w:val="0"/>
    <w:rPr>
      <w:rFonts w:ascii="Tahoma" w:hAnsi="Tahoma"/>
      <w:sz w:val="24"/>
      <w:szCs w:val="20"/>
    </w:rPr>
  </w:style>
  <w:style w:type="paragraph" w:customStyle="1" w:styleId="44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7">
    <w:name w:val="Char Char Char Char"/>
    <w:basedOn w:val="1"/>
    <w:qFormat/>
    <w:uiPriority w:val="0"/>
    <w:rPr>
      <w:rFonts w:ascii="Tahoma" w:hAnsi="Tahoma"/>
      <w:sz w:val="24"/>
      <w:szCs w:val="20"/>
    </w:rPr>
  </w:style>
  <w:style w:type="paragraph" w:customStyle="1" w:styleId="448">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9">
    <w:name w:val="Char19"/>
    <w:basedOn w:val="1"/>
    <w:qFormat/>
    <w:uiPriority w:val="0"/>
    <w:pPr>
      <w:adjustRightInd/>
    </w:pPr>
    <w:rPr>
      <w:szCs w:val="20"/>
    </w:rPr>
  </w:style>
  <w:style w:type="paragraph" w:customStyle="1" w:styleId="45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1">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452">
    <w:name w:val="_Style 5"/>
    <w:basedOn w:val="1"/>
    <w:qFormat/>
    <w:uiPriority w:val="34"/>
    <w:pPr>
      <w:adjustRightInd/>
      <w:ind w:firstLine="420" w:firstLineChars="200"/>
    </w:pPr>
    <w:rPr>
      <w:rFonts w:eastAsia="仿宋_GB2312"/>
      <w:sz w:val="28"/>
    </w:rPr>
  </w:style>
  <w:style w:type="paragraph" w:customStyle="1" w:styleId="45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6">
    <w:name w:val="标书表格字体格式"/>
    <w:next w:val="450"/>
    <w:qFormat/>
    <w:uiPriority w:val="0"/>
    <w:rPr>
      <w:rFonts w:ascii="Times New Roman" w:hAnsi="Times New Roman" w:eastAsia="宋体" w:cs="Times New Roman"/>
      <w:kern w:val="2"/>
      <w:sz w:val="21"/>
      <w:szCs w:val="24"/>
      <w:lang w:val="en-US" w:eastAsia="zh-CN" w:bidi="ar-SA"/>
    </w:rPr>
  </w:style>
  <w:style w:type="paragraph" w:customStyle="1" w:styleId="45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9">
    <w:name w:val="修订3"/>
    <w:qFormat/>
    <w:uiPriority w:val="0"/>
    <w:rPr>
      <w:rFonts w:ascii="Times New Roman" w:hAnsi="Times New Roman" w:eastAsia="宋体" w:cs="Times New Roman"/>
      <w:kern w:val="2"/>
      <w:sz w:val="21"/>
      <w:lang w:val="en-US" w:eastAsia="zh-CN" w:bidi="ar-SA"/>
    </w:rPr>
  </w:style>
  <w:style w:type="paragraph" w:customStyle="1" w:styleId="460">
    <w:name w:val="CSS1级正文 Char"/>
    <w:basedOn w:val="23"/>
    <w:qFormat/>
    <w:uiPriority w:val="0"/>
    <w:pPr>
      <w:snapToGrid w:val="0"/>
      <w:ind w:firstLine="480" w:firstLineChars="200"/>
    </w:pPr>
    <w:rPr>
      <w:rFonts w:ascii="Times New Roman"/>
      <w:szCs w:val="24"/>
      <w:lang w:val="en-US"/>
    </w:rPr>
  </w:style>
  <w:style w:type="paragraph" w:customStyle="1" w:styleId="461">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2">
    <w:name w:val="表文字"/>
    <w:qFormat/>
    <w:uiPriority w:val="0"/>
    <w:rPr>
      <w:rFonts w:ascii="宋体" w:hAnsi="Times New Roman" w:eastAsia="宋体" w:cs="Times New Roman"/>
      <w:kern w:val="2"/>
      <w:lang w:val="en-US" w:eastAsia="zh-CN" w:bidi="ar-SA"/>
    </w:rPr>
  </w:style>
  <w:style w:type="paragraph" w:customStyle="1" w:styleId="463">
    <w:name w:val="MM Title"/>
    <w:basedOn w:val="60"/>
    <w:qFormat/>
    <w:uiPriority w:val="0"/>
    <w:pPr>
      <w:widowControl w:val="0"/>
      <w:adjustRightInd/>
      <w:spacing w:before="240" w:after="60"/>
      <w:textAlignment w:val="auto"/>
      <w:outlineLvl w:val="0"/>
    </w:pPr>
    <w:rPr>
      <w:rFonts w:ascii="Arial" w:hAnsi="Arial" w:cs="Arial"/>
      <w:bCs/>
      <w:kern w:val="2"/>
      <w:sz w:val="32"/>
      <w:szCs w:val="32"/>
    </w:rPr>
  </w:style>
  <w:style w:type="paragraph" w:customStyle="1" w:styleId="46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6">
    <w:name w:val="Char Char Char Char Char Char Char Char2"/>
    <w:basedOn w:val="1"/>
    <w:qFormat/>
    <w:uiPriority w:val="0"/>
    <w:pPr>
      <w:tabs>
        <w:tab w:val="left" w:pos="360"/>
      </w:tabs>
    </w:pPr>
    <w:rPr>
      <w:sz w:val="24"/>
      <w:szCs w:val="20"/>
    </w:rPr>
  </w:style>
  <w:style w:type="paragraph" w:customStyle="1" w:styleId="46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8">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9">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7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7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72">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47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74">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475">
    <w:name w:val="p0"/>
    <w:basedOn w:val="1"/>
    <w:qFormat/>
    <w:uiPriority w:val="0"/>
    <w:pPr>
      <w:widowControl/>
      <w:adjustRightInd/>
    </w:pPr>
    <w:rPr>
      <w:kern w:val="0"/>
      <w:szCs w:val="21"/>
    </w:rPr>
  </w:style>
  <w:style w:type="paragraph" w:customStyle="1" w:styleId="476">
    <w:name w:val="Char6"/>
    <w:basedOn w:val="1"/>
    <w:qFormat/>
    <w:uiPriority w:val="0"/>
    <w:rPr>
      <w:rFonts w:ascii="仿宋_GB2312" w:eastAsia="仿宋_GB2312"/>
      <w:b/>
      <w:sz w:val="32"/>
      <w:szCs w:val="32"/>
    </w:rPr>
  </w:style>
  <w:style w:type="paragraph" w:customStyle="1" w:styleId="477">
    <w:name w:val="Char111"/>
    <w:basedOn w:val="1"/>
    <w:qFormat/>
    <w:uiPriority w:val="0"/>
    <w:rPr>
      <w:rFonts w:ascii="仿宋_GB2312" w:eastAsia="仿宋_GB2312"/>
      <w:b/>
      <w:sz w:val="32"/>
      <w:szCs w:val="32"/>
    </w:rPr>
  </w:style>
  <w:style w:type="paragraph" w:customStyle="1" w:styleId="478">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47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8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81">
    <w:name w:val="Char1 Char Char Char2"/>
    <w:basedOn w:val="1"/>
    <w:qFormat/>
    <w:uiPriority w:val="0"/>
    <w:pPr>
      <w:adjustRightInd/>
      <w:ind w:firstLine="200" w:firstLineChars="200"/>
    </w:pPr>
    <w:rPr>
      <w:rFonts w:ascii="Tahoma" w:hAnsi="Tahoma"/>
      <w:sz w:val="24"/>
      <w:szCs w:val="20"/>
    </w:rPr>
  </w:style>
  <w:style w:type="paragraph" w:customStyle="1" w:styleId="48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83">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84">
    <w:name w:val="Char Char Char Char Char Char Char2"/>
    <w:basedOn w:val="1"/>
    <w:qFormat/>
    <w:uiPriority w:val="0"/>
    <w:rPr>
      <w:rFonts w:ascii="仿宋_GB2312" w:eastAsia="仿宋_GB2312"/>
      <w:b/>
      <w:sz w:val="32"/>
      <w:szCs w:val="32"/>
    </w:rPr>
  </w:style>
  <w:style w:type="paragraph" w:customStyle="1" w:styleId="485">
    <w:name w:val="五级条标题"/>
    <w:basedOn w:val="486"/>
    <w:next w:val="332"/>
    <w:qFormat/>
    <w:uiPriority w:val="0"/>
    <w:pPr>
      <w:tabs>
        <w:tab w:val="left" w:pos="1260"/>
        <w:tab w:val="left" w:pos="1680"/>
        <w:tab w:val="left" w:pos="2100"/>
        <w:tab w:val="left" w:pos="2940"/>
        <w:tab w:val="left" w:pos="3360"/>
      </w:tabs>
      <w:ind w:left="3360"/>
      <w:outlineLvl w:val="6"/>
    </w:pPr>
  </w:style>
  <w:style w:type="paragraph" w:customStyle="1" w:styleId="486">
    <w:name w:val="四级条标题"/>
    <w:basedOn w:val="347"/>
    <w:next w:val="332"/>
    <w:qFormat/>
    <w:uiPriority w:val="0"/>
    <w:pPr>
      <w:tabs>
        <w:tab w:val="left" w:pos="2940"/>
        <w:tab w:val="clear" w:pos="2520"/>
      </w:tabs>
      <w:ind w:left="2940"/>
      <w:outlineLvl w:val="5"/>
    </w:pPr>
  </w:style>
  <w:style w:type="paragraph" w:customStyle="1" w:styleId="48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8">
    <w:name w:val="Char23"/>
    <w:basedOn w:val="1"/>
    <w:qFormat/>
    <w:uiPriority w:val="0"/>
    <w:rPr>
      <w:rFonts w:ascii="仿宋_GB2312" w:eastAsia="仿宋_GB2312"/>
      <w:b/>
      <w:sz w:val="32"/>
      <w:szCs w:val="32"/>
    </w:rPr>
  </w:style>
  <w:style w:type="paragraph" w:customStyle="1" w:styleId="48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9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91">
    <w:name w:val="首行缩进"/>
    <w:basedOn w:val="1"/>
    <w:qFormat/>
    <w:uiPriority w:val="0"/>
    <w:pPr>
      <w:spacing w:line="360" w:lineRule="auto"/>
      <w:ind w:firstLine="480" w:firstLineChars="200"/>
    </w:pPr>
    <w:rPr>
      <w:rFonts w:ascii="宋体"/>
      <w:sz w:val="24"/>
      <w:szCs w:val="20"/>
    </w:rPr>
  </w:style>
  <w:style w:type="paragraph" w:customStyle="1" w:styleId="49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93">
    <w:name w:val="单元格左对齐"/>
    <w:basedOn w:val="1"/>
    <w:qFormat/>
    <w:uiPriority w:val="0"/>
    <w:pPr>
      <w:adjustRightInd/>
      <w:spacing w:line="360" w:lineRule="auto"/>
    </w:pPr>
    <w:rPr>
      <w:sz w:val="24"/>
    </w:rPr>
  </w:style>
  <w:style w:type="paragraph" w:customStyle="1" w:styleId="494">
    <w:name w:val="正文主体"/>
    <w:basedOn w:val="316"/>
    <w:qFormat/>
    <w:uiPriority w:val="0"/>
  </w:style>
  <w:style w:type="paragraph" w:customStyle="1" w:styleId="49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8">
    <w:name w:val="正文（首行缩进2字符）"/>
    <w:basedOn w:val="1"/>
    <w:qFormat/>
    <w:uiPriority w:val="0"/>
    <w:pPr>
      <w:adjustRightInd/>
      <w:spacing w:line="360" w:lineRule="auto"/>
      <w:ind w:firstLine="480" w:firstLineChars="200"/>
    </w:pPr>
    <w:rPr>
      <w:sz w:val="24"/>
      <w:szCs w:val="20"/>
    </w:rPr>
  </w:style>
  <w:style w:type="paragraph" w:customStyle="1" w:styleId="499">
    <w:name w:val="P1"/>
    <w:basedOn w:val="1"/>
    <w:qFormat/>
    <w:uiPriority w:val="0"/>
    <w:pPr>
      <w:adjustRightInd/>
      <w:spacing w:line="288" w:lineRule="auto"/>
      <w:ind w:firstLine="425" w:firstLineChars="200"/>
    </w:pPr>
  </w:style>
  <w:style w:type="paragraph" w:customStyle="1" w:styleId="500">
    <w:name w:val="列表内容"/>
    <w:basedOn w:val="1"/>
    <w:next w:val="1"/>
    <w:qFormat/>
    <w:uiPriority w:val="0"/>
    <w:pPr>
      <w:widowControl/>
      <w:tabs>
        <w:tab w:val="left" w:pos="840"/>
      </w:tabs>
      <w:ind w:left="840" w:hanging="420"/>
      <w:jc w:val="left"/>
    </w:pPr>
    <w:rPr>
      <w:kern w:val="0"/>
      <w:sz w:val="18"/>
    </w:rPr>
  </w:style>
  <w:style w:type="paragraph" w:customStyle="1" w:styleId="501">
    <w:name w:val="Char Char11 Char Char Char1"/>
    <w:basedOn w:val="1"/>
    <w:qFormat/>
    <w:uiPriority w:val="6"/>
    <w:pPr>
      <w:spacing w:line="360" w:lineRule="auto"/>
    </w:pPr>
    <w:rPr>
      <w:szCs w:val="20"/>
    </w:rPr>
  </w:style>
  <w:style w:type="paragraph" w:customStyle="1" w:styleId="50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03">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0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6">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507">
    <w:name w:val="默认段落字体 Para Char Char Char Char"/>
    <w:basedOn w:val="1"/>
    <w:qFormat/>
    <w:uiPriority w:val="0"/>
    <w:pPr>
      <w:spacing w:line="360" w:lineRule="auto"/>
    </w:pPr>
    <w:rPr>
      <w:szCs w:val="20"/>
    </w:rPr>
  </w:style>
  <w:style w:type="paragraph" w:customStyle="1" w:styleId="50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10">
    <w:name w:val="Char2 Char Char Char2"/>
    <w:basedOn w:val="1"/>
    <w:qFormat/>
    <w:uiPriority w:val="0"/>
    <w:rPr>
      <w:rFonts w:ascii="仿宋_GB2312" w:eastAsia="仿宋_GB2312"/>
      <w:b/>
      <w:sz w:val="32"/>
      <w:szCs w:val="32"/>
    </w:rPr>
  </w:style>
  <w:style w:type="paragraph" w:customStyle="1" w:styleId="51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1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3">
    <w:name w:val="正文 首行缩进:  2 字符 Char"/>
    <w:basedOn w:val="1"/>
    <w:qFormat/>
    <w:uiPriority w:val="0"/>
    <w:pPr>
      <w:adjustRightInd/>
      <w:spacing w:line="360" w:lineRule="auto"/>
      <w:ind w:firstLine="480"/>
    </w:pPr>
    <w:rPr>
      <w:rFonts w:cs="宋体"/>
      <w:sz w:val="24"/>
      <w:szCs w:val="20"/>
    </w:rPr>
  </w:style>
  <w:style w:type="paragraph" w:customStyle="1" w:styleId="514">
    <w:name w:val="Char Char4 Char Char"/>
    <w:basedOn w:val="1"/>
    <w:qFormat/>
    <w:uiPriority w:val="0"/>
    <w:pPr>
      <w:widowControl/>
      <w:adjustRightInd/>
      <w:spacing w:after="160" w:line="240" w:lineRule="exact"/>
      <w:jc w:val="left"/>
    </w:pPr>
  </w:style>
  <w:style w:type="paragraph" w:customStyle="1" w:styleId="51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6">
    <w:name w:val="Char Char11 Char Char Char2"/>
    <w:basedOn w:val="1"/>
    <w:qFormat/>
    <w:uiPriority w:val="0"/>
    <w:pPr>
      <w:spacing w:line="360" w:lineRule="auto"/>
    </w:pPr>
    <w:rPr>
      <w:szCs w:val="20"/>
    </w:rPr>
  </w:style>
  <w:style w:type="paragraph" w:customStyle="1" w:styleId="51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2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2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2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23">
    <w:name w:val="Char311"/>
    <w:basedOn w:val="1"/>
    <w:qFormat/>
    <w:uiPriority w:val="0"/>
    <w:pPr>
      <w:adjustRightInd/>
      <w:ind w:firstLine="200" w:firstLineChars="200"/>
    </w:pPr>
    <w:rPr>
      <w:rFonts w:ascii="Tahoma" w:hAnsi="Tahoma"/>
      <w:sz w:val="24"/>
      <w:szCs w:val="20"/>
    </w:rPr>
  </w:style>
  <w:style w:type="paragraph" w:customStyle="1" w:styleId="524">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6">
    <w:name w:val="正文 内标"/>
    <w:basedOn w:val="441"/>
    <w:qFormat/>
    <w:uiPriority w:val="0"/>
    <w:pPr>
      <w:tabs>
        <w:tab w:val="left" w:pos="0"/>
      </w:tabs>
      <w:ind w:left="900" w:firstLine="0" w:firstLineChars="0"/>
    </w:pPr>
  </w:style>
  <w:style w:type="paragraph" w:customStyle="1" w:styleId="527">
    <w:name w:val="Bulleted List"/>
    <w:basedOn w:val="1"/>
    <w:qFormat/>
    <w:uiPriority w:val="0"/>
    <w:pPr>
      <w:tabs>
        <w:tab w:val="left" w:pos="1260"/>
      </w:tabs>
      <w:adjustRightInd/>
      <w:ind w:left="1260" w:hanging="420"/>
    </w:pPr>
  </w:style>
  <w:style w:type="paragraph" w:customStyle="1" w:styleId="528">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529">
    <w:name w:val="样式 左侧:  0.85 厘米"/>
    <w:basedOn w:val="1"/>
    <w:qFormat/>
    <w:uiPriority w:val="2"/>
    <w:pPr>
      <w:adjustRightInd/>
      <w:spacing w:line="360" w:lineRule="auto"/>
    </w:pPr>
    <w:rPr>
      <w:rFonts w:cs="宋体"/>
      <w:sz w:val="24"/>
      <w:szCs w:val="20"/>
    </w:rPr>
  </w:style>
  <w:style w:type="paragraph" w:customStyle="1" w:styleId="530">
    <w:name w:val="Char Char Char Char Char Char Char Char Char Char Char Char1 Char"/>
    <w:basedOn w:val="1"/>
    <w:qFormat/>
    <w:uiPriority w:val="0"/>
    <w:rPr>
      <w:rFonts w:ascii="Tahoma" w:hAnsi="Tahoma" w:cs="仿宋_GB2312"/>
      <w:sz w:val="24"/>
      <w:szCs w:val="20"/>
    </w:rPr>
  </w:style>
  <w:style w:type="paragraph" w:customStyle="1" w:styleId="53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3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534">
    <w:name w:val="Char Char1 Char Char Char Char Char Char"/>
    <w:basedOn w:val="1"/>
    <w:qFormat/>
    <w:uiPriority w:val="0"/>
    <w:rPr>
      <w:rFonts w:ascii="仿宋_GB2312" w:eastAsia="仿宋_GB2312"/>
      <w:b/>
      <w:sz w:val="32"/>
      <w:szCs w:val="20"/>
    </w:rPr>
  </w:style>
  <w:style w:type="paragraph" w:customStyle="1" w:styleId="53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6">
    <w:name w:val="Char Char1 Char Char Char Char Char Char2"/>
    <w:basedOn w:val="1"/>
    <w:qFormat/>
    <w:uiPriority w:val="0"/>
    <w:rPr>
      <w:rFonts w:ascii="仿宋_GB2312" w:eastAsia="仿宋_GB2312"/>
      <w:b/>
      <w:sz w:val="32"/>
      <w:szCs w:val="20"/>
    </w:rPr>
  </w:style>
  <w:style w:type="paragraph" w:customStyle="1" w:styleId="53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4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4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4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4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4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6">
    <w:name w:val="Char31"/>
    <w:basedOn w:val="1"/>
    <w:qFormat/>
    <w:uiPriority w:val="0"/>
    <w:pPr>
      <w:adjustRightInd/>
    </w:pPr>
    <w:rPr>
      <w:rFonts w:ascii="仿宋_GB2312" w:eastAsia="仿宋_GB2312"/>
      <w:b/>
      <w:sz w:val="32"/>
      <w:szCs w:val="32"/>
    </w:rPr>
  </w:style>
  <w:style w:type="paragraph" w:customStyle="1" w:styleId="54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50">
    <w:name w:val="Char Char1"/>
    <w:basedOn w:val="1"/>
    <w:qFormat/>
    <w:uiPriority w:val="0"/>
    <w:pPr>
      <w:widowControl/>
      <w:spacing w:after="160" w:line="240" w:lineRule="exact"/>
      <w:jc w:val="left"/>
    </w:pPr>
    <w:rPr>
      <w:rFonts w:eastAsia="仿宋_GB2312"/>
      <w:sz w:val="28"/>
    </w:rPr>
  </w:style>
  <w:style w:type="paragraph" w:customStyle="1" w:styleId="551">
    <w:name w:val="Char21"/>
    <w:basedOn w:val="1"/>
    <w:qFormat/>
    <w:uiPriority w:val="0"/>
    <w:pPr>
      <w:adjustRightInd/>
      <w:ind w:firstLine="200" w:firstLineChars="200"/>
    </w:pPr>
    <w:rPr>
      <w:rFonts w:ascii="仿宋_GB2312" w:eastAsia="仿宋_GB2312"/>
      <w:b/>
      <w:sz w:val="32"/>
      <w:szCs w:val="32"/>
    </w:rPr>
  </w:style>
  <w:style w:type="paragraph" w:customStyle="1" w:styleId="552">
    <w:name w:val="列表段落11"/>
    <w:basedOn w:val="1"/>
    <w:qFormat/>
    <w:uiPriority w:val="34"/>
    <w:pPr>
      <w:adjustRightInd/>
      <w:ind w:right="238" w:firstLine="420"/>
    </w:pPr>
    <w:rPr>
      <w:rFonts w:ascii="Calibri" w:hAnsi="Calibri"/>
      <w:sz w:val="24"/>
    </w:rPr>
  </w:style>
  <w:style w:type="paragraph" w:customStyle="1" w:styleId="553">
    <w:name w:val="Char Char110"/>
    <w:basedOn w:val="1"/>
    <w:qFormat/>
    <w:uiPriority w:val="6"/>
    <w:pPr>
      <w:spacing w:line="360" w:lineRule="auto"/>
    </w:pPr>
    <w:rPr>
      <w:rFonts w:ascii="Tahoma" w:hAnsi="Tahoma"/>
      <w:sz w:val="24"/>
      <w:szCs w:val="20"/>
    </w:rPr>
  </w:style>
  <w:style w:type="paragraph" w:customStyle="1" w:styleId="55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8">
    <w:name w:val="Char Char Char Char Char Char Char Char Char Char Char Char1 Char2"/>
    <w:basedOn w:val="1"/>
    <w:qFormat/>
    <w:uiPriority w:val="0"/>
    <w:rPr>
      <w:rFonts w:ascii="Tahoma" w:hAnsi="Tahoma" w:cs="仿宋_GB2312"/>
      <w:sz w:val="24"/>
      <w:szCs w:val="20"/>
    </w:rPr>
  </w:style>
  <w:style w:type="paragraph" w:customStyle="1" w:styleId="55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6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61">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56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63">
    <w:name w:val="_Style 12"/>
    <w:basedOn w:val="18"/>
    <w:qFormat/>
    <w:uiPriority w:val="0"/>
    <w:pPr>
      <w:snapToGrid w:val="0"/>
      <w:spacing w:line="360" w:lineRule="auto"/>
    </w:pPr>
  </w:style>
  <w:style w:type="paragraph" w:customStyle="1" w:styleId="56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6">
    <w:name w:val="_Style 94"/>
    <w:basedOn w:val="1"/>
    <w:next w:val="109"/>
    <w:qFormat/>
    <w:uiPriority w:val="34"/>
    <w:pPr>
      <w:adjustRightInd/>
      <w:spacing w:line="360" w:lineRule="auto"/>
      <w:ind w:firstLine="200" w:firstLineChars="200"/>
    </w:pPr>
    <w:rPr>
      <w:rFonts w:ascii="Calibri" w:hAnsi="Calibri"/>
      <w:sz w:val="28"/>
      <w:szCs w:val="20"/>
    </w:rPr>
  </w:style>
  <w:style w:type="paragraph" w:customStyle="1" w:styleId="56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56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70">
    <w:name w:val="3级标题"/>
    <w:basedOn w:val="364"/>
    <w:qFormat/>
    <w:uiPriority w:val="0"/>
    <w:pPr>
      <w:outlineLvl w:val="2"/>
    </w:pPr>
  </w:style>
  <w:style w:type="paragraph" w:customStyle="1" w:styleId="57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2">
    <w:name w:val="Char1 Char Char Char3"/>
    <w:basedOn w:val="1"/>
    <w:qFormat/>
    <w:uiPriority w:val="0"/>
    <w:pPr>
      <w:adjustRightInd/>
      <w:ind w:firstLine="200" w:firstLineChars="200"/>
    </w:pPr>
    <w:rPr>
      <w:rFonts w:ascii="Tahoma" w:hAnsi="Tahoma"/>
      <w:sz w:val="24"/>
      <w:szCs w:val="20"/>
    </w:rPr>
  </w:style>
  <w:style w:type="paragraph" w:customStyle="1" w:styleId="57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74">
    <w:name w:val="MM Empty"/>
    <w:basedOn w:val="1"/>
    <w:qFormat/>
    <w:uiPriority w:val="0"/>
    <w:pPr>
      <w:adjustRightInd/>
    </w:pPr>
  </w:style>
  <w:style w:type="paragraph" w:customStyle="1" w:styleId="575">
    <w:name w:val="Char24"/>
    <w:basedOn w:val="1"/>
    <w:qFormat/>
    <w:uiPriority w:val="0"/>
    <w:rPr>
      <w:rFonts w:ascii="仿宋_GB2312" w:eastAsia="仿宋_GB2312"/>
      <w:b/>
      <w:sz w:val="32"/>
      <w:szCs w:val="32"/>
    </w:rPr>
  </w:style>
  <w:style w:type="paragraph" w:customStyle="1" w:styleId="576">
    <w:name w:val="正文箭头"/>
    <w:basedOn w:val="230"/>
    <w:qFormat/>
    <w:uiPriority w:val="0"/>
  </w:style>
  <w:style w:type="paragraph" w:customStyle="1" w:styleId="577">
    <w:name w:val="U_编号2"/>
    <w:basedOn w:val="1"/>
    <w:qFormat/>
    <w:uiPriority w:val="0"/>
    <w:pPr>
      <w:tabs>
        <w:tab w:val="left" w:pos="785"/>
      </w:tabs>
      <w:adjustRightInd/>
      <w:spacing w:beforeLines="10" w:afterLines="10" w:line="300" w:lineRule="auto"/>
    </w:pPr>
    <w:rPr>
      <w:sz w:val="24"/>
    </w:rPr>
  </w:style>
  <w:style w:type="paragraph" w:customStyle="1" w:styleId="57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0">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8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82">
    <w:name w:val="_Style 1"/>
    <w:basedOn w:val="1"/>
    <w:qFormat/>
    <w:uiPriority w:val="34"/>
    <w:pPr>
      <w:adjustRightInd/>
      <w:ind w:firstLine="420" w:firstLineChars="200"/>
    </w:pPr>
    <w:rPr>
      <w:rFonts w:eastAsia="仿宋_GB2312"/>
      <w:sz w:val="28"/>
    </w:rPr>
  </w:style>
  <w:style w:type="paragraph" w:customStyle="1" w:styleId="583">
    <w:name w:val="表格 内容"/>
    <w:basedOn w:val="420"/>
    <w:qFormat/>
    <w:uiPriority w:val="0"/>
    <w:rPr>
      <w:b w:val="0"/>
      <w:sz w:val="20"/>
    </w:rPr>
  </w:style>
  <w:style w:type="paragraph" w:customStyle="1" w:styleId="584">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6">
    <w:name w:val="数字标题5"/>
    <w:basedOn w:val="6"/>
    <w:next w:val="1"/>
    <w:qFormat/>
    <w:uiPriority w:val="0"/>
    <w:pPr>
      <w:tabs>
        <w:tab w:val="left" w:pos="1080"/>
        <w:tab w:val="clear" w:pos="1008"/>
      </w:tabs>
      <w:ind w:left="1080" w:hanging="1080"/>
    </w:pPr>
  </w:style>
  <w:style w:type="paragraph" w:customStyle="1" w:styleId="587">
    <w:name w:val="数字标题1"/>
    <w:basedOn w:val="3"/>
    <w:next w:val="1"/>
    <w:qFormat/>
    <w:uiPriority w:val="0"/>
    <w:pPr>
      <w:tabs>
        <w:tab w:val="left" w:pos="480"/>
        <w:tab w:val="clear" w:pos="432"/>
      </w:tabs>
      <w:ind w:left="480" w:hanging="480"/>
    </w:pPr>
  </w:style>
  <w:style w:type="paragraph" w:customStyle="1" w:styleId="58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9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4">
    <w:name w:val="0"/>
    <w:basedOn w:val="1"/>
    <w:qFormat/>
    <w:uiPriority w:val="0"/>
    <w:pPr>
      <w:widowControl/>
    </w:pPr>
    <w:rPr>
      <w:kern w:val="0"/>
      <w:sz w:val="24"/>
      <w:szCs w:val="20"/>
    </w:rPr>
  </w:style>
  <w:style w:type="paragraph" w:customStyle="1" w:styleId="595">
    <w:name w:val="Char Char113"/>
    <w:basedOn w:val="1"/>
    <w:qFormat/>
    <w:uiPriority w:val="0"/>
    <w:pPr>
      <w:widowControl/>
      <w:spacing w:after="160" w:line="240" w:lineRule="exact"/>
      <w:jc w:val="left"/>
    </w:pPr>
    <w:rPr>
      <w:rFonts w:eastAsia="仿宋_GB2312"/>
      <w:sz w:val="28"/>
    </w:rPr>
  </w:style>
  <w:style w:type="paragraph" w:customStyle="1" w:styleId="59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7">
    <w:name w:val="_Style 8"/>
    <w:basedOn w:val="1"/>
    <w:qFormat/>
    <w:uiPriority w:val="34"/>
    <w:pPr>
      <w:adjustRightInd/>
      <w:ind w:firstLine="420" w:firstLineChars="200"/>
    </w:pPr>
    <w:rPr>
      <w:rFonts w:eastAsia="仿宋_GB2312"/>
      <w:sz w:val="28"/>
    </w:rPr>
  </w:style>
  <w:style w:type="paragraph" w:customStyle="1" w:styleId="59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9">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60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0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3">
    <w:name w:val="Char Char112"/>
    <w:basedOn w:val="1"/>
    <w:qFormat/>
    <w:uiPriority w:val="6"/>
    <w:pPr>
      <w:widowControl/>
      <w:spacing w:after="160" w:line="240" w:lineRule="exact"/>
      <w:jc w:val="left"/>
    </w:pPr>
    <w:rPr>
      <w:rFonts w:eastAsia="仿宋_GB2312"/>
      <w:sz w:val="28"/>
    </w:rPr>
  </w:style>
  <w:style w:type="paragraph" w:customStyle="1" w:styleId="604">
    <w:name w:val="正文 图"/>
    <w:basedOn w:val="135"/>
    <w:qFormat/>
    <w:uiPriority w:val="0"/>
    <w:pPr>
      <w:adjustRightInd/>
      <w:spacing w:before="0"/>
      <w:ind w:firstLine="0"/>
      <w:jc w:val="center"/>
    </w:pPr>
    <w:rPr>
      <w:rFonts w:ascii="微软雅黑" w:hAnsi="微软雅黑"/>
    </w:rPr>
  </w:style>
  <w:style w:type="paragraph" w:customStyle="1" w:styleId="60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7">
    <w:name w:val="Thf"/>
    <w:basedOn w:val="254"/>
    <w:qFormat/>
    <w:uiPriority w:val="0"/>
    <w:pPr>
      <w:ind w:left="0"/>
    </w:pPr>
  </w:style>
  <w:style w:type="paragraph" w:customStyle="1" w:styleId="60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10">
    <w:name w:val="注释"/>
    <w:basedOn w:val="1"/>
    <w:qFormat/>
    <w:uiPriority w:val="0"/>
    <w:pPr>
      <w:adjustRightInd/>
      <w:spacing w:line="360" w:lineRule="auto"/>
      <w:ind w:firstLine="480"/>
    </w:pPr>
    <w:rPr>
      <w:sz w:val="24"/>
    </w:rPr>
  </w:style>
  <w:style w:type="paragraph" w:customStyle="1" w:styleId="611">
    <w:name w:val="列出段落111"/>
    <w:basedOn w:val="1"/>
    <w:qFormat/>
    <w:uiPriority w:val="34"/>
    <w:pPr>
      <w:ind w:firstLine="420" w:firstLineChars="200"/>
    </w:pPr>
  </w:style>
  <w:style w:type="paragraph" w:customStyle="1" w:styleId="612">
    <w:name w:val="标准文本"/>
    <w:basedOn w:val="1"/>
    <w:link w:val="946"/>
    <w:qFormat/>
    <w:uiPriority w:val="0"/>
    <w:pPr>
      <w:adjustRightInd/>
      <w:spacing w:line="360" w:lineRule="auto"/>
      <w:ind w:firstLine="480" w:firstLineChars="200"/>
    </w:pPr>
    <w:rPr>
      <w:rFonts w:cs="宋体"/>
      <w:sz w:val="24"/>
      <w:szCs w:val="20"/>
    </w:rPr>
  </w:style>
  <w:style w:type="paragraph" w:customStyle="1" w:styleId="613">
    <w:name w:val="_Style 947"/>
    <w:basedOn w:val="1"/>
    <w:next w:val="109"/>
    <w:qFormat/>
    <w:uiPriority w:val="34"/>
    <w:pPr>
      <w:adjustRightInd/>
      <w:ind w:firstLine="420" w:firstLineChars="200"/>
    </w:pPr>
  </w:style>
  <w:style w:type="paragraph" w:customStyle="1" w:styleId="614">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5">
    <w:name w:val="纯文本2"/>
    <w:basedOn w:val="1"/>
    <w:qFormat/>
    <w:uiPriority w:val="0"/>
    <w:pPr>
      <w:adjustRightInd/>
      <w:snapToGrid w:val="0"/>
      <w:jc w:val="left"/>
    </w:pPr>
    <w:rPr>
      <w:rFonts w:ascii="Century Gothic" w:hAnsi="楷体_GB2312" w:eastAsia="Century Gothic"/>
      <w:szCs w:val="20"/>
    </w:rPr>
  </w:style>
  <w:style w:type="paragraph" w:customStyle="1" w:styleId="616">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7">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8">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9">
    <w:name w:val="Blockquote"/>
    <w:basedOn w:val="1"/>
    <w:qFormat/>
    <w:uiPriority w:val="0"/>
    <w:pPr>
      <w:autoSpaceDE w:val="0"/>
      <w:autoSpaceDN w:val="0"/>
      <w:spacing w:before="100" w:after="100"/>
      <w:ind w:left="360" w:right="360"/>
      <w:jc w:val="left"/>
    </w:pPr>
    <w:rPr>
      <w:kern w:val="0"/>
      <w:sz w:val="24"/>
      <w:szCs w:val="20"/>
    </w:rPr>
  </w:style>
  <w:style w:type="paragraph" w:customStyle="1" w:styleId="620">
    <w:name w:val="p1"/>
    <w:basedOn w:val="1"/>
    <w:qFormat/>
    <w:uiPriority w:val="0"/>
    <w:pPr>
      <w:widowControl/>
      <w:adjustRightInd/>
      <w:jc w:val="left"/>
    </w:pPr>
    <w:rPr>
      <w:rFonts w:ascii=".PingFang SC" w:eastAsia=".PingFang SC"/>
      <w:color w:val="454545"/>
      <w:kern w:val="0"/>
      <w:sz w:val="18"/>
      <w:szCs w:val="18"/>
    </w:rPr>
  </w:style>
  <w:style w:type="paragraph" w:customStyle="1" w:styleId="621">
    <w:name w:val="Table Paragraph"/>
    <w:basedOn w:val="1"/>
    <w:qFormat/>
    <w:uiPriority w:val="0"/>
    <w:pPr>
      <w:adjustRightInd/>
      <w:jc w:val="left"/>
    </w:pPr>
    <w:rPr>
      <w:rFonts w:ascii="Calibri" w:hAnsi="Calibri"/>
      <w:kern w:val="0"/>
      <w:sz w:val="22"/>
      <w:szCs w:val="22"/>
      <w:lang w:eastAsia="en-US"/>
    </w:rPr>
  </w:style>
  <w:style w:type="paragraph" w:customStyle="1" w:styleId="622">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3">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4">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25">
    <w:name w:val="表格非标题文字 Char"/>
    <w:link w:val="89"/>
    <w:qFormat/>
    <w:uiPriority w:val="0"/>
    <w:rPr>
      <w:rFonts w:ascii="Futura Bk" w:hAnsi="Futura Bk"/>
      <w:kern w:val="2"/>
      <w:sz w:val="18"/>
      <w:szCs w:val="21"/>
      <w:lang w:val="en-US" w:eastAsia="zh-CN" w:bidi="ar-SA"/>
    </w:rPr>
  </w:style>
  <w:style w:type="character" w:customStyle="1" w:styleId="626">
    <w:name w:val="*正文 Char"/>
    <w:link w:val="90"/>
    <w:qFormat/>
    <w:locked/>
    <w:uiPriority w:val="0"/>
    <w:rPr>
      <w:rFonts w:ascii="宋体" w:hAnsi="宋体"/>
      <w:sz w:val="24"/>
    </w:rPr>
  </w:style>
  <w:style w:type="character" w:customStyle="1" w:styleId="627">
    <w:name w:val="Char Char71"/>
    <w:semiHidden/>
    <w:qFormat/>
    <w:uiPriority w:val="0"/>
    <w:rPr>
      <w:rFonts w:eastAsia="宋体"/>
      <w:kern w:val="2"/>
      <w:sz w:val="21"/>
      <w:szCs w:val="24"/>
      <w:lang w:val="en-US" w:eastAsia="zh-CN" w:bidi="ar-SA"/>
    </w:rPr>
  </w:style>
  <w:style w:type="character" w:customStyle="1" w:styleId="628">
    <w:name w:val="Char Char6"/>
    <w:qFormat/>
    <w:uiPriority w:val="0"/>
    <w:rPr>
      <w:rFonts w:eastAsia="宋体"/>
      <w:kern w:val="2"/>
      <w:sz w:val="21"/>
      <w:szCs w:val="24"/>
      <w:lang w:val="en-US" w:eastAsia="zh-CN" w:bidi="ar-SA"/>
    </w:rPr>
  </w:style>
  <w:style w:type="character" w:customStyle="1" w:styleId="629">
    <w:name w:val="正文缩进 Char"/>
    <w:qFormat/>
    <w:uiPriority w:val="0"/>
    <w:rPr>
      <w:rFonts w:eastAsia="宋体"/>
      <w:kern w:val="2"/>
      <w:sz w:val="21"/>
      <w:lang w:val="en-US" w:eastAsia="zh-CN"/>
    </w:rPr>
  </w:style>
  <w:style w:type="character" w:customStyle="1" w:styleId="630">
    <w:name w:val="正文首行缩进 Char1"/>
    <w:qFormat/>
    <w:uiPriority w:val="0"/>
    <w:rPr>
      <w:rFonts w:ascii="宋体" w:hAnsi="Times New Roman" w:eastAsia="宋体" w:cs="Times New Roman"/>
      <w:snapToGrid w:val="0"/>
      <w:kern w:val="2"/>
      <w:sz w:val="24"/>
      <w:szCs w:val="21"/>
      <w:lang w:val="zh-CN"/>
    </w:rPr>
  </w:style>
  <w:style w:type="character" w:customStyle="1" w:styleId="631">
    <w:name w:val="Char Char28"/>
    <w:qFormat/>
    <w:uiPriority w:val="6"/>
    <w:rPr>
      <w:rFonts w:ascii="仿宋_GB2312" w:hAnsi="仿宋_GB2312" w:eastAsia="仿宋_GB2312"/>
      <w:kern w:val="1"/>
      <w:sz w:val="28"/>
    </w:rPr>
  </w:style>
  <w:style w:type="character" w:customStyle="1" w:styleId="63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33">
    <w:name w:val="Heading 1 Char"/>
    <w:qFormat/>
    <w:uiPriority w:val="6"/>
    <w:rPr>
      <w:rFonts w:ascii="Times New Roman" w:hAnsi="Times New Roman" w:eastAsia="黑体" w:cs="Times New Roman"/>
      <w:b/>
      <w:kern w:val="0"/>
      <w:sz w:val="24"/>
      <w:szCs w:val="24"/>
    </w:rPr>
  </w:style>
  <w:style w:type="character" w:customStyle="1" w:styleId="634">
    <w:name w:val="U_正文 Char"/>
    <w:link w:val="91"/>
    <w:qFormat/>
    <w:uiPriority w:val="0"/>
    <w:rPr>
      <w:sz w:val="24"/>
      <w:szCs w:val="24"/>
    </w:rPr>
  </w:style>
  <w:style w:type="character" w:customStyle="1" w:styleId="635">
    <w:name w:val="HTML 地址 Char1"/>
    <w:qFormat/>
    <w:uiPriority w:val="0"/>
    <w:rPr>
      <w:rFonts w:ascii="Times New Roman" w:hAnsi="Times New Roman" w:eastAsia="宋体" w:cs="Times New Roman"/>
      <w:i/>
      <w:iCs/>
      <w:szCs w:val="24"/>
    </w:rPr>
  </w:style>
  <w:style w:type="character" w:customStyle="1" w:styleId="636">
    <w:name w:val="批注主题 Char1"/>
    <w:link w:val="61"/>
    <w:qFormat/>
    <w:uiPriority w:val="0"/>
    <w:rPr>
      <w:b/>
      <w:bCs/>
      <w:kern w:val="2"/>
      <w:sz w:val="21"/>
      <w:szCs w:val="24"/>
    </w:rPr>
  </w:style>
  <w:style w:type="character" w:customStyle="1" w:styleId="637">
    <w:name w:val="Char Char51"/>
    <w:qFormat/>
    <w:uiPriority w:val="0"/>
    <w:rPr>
      <w:rFonts w:ascii="宋体" w:hAnsi="Courier New" w:eastAsia="宋体"/>
      <w:kern w:val="2"/>
      <w:sz w:val="21"/>
      <w:lang w:val="en-US" w:eastAsia="zh-CN"/>
    </w:rPr>
  </w:style>
  <w:style w:type="character" w:customStyle="1" w:styleId="638">
    <w:name w:val="表正文 Char"/>
    <w:qFormat/>
    <w:uiPriority w:val="0"/>
    <w:rPr>
      <w:rFonts w:ascii="宋体" w:eastAsia="宋体"/>
      <w:snapToGrid w:val="0"/>
      <w:color w:val="000000"/>
      <w:kern w:val="28"/>
      <w:sz w:val="28"/>
      <w:lang w:val="en-US" w:eastAsia="zh-CN" w:bidi="ar-SA"/>
    </w:rPr>
  </w:style>
  <w:style w:type="character" w:customStyle="1" w:styleId="639">
    <w:name w:val="Char Char34"/>
    <w:qFormat/>
    <w:uiPriority w:val="6"/>
    <w:rPr>
      <w:b/>
      <w:kern w:val="1"/>
      <w:sz w:val="28"/>
      <w:szCs w:val="28"/>
    </w:rPr>
  </w:style>
  <w:style w:type="character" w:customStyle="1" w:styleId="64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41">
    <w:name w:val="哈哈正文 Char"/>
    <w:link w:val="92"/>
    <w:qFormat/>
    <w:uiPriority w:val="0"/>
    <w:rPr>
      <w:rFonts w:ascii="宋体" w:hAnsi="宋体" w:eastAsia="宋体"/>
      <w:kern w:val="2"/>
      <w:sz w:val="24"/>
      <w:lang w:bidi="ar-SA"/>
    </w:rPr>
  </w:style>
  <w:style w:type="character" w:customStyle="1" w:styleId="642">
    <w:name w:val="未处理的提及1"/>
    <w:qFormat/>
    <w:uiPriority w:val="0"/>
    <w:rPr>
      <w:color w:val="808080"/>
      <w:shd w:val="clear" w:color="auto" w:fill="E6E6E6"/>
    </w:rPr>
  </w:style>
  <w:style w:type="character" w:customStyle="1" w:styleId="643">
    <w:name w:val="txt"/>
    <w:qFormat/>
    <w:uiPriority w:val="0"/>
    <w:rPr>
      <w:rFonts w:ascii="仿宋_GB2312" w:eastAsia="微软雅黑"/>
      <w:b/>
      <w:kern w:val="2"/>
      <w:sz w:val="32"/>
      <w:szCs w:val="32"/>
      <w:lang w:val="en-US" w:eastAsia="zh-CN" w:bidi="ar-SA"/>
    </w:rPr>
  </w:style>
  <w:style w:type="character" w:customStyle="1" w:styleId="644">
    <w:name w:val="二级标题 Char Char"/>
    <w:qFormat/>
    <w:uiPriority w:val="0"/>
    <w:rPr>
      <w:rFonts w:ascii="宋体" w:hAnsi="宋体" w:eastAsia="宋体"/>
      <w:b/>
      <w:snapToGrid w:val="0"/>
      <w:kern w:val="2"/>
      <w:sz w:val="24"/>
      <w:szCs w:val="24"/>
      <w:lang w:val="en-US" w:eastAsia="zh-CN" w:bidi="ar-SA"/>
    </w:rPr>
  </w:style>
  <w:style w:type="character" w:customStyle="1" w:styleId="645">
    <w:name w:val="Char Char32"/>
    <w:qFormat/>
    <w:uiPriority w:val="6"/>
    <w:rPr>
      <w:b/>
      <w:kern w:val="1"/>
      <w:sz w:val="24"/>
      <w:szCs w:val="24"/>
    </w:rPr>
  </w:style>
  <w:style w:type="character" w:customStyle="1" w:styleId="646">
    <w:name w:val="PI Char1"/>
    <w:qFormat/>
    <w:uiPriority w:val="0"/>
    <w:rPr>
      <w:rFonts w:ascii="宋体" w:hAnsi="宋体"/>
      <w:kern w:val="2"/>
      <w:sz w:val="24"/>
      <w:szCs w:val="24"/>
    </w:rPr>
  </w:style>
  <w:style w:type="character" w:customStyle="1" w:styleId="647">
    <w:name w:val="tw4winTerm"/>
    <w:qFormat/>
    <w:uiPriority w:val="0"/>
    <w:rPr>
      <w:color w:val="0000FF"/>
    </w:rPr>
  </w:style>
  <w:style w:type="character" w:customStyle="1" w:styleId="648">
    <w:name w:val="Footer Char"/>
    <w:qFormat/>
    <w:locked/>
    <w:uiPriority w:val="0"/>
    <w:rPr>
      <w:rFonts w:eastAsia="宋体"/>
      <w:kern w:val="2"/>
      <w:sz w:val="18"/>
      <w:lang w:val="en-US" w:eastAsia="zh-CN" w:bidi="ar-SA"/>
    </w:rPr>
  </w:style>
  <w:style w:type="character" w:customStyle="1" w:styleId="649">
    <w:name w:val="普通文字 Char Char1"/>
    <w:qFormat/>
    <w:uiPriority w:val="0"/>
    <w:rPr>
      <w:rFonts w:ascii="宋体" w:hAnsi="Courier New"/>
      <w:kern w:val="2"/>
      <w:sz w:val="21"/>
    </w:rPr>
  </w:style>
  <w:style w:type="character" w:customStyle="1" w:styleId="650">
    <w:name w:val="Char Char101"/>
    <w:qFormat/>
    <w:uiPriority w:val="6"/>
    <w:rPr>
      <w:rFonts w:ascii="宋体" w:hAnsi="宋体"/>
      <w:kern w:val="2"/>
      <w:sz w:val="21"/>
      <w:szCs w:val="24"/>
      <w:lang w:val="en-US" w:eastAsia="zh-CN"/>
    </w:rPr>
  </w:style>
  <w:style w:type="character" w:customStyle="1" w:styleId="651">
    <w:name w:val="标题 4 Char"/>
    <w:qFormat/>
    <w:uiPriority w:val="0"/>
    <w:rPr>
      <w:rFonts w:ascii="Arial" w:hAnsi="Arial" w:eastAsia="黑体"/>
      <w:b/>
      <w:kern w:val="2"/>
      <w:sz w:val="28"/>
    </w:rPr>
  </w:style>
  <w:style w:type="character" w:customStyle="1" w:styleId="652">
    <w:name w:val="链接"/>
    <w:qFormat/>
    <w:uiPriority w:val="0"/>
    <w:rPr>
      <w:color w:val="0000FF"/>
      <w:sz w:val="21"/>
      <w:szCs w:val="21"/>
      <w:u w:val="single"/>
    </w:rPr>
  </w:style>
  <w:style w:type="character" w:customStyle="1" w:styleId="653">
    <w:name w:val="h4 Char"/>
    <w:qFormat/>
    <w:uiPriority w:val="0"/>
    <w:rPr>
      <w:rFonts w:ascii="Arial" w:hAnsi="Arial" w:eastAsia="黑体"/>
      <w:b/>
      <w:bCs/>
      <w:kern w:val="2"/>
      <w:sz w:val="28"/>
      <w:szCs w:val="28"/>
      <w:lang w:val="zh-CN" w:eastAsia="zh-CN" w:bidi="ar-SA"/>
    </w:rPr>
  </w:style>
  <w:style w:type="character" w:customStyle="1" w:styleId="654">
    <w:name w:val="5正文 Char"/>
    <w:link w:val="93"/>
    <w:qFormat/>
    <w:uiPriority w:val="0"/>
    <w:rPr>
      <w:rFonts w:ascii="仿宋_GB2312" w:hAnsi="微软雅黑" w:eastAsia="仿宋_GB2312"/>
      <w:sz w:val="28"/>
      <w:szCs w:val="21"/>
    </w:rPr>
  </w:style>
  <w:style w:type="character" w:customStyle="1" w:styleId="655">
    <w:name w:val="标题 3 字符"/>
    <w:qFormat/>
    <w:uiPriority w:val="9"/>
    <w:rPr>
      <w:b/>
      <w:bCs/>
      <w:kern w:val="2"/>
      <w:sz w:val="32"/>
      <w:szCs w:val="32"/>
    </w:rPr>
  </w:style>
  <w:style w:type="character" w:customStyle="1" w:styleId="656">
    <w:name w:val="样式6 Char"/>
    <w:qFormat/>
    <w:uiPriority w:val="0"/>
    <w:rPr>
      <w:rFonts w:ascii="仿宋_GB2312" w:hAnsi="宋体" w:eastAsia="仿宋_GB2312"/>
      <w:b/>
      <w:bCs/>
      <w:kern w:val="2"/>
      <w:sz w:val="24"/>
      <w:szCs w:val="24"/>
      <w:lang w:val="en-US" w:eastAsia="zh-CN" w:bidi="ar-SA"/>
    </w:rPr>
  </w:style>
  <w:style w:type="character" w:customStyle="1" w:styleId="657">
    <w:name w:val="Char Char14"/>
    <w:qFormat/>
    <w:uiPriority w:val="6"/>
    <w:rPr>
      <w:rFonts w:ascii="黑体" w:hAnsi="黑体" w:eastAsia="黑体"/>
    </w:rPr>
  </w:style>
  <w:style w:type="character" w:customStyle="1" w:styleId="658">
    <w:name w:val="Heading 2 Hidden Char"/>
    <w:qFormat/>
    <w:uiPriority w:val="0"/>
    <w:rPr>
      <w:rFonts w:ascii="仿宋_GB2312" w:eastAsia="仿宋_GB2312"/>
      <w:b/>
      <w:bCs/>
      <w:kern w:val="2"/>
      <w:sz w:val="24"/>
      <w:szCs w:val="24"/>
      <w:lang w:val="zh-CN" w:eastAsia="zh-CN" w:bidi="ar-SA"/>
    </w:rPr>
  </w:style>
  <w:style w:type="character" w:customStyle="1" w:styleId="659">
    <w:name w:val="正文首行缩进 2 Char"/>
    <w:link w:val="62"/>
    <w:qFormat/>
    <w:uiPriority w:val="0"/>
    <w:rPr>
      <w:rFonts w:ascii="宋体" w:hAnsi="宋体"/>
      <w:kern w:val="2"/>
      <w:sz w:val="21"/>
      <w:szCs w:val="24"/>
    </w:rPr>
  </w:style>
  <w:style w:type="character" w:customStyle="1" w:styleId="660">
    <w:name w:val="font11"/>
    <w:qFormat/>
    <w:uiPriority w:val="0"/>
    <w:rPr>
      <w:rFonts w:hint="default" w:ascii="Times New Roman" w:hAnsi="Times New Roman" w:cs="Times New Roman"/>
      <w:color w:val="000000"/>
      <w:sz w:val="22"/>
      <w:szCs w:val="22"/>
      <w:u w:val="none"/>
    </w:rPr>
  </w:style>
  <w:style w:type="character" w:customStyle="1" w:styleId="661">
    <w:name w:val="表正文 Char1"/>
    <w:qFormat/>
    <w:uiPriority w:val="0"/>
    <w:rPr>
      <w:rFonts w:ascii="宋体" w:eastAsia="宋体"/>
      <w:snapToGrid w:val="0"/>
      <w:color w:val="000000"/>
      <w:kern w:val="28"/>
      <w:sz w:val="28"/>
    </w:rPr>
  </w:style>
  <w:style w:type="character" w:customStyle="1" w:styleId="662">
    <w:name w:val="blue1"/>
    <w:basedOn w:val="70"/>
    <w:qFormat/>
    <w:uiPriority w:val="0"/>
    <w:rPr>
      <w:rFonts w:ascii="Arial" w:hAnsi="Arial" w:eastAsia="黑体" w:cs="Arial"/>
      <w:snapToGrid w:val="0"/>
      <w:kern w:val="0"/>
      <w:szCs w:val="21"/>
    </w:rPr>
  </w:style>
  <w:style w:type="character" w:customStyle="1" w:styleId="663">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664">
    <w:name w:val="标书1 Char"/>
    <w:qFormat/>
    <w:uiPriority w:val="0"/>
    <w:rPr>
      <w:rFonts w:eastAsia="宋体"/>
      <w:b/>
      <w:bCs/>
      <w:kern w:val="44"/>
      <w:sz w:val="44"/>
      <w:szCs w:val="44"/>
      <w:lang w:val="en-US" w:eastAsia="zh-CN" w:bidi="ar-SA"/>
    </w:rPr>
  </w:style>
  <w:style w:type="character" w:customStyle="1" w:styleId="665">
    <w:name w:val="样式5 Char"/>
    <w:qFormat/>
    <w:uiPriority w:val="0"/>
    <w:rPr>
      <w:rFonts w:ascii="仿宋_GB2312" w:hAnsi="仿宋" w:eastAsia="仿宋_GB2312"/>
      <w:kern w:val="2"/>
      <w:sz w:val="24"/>
      <w:szCs w:val="24"/>
    </w:rPr>
  </w:style>
  <w:style w:type="character" w:customStyle="1" w:styleId="666">
    <w:name w:val="样式4 Char"/>
    <w:qFormat/>
    <w:uiPriority w:val="0"/>
    <w:rPr>
      <w:rFonts w:ascii="仿宋_GB2312" w:hAnsi="仿宋" w:eastAsia="仿宋_GB2312"/>
      <w:b/>
      <w:kern w:val="2"/>
      <w:sz w:val="32"/>
      <w:szCs w:val="32"/>
      <w:lang w:bidi="ar-SA"/>
    </w:rPr>
  </w:style>
  <w:style w:type="character" w:customStyle="1" w:styleId="667">
    <w:name w:val="插图说明 Char"/>
    <w:qFormat/>
    <w:uiPriority w:val="0"/>
    <w:rPr>
      <w:rFonts w:eastAsia="黑体"/>
      <w:sz w:val="24"/>
      <w:lang w:val="en-US" w:eastAsia="zh-CN"/>
    </w:rPr>
  </w:style>
  <w:style w:type="character" w:customStyle="1" w:styleId="668">
    <w:name w:val="正文2 Char Char"/>
    <w:link w:val="94"/>
    <w:qFormat/>
    <w:uiPriority w:val="0"/>
    <w:rPr>
      <w:rFonts w:eastAsia="宋体"/>
      <w:kern w:val="2"/>
      <w:sz w:val="24"/>
      <w:lang w:val="en-US" w:eastAsia="zh-CN" w:bidi="ar-SA"/>
    </w:rPr>
  </w:style>
  <w:style w:type="character" w:customStyle="1" w:styleId="669">
    <w:name w:val="Char Char24"/>
    <w:qFormat/>
    <w:uiPriority w:val="6"/>
    <w:rPr>
      <w:kern w:val="1"/>
      <w:sz w:val="21"/>
    </w:rPr>
  </w:style>
  <w:style w:type="character" w:customStyle="1" w:styleId="670">
    <w:name w:val="副标题 Char"/>
    <w:link w:val="48"/>
    <w:qFormat/>
    <w:uiPriority w:val="0"/>
    <w:rPr>
      <w:rFonts w:ascii="Arial" w:hAnsi="Arial" w:eastAsia="隶书"/>
      <w:b/>
      <w:bCs/>
      <w:kern w:val="28"/>
      <w:sz w:val="44"/>
      <w:szCs w:val="32"/>
      <w:lang w:val="en-US" w:eastAsia="zh-CN" w:bidi="ar-SA"/>
    </w:rPr>
  </w:style>
  <w:style w:type="character" w:customStyle="1" w:styleId="671">
    <w:name w:val="普通文字 Char1 Char"/>
    <w:qFormat/>
    <w:uiPriority w:val="0"/>
    <w:rPr>
      <w:rFonts w:ascii="宋体" w:hAnsi="Courier New" w:eastAsia="宋体"/>
      <w:kern w:val="2"/>
      <w:sz w:val="21"/>
      <w:szCs w:val="24"/>
      <w:lang w:val="en-US" w:eastAsia="zh-CN" w:bidi="ar-SA"/>
    </w:rPr>
  </w:style>
  <w:style w:type="character" w:customStyle="1" w:styleId="672">
    <w:name w:val="h3 Char1"/>
    <w:qFormat/>
    <w:uiPriority w:val="0"/>
    <w:rPr>
      <w:rFonts w:eastAsia="宋体"/>
      <w:b/>
      <w:bCs/>
      <w:kern w:val="2"/>
      <w:sz w:val="32"/>
      <w:szCs w:val="32"/>
      <w:lang w:bidi="ar-SA"/>
    </w:rPr>
  </w:style>
  <w:style w:type="character" w:customStyle="1" w:styleId="673">
    <w:name w:val="标题 Char1"/>
    <w:qFormat/>
    <w:uiPriority w:val="0"/>
    <w:rPr>
      <w:rFonts w:ascii="Cambria" w:hAnsi="Cambria" w:eastAsia="宋体" w:cs="Times New Roman"/>
      <w:b/>
      <w:bCs/>
      <w:sz w:val="32"/>
      <w:szCs w:val="32"/>
      <w:lang w:bidi="ar-SA"/>
    </w:rPr>
  </w:style>
  <w:style w:type="character" w:customStyle="1" w:styleId="674">
    <w:name w:val="gf正文1 Char"/>
    <w:qFormat/>
    <w:uiPriority w:val="0"/>
    <w:rPr>
      <w:rFonts w:ascii="宋体" w:hAnsi="宋体" w:eastAsia="宋体" w:cs="宋体"/>
      <w:kern w:val="2"/>
      <w:sz w:val="24"/>
      <w:szCs w:val="24"/>
      <w:lang w:val="en-US" w:eastAsia="zh-CN" w:bidi="ar-SA"/>
    </w:rPr>
  </w:style>
  <w:style w:type="character" w:customStyle="1" w:styleId="675">
    <w:name w:val="正文文本缩进 Char1"/>
    <w:qFormat/>
    <w:uiPriority w:val="0"/>
    <w:rPr>
      <w:rFonts w:ascii="Calibri" w:hAnsi="Calibri"/>
      <w:sz w:val="28"/>
    </w:rPr>
  </w:style>
  <w:style w:type="character" w:customStyle="1" w:styleId="676">
    <w:name w:val="No Spacing Char"/>
    <w:link w:val="95"/>
    <w:qFormat/>
    <w:uiPriority w:val="1"/>
    <w:rPr>
      <w:sz w:val="22"/>
      <w:szCs w:val="22"/>
      <w:lang w:val="en-US" w:eastAsia="zh-CN" w:bidi="ar-SA"/>
    </w:rPr>
  </w:style>
  <w:style w:type="character" w:customStyle="1" w:styleId="677">
    <w:name w:val="样式7 Char"/>
    <w:qFormat/>
    <w:uiPriority w:val="0"/>
    <w:rPr>
      <w:rFonts w:ascii="仿宋_GB2312" w:hAnsi="仿宋" w:eastAsia="仿宋_GB2312"/>
      <w:b/>
      <w:kern w:val="2"/>
      <w:sz w:val="24"/>
      <w:szCs w:val="24"/>
    </w:rPr>
  </w:style>
  <w:style w:type="character" w:customStyle="1" w:styleId="678">
    <w:name w:val="font12gray1"/>
    <w:qFormat/>
    <w:uiPriority w:val="0"/>
    <w:rPr>
      <w:rFonts w:ascii="仿宋_GB2312" w:eastAsia="微软雅黑"/>
      <w:b/>
      <w:spacing w:val="300"/>
      <w:kern w:val="2"/>
      <w:sz w:val="18"/>
      <w:szCs w:val="18"/>
      <w:lang w:val="en-US" w:eastAsia="zh-CN" w:bidi="ar-SA"/>
    </w:rPr>
  </w:style>
  <w:style w:type="character" w:customStyle="1" w:styleId="679">
    <w:name w:val="Char Char7"/>
    <w:semiHidden/>
    <w:qFormat/>
    <w:uiPriority w:val="0"/>
    <w:rPr>
      <w:rFonts w:eastAsia="宋体"/>
      <w:kern w:val="2"/>
      <w:sz w:val="21"/>
      <w:szCs w:val="24"/>
      <w:lang w:val="en-US" w:eastAsia="zh-CN" w:bidi="ar-SA"/>
    </w:rPr>
  </w:style>
  <w:style w:type="character" w:customStyle="1" w:styleId="680">
    <w:name w:val="表名 Char"/>
    <w:qFormat/>
    <w:uiPriority w:val="0"/>
    <w:rPr>
      <w:rFonts w:eastAsia="宋体"/>
      <w:b/>
      <w:bCs/>
      <w:kern w:val="2"/>
      <w:sz w:val="24"/>
      <w:szCs w:val="24"/>
      <w:lang w:val="en-US" w:eastAsia="zh-CN" w:bidi="ar-SA"/>
    </w:rPr>
  </w:style>
  <w:style w:type="character" w:customStyle="1" w:styleId="681">
    <w:name w:val="Document Map Char"/>
    <w:qFormat/>
    <w:locked/>
    <w:uiPriority w:val="0"/>
    <w:rPr>
      <w:rFonts w:eastAsia="宋体"/>
      <w:kern w:val="2"/>
      <w:sz w:val="21"/>
      <w:szCs w:val="24"/>
      <w:lang w:val="en-US" w:eastAsia="zh-CN" w:bidi="ar-SA"/>
    </w:rPr>
  </w:style>
  <w:style w:type="character" w:customStyle="1" w:styleId="682">
    <w:name w:val="font41"/>
    <w:qFormat/>
    <w:uiPriority w:val="0"/>
    <w:rPr>
      <w:rFonts w:hint="eastAsia" w:ascii="仿宋_GB2312" w:eastAsia="仿宋_GB2312" w:cs="仿宋_GB2312"/>
      <w:color w:val="000000"/>
      <w:sz w:val="22"/>
      <w:szCs w:val="22"/>
      <w:u w:val="none"/>
    </w:rPr>
  </w:style>
  <w:style w:type="character" w:customStyle="1" w:styleId="683">
    <w:name w:val="标题 6 Char"/>
    <w:link w:val="7"/>
    <w:qFormat/>
    <w:uiPriority w:val="0"/>
    <w:rPr>
      <w:rFonts w:ascii="Arial" w:hAnsi="Arial" w:eastAsia="黑体"/>
      <w:b/>
      <w:bCs/>
      <w:kern w:val="2"/>
      <w:sz w:val="24"/>
      <w:szCs w:val="24"/>
    </w:rPr>
  </w:style>
  <w:style w:type="character" w:customStyle="1" w:styleId="684">
    <w:name w:val="纯文本 Char_0"/>
    <w:link w:val="96"/>
    <w:qFormat/>
    <w:uiPriority w:val="0"/>
    <w:rPr>
      <w:rFonts w:ascii="宋体" w:hAnsi="Courier New"/>
      <w:kern w:val="2"/>
      <w:sz w:val="21"/>
      <w:szCs w:val="21"/>
      <w:lang w:val="en-US" w:eastAsia="zh-CN"/>
    </w:rPr>
  </w:style>
  <w:style w:type="character" w:customStyle="1" w:styleId="685">
    <w:name w:val="Balloon Text Char"/>
    <w:qFormat/>
    <w:locked/>
    <w:uiPriority w:val="0"/>
    <w:rPr>
      <w:rFonts w:eastAsia="宋体"/>
      <w:kern w:val="2"/>
      <w:sz w:val="18"/>
      <w:szCs w:val="18"/>
      <w:lang w:val="en-US" w:eastAsia="zh-CN" w:bidi="ar-SA"/>
    </w:rPr>
  </w:style>
  <w:style w:type="character" w:customStyle="1" w:styleId="686">
    <w:name w:val="正文 项目2 Char"/>
    <w:basedOn w:val="687"/>
    <w:qFormat/>
    <w:uiPriority w:val="0"/>
    <w:rPr>
      <w:rFonts w:ascii="仿宋_GB2312" w:hAnsi="仿宋_GB2312" w:eastAsia="仿宋_GB2312"/>
      <w:kern w:val="2"/>
      <w:sz w:val="24"/>
      <w:lang w:bidi="ar-SA"/>
    </w:rPr>
  </w:style>
  <w:style w:type="character" w:customStyle="1" w:styleId="687">
    <w:name w:val="正文 项目 Char"/>
    <w:qFormat/>
    <w:uiPriority w:val="0"/>
    <w:rPr>
      <w:rFonts w:ascii="仿宋_GB2312" w:hAnsi="仿宋_GB2312" w:eastAsia="仿宋_GB2312"/>
      <w:kern w:val="2"/>
      <w:sz w:val="24"/>
      <w:lang w:bidi="ar-SA"/>
    </w:rPr>
  </w:style>
  <w:style w:type="character" w:customStyle="1" w:styleId="688">
    <w:name w:val="h Char Char1"/>
    <w:qFormat/>
    <w:uiPriority w:val="0"/>
    <w:rPr>
      <w:rFonts w:eastAsia="宋体"/>
      <w:kern w:val="2"/>
      <w:sz w:val="18"/>
      <w:szCs w:val="18"/>
      <w:lang w:val="en-US" w:eastAsia="zh-CN" w:bidi="ar-SA"/>
    </w:rPr>
  </w:style>
  <w:style w:type="character" w:customStyle="1" w:styleId="689">
    <w:name w:val="Char Char27"/>
    <w:qFormat/>
    <w:uiPriority w:val="6"/>
    <w:rPr>
      <w:rFonts w:ascii="宋体" w:hAnsi="宋体" w:eastAsia="宋体"/>
      <w:color w:val="000000"/>
      <w:kern w:val="1"/>
      <w:sz w:val="28"/>
      <w:lang w:val="en-US" w:eastAsia="zh-CN" w:bidi="ar-SA"/>
    </w:rPr>
  </w:style>
  <w:style w:type="character" w:customStyle="1" w:styleId="690">
    <w:name w:val="px14"/>
    <w:qFormat/>
    <w:uiPriority w:val="0"/>
    <w:rPr>
      <w:rFonts w:ascii="仿宋_GB2312" w:eastAsia="微软雅黑" w:cs="Times New Roman"/>
      <w:b/>
      <w:kern w:val="2"/>
      <w:sz w:val="32"/>
      <w:szCs w:val="32"/>
      <w:lang w:val="en-US" w:eastAsia="zh-CN" w:bidi="ar-SA"/>
    </w:rPr>
  </w:style>
  <w:style w:type="character" w:customStyle="1" w:styleId="691">
    <w:name w:val="HTML 预设格式 Char1"/>
    <w:qFormat/>
    <w:uiPriority w:val="0"/>
    <w:rPr>
      <w:rFonts w:ascii="Courier New" w:hAnsi="Courier New" w:eastAsia="宋体" w:cs="Courier New"/>
      <w:sz w:val="20"/>
      <w:szCs w:val="20"/>
    </w:rPr>
  </w:style>
  <w:style w:type="character" w:customStyle="1" w:styleId="692">
    <w:name w:val="普通文字 Char1"/>
    <w:qFormat/>
    <w:uiPriority w:val="0"/>
    <w:rPr>
      <w:rFonts w:ascii="宋体" w:hAnsi="Courier New" w:eastAsia="宋体"/>
      <w:kern w:val="2"/>
      <w:sz w:val="21"/>
      <w:lang w:val="en-US" w:eastAsia="zh-CN"/>
    </w:rPr>
  </w:style>
  <w:style w:type="character" w:customStyle="1" w:styleId="693">
    <w:name w:val="hei16b1"/>
    <w:qFormat/>
    <w:uiPriority w:val="0"/>
    <w:rPr>
      <w:rFonts w:hint="default" w:ascii="Arial" w:hAnsi="Arial" w:cs="Arial"/>
      <w:b/>
      <w:bCs/>
      <w:color w:val="000000"/>
      <w:sz w:val="24"/>
      <w:szCs w:val="24"/>
    </w:rPr>
  </w:style>
  <w:style w:type="character" w:customStyle="1" w:styleId="694">
    <w:name w:val="正文（绿盟科技） Char"/>
    <w:link w:val="98"/>
    <w:qFormat/>
    <w:uiPriority w:val="0"/>
    <w:rPr>
      <w:rFonts w:ascii="Arial" w:hAnsi="Arial"/>
      <w:sz w:val="21"/>
      <w:szCs w:val="21"/>
    </w:rPr>
  </w:style>
  <w:style w:type="character" w:customStyle="1" w:styleId="695">
    <w:name w:val="Char Char19"/>
    <w:qFormat/>
    <w:uiPriority w:val="6"/>
    <w:rPr>
      <w:rFonts w:ascii="宋体" w:hAnsi="宋体"/>
      <w:i/>
      <w:sz w:val="24"/>
      <w:szCs w:val="24"/>
    </w:rPr>
  </w:style>
  <w:style w:type="character" w:customStyle="1" w:styleId="696">
    <w:name w:val="页脚 Char"/>
    <w:qFormat/>
    <w:uiPriority w:val="0"/>
    <w:rPr>
      <w:rFonts w:eastAsia="仿宋_GB2312"/>
      <w:kern w:val="2"/>
      <w:sz w:val="18"/>
      <w:lang w:val="en-US" w:eastAsia="zh-CN"/>
    </w:rPr>
  </w:style>
  <w:style w:type="character" w:customStyle="1" w:styleId="697">
    <w:name w:val="批注主题 Char"/>
    <w:qFormat/>
    <w:uiPriority w:val="0"/>
    <w:rPr>
      <w:rFonts w:eastAsia="宋体"/>
      <w:b/>
      <w:bCs/>
      <w:kern w:val="2"/>
      <w:sz w:val="21"/>
      <w:szCs w:val="24"/>
      <w:lang w:val="en-US" w:eastAsia="zh-CN" w:bidi="ar-SA"/>
    </w:rPr>
  </w:style>
  <w:style w:type="character" w:customStyle="1" w:styleId="698">
    <w:name w:val="Comment Text Char"/>
    <w:qFormat/>
    <w:locked/>
    <w:uiPriority w:val="0"/>
    <w:rPr>
      <w:rFonts w:ascii="宋体" w:hAnsi="宋体" w:eastAsia="宋体"/>
      <w:kern w:val="2"/>
      <w:sz w:val="24"/>
      <w:lang w:val="en-US" w:eastAsia="zh-CN" w:bidi="ar-SA"/>
    </w:rPr>
  </w:style>
  <w:style w:type="character" w:customStyle="1" w:styleId="699">
    <w:name w:val="标题 2 字符"/>
    <w:qFormat/>
    <w:uiPriority w:val="1"/>
    <w:rPr>
      <w:rFonts w:ascii="仿宋_GB2312" w:hAnsi="Times New Roman" w:eastAsia="仿宋_GB2312" w:cs="Times New Roman"/>
      <w:b/>
      <w:kern w:val="2"/>
      <w:sz w:val="24"/>
      <w:lang w:val="zh-CN"/>
    </w:rPr>
  </w:style>
  <w:style w:type="character" w:customStyle="1" w:styleId="700">
    <w:name w:val="Char Char72"/>
    <w:qFormat/>
    <w:uiPriority w:val="0"/>
    <w:rPr>
      <w:rFonts w:eastAsia="宋体"/>
      <w:kern w:val="2"/>
      <w:sz w:val="21"/>
      <w:szCs w:val="24"/>
      <w:lang w:val="en-US" w:eastAsia="zh-CN" w:bidi="ar-SA"/>
    </w:rPr>
  </w:style>
  <w:style w:type="character" w:customStyle="1" w:styleId="701">
    <w:name w:val="正文文本缩进 Char2"/>
    <w:qFormat/>
    <w:uiPriority w:val="0"/>
    <w:rPr>
      <w:rFonts w:ascii="Times New Roman" w:hAnsi="Times New Roman" w:eastAsia="宋体" w:cs="Times New Roman"/>
      <w:snapToGrid w:val="0"/>
      <w:kern w:val="0"/>
      <w:szCs w:val="24"/>
    </w:rPr>
  </w:style>
  <w:style w:type="character" w:customStyle="1" w:styleId="702">
    <w:name w:val="样式2 Char"/>
    <w:qFormat/>
    <w:uiPriority w:val="0"/>
    <w:rPr>
      <w:rFonts w:ascii="仿宋_GB2312" w:hAnsi="仿宋" w:eastAsia="仿宋_GB2312" w:cs="仿宋_GB2312"/>
      <w:b/>
      <w:bCs/>
      <w:sz w:val="32"/>
      <w:szCs w:val="30"/>
      <w:lang w:val="zh-CN"/>
    </w:rPr>
  </w:style>
  <w:style w:type="character" w:customStyle="1" w:styleId="703">
    <w:name w:val="表格名称[858D7CFB-ED40-4347-BF05-701D383B685F]"/>
    <w:link w:val="99"/>
    <w:qFormat/>
    <w:uiPriority w:val="0"/>
    <w:rPr>
      <w:sz w:val="32"/>
    </w:rPr>
  </w:style>
  <w:style w:type="character" w:customStyle="1" w:styleId="704">
    <w:name w:val="Char Char4"/>
    <w:qFormat/>
    <w:uiPriority w:val="0"/>
    <w:rPr>
      <w:rFonts w:eastAsia="宋体"/>
      <w:b/>
      <w:sz w:val="24"/>
      <w:lang w:eastAsia="zh-CN" w:bidi="ar-SA"/>
    </w:rPr>
  </w:style>
  <w:style w:type="character" w:customStyle="1" w:styleId="705">
    <w:name w:val="c7 style3"/>
    <w:qFormat/>
    <w:uiPriority w:val="0"/>
  </w:style>
  <w:style w:type="character" w:customStyle="1" w:styleId="706">
    <w:name w:val="正文文本 3 Char1"/>
    <w:semiHidden/>
    <w:qFormat/>
    <w:uiPriority w:val="99"/>
    <w:rPr>
      <w:rFonts w:ascii="Times New Roman" w:hAnsi="Times New Roman" w:eastAsia="宋体" w:cs="Times New Roman"/>
      <w:sz w:val="16"/>
      <w:szCs w:val="16"/>
    </w:rPr>
  </w:style>
  <w:style w:type="character" w:customStyle="1" w:styleId="707">
    <w:name w:val="tw4winInternal"/>
    <w:qFormat/>
    <w:uiPriority w:val="0"/>
    <w:rPr>
      <w:rFonts w:ascii="Courier New" w:hAnsi="Courier New" w:cs="Courier New"/>
      <w:color w:val="FF0000"/>
      <w:lang w:val="en-US" w:eastAsia="zh-CN"/>
    </w:rPr>
  </w:style>
  <w:style w:type="character" w:customStyle="1" w:styleId="708">
    <w:name w:val="Char Char10"/>
    <w:semiHidden/>
    <w:qFormat/>
    <w:uiPriority w:val="0"/>
    <w:rPr>
      <w:rFonts w:ascii="宋体" w:hAnsi="宋体"/>
      <w:kern w:val="2"/>
      <w:sz w:val="21"/>
      <w:szCs w:val="24"/>
      <w:lang w:val="en-US" w:eastAsia="zh-CN"/>
    </w:rPr>
  </w:style>
  <w:style w:type="character" w:customStyle="1" w:styleId="709">
    <w:name w:val="shadow11"/>
    <w:qFormat/>
    <w:uiPriority w:val="0"/>
    <w:rPr>
      <w:color w:val="000000"/>
      <w:sz w:val="21"/>
    </w:rPr>
  </w:style>
  <w:style w:type="character" w:customStyle="1" w:styleId="710">
    <w:name w:val="正文非缩进 Char3"/>
    <w:qFormat/>
    <w:uiPriority w:val="0"/>
    <w:rPr>
      <w:rFonts w:ascii="宋体" w:eastAsia="宋体"/>
      <w:snapToGrid w:val="0"/>
      <w:color w:val="000000"/>
      <w:kern w:val="28"/>
      <w:sz w:val="28"/>
      <w:lang w:val="en-US" w:eastAsia="zh-CN" w:bidi="ar-SA"/>
    </w:rPr>
  </w:style>
  <w:style w:type="character" w:customStyle="1" w:styleId="711">
    <w:name w:val="Char Char"/>
    <w:qFormat/>
    <w:uiPriority w:val="0"/>
    <w:rPr>
      <w:rFonts w:ascii="宋体" w:hAnsi="Courier New" w:eastAsia="宋体"/>
      <w:kern w:val="2"/>
      <w:sz w:val="21"/>
      <w:lang w:val="en-US" w:eastAsia="zh-CN" w:bidi="ar-SA"/>
    </w:rPr>
  </w:style>
  <w:style w:type="character" w:customStyle="1" w:styleId="712">
    <w:name w:val="签名 Char1"/>
    <w:qFormat/>
    <w:uiPriority w:val="0"/>
    <w:rPr>
      <w:rFonts w:ascii="Times New Roman" w:hAnsi="Times New Roman" w:eastAsia="宋体" w:cs="Times New Roman"/>
      <w:szCs w:val="24"/>
    </w:rPr>
  </w:style>
  <w:style w:type="character" w:customStyle="1" w:styleId="713">
    <w:name w:val="日期 Char"/>
    <w:link w:val="37"/>
    <w:qFormat/>
    <w:uiPriority w:val="0"/>
    <w:rPr>
      <w:rFonts w:ascii="宋体"/>
      <w:kern w:val="2"/>
      <w:sz w:val="24"/>
      <w:szCs w:val="21"/>
      <w:lang w:val="zh-CN"/>
    </w:rPr>
  </w:style>
  <w:style w:type="character" w:customStyle="1" w:styleId="714">
    <w:name w:val="标题 9 Char"/>
    <w:link w:val="10"/>
    <w:qFormat/>
    <w:uiPriority w:val="0"/>
    <w:rPr>
      <w:rFonts w:ascii="Arial" w:hAnsi="Arial" w:eastAsia="黑体"/>
      <w:kern w:val="2"/>
      <w:sz w:val="21"/>
      <w:szCs w:val="21"/>
    </w:rPr>
  </w:style>
  <w:style w:type="character" w:customStyle="1" w:styleId="715">
    <w:name w:val="Char Char18"/>
    <w:qFormat/>
    <w:uiPriority w:val="6"/>
    <w:rPr>
      <w:rFonts w:ascii="宋体" w:hAnsi="宋体"/>
      <w:sz w:val="28"/>
    </w:rPr>
  </w:style>
  <w:style w:type="character" w:customStyle="1" w:styleId="716">
    <w:name w:val="批注文字 Char"/>
    <w:qFormat/>
    <w:uiPriority w:val="99"/>
    <w:rPr>
      <w:kern w:val="2"/>
      <w:sz w:val="21"/>
      <w:szCs w:val="24"/>
    </w:rPr>
  </w:style>
  <w:style w:type="character" w:customStyle="1" w:styleId="717">
    <w:name w:val="Char Char22"/>
    <w:qFormat/>
    <w:uiPriority w:val="6"/>
    <w:rPr>
      <w:rFonts w:ascii="宋体" w:hAnsi="宋体"/>
      <w:kern w:val="1"/>
      <w:sz w:val="24"/>
      <w:szCs w:val="24"/>
    </w:rPr>
  </w:style>
  <w:style w:type="character" w:customStyle="1" w:styleId="718">
    <w:name w:val="pt141"/>
    <w:qFormat/>
    <w:uiPriority w:val="0"/>
    <w:rPr>
      <w:color w:val="330066"/>
      <w:sz w:val="22"/>
      <w:szCs w:val="22"/>
    </w:rPr>
  </w:style>
  <w:style w:type="character" w:customStyle="1" w:styleId="719">
    <w:name w:val="正文文本缩进 2 Char1"/>
    <w:semiHidden/>
    <w:qFormat/>
    <w:uiPriority w:val="99"/>
    <w:rPr>
      <w:rFonts w:ascii="Times New Roman" w:hAnsi="Times New Roman" w:eastAsia="宋体" w:cs="Times New Roman"/>
      <w:szCs w:val="24"/>
    </w:rPr>
  </w:style>
  <w:style w:type="character" w:customStyle="1" w:styleId="720">
    <w:name w:val="批注框文本 Char"/>
    <w:link w:val="40"/>
    <w:qFormat/>
    <w:uiPriority w:val="0"/>
    <w:rPr>
      <w:kern w:val="2"/>
      <w:sz w:val="18"/>
      <w:szCs w:val="18"/>
    </w:rPr>
  </w:style>
  <w:style w:type="character" w:customStyle="1" w:styleId="721">
    <w:name w:val="Char Char611"/>
    <w:qFormat/>
    <w:uiPriority w:val="0"/>
    <w:rPr>
      <w:rFonts w:eastAsia="宋体"/>
      <w:kern w:val="2"/>
      <w:sz w:val="21"/>
      <w:szCs w:val="24"/>
      <w:lang w:val="en-US" w:eastAsia="zh-CN" w:bidi="ar-SA"/>
    </w:rPr>
  </w:style>
  <w:style w:type="character" w:customStyle="1" w:styleId="722">
    <w:name w:val="highlight1"/>
    <w:qFormat/>
    <w:uiPriority w:val="0"/>
    <w:rPr>
      <w:rFonts w:ascii="仿宋_GB2312" w:eastAsia="微软雅黑"/>
      <w:b/>
      <w:kern w:val="2"/>
      <w:sz w:val="23"/>
      <w:szCs w:val="23"/>
      <w:lang w:val="en-US" w:eastAsia="zh-CN" w:bidi="ar-SA"/>
    </w:rPr>
  </w:style>
  <w:style w:type="character" w:customStyle="1" w:styleId="723">
    <w:name w:val="my正文 Char"/>
    <w:link w:val="100"/>
    <w:qFormat/>
    <w:locked/>
    <w:uiPriority w:val="0"/>
    <w:rPr>
      <w:rFonts w:ascii="Tahoma" w:hAnsi="Tahoma"/>
      <w:sz w:val="24"/>
      <w:szCs w:val="24"/>
    </w:rPr>
  </w:style>
  <w:style w:type="character" w:customStyle="1" w:styleId="724">
    <w:name w:val="正文缩进 Char2"/>
    <w:link w:val="15"/>
    <w:qFormat/>
    <w:uiPriority w:val="0"/>
    <w:rPr>
      <w:rFonts w:ascii="宋体" w:eastAsia="宋体"/>
      <w:snapToGrid w:val="0"/>
      <w:color w:val="000000"/>
      <w:kern w:val="28"/>
      <w:sz w:val="28"/>
      <w:lang w:val="en-US" w:eastAsia="zh-CN" w:bidi="ar-SA"/>
    </w:rPr>
  </w:style>
  <w:style w:type="character" w:customStyle="1" w:styleId="725">
    <w:name w:val="Used by Word for text of Help footnotes Char Char1"/>
    <w:qFormat/>
    <w:uiPriority w:val="0"/>
    <w:rPr>
      <w:color w:val="0000FF"/>
      <w:sz w:val="21"/>
    </w:rPr>
  </w:style>
  <w:style w:type="character" w:customStyle="1" w:styleId="726">
    <w:name w:val="页眉 Char"/>
    <w:qFormat/>
    <w:uiPriority w:val="0"/>
    <w:rPr>
      <w:rFonts w:eastAsia="仿宋_GB2312"/>
      <w:kern w:val="2"/>
      <w:sz w:val="18"/>
      <w:lang w:val="en-US" w:eastAsia="zh-CN"/>
    </w:rPr>
  </w:style>
  <w:style w:type="character" w:customStyle="1" w:styleId="727">
    <w:name w:val="FA正文 Char Char"/>
    <w:qFormat/>
    <w:uiPriority w:val="0"/>
    <w:rPr>
      <w:rFonts w:hAnsi="宋体"/>
      <w:kern w:val="2"/>
      <w:sz w:val="24"/>
      <w:lang w:bidi="ar-SA"/>
    </w:rPr>
  </w:style>
  <w:style w:type="character" w:customStyle="1" w:styleId="728">
    <w:name w:val="纯文本 字符"/>
    <w:qFormat/>
    <w:uiPriority w:val="0"/>
    <w:rPr>
      <w:rFonts w:ascii="宋体" w:hAnsi="Courier New" w:eastAsia="宋体" w:cs="Arial"/>
      <w:snapToGrid w:val="0"/>
      <w:kern w:val="2"/>
      <w:sz w:val="21"/>
      <w:szCs w:val="21"/>
      <w:lang w:val="en-US" w:eastAsia="zh-CN" w:bidi="ar-SA"/>
    </w:rPr>
  </w:style>
  <w:style w:type="character" w:customStyle="1" w:styleId="729">
    <w:name w:val="3级 Char"/>
    <w:link w:val="101"/>
    <w:qFormat/>
    <w:uiPriority w:val="0"/>
    <w:rPr>
      <w:rFonts w:ascii="宋体" w:hAnsi="宋体"/>
      <w:b/>
      <w:bCs/>
      <w:sz w:val="28"/>
    </w:rPr>
  </w:style>
  <w:style w:type="character" w:customStyle="1" w:styleId="730">
    <w:name w:val="myp11"/>
    <w:qFormat/>
    <w:uiPriority w:val="0"/>
    <w:rPr>
      <w:rFonts w:ascii="仿宋_GB2312" w:eastAsia="微软雅黑"/>
      <w:b/>
      <w:kern w:val="2"/>
      <w:sz w:val="32"/>
      <w:szCs w:val="32"/>
      <w:lang w:val="en-US" w:eastAsia="zh-CN" w:bidi="ar-SA"/>
    </w:rPr>
  </w:style>
  <w:style w:type="character" w:customStyle="1" w:styleId="731">
    <w:name w:val="文档结构图 Char1"/>
    <w:link w:val="18"/>
    <w:qFormat/>
    <w:uiPriority w:val="0"/>
    <w:rPr>
      <w:kern w:val="2"/>
      <w:sz w:val="21"/>
      <w:szCs w:val="24"/>
      <w:shd w:val="clear" w:color="auto" w:fill="000080"/>
    </w:rPr>
  </w:style>
  <w:style w:type="character" w:customStyle="1" w:styleId="732">
    <w:name w:val="H6 Char"/>
    <w:qFormat/>
    <w:uiPriority w:val="0"/>
    <w:rPr>
      <w:rFonts w:ascii="Arial" w:hAnsi="Arial" w:eastAsia="黑体"/>
      <w:b/>
      <w:bCs/>
      <w:kern w:val="2"/>
      <w:sz w:val="24"/>
      <w:szCs w:val="24"/>
    </w:rPr>
  </w:style>
  <w:style w:type="character" w:customStyle="1" w:styleId="733">
    <w:name w:val="Char Char91"/>
    <w:qFormat/>
    <w:uiPriority w:val="0"/>
    <w:rPr>
      <w:rFonts w:eastAsia="宋体"/>
      <w:kern w:val="2"/>
      <w:sz w:val="18"/>
      <w:szCs w:val="18"/>
      <w:lang w:val="en-US" w:eastAsia="zh-CN" w:bidi="ar-SA"/>
    </w:rPr>
  </w:style>
  <w:style w:type="character" w:customStyle="1" w:styleId="734">
    <w:name w:val="副标题 Char1"/>
    <w:qFormat/>
    <w:uiPriority w:val="0"/>
    <w:rPr>
      <w:rFonts w:ascii="Cambria" w:hAnsi="Cambria" w:eastAsia="宋体" w:cs="Times New Roman"/>
      <w:b/>
      <w:bCs/>
      <w:snapToGrid w:val="0"/>
      <w:kern w:val="28"/>
      <w:sz w:val="32"/>
      <w:szCs w:val="32"/>
    </w:rPr>
  </w:style>
  <w:style w:type="character" w:customStyle="1" w:styleId="735">
    <w:name w:val="font61"/>
    <w:qFormat/>
    <w:uiPriority w:val="0"/>
    <w:rPr>
      <w:rFonts w:hint="eastAsia" w:ascii="仿宋" w:hAnsi="仿宋" w:eastAsia="仿宋" w:cs="仿宋"/>
      <w:color w:val="000000"/>
      <w:sz w:val="20"/>
      <w:szCs w:val="20"/>
      <w:u w:val="none"/>
    </w:rPr>
  </w:style>
  <w:style w:type="character" w:customStyle="1" w:styleId="73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7">
    <w:name w:val="Char Char211"/>
    <w:qFormat/>
    <w:uiPriority w:val="0"/>
    <w:rPr>
      <w:rFonts w:eastAsia="宋体"/>
      <w:b/>
      <w:bCs/>
      <w:kern w:val="2"/>
      <w:sz w:val="21"/>
      <w:szCs w:val="24"/>
      <w:lang w:val="en-US" w:eastAsia="zh-CN" w:bidi="ar-SA"/>
    </w:rPr>
  </w:style>
  <w:style w:type="character" w:customStyle="1" w:styleId="738">
    <w:name w:val="标题 2 Char"/>
    <w:qFormat/>
    <w:uiPriority w:val="0"/>
    <w:rPr>
      <w:rFonts w:ascii="Arial" w:hAnsi="Arial" w:eastAsia="黑体"/>
      <w:b/>
      <w:kern w:val="2"/>
      <w:sz w:val="32"/>
      <w:lang w:val="en-US" w:eastAsia="zh-CN"/>
    </w:rPr>
  </w:style>
  <w:style w:type="character" w:customStyle="1" w:styleId="739">
    <w:name w:val="maywed421"/>
    <w:qFormat/>
    <w:uiPriority w:val="0"/>
    <w:rPr>
      <w:color w:val="366FB6"/>
      <w:u w:val="none"/>
    </w:rPr>
  </w:style>
  <w:style w:type="character" w:customStyle="1" w:styleId="740">
    <w:name w:val="正文文本缩进 Char"/>
    <w:qFormat/>
    <w:uiPriority w:val="0"/>
    <w:rPr>
      <w:rFonts w:ascii="宋体" w:hAnsi="宋体"/>
      <w:kern w:val="2"/>
      <w:sz w:val="24"/>
      <w:szCs w:val="24"/>
    </w:rPr>
  </w:style>
  <w:style w:type="character" w:customStyle="1" w:styleId="741">
    <w:name w:val="Char Char102"/>
    <w:semiHidden/>
    <w:qFormat/>
    <w:uiPriority w:val="0"/>
    <w:rPr>
      <w:rFonts w:ascii="宋体" w:hAnsi="宋体"/>
      <w:kern w:val="2"/>
      <w:sz w:val="21"/>
      <w:szCs w:val="24"/>
      <w:lang w:val="en-US" w:eastAsia="zh-CN"/>
    </w:rPr>
  </w:style>
  <w:style w:type="character" w:customStyle="1" w:styleId="742">
    <w:name w:val="页眉 Char1"/>
    <w:qFormat/>
    <w:uiPriority w:val="0"/>
    <w:rPr>
      <w:rFonts w:eastAsia="宋体"/>
      <w:kern w:val="2"/>
      <w:sz w:val="18"/>
      <w:szCs w:val="18"/>
      <w:lang w:val="en-US" w:eastAsia="zh-CN" w:bidi="ar-SA"/>
    </w:rPr>
  </w:style>
  <w:style w:type="character" w:customStyle="1" w:styleId="743">
    <w:name w:val="md"/>
    <w:basedOn w:val="70"/>
    <w:qFormat/>
    <w:uiPriority w:val="0"/>
    <w:rPr>
      <w:rFonts w:ascii="Arial" w:hAnsi="Arial" w:eastAsia="黑体" w:cs="Arial"/>
      <w:snapToGrid w:val="0"/>
      <w:kern w:val="0"/>
      <w:szCs w:val="21"/>
    </w:rPr>
  </w:style>
  <w:style w:type="character" w:customStyle="1" w:styleId="744">
    <w:name w:val="big1"/>
    <w:qFormat/>
    <w:uiPriority w:val="0"/>
    <w:rPr>
      <w:rFonts w:hint="eastAsia" w:ascii="宋体" w:hAnsi="宋体" w:eastAsia="宋体"/>
      <w:color w:val="333333"/>
      <w:sz w:val="22"/>
      <w:szCs w:val="22"/>
    </w:rPr>
  </w:style>
  <w:style w:type="character" w:customStyle="1" w:styleId="745">
    <w:name w:val="Char Char311"/>
    <w:qFormat/>
    <w:uiPriority w:val="0"/>
    <w:rPr>
      <w:rFonts w:eastAsia="宋体"/>
      <w:kern w:val="2"/>
      <w:sz w:val="21"/>
      <w:szCs w:val="24"/>
      <w:lang w:val="en-US" w:eastAsia="zh-CN" w:bidi="ar-SA"/>
    </w:rPr>
  </w:style>
  <w:style w:type="character" w:customStyle="1" w:styleId="746">
    <w:name w:val="Char Char81"/>
    <w:qFormat/>
    <w:uiPriority w:val="6"/>
    <w:rPr>
      <w:rFonts w:eastAsia="宋体"/>
      <w:b/>
      <w:sz w:val="24"/>
      <w:lang w:eastAsia="zh-CN"/>
    </w:rPr>
  </w:style>
  <w:style w:type="character" w:customStyle="1" w:styleId="747">
    <w:name w:val="样式3 Char"/>
    <w:basedOn w:val="702"/>
    <w:qFormat/>
    <w:uiPriority w:val="0"/>
    <w:rPr>
      <w:rFonts w:ascii="仿宋_GB2312" w:hAnsi="仿宋" w:eastAsia="仿宋_GB2312" w:cs="仿宋_GB2312"/>
      <w:sz w:val="32"/>
      <w:szCs w:val="30"/>
      <w:lang w:val="zh-CN"/>
    </w:rPr>
  </w:style>
  <w:style w:type="character" w:customStyle="1" w:styleId="748">
    <w:name w:val="HTML 地址 Char"/>
    <w:link w:val="31"/>
    <w:qFormat/>
    <w:uiPriority w:val="0"/>
    <w:rPr>
      <w:rFonts w:ascii="宋体" w:hAnsi="宋体"/>
      <w:i/>
      <w:iCs/>
      <w:sz w:val="24"/>
      <w:szCs w:val="24"/>
    </w:rPr>
  </w:style>
  <w:style w:type="character" w:customStyle="1" w:styleId="749">
    <w:name w:val="正文首行缩进 2 Char1"/>
    <w:qFormat/>
    <w:uiPriority w:val="0"/>
    <w:rPr>
      <w:rFonts w:ascii="Times New Roman" w:hAnsi="Times New Roman" w:eastAsia="宋体" w:cs="Times New Roman"/>
      <w:kern w:val="2"/>
      <w:sz w:val="24"/>
      <w:szCs w:val="24"/>
    </w:rPr>
  </w:style>
  <w:style w:type="character" w:customStyle="1" w:styleId="750">
    <w:name w:val="副标题 Char2"/>
    <w:qFormat/>
    <w:uiPriority w:val="0"/>
    <w:rPr>
      <w:rFonts w:ascii="Cambria" w:hAnsi="Cambria" w:eastAsia="宋体" w:cs="Times New Roman"/>
      <w:b/>
      <w:bCs/>
      <w:snapToGrid w:val="0"/>
      <w:kern w:val="28"/>
      <w:sz w:val="32"/>
      <w:szCs w:val="32"/>
    </w:rPr>
  </w:style>
  <w:style w:type="character" w:customStyle="1" w:styleId="751">
    <w:name w:val="标题4-dyf Char"/>
    <w:link w:val="103"/>
    <w:qFormat/>
    <w:uiPriority w:val="0"/>
    <w:rPr>
      <w:rFonts w:ascii="Cambria" w:hAnsi="Cambria"/>
      <w:b/>
      <w:bCs/>
      <w:color w:val="000000"/>
      <w:kern w:val="2"/>
      <w:sz w:val="21"/>
      <w:szCs w:val="21"/>
    </w:rPr>
  </w:style>
  <w:style w:type="character" w:customStyle="1" w:styleId="752">
    <w:name w:val="dectext1"/>
    <w:qFormat/>
    <w:uiPriority w:val="0"/>
    <w:rPr>
      <w:rFonts w:ascii="宋体" w:hAnsi="宋体" w:eastAsia="宋体"/>
      <w:color w:val="333333"/>
      <w:sz w:val="21"/>
      <w:szCs w:val="21"/>
      <w:u w:val="none"/>
    </w:rPr>
  </w:style>
  <w:style w:type="character" w:customStyle="1" w:styleId="753">
    <w:name w:val="冯 Char"/>
    <w:link w:val="104"/>
    <w:qFormat/>
    <w:uiPriority w:val="0"/>
    <w:rPr>
      <w:rFonts w:ascii="宋体" w:hAnsi="宋体"/>
      <w:color w:val="000000"/>
      <w:sz w:val="24"/>
      <w:szCs w:val="24"/>
    </w:rPr>
  </w:style>
  <w:style w:type="character" w:customStyle="1" w:styleId="754">
    <w:name w:val="Header Char"/>
    <w:qFormat/>
    <w:locked/>
    <w:uiPriority w:val="0"/>
    <w:rPr>
      <w:rFonts w:eastAsia="宋体"/>
      <w:kern w:val="2"/>
      <w:sz w:val="18"/>
      <w:szCs w:val="18"/>
      <w:lang w:val="en-US" w:eastAsia="zh-CN" w:bidi="ar-SA"/>
    </w:rPr>
  </w:style>
  <w:style w:type="character" w:customStyle="1" w:styleId="755">
    <w:name w:val="Char Char12"/>
    <w:qFormat/>
    <w:uiPriority w:val="0"/>
    <w:rPr>
      <w:rFonts w:ascii="仿宋_GB2312" w:eastAsia="仿宋_GB2312"/>
      <w:b/>
      <w:bCs/>
      <w:kern w:val="2"/>
      <w:sz w:val="24"/>
      <w:szCs w:val="24"/>
      <w:lang w:val="zh-CN" w:eastAsia="zh-CN" w:bidi="ar-SA"/>
    </w:rPr>
  </w:style>
  <w:style w:type="character" w:customStyle="1" w:styleId="756">
    <w:name w:val="题注 Char"/>
    <w:link w:val="16"/>
    <w:qFormat/>
    <w:uiPriority w:val="0"/>
    <w:rPr>
      <w:b/>
      <w:kern w:val="2"/>
      <w:sz w:val="28"/>
    </w:rPr>
  </w:style>
  <w:style w:type="character" w:customStyle="1" w:styleId="757">
    <w:name w:val="普通文字 Char3"/>
    <w:qFormat/>
    <w:uiPriority w:val="0"/>
    <w:rPr>
      <w:rFonts w:ascii="宋体" w:hAnsi="Courier New" w:eastAsia="宋体"/>
      <w:kern w:val="2"/>
      <w:sz w:val="21"/>
      <w:lang w:val="en-US" w:eastAsia="zh-CN" w:bidi="ar-SA"/>
    </w:rPr>
  </w:style>
  <w:style w:type="character" w:customStyle="1" w:styleId="758">
    <w:name w:val="公文正文 Char"/>
    <w:qFormat/>
    <w:uiPriority w:val="0"/>
    <w:rPr>
      <w:rFonts w:ascii="仿宋_GB2312" w:eastAsia="仿宋_GB2312"/>
      <w:kern w:val="2"/>
      <w:sz w:val="24"/>
      <w:szCs w:val="24"/>
      <w:lang w:val="en-US" w:eastAsia="zh-CN" w:bidi="ar-SA"/>
    </w:rPr>
  </w:style>
  <w:style w:type="character" w:customStyle="1" w:styleId="759">
    <w:name w:val="正文首行缩进 Char Char Char Char Char"/>
    <w:qFormat/>
    <w:uiPriority w:val="0"/>
    <w:rPr>
      <w:rFonts w:ascii="宋体"/>
      <w:kern w:val="2"/>
      <w:sz w:val="24"/>
      <w:lang w:val="zh-CN"/>
    </w:rPr>
  </w:style>
  <w:style w:type="character" w:customStyle="1" w:styleId="760">
    <w:name w:val="PI Char"/>
    <w:qFormat/>
    <w:uiPriority w:val="0"/>
    <w:rPr>
      <w:rFonts w:ascii="宋体" w:hAnsi="宋体" w:eastAsia="宋体"/>
      <w:kern w:val="2"/>
      <w:sz w:val="24"/>
      <w:szCs w:val="24"/>
      <w:lang w:val="en-US" w:eastAsia="zh-CN" w:bidi="ar-SA"/>
    </w:rPr>
  </w:style>
  <w:style w:type="character" w:customStyle="1" w:styleId="761">
    <w:name w:val="Default Char"/>
    <w:link w:val="105"/>
    <w:qFormat/>
    <w:uiPriority w:val="0"/>
    <w:rPr>
      <w:rFonts w:ascii="仿宋_GB2312" w:eastAsia="仿宋_GB2312" w:cs="仿宋_GB2312"/>
      <w:color w:val="000000"/>
      <w:sz w:val="24"/>
      <w:szCs w:val="24"/>
      <w:lang w:val="en-US" w:eastAsia="zh-CN" w:bidi="ar-SA"/>
    </w:rPr>
  </w:style>
  <w:style w:type="character" w:customStyle="1" w:styleId="762">
    <w:name w:val="style91"/>
    <w:qFormat/>
    <w:uiPriority w:val="0"/>
    <w:rPr>
      <w:color w:val="333333"/>
    </w:rPr>
  </w:style>
  <w:style w:type="character" w:customStyle="1" w:styleId="763">
    <w:name w:val="列出段落 Char2"/>
    <w:qFormat/>
    <w:uiPriority w:val="34"/>
    <w:rPr>
      <w:rFonts w:ascii="Calibri" w:hAnsi="Calibri"/>
      <w:kern w:val="2"/>
      <w:sz w:val="28"/>
    </w:rPr>
  </w:style>
  <w:style w:type="character" w:customStyle="1" w:styleId="764">
    <w:name w:val="mdeck"/>
    <w:qFormat/>
    <w:uiPriority w:val="0"/>
    <w:rPr>
      <w:rFonts w:ascii="仿宋_GB2312" w:eastAsia="微软雅黑"/>
      <w:b/>
      <w:kern w:val="2"/>
      <w:sz w:val="32"/>
      <w:szCs w:val="32"/>
      <w:lang w:val="en-US" w:eastAsia="zh-CN" w:bidi="ar-SA"/>
    </w:rPr>
  </w:style>
  <w:style w:type="character" w:customStyle="1" w:styleId="765">
    <w:name w:val="unnamed11"/>
    <w:qFormat/>
    <w:uiPriority w:val="0"/>
    <w:rPr>
      <w:sz w:val="20"/>
      <w:szCs w:val="20"/>
    </w:rPr>
  </w:style>
  <w:style w:type="character" w:customStyle="1" w:styleId="766">
    <w:name w:val="正文文本 Char2"/>
    <w:semiHidden/>
    <w:qFormat/>
    <w:uiPriority w:val="99"/>
    <w:rPr>
      <w:rFonts w:ascii="Times New Roman" w:hAnsi="Times New Roman" w:eastAsia="宋体" w:cs="Times New Roman"/>
      <w:snapToGrid w:val="0"/>
      <w:kern w:val="0"/>
      <w:szCs w:val="24"/>
    </w:rPr>
  </w:style>
  <w:style w:type="character" w:customStyle="1" w:styleId="767">
    <w:name w:val="标书正文格式 Char"/>
    <w:qFormat/>
    <w:uiPriority w:val="0"/>
    <w:rPr>
      <w:rFonts w:eastAsia="楷体_GB2312"/>
      <w:kern w:val="2"/>
      <w:sz w:val="24"/>
      <w:szCs w:val="24"/>
      <w:lang w:bidi="ar-SA"/>
    </w:rPr>
  </w:style>
  <w:style w:type="character" w:customStyle="1" w:styleId="768">
    <w:name w:val="Char Char11"/>
    <w:qFormat/>
    <w:locked/>
    <w:uiPriority w:val="0"/>
    <w:rPr>
      <w:rFonts w:ascii="宋体" w:hAnsi="宋体" w:eastAsia="宋体"/>
      <w:b/>
      <w:kern w:val="2"/>
      <w:sz w:val="24"/>
      <w:szCs w:val="24"/>
      <w:lang w:val="en-US" w:eastAsia="zh-CN" w:bidi="ar-SA"/>
    </w:rPr>
  </w:style>
  <w:style w:type="character" w:customStyle="1" w:styleId="769">
    <w:name w:val="ca-131"/>
    <w:qFormat/>
    <w:uiPriority w:val="0"/>
    <w:rPr>
      <w:rFonts w:hint="eastAsia" w:ascii="仿宋_GB2312" w:eastAsia="仿宋_GB2312"/>
      <w:b/>
      <w:bCs/>
      <w:color w:val="000000"/>
      <w:spacing w:val="-20"/>
      <w:sz w:val="24"/>
      <w:szCs w:val="24"/>
    </w:rPr>
  </w:style>
  <w:style w:type="character" w:customStyle="1" w:styleId="770">
    <w:name w:val="tw4winMark"/>
    <w:qFormat/>
    <w:uiPriority w:val="0"/>
    <w:rPr>
      <w:rFonts w:ascii="Courier New" w:hAnsi="Courier New" w:cs="Courier New"/>
      <w:vanish/>
      <w:color w:val="800080"/>
      <w:sz w:val="24"/>
      <w:szCs w:val="24"/>
      <w:vertAlign w:val="subscript"/>
    </w:rPr>
  </w:style>
  <w:style w:type="character" w:customStyle="1" w:styleId="771">
    <w:name w:val="正文样式 Char"/>
    <w:link w:val="106"/>
    <w:qFormat/>
    <w:uiPriority w:val="0"/>
    <w:rPr>
      <w:rFonts w:ascii="Calibri" w:hAnsi="Calibri"/>
      <w:sz w:val="24"/>
      <w:szCs w:val="24"/>
    </w:rPr>
  </w:style>
  <w:style w:type="character" w:customStyle="1" w:styleId="772">
    <w:name w:val="表正文 Char3"/>
    <w:qFormat/>
    <w:uiPriority w:val="0"/>
    <w:rPr>
      <w:rFonts w:eastAsia="宋体"/>
    </w:rPr>
  </w:style>
  <w:style w:type="character" w:customStyle="1" w:styleId="773">
    <w:name w:val="H5 Char"/>
    <w:qFormat/>
    <w:uiPriority w:val="0"/>
    <w:rPr>
      <w:b/>
      <w:bCs/>
      <w:kern w:val="2"/>
      <w:sz w:val="28"/>
      <w:szCs w:val="28"/>
    </w:rPr>
  </w:style>
  <w:style w:type="character" w:customStyle="1" w:styleId="774">
    <w:name w:val="Char Char3"/>
    <w:qFormat/>
    <w:uiPriority w:val="0"/>
    <w:rPr>
      <w:rFonts w:eastAsia="宋体"/>
      <w:kern w:val="2"/>
      <w:sz w:val="21"/>
      <w:szCs w:val="24"/>
      <w:lang w:val="en-US" w:eastAsia="zh-CN" w:bidi="ar-SA"/>
    </w:rPr>
  </w:style>
  <w:style w:type="character" w:customStyle="1" w:styleId="775">
    <w:name w:val="正文 编号 Char"/>
    <w:qFormat/>
    <w:uiPriority w:val="0"/>
    <w:rPr>
      <w:rFonts w:ascii="仿宋_GB2312" w:hAnsi="仿宋_GB2312" w:eastAsia="仿宋_GB2312"/>
      <w:kern w:val="2"/>
      <w:sz w:val="24"/>
      <w:lang w:bidi="ar-SA"/>
    </w:rPr>
  </w:style>
  <w:style w:type="character" w:customStyle="1" w:styleId="776">
    <w:name w:val="question-title2"/>
    <w:qFormat/>
    <w:uiPriority w:val="6"/>
    <w:rPr>
      <w:rFonts w:ascii="Arial" w:hAnsi="Arial" w:eastAsia="黑体" w:cs="Arial"/>
      <w:snapToGrid w:val="0"/>
      <w:kern w:val="0"/>
      <w:szCs w:val="21"/>
    </w:rPr>
  </w:style>
  <w:style w:type="character" w:customStyle="1" w:styleId="777">
    <w:name w:val="gf正文1 Char Char"/>
    <w:link w:val="107"/>
    <w:qFormat/>
    <w:uiPriority w:val="0"/>
    <w:rPr>
      <w:rFonts w:ascii="宋体" w:hAnsi="宋体" w:cs="宋体"/>
      <w:kern w:val="2"/>
      <w:sz w:val="24"/>
      <w:szCs w:val="24"/>
    </w:rPr>
  </w:style>
  <w:style w:type="character" w:customStyle="1" w:styleId="778">
    <w:name w:val="Char Char15"/>
    <w:qFormat/>
    <w:uiPriority w:val="6"/>
    <w:rPr>
      <w:rFonts w:ascii="宋体" w:hAnsi="宋体"/>
      <w:kern w:val="1"/>
      <w:sz w:val="21"/>
    </w:rPr>
  </w:style>
  <w:style w:type="character" w:customStyle="1" w:styleId="779">
    <w:name w:val="正文缩进 Char3"/>
    <w:qFormat/>
    <w:uiPriority w:val="0"/>
    <w:rPr>
      <w:rFonts w:ascii="宋体" w:eastAsia="宋体"/>
      <w:snapToGrid w:val="0"/>
      <w:color w:val="000000"/>
      <w:kern w:val="28"/>
      <w:sz w:val="28"/>
      <w:lang w:val="en-US" w:eastAsia="zh-CN" w:bidi="ar-SA"/>
    </w:rPr>
  </w:style>
  <w:style w:type="character" w:customStyle="1" w:styleId="780">
    <w:name w:val="列出段落 Char1"/>
    <w:link w:val="108"/>
    <w:qFormat/>
    <w:uiPriority w:val="0"/>
    <w:rPr>
      <w:rFonts w:ascii="Calibri" w:hAnsi="Calibri"/>
      <w:sz w:val="24"/>
      <w:lang w:eastAsia="en-US"/>
    </w:rPr>
  </w:style>
  <w:style w:type="character" w:customStyle="1" w:styleId="781">
    <w:name w:val="Char Char8"/>
    <w:qFormat/>
    <w:uiPriority w:val="0"/>
    <w:rPr>
      <w:rFonts w:eastAsia="宋体"/>
      <w:b/>
      <w:sz w:val="24"/>
      <w:lang w:eastAsia="zh-CN"/>
    </w:rPr>
  </w:style>
  <w:style w:type="character" w:customStyle="1" w:styleId="782">
    <w:name w:val="Normal Indent Char Char"/>
    <w:qFormat/>
    <w:uiPriority w:val="0"/>
    <w:rPr>
      <w:rFonts w:eastAsia="宋体"/>
      <w:kern w:val="2"/>
      <w:sz w:val="21"/>
      <w:lang w:val="en-US" w:eastAsia="zh-CN" w:bidi="ar-SA"/>
    </w:rPr>
  </w:style>
  <w:style w:type="character" w:customStyle="1" w:styleId="783">
    <w:name w:val="列表段落 字符"/>
    <w:qFormat/>
    <w:uiPriority w:val="99"/>
  </w:style>
  <w:style w:type="character" w:customStyle="1" w:styleId="784">
    <w:name w:val="Ò³Ã¼ Char Char1"/>
    <w:qFormat/>
    <w:uiPriority w:val="0"/>
    <w:rPr>
      <w:rFonts w:eastAsia="宋体"/>
      <w:kern w:val="2"/>
      <w:sz w:val="18"/>
      <w:szCs w:val="18"/>
      <w:lang w:val="en-US" w:eastAsia="zh-CN" w:bidi="ar-SA"/>
    </w:rPr>
  </w:style>
  <w:style w:type="character" w:customStyle="1" w:styleId="785">
    <w:name w:val="方案正文 Char"/>
    <w:qFormat/>
    <w:uiPriority w:val="0"/>
    <w:rPr>
      <w:rFonts w:ascii="仿宋_GB2312" w:eastAsia="仿宋_GB2312"/>
      <w:b/>
      <w:color w:val="000000"/>
      <w:kern w:val="2"/>
      <w:sz w:val="24"/>
      <w:lang w:val="en-US" w:eastAsia="zh-CN" w:bidi="ar-SA"/>
    </w:rPr>
  </w:style>
  <w:style w:type="character" w:customStyle="1" w:styleId="786">
    <w:name w:val="Char Char30"/>
    <w:qFormat/>
    <w:uiPriority w:val="6"/>
    <w:rPr>
      <w:rFonts w:ascii="Arial" w:hAnsi="Arial" w:eastAsia="黑体"/>
      <w:kern w:val="1"/>
      <w:sz w:val="21"/>
      <w:szCs w:val="21"/>
    </w:rPr>
  </w:style>
  <w:style w:type="character" w:customStyle="1" w:styleId="787">
    <w:name w:val="正文文本缩进 Char3"/>
    <w:link w:val="25"/>
    <w:qFormat/>
    <w:uiPriority w:val="0"/>
    <w:rPr>
      <w:rFonts w:ascii="宋体" w:hAnsi="宋体"/>
      <w:kern w:val="2"/>
      <w:sz w:val="24"/>
      <w:szCs w:val="24"/>
    </w:rPr>
  </w:style>
  <w:style w:type="character" w:customStyle="1" w:styleId="788">
    <w:name w:val="font01"/>
    <w:qFormat/>
    <w:uiPriority w:val="0"/>
    <w:rPr>
      <w:rFonts w:hint="eastAsia" w:ascii="微软雅黑" w:hAnsi="微软雅黑" w:eastAsia="微软雅黑" w:cs="微软雅黑"/>
      <w:color w:val="000000"/>
      <w:sz w:val="20"/>
      <w:szCs w:val="20"/>
      <w:u w:val="none"/>
    </w:rPr>
  </w:style>
  <w:style w:type="character" w:customStyle="1" w:styleId="789">
    <w:name w:val="Char Char20"/>
    <w:qFormat/>
    <w:uiPriority w:val="6"/>
    <w:rPr>
      <w:kern w:val="1"/>
      <w:sz w:val="24"/>
    </w:rPr>
  </w:style>
  <w:style w:type="character" w:customStyle="1" w:styleId="790">
    <w:name w:val="tw4winExternal"/>
    <w:qFormat/>
    <w:uiPriority w:val="0"/>
    <w:rPr>
      <w:rFonts w:ascii="Courier New" w:hAnsi="Courier New" w:cs="Courier New"/>
      <w:color w:val="808080"/>
      <w:lang w:val="en-US" w:eastAsia="zh-CN"/>
    </w:rPr>
  </w:style>
  <w:style w:type="character" w:customStyle="1" w:styleId="791">
    <w:name w:val="标题 4 Char1"/>
    <w:qFormat/>
    <w:uiPriority w:val="9"/>
    <w:rPr>
      <w:rFonts w:ascii="Cambria" w:hAnsi="Cambria" w:eastAsia="宋体" w:cs="Times New Roman"/>
      <w:b/>
      <w:bCs/>
      <w:kern w:val="2"/>
      <w:sz w:val="28"/>
      <w:szCs w:val="28"/>
    </w:rPr>
  </w:style>
  <w:style w:type="character" w:customStyle="1" w:styleId="792">
    <w:name w:val="批注文字 Char2"/>
    <w:qFormat/>
    <w:uiPriority w:val="99"/>
    <w:rPr>
      <w:rFonts w:ascii="Times New Roman" w:hAnsi="Times New Roman" w:eastAsia="宋体" w:cs="Times New Roman"/>
      <w:snapToGrid w:val="0"/>
      <w:kern w:val="0"/>
      <w:szCs w:val="24"/>
    </w:rPr>
  </w:style>
  <w:style w:type="character" w:customStyle="1" w:styleId="793">
    <w:name w:val="正文文本 2 Char"/>
    <w:qFormat/>
    <w:uiPriority w:val="0"/>
    <w:rPr>
      <w:rFonts w:eastAsia="宋体"/>
      <w:kern w:val="2"/>
      <w:sz w:val="21"/>
      <w:szCs w:val="24"/>
      <w:lang w:val="en-US" w:eastAsia="zh-CN" w:bidi="ar-SA"/>
    </w:rPr>
  </w:style>
  <w:style w:type="character" w:customStyle="1" w:styleId="794">
    <w:name w:val="Ò³Ã¼ Char Char"/>
    <w:qFormat/>
    <w:uiPriority w:val="0"/>
    <w:rPr>
      <w:rFonts w:eastAsia="宋体"/>
      <w:kern w:val="2"/>
      <w:sz w:val="18"/>
      <w:lang w:val="en-US" w:eastAsia="zh-CN" w:bidi="ar-SA"/>
    </w:rPr>
  </w:style>
  <w:style w:type="character" w:customStyle="1" w:styleId="795">
    <w:name w:val="message1"/>
    <w:qFormat/>
    <w:uiPriority w:val="0"/>
    <w:rPr>
      <w:rFonts w:hint="default" w:ascii="Tahoma" w:hAnsi="Tahoma" w:cs="Tahoma"/>
      <w:sz w:val="18"/>
      <w:szCs w:val="18"/>
    </w:rPr>
  </w:style>
  <w:style w:type="character" w:customStyle="1" w:styleId="796">
    <w:name w:val="Char Char23"/>
    <w:qFormat/>
    <w:uiPriority w:val="6"/>
    <w:rPr>
      <w:color w:val="0000FF"/>
      <w:sz w:val="21"/>
    </w:rPr>
  </w:style>
  <w:style w:type="character" w:customStyle="1" w:styleId="797">
    <w:name w:val="批注框文本 字符"/>
    <w:qFormat/>
    <w:uiPriority w:val="0"/>
    <w:rPr>
      <w:rFonts w:ascii="Arial" w:hAnsi="Arial" w:eastAsia="黑体" w:cs="Arial"/>
      <w:snapToGrid w:val="0"/>
      <w:kern w:val="0"/>
      <w:sz w:val="18"/>
      <w:szCs w:val="18"/>
    </w:rPr>
  </w:style>
  <w:style w:type="character" w:customStyle="1" w:styleId="798">
    <w:name w:val="纯文本 Char2"/>
    <w:semiHidden/>
    <w:qFormat/>
    <w:uiPriority w:val="99"/>
    <w:rPr>
      <w:rFonts w:ascii="宋体" w:hAnsi="Courier New" w:eastAsia="宋体" w:cs="Courier New"/>
    </w:rPr>
  </w:style>
  <w:style w:type="character" w:customStyle="1" w:styleId="799">
    <w:name w:val="Char Char25"/>
    <w:qFormat/>
    <w:uiPriority w:val="6"/>
    <w:rPr>
      <w:rFonts w:ascii="宋体" w:hAnsi="宋体"/>
      <w:kern w:val="1"/>
      <w:sz w:val="24"/>
      <w:lang w:val="zh-CN"/>
    </w:rPr>
  </w:style>
  <w:style w:type="character" w:customStyle="1" w:styleId="800">
    <w:name w:val="Char Char411"/>
    <w:qFormat/>
    <w:uiPriority w:val="0"/>
    <w:rPr>
      <w:rFonts w:eastAsia="宋体"/>
      <w:b/>
      <w:sz w:val="24"/>
      <w:lang w:eastAsia="zh-CN" w:bidi="ar-SA"/>
    </w:rPr>
  </w:style>
  <w:style w:type="character" w:customStyle="1" w:styleId="801">
    <w:name w:val="Heading 7 Char"/>
    <w:qFormat/>
    <w:locked/>
    <w:uiPriority w:val="0"/>
    <w:rPr>
      <w:rFonts w:ascii="宋体" w:hAnsi="宋体" w:eastAsia="宋体"/>
      <w:b/>
      <w:bCs/>
      <w:kern w:val="2"/>
      <w:sz w:val="24"/>
      <w:szCs w:val="24"/>
      <w:lang w:val="en-US" w:eastAsia="zh-CN" w:bidi="ar-SA"/>
    </w:rPr>
  </w:style>
  <w:style w:type="character" w:customStyle="1" w:styleId="802">
    <w:name w:val="此正文 Char"/>
    <w:link w:val="110"/>
    <w:qFormat/>
    <w:uiPriority w:val="0"/>
    <w:rPr>
      <w:kern w:val="2"/>
      <w:sz w:val="24"/>
      <w:szCs w:val="24"/>
    </w:rPr>
  </w:style>
  <w:style w:type="character" w:customStyle="1" w:styleId="803">
    <w:name w:val="Char Char2"/>
    <w:qFormat/>
    <w:uiPriority w:val="0"/>
    <w:rPr>
      <w:rFonts w:eastAsia="宋体"/>
      <w:b/>
      <w:bCs/>
      <w:kern w:val="2"/>
      <w:sz w:val="21"/>
      <w:szCs w:val="24"/>
      <w:lang w:val="en-US" w:eastAsia="zh-CN" w:bidi="ar-SA"/>
    </w:rPr>
  </w:style>
  <w:style w:type="character" w:customStyle="1" w:styleId="804">
    <w:name w:val="标题 1 Char"/>
    <w:link w:val="3"/>
    <w:qFormat/>
    <w:uiPriority w:val="9"/>
    <w:rPr>
      <w:b/>
      <w:bCs/>
      <w:kern w:val="44"/>
      <w:sz w:val="44"/>
      <w:szCs w:val="44"/>
    </w:rPr>
  </w:style>
  <w:style w:type="character" w:customStyle="1" w:styleId="805">
    <w:name w:val="Footer-Even Char1"/>
    <w:qFormat/>
    <w:uiPriority w:val="0"/>
    <w:rPr>
      <w:rFonts w:eastAsia="宋体"/>
      <w:kern w:val="2"/>
      <w:sz w:val="18"/>
      <w:szCs w:val="18"/>
      <w:lang w:val="en-US" w:eastAsia="zh-CN" w:bidi="ar-SA"/>
    </w:rPr>
  </w:style>
  <w:style w:type="character" w:customStyle="1" w:styleId="806">
    <w:name w:val="Char Char29"/>
    <w:qFormat/>
    <w:uiPriority w:val="6"/>
    <w:rPr>
      <w:rFonts w:ascii="Arial" w:hAnsi="Arial" w:eastAsia="微软雅黑"/>
      <w:b/>
      <w:kern w:val="1"/>
      <w:sz w:val="44"/>
      <w:szCs w:val="32"/>
      <w:lang w:val="en-US" w:eastAsia="zh-CN" w:bidi="ar-SA"/>
    </w:rPr>
  </w:style>
  <w:style w:type="character" w:customStyle="1" w:styleId="807">
    <w:name w:val="标题 Char2"/>
    <w:link w:val="60"/>
    <w:qFormat/>
    <w:uiPriority w:val="10"/>
    <w:rPr>
      <w:b/>
      <w:sz w:val="24"/>
    </w:rPr>
  </w:style>
  <w:style w:type="character" w:customStyle="1" w:styleId="808">
    <w:name w:val="font81"/>
    <w:qFormat/>
    <w:uiPriority w:val="0"/>
    <w:rPr>
      <w:rFonts w:ascii="微软雅黑" w:hAnsi="微软雅黑" w:eastAsia="微软雅黑" w:cs="微软雅黑"/>
      <w:color w:val="000000"/>
      <w:sz w:val="20"/>
      <w:szCs w:val="20"/>
      <w:u w:val="none"/>
    </w:rPr>
  </w:style>
  <w:style w:type="character" w:customStyle="1" w:styleId="809">
    <w:name w:val="Char Char312"/>
    <w:qFormat/>
    <w:uiPriority w:val="0"/>
    <w:rPr>
      <w:rFonts w:ascii="Times New Roman" w:hAnsi="Times New Roman" w:eastAsia="宋体" w:cs="Times New Roman"/>
      <w:b/>
      <w:kern w:val="2"/>
      <w:sz w:val="32"/>
      <w:szCs w:val="24"/>
      <w:lang w:val="en-US" w:eastAsia="zh-CN" w:bidi="ar-SA"/>
    </w:rPr>
  </w:style>
  <w:style w:type="character" w:customStyle="1" w:styleId="810">
    <w:name w:val="t21"/>
    <w:qFormat/>
    <w:uiPriority w:val="0"/>
    <w:rPr>
      <w:rFonts w:ascii="仿宋_GB2312" w:eastAsia="微软雅黑"/>
      <w:b/>
      <w:kern w:val="2"/>
      <w:sz w:val="23"/>
      <w:szCs w:val="23"/>
      <w:lang w:val="en-US" w:eastAsia="zh-CN" w:bidi="ar-SA"/>
    </w:rPr>
  </w:style>
  <w:style w:type="character" w:customStyle="1" w:styleId="811">
    <w:name w:val="样式8 Char"/>
    <w:qFormat/>
    <w:uiPriority w:val="0"/>
    <w:rPr>
      <w:rFonts w:ascii="仿宋_GB2312" w:hAnsi="宋体" w:eastAsia="仿宋_GB2312"/>
      <w:b/>
      <w:bCs/>
      <w:kern w:val="2"/>
      <w:sz w:val="24"/>
      <w:szCs w:val="24"/>
    </w:rPr>
  </w:style>
  <w:style w:type="character" w:customStyle="1" w:styleId="812">
    <w:name w:val="表格 Char Char"/>
    <w:qFormat/>
    <w:uiPriority w:val="0"/>
    <w:rPr>
      <w:rFonts w:ascii="宋体" w:hAnsi="宋体" w:eastAsia="宋体"/>
      <w:lang w:bidi="ar-SA"/>
    </w:rPr>
  </w:style>
  <w:style w:type="character" w:customStyle="1" w:styleId="813">
    <w:name w:val="正文文本 字符1"/>
    <w:qFormat/>
    <w:uiPriority w:val="0"/>
    <w:rPr>
      <w:rFonts w:ascii="Calibri" w:hAnsi="Calibri" w:eastAsia="黑体" w:cs="Arial"/>
      <w:snapToGrid w:val="0"/>
      <w:kern w:val="2"/>
      <w:sz w:val="28"/>
      <w:szCs w:val="21"/>
    </w:rPr>
  </w:style>
  <w:style w:type="character" w:customStyle="1" w:styleId="814">
    <w:name w:val="标题 5 Char"/>
    <w:link w:val="6"/>
    <w:qFormat/>
    <w:uiPriority w:val="9"/>
    <w:rPr>
      <w:b/>
      <w:bCs/>
      <w:kern w:val="2"/>
      <w:sz w:val="28"/>
      <w:szCs w:val="28"/>
    </w:rPr>
  </w:style>
  <w:style w:type="character" w:customStyle="1" w:styleId="815">
    <w:name w:val="标题 6 Char1"/>
    <w:qFormat/>
    <w:uiPriority w:val="0"/>
    <w:rPr>
      <w:rFonts w:ascii="Arial" w:hAnsi="Arial" w:eastAsia="黑体" w:cs="Times New Roman"/>
      <w:b/>
      <w:sz w:val="24"/>
      <w:szCs w:val="20"/>
      <w:lang w:bidi="ar-SA"/>
    </w:rPr>
  </w:style>
  <w:style w:type="character" w:customStyle="1" w:styleId="816">
    <w:name w:val="带编号样式 Char"/>
    <w:qFormat/>
    <w:uiPriority w:val="0"/>
    <w:rPr>
      <w:rFonts w:ascii="仿宋_GB2312" w:eastAsia="仿宋_GB2312"/>
      <w:color w:val="000000"/>
      <w:sz w:val="24"/>
      <w:lang w:bidi="ar-SA"/>
    </w:rPr>
  </w:style>
  <w:style w:type="character" w:customStyle="1" w:styleId="817">
    <w:name w:val="unnamed31"/>
    <w:qFormat/>
    <w:uiPriority w:val="0"/>
    <w:rPr>
      <w:rFonts w:ascii="Tahoma" w:hAnsi="Tahoma" w:eastAsia="宋体"/>
      <w:b/>
      <w:kern w:val="2"/>
      <w:sz w:val="24"/>
      <w:szCs w:val="32"/>
      <w:u w:val="none"/>
      <w:lang w:val="en-US" w:eastAsia="zh-CN" w:bidi="ar-SA"/>
    </w:rPr>
  </w:style>
  <w:style w:type="character" w:customStyle="1" w:styleId="818">
    <w:name w:val="正文首行缩进 Char Char Char Char Char Char1"/>
    <w:qFormat/>
    <w:uiPriority w:val="0"/>
    <w:rPr>
      <w:rFonts w:ascii="宋体" w:eastAsia="宋体"/>
      <w:kern w:val="2"/>
      <w:sz w:val="24"/>
      <w:szCs w:val="24"/>
      <w:lang w:val="zh-CN" w:bidi="ar-SA"/>
    </w:rPr>
  </w:style>
  <w:style w:type="character" w:customStyle="1" w:styleId="819">
    <w:name w:val="称呼 Char"/>
    <w:link w:val="20"/>
    <w:qFormat/>
    <w:uiPriority w:val="0"/>
    <w:rPr>
      <w:rFonts w:ascii="仿宋_GB2312" w:eastAsia="仿宋_GB2312"/>
      <w:kern w:val="2"/>
      <w:sz w:val="28"/>
    </w:rPr>
  </w:style>
  <w:style w:type="character" w:customStyle="1" w:styleId="820">
    <w:name w:val="文本正文 Char Char"/>
    <w:qFormat/>
    <w:locked/>
    <w:uiPriority w:val="0"/>
    <w:rPr>
      <w:sz w:val="24"/>
      <w:lang w:bidi="ar-SA"/>
    </w:rPr>
  </w:style>
  <w:style w:type="character" w:customStyle="1" w:styleId="821">
    <w:name w:val="正文缩进 字符"/>
    <w:qFormat/>
    <w:uiPriority w:val="0"/>
    <w:rPr>
      <w:rFonts w:ascii="宋体" w:eastAsia="宋体"/>
      <w:snapToGrid w:val="0"/>
      <w:color w:val="000000"/>
      <w:kern w:val="28"/>
      <w:sz w:val="28"/>
      <w:lang w:val="en-US" w:eastAsia="zh-CN" w:bidi="ar-SA"/>
    </w:rPr>
  </w:style>
  <w:style w:type="character" w:customStyle="1" w:styleId="822">
    <w:name w:val="HTML 预设格式 Char"/>
    <w:link w:val="58"/>
    <w:qFormat/>
    <w:uiPriority w:val="0"/>
    <w:rPr>
      <w:rFonts w:ascii="黑体" w:hAnsi="Courier New" w:eastAsia="黑体"/>
    </w:rPr>
  </w:style>
  <w:style w:type="character" w:customStyle="1" w:styleId="823">
    <w:name w:val="正文文本 2 Char1"/>
    <w:link w:val="57"/>
    <w:qFormat/>
    <w:uiPriority w:val="0"/>
    <w:rPr>
      <w:kern w:val="2"/>
      <w:sz w:val="21"/>
      <w:szCs w:val="24"/>
    </w:rPr>
  </w:style>
  <w:style w:type="character" w:customStyle="1" w:styleId="824">
    <w:name w:val="样式 样式 标题 4h4H4Fab-4T5Ref Heading 1rh1Heading sqlsect 1.2.3.... +... Char"/>
    <w:link w:val="111"/>
    <w:qFormat/>
    <w:uiPriority w:val="0"/>
    <w:rPr>
      <w:rFonts w:ascii="微软雅黑" w:hAnsi="微软雅黑" w:eastAsia="微软雅黑"/>
      <w:b/>
      <w:bCs/>
      <w:kern w:val="2"/>
      <w:sz w:val="24"/>
      <w:szCs w:val="28"/>
    </w:rPr>
  </w:style>
  <w:style w:type="character" w:customStyle="1" w:styleId="825">
    <w:name w:val="正文非缩进 Char"/>
    <w:qFormat/>
    <w:uiPriority w:val="0"/>
    <w:rPr>
      <w:rFonts w:ascii="宋体" w:eastAsia="宋体"/>
      <w:snapToGrid w:val="0"/>
      <w:color w:val="000000"/>
      <w:kern w:val="28"/>
      <w:sz w:val="28"/>
      <w:lang w:val="en-US" w:eastAsia="zh-CN" w:bidi="ar-SA"/>
    </w:rPr>
  </w:style>
  <w:style w:type="character" w:customStyle="1" w:styleId="826">
    <w:name w:val="标题 7 Char"/>
    <w:link w:val="8"/>
    <w:qFormat/>
    <w:uiPriority w:val="0"/>
    <w:rPr>
      <w:b/>
      <w:bCs/>
      <w:kern w:val="2"/>
      <w:sz w:val="24"/>
      <w:szCs w:val="24"/>
    </w:rPr>
  </w:style>
  <w:style w:type="character" w:customStyle="1" w:styleId="827">
    <w:name w:val="正文文本缩进 2 Char"/>
    <w:link w:val="38"/>
    <w:qFormat/>
    <w:uiPriority w:val="0"/>
    <w:rPr>
      <w:rFonts w:ascii="宋体"/>
      <w:sz w:val="28"/>
    </w:rPr>
  </w:style>
  <w:style w:type="character" w:customStyle="1" w:styleId="828">
    <w:name w:val="Char Char5"/>
    <w:qFormat/>
    <w:uiPriority w:val="0"/>
    <w:rPr>
      <w:rFonts w:ascii="宋体" w:hAnsi="Courier New" w:eastAsia="宋体"/>
      <w:kern w:val="2"/>
      <w:sz w:val="21"/>
      <w:lang w:val="en-US" w:eastAsia="zh-CN"/>
    </w:rPr>
  </w:style>
  <w:style w:type="character" w:customStyle="1" w:styleId="829">
    <w:name w:val="脚注文本 Char"/>
    <w:link w:val="51"/>
    <w:qFormat/>
    <w:uiPriority w:val="0"/>
    <w:rPr>
      <w:color w:val="0000FF"/>
      <w:sz w:val="21"/>
    </w:rPr>
  </w:style>
  <w:style w:type="character" w:customStyle="1" w:styleId="830">
    <w:name w:val="称呼 Char1"/>
    <w:qFormat/>
    <w:uiPriority w:val="0"/>
    <w:rPr>
      <w:rFonts w:ascii="Times New Roman" w:hAnsi="Times New Roman" w:eastAsia="宋体" w:cs="Times New Roman"/>
      <w:szCs w:val="24"/>
    </w:rPr>
  </w:style>
  <w:style w:type="character" w:customStyle="1" w:styleId="831">
    <w:name w:val="正文1 Char"/>
    <w:qFormat/>
    <w:uiPriority w:val="0"/>
    <w:rPr>
      <w:rFonts w:ascii="宋体" w:eastAsia="宋体"/>
      <w:snapToGrid w:val="0"/>
      <w:color w:val="000000"/>
      <w:kern w:val="28"/>
      <w:sz w:val="28"/>
      <w:lang w:val="en-US" w:eastAsia="zh-CN" w:bidi="ar-SA"/>
    </w:rPr>
  </w:style>
  <w:style w:type="character" w:customStyle="1" w:styleId="832">
    <w:name w:val="正文缩进 Char1"/>
    <w:qFormat/>
    <w:uiPriority w:val="0"/>
    <w:rPr>
      <w:rFonts w:ascii="宋体" w:eastAsia="宋体"/>
      <w:snapToGrid w:val="0"/>
      <w:color w:val="000000"/>
      <w:kern w:val="28"/>
      <w:sz w:val="28"/>
      <w:lang w:val="en-US" w:eastAsia="zh-CN" w:bidi="ar-SA"/>
    </w:rPr>
  </w:style>
  <w:style w:type="character" w:customStyle="1" w:styleId="833">
    <w:name w:val="font21"/>
    <w:qFormat/>
    <w:uiPriority w:val="0"/>
    <w:rPr>
      <w:rFonts w:hint="eastAsia" w:ascii="宋体" w:hAnsi="宋体" w:eastAsia="宋体"/>
      <w:kern w:val="2"/>
      <w:sz w:val="28"/>
      <w:szCs w:val="28"/>
      <w:lang w:val="en-US" w:eastAsia="zh-CN" w:bidi="ar-SA"/>
    </w:rPr>
  </w:style>
  <w:style w:type="character" w:customStyle="1" w:styleId="834">
    <w:name w:val="Char Char26"/>
    <w:qFormat/>
    <w:uiPriority w:val="6"/>
    <w:rPr>
      <w:kern w:val="1"/>
      <w:sz w:val="21"/>
      <w:szCs w:val="24"/>
    </w:rPr>
  </w:style>
  <w:style w:type="character" w:customStyle="1" w:styleId="835">
    <w:name w:val="Item List Char"/>
    <w:link w:val="113"/>
    <w:qFormat/>
    <w:uiPriority w:val="0"/>
    <w:rPr>
      <w:rFonts w:ascii="Arial"/>
      <w:bCs/>
      <w:sz w:val="21"/>
      <w:szCs w:val="21"/>
      <w:lang w:val="en-US" w:eastAsia="zh-CN" w:bidi="ar-SA"/>
    </w:rPr>
  </w:style>
  <w:style w:type="character" w:customStyle="1" w:styleId="836">
    <w:name w:val="批注框文本 Char1"/>
    <w:qFormat/>
    <w:uiPriority w:val="0"/>
    <w:rPr>
      <w:rFonts w:ascii="Times New Roman" w:hAnsi="Times New Roman" w:eastAsia="宋体" w:cs="Times New Roman"/>
      <w:sz w:val="18"/>
      <w:szCs w:val="18"/>
    </w:rPr>
  </w:style>
  <w:style w:type="character" w:customStyle="1" w:styleId="837">
    <w:name w:val="纯文本 Char1"/>
    <w:link w:val="114"/>
    <w:qFormat/>
    <w:uiPriority w:val="0"/>
    <w:rPr>
      <w:rFonts w:ascii="宋体" w:hAnsi="Courier New"/>
    </w:rPr>
  </w:style>
  <w:style w:type="character" w:customStyle="1" w:styleId="838">
    <w:name w:val="正文首行缩进 Char"/>
    <w:link w:val="24"/>
    <w:qFormat/>
    <w:uiPriority w:val="0"/>
    <w:rPr>
      <w:rFonts w:ascii="宋体"/>
      <w:kern w:val="2"/>
      <w:sz w:val="24"/>
      <w:lang w:val="zh-CN"/>
    </w:rPr>
  </w:style>
  <w:style w:type="character" w:customStyle="1" w:styleId="839">
    <w:name w:val="h3 Char"/>
    <w:qFormat/>
    <w:uiPriority w:val="0"/>
    <w:rPr>
      <w:rFonts w:eastAsia="宋体"/>
      <w:b/>
      <w:kern w:val="2"/>
      <w:sz w:val="32"/>
      <w:lang w:val="en-US" w:eastAsia="zh-CN" w:bidi="ar-SA"/>
    </w:rPr>
  </w:style>
  <w:style w:type="character" w:customStyle="1" w:styleId="840">
    <w:name w:val="dandyren_title1"/>
    <w:qFormat/>
    <w:uiPriority w:val="0"/>
    <w:rPr>
      <w:b/>
      <w:bCs/>
      <w:color w:val="FF6633"/>
      <w:sz w:val="18"/>
      <w:szCs w:val="18"/>
    </w:rPr>
  </w:style>
  <w:style w:type="character" w:customStyle="1" w:styleId="841">
    <w:name w:val="Char Char31"/>
    <w:qFormat/>
    <w:uiPriority w:val="6"/>
    <w:rPr>
      <w:rFonts w:ascii="Arial" w:hAnsi="Arial" w:eastAsia="黑体"/>
      <w:kern w:val="1"/>
      <w:sz w:val="24"/>
      <w:szCs w:val="24"/>
    </w:rPr>
  </w:style>
  <w:style w:type="character" w:customStyle="1" w:styleId="842">
    <w:name w:val="h Char1"/>
    <w:qFormat/>
    <w:uiPriority w:val="0"/>
    <w:rPr>
      <w:sz w:val="18"/>
      <w:szCs w:val="18"/>
    </w:rPr>
  </w:style>
  <w:style w:type="character" w:customStyle="1" w:styleId="843">
    <w:name w:val="solutionfonts"/>
    <w:qFormat/>
    <w:uiPriority w:val="0"/>
  </w:style>
  <w:style w:type="character" w:customStyle="1" w:styleId="844">
    <w:name w:val="标题 4 Char2"/>
    <w:link w:val="5"/>
    <w:qFormat/>
    <w:uiPriority w:val="9"/>
    <w:rPr>
      <w:rFonts w:ascii="Arial" w:hAnsi="Arial" w:eastAsia="黑体"/>
      <w:b/>
      <w:bCs/>
      <w:kern w:val="2"/>
      <w:sz w:val="28"/>
      <w:szCs w:val="28"/>
      <w:lang w:val="zh-CN"/>
    </w:rPr>
  </w:style>
  <w:style w:type="character" w:customStyle="1" w:styleId="845">
    <w:name w:val="首行缩进 Char"/>
    <w:qFormat/>
    <w:uiPriority w:val="0"/>
    <w:rPr>
      <w:rFonts w:ascii="宋体" w:eastAsia="宋体"/>
      <w:kern w:val="2"/>
      <w:sz w:val="24"/>
      <w:lang w:val="en-US" w:eastAsia="zh-CN" w:bidi="ar-SA"/>
    </w:rPr>
  </w:style>
  <w:style w:type="character" w:customStyle="1" w:styleId="846">
    <w:name w:val="Char Char52"/>
    <w:qFormat/>
    <w:uiPriority w:val="0"/>
    <w:rPr>
      <w:rFonts w:ascii="宋体" w:hAnsi="Courier New" w:eastAsia="宋体"/>
      <w:kern w:val="2"/>
      <w:sz w:val="21"/>
      <w:lang w:val="en-US" w:eastAsia="zh-CN"/>
    </w:rPr>
  </w:style>
  <w:style w:type="character" w:customStyle="1" w:styleId="847">
    <w:name w:val="正文文本 3 Char"/>
    <w:link w:val="21"/>
    <w:qFormat/>
    <w:uiPriority w:val="0"/>
    <w:rPr>
      <w:kern w:val="2"/>
      <w:sz w:val="21"/>
    </w:rPr>
  </w:style>
  <w:style w:type="character" w:customStyle="1" w:styleId="848">
    <w:name w:val="font31"/>
    <w:qFormat/>
    <w:uiPriority w:val="0"/>
    <w:rPr>
      <w:rFonts w:hint="eastAsia" w:ascii="仿宋" w:hAnsi="仿宋" w:eastAsia="仿宋" w:cs="仿宋"/>
      <w:color w:val="000000"/>
      <w:sz w:val="20"/>
      <w:szCs w:val="20"/>
      <w:u w:val="none"/>
    </w:rPr>
  </w:style>
  <w:style w:type="character" w:customStyle="1" w:styleId="849">
    <w:name w:val="正文说明 Char"/>
    <w:link w:val="115"/>
    <w:qFormat/>
    <w:uiPriority w:val="0"/>
    <w:rPr>
      <w:sz w:val="24"/>
      <w:szCs w:val="24"/>
    </w:rPr>
  </w:style>
  <w:style w:type="character" w:customStyle="1" w:styleId="850">
    <w:name w:val="脚注文本 Char1"/>
    <w:qFormat/>
    <w:uiPriority w:val="0"/>
    <w:rPr>
      <w:rFonts w:ascii="Times New Roman" w:hAnsi="Times New Roman" w:eastAsia="宋体" w:cs="Times New Roman"/>
      <w:sz w:val="18"/>
      <w:szCs w:val="18"/>
    </w:rPr>
  </w:style>
  <w:style w:type="character" w:customStyle="1" w:styleId="851">
    <w:name w:val="Char Char1211"/>
    <w:qFormat/>
    <w:uiPriority w:val="0"/>
    <w:rPr>
      <w:rFonts w:ascii="仿宋_GB2312" w:eastAsia="仿宋_GB2312"/>
      <w:b/>
      <w:bCs/>
      <w:kern w:val="2"/>
      <w:sz w:val="24"/>
      <w:szCs w:val="24"/>
      <w:lang w:val="zh-CN" w:eastAsia="zh-CN" w:bidi="ar-SA"/>
    </w:rPr>
  </w:style>
  <w:style w:type="character" w:customStyle="1" w:styleId="852">
    <w:name w:val="标题 Char"/>
    <w:qFormat/>
    <w:uiPriority w:val="0"/>
    <w:rPr>
      <w:rFonts w:eastAsia="宋体"/>
      <w:b/>
      <w:sz w:val="24"/>
      <w:lang w:eastAsia="zh-CN" w:bidi="ar-SA"/>
    </w:rPr>
  </w:style>
  <w:style w:type="character" w:customStyle="1" w:styleId="853">
    <w:name w:val="Char Char35"/>
    <w:qFormat/>
    <w:uiPriority w:val="6"/>
    <w:rPr>
      <w:rFonts w:ascii="Arial" w:hAnsi="Arial" w:eastAsia="黑体"/>
      <w:b/>
      <w:kern w:val="1"/>
      <w:sz w:val="28"/>
      <w:szCs w:val="28"/>
      <w:lang w:val="zh-CN"/>
    </w:rPr>
  </w:style>
  <w:style w:type="character" w:customStyle="1" w:styleId="854">
    <w:name w:val="纯文本 Char Char Char"/>
    <w:qFormat/>
    <w:uiPriority w:val="0"/>
    <w:rPr>
      <w:rFonts w:ascii="宋体" w:hAnsi="Courier New" w:eastAsia="宋体"/>
      <w:kern w:val="2"/>
      <w:sz w:val="21"/>
      <w:lang w:val="en-US" w:eastAsia="zh-CN" w:bidi="ar-SA"/>
    </w:rPr>
  </w:style>
  <w:style w:type="character" w:customStyle="1" w:styleId="855">
    <w:name w:val="Table Text Char"/>
    <w:link w:val="116"/>
    <w:qFormat/>
    <w:uiPriority w:val="0"/>
    <w:rPr>
      <w:sz w:val="24"/>
      <w:szCs w:val="24"/>
    </w:rPr>
  </w:style>
  <w:style w:type="character" w:customStyle="1" w:styleId="856">
    <w:name w:val="正文1 Char1"/>
    <w:qFormat/>
    <w:uiPriority w:val="0"/>
    <w:rPr>
      <w:rFonts w:ascii="仿宋_GB2312" w:hAnsi="Courier New" w:eastAsia="仿宋_GB2312"/>
      <w:kern w:val="28"/>
      <w:sz w:val="24"/>
      <w:szCs w:val="24"/>
      <w:lang w:val="en-US" w:eastAsia="zh-CN"/>
    </w:rPr>
  </w:style>
  <w:style w:type="character" w:customStyle="1" w:styleId="857">
    <w:name w:val="页脚 Char1"/>
    <w:qFormat/>
    <w:uiPriority w:val="0"/>
    <w:rPr>
      <w:rFonts w:eastAsia="宋体"/>
      <w:kern w:val="2"/>
      <w:sz w:val="18"/>
      <w:szCs w:val="18"/>
      <w:lang w:val="en-US" w:eastAsia="zh-CN" w:bidi="ar-SA"/>
    </w:rPr>
  </w:style>
  <w:style w:type="character" w:customStyle="1" w:styleId="858">
    <w:name w:val="Bold"/>
    <w:qFormat/>
    <w:uiPriority w:val="0"/>
    <w:rPr>
      <w:rFonts w:ascii="Arial" w:hAnsi="Arial" w:eastAsia="黑体" w:cs="Times New Roman"/>
      <w:b/>
      <w:kern w:val="2"/>
      <w:sz w:val="32"/>
      <w:szCs w:val="32"/>
      <w:lang w:val="en-US" w:eastAsia="zh-CN" w:bidi="ar-SA"/>
    </w:rPr>
  </w:style>
  <w:style w:type="character" w:customStyle="1" w:styleId="859">
    <w:name w:val="批注文字 Char1"/>
    <w:link w:val="19"/>
    <w:qFormat/>
    <w:uiPriority w:val="0"/>
    <w:rPr>
      <w:kern w:val="2"/>
      <w:sz w:val="21"/>
      <w:szCs w:val="24"/>
    </w:rPr>
  </w:style>
  <w:style w:type="character" w:customStyle="1" w:styleId="860">
    <w:name w:val="签名 Char"/>
    <w:link w:val="43"/>
    <w:qFormat/>
    <w:uiPriority w:val="0"/>
    <w:rPr>
      <w:rFonts w:eastAsia="仿宋_GB2312"/>
      <w:sz w:val="24"/>
    </w:rPr>
  </w:style>
  <w:style w:type="character" w:customStyle="1" w:styleId="861">
    <w:name w:val="hui3"/>
    <w:qFormat/>
    <w:uiPriority w:val="0"/>
    <w:rPr>
      <w:color w:val="333333"/>
    </w:rPr>
  </w:style>
  <w:style w:type="character" w:customStyle="1" w:styleId="862">
    <w:name w:val="Char Char17"/>
    <w:qFormat/>
    <w:uiPriority w:val="6"/>
    <w:rPr>
      <w:rFonts w:eastAsia="仿宋_GB2312"/>
      <w:sz w:val="24"/>
    </w:rPr>
  </w:style>
  <w:style w:type="character" w:customStyle="1" w:styleId="863">
    <w:name w:val="标题 4 字符"/>
    <w:qFormat/>
    <w:uiPriority w:val="9"/>
    <w:rPr>
      <w:rFonts w:ascii="等线 Light" w:hAnsi="等线 Light" w:eastAsia="等线 Light" w:cs="Times New Roman"/>
      <w:b/>
      <w:bCs/>
      <w:snapToGrid w:val="0"/>
      <w:kern w:val="0"/>
      <w:sz w:val="28"/>
      <w:szCs w:val="28"/>
    </w:rPr>
  </w:style>
  <w:style w:type="character" w:customStyle="1" w:styleId="864">
    <w:name w:val="Char Char37"/>
    <w:qFormat/>
    <w:uiPriority w:val="6"/>
    <w:rPr>
      <w:b/>
      <w:kern w:val="1"/>
      <w:sz w:val="44"/>
      <w:szCs w:val="44"/>
    </w:rPr>
  </w:style>
  <w:style w:type="character" w:customStyle="1" w:styleId="865">
    <w:name w:val="列出段落 Char"/>
    <w:qFormat/>
    <w:uiPriority w:val="0"/>
    <w:rPr>
      <w:rFonts w:eastAsia="楷体_GB2312" w:cs="Lucida Sans"/>
      <w:kern w:val="2"/>
      <w:sz w:val="24"/>
      <w:szCs w:val="24"/>
      <w:lang w:val="en-US" w:eastAsia="zh-CN" w:bidi="ar-SA"/>
    </w:rPr>
  </w:style>
  <w:style w:type="character" w:customStyle="1" w:styleId="866">
    <w:name w:val="正文文本缩进 3 Char1"/>
    <w:semiHidden/>
    <w:qFormat/>
    <w:uiPriority w:val="99"/>
    <w:rPr>
      <w:rFonts w:ascii="Times New Roman" w:hAnsi="Times New Roman" w:eastAsia="宋体" w:cs="Times New Roman"/>
      <w:sz w:val="16"/>
      <w:szCs w:val="16"/>
    </w:rPr>
  </w:style>
  <w:style w:type="character" w:customStyle="1" w:styleId="867">
    <w:name w:val="公文正文 Char Char"/>
    <w:link w:val="117"/>
    <w:qFormat/>
    <w:uiPriority w:val="0"/>
    <w:rPr>
      <w:rFonts w:ascii="仿宋_GB2312" w:eastAsia="仿宋_GB2312"/>
      <w:kern w:val="2"/>
      <w:sz w:val="24"/>
      <w:szCs w:val="24"/>
    </w:rPr>
  </w:style>
  <w:style w:type="character" w:customStyle="1" w:styleId="868">
    <w:name w:val="Table Text Char1"/>
    <w:qFormat/>
    <w:uiPriority w:val="0"/>
    <w:rPr>
      <w:rFonts w:eastAsia="宋体"/>
      <w:sz w:val="24"/>
      <w:szCs w:val="24"/>
      <w:lang w:val="en-US" w:eastAsia="zh-CN" w:bidi="ar-SA"/>
    </w:rPr>
  </w:style>
  <w:style w:type="character" w:customStyle="1" w:styleId="869">
    <w:name w:val="标题 1 Char Char"/>
    <w:qFormat/>
    <w:uiPriority w:val="0"/>
    <w:rPr>
      <w:rFonts w:hint="eastAsia" w:ascii="宋体" w:hAnsi="宋体" w:eastAsia="宋体"/>
      <w:b/>
      <w:spacing w:val="-2"/>
      <w:sz w:val="24"/>
      <w:lang w:val="en-US" w:eastAsia="zh-CN" w:bidi="ar-SA"/>
    </w:rPr>
  </w:style>
  <w:style w:type="character" w:customStyle="1" w:styleId="870">
    <w:name w:val="正文（缩进2汉字） Char"/>
    <w:link w:val="118"/>
    <w:qFormat/>
    <w:uiPriority w:val="0"/>
    <w:rPr>
      <w:rFonts w:ascii="宋体"/>
    </w:rPr>
  </w:style>
  <w:style w:type="character" w:customStyle="1" w:styleId="871">
    <w:name w:val="标题 8 Char"/>
    <w:link w:val="9"/>
    <w:qFormat/>
    <w:uiPriority w:val="0"/>
    <w:rPr>
      <w:rFonts w:ascii="Arial" w:hAnsi="Arial" w:eastAsia="黑体"/>
      <w:kern w:val="2"/>
      <w:sz w:val="24"/>
      <w:szCs w:val="24"/>
    </w:rPr>
  </w:style>
  <w:style w:type="character" w:customStyle="1" w:styleId="872">
    <w:name w:val="标书表格字体格式 Char"/>
    <w:qFormat/>
    <w:uiPriority w:val="0"/>
    <w:rPr>
      <w:kern w:val="2"/>
      <w:sz w:val="21"/>
      <w:szCs w:val="24"/>
      <w:lang w:bidi="ar-SA"/>
    </w:rPr>
  </w:style>
  <w:style w:type="character" w:customStyle="1" w:styleId="873">
    <w:name w:val="tw4winError"/>
    <w:qFormat/>
    <w:uiPriority w:val="0"/>
    <w:rPr>
      <w:rFonts w:ascii="Courier New" w:hAnsi="Courier New" w:cs="Courier New"/>
      <w:color w:val="00FF00"/>
      <w:sz w:val="40"/>
      <w:szCs w:val="40"/>
    </w:rPr>
  </w:style>
  <w:style w:type="character" w:customStyle="1" w:styleId="874">
    <w:name w:val="Body Text(ch) Char Char"/>
    <w:qFormat/>
    <w:uiPriority w:val="0"/>
    <w:rPr>
      <w:rFonts w:ascii="宋体"/>
      <w:kern w:val="2"/>
      <w:sz w:val="24"/>
      <w:szCs w:val="21"/>
      <w:lang w:val="zh-CN"/>
    </w:rPr>
  </w:style>
  <w:style w:type="character" w:customStyle="1" w:styleId="875">
    <w:name w:val="正文首行缩进两字 Char"/>
    <w:qFormat/>
    <w:uiPriority w:val="0"/>
    <w:rPr>
      <w:sz w:val="24"/>
      <w:szCs w:val="24"/>
      <w:lang w:val="en-US" w:eastAsia="zh-CN" w:bidi="ar-SA"/>
    </w:rPr>
  </w:style>
  <w:style w:type="character" w:customStyle="1" w:styleId="876">
    <w:name w:val="正文文本 Char"/>
    <w:qFormat/>
    <w:uiPriority w:val="0"/>
    <w:rPr>
      <w:rFonts w:eastAsia="宋体"/>
      <w:kern w:val="2"/>
      <w:sz w:val="24"/>
      <w:szCs w:val="24"/>
      <w:lang w:val="en-US" w:eastAsia="zh-CN" w:bidi="ar-SA"/>
    </w:rPr>
  </w:style>
  <w:style w:type="character" w:customStyle="1" w:styleId="877">
    <w:name w:val="文档结构图 字符1"/>
    <w:qFormat/>
    <w:uiPriority w:val="0"/>
    <w:rPr>
      <w:rFonts w:ascii="宋体" w:hAnsi="Calibri" w:eastAsia="黑体" w:cs="Arial"/>
      <w:snapToGrid w:val="0"/>
      <w:kern w:val="2"/>
      <w:sz w:val="18"/>
      <w:szCs w:val="18"/>
    </w:rPr>
  </w:style>
  <w:style w:type="character" w:customStyle="1" w:styleId="878">
    <w:name w:val="content"/>
    <w:qFormat/>
    <w:uiPriority w:val="0"/>
  </w:style>
  <w:style w:type="character" w:customStyle="1" w:styleId="879">
    <w:name w:val="tw4winPopup"/>
    <w:qFormat/>
    <w:uiPriority w:val="0"/>
    <w:rPr>
      <w:rFonts w:ascii="Courier New" w:hAnsi="Courier New" w:cs="Courier New"/>
      <w:color w:val="008000"/>
      <w:lang w:val="en-US" w:eastAsia="zh-CN"/>
    </w:rPr>
  </w:style>
  <w:style w:type="character" w:customStyle="1" w:styleId="880">
    <w:name w:val="param-name"/>
    <w:qFormat/>
    <w:uiPriority w:val="99"/>
    <w:rPr>
      <w:rFonts w:ascii="Arial" w:hAnsi="Arial" w:eastAsia="黑体" w:cs="Arial"/>
      <w:snapToGrid w:val="0"/>
      <w:kern w:val="0"/>
      <w:szCs w:val="21"/>
    </w:rPr>
  </w:style>
  <w:style w:type="character" w:customStyle="1" w:styleId="881">
    <w:name w:val="标准正文格式 Char"/>
    <w:qFormat/>
    <w:uiPriority w:val="0"/>
    <w:rPr>
      <w:rFonts w:ascii="宋体" w:eastAsia="仿宋_GB2312" w:cs="宋体"/>
      <w:color w:val="000000"/>
      <w:sz w:val="24"/>
      <w:lang w:val="en-US" w:eastAsia="zh-CN" w:bidi="ar-SA"/>
    </w:rPr>
  </w:style>
  <w:style w:type="character" w:customStyle="1" w:styleId="882">
    <w:name w:val="Char Char212"/>
    <w:qFormat/>
    <w:uiPriority w:val="0"/>
    <w:rPr>
      <w:rFonts w:eastAsia="宋体"/>
      <w:b/>
      <w:bCs/>
      <w:kern w:val="2"/>
      <w:sz w:val="21"/>
      <w:szCs w:val="24"/>
      <w:lang w:val="en-US" w:eastAsia="zh-CN" w:bidi="ar-SA"/>
    </w:rPr>
  </w:style>
  <w:style w:type="character" w:customStyle="1" w:styleId="883">
    <w:name w:val="文档结构图 Char"/>
    <w:qFormat/>
    <w:uiPriority w:val="0"/>
    <w:rPr>
      <w:rFonts w:eastAsia="宋体"/>
      <w:kern w:val="2"/>
      <w:sz w:val="21"/>
      <w:szCs w:val="24"/>
      <w:lang w:val="en-US" w:eastAsia="zh-CN" w:bidi="ar-SA"/>
    </w:rPr>
  </w:style>
  <w:style w:type="character" w:customStyle="1" w:styleId="884">
    <w:name w:val="zbggmain style9"/>
    <w:qFormat/>
    <w:uiPriority w:val="0"/>
  </w:style>
  <w:style w:type="character" w:customStyle="1" w:styleId="885">
    <w:name w:val="Char Char16"/>
    <w:qFormat/>
    <w:uiPriority w:val="6"/>
    <w:rPr>
      <w:kern w:val="1"/>
      <w:sz w:val="18"/>
      <w:szCs w:val="18"/>
    </w:rPr>
  </w:style>
  <w:style w:type="character" w:customStyle="1" w:styleId="886">
    <w:name w:val="font51"/>
    <w:qFormat/>
    <w:uiPriority w:val="0"/>
    <w:rPr>
      <w:rFonts w:hint="eastAsia" w:ascii="仿宋" w:hAnsi="仿宋" w:eastAsia="仿宋" w:cs="仿宋"/>
      <w:color w:val="000000"/>
      <w:sz w:val="20"/>
      <w:szCs w:val="20"/>
      <w:u w:val="none"/>
    </w:rPr>
  </w:style>
  <w:style w:type="character" w:customStyle="1" w:styleId="887">
    <w:name w:val="Char Char82"/>
    <w:qFormat/>
    <w:uiPriority w:val="0"/>
    <w:rPr>
      <w:rFonts w:eastAsia="宋体"/>
      <w:b/>
      <w:sz w:val="24"/>
      <w:lang w:eastAsia="zh-CN"/>
    </w:rPr>
  </w:style>
  <w:style w:type="character" w:customStyle="1" w:styleId="888">
    <w:name w:val="正文文本缩进 3 Char"/>
    <w:link w:val="54"/>
    <w:qFormat/>
    <w:uiPriority w:val="0"/>
    <w:rPr>
      <w:kern w:val="2"/>
      <w:sz w:val="24"/>
    </w:rPr>
  </w:style>
  <w:style w:type="character" w:customStyle="1" w:styleId="889">
    <w:name w:val="日期 Char1"/>
    <w:semiHidden/>
    <w:qFormat/>
    <w:uiPriority w:val="99"/>
    <w:rPr>
      <w:rFonts w:ascii="Times New Roman" w:hAnsi="Times New Roman" w:eastAsia="宋体" w:cs="Times New Roman"/>
      <w:szCs w:val="24"/>
    </w:rPr>
  </w:style>
  <w:style w:type="character" w:customStyle="1" w:styleId="890">
    <w:name w:val="页眉 字符"/>
    <w:qFormat/>
    <w:uiPriority w:val="99"/>
    <w:rPr>
      <w:kern w:val="2"/>
      <w:sz w:val="18"/>
      <w:szCs w:val="18"/>
    </w:rPr>
  </w:style>
  <w:style w:type="character" w:customStyle="1" w:styleId="891">
    <w:name w:val="Char Char33"/>
    <w:qFormat/>
    <w:uiPriority w:val="6"/>
    <w:rPr>
      <w:rFonts w:ascii="Arial" w:hAnsi="Arial" w:eastAsia="黑体"/>
      <w:b/>
      <w:kern w:val="1"/>
      <w:sz w:val="24"/>
      <w:szCs w:val="24"/>
    </w:rPr>
  </w:style>
  <w:style w:type="character" w:customStyle="1" w:styleId="892">
    <w:name w:val="b11_01b Char"/>
    <w:link w:val="119"/>
    <w:qFormat/>
    <w:uiPriority w:val="0"/>
    <w:rPr>
      <w:rFonts w:ascii="Verdana" w:hAnsi="Verdana"/>
      <w:b/>
      <w:bCs/>
      <w:color w:val="4A82CA"/>
      <w:sz w:val="17"/>
      <w:szCs w:val="17"/>
    </w:rPr>
  </w:style>
  <w:style w:type="character" w:customStyle="1" w:styleId="893">
    <w:name w:val="Char Char121"/>
    <w:qFormat/>
    <w:uiPriority w:val="6"/>
    <w:rPr>
      <w:rFonts w:ascii="仿宋_GB2312" w:eastAsia="仿宋_GB2312"/>
      <w:b/>
      <w:bCs/>
      <w:kern w:val="2"/>
      <w:sz w:val="24"/>
      <w:szCs w:val="24"/>
      <w:lang w:val="zh-CN" w:eastAsia="zh-CN" w:bidi="ar-SA"/>
    </w:rPr>
  </w:style>
  <w:style w:type="character" w:customStyle="1" w:styleId="894">
    <w:name w:val="Footer-Even Char"/>
    <w:qFormat/>
    <w:uiPriority w:val="0"/>
    <w:rPr>
      <w:rFonts w:eastAsia="宋体"/>
      <w:kern w:val="2"/>
      <w:sz w:val="18"/>
      <w:lang w:val="en-US" w:eastAsia="zh-CN" w:bidi="ar-SA"/>
    </w:rPr>
  </w:style>
  <w:style w:type="character" w:customStyle="1" w:styleId="895">
    <w:name w:val="页脚 Char2"/>
    <w:link w:val="41"/>
    <w:qFormat/>
    <w:locked/>
    <w:uiPriority w:val="99"/>
    <w:rPr>
      <w:kern w:val="2"/>
      <w:sz w:val="18"/>
      <w:szCs w:val="18"/>
    </w:rPr>
  </w:style>
  <w:style w:type="character" w:customStyle="1" w:styleId="896">
    <w:name w:val="Char Char36"/>
    <w:qFormat/>
    <w:uiPriority w:val="6"/>
    <w:rPr>
      <w:rFonts w:ascii="仿宋_GB2312" w:hAnsi="仿宋_GB2312" w:eastAsia="仿宋_GB2312" w:cs="Arial"/>
      <w:b/>
      <w:kern w:val="1"/>
      <w:sz w:val="32"/>
      <w:szCs w:val="32"/>
      <w:lang w:val="zh-CN" w:eastAsia="zh-CN" w:bidi="ar-SA"/>
    </w:rPr>
  </w:style>
  <w:style w:type="character" w:customStyle="1" w:styleId="897">
    <w:name w:val="Char Char61"/>
    <w:qFormat/>
    <w:uiPriority w:val="6"/>
    <w:rPr>
      <w:rFonts w:eastAsia="宋体"/>
      <w:kern w:val="2"/>
      <w:sz w:val="21"/>
      <w:szCs w:val="24"/>
      <w:lang w:val="en-US" w:eastAsia="zh-CN" w:bidi="ar-SA"/>
    </w:rPr>
  </w:style>
  <w:style w:type="character" w:customStyle="1" w:styleId="898">
    <w:name w:val="正文文字缩进 2 Char Char"/>
    <w:qFormat/>
    <w:uiPriority w:val="0"/>
    <w:rPr>
      <w:rFonts w:ascii="宋体"/>
      <w:sz w:val="28"/>
    </w:rPr>
  </w:style>
  <w:style w:type="character" w:customStyle="1" w:styleId="899">
    <w:name w:val="f141"/>
    <w:qFormat/>
    <w:uiPriority w:val="0"/>
    <w:rPr>
      <w:rFonts w:ascii="Tahoma" w:hAnsi="Tahoma" w:eastAsia="宋体"/>
      <w:b/>
      <w:kern w:val="2"/>
      <w:sz w:val="21"/>
      <w:szCs w:val="21"/>
      <w:lang w:val="en-US" w:eastAsia="zh-CN" w:bidi="ar-SA"/>
    </w:rPr>
  </w:style>
  <w:style w:type="character" w:customStyle="1" w:styleId="900">
    <w:name w:val="段落 Char Char"/>
    <w:link w:val="120"/>
    <w:qFormat/>
    <w:uiPriority w:val="0"/>
    <w:rPr>
      <w:rFonts w:ascii="宋体" w:hAnsi="宋体"/>
      <w:sz w:val="24"/>
    </w:rPr>
  </w:style>
  <w:style w:type="character" w:customStyle="1" w:styleId="901">
    <w:name w:val="标题 3 Char2"/>
    <w:qFormat/>
    <w:uiPriority w:val="0"/>
    <w:rPr>
      <w:rFonts w:eastAsia="宋体"/>
      <w:b/>
      <w:bCs/>
      <w:kern w:val="2"/>
      <w:sz w:val="32"/>
      <w:szCs w:val="32"/>
      <w:lang w:val="en-US" w:eastAsia="zh-CN" w:bidi="ar-SA"/>
    </w:rPr>
  </w:style>
  <w:style w:type="character" w:customStyle="1" w:styleId="902">
    <w:name w:val="apple-converted-space"/>
    <w:qFormat/>
    <w:uiPriority w:val="0"/>
  </w:style>
  <w:style w:type="character" w:customStyle="1" w:styleId="903">
    <w:name w:val="页眉 Char2"/>
    <w:link w:val="42"/>
    <w:qFormat/>
    <w:uiPriority w:val="99"/>
    <w:rPr>
      <w:kern w:val="2"/>
      <w:sz w:val="18"/>
      <w:szCs w:val="18"/>
    </w:rPr>
  </w:style>
  <w:style w:type="character" w:customStyle="1" w:styleId="904">
    <w:name w:val="Char Char9"/>
    <w:qFormat/>
    <w:uiPriority w:val="0"/>
    <w:rPr>
      <w:rFonts w:eastAsia="宋体"/>
      <w:kern w:val="2"/>
      <w:sz w:val="18"/>
      <w:szCs w:val="18"/>
      <w:lang w:val="en-US" w:eastAsia="zh-CN" w:bidi="ar-SA"/>
    </w:rPr>
  </w:style>
  <w:style w:type="character" w:customStyle="1" w:styleId="905">
    <w:name w:val="Char Char41"/>
    <w:qFormat/>
    <w:uiPriority w:val="0"/>
    <w:rPr>
      <w:rFonts w:eastAsia="宋体"/>
      <w:b/>
      <w:sz w:val="24"/>
      <w:lang w:eastAsia="zh-CN" w:bidi="ar-SA"/>
    </w:rPr>
  </w:style>
  <w:style w:type="character" w:customStyle="1" w:styleId="906">
    <w:name w:val="large1"/>
    <w:qFormat/>
    <w:uiPriority w:val="0"/>
    <w:rPr>
      <w:rFonts w:hint="eastAsia" w:ascii="宋体" w:hAnsi="宋体" w:eastAsia="宋体"/>
      <w:sz w:val="21"/>
      <w:szCs w:val="21"/>
    </w:rPr>
  </w:style>
  <w:style w:type="character" w:customStyle="1" w:styleId="907">
    <w:name w:val="正文段 Char"/>
    <w:link w:val="121"/>
    <w:qFormat/>
    <w:uiPriority w:val="0"/>
    <w:rPr>
      <w:sz w:val="24"/>
    </w:rPr>
  </w:style>
  <w:style w:type="character" w:customStyle="1" w:styleId="908">
    <w:name w:val="Char Char13"/>
    <w:qFormat/>
    <w:uiPriority w:val="6"/>
    <w:rPr>
      <w:rFonts w:ascii="宋体" w:hAnsi="宋体"/>
      <w:kern w:val="1"/>
      <w:sz w:val="21"/>
      <w:szCs w:val="24"/>
    </w:rPr>
  </w:style>
  <w:style w:type="character" w:customStyle="1" w:styleId="90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10">
    <w:name w:val="冯广丽 Char"/>
    <w:link w:val="122"/>
    <w:qFormat/>
    <w:uiPriority w:val="0"/>
    <w:rPr>
      <w:rFonts w:ascii="宋体" w:hAnsi="宋体"/>
      <w:kern w:val="2"/>
      <w:sz w:val="24"/>
      <w:szCs w:val="22"/>
    </w:rPr>
  </w:style>
  <w:style w:type="character" w:customStyle="1" w:styleId="911">
    <w:name w:val="批注文字 字符"/>
    <w:qFormat/>
    <w:uiPriority w:val="0"/>
    <w:rPr>
      <w:rFonts w:ascii="Arial" w:hAnsi="Arial" w:eastAsia="黑体" w:cs="Arial"/>
      <w:snapToGrid w:val="0"/>
      <w:kern w:val="0"/>
      <w:szCs w:val="21"/>
    </w:rPr>
  </w:style>
  <w:style w:type="character" w:customStyle="1" w:styleId="912">
    <w:name w:val="Char Char161"/>
    <w:qFormat/>
    <w:uiPriority w:val="0"/>
    <w:rPr>
      <w:rFonts w:eastAsia="宋体"/>
      <w:b/>
      <w:kern w:val="2"/>
      <w:sz w:val="32"/>
      <w:lang w:val="en-US" w:eastAsia="zh-CN"/>
    </w:rPr>
  </w:style>
  <w:style w:type="character" w:customStyle="1" w:styleId="913">
    <w:name w:val="javascript"/>
    <w:qFormat/>
    <w:uiPriority w:val="0"/>
  </w:style>
  <w:style w:type="character" w:customStyle="1" w:styleId="914">
    <w:name w:val="图名 Char"/>
    <w:qFormat/>
    <w:uiPriority w:val="0"/>
    <w:rPr>
      <w:rFonts w:ascii="Arial" w:hAnsi="Arial" w:eastAsia="黑体"/>
      <w:kern w:val="2"/>
      <w:sz w:val="24"/>
      <w:szCs w:val="24"/>
      <w:lang w:val="en-US" w:eastAsia="zh-CN" w:bidi="ar-SA"/>
    </w:rPr>
  </w:style>
  <w:style w:type="character" w:customStyle="1" w:styleId="915">
    <w:name w:val="Used by Word for text of Help footnotes Char Char"/>
    <w:qFormat/>
    <w:uiPriority w:val="0"/>
    <w:rPr>
      <w:rFonts w:ascii="Times New Roman" w:hAnsi="Times New Roman" w:eastAsia="宋体" w:cs="Times New Roman"/>
      <w:sz w:val="20"/>
      <w:szCs w:val="20"/>
    </w:rPr>
  </w:style>
  <w:style w:type="character" w:customStyle="1" w:styleId="916">
    <w:name w:val="编号，小四 Char"/>
    <w:link w:val="123"/>
    <w:qFormat/>
    <w:uiPriority w:val="0"/>
    <w:rPr>
      <w:rFonts w:ascii="Arial" w:hAnsi="Arial"/>
      <w:sz w:val="24"/>
    </w:rPr>
  </w:style>
  <w:style w:type="character" w:customStyle="1" w:styleId="917">
    <w:name w:val="Font Style82"/>
    <w:qFormat/>
    <w:uiPriority w:val="99"/>
    <w:rPr>
      <w:rFonts w:ascii="宋体" w:eastAsia="宋体" w:cs="宋体"/>
      <w:color w:val="000000"/>
      <w:sz w:val="14"/>
      <w:szCs w:val="14"/>
    </w:rPr>
  </w:style>
  <w:style w:type="character" w:customStyle="1" w:styleId="918">
    <w:name w:val="标题 2 Char Char"/>
    <w:qFormat/>
    <w:uiPriority w:val="0"/>
    <w:rPr>
      <w:rFonts w:ascii="楷体_GB2312" w:hAnsi="Arial" w:eastAsia="楷体_GB2312"/>
      <w:b/>
      <w:bCs/>
      <w:kern w:val="2"/>
      <w:sz w:val="24"/>
      <w:szCs w:val="32"/>
      <w:lang w:val="en-US" w:eastAsia="zh-CN" w:bidi="ar-SA"/>
    </w:rPr>
  </w:style>
  <w:style w:type="character" w:customStyle="1" w:styleId="919">
    <w:name w:val="未用 Char"/>
    <w:qFormat/>
    <w:uiPriority w:val="0"/>
    <w:rPr>
      <w:rFonts w:ascii="Arial" w:hAnsi="Arial" w:eastAsia="黑体"/>
      <w:kern w:val="2"/>
      <w:sz w:val="21"/>
      <w:szCs w:val="21"/>
      <w:lang w:val="en-US" w:eastAsia="zh-CN" w:bidi="ar-SA"/>
    </w:rPr>
  </w:style>
  <w:style w:type="character" w:customStyle="1" w:styleId="920">
    <w:name w:val="myp1111"/>
    <w:qFormat/>
    <w:uiPriority w:val="0"/>
    <w:rPr>
      <w:rFonts w:hint="default" w:ascii="ˎ̥" w:hAnsi="ˎ̥"/>
      <w:color w:val="000000"/>
      <w:sz w:val="20"/>
      <w:szCs w:val="20"/>
      <w:u w:val="none"/>
    </w:rPr>
  </w:style>
  <w:style w:type="character" w:customStyle="1" w:styleId="921">
    <w:name w:val="样式 标题 4h4H4Fab-4T5Ref Heading 1rh1Heading sqlsect 1.2.3.... Char"/>
    <w:link w:val="112"/>
    <w:qFormat/>
    <w:uiPriority w:val="0"/>
    <w:rPr>
      <w:rFonts w:ascii="微软雅黑" w:hAnsi="微软雅黑" w:eastAsia="微软雅黑"/>
      <w:b/>
      <w:bCs/>
      <w:kern w:val="2"/>
      <w:sz w:val="24"/>
      <w:szCs w:val="28"/>
    </w:rPr>
  </w:style>
  <w:style w:type="character" w:customStyle="1" w:styleId="922">
    <w:name w:val="h Char Char"/>
    <w:qFormat/>
    <w:uiPriority w:val="0"/>
    <w:rPr>
      <w:rFonts w:eastAsia="宋体"/>
      <w:kern w:val="2"/>
      <w:sz w:val="18"/>
      <w:lang w:val="en-US" w:eastAsia="zh-CN" w:bidi="ar-SA"/>
    </w:rPr>
  </w:style>
  <w:style w:type="character" w:customStyle="1" w:styleId="923">
    <w:name w:val="仿宋正文 Char"/>
    <w:link w:val="124"/>
    <w:qFormat/>
    <w:uiPriority w:val="0"/>
    <w:rPr>
      <w:rFonts w:ascii="仿宋_GB2312" w:eastAsia="仿宋_GB2312"/>
      <w:kern w:val="2"/>
      <w:sz w:val="24"/>
      <w:lang w:val="en-US" w:eastAsia="zh-CN" w:bidi="ar-SA"/>
    </w:rPr>
  </w:style>
  <w:style w:type="character" w:customStyle="1" w:styleId="924">
    <w:name w:val="正文首行缩进 Char Char Char Char Char Char"/>
    <w:qFormat/>
    <w:uiPriority w:val="0"/>
    <w:rPr>
      <w:rFonts w:ascii="宋体" w:eastAsia="宋体"/>
      <w:kern w:val="2"/>
      <w:sz w:val="24"/>
      <w:lang w:val="zh-CN" w:bidi="ar-SA"/>
    </w:rPr>
  </w:style>
  <w:style w:type="character" w:customStyle="1" w:styleId="925">
    <w:name w:val="样式 宋体"/>
    <w:qFormat/>
    <w:uiPriority w:val="0"/>
    <w:rPr>
      <w:rFonts w:ascii="宋体" w:hAnsi="宋体"/>
      <w:sz w:val="24"/>
    </w:rPr>
  </w:style>
  <w:style w:type="character" w:customStyle="1" w:styleId="926">
    <w:name w:val="tw4winJump"/>
    <w:qFormat/>
    <w:uiPriority w:val="0"/>
    <w:rPr>
      <w:rFonts w:ascii="Courier New" w:hAnsi="Courier New" w:cs="Courier New"/>
      <w:color w:val="008080"/>
      <w:lang w:val="en-US" w:eastAsia="zh-CN"/>
    </w:rPr>
  </w:style>
  <w:style w:type="character" w:customStyle="1" w:styleId="927">
    <w:name w:val="标题 1 字符"/>
    <w:qFormat/>
    <w:uiPriority w:val="9"/>
    <w:rPr>
      <w:rFonts w:ascii="Arial" w:hAnsi="Arial" w:eastAsia="黑体" w:cs="Arial"/>
      <w:b/>
      <w:bCs/>
      <w:snapToGrid w:val="0"/>
      <w:kern w:val="44"/>
      <w:sz w:val="44"/>
      <w:szCs w:val="44"/>
    </w:rPr>
  </w:style>
  <w:style w:type="character" w:customStyle="1" w:styleId="928">
    <w:name w:val="style36"/>
    <w:basedOn w:val="70"/>
    <w:qFormat/>
    <w:uiPriority w:val="0"/>
    <w:rPr>
      <w:rFonts w:ascii="Arial" w:hAnsi="Arial" w:eastAsia="黑体" w:cs="Arial"/>
      <w:snapToGrid w:val="0"/>
      <w:kern w:val="0"/>
      <w:szCs w:val="21"/>
    </w:rPr>
  </w:style>
  <w:style w:type="character" w:customStyle="1" w:styleId="929">
    <w:name w:val="pt9"/>
    <w:qFormat/>
    <w:uiPriority w:val="0"/>
    <w:rPr>
      <w:rFonts w:ascii="仿宋_GB2312" w:eastAsia="微软雅黑"/>
      <w:b/>
      <w:kern w:val="2"/>
      <w:sz w:val="32"/>
      <w:szCs w:val="32"/>
      <w:lang w:val="en-US" w:eastAsia="zh-CN" w:bidi="ar-SA"/>
    </w:rPr>
  </w:style>
  <w:style w:type="character" w:customStyle="1" w:styleId="930">
    <w:name w:val="DO_NOT_TRANSLATE"/>
    <w:qFormat/>
    <w:uiPriority w:val="0"/>
    <w:rPr>
      <w:rFonts w:ascii="Courier New" w:hAnsi="Courier New" w:cs="Courier New"/>
      <w:color w:val="800000"/>
      <w:lang w:val="en-US" w:eastAsia="zh-CN"/>
    </w:rPr>
  </w:style>
  <w:style w:type="character" w:customStyle="1" w:styleId="931">
    <w:name w:val="标书1 Char1"/>
    <w:qFormat/>
    <w:uiPriority w:val="0"/>
    <w:rPr>
      <w:rFonts w:eastAsia="宋体"/>
      <w:b/>
      <w:bCs/>
      <w:kern w:val="44"/>
      <w:sz w:val="44"/>
      <w:szCs w:val="44"/>
      <w:lang w:val="en-US" w:eastAsia="zh-CN" w:bidi="ar-SA"/>
    </w:rPr>
  </w:style>
  <w:style w:type="character" w:customStyle="1" w:styleId="932">
    <w:name w:val="页脚 字符"/>
    <w:qFormat/>
    <w:uiPriority w:val="99"/>
    <w:rPr>
      <w:kern w:val="2"/>
      <w:sz w:val="18"/>
      <w:szCs w:val="18"/>
    </w:rPr>
  </w:style>
  <w:style w:type="character" w:customStyle="1" w:styleId="933">
    <w:name w:val="正文2 Char"/>
    <w:qFormat/>
    <w:uiPriority w:val="0"/>
    <w:rPr>
      <w:rFonts w:eastAsia="宋体"/>
      <w:kern w:val="2"/>
      <w:sz w:val="24"/>
      <w:lang w:val="en-US" w:eastAsia="zh-CN" w:bidi="ar-SA"/>
    </w:rPr>
  </w:style>
  <w:style w:type="character" w:customStyle="1" w:styleId="934">
    <w:name w:val="Char Char21"/>
    <w:qFormat/>
    <w:uiPriority w:val="6"/>
    <w:rPr>
      <w:rFonts w:ascii="宋体" w:hAnsi="宋体"/>
      <w:kern w:val="1"/>
      <w:sz w:val="24"/>
      <w:szCs w:val="21"/>
      <w:lang w:val="zh-CN"/>
    </w:rPr>
  </w:style>
  <w:style w:type="character" w:customStyle="1" w:styleId="935">
    <w:name w:val="样式 正文缩进 + 首行缩进:  2 字符 Char Char"/>
    <w:link w:val="125"/>
    <w:qFormat/>
    <w:uiPriority w:val="0"/>
    <w:rPr>
      <w:rFonts w:cs="宋体"/>
      <w:kern w:val="2"/>
      <w:sz w:val="24"/>
    </w:rPr>
  </w:style>
  <w:style w:type="character" w:customStyle="1" w:styleId="936">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7">
    <w:name w:val="gray6"/>
    <w:basedOn w:val="70"/>
    <w:qFormat/>
    <w:uiPriority w:val="0"/>
    <w:rPr>
      <w:rFonts w:ascii="Arial" w:hAnsi="Arial" w:eastAsia="黑体" w:cs="Arial"/>
      <w:snapToGrid w:val="0"/>
      <w:kern w:val="0"/>
      <w:szCs w:val="21"/>
    </w:rPr>
  </w:style>
  <w:style w:type="character" w:customStyle="1" w:styleId="938">
    <w:name w:val="hui"/>
    <w:basedOn w:val="70"/>
    <w:qFormat/>
    <w:uiPriority w:val="0"/>
    <w:rPr>
      <w:rFonts w:ascii="Arial" w:hAnsi="Arial" w:eastAsia="黑体" w:cs="Arial"/>
      <w:snapToGrid w:val="0"/>
      <w:kern w:val="0"/>
      <w:szCs w:val="21"/>
    </w:rPr>
  </w:style>
  <w:style w:type="character" w:customStyle="1" w:styleId="939">
    <w:name w:val="哈哈正文 Char Char"/>
    <w:qFormat/>
    <w:uiPriority w:val="0"/>
    <w:rPr>
      <w:rFonts w:ascii="宋体" w:hAnsi="宋体" w:eastAsia="宋体" w:cs="宋体"/>
      <w:kern w:val="2"/>
      <w:sz w:val="24"/>
      <w:lang w:val="en-US" w:eastAsia="zh-CN" w:bidi="ar-SA"/>
    </w:rPr>
  </w:style>
  <w:style w:type="character" w:customStyle="1" w:styleId="940">
    <w:name w:val="交叉引用"/>
    <w:qFormat/>
    <w:uiPriority w:val="1"/>
    <w:rPr>
      <w:rFonts w:ascii="Arial" w:hAnsi="Arial" w:eastAsia="黑体"/>
      <w:snapToGrid w:val="0"/>
      <w:color w:val="0000FF"/>
      <w:kern w:val="0"/>
      <w:sz w:val="20"/>
      <w:szCs w:val="21"/>
      <w:u w:val="single"/>
      <w:lang w:val="en-US" w:eastAsia="zh-CN"/>
    </w:rPr>
  </w:style>
  <w:style w:type="character" w:customStyle="1" w:styleId="941">
    <w:name w:val="正文缩进 字符1"/>
    <w:qFormat/>
    <w:uiPriority w:val="0"/>
    <w:rPr>
      <w:rFonts w:ascii="宋体" w:eastAsia="宋体"/>
      <w:snapToGrid w:val="0"/>
      <w:color w:val="000000"/>
      <w:kern w:val="28"/>
      <w:sz w:val="28"/>
      <w:lang w:val="en-US" w:eastAsia="zh-CN" w:bidi="ar-SA"/>
    </w:rPr>
  </w:style>
  <w:style w:type="character" w:customStyle="1" w:styleId="942">
    <w:name w:val="页脚 字符1"/>
    <w:qFormat/>
    <w:locked/>
    <w:uiPriority w:val="99"/>
    <w:rPr>
      <w:kern w:val="2"/>
      <w:sz w:val="18"/>
      <w:szCs w:val="18"/>
    </w:rPr>
  </w:style>
  <w:style w:type="character" w:customStyle="1" w:styleId="943">
    <w:name w:val="页眉 字符1"/>
    <w:qFormat/>
    <w:uiPriority w:val="99"/>
    <w:rPr>
      <w:kern w:val="2"/>
      <w:sz w:val="18"/>
      <w:szCs w:val="18"/>
    </w:rPr>
  </w:style>
  <w:style w:type="character" w:customStyle="1" w:styleId="944">
    <w:name w:val="尾注文本 Char"/>
    <w:link w:val="39"/>
    <w:qFormat/>
    <w:uiPriority w:val="0"/>
    <w:rPr>
      <w:kern w:val="2"/>
      <w:sz w:val="21"/>
      <w:szCs w:val="24"/>
      <w:lang w:val="zh-CN"/>
    </w:rPr>
  </w:style>
  <w:style w:type="character" w:customStyle="1" w:styleId="945">
    <w:name w:val="无间隔 Char"/>
    <w:link w:val="175"/>
    <w:qFormat/>
    <w:uiPriority w:val="99"/>
    <w:rPr>
      <w:kern w:val="2"/>
      <w:sz w:val="21"/>
      <w:szCs w:val="22"/>
    </w:rPr>
  </w:style>
  <w:style w:type="character" w:customStyle="1" w:styleId="946">
    <w:name w:val="标准文本 Char Char"/>
    <w:link w:val="612"/>
    <w:qFormat/>
    <w:uiPriority w:val="0"/>
    <w:rPr>
      <w:rFonts w:cs="宋体"/>
      <w:kern w:val="2"/>
      <w:sz w:val="24"/>
    </w:rPr>
  </w:style>
  <w:style w:type="character" w:customStyle="1" w:styleId="947">
    <w:name w:val="Char Char213"/>
    <w:qFormat/>
    <w:uiPriority w:val="0"/>
    <w:rPr>
      <w:rFonts w:eastAsia="Century Gothic"/>
      <w:b/>
      <w:bCs/>
      <w:kern w:val="44"/>
      <w:sz w:val="32"/>
      <w:szCs w:val="44"/>
      <w:lang w:val="en-US" w:eastAsia="zh-CN" w:bidi="ar-SA"/>
    </w:rPr>
  </w:style>
  <w:style w:type="character" w:customStyle="1" w:styleId="948">
    <w:name w:val="apple-style-span"/>
    <w:qFormat/>
    <w:uiPriority w:val="0"/>
    <w:rPr>
      <w:rFonts w:ascii="Arial" w:hAnsi="Arial" w:eastAsia="黑体" w:cs="Arial"/>
      <w:snapToGrid w:val="0"/>
      <w:kern w:val="0"/>
      <w:szCs w:val="21"/>
    </w:rPr>
  </w:style>
  <w:style w:type="character" w:customStyle="1" w:styleId="949">
    <w:name w:val="15"/>
    <w:qFormat/>
    <w:uiPriority w:val="0"/>
    <w:rPr>
      <w:rFonts w:hint="default" w:ascii="Calibri" w:hAnsi="Calibri"/>
      <w:color w:val="0000FF"/>
      <w:u w:val="single"/>
    </w:rPr>
  </w:style>
  <w:style w:type="character" w:customStyle="1" w:styleId="950">
    <w:name w:val="16"/>
    <w:qFormat/>
    <w:uiPriority w:val="0"/>
    <w:rPr>
      <w:rFonts w:hint="eastAsia" w:ascii="宋体" w:hAnsi="宋体" w:eastAsia="宋体"/>
      <w:color w:val="000000"/>
      <w:sz w:val="20"/>
      <w:szCs w:val="20"/>
    </w:rPr>
  </w:style>
  <w:style w:type="character" w:customStyle="1" w:styleId="951">
    <w:name w:val="edui-unclickable"/>
    <w:qFormat/>
    <w:uiPriority w:val="0"/>
    <w:rPr>
      <w:color w:val="808080"/>
    </w:rPr>
  </w:style>
  <w:style w:type="character" w:customStyle="1" w:styleId="952">
    <w:name w:val="tpc_content1"/>
    <w:qFormat/>
    <w:uiPriority w:val="0"/>
    <w:rPr>
      <w:sz w:val="20"/>
      <w:szCs w:val="20"/>
    </w:rPr>
  </w:style>
  <w:style w:type="character" w:customStyle="1" w:styleId="953">
    <w:name w:val="正文文本缩进 字符"/>
    <w:qFormat/>
    <w:uiPriority w:val="0"/>
    <w:rPr>
      <w:rFonts w:ascii="Century Gothic" w:hAnsi="Century Gothic" w:eastAsia="Century Gothic"/>
      <w:kern w:val="2"/>
      <w:sz w:val="24"/>
      <w:lang w:val="en-US" w:eastAsia="zh-CN" w:bidi="ar-SA"/>
    </w:rPr>
  </w:style>
  <w:style w:type="character" w:customStyle="1" w:styleId="954">
    <w:name w:val="正文文本 2 字符"/>
    <w:qFormat/>
    <w:uiPriority w:val="0"/>
    <w:rPr>
      <w:rFonts w:ascii="Arial" w:hAnsi="Arial" w:eastAsia="宋体"/>
      <w:kern w:val="2"/>
      <w:sz w:val="24"/>
      <w:szCs w:val="24"/>
      <w:lang w:val="en-US" w:eastAsia="zh-CN" w:bidi="ar-SA"/>
    </w:rPr>
  </w:style>
  <w:style w:type="character" w:customStyle="1" w:styleId="955">
    <w:name w:val="edui-clickable2"/>
    <w:qFormat/>
    <w:uiPriority w:val="0"/>
    <w:rPr>
      <w:color w:val="0000FF"/>
      <w:u w:val="single"/>
    </w:rPr>
  </w:style>
  <w:style w:type="character" w:customStyle="1" w:styleId="956">
    <w:name w:val="style1"/>
    <w:qFormat/>
    <w:uiPriority w:val="0"/>
    <w:rPr>
      <w:rFonts w:ascii="Arial" w:hAnsi="Arial" w:eastAsia="黑体" w:cs="Arial"/>
      <w:snapToGrid w:val="0"/>
      <w:kern w:val="0"/>
      <w:szCs w:val="21"/>
    </w:rPr>
  </w:style>
  <w:style w:type="character" w:customStyle="1" w:styleId="957">
    <w:name w:val="zbggtop11 style5"/>
    <w:qFormat/>
    <w:uiPriority w:val="0"/>
    <w:rPr>
      <w:rFonts w:ascii="Arial" w:hAnsi="Arial" w:eastAsia="黑体" w:cs="Arial"/>
      <w:snapToGrid w:val="0"/>
      <w:kern w:val="0"/>
      <w:szCs w:val="21"/>
    </w:rPr>
  </w:style>
  <w:style w:type="character" w:customStyle="1" w:styleId="95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9">
    <w:name w:val="bulletintext1"/>
    <w:qFormat/>
    <w:uiPriority w:val="0"/>
    <w:rPr>
      <w:color w:val="000000"/>
      <w:sz w:val="18"/>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table" w:customStyle="1" w:styleId="963">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4">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5">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6">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7">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8">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9">
    <w:name w:val="Body text|1"/>
    <w:basedOn w:val="1"/>
    <w:qFormat/>
    <w:uiPriority w:val="0"/>
    <w:pPr>
      <w:spacing w:line="425" w:lineRule="auto"/>
      <w:ind w:firstLine="400"/>
    </w:pPr>
    <w:rPr>
      <w:rFonts w:ascii="宋体" w:hAnsi="宋体" w:cs="宋体"/>
      <w:sz w:val="20"/>
      <w:szCs w:val="20"/>
      <w:lang w:val="zh-CN" w:bidi="zh-CN"/>
    </w:rPr>
  </w:style>
  <w:style w:type="paragraph" w:customStyle="1" w:styleId="970">
    <w:name w:val="No Spacing1"/>
    <w:qFormat/>
    <w:uiPriority w:val="0"/>
    <w:rPr>
      <w:rFonts w:ascii="Times New Roman" w:hAnsi="Times New Roman" w:eastAsia="??" w:cs="宋体"/>
      <w:sz w:val="22"/>
      <w:szCs w:val="22"/>
      <w:lang w:val="en-US" w:eastAsia="en-US" w:bidi="ar-SA"/>
    </w:rPr>
  </w:style>
  <w:style w:type="paragraph" w:customStyle="1" w:styleId="971">
    <w:name w:val="纯文本3"/>
    <w:basedOn w:val="1"/>
    <w:qFormat/>
    <w:uiPriority w:val="0"/>
    <w:pPr>
      <w:spacing w:beforeLines="50" w:afterLines="50" w:line="400" w:lineRule="exact"/>
    </w:pPr>
    <w:rPr>
      <w:rFonts w:ascii="宋体" w:hAnsi="Courier New"/>
      <w:sz w:val="24"/>
    </w:rPr>
  </w:style>
  <w:style w:type="paragraph" w:customStyle="1" w:styleId="972">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73">
    <w:name w:val="表格正文"/>
    <w:basedOn w:val="1"/>
    <w:qFormat/>
    <w:uiPriority w:val="0"/>
    <w:pPr>
      <w:spacing w:line="360" w:lineRule="auto"/>
    </w:pPr>
    <w:rPr>
      <w:rFonts w:ascii="宋体" w:hAnsi="宋体" w:eastAsia="楷体_GB2312" w:cs="宋体"/>
      <w:sz w:val="24"/>
      <w:szCs w:val="20"/>
    </w:rPr>
  </w:style>
  <w:style w:type="character" w:customStyle="1" w:styleId="974">
    <w:name w:val="NormalCharacter"/>
    <w:semiHidden/>
    <w:qFormat/>
    <w:uiPriority w:val="0"/>
    <w:rPr>
      <w:rFonts w:ascii="等线" w:hAnsi="等线"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9" Type="http://schemas.openxmlformats.org/officeDocument/2006/relationships/image" Target="media/image72.png"/><Relationship Id="rId98" Type="http://schemas.openxmlformats.org/officeDocument/2006/relationships/image" Target="media/image71.png"/><Relationship Id="rId97" Type="http://schemas.openxmlformats.org/officeDocument/2006/relationships/image" Target="media/image70.png"/><Relationship Id="rId96" Type="http://schemas.openxmlformats.org/officeDocument/2006/relationships/image" Target="media/image69.png"/><Relationship Id="rId95" Type="http://schemas.openxmlformats.org/officeDocument/2006/relationships/image" Target="media/image68.png"/><Relationship Id="rId94" Type="http://schemas.openxmlformats.org/officeDocument/2006/relationships/image" Target="media/image67.png"/><Relationship Id="rId93" Type="http://schemas.openxmlformats.org/officeDocument/2006/relationships/image" Target="media/image66.png"/><Relationship Id="rId92" Type="http://schemas.openxmlformats.org/officeDocument/2006/relationships/image" Target="media/image65.png"/><Relationship Id="rId91" Type="http://schemas.openxmlformats.org/officeDocument/2006/relationships/image" Target="media/image64.png"/><Relationship Id="rId90" Type="http://schemas.openxmlformats.org/officeDocument/2006/relationships/image" Target="media/image63.png"/><Relationship Id="rId9" Type="http://schemas.openxmlformats.org/officeDocument/2006/relationships/header" Target="header4.xml"/><Relationship Id="rId89" Type="http://schemas.openxmlformats.org/officeDocument/2006/relationships/image" Target="media/image62.png"/><Relationship Id="rId88" Type="http://schemas.openxmlformats.org/officeDocument/2006/relationships/image" Target="media/image61.png"/><Relationship Id="rId87" Type="http://schemas.openxmlformats.org/officeDocument/2006/relationships/image" Target="media/image60.png"/><Relationship Id="rId86" Type="http://schemas.openxmlformats.org/officeDocument/2006/relationships/image" Target="media/image59.png"/><Relationship Id="rId85" Type="http://schemas.openxmlformats.org/officeDocument/2006/relationships/image" Target="media/image58.png"/><Relationship Id="rId84" Type="http://schemas.openxmlformats.org/officeDocument/2006/relationships/image" Target="media/image57.png"/><Relationship Id="rId83" Type="http://schemas.openxmlformats.org/officeDocument/2006/relationships/image" Target="media/image56.png"/><Relationship Id="rId82" Type="http://schemas.openxmlformats.org/officeDocument/2006/relationships/image" Target="media/image55.png"/><Relationship Id="rId81" Type="http://schemas.openxmlformats.org/officeDocument/2006/relationships/image" Target="media/image54.png"/><Relationship Id="rId80" Type="http://schemas.openxmlformats.org/officeDocument/2006/relationships/image" Target="media/image53.png"/><Relationship Id="rId8" Type="http://schemas.openxmlformats.org/officeDocument/2006/relationships/footer" Target="footer3.xml"/><Relationship Id="rId79" Type="http://schemas.openxmlformats.org/officeDocument/2006/relationships/image" Target="media/image52.png"/><Relationship Id="rId78" Type="http://schemas.openxmlformats.org/officeDocument/2006/relationships/image" Target="media/image51.png"/><Relationship Id="rId77" Type="http://schemas.openxmlformats.org/officeDocument/2006/relationships/image" Target="media/image50.png"/><Relationship Id="rId76" Type="http://schemas.openxmlformats.org/officeDocument/2006/relationships/image" Target="media/image49.png"/><Relationship Id="rId75" Type="http://schemas.openxmlformats.org/officeDocument/2006/relationships/image" Target="media/image48.png"/><Relationship Id="rId74" Type="http://schemas.openxmlformats.org/officeDocument/2006/relationships/image" Target="media/image47.png"/><Relationship Id="rId73" Type="http://schemas.openxmlformats.org/officeDocument/2006/relationships/image" Target="media/image46.png"/><Relationship Id="rId72" Type="http://schemas.openxmlformats.org/officeDocument/2006/relationships/image" Target="media/image45.png"/><Relationship Id="rId71" Type="http://schemas.openxmlformats.org/officeDocument/2006/relationships/image" Target="media/image44.png"/><Relationship Id="rId70" Type="http://schemas.openxmlformats.org/officeDocument/2006/relationships/image" Target="media/image43.png"/><Relationship Id="rId7" Type="http://schemas.openxmlformats.org/officeDocument/2006/relationships/header" Target="header3.xml"/><Relationship Id="rId69" Type="http://schemas.openxmlformats.org/officeDocument/2006/relationships/image" Target="media/image42.png"/><Relationship Id="rId68" Type="http://schemas.openxmlformats.org/officeDocument/2006/relationships/image" Target="media/image41.png"/><Relationship Id="rId67" Type="http://schemas.openxmlformats.org/officeDocument/2006/relationships/image" Target="media/image40.png"/><Relationship Id="rId66" Type="http://schemas.openxmlformats.org/officeDocument/2006/relationships/image" Target="media/image39.png"/><Relationship Id="rId65" Type="http://schemas.openxmlformats.org/officeDocument/2006/relationships/image" Target="media/image38.png"/><Relationship Id="rId64" Type="http://schemas.openxmlformats.org/officeDocument/2006/relationships/image" Target="media/image37.png"/><Relationship Id="rId63" Type="http://schemas.openxmlformats.org/officeDocument/2006/relationships/image" Target="media/image36.png"/><Relationship Id="rId62" Type="http://schemas.openxmlformats.org/officeDocument/2006/relationships/image" Target="media/image35.png"/><Relationship Id="rId61" Type="http://schemas.openxmlformats.org/officeDocument/2006/relationships/image" Target="media/image34.png"/><Relationship Id="rId60" Type="http://schemas.openxmlformats.org/officeDocument/2006/relationships/image" Target="media/image33.png"/><Relationship Id="rId6" Type="http://schemas.openxmlformats.org/officeDocument/2006/relationships/footer" Target="footer2.xml"/><Relationship Id="rId59" Type="http://schemas.openxmlformats.org/officeDocument/2006/relationships/image" Target="media/image32.png"/><Relationship Id="rId58" Type="http://schemas.openxmlformats.org/officeDocument/2006/relationships/image" Target="media/image31.png"/><Relationship Id="rId57" Type="http://schemas.openxmlformats.org/officeDocument/2006/relationships/image" Target="media/image30.png"/><Relationship Id="rId56" Type="http://schemas.openxmlformats.org/officeDocument/2006/relationships/image" Target="media/image29.png"/><Relationship Id="rId55" Type="http://schemas.openxmlformats.org/officeDocument/2006/relationships/image" Target="media/image28.png"/><Relationship Id="rId54" Type="http://schemas.openxmlformats.org/officeDocument/2006/relationships/image" Target="media/image27.png"/><Relationship Id="rId53" Type="http://schemas.openxmlformats.org/officeDocument/2006/relationships/image" Target="media/image26.png"/><Relationship Id="rId52" Type="http://schemas.openxmlformats.org/officeDocument/2006/relationships/image" Target="media/image25.png"/><Relationship Id="rId51" Type="http://schemas.openxmlformats.org/officeDocument/2006/relationships/image" Target="media/image24.png"/><Relationship Id="rId50" Type="http://schemas.openxmlformats.org/officeDocument/2006/relationships/image" Target="media/image23.png"/><Relationship Id="rId5" Type="http://schemas.openxmlformats.org/officeDocument/2006/relationships/header" Target="header2.xml"/><Relationship Id="rId49" Type="http://schemas.openxmlformats.org/officeDocument/2006/relationships/image" Target="media/image22.png"/><Relationship Id="rId48" Type="http://schemas.openxmlformats.org/officeDocument/2006/relationships/image" Target="media/image21.png"/><Relationship Id="rId47" Type="http://schemas.openxmlformats.org/officeDocument/2006/relationships/image" Target="media/image20.png"/><Relationship Id="rId46" Type="http://schemas.openxmlformats.org/officeDocument/2006/relationships/image" Target="media/image19.png"/><Relationship Id="rId45" Type="http://schemas.openxmlformats.org/officeDocument/2006/relationships/image" Target="media/image18.png"/><Relationship Id="rId44" Type="http://schemas.openxmlformats.org/officeDocument/2006/relationships/image" Target="media/image17.png"/><Relationship Id="rId43" Type="http://schemas.openxmlformats.org/officeDocument/2006/relationships/image" Target="media/image16.png"/><Relationship Id="rId42" Type="http://schemas.openxmlformats.org/officeDocument/2006/relationships/image" Target="media/image15.png"/><Relationship Id="rId41" Type="http://schemas.openxmlformats.org/officeDocument/2006/relationships/image" Target="media/image14.png"/><Relationship Id="rId40" Type="http://schemas.openxmlformats.org/officeDocument/2006/relationships/image" Target="media/image13.png"/><Relationship Id="rId4" Type="http://schemas.openxmlformats.org/officeDocument/2006/relationships/footer" Target="footer1.xml"/><Relationship Id="rId39" Type="http://schemas.openxmlformats.org/officeDocument/2006/relationships/image" Target="media/image12.png"/><Relationship Id="rId38" Type="http://schemas.openxmlformats.org/officeDocument/2006/relationships/image" Target="media/image11.png"/><Relationship Id="rId37" Type="http://schemas.openxmlformats.org/officeDocument/2006/relationships/image" Target="media/image10.png"/><Relationship Id="rId36" Type="http://schemas.openxmlformats.org/officeDocument/2006/relationships/image" Target="media/image9.png"/><Relationship Id="rId35" Type="http://schemas.openxmlformats.org/officeDocument/2006/relationships/image" Target="media/image8.png"/><Relationship Id="rId34" Type="http://schemas.openxmlformats.org/officeDocument/2006/relationships/image" Target="media/image7.png"/><Relationship Id="rId33" Type="http://schemas.openxmlformats.org/officeDocument/2006/relationships/image" Target="media/image6.png"/><Relationship Id="rId32" Type="http://schemas.openxmlformats.org/officeDocument/2006/relationships/image" Target="media/image5.png"/><Relationship Id="rId31" Type="http://schemas.openxmlformats.org/officeDocument/2006/relationships/image" Target="media/image4.png"/><Relationship Id="rId30" Type="http://schemas.openxmlformats.org/officeDocument/2006/relationships/image" Target="media/image3.png"/><Relationship Id="rId3" Type="http://schemas.openxmlformats.org/officeDocument/2006/relationships/header" Target="header1.xml"/><Relationship Id="rId29" Type="http://schemas.openxmlformats.org/officeDocument/2006/relationships/image" Target="media/image2.png"/><Relationship Id="rId28" Type="http://schemas.openxmlformats.org/officeDocument/2006/relationships/theme" Target="theme/theme1.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header" Target="header11.xml"/><Relationship Id="rId23" Type="http://schemas.openxmlformats.org/officeDocument/2006/relationships/footer" Target="footer11.xml"/><Relationship Id="rId226" Type="http://schemas.openxmlformats.org/officeDocument/2006/relationships/fontTable" Target="fontTable.xml"/><Relationship Id="rId225" Type="http://schemas.openxmlformats.org/officeDocument/2006/relationships/numbering" Target="numbering.xml"/><Relationship Id="rId224" Type="http://schemas.openxmlformats.org/officeDocument/2006/relationships/customXml" Target="../customXml/item1.xml"/><Relationship Id="rId223" Type="http://schemas.openxmlformats.org/officeDocument/2006/relationships/image" Target="media/image196.png"/><Relationship Id="rId222" Type="http://schemas.openxmlformats.org/officeDocument/2006/relationships/image" Target="media/image195.png"/><Relationship Id="rId221" Type="http://schemas.openxmlformats.org/officeDocument/2006/relationships/image" Target="media/image194.png"/><Relationship Id="rId220" Type="http://schemas.openxmlformats.org/officeDocument/2006/relationships/image" Target="media/image193.png"/><Relationship Id="rId22" Type="http://schemas.openxmlformats.org/officeDocument/2006/relationships/footer" Target="footer10.xml"/><Relationship Id="rId219" Type="http://schemas.openxmlformats.org/officeDocument/2006/relationships/image" Target="media/image192.png"/><Relationship Id="rId218" Type="http://schemas.openxmlformats.org/officeDocument/2006/relationships/image" Target="media/image191.png"/><Relationship Id="rId217" Type="http://schemas.openxmlformats.org/officeDocument/2006/relationships/image" Target="media/image190.png"/><Relationship Id="rId216" Type="http://schemas.openxmlformats.org/officeDocument/2006/relationships/image" Target="media/image189.png"/><Relationship Id="rId215" Type="http://schemas.openxmlformats.org/officeDocument/2006/relationships/image" Target="media/image188.png"/><Relationship Id="rId214" Type="http://schemas.openxmlformats.org/officeDocument/2006/relationships/image" Target="media/image187.png"/><Relationship Id="rId213" Type="http://schemas.openxmlformats.org/officeDocument/2006/relationships/image" Target="media/image186.png"/><Relationship Id="rId212" Type="http://schemas.openxmlformats.org/officeDocument/2006/relationships/image" Target="media/image185.png"/><Relationship Id="rId211" Type="http://schemas.openxmlformats.org/officeDocument/2006/relationships/image" Target="media/image184.png"/><Relationship Id="rId210" Type="http://schemas.openxmlformats.org/officeDocument/2006/relationships/image" Target="media/image183.png"/><Relationship Id="rId21" Type="http://schemas.openxmlformats.org/officeDocument/2006/relationships/footer" Target="footer9.xml"/><Relationship Id="rId209" Type="http://schemas.openxmlformats.org/officeDocument/2006/relationships/image" Target="media/image182.png"/><Relationship Id="rId208" Type="http://schemas.openxmlformats.org/officeDocument/2006/relationships/image" Target="media/image181.png"/><Relationship Id="rId207" Type="http://schemas.openxmlformats.org/officeDocument/2006/relationships/image" Target="media/image180.png"/><Relationship Id="rId206" Type="http://schemas.openxmlformats.org/officeDocument/2006/relationships/image" Target="media/image179.png"/><Relationship Id="rId205" Type="http://schemas.openxmlformats.org/officeDocument/2006/relationships/image" Target="media/image178.png"/><Relationship Id="rId204" Type="http://schemas.openxmlformats.org/officeDocument/2006/relationships/image" Target="media/image177.png"/><Relationship Id="rId203" Type="http://schemas.openxmlformats.org/officeDocument/2006/relationships/image" Target="media/image176.png"/><Relationship Id="rId202" Type="http://schemas.openxmlformats.org/officeDocument/2006/relationships/image" Target="media/image175.png"/><Relationship Id="rId201" Type="http://schemas.openxmlformats.org/officeDocument/2006/relationships/image" Target="media/image174.png"/><Relationship Id="rId200" Type="http://schemas.openxmlformats.org/officeDocument/2006/relationships/image" Target="media/image173.png"/><Relationship Id="rId20" Type="http://schemas.openxmlformats.org/officeDocument/2006/relationships/header" Target="header10.xml"/><Relationship Id="rId2" Type="http://schemas.openxmlformats.org/officeDocument/2006/relationships/settings" Target="settings.xml"/><Relationship Id="rId199" Type="http://schemas.openxmlformats.org/officeDocument/2006/relationships/image" Target="media/image172.png"/><Relationship Id="rId198" Type="http://schemas.openxmlformats.org/officeDocument/2006/relationships/image" Target="media/image171.png"/><Relationship Id="rId197" Type="http://schemas.openxmlformats.org/officeDocument/2006/relationships/image" Target="media/image170.png"/><Relationship Id="rId196" Type="http://schemas.openxmlformats.org/officeDocument/2006/relationships/image" Target="media/image169.png"/><Relationship Id="rId195" Type="http://schemas.openxmlformats.org/officeDocument/2006/relationships/image" Target="media/image168.png"/><Relationship Id="rId194" Type="http://schemas.openxmlformats.org/officeDocument/2006/relationships/image" Target="media/image167.png"/><Relationship Id="rId193" Type="http://schemas.openxmlformats.org/officeDocument/2006/relationships/image" Target="media/image166.png"/><Relationship Id="rId192" Type="http://schemas.openxmlformats.org/officeDocument/2006/relationships/image" Target="media/image165.png"/><Relationship Id="rId191" Type="http://schemas.openxmlformats.org/officeDocument/2006/relationships/image" Target="media/image164.png"/><Relationship Id="rId190" Type="http://schemas.openxmlformats.org/officeDocument/2006/relationships/image" Target="media/image163.png"/><Relationship Id="rId19" Type="http://schemas.openxmlformats.org/officeDocument/2006/relationships/header" Target="header9.xml"/><Relationship Id="rId189" Type="http://schemas.openxmlformats.org/officeDocument/2006/relationships/image" Target="media/image162.png"/><Relationship Id="rId188" Type="http://schemas.openxmlformats.org/officeDocument/2006/relationships/image" Target="media/image161.png"/><Relationship Id="rId187" Type="http://schemas.openxmlformats.org/officeDocument/2006/relationships/image" Target="media/image160.png"/><Relationship Id="rId186" Type="http://schemas.openxmlformats.org/officeDocument/2006/relationships/image" Target="media/image159.png"/><Relationship Id="rId185" Type="http://schemas.openxmlformats.org/officeDocument/2006/relationships/image" Target="media/image158.png"/><Relationship Id="rId184" Type="http://schemas.openxmlformats.org/officeDocument/2006/relationships/image" Target="media/image157.png"/><Relationship Id="rId183" Type="http://schemas.openxmlformats.org/officeDocument/2006/relationships/image" Target="media/image156.png"/><Relationship Id="rId182" Type="http://schemas.openxmlformats.org/officeDocument/2006/relationships/image" Target="media/image155.png"/><Relationship Id="rId181" Type="http://schemas.openxmlformats.org/officeDocument/2006/relationships/image" Target="media/image154.png"/><Relationship Id="rId180" Type="http://schemas.openxmlformats.org/officeDocument/2006/relationships/image" Target="media/image153.png"/><Relationship Id="rId18" Type="http://schemas.openxmlformats.org/officeDocument/2006/relationships/footer" Target="footer8.xml"/><Relationship Id="rId179" Type="http://schemas.openxmlformats.org/officeDocument/2006/relationships/image" Target="media/image152.png"/><Relationship Id="rId178" Type="http://schemas.openxmlformats.org/officeDocument/2006/relationships/image" Target="media/image151.png"/><Relationship Id="rId177" Type="http://schemas.openxmlformats.org/officeDocument/2006/relationships/image" Target="media/image150.png"/><Relationship Id="rId176" Type="http://schemas.openxmlformats.org/officeDocument/2006/relationships/image" Target="media/image149.png"/><Relationship Id="rId175" Type="http://schemas.openxmlformats.org/officeDocument/2006/relationships/image" Target="media/image148.png"/><Relationship Id="rId174" Type="http://schemas.openxmlformats.org/officeDocument/2006/relationships/image" Target="media/image147.png"/><Relationship Id="rId173" Type="http://schemas.openxmlformats.org/officeDocument/2006/relationships/image" Target="media/image146.png"/><Relationship Id="rId172" Type="http://schemas.openxmlformats.org/officeDocument/2006/relationships/image" Target="media/image145.png"/><Relationship Id="rId171" Type="http://schemas.openxmlformats.org/officeDocument/2006/relationships/image" Target="media/image144.png"/><Relationship Id="rId170" Type="http://schemas.openxmlformats.org/officeDocument/2006/relationships/image" Target="media/image143.png"/><Relationship Id="rId17" Type="http://schemas.openxmlformats.org/officeDocument/2006/relationships/footer" Target="footer7.xml"/><Relationship Id="rId169" Type="http://schemas.openxmlformats.org/officeDocument/2006/relationships/image" Target="media/image142.png"/><Relationship Id="rId168" Type="http://schemas.openxmlformats.org/officeDocument/2006/relationships/image" Target="media/image141.png"/><Relationship Id="rId167" Type="http://schemas.openxmlformats.org/officeDocument/2006/relationships/image" Target="media/image140.png"/><Relationship Id="rId166" Type="http://schemas.openxmlformats.org/officeDocument/2006/relationships/image" Target="media/image139.png"/><Relationship Id="rId165" Type="http://schemas.openxmlformats.org/officeDocument/2006/relationships/image" Target="media/image138.png"/><Relationship Id="rId164" Type="http://schemas.openxmlformats.org/officeDocument/2006/relationships/image" Target="media/image137.png"/><Relationship Id="rId163" Type="http://schemas.openxmlformats.org/officeDocument/2006/relationships/image" Target="media/image136.png"/><Relationship Id="rId162" Type="http://schemas.openxmlformats.org/officeDocument/2006/relationships/image" Target="media/image135.png"/><Relationship Id="rId161" Type="http://schemas.openxmlformats.org/officeDocument/2006/relationships/image" Target="media/image134.png"/><Relationship Id="rId160" Type="http://schemas.openxmlformats.org/officeDocument/2006/relationships/image" Target="media/image133.png"/><Relationship Id="rId16" Type="http://schemas.openxmlformats.org/officeDocument/2006/relationships/header" Target="header8.xml"/><Relationship Id="rId159" Type="http://schemas.openxmlformats.org/officeDocument/2006/relationships/image" Target="media/image132.png"/><Relationship Id="rId158" Type="http://schemas.openxmlformats.org/officeDocument/2006/relationships/image" Target="media/image131.png"/><Relationship Id="rId157" Type="http://schemas.openxmlformats.org/officeDocument/2006/relationships/image" Target="media/image130.png"/><Relationship Id="rId156" Type="http://schemas.openxmlformats.org/officeDocument/2006/relationships/image" Target="media/image129.png"/><Relationship Id="rId155" Type="http://schemas.openxmlformats.org/officeDocument/2006/relationships/image" Target="media/image128.png"/><Relationship Id="rId154" Type="http://schemas.openxmlformats.org/officeDocument/2006/relationships/image" Target="media/image127.png"/><Relationship Id="rId153" Type="http://schemas.openxmlformats.org/officeDocument/2006/relationships/image" Target="media/image126.png"/><Relationship Id="rId152" Type="http://schemas.openxmlformats.org/officeDocument/2006/relationships/image" Target="media/image125.png"/><Relationship Id="rId151" Type="http://schemas.openxmlformats.org/officeDocument/2006/relationships/image" Target="media/image124.png"/><Relationship Id="rId150" Type="http://schemas.openxmlformats.org/officeDocument/2006/relationships/image" Target="media/image123.png"/><Relationship Id="rId15" Type="http://schemas.openxmlformats.org/officeDocument/2006/relationships/header" Target="header7.xml"/><Relationship Id="rId149" Type="http://schemas.openxmlformats.org/officeDocument/2006/relationships/image" Target="media/image122.png"/><Relationship Id="rId148" Type="http://schemas.openxmlformats.org/officeDocument/2006/relationships/image" Target="media/image121.png"/><Relationship Id="rId147" Type="http://schemas.openxmlformats.org/officeDocument/2006/relationships/image" Target="media/image120.png"/><Relationship Id="rId146" Type="http://schemas.openxmlformats.org/officeDocument/2006/relationships/image" Target="media/image119.png"/><Relationship Id="rId145" Type="http://schemas.openxmlformats.org/officeDocument/2006/relationships/image" Target="media/image118.png"/><Relationship Id="rId144" Type="http://schemas.openxmlformats.org/officeDocument/2006/relationships/image" Target="media/image117.png"/><Relationship Id="rId143" Type="http://schemas.openxmlformats.org/officeDocument/2006/relationships/image" Target="media/image116.png"/><Relationship Id="rId142" Type="http://schemas.openxmlformats.org/officeDocument/2006/relationships/image" Target="media/image115.png"/><Relationship Id="rId141" Type="http://schemas.openxmlformats.org/officeDocument/2006/relationships/image" Target="media/image114.png"/><Relationship Id="rId140" Type="http://schemas.openxmlformats.org/officeDocument/2006/relationships/image" Target="media/image113.png"/><Relationship Id="rId14" Type="http://schemas.openxmlformats.org/officeDocument/2006/relationships/footer" Target="footer6.xml"/><Relationship Id="rId139" Type="http://schemas.openxmlformats.org/officeDocument/2006/relationships/image" Target="media/image112.png"/><Relationship Id="rId138" Type="http://schemas.openxmlformats.org/officeDocument/2006/relationships/image" Target="media/image111.png"/><Relationship Id="rId137" Type="http://schemas.openxmlformats.org/officeDocument/2006/relationships/image" Target="media/image110.png"/><Relationship Id="rId136" Type="http://schemas.openxmlformats.org/officeDocument/2006/relationships/image" Target="media/image109.png"/><Relationship Id="rId135" Type="http://schemas.openxmlformats.org/officeDocument/2006/relationships/image" Target="media/image108.png"/><Relationship Id="rId134" Type="http://schemas.openxmlformats.org/officeDocument/2006/relationships/image" Target="media/image107.png"/><Relationship Id="rId133" Type="http://schemas.openxmlformats.org/officeDocument/2006/relationships/image" Target="media/image106.png"/><Relationship Id="rId132" Type="http://schemas.openxmlformats.org/officeDocument/2006/relationships/image" Target="media/image105.png"/><Relationship Id="rId131" Type="http://schemas.openxmlformats.org/officeDocument/2006/relationships/image" Target="media/image104.png"/><Relationship Id="rId130" Type="http://schemas.openxmlformats.org/officeDocument/2006/relationships/image" Target="media/image103.png"/><Relationship Id="rId13" Type="http://schemas.openxmlformats.org/officeDocument/2006/relationships/header" Target="header6.xml"/><Relationship Id="rId129" Type="http://schemas.openxmlformats.org/officeDocument/2006/relationships/image" Target="media/image102.png"/><Relationship Id="rId128" Type="http://schemas.openxmlformats.org/officeDocument/2006/relationships/image" Target="media/image101.png"/><Relationship Id="rId127" Type="http://schemas.openxmlformats.org/officeDocument/2006/relationships/image" Target="media/image100.png"/><Relationship Id="rId126" Type="http://schemas.openxmlformats.org/officeDocument/2006/relationships/image" Target="media/image99.png"/><Relationship Id="rId125" Type="http://schemas.openxmlformats.org/officeDocument/2006/relationships/image" Target="media/image98.png"/><Relationship Id="rId124" Type="http://schemas.openxmlformats.org/officeDocument/2006/relationships/image" Target="media/image97.png"/><Relationship Id="rId123" Type="http://schemas.openxmlformats.org/officeDocument/2006/relationships/image" Target="media/image96.png"/><Relationship Id="rId122" Type="http://schemas.openxmlformats.org/officeDocument/2006/relationships/image" Target="media/image95.png"/><Relationship Id="rId121" Type="http://schemas.openxmlformats.org/officeDocument/2006/relationships/image" Target="media/image94.png"/><Relationship Id="rId120" Type="http://schemas.openxmlformats.org/officeDocument/2006/relationships/image" Target="media/image93.png"/><Relationship Id="rId12" Type="http://schemas.openxmlformats.org/officeDocument/2006/relationships/footer" Target="footer5.xml"/><Relationship Id="rId119" Type="http://schemas.openxmlformats.org/officeDocument/2006/relationships/image" Target="media/image92.png"/><Relationship Id="rId118" Type="http://schemas.openxmlformats.org/officeDocument/2006/relationships/image" Target="media/image91.png"/><Relationship Id="rId117" Type="http://schemas.openxmlformats.org/officeDocument/2006/relationships/image" Target="media/image90.png"/><Relationship Id="rId116" Type="http://schemas.openxmlformats.org/officeDocument/2006/relationships/image" Target="media/image89.png"/><Relationship Id="rId115" Type="http://schemas.openxmlformats.org/officeDocument/2006/relationships/image" Target="media/image88.png"/><Relationship Id="rId114" Type="http://schemas.openxmlformats.org/officeDocument/2006/relationships/image" Target="media/image87.png"/><Relationship Id="rId113" Type="http://schemas.openxmlformats.org/officeDocument/2006/relationships/image" Target="media/image86.png"/><Relationship Id="rId112" Type="http://schemas.openxmlformats.org/officeDocument/2006/relationships/image" Target="media/image85.png"/><Relationship Id="rId111" Type="http://schemas.openxmlformats.org/officeDocument/2006/relationships/image" Target="media/image84.png"/><Relationship Id="rId110" Type="http://schemas.openxmlformats.org/officeDocument/2006/relationships/image" Target="media/image83.png"/><Relationship Id="rId11" Type="http://schemas.openxmlformats.org/officeDocument/2006/relationships/footer" Target="footer4.xml"/><Relationship Id="rId109" Type="http://schemas.openxmlformats.org/officeDocument/2006/relationships/image" Target="media/image82.png"/><Relationship Id="rId108" Type="http://schemas.openxmlformats.org/officeDocument/2006/relationships/image" Target="media/image81.png"/><Relationship Id="rId107" Type="http://schemas.openxmlformats.org/officeDocument/2006/relationships/image" Target="media/image80.png"/><Relationship Id="rId106" Type="http://schemas.openxmlformats.org/officeDocument/2006/relationships/image" Target="media/image79.png"/><Relationship Id="rId105" Type="http://schemas.openxmlformats.org/officeDocument/2006/relationships/image" Target="media/image78.png"/><Relationship Id="rId104" Type="http://schemas.openxmlformats.org/officeDocument/2006/relationships/image" Target="media/image77.png"/><Relationship Id="rId103" Type="http://schemas.openxmlformats.org/officeDocument/2006/relationships/image" Target="media/image76.png"/><Relationship Id="rId102" Type="http://schemas.openxmlformats.org/officeDocument/2006/relationships/image" Target="media/image75.png"/><Relationship Id="rId101" Type="http://schemas.openxmlformats.org/officeDocument/2006/relationships/image" Target="media/image74.png"/><Relationship Id="rId100" Type="http://schemas.openxmlformats.org/officeDocument/2006/relationships/image" Target="media/image73.png"/><Relationship Id="rId10" Type="http://schemas.openxmlformats.org/officeDocument/2006/relationships/header" Target="header5.xml"/><Relationship Id="rId1" Type="http://schemas.openxmlformats.org/officeDocument/2006/relationships/styles" Target="styles.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耀华建设管理有限公司</Company>
  <Pages>155</Pages>
  <Words>60293</Words>
  <Characters>68051</Characters>
  <Lines>624</Lines>
  <Paragraphs>175</Paragraphs>
  <TotalTime>3</TotalTime>
  <ScaleCrop>false</ScaleCrop>
  <LinksUpToDate>false</LinksUpToDate>
  <CharactersWithSpaces>87335</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单工</dc:creator>
  <cp:lastModifiedBy>成燕</cp:lastModifiedBy>
  <cp:lastPrinted>2023-01-16T03:22:00Z</cp:lastPrinted>
  <dcterms:modified xsi:type="dcterms:W3CDTF">2023-02-18T14:16:53Z</dcterms:modified>
  <dc:title>耀华建设管理有限公司招标文件范本</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AA1FB3ECE0EA45DA854D3110383C49C0</vt:lpwstr>
  </property>
</Properties>
</file>