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rPr>
          <w:rFonts w:ascii="仿宋" w:hAnsi="仿宋" w:eastAsia="仿宋" w:cs="仿宋_GB2312"/>
          <w:b/>
          <w:sz w:val="44"/>
          <w:szCs w:val="44"/>
        </w:rPr>
      </w:pPr>
    </w:p>
    <w:p>
      <w:r>
        <w:rPr>
          <w:rFonts w:hint="eastAsia" w:ascii="仿宋" w:hAnsi="仿宋" w:eastAsia="仿宋" w:cs="仿宋_GB2312"/>
          <w:b/>
          <w:bCs/>
          <w:sz w:val="52"/>
          <w:szCs w:val="52"/>
        </w:rPr>
        <w:t>互联网执法办案辅助工作服务外包项目</w:t>
      </w:r>
    </w:p>
    <w:p>
      <w:pPr>
        <w:pStyle w:val="23"/>
      </w:pPr>
    </w:p>
    <w:p>
      <w:pPr>
        <w:pStyle w:val="24"/>
      </w:pPr>
    </w:p>
    <w:p/>
    <w:p>
      <w:pPr>
        <w:pStyle w:val="4"/>
      </w:pPr>
    </w:p>
    <w:p/>
    <w:p/>
    <w:p>
      <w:pPr>
        <w:pStyle w:val="204"/>
        <w:ind w:firstLine="460"/>
      </w:pPr>
    </w:p>
    <w:p>
      <w:pPr>
        <w:adjustRightInd/>
        <w:spacing w:line="360" w:lineRule="auto"/>
        <w:jc w:val="center"/>
        <w:rPr>
          <w:rFonts w:ascii="黑体" w:hAnsi="黑体" w:eastAsia="黑体" w:cs="黑体"/>
          <w:sz w:val="84"/>
          <w:szCs w:val="84"/>
        </w:rPr>
      </w:pPr>
      <w:r>
        <w:rPr>
          <w:rFonts w:hint="eastAsia" w:ascii="黑体" w:hAnsi="黑体" w:eastAsia="黑体" w:cs="黑体"/>
          <w:sz w:val="84"/>
          <w:szCs w:val="84"/>
        </w:rPr>
        <w:t>招  标 文 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bookmarkStart w:id="429" w:name="_GoBack"/>
      <w:r>
        <w:rPr>
          <w:rFonts w:ascii="仿宋" w:hAnsi="仿宋" w:eastAsia="仿宋" w:cs="仿宋_GB2312"/>
          <w:b/>
          <w:sz w:val="44"/>
          <w:szCs w:val="44"/>
        </w:rPr>
        <w:t>（电子招投标）</w:t>
      </w:r>
      <w:bookmarkEnd w:id="429"/>
    </w:p>
    <w:p>
      <w:pPr>
        <w:pStyle w:val="23"/>
      </w:pPr>
    </w:p>
    <w:p>
      <w:pPr>
        <w:snapToGrid w:val="0"/>
        <w:spacing w:line="360" w:lineRule="auto"/>
        <w:jc w:val="center"/>
        <w:rPr>
          <w:rFonts w:hint="eastAsia" w:ascii="仿宋" w:hAnsi="仿宋" w:eastAsia="仿宋" w:cs="仿宋_GB2312"/>
          <w:sz w:val="36"/>
          <w:szCs w:val="36"/>
          <w:lang w:eastAsia="zh-CN"/>
        </w:rPr>
      </w:pPr>
      <w:r>
        <w:rPr>
          <w:rFonts w:hint="eastAsia" w:ascii="仿宋" w:hAnsi="仿宋" w:eastAsia="仿宋" w:cs="仿宋_GB2312"/>
          <w:sz w:val="36"/>
          <w:szCs w:val="36"/>
        </w:rPr>
        <w:t>编号</w:t>
      </w:r>
      <w:r>
        <w:rPr>
          <w:rFonts w:ascii="仿宋" w:hAnsi="仿宋" w:eastAsia="仿宋" w:cs="仿宋_GB2312"/>
          <w:sz w:val="36"/>
          <w:szCs w:val="36"/>
        </w:rPr>
        <w:t>:</w:t>
      </w:r>
      <w:r>
        <w:rPr>
          <w:rFonts w:hint="eastAsia" w:ascii="仿宋" w:hAnsi="仿宋" w:eastAsia="仿宋" w:cs="仿宋_GB2312"/>
          <w:sz w:val="36"/>
          <w:szCs w:val="36"/>
          <w:lang w:eastAsia="zh-CN"/>
        </w:rPr>
        <w:t>YHZFCG2022-197</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pStyle w:val="23"/>
      </w:pPr>
    </w:p>
    <w:p>
      <w:pPr>
        <w:pStyle w:val="24"/>
      </w:pPr>
    </w:p>
    <w:p>
      <w:pPr>
        <w:spacing w:line="360" w:lineRule="auto"/>
        <w:rPr>
          <w:rFonts w:ascii="仿宋" w:hAnsi="仿宋" w:eastAsia="仿宋"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 xml:space="preserve"> 招标人：杭州市余杭区市场监督管理局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招标代理机构：耀华建设管理有限公司</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_GB2312" w:eastAsia="仿宋_GB2312" w:cs="仿宋_GB2312"/>
          <w:bCs/>
          <w:sz w:val="36"/>
          <w:szCs w:val="36"/>
        </w:rPr>
      </w:pPr>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二二</w:t>
      </w:r>
      <w:r>
        <w:rPr>
          <w:rFonts w:hint="eastAsia" w:ascii="宋体" w:hAnsi="宋体" w:cs="宋体"/>
          <w:bCs/>
          <w:sz w:val="36"/>
          <w:szCs w:val="36"/>
        </w:rPr>
        <w:t xml:space="preserve"> </w:t>
      </w:r>
      <w:r>
        <w:rPr>
          <w:rFonts w:hint="eastAsia" w:ascii="仿宋_GB2312" w:hAnsi="仿宋_GB2312" w:eastAsia="仿宋_GB2312" w:cs="仿宋_GB2312"/>
          <w:bCs/>
          <w:sz w:val="36"/>
          <w:szCs w:val="36"/>
        </w:rPr>
        <w:t xml:space="preserve">年 </w:t>
      </w:r>
      <w:r>
        <w:rPr>
          <w:rFonts w:hint="eastAsia" w:ascii="仿宋_GB2312" w:hAnsi="仿宋_GB2312" w:eastAsia="仿宋_GB2312" w:cs="仿宋_GB2312"/>
          <w:bCs/>
          <w:sz w:val="36"/>
          <w:szCs w:val="36"/>
          <w:lang w:val="en-US" w:eastAsia="zh-CN"/>
        </w:rPr>
        <w:t>八</w:t>
      </w:r>
      <w:r>
        <w:rPr>
          <w:rFonts w:hint="eastAsia" w:ascii="仿宋_GB2312" w:hAnsi="仿宋_GB2312" w:eastAsia="仿宋_GB2312" w:cs="仿宋_GB2312"/>
          <w:bCs/>
          <w:sz w:val="36"/>
          <w:szCs w:val="36"/>
        </w:rPr>
        <w:t xml:space="preserve"> 月</w:t>
      </w:r>
      <w:r>
        <w:rPr>
          <w:rFonts w:hint="eastAsia" w:ascii="仿宋_GB2312" w:hAnsi="仿宋_GB2312" w:eastAsia="仿宋_GB2312" w:cs="仿宋_GB2312"/>
          <w:bCs/>
          <w:sz w:val="36"/>
          <w:szCs w:val="36"/>
          <w:lang w:val="en-US" w:eastAsia="zh-CN"/>
        </w:rPr>
        <w:t xml:space="preserve">三十 </w:t>
      </w:r>
      <w:r>
        <w:rPr>
          <w:rFonts w:hint="eastAsia" w:ascii="仿宋_GB2312" w:hAnsi="仿宋_GB2312" w:eastAsia="仿宋_GB2312" w:cs="仿宋_GB2312"/>
          <w:bCs/>
          <w:sz w:val="36"/>
          <w:szCs w:val="36"/>
        </w:rPr>
        <w:t>日</w:t>
      </w:r>
    </w:p>
    <w:p>
      <w:pPr>
        <w:spacing w:line="360" w:lineRule="auto"/>
        <w:jc w:val="center"/>
        <w:rPr>
          <w:rFonts w:ascii="仿宋" w:hAnsi="仿宋" w:eastAsia="仿宋" w:cs="仿宋_GB2312"/>
          <w:sz w:val="24"/>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p>
      <w:pPr>
        <w:pStyle w:val="65"/>
        <w:ind w:firstLine="420"/>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tabs>
          <w:tab w:val="left" w:pos="3713"/>
        </w:tabs>
        <w:spacing w:line="360" w:lineRule="auto"/>
        <w:ind w:firstLine="549" w:firstLineChars="229"/>
        <w:rPr>
          <w:rFonts w:ascii="仿宋" w:hAnsi="仿宋" w:eastAsia="仿宋" w:cs="仿宋_GB2312"/>
          <w:sz w:val="24"/>
        </w:rPr>
      </w:pPr>
      <w:r>
        <w:rPr>
          <w:rFonts w:hint="eastAsia" w:ascii="仿宋" w:hAnsi="仿宋" w:eastAsia="仿宋" w:cs="仿宋_GB2312"/>
          <w:sz w:val="24"/>
        </w:rPr>
        <w:tab/>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互联网执法办案辅助工作服务外包项目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0"/>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YHZFCG2022-197</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互联网执法办案辅助工作服务外包项目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rPr>
        <w:t>1</w:t>
      </w:r>
      <w:r>
        <w:rPr>
          <w:rFonts w:hint="eastAsia" w:ascii="仿宋_GB2312" w:hAnsi="仿宋" w:eastAsia="仿宋_GB2312"/>
          <w:b/>
          <w:sz w:val="24"/>
          <w:lang w:val="en-US" w:eastAsia="zh-CN"/>
        </w:rPr>
        <w:t>2</w:t>
      </w:r>
      <w:r>
        <w:rPr>
          <w:rFonts w:hint="eastAsia" w:ascii="仿宋_GB2312" w:hAnsi="仿宋" w:eastAsia="仿宋_GB2312"/>
          <w:b/>
          <w:sz w:val="24"/>
        </w:rPr>
        <w:t>000000.00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最高限价（元）：1</w:t>
      </w:r>
      <w:r>
        <w:rPr>
          <w:rFonts w:hint="eastAsia" w:ascii="仿宋_GB2312" w:hAnsi="仿宋" w:eastAsia="仿宋_GB2312"/>
          <w:b/>
          <w:sz w:val="24"/>
          <w:lang w:val="en-US" w:eastAsia="zh-CN"/>
        </w:rPr>
        <w:t>2</w:t>
      </w:r>
      <w:r>
        <w:rPr>
          <w:rFonts w:hint="eastAsia" w:ascii="仿宋_GB2312" w:hAnsi="仿宋" w:eastAsia="仿宋_GB2312"/>
          <w:b/>
          <w:sz w:val="24"/>
        </w:rPr>
        <w:t>000000.00</w:t>
      </w:r>
      <w:r>
        <w:rPr>
          <w:rFonts w:ascii="仿宋_GB2312" w:hAnsi="仿宋" w:eastAsia="仿宋_GB2312"/>
          <w:sz w:val="24"/>
        </w:rPr>
        <w:t xml:space="preserve"> </w:t>
      </w:r>
      <w:r>
        <w:rPr>
          <w:rFonts w:hint="eastAsia" w:ascii="仿宋_GB2312" w:hAnsi="仿宋" w:eastAsia="仿宋_GB2312"/>
          <w:sz w:val="24"/>
        </w:rPr>
        <w:t xml:space="preserve"> </w:t>
      </w:r>
    </w:p>
    <w:p>
      <w:pPr>
        <w:pStyle w:val="1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lang w:eastAsia="zh-CN"/>
        </w:rPr>
        <w:t>互联网执法办案辅助工作服务外包项目</w:t>
      </w:r>
      <w:r>
        <w:rPr>
          <w:rFonts w:hint="eastAsia" w:ascii="仿宋_GB2312" w:hAnsi="仿宋" w:eastAsia="仿宋_GB2312"/>
          <w:bCs/>
          <w:color w:val="auto"/>
          <w:kern w:val="2"/>
          <w:sz w:val="24"/>
          <w:szCs w:val="24"/>
        </w:rPr>
        <w:t>，详见招标文件第三部分采购需求。</w:t>
      </w:r>
    </w:p>
    <w:p>
      <w:pPr>
        <w:pStyle w:val="15"/>
        <w:spacing w:line="360" w:lineRule="auto"/>
        <w:ind w:firstLine="480"/>
        <w:outlineLvl w:val="2"/>
        <w:rPr>
          <w:rFonts w:ascii="仿宋_GB2312" w:hAnsi="仿宋" w:eastAsia="仿宋_GB2312"/>
          <w:b/>
          <w:color w:val="auto"/>
          <w:sz w:val="24"/>
        </w:rPr>
      </w:pPr>
      <w:r>
        <w:rPr>
          <w:rFonts w:hint="eastAsia" w:ascii="仿宋_GB2312" w:hAnsi="仿宋" w:eastAsia="仿宋_GB2312"/>
          <w:b/>
          <w:color w:val="auto"/>
          <w:sz w:val="24"/>
        </w:rPr>
        <w:t>合同履约期限：详见招标文件第三部分采购需求。</w:t>
      </w:r>
    </w:p>
    <w:p>
      <w:pPr>
        <w:pStyle w:val="15"/>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仿宋_GB2312" w:hAnsi="仿宋" w:eastAsia="仿宋_GB2312"/>
          <w:b/>
          <w:color w:val="auto"/>
          <w:sz w:val="24"/>
        </w:rPr>
        <w:sym w:font="Wingdings" w:char="00A8"/>
      </w:r>
      <w:r>
        <w:rPr>
          <w:rFonts w:hint="eastAsia" w:ascii="仿宋_GB2312" w:hAnsi="仿宋" w:eastAsia="仿宋_GB2312"/>
          <w:b/>
          <w:color w:val="auto"/>
          <w:sz w:val="24"/>
        </w:rPr>
        <w:t>是，</w:t>
      </w:r>
      <w:r>
        <w:rPr>
          <w:rFonts w:ascii="仿宋_GB2312" w:hAnsi="仿宋" w:eastAsia="仿宋_GB2312"/>
          <w:b/>
          <w:color w:val="auto"/>
          <w:sz w:val="24"/>
        </w:rPr>
        <w:sym w:font="Wingdings" w:char="00FE"/>
      </w:r>
      <w:r>
        <w:rPr>
          <w:rFonts w:hint="eastAsia" w:ascii="仿宋_GB2312" w:hAnsi="仿宋" w:eastAsia="仿宋_GB2312"/>
          <w:b/>
          <w:color w:val="auto"/>
          <w:sz w:val="24"/>
        </w:rPr>
        <w:t>否。</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hint="eastAsia"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hint="eastAsia" w:ascii="仿宋_GB2312" w:hAnsi="仿宋" w:eastAsia="仿宋_GB2312" w:cs="Times New Roman"/>
          <w:kern w:val="2"/>
          <w:sz w:val="24"/>
          <w:lang w:eastAsia="zh-CN"/>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r>
        <w:rPr>
          <w:rFonts w:hint="eastAsia" w:ascii="仿宋_GB2312" w:hAnsi="仿宋" w:eastAsia="仿宋_GB2312"/>
          <w:sz w:val="24"/>
          <w:lang w:val="en-US" w:eastAsia="zh-CN"/>
        </w:rPr>
        <w:t>,</w:t>
      </w:r>
      <w:r>
        <w:rPr>
          <w:rFonts w:hint="eastAsia" w:ascii="仿宋_GB2312" w:hAnsi="仿宋" w:eastAsia="仿宋_GB2312" w:cs="Times New Roman"/>
          <w:kern w:val="2"/>
          <w:sz w:val="24"/>
        </w:rPr>
        <w:t>但为保证小</w:t>
      </w:r>
      <w:r>
        <w:rPr>
          <w:rFonts w:hint="eastAsia" w:ascii="仿宋_GB2312" w:hAnsi="仿宋" w:eastAsia="仿宋_GB2312" w:cs="Times New Roman"/>
          <w:kern w:val="2"/>
          <w:sz w:val="24"/>
          <w:lang w:eastAsia="zh-CN"/>
        </w:rPr>
        <w:t>微</w:t>
      </w:r>
      <w:r>
        <w:rPr>
          <w:rFonts w:hint="eastAsia" w:ascii="仿宋_GB2312" w:hAnsi="仿宋" w:eastAsia="仿宋_GB2312" w:cs="Times New Roman"/>
          <w:kern w:val="2"/>
          <w:sz w:val="24"/>
        </w:rPr>
        <w:t>企业预留采购份额，本项目要求投标人</w:t>
      </w:r>
      <w:r>
        <w:rPr>
          <w:rFonts w:hint="eastAsia" w:ascii="仿宋_GB2312" w:hAnsi="仿宋" w:eastAsia="仿宋_GB2312" w:cs="Times New Roman"/>
          <w:kern w:val="2"/>
          <w:sz w:val="24"/>
          <w:lang w:val="en-US" w:eastAsia="zh-CN"/>
        </w:rPr>
        <w:t>为小微企业</w:t>
      </w:r>
      <w:r>
        <w:rPr>
          <w:rFonts w:hint="eastAsia" w:ascii="仿宋_GB2312" w:hAnsi="仿宋" w:eastAsia="仿宋_GB2312" w:cs="Times New Roman"/>
          <w:kern w:val="2"/>
          <w:sz w:val="24"/>
          <w:lang w:eastAsia="zh-CN"/>
        </w:rPr>
        <w:t>；</w:t>
      </w:r>
    </w:p>
    <w:p>
      <w:pPr>
        <w:spacing w:line="360" w:lineRule="auto"/>
        <w:ind w:firstLine="480" w:firstLineChars="200"/>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480" w:firstLineChars="200"/>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480" w:firstLineChars="200"/>
        <w:rPr>
          <w:rFonts w:ascii="仿宋_GB2312" w:hAnsi="仿宋" w:eastAsia="仿宋_GB2312"/>
          <w:sz w:val="24"/>
        </w:rPr>
      </w:pPr>
      <w:r>
        <w:rPr>
          <w:rFonts w:ascii="MS Gothic" w:hAnsi="MS Gothic" w:eastAsia="仿宋_GB2312"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480" w:firstLineChars="200"/>
        <w:rPr>
          <w:rFonts w:ascii="仿宋_GB2312" w:hAnsi="仿宋" w:eastAsia="仿宋_GB2312"/>
          <w:sz w:val="24"/>
        </w:rPr>
      </w:pPr>
      <w:r>
        <w:rPr>
          <w:rFonts w:ascii="MS Gothic" w:hAnsi="MS Gothic" w:eastAsia="仿宋_GB2312" w:cs="Arial"/>
          <w:kern w:val="0"/>
          <w:sz w:val="24"/>
        </w:rPr>
        <w:sym w:font="Wingdings" w:char="00FE"/>
      </w:r>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09</w:t>
      </w:r>
      <w:r>
        <w:rPr>
          <w:rFonts w:ascii="仿宋_GB2312" w:hAnsi="仿宋" w:eastAsia="仿宋_GB2312"/>
          <w:sz w:val="24"/>
          <w:u w:val="single"/>
        </w:rPr>
        <w:t>月</w:t>
      </w:r>
      <w:r>
        <w:rPr>
          <w:rFonts w:hint="eastAsia" w:ascii="仿宋_GB2312" w:hAnsi="仿宋" w:eastAsia="仿宋_GB2312"/>
          <w:sz w:val="24"/>
          <w:u w:val="single"/>
          <w:lang w:val="en-US" w:eastAsia="zh-CN"/>
        </w:rPr>
        <w:t>19</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2022年09月19日14点30分00秒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r>
        <w:rPr>
          <w:rFonts w:hint="eastAsia" w:ascii="仿宋_GB2312" w:hAnsi="仿宋" w:eastAsia="仿宋_GB2312"/>
          <w:sz w:val="24"/>
        </w:rPr>
        <w:t>；</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2022年09月19日14点30分00秒</w:t>
      </w:r>
      <w:r>
        <w:rPr>
          <w:rFonts w:hint="eastAsia" w:ascii="仿宋_GB2312" w:hAnsi="仿宋" w:eastAsia="仿宋_GB2312"/>
          <w:bCs/>
          <w:sz w:val="24"/>
          <w:u w:val="single"/>
        </w:rPr>
        <w:t xml:space="preserve"> ；</w:t>
      </w:r>
    </w:p>
    <w:p>
      <w:pPr>
        <w:spacing w:line="360" w:lineRule="auto"/>
        <w:ind w:firstLine="482" w:firstLineChars="200"/>
        <w:rPr>
          <w:rFonts w:hint="eastAsia"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widowControl/>
        <w:spacing w:line="360" w:lineRule="auto"/>
        <w:ind w:firstLine="480" w:firstLineChars="200"/>
        <w:jc w:val="left"/>
        <w:rPr>
          <w:rFonts w:ascii="仿宋_GB2312" w:hAnsi="仿宋_GB2312" w:eastAsia="仿宋_GB2312" w:cs="仿宋_GB2312"/>
          <w:bCs/>
          <w:color w:val="000000"/>
          <w:sz w:val="24"/>
        </w:rPr>
      </w:pPr>
      <w:r>
        <w:rPr>
          <w:rFonts w:hint="eastAsia" w:ascii="仿宋_GB2312" w:hAnsi="仿宋_GB2312" w:eastAsia="仿宋_GB2312" w:cs="仿宋_GB2312"/>
          <w:sz w:val="24"/>
        </w:rPr>
        <w:t xml:space="preserve">名称：杭州市余杭区市场监督管理局 </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地址：杭州市余杭区溪沁路8号中国电信浙江创新产业园1号楼4楼。</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项目联系人（询问）：陈先生</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联系电话：0571-86167063</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质疑联系人：王先生</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联系电话：0571-86167127</w:t>
      </w:r>
    </w:p>
    <w:p>
      <w:pPr>
        <w:widowControl/>
        <w:spacing w:line="360" w:lineRule="auto"/>
        <w:ind w:firstLine="482" w:firstLineChars="200"/>
        <w:jc w:val="left"/>
        <w:outlineLvl w:val="1"/>
        <w:rPr>
          <w:rFonts w:ascii="仿宋_GB2312" w:hAnsi="仿宋_GB2312" w:eastAsia="仿宋_GB2312" w:cs="仿宋_GB2312"/>
          <w:b/>
          <w:sz w:val="24"/>
        </w:rPr>
      </w:pPr>
      <w:bookmarkStart w:id="10" w:name="_Toc31571"/>
      <w:bookmarkStart w:id="11" w:name="_Toc28359009"/>
      <w:bookmarkStart w:id="12" w:name="_Toc28359086"/>
      <w:r>
        <w:rPr>
          <w:rFonts w:hint="eastAsia" w:ascii="仿宋_GB2312" w:hAnsi="仿宋_GB2312" w:eastAsia="仿宋_GB2312" w:cs="仿宋_GB2312"/>
          <w:b/>
          <w:sz w:val="24"/>
        </w:rPr>
        <w:t>2.采购代理机构信息</w:t>
      </w:r>
      <w:bookmarkEnd w:id="10"/>
      <w:bookmarkEnd w:id="11"/>
      <w:bookmarkEnd w:id="12"/>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名称：耀华建设管理有限公司</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临平地址：杭州市临平区南苑街道华元欢乐城-华元大厦20层2022办公室。</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余杭地址：杭州市余杭区联创街77号汇银中心3幢2单元</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3楼办公室。</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项目联系人（询问）：周聪聪          联系电话：0571-86320706</w:t>
      </w:r>
    </w:p>
    <w:p>
      <w:pPr>
        <w:spacing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质疑联系人：单成燕                   联系电话：0571-86320727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18072887619</w:t>
      </w:r>
    </w:p>
    <w:p>
      <w:pPr>
        <w:snapToGrid w:val="0"/>
        <w:spacing w:line="360" w:lineRule="auto"/>
        <w:ind w:firstLine="482" w:firstLineChars="200"/>
        <w:outlineLvl w:val="1"/>
        <w:rPr>
          <w:rFonts w:hint="eastAsia" w:ascii="仿宋_GB2312" w:hAnsi="仿宋_GB2312" w:eastAsia="仿宋_GB2312" w:cs="仿宋_GB2312"/>
          <w:b/>
          <w:sz w:val="24"/>
        </w:rPr>
      </w:pPr>
      <w:bookmarkStart w:id="13" w:name="_Toc28359087"/>
      <w:bookmarkStart w:id="14" w:name="_Toc28359010"/>
      <w:bookmarkStart w:id="15" w:name="_Toc19946"/>
    </w:p>
    <w:p>
      <w:pPr>
        <w:snapToGrid w:val="0"/>
        <w:spacing w:line="360" w:lineRule="auto"/>
        <w:ind w:firstLine="482" w:firstLineChars="200"/>
        <w:outlineLvl w:val="1"/>
        <w:rPr>
          <w:rFonts w:ascii="仿宋_GB2312" w:hAnsi="仿宋_GB2312" w:eastAsia="仿宋_GB2312" w:cs="仿宋_GB2312"/>
          <w:b/>
          <w:sz w:val="24"/>
        </w:rPr>
      </w:pPr>
      <w:r>
        <w:rPr>
          <w:rFonts w:hint="eastAsia" w:ascii="仿宋_GB2312" w:hAnsi="仿宋_GB2312" w:eastAsia="仿宋_GB2312" w:cs="仿宋_GB2312"/>
          <w:b/>
          <w:sz w:val="24"/>
        </w:rPr>
        <w:t>3.</w:t>
      </w:r>
      <w:bookmarkEnd w:id="13"/>
      <w:bookmarkEnd w:id="14"/>
      <w:r>
        <w:rPr>
          <w:rFonts w:hint="eastAsia" w:ascii="仿宋_GB2312" w:hAnsi="仿宋_GB2312" w:eastAsia="仿宋_GB2312" w:cs="仿宋_GB2312"/>
          <w:b/>
          <w:sz w:val="24"/>
        </w:rPr>
        <w:t>同级政府采购监督管理部门</w:t>
      </w:r>
      <w:bookmarkEnd w:id="15"/>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名称：杭州市余杭区财政局</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地址：杭州市余杭区五常街道溪沁路8号中国电信浙江创新园1号楼。</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联系人：杜国强        联系电话：0571-88728858</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监督投诉电话：0571-88728858</w:t>
      </w:r>
    </w:p>
    <w:p>
      <w:pPr>
        <w:pStyle w:val="65"/>
        <w:ind w:firstLine="420"/>
        <w:rPr>
          <w:rFonts w:ascii="仿宋_GB2312" w:hAnsi="仿宋_GB2312" w:eastAsia="仿宋_GB2312" w:cs="仿宋_GB2312"/>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8"/>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ind w:firstLine="240" w:firstLineChars="100"/>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288"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288"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288" w:lineRule="auto"/>
              <w:ind w:firstLine="241" w:firstLineChars="100"/>
              <w:jc w:val="left"/>
              <w:rPr>
                <w:rFonts w:ascii="仿宋_GB2312" w:hAnsi="仿宋" w:eastAsia="仿宋_GB2312"/>
                <w:b/>
                <w:bCs w:val="0"/>
                <w:kern w:val="0"/>
                <w:sz w:val="24"/>
                <w:lang w:val="zh-CN"/>
              </w:rPr>
            </w:pPr>
            <w:r>
              <w:rPr>
                <w:rFonts w:hint="eastAsia" w:ascii="仿宋_GB2312" w:hAnsi="仿宋" w:eastAsia="仿宋_GB2312" w:cs="仿宋_GB2312"/>
                <w:b/>
                <w:kern w:val="0"/>
                <w:sz w:val="24"/>
                <w:lang w:val="zh-CN"/>
              </w:rPr>
              <w:t>投标报价超过招标文件中规定的预算金额或</w:t>
            </w:r>
            <w:r>
              <w:rPr>
                <w:rFonts w:hint="eastAsia" w:ascii="仿宋_GB2312" w:hAnsi="仿宋" w:eastAsia="仿宋_GB2312" w:cs="仿宋_GB2312"/>
                <w:b/>
                <w:bCs w:val="0"/>
                <w:kern w:val="0"/>
                <w:sz w:val="24"/>
                <w:lang w:val="zh-CN"/>
              </w:rPr>
              <w:t>者</w:t>
            </w:r>
            <w:r>
              <w:rPr>
                <w:rFonts w:hint="eastAsia" w:ascii="仿宋" w:hAnsi="仿宋" w:eastAsia="仿宋" w:cs="仿宋"/>
                <w:b/>
                <w:bCs w:val="0"/>
                <w:sz w:val="24"/>
                <w:lang w:val="en-US" w:eastAsia="zh-CN"/>
              </w:rPr>
              <w:t>综合单价</w:t>
            </w:r>
            <w:r>
              <w:rPr>
                <w:rFonts w:hint="eastAsia" w:ascii="仿宋_GB2312" w:hAnsi="仿宋" w:eastAsia="仿宋_GB2312" w:cs="仿宋_GB2312"/>
                <w:b/>
                <w:bCs w:val="0"/>
                <w:kern w:val="0"/>
                <w:sz w:val="24"/>
                <w:lang w:val="zh-CN"/>
              </w:rPr>
              <w:t>最高限价的</w:t>
            </w:r>
            <w:r>
              <w:rPr>
                <w:rFonts w:ascii="仿宋_GB2312" w:hAnsi="仿宋" w:eastAsia="仿宋_GB2312"/>
                <w:b/>
                <w:bCs w:val="0"/>
                <w:kern w:val="0"/>
                <w:sz w:val="24"/>
                <w:lang w:val="zh-CN"/>
              </w:rPr>
              <w:t>;</w:t>
            </w:r>
          </w:p>
          <w:p>
            <w:pPr>
              <w:spacing w:line="288"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288"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88"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288"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288"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288" w:lineRule="auto"/>
              <w:rPr>
                <w:rFonts w:ascii="仿宋_GB2312" w:hAnsi="仿宋" w:eastAsia="仿宋_GB2312"/>
                <w:b/>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不组织。</w:t>
            </w:r>
          </w:p>
          <w:p>
            <w:pPr>
              <w:spacing w:line="288" w:lineRule="auto"/>
              <w:rPr>
                <w:rFonts w:ascii="仿宋_GB2312" w:hAnsi="仿宋" w:eastAsia="仿宋_GB2312" w:cs="仿宋_GB2312"/>
                <w:b/>
                <w:kern w:val="0"/>
                <w:sz w:val="24"/>
                <w:lang w:val="zh-CN"/>
              </w:rPr>
            </w:pPr>
            <w:r>
              <w:rPr>
                <w:rFonts w:ascii="Wingdings" w:hAnsi="Wingdings" w:eastAsia="仿宋_GB2312" w:cs="Arial"/>
                <w:kern w:val="0"/>
                <w:sz w:val="24"/>
              </w:rPr>
              <w:sym w:font="Wingdings" w:char="00FE"/>
            </w:r>
            <w:r>
              <w:rPr>
                <w:rFonts w:ascii="仿宋_GB2312" w:hAnsi="仿宋" w:eastAsia="仿宋_GB2312"/>
                <w:kern w:val="0"/>
                <w:sz w:val="24"/>
              </w:rPr>
              <w:t>B</w:t>
            </w:r>
            <w:r>
              <w:rPr>
                <w:rFonts w:hint="eastAsia" w:ascii="仿宋_GB2312" w:hAnsi="仿宋" w:eastAsia="仿宋_GB2312"/>
                <w:sz w:val="24"/>
              </w:rPr>
              <w:t>组织，具体详见评标办法。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是否允许采购进口产品（服务项目不采用）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288"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288"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r>
              <w:rPr>
                <w:rFonts w:hint="eastAsia" w:ascii="仿宋_GB2312" w:hAnsi="仿宋" w:eastAsia="仿宋_GB2312"/>
                <w:sz w:val="24"/>
                <w:lang w:eastAsia="zh-CN"/>
              </w:rPr>
              <w:t>，</w:t>
            </w:r>
            <w:r>
              <w:rPr>
                <w:rFonts w:hint="eastAsia" w:ascii="仿宋_GB2312" w:hAnsi="仿宋" w:eastAsia="仿宋_GB2312"/>
                <w:sz w:val="24"/>
                <w:lang w:val="en-US" w:eastAsia="zh-CN"/>
              </w:rPr>
              <w:t>不采用</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25"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8"/>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(1)根据《政府采购促进中小企业发展管理办法》（财库﹝2020﹞46 号）要求，本次采购为</w:t>
            </w:r>
            <w:r>
              <w:rPr>
                <w:rFonts w:hint="eastAsia" w:ascii="仿宋_GB2312" w:hAnsi="仿宋_GB2312" w:eastAsia="仿宋_GB2312" w:cs="仿宋_GB2312"/>
                <w:b/>
                <w:bCs/>
                <w:color w:val="000000"/>
                <w:sz w:val="21"/>
                <w:szCs w:val="21"/>
                <w:u w:val="single"/>
                <w:lang w:eastAsia="zh-CN"/>
              </w:rPr>
              <w:t>专门面向小</w:t>
            </w:r>
            <w:r>
              <w:rPr>
                <w:rFonts w:hint="eastAsia" w:ascii="仿宋_GB2312" w:hAnsi="仿宋_GB2312" w:eastAsia="仿宋_GB2312" w:cs="仿宋_GB2312"/>
                <w:b/>
                <w:bCs/>
                <w:color w:val="000000"/>
                <w:sz w:val="21"/>
                <w:szCs w:val="21"/>
                <w:u w:val="single"/>
                <w:lang w:val="en-US" w:eastAsia="zh-CN"/>
              </w:rPr>
              <w:t>微</w:t>
            </w:r>
            <w:r>
              <w:rPr>
                <w:rFonts w:hint="eastAsia" w:ascii="仿宋_GB2312" w:hAnsi="仿宋_GB2312" w:eastAsia="仿宋_GB2312" w:cs="仿宋_GB2312"/>
                <w:b/>
                <w:bCs/>
                <w:color w:val="000000"/>
                <w:sz w:val="21"/>
                <w:szCs w:val="21"/>
                <w:u w:val="single"/>
                <w:lang w:eastAsia="zh-CN"/>
              </w:rPr>
              <w:t>企业预留采购份额的采购项目</w:t>
            </w:r>
            <w:r>
              <w:rPr>
                <w:rFonts w:hint="eastAsia" w:ascii="仿宋_GB2312" w:hAnsi="仿宋_GB2312" w:eastAsia="仿宋_GB2312" w:cs="仿宋_GB2312"/>
                <w:color w:val="000000"/>
                <w:sz w:val="21"/>
                <w:szCs w:val="21"/>
                <w:lang w:eastAsia="zh-CN"/>
              </w:rPr>
              <w:t>,投标单位应为</w:t>
            </w:r>
            <w:r>
              <w:rPr>
                <w:rFonts w:hint="eastAsia" w:ascii="仿宋_GB2312" w:hAnsi="仿宋_GB2312" w:eastAsia="仿宋_GB2312" w:cs="仿宋_GB2312"/>
                <w:b/>
                <w:bCs/>
                <w:color w:val="000000"/>
                <w:sz w:val="21"/>
                <w:szCs w:val="21"/>
                <w:u w:val="single"/>
                <w:lang w:eastAsia="zh-CN"/>
              </w:rPr>
              <w:t>小</w:t>
            </w:r>
            <w:r>
              <w:rPr>
                <w:rFonts w:hint="eastAsia" w:ascii="仿宋_GB2312" w:hAnsi="仿宋_GB2312" w:eastAsia="仿宋_GB2312" w:cs="仿宋_GB2312"/>
                <w:b/>
                <w:bCs/>
                <w:color w:val="000000"/>
                <w:sz w:val="21"/>
                <w:szCs w:val="21"/>
                <w:u w:val="single"/>
                <w:lang w:val="en-US" w:eastAsia="zh-CN"/>
              </w:rPr>
              <w:t>型、</w:t>
            </w:r>
            <w:r>
              <w:rPr>
                <w:rFonts w:hint="eastAsia" w:ascii="仿宋_GB2312" w:hAnsi="仿宋_GB2312" w:eastAsia="仿宋_GB2312" w:cs="仿宋_GB2312"/>
                <w:b/>
                <w:bCs/>
                <w:color w:val="000000"/>
                <w:sz w:val="21"/>
                <w:szCs w:val="21"/>
                <w:u w:val="single"/>
                <w:lang w:eastAsia="zh-CN"/>
              </w:rPr>
              <w:t>微</w:t>
            </w:r>
            <w:r>
              <w:rPr>
                <w:rFonts w:hint="eastAsia" w:ascii="仿宋_GB2312" w:hAnsi="仿宋_GB2312" w:eastAsia="仿宋_GB2312" w:cs="仿宋_GB2312"/>
                <w:b/>
                <w:bCs/>
                <w:color w:val="000000"/>
                <w:sz w:val="21"/>
                <w:szCs w:val="21"/>
                <w:u w:val="single"/>
                <w:lang w:val="en-US" w:eastAsia="zh-CN"/>
              </w:rPr>
              <w:t>型</w:t>
            </w:r>
            <w:r>
              <w:rPr>
                <w:rFonts w:hint="eastAsia" w:ascii="仿宋_GB2312" w:hAnsi="仿宋_GB2312" w:eastAsia="仿宋_GB2312" w:cs="仿宋_GB2312"/>
                <w:b/>
                <w:bCs/>
                <w:color w:val="000000"/>
                <w:sz w:val="21"/>
                <w:szCs w:val="21"/>
                <w:u w:val="single"/>
                <w:lang w:eastAsia="zh-CN"/>
              </w:rPr>
              <w:t>企业或监狱企业和残疾人福利性单位</w:t>
            </w:r>
            <w:r>
              <w:rPr>
                <w:rFonts w:hint="eastAsia" w:ascii="仿宋_GB2312" w:hAnsi="仿宋_GB2312" w:eastAsia="仿宋_GB2312" w:cs="仿宋_GB2312"/>
                <w:color w:val="000000"/>
                <w:sz w:val="21"/>
                <w:szCs w:val="21"/>
                <w:lang w:eastAsia="zh-CN"/>
              </w:rPr>
              <w:t>。</w:t>
            </w:r>
          </w:p>
          <w:p>
            <w:pPr>
              <w:pStyle w:val="618"/>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其中供应商为小微（含监狱企业和残疾人福利性单位）企业的，其报价评审时不予扣除。</w:t>
            </w:r>
          </w:p>
          <w:p>
            <w:pPr>
              <w:pStyle w:val="618"/>
              <w:tabs>
                <w:tab w:val="left" w:pos="1070"/>
              </w:tabs>
              <w:spacing w:line="288" w:lineRule="auto"/>
              <w:ind w:right="52" w:firstLine="210" w:firstLineChars="100"/>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（2）本采购文件所称小</w:t>
            </w:r>
            <w:r>
              <w:rPr>
                <w:rFonts w:hint="eastAsia" w:ascii="仿宋_GB2312" w:hAnsi="仿宋_GB2312" w:eastAsia="仿宋_GB2312" w:cs="仿宋_GB2312"/>
                <w:sz w:val="21"/>
                <w:szCs w:val="21"/>
                <w:lang w:val="en-US" w:eastAsia="zh-CN"/>
              </w:rPr>
              <w:t>型、微型</w:t>
            </w:r>
            <w:r>
              <w:rPr>
                <w:rFonts w:hint="eastAsia" w:ascii="仿宋_GB2312" w:hAnsi="仿宋_GB2312" w:eastAsia="仿宋_GB2312" w:cs="仿宋_GB2312"/>
                <w:sz w:val="21"/>
                <w:szCs w:val="21"/>
                <w:lang w:eastAsia="zh-CN"/>
              </w:rPr>
              <w:t>企业，是指在中华人民共和国境</w:t>
            </w:r>
            <w:r>
              <w:rPr>
                <w:rFonts w:hint="eastAsia" w:ascii="仿宋_GB2312" w:hAnsi="仿宋_GB2312" w:eastAsia="仿宋_GB2312" w:cs="仿宋_GB2312"/>
                <w:spacing w:val="-7"/>
                <w:sz w:val="21"/>
                <w:szCs w:val="21"/>
                <w:lang w:eastAsia="zh-CN"/>
              </w:rPr>
              <w:t>内依法设立，依据国务院批准的中小企业划分标准确定的</w:t>
            </w:r>
            <w:r>
              <w:rPr>
                <w:rFonts w:hint="eastAsia" w:ascii="仿宋_GB2312" w:hAnsi="仿宋_GB2312" w:eastAsia="仿宋_GB2312" w:cs="仿宋_GB2312"/>
                <w:spacing w:val="-8"/>
                <w:sz w:val="21"/>
                <w:szCs w:val="21"/>
                <w:lang w:eastAsia="zh-CN"/>
              </w:rPr>
              <w:t xml:space="preserve">小型企业和微型企业，但与大企业的负责人为同一人， </w:t>
            </w:r>
            <w:r>
              <w:rPr>
                <w:rFonts w:hint="eastAsia" w:ascii="仿宋_GB2312" w:hAnsi="仿宋_GB2312" w:eastAsia="仿宋_GB2312" w:cs="仿宋_GB2312"/>
                <w:sz w:val="21"/>
                <w:szCs w:val="21"/>
                <w:lang w:eastAsia="zh-CN"/>
              </w:rPr>
              <w:t>或者与大企业存在直接控股、管理关系的除外。</w:t>
            </w:r>
          </w:p>
          <w:p>
            <w:pPr>
              <w:pStyle w:val="618"/>
              <w:tabs>
                <w:tab w:val="left" w:pos="1070"/>
              </w:tabs>
              <w:spacing w:line="288" w:lineRule="auto"/>
              <w:ind w:right="52" w:firstLine="210" w:firstLineChars="100"/>
              <w:rPr>
                <w:rFonts w:ascii="仿宋_GB2312" w:hAnsi="仿宋_GB2312" w:eastAsia="仿宋_GB2312" w:cs="仿宋_GB2312"/>
                <w:spacing w:val="-7"/>
                <w:sz w:val="21"/>
                <w:szCs w:val="21"/>
                <w:lang w:eastAsia="zh-CN"/>
              </w:rPr>
            </w:pPr>
            <w:r>
              <w:rPr>
                <w:rFonts w:hint="eastAsia" w:ascii="仿宋_GB2312" w:hAnsi="仿宋_GB2312" w:eastAsia="仿宋_GB2312" w:cs="仿宋_GB2312"/>
                <w:sz w:val="21"/>
                <w:szCs w:val="21"/>
                <w:lang w:eastAsia="zh-CN"/>
              </w:rPr>
              <w:t>（3）本次</w:t>
            </w:r>
            <w:r>
              <w:rPr>
                <w:rFonts w:hint="eastAsia" w:ascii="仿宋_GB2312" w:hAnsi="仿宋_GB2312" w:eastAsia="仿宋_GB2312" w:cs="仿宋_GB2312"/>
                <w:spacing w:val="-7"/>
                <w:sz w:val="21"/>
                <w:szCs w:val="21"/>
                <w:lang w:eastAsia="zh-CN"/>
              </w:rPr>
              <w:t>采购标的为</w:t>
            </w:r>
            <w:r>
              <w:rPr>
                <w:rFonts w:hint="eastAsia" w:ascii="仿宋_GB2312" w:hAnsi="仿宋_GB2312" w:eastAsia="仿宋_GB2312" w:cs="仿宋_GB2312"/>
                <w:spacing w:val="-7"/>
                <w:sz w:val="21"/>
                <w:szCs w:val="21"/>
                <w:u w:val="single"/>
                <w:lang w:eastAsia="zh-CN"/>
              </w:rPr>
              <w:t xml:space="preserve"> </w:t>
            </w:r>
            <w:r>
              <w:rPr>
                <w:rFonts w:hint="eastAsia" w:ascii="仿宋_GB2312" w:hAnsi="仿宋_GB2312" w:eastAsia="仿宋_GB2312" w:cs="仿宋_GB2312"/>
                <w:b/>
                <w:bCs/>
                <w:spacing w:val="-7"/>
                <w:sz w:val="21"/>
                <w:szCs w:val="21"/>
                <w:u w:val="single"/>
                <w:lang w:eastAsia="zh-CN"/>
              </w:rPr>
              <w:t>互联网执法办案辅助工作服务外包项目</w:t>
            </w:r>
            <w:r>
              <w:rPr>
                <w:rFonts w:hint="eastAsia" w:ascii="仿宋_GB2312" w:hAnsi="仿宋_GB2312" w:eastAsia="仿宋_GB2312" w:cs="仿宋_GB2312"/>
                <w:spacing w:val="-10"/>
                <w:sz w:val="21"/>
                <w:szCs w:val="21"/>
                <w:lang w:eastAsia="zh-CN"/>
              </w:rPr>
              <w:t>，对应的小</w:t>
            </w:r>
            <w:r>
              <w:rPr>
                <w:rFonts w:hint="eastAsia" w:ascii="仿宋_GB2312" w:hAnsi="仿宋_GB2312" w:eastAsia="仿宋_GB2312" w:cs="仿宋_GB2312"/>
                <w:spacing w:val="-10"/>
                <w:sz w:val="21"/>
                <w:szCs w:val="21"/>
                <w:lang w:val="en-US" w:eastAsia="zh-CN"/>
              </w:rPr>
              <w:t>型、微型</w:t>
            </w:r>
            <w:r>
              <w:rPr>
                <w:rFonts w:hint="eastAsia" w:ascii="仿宋_GB2312" w:hAnsi="仿宋_GB2312" w:eastAsia="仿宋_GB2312" w:cs="仿宋_GB2312"/>
                <w:spacing w:val="-10"/>
                <w:sz w:val="21"/>
                <w:szCs w:val="21"/>
                <w:lang w:eastAsia="zh-CN"/>
              </w:rPr>
              <w:t>企业划分</w:t>
            </w:r>
            <w:r>
              <w:rPr>
                <w:rFonts w:hint="eastAsia" w:ascii="仿宋_GB2312" w:hAnsi="仿宋_GB2312" w:eastAsia="仿宋_GB2312" w:cs="仿宋_GB2312"/>
                <w:sz w:val="21"/>
                <w:szCs w:val="21"/>
                <w:lang w:eastAsia="zh-CN"/>
              </w:rPr>
              <w:t>标准所属行业是：</w:t>
            </w:r>
            <w:r>
              <w:rPr>
                <w:rFonts w:hint="eastAsia" w:ascii="仿宋_GB2312" w:hAnsi="仿宋_GB2312" w:eastAsia="仿宋_GB2312" w:cs="仿宋_GB2312"/>
                <w:b/>
                <w:bCs/>
                <w:sz w:val="21"/>
                <w:szCs w:val="21"/>
                <w:u w:val="single"/>
                <w:lang w:eastAsia="zh-CN"/>
              </w:rPr>
              <w:t>租赁和商务服务业</w:t>
            </w:r>
            <w:r>
              <w:rPr>
                <w:rFonts w:hint="eastAsia" w:ascii="仿宋_GB2312" w:hAnsi="仿宋_GB2312" w:eastAsia="仿宋_GB2312" w:cs="仿宋_GB2312"/>
                <w:spacing w:val="-7"/>
                <w:sz w:val="21"/>
                <w:szCs w:val="21"/>
                <w:lang w:eastAsia="zh-CN"/>
              </w:rPr>
              <w:t>；</w:t>
            </w:r>
          </w:p>
          <w:p>
            <w:pPr>
              <w:pStyle w:val="618"/>
              <w:tabs>
                <w:tab w:val="left" w:pos="1070"/>
              </w:tabs>
              <w:spacing w:line="288" w:lineRule="auto"/>
              <w:ind w:right="52" w:firstLine="196" w:firstLineChars="100"/>
              <w:rPr>
                <w:rFonts w:ascii="仿宋_GB2312" w:hAnsi="仿宋_GB2312" w:eastAsia="仿宋_GB2312" w:cs="仿宋_GB2312"/>
                <w:spacing w:val="-7"/>
                <w:sz w:val="21"/>
                <w:szCs w:val="21"/>
                <w:u w:val="single"/>
              </w:rPr>
            </w:pPr>
            <w:r>
              <w:rPr>
                <w:rFonts w:hint="eastAsia" w:ascii="仿宋_GB2312" w:hAnsi="仿宋_GB2312" w:eastAsia="仿宋_GB2312" w:cs="仿宋_GB2312"/>
                <w:spacing w:val="-7"/>
                <w:kern w:val="0"/>
                <w:sz w:val="21"/>
                <w:szCs w:val="21"/>
                <w:u w:val="single"/>
                <w:lang w:val="en-US" w:eastAsia="zh-CN" w:bidi="ar-SA"/>
              </w:rPr>
              <w:drawing>
                <wp:inline distT="0" distB="0" distL="114300" distR="114300">
                  <wp:extent cx="3606800" cy="488315"/>
                  <wp:effectExtent l="0" t="0" r="0"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2">
                            <a:lum/>
                          </a:blip>
                          <a:stretch>
                            <a:fillRect/>
                          </a:stretch>
                        </pic:blipFill>
                        <pic:spPr>
                          <a:xfrm>
                            <a:off x="0" y="0"/>
                            <a:ext cx="3606800" cy="488315"/>
                          </a:xfrm>
                          <a:prstGeom prst="rect">
                            <a:avLst/>
                          </a:prstGeom>
                          <a:noFill/>
                          <a:ln>
                            <a:noFill/>
                          </a:ln>
                        </pic:spPr>
                      </pic:pic>
                    </a:graphicData>
                  </a:graphic>
                </wp:inline>
              </w:drawing>
            </w:r>
          </w:p>
          <w:p>
            <w:pPr>
              <w:pStyle w:val="618"/>
              <w:tabs>
                <w:tab w:val="left" w:pos="1070"/>
              </w:tabs>
              <w:spacing w:line="288" w:lineRule="auto"/>
              <w:ind w:right="52" w:firstLine="240" w:firstLineChars="100"/>
              <w:rPr>
                <w:rFonts w:ascii="宋体" w:hAnsi="宋体" w:cs="宋体"/>
                <w:color w:val="000000"/>
                <w:sz w:val="24"/>
                <w:szCs w:val="24"/>
                <w:shd w:val="clear" w:color="auto" w:fill="FFFFFF"/>
                <w:lang w:eastAsia="zh-CN"/>
              </w:rPr>
            </w:pPr>
            <w:r>
              <w:rPr>
                <w:rFonts w:hint="eastAsia" w:ascii="Calibri" w:hAnsi="Calibri" w:eastAsia="宋体" w:cs="Times New Roman"/>
                <w:kern w:val="0"/>
                <w:sz w:val="24"/>
                <w:szCs w:val="22"/>
                <w:lang w:val="en-US" w:eastAsia="zh-CN" w:bidi="ar-SA"/>
              </w:rPr>
              <w:drawing>
                <wp:anchor distT="0" distB="0" distL="114300" distR="114300" simplePos="0" relativeHeight="251661312" behindDoc="0" locked="0" layoutInCell="1" allowOverlap="1">
                  <wp:simplePos x="0" y="0"/>
                  <wp:positionH relativeFrom="column">
                    <wp:posOffset>152400</wp:posOffset>
                  </wp:positionH>
                  <wp:positionV relativeFrom="paragraph">
                    <wp:posOffset>36195</wp:posOffset>
                  </wp:positionV>
                  <wp:extent cx="3616960" cy="329565"/>
                  <wp:effectExtent l="0" t="0" r="2540" b="63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3">
                            <a:lum/>
                          </a:blip>
                          <a:srcRect t="12953" b="-2591"/>
                          <a:stretch>
                            <a:fillRect/>
                          </a:stretch>
                        </pic:blipFill>
                        <pic:spPr>
                          <a:xfrm>
                            <a:off x="0" y="0"/>
                            <a:ext cx="3616960" cy="329565"/>
                          </a:xfrm>
                          <a:prstGeom prst="rect">
                            <a:avLst/>
                          </a:prstGeom>
                          <a:noFill/>
                          <a:ln>
                            <a:noFill/>
                          </a:ln>
                        </pic:spPr>
                      </pic:pic>
                    </a:graphicData>
                  </a:graphic>
                </wp:anchor>
              </w:drawing>
            </w:r>
          </w:p>
          <w:p>
            <w:pPr>
              <w:pStyle w:val="618"/>
              <w:tabs>
                <w:tab w:val="left" w:pos="1070"/>
              </w:tabs>
              <w:spacing w:line="288" w:lineRule="auto"/>
              <w:ind w:right="52" w:firstLine="211" w:firstLineChars="100"/>
              <w:rPr>
                <w:rFonts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说明： 　　</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1.大型、中型和小型企业须同时满足所列指标的下限，否则下划一档；微型企业只须满足所列指标中的一项即可。 　　</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2.附表中各行业的范围以《国民经济行业分类》（GB/T4754-2017）为准。    </w:t>
            </w:r>
          </w:p>
          <w:p>
            <w:pPr>
              <w:pStyle w:val="618"/>
              <w:tabs>
                <w:tab w:val="left" w:pos="1070"/>
              </w:tabs>
              <w:spacing w:line="288" w:lineRule="auto"/>
              <w:ind w:right="52" w:firstLine="211" w:firstLineChars="100"/>
              <w:rPr>
                <w:rFonts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3.企业划分指标以现行统计制度为准。</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1）从业人员，是指期末从业人员数，没有期末从业人员数的，采用全年平均人员数代替。</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3）资产总额，采用资产总计代替。</w:t>
            </w:r>
          </w:p>
          <w:p>
            <w:pPr>
              <w:pStyle w:val="618"/>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(4)符合小微企业划分标准的个体工商户，视同小微企业。</w:t>
            </w:r>
          </w:p>
          <w:p>
            <w:pPr>
              <w:pStyle w:val="618"/>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(5)中小微企业参加政府采购活动，应当出具《中小企业声明函》。</w:t>
            </w:r>
          </w:p>
          <w:p>
            <w:pPr>
              <w:pStyle w:val="618"/>
              <w:tabs>
                <w:tab w:val="left" w:pos="1070"/>
              </w:tabs>
              <w:ind w:right="52" w:firstLine="210" w:firstLineChars="100"/>
              <w:rPr>
                <w:rFonts w:hAnsi="仿宋_GB2312" w:cs="仿宋_GB2312"/>
                <w:sz w:val="21"/>
                <w:szCs w:val="21"/>
                <w:lang w:eastAsia="zh-CN"/>
              </w:rPr>
            </w:pPr>
            <w:r>
              <w:rPr>
                <w:rFonts w:hint="eastAsia" w:ascii="仿宋_GB2312" w:hAnsi="仿宋_GB2312" w:eastAsia="仿宋_GB2312" w:cs="仿宋_GB2312"/>
                <w:color w:val="000000"/>
                <w:sz w:val="21"/>
                <w:szCs w:val="21"/>
                <w:lang w:eastAsia="zh-CN"/>
              </w:rPr>
              <w:t>(6)监狱企业和残疾人福利性单位视同小型、微型企业，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ind w:firstLine="240" w:firstLineChars="100"/>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ind w:firstLine="480" w:firstLineChars="200"/>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ind w:firstLine="480" w:firstLineChars="200"/>
              <w:rPr>
                <w:rFonts w:ascii="仿宋_GB2312" w:hAnsi="仿宋" w:eastAsia="仿宋_GB2312"/>
                <w:snapToGrid w:val="0"/>
                <w:color w:val="000000"/>
                <w:kern w:val="28"/>
                <w:sz w:val="24"/>
              </w:rPr>
            </w:pPr>
            <w:r>
              <w:rPr>
                <w:rFonts w:hint="eastAsia" w:ascii="仿宋_GB2312" w:hAnsi="仿宋" w:eastAsia="仿宋_GB2312"/>
                <w:snapToGrid w:val="0"/>
                <w:color w:val="000000"/>
                <w:kern w:val="28"/>
                <w:sz w:val="24"/>
              </w:rPr>
              <w:t>供应商中标后也可在“政采云”平台申请政采贷：操作路径：登录政采云平台</w:t>
            </w:r>
            <w:r>
              <w:rPr>
                <w:rFonts w:ascii="仿宋_GB2312" w:hAnsi="仿宋" w:eastAsia="仿宋_GB2312"/>
                <w:snapToGrid w:val="0"/>
                <w:color w:val="000000"/>
                <w:kern w:val="28"/>
                <w:sz w:val="24"/>
              </w:rPr>
              <w:t xml:space="preserve"> - </w:t>
            </w:r>
            <w:r>
              <w:rPr>
                <w:rFonts w:hint="eastAsia" w:ascii="仿宋_GB2312" w:hAnsi="仿宋" w:eastAsia="仿宋_GB2312"/>
                <w:snapToGrid w:val="0"/>
                <w:color w:val="000000"/>
                <w:kern w:val="28"/>
                <w:sz w:val="24"/>
              </w:rPr>
              <w:t>金融服务中心</w:t>
            </w:r>
            <w:r>
              <w:rPr>
                <w:rFonts w:ascii="仿宋_GB2312" w:hAnsi="仿宋" w:eastAsia="仿宋_GB2312"/>
                <w:snapToGrid w:val="0"/>
                <w:color w:val="000000"/>
                <w:kern w:val="28"/>
                <w:sz w:val="24"/>
              </w:rPr>
              <w:t xml:space="preserve">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8"/>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kern w:val="28"/>
                <w:sz w:val="24"/>
                <w:szCs w:val="24"/>
              </w:rPr>
              <w:t>备份投标文件送达地点： 密封包装后（建议顺丰邮寄形式）投标截止时间前递交、一份（邮寄地址：</w:t>
            </w:r>
            <w:r>
              <w:rPr>
                <w:rFonts w:hint="eastAsia" w:ascii="仿宋_GB2312" w:hAnsi="仿宋" w:eastAsia="仿宋_GB2312" w:cs="Times New Roman"/>
                <w:kern w:val="28"/>
                <w:sz w:val="24"/>
                <w:szCs w:val="24"/>
                <w:u w:val="single"/>
              </w:rPr>
              <w:t>杭州市临平区南苑街道华元欢乐城-华元大厦20层2022办公室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u w:val="single"/>
              </w:rPr>
              <w:t>周聪聪13067902529</w:t>
            </w:r>
            <w:r>
              <w:rPr>
                <w:rFonts w:hint="eastAsia" w:ascii="仿宋_GB2312" w:hAnsi="仿宋" w:eastAsia="仿宋_GB2312" w:cs="Times New Roman"/>
                <w:kern w:val="28"/>
                <w:sz w:val="24"/>
                <w:szCs w:val="24"/>
              </w:rPr>
              <w:t xml:space="preserve"> 。</w:t>
            </w:r>
          </w:p>
          <w:p>
            <w:pPr>
              <w:pStyle w:val="38"/>
              <w:spacing w:line="360" w:lineRule="auto"/>
              <w:rPr>
                <w:rFonts w:ascii="仿宋_GB2312" w:hAnsi="仿宋" w:eastAsia="仿宋_GB2312"/>
                <w:kern w:val="28"/>
                <w:sz w:val="24"/>
              </w:rPr>
            </w:pP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本项目的招标代理费用由中标单位支付，参照《招标代理服务收费管理暂行办法》的通知（计价格[2002]1980号）文件</w:t>
            </w:r>
            <w:r>
              <w:rPr>
                <w:rFonts w:hint="eastAsia" w:ascii="仿宋" w:hAnsi="仿宋" w:eastAsia="仿宋" w:cs="仿宋"/>
                <w:sz w:val="24"/>
                <w:lang w:eastAsia="zh-CN"/>
              </w:rPr>
              <w:t>八折</w:t>
            </w:r>
            <w:r>
              <w:rPr>
                <w:rFonts w:hint="eastAsia" w:ascii="仿宋" w:hAnsi="仿宋" w:eastAsia="仿宋" w:cs="仿宋"/>
                <w:sz w:val="24"/>
              </w:rPr>
              <w:t>直接支付给分散采购招标代理单位，投标人在报价时应综合考虑该笔费用，但不单列进投标总价。</w:t>
            </w:r>
          </w:p>
          <w:p>
            <w:pPr>
              <w:pStyle w:val="204"/>
              <w:ind w:firstLine="0" w:firstLineChars="0"/>
            </w:pPr>
            <w:r>
              <w:rPr>
                <w:rFonts w:hint="eastAsia" w:ascii="Arial" w:hAnsi="Arial" w:eastAsia="宋体" w:cs="Times New Roman"/>
                <w:spacing w:val="-5"/>
                <w:kern w:val="0"/>
                <w:sz w:val="24"/>
                <w:szCs w:val="20"/>
                <w:lang w:val="en-US" w:eastAsia="zh-CN" w:bidi="ar-SA"/>
              </w:rPr>
              <w:drawing>
                <wp:anchor distT="0" distB="0" distL="114300" distR="114300" simplePos="0" relativeHeight="251662336" behindDoc="0" locked="0" layoutInCell="1" allowOverlap="1">
                  <wp:simplePos x="0" y="0"/>
                  <wp:positionH relativeFrom="column">
                    <wp:posOffset>323850</wp:posOffset>
                  </wp:positionH>
                  <wp:positionV relativeFrom="paragraph">
                    <wp:posOffset>59690</wp:posOffset>
                  </wp:positionV>
                  <wp:extent cx="2894965" cy="1207770"/>
                  <wp:effectExtent l="0" t="0" r="635" b="1143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34">
                            <a:lum/>
                          </a:blip>
                          <a:stretch>
                            <a:fillRect/>
                          </a:stretch>
                        </pic:blipFill>
                        <pic:spPr>
                          <a:xfrm>
                            <a:off x="0" y="0"/>
                            <a:ext cx="2894965" cy="1207770"/>
                          </a:xfrm>
                          <a:prstGeom prst="rect">
                            <a:avLst/>
                          </a:prstGeom>
                          <a:noFill/>
                          <a:ln>
                            <a:noFill/>
                          </a:ln>
                        </pic:spPr>
                      </pic:pic>
                    </a:graphicData>
                  </a:graphic>
                </wp:anchor>
              </w:drawing>
            </w:r>
          </w:p>
        </w:tc>
      </w:tr>
    </w:tbl>
    <w:p>
      <w:pPr>
        <w:pStyle w:val="27"/>
        <w:ind w:firstLine="627"/>
        <w:rPr>
          <w:rFonts w:ascii="仿宋" w:hAnsi="仿宋" w:eastAsia="仿宋" w:cs="仿宋_GB2312"/>
          <w:b/>
          <w:sz w:val="32"/>
        </w:rPr>
      </w:pPr>
    </w:p>
    <w:bookmarkEnd w:id="9"/>
    <w:p>
      <w:pPr>
        <w:adjustRightInd/>
        <w:spacing w:line="360" w:lineRule="auto"/>
        <w:ind w:firstLine="3845" w:firstLineChars="1197"/>
        <w:outlineLvl w:val="0"/>
        <w:rPr>
          <w:rFonts w:ascii="仿宋_GB2312" w:hAnsi="仿宋" w:eastAsia="仿宋_GB2312" w:cs="仿宋_GB2312"/>
          <w:b/>
          <w:sz w:val="32"/>
          <w:szCs w:val="20"/>
        </w:rPr>
      </w:pPr>
      <w:bookmarkStart w:id="16" w:name="第三部分"/>
      <w:bookmarkStart w:id="17" w:name="_Toc164416483"/>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sz w:val="24"/>
        </w:rPr>
      </w:pPr>
      <w:r>
        <w:rPr>
          <w:rFonts w:ascii="仿宋_GB2312" w:hAnsi="仿宋" w:eastAsia="仿宋_GB2312"/>
          <w:sz w:val="24"/>
        </w:rPr>
        <w:t>▲</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w:t>
      </w:r>
      <w:r>
        <w:rPr>
          <w:rFonts w:hint="eastAsia" w:ascii="仿宋_GB2312" w:hAnsi="宋体" w:eastAsia="仿宋_GB2312" w:cs="宋体"/>
          <w:kern w:val="0"/>
          <w:sz w:val="24"/>
          <w:lang w:val="en-US" w:eastAsia="zh-CN"/>
        </w:rPr>
        <w:t>微</w:t>
      </w:r>
      <w:r>
        <w:rPr>
          <w:rFonts w:ascii="仿宋_GB2312" w:hAnsi="宋体" w:eastAsia="仿宋_GB2312" w:cs="宋体"/>
          <w:kern w:val="0"/>
          <w:sz w:val="24"/>
        </w:rPr>
        <w:t>企业承接，即提供服务的人员为中小</w:t>
      </w:r>
      <w:r>
        <w:rPr>
          <w:rFonts w:hint="eastAsia" w:ascii="仿宋_GB2312" w:hAnsi="宋体" w:eastAsia="仿宋_GB2312" w:cs="宋体"/>
          <w:kern w:val="0"/>
          <w:sz w:val="24"/>
          <w:lang w:val="en-US" w:eastAsia="zh-CN"/>
        </w:rPr>
        <w:t>微</w:t>
      </w:r>
      <w:r>
        <w:rPr>
          <w:rFonts w:ascii="仿宋_GB2312" w:hAnsi="宋体" w:eastAsia="仿宋_GB2312" w:cs="宋体"/>
          <w:kern w:val="0"/>
          <w:sz w:val="24"/>
        </w:rPr>
        <w:t>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spacing w:line="360" w:lineRule="auto"/>
        <w:ind w:firstLine="480" w:firstLineChars="200"/>
        <w:rPr>
          <w:rFonts w:ascii="仿宋_GB2312" w:hAnsi="仿宋" w:eastAsia="仿宋_GB2312"/>
          <w:b/>
          <w:bCs/>
          <w:sz w:val="24"/>
        </w:rPr>
      </w:pPr>
      <w:r>
        <w:rPr>
          <w:rFonts w:ascii="仿宋_GB2312" w:hAnsi="仿宋" w:eastAsia="仿宋_GB2312"/>
          <w:sz w:val="24"/>
        </w:rPr>
        <w:t>3.3.3</w:t>
      </w:r>
      <w:r>
        <w:rPr>
          <w:rFonts w:hint="eastAsia" w:ascii="仿宋_GB2312" w:hAnsi="仿宋" w:eastAsia="仿宋_GB2312"/>
          <w:sz w:val="24"/>
        </w:rPr>
        <w:t>对于预留份额专门面向小</w:t>
      </w:r>
      <w:r>
        <w:rPr>
          <w:rFonts w:hint="eastAsia" w:ascii="仿宋_GB2312" w:hAnsi="仿宋" w:eastAsia="仿宋_GB2312"/>
          <w:sz w:val="24"/>
          <w:lang w:val="en-US" w:eastAsia="zh-CN"/>
        </w:rPr>
        <w:t>微</w:t>
      </w:r>
      <w:r>
        <w:rPr>
          <w:rFonts w:hint="eastAsia" w:ascii="仿宋_GB2312" w:hAnsi="仿宋" w:eastAsia="仿宋_GB2312"/>
          <w:sz w:val="24"/>
        </w:rPr>
        <w:t>企业的政府采购货物或服务项目，</w:t>
      </w:r>
      <w:r>
        <w:rPr>
          <w:rFonts w:hint="eastAsia" w:ascii="仿宋_GB2312" w:hAnsi="仿宋" w:eastAsia="仿宋_GB2312"/>
          <w:b/>
          <w:bCs/>
          <w:sz w:val="24"/>
        </w:rPr>
        <w:t>小微企业价格评审不扣减。</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3.4.1 采购人优先采购被认定</w:t>
      </w:r>
      <w:r>
        <w:rPr>
          <w:rFonts w:hint="eastAsia" w:ascii="仿宋_GB2312" w:hAnsi="仿宋" w:eastAsia="仿宋_GB2312"/>
          <w:color w:val="000000"/>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3.4.2首台套产品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color w:val="000000"/>
          <w:sz w:val="24"/>
        </w:rPr>
      </w:pPr>
      <w:r>
        <w:rPr>
          <w:rFonts w:ascii="仿宋_GB2312" w:hAnsi="仿宋" w:eastAsia="仿宋_GB2312"/>
          <w:color w:val="000000"/>
          <w:sz w:val="24"/>
        </w:rPr>
        <w:t>3.5中小企业信用融资：</w:t>
      </w:r>
    </w:p>
    <w:p>
      <w:pPr>
        <w:spacing w:line="360" w:lineRule="auto"/>
        <w:ind w:firstLine="480" w:firstLineChars="200"/>
        <w:rPr>
          <w:rFonts w:ascii="仿宋_GB2312" w:hAnsi="仿宋" w:eastAsia="仿宋_GB2312"/>
          <w:b/>
          <w:color w:val="000000"/>
          <w:sz w:val="24"/>
        </w:rPr>
      </w:pPr>
      <w:r>
        <w:rPr>
          <w:rFonts w:ascii="仿宋_GB2312" w:hAnsi="仿宋" w:eastAsia="仿宋_GB2312"/>
          <w:color w:val="000000"/>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color w:val="000000"/>
          <w:sz w:val="24"/>
        </w:rPr>
        <w:t xml:space="preserve">4. </w:t>
      </w:r>
      <w:r>
        <w:rPr>
          <w:rFonts w:hint="eastAsia" w:ascii="仿宋_GB2312" w:hAnsi="仿宋" w:eastAsia="仿宋_GB2312"/>
          <w:b/>
          <w:color w:val="000000"/>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8"/>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8"/>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8"/>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8"/>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8"/>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6"/>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.4</w:t>
      </w:r>
      <w:r>
        <w:rPr>
          <w:rFonts w:hint="eastAsia" w:ascii="仿宋_GB2312" w:hAnsi="仿宋" w:eastAsia="仿宋_GB2312"/>
          <w:color w:val="00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rPr>
        <w:t>2021〕17号）,</w:t>
      </w:r>
      <w:r>
        <w:rPr>
          <w:rFonts w:hint="eastAsia" w:ascii="仿宋_GB2312" w:hAnsi="仿宋" w:eastAsia="仿宋_GB2312"/>
          <w:color w:val="000000"/>
        </w:rPr>
        <w:t>采购人或者采购机构在质疑回复后</w:t>
      </w:r>
      <w:r>
        <w:rPr>
          <w:rFonts w:ascii="仿宋_GB2312" w:hAnsi="仿宋" w:eastAsia="仿宋_GB2312"/>
          <w:color w:val="000000"/>
        </w:rPr>
        <w:t>5个工作日内，在浙江政府采购网的“其他公告”栏目公开质疑答复，答复内容应当完整。质疑</w:t>
      </w:r>
      <w:r>
        <w:rPr>
          <w:rFonts w:hint="eastAsia" w:ascii="仿宋_GB2312" w:hAnsi="仿宋" w:eastAsia="仿宋_GB2312"/>
          <w:color w:val="000000"/>
        </w:rPr>
        <w:t>函作为附件上传。</w:t>
      </w:r>
    </w:p>
    <w:p>
      <w:pPr>
        <w:pStyle w:val="576"/>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8"/>
        <w:numPr>
          <w:ilvl w:val="0"/>
          <w:numId w:val="1"/>
        </w:numPr>
        <w:spacing w:line="360" w:lineRule="auto"/>
        <w:rPr>
          <w:rFonts w:ascii="仿宋_GB2312" w:hAnsi="仿宋" w:eastAsia="仿宋_GB2312" w:cs="仿宋_GB2312"/>
          <w:b/>
          <w:sz w:val="24"/>
          <w:szCs w:val="24"/>
        </w:rPr>
      </w:pPr>
      <w:r>
        <w:rPr>
          <w:rFonts w:ascii="仿宋_GB2312" w:hAnsi="仿宋" w:eastAsia="仿宋_GB2312" w:cs="仿宋_GB2312"/>
          <w:b/>
          <w:sz w:val="24"/>
          <w:szCs w:val="24"/>
        </w:rPr>
        <w:t>开标前答疑会或现场考察</w:t>
      </w:r>
    </w:p>
    <w:p>
      <w:pPr>
        <w:pStyle w:val="38"/>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8"/>
        <w:numPr>
          <w:ilvl w:val="0"/>
          <w:numId w:val="1"/>
        </w:numPr>
        <w:spacing w:line="360" w:lineRule="auto"/>
        <w:rPr>
          <w:rFonts w:ascii="仿宋_GB2312" w:hAnsi="仿宋" w:eastAsia="仿宋_GB2312" w:cs="仿宋_GB2312"/>
          <w:b/>
          <w:szCs w:val="24"/>
        </w:rPr>
      </w:pPr>
      <w:r>
        <w:rPr>
          <w:rFonts w:ascii="仿宋_GB2312" w:hAnsi="仿宋" w:eastAsia="仿宋_GB2312"/>
          <w:b/>
          <w:kern w:val="28"/>
          <w:sz w:val="24"/>
          <w:szCs w:val="24"/>
        </w:rPr>
        <w:t>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8"/>
        <w:spacing w:line="360" w:lineRule="auto"/>
        <w:rPr>
          <w:rFonts w:ascii="仿宋_GB2312" w:hAnsi="仿宋" w:eastAsia="仿宋_GB2312" w:cs="仿宋_GB2312"/>
          <w:b/>
          <w:color w:val="000000"/>
          <w:sz w:val="24"/>
          <w:szCs w:val="24"/>
        </w:rPr>
      </w:pPr>
      <w:r>
        <w:rPr>
          <w:rFonts w:ascii="仿宋_GB2312" w:hAnsi="仿宋" w:eastAsia="仿宋_GB2312" w:cs="仿宋_GB2312"/>
          <w:b/>
          <w:color w:val="000000"/>
          <w:sz w:val="24"/>
          <w:szCs w:val="24"/>
        </w:rPr>
        <w:t xml:space="preserve">11. </w:t>
      </w:r>
      <w:r>
        <w:rPr>
          <w:rFonts w:hint="eastAsia" w:ascii="仿宋_GB2312" w:hAnsi="仿宋" w:eastAsia="仿宋_GB2312" w:cs="仿宋_GB2312"/>
          <w:b/>
          <w:color w:val="000000"/>
          <w:sz w:val="24"/>
          <w:szCs w:val="24"/>
        </w:rPr>
        <w:t>投标文件的组成</w:t>
      </w:r>
    </w:p>
    <w:p>
      <w:pPr>
        <w:snapToGrid w:val="0"/>
        <w:spacing w:line="360" w:lineRule="auto"/>
        <w:rPr>
          <w:rFonts w:ascii="仿宋_GB2312" w:hAnsi="仿宋" w:eastAsia="仿宋_GB2312" w:cs="仿宋_GB2312"/>
          <w:color w:val="000000"/>
          <w:sz w:val="24"/>
        </w:rPr>
      </w:pPr>
      <w:r>
        <w:rPr>
          <w:rFonts w:ascii="仿宋_GB2312" w:hAnsi="仿宋" w:eastAsia="仿宋_GB2312" w:cs="仿宋_GB2312"/>
          <w:color w:val="000000"/>
          <w:sz w:val="24"/>
        </w:rPr>
        <w:t>11.1</w:t>
      </w:r>
      <w:r>
        <w:rPr>
          <w:rFonts w:hint="eastAsia" w:ascii="仿宋_GB2312" w:hAnsi="仿宋" w:eastAsia="仿宋_GB2312" w:cs="仿宋_GB2312"/>
          <w:b/>
          <w:color w:val="000000"/>
          <w:sz w:val="24"/>
        </w:rPr>
        <w:t>资格文件</w:t>
      </w:r>
      <w:r>
        <w:rPr>
          <w:rFonts w:hint="eastAsia" w:ascii="仿宋_GB2312" w:hAnsi="仿宋" w:eastAsia="仿宋_GB2312" w:cs="仿宋_GB2312"/>
          <w:color w:val="000000"/>
          <w:sz w:val="24"/>
        </w:rPr>
        <w:t>：</w:t>
      </w:r>
    </w:p>
    <w:p>
      <w:pPr>
        <w:snapToGrid w:val="0"/>
        <w:spacing w:line="360" w:lineRule="auto"/>
        <w:ind w:firstLine="843" w:firstLineChars="400"/>
        <w:rPr>
          <w:rFonts w:ascii="仿宋_GB2312" w:hAnsi="仿宋" w:eastAsia="仿宋_GB2312" w:cs="仿宋_GB2312"/>
          <w:color w:val="000000"/>
          <w:sz w:val="24"/>
        </w:rPr>
      </w:pPr>
      <w:r>
        <w:rPr>
          <w:rFonts w:hint="eastAsia" w:ascii="仿宋_GB2312" w:hAnsi="仿宋" w:eastAsia="仿宋_GB2312"/>
          <w:b/>
          <w:color w:val="000000"/>
        </w:rPr>
        <w:t>▲</w:t>
      </w:r>
      <w:r>
        <w:rPr>
          <w:rFonts w:ascii="仿宋_GB2312" w:hAnsi="仿宋" w:eastAsia="仿宋_GB2312" w:cs="仿宋_GB2312"/>
          <w:color w:val="000000"/>
          <w:sz w:val="24"/>
        </w:rPr>
        <w:t>11.1.1符合参加政府采购活动应当具备的一般条件的承诺函；</w:t>
      </w:r>
    </w:p>
    <w:p>
      <w:pPr>
        <w:snapToGrid w:val="0"/>
        <w:spacing w:line="360" w:lineRule="auto"/>
        <w:ind w:firstLine="843" w:firstLineChars="400"/>
        <w:rPr>
          <w:rFonts w:ascii="仿宋_GB2312" w:hAnsi="仿宋" w:eastAsia="仿宋_GB2312" w:cs="仿宋_GB2312"/>
          <w:b/>
          <w:bCs/>
          <w:color w:val="000000"/>
          <w:sz w:val="24"/>
        </w:rPr>
      </w:pPr>
      <w:r>
        <w:rPr>
          <w:rFonts w:hint="eastAsia" w:ascii="仿宋_GB2312" w:hAnsi="仿宋" w:eastAsia="仿宋_GB2312"/>
          <w:b/>
          <w:color w:val="000000"/>
        </w:rPr>
        <w:t>▲</w:t>
      </w:r>
      <w:r>
        <w:rPr>
          <w:rFonts w:ascii="仿宋_GB2312" w:hAnsi="仿宋" w:eastAsia="仿宋_GB2312" w:cs="仿宋_GB2312"/>
          <w:color w:val="000000"/>
          <w:sz w:val="24"/>
        </w:rPr>
        <w:t xml:space="preserve">11.1.2落实政府采购政策需满足的资格要求: </w:t>
      </w:r>
      <w:r>
        <w:rPr>
          <w:rFonts w:hint="eastAsia" w:ascii="仿宋_GB2312" w:hAnsi="仿宋" w:eastAsia="仿宋_GB2312" w:cs="仿宋_GB2312"/>
          <w:b/>
          <w:bCs/>
          <w:color w:val="000000"/>
          <w:sz w:val="24"/>
        </w:rPr>
        <w:t>本项目为专门面向小</w:t>
      </w:r>
      <w:r>
        <w:rPr>
          <w:rFonts w:hint="eastAsia" w:ascii="仿宋_GB2312" w:hAnsi="仿宋" w:eastAsia="仿宋_GB2312" w:cs="仿宋_GB2312"/>
          <w:b/>
          <w:bCs/>
          <w:color w:val="000000"/>
          <w:sz w:val="24"/>
          <w:lang w:val="en-US" w:eastAsia="zh-CN"/>
        </w:rPr>
        <w:t>微</w:t>
      </w:r>
      <w:r>
        <w:rPr>
          <w:rFonts w:hint="eastAsia" w:ascii="仿宋_GB2312" w:hAnsi="仿宋" w:eastAsia="仿宋_GB2312" w:cs="仿宋_GB2312"/>
          <w:b/>
          <w:bCs/>
          <w:color w:val="000000"/>
          <w:sz w:val="24"/>
        </w:rPr>
        <w:t>企业采购的项目</w:t>
      </w:r>
      <w:r>
        <w:rPr>
          <w:rFonts w:ascii="仿宋_GB2312" w:hAnsi="仿宋" w:eastAsia="仿宋_GB2312" w:cs="仿宋_GB2312"/>
          <w:b/>
          <w:bCs/>
          <w:color w:val="000000"/>
          <w:sz w:val="24"/>
        </w:rPr>
        <w:t>,投标单位应为小</w:t>
      </w:r>
      <w:r>
        <w:rPr>
          <w:rFonts w:hint="eastAsia" w:ascii="仿宋_GB2312" w:hAnsi="仿宋" w:eastAsia="仿宋_GB2312" w:cs="仿宋_GB2312"/>
          <w:b/>
          <w:bCs/>
          <w:color w:val="000000"/>
          <w:sz w:val="24"/>
          <w:lang w:val="en-US" w:eastAsia="zh-CN"/>
        </w:rPr>
        <w:t>微</w:t>
      </w:r>
      <w:r>
        <w:rPr>
          <w:rFonts w:ascii="仿宋_GB2312" w:hAnsi="仿宋" w:eastAsia="仿宋_GB2312" w:cs="仿宋_GB2312"/>
          <w:b/>
          <w:bCs/>
          <w:color w:val="000000"/>
          <w:sz w:val="24"/>
        </w:rPr>
        <w:t>企业或监狱企业和残疾人福利性单位，出具《小</w:t>
      </w:r>
      <w:r>
        <w:rPr>
          <w:rFonts w:hint="eastAsia" w:ascii="仿宋_GB2312" w:hAnsi="仿宋" w:eastAsia="仿宋_GB2312" w:cs="仿宋_GB2312"/>
          <w:b/>
          <w:bCs/>
          <w:color w:val="000000"/>
          <w:sz w:val="24"/>
          <w:lang w:val="en-US" w:eastAsia="zh-CN"/>
        </w:rPr>
        <w:t>微</w:t>
      </w:r>
      <w:r>
        <w:rPr>
          <w:rFonts w:ascii="仿宋_GB2312" w:hAnsi="仿宋" w:eastAsia="仿宋_GB2312" w:cs="仿宋_GB2312"/>
          <w:b/>
          <w:bCs/>
          <w:color w:val="000000"/>
          <w:sz w:val="24"/>
        </w:rPr>
        <w:t xml:space="preserve">企业声明函》，否则作无效投标。                 </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11.1.3本项目的特定资格要求:无。</w:t>
      </w:r>
    </w:p>
    <w:p>
      <w:pPr>
        <w:snapToGrid w:val="0"/>
        <w:spacing w:line="360" w:lineRule="auto"/>
        <w:ind w:left="105" w:leftChars="50" w:firstLine="482" w:firstLineChars="200"/>
        <w:rPr>
          <w:rFonts w:ascii="仿宋_GB2312" w:hAnsi="仿宋_GB2312" w:eastAsia="仿宋_GB2312" w:cs="仿宋_GB2312"/>
          <w:sz w:val="24"/>
        </w:rPr>
      </w:pPr>
      <w:r>
        <w:rPr>
          <w:rFonts w:hint="eastAsia" w:ascii="仿宋_GB2312" w:hAnsi="仿宋_GB2312" w:eastAsia="仿宋_GB2312" w:cs="仿宋_GB2312"/>
          <w:b/>
          <w:bCs/>
          <w:color w:val="000000"/>
          <w:sz w:val="24"/>
        </w:rPr>
        <w:t>注：上述资格条件审查材料有一项不提供的，视为资格审查不通过。上述内容部分格式及内容详见“</w:t>
      </w:r>
      <w:r>
        <w:rPr>
          <w:rFonts w:hint="eastAsia" w:ascii="仿宋_GB2312" w:hAnsi="仿宋_GB2312" w:eastAsia="仿宋_GB2312" w:cs="仿宋_GB2312"/>
          <w:sz w:val="24"/>
        </w:rPr>
        <w:t>第六部分  应提交的有关格式范例”。</w:t>
      </w:r>
    </w:p>
    <w:p>
      <w:pPr>
        <w:snapToGrid w:val="0"/>
        <w:spacing w:line="360" w:lineRule="auto"/>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632" w:firstLineChars="300"/>
        <w:rPr>
          <w:rFonts w:ascii="仿宋_GB2312" w:hAnsi="仿宋" w:eastAsia="仿宋_GB2312" w:cs="仿宋_GB2312"/>
          <w:b/>
          <w:sz w:val="24"/>
        </w:rPr>
      </w:pPr>
      <w:r>
        <w:rPr>
          <w:rFonts w:hint="eastAsia" w:ascii="仿宋_GB2312" w:hAnsi="仿宋" w:eastAsia="仿宋_GB2312"/>
          <w:b/>
        </w:rPr>
        <w:t>▲</w:t>
      </w:r>
      <w:r>
        <w:rPr>
          <w:rFonts w:ascii="仿宋_GB2312" w:hAnsi="仿宋" w:eastAsia="仿宋_GB2312" w:cs="仿宋_GB2312"/>
          <w:b/>
          <w:sz w:val="24"/>
        </w:rPr>
        <w:t>11.2.1投标函</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r>
        <w:rPr>
          <w:rFonts w:ascii="仿宋_GB2312" w:hAnsi="仿宋" w:eastAsia="仿宋_GB2312" w:cs="仿宋_GB2312"/>
          <w:b/>
          <w:sz w:val="24"/>
        </w:rPr>
        <w:t>；</w:t>
      </w:r>
      <w:r>
        <w:rPr>
          <w:rFonts w:ascii="仿宋_GB2312" w:hAnsi="仿宋" w:eastAsia="仿宋_GB2312" w:cs="仿宋_GB2312"/>
          <w:b/>
          <w:sz w:val="24"/>
          <w:lang w:val="zh-CN"/>
        </w:rPr>
        <w:t xml:space="preserve"> </w:t>
      </w:r>
    </w:p>
    <w:p>
      <w:pPr>
        <w:snapToGrid w:val="0"/>
        <w:spacing w:line="360" w:lineRule="auto"/>
        <w:ind w:firstLine="632" w:firstLineChars="300"/>
        <w:rPr>
          <w:rFonts w:ascii="仿宋_GB2312" w:hAnsi="仿宋" w:eastAsia="仿宋_GB2312" w:cs="仿宋_GB2312"/>
          <w:b/>
          <w:sz w:val="24"/>
        </w:rPr>
      </w:pPr>
      <w:r>
        <w:rPr>
          <w:rFonts w:hint="eastAsia" w:ascii="仿宋_GB2312" w:hAnsi="仿宋" w:eastAsia="仿宋_GB2312"/>
          <w:b/>
        </w:rPr>
        <w:t>▲</w:t>
      </w:r>
      <w:r>
        <w:rPr>
          <w:rFonts w:ascii="仿宋_GB2312" w:hAnsi="仿宋" w:eastAsia="仿宋_GB2312" w:cs="仿宋_GB2312"/>
          <w:b/>
          <w:sz w:val="24"/>
        </w:rPr>
        <w:t>11.2.2授权委托书或法定代表人（单位负责人、自然人本人）身份证明；</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723" w:firstLineChars="300"/>
        <w:rPr>
          <w:rFonts w:ascii="仿宋_GB2312" w:hAnsi="仿宋" w:eastAsia="仿宋_GB2312" w:cs="仿宋_GB2312"/>
          <w:b/>
          <w:sz w:val="24"/>
        </w:rPr>
      </w:pPr>
      <w:r>
        <w:rPr>
          <w:rFonts w:ascii="仿宋_GB2312" w:hAnsi="仿宋" w:eastAsia="仿宋_GB2312" w:cs="仿宋_GB2312"/>
          <w:b/>
          <w:sz w:val="24"/>
        </w:rPr>
        <w:t>11.2.</w:t>
      </w:r>
      <w:r>
        <w:rPr>
          <w:rFonts w:hint="eastAsia" w:ascii="仿宋_GB2312" w:hAnsi="仿宋" w:eastAsia="仿宋_GB2312" w:cs="仿宋_GB2312"/>
          <w:b/>
          <w:sz w:val="24"/>
        </w:rPr>
        <w:t>5</w:t>
      </w:r>
      <w:r>
        <w:rPr>
          <w:rFonts w:ascii="仿宋_GB2312" w:hAnsi="仿宋" w:eastAsia="仿宋_GB2312" w:cs="仿宋_GB2312"/>
          <w:b/>
          <w:sz w:val="24"/>
        </w:rPr>
        <w:t>商务技术偏离表；</w:t>
      </w:r>
    </w:p>
    <w:p>
      <w:pPr>
        <w:snapToGrid w:val="0"/>
        <w:spacing w:line="360" w:lineRule="auto"/>
        <w:ind w:firstLine="723" w:firstLineChars="300"/>
        <w:rPr>
          <w:rFonts w:ascii="仿宋_GB2312" w:hAnsi="仿宋" w:eastAsia="仿宋_GB2312" w:cs="仿宋_GB2312"/>
          <w:sz w:val="24"/>
          <w:lang w:val="zh-CN"/>
        </w:rPr>
      </w:pPr>
      <w:r>
        <w:rPr>
          <w:rFonts w:ascii="仿宋_GB2312" w:hAnsi="仿宋" w:eastAsia="仿宋_GB2312" w:cs="仿宋_GB2312"/>
          <w:b/>
          <w:sz w:val="24"/>
          <w:lang w:val="zh-CN"/>
        </w:rPr>
        <w:t>11.</w:t>
      </w:r>
      <w:r>
        <w:rPr>
          <w:rFonts w:ascii="仿宋_GB2312" w:hAnsi="仿宋" w:eastAsia="仿宋_GB2312" w:cs="仿宋_GB2312"/>
          <w:b/>
          <w:sz w:val="24"/>
        </w:rPr>
        <w:t>2</w:t>
      </w:r>
      <w:r>
        <w:rPr>
          <w:rFonts w:ascii="仿宋_GB2312" w:hAnsi="仿宋" w:eastAsia="仿宋_GB2312" w:cs="仿宋_GB2312"/>
          <w:b/>
          <w:sz w:val="24"/>
          <w:lang w:val="zh-CN"/>
        </w:rPr>
        <w:t>.</w:t>
      </w:r>
      <w:r>
        <w:rPr>
          <w:rFonts w:hint="eastAsia" w:ascii="仿宋_GB2312" w:hAnsi="仿宋" w:eastAsia="仿宋_GB2312" w:cs="仿宋_GB2312"/>
          <w:b/>
          <w:sz w:val="24"/>
        </w:rPr>
        <w:t>6</w:t>
      </w:r>
      <w:r>
        <w:rPr>
          <w:rFonts w:hint="eastAsia" w:ascii="仿宋_GB2312" w:hAnsi="仿宋" w:eastAsia="仿宋_GB2312" w:cs="仿宋_GB2312"/>
          <w:b/>
          <w:sz w:val="24"/>
          <w:lang w:val="zh-CN"/>
        </w:rPr>
        <w:t>政府采购供应商廉洁自律承诺书；</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8投标人认为需要提供的与本项目有关的其他文件和说明</w:t>
      </w:r>
      <w:r>
        <w:rPr>
          <w:rFonts w:hint="eastAsia" w:ascii="仿宋_GB2312" w:hAnsi="仿宋" w:eastAsia="仿宋_GB2312" w:cs="仿宋_GB2312"/>
          <w:sz w:val="24"/>
          <w:lang w:val="zh-CN"/>
        </w:rPr>
        <w:t>。</w:t>
      </w:r>
    </w:p>
    <w:p>
      <w:pPr>
        <w:pStyle w:val="65"/>
        <w:ind w:left="0" w:leftChars="0" w:firstLine="0" w:firstLineChars="0"/>
      </w:pPr>
      <w:r>
        <w:rPr>
          <w:rFonts w:hint="eastAsia"/>
        </w:rPr>
        <w:t xml:space="preserve">     注：本项目无须提供联合协议和分包意向协议。</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kern w:val="0"/>
          <w:sz w:val="24"/>
        </w:rPr>
        <w:t xml:space="preserve">  </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22" w:firstLineChars="200"/>
        <w:rPr>
          <w:rFonts w:ascii="仿宋_GB2312" w:hAnsi="仿宋" w:eastAsia="仿宋_GB2312" w:cs="仿宋_GB2312"/>
          <w:sz w:val="24"/>
        </w:rPr>
      </w:pPr>
      <w:r>
        <w:rPr>
          <w:rFonts w:hint="eastAsia" w:ascii="仿宋_GB2312" w:hAnsi="仿宋" w:eastAsia="仿宋_GB2312"/>
          <w:b/>
        </w:rPr>
        <w:t>▲</w:t>
      </w:r>
      <w:r>
        <w:rPr>
          <w:rFonts w:ascii="仿宋_GB2312" w:hAnsi="仿宋" w:eastAsia="仿宋_GB2312" w:cs="仿宋_GB2312"/>
          <w:sz w:val="24"/>
        </w:rPr>
        <w:t>11.3.1</w:t>
      </w:r>
      <w:r>
        <w:rPr>
          <w:rFonts w:ascii="仿宋_GB2312" w:hAnsi="仿宋" w:eastAsia="仿宋_GB2312" w:cs="仿宋_GB2312"/>
          <w:b/>
          <w:bCs/>
          <w:sz w:val="24"/>
        </w:rPr>
        <w:t>开标一览表（报价表）；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注：投标文件含有采购人不能接受的附加条件的，投标无效；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numPr>
          <w:ilvl w:val="0"/>
          <w:numId w:val="2"/>
        </w:numPr>
        <w:snapToGrid w:val="0"/>
        <w:spacing w:line="360" w:lineRule="auto"/>
        <w:rPr>
          <w:rFonts w:ascii="仿宋_GB2312" w:hAnsi="仿宋" w:eastAsia="仿宋_GB2312"/>
          <w:b/>
          <w:sz w:val="24"/>
        </w:rPr>
      </w:pPr>
      <w:r>
        <w:rPr>
          <w:rFonts w:ascii="仿宋_GB2312" w:hAnsi="仿宋" w:eastAsia="仿宋_GB2312"/>
          <w:b/>
          <w:sz w:val="24"/>
        </w:rPr>
        <w:t>投标文件的签署、盖章</w:t>
      </w:r>
    </w:p>
    <w:p>
      <w:pPr>
        <w:pStyle w:val="9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w:t>
      </w:r>
      <w:r>
        <w:rPr>
          <w:rFonts w:ascii="仿宋_GB2312" w:hAnsi="仿宋" w:eastAsia="仿宋_GB2312" w:cs="仿宋_GB2312"/>
          <w:b/>
          <w:szCs w:val="24"/>
        </w:rPr>
        <w:t xml:space="preserve">. </w:t>
      </w:r>
      <w:r>
        <w:rPr>
          <w:rFonts w:ascii="仿宋_GB2312" w:hAnsi="仿宋" w:eastAsia="仿宋_GB2312" w:cs="仿宋_GB2312"/>
          <w:b/>
          <w:sz w:val="24"/>
          <w:szCs w:val="24"/>
        </w:rPr>
        <w:t>备份投标文件</w:t>
      </w:r>
    </w:p>
    <w:p>
      <w:pPr>
        <w:pStyle w:val="38"/>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8"/>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8"/>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1"/>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91"/>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643"/>
        <w:rPr>
          <w:rFonts w:ascii="仿宋_GB2312" w:hAnsi="仿宋" w:eastAsia="仿宋_GB2312" w:cs="仿宋_GB2312"/>
          <w:b/>
          <w:sz w:val="32"/>
        </w:rPr>
      </w:pPr>
    </w:p>
    <w:p>
      <w:pPr>
        <w:pStyle w:val="9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6"/>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w:t>
      </w:r>
      <w:r>
        <w:rPr>
          <w:rFonts w:hint="eastAsia" w:ascii="仿宋_GB2312" w:hAnsi="仿宋" w:eastAsia="仿宋_GB2312" w:cs="仿宋_GB2312"/>
          <w:b/>
          <w:sz w:val="24"/>
          <w:szCs w:val="24"/>
        </w:rPr>
        <w:t xml:space="preserve"> </w:t>
      </w:r>
      <w:r>
        <w:rPr>
          <w:rFonts w:ascii="仿宋_GB2312" w:hAnsi="仿宋" w:eastAsia="仿宋_GB2312" w:cs="仿宋_GB2312"/>
          <w:b/>
          <w:sz w:val="24"/>
          <w:szCs w:val="24"/>
        </w:rPr>
        <w:t>开标</w:t>
      </w:r>
      <w:r>
        <w:rPr>
          <w:rFonts w:ascii="仿宋_GB2312" w:eastAsia="仿宋_GB2312"/>
          <w:sz w:val="24"/>
        </w:rPr>
        <w:t xml:space="preserve"> </w:t>
      </w:r>
    </w:p>
    <w:p>
      <w:pPr>
        <w:pStyle w:val="24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w:t>
      </w:r>
      <w:r>
        <w:rPr>
          <w:rFonts w:hint="eastAsia" w:ascii="仿宋_GB2312" w:hAnsi="仿宋" w:eastAsia="仿宋_GB2312" w:cs="仿宋_GB2312"/>
          <w:b/>
          <w:sz w:val="24"/>
          <w:szCs w:val="20"/>
        </w:rPr>
        <w:t xml:space="preserve">. </w:t>
      </w:r>
      <w:r>
        <w:rPr>
          <w:rFonts w:ascii="仿宋_GB2312" w:hAnsi="仿宋" w:eastAsia="仿宋_GB2312" w:cs="仿宋_GB2312"/>
          <w:b/>
          <w:sz w:val="24"/>
          <w:szCs w:val="20"/>
        </w:rPr>
        <w:t>资格审查</w:t>
      </w:r>
    </w:p>
    <w:p>
      <w:pPr>
        <w:pStyle w:val="9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rPr>
        <w:t xml:space="preserve">. </w:t>
      </w:r>
      <w:r>
        <w:rPr>
          <w:rFonts w:ascii="仿宋_GB2312" w:hAnsi="仿宋" w:eastAsia="仿宋_GB2312" w:cs="仿宋_GB2312"/>
          <w:b/>
          <w:szCs w:val="24"/>
        </w:rPr>
        <w:t>信用信息查询</w:t>
      </w:r>
    </w:p>
    <w:p>
      <w:pPr>
        <w:pStyle w:val="91"/>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ascii="仿宋_GB2312" w:hAnsi="仿宋" w:eastAsia="仿宋_GB2312" w:cs="仿宋_GB2312"/>
        </w:rPr>
      </w:pPr>
      <w:r>
        <w:rPr>
          <w:rFonts w:ascii="仿宋_GB2312" w:hAnsi="仿宋" w:eastAsia="仿宋_GB2312" w:cs="Arial"/>
          <w:kern w:val="0"/>
          <w:szCs w:val="24"/>
        </w:rPr>
        <w:t>20.4联合体信用信息查询：</w:t>
      </w:r>
      <w:r>
        <w:rPr>
          <w:rFonts w:hint="eastAsia" w:ascii="仿宋_GB2312" w:hAnsi="仿宋" w:eastAsia="仿宋_GB2312" w:cs="Arial"/>
          <w:kern w:val="0"/>
          <w:szCs w:val="24"/>
          <w:lang w:val="en-US" w:eastAsia="zh-CN"/>
        </w:rPr>
        <w:t>二</w:t>
      </w:r>
      <w:r>
        <w:rPr>
          <w:rFonts w:ascii="仿宋_GB2312" w:hAnsi="仿宋" w:eastAsia="仿宋_GB2312" w:cs="Arial"/>
          <w:kern w:val="0"/>
          <w:szCs w:val="24"/>
        </w:rPr>
        <w:t>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9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8"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9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w:t>
      </w:r>
      <w:r>
        <w:rPr>
          <w:rFonts w:hint="eastAsia" w:ascii="仿宋" w:hAnsi="仿宋" w:eastAsia="仿宋" w:cs="仿宋"/>
          <w:kern w:val="0"/>
          <w:sz w:val="24"/>
          <w:lang w:val="en-US" w:eastAsia="zh-CN"/>
        </w:rPr>
        <w:t>提倡十个工作日内</w:t>
      </w:r>
      <w:r>
        <w:rPr>
          <w:rFonts w:hint="eastAsia" w:ascii="仿宋" w:hAnsi="仿宋" w:eastAsia="仿宋" w:cs="仿宋"/>
          <w:kern w:val="0"/>
          <w:sz w:val="24"/>
        </w:rPr>
        <w:t>，按照招标文件确定的事项签订政府采购合同，并在合同签订之日起2个工作日内依法发布合同公告。</w:t>
      </w:r>
    </w:p>
    <w:p>
      <w:pPr>
        <w:pStyle w:val="91"/>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91"/>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仿宋_GB2312" w:hAnsi="仿宋" w:eastAsia="仿宋_GB2312" w:cs="仿宋_GB2312"/>
        </w:rPr>
      </w:pPr>
      <w:r>
        <w:rPr>
          <w:rFonts w:hint="eastAsia" w:ascii="仿宋" w:hAnsi="仿宋" w:eastAsia="仿宋" w:cs="仿宋"/>
        </w:rPr>
        <w:t>25.5采购合同由采购人与中标供应商根据招标文件、投标文件等内容通过政府采购电子交易平台在线签订</w:t>
      </w:r>
      <w:r>
        <w:rPr>
          <w:rFonts w:hint="eastAsia" w:ascii="仿宋" w:hAnsi="仿宋" w:eastAsia="仿宋" w:cs="仿宋"/>
          <w:lang w:val="en-US" w:eastAsia="zh-CN"/>
        </w:rPr>
        <w:t>或线下签到后进行系统平台在线</w:t>
      </w:r>
      <w:r>
        <w:rPr>
          <w:rFonts w:hint="eastAsia" w:ascii="仿宋" w:hAnsi="仿宋" w:eastAsia="仿宋" w:cs="仿宋"/>
        </w:rPr>
        <w:t>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4"/>
        <w:ind w:firstLine="480" w:firstLineChars="200"/>
        <w:rPr>
          <w:lang w:val="en-US"/>
        </w:rPr>
      </w:pPr>
      <w:r>
        <w:rPr>
          <w:rFonts w:hint="eastAsia"/>
          <w:snapToGrid w:val="0"/>
          <w:kern w:val="28"/>
          <w:sz w:val="24"/>
        </w:rPr>
        <w:t>供应商</w:t>
      </w:r>
      <w:r>
        <w:rPr>
          <w:rFonts w:hint="eastAsia"/>
          <w:snapToGrid w:val="0"/>
          <w:kern w:val="28"/>
          <w:sz w:val="24"/>
          <w:lang w:val="en-US"/>
        </w:rPr>
        <w:t>可</w:t>
      </w:r>
      <w:r>
        <w:rPr>
          <w:rFonts w:hint="eastAsia"/>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1"/>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1"/>
        <w:numPr>
          <w:ilvl w:val="0"/>
          <w:numId w:val="4"/>
        </w:numPr>
        <w:snapToGrid w:val="0"/>
        <w:spacing w:before="0"/>
        <w:ind w:firstLine="480"/>
        <w:rPr>
          <w:rFonts w:ascii="仿宋_GB2312" w:hAnsi="仿宋" w:eastAsia="仿宋_GB2312" w:cs="仿宋_GB2312"/>
        </w:rPr>
      </w:pP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w:t>
      </w:r>
      <w:r>
        <w:rPr>
          <w:rFonts w:hint="eastAsia" w:ascii="仿宋_GB2312" w:hAnsi="仿宋" w:eastAsia="仿宋_GB2312" w:cs="仿宋_GB2312"/>
          <w:b/>
        </w:rPr>
        <w:t xml:space="preserve"> </w:t>
      </w:r>
      <w:r>
        <w:rPr>
          <w:rFonts w:ascii="仿宋_GB2312" w:hAnsi="仿宋" w:eastAsia="仿宋_GB2312" w:cs="仿宋_GB2312"/>
          <w:b/>
        </w:rPr>
        <w:t>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FF0000"/>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8"/>
    <w:p>
      <w:pPr>
        <w:tabs>
          <w:tab w:val="left" w:pos="0"/>
        </w:tabs>
        <w:spacing w:line="360" w:lineRule="auto"/>
        <w:ind w:firstLine="480"/>
        <w:rPr>
          <w:rFonts w:ascii="仿宋_GB2312" w:hAnsi="仿宋" w:eastAsia="仿宋_GB2312" w:cs="Helvetica"/>
          <w:kern w:val="0"/>
          <w:sz w:val="24"/>
        </w:rPr>
        <w:sectPr>
          <w:footerReference r:id="rId10" w:type="first"/>
          <w:footerReference r:id="rId9" w:type="default"/>
          <w:pgSz w:w="11906" w:h="16838"/>
          <w:pgMar w:top="680" w:right="1418" w:bottom="468" w:left="1418" w:header="851" w:footer="992" w:gutter="0"/>
          <w:cols w:space="720" w:num="1"/>
          <w:titlePg/>
          <w:docGrid w:linePitch="312" w:charSpace="0"/>
        </w:sectPr>
      </w:pPr>
      <w:bookmarkStart w:id="19" w:name="_Hlt68073093"/>
      <w:bookmarkEnd w:id="19"/>
      <w:bookmarkStart w:id="20" w:name="_Hlt74707468"/>
      <w:bookmarkEnd w:id="20"/>
      <w:bookmarkStart w:id="21" w:name="_Hlt74714665"/>
      <w:bookmarkEnd w:id="21"/>
      <w:bookmarkStart w:id="22" w:name="_Hlt68072998"/>
      <w:bookmarkEnd w:id="22"/>
      <w:bookmarkStart w:id="23" w:name="_Hlt68072990"/>
      <w:bookmarkEnd w:id="23"/>
      <w:bookmarkStart w:id="24" w:name="_Hlt75236011"/>
      <w:bookmarkEnd w:id="24"/>
      <w:bookmarkStart w:id="25" w:name="_Hlt74730295"/>
      <w:bookmarkEnd w:id="25"/>
      <w:bookmarkStart w:id="26" w:name="_Hlt68403820"/>
      <w:bookmarkEnd w:id="26"/>
      <w:bookmarkStart w:id="27" w:name="_Hlt75236290"/>
      <w:bookmarkEnd w:id="27"/>
      <w:bookmarkStart w:id="28" w:name="_Hlt75236101"/>
      <w:bookmarkEnd w:id="28"/>
      <w:bookmarkStart w:id="29" w:name="_Hlt68057669"/>
      <w:bookmarkEnd w:id="29"/>
      <w:bookmarkStart w:id="30" w:name="_Hlt74729768"/>
      <w:bookmarkEnd w:id="30"/>
    </w:p>
    <w:bookmarkEnd w:id="16"/>
    <w:bookmarkEnd w:id="17"/>
    <w:p>
      <w:pPr>
        <w:spacing w:line="360" w:lineRule="auto"/>
        <w:jc w:val="center"/>
        <w:outlineLvl w:val="0"/>
        <w:rPr>
          <w:rFonts w:ascii="仿宋" w:hAnsi="仿宋" w:eastAsia="仿宋" w:cs="仿宋"/>
          <w:b/>
          <w:sz w:val="36"/>
          <w:szCs w:val="36"/>
        </w:rPr>
      </w:pPr>
      <w:bookmarkStart w:id="31" w:name="第四部分"/>
      <w:r>
        <w:rPr>
          <w:rFonts w:hint="eastAsia" w:ascii="仿宋" w:hAnsi="仿宋" w:eastAsia="仿宋" w:cs="仿宋"/>
          <w:b/>
          <w:sz w:val="36"/>
          <w:szCs w:val="36"/>
        </w:rPr>
        <w:t>第三部分   采购需求</w:t>
      </w:r>
    </w:p>
    <w:p>
      <w:pPr>
        <w:pStyle w:val="3"/>
        <w:spacing w:before="0" w:after="0" w:line="360" w:lineRule="auto"/>
        <w:ind w:left="0" w:firstLine="0"/>
        <w:rPr>
          <w:rFonts w:ascii="仿宋" w:hAnsi="仿宋" w:eastAsia="仿宋" w:cs="仿宋"/>
          <w:sz w:val="24"/>
          <w:szCs w:val="24"/>
        </w:rPr>
      </w:pPr>
    </w:p>
    <w:p>
      <w:pPr>
        <w:pStyle w:val="3"/>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一、项目概况</w:t>
      </w:r>
    </w:p>
    <w:p>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rPr>
        <w:t>近年来，平台经济新业态层出不穷，对新业态的监管始终处于探索前行阶段</w:t>
      </w:r>
      <w:r>
        <w:rPr>
          <w:rFonts w:hint="eastAsia" w:ascii="仿宋" w:hAnsi="仿宋" w:eastAsia="仿宋" w:cs="仿宋"/>
          <w:bCs/>
          <w:sz w:val="24"/>
          <w:lang w:eastAsia="zh-CN"/>
        </w:rPr>
        <w:t>。</w:t>
      </w:r>
      <w:r>
        <w:rPr>
          <w:rFonts w:hint="eastAsia" w:ascii="仿宋" w:hAnsi="仿宋" w:eastAsia="仿宋" w:cs="仿宋"/>
          <w:bCs/>
          <w:sz w:val="24"/>
        </w:rPr>
        <w:t>随着《电子商务法》等法律法规相继出台，对平台经济合规经营提出了更高的要求，监管压力剧增。2021年余杭区市场监管局收到关于淘宝、天猫等阿里系平台的网络举报件高达8.24万件，同比增长83.72%。</w:t>
      </w:r>
      <w:r>
        <w:rPr>
          <w:rFonts w:hint="eastAsia" w:ascii="仿宋" w:hAnsi="仿宋" w:eastAsia="仿宋" w:cs="仿宋"/>
          <w:bCs/>
          <w:sz w:val="24"/>
          <w:lang w:eastAsia="zh-CN"/>
        </w:rPr>
        <w:t>其中</w:t>
      </w:r>
      <w:r>
        <w:rPr>
          <w:rFonts w:hint="eastAsia" w:ascii="仿宋" w:hAnsi="仿宋" w:eastAsia="仿宋" w:cs="仿宋"/>
          <w:bCs/>
          <w:sz w:val="24"/>
        </w:rPr>
        <w:t>立案查处39</w:t>
      </w:r>
      <w:r>
        <w:rPr>
          <w:rFonts w:hint="eastAsia" w:ascii="仿宋" w:hAnsi="仿宋" w:eastAsia="仿宋" w:cs="仿宋"/>
          <w:bCs/>
          <w:sz w:val="24"/>
          <w:lang w:val="en-US" w:eastAsia="zh-CN"/>
        </w:rPr>
        <w:t>00多</w:t>
      </w:r>
      <w:r>
        <w:rPr>
          <w:rFonts w:hint="eastAsia" w:ascii="仿宋" w:hAnsi="仿宋" w:eastAsia="仿宋" w:cs="仿宋"/>
          <w:bCs/>
          <w:sz w:val="24"/>
        </w:rPr>
        <w:t>件，占比总量4.7%，主要涵盖虚假宣传、产品质量不合格、三无产品三种类型案件</w:t>
      </w:r>
      <w:r>
        <w:rPr>
          <w:rFonts w:hint="eastAsia" w:ascii="仿宋" w:hAnsi="仿宋" w:eastAsia="仿宋" w:cs="仿宋"/>
          <w:bCs/>
          <w:sz w:val="24"/>
          <w:lang w:eastAsia="zh-CN"/>
        </w:rPr>
        <w:t>，</w:t>
      </w:r>
      <w:r>
        <w:rPr>
          <w:rFonts w:hint="eastAsia" w:ascii="仿宋" w:hAnsi="仿宋" w:eastAsia="仿宋" w:cs="仿宋"/>
          <w:bCs/>
          <w:sz w:val="24"/>
        </w:rPr>
        <w:t>做出行政处罚决定5</w:t>
      </w:r>
      <w:r>
        <w:rPr>
          <w:rFonts w:hint="eastAsia" w:ascii="仿宋" w:hAnsi="仿宋" w:eastAsia="仿宋" w:cs="仿宋"/>
          <w:bCs/>
          <w:sz w:val="24"/>
          <w:lang w:val="en-US" w:eastAsia="zh-CN"/>
        </w:rPr>
        <w:t>00余</w:t>
      </w:r>
      <w:r>
        <w:rPr>
          <w:rFonts w:hint="eastAsia" w:ascii="仿宋" w:hAnsi="仿宋" w:eastAsia="仿宋" w:cs="仿宋"/>
          <w:bCs/>
          <w:sz w:val="24"/>
        </w:rPr>
        <w:t>件</w:t>
      </w:r>
      <w:r>
        <w:rPr>
          <w:rFonts w:hint="eastAsia" w:ascii="仿宋" w:hAnsi="仿宋" w:eastAsia="仿宋" w:cs="仿宋"/>
          <w:bCs/>
          <w:sz w:val="24"/>
          <w:lang w:eastAsia="zh-CN"/>
        </w:rPr>
        <w:t>；</w:t>
      </w:r>
      <w:r>
        <w:rPr>
          <w:rFonts w:hint="eastAsia" w:ascii="仿宋" w:hAnsi="仿宋" w:eastAsia="仿宋" w:cs="仿宋"/>
          <w:bCs/>
          <w:sz w:val="24"/>
        </w:rPr>
        <w:t>移送外地市场监管处理3.3万件，占总量40%。</w:t>
      </w:r>
      <w:r>
        <w:rPr>
          <w:rFonts w:hint="eastAsia" w:ascii="仿宋" w:hAnsi="仿宋" w:eastAsia="仿宋" w:cs="仿宋"/>
          <w:bCs/>
          <w:sz w:val="24"/>
          <w:lang w:eastAsia="zh-CN"/>
        </w:rPr>
        <w:t>因</w:t>
      </w:r>
      <w:r>
        <w:rPr>
          <w:rFonts w:hint="eastAsia" w:ascii="仿宋" w:hAnsi="仿宋" w:eastAsia="仿宋" w:cs="仿宋"/>
          <w:bCs/>
          <w:sz w:val="24"/>
        </w:rPr>
        <w:t>目前</w:t>
      </w:r>
      <w:r>
        <w:rPr>
          <w:rFonts w:hint="eastAsia" w:ascii="仿宋" w:hAnsi="仿宋" w:eastAsia="仿宋" w:cs="仿宋"/>
          <w:bCs/>
          <w:sz w:val="24"/>
          <w:lang w:eastAsia="zh-CN"/>
        </w:rPr>
        <w:t>存在</w:t>
      </w:r>
      <w:r>
        <w:rPr>
          <w:rFonts w:hint="eastAsia" w:ascii="仿宋" w:hAnsi="仿宋" w:eastAsia="仿宋" w:cs="仿宋"/>
          <w:bCs/>
          <w:sz w:val="24"/>
        </w:rPr>
        <w:t>全国各市场监管部门存在对相似违法行为执法不一的现状，</w:t>
      </w:r>
      <w:r>
        <w:rPr>
          <w:rFonts w:hint="eastAsia" w:ascii="仿宋" w:hAnsi="仿宋" w:eastAsia="仿宋" w:cs="仿宋"/>
          <w:bCs/>
          <w:sz w:val="24"/>
          <w:lang w:eastAsia="zh-CN"/>
        </w:rPr>
        <w:t>为使</w:t>
      </w:r>
      <w:r>
        <w:rPr>
          <w:rFonts w:hint="eastAsia" w:ascii="仿宋" w:hAnsi="仿宋" w:eastAsia="仿宋" w:cs="仿宋"/>
          <w:bCs/>
          <w:sz w:val="24"/>
        </w:rPr>
        <w:t>更</w:t>
      </w:r>
      <w:r>
        <w:rPr>
          <w:rFonts w:hint="eastAsia" w:ascii="仿宋" w:hAnsi="仿宋" w:eastAsia="仿宋" w:cs="仿宋"/>
          <w:bCs/>
          <w:sz w:val="24"/>
          <w:lang w:eastAsia="zh-CN"/>
        </w:rPr>
        <w:t>大范围</w:t>
      </w:r>
      <w:r>
        <w:rPr>
          <w:rFonts w:hint="eastAsia" w:ascii="仿宋" w:hAnsi="仿宋" w:eastAsia="仿宋" w:cs="仿宋"/>
          <w:bCs/>
          <w:sz w:val="24"/>
        </w:rPr>
        <w:t>的涉网违法行为能够</w:t>
      </w:r>
      <w:r>
        <w:rPr>
          <w:rFonts w:hint="eastAsia" w:ascii="仿宋" w:hAnsi="仿宋" w:eastAsia="仿宋" w:cs="仿宋"/>
          <w:bCs/>
          <w:sz w:val="24"/>
          <w:lang w:eastAsia="zh-CN"/>
        </w:rPr>
        <w:t>由统一标准</w:t>
      </w:r>
      <w:r>
        <w:rPr>
          <w:rFonts w:hint="eastAsia" w:ascii="仿宋" w:hAnsi="仿宋" w:eastAsia="仿宋" w:cs="仿宋"/>
          <w:bCs/>
          <w:sz w:val="24"/>
        </w:rPr>
        <w:t>处理</w:t>
      </w:r>
      <w:r>
        <w:rPr>
          <w:rFonts w:hint="eastAsia" w:ascii="仿宋" w:hAnsi="仿宋" w:eastAsia="仿宋" w:cs="仿宋"/>
          <w:bCs/>
          <w:sz w:val="24"/>
          <w:lang w:eastAsia="zh-CN"/>
        </w:rPr>
        <w:t>，经</w:t>
      </w:r>
      <w:r>
        <w:rPr>
          <w:rFonts w:hint="eastAsia" w:ascii="仿宋" w:hAnsi="仿宋" w:eastAsia="仿宋" w:cs="仿宋"/>
          <w:bCs/>
          <w:sz w:val="24"/>
        </w:rPr>
        <w:t>分析</w:t>
      </w:r>
      <w:r>
        <w:rPr>
          <w:rFonts w:hint="eastAsia" w:ascii="仿宋" w:hAnsi="仿宋" w:eastAsia="仿宋" w:cs="仿宋"/>
          <w:bCs/>
          <w:sz w:val="24"/>
          <w:lang w:eastAsia="zh-CN"/>
        </w:rPr>
        <w:t>，余杭区局将</w:t>
      </w:r>
      <w:r>
        <w:rPr>
          <w:rFonts w:hint="eastAsia" w:ascii="仿宋" w:hAnsi="仿宋" w:eastAsia="仿宋" w:cs="仿宋"/>
          <w:bCs/>
          <w:sz w:val="24"/>
        </w:rPr>
        <w:t>通过外地市场监管协调查，可以对侵害消费者权益、无照经营、价格违法、不正当竞争等类型案件开展自查自办</w:t>
      </w:r>
      <w:r>
        <w:rPr>
          <w:rFonts w:hint="eastAsia" w:ascii="仿宋" w:hAnsi="仿宋" w:eastAsia="仿宋" w:cs="仿宋"/>
          <w:bCs/>
          <w:sz w:val="24"/>
          <w:lang w:eastAsia="zh-CN"/>
        </w:rPr>
        <w:t>。</w:t>
      </w:r>
      <w:r>
        <w:rPr>
          <w:rFonts w:hint="eastAsia" w:ascii="仿宋" w:hAnsi="仿宋" w:eastAsia="仿宋" w:cs="仿宋"/>
          <w:bCs/>
          <w:sz w:val="24"/>
          <w:lang w:val="en-US" w:eastAsia="zh-CN"/>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lang w:eastAsia="zh-CN"/>
        </w:rPr>
        <w:t>为做好上述类型举报案件的后续处理工作，现</w:t>
      </w:r>
      <w:r>
        <w:rPr>
          <w:rFonts w:hint="eastAsia" w:ascii="仿宋" w:hAnsi="仿宋" w:eastAsia="仿宋" w:cs="仿宋"/>
          <w:color w:val="000000"/>
          <w:sz w:val="24"/>
        </w:rPr>
        <w:t>对以上执法办案工作</w:t>
      </w:r>
      <w:r>
        <w:rPr>
          <w:rFonts w:hint="eastAsia" w:ascii="仿宋" w:hAnsi="仿宋" w:eastAsia="仿宋" w:cs="仿宋"/>
          <w:color w:val="000000"/>
          <w:sz w:val="24"/>
          <w:lang w:eastAsia="zh-CN"/>
        </w:rPr>
        <w:t>的</w:t>
      </w:r>
      <w:r>
        <w:rPr>
          <w:rFonts w:hint="eastAsia" w:ascii="仿宋" w:hAnsi="仿宋" w:eastAsia="仿宋" w:cs="仿宋"/>
          <w:color w:val="000000"/>
          <w:sz w:val="24"/>
        </w:rPr>
        <w:t>辅助处理部分进行服务外包，要求提供相关工作辅助处理服务，保障网络举报</w:t>
      </w:r>
      <w:r>
        <w:rPr>
          <w:rFonts w:hint="eastAsia" w:ascii="仿宋" w:hAnsi="仿宋" w:eastAsia="仿宋" w:cs="仿宋"/>
          <w:color w:val="000000"/>
          <w:sz w:val="24"/>
          <w:lang w:eastAsia="zh-CN"/>
        </w:rPr>
        <w:t>和</w:t>
      </w:r>
      <w:r>
        <w:rPr>
          <w:rFonts w:hint="eastAsia" w:ascii="仿宋" w:hAnsi="仿宋" w:eastAsia="仿宋" w:cs="仿宋"/>
          <w:color w:val="000000"/>
          <w:sz w:val="24"/>
        </w:rPr>
        <w:t>有关案件</w:t>
      </w:r>
      <w:r>
        <w:rPr>
          <w:rFonts w:hint="eastAsia" w:ascii="仿宋" w:hAnsi="仿宋" w:eastAsia="仿宋" w:cs="仿宋"/>
          <w:color w:val="000000"/>
          <w:sz w:val="24"/>
          <w:lang w:eastAsia="zh-CN"/>
        </w:rPr>
        <w:t>工作的快速</w:t>
      </w:r>
      <w:r>
        <w:rPr>
          <w:rFonts w:hint="eastAsia" w:ascii="仿宋" w:hAnsi="仿宋" w:eastAsia="仿宋" w:cs="仿宋"/>
          <w:color w:val="000000"/>
          <w:sz w:val="24"/>
        </w:rPr>
        <w:t>妥善处理。</w:t>
      </w:r>
    </w:p>
    <w:p>
      <w:pPr>
        <w:pStyle w:val="3"/>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 xml:space="preserve">二、服务外包内容   </w:t>
      </w:r>
    </w:p>
    <w:p>
      <w:pPr>
        <w:widowControl/>
        <w:spacing w:line="360" w:lineRule="auto"/>
        <w:ind w:right="240" w:firstLine="482"/>
        <w:rPr>
          <w:rFonts w:ascii="仿宋" w:hAnsi="仿宋" w:eastAsia="仿宋" w:cs="仿宋"/>
          <w:sz w:val="24"/>
        </w:rPr>
      </w:pPr>
      <w:r>
        <w:rPr>
          <w:rFonts w:hint="eastAsia" w:ascii="仿宋" w:hAnsi="仿宋" w:eastAsia="仿宋" w:cs="仿宋"/>
          <w:b/>
          <w:bCs/>
          <w:color w:val="000000"/>
          <w:sz w:val="24"/>
        </w:rPr>
        <w:t>1、网络举报件</w:t>
      </w:r>
      <w:r>
        <w:rPr>
          <w:rFonts w:hint="eastAsia" w:ascii="仿宋" w:hAnsi="仿宋" w:eastAsia="仿宋" w:cs="仿宋"/>
          <w:b/>
          <w:bCs/>
          <w:color w:val="000000"/>
          <w:sz w:val="24"/>
          <w:lang w:eastAsia="zh-CN"/>
        </w:rPr>
        <w:t>的</w:t>
      </w:r>
      <w:r>
        <w:rPr>
          <w:rFonts w:hint="eastAsia" w:ascii="仿宋" w:hAnsi="仿宋" w:eastAsia="仿宋" w:cs="仿宋"/>
          <w:b/>
          <w:bCs/>
          <w:color w:val="000000"/>
          <w:sz w:val="24"/>
        </w:rPr>
        <w:t>记录、</w:t>
      </w:r>
      <w:r>
        <w:rPr>
          <w:rFonts w:hint="eastAsia" w:ascii="仿宋" w:hAnsi="仿宋" w:eastAsia="仿宋" w:cs="仿宋"/>
          <w:b/>
          <w:bCs/>
          <w:color w:val="000000"/>
          <w:sz w:val="24"/>
          <w:lang w:eastAsia="zh-CN"/>
        </w:rPr>
        <w:t>研判、</w:t>
      </w:r>
      <w:r>
        <w:rPr>
          <w:rFonts w:hint="eastAsia" w:ascii="仿宋" w:hAnsi="仿宋" w:eastAsia="仿宋" w:cs="仿宋"/>
          <w:b/>
          <w:bCs/>
          <w:color w:val="000000"/>
          <w:sz w:val="24"/>
        </w:rPr>
        <w:t>分流、辅助办案处理及后续的整理、分析工作</w:t>
      </w:r>
      <w:r>
        <w:rPr>
          <w:rFonts w:hint="eastAsia" w:ascii="仿宋" w:hAnsi="仿宋" w:eastAsia="仿宋" w:cs="仿宋"/>
          <w:color w:val="000000"/>
          <w:sz w:val="24"/>
        </w:rPr>
        <w:t>。</w:t>
      </w:r>
      <w:r>
        <w:rPr>
          <w:rFonts w:hint="eastAsia" w:ascii="仿宋" w:hAnsi="仿宋" w:eastAsia="仿宋" w:cs="仿宋"/>
          <w:color w:val="000000"/>
          <w:sz w:val="24"/>
          <w:lang w:eastAsia="zh-CN"/>
        </w:rPr>
        <w:t>对</w:t>
      </w:r>
      <w:r>
        <w:rPr>
          <w:rFonts w:hint="eastAsia" w:ascii="仿宋" w:hAnsi="仿宋" w:eastAsia="仿宋" w:cs="仿宋"/>
          <w:color w:val="000000"/>
          <w:sz w:val="24"/>
        </w:rPr>
        <w:t>包括电话、网络、信件等途径收到的待处理信息</w:t>
      </w:r>
      <w:r>
        <w:rPr>
          <w:rFonts w:hint="eastAsia" w:ascii="仿宋" w:hAnsi="仿宋" w:eastAsia="仿宋" w:cs="仿宋"/>
          <w:color w:val="000000"/>
          <w:sz w:val="24"/>
          <w:lang w:eastAsia="zh-CN"/>
        </w:rPr>
        <w:t>完成</w:t>
      </w:r>
      <w:r>
        <w:rPr>
          <w:rFonts w:hint="eastAsia" w:ascii="仿宋" w:hAnsi="仿宋" w:eastAsia="仿宋" w:cs="仿宋"/>
          <w:color w:val="000000"/>
          <w:sz w:val="24"/>
        </w:rPr>
        <w:t>登记、录入</w:t>
      </w:r>
      <w:r>
        <w:rPr>
          <w:rFonts w:hint="eastAsia" w:ascii="仿宋" w:hAnsi="仿宋" w:eastAsia="仿宋" w:cs="仿宋"/>
          <w:color w:val="000000"/>
          <w:sz w:val="24"/>
          <w:lang w:eastAsia="zh-CN"/>
        </w:rPr>
        <w:t>、</w:t>
      </w:r>
      <w:r>
        <w:rPr>
          <w:rFonts w:hint="eastAsia" w:ascii="仿宋" w:hAnsi="仿宋" w:eastAsia="仿宋" w:cs="仿宋"/>
          <w:color w:val="000000"/>
          <w:sz w:val="24"/>
        </w:rPr>
        <w:t>协查</w:t>
      </w:r>
      <w:r>
        <w:rPr>
          <w:rFonts w:hint="eastAsia" w:ascii="仿宋" w:hAnsi="仿宋" w:eastAsia="仿宋" w:cs="仿宋"/>
          <w:color w:val="000000"/>
          <w:sz w:val="24"/>
          <w:lang w:eastAsia="zh-CN"/>
        </w:rPr>
        <w:t>等相关工作后，对所有原先采用移送外地的举报线索进行研判分析，将</w:t>
      </w:r>
      <w:r>
        <w:rPr>
          <w:rFonts w:hint="eastAsia" w:ascii="仿宋" w:hAnsi="仿宋" w:eastAsia="仿宋" w:cs="仿宋"/>
          <w:bCs/>
          <w:sz w:val="24"/>
          <w:lang w:eastAsia="zh-CN"/>
        </w:rPr>
        <w:t>可能存在</w:t>
      </w:r>
      <w:r>
        <w:rPr>
          <w:rFonts w:hint="eastAsia" w:ascii="仿宋" w:hAnsi="仿宋" w:eastAsia="仿宋" w:cs="仿宋"/>
          <w:bCs/>
          <w:sz w:val="24"/>
        </w:rPr>
        <w:t>侵害消费者权益、无照经营、价格违法、不正当竞争等类型</w:t>
      </w:r>
      <w:r>
        <w:rPr>
          <w:rFonts w:hint="eastAsia" w:ascii="仿宋" w:hAnsi="仿宋" w:eastAsia="仿宋" w:cs="仿宋"/>
          <w:bCs/>
          <w:sz w:val="24"/>
          <w:lang w:eastAsia="zh-CN"/>
        </w:rPr>
        <w:t>的</w:t>
      </w:r>
      <w:r>
        <w:rPr>
          <w:rFonts w:hint="eastAsia" w:ascii="仿宋" w:hAnsi="仿宋" w:eastAsia="仿宋" w:cs="仿宋"/>
          <w:bCs/>
          <w:sz w:val="24"/>
        </w:rPr>
        <w:t>案件开展自查自办</w:t>
      </w:r>
      <w:r>
        <w:rPr>
          <w:rFonts w:hint="eastAsia" w:ascii="仿宋" w:hAnsi="仿宋" w:eastAsia="仿宋" w:cs="仿宋"/>
          <w:bCs/>
          <w:sz w:val="24"/>
          <w:lang w:eastAsia="zh-CN"/>
        </w:rPr>
        <w:t>等</w:t>
      </w:r>
      <w:r>
        <w:rPr>
          <w:rFonts w:hint="eastAsia" w:ascii="仿宋" w:hAnsi="仿宋" w:eastAsia="仿宋" w:cs="仿宋"/>
          <w:color w:val="000000"/>
          <w:sz w:val="24"/>
        </w:rPr>
        <w:t>辅助处理</w:t>
      </w:r>
      <w:r>
        <w:rPr>
          <w:rFonts w:hint="eastAsia" w:ascii="仿宋" w:hAnsi="仿宋" w:eastAsia="仿宋" w:cs="仿宋"/>
          <w:color w:val="000000"/>
          <w:sz w:val="24"/>
          <w:lang w:eastAsia="zh-CN"/>
        </w:rPr>
        <w:t>服务</w:t>
      </w:r>
      <w:r>
        <w:rPr>
          <w:rFonts w:hint="eastAsia" w:ascii="仿宋" w:hAnsi="仿宋" w:eastAsia="仿宋" w:cs="仿宋"/>
          <w:color w:val="000000"/>
          <w:sz w:val="24"/>
        </w:rPr>
        <w:t>。</w:t>
      </w:r>
    </w:p>
    <w:p>
      <w:pPr>
        <w:widowControl/>
        <w:spacing w:line="360" w:lineRule="auto"/>
        <w:ind w:right="240" w:firstLine="482"/>
        <w:rPr>
          <w:rFonts w:ascii="仿宋" w:hAnsi="仿宋" w:eastAsia="仿宋" w:cs="仿宋"/>
          <w:b/>
          <w:bCs/>
          <w:color w:val="000000"/>
          <w:sz w:val="24"/>
        </w:rPr>
      </w:pPr>
      <w:r>
        <w:rPr>
          <w:rFonts w:hint="eastAsia" w:ascii="仿宋" w:hAnsi="仿宋" w:eastAsia="仿宋" w:cs="仿宋"/>
          <w:b/>
          <w:bCs/>
          <w:color w:val="000000"/>
          <w:sz w:val="24"/>
        </w:rPr>
        <w:t>2、其他相关性辅助处理工作。</w:t>
      </w:r>
    </w:p>
    <w:tbl>
      <w:tblPr>
        <w:tblStyle w:val="66"/>
        <w:tblW w:w="882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9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5" w:type="dxa"/>
            <w:vAlign w:val="center"/>
          </w:tcPr>
          <w:p>
            <w:pPr>
              <w:pStyle w:val="26"/>
              <w:spacing w:line="360" w:lineRule="auto"/>
              <w:ind w:firstLine="0" w:firstLineChars="0"/>
              <w:jc w:val="center"/>
              <w:rPr>
                <w:rFonts w:ascii="仿宋" w:hAnsi="仿宋" w:eastAsia="仿宋" w:cs="仿宋"/>
                <w:b/>
                <w:bCs/>
              </w:rPr>
            </w:pPr>
            <w:r>
              <w:rPr>
                <w:rFonts w:hint="eastAsia" w:ascii="仿宋" w:hAnsi="仿宋" w:eastAsia="仿宋" w:cs="仿宋"/>
                <w:b/>
                <w:bCs/>
              </w:rPr>
              <w:t>序号</w:t>
            </w:r>
          </w:p>
        </w:tc>
        <w:tc>
          <w:tcPr>
            <w:tcW w:w="1890" w:type="dxa"/>
            <w:vAlign w:val="center"/>
          </w:tcPr>
          <w:p>
            <w:pPr>
              <w:pStyle w:val="26"/>
              <w:spacing w:line="360" w:lineRule="auto"/>
              <w:ind w:firstLine="0" w:firstLineChars="0"/>
              <w:jc w:val="center"/>
              <w:rPr>
                <w:rFonts w:ascii="仿宋" w:hAnsi="仿宋" w:eastAsia="仿宋" w:cs="仿宋"/>
                <w:b/>
                <w:bCs/>
              </w:rPr>
            </w:pPr>
            <w:r>
              <w:rPr>
                <w:rFonts w:hint="eastAsia" w:ascii="仿宋" w:hAnsi="仿宋" w:eastAsia="仿宋" w:cs="仿宋"/>
                <w:b/>
                <w:bCs/>
              </w:rPr>
              <w:t>辅助工作类型</w:t>
            </w:r>
          </w:p>
        </w:tc>
        <w:tc>
          <w:tcPr>
            <w:tcW w:w="6135" w:type="dxa"/>
            <w:vAlign w:val="center"/>
          </w:tcPr>
          <w:p>
            <w:pPr>
              <w:pStyle w:val="26"/>
              <w:spacing w:line="360" w:lineRule="auto"/>
              <w:ind w:firstLine="0" w:firstLineChars="0"/>
              <w:jc w:val="center"/>
              <w:rPr>
                <w:rFonts w:ascii="仿宋" w:hAnsi="仿宋" w:eastAsia="仿宋" w:cs="仿宋"/>
                <w:b/>
                <w:bCs/>
              </w:rPr>
            </w:pPr>
            <w:r>
              <w:rPr>
                <w:rFonts w:hint="eastAsia" w:ascii="仿宋" w:hAnsi="仿宋" w:eastAsia="仿宋" w:cs="仿宋"/>
                <w:b/>
                <w:bCs/>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5"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rPr>
              <w:t>1</w:t>
            </w:r>
          </w:p>
        </w:tc>
        <w:tc>
          <w:tcPr>
            <w:tcW w:w="1890" w:type="dxa"/>
            <w:vAlign w:val="center"/>
          </w:tcPr>
          <w:p>
            <w:pPr>
              <w:pStyle w:val="26"/>
              <w:spacing w:line="360" w:lineRule="auto"/>
              <w:ind w:firstLine="0" w:firstLineChars="0"/>
              <w:rPr>
                <w:rFonts w:hint="eastAsia" w:ascii="仿宋" w:hAnsi="仿宋" w:eastAsia="仿宋" w:cs="仿宋"/>
                <w:lang w:eastAsia="zh-CN"/>
              </w:rPr>
            </w:pPr>
            <w:r>
              <w:rPr>
                <w:rFonts w:hint="eastAsia" w:ascii="仿宋" w:hAnsi="仿宋" w:eastAsia="仿宋" w:cs="仿宋"/>
                <w:lang w:eastAsia="zh-CN"/>
              </w:rPr>
              <w:t>举报线索研判</w:t>
            </w:r>
          </w:p>
        </w:tc>
        <w:tc>
          <w:tcPr>
            <w:tcW w:w="6135" w:type="dxa"/>
            <w:vAlign w:val="top"/>
          </w:tcPr>
          <w:p>
            <w:pPr>
              <w:pStyle w:val="26"/>
              <w:spacing w:line="360" w:lineRule="auto"/>
              <w:ind w:firstLine="0" w:firstLineChars="0"/>
              <w:rPr>
                <w:rFonts w:hint="eastAsia" w:ascii="仿宋" w:hAnsi="仿宋" w:eastAsia="仿宋" w:cs="仿宋"/>
                <w:lang w:eastAsia="zh-CN"/>
              </w:rPr>
            </w:pPr>
            <w:r>
              <w:rPr>
                <w:rFonts w:hint="eastAsia" w:ascii="仿宋" w:hAnsi="仿宋" w:eastAsia="仿宋" w:cs="仿宋"/>
                <w:lang w:eastAsia="zh-CN"/>
              </w:rPr>
              <w:t>查阅资料、举证联系、违法行为判定等辅助服务。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5" w:type="dxa"/>
            <w:vAlign w:val="center"/>
          </w:tcPr>
          <w:p>
            <w:pPr>
              <w:pStyle w:val="26"/>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890" w:type="dxa"/>
            <w:vAlign w:val="center"/>
          </w:tcPr>
          <w:p>
            <w:pPr>
              <w:pStyle w:val="26"/>
              <w:spacing w:line="360" w:lineRule="auto"/>
              <w:ind w:firstLine="0" w:firstLineChars="0"/>
              <w:rPr>
                <w:rFonts w:hint="eastAsia" w:ascii="仿宋" w:hAnsi="仿宋" w:eastAsia="仿宋" w:cs="仿宋"/>
                <w:lang w:eastAsia="zh-CN"/>
              </w:rPr>
            </w:pPr>
            <w:r>
              <w:rPr>
                <w:rFonts w:hint="eastAsia" w:ascii="仿宋" w:hAnsi="仿宋" w:eastAsia="仿宋" w:cs="仿宋"/>
                <w:lang w:eastAsia="zh-CN"/>
              </w:rPr>
              <w:t>异地联动处理</w:t>
            </w:r>
          </w:p>
        </w:tc>
        <w:tc>
          <w:tcPr>
            <w:tcW w:w="6135" w:type="dxa"/>
            <w:vAlign w:val="top"/>
          </w:tcPr>
          <w:p>
            <w:pPr>
              <w:pStyle w:val="26"/>
              <w:spacing w:line="360" w:lineRule="auto"/>
              <w:ind w:firstLine="0" w:firstLineChars="0"/>
              <w:rPr>
                <w:rFonts w:hint="eastAsia" w:ascii="仿宋" w:hAnsi="仿宋" w:eastAsia="仿宋" w:cs="仿宋"/>
                <w:lang w:eastAsia="zh-CN"/>
              </w:rPr>
            </w:pPr>
            <w:r>
              <w:rPr>
                <w:rFonts w:hint="eastAsia" w:ascii="仿宋" w:hAnsi="仿宋" w:eastAsia="仿宋" w:cs="仿宋"/>
                <w:lang w:eastAsia="zh-CN"/>
              </w:rPr>
              <w:t>调查取证辅助、现场调查辅助、取证材料归集等辅助服务。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5"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rPr>
              <w:t>3</w:t>
            </w:r>
          </w:p>
        </w:tc>
        <w:tc>
          <w:tcPr>
            <w:tcW w:w="1890" w:type="dxa"/>
            <w:vAlign w:val="center"/>
          </w:tcPr>
          <w:p>
            <w:pPr>
              <w:pStyle w:val="26"/>
              <w:spacing w:line="360" w:lineRule="auto"/>
              <w:ind w:firstLine="0" w:firstLineChars="0"/>
              <w:rPr>
                <w:rFonts w:hint="eastAsia" w:ascii="仿宋" w:hAnsi="仿宋" w:eastAsia="仿宋" w:cs="仿宋"/>
                <w:lang w:eastAsia="zh-CN"/>
              </w:rPr>
            </w:pPr>
            <w:r>
              <w:rPr>
                <w:rFonts w:hint="eastAsia" w:ascii="仿宋" w:hAnsi="仿宋" w:eastAsia="仿宋" w:cs="仿宋"/>
                <w:lang w:eastAsia="zh-CN"/>
              </w:rPr>
              <w:t>立案调查</w:t>
            </w:r>
          </w:p>
        </w:tc>
        <w:tc>
          <w:tcPr>
            <w:tcW w:w="6135" w:type="dxa"/>
            <w:vAlign w:val="top"/>
          </w:tcPr>
          <w:p>
            <w:pPr>
              <w:pStyle w:val="26"/>
              <w:spacing w:line="360" w:lineRule="auto"/>
              <w:ind w:firstLine="0" w:firstLineChars="0"/>
              <w:rPr>
                <w:rFonts w:hint="eastAsia" w:ascii="仿宋" w:hAnsi="仿宋" w:eastAsia="仿宋" w:cs="仿宋"/>
                <w:lang w:eastAsia="zh-CN"/>
              </w:rPr>
            </w:pPr>
            <w:r>
              <w:rPr>
                <w:rFonts w:hint="eastAsia" w:ascii="仿宋" w:hAnsi="仿宋" w:eastAsia="仿宋" w:cs="仿宋"/>
                <w:lang w:eastAsia="zh-CN"/>
              </w:rPr>
              <w:t>查阅资料、联系举报人被举报人辅助、立案辅助、行政处罚不予行政处罚销案辅助、听证辅助、催告强制执行辅助、结案辅助、移送等辅助服务。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5"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rPr>
              <w:t>4</w:t>
            </w:r>
          </w:p>
        </w:tc>
        <w:tc>
          <w:tcPr>
            <w:tcW w:w="189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rPr>
              <w:t>不予立案</w:t>
            </w:r>
          </w:p>
        </w:tc>
        <w:tc>
          <w:tcPr>
            <w:tcW w:w="6135" w:type="dxa"/>
            <w:vAlign w:val="top"/>
          </w:tcPr>
          <w:p>
            <w:pPr>
              <w:pStyle w:val="26"/>
              <w:spacing w:line="360" w:lineRule="auto"/>
              <w:ind w:firstLine="0" w:firstLineChars="0"/>
              <w:rPr>
                <w:rFonts w:ascii="仿宋" w:hAnsi="仿宋" w:eastAsia="仿宋" w:cs="仿宋"/>
              </w:rPr>
            </w:pPr>
            <w:r>
              <w:rPr>
                <w:rFonts w:hint="eastAsia" w:ascii="仿宋" w:hAnsi="仿宋" w:eastAsia="仿宋" w:cs="仿宋"/>
              </w:rPr>
              <w:t>查阅资料、联系举报人被举报人辅助、不予立案辅助、移送</w:t>
            </w:r>
            <w:r>
              <w:rPr>
                <w:rFonts w:hint="eastAsia" w:ascii="仿宋" w:hAnsi="仿宋" w:eastAsia="仿宋" w:cs="仿宋"/>
                <w:lang w:eastAsia="zh-CN"/>
              </w:rPr>
              <w:t>等</w:t>
            </w:r>
            <w:r>
              <w:rPr>
                <w:rFonts w:hint="eastAsia" w:ascii="仿宋" w:hAnsi="仿宋" w:eastAsia="仿宋" w:cs="仿宋"/>
              </w:rPr>
              <w:t>辅助</w:t>
            </w:r>
            <w:r>
              <w:rPr>
                <w:rFonts w:hint="eastAsia" w:ascii="仿宋" w:hAnsi="仿宋" w:eastAsia="仿宋" w:cs="仿宋"/>
                <w:lang w:eastAsia="zh-CN"/>
              </w:rPr>
              <w:t>服务</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5"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rPr>
              <w:t>5</w:t>
            </w:r>
          </w:p>
        </w:tc>
        <w:tc>
          <w:tcPr>
            <w:tcW w:w="189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rPr>
              <w:t>商品处置</w:t>
            </w:r>
          </w:p>
        </w:tc>
        <w:tc>
          <w:tcPr>
            <w:tcW w:w="6135" w:type="dxa"/>
            <w:vAlign w:val="top"/>
          </w:tcPr>
          <w:p>
            <w:pPr>
              <w:pStyle w:val="26"/>
              <w:spacing w:line="360" w:lineRule="auto"/>
              <w:ind w:firstLine="0" w:firstLineChars="0"/>
              <w:rPr>
                <w:rFonts w:ascii="仿宋" w:hAnsi="仿宋" w:eastAsia="仿宋" w:cs="仿宋"/>
              </w:rPr>
            </w:pPr>
            <w:r>
              <w:rPr>
                <w:rFonts w:hint="eastAsia" w:ascii="仿宋" w:hAnsi="仿宋" w:eastAsia="仿宋" w:cs="仿宋"/>
              </w:rPr>
              <w:t>商品处置</w:t>
            </w:r>
            <w:r>
              <w:rPr>
                <w:rFonts w:hint="eastAsia" w:ascii="仿宋" w:hAnsi="仿宋" w:eastAsia="仿宋" w:cs="仿宋"/>
                <w:lang w:eastAsia="zh-CN"/>
              </w:rPr>
              <w:t>等</w:t>
            </w:r>
            <w:r>
              <w:rPr>
                <w:rFonts w:hint="eastAsia" w:ascii="仿宋" w:hAnsi="仿宋" w:eastAsia="仿宋" w:cs="仿宋"/>
              </w:rPr>
              <w:t>辅助</w:t>
            </w:r>
            <w:r>
              <w:rPr>
                <w:rFonts w:hint="eastAsia" w:ascii="仿宋" w:hAnsi="仿宋" w:eastAsia="仿宋" w:cs="仿宋"/>
                <w:lang w:eastAsia="zh-CN"/>
              </w:rPr>
              <w:t>服务</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5"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rPr>
              <w:t>6</w:t>
            </w:r>
          </w:p>
        </w:tc>
        <w:tc>
          <w:tcPr>
            <w:tcW w:w="189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rPr>
              <w:t>复议、诉讼答复</w:t>
            </w:r>
          </w:p>
        </w:tc>
        <w:tc>
          <w:tcPr>
            <w:tcW w:w="6135" w:type="dxa"/>
            <w:vAlign w:val="top"/>
          </w:tcPr>
          <w:p>
            <w:pPr>
              <w:pStyle w:val="26"/>
              <w:spacing w:line="360" w:lineRule="auto"/>
              <w:ind w:firstLine="0" w:firstLineChars="0"/>
              <w:rPr>
                <w:rFonts w:hint="eastAsia" w:ascii="仿宋" w:hAnsi="仿宋" w:eastAsia="仿宋" w:cs="仿宋"/>
              </w:rPr>
            </w:pPr>
            <w:r>
              <w:rPr>
                <w:rFonts w:hint="eastAsia" w:ascii="仿宋" w:hAnsi="仿宋" w:eastAsia="仿宋" w:cs="仿宋"/>
              </w:rPr>
              <w:t>查询资料、收集证据材料辅助、复议诉讼答复</w:t>
            </w:r>
            <w:r>
              <w:rPr>
                <w:rFonts w:hint="eastAsia" w:ascii="仿宋" w:hAnsi="仿宋" w:eastAsia="仿宋" w:cs="仿宋"/>
                <w:lang w:eastAsia="zh-CN"/>
              </w:rPr>
              <w:t>等</w:t>
            </w:r>
            <w:r>
              <w:rPr>
                <w:rFonts w:hint="eastAsia" w:ascii="仿宋" w:hAnsi="仿宋" w:eastAsia="仿宋" w:cs="仿宋"/>
              </w:rPr>
              <w:t>辅助</w:t>
            </w:r>
            <w:r>
              <w:rPr>
                <w:rFonts w:hint="eastAsia" w:ascii="仿宋" w:hAnsi="仿宋" w:eastAsia="仿宋" w:cs="仿宋"/>
                <w:lang w:eastAsia="zh-CN"/>
              </w:rPr>
              <w:t>服务</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rPr>
              <w:t>7</w:t>
            </w:r>
          </w:p>
        </w:tc>
        <w:tc>
          <w:tcPr>
            <w:tcW w:w="1890" w:type="dxa"/>
            <w:vAlign w:val="center"/>
          </w:tcPr>
          <w:p>
            <w:pPr>
              <w:pStyle w:val="26"/>
              <w:spacing w:line="360" w:lineRule="auto"/>
              <w:ind w:firstLine="0" w:firstLineChars="0"/>
              <w:rPr>
                <w:rFonts w:ascii="仿宋" w:hAnsi="仿宋" w:eastAsia="仿宋" w:cs="仿宋"/>
                <w:kern w:val="2"/>
                <w:sz w:val="24"/>
                <w:szCs w:val="24"/>
                <w:lang w:val="en-US" w:eastAsia="zh-CN" w:bidi="ar-SA"/>
              </w:rPr>
            </w:pPr>
            <w:r>
              <w:rPr>
                <w:rFonts w:hint="eastAsia" w:ascii="仿宋" w:hAnsi="仿宋" w:eastAsia="仿宋" w:cs="仿宋"/>
              </w:rPr>
              <w:t>复议、诉讼调解</w:t>
            </w:r>
          </w:p>
        </w:tc>
        <w:tc>
          <w:tcPr>
            <w:tcW w:w="6135" w:type="dxa"/>
            <w:vAlign w:val="top"/>
          </w:tcPr>
          <w:p>
            <w:pPr>
              <w:pStyle w:val="26"/>
              <w:spacing w:line="360" w:lineRule="auto"/>
              <w:ind w:firstLine="0" w:firstLineChars="0"/>
              <w:rPr>
                <w:rFonts w:ascii="仿宋" w:hAnsi="仿宋" w:eastAsia="仿宋" w:cs="仿宋"/>
                <w:kern w:val="2"/>
                <w:sz w:val="24"/>
                <w:szCs w:val="24"/>
                <w:lang w:val="en-US" w:eastAsia="zh-CN" w:bidi="ar-SA"/>
              </w:rPr>
            </w:pPr>
            <w:r>
              <w:rPr>
                <w:rFonts w:hint="eastAsia" w:ascii="仿宋" w:hAnsi="仿宋" w:eastAsia="仿宋" w:cs="仿宋"/>
              </w:rPr>
              <w:t>查询资料、收集证据材料辅助、调解</w:t>
            </w:r>
            <w:r>
              <w:rPr>
                <w:rFonts w:hint="eastAsia" w:ascii="仿宋" w:hAnsi="仿宋" w:eastAsia="仿宋" w:cs="仿宋"/>
                <w:lang w:eastAsia="zh-CN"/>
              </w:rPr>
              <w:t>等</w:t>
            </w:r>
            <w:r>
              <w:rPr>
                <w:rFonts w:hint="eastAsia" w:ascii="仿宋" w:hAnsi="仿宋" w:eastAsia="仿宋" w:cs="仿宋"/>
              </w:rPr>
              <w:t>辅助</w:t>
            </w:r>
            <w:r>
              <w:rPr>
                <w:rFonts w:hint="eastAsia" w:ascii="仿宋" w:hAnsi="仿宋" w:eastAsia="仿宋" w:cs="仿宋"/>
                <w:highlight w:val="none"/>
                <w:lang w:eastAsia="zh-CN"/>
              </w:rPr>
              <w:t>服务</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rPr>
              <w:t>8</w:t>
            </w:r>
          </w:p>
        </w:tc>
        <w:tc>
          <w:tcPr>
            <w:tcW w:w="1890" w:type="dxa"/>
            <w:vAlign w:val="center"/>
          </w:tcPr>
          <w:p>
            <w:pPr>
              <w:pStyle w:val="26"/>
              <w:spacing w:line="360" w:lineRule="auto"/>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lang w:eastAsia="zh-CN"/>
              </w:rPr>
              <w:t>其他</w:t>
            </w:r>
            <w:r>
              <w:rPr>
                <w:rFonts w:hint="eastAsia" w:ascii="仿宋" w:hAnsi="仿宋" w:eastAsia="仿宋" w:cs="仿宋"/>
              </w:rPr>
              <w:t>交办案件处置</w:t>
            </w:r>
          </w:p>
        </w:tc>
        <w:tc>
          <w:tcPr>
            <w:tcW w:w="6135" w:type="dxa"/>
            <w:vAlign w:val="top"/>
          </w:tcPr>
          <w:p>
            <w:pPr>
              <w:pStyle w:val="26"/>
              <w:spacing w:line="360" w:lineRule="auto"/>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rPr>
              <w:t>查阅资料、联系</w:t>
            </w:r>
            <w:r>
              <w:rPr>
                <w:rFonts w:hint="eastAsia" w:ascii="仿宋" w:hAnsi="仿宋" w:eastAsia="仿宋" w:cs="仿宋"/>
                <w:lang w:eastAsia="zh-CN"/>
              </w:rPr>
              <w:t>当事人</w:t>
            </w:r>
            <w:r>
              <w:rPr>
                <w:rFonts w:hint="eastAsia" w:ascii="仿宋" w:hAnsi="仿宋" w:eastAsia="仿宋" w:cs="仿宋"/>
              </w:rPr>
              <w:t>辅助、协查辅助、立案不予立案判定辅助、执法办案辅助、移送辅助、告知</w:t>
            </w:r>
            <w:r>
              <w:rPr>
                <w:rFonts w:hint="eastAsia" w:ascii="仿宋" w:hAnsi="仿宋" w:eastAsia="仿宋" w:cs="仿宋"/>
                <w:lang w:eastAsia="zh-CN"/>
              </w:rPr>
              <w:t>等</w:t>
            </w:r>
            <w:r>
              <w:rPr>
                <w:rFonts w:hint="eastAsia" w:ascii="仿宋" w:hAnsi="仿宋" w:eastAsia="仿宋" w:cs="仿宋"/>
              </w:rPr>
              <w:t>辅助</w:t>
            </w:r>
            <w:r>
              <w:rPr>
                <w:rFonts w:hint="eastAsia" w:ascii="仿宋" w:hAnsi="仿宋" w:eastAsia="仿宋" w:cs="仿宋"/>
                <w:highlight w:val="none"/>
                <w:lang w:eastAsia="zh-CN"/>
              </w:rPr>
              <w:t>服务</w:t>
            </w:r>
            <w:r>
              <w:rPr>
                <w:rFonts w:hint="eastAsia" w:ascii="仿宋" w:hAnsi="仿宋" w:eastAsia="仿宋" w:cs="仿宋"/>
              </w:rPr>
              <w:t>。</w:t>
            </w:r>
          </w:p>
        </w:tc>
      </w:tr>
    </w:tbl>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rPr>
      </w:pPr>
      <w:r>
        <w:rPr>
          <w:rFonts w:hint="eastAsia" w:ascii="仿宋" w:hAnsi="仿宋" w:eastAsia="仿宋" w:cs="仿宋"/>
          <w:b/>
          <w:color w:val="000000"/>
          <w:sz w:val="24"/>
        </w:rPr>
        <w:t>三、服务外包具体要求</w:t>
      </w:r>
    </w:p>
    <w:p>
      <w:pPr>
        <w:pStyle w:val="629"/>
        <w:spacing w:line="360" w:lineRule="auto"/>
        <w:ind w:right="240" w:firstLine="482"/>
        <w:rPr>
          <w:rFonts w:ascii="仿宋" w:hAnsi="仿宋" w:eastAsia="仿宋" w:cs="仿宋"/>
          <w:b/>
          <w:bCs/>
          <w:sz w:val="24"/>
        </w:rPr>
      </w:pPr>
      <w:r>
        <w:rPr>
          <w:rFonts w:hint="eastAsia" w:ascii="仿宋" w:hAnsi="仿宋" w:eastAsia="仿宋" w:cs="仿宋"/>
          <w:b/>
          <w:bCs/>
          <w:sz w:val="24"/>
        </w:rPr>
        <w:t>（一）总要求</w:t>
      </w:r>
    </w:p>
    <w:p>
      <w:pPr>
        <w:pStyle w:val="629"/>
        <w:spacing w:line="360" w:lineRule="auto"/>
        <w:ind w:right="240" w:firstLine="480"/>
        <w:rPr>
          <w:rFonts w:hint="eastAsia" w:ascii="仿宋" w:hAnsi="仿宋" w:eastAsia="仿宋" w:cs="仿宋"/>
          <w:sz w:val="24"/>
          <w:highlight w:val="none"/>
        </w:rPr>
      </w:pPr>
      <w:r>
        <w:rPr>
          <w:rFonts w:hint="eastAsia" w:ascii="仿宋" w:hAnsi="仿宋" w:eastAsia="仿宋" w:cs="仿宋"/>
          <w:sz w:val="24"/>
          <w:highlight w:val="none"/>
        </w:rPr>
        <w:t>各处理过程时限要求须符合规范，各处理过程及结果均须如实记录并归档，所有记录应可供方便查阅，需要告知有关部门、人员的，应通过适当途径告知，并记录告知情况，告知应在相应处理过程当天完成；部分需书面回复上级交办部门的交办件，需要按照上级部门的要求及时回复；余杭区市场监督管理局认为有关处理不当的，应在规定</w:t>
      </w:r>
      <w:r>
        <w:rPr>
          <w:rFonts w:hint="eastAsia" w:ascii="仿宋" w:hAnsi="仿宋" w:eastAsia="仿宋" w:cs="仿宋"/>
          <w:sz w:val="24"/>
          <w:highlight w:val="none"/>
          <w:lang w:eastAsia="zh-CN"/>
        </w:rPr>
        <w:t>时间</w:t>
      </w:r>
      <w:r>
        <w:rPr>
          <w:rFonts w:hint="eastAsia" w:ascii="仿宋" w:hAnsi="仿宋" w:eastAsia="仿宋" w:cs="仿宋"/>
          <w:sz w:val="24"/>
          <w:highlight w:val="none"/>
        </w:rPr>
        <w:t>内重新处理。</w:t>
      </w:r>
    </w:p>
    <w:p>
      <w:pPr>
        <w:spacing w:line="360" w:lineRule="auto"/>
        <w:ind w:right="240" w:firstLine="482"/>
        <w:rPr>
          <w:rFonts w:hint="eastAsia" w:ascii="仿宋" w:hAnsi="仿宋" w:eastAsia="仿宋" w:cs="仿宋"/>
          <w:b/>
          <w:bCs/>
          <w:sz w:val="24"/>
          <w:highlight w:val="none"/>
        </w:rPr>
      </w:pPr>
      <w:r>
        <w:rPr>
          <w:rFonts w:hint="eastAsia" w:ascii="仿宋" w:hAnsi="仿宋" w:eastAsia="仿宋" w:cs="仿宋"/>
          <w:b/>
          <w:bCs/>
          <w:sz w:val="24"/>
          <w:highlight w:val="none"/>
        </w:rPr>
        <w:t>（二）书信材料收寄处理</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1、认真耐心地开展</w:t>
      </w:r>
      <w:r>
        <w:rPr>
          <w:rFonts w:hint="eastAsia" w:ascii="仿宋" w:hAnsi="仿宋" w:eastAsia="仿宋" w:cs="仿宋"/>
          <w:sz w:val="24"/>
          <w:highlight w:val="none"/>
          <w:lang w:eastAsia="zh-CN"/>
        </w:rPr>
        <w:t>当事人材料</w:t>
      </w:r>
      <w:r>
        <w:rPr>
          <w:rFonts w:hint="eastAsia" w:ascii="仿宋" w:hAnsi="仿宋" w:eastAsia="仿宋" w:cs="仿宋"/>
          <w:sz w:val="24"/>
          <w:highlight w:val="none"/>
        </w:rPr>
        <w:t>、</w:t>
      </w:r>
      <w:r>
        <w:rPr>
          <w:rFonts w:hint="eastAsia" w:ascii="仿宋" w:hAnsi="仿宋" w:eastAsia="仿宋" w:cs="仿宋"/>
          <w:sz w:val="24"/>
          <w:highlight w:val="none"/>
          <w:lang w:eastAsia="zh-CN"/>
        </w:rPr>
        <w:t>异地市场监管部门</w:t>
      </w:r>
      <w:r>
        <w:rPr>
          <w:rFonts w:hint="eastAsia" w:ascii="仿宋" w:hAnsi="仿宋" w:eastAsia="仿宋" w:cs="仿宋"/>
          <w:sz w:val="24"/>
          <w:highlight w:val="none"/>
        </w:rPr>
        <w:t>回复函件等所有书信材料的拆解</w:t>
      </w:r>
      <w:r>
        <w:rPr>
          <w:rFonts w:hint="eastAsia" w:ascii="仿宋" w:hAnsi="仿宋" w:eastAsia="仿宋" w:cs="仿宋"/>
          <w:sz w:val="24"/>
          <w:highlight w:val="none"/>
          <w:lang w:eastAsia="zh-CN"/>
        </w:rPr>
        <w:t>归集</w:t>
      </w:r>
      <w:r>
        <w:rPr>
          <w:rFonts w:hint="eastAsia" w:ascii="仿宋" w:hAnsi="仿宋" w:eastAsia="仿宋" w:cs="仿宋"/>
          <w:sz w:val="24"/>
          <w:highlight w:val="none"/>
        </w:rPr>
        <w:t>，记录各类来源信息并在系统中统一录入数据，并分流或及时通知至相应处理部门或人员；</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2、信件收寄处置工作；</w:t>
      </w:r>
    </w:p>
    <w:p>
      <w:pPr>
        <w:spacing w:line="360" w:lineRule="auto"/>
        <w:ind w:right="240" w:firstLine="482"/>
        <w:rPr>
          <w:rFonts w:ascii="仿宋" w:hAnsi="仿宋" w:eastAsia="仿宋" w:cs="仿宋"/>
          <w:b/>
          <w:bCs/>
          <w:sz w:val="24"/>
          <w:highlight w:val="none"/>
        </w:rPr>
      </w:pPr>
      <w:r>
        <w:rPr>
          <w:rFonts w:hint="eastAsia" w:ascii="仿宋" w:hAnsi="仿宋" w:eastAsia="仿宋" w:cs="仿宋"/>
          <w:b/>
          <w:bCs/>
          <w:sz w:val="24"/>
          <w:highlight w:val="none"/>
        </w:rPr>
        <w:t>（三）立案辅助处理</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1、认真耐心地开展举报件、上级交办、系统交办等案件立案辅助处理；</w:t>
      </w:r>
      <w:r>
        <w:rPr>
          <w:rFonts w:ascii="仿宋" w:hAnsi="仿宋" w:eastAsia="仿宋" w:cs="仿宋"/>
          <w:sz w:val="24"/>
          <w:highlight w:val="none"/>
        </w:rPr>
        <w:t xml:space="preserve"> </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2、收集整理相关证据材料；</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3、调查取证辅助处理；</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4、调查终结辅助处理；</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5、听证、告知辅助处理；</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6、处罚执行、催告、强制执行辅助处理；</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7、结案辅助处理。</w:t>
      </w:r>
    </w:p>
    <w:p>
      <w:pPr>
        <w:pStyle w:val="629"/>
        <w:spacing w:line="360" w:lineRule="auto"/>
        <w:ind w:right="240" w:firstLine="482"/>
        <w:rPr>
          <w:rFonts w:ascii="仿宋" w:hAnsi="仿宋" w:eastAsia="仿宋" w:cs="仿宋"/>
          <w:b/>
          <w:bCs/>
          <w:sz w:val="24"/>
          <w:highlight w:val="none"/>
        </w:rPr>
      </w:pPr>
      <w:r>
        <w:rPr>
          <w:rFonts w:hint="eastAsia" w:ascii="仿宋" w:hAnsi="仿宋" w:eastAsia="仿宋" w:cs="仿宋"/>
          <w:b/>
          <w:bCs/>
          <w:sz w:val="24"/>
          <w:highlight w:val="none"/>
        </w:rPr>
        <w:t>（四）协查处理</w:t>
      </w:r>
    </w:p>
    <w:p>
      <w:pPr>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1、认真耐心地开展上级交办、系统交办、来访接待、函件拆解扫描，记录各类来源信息并在系统中统一录入数据，并分流至相应处理部门或人员；</w:t>
      </w:r>
    </w:p>
    <w:p>
      <w:pPr>
        <w:widowControl/>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2、以可作为证据的方式向有关经营者或有关单位获取信息并反馈协查发起部门；</w:t>
      </w:r>
    </w:p>
    <w:p>
      <w:pPr>
        <w:pStyle w:val="629"/>
        <w:spacing w:line="360" w:lineRule="auto"/>
        <w:ind w:right="240" w:firstLine="482"/>
        <w:rPr>
          <w:rFonts w:ascii="仿宋" w:hAnsi="仿宋" w:eastAsia="仿宋" w:cs="仿宋"/>
          <w:b/>
          <w:bCs/>
          <w:kern w:val="0"/>
          <w:sz w:val="24"/>
          <w:highlight w:val="none"/>
        </w:rPr>
      </w:pPr>
      <w:r>
        <w:rPr>
          <w:rFonts w:hint="eastAsia" w:ascii="仿宋" w:hAnsi="仿宋" w:eastAsia="仿宋" w:cs="仿宋"/>
          <w:b/>
          <w:bCs/>
          <w:kern w:val="0"/>
          <w:sz w:val="24"/>
          <w:highlight w:val="none"/>
        </w:rPr>
        <w:t>（五）数据统计分析</w:t>
      </w:r>
    </w:p>
    <w:p>
      <w:pPr>
        <w:widowControl/>
        <w:spacing w:line="360" w:lineRule="auto"/>
        <w:ind w:right="240" w:firstLine="480"/>
        <w:rPr>
          <w:rFonts w:ascii="仿宋" w:hAnsi="仿宋" w:eastAsia="仿宋" w:cs="仿宋"/>
          <w:sz w:val="24"/>
          <w:highlight w:val="none"/>
        </w:rPr>
      </w:pPr>
      <w:r>
        <w:rPr>
          <w:rFonts w:hint="eastAsia" w:ascii="仿宋" w:hAnsi="仿宋" w:eastAsia="仿宋" w:cs="仿宋"/>
          <w:sz w:val="24"/>
          <w:highlight w:val="none"/>
        </w:rPr>
        <w:t>辅助</w:t>
      </w:r>
      <w:r>
        <w:rPr>
          <w:rFonts w:hint="eastAsia" w:ascii="仿宋" w:hAnsi="仿宋" w:eastAsia="仿宋" w:cs="仿宋"/>
          <w:sz w:val="24"/>
          <w:highlight w:val="none"/>
          <w:lang w:eastAsia="zh-CN"/>
        </w:rPr>
        <w:t>业主方</w:t>
      </w:r>
      <w:r>
        <w:rPr>
          <w:rFonts w:hint="eastAsia" w:ascii="仿宋" w:hAnsi="仿宋" w:eastAsia="仿宋" w:cs="仿宋"/>
          <w:sz w:val="24"/>
          <w:highlight w:val="none"/>
        </w:rPr>
        <w:t>对网络举报原始数据进行统计分析，对举报内容及处理相关工作形成日常处理报告（分为周报、月报、季报、年报等）和专项报告。</w:t>
      </w:r>
    </w:p>
    <w:p>
      <w:pPr>
        <w:widowControl/>
        <w:spacing w:line="360" w:lineRule="auto"/>
        <w:ind w:right="240" w:firstLine="482"/>
        <w:rPr>
          <w:rFonts w:ascii="仿宋" w:hAnsi="仿宋" w:eastAsia="仿宋" w:cs="仿宋"/>
          <w:b/>
          <w:bCs/>
          <w:sz w:val="24"/>
          <w:highlight w:val="none"/>
        </w:rPr>
      </w:pPr>
      <w:r>
        <w:rPr>
          <w:rFonts w:hint="eastAsia" w:ascii="仿宋" w:hAnsi="仿宋" w:eastAsia="仿宋" w:cs="仿宋"/>
          <w:b/>
          <w:bCs/>
          <w:sz w:val="24"/>
          <w:highlight w:val="none"/>
        </w:rPr>
        <w:t>（六）其他与网络举报相关的辅助性工作。</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1、根据行政救济内容，收集、整理、分析相关材料；</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2、其他与网络</w:t>
      </w:r>
      <w:r>
        <w:rPr>
          <w:rFonts w:hint="eastAsia" w:ascii="仿宋" w:hAnsi="仿宋" w:eastAsia="仿宋" w:cs="仿宋"/>
          <w:kern w:val="0"/>
          <w:sz w:val="24"/>
          <w:highlight w:val="none"/>
        </w:rPr>
        <w:t>举报相关的辅助性工作。</w:t>
      </w:r>
    </w:p>
    <w:p>
      <w:pPr>
        <w:pStyle w:val="629"/>
        <w:spacing w:line="360" w:lineRule="auto"/>
        <w:ind w:right="240" w:firstLine="480"/>
        <w:rPr>
          <w:rFonts w:ascii="仿宋" w:hAnsi="仿宋" w:eastAsia="仿宋" w:cs="仿宋"/>
          <w:b/>
          <w:bCs/>
          <w:kern w:val="0"/>
          <w:sz w:val="24"/>
          <w:highlight w:val="none"/>
        </w:rPr>
      </w:pPr>
      <w:r>
        <w:rPr>
          <w:rFonts w:hint="eastAsia" w:ascii="仿宋" w:hAnsi="仿宋" w:eastAsia="仿宋" w:cs="仿宋"/>
          <w:b/>
          <w:bCs/>
          <w:kern w:val="0"/>
          <w:sz w:val="24"/>
          <w:highlight w:val="none"/>
        </w:rPr>
        <w:t>（七）质检要求：</w:t>
      </w:r>
    </w:p>
    <w:p>
      <w:pPr>
        <w:pStyle w:val="629"/>
        <w:spacing w:line="360" w:lineRule="auto"/>
        <w:ind w:right="240"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质检专员须对每个立案调查的案件审核，每月对案件抽查复盘质检</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不定期安排专项质检会议</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 xml:space="preserve">通晒相关问题。  </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（八）专业人员要求：</w:t>
      </w:r>
    </w:p>
    <w:p>
      <w:pPr>
        <w:pStyle w:val="629"/>
        <w:spacing w:line="360" w:lineRule="auto"/>
        <w:ind w:right="240"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具备法律专业背景及一定行政案件处理经验的人员不少于5人，对日常质检问题件、疑难件、舆情件进行把控审核，指导普通业务人员依法依规开展工作。</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highlight w:val="none"/>
        </w:rPr>
      </w:pPr>
      <w:r>
        <w:rPr>
          <w:rFonts w:hint="eastAsia" w:ascii="仿宋" w:hAnsi="仿宋" w:eastAsia="仿宋" w:cs="仿宋"/>
          <w:b/>
          <w:color w:val="000000"/>
          <w:sz w:val="24"/>
          <w:highlight w:val="none"/>
        </w:rPr>
        <w:t>四、考核要求</w:t>
      </w:r>
    </w:p>
    <w:p>
      <w:pPr>
        <w:pStyle w:val="629"/>
        <w:spacing w:line="360" w:lineRule="auto"/>
        <w:ind w:right="240" w:firstLine="482"/>
        <w:rPr>
          <w:rFonts w:ascii="仿宋" w:hAnsi="仿宋" w:eastAsia="仿宋" w:cs="仿宋"/>
          <w:b/>
          <w:bCs/>
          <w:kern w:val="0"/>
          <w:sz w:val="24"/>
          <w:highlight w:val="none"/>
        </w:rPr>
      </w:pPr>
      <w:r>
        <w:rPr>
          <w:rFonts w:hint="eastAsia" w:ascii="仿宋" w:hAnsi="仿宋" w:eastAsia="仿宋" w:cs="仿宋"/>
          <w:b/>
          <w:bCs/>
          <w:kern w:val="0"/>
          <w:sz w:val="24"/>
          <w:highlight w:val="none"/>
        </w:rPr>
        <w:t>（一）项目目标</w:t>
      </w:r>
    </w:p>
    <w:p>
      <w:pPr>
        <w:pStyle w:val="629"/>
        <w:spacing w:line="360" w:lineRule="auto"/>
        <w:ind w:right="240" w:firstLine="480"/>
        <w:rPr>
          <w:rFonts w:ascii="仿宋" w:hAnsi="仿宋" w:eastAsia="仿宋" w:cs="仿宋"/>
          <w:kern w:val="0"/>
          <w:sz w:val="24"/>
          <w:highlight w:val="none"/>
        </w:rPr>
      </w:pPr>
      <w:r>
        <w:rPr>
          <w:rFonts w:hint="eastAsia" w:ascii="仿宋" w:hAnsi="仿宋" w:eastAsia="仿宋" w:cs="仿宋"/>
          <w:kern w:val="0"/>
          <w:sz w:val="24"/>
          <w:highlight w:val="none"/>
        </w:rPr>
        <w:t>根据规范妥善完成项目期内收到的网络举报等有关执法办案工作和历史件的后续辅助处理。</w:t>
      </w:r>
    </w:p>
    <w:p>
      <w:pPr>
        <w:pStyle w:val="629"/>
        <w:spacing w:line="360" w:lineRule="auto"/>
        <w:ind w:right="240" w:firstLine="482"/>
        <w:rPr>
          <w:rFonts w:ascii="仿宋" w:hAnsi="仿宋" w:eastAsia="仿宋" w:cs="仿宋"/>
          <w:b/>
          <w:bCs/>
          <w:kern w:val="0"/>
          <w:sz w:val="24"/>
          <w:highlight w:val="none"/>
        </w:rPr>
      </w:pPr>
      <w:r>
        <w:rPr>
          <w:rFonts w:hint="eastAsia" w:ascii="仿宋" w:hAnsi="仿宋" w:eastAsia="仿宋" w:cs="仿宋"/>
          <w:b/>
          <w:bCs/>
          <w:kern w:val="0"/>
          <w:sz w:val="24"/>
          <w:highlight w:val="none"/>
        </w:rPr>
        <w:t>（二）质量要求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1、按照规范程序和时限要求，按时完成登记、分流、告知、移交/移送、立案调查、行政处罚、强制执行、告知等各环节处理工作，不得逾期；</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2、向外</w:t>
      </w:r>
      <w:r>
        <w:rPr>
          <w:rFonts w:hint="eastAsia" w:ascii="仿宋" w:hAnsi="仿宋" w:eastAsia="仿宋" w:cs="仿宋"/>
          <w:kern w:val="0"/>
          <w:sz w:val="24"/>
          <w:highlight w:val="none"/>
        </w:rPr>
        <w:t>发送的文书差错率不得超过千分之一；</w:t>
      </w:r>
    </w:p>
    <w:p>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bCs/>
          <w:kern w:val="0"/>
          <w:sz w:val="24"/>
          <w:highlight w:val="none"/>
        </w:rPr>
        <w:t>3、投标方须在投标文件中提供保障工作时效和质量的具体方案</w:t>
      </w:r>
      <w:r>
        <w:rPr>
          <w:rFonts w:hint="eastAsia" w:ascii="仿宋" w:hAnsi="仿宋" w:eastAsia="仿宋" w:cs="仿宋"/>
          <w:kern w:val="0"/>
          <w:sz w:val="24"/>
          <w:highlight w:val="none"/>
        </w:rPr>
        <w:t>。</w:t>
      </w:r>
    </w:p>
    <w:p>
      <w:pPr>
        <w:pStyle w:val="629"/>
        <w:spacing w:line="360" w:lineRule="auto"/>
        <w:ind w:right="240" w:firstLine="482"/>
        <w:rPr>
          <w:rFonts w:ascii="仿宋" w:hAnsi="仿宋" w:eastAsia="仿宋" w:cs="仿宋"/>
          <w:b/>
          <w:bCs/>
          <w:kern w:val="0"/>
          <w:sz w:val="24"/>
          <w:highlight w:val="none"/>
        </w:rPr>
      </w:pPr>
      <w:r>
        <w:rPr>
          <w:rFonts w:hint="eastAsia" w:ascii="仿宋" w:hAnsi="仿宋" w:eastAsia="仿宋" w:cs="仿宋"/>
          <w:b/>
          <w:bCs/>
          <w:kern w:val="0"/>
          <w:sz w:val="24"/>
          <w:highlight w:val="none"/>
        </w:rPr>
        <w:t>（三）考核指标</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项目考核将按月考核，如中标单位在合同签订后第一个月考核即不通过相关指标，则采购人有权中止合同，</w:t>
      </w:r>
      <w:r>
        <w:rPr>
          <w:rFonts w:hint="eastAsia" w:ascii="仿宋" w:hAnsi="仿宋" w:eastAsia="仿宋" w:cs="仿宋"/>
          <w:sz w:val="24"/>
          <w:highlight w:val="none"/>
          <w:lang w:eastAsia="zh-CN"/>
        </w:rPr>
        <w:t>但不暂停</w:t>
      </w:r>
      <w:r>
        <w:rPr>
          <w:rFonts w:hint="eastAsia" w:ascii="仿宋" w:hAnsi="仿宋" w:eastAsia="仿宋" w:cs="仿宋"/>
          <w:sz w:val="24"/>
          <w:highlight w:val="none"/>
        </w:rPr>
        <w:t>服务，</w:t>
      </w:r>
      <w:r>
        <w:rPr>
          <w:rFonts w:hint="eastAsia" w:ascii="仿宋" w:hAnsi="仿宋" w:eastAsia="仿宋" w:cs="仿宋"/>
          <w:sz w:val="24"/>
          <w:highlight w:val="none"/>
          <w:lang w:eastAsia="zh-CN"/>
        </w:rPr>
        <w:t>待采购人组织招标完成后由进行交接及结算工作</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团队</w:t>
      </w:r>
      <w:r>
        <w:rPr>
          <w:rFonts w:hint="eastAsia" w:ascii="仿宋" w:hAnsi="仿宋" w:eastAsia="仿宋" w:cs="仿宋"/>
          <w:sz w:val="24"/>
          <w:highlight w:val="none"/>
          <w:lang w:eastAsia="zh-CN"/>
        </w:rPr>
        <w:t>人员不少于</w:t>
      </w:r>
      <w:r>
        <w:rPr>
          <w:rFonts w:hint="eastAsia" w:ascii="仿宋" w:hAnsi="仿宋" w:eastAsia="仿宋" w:cs="仿宋"/>
          <w:sz w:val="24"/>
          <w:highlight w:val="none"/>
          <w:lang w:val="en-US" w:eastAsia="zh-CN"/>
        </w:rPr>
        <w:t>70人，其中</w:t>
      </w:r>
      <w:r>
        <w:rPr>
          <w:rFonts w:hint="eastAsia" w:ascii="仿宋" w:hAnsi="仿宋" w:eastAsia="仿宋" w:cs="仿宋"/>
          <w:sz w:val="24"/>
          <w:highlight w:val="none"/>
        </w:rPr>
        <w:t>驻场人员不少于</w:t>
      </w:r>
      <w:r>
        <w:rPr>
          <w:rFonts w:hint="eastAsia" w:ascii="仿宋" w:hAnsi="仿宋" w:eastAsia="仿宋" w:cs="仿宋"/>
          <w:sz w:val="24"/>
          <w:highlight w:val="none"/>
          <w:lang w:val="en-US" w:eastAsia="zh-CN"/>
        </w:rPr>
        <w:t>65</w:t>
      </w:r>
      <w:r>
        <w:rPr>
          <w:rFonts w:hint="eastAsia" w:ascii="仿宋" w:hAnsi="仿宋" w:eastAsia="仿宋" w:cs="仿宋"/>
          <w:sz w:val="24"/>
          <w:highlight w:val="none"/>
        </w:rPr>
        <w:t>人；</w:t>
      </w:r>
      <w:r>
        <w:rPr>
          <w:rFonts w:hint="eastAsia" w:ascii="仿宋" w:hAnsi="仿宋" w:eastAsia="仿宋" w:cs="仿宋"/>
          <w:sz w:val="24"/>
          <w:highlight w:val="none"/>
          <w:lang w:eastAsia="zh-CN"/>
        </w:rPr>
        <w:t>团队人员不得减少，如减少，扣除当月每人</w:t>
      </w:r>
      <w:r>
        <w:rPr>
          <w:rFonts w:hint="eastAsia" w:ascii="仿宋" w:hAnsi="仿宋" w:eastAsia="仿宋" w:cs="仿宋"/>
          <w:sz w:val="24"/>
          <w:highlight w:val="none"/>
        </w:rPr>
        <w:t>1</w:t>
      </w:r>
      <w:r>
        <w:rPr>
          <w:rFonts w:hint="eastAsia" w:ascii="仿宋" w:hAnsi="仿宋" w:eastAsia="仿宋" w:cs="仿宋"/>
          <w:sz w:val="24"/>
          <w:highlight w:val="none"/>
          <w:lang w:eastAsia="zh-CN"/>
        </w:rPr>
        <w:t>万元，按月累计，同时如第二月没有人员替补，则采购人有权扣除当月服务费用的</w:t>
      </w:r>
      <w:r>
        <w:rPr>
          <w:rFonts w:hint="eastAsia" w:ascii="仿宋" w:hAnsi="仿宋" w:eastAsia="仿宋" w:cs="仿宋"/>
          <w:sz w:val="24"/>
          <w:highlight w:val="none"/>
          <w:lang w:val="en-US" w:eastAsia="zh-CN"/>
        </w:rPr>
        <w:t>2%作为</w:t>
      </w:r>
      <w:r>
        <w:rPr>
          <w:rFonts w:hint="eastAsia" w:ascii="仿宋" w:hAnsi="仿宋" w:eastAsia="仿宋" w:cs="仿宋"/>
          <w:sz w:val="24"/>
          <w:highlight w:val="none"/>
        </w:rPr>
        <w:t>消费保障资金</w:t>
      </w:r>
      <w:r>
        <w:rPr>
          <w:rFonts w:hint="eastAsia" w:ascii="仿宋" w:hAnsi="仿宋" w:eastAsia="仿宋" w:cs="仿宋"/>
          <w:sz w:val="24"/>
          <w:highlight w:val="none"/>
          <w:lang w:val="en-US" w:eastAsia="zh-CN"/>
        </w:rPr>
        <w:t>留存</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行政复议中杭集复被纠错最多1件；因中标方责任导致杭集复被纠错的每增加1件需提供10万元的消费保障资金</w:t>
      </w:r>
      <w:r>
        <w:rPr>
          <w:rFonts w:hint="eastAsia" w:ascii="仿宋" w:hAnsi="仿宋" w:eastAsia="仿宋" w:cs="仿宋"/>
          <w:sz w:val="24"/>
          <w:highlight w:val="none"/>
          <w:lang w:val="en-US" w:eastAsia="zh-CN"/>
        </w:rPr>
        <w:t>留存</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3、行政复议中其他复议件纠错率不高于5%；因中标方责任导致行政复议中其他复议件纠错率每高2个百分比需提供2万元的消费保障资金</w:t>
      </w:r>
      <w:r>
        <w:rPr>
          <w:rFonts w:hint="eastAsia" w:ascii="仿宋" w:hAnsi="仿宋" w:eastAsia="仿宋" w:cs="仿宋"/>
          <w:sz w:val="24"/>
          <w:highlight w:val="none"/>
          <w:lang w:val="en-US" w:eastAsia="zh-CN"/>
        </w:rPr>
        <w:t>留存</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4、行政诉讼败诉最多1件；因中标方责任导致行政诉讼败诉的每增加1件需提供10万元的消费保障资金</w:t>
      </w:r>
      <w:r>
        <w:rPr>
          <w:rFonts w:hint="eastAsia" w:ascii="仿宋" w:hAnsi="仿宋" w:eastAsia="仿宋" w:cs="仿宋"/>
          <w:sz w:val="24"/>
          <w:highlight w:val="none"/>
          <w:lang w:val="en-US" w:eastAsia="zh-CN"/>
        </w:rPr>
        <w:t>留存</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5、举报按时核查率不低于99%；因中标方责任举报按时核查率下降1个百分比需提供5万元的消费保障资金</w:t>
      </w:r>
      <w:r>
        <w:rPr>
          <w:rFonts w:hint="eastAsia" w:ascii="仿宋" w:hAnsi="仿宋" w:eastAsia="仿宋" w:cs="仿宋"/>
          <w:sz w:val="24"/>
          <w:highlight w:val="none"/>
          <w:lang w:val="en-US" w:eastAsia="zh-CN"/>
        </w:rPr>
        <w:t>留存</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6、合同年度立案调查不得少于2.5万件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考核指标以合同约定为准。</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highlight w:val="none"/>
        </w:rPr>
      </w:pPr>
      <w:r>
        <w:rPr>
          <w:rFonts w:hint="eastAsia" w:ascii="仿宋" w:hAnsi="仿宋" w:eastAsia="仿宋" w:cs="仿宋"/>
          <w:b/>
          <w:color w:val="000000"/>
          <w:sz w:val="24"/>
          <w:highlight w:val="none"/>
        </w:rPr>
        <w:t>五、各项服务保障</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1、中标人应保证按照有关国家或行业技术标准规范，对项目外包等各个环节进行严格的质量把关。</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2、在外包服务期内乙方应严格遵守在甲方的各项工作纪律和规章制度，不得对外泄露甲方业务相关的数据信息。</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3、项目运行过程中应严格做好安全防范措施，加强安全教育和管理，如中标人人员在实施中违反操作规定或实施现场防范措施设置不明造成人员伤害和财产损失事故的，一切责任均由乙方负责。</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sz w:val="24"/>
          <w:highlight w:val="none"/>
        </w:rPr>
        <w:t>4、中标人应按规定与从事该项目的工作人员签订劳动用工合同，遵守有关劳动用工的法律法规，中标人聘用人员在用工期间与乙方发生劳资纠纷和工伤事故的，均由中标人负责，不得影响采购单位项目的正常开展，造成影响项目正常实施或出现差错件达到采购人考核下限数的，采购人有权立即终止合同，并视为中标单位违约。</w:t>
      </w:r>
    </w:p>
    <w:p>
      <w:pPr>
        <w:spacing w:line="360" w:lineRule="auto"/>
        <w:ind w:right="240"/>
        <w:rPr>
          <w:rFonts w:ascii="仿宋" w:hAnsi="仿宋" w:eastAsia="仿宋" w:cs="仿宋"/>
          <w:sz w:val="24"/>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5、合同期间，</w:t>
      </w:r>
      <w:r>
        <w:rPr>
          <w:rFonts w:hint="eastAsia" w:ascii="仿宋" w:hAnsi="仿宋" w:eastAsia="仿宋" w:cs="仿宋"/>
          <w:sz w:val="24"/>
          <w:highlight w:val="none"/>
        </w:rPr>
        <w:t>中标人</w:t>
      </w:r>
      <w:r>
        <w:rPr>
          <w:rFonts w:hint="eastAsia" w:ascii="仿宋" w:hAnsi="仿宋" w:eastAsia="仿宋" w:cs="仿宋"/>
          <w:color w:val="000000"/>
          <w:sz w:val="24"/>
          <w:highlight w:val="none"/>
        </w:rPr>
        <w:t>应达到甲方项目实施所需的人员数量要求，</w:t>
      </w:r>
      <w:r>
        <w:rPr>
          <w:rFonts w:hint="eastAsia" w:ascii="仿宋" w:hAnsi="仿宋" w:eastAsia="仿宋" w:cs="仿宋"/>
          <w:b/>
          <w:bCs/>
          <w:sz w:val="24"/>
          <w:highlight w:val="none"/>
        </w:rPr>
        <w:t>团队</w:t>
      </w:r>
      <w:r>
        <w:rPr>
          <w:rFonts w:hint="eastAsia" w:ascii="仿宋" w:hAnsi="仿宋" w:eastAsia="仿宋" w:cs="仿宋"/>
          <w:b/>
          <w:bCs/>
          <w:sz w:val="24"/>
          <w:highlight w:val="none"/>
          <w:lang w:eastAsia="zh-CN"/>
        </w:rPr>
        <w:t>人员不少于</w:t>
      </w:r>
      <w:r>
        <w:rPr>
          <w:rFonts w:hint="eastAsia" w:ascii="仿宋" w:hAnsi="仿宋" w:eastAsia="仿宋" w:cs="仿宋"/>
          <w:b/>
          <w:bCs/>
          <w:sz w:val="24"/>
          <w:highlight w:val="none"/>
          <w:lang w:val="en-US" w:eastAsia="zh-CN"/>
        </w:rPr>
        <w:t>70人，</w:t>
      </w:r>
      <w:r>
        <w:rPr>
          <w:rFonts w:hint="eastAsia" w:ascii="仿宋" w:hAnsi="仿宋" w:eastAsia="仿宋" w:cs="仿宋"/>
          <w:b/>
          <w:bCs/>
          <w:sz w:val="24"/>
          <w:highlight w:val="none"/>
        </w:rPr>
        <w:t>驻场人员不少于</w:t>
      </w:r>
      <w:r>
        <w:rPr>
          <w:rFonts w:hint="eastAsia" w:ascii="仿宋" w:hAnsi="仿宋" w:eastAsia="仿宋" w:cs="仿宋"/>
          <w:b/>
          <w:bCs/>
          <w:sz w:val="24"/>
          <w:highlight w:val="none"/>
          <w:lang w:val="en-US" w:eastAsia="zh-CN"/>
        </w:rPr>
        <w:t>65</w:t>
      </w:r>
      <w:r>
        <w:rPr>
          <w:rFonts w:hint="eastAsia" w:ascii="仿宋" w:hAnsi="仿宋" w:eastAsia="仿宋" w:cs="仿宋"/>
          <w:b/>
          <w:bCs/>
          <w:sz w:val="24"/>
          <w:highlight w:val="none"/>
        </w:rPr>
        <w:t>人</w:t>
      </w:r>
      <w:r>
        <w:rPr>
          <w:rFonts w:hint="eastAsia" w:ascii="仿宋" w:hAnsi="仿宋" w:eastAsia="仿宋" w:cs="仿宋"/>
          <w:b/>
          <w:bCs/>
          <w:color w:val="000000"/>
          <w:sz w:val="24"/>
          <w:highlight w:val="none"/>
        </w:rPr>
        <w:t>，其中本科及以上学历人数不少于50人</w:t>
      </w:r>
      <w:r>
        <w:rPr>
          <w:rFonts w:hint="eastAsia" w:ascii="仿宋" w:hAnsi="仿宋" w:eastAsia="仿宋" w:cs="仿宋"/>
          <w:b/>
          <w:bCs/>
          <w:color w:val="000000"/>
          <w:sz w:val="24"/>
          <w:highlight w:val="none"/>
          <w:lang w:eastAsia="zh-CN"/>
        </w:rPr>
        <w:t>，</w:t>
      </w:r>
      <w:r>
        <w:rPr>
          <w:rFonts w:hint="eastAsia" w:ascii="仿宋" w:hAnsi="仿宋" w:eastAsia="仿宋" w:cs="仿宋"/>
          <w:color w:val="000000"/>
          <w:sz w:val="24"/>
          <w:highlight w:val="none"/>
        </w:rPr>
        <w:t>包括管理人员3名，协助甲方做好业务管理，具体工作由甲方安排；1名项目团队负责人，负责协助甲方做好日常的业务管理，2名专职质量抽查人员，负责定期的质量监督抽查，质量抽查情况列入对</w:t>
      </w:r>
      <w:r>
        <w:rPr>
          <w:rFonts w:hint="eastAsia" w:ascii="仿宋" w:hAnsi="仿宋" w:eastAsia="仿宋" w:cs="仿宋"/>
          <w:sz w:val="24"/>
          <w:highlight w:val="none"/>
        </w:rPr>
        <w:t>中标人</w:t>
      </w:r>
      <w:r>
        <w:rPr>
          <w:rFonts w:hint="eastAsia" w:ascii="仿宋" w:hAnsi="仿宋" w:eastAsia="仿宋" w:cs="仿宋"/>
          <w:color w:val="000000"/>
          <w:sz w:val="24"/>
          <w:highlight w:val="none"/>
        </w:rPr>
        <w:t>的考核，上述管理、抽查岗位人员不纳入</w:t>
      </w:r>
      <w:r>
        <w:rPr>
          <w:rFonts w:hint="eastAsia" w:ascii="仿宋" w:hAnsi="仿宋" w:eastAsia="仿宋" w:cs="仿宋"/>
          <w:sz w:val="24"/>
          <w:highlight w:val="none"/>
        </w:rPr>
        <w:t>中</w:t>
      </w:r>
      <w:r>
        <w:rPr>
          <w:rFonts w:hint="eastAsia" w:ascii="仿宋" w:hAnsi="仿宋" w:eastAsia="仿宋" w:cs="仿宋"/>
          <w:sz w:val="24"/>
        </w:rPr>
        <w:t>标人</w:t>
      </w:r>
      <w:r>
        <w:rPr>
          <w:rFonts w:hint="eastAsia" w:ascii="仿宋" w:hAnsi="仿宋" w:eastAsia="仿宋" w:cs="仿宋"/>
          <w:color w:val="000000"/>
          <w:sz w:val="24"/>
        </w:rPr>
        <w:t>的绩效考核；其他日常事务辅助人员若干。中标后提供拟投入本项目的团队人员名单以及学历、专业能力证明。</w:t>
      </w:r>
    </w:p>
    <w:p>
      <w:pPr>
        <w:spacing w:line="360" w:lineRule="auto"/>
        <w:ind w:right="240" w:firstLine="48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中标人需采取措施保障合同期间的人员稳定，全年人员流失率不超过总人数的20%（中标人内部因为岗位调整、办公地址搬迁和人员升迁，造成人员变化的，需事先征得采购人同意，不计入人员流失率）。中标人需具备一定的人员储备能力,在关键岗位人员流失时，可及时补充，确保外包服务的连续性。对中标人人员的岗位设置方案，应征得采购人同意后实施，合同期内，采购人认为中标人人员岗位设置存在不合理或者工作要求调整需调整部分人员岗位的，中标人应在7日内调整到位，中标人需进行岗位调整的，应征得采购人同意后方可调整，人员调整期间应保障各项工作的有序衔接；对合同期间违反采购人工作纪律、不服从管理或工作不符合采购人要求的人员，采购人有权要求中标人予以更换，中标人应在7个工作日内更换相关人员，该被更换人员不得从事与采购人业务有直接关联的工作。</w:t>
      </w:r>
    </w:p>
    <w:p>
      <w:pPr>
        <w:spacing w:line="360" w:lineRule="auto"/>
        <w:ind w:right="240" w:firstLine="480" w:firstLineChars="200"/>
        <w:rPr>
          <w:rFonts w:ascii="仿宋" w:hAnsi="仿宋" w:eastAsia="仿宋" w:cs="仿宋"/>
          <w:color w:val="000000"/>
          <w:sz w:val="24"/>
        </w:rPr>
      </w:pPr>
      <w:r>
        <w:rPr>
          <w:rFonts w:hint="eastAsia" w:ascii="仿宋" w:hAnsi="仿宋" w:eastAsia="仿宋" w:cs="仿宋"/>
          <w:sz w:val="24"/>
        </w:rPr>
        <w:t>7、中标人应采取措施保障业务质量，加强对员工的业务培训，培训应制定计划，并征得采购人审核同意，业务培训应该严格按计划执行，并围绕采购人的业务需求开展，注重业务培训质量，不得开展与合同业务基本无关的培训，也不得让该项目服务人员从事其他非采购人业务，影响采购人业务的正常开展。服务期间造成业务量积压和超期情况的，中标人应根据甲方要求增加人员配备。</w:t>
      </w:r>
    </w:p>
    <w:p>
      <w:pPr>
        <w:spacing w:line="360" w:lineRule="auto"/>
        <w:ind w:right="24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8、为保障人员相对稳定，</w:t>
      </w:r>
      <w:r>
        <w:rPr>
          <w:rFonts w:hint="eastAsia" w:ascii="仿宋" w:hAnsi="仿宋" w:eastAsia="仿宋" w:cs="仿宋"/>
          <w:sz w:val="24"/>
          <w:highlight w:val="none"/>
        </w:rPr>
        <w:t>中标人</w:t>
      </w:r>
      <w:r>
        <w:rPr>
          <w:rFonts w:hint="eastAsia" w:ascii="仿宋" w:hAnsi="仿宋" w:eastAsia="仿宋" w:cs="仿宋"/>
          <w:color w:val="000000"/>
          <w:sz w:val="24"/>
          <w:highlight w:val="none"/>
        </w:rPr>
        <w:t>员工平均待遇建议不低于采购单位编外人员待遇，中标人对员工开展工作业务绩效考核的，由采购人和中标人共同制定考核标准。</w:t>
      </w:r>
    </w:p>
    <w:p>
      <w:pPr>
        <w:spacing w:line="360" w:lineRule="auto"/>
        <w:ind w:right="240" w:firstLine="482" w:firstLineChars="200"/>
        <w:rPr>
          <w:rFonts w:ascii="仿宋" w:hAnsi="仿宋" w:eastAsia="仿宋" w:cs="仿宋"/>
          <w:sz w:val="24"/>
          <w:highlight w:val="none"/>
        </w:rPr>
      </w:pPr>
      <w:r>
        <w:rPr>
          <w:rFonts w:hint="eastAsia" w:ascii="仿宋" w:hAnsi="仿宋" w:eastAsia="仿宋" w:cs="仿宋"/>
          <w:b/>
          <w:sz w:val="24"/>
          <w:highlight w:val="none"/>
        </w:rPr>
        <w:t>9、▲</w:t>
      </w:r>
      <w:r>
        <w:rPr>
          <w:rFonts w:hint="eastAsia" w:ascii="仿宋" w:hAnsi="仿宋" w:eastAsia="仿宋" w:cs="仿宋"/>
          <w:sz w:val="24"/>
          <w:highlight w:val="none"/>
        </w:rPr>
        <w:t>中标方须确保工作按时完成，维持一定的工作人员数量，中标后最少配备70名工作人员</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其中65人驻</w:t>
      </w:r>
      <w:r>
        <w:rPr>
          <w:rFonts w:hint="eastAsia" w:ascii="仿宋" w:hAnsi="仿宋" w:eastAsia="仿宋" w:cs="仿宋"/>
          <w:sz w:val="24"/>
          <w:highlight w:val="none"/>
        </w:rPr>
        <w:t>场提供服务。合同签订后7天内完成招募培训工作，</w:t>
      </w:r>
      <w:r>
        <w:rPr>
          <w:rFonts w:hint="eastAsia" w:ascii="仿宋" w:hAnsi="仿宋" w:eastAsia="仿宋" w:cs="仿宋"/>
          <w:b/>
          <w:bCs/>
          <w:sz w:val="24"/>
          <w:highlight w:val="none"/>
        </w:rPr>
        <w:t>投标文件需提供各岗位人员到位承诺书。</w:t>
      </w:r>
    </w:p>
    <w:p>
      <w:pPr>
        <w:spacing w:line="360" w:lineRule="auto"/>
        <w:ind w:right="240" w:firstLine="480" w:firstLineChars="2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、须严格遵守《中华人民共和国劳动法》、《中华人民共和国社会保障法》等法律法规要求，做到合法用工，应当保持合理的薪酬待遇。</w:t>
      </w:r>
    </w:p>
    <w:p>
      <w:pPr>
        <w:spacing w:line="360" w:lineRule="auto"/>
        <w:ind w:right="240"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、项目组成员须签订保密协议。</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highlight w:val="none"/>
        </w:rPr>
      </w:pPr>
      <w:r>
        <w:rPr>
          <w:rFonts w:hint="eastAsia" w:ascii="仿宋" w:hAnsi="仿宋" w:eastAsia="仿宋" w:cs="仿宋"/>
          <w:b/>
          <w:color w:val="000000"/>
          <w:sz w:val="24"/>
          <w:highlight w:val="none"/>
        </w:rPr>
        <w:t>六、服务人员能力要求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color w:val="000000"/>
          <w:sz w:val="24"/>
          <w:highlight w:val="none"/>
        </w:rPr>
        <w:t>供应商须保证驻场服务人员对网络交易举报辅助处理服务工作熟悉熟练，服务人员业务能力能够满足相关性辅助处理工作要求，供应商需提供对投举报件网络执法办案各环节辅助工作具体服务方案。</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highlight w:val="none"/>
        </w:rPr>
      </w:pPr>
      <w:r>
        <w:rPr>
          <w:rFonts w:hint="eastAsia" w:ascii="仿宋" w:hAnsi="仿宋" w:eastAsia="仿宋" w:cs="仿宋"/>
          <w:b/>
          <w:color w:val="000000"/>
          <w:sz w:val="24"/>
          <w:highlight w:val="none"/>
        </w:rPr>
        <w:t>七、其他要求</w:t>
      </w:r>
    </w:p>
    <w:p>
      <w:pPr>
        <w:numPr>
          <w:ilvl w:val="-1"/>
          <w:numId w:val="0"/>
        </w:numPr>
        <w:spacing w:line="360" w:lineRule="auto"/>
        <w:ind w:left="400" w:firstLine="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招标方保留项目运行过程中涉及的所有数据所有权和使用权，未经招标方同意，</w:t>
      </w:r>
    </w:p>
    <w:p>
      <w:pPr>
        <w:numPr>
          <w:ilvl w:val="-1"/>
          <w:numId w:val="0"/>
        </w:numPr>
        <w:spacing w:line="360" w:lineRule="auto"/>
        <w:ind w:firstLine="0"/>
        <w:rPr>
          <w:rFonts w:ascii="仿宋" w:hAnsi="仿宋" w:eastAsia="仿宋" w:cs="仿宋"/>
          <w:sz w:val="24"/>
        </w:rPr>
      </w:pPr>
      <w:r>
        <w:rPr>
          <w:rFonts w:hint="eastAsia" w:ascii="仿宋" w:hAnsi="仿宋" w:eastAsia="仿宋" w:cs="仿宋"/>
          <w:sz w:val="24"/>
        </w:rPr>
        <w:t>中标方不得泄露、使用、复制有关数据；</w:t>
      </w:r>
    </w:p>
    <w:p>
      <w:pPr>
        <w:numPr>
          <w:ilvl w:val="0"/>
          <w:numId w:val="5"/>
        </w:numPr>
        <w:spacing w:line="360" w:lineRule="auto"/>
        <w:ind w:left="400" w:firstLine="0"/>
        <w:rPr>
          <w:rFonts w:hint="eastAsia" w:ascii="仿宋" w:hAnsi="仿宋" w:eastAsia="仿宋" w:cs="仿宋"/>
          <w:sz w:val="24"/>
        </w:rPr>
      </w:pPr>
      <w:r>
        <w:rPr>
          <w:rFonts w:hint="eastAsia" w:ascii="仿宋" w:hAnsi="仿宋" w:eastAsia="仿宋" w:cs="仿宋"/>
          <w:sz w:val="24"/>
        </w:rPr>
        <w:t>A4纸张、硒粉由招标方提供。其他与工作相关的办公设备及耗材由中标方自行</w:t>
      </w:r>
    </w:p>
    <w:p>
      <w:pPr>
        <w:numPr>
          <w:ilvl w:val="-1"/>
          <w:numId w:val="0"/>
        </w:numPr>
        <w:spacing w:line="360" w:lineRule="auto"/>
        <w:ind w:firstLine="0"/>
        <w:rPr>
          <w:rFonts w:hint="eastAsia" w:ascii="仿宋" w:hAnsi="仿宋" w:eastAsia="仿宋" w:cs="仿宋"/>
          <w:sz w:val="24"/>
        </w:rPr>
      </w:pPr>
      <w:r>
        <w:rPr>
          <w:rFonts w:hint="eastAsia" w:ascii="仿宋" w:hAnsi="仿宋" w:eastAsia="仿宋" w:cs="仿宋"/>
          <w:sz w:val="24"/>
        </w:rPr>
        <w:t>解决，包括但不限于开展工作必须的电脑、扫描仪、打印机等相关工作所需要的软硬件设施设备及其维护。</w:t>
      </w:r>
    </w:p>
    <w:p>
      <w:pPr>
        <w:numPr>
          <w:ilvl w:val="-1"/>
          <w:numId w:val="0"/>
        </w:numPr>
        <w:spacing w:line="360" w:lineRule="auto"/>
        <w:ind w:firstLine="0"/>
        <w:rPr>
          <w:rFonts w:hint="default" w:ascii="仿宋" w:hAnsi="仿宋" w:eastAsia="仿宋" w:cs="仿宋"/>
          <w:sz w:val="24"/>
          <w:lang w:val="en-US" w:eastAsia="zh-CN"/>
        </w:rPr>
      </w:pPr>
      <w:r>
        <w:rPr>
          <w:rFonts w:hint="eastAsia" w:ascii="仿宋" w:hAnsi="仿宋" w:eastAsia="仿宋" w:cs="仿宋"/>
          <w:sz w:val="24"/>
          <w:lang w:val="en-US" w:eastAsia="zh-CN"/>
        </w:rPr>
        <w:t xml:space="preserve">    3、由中标单位提供与本项目互联网案件办理相关辅助处理类软件，以便提供辅助处理速度与展示汇总情况。</w:t>
      </w:r>
    </w:p>
    <w:p>
      <w:pPr>
        <w:numPr>
          <w:ilvl w:val="-1"/>
          <w:numId w:val="0"/>
        </w:numPr>
        <w:spacing w:line="360" w:lineRule="auto"/>
        <w:ind w:left="400" w:firstLine="0"/>
        <w:rPr>
          <w:rFonts w:ascii="仿宋" w:hAnsi="仿宋" w:eastAsia="仿宋" w:cs="仿宋"/>
          <w:kern w:val="0"/>
          <w:sz w:val="24"/>
        </w:rPr>
      </w:pPr>
      <w:r>
        <w:rPr>
          <w:rFonts w:hint="eastAsia" w:ascii="仿宋" w:hAnsi="仿宋" w:eastAsia="仿宋" w:cs="仿宋"/>
          <w:sz w:val="24"/>
          <w:lang w:val="en-US" w:eastAsia="zh-CN"/>
        </w:rPr>
        <w:t>4、</w:t>
      </w:r>
      <w:r>
        <w:rPr>
          <w:rFonts w:hint="eastAsia" w:ascii="仿宋" w:hAnsi="仿宋" w:eastAsia="仿宋" w:cs="仿宋"/>
          <w:sz w:val="24"/>
        </w:rPr>
        <w:t>办公场</w:t>
      </w:r>
      <w:r>
        <w:rPr>
          <w:rFonts w:hint="eastAsia" w:ascii="仿宋" w:hAnsi="仿宋" w:eastAsia="仿宋" w:cs="仿宋"/>
          <w:kern w:val="0"/>
          <w:sz w:val="24"/>
        </w:rPr>
        <w:t>地及桌椅由招标方提供。</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rPr>
      </w:pPr>
      <w:r>
        <w:rPr>
          <w:rFonts w:hint="eastAsia" w:ascii="仿宋" w:hAnsi="仿宋" w:eastAsia="仿宋" w:cs="仿宋"/>
          <w:b/>
          <w:color w:val="000000"/>
          <w:sz w:val="24"/>
        </w:rPr>
        <w:t>八、服务期限</w:t>
      </w:r>
    </w:p>
    <w:p>
      <w:pPr>
        <w:spacing w:line="360" w:lineRule="auto"/>
        <w:ind w:right="240" w:firstLine="480"/>
        <w:rPr>
          <w:rFonts w:ascii="仿宋" w:hAnsi="仿宋" w:eastAsia="仿宋" w:cs="仿宋"/>
          <w:color w:val="000000"/>
          <w:sz w:val="24"/>
          <w:highlight w:val="none"/>
        </w:rPr>
      </w:pPr>
      <w:r>
        <w:rPr>
          <w:rFonts w:hint="eastAsia" w:ascii="仿宋" w:hAnsi="仿宋" w:eastAsia="仿宋" w:cs="仿宋"/>
          <w:color w:val="000000"/>
          <w:sz w:val="24"/>
        </w:rPr>
        <w:t>工作期限为</w:t>
      </w:r>
      <w:r>
        <w:rPr>
          <w:rFonts w:hint="eastAsia" w:ascii="仿宋" w:hAnsi="仿宋" w:eastAsia="仿宋" w:cs="仿宋"/>
          <w:color w:val="000000"/>
          <w:sz w:val="24"/>
          <w:highlight w:val="none"/>
        </w:rPr>
        <w:t>365天，计划时间2022年x月x日起至2023年x月x日止。</w:t>
      </w:r>
    </w:p>
    <w:p>
      <w:pPr>
        <w:widowControl/>
        <w:tabs>
          <w:tab w:val="left" w:pos="540"/>
        </w:tabs>
        <w:autoSpaceDE w:val="0"/>
        <w:autoSpaceDN w:val="0"/>
        <w:spacing w:line="360" w:lineRule="auto"/>
        <w:ind w:right="240" w:firstLine="475" w:firstLineChars="197"/>
        <w:textAlignment w:val="bottom"/>
        <w:rPr>
          <w:rFonts w:ascii="仿宋" w:hAnsi="仿宋" w:eastAsia="仿宋" w:cs="仿宋"/>
          <w:b/>
          <w:color w:val="000000"/>
          <w:sz w:val="24"/>
          <w:highlight w:val="none"/>
        </w:rPr>
      </w:pPr>
      <w:r>
        <w:rPr>
          <w:rFonts w:hint="eastAsia" w:ascii="仿宋" w:hAnsi="仿宋" w:eastAsia="仿宋" w:cs="仿宋"/>
          <w:b/>
          <w:color w:val="000000"/>
          <w:sz w:val="24"/>
          <w:highlight w:val="none"/>
        </w:rPr>
        <w:t>九、履约保证金</w:t>
      </w:r>
    </w:p>
    <w:p>
      <w:pPr>
        <w:spacing w:line="360" w:lineRule="auto"/>
        <w:ind w:firstLine="480" w:firstLineChars="200"/>
        <w:rPr>
          <w:rFonts w:ascii="仿宋" w:hAnsi="仿宋" w:eastAsia="仿宋" w:cs="仿宋"/>
          <w:sz w:val="24"/>
          <w:highlight w:val="none"/>
        </w:rPr>
      </w:pPr>
      <w:bookmarkStart w:id="32" w:name="OLE_LINK42"/>
      <w:bookmarkStart w:id="33" w:name="OLE_LINK41"/>
      <w:r>
        <w:rPr>
          <w:rFonts w:hint="eastAsia" w:ascii="仿宋" w:hAnsi="仿宋" w:eastAsia="仿宋" w:cs="仿宋"/>
          <w:sz w:val="24"/>
          <w:highlight w:val="none"/>
        </w:rPr>
        <w:t>1、合同签订后三日内由中标单位支付合同总金额的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%作为履约保证金。项目期满后，服务良好、考核合格、交接验收完毕，履约保证金于项目期满后30个工作日（如有处罚则扣除）归还。</w:t>
      </w:r>
    </w:p>
    <w:bookmarkEnd w:id="32"/>
    <w:bookmarkEnd w:id="33"/>
    <w:p>
      <w:pPr>
        <w:spacing w:line="360" w:lineRule="auto"/>
        <w:ind w:firstLine="480" w:firstLineChars="200"/>
        <w:rPr>
          <w:rFonts w:ascii="仿宋" w:hAnsi="仿宋" w:eastAsia="仿宋" w:cs="仿宋"/>
          <w:sz w:val="24"/>
        </w:rPr>
      </w:pPr>
      <w:r>
        <w:rPr>
          <w:rFonts w:hint="eastAsia" w:ascii="仿宋" w:hAnsi="仿宋" w:eastAsia="仿宋" w:cs="仿宋"/>
          <w:sz w:val="24"/>
        </w:rPr>
        <w:t>2、中标单位如未按时交纳履约保证金，采购人有权解除本合同。</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3、履约保证金</w:t>
      </w:r>
      <w:r>
        <w:rPr>
          <w:rFonts w:hint="eastAsia" w:ascii="仿宋" w:hAnsi="仿宋" w:eastAsia="仿宋" w:cs="仿宋"/>
          <w:color w:val="000000"/>
          <w:sz w:val="24"/>
        </w:rPr>
        <w:t>交纳至甲方指定账户。</w:t>
      </w:r>
    </w:p>
    <w:p>
      <w:pPr>
        <w:spacing w:line="360" w:lineRule="auto"/>
        <w:ind w:right="240" w:firstLine="482"/>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十、结算和支付方式</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若本项目周期实际处理量结算额超出乙方中标总额在5%（含）以内的，不另行申请财政预算；若实际处理量结算额超出乙方中标总额5%以上的，可由甲方向财政申请追加预算，经财政审批同意后可签订项目补充合同，否则不予签订。</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2、采购人分三次支付费用（凭正规发票）：首次支付为合同签订后15天内支付本合同总价的</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0%，第二次支付为2023年xx月xx日前，支付金额为本合同总价的</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0%；第三次支付为项目期满全部完成且经考核合格通过，甲方在三十个工作日内根据项目整体考核指标及已完成工作量进行全部清算。在合同期内发现考核不合格的或出现应</w:t>
      </w:r>
      <w:r>
        <w:rPr>
          <w:rFonts w:hint="eastAsia" w:ascii="仿宋" w:hAnsi="仿宋" w:eastAsia="仿宋" w:cs="仿宋"/>
          <w:sz w:val="24"/>
        </w:rPr>
        <w:t>当终止合同的情形的，合同终止，甲方在合同终止后不再支付合同余款，还有权要求乙方支付合同违约金，违约金的比例为合同结算金额的</w:t>
      </w:r>
      <w:r>
        <w:rPr>
          <w:rFonts w:hint="eastAsia" w:ascii="仿宋" w:hAnsi="仿宋" w:eastAsia="仿宋" w:cs="仿宋"/>
          <w:sz w:val="24"/>
          <w:lang w:val="en-US" w:eastAsia="zh-CN"/>
        </w:rPr>
        <w:t>2</w:t>
      </w:r>
      <w:r>
        <w:rPr>
          <w:rFonts w:hint="eastAsia" w:ascii="仿宋" w:hAnsi="仿宋" w:eastAsia="仿宋" w:cs="仿宋"/>
          <w:sz w:val="24"/>
        </w:rPr>
        <w:t>0%；合同终止后7日内，乙方应将所有相关数据、资料按照甲方要求提供给甲方后，乙方不得擅自留存与甲方业务相关的任何数据，乙方为承担该项目通过开发软件系统留存数据的，应将数据做成结构化数据库形式转交，并提供数据库结构文档，方便甲方对数据检索查询、下载、打印等。</w:t>
      </w:r>
    </w:p>
    <w:p>
      <w:pPr>
        <w:spacing w:line="360" w:lineRule="auto"/>
        <w:ind w:firstLine="480" w:firstLineChars="200"/>
        <w:rPr>
          <w:rFonts w:ascii="仿宋" w:hAnsi="仿宋" w:eastAsia="仿宋" w:cs="仿宋"/>
          <w:sz w:val="24"/>
        </w:rPr>
      </w:pPr>
      <w:r>
        <w:rPr>
          <w:rFonts w:hint="eastAsia" w:ascii="仿宋" w:hAnsi="仿宋" w:eastAsia="仿宋" w:cs="仿宋"/>
          <w:sz w:val="24"/>
        </w:rPr>
        <w:t>3、付款按财政政策执行，因不符合财政资金支付时间要求等原因造成不能及时付款的，甲方不承担责任。</w:t>
      </w:r>
    </w:p>
    <w:p>
      <w:pPr>
        <w:spacing w:line="360" w:lineRule="auto"/>
        <w:ind w:firstLine="480" w:firstLineChars="200"/>
        <w:rPr>
          <w:rFonts w:ascii="仿宋" w:hAnsi="仿宋" w:eastAsia="仿宋" w:cs="仿宋"/>
          <w:sz w:val="24"/>
        </w:rPr>
      </w:pPr>
      <w:r>
        <w:rPr>
          <w:rFonts w:ascii="仿宋" w:hAnsi="仿宋" w:eastAsia="仿宋" w:cs="仿宋"/>
          <w:sz w:val="24"/>
        </w:rPr>
        <w:t>4、202</w:t>
      </w:r>
      <w:r>
        <w:rPr>
          <w:rFonts w:hint="eastAsia" w:ascii="仿宋" w:hAnsi="仿宋" w:eastAsia="仿宋" w:cs="仿宋"/>
          <w:sz w:val="24"/>
        </w:rPr>
        <w:t>2</w:t>
      </w:r>
      <w:r>
        <w:rPr>
          <w:rFonts w:ascii="仿宋" w:hAnsi="仿宋" w:eastAsia="仿宋" w:cs="仿宋"/>
          <w:sz w:val="24"/>
        </w:rPr>
        <w:t>年度</w:t>
      </w:r>
      <w:r>
        <w:rPr>
          <w:rFonts w:hint="eastAsia" w:ascii="仿宋" w:hAnsi="仿宋" w:eastAsia="仿宋" w:cs="仿宋"/>
          <w:sz w:val="24"/>
        </w:rPr>
        <w:t>项目周期结算清单明细由甲方核定。</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乙方不得以达到或超出结算金额擅自停止服务，也不得降低服务质量或减少人员，否则将直接视为考核不合格。</w:t>
      </w:r>
    </w:p>
    <w:p>
      <w:pPr>
        <w:spacing w:line="360" w:lineRule="auto"/>
        <w:ind w:right="240" w:firstLine="482"/>
        <w:jc w:val="left"/>
        <w:rPr>
          <w:rFonts w:ascii="仿宋" w:hAnsi="仿宋" w:eastAsia="仿宋" w:cs="仿宋"/>
          <w:b/>
          <w:bCs/>
          <w:sz w:val="24"/>
        </w:rPr>
      </w:pPr>
      <w:r>
        <w:rPr>
          <w:rFonts w:hint="eastAsia" w:ascii="仿宋" w:hAnsi="仿宋" w:eastAsia="仿宋" w:cs="仿宋"/>
          <w:b/>
          <w:bCs/>
          <w:sz w:val="24"/>
        </w:rPr>
        <w:t>十一、其他说明</w:t>
      </w:r>
    </w:p>
    <w:p>
      <w:pPr>
        <w:spacing w:line="360" w:lineRule="auto"/>
        <w:ind w:right="238" w:firstLine="482"/>
        <w:rPr>
          <w:rFonts w:hint="eastAsia" w:ascii="仿宋" w:hAnsi="仿宋" w:eastAsia="仿宋" w:cs="仿宋"/>
          <w:sz w:val="24"/>
          <w:lang w:eastAsia="zh-CN"/>
        </w:rPr>
      </w:pPr>
      <w:r>
        <w:rPr>
          <w:rFonts w:hint="eastAsia" w:ascii="仿宋" w:hAnsi="仿宋" w:eastAsia="仿宋" w:cs="仿宋"/>
          <w:sz w:val="24"/>
        </w:rPr>
        <w:t>1、其他未明事项按采购人要求和合同条款内容执行。</w:t>
      </w:r>
      <w:r>
        <w:rPr>
          <w:rFonts w:hint="eastAsia" w:ascii="仿宋" w:hAnsi="仿宋" w:eastAsia="仿宋" w:cs="仿宋"/>
          <w:sz w:val="24"/>
          <w:lang w:eastAsia="zh-CN"/>
        </w:rPr>
        <w:t>上述乙方为中标单位，甲方为采购单位或业主即直接管理方。</w:t>
      </w:r>
    </w:p>
    <w:p>
      <w:pPr>
        <w:pStyle w:val="4"/>
        <w:spacing w:line="360" w:lineRule="auto"/>
        <w:ind w:right="240" w:firstLine="480"/>
        <w:rPr>
          <w:rFonts w:hint="eastAsia" w:ascii="仿宋" w:hAnsi="仿宋" w:eastAsia="仿宋" w:cs="仿宋"/>
          <w:sz w:val="24"/>
          <w:lang w:val="en-US" w:eastAsia="zh-CN"/>
        </w:rPr>
      </w:pPr>
      <w:r>
        <w:rPr>
          <w:rFonts w:hint="eastAsia" w:ascii="仿宋" w:hAnsi="仿宋" w:eastAsia="仿宋" w:cs="仿宋"/>
          <w:sz w:val="24"/>
          <w:lang w:val="en-US" w:eastAsia="zh-CN"/>
        </w:rPr>
        <w:t>2、本项目根据投标综合单价进行报价，结算时根据投标单价结合实际完成数量进行计算。投标综合单价限价分别为：</w:t>
      </w:r>
    </w:p>
    <w:tbl>
      <w:tblPr>
        <w:tblStyle w:val="66"/>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558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0" w:type="dxa"/>
            <w:vAlign w:val="center"/>
          </w:tcPr>
          <w:p>
            <w:pPr>
              <w:pStyle w:val="26"/>
              <w:spacing w:line="360" w:lineRule="auto"/>
              <w:ind w:firstLine="0" w:firstLineChars="0"/>
              <w:jc w:val="center"/>
              <w:rPr>
                <w:rFonts w:ascii="仿宋" w:hAnsi="仿宋" w:eastAsia="仿宋" w:cs="仿宋"/>
                <w:b/>
                <w:bCs/>
              </w:rPr>
            </w:pPr>
            <w:r>
              <w:rPr>
                <w:rFonts w:hint="eastAsia" w:ascii="仿宋" w:hAnsi="仿宋" w:eastAsia="仿宋" w:cs="仿宋"/>
                <w:b/>
                <w:bCs/>
              </w:rPr>
              <w:t>序号</w:t>
            </w:r>
          </w:p>
        </w:tc>
        <w:tc>
          <w:tcPr>
            <w:tcW w:w="5580" w:type="dxa"/>
            <w:vAlign w:val="center"/>
          </w:tcPr>
          <w:p>
            <w:pPr>
              <w:pStyle w:val="26"/>
              <w:spacing w:line="360" w:lineRule="auto"/>
              <w:ind w:firstLine="0" w:firstLineChars="0"/>
              <w:jc w:val="center"/>
              <w:rPr>
                <w:rFonts w:ascii="仿宋" w:hAnsi="仿宋" w:eastAsia="仿宋" w:cs="仿宋"/>
                <w:b/>
                <w:bCs/>
              </w:rPr>
            </w:pPr>
            <w:r>
              <w:rPr>
                <w:rFonts w:hint="eastAsia" w:ascii="仿宋" w:hAnsi="仿宋" w:eastAsia="仿宋" w:cs="仿宋"/>
                <w:b/>
                <w:bCs/>
              </w:rPr>
              <w:t>辅助工作类型</w:t>
            </w:r>
          </w:p>
        </w:tc>
        <w:tc>
          <w:tcPr>
            <w:tcW w:w="2385" w:type="dxa"/>
            <w:vAlign w:val="center"/>
          </w:tcPr>
          <w:p>
            <w:pPr>
              <w:pStyle w:val="26"/>
              <w:spacing w:line="360" w:lineRule="auto"/>
              <w:ind w:firstLine="0" w:firstLineChars="0"/>
              <w:jc w:val="center"/>
              <w:rPr>
                <w:rFonts w:hint="eastAsia" w:ascii="仿宋" w:hAnsi="仿宋" w:eastAsia="仿宋" w:cs="仿宋"/>
                <w:b/>
                <w:bCs/>
                <w:lang w:eastAsia="zh-CN"/>
              </w:rPr>
            </w:pPr>
            <w:r>
              <w:rPr>
                <w:rFonts w:hint="eastAsia" w:ascii="仿宋" w:hAnsi="仿宋" w:eastAsia="仿宋" w:cs="仿宋"/>
                <w:b/>
                <w:bCs/>
                <w:lang w:eastAsia="zh-CN"/>
              </w:rPr>
              <w:t>单件限价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6"/>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1</w:t>
            </w:r>
          </w:p>
        </w:tc>
        <w:tc>
          <w:tcPr>
            <w:tcW w:w="558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lang w:eastAsia="zh-CN"/>
              </w:rPr>
              <w:t>举报线索研判</w:t>
            </w:r>
          </w:p>
        </w:tc>
        <w:tc>
          <w:tcPr>
            <w:tcW w:w="2385" w:type="dxa"/>
            <w:vAlign w:val="center"/>
          </w:tcPr>
          <w:p>
            <w:pPr>
              <w:pStyle w:val="26"/>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lang w:val="en-US" w:eastAsia="zh-CN"/>
              </w:rPr>
              <w:t>2</w:t>
            </w:r>
          </w:p>
        </w:tc>
        <w:tc>
          <w:tcPr>
            <w:tcW w:w="558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lang w:eastAsia="zh-CN"/>
              </w:rPr>
              <w:t>异地联动处理</w:t>
            </w:r>
          </w:p>
        </w:tc>
        <w:tc>
          <w:tcPr>
            <w:tcW w:w="2385" w:type="dxa"/>
            <w:vAlign w:val="center"/>
          </w:tcPr>
          <w:p>
            <w:pPr>
              <w:pStyle w:val="26"/>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lang w:val="en-US" w:eastAsia="zh-CN"/>
              </w:rPr>
              <w:t>3</w:t>
            </w:r>
          </w:p>
        </w:tc>
        <w:tc>
          <w:tcPr>
            <w:tcW w:w="558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lang w:eastAsia="zh-CN"/>
              </w:rPr>
              <w:t>立案调查</w:t>
            </w:r>
          </w:p>
        </w:tc>
        <w:tc>
          <w:tcPr>
            <w:tcW w:w="2385" w:type="dxa"/>
            <w:vAlign w:val="center"/>
          </w:tcPr>
          <w:p>
            <w:pPr>
              <w:pStyle w:val="26"/>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80"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lang w:val="en-US" w:eastAsia="zh-CN"/>
              </w:rPr>
              <w:t>4</w:t>
            </w:r>
          </w:p>
        </w:tc>
        <w:tc>
          <w:tcPr>
            <w:tcW w:w="558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rPr>
              <w:t>不予立案</w:t>
            </w:r>
          </w:p>
        </w:tc>
        <w:tc>
          <w:tcPr>
            <w:tcW w:w="2385" w:type="dxa"/>
            <w:vAlign w:val="center"/>
          </w:tcPr>
          <w:p>
            <w:pPr>
              <w:pStyle w:val="26"/>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0" w:type="dxa"/>
            <w:vAlign w:val="center"/>
          </w:tcPr>
          <w:p>
            <w:pPr>
              <w:pStyle w:val="26"/>
              <w:spacing w:line="360" w:lineRule="auto"/>
              <w:ind w:firstLine="0" w:firstLineChars="0"/>
              <w:jc w:val="center"/>
              <w:rPr>
                <w:rFonts w:ascii="仿宋" w:hAnsi="仿宋" w:eastAsia="仿宋" w:cs="仿宋"/>
              </w:rPr>
            </w:pPr>
            <w:r>
              <w:rPr>
                <w:rFonts w:hint="eastAsia" w:ascii="仿宋" w:hAnsi="仿宋" w:eastAsia="仿宋" w:cs="仿宋"/>
                <w:lang w:val="en-US" w:eastAsia="zh-CN"/>
              </w:rPr>
              <w:t>5</w:t>
            </w:r>
          </w:p>
        </w:tc>
        <w:tc>
          <w:tcPr>
            <w:tcW w:w="558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rPr>
              <w:t>商品处置</w:t>
            </w:r>
          </w:p>
        </w:tc>
        <w:tc>
          <w:tcPr>
            <w:tcW w:w="2385" w:type="dxa"/>
            <w:vAlign w:val="center"/>
          </w:tcPr>
          <w:p>
            <w:pPr>
              <w:pStyle w:val="26"/>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6"/>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6</w:t>
            </w:r>
          </w:p>
        </w:tc>
        <w:tc>
          <w:tcPr>
            <w:tcW w:w="558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rPr>
              <w:t>复议、诉讼答复</w:t>
            </w:r>
          </w:p>
        </w:tc>
        <w:tc>
          <w:tcPr>
            <w:tcW w:w="2385" w:type="dxa"/>
            <w:vAlign w:val="center"/>
          </w:tcPr>
          <w:p>
            <w:pPr>
              <w:pStyle w:val="26"/>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80" w:type="dxa"/>
            <w:vAlign w:val="center"/>
          </w:tcPr>
          <w:p>
            <w:pPr>
              <w:pStyle w:val="26"/>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7</w:t>
            </w:r>
          </w:p>
        </w:tc>
        <w:tc>
          <w:tcPr>
            <w:tcW w:w="5580" w:type="dxa"/>
            <w:vAlign w:val="center"/>
          </w:tcPr>
          <w:p>
            <w:pPr>
              <w:pStyle w:val="26"/>
              <w:spacing w:line="360" w:lineRule="auto"/>
              <w:ind w:firstLine="0" w:firstLineChars="0"/>
              <w:rPr>
                <w:rFonts w:ascii="仿宋" w:hAnsi="仿宋" w:eastAsia="仿宋" w:cs="仿宋"/>
              </w:rPr>
            </w:pPr>
            <w:r>
              <w:rPr>
                <w:rFonts w:hint="eastAsia" w:ascii="仿宋" w:hAnsi="仿宋" w:eastAsia="仿宋" w:cs="仿宋"/>
              </w:rPr>
              <w:t>复议、诉讼调解</w:t>
            </w:r>
          </w:p>
        </w:tc>
        <w:tc>
          <w:tcPr>
            <w:tcW w:w="2385" w:type="dxa"/>
            <w:vAlign w:val="center"/>
          </w:tcPr>
          <w:p>
            <w:pPr>
              <w:pStyle w:val="26"/>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80" w:type="dxa"/>
            <w:vAlign w:val="center"/>
          </w:tcPr>
          <w:p>
            <w:pPr>
              <w:pStyle w:val="26"/>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5580" w:type="dxa"/>
            <w:vAlign w:val="center"/>
          </w:tcPr>
          <w:p>
            <w:pPr>
              <w:pStyle w:val="26"/>
              <w:spacing w:line="360" w:lineRule="auto"/>
              <w:ind w:firstLine="0" w:firstLineChars="0"/>
              <w:rPr>
                <w:rFonts w:hint="eastAsia" w:ascii="仿宋" w:hAnsi="仿宋" w:eastAsia="仿宋" w:cs="仿宋"/>
              </w:rPr>
            </w:pPr>
            <w:r>
              <w:rPr>
                <w:rFonts w:hint="eastAsia" w:ascii="仿宋" w:hAnsi="仿宋" w:eastAsia="仿宋" w:cs="仿宋"/>
                <w:lang w:eastAsia="zh-CN"/>
              </w:rPr>
              <w:t>其他</w:t>
            </w:r>
            <w:r>
              <w:rPr>
                <w:rFonts w:hint="eastAsia" w:ascii="仿宋" w:hAnsi="仿宋" w:eastAsia="仿宋" w:cs="仿宋"/>
              </w:rPr>
              <w:t>交办案件处置</w:t>
            </w:r>
          </w:p>
        </w:tc>
        <w:tc>
          <w:tcPr>
            <w:tcW w:w="2385" w:type="dxa"/>
            <w:vAlign w:val="center"/>
          </w:tcPr>
          <w:p>
            <w:pPr>
              <w:pStyle w:val="26"/>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600元</w:t>
            </w:r>
          </w:p>
        </w:tc>
      </w:tr>
    </w:tbl>
    <w:p>
      <w:pPr>
        <w:spacing w:line="480" w:lineRule="auto"/>
        <w:ind w:firstLine="0" w:firstLineChars="0"/>
        <w:rPr>
          <w:rFonts w:hint="eastAsia" w:ascii="仿宋" w:hAnsi="仿宋" w:eastAsia="仿宋" w:cs="仿宋"/>
          <w:b/>
          <w:bCs/>
          <w:sz w:val="24"/>
          <w:lang w:eastAsia="zh-CN"/>
        </w:rPr>
      </w:pPr>
      <w:r>
        <w:rPr>
          <w:rFonts w:hint="eastAsia" w:ascii="仿宋" w:hAnsi="仿宋" w:eastAsia="仿宋" w:cs="仿宋"/>
          <w:b/>
          <w:bCs/>
          <w:sz w:val="24"/>
          <w:lang w:eastAsia="zh-CN"/>
        </w:rPr>
        <w:t>注：上述服务包括不限于未明列上表已在采购需求中体现的内容，由投标单位综合考量计入上述综合单价中。</w:t>
      </w:r>
    </w:p>
    <w:p>
      <w:pPr>
        <w:pStyle w:val="4"/>
        <w:rPr>
          <w:rFonts w:ascii="仿宋" w:eastAsia="仿宋" w:cs="仿宋"/>
          <w:b/>
          <w:sz w:val="36"/>
          <w:szCs w:val="36"/>
        </w:rPr>
      </w:pPr>
    </w:p>
    <w:p>
      <w:pPr>
        <w:rPr>
          <w:rFonts w:ascii="仿宋" w:hAnsi="仿宋" w:eastAsia="仿宋" w:cs="仿宋"/>
          <w:b/>
          <w:sz w:val="36"/>
          <w:szCs w:val="36"/>
        </w:rPr>
      </w:pPr>
    </w:p>
    <w:p>
      <w:pPr>
        <w:pStyle w:val="4"/>
        <w:rPr>
          <w:rFonts w:ascii="仿宋" w:eastAsia="仿宋" w:cs="仿宋"/>
          <w:b/>
          <w:sz w:val="36"/>
          <w:szCs w:val="36"/>
        </w:rPr>
      </w:pPr>
    </w:p>
    <w:p>
      <w:pPr>
        <w:rPr>
          <w:rFonts w:ascii="仿宋" w:eastAsia="仿宋" w:cs="仿宋"/>
          <w:b/>
          <w:sz w:val="36"/>
          <w:szCs w:val="36"/>
        </w:rPr>
      </w:pPr>
    </w:p>
    <w:p>
      <w:pPr>
        <w:pStyle w:val="4"/>
        <w:rPr>
          <w:rFonts w:ascii="仿宋" w:eastAsia="仿宋" w:cs="仿宋"/>
          <w:b/>
          <w:sz w:val="36"/>
          <w:szCs w:val="36"/>
        </w:rPr>
      </w:pPr>
    </w:p>
    <w:p/>
    <w:p>
      <w:pPr>
        <w:rPr>
          <w:rFonts w:ascii="仿宋" w:hAnsi="仿宋" w:eastAsia="仿宋" w:cs="仿宋"/>
          <w:b/>
          <w:sz w:val="36"/>
          <w:szCs w:val="36"/>
        </w:rPr>
      </w:pPr>
    </w:p>
    <w:p>
      <w:pPr>
        <w:pStyle w:val="15"/>
        <w:rPr>
          <w:rFonts w:ascii="仿宋" w:hAnsi="仿宋" w:eastAsia="仿宋" w:cs="仿宋"/>
          <w:b/>
          <w:sz w:val="36"/>
          <w:szCs w:val="36"/>
        </w:rPr>
      </w:pPr>
    </w:p>
    <w:p>
      <w:pPr>
        <w:rPr>
          <w:rFonts w:ascii="仿宋" w:hAnsi="仿宋" w:eastAsia="仿宋" w:cs="仿宋"/>
          <w:b/>
          <w:sz w:val="36"/>
          <w:szCs w:val="36"/>
        </w:rPr>
      </w:pPr>
    </w:p>
    <w:p>
      <w:pPr>
        <w:pStyle w:val="15"/>
        <w:rPr>
          <w:rFonts w:ascii="仿宋" w:hAnsi="仿宋" w:eastAsia="仿宋" w:cs="仿宋"/>
          <w:b/>
          <w:sz w:val="36"/>
          <w:szCs w:val="36"/>
        </w:rPr>
      </w:pPr>
    </w:p>
    <w:p>
      <w:pPr>
        <w:rPr>
          <w:rFonts w:ascii="仿宋" w:hAnsi="仿宋" w:eastAsia="仿宋" w:cs="仿宋"/>
          <w:b/>
          <w:sz w:val="36"/>
          <w:szCs w:val="36"/>
        </w:rPr>
      </w:pPr>
    </w:p>
    <w:p>
      <w:pPr>
        <w:pStyle w:val="15"/>
        <w:rPr>
          <w:rFonts w:ascii="仿宋" w:hAnsi="仿宋" w:eastAsia="仿宋" w:cs="仿宋"/>
          <w:b/>
          <w:sz w:val="36"/>
          <w:szCs w:val="36"/>
        </w:rPr>
      </w:pPr>
    </w:p>
    <w:p>
      <w:pPr>
        <w:rPr>
          <w:rFonts w:ascii="仿宋" w:hAnsi="仿宋" w:eastAsia="仿宋" w:cs="仿宋"/>
          <w:b/>
          <w:sz w:val="36"/>
          <w:szCs w:val="36"/>
        </w:rPr>
      </w:pPr>
    </w:p>
    <w:p>
      <w:pPr>
        <w:pStyle w:val="15"/>
      </w:pPr>
    </w:p>
    <w:p>
      <w:pPr>
        <w:rPr>
          <w:rFonts w:ascii="仿宋" w:hAnsi="仿宋" w:eastAsia="仿宋" w:cs="仿宋"/>
          <w:b/>
          <w:sz w:val="36"/>
          <w:szCs w:val="36"/>
        </w:rPr>
      </w:pPr>
    </w:p>
    <w:p/>
    <w:p>
      <w:pPr>
        <w:pStyle w:val="4"/>
      </w:pPr>
    </w:p>
    <w:p>
      <w:pPr>
        <w:numPr>
          <w:ilvl w:val="0"/>
          <w:numId w:val="6"/>
        </w:num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  </w:t>
      </w:r>
      <w:bookmarkStart w:id="34" w:name="_Toc184312077"/>
      <w:bookmarkEnd w:id="34"/>
      <w:bookmarkStart w:id="35" w:name="_Toc184310316"/>
      <w:bookmarkEnd w:id="35"/>
      <w:bookmarkStart w:id="36" w:name="_Toc184313266"/>
      <w:bookmarkEnd w:id="36"/>
      <w:bookmarkStart w:id="37" w:name="_Toc184312137"/>
      <w:bookmarkEnd w:id="37"/>
      <w:bookmarkStart w:id="38" w:name="_Toc184314443"/>
      <w:bookmarkEnd w:id="38"/>
      <w:bookmarkStart w:id="39" w:name="_Toc184312100"/>
      <w:bookmarkEnd w:id="39"/>
      <w:bookmarkStart w:id="40" w:name="_Toc184312123"/>
      <w:bookmarkEnd w:id="40"/>
      <w:bookmarkStart w:id="41" w:name="_Toc184314413"/>
      <w:bookmarkEnd w:id="41"/>
      <w:bookmarkStart w:id="42" w:name="_Toc184312113"/>
      <w:bookmarkEnd w:id="42"/>
      <w:bookmarkStart w:id="43" w:name="_Toc184313287"/>
      <w:bookmarkEnd w:id="43"/>
      <w:bookmarkStart w:id="44" w:name="_Toc184310341"/>
      <w:bookmarkEnd w:id="44"/>
      <w:bookmarkStart w:id="45" w:name="_Toc184314474"/>
      <w:bookmarkEnd w:id="45"/>
      <w:bookmarkStart w:id="46" w:name="_Toc184310313"/>
      <w:bookmarkEnd w:id="46"/>
      <w:bookmarkStart w:id="47" w:name="_Toc184312133"/>
      <w:bookmarkEnd w:id="47"/>
      <w:bookmarkStart w:id="48" w:name="_Toc184312074"/>
      <w:bookmarkEnd w:id="48"/>
      <w:bookmarkStart w:id="49" w:name="_Toc184312115"/>
      <w:bookmarkEnd w:id="49"/>
      <w:bookmarkStart w:id="50" w:name="_Toc184314438"/>
      <w:bookmarkEnd w:id="50"/>
      <w:bookmarkStart w:id="51" w:name="_Toc184310304"/>
      <w:bookmarkEnd w:id="51"/>
      <w:bookmarkStart w:id="52" w:name="_Toc184314415"/>
      <w:bookmarkEnd w:id="52"/>
      <w:bookmarkStart w:id="53" w:name="_Toc184313245"/>
      <w:bookmarkEnd w:id="53"/>
      <w:bookmarkStart w:id="54" w:name="_Toc184310332"/>
      <w:bookmarkEnd w:id="54"/>
      <w:bookmarkStart w:id="55" w:name="_Toc184308058"/>
      <w:bookmarkEnd w:id="55"/>
      <w:bookmarkStart w:id="56" w:name="_Toc184312135"/>
      <w:bookmarkEnd w:id="56"/>
      <w:bookmarkStart w:id="57" w:name="_Toc184314427"/>
      <w:bookmarkEnd w:id="57"/>
      <w:bookmarkStart w:id="58" w:name="_Toc184310312"/>
      <w:bookmarkEnd w:id="58"/>
      <w:bookmarkStart w:id="59" w:name="_Toc184313277"/>
      <w:bookmarkEnd w:id="59"/>
      <w:bookmarkStart w:id="60" w:name="_Toc184312092"/>
      <w:bookmarkEnd w:id="60"/>
      <w:bookmarkStart w:id="61" w:name="_Toc184313265"/>
      <w:bookmarkEnd w:id="61"/>
      <w:bookmarkStart w:id="62" w:name="_Toc184308057"/>
      <w:bookmarkEnd w:id="62"/>
      <w:bookmarkStart w:id="63" w:name="_Toc184314434"/>
      <w:bookmarkEnd w:id="63"/>
      <w:bookmarkStart w:id="64" w:name="_Toc184312104"/>
      <w:bookmarkEnd w:id="64"/>
      <w:bookmarkStart w:id="65" w:name="_Toc184312084"/>
      <w:bookmarkEnd w:id="65"/>
      <w:bookmarkStart w:id="66" w:name="_Toc184308048"/>
      <w:bookmarkEnd w:id="66"/>
      <w:bookmarkStart w:id="67" w:name="_Toc184310295"/>
      <w:bookmarkEnd w:id="67"/>
      <w:bookmarkStart w:id="68" w:name="_Toc184310325"/>
      <w:bookmarkEnd w:id="68"/>
      <w:bookmarkStart w:id="69" w:name="_Toc184310273"/>
      <w:bookmarkEnd w:id="69"/>
      <w:bookmarkStart w:id="70" w:name="_Toc184310315"/>
      <w:bookmarkEnd w:id="70"/>
      <w:bookmarkStart w:id="71" w:name="_Toc184312068"/>
      <w:bookmarkEnd w:id="71"/>
      <w:bookmarkStart w:id="72" w:name="_Toc184313246"/>
      <w:bookmarkEnd w:id="72"/>
      <w:bookmarkStart w:id="73" w:name="_Toc184313288"/>
      <w:bookmarkEnd w:id="73"/>
      <w:bookmarkStart w:id="74" w:name="_Toc184310279"/>
      <w:bookmarkEnd w:id="74"/>
      <w:bookmarkStart w:id="75" w:name="_Toc184314411"/>
      <w:bookmarkEnd w:id="75"/>
      <w:bookmarkStart w:id="76" w:name="_Toc184313240"/>
      <w:bookmarkEnd w:id="76"/>
      <w:bookmarkStart w:id="77" w:name="_Toc184313308"/>
      <w:bookmarkEnd w:id="77"/>
      <w:bookmarkStart w:id="78" w:name="_Toc184313260"/>
      <w:bookmarkEnd w:id="78"/>
      <w:bookmarkStart w:id="79" w:name="_Toc184310291"/>
      <w:bookmarkEnd w:id="79"/>
      <w:bookmarkStart w:id="80" w:name="_Toc184314442"/>
      <w:bookmarkEnd w:id="80"/>
      <w:bookmarkStart w:id="81" w:name="_Toc184313255"/>
      <w:bookmarkEnd w:id="81"/>
      <w:bookmarkStart w:id="82" w:name="_Toc184308042"/>
      <w:bookmarkEnd w:id="82"/>
      <w:bookmarkStart w:id="83" w:name="_Toc184312116"/>
      <w:bookmarkEnd w:id="83"/>
      <w:bookmarkStart w:id="84" w:name="_Toc184308095"/>
      <w:bookmarkEnd w:id="84"/>
      <w:bookmarkStart w:id="85" w:name="_Toc184313299"/>
      <w:bookmarkEnd w:id="85"/>
      <w:bookmarkStart w:id="86" w:name="_Toc184310328"/>
      <w:bookmarkEnd w:id="86"/>
      <w:bookmarkStart w:id="87" w:name="_Toc184308082"/>
      <w:bookmarkEnd w:id="87"/>
      <w:bookmarkStart w:id="88" w:name="_Toc184310289"/>
      <w:bookmarkEnd w:id="88"/>
      <w:bookmarkStart w:id="89" w:name="_Toc184308040"/>
      <w:bookmarkEnd w:id="89"/>
      <w:bookmarkStart w:id="90" w:name="_Toc184314441"/>
      <w:bookmarkEnd w:id="90"/>
      <w:bookmarkStart w:id="91" w:name="_Toc184314455"/>
      <w:bookmarkEnd w:id="91"/>
      <w:bookmarkStart w:id="92" w:name="_Toc184314477"/>
      <w:bookmarkEnd w:id="92"/>
      <w:bookmarkStart w:id="93" w:name="_Toc184312086"/>
      <w:bookmarkEnd w:id="93"/>
      <w:bookmarkStart w:id="94" w:name="_Toc184312072"/>
      <w:bookmarkEnd w:id="94"/>
      <w:bookmarkStart w:id="95" w:name="_Toc184308091"/>
      <w:bookmarkEnd w:id="95"/>
      <w:bookmarkStart w:id="96" w:name="_Toc184313271"/>
      <w:bookmarkEnd w:id="96"/>
      <w:bookmarkStart w:id="97" w:name="_Toc184310272"/>
      <w:bookmarkEnd w:id="97"/>
      <w:bookmarkStart w:id="98" w:name="_Toc184312122"/>
      <w:bookmarkEnd w:id="98"/>
      <w:bookmarkStart w:id="99" w:name="_Toc184314456"/>
      <w:bookmarkEnd w:id="99"/>
      <w:bookmarkStart w:id="100" w:name="_Toc184313267"/>
      <w:bookmarkEnd w:id="100"/>
      <w:bookmarkStart w:id="101" w:name="_Toc184312088"/>
      <w:bookmarkEnd w:id="101"/>
      <w:bookmarkStart w:id="102" w:name="_Toc184313290"/>
      <w:bookmarkEnd w:id="102"/>
      <w:bookmarkStart w:id="103" w:name="_Toc184313291"/>
      <w:bookmarkEnd w:id="103"/>
      <w:bookmarkStart w:id="104" w:name="_Toc184310319"/>
      <w:bookmarkEnd w:id="104"/>
      <w:bookmarkStart w:id="105" w:name="_Toc184314432"/>
      <w:bookmarkEnd w:id="105"/>
      <w:bookmarkStart w:id="106" w:name="_Toc184308089"/>
      <w:bookmarkEnd w:id="106"/>
      <w:bookmarkStart w:id="107" w:name="_Toc184313238"/>
      <w:bookmarkEnd w:id="107"/>
      <w:bookmarkStart w:id="108" w:name="_Toc184308108"/>
      <w:bookmarkEnd w:id="108"/>
      <w:bookmarkStart w:id="109" w:name="_Toc184314479"/>
      <w:bookmarkEnd w:id="109"/>
      <w:bookmarkStart w:id="110" w:name="_Toc184308080"/>
      <w:bookmarkEnd w:id="110"/>
      <w:bookmarkStart w:id="111" w:name="_Toc184313259"/>
      <w:bookmarkEnd w:id="111"/>
      <w:bookmarkStart w:id="112" w:name="_Toc184308070"/>
      <w:bookmarkEnd w:id="112"/>
      <w:bookmarkStart w:id="113" w:name="_Toc184313282"/>
      <w:bookmarkEnd w:id="113"/>
      <w:bookmarkStart w:id="114" w:name="_Toc184312067"/>
      <w:bookmarkEnd w:id="114"/>
      <w:bookmarkStart w:id="115" w:name="_Toc184313306"/>
      <w:bookmarkEnd w:id="115"/>
      <w:bookmarkStart w:id="116" w:name="_Toc184308067"/>
      <w:bookmarkEnd w:id="116"/>
      <w:bookmarkStart w:id="117" w:name="_Toc184312106"/>
      <w:bookmarkEnd w:id="117"/>
      <w:bookmarkStart w:id="118" w:name="_Toc184308052"/>
      <w:bookmarkEnd w:id="118"/>
      <w:bookmarkStart w:id="119" w:name="_Toc184313281"/>
      <w:bookmarkEnd w:id="119"/>
      <w:bookmarkStart w:id="120" w:name="_Toc184314475"/>
      <w:bookmarkEnd w:id="120"/>
      <w:bookmarkStart w:id="121" w:name="_Toc184308063"/>
      <w:bookmarkEnd w:id="121"/>
      <w:bookmarkStart w:id="122" w:name="_Toc184308047"/>
      <w:bookmarkEnd w:id="122"/>
      <w:bookmarkStart w:id="123" w:name="_Toc184312083"/>
      <w:bookmarkEnd w:id="123"/>
      <w:bookmarkStart w:id="124" w:name="_Toc184308053"/>
      <w:bookmarkEnd w:id="124"/>
      <w:bookmarkStart w:id="125" w:name="_Toc184310277"/>
      <w:bookmarkEnd w:id="125"/>
      <w:bookmarkStart w:id="126" w:name="_Toc184308105"/>
      <w:bookmarkEnd w:id="126"/>
      <w:bookmarkStart w:id="127" w:name="_Toc184314454"/>
      <w:bookmarkEnd w:id="127"/>
      <w:bookmarkStart w:id="128" w:name="_Toc184314451"/>
      <w:bookmarkEnd w:id="128"/>
      <w:bookmarkStart w:id="129" w:name="_Toc184308044"/>
      <w:bookmarkEnd w:id="129"/>
      <w:bookmarkStart w:id="130" w:name="_Toc184312130"/>
      <w:bookmarkEnd w:id="130"/>
      <w:bookmarkStart w:id="131" w:name="_Toc184308064"/>
      <w:bookmarkEnd w:id="131"/>
      <w:bookmarkStart w:id="132" w:name="_Toc184314448"/>
      <w:bookmarkEnd w:id="132"/>
      <w:bookmarkStart w:id="133" w:name="_Toc184314420"/>
      <w:bookmarkEnd w:id="133"/>
      <w:bookmarkStart w:id="134" w:name="_Toc184310290"/>
      <w:bookmarkEnd w:id="134"/>
      <w:bookmarkStart w:id="135" w:name="_Toc184310336"/>
      <w:bookmarkEnd w:id="135"/>
      <w:bookmarkStart w:id="136" w:name="_Toc184312112"/>
      <w:bookmarkEnd w:id="136"/>
      <w:bookmarkStart w:id="137" w:name="_Toc184310337"/>
      <w:bookmarkEnd w:id="137"/>
      <w:bookmarkStart w:id="138" w:name="_Toc184313296"/>
      <w:bookmarkEnd w:id="138"/>
      <w:bookmarkStart w:id="139" w:name="_Toc184310339"/>
      <w:bookmarkEnd w:id="139"/>
      <w:bookmarkStart w:id="140" w:name="_Toc184312136"/>
      <w:bookmarkEnd w:id="140"/>
      <w:bookmarkStart w:id="141" w:name="_Toc184314471"/>
      <w:bookmarkEnd w:id="141"/>
      <w:bookmarkStart w:id="142" w:name="_Toc184314472"/>
      <w:bookmarkEnd w:id="142"/>
      <w:bookmarkStart w:id="143" w:name="_Toc184312110"/>
      <w:bookmarkEnd w:id="143"/>
      <w:bookmarkStart w:id="144" w:name="_Toc184314424"/>
      <w:bookmarkEnd w:id="144"/>
      <w:bookmarkStart w:id="145" w:name="_Toc184308076"/>
      <w:bookmarkEnd w:id="145"/>
      <w:bookmarkStart w:id="146" w:name="_Toc184308102"/>
      <w:bookmarkEnd w:id="146"/>
      <w:bookmarkStart w:id="147" w:name="_Toc184314447"/>
      <w:bookmarkEnd w:id="147"/>
      <w:bookmarkStart w:id="148" w:name="_Toc184314469"/>
      <w:bookmarkEnd w:id="148"/>
      <w:bookmarkStart w:id="149" w:name="_Toc184312139"/>
      <w:bookmarkEnd w:id="149"/>
      <w:bookmarkStart w:id="150" w:name="_Toc184314473"/>
      <w:bookmarkEnd w:id="150"/>
      <w:bookmarkStart w:id="151" w:name="_Toc184313243"/>
      <w:bookmarkEnd w:id="151"/>
      <w:bookmarkStart w:id="152" w:name="_Toc184310309"/>
      <w:bookmarkEnd w:id="152"/>
      <w:bookmarkStart w:id="153" w:name="_Toc184314465"/>
      <w:bookmarkEnd w:id="153"/>
      <w:bookmarkStart w:id="154" w:name="_Toc184312125"/>
      <w:bookmarkEnd w:id="154"/>
      <w:bookmarkStart w:id="155" w:name="_Toc184308068"/>
      <w:bookmarkEnd w:id="155"/>
      <w:bookmarkStart w:id="156" w:name="_Toc184313257"/>
      <w:bookmarkEnd w:id="156"/>
      <w:bookmarkStart w:id="157" w:name="_Toc184308037"/>
      <w:bookmarkEnd w:id="157"/>
      <w:bookmarkStart w:id="158" w:name="_Toc184308107"/>
      <w:bookmarkEnd w:id="158"/>
      <w:bookmarkStart w:id="159" w:name="_Toc184310338"/>
      <w:bookmarkEnd w:id="159"/>
      <w:bookmarkStart w:id="160" w:name="_Toc184313261"/>
      <w:bookmarkEnd w:id="160"/>
      <w:bookmarkStart w:id="161" w:name="_Toc184310293"/>
      <w:bookmarkEnd w:id="161"/>
      <w:bookmarkStart w:id="162" w:name="_Toc184314446"/>
      <w:bookmarkEnd w:id="162"/>
      <w:bookmarkStart w:id="163" w:name="_Toc184312120"/>
      <w:bookmarkEnd w:id="163"/>
      <w:bookmarkStart w:id="164" w:name="_Toc184308100"/>
      <w:bookmarkEnd w:id="164"/>
      <w:bookmarkStart w:id="165" w:name="_Toc184314478"/>
      <w:bookmarkEnd w:id="165"/>
      <w:bookmarkStart w:id="166" w:name="_Toc184310275"/>
      <w:bookmarkEnd w:id="166"/>
      <w:bookmarkStart w:id="167" w:name="_Toc184310299"/>
      <w:bookmarkEnd w:id="167"/>
      <w:bookmarkStart w:id="168" w:name="_Toc184313276"/>
      <w:bookmarkEnd w:id="168"/>
      <w:bookmarkStart w:id="169" w:name="_Toc184308045"/>
      <w:bookmarkEnd w:id="169"/>
      <w:bookmarkStart w:id="170" w:name="_Toc184313297"/>
      <w:bookmarkEnd w:id="170"/>
      <w:bookmarkStart w:id="171" w:name="_Toc184310297"/>
      <w:bookmarkEnd w:id="171"/>
      <w:bookmarkStart w:id="172" w:name="_Toc184310303"/>
      <w:bookmarkEnd w:id="172"/>
      <w:bookmarkStart w:id="173" w:name="_Toc184308083"/>
      <w:bookmarkEnd w:id="173"/>
      <w:bookmarkStart w:id="174" w:name="_Toc184314464"/>
      <w:bookmarkEnd w:id="174"/>
      <w:bookmarkStart w:id="175" w:name="_Toc184314468"/>
      <w:bookmarkEnd w:id="175"/>
      <w:bookmarkStart w:id="176" w:name="_Toc184313307"/>
      <w:bookmarkEnd w:id="176"/>
      <w:bookmarkStart w:id="177" w:name="_Toc184314452"/>
      <w:bookmarkEnd w:id="177"/>
      <w:bookmarkStart w:id="178" w:name="_Toc184308051"/>
      <w:bookmarkEnd w:id="178"/>
      <w:bookmarkStart w:id="179" w:name="_Toc184312094"/>
      <w:bookmarkEnd w:id="179"/>
      <w:bookmarkStart w:id="180" w:name="_Toc184310324"/>
      <w:bookmarkEnd w:id="180"/>
      <w:bookmarkStart w:id="181" w:name="_Toc184308038"/>
      <w:bookmarkEnd w:id="181"/>
      <w:bookmarkStart w:id="182" w:name="_Toc184310302"/>
      <w:bookmarkEnd w:id="182"/>
      <w:bookmarkStart w:id="183" w:name="_Toc184312089"/>
      <w:bookmarkEnd w:id="183"/>
      <w:bookmarkStart w:id="184" w:name="_Toc184314422"/>
      <w:bookmarkEnd w:id="184"/>
      <w:bookmarkStart w:id="185" w:name="_Toc184312127"/>
      <w:bookmarkEnd w:id="185"/>
      <w:bookmarkStart w:id="186" w:name="_Toc184310292"/>
      <w:bookmarkEnd w:id="186"/>
      <w:bookmarkStart w:id="187" w:name="_Toc184308074"/>
      <w:bookmarkEnd w:id="187"/>
      <w:bookmarkStart w:id="188" w:name="_Toc184313241"/>
      <w:bookmarkEnd w:id="188"/>
      <w:bookmarkStart w:id="189" w:name="_Toc184310278"/>
      <w:bookmarkEnd w:id="189"/>
      <w:bookmarkStart w:id="190" w:name="_Toc184312081"/>
      <w:bookmarkEnd w:id="190"/>
      <w:bookmarkStart w:id="191" w:name="_Toc184308106"/>
      <w:bookmarkEnd w:id="191"/>
      <w:bookmarkStart w:id="192" w:name="_Toc184314423"/>
      <w:bookmarkEnd w:id="192"/>
      <w:bookmarkStart w:id="193" w:name="_Toc184312080"/>
      <w:bookmarkEnd w:id="193"/>
      <w:bookmarkStart w:id="194" w:name="_Toc184312073"/>
      <w:bookmarkEnd w:id="194"/>
      <w:bookmarkStart w:id="195" w:name="_Toc184314410"/>
      <w:bookmarkEnd w:id="195"/>
      <w:bookmarkStart w:id="196" w:name="_Toc184314466"/>
      <w:bookmarkEnd w:id="196"/>
      <w:bookmarkStart w:id="197" w:name="_Toc184310284"/>
      <w:bookmarkEnd w:id="197"/>
      <w:bookmarkStart w:id="198" w:name="_Toc184313249"/>
      <w:bookmarkEnd w:id="198"/>
      <w:bookmarkStart w:id="199" w:name="_Toc184312109"/>
      <w:bookmarkEnd w:id="199"/>
      <w:bookmarkStart w:id="200" w:name="_Toc184312108"/>
      <w:bookmarkEnd w:id="200"/>
      <w:bookmarkStart w:id="201" w:name="_Toc184314437"/>
      <w:bookmarkEnd w:id="201"/>
      <w:bookmarkStart w:id="202" w:name="_Toc184313292"/>
      <w:bookmarkEnd w:id="202"/>
      <w:bookmarkStart w:id="203" w:name="_Toc184310310"/>
      <w:bookmarkEnd w:id="203"/>
      <w:bookmarkStart w:id="204" w:name="_Toc184314453"/>
      <w:bookmarkEnd w:id="204"/>
      <w:bookmarkStart w:id="205" w:name="_Toc184308056"/>
      <w:bookmarkEnd w:id="205"/>
      <w:bookmarkStart w:id="206" w:name="_Toc184308096"/>
      <w:bookmarkEnd w:id="206"/>
      <w:bookmarkStart w:id="207" w:name="_Toc184314476"/>
      <w:bookmarkEnd w:id="207"/>
      <w:bookmarkStart w:id="208" w:name="_Toc184310334"/>
      <w:bookmarkEnd w:id="208"/>
      <w:bookmarkStart w:id="209" w:name="_Toc184313256"/>
      <w:bookmarkEnd w:id="209"/>
      <w:bookmarkStart w:id="210" w:name="_Toc184308036"/>
      <w:bookmarkEnd w:id="210"/>
      <w:bookmarkStart w:id="211" w:name="_Toc184308093"/>
      <w:bookmarkEnd w:id="211"/>
      <w:bookmarkStart w:id="212" w:name="_Toc184314463"/>
      <w:bookmarkEnd w:id="212"/>
      <w:bookmarkStart w:id="213" w:name="_Toc184308094"/>
      <w:bookmarkEnd w:id="213"/>
      <w:bookmarkStart w:id="214" w:name="_Toc184314425"/>
      <w:bookmarkEnd w:id="214"/>
      <w:bookmarkStart w:id="215" w:name="_Toc184314417"/>
      <w:bookmarkEnd w:id="215"/>
      <w:bookmarkStart w:id="216" w:name="_Toc184312070"/>
      <w:bookmarkEnd w:id="216"/>
      <w:bookmarkStart w:id="217" w:name="_Toc184308081"/>
      <w:bookmarkEnd w:id="217"/>
      <w:bookmarkStart w:id="218" w:name="_Toc184313263"/>
      <w:bookmarkEnd w:id="218"/>
      <w:bookmarkStart w:id="219" w:name="_Toc184308075"/>
      <w:bookmarkEnd w:id="219"/>
      <w:bookmarkStart w:id="220" w:name="_Toc184312118"/>
      <w:bookmarkEnd w:id="220"/>
      <w:bookmarkStart w:id="221" w:name="_Toc184308098"/>
      <w:bookmarkEnd w:id="221"/>
      <w:bookmarkStart w:id="222" w:name="_Toc184312121"/>
      <w:bookmarkEnd w:id="222"/>
      <w:bookmarkStart w:id="223" w:name="_Toc184308077"/>
      <w:bookmarkEnd w:id="223"/>
      <w:bookmarkStart w:id="224" w:name="_Toc184310331"/>
      <w:bookmarkEnd w:id="224"/>
      <w:bookmarkStart w:id="225" w:name="_Toc184314445"/>
      <w:bookmarkEnd w:id="225"/>
      <w:bookmarkStart w:id="226" w:name="_Toc184308092"/>
      <w:bookmarkEnd w:id="226"/>
      <w:bookmarkStart w:id="227" w:name="_Toc184314449"/>
      <w:bookmarkEnd w:id="227"/>
      <w:bookmarkStart w:id="228" w:name="_Toc184312090"/>
      <w:bookmarkEnd w:id="228"/>
      <w:bookmarkStart w:id="229" w:name="_Toc184310274"/>
      <w:bookmarkEnd w:id="229"/>
      <w:bookmarkStart w:id="230" w:name="_Toc184313244"/>
      <w:bookmarkEnd w:id="230"/>
      <w:bookmarkStart w:id="231" w:name="_Toc184310326"/>
      <w:bookmarkEnd w:id="231"/>
      <w:bookmarkStart w:id="232" w:name="_Toc184308101"/>
      <w:bookmarkEnd w:id="232"/>
      <w:bookmarkStart w:id="233" w:name="_Toc184313280"/>
      <w:bookmarkEnd w:id="233"/>
      <w:bookmarkStart w:id="234" w:name="_Toc184312099"/>
      <w:bookmarkEnd w:id="234"/>
      <w:bookmarkStart w:id="235" w:name="_Toc184313247"/>
      <w:bookmarkEnd w:id="235"/>
      <w:bookmarkStart w:id="236" w:name="_Toc184310335"/>
      <w:bookmarkEnd w:id="236"/>
      <w:bookmarkStart w:id="237" w:name="_Toc184313305"/>
      <w:bookmarkEnd w:id="237"/>
      <w:bookmarkStart w:id="238" w:name="_Toc184310306"/>
      <w:bookmarkEnd w:id="238"/>
      <w:bookmarkStart w:id="239" w:name="_Toc184313239"/>
      <w:bookmarkEnd w:id="239"/>
      <w:bookmarkStart w:id="240" w:name="_Toc184314480"/>
      <w:bookmarkEnd w:id="240"/>
      <w:bookmarkStart w:id="241" w:name="_Toc184313269"/>
      <w:bookmarkEnd w:id="241"/>
      <w:bookmarkStart w:id="242" w:name="_Toc184308090"/>
      <w:bookmarkEnd w:id="242"/>
      <w:bookmarkStart w:id="243" w:name="_Toc184312078"/>
      <w:bookmarkEnd w:id="243"/>
      <w:bookmarkStart w:id="244" w:name="_Toc184314419"/>
      <w:bookmarkEnd w:id="244"/>
      <w:bookmarkStart w:id="245" w:name="_Toc184314436"/>
      <w:bookmarkEnd w:id="245"/>
      <w:bookmarkStart w:id="246" w:name="_Toc184310311"/>
      <w:bookmarkEnd w:id="246"/>
      <w:bookmarkStart w:id="247" w:name="_Toc184308039"/>
      <w:bookmarkEnd w:id="247"/>
      <w:bookmarkStart w:id="248" w:name="_Toc184314461"/>
      <w:bookmarkEnd w:id="248"/>
      <w:bookmarkStart w:id="249" w:name="_Toc184313310"/>
      <w:bookmarkEnd w:id="249"/>
      <w:bookmarkStart w:id="250" w:name="_Toc184310286"/>
      <w:bookmarkEnd w:id="250"/>
      <w:bookmarkStart w:id="251" w:name="_Toc184308073"/>
      <w:bookmarkEnd w:id="251"/>
      <w:bookmarkStart w:id="252" w:name="_Toc184313275"/>
      <w:bookmarkEnd w:id="252"/>
      <w:bookmarkStart w:id="253" w:name="_Toc184312128"/>
      <w:bookmarkEnd w:id="253"/>
      <w:bookmarkStart w:id="254" w:name="_Toc184312124"/>
      <w:bookmarkEnd w:id="254"/>
      <w:bookmarkStart w:id="255" w:name="_Toc184312095"/>
      <w:bookmarkEnd w:id="255"/>
      <w:bookmarkStart w:id="256" w:name="_Toc184314458"/>
      <w:bookmarkEnd w:id="256"/>
      <w:bookmarkStart w:id="257" w:name="_Toc184310344"/>
      <w:bookmarkEnd w:id="257"/>
      <w:bookmarkStart w:id="258" w:name="_Toc184308072"/>
      <w:bookmarkEnd w:id="258"/>
      <w:bookmarkStart w:id="259" w:name="_Toc184310280"/>
      <w:bookmarkEnd w:id="259"/>
      <w:bookmarkStart w:id="260" w:name="_Toc184308078"/>
      <w:bookmarkEnd w:id="260"/>
      <w:bookmarkStart w:id="261" w:name="_Toc184313289"/>
      <w:bookmarkEnd w:id="261"/>
      <w:bookmarkStart w:id="262" w:name="_Toc184312093"/>
      <w:bookmarkEnd w:id="262"/>
      <w:bookmarkStart w:id="263" w:name="_Toc184310343"/>
      <w:bookmarkEnd w:id="263"/>
      <w:bookmarkStart w:id="264" w:name="_Toc184310317"/>
      <w:bookmarkEnd w:id="264"/>
      <w:bookmarkStart w:id="265" w:name="_Toc184310322"/>
      <w:bookmarkEnd w:id="265"/>
      <w:bookmarkStart w:id="266" w:name="_Toc184312069"/>
      <w:bookmarkEnd w:id="266"/>
      <w:bookmarkStart w:id="267" w:name="_Toc184308059"/>
      <w:bookmarkEnd w:id="267"/>
      <w:bookmarkStart w:id="268" w:name="_Toc184310307"/>
      <w:bookmarkEnd w:id="268"/>
      <w:bookmarkStart w:id="269" w:name="_Toc184314435"/>
      <w:bookmarkEnd w:id="269"/>
      <w:bookmarkStart w:id="270" w:name="_Toc184308104"/>
      <w:bookmarkEnd w:id="270"/>
      <w:bookmarkStart w:id="271" w:name="_Toc184312075"/>
      <w:bookmarkEnd w:id="271"/>
      <w:bookmarkStart w:id="272" w:name="_Toc184312138"/>
      <w:bookmarkEnd w:id="272"/>
      <w:bookmarkStart w:id="273" w:name="_Toc184314460"/>
      <w:bookmarkEnd w:id="273"/>
      <w:bookmarkStart w:id="274" w:name="_Toc184310285"/>
      <w:bookmarkEnd w:id="274"/>
      <w:bookmarkStart w:id="275" w:name="_Toc184310276"/>
      <w:bookmarkEnd w:id="275"/>
      <w:bookmarkStart w:id="276" w:name="_Toc184308085"/>
      <w:bookmarkEnd w:id="276"/>
      <w:bookmarkStart w:id="277" w:name="_Toc184312134"/>
      <w:bookmarkEnd w:id="277"/>
      <w:bookmarkStart w:id="278" w:name="_Toc184314439"/>
      <w:bookmarkEnd w:id="278"/>
      <w:bookmarkStart w:id="279" w:name="_Toc184310296"/>
      <w:bookmarkEnd w:id="279"/>
      <w:bookmarkStart w:id="280" w:name="_Toc184308043"/>
      <w:bookmarkEnd w:id="280"/>
      <w:bookmarkStart w:id="281" w:name="_Toc184313279"/>
      <w:bookmarkEnd w:id="281"/>
      <w:bookmarkStart w:id="282" w:name="_Toc184312117"/>
      <w:bookmarkEnd w:id="282"/>
      <w:bookmarkStart w:id="283" w:name="_Toc184312103"/>
      <w:bookmarkEnd w:id="283"/>
      <w:bookmarkStart w:id="284" w:name="_Toc184310298"/>
      <w:bookmarkEnd w:id="284"/>
      <w:bookmarkStart w:id="285" w:name="_Toc184313272"/>
      <w:bookmarkEnd w:id="285"/>
      <w:bookmarkStart w:id="286" w:name="_Toc184314440"/>
      <w:bookmarkEnd w:id="286"/>
      <w:bookmarkStart w:id="287" w:name="_Toc184314416"/>
      <w:bookmarkEnd w:id="287"/>
      <w:bookmarkStart w:id="288" w:name="_Toc184313252"/>
      <w:bookmarkEnd w:id="288"/>
      <w:bookmarkStart w:id="289" w:name="_Toc184308041"/>
      <w:bookmarkEnd w:id="289"/>
      <w:bookmarkStart w:id="290" w:name="_Toc184314414"/>
      <w:bookmarkEnd w:id="290"/>
      <w:bookmarkStart w:id="291" w:name="_Toc184312098"/>
      <w:bookmarkEnd w:id="291"/>
      <w:bookmarkStart w:id="292" w:name="_Toc184310314"/>
      <w:bookmarkEnd w:id="292"/>
      <w:bookmarkStart w:id="293" w:name="_Toc184314429"/>
      <w:bookmarkEnd w:id="293"/>
      <w:bookmarkStart w:id="294" w:name="_Toc184312085"/>
      <w:bookmarkEnd w:id="294"/>
      <w:bookmarkStart w:id="295" w:name="_Toc184314482"/>
      <w:bookmarkEnd w:id="295"/>
      <w:bookmarkStart w:id="296" w:name="_Toc184314430"/>
      <w:bookmarkEnd w:id="296"/>
      <w:bookmarkStart w:id="297" w:name="_Toc184314470"/>
      <w:bookmarkEnd w:id="297"/>
      <w:bookmarkStart w:id="298" w:name="_Toc184310318"/>
      <w:bookmarkEnd w:id="298"/>
      <w:bookmarkStart w:id="299" w:name="_Toc184313258"/>
      <w:bookmarkEnd w:id="299"/>
      <w:bookmarkStart w:id="300" w:name="_Toc184312101"/>
      <w:bookmarkEnd w:id="300"/>
      <w:bookmarkStart w:id="301" w:name="_Toc184312079"/>
      <w:bookmarkEnd w:id="301"/>
      <w:bookmarkStart w:id="302" w:name="_Toc184312131"/>
      <w:bookmarkEnd w:id="302"/>
      <w:bookmarkStart w:id="303" w:name="_Toc184308055"/>
      <w:bookmarkEnd w:id="303"/>
      <w:bookmarkStart w:id="304" w:name="_Toc184313270"/>
      <w:bookmarkEnd w:id="304"/>
      <w:bookmarkStart w:id="305" w:name="_Toc184313262"/>
      <w:bookmarkEnd w:id="305"/>
      <w:bookmarkStart w:id="306" w:name="_Toc184312071"/>
      <w:bookmarkEnd w:id="306"/>
      <w:bookmarkStart w:id="307" w:name="_Toc184314457"/>
      <w:bookmarkEnd w:id="307"/>
      <w:bookmarkStart w:id="308" w:name="_Toc184310300"/>
      <w:bookmarkEnd w:id="308"/>
      <w:bookmarkStart w:id="309" w:name="_Toc184310320"/>
      <w:bookmarkEnd w:id="309"/>
      <w:bookmarkStart w:id="310" w:name="_Toc184313302"/>
      <w:bookmarkEnd w:id="310"/>
      <w:bookmarkStart w:id="311" w:name="_Toc184312132"/>
      <w:bookmarkEnd w:id="311"/>
      <w:bookmarkStart w:id="312" w:name="_Toc184308060"/>
      <w:bookmarkEnd w:id="312"/>
      <w:bookmarkStart w:id="313" w:name="_Toc184312114"/>
      <w:bookmarkEnd w:id="313"/>
      <w:bookmarkStart w:id="314" w:name="_Toc184313278"/>
      <w:bookmarkEnd w:id="314"/>
      <w:bookmarkStart w:id="315" w:name="_Toc184313268"/>
      <w:bookmarkEnd w:id="315"/>
      <w:bookmarkStart w:id="316" w:name="_Toc184313274"/>
      <w:bookmarkEnd w:id="316"/>
      <w:bookmarkStart w:id="317" w:name="_Toc184308061"/>
      <w:bookmarkEnd w:id="317"/>
      <w:bookmarkStart w:id="318" w:name="_Toc184308062"/>
      <w:bookmarkEnd w:id="318"/>
      <w:bookmarkStart w:id="319" w:name="_Toc184312107"/>
      <w:bookmarkEnd w:id="319"/>
      <w:bookmarkStart w:id="320" w:name="_Toc184310305"/>
      <w:bookmarkEnd w:id="320"/>
      <w:bookmarkStart w:id="321" w:name="_Toc184313284"/>
      <w:bookmarkEnd w:id="321"/>
      <w:bookmarkStart w:id="322" w:name="_Toc184313285"/>
      <w:bookmarkEnd w:id="322"/>
      <w:bookmarkStart w:id="323" w:name="_Toc184308050"/>
      <w:bookmarkEnd w:id="323"/>
      <w:bookmarkStart w:id="324" w:name="_Toc184312129"/>
      <w:bookmarkEnd w:id="324"/>
      <w:bookmarkStart w:id="325" w:name="_Toc184310287"/>
      <w:bookmarkEnd w:id="325"/>
      <w:bookmarkStart w:id="326" w:name="_Toc184314467"/>
      <w:bookmarkEnd w:id="326"/>
      <w:bookmarkStart w:id="327" w:name="_Toc184312082"/>
      <w:bookmarkEnd w:id="327"/>
      <w:bookmarkStart w:id="328" w:name="_Toc184308103"/>
      <w:bookmarkEnd w:id="328"/>
      <w:bookmarkStart w:id="329" w:name="_Toc184314412"/>
      <w:bookmarkEnd w:id="329"/>
      <w:bookmarkStart w:id="330" w:name="_Toc184308097"/>
      <w:bookmarkEnd w:id="330"/>
      <w:bookmarkStart w:id="331" w:name="_Toc184310294"/>
      <w:bookmarkEnd w:id="331"/>
      <w:bookmarkStart w:id="332" w:name="_Toc184310323"/>
      <w:bookmarkEnd w:id="332"/>
      <w:bookmarkStart w:id="333" w:name="_Toc184312076"/>
      <w:bookmarkEnd w:id="333"/>
      <w:bookmarkStart w:id="334" w:name="_Toc184313264"/>
      <w:bookmarkEnd w:id="334"/>
      <w:bookmarkStart w:id="335" w:name="_Toc184308087"/>
      <w:bookmarkEnd w:id="335"/>
      <w:bookmarkStart w:id="336" w:name="_Toc184310321"/>
      <w:bookmarkEnd w:id="336"/>
      <w:bookmarkStart w:id="337" w:name="_Toc184313300"/>
      <w:bookmarkEnd w:id="337"/>
      <w:bookmarkStart w:id="338" w:name="_Toc184310281"/>
      <w:bookmarkEnd w:id="338"/>
      <w:bookmarkStart w:id="339" w:name="_Toc184314444"/>
      <w:bookmarkEnd w:id="339"/>
      <w:bookmarkStart w:id="340" w:name="_Toc184313254"/>
      <w:bookmarkEnd w:id="340"/>
      <w:bookmarkStart w:id="341" w:name="_Toc184310288"/>
      <w:bookmarkEnd w:id="341"/>
      <w:bookmarkStart w:id="342" w:name="_Toc184313309"/>
      <w:bookmarkEnd w:id="342"/>
      <w:bookmarkStart w:id="343" w:name="_Toc184310333"/>
      <w:bookmarkEnd w:id="343"/>
      <w:bookmarkStart w:id="344" w:name="_Toc184308086"/>
      <w:bookmarkEnd w:id="344"/>
      <w:bookmarkStart w:id="345" w:name="_Toc184314421"/>
      <w:bookmarkEnd w:id="345"/>
      <w:bookmarkStart w:id="346" w:name="_Toc184308046"/>
      <w:bookmarkEnd w:id="346"/>
      <w:bookmarkStart w:id="347" w:name="_Toc184310340"/>
      <w:bookmarkEnd w:id="347"/>
      <w:bookmarkStart w:id="348" w:name="_Toc184310283"/>
      <w:bookmarkEnd w:id="348"/>
      <w:bookmarkStart w:id="349" w:name="_Toc184314428"/>
      <w:bookmarkEnd w:id="349"/>
      <w:bookmarkStart w:id="350" w:name="_Toc184308084"/>
      <w:bookmarkEnd w:id="350"/>
      <w:bookmarkStart w:id="351" w:name="_Toc184314433"/>
      <w:bookmarkEnd w:id="351"/>
      <w:bookmarkStart w:id="352" w:name="_Toc184310329"/>
      <w:bookmarkEnd w:id="352"/>
      <w:bookmarkStart w:id="353" w:name="_Toc184313298"/>
      <w:bookmarkEnd w:id="353"/>
      <w:bookmarkStart w:id="354" w:name="_Toc184313293"/>
      <w:bookmarkEnd w:id="354"/>
      <w:bookmarkStart w:id="355" w:name="_Toc184312091"/>
      <w:bookmarkEnd w:id="355"/>
      <w:bookmarkStart w:id="356" w:name="_Toc184312102"/>
      <w:bookmarkEnd w:id="356"/>
      <w:bookmarkStart w:id="357" w:name="_Toc184313283"/>
      <w:bookmarkEnd w:id="357"/>
      <w:bookmarkStart w:id="358" w:name="_Toc184313273"/>
      <w:bookmarkEnd w:id="358"/>
      <w:bookmarkStart w:id="359" w:name="_Toc184314450"/>
      <w:bookmarkEnd w:id="359"/>
      <w:bookmarkStart w:id="360" w:name="_Toc184313286"/>
      <w:bookmarkEnd w:id="360"/>
      <w:bookmarkStart w:id="361" w:name="_Toc184313251"/>
      <w:bookmarkEnd w:id="361"/>
      <w:bookmarkStart w:id="362" w:name="_Toc184313304"/>
      <w:bookmarkEnd w:id="362"/>
      <w:bookmarkStart w:id="363" w:name="_Toc184308054"/>
      <w:bookmarkEnd w:id="363"/>
      <w:bookmarkStart w:id="364" w:name="_Toc184308099"/>
      <w:bookmarkEnd w:id="364"/>
      <w:bookmarkStart w:id="365" w:name="_Toc184314462"/>
      <w:bookmarkEnd w:id="365"/>
      <w:bookmarkStart w:id="366" w:name="_Toc184313295"/>
      <w:bookmarkEnd w:id="366"/>
      <w:bookmarkStart w:id="367" w:name="_Toc184313242"/>
      <w:bookmarkEnd w:id="367"/>
      <w:bookmarkStart w:id="368" w:name="_Toc184308088"/>
      <w:bookmarkEnd w:id="368"/>
      <w:bookmarkStart w:id="369" w:name="_Toc184308079"/>
      <w:bookmarkEnd w:id="369"/>
      <w:bookmarkStart w:id="370" w:name="_Toc184314418"/>
      <w:bookmarkEnd w:id="370"/>
      <w:bookmarkStart w:id="371" w:name="_Toc184313303"/>
      <w:bookmarkEnd w:id="371"/>
      <w:bookmarkStart w:id="372" w:name="_Toc184312126"/>
      <w:bookmarkEnd w:id="372"/>
      <w:bookmarkStart w:id="373" w:name="_Toc184312087"/>
      <w:bookmarkEnd w:id="373"/>
      <w:bookmarkStart w:id="374" w:name="_Toc184310301"/>
      <w:bookmarkEnd w:id="374"/>
      <w:bookmarkStart w:id="375" w:name="_Toc184312111"/>
      <w:bookmarkEnd w:id="375"/>
      <w:bookmarkStart w:id="376" w:name="_Toc184310342"/>
      <w:bookmarkEnd w:id="376"/>
      <w:bookmarkStart w:id="377" w:name="_Toc184312105"/>
      <w:bookmarkEnd w:id="377"/>
      <w:bookmarkStart w:id="378" w:name="_Toc184308071"/>
      <w:bookmarkEnd w:id="378"/>
      <w:bookmarkStart w:id="379" w:name="_Toc184313250"/>
      <w:bookmarkEnd w:id="379"/>
      <w:bookmarkStart w:id="380" w:name="_Toc184314459"/>
      <w:bookmarkEnd w:id="380"/>
      <w:bookmarkStart w:id="381" w:name="_Toc184313294"/>
      <w:bookmarkEnd w:id="381"/>
      <w:bookmarkStart w:id="382" w:name="_Toc184308049"/>
      <w:bookmarkEnd w:id="382"/>
      <w:bookmarkStart w:id="383" w:name="_Toc184313248"/>
      <w:bookmarkEnd w:id="383"/>
      <w:bookmarkStart w:id="384" w:name="_Toc184312097"/>
      <w:bookmarkEnd w:id="384"/>
      <w:bookmarkStart w:id="385" w:name="_Toc184310308"/>
      <w:bookmarkEnd w:id="385"/>
      <w:bookmarkStart w:id="386" w:name="_Toc184308069"/>
      <w:bookmarkEnd w:id="386"/>
      <w:bookmarkStart w:id="387" w:name="_Toc184310282"/>
      <w:bookmarkEnd w:id="387"/>
      <w:bookmarkStart w:id="388" w:name="_Toc184310330"/>
      <w:bookmarkEnd w:id="388"/>
      <w:bookmarkStart w:id="389" w:name="_Toc184314431"/>
      <w:bookmarkEnd w:id="389"/>
      <w:bookmarkStart w:id="390" w:name="_Toc184314426"/>
      <w:bookmarkEnd w:id="390"/>
      <w:bookmarkStart w:id="391" w:name="_Toc184310327"/>
      <w:bookmarkEnd w:id="391"/>
      <w:bookmarkStart w:id="392" w:name="_Toc184312119"/>
      <w:bookmarkEnd w:id="392"/>
      <w:bookmarkStart w:id="393" w:name="_Toc184308066"/>
      <w:bookmarkEnd w:id="393"/>
      <w:bookmarkStart w:id="394" w:name="_Toc184312096"/>
      <w:bookmarkEnd w:id="394"/>
      <w:bookmarkStart w:id="395" w:name="_Toc184314481"/>
      <w:bookmarkEnd w:id="395"/>
      <w:bookmarkStart w:id="396" w:name="_Toc184313301"/>
      <w:bookmarkEnd w:id="396"/>
      <w:bookmarkStart w:id="397" w:name="_Toc184308065"/>
      <w:bookmarkEnd w:id="397"/>
      <w:bookmarkStart w:id="398" w:name="_Toc184313253"/>
      <w:bookmarkEnd w:id="398"/>
      <w:r>
        <w:rPr>
          <w:rFonts w:hint="eastAsia" w:ascii="仿宋" w:hAnsi="仿宋" w:eastAsia="仿宋" w:cs="仿宋"/>
          <w:b/>
          <w:sz w:val="36"/>
          <w:szCs w:val="36"/>
        </w:rPr>
        <w:t>评标办法</w:t>
      </w:r>
    </w:p>
    <w:p>
      <w:pPr>
        <w:numPr>
          <w:ilvl w:val="0"/>
          <w:numId w:val="7"/>
        </w:numPr>
        <w:spacing w:line="360" w:lineRule="auto"/>
        <w:ind w:firstLine="482" w:firstLineChars="200"/>
        <w:rPr>
          <w:rFonts w:hint="eastAsia" w:ascii="宋体" w:hAnsi="宋体" w:eastAsia="宋体" w:cs="宋体"/>
          <w:b/>
          <w:sz w:val="24"/>
        </w:rPr>
      </w:pPr>
      <w:r>
        <w:rPr>
          <w:rFonts w:hint="eastAsia" w:ascii="宋体" w:hAnsi="宋体" w:eastAsia="宋体" w:cs="宋体"/>
          <w:b/>
          <w:sz w:val="24"/>
        </w:rPr>
        <w:t>评标办法前附表</w:t>
      </w:r>
    </w:p>
    <w:p>
      <w:pPr>
        <w:pStyle w:val="91"/>
        <w:keepNext w:val="0"/>
        <w:keepLines w:val="0"/>
        <w:pageBreakBefore w:val="0"/>
        <w:widowControl w:val="0"/>
        <w:kinsoku/>
        <w:wordWrap/>
        <w:overflowPunct/>
        <w:topLinePunct w:val="0"/>
        <w:autoSpaceDE/>
        <w:autoSpaceDN/>
        <w:bidi w:val="0"/>
        <w:adjustRightInd w:val="0"/>
        <w:snapToGrid/>
        <w:spacing w:before="0" w:line="360" w:lineRule="auto"/>
        <w:ind w:firstLine="482"/>
        <w:textAlignment w:val="auto"/>
        <w:rPr>
          <w:rFonts w:hint="eastAsia" w:ascii="仿宋" w:hAnsi="仿宋" w:eastAsia="仿宋" w:cs="仿宋"/>
          <w:color w:val="000000"/>
          <w:sz w:val="24"/>
          <w:szCs w:val="24"/>
        </w:rPr>
      </w:pPr>
      <w:bookmarkStart w:id="399" w:name="_Toc441007124"/>
      <w:bookmarkStart w:id="400" w:name="_Toc4121"/>
      <w:bookmarkStart w:id="401" w:name="_Toc443415649"/>
      <w:r>
        <w:rPr>
          <w:rFonts w:hint="eastAsia" w:ascii="仿宋" w:hAnsi="仿宋" w:eastAsia="仿宋" w:cs="仿宋"/>
          <w:b/>
          <w:color w:val="000000"/>
          <w:sz w:val="24"/>
          <w:szCs w:val="24"/>
        </w:rPr>
        <w:t>本次评标采用综合评分法，总分为100分。</w:t>
      </w:r>
      <w:r>
        <w:rPr>
          <w:rFonts w:hint="eastAsia" w:ascii="仿宋" w:hAnsi="仿宋" w:eastAsia="仿宋" w:cs="仿宋"/>
          <w:color w:val="000000"/>
          <w:sz w:val="24"/>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91"/>
        <w:keepNext w:val="0"/>
        <w:keepLines w:val="0"/>
        <w:pageBreakBefore w:val="0"/>
        <w:widowControl w:val="0"/>
        <w:kinsoku/>
        <w:wordWrap/>
        <w:overflowPunct/>
        <w:topLinePunct w:val="0"/>
        <w:autoSpaceDE/>
        <w:autoSpaceDN/>
        <w:bidi w:val="0"/>
        <w:adjustRightInd w:val="0"/>
        <w:snapToGrid/>
        <w:spacing w:before="0" w:line="360" w:lineRule="auto"/>
        <w:ind w:firstLine="482"/>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各投标人的综合得分为：技术商务得分+投标价格得分之和，总和为100分，其中：投标价格得分</w:t>
      </w:r>
      <w:r>
        <w:rPr>
          <w:rFonts w:hint="eastAsia" w:ascii="仿宋" w:hAnsi="仿宋" w:eastAsia="仿宋" w:cs="仿宋"/>
          <w:b/>
          <w:color w:val="000000"/>
          <w:sz w:val="24"/>
          <w:szCs w:val="24"/>
          <w:lang w:val="en-US" w:eastAsia="zh-CN"/>
        </w:rPr>
        <w:t>10</w:t>
      </w:r>
      <w:r>
        <w:rPr>
          <w:rFonts w:hint="eastAsia" w:ascii="仿宋" w:hAnsi="仿宋" w:eastAsia="仿宋" w:cs="仿宋"/>
          <w:b/>
          <w:color w:val="000000"/>
          <w:sz w:val="24"/>
          <w:szCs w:val="24"/>
        </w:rPr>
        <w:t>分，商务技术得分</w:t>
      </w:r>
      <w:r>
        <w:rPr>
          <w:rFonts w:hint="eastAsia" w:ascii="仿宋" w:hAnsi="仿宋" w:eastAsia="仿宋" w:cs="仿宋"/>
          <w:b/>
          <w:color w:val="000000"/>
          <w:sz w:val="24"/>
          <w:szCs w:val="24"/>
          <w:lang w:val="en-US" w:eastAsia="zh-CN"/>
        </w:rPr>
        <w:t>90</w:t>
      </w:r>
      <w:r>
        <w:rPr>
          <w:rFonts w:hint="eastAsia" w:ascii="仿宋" w:hAnsi="仿宋" w:eastAsia="仿宋" w:cs="仿宋"/>
          <w:b/>
          <w:color w:val="000000"/>
          <w:sz w:val="24"/>
          <w:szCs w:val="24"/>
        </w:rPr>
        <w:t>分。</w:t>
      </w:r>
    </w:p>
    <w:p>
      <w:pPr>
        <w:pStyle w:val="48"/>
        <w:ind w:firstLine="482" w:firstLineChars="200"/>
        <w:rPr>
          <w:rFonts w:hint="eastAsia" w:eastAsia="仿宋"/>
          <w:lang w:eastAsia="zh-CN"/>
        </w:rPr>
      </w:pPr>
      <w:r>
        <w:rPr>
          <w:rFonts w:hint="eastAsia" w:ascii="仿宋" w:hAnsi="仿宋" w:eastAsia="仿宋" w:cs="仿宋"/>
          <w:b/>
          <w:color w:val="000000"/>
          <w:sz w:val="24"/>
          <w:szCs w:val="24"/>
        </w:rPr>
        <w:t>技术商务</w:t>
      </w:r>
      <w:r>
        <w:rPr>
          <w:rFonts w:hint="eastAsia" w:ascii="仿宋" w:hAnsi="仿宋" w:eastAsia="仿宋" w:cs="仿宋"/>
          <w:b/>
          <w:color w:val="000000"/>
          <w:sz w:val="24"/>
          <w:szCs w:val="24"/>
          <w:lang w:eastAsia="zh-CN"/>
        </w:rPr>
        <w:t>评分标准：</w:t>
      </w:r>
    </w:p>
    <w:bookmarkEnd w:id="399"/>
    <w:bookmarkEnd w:id="400"/>
    <w:bookmarkEnd w:id="401"/>
    <w:tbl>
      <w:tblPr>
        <w:tblStyle w:val="66"/>
        <w:tblW w:w="9525"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1232"/>
        <w:gridCol w:w="6417"/>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b/>
                <w:bCs/>
              </w:rPr>
            </w:pPr>
            <w:r>
              <w:rPr>
                <w:rFonts w:hint="eastAsia" w:ascii="宋体" w:hAnsi="宋体" w:eastAsia="宋体" w:cs="宋体"/>
                <w:b/>
                <w:bCs/>
              </w:rPr>
              <w:t>评分内容</w:t>
            </w:r>
          </w:p>
        </w:tc>
        <w:tc>
          <w:tcPr>
            <w:tcW w:w="641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482"/>
              <w:jc w:val="center"/>
              <w:rPr>
                <w:rFonts w:hint="eastAsia" w:ascii="宋体" w:hAnsi="宋体" w:eastAsia="宋体" w:cs="宋体"/>
                <w:b/>
                <w:bCs/>
              </w:rPr>
            </w:pPr>
            <w:r>
              <w:rPr>
                <w:rFonts w:hint="eastAsia" w:ascii="宋体" w:hAnsi="宋体" w:eastAsia="宋体" w:cs="宋体"/>
                <w:b/>
                <w:bCs/>
              </w:rPr>
              <w:t>评分标准</w:t>
            </w:r>
          </w:p>
        </w:tc>
        <w:tc>
          <w:tcPr>
            <w:tcW w:w="1042"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b/>
                <w:bCs/>
              </w:rPr>
            </w:pPr>
            <w:r>
              <w:rPr>
                <w:rFonts w:hint="eastAsia" w:ascii="宋体" w:hAnsi="宋体" w:eastAsia="宋体" w:cs="宋体"/>
                <w:b/>
                <w:bCs/>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eastAsia="zh-CN"/>
              </w:rPr>
              <w:t>服务需求理解</w:t>
            </w:r>
          </w:p>
        </w:tc>
        <w:tc>
          <w:tcPr>
            <w:tcW w:w="641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r>
              <w:rPr>
                <w:rFonts w:hint="eastAsia" w:ascii="宋体" w:hAnsi="宋体" w:eastAsia="宋体" w:cs="宋体"/>
              </w:rPr>
              <w:t>投标人对项目总体服务</w:t>
            </w:r>
            <w:r>
              <w:rPr>
                <w:rFonts w:hint="eastAsia" w:ascii="宋体" w:hAnsi="宋体" w:eastAsia="宋体" w:cs="宋体"/>
                <w:lang w:eastAsia="zh-CN"/>
              </w:rPr>
              <w:t>需求</w:t>
            </w:r>
            <w:r>
              <w:rPr>
                <w:rFonts w:hint="eastAsia" w:ascii="宋体" w:hAnsi="宋体" w:eastAsia="宋体" w:cs="宋体"/>
              </w:rPr>
              <w:t>的理解</w:t>
            </w:r>
            <w:r>
              <w:rPr>
                <w:rFonts w:hint="eastAsia" w:ascii="宋体" w:hAnsi="宋体" w:eastAsia="宋体" w:cs="宋体"/>
                <w:color w:val="000000"/>
                <w:sz w:val="24"/>
                <w:szCs w:val="24"/>
                <w:lang w:eastAsia="zh-CN"/>
              </w:rPr>
              <w:t>符合采购人实际工作要求，</w:t>
            </w:r>
            <w:r>
              <w:rPr>
                <w:rFonts w:hint="eastAsia" w:ascii="宋体" w:hAnsi="宋体" w:eastAsia="宋体" w:cs="宋体"/>
                <w:lang w:eastAsia="zh-CN"/>
              </w:rPr>
              <w:t>服务</w:t>
            </w:r>
            <w:r>
              <w:rPr>
                <w:rFonts w:hint="eastAsia" w:ascii="宋体" w:hAnsi="宋体" w:eastAsia="宋体" w:cs="宋体"/>
              </w:rPr>
              <w:t>技术</w:t>
            </w:r>
            <w:r>
              <w:rPr>
                <w:rFonts w:hint="eastAsia" w:ascii="宋体" w:hAnsi="宋体" w:eastAsia="宋体" w:cs="宋体"/>
                <w:lang w:eastAsia="zh-CN"/>
              </w:rPr>
              <w:t>内容具有针对性，需求理解及服务技术内容</w:t>
            </w:r>
            <w:r>
              <w:rPr>
                <w:rFonts w:hint="eastAsia" w:ascii="宋体" w:hAnsi="宋体" w:eastAsia="宋体" w:cs="宋体"/>
                <w:color w:val="000000"/>
                <w:sz w:val="24"/>
              </w:rPr>
              <w:t>详细、完善、合理，有针对性，得5-4分；较为具体、合理的，得3-</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w:t>
            </w:r>
            <w:r>
              <w:rPr>
                <w:rFonts w:hint="eastAsia" w:ascii="宋体" w:hAnsi="宋体" w:eastAsia="宋体" w:cs="宋体"/>
                <w:color w:val="000000"/>
                <w:sz w:val="24"/>
                <w:lang w:eastAsia="zh-CN"/>
              </w:rPr>
              <w:t>内容</w:t>
            </w:r>
            <w:r>
              <w:rPr>
                <w:rFonts w:hint="eastAsia" w:ascii="宋体" w:hAnsi="宋体" w:eastAsia="宋体" w:cs="宋体"/>
                <w:color w:val="000000"/>
                <w:sz w:val="24"/>
              </w:rPr>
              <w:t>不够具体、不够合理的</w:t>
            </w:r>
            <w:r>
              <w:rPr>
                <w:rFonts w:hint="eastAsia" w:ascii="宋体" w:hAnsi="宋体" w:eastAsia="宋体" w:cs="宋体"/>
                <w:color w:val="000000"/>
                <w:sz w:val="24"/>
                <w:lang w:eastAsia="zh-CN"/>
              </w:rPr>
              <w:t>最多得</w:t>
            </w:r>
            <w:r>
              <w:rPr>
                <w:rFonts w:hint="eastAsia" w:ascii="宋体" w:hAnsi="宋体" w:eastAsia="宋体" w:cs="宋体"/>
                <w:color w:val="000000"/>
                <w:sz w:val="24"/>
                <w:lang w:val="en-US" w:eastAsia="zh-CN"/>
              </w:rPr>
              <w:t>1分，内容无的</w:t>
            </w:r>
            <w:r>
              <w:rPr>
                <w:rFonts w:hint="eastAsia" w:ascii="宋体" w:hAnsi="宋体" w:eastAsia="宋体" w:cs="宋体"/>
                <w:color w:val="000000"/>
                <w:sz w:val="24"/>
              </w:rPr>
              <w:t>不得分。</w:t>
            </w:r>
          </w:p>
        </w:tc>
        <w:tc>
          <w:tcPr>
            <w:tcW w:w="1042"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rPr>
              <w:t>2</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rPr>
            </w:pPr>
            <w:r>
              <w:rPr>
                <w:rFonts w:hint="eastAsia" w:ascii="宋体" w:hAnsi="宋体" w:eastAsia="宋体" w:cs="宋体"/>
              </w:rPr>
              <w:t>服务方案</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lang w:eastAsia="zh-CN"/>
              </w:rPr>
            </w:pPr>
            <w:r>
              <w:rPr>
                <w:rFonts w:hint="eastAsia" w:ascii="宋体" w:hAnsi="宋体" w:eastAsia="宋体" w:cs="宋体"/>
              </w:rPr>
              <w:t>投标人提供能够满足互联网执法办案辅助工作服务外包内容各个环节的业务要求的详细服务方案，根据投标人所提供的投标服务方案进行打分。</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rPr>
              <w:t>1）根据服务方案完全体现核心信息内容，投标方案与需求的吻合程度</w:t>
            </w:r>
            <w:r>
              <w:rPr>
                <w:rFonts w:hint="eastAsia" w:ascii="宋体" w:hAnsi="宋体" w:eastAsia="宋体" w:cs="宋体"/>
                <w:lang w:eastAsia="zh-CN"/>
              </w:rPr>
              <w:t>，方案描述全面、合理的，具有针对性得</w:t>
            </w:r>
            <w:r>
              <w:rPr>
                <w:rFonts w:hint="eastAsia" w:ascii="宋体" w:hAnsi="宋体" w:eastAsia="宋体" w:cs="宋体"/>
                <w:lang w:val="en-US" w:eastAsia="zh-CN"/>
              </w:rPr>
              <w:t>4</w:t>
            </w:r>
            <w:r>
              <w:rPr>
                <w:rFonts w:hint="eastAsia" w:ascii="宋体" w:hAnsi="宋体" w:eastAsia="宋体" w:cs="宋体"/>
                <w:lang w:eastAsia="zh-CN"/>
              </w:rPr>
              <w:t>-5分；描述基本全面、合理的，针对性较弱得1-3分；描述较为简单或存在缺漏得0-1分。</w:t>
            </w:r>
          </w:p>
          <w:p>
            <w:pPr>
              <w:pStyle w:val="26"/>
              <w:spacing w:line="360" w:lineRule="auto"/>
              <w:ind w:firstLine="240" w:firstLineChars="100"/>
              <w:rPr>
                <w:rFonts w:hint="eastAsia" w:ascii="宋体" w:hAnsi="宋体" w:eastAsia="宋体" w:cs="宋体"/>
                <w:lang w:eastAsia="zh-CN"/>
              </w:rPr>
            </w:pPr>
            <w:r>
              <w:rPr>
                <w:rFonts w:hint="eastAsia" w:ascii="宋体" w:hAnsi="宋体" w:eastAsia="宋体" w:cs="宋体"/>
              </w:rPr>
              <w:t>2）根据服务方案的安全严密</w:t>
            </w:r>
            <w:r>
              <w:rPr>
                <w:rFonts w:hint="eastAsia" w:ascii="宋体" w:hAnsi="宋体" w:eastAsia="宋体" w:cs="宋体"/>
                <w:lang w:eastAsia="zh-CN"/>
              </w:rPr>
              <w:t>性</w:t>
            </w:r>
            <w:r>
              <w:rPr>
                <w:rFonts w:hint="eastAsia" w:ascii="宋体" w:hAnsi="宋体" w:eastAsia="宋体" w:cs="宋体"/>
              </w:rPr>
              <w:t>，并具有一定的前瞻性和独到优势，进行打分；</w:t>
            </w:r>
            <w:r>
              <w:rPr>
                <w:rFonts w:hint="eastAsia" w:ascii="宋体" w:hAnsi="宋体" w:eastAsia="宋体" w:cs="宋体"/>
                <w:color w:val="auto"/>
                <w:szCs w:val="24"/>
                <w:highlight w:val="none"/>
                <w:lang w:eastAsia="zh-CN"/>
              </w:rPr>
              <w:t>服务</w:t>
            </w:r>
            <w:r>
              <w:rPr>
                <w:rFonts w:hint="eastAsia" w:ascii="宋体" w:hAnsi="宋体" w:eastAsia="宋体" w:cs="宋体"/>
              </w:rPr>
              <w:t>方</w:t>
            </w:r>
            <w:r>
              <w:rPr>
                <w:rFonts w:hint="eastAsia" w:ascii="宋体" w:hAnsi="宋体" w:eastAsia="宋体" w:cs="宋体"/>
                <w:lang w:eastAsia="zh-CN"/>
              </w:rPr>
              <w:t>案安全严密性高、前瞻性高、独到优势性好的得</w:t>
            </w:r>
            <w:r>
              <w:rPr>
                <w:rFonts w:hint="eastAsia" w:ascii="宋体" w:hAnsi="宋体" w:eastAsia="宋体" w:cs="宋体"/>
                <w:lang w:val="en-US" w:eastAsia="zh-CN"/>
              </w:rPr>
              <w:t>4-5分；</w:t>
            </w:r>
            <w:r>
              <w:rPr>
                <w:rFonts w:hint="eastAsia" w:ascii="宋体" w:hAnsi="宋体" w:eastAsia="宋体" w:cs="宋体"/>
                <w:color w:val="auto"/>
                <w:szCs w:val="24"/>
                <w:highlight w:val="none"/>
                <w:lang w:eastAsia="zh-CN"/>
              </w:rPr>
              <w:t>服务</w:t>
            </w:r>
            <w:r>
              <w:rPr>
                <w:rFonts w:hint="eastAsia" w:ascii="宋体" w:hAnsi="宋体" w:eastAsia="宋体" w:cs="宋体"/>
              </w:rPr>
              <w:t>方</w:t>
            </w:r>
            <w:r>
              <w:rPr>
                <w:rFonts w:hint="eastAsia" w:ascii="宋体" w:hAnsi="宋体" w:eastAsia="宋体" w:cs="宋体"/>
                <w:lang w:eastAsia="zh-CN"/>
              </w:rPr>
              <w:t>案安全严密性一般、前瞻性较好、独到优势性一般的得</w:t>
            </w:r>
            <w:r>
              <w:rPr>
                <w:rFonts w:hint="eastAsia" w:ascii="宋体" w:hAnsi="宋体" w:eastAsia="宋体" w:cs="宋体"/>
                <w:lang w:val="en-US" w:eastAsia="zh-CN"/>
              </w:rPr>
              <w:t>2-3分；</w:t>
            </w:r>
            <w:r>
              <w:rPr>
                <w:rFonts w:hint="eastAsia" w:ascii="宋体" w:hAnsi="宋体" w:eastAsia="宋体" w:cs="宋体"/>
                <w:color w:val="auto"/>
                <w:szCs w:val="24"/>
                <w:highlight w:val="none"/>
                <w:lang w:eastAsia="zh-CN"/>
              </w:rPr>
              <w:t>服务</w:t>
            </w:r>
            <w:r>
              <w:rPr>
                <w:rFonts w:hint="eastAsia" w:ascii="宋体" w:hAnsi="宋体" w:eastAsia="宋体" w:cs="宋体"/>
              </w:rPr>
              <w:t>方</w:t>
            </w:r>
            <w:r>
              <w:rPr>
                <w:rFonts w:hint="eastAsia" w:ascii="宋体" w:hAnsi="宋体" w:eastAsia="宋体" w:cs="宋体"/>
                <w:lang w:eastAsia="zh-CN"/>
              </w:rPr>
              <w:t>案安全严密性、前瞻性、独到优势描述较为简单或存在缺漏得0-1分。</w:t>
            </w:r>
          </w:p>
          <w:p>
            <w:pPr>
              <w:pStyle w:val="26"/>
              <w:spacing w:line="360" w:lineRule="auto"/>
              <w:ind w:firstLine="240" w:firstLineChars="100"/>
              <w:rPr>
                <w:rFonts w:hint="eastAsia" w:ascii="宋体" w:hAnsi="宋体" w:eastAsia="宋体" w:cs="宋体"/>
              </w:rPr>
            </w:pPr>
            <w:r>
              <w:rPr>
                <w:rFonts w:hint="eastAsia" w:ascii="宋体" w:hAnsi="宋体" w:eastAsia="宋体" w:cs="宋体"/>
              </w:rPr>
              <w:t>3）投标人提供对举报</w:t>
            </w:r>
            <w:r>
              <w:rPr>
                <w:rFonts w:hint="eastAsia" w:ascii="宋体" w:hAnsi="宋体" w:eastAsia="宋体" w:cs="宋体"/>
                <w:lang w:eastAsia="zh-CN"/>
              </w:rPr>
              <w:t>研判</w:t>
            </w:r>
            <w:r>
              <w:rPr>
                <w:rFonts w:hint="eastAsia" w:ascii="宋体" w:hAnsi="宋体" w:eastAsia="宋体" w:cs="宋体"/>
              </w:rPr>
              <w:t>、</w:t>
            </w:r>
            <w:r>
              <w:rPr>
                <w:rFonts w:hint="eastAsia" w:ascii="宋体" w:hAnsi="宋体" w:eastAsia="宋体" w:cs="宋体"/>
                <w:lang w:eastAsia="zh-CN"/>
              </w:rPr>
              <w:t>立案查处、不予立案</w:t>
            </w:r>
            <w:r>
              <w:rPr>
                <w:rFonts w:hint="eastAsia" w:ascii="宋体" w:hAnsi="宋体" w:eastAsia="宋体" w:cs="宋体"/>
              </w:rPr>
              <w:t>等各环节工作辅助处理具体服务方案的</w:t>
            </w:r>
            <w:r>
              <w:rPr>
                <w:rFonts w:hint="eastAsia" w:ascii="宋体" w:hAnsi="宋体" w:eastAsia="宋体" w:cs="宋体"/>
                <w:lang w:eastAsia="zh-CN"/>
              </w:rPr>
              <w:t>描述全面、合理的，具有针对性得</w:t>
            </w:r>
            <w:r>
              <w:rPr>
                <w:rFonts w:hint="eastAsia" w:ascii="宋体" w:hAnsi="宋体" w:eastAsia="宋体" w:cs="宋体"/>
                <w:lang w:val="en-US" w:eastAsia="zh-CN"/>
              </w:rPr>
              <w:t>4</w:t>
            </w:r>
            <w:r>
              <w:rPr>
                <w:rFonts w:hint="eastAsia" w:ascii="宋体" w:hAnsi="宋体" w:eastAsia="宋体" w:cs="宋体"/>
                <w:lang w:eastAsia="zh-CN"/>
              </w:rPr>
              <w:t>-5分；描述基本全面、合理的，针对性较弱得1-3分；描述较为简单或存在缺漏得0-1分。</w:t>
            </w:r>
          </w:p>
        </w:tc>
        <w:tc>
          <w:tcPr>
            <w:tcW w:w="1042" w:type="dxa"/>
            <w:vMerge w:val="restart"/>
            <w:tcBorders>
              <w:top w:val="single" w:color="000000" w:sz="4" w:space="0"/>
              <w:left w:val="nil"/>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rPr>
              <w:t>3</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rPr>
            </w:pPr>
            <w:r>
              <w:rPr>
                <w:rFonts w:hint="eastAsia" w:ascii="宋体" w:hAnsi="宋体" w:eastAsia="宋体" w:cs="宋体"/>
              </w:rPr>
              <w:t>内部管理</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对本项目有完善的管理制度、内部考核制度，以及针对本项目由具体服务质量管理考核细则规范性、完整性进行打分</w:t>
            </w:r>
            <w:r>
              <w:rPr>
                <w:rFonts w:hint="eastAsia" w:ascii="宋体" w:hAnsi="宋体" w:eastAsia="宋体" w:cs="宋体"/>
                <w:lang w:eastAsia="zh-CN"/>
              </w:rPr>
              <w:t>，提供的制度规范性强、完整高的得</w:t>
            </w:r>
            <w:r>
              <w:rPr>
                <w:rFonts w:hint="eastAsia" w:ascii="宋体" w:hAnsi="宋体" w:eastAsia="宋体" w:cs="宋体"/>
                <w:lang w:val="en-US" w:eastAsia="zh-CN"/>
              </w:rPr>
              <w:t>4-5分，</w:t>
            </w:r>
            <w:r>
              <w:rPr>
                <w:rFonts w:hint="eastAsia" w:ascii="宋体" w:hAnsi="宋体" w:eastAsia="宋体" w:cs="宋体"/>
                <w:lang w:eastAsia="zh-CN"/>
              </w:rPr>
              <w:t>制度规范性基本可行、基本完整的得</w:t>
            </w:r>
            <w:r>
              <w:rPr>
                <w:rFonts w:hint="eastAsia" w:ascii="宋体" w:hAnsi="宋体" w:eastAsia="宋体" w:cs="宋体"/>
                <w:lang w:val="en-US" w:eastAsia="zh-CN"/>
              </w:rPr>
              <w:t>2-3分；制度</w:t>
            </w:r>
            <w:r>
              <w:rPr>
                <w:rFonts w:hint="eastAsia" w:ascii="宋体" w:hAnsi="宋体" w:eastAsia="宋体" w:cs="宋体"/>
                <w:lang w:eastAsia="zh-CN"/>
              </w:rPr>
              <w:t>描述较为简单或存在缺漏得0-1分。</w:t>
            </w:r>
          </w:p>
          <w:p>
            <w:pPr>
              <w:pStyle w:val="26"/>
              <w:spacing w:line="360" w:lineRule="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根据项目需求，投标单位提供全年、半年、季度等不同形式专业技能培训计划及培训内容，根据培训计划、方案</w:t>
            </w:r>
            <w:r>
              <w:rPr>
                <w:rFonts w:hint="eastAsia" w:ascii="宋体" w:hAnsi="宋体" w:eastAsia="宋体" w:cs="宋体"/>
                <w:bCs/>
                <w:color w:val="auto"/>
                <w:kern w:val="28"/>
                <w:szCs w:val="24"/>
                <w:highlight w:val="none"/>
              </w:rPr>
              <w:t>具体充实、具有针对性，培训场地明确，授课人员具有专业性，培训次数合理科学</w:t>
            </w:r>
            <w:r>
              <w:rPr>
                <w:rFonts w:hint="eastAsia" w:ascii="宋体" w:hAnsi="宋体" w:eastAsia="宋体" w:cs="宋体"/>
                <w:bCs/>
                <w:color w:val="auto"/>
                <w:kern w:val="28"/>
                <w:szCs w:val="24"/>
                <w:highlight w:val="none"/>
                <w:lang w:val="en-US" w:eastAsia="zh-CN"/>
              </w:rPr>
              <w:t>2</w:t>
            </w:r>
            <w:r>
              <w:rPr>
                <w:rFonts w:hint="eastAsia" w:ascii="宋体" w:hAnsi="宋体" w:eastAsia="宋体" w:cs="宋体"/>
                <w:bCs/>
                <w:color w:val="auto"/>
                <w:kern w:val="28"/>
                <w:szCs w:val="24"/>
                <w:highlight w:val="none"/>
              </w:rPr>
              <w:t>-</w:t>
            </w:r>
            <w:r>
              <w:rPr>
                <w:rFonts w:hint="eastAsia" w:ascii="宋体" w:hAnsi="宋体" w:eastAsia="宋体" w:cs="宋体"/>
                <w:bCs/>
                <w:color w:val="auto"/>
                <w:kern w:val="28"/>
                <w:szCs w:val="24"/>
                <w:highlight w:val="none"/>
                <w:lang w:val="en-US" w:eastAsia="zh-CN"/>
              </w:rPr>
              <w:t>3</w:t>
            </w:r>
            <w:r>
              <w:rPr>
                <w:rFonts w:hint="eastAsia" w:ascii="宋体" w:hAnsi="宋体" w:eastAsia="宋体" w:cs="宋体"/>
                <w:bCs/>
                <w:color w:val="auto"/>
                <w:kern w:val="28"/>
                <w:szCs w:val="24"/>
                <w:highlight w:val="none"/>
              </w:rPr>
              <w:t>分；培训内容较为具体充实、较有针对性，培训场地明确，授课人员具有一定的专业性，培训次数基本合理科学</w:t>
            </w:r>
            <w:r>
              <w:rPr>
                <w:rFonts w:hint="eastAsia" w:ascii="宋体" w:hAnsi="宋体" w:eastAsia="宋体" w:cs="宋体"/>
                <w:bCs/>
                <w:color w:val="auto"/>
                <w:kern w:val="28"/>
                <w:szCs w:val="24"/>
                <w:highlight w:val="none"/>
                <w:lang w:val="en-US" w:eastAsia="zh-CN"/>
              </w:rPr>
              <w:t>1-2</w:t>
            </w:r>
            <w:r>
              <w:rPr>
                <w:rFonts w:hint="eastAsia" w:ascii="宋体" w:hAnsi="宋体" w:eastAsia="宋体" w:cs="宋体"/>
                <w:bCs/>
                <w:color w:val="auto"/>
                <w:kern w:val="28"/>
                <w:szCs w:val="24"/>
                <w:highlight w:val="none"/>
              </w:rPr>
              <w:t>分；培训整体内容较为简单或存在缺漏</w:t>
            </w:r>
            <w:r>
              <w:rPr>
                <w:rFonts w:hint="eastAsia" w:ascii="宋体" w:hAnsi="宋体" w:eastAsia="宋体" w:cs="宋体"/>
                <w:bCs/>
                <w:color w:val="auto"/>
                <w:kern w:val="28"/>
                <w:szCs w:val="24"/>
                <w:highlight w:val="none"/>
                <w:lang w:val="en-US" w:eastAsia="zh-CN"/>
              </w:rPr>
              <w:t>0-1</w:t>
            </w:r>
            <w:r>
              <w:rPr>
                <w:rFonts w:hint="eastAsia" w:ascii="宋体" w:hAnsi="宋体" w:eastAsia="宋体" w:cs="宋体"/>
                <w:bCs/>
                <w:color w:val="auto"/>
                <w:kern w:val="28"/>
                <w:szCs w:val="24"/>
                <w:highlight w:val="none"/>
              </w:rPr>
              <w:t>分。</w:t>
            </w:r>
          </w:p>
        </w:tc>
        <w:tc>
          <w:tcPr>
            <w:tcW w:w="1042" w:type="dxa"/>
            <w:vMerge w:val="restart"/>
            <w:tcBorders>
              <w:top w:val="single" w:color="000000" w:sz="4" w:space="0"/>
              <w:left w:val="nil"/>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rPr>
              <w:t>4</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6"/>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rPr>
            </w:pPr>
            <w:r>
              <w:rPr>
                <w:rFonts w:hint="eastAsia" w:ascii="宋体" w:hAnsi="宋体" w:eastAsia="宋体" w:cs="宋体"/>
              </w:rPr>
              <w:t>项目团队要求</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根据投标人拟投入本项目的服务团队专业能力进行打分（0-9分）：</w:t>
            </w:r>
            <w:r>
              <w:rPr>
                <w:rFonts w:hint="eastAsia" w:ascii="宋体" w:hAnsi="宋体" w:eastAsia="宋体" w:cs="宋体"/>
                <w:sz w:val="24"/>
              </w:rPr>
              <w:br w:type="textWrapping"/>
            </w:r>
            <w:r>
              <w:rPr>
                <w:rFonts w:hint="eastAsia" w:ascii="宋体" w:hAnsi="宋体" w:eastAsia="宋体" w:cs="宋体"/>
                <w:sz w:val="24"/>
              </w:rPr>
              <w:t>① 服务团队服务人员不少于</w:t>
            </w:r>
            <w:r>
              <w:rPr>
                <w:rFonts w:hint="eastAsia" w:ascii="宋体" w:hAnsi="宋体" w:eastAsia="宋体" w:cs="宋体"/>
                <w:sz w:val="24"/>
                <w:lang w:val="en-US" w:eastAsia="zh-CN"/>
              </w:rPr>
              <w:t>7</w:t>
            </w:r>
            <w:r>
              <w:rPr>
                <w:rFonts w:hint="eastAsia" w:ascii="宋体" w:hAnsi="宋体" w:eastAsia="宋体" w:cs="宋体"/>
                <w:sz w:val="24"/>
              </w:rPr>
              <w:t>0人;</w:t>
            </w:r>
            <w:r>
              <w:rPr>
                <w:rFonts w:hint="eastAsia" w:ascii="宋体" w:hAnsi="宋体" w:eastAsia="宋体" w:cs="宋体"/>
                <w:sz w:val="24"/>
              </w:rPr>
              <w:br w:type="textWrapping"/>
            </w:r>
            <w:r>
              <w:rPr>
                <w:rFonts w:hint="eastAsia" w:ascii="宋体" w:hAnsi="宋体" w:eastAsia="宋体" w:cs="宋体"/>
                <w:sz w:val="24"/>
              </w:rPr>
              <w:t xml:space="preserve">② </w:t>
            </w:r>
            <w:r>
              <w:rPr>
                <w:rFonts w:hint="eastAsia" w:ascii="宋体" w:hAnsi="宋体" w:eastAsia="宋体" w:cs="宋体"/>
                <w:sz w:val="24"/>
                <w:lang w:eastAsia="zh-CN"/>
              </w:rPr>
              <w:t>驻场人员不少于</w:t>
            </w:r>
            <w:r>
              <w:rPr>
                <w:rFonts w:hint="eastAsia" w:ascii="宋体" w:hAnsi="宋体" w:eastAsia="宋体" w:cs="宋体"/>
                <w:sz w:val="24"/>
                <w:lang w:val="en-US" w:eastAsia="zh-CN"/>
              </w:rPr>
              <w:t>65人；</w:t>
            </w:r>
            <w:r>
              <w:rPr>
                <w:rFonts w:hint="eastAsia" w:ascii="宋体" w:hAnsi="宋体" w:eastAsia="宋体" w:cs="宋体"/>
                <w:sz w:val="24"/>
              </w:rPr>
              <w:br w:type="textWrapping"/>
            </w:r>
            <w:r>
              <w:rPr>
                <w:rFonts w:hint="eastAsia" w:ascii="宋体" w:hAnsi="宋体" w:eastAsia="宋体" w:cs="宋体"/>
                <w:sz w:val="24"/>
              </w:rPr>
              <w:t>③ 其中本科</w:t>
            </w:r>
            <w:r>
              <w:rPr>
                <w:rFonts w:hint="eastAsia" w:ascii="宋体" w:hAnsi="宋体" w:eastAsia="宋体" w:cs="宋体"/>
                <w:sz w:val="24"/>
                <w:lang w:eastAsia="zh-CN"/>
              </w:rPr>
              <w:t>及以上</w:t>
            </w:r>
            <w:r>
              <w:rPr>
                <w:rFonts w:hint="eastAsia" w:ascii="宋体" w:hAnsi="宋体" w:eastAsia="宋体" w:cs="宋体"/>
                <w:sz w:val="24"/>
              </w:rPr>
              <w:t>学历人数不少于</w:t>
            </w:r>
            <w:r>
              <w:rPr>
                <w:rFonts w:hint="eastAsia" w:ascii="宋体" w:hAnsi="宋体" w:eastAsia="宋体" w:cs="宋体"/>
                <w:sz w:val="24"/>
                <w:lang w:val="en-US" w:eastAsia="zh-CN"/>
              </w:rPr>
              <w:t>5</w:t>
            </w:r>
            <w:r>
              <w:rPr>
                <w:rFonts w:hint="eastAsia" w:ascii="宋体" w:hAnsi="宋体" w:eastAsia="宋体" w:cs="宋体"/>
                <w:sz w:val="24"/>
              </w:rPr>
              <w:t>0人;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sz w:val="24"/>
                <w:lang w:eastAsia="zh-CN"/>
              </w:rPr>
            </w:pPr>
            <w:r>
              <w:rPr>
                <w:rFonts w:hint="eastAsia" w:ascii="宋体" w:hAnsi="宋体" w:eastAsia="宋体" w:cs="宋体"/>
                <w:sz w:val="24"/>
              </w:rPr>
              <w:t>上述三个条件，</w:t>
            </w:r>
            <w:r>
              <w:rPr>
                <w:rFonts w:hint="eastAsia" w:ascii="宋体" w:hAnsi="宋体" w:eastAsia="宋体" w:cs="宋体"/>
                <w:sz w:val="24"/>
                <w:lang w:eastAsia="zh-CN"/>
              </w:rPr>
              <w:t>提供承诺书，</w:t>
            </w:r>
            <w:r>
              <w:rPr>
                <w:rFonts w:hint="eastAsia" w:ascii="宋体" w:hAnsi="宋体" w:eastAsia="宋体" w:cs="宋体"/>
                <w:sz w:val="24"/>
              </w:rPr>
              <w:t>每满足一条得3分，不满足不得分。</w:t>
            </w:r>
            <w:r>
              <w:rPr>
                <w:rFonts w:hint="eastAsia" w:ascii="宋体" w:hAnsi="宋体" w:eastAsia="宋体" w:cs="宋体"/>
                <w:sz w:val="24"/>
                <w:lang w:eastAsia="zh-CN"/>
              </w:rPr>
              <w:t>承诺书内容须明确且符合上述内容，否则不得分。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240" w:hanging="240" w:hangingChars="100"/>
              <w:textAlignment w:val="auto"/>
              <w:rPr>
                <w:rFonts w:hint="eastAsia" w:ascii="宋体" w:hAnsi="宋体" w:eastAsia="宋体" w:cs="宋体"/>
                <w:sz w:val="24"/>
              </w:rPr>
            </w:pPr>
            <w:r>
              <w:rPr>
                <w:rFonts w:hint="eastAsia" w:ascii="宋体" w:hAnsi="宋体" w:eastAsia="宋体" w:cs="宋体"/>
                <w:sz w:val="24"/>
              </w:rPr>
              <w:br w:type="textWrapping"/>
            </w:r>
            <w:r>
              <w:rPr>
                <w:rFonts w:hint="eastAsia" w:ascii="宋体" w:hAnsi="宋体" w:eastAsia="宋体" w:cs="宋体"/>
                <w:sz w:val="24"/>
                <w:lang w:val="en-US" w:eastAsia="zh-CN"/>
              </w:rPr>
              <w:t>2</w:t>
            </w:r>
            <w:r>
              <w:rPr>
                <w:rFonts w:hint="eastAsia" w:ascii="宋体" w:hAnsi="宋体" w:eastAsia="宋体" w:cs="宋体"/>
                <w:sz w:val="24"/>
              </w:rPr>
              <w:t>）投标人须提供项目启动后能够</w:t>
            </w:r>
            <w:r>
              <w:rPr>
                <w:rFonts w:hint="eastAsia" w:ascii="宋体" w:hAnsi="宋体" w:eastAsia="宋体" w:cs="宋体"/>
                <w:sz w:val="24"/>
                <w:lang w:val="en-US" w:eastAsia="zh-CN"/>
              </w:rPr>
              <w:t>7天内</w:t>
            </w:r>
            <w:r>
              <w:rPr>
                <w:rFonts w:hint="eastAsia" w:ascii="宋体" w:hAnsi="宋体" w:eastAsia="宋体" w:cs="宋体"/>
                <w:sz w:val="24"/>
              </w:rPr>
              <w:t>立即派驻市场监管局进行项目实施服务承诺书，不提供不得分。（</w:t>
            </w:r>
            <w:r>
              <w:rPr>
                <w:rFonts w:hint="eastAsia" w:ascii="宋体" w:hAnsi="宋体" w:eastAsia="宋体" w:cs="宋体"/>
                <w:sz w:val="24"/>
                <w:lang w:val="en-US" w:eastAsia="zh-CN"/>
              </w:rPr>
              <w:t>2</w:t>
            </w:r>
            <w:r>
              <w:rPr>
                <w:rFonts w:hint="eastAsia" w:ascii="宋体" w:hAnsi="宋体" w:eastAsia="宋体" w:cs="宋体"/>
                <w:sz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sz w:val="24"/>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人员的储备能力：人员储备</w:t>
            </w:r>
            <w:r>
              <w:rPr>
                <w:rFonts w:hint="eastAsia" w:ascii="宋体" w:hAnsi="宋体" w:eastAsia="宋体" w:cs="宋体"/>
                <w:bCs/>
                <w:color w:val="auto"/>
                <w:kern w:val="28"/>
                <w:sz w:val="24"/>
                <w:szCs w:val="24"/>
                <w:highlight w:val="none"/>
                <w:lang w:val="en-US" w:eastAsia="zh-CN"/>
              </w:rPr>
              <w:t>充足、能保障本项目高效率高质量实施得2-3分；</w:t>
            </w:r>
            <w:r>
              <w:rPr>
                <w:rFonts w:hint="eastAsia" w:ascii="宋体" w:hAnsi="宋体" w:eastAsia="宋体" w:cs="宋体"/>
                <w:color w:val="auto"/>
                <w:sz w:val="24"/>
                <w:highlight w:val="none"/>
              </w:rPr>
              <w:t>人员储备</w:t>
            </w:r>
            <w:r>
              <w:rPr>
                <w:rFonts w:hint="eastAsia" w:ascii="宋体" w:hAnsi="宋体" w:eastAsia="宋体" w:cs="宋体"/>
                <w:color w:val="auto"/>
                <w:sz w:val="24"/>
                <w:highlight w:val="none"/>
                <w:lang w:val="en-US" w:eastAsia="zh-CN"/>
              </w:rPr>
              <w:t>基本满足</w:t>
            </w:r>
            <w:r>
              <w:rPr>
                <w:rFonts w:hint="eastAsia" w:ascii="宋体" w:hAnsi="宋体" w:eastAsia="宋体" w:cs="宋体"/>
                <w:bCs/>
                <w:color w:val="auto"/>
                <w:kern w:val="28"/>
                <w:sz w:val="24"/>
                <w:szCs w:val="24"/>
                <w:highlight w:val="none"/>
                <w:lang w:val="en-US" w:eastAsia="zh-CN"/>
              </w:rPr>
              <w:t>、能保障本项目实施得1-2分；</w:t>
            </w:r>
            <w:r>
              <w:rPr>
                <w:rFonts w:hint="eastAsia" w:ascii="宋体" w:hAnsi="宋体" w:eastAsia="宋体" w:cs="宋体"/>
                <w:color w:val="auto"/>
                <w:sz w:val="24"/>
                <w:highlight w:val="none"/>
              </w:rPr>
              <w:t>人员储备</w:t>
            </w:r>
            <w:r>
              <w:rPr>
                <w:rFonts w:hint="eastAsia" w:ascii="宋体" w:hAnsi="宋体" w:eastAsia="宋体" w:cs="宋体"/>
                <w:color w:val="auto"/>
                <w:sz w:val="24"/>
                <w:highlight w:val="none"/>
                <w:lang w:val="en-US" w:eastAsia="zh-CN"/>
              </w:rPr>
              <w:t>不足</w:t>
            </w:r>
            <w:r>
              <w:rPr>
                <w:rFonts w:hint="eastAsia" w:ascii="宋体" w:hAnsi="宋体" w:eastAsia="宋体" w:cs="宋体"/>
                <w:bCs/>
                <w:color w:val="auto"/>
                <w:kern w:val="28"/>
                <w:sz w:val="24"/>
                <w:szCs w:val="24"/>
                <w:highlight w:val="none"/>
                <w:lang w:val="en-US" w:eastAsia="zh-CN"/>
              </w:rPr>
              <w:t>、不能保障本项目实施得0-1分。</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rPr>
              <w:t>5</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rPr>
            </w:pPr>
            <w:r>
              <w:rPr>
                <w:rFonts w:hint="eastAsia" w:ascii="宋体" w:hAnsi="宋体" w:eastAsia="宋体" w:cs="宋体"/>
              </w:rPr>
              <w:t>项目实施安排</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numPr>
                <w:ilvl w:val="0"/>
                <w:numId w:val="0"/>
              </w:numPr>
              <w:adjustRightInd/>
              <w:spacing w:line="360" w:lineRule="auto"/>
              <w:rPr>
                <w:rFonts w:hint="eastAsia" w:ascii="宋体" w:hAnsi="宋体" w:eastAsia="宋体" w:cs="宋体"/>
                <w:sz w:val="24"/>
              </w:rPr>
            </w:pPr>
            <w:r>
              <w:rPr>
                <w:rFonts w:hint="eastAsia" w:ascii="宋体" w:hAnsi="宋体" w:eastAsia="宋体" w:cs="宋体"/>
                <w:sz w:val="24"/>
              </w:rPr>
              <w:t>投标人对本项目的保证进度的</w:t>
            </w:r>
            <w:r>
              <w:rPr>
                <w:rFonts w:hint="eastAsia" w:ascii="宋体" w:hAnsi="宋体" w:eastAsia="宋体" w:cs="宋体"/>
                <w:sz w:val="24"/>
                <w:lang w:eastAsia="zh-CN"/>
              </w:rPr>
              <w:t>前期筹备和</w:t>
            </w:r>
            <w:r>
              <w:rPr>
                <w:rFonts w:hint="eastAsia" w:ascii="宋体" w:hAnsi="宋体" w:eastAsia="宋体" w:cs="宋体"/>
                <w:sz w:val="24"/>
              </w:rPr>
              <w:t>工作实施时间计划安排进行全方位的描述，项目时间节点控制充分满足项目具体情况，并对项目进度计划有详细合理的描述，根据投标人提供的项目组织实施方案打分，内容包括：</w:t>
            </w:r>
            <w:r>
              <w:rPr>
                <w:rFonts w:hint="eastAsia" w:ascii="宋体" w:hAnsi="宋体" w:eastAsia="宋体" w:cs="宋体"/>
                <w:sz w:val="24"/>
              </w:rPr>
              <w:br w:type="textWrapping"/>
            </w:r>
            <w:r>
              <w:rPr>
                <w:rFonts w:hint="eastAsia" w:ascii="宋体" w:hAnsi="宋体" w:eastAsia="宋体" w:cs="宋体"/>
                <w:sz w:val="24"/>
              </w:rPr>
              <w:t>1）项目前期筹备（包括不限于人员、培训等筹备）</w:t>
            </w:r>
            <w:r>
              <w:rPr>
                <w:rFonts w:hint="eastAsia" w:ascii="宋体" w:hAnsi="宋体" w:eastAsia="宋体" w:cs="宋体"/>
                <w:sz w:val="24"/>
                <w:lang w:eastAsia="zh-CN"/>
              </w:rPr>
              <w:t>的合理性和可行性</w:t>
            </w:r>
            <w:r>
              <w:rPr>
                <w:rFonts w:hint="eastAsia" w:ascii="宋体" w:hAnsi="宋体" w:eastAsia="宋体" w:cs="宋体"/>
                <w:sz w:val="24"/>
              </w:rPr>
              <w:t>打分</w:t>
            </w:r>
            <w:r>
              <w:rPr>
                <w:rFonts w:hint="eastAsia" w:ascii="宋体" w:hAnsi="宋体" w:eastAsia="宋体" w:cs="宋体"/>
                <w:sz w:val="24"/>
                <w:lang w:eastAsia="zh-CN"/>
              </w:rPr>
              <w:t>，前期筹备合理可行的得</w:t>
            </w:r>
            <w:r>
              <w:rPr>
                <w:rFonts w:hint="eastAsia" w:ascii="宋体" w:hAnsi="宋体" w:eastAsia="宋体" w:cs="宋体"/>
                <w:sz w:val="24"/>
                <w:lang w:val="en-US" w:eastAsia="zh-CN"/>
              </w:rPr>
              <w:t>2-3分，基本合理可行的得1-2分</w:t>
            </w:r>
            <w:r>
              <w:rPr>
                <w:rFonts w:hint="eastAsia" w:ascii="宋体" w:hAnsi="宋体" w:eastAsia="宋体" w:cs="宋体"/>
                <w:sz w:val="24"/>
              </w:rPr>
              <w:t>；</w:t>
            </w:r>
            <w:r>
              <w:rPr>
                <w:rFonts w:hint="eastAsia" w:ascii="宋体" w:hAnsi="宋体" w:eastAsia="宋体" w:cs="宋体"/>
                <w:sz w:val="24"/>
                <w:lang w:eastAsia="zh-CN"/>
              </w:rPr>
              <w:t>描述较为简单或存在缺漏得0-1分。</w:t>
            </w:r>
            <w:r>
              <w:rPr>
                <w:rFonts w:hint="eastAsia" w:ascii="宋体" w:hAnsi="宋体" w:eastAsia="宋体" w:cs="宋体"/>
                <w:sz w:val="24"/>
              </w:rPr>
              <w:br w:type="textWrapping"/>
            </w:r>
            <w:r>
              <w:rPr>
                <w:rFonts w:hint="eastAsia" w:ascii="宋体" w:hAnsi="宋体" w:eastAsia="宋体" w:cs="宋体"/>
                <w:sz w:val="24"/>
              </w:rPr>
              <w:t>2）保证进度的工作实施计划打分</w:t>
            </w:r>
            <w:r>
              <w:rPr>
                <w:rFonts w:hint="eastAsia" w:ascii="宋体" w:hAnsi="宋体" w:eastAsia="宋体" w:cs="宋体"/>
                <w:sz w:val="24"/>
                <w:lang w:eastAsia="zh-CN"/>
              </w:rPr>
              <w:t>，进度实施计划描述全面、合理的，具有针对性的：</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分；描述基本全面、合理的，针对性较弱的：</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分；描述较为简单或存在缺漏的：0-</w:t>
            </w:r>
            <w:r>
              <w:rPr>
                <w:rFonts w:hint="eastAsia" w:ascii="宋体" w:hAnsi="宋体" w:eastAsia="宋体" w:cs="宋体"/>
                <w:sz w:val="24"/>
                <w:lang w:val="en-US" w:eastAsia="zh-CN"/>
              </w:rPr>
              <w:t>1</w:t>
            </w:r>
            <w:r>
              <w:rPr>
                <w:rFonts w:hint="eastAsia" w:ascii="宋体" w:hAnsi="宋体" w:eastAsia="宋体" w:cs="宋体"/>
                <w:sz w:val="24"/>
                <w:lang w:eastAsia="zh-CN"/>
              </w:rPr>
              <w:t>分。</w:t>
            </w:r>
            <w:r>
              <w:rPr>
                <w:rFonts w:hint="eastAsia" w:ascii="宋体" w:hAnsi="宋体" w:eastAsia="宋体" w:cs="宋体"/>
                <w:sz w:val="24"/>
                <w:lang w:val="en-US" w:eastAsia="zh-CN"/>
              </w:rPr>
              <w:br w:type="textWrapping"/>
            </w:r>
            <w:r>
              <w:rPr>
                <w:rFonts w:hint="eastAsia" w:ascii="宋体" w:hAnsi="宋体" w:eastAsia="宋体" w:cs="宋体"/>
                <w:sz w:val="24"/>
                <w:lang w:val="en-US" w:eastAsia="zh-CN"/>
              </w:rPr>
              <w:t>3）</w:t>
            </w:r>
            <w:r>
              <w:rPr>
                <w:rFonts w:hint="eastAsia" w:ascii="宋体" w:hAnsi="宋体" w:eastAsia="宋体" w:cs="宋体"/>
                <w:sz w:val="24"/>
              </w:rPr>
              <w:t>项目组织实施方案的</w:t>
            </w:r>
            <w:r>
              <w:rPr>
                <w:rFonts w:hint="eastAsia" w:ascii="宋体" w:hAnsi="宋体" w:eastAsia="宋体" w:cs="宋体"/>
                <w:sz w:val="24"/>
                <w:lang w:eastAsia="zh-CN"/>
              </w:rPr>
              <w:t>合理性（</w:t>
            </w:r>
            <w:r>
              <w:rPr>
                <w:rFonts w:hint="eastAsia" w:ascii="宋体" w:hAnsi="宋体" w:eastAsia="宋体" w:cs="宋体"/>
                <w:sz w:val="24"/>
                <w:lang w:val="en-US" w:eastAsia="zh-CN"/>
              </w:rPr>
              <w:t>0-1分）</w:t>
            </w:r>
            <w:r>
              <w:rPr>
                <w:rFonts w:hint="eastAsia" w:ascii="宋体" w:hAnsi="宋体" w:eastAsia="宋体" w:cs="宋体"/>
                <w:sz w:val="24"/>
                <w:lang w:eastAsia="zh-CN"/>
              </w:rPr>
              <w:t>和</w:t>
            </w:r>
            <w:r>
              <w:rPr>
                <w:rFonts w:hint="eastAsia" w:ascii="宋体" w:hAnsi="宋体" w:eastAsia="宋体" w:cs="宋体"/>
                <w:sz w:val="24"/>
              </w:rPr>
              <w:t>可行性</w:t>
            </w:r>
            <w:r>
              <w:rPr>
                <w:rFonts w:hint="eastAsia" w:ascii="宋体" w:hAnsi="宋体" w:eastAsia="宋体" w:cs="宋体"/>
                <w:sz w:val="24"/>
                <w:lang w:eastAsia="zh-CN"/>
              </w:rPr>
              <w:t>（</w:t>
            </w:r>
            <w:r>
              <w:rPr>
                <w:rFonts w:hint="eastAsia" w:ascii="宋体" w:hAnsi="宋体" w:eastAsia="宋体" w:cs="宋体"/>
                <w:sz w:val="24"/>
                <w:lang w:val="en-US" w:eastAsia="zh-CN"/>
              </w:rPr>
              <w:t>0-1分）</w:t>
            </w:r>
            <w:r>
              <w:rPr>
                <w:rFonts w:hint="eastAsia" w:ascii="宋体" w:hAnsi="宋体" w:eastAsia="宋体" w:cs="宋体"/>
                <w:sz w:val="24"/>
              </w:rPr>
              <w:t>打分</w:t>
            </w:r>
            <w:r>
              <w:rPr>
                <w:rFonts w:hint="eastAsia" w:ascii="宋体" w:hAnsi="宋体" w:eastAsia="宋体" w:cs="宋体"/>
                <w:sz w:val="24"/>
                <w:lang w:eastAsia="zh-CN"/>
              </w:rPr>
              <w:t>。</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eastAsia="zh-CN"/>
              </w:rPr>
              <w:t>6</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rPr>
            </w:pPr>
            <w:r>
              <w:rPr>
                <w:rFonts w:hint="eastAsia" w:ascii="宋体" w:hAnsi="宋体" w:eastAsia="宋体" w:cs="宋体"/>
              </w:rPr>
              <w:t>系统演示--（采用钉钉屏幕共享，实现远程在线系统演示），设备、网络、平台等与演示有关的内容均由供应商自行准备。演示顺序以供应商投标文件解密先后顺序为准。演示时间不超过15分钟。</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r>
              <w:rPr>
                <w:rFonts w:hint="eastAsia" w:ascii="宋体" w:hAnsi="宋体" w:eastAsia="宋体" w:cs="宋体"/>
                <w:highlight w:val="none"/>
              </w:rPr>
              <w:t>投标人</w:t>
            </w:r>
            <w:r>
              <w:rPr>
                <w:rFonts w:hint="eastAsia" w:ascii="宋体" w:hAnsi="宋体" w:eastAsia="宋体" w:cs="宋体"/>
                <w:highlight w:val="none"/>
                <w:lang w:eastAsia="zh-CN"/>
              </w:rPr>
              <w:t>对互联网案件办理的全流程进行演示</w:t>
            </w:r>
            <w:r>
              <w:rPr>
                <w:rFonts w:hint="eastAsia" w:ascii="宋体" w:hAnsi="宋体" w:eastAsia="宋体" w:cs="宋体"/>
                <w:highlight w:val="none"/>
              </w:rPr>
              <w:t>。</w:t>
            </w:r>
            <w:r>
              <w:rPr>
                <w:rFonts w:hint="eastAsia" w:ascii="宋体" w:hAnsi="宋体" w:eastAsia="宋体" w:cs="宋体"/>
                <w:highlight w:val="none"/>
              </w:rPr>
              <w:br w:type="textWrapping"/>
            </w:r>
            <w:r>
              <w:rPr>
                <w:rFonts w:hint="eastAsia" w:ascii="宋体" w:hAnsi="宋体" w:eastAsia="宋体" w:cs="宋体"/>
                <w:highlight w:val="none"/>
              </w:rPr>
              <w:t>1）演示案源管理，支持查看平台中的所有案源，</w:t>
            </w:r>
            <w:r>
              <w:rPr>
                <w:rFonts w:hint="eastAsia" w:ascii="宋体" w:hAnsi="宋体" w:eastAsia="宋体" w:cs="宋体"/>
              </w:rPr>
              <w:t>并可以查看案源详情、协查状态、案源状态和核查状态，以及案源的详细信息、流程环节和送达记录。0-2分；</w:t>
            </w:r>
            <w:r>
              <w:rPr>
                <w:rFonts w:hint="eastAsia" w:ascii="宋体" w:hAnsi="宋体" w:eastAsia="宋体" w:cs="宋体"/>
              </w:rPr>
              <w:br w:type="textWrapping"/>
            </w:r>
            <w:r>
              <w:rPr>
                <w:rFonts w:hint="eastAsia" w:ascii="宋体" w:hAnsi="宋体" w:eastAsia="宋体" w:cs="宋体"/>
              </w:rPr>
              <w:t>2）演示已经分配给当前账号和当前帐号申领的案源总览，支持通过待分配、排查中、不受理、核查中、待审核和完结案件状态进行选择筛选查看我的案源及案源详情。0-2分；</w:t>
            </w:r>
            <w:r>
              <w:rPr>
                <w:rFonts w:hint="eastAsia" w:ascii="宋体" w:hAnsi="宋体" w:eastAsia="宋体" w:cs="宋体"/>
              </w:rPr>
              <w:br w:type="textWrapping"/>
            </w:r>
            <w:r>
              <w:rPr>
                <w:rFonts w:hint="eastAsia" w:ascii="宋体" w:hAnsi="宋体" w:eastAsia="宋体" w:cs="宋体"/>
              </w:rPr>
              <w:t>3）演示举报人画像功能，能够查看申请人画像，展示当前申请人为普通消费者或职业投诉者，关联关系、投诉类型、商品类型、复议诉讼、涉及省市和近30天投诉统计数据。0-</w:t>
            </w:r>
            <w:r>
              <w:rPr>
                <w:rFonts w:hint="eastAsia" w:ascii="宋体" w:hAnsi="宋体" w:eastAsia="宋体" w:cs="宋体"/>
                <w:lang w:val="en-US" w:eastAsia="zh-CN"/>
              </w:rPr>
              <w:t>3</w:t>
            </w:r>
            <w:r>
              <w:rPr>
                <w:rFonts w:hint="eastAsia" w:ascii="宋体" w:hAnsi="宋体" w:eastAsia="宋体" w:cs="宋体"/>
              </w:rPr>
              <w:t>分；</w:t>
            </w:r>
          </w:p>
          <w:p>
            <w:pPr>
              <w:pStyle w:val="26"/>
              <w:spacing w:line="360" w:lineRule="auto"/>
              <w:ind w:left="0" w:leftChars="0" w:firstLine="0" w:firstLineChars="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演示待处理案源在线处理操作，支持对案源进行责令改正(不予立案)、不予立案、不予行政处罚、立案(线下)操作，以及选择法律法规、违法行为、涉嫌违法行为、处理结果，选择是否告知举报人（短信）和责令改正通知书等处理操作。</w:t>
            </w:r>
            <w:r>
              <w:rPr>
                <w:rFonts w:hint="eastAsia" w:ascii="宋体" w:hAnsi="宋体" w:eastAsia="宋体" w:cs="宋体"/>
                <w:lang w:val="en-US" w:eastAsia="zh-CN"/>
              </w:rPr>
              <w:t>0-3分；</w:t>
            </w:r>
          </w:p>
          <w:p>
            <w:pPr>
              <w:pStyle w:val="26"/>
              <w:spacing w:line="360" w:lineRule="auto"/>
              <w:ind w:left="0" w:leftChars="0" w:firstLine="0" w:firstLineChars="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演示案件审核管理功能，支持查看需要审核的案件详情，包括处置决定、涉嫌违法行为描述、处理依据和处理结果，并进行在线审核操作，选择同意或不同意审批结果，在线填写审核意见进行确认。0-3分；</w:t>
            </w:r>
          </w:p>
          <w:p>
            <w:pPr>
              <w:pStyle w:val="26"/>
              <w:spacing w:line="360" w:lineRule="auto"/>
              <w:ind w:left="0" w:leftChars="0" w:firstLine="0" w:firstLineChars="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演示案源分析综合展示功能，能够查看当前案源的总体进度数据总览、案源处理结果分布况、案源当事人分类和排名前十的举报人，并可以根据案源受理的时间进行筛选。0-2分；</w:t>
            </w:r>
          </w:p>
          <w:p>
            <w:pPr>
              <w:pStyle w:val="26"/>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eastAsia="宋体" w:cs="宋体"/>
              </w:rPr>
              <w:t>演示工作量统计功能，可结合时间维度统计各办案人员不立案、责令改正、立案、处罚、不处罚、销案、移送数据信息。0-3分；</w:t>
            </w:r>
          </w:p>
          <w:p>
            <w:pPr>
              <w:pStyle w:val="26"/>
              <w:numPr>
                <w:ilvl w:val="0"/>
                <w:numId w:val="0"/>
              </w:numPr>
              <w:spacing w:line="360" w:lineRule="auto"/>
              <w:rPr>
                <w:rFonts w:hint="eastAsia" w:ascii="宋体" w:hAnsi="宋体" w:eastAsia="宋体" w:cs="宋体"/>
              </w:rPr>
            </w:pPr>
            <w:r>
              <w:rPr>
                <w:rFonts w:hint="eastAsia" w:ascii="宋体" w:hAnsi="宋体" w:eastAsia="宋体" w:cs="宋体"/>
                <w:lang w:eastAsia="zh-CN"/>
              </w:rPr>
              <w:t>注：</w:t>
            </w:r>
            <w:r>
              <w:rPr>
                <w:rFonts w:hint="eastAsia" w:ascii="宋体" w:hAnsi="宋体" w:eastAsia="宋体" w:cs="宋体"/>
              </w:rPr>
              <w:t>评审专家从功能完整度、需求满足度、业务流程合理度等方面对演示效果进行综合评定，投标人须提供真实网络环境下的系统功能演示，PPT、视频</w:t>
            </w:r>
            <w:r>
              <w:rPr>
                <w:rFonts w:hint="eastAsia" w:ascii="宋体" w:hAnsi="宋体" w:eastAsia="宋体" w:cs="宋体"/>
                <w:lang w:eastAsia="zh-CN"/>
              </w:rPr>
              <w:t>录制等图片</w:t>
            </w:r>
            <w:r>
              <w:rPr>
                <w:rFonts w:hint="eastAsia" w:ascii="宋体" w:hAnsi="宋体" w:eastAsia="宋体" w:cs="宋体"/>
              </w:rPr>
              <w:t>演示不得分。</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val="en-US" w:eastAsia="zh-CN"/>
              </w:rPr>
              <w:t>18分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eastAsia="zh-CN"/>
              </w:rPr>
              <w:t>7</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rPr>
            </w:pPr>
            <w:r>
              <w:rPr>
                <w:rFonts w:hint="eastAsia" w:ascii="宋体" w:hAnsi="宋体" w:eastAsia="宋体" w:cs="宋体"/>
              </w:rPr>
              <w:t>质量保障措施</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投标人是否对数据安全专门制定制度及安全管理方案，并对此作出实质性承诺，根据承诺内容的</w:t>
            </w:r>
            <w:r>
              <w:rPr>
                <w:rFonts w:hint="eastAsia" w:ascii="宋体" w:hAnsi="宋体" w:eastAsia="宋体" w:cs="宋体"/>
                <w:sz w:val="24"/>
                <w:lang w:eastAsia="zh-CN"/>
              </w:rPr>
              <w:t>规范性</w:t>
            </w:r>
            <w:r>
              <w:rPr>
                <w:rFonts w:hint="eastAsia" w:ascii="宋体" w:hAnsi="宋体" w:eastAsia="宋体" w:cs="宋体"/>
                <w:sz w:val="24"/>
              </w:rPr>
              <w:t>、</w:t>
            </w:r>
            <w:r>
              <w:rPr>
                <w:rFonts w:hint="eastAsia" w:ascii="宋体" w:hAnsi="宋体" w:eastAsia="宋体" w:cs="宋体"/>
                <w:sz w:val="24"/>
                <w:lang w:eastAsia="zh-CN"/>
              </w:rPr>
              <w:t>完整性和</w:t>
            </w:r>
            <w:r>
              <w:rPr>
                <w:rFonts w:hint="eastAsia" w:ascii="宋体" w:hAnsi="宋体" w:eastAsia="宋体" w:cs="宋体"/>
                <w:sz w:val="24"/>
              </w:rPr>
              <w:t>科学性进行打分</w:t>
            </w:r>
            <w:r>
              <w:rPr>
                <w:rFonts w:hint="eastAsia" w:ascii="宋体" w:hAnsi="宋体" w:eastAsia="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sz w:val="24"/>
                <w:szCs w:val="24"/>
                <w:lang w:val="en-US" w:eastAsia="zh-CN"/>
              </w:rPr>
              <w:t>内容</w:t>
            </w:r>
            <w:r>
              <w:rPr>
                <w:rFonts w:hint="eastAsia" w:ascii="宋体" w:hAnsi="宋体" w:eastAsia="宋体" w:cs="宋体"/>
                <w:sz w:val="24"/>
                <w:lang w:eastAsia="zh-CN"/>
              </w:rPr>
              <w:t>规范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全面且</w:t>
            </w:r>
            <w:r>
              <w:rPr>
                <w:rFonts w:hint="eastAsia" w:ascii="宋体" w:hAnsi="宋体" w:eastAsia="宋体" w:cs="宋体"/>
                <w:color w:val="auto"/>
                <w:sz w:val="24"/>
                <w:highlight w:val="none"/>
              </w:rPr>
              <w:t>具有针对性</w:t>
            </w:r>
            <w:r>
              <w:rPr>
                <w:rFonts w:hint="eastAsia" w:ascii="宋体" w:hAnsi="宋体" w:eastAsia="宋体" w:cs="宋体"/>
                <w:color w:val="auto"/>
                <w:sz w:val="24"/>
                <w:highlight w:val="none"/>
                <w:lang w:eastAsia="zh-CN"/>
              </w:rPr>
              <w:t>和科学性的</w:t>
            </w:r>
            <w:r>
              <w:rPr>
                <w:rFonts w:hint="eastAsia" w:ascii="宋体" w:hAnsi="宋体" w:eastAsia="宋体" w:cs="宋体"/>
                <w:bCs/>
                <w:color w:val="auto"/>
                <w:kern w:val="28"/>
                <w:sz w:val="24"/>
                <w:szCs w:val="24"/>
                <w:highlight w:val="none"/>
                <w:lang w:val="en-US" w:eastAsia="zh-CN"/>
              </w:rPr>
              <w:t>得4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基本</w:t>
            </w:r>
            <w:r>
              <w:rPr>
                <w:rFonts w:hint="eastAsia" w:ascii="宋体" w:hAnsi="宋体" w:eastAsia="宋体" w:cs="宋体"/>
                <w:color w:val="auto"/>
                <w:sz w:val="24"/>
                <w:highlight w:val="none"/>
                <w:lang w:eastAsia="zh-CN"/>
              </w:rPr>
              <w:t>规范</w:t>
            </w:r>
            <w:r>
              <w:rPr>
                <w:rFonts w:hint="eastAsia" w:ascii="宋体" w:hAnsi="宋体" w:eastAsia="宋体" w:cs="宋体"/>
                <w:color w:val="auto"/>
                <w:sz w:val="24"/>
                <w:highlight w:val="none"/>
              </w:rPr>
              <w:t>、针对性较弱</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较为简单、存在缺漏</w:t>
            </w:r>
            <w:r>
              <w:rPr>
                <w:rFonts w:hint="eastAsia" w:ascii="宋体" w:hAnsi="宋体" w:eastAsia="宋体" w:cs="宋体"/>
                <w:color w:val="auto"/>
                <w:sz w:val="24"/>
                <w:highlight w:val="none"/>
                <w:lang w:val="en-US" w:eastAsia="zh-CN"/>
              </w:rPr>
              <w:t>得</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2）投标人建立运行服务保障应急预案，对实施</w:t>
            </w:r>
            <w:r>
              <w:rPr>
                <w:rFonts w:hint="eastAsia" w:ascii="宋体" w:hAnsi="宋体" w:eastAsia="宋体" w:cs="宋体"/>
                <w:sz w:val="24"/>
                <w:lang w:eastAsia="zh-CN"/>
              </w:rPr>
              <w:t>过程中</w:t>
            </w:r>
            <w:r>
              <w:rPr>
                <w:rFonts w:hint="eastAsia" w:ascii="宋体" w:hAnsi="宋体" w:eastAsia="宋体" w:cs="宋体"/>
                <w:sz w:val="24"/>
              </w:rPr>
              <w:t>可能遇到的问题及其应对措施的具体考虑情况，保障工作时效和质量的具体方案，响应机制及应急过程的组织和联系机制进行打分</w:t>
            </w:r>
            <w:r>
              <w:rPr>
                <w:rFonts w:hint="eastAsia" w:ascii="宋体" w:hAnsi="宋体" w:eastAsia="宋体" w:cs="宋体"/>
                <w:sz w:val="24"/>
                <w:lang w:eastAsia="zh-CN"/>
              </w:rPr>
              <w:t>。</w:t>
            </w:r>
          </w:p>
          <w:p>
            <w:pPr>
              <w:numPr>
                <w:ilvl w:val="0"/>
                <w:numId w:val="0"/>
              </w:numPr>
              <w:adjustRightInd/>
              <w:spacing w:line="360" w:lineRule="auto"/>
              <w:rPr>
                <w:rFonts w:hint="eastAsia" w:ascii="宋体" w:hAnsi="宋体" w:eastAsia="宋体" w:cs="宋体"/>
                <w:sz w:val="24"/>
              </w:rPr>
            </w:pPr>
            <w:r>
              <w:rPr>
                <w:rFonts w:hint="eastAsia" w:ascii="宋体" w:hAnsi="宋体" w:eastAsia="宋体" w:cs="宋体"/>
                <w:color w:val="auto"/>
                <w:sz w:val="24"/>
                <w:highlight w:val="none"/>
                <w:lang w:eastAsia="zh-CN"/>
              </w:rPr>
              <w:t>应急预案</w:t>
            </w:r>
            <w:r>
              <w:rPr>
                <w:rFonts w:hint="eastAsia" w:ascii="宋体" w:hAnsi="宋体" w:eastAsia="宋体" w:cs="宋体"/>
                <w:color w:val="auto"/>
                <w:sz w:val="24"/>
                <w:highlight w:val="none"/>
              </w:rPr>
              <w:t>全面、详细、具有针对性</w:t>
            </w:r>
            <w:r>
              <w:rPr>
                <w:rFonts w:hint="eastAsia" w:ascii="宋体" w:hAnsi="宋体" w:eastAsia="宋体" w:cs="宋体"/>
                <w:bCs/>
                <w:color w:val="auto"/>
                <w:kern w:val="28"/>
                <w:sz w:val="24"/>
                <w:szCs w:val="24"/>
                <w:highlight w:val="none"/>
                <w:lang w:val="en-US" w:eastAsia="zh-CN"/>
              </w:rPr>
              <w:t>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应急预案</w:t>
            </w:r>
            <w:r>
              <w:rPr>
                <w:rFonts w:hint="eastAsia" w:ascii="宋体" w:hAnsi="宋体" w:eastAsia="宋体" w:cs="宋体"/>
                <w:color w:val="auto"/>
                <w:sz w:val="24"/>
                <w:highlight w:val="none"/>
              </w:rPr>
              <w:t>基本全面、针对性较弱</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应急预案</w:t>
            </w:r>
            <w:r>
              <w:rPr>
                <w:rFonts w:hint="eastAsia" w:ascii="宋体" w:hAnsi="宋体" w:eastAsia="宋体" w:cs="宋体"/>
                <w:color w:val="auto"/>
                <w:sz w:val="24"/>
                <w:highlight w:val="none"/>
              </w:rPr>
              <w:t>较为简单、存在缺漏</w:t>
            </w:r>
            <w:r>
              <w:rPr>
                <w:rFonts w:hint="eastAsia" w:ascii="宋体" w:hAnsi="宋体" w:eastAsia="宋体" w:cs="宋体"/>
                <w:color w:val="auto"/>
                <w:sz w:val="24"/>
                <w:highlight w:val="none"/>
                <w:lang w:val="en-US" w:eastAsia="zh-CN"/>
              </w:rPr>
              <w:t>得</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tc>
        <w:tc>
          <w:tcPr>
            <w:tcW w:w="1042" w:type="dxa"/>
            <w:vMerge w:val="restart"/>
            <w:tcBorders>
              <w:top w:val="single" w:color="000000" w:sz="4" w:space="0"/>
              <w:left w:val="nil"/>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4" w:type="dxa"/>
            <w:vMerge w:val="continue"/>
            <w:tcBorders>
              <w:left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left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rPr>
            </w:pPr>
          </w:p>
        </w:tc>
        <w:tc>
          <w:tcPr>
            <w:tcW w:w="6417" w:type="dxa"/>
            <w:vMerge w:val="continue"/>
            <w:tcBorders>
              <w:left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left w:val="nil"/>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eastAsia="zh-CN"/>
              </w:rPr>
              <w:t>8</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rPr>
            </w:pPr>
            <w:r>
              <w:rPr>
                <w:rFonts w:hint="eastAsia" w:ascii="宋体" w:hAnsi="宋体" w:eastAsia="宋体" w:cs="宋体"/>
              </w:rPr>
              <w:t>售后服务</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left="0" w:leftChars="0" w:firstLine="0" w:firstLineChars="0"/>
              <w:rPr>
                <w:rFonts w:hint="eastAsia" w:ascii="宋体" w:hAnsi="宋体" w:eastAsia="宋体" w:cs="宋体"/>
                <w:lang w:eastAsia="zh-CN"/>
              </w:rPr>
            </w:pPr>
            <w:r>
              <w:rPr>
                <w:rFonts w:hint="eastAsia" w:ascii="宋体" w:hAnsi="宋体" w:eastAsia="宋体" w:cs="宋体"/>
              </w:rPr>
              <w:t>拟定的售后服务方案，包括持续服务保障情况、服务内容、响应时间、技术支持保障措施等响应方式和现场服务人员保证</w:t>
            </w:r>
            <w:r>
              <w:rPr>
                <w:rFonts w:hint="eastAsia" w:ascii="宋体" w:hAnsi="宋体" w:eastAsia="宋体" w:cs="宋体"/>
                <w:lang w:eastAsia="zh-CN"/>
              </w:rPr>
              <w:t>措施打分。</w:t>
            </w:r>
          </w:p>
          <w:p>
            <w:pPr>
              <w:pStyle w:val="26"/>
              <w:spacing w:line="360" w:lineRule="auto"/>
              <w:ind w:left="0" w:leftChars="0" w:firstLine="0" w:firstLineChars="0"/>
              <w:rPr>
                <w:rFonts w:hint="eastAsia" w:ascii="宋体" w:hAnsi="宋体" w:eastAsia="宋体" w:cs="宋体"/>
              </w:rPr>
            </w:pPr>
            <w:r>
              <w:rPr>
                <w:rFonts w:hint="eastAsia" w:ascii="宋体" w:hAnsi="宋体" w:eastAsia="宋体" w:cs="宋体"/>
                <w:color w:val="000000"/>
                <w:sz w:val="24"/>
                <w:szCs w:val="24"/>
                <w:highlight w:val="none"/>
                <w:lang w:eastAsia="zh-CN"/>
              </w:rPr>
              <w:t>提供的</w:t>
            </w:r>
            <w:r>
              <w:rPr>
                <w:rFonts w:hint="eastAsia" w:ascii="宋体" w:hAnsi="宋体" w:eastAsia="宋体" w:cs="宋体"/>
                <w:sz w:val="24"/>
                <w:szCs w:val="24"/>
                <w:lang w:eastAsia="zh-CN"/>
              </w:rPr>
              <w:t>售后服务方案</w:t>
            </w:r>
            <w:r>
              <w:rPr>
                <w:rFonts w:hint="eastAsia" w:ascii="宋体" w:hAnsi="宋体" w:eastAsia="宋体" w:cs="宋体"/>
                <w:color w:val="auto"/>
                <w:szCs w:val="24"/>
                <w:highlight w:val="none"/>
                <w:lang w:eastAsia="zh-CN"/>
              </w:rPr>
              <w:t>描述全面、合理的，具有针对性</w:t>
            </w:r>
            <w:r>
              <w:rPr>
                <w:rFonts w:hint="eastAsia" w:ascii="宋体" w:hAnsi="宋体" w:eastAsia="宋体" w:cs="宋体"/>
                <w:bCs/>
                <w:color w:val="auto"/>
                <w:kern w:val="28"/>
                <w:szCs w:val="24"/>
                <w:highlight w:val="none"/>
                <w:lang w:val="en-US" w:eastAsia="zh-CN"/>
              </w:rPr>
              <w:t>得</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eastAsia="zh-CN"/>
              </w:rPr>
              <w:t>分；描述基本全面、合理的，针对性较弱</w:t>
            </w:r>
            <w:r>
              <w:rPr>
                <w:rFonts w:hint="eastAsia" w:ascii="宋体" w:hAnsi="宋体" w:eastAsia="宋体" w:cs="宋体"/>
                <w:bCs/>
                <w:color w:val="auto"/>
                <w:kern w:val="28"/>
                <w:szCs w:val="24"/>
                <w:highlight w:val="none"/>
                <w:lang w:val="en-US" w:eastAsia="zh-CN"/>
              </w:rPr>
              <w:t>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分；描述较为简单或存在缺漏</w:t>
            </w:r>
            <w:r>
              <w:rPr>
                <w:rFonts w:hint="eastAsia" w:ascii="宋体" w:hAnsi="宋体" w:eastAsia="宋体" w:cs="宋体"/>
                <w:bCs/>
                <w:color w:val="auto"/>
                <w:kern w:val="28"/>
                <w:szCs w:val="24"/>
                <w:highlight w:val="none"/>
                <w:lang w:val="en-US" w:eastAsia="zh-CN"/>
              </w:rPr>
              <w:t>得</w:t>
            </w:r>
            <w:r>
              <w:rPr>
                <w:rFonts w:hint="eastAsia" w:ascii="宋体" w:hAnsi="宋体" w:eastAsia="宋体" w:cs="宋体"/>
                <w:color w:val="auto"/>
                <w:szCs w:val="24"/>
                <w:highlight w:val="none"/>
                <w:lang w:eastAsia="zh-CN"/>
              </w:rPr>
              <w:t>0-</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分。</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34" w:type="dxa"/>
            <w:vMerge w:val="continue"/>
            <w:tcBorders>
              <w:left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left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rPr>
            </w:pPr>
          </w:p>
        </w:tc>
        <w:tc>
          <w:tcPr>
            <w:tcW w:w="6417" w:type="dxa"/>
            <w:vMerge w:val="continue"/>
            <w:tcBorders>
              <w:left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left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34" w:type="dxa"/>
            <w:vMerge w:val="continue"/>
            <w:tcBorders>
              <w:left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left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rPr>
            </w:pPr>
          </w:p>
        </w:tc>
        <w:tc>
          <w:tcPr>
            <w:tcW w:w="6417" w:type="dxa"/>
            <w:vMerge w:val="continue"/>
            <w:tcBorders>
              <w:left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left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default" w:ascii="宋体" w:hAnsi="宋体" w:eastAsia="宋体" w:cs="宋体"/>
              </w:rPr>
            </w:pPr>
            <w:r>
              <w:rPr>
                <w:rFonts w:hint="eastAsia" w:ascii="宋体" w:hAnsi="宋体" w:eastAsia="宋体" w:cs="宋体"/>
                <w:lang w:eastAsia="zh-CN"/>
              </w:rPr>
              <w:t>9</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lang w:eastAsia="zh-CN"/>
              </w:rPr>
            </w:pPr>
            <w:r>
              <w:rPr>
                <w:rFonts w:hint="eastAsia" w:ascii="宋体" w:hAnsi="宋体" w:eastAsia="宋体" w:cs="宋体"/>
                <w:bCs/>
                <w:lang w:eastAsia="zh-CN"/>
              </w:rPr>
              <w:t>措施解决</w:t>
            </w:r>
          </w:p>
        </w:tc>
        <w:tc>
          <w:tcPr>
            <w:tcW w:w="641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480" w:firstLineChars="200"/>
              <w:rPr>
                <w:rFonts w:hint="eastAsia" w:ascii="宋体" w:hAnsi="宋体" w:eastAsia="宋体" w:cs="宋体"/>
              </w:rPr>
            </w:pPr>
            <w:r>
              <w:rPr>
                <w:rFonts w:hint="eastAsia" w:ascii="宋体" w:hAnsi="宋体" w:eastAsia="宋体" w:cs="宋体"/>
                <w:bCs/>
              </w:rPr>
              <w:t>根据对应急事件、调配人数与处理方案</w:t>
            </w:r>
            <w:r>
              <w:rPr>
                <w:rFonts w:hint="eastAsia" w:ascii="宋体" w:hAnsi="宋体" w:eastAsia="宋体" w:cs="宋体"/>
                <w:color w:val="auto"/>
                <w:highlight w:val="none"/>
              </w:rPr>
              <w:t>针对性的提出解决措施：解决措施</w:t>
            </w:r>
            <w:r>
              <w:rPr>
                <w:rFonts w:hint="eastAsia" w:ascii="宋体" w:hAnsi="宋体" w:eastAsia="宋体" w:cs="宋体"/>
                <w:color w:val="auto"/>
                <w:highlight w:val="none"/>
                <w:lang w:eastAsia="zh-CN"/>
              </w:rPr>
              <w:t>全面、合理的，具有针对性</w:t>
            </w:r>
            <w:r>
              <w:rPr>
                <w:rFonts w:hint="eastAsia" w:ascii="宋体" w:hAnsi="宋体" w:eastAsia="宋体" w:cs="宋体"/>
                <w:color w:val="auto"/>
                <w:highlight w:val="none"/>
                <w:lang w:val="en-US" w:eastAsia="zh-CN"/>
              </w:rPr>
              <w:t>得3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分；</w:t>
            </w:r>
            <w:r>
              <w:rPr>
                <w:rFonts w:hint="eastAsia" w:ascii="宋体" w:hAnsi="宋体" w:eastAsia="宋体" w:cs="宋体"/>
                <w:color w:val="auto"/>
                <w:highlight w:val="none"/>
              </w:rPr>
              <w:t>解决措施</w:t>
            </w:r>
            <w:r>
              <w:rPr>
                <w:rFonts w:hint="eastAsia" w:ascii="宋体" w:hAnsi="宋体" w:eastAsia="宋体" w:cs="宋体"/>
                <w:color w:val="auto"/>
                <w:highlight w:val="none"/>
                <w:lang w:eastAsia="zh-CN"/>
              </w:rPr>
              <w:t>基本全面、合理的，针对性较弱</w:t>
            </w:r>
            <w:r>
              <w:rPr>
                <w:rFonts w:hint="eastAsia" w:ascii="宋体" w:hAnsi="宋体" w:eastAsia="宋体" w:cs="宋体"/>
                <w:color w:val="auto"/>
                <w:highlight w:val="none"/>
                <w:lang w:val="en-US" w:eastAsia="zh-CN"/>
              </w:rPr>
              <w:t>得1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r>
              <w:rPr>
                <w:rFonts w:hint="eastAsia" w:ascii="宋体" w:hAnsi="宋体" w:eastAsia="宋体" w:cs="宋体"/>
                <w:color w:val="auto"/>
                <w:highlight w:val="none"/>
              </w:rPr>
              <w:t>解决措施</w:t>
            </w:r>
            <w:r>
              <w:rPr>
                <w:rFonts w:hint="eastAsia" w:ascii="宋体" w:hAnsi="宋体" w:eastAsia="宋体" w:cs="宋体"/>
                <w:color w:val="auto"/>
                <w:highlight w:val="none"/>
                <w:lang w:eastAsia="zh-CN"/>
              </w:rPr>
              <w:t>描述较为简单或存在缺漏</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lang w:eastAsia="zh-CN"/>
              </w:rPr>
              <w:t>0-</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分。</w:t>
            </w:r>
          </w:p>
        </w:tc>
        <w:tc>
          <w:tcPr>
            <w:tcW w:w="1042"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jc w:val="center"/>
              <w:rPr>
                <w:rFonts w:hint="default" w:ascii="宋体" w:hAnsi="宋体" w:eastAsia="宋体" w:cs="宋体"/>
              </w:rPr>
            </w:pPr>
            <w:r>
              <w:rPr>
                <w:rFonts w:hint="eastAsia" w:ascii="宋体" w:hAnsi="宋体" w:eastAsia="宋体" w:cs="宋体"/>
                <w:lang w:eastAsia="zh-CN"/>
              </w:rPr>
              <w:t>1</w:t>
            </w:r>
            <w:r>
              <w:rPr>
                <w:rFonts w:hint="eastAsia" w:ascii="宋体" w:hAnsi="宋体" w:eastAsia="宋体" w:cs="宋体"/>
                <w:lang w:val="en-US" w:eastAsia="zh-CN"/>
              </w:rPr>
              <w:t>0</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0" w:firstLineChars="0"/>
              <w:rPr>
                <w:rFonts w:hint="eastAsia" w:ascii="宋体" w:hAnsi="宋体" w:eastAsia="宋体" w:cs="宋体"/>
                <w:lang w:eastAsia="zh-CN"/>
              </w:rPr>
            </w:pPr>
            <w:r>
              <w:rPr>
                <w:rFonts w:hint="eastAsia" w:ascii="宋体" w:hAnsi="宋体" w:eastAsia="宋体" w:cs="宋体"/>
              </w:rPr>
              <w:t>服务承诺</w:t>
            </w:r>
          </w:p>
        </w:tc>
        <w:tc>
          <w:tcPr>
            <w:tcW w:w="6417"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firstLine="480" w:firstLineChars="200"/>
              <w:rPr>
                <w:rFonts w:hint="eastAsia" w:ascii="宋体" w:hAnsi="宋体" w:eastAsia="宋体" w:cs="宋体"/>
              </w:rPr>
            </w:pPr>
            <w:r>
              <w:rPr>
                <w:rFonts w:hint="eastAsia" w:ascii="宋体" w:hAnsi="宋体" w:eastAsia="宋体" w:cs="宋体"/>
              </w:rPr>
              <w:t>根据罗列的承诺具有针对性、利于项目实施得3-</w:t>
            </w:r>
            <w:r>
              <w:rPr>
                <w:rFonts w:hint="eastAsia" w:ascii="宋体" w:hAnsi="宋体" w:eastAsia="宋体" w:cs="宋体"/>
                <w:lang w:val="en-US" w:eastAsia="zh-CN"/>
              </w:rPr>
              <w:t>4</w:t>
            </w:r>
            <w:r>
              <w:rPr>
                <w:rFonts w:hint="eastAsia" w:ascii="宋体" w:hAnsi="宋体" w:eastAsia="宋体" w:cs="宋体"/>
              </w:rPr>
              <w:t>分；针对性较弱，满足项目实施需要得1-</w:t>
            </w:r>
            <w:r>
              <w:rPr>
                <w:rFonts w:hint="eastAsia" w:ascii="宋体" w:hAnsi="宋体" w:eastAsia="宋体" w:cs="宋体"/>
                <w:lang w:val="en-US" w:eastAsia="zh-CN"/>
              </w:rPr>
              <w:t>2</w:t>
            </w:r>
            <w:r>
              <w:rPr>
                <w:rFonts w:hint="eastAsia" w:ascii="宋体" w:hAnsi="宋体" w:eastAsia="宋体" w:cs="宋体"/>
              </w:rPr>
              <w:t>分；较为简单、存在缺漏</w:t>
            </w:r>
            <w:r>
              <w:rPr>
                <w:rFonts w:hint="eastAsia" w:ascii="宋体" w:hAnsi="宋体" w:eastAsia="宋体" w:cs="宋体"/>
                <w:lang w:eastAsia="zh-CN"/>
              </w:rPr>
              <w:t>无实际必要的不得分</w:t>
            </w:r>
            <w:r>
              <w:rPr>
                <w:rFonts w:hint="eastAsia" w:ascii="宋体" w:hAnsi="宋体" w:eastAsia="宋体" w:cs="宋体"/>
              </w:rPr>
              <w:t>。</w:t>
            </w:r>
          </w:p>
        </w:tc>
        <w:tc>
          <w:tcPr>
            <w:tcW w:w="1042" w:type="dxa"/>
            <w:tcBorders>
              <w:top w:val="single" w:color="000000" w:sz="4" w:space="0"/>
              <w:left w:val="nil"/>
              <w:bottom w:val="single" w:color="000000" w:sz="4" w:space="0"/>
              <w:right w:val="single" w:color="000000" w:sz="4" w:space="0"/>
            </w:tcBorders>
            <w:vAlign w:val="center"/>
          </w:tcPr>
          <w:p>
            <w:pPr>
              <w:pStyle w:val="26"/>
              <w:spacing w:line="360" w:lineRule="auto"/>
              <w:ind w:firstLine="0" w:firstLineChars="0"/>
              <w:jc w:val="cente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25" w:type="dxa"/>
            <w:gridSpan w:val="4"/>
            <w:tcBorders>
              <w:top w:val="single" w:color="000000" w:sz="4" w:space="0"/>
              <w:left w:val="single" w:color="000000" w:sz="4" w:space="0"/>
              <w:bottom w:val="single" w:color="000000" w:sz="4" w:space="0"/>
              <w:right w:val="single" w:color="000000" w:sz="4" w:space="0"/>
            </w:tcBorders>
            <w:vAlign w:val="center"/>
          </w:tcPr>
          <w:p>
            <w:pPr>
              <w:pStyle w:val="26"/>
              <w:spacing w:line="360" w:lineRule="auto"/>
              <w:rPr>
                <w:rFonts w:hint="eastAsia" w:ascii="宋体" w:hAnsi="宋体" w:eastAsia="宋体" w:cs="宋体"/>
              </w:rPr>
            </w:pPr>
            <w:r>
              <w:rPr>
                <w:rFonts w:hint="eastAsia" w:ascii="宋体" w:hAnsi="宋体" w:eastAsia="宋体" w:cs="宋体"/>
              </w:rPr>
              <w:t>注：招标文件要求提供的资质证书，发证日期需在本项目发标日期之前。</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2、商务分+技术分=评标委员会所有成员评分合计数/评标委员会组成人员数（精确到小数点后二位）；</w:t>
      </w:r>
    </w:p>
    <w:p>
      <w:pPr>
        <w:spacing w:line="360" w:lineRule="auto"/>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3、价格分（10分）</w:t>
      </w:r>
      <w:r>
        <w:rPr>
          <w:rFonts w:hint="eastAsia" w:ascii="仿宋_GB2312" w:hAnsi="仿宋_GB2312" w:eastAsia="仿宋_GB2312" w:cs="仿宋_GB2312"/>
          <w:color w:val="000000"/>
          <w:sz w:val="24"/>
        </w:rPr>
        <w:t>采用低价优先法计算，即满足招标文件要求且投标价格最低的投标报价为评标基准价，其他投标人的价格分按照下列公式计算：</w:t>
      </w:r>
    </w:p>
    <w:p>
      <w:pPr>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价格分=（评标基准价/投标报价）×10%×100（精确到小数点后二位）；</w:t>
      </w:r>
    </w:p>
    <w:p>
      <w:pPr>
        <w:pStyle w:val="65"/>
        <w:ind w:left="0" w:leftChars="0" w:firstLine="420"/>
      </w:pPr>
      <w:r>
        <w:rPr>
          <w:rFonts w:hint="eastAsia"/>
        </w:rPr>
        <w:t>报价是中标的一个重要因素，但最低报价不是中标的唯一依据。</w:t>
      </w:r>
    </w:p>
    <w:p>
      <w:pPr>
        <w:pStyle w:val="65"/>
        <w:spacing w:line="360" w:lineRule="auto"/>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4、各投标人的综合得分为：技术商务得分+投标价格得分之和，总和为100分，其中：商务技术得分90分，投标价格得分10分。</w:t>
      </w:r>
    </w:p>
    <w:p>
      <w:pPr>
        <w:pStyle w:val="65"/>
        <w:ind w:firstLine="420"/>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1"/>
        <w:spacing w:before="0"/>
        <w:ind w:firstLine="480"/>
        <w:rPr>
          <w:rFonts w:ascii="仿宋" w:hAnsi="仿宋" w:eastAsia="仿宋" w:cs="仿宋"/>
          <w:color w:val="FF0000"/>
          <w:kern w:val="0"/>
          <w:szCs w:val="24"/>
        </w:rPr>
      </w:pPr>
      <w:r>
        <w:rPr>
          <w:rFonts w:ascii="仿宋" w:hAnsi="仿宋" w:eastAsia="仿宋" w:cs="仿宋"/>
          <w:kern w:val="0"/>
          <w:szCs w:val="24"/>
        </w:rPr>
        <w:t>3.4.5</w:t>
      </w:r>
      <w:r>
        <w:rPr>
          <w:rFonts w:hint="eastAsia" w:ascii="仿宋" w:hAnsi="仿宋" w:eastAsia="仿宋" w:cs="仿宋"/>
          <w:color w:val="FF0000"/>
          <w:kern w:val="0"/>
          <w:szCs w:val="24"/>
        </w:rPr>
        <w:t>对于预留份额专门面向小</w:t>
      </w:r>
      <w:r>
        <w:rPr>
          <w:rFonts w:hint="eastAsia" w:ascii="仿宋" w:hAnsi="仿宋" w:eastAsia="仿宋" w:cs="仿宋"/>
          <w:color w:val="FF0000"/>
          <w:kern w:val="0"/>
          <w:szCs w:val="24"/>
          <w:lang w:val="en-US" w:eastAsia="zh-CN"/>
        </w:rPr>
        <w:t>微</w:t>
      </w:r>
      <w:r>
        <w:rPr>
          <w:rFonts w:hint="eastAsia" w:ascii="仿宋" w:hAnsi="仿宋" w:eastAsia="仿宋" w:cs="仿宋"/>
          <w:color w:val="FF0000"/>
          <w:kern w:val="0"/>
          <w:szCs w:val="24"/>
        </w:rPr>
        <w:t>企业的政府采购货物或服务项目，</w:t>
      </w:r>
      <w:r>
        <w:rPr>
          <w:rFonts w:hint="eastAsia" w:ascii="仿宋_GB2312" w:hAnsi="仿宋" w:eastAsia="仿宋_GB2312"/>
          <w:color w:val="FF0000"/>
        </w:rPr>
        <w:t>对小型和微型企业的投标报价不予</w:t>
      </w:r>
      <w:r>
        <w:rPr>
          <w:rFonts w:ascii="仿宋_GB2312" w:hAnsi="仿宋" w:eastAsia="仿宋_GB2312"/>
          <w:color w:val="FF0000"/>
        </w:rPr>
        <w:t>扣除。</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430" w:leftChars="205"/>
        <w:rPr>
          <w:rFonts w:cs="Arial"/>
          <w:kern w:val="0"/>
          <w:sz w:val="24"/>
          <w:szCs w:val="24"/>
          <w:lang w:val="en-US"/>
        </w:rPr>
      </w:pPr>
      <w:r>
        <w:rPr>
          <w:rFonts w:cs="Arial"/>
          <w:kern w:val="0"/>
          <w:sz w:val="24"/>
          <w:szCs w:val="24"/>
          <w:lang w:val="en-US"/>
        </w:rPr>
        <w:t xml:space="preserve">4.2.13 </w:t>
      </w:r>
      <w:r>
        <w:rPr>
          <w:rFonts w:hint="eastAsia" w:cs="Arial"/>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31"/>
    <w:p>
      <w:bookmarkStart w:id="402" w:name="第五部分"/>
      <w:bookmarkStart w:id="403" w:name="_Toc86217003"/>
    </w:p>
    <w:p>
      <w:pPr>
        <w:pStyle w:val="65"/>
        <w:ind w:firstLine="420"/>
      </w:pPr>
    </w:p>
    <w:p>
      <w:pPr>
        <w:pStyle w:val="24"/>
      </w:pPr>
    </w:p>
    <w:p/>
    <w:p>
      <w:pPr>
        <w:pStyle w:val="84"/>
      </w:pPr>
    </w:p>
    <w:p/>
    <w:p/>
    <w:p>
      <w:pPr>
        <w:pStyle w:val="2"/>
      </w:pPr>
    </w:p>
    <w:p/>
    <w:p>
      <w:pPr>
        <w:pStyle w:val="2"/>
      </w:pPr>
    </w:p>
    <w:p/>
    <w:p>
      <w:pPr>
        <w:pStyle w:val="2"/>
      </w:pPr>
    </w:p>
    <w:p/>
    <w:p>
      <w:pPr>
        <w:pStyle w:val="2"/>
      </w:pPr>
    </w:p>
    <w:p/>
    <w:p>
      <w:pPr>
        <w:pStyle w:val="2"/>
      </w:pPr>
    </w:p>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napToGrid w:val="0"/>
        <w:spacing w:line="360" w:lineRule="auto"/>
        <w:jc w:val="center"/>
        <w:outlineLvl w:val="0"/>
        <w:rPr>
          <w:rFonts w:ascii="宋体" w:hAnsi="宋体"/>
          <w:b/>
          <w:color w:val="000000"/>
          <w:sz w:val="32"/>
          <w:szCs w:val="32"/>
        </w:rPr>
      </w:pPr>
      <w:bookmarkStart w:id="404" w:name="_Toc331685784"/>
    </w:p>
    <w:p>
      <w:pPr>
        <w:snapToGrid w:val="0"/>
        <w:spacing w:line="360" w:lineRule="auto"/>
        <w:jc w:val="center"/>
        <w:outlineLvl w:val="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（以最终合同为准）</w:t>
      </w:r>
    </w:p>
    <w:p>
      <w:pPr>
        <w:autoSpaceDE w:val="0"/>
        <w:autoSpaceDN w:val="0"/>
        <w:snapToGrid w:val="0"/>
        <w:spacing w:line="360" w:lineRule="auto"/>
        <w:ind w:firstLine="436" w:firstLineChars="1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项目名称：</w:t>
      </w:r>
      <w:r>
        <w:rPr>
          <w:rFonts w:hint="eastAsia" w:ascii="仿宋_GB2312" w:hAnsi="仿宋_GB2312" w:eastAsia="仿宋_GB2312" w:cs="仿宋_GB2312"/>
          <w:color w:val="000000"/>
          <w:sz w:val="24"/>
          <w:lang w:eastAsia="zh-CN"/>
        </w:rPr>
        <w:t>互联网执法办案辅助工作服务外包项目</w:t>
      </w:r>
      <w:r>
        <w:rPr>
          <w:rFonts w:hint="eastAsia" w:ascii="仿宋_GB2312" w:hAnsi="仿宋_GB2312" w:eastAsia="仿宋_GB2312" w:cs="仿宋_GB2312"/>
          <w:color w:val="000000"/>
          <w:sz w:val="24"/>
        </w:rPr>
        <w:t xml:space="preserve"> </w:t>
      </w:r>
    </w:p>
    <w:p>
      <w:pPr>
        <w:pStyle w:val="38"/>
        <w:snapToGrid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招标编号：</w:t>
      </w:r>
      <w:r>
        <w:rPr>
          <w:rFonts w:hint="eastAsia" w:ascii="仿宋_GB2312" w:hAnsi="仿宋_GB2312" w:eastAsia="仿宋_GB2312" w:cs="仿宋_GB2312"/>
          <w:sz w:val="24"/>
          <w:lang w:eastAsia="zh-CN"/>
        </w:rPr>
        <w:t>YHZFCG2022-197</w:t>
      </w:r>
    </w:p>
    <w:p>
      <w:pPr>
        <w:pStyle w:val="38"/>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甲方：杭州市余杭区市场监督管理局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kern w:val="2"/>
          <w:sz w:val="24"/>
          <w:szCs w:val="24"/>
          <w:lang w:eastAsia="zh-CN"/>
        </w:rPr>
        <w:t>甲、乙双方根据互联网执法办案辅助工作服务外包项目（招标编号：</w:t>
      </w:r>
      <w:r>
        <w:rPr>
          <w:rFonts w:hint="eastAsia" w:ascii="仿宋_GB2312" w:hAnsi="仿宋_GB2312" w:eastAsia="仿宋_GB2312" w:cs="仿宋_GB2312"/>
          <w:sz w:val="24"/>
          <w:u w:val="single"/>
          <w:lang w:eastAsia="zh-CN"/>
        </w:rPr>
        <w:t>YHZFCG2022-197</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eastAsia="zh-CN"/>
        </w:rPr>
        <w:t>政府采购</w:t>
      </w:r>
      <w:r>
        <w:rPr>
          <w:rFonts w:hint="eastAsia" w:ascii="仿宋_GB2312" w:hAnsi="仿宋_GB2312" w:eastAsia="仿宋_GB2312" w:cs="仿宋_GB2312"/>
          <w:color w:val="000000"/>
          <w:sz w:val="24"/>
          <w:szCs w:val="24"/>
          <w:lang w:eastAsia="zh-CN"/>
        </w:rPr>
        <w:t>公开招标的结果，签署本合同。</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5" w:name="_Toc5663"/>
      <w:r>
        <w:rPr>
          <w:rFonts w:hint="eastAsia" w:ascii="仿宋_GB2312" w:hAnsi="仿宋_GB2312" w:eastAsia="仿宋_GB2312" w:cs="仿宋_GB2312"/>
          <w:b/>
          <w:color w:val="000000"/>
          <w:sz w:val="24"/>
          <w:szCs w:val="24"/>
          <w:lang w:eastAsia="zh-CN"/>
        </w:rPr>
        <w:t>一、服务内容</w:t>
      </w:r>
      <w:bookmarkEnd w:id="405"/>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具体内容和相关要求详见招标文件“</w:t>
      </w:r>
      <w:r>
        <w:rPr>
          <w:rFonts w:hint="eastAsia" w:ascii="仿宋_GB2312" w:hAnsi="仿宋_GB2312" w:eastAsia="仿宋_GB2312" w:cs="仿宋_GB2312"/>
          <w:kern w:val="0"/>
          <w:sz w:val="24"/>
        </w:rPr>
        <w:t>第三部分——项目技术规范和服务要求”</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6" w:name="_Toc13637"/>
      <w:r>
        <w:rPr>
          <w:rFonts w:hint="eastAsia" w:ascii="仿宋_GB2312" w:hAnsi="仿宋_GB2312" w:eastAsia="仿宋_GB2312" w:cs="仿宋_GB2312"/>
          <w:b/>
          <w:color w:val="000000"/>
          <w:sz w:val="24"/>
          <w:szCs w:val="24"/>
          <w:lang w:eastAsia="zh-CN"/>
        </w:rPr>
        <w:t>二、</w:t>
      </w:r>
      <w:r>
        <w:rPr>
          <w:rFonts w:hint="eastAsia" w:ascii="仿宋_GB2312" w:hAnsi="仿宋_GB2312" w:eastAsia="仿宋_GB2312" w:cs="仿宋_GB2312"/>
          <w:b/>
          <w:bCs/>
          <w:sz w:val="24"/>
          <w:lang w:eastAsia="zh-CN" w:bidi="en-US"/>
        </w:rPr>
        <w:t>服务时间要求</w:t>
      </w:r>
      <w:bookmarkEnd w:id="406"/>
    </w:p>
    <w:p>
      <w:pPr>
        <w:pStyle w:val="623"/>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7" w:name="_Toc22910"/>
      <w:r>
        <w:rPr>
          <w:rFonts w:hint="eastAsia" w:ascii="仿宋_GB2312" w:hAnsi="仿宋_GB2312" w:eastAsia="仿宋_GB2312" w:cs="仿宋_GB2312"/>
          <w:b/>
          <w:color w:val="000000"/>
          <w:sz w:val="24"/>
          <w:szCs w:val="24"/>
          <w:lang w:eastAsia="zh-CN"/>
        </w:rPr>
        <w:t>三、合同金额</w:t>
      </w:r>
      <w:bookmarkEnd w:id="407"/>
    </w:p>
    <w:p>
      <w:pPr>
        <w:pStyle w:val="623"/>
        <w:snapToGrid w:val="0"/>
        <w:spacing w:line="360" w:lineRule="auto"/>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合同总预算为（大写）</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元）人民币。</w:t>
      </w:r>
    </w:p>
    <w:p>
      <w:pPr>
        <w:pStyle w:val="623"/>
        <w:snapToGrid w:val="0"/>
        <w:spacing w:line="360" w:lineRule="auto"/>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另附各分项报价清单。</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8" w:name="_Toc3395"/>
      <w:r>
        <w:rPr>
          <w:rFonts w:hint="eastAsia" w:ascii="仿宋_GB2312" w:hAnsi="仿宋_GB2312" w:eastAsia="仿宋_GB2312" w:cs="仿宋_GB2312"/>
          <w:b/>
          <w:color w:val="000000"/>
          <w:sz w:val="24"/>
          <w:szCs w:val="24"/>
          <w:lang w:eastAsia="zh-CN"/>
        </w:rPr>
        <w:t>四、技术资料</w:t>
      </w:r>
      <w:bookmarkEnd w:id="408"/>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1、乙方应按招标文件规定的时间向甲方提供有关技术资料。</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9" w:name="_Toc24660"/>
      <w:r>
        <w:rPr>
          <w:rFonts w:hint="eastAsia" w:ascii="仿宋_GB2312" w:hAnsi="仿宋_GB2312" w:eastAsia="仿宋_GB2312" w:cs="仿宋_GB2312"/>
          <w:b/>
          <w:color w:val="000000"/>
          <w:sz w:val="24"/>
          <w:szCs w:val="24"/>
          <w:lang w:eastAsia="zh-CN"/>
        </w:rPr>
        <w:t>五、知识产权</w:t>
      </w:r>
      <w:bookmarkEnd w:id="409"/>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乙方应保证提供服务过程中不会侵犯任何第三方的知识产权。</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0" w:name="_Toc27890"/>
      <w:r>
        <w:rPr>
          <w:rFonts w:hint="eastAsia" w:ascii="仿宋_GB2312" w:hAnsi="仿宋_GB2312" w:eastAsia="仿宋_GB2312" w:cs="仿宋_GB2312"/>
          <w:b/>
          <w:color w:val="000000"/>
          <w:sz w:val="24"/>
          <w:szCs w:val="24"/>
          <w:lang w:eastAsia="zh-CN"/>
        </w:rPr>
        <w:t>六、履约保证金</w:t>
      </w:r>
      <w:bookmarkEnd w:id="410"/>
    </w:p>
    <w:p>
      <w:pPr>
        <w:pStyle w:val="623"/>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1" w:name="_Toc724"/>
      <w:r>
        <w:rPr>
          <w:rFonts w:hint="eastAsia" w:ascii="仿宋_GB2312" w:hAnsi="仿宋_GB2312" w:eastAsia="仿宋_GB2312" w:cs="仿宋_GB2312"/>
          <w:b/>
          <w:color w:val="000000"/>
          <w:sz w:val="24"/>
          <w:szCs w:val="24"/>
          <w:lang w:eastAsia="zh-CN"/>
        </w:rPr>
        <w:t>七、转包或分包</w:t>
      </w:r>
      <w:bookmarkEnd w:id="411"/>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1、本合同范围的服务，应由乙方直接供应，不得转让他人供应；</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2、除非得到甲方的书面同意，乙方不得将本合同范围的服务全部或部分分包给他人供应；</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3、如有转让和未经甲方同意的分包行为，甲方有权解除合同，没收履约保证金并追究乙方的违约责任。</w:t>
      </w:r>
    </w:p>
    <w:p>
      <w:pPr>
        <w:pStyle w:val="623"/>
        <w:snapToGrid w:val="0"/>
        <w:spacing w:line="360" w:lineRule="auto"/>
        <w:ind w:firstLine="482" w:firstLineChars="200"/>
        <w:outlineLvl w:val="1"/>
        <w:rPr>
          <w:rFonts w:ascii="仿宋_GB2312" w:hAnsi="仿宋_GB2312" w:eastAsia="仿宋_GB2312" w:cs="仿宋_GB2312"/>
          <w:color w:val="000000"/>
          <w:sz w:val="24"/>
          <w:szCs w:val="24"/>
          <w:lang w:eastAsia="zh-CN"/>
        </w:rPr>
      </w:pPr>
      <w:bookmarkStart w:id="412" w:name="_Toc26219"/>
      <w:r>
        <w:rPr>
          <w:rFonts w:hint="eastAsia" w:ascii="仿宋_GB2312" w:hAnsi="仿宋_GB2312" w:eastAsia="仿宋_GB2312" w:cs="仿宋_GB2312"/>
          <w:b/>
          <w:color w:val="000000"/>
          <w:sz w:val="24"/>
          <w:szCs w:val="24"/>
          <w:lang w:eastAsia="zh-CN"/>
        </w:rPr>
        <w:t>八、合同履行时间、履行方式及履行地点</w:t>
      </w:r>
      <w:bookmarkEnd w:id="412"/>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1、履行时间：   ；</w:t>
      </w:r>
    </w:p>
    <w:p>
      <w:pPr>
        <w:pStyle w:val="623"/>
        <w:snapToGrid w:val="0"/>
        <w:spacing w:line="360" w:lineRule="auto"/>
        <w:ind w:firstLine="480" w:firstLineChars="200"/>
        <w:rPr>
          <w:rFonts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szCs w:val="24"/>
          <w:lang w:eastAsia="zh-CN"/>
        </w:rPr>
        <w:t>2、</w:t>
      </w:r>
      <w:r>
        <w:rPr>
          <w:rFonts w:hint="eastAsia" w:ascii="仿宋_GB2312" w:hAnsi="仿宋_GB2312" w:eastAsia="仿宋_GB2312" w:cs="仿宋_GB2312"/>
          <w:color w:val="000000"/>
          <w:sz w:val="24"/>
          <w:lang w:eastAsia="zh-CN"/>
        </w:rPr>
        <w:t>履行地点：   。</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3" w:name="_Toc670"/>
      <w:r>
        <w:rPr>
          <w:rFonts w:hint="eastAsia" w:ascii="仿宋_GB2312" w:hAnsi="仿宋_GB2312" w:eastAsia="仿宋_GB2312" w:cs="仿宋_GB2312"/>
          <w:b/>
          <w:color w:val="000000"/>
          <w:sz w:val="24"/>
          <w:szCs w:val="24"/>
          <w:lang w:eastAsia="zh-CN"/>
        </w:rPr>
        <w:t>九、款项支付</w:t>
      </w:r>
      <w:bookmarkEnd w:id="413"/>
    </w:p>
    <w:p>
      <w:pPr>
        <w:pStyle w:val="623"/>
        <w:snapToGrid w:val="0"/>
        <w:spacing w:line="360" w:lineRule="auto"/>
        <w:ind w:firstLine="960" w:firstLineChars="400"/>
        <w:rPr>
          <w:rFonts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szCs w:val="24"/>
          <w:lang w:eastAsia="zh-CN"/>
        </w:rPr>
        <w:t>按招标文件约定执行</w:t>
      </w:r>
      <w:r>
        <w:rPr>
          <w:rFonts w:hint="eastAsia" w:ascii="仿宋_GB2312" w:hAnsi="仿宋_GB2312" w:eastAsia="仿宋_GB2312" w:cs="仿宋_GB2312"/>
          <w:bCs/>
          <w:color w:val="000000"/>
          <w:sz w:val="24"/>
          <w:lang w:eastAsia="zh-CN"/>
        </w:rPr>
        <w:t>。</w:t>
      </w:r>
    </w:p>
    <w:p>
      <w:pPr>
        <w:autoSpaceDE w:val="0"/>
        <w:autoSpaceDN w:val="0"/>
        <w:snapToGrid w:val="0"/>
        <w:spacing w:line="360" w:lineRule="auto"/>
        <w:ind w:firstLine="482" w:firstLineChars="200"/>
        <w:outlineLvl w:val="1"/>
        <w:rPr>
          <w:rFonts w:ascii="仿宋_GB2312" w:hAnsi="仿宋_GB2312" w:eastAsia="仿宋_GB2312" w:cs="仿宋_GB2312"/>
          <w:b/>
          <w:color w:val="000000"/>
          <w:sz w:val="24"/>
        </w:rPr>
      </w:pPr>
      <w:bookmarkStart w:id="414" w:name="_Toc29970"/>
      <w:r>
        <w:rPr>
          <w:rFonts w:hint="eastAsia" w:ascii="仿宋_GB2312" w:hAnsi="仿宋_GB2312" w:eastAsia="仿宋_GB2312" w:cs="仿宋_GB2312"/>
          <w:b/>
          <w:color w:val="000000"/>
          <w:sz w:val="24"/>
        </w:rPr>
        <w:t>十、税费</w:t>
      </w:r>
      <w:bookmarkEnd w:id="414"/>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本合同执行中相关的一切税费均由乙方负担。</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5" w:name="_Toc13501"/>
      <w:r>
        <w:rPr>
          <w:rFonts w:hint="eastAsia" w:ascii="仿宋_GB2312" w:hAnsi="仿宋_GB2312" w:eastAsia="仿宋_GB2312" w:cs="仿宋_GB2312"/>
          <w:b/>
          <w:color w:val="000000"/>
          <w:sz w:val="24"/>
          <w:szCs w:val="24"/>
          <w:lang w:eastAsia="zh-CN"/>
        </w:rPr>
        <w:t>十一、质量保证及后续服务</w:t>
      </w:r>
      <w:bookmarkEnd w:id="415"/>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1、乙方应按招标文件规定向甲方提供服务。</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（1）重做：由乙方承担所发生的全部费用。</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（2）解除合同。</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3、在服务质量保证期内，乙方应对出现的质量及安全问题负责处理解决并承担一切费用。</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6" w:name="_Toc11285"/>
      <w:r>
        <w:rPr>
          <w:rFonts w:hint="eastAsia" w:ascii="仿宋_GB2312" w:hAnsi="仿宋_GB2312" w:eastAsia="仿宋_GB2312" w:cs="仿宋_GB2312"/>
          <w:b/>
          <w:color w:val="000000"/>
          <w:sz w:val="24"/>
          <w:szCs w:val="24"/>
          <w:lang w:eastAsia="zh-CN"/>
        </w:rPr>
        <w:t>十二、违约责任</w:t>
      </w:r>
      <w:bookmarkEnd w:id="416"/>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1、甲方无正当理由拒收接受服务的，甲方向乙方偿付合同款项百分之五作为违约金。</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2、甲方无故逾期验收和办理款项支付手续的，甲方应按逾期付款总额每日万分之五向乙方支付违约金，赔付上线为合同总额的百分之五。</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3、乙方未能如期提供服务的，每逾期一日向甲方支付合同款项的万分之五作为违约金，赔付上线为合同总额的百分之五。</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4、乙方因未能如期提供服务或因其他违约行为导致甲方解除合同的，乙方应向甲方支付合同总值的百分之五违约金。</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7" w:name="_Toc28853"/>
      <w:r>
        <w:rPr>
          <w:rFonts w:hint="eastAsia" w:ascii="仿宋_GB2312" w:hAnsi="仿宋_GB2312" w:eastAsia="仿宋_GB2312" w:cs="仿宋_GB2312"/>
          <w:b/>
          <w:color w:val="000000"/>
          <w:sz w:val="24"/>
          <w:szCs w:val="24"/>
          <w:lang w:eastAsia="zh-CN"/>
        </w:rPr>
        <w:t>十三、不可抗力事件处理</w:t>
      </w:r>
      <w:bookmarkEnd w:id="417"/>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1、在合同有效期内，任何一方因不可抗力事件导致不能履行合同，则合同履行期可延长，其延长期与不可抗力影响期相同。</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2、不可抗力事件发生后，应立即通知对方，并寄送有关权威机构出具的证明。</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3、不可抗力事件延续120天以上，双方应通过友好协商，确定是否继续履行合同。</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8" w:name="_Toc31178"/>
      <w:r>
        <w:rPr>
          <w:rFonts w:hint="eastAsia" w:ascii="仿宋_GB2312" w:hAnsi="仿宋_GB2312" w:eastAsia="仿宋_GB2312" w:cs="仿宋_GB2312"/>
          <w:b/>
          <w:color w:val="000000"/>
          <w:sz w:val="24"/>
          <w:szCs w:val="24"/>
          <w:lang w:eastAsia="zh-CN"/>
        </w:rPr>
        <w:t>十四、诉讼</w:t>
      </w:r>
      <w:bookmarkEnd w:id="418"/>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双方在执行合同中所发生的一切争议，应通过协商解决。如协商不成，可向甲方所在地法院起诉。</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9" w:name="_Toc5342"/>
      <w:r>
        <w:rPr>
          <w:rFonts w:hint="eastAsia" w:ascii="仿宋_GB2312" w:hAnsi="仿宋_GB2312" w:eastAsia="仿宋_GB2312" w:cs="仿宋_GB2312"/>
          <w:b/>
          <w:color w:val="000000"/>
          <w:sz w:val="24"/>
          <w:szCs w:val="24"/>
          <w:lang w:eastAsia="zh-CN"/>
        </w:rPr>
        <w:t>十五、合同生效及其它</w:t>
      </w:r>
      <w:bookmarkEnd w:id="419"/>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1、合同经双方法定代表人或授权代表签字或盖章并加盖单位公章后生效。</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8"/>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4、本合同一式陆份，具有同等法律效力，甲乙双方各执叁份。</w:t>
      </w: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甲方（盖章）：                            乙方（盖章）：        </w:t>
      </w:r>
    </w:p>
    <w:p>
      <w:pPr>
        <w:snapToGrid w:val="0"/>
        <w:spacing w:line="360" w:lineRule="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                              法定代表人：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或受委托人（签字或盖章）：                或受委托人（签字或盖章）：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                                  联系人：</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地址：                                    地址：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                                    电话：</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传真：                                    传真：</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开户银行：                                开户银行：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帐号：                                    帐号：</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签订时间：                                签订时间：</w:t>
      </w:r>
    </w:p>
    <w:p>
      <w:pPr>
        <w:pStyle w:val="65"/>
        <w:spacing w:line="360" w:lineRule="auto"/>
        <w:ind w:left="0" w:leftChars="0" w:firstLine="5520" w:firstLineChars="2300"/>
        <w:rPr>
          <w:rFonts w:ascii="仿宋_GB2312" w:hAnsi="仿宋_GB2312" w:eastAsia="仿宋_GB2312" w:cs="仿宋_GB2312"/>
        </w:rPr>
      </w:pPr>
      <w:r>
        <w:rPr>
          <w:rFonts w:hint="eastAsia" w:ascii="仿宋_GB2312" w:hAnsi="仿宋_GB2312" w:eastAsia="仿宋_GB2312" w:cs="仿宋_GB2312"/>
          <w:color w:val="000000"/>
          <w:sz w:val="24"/>
        </w:rPr>
        <w:t>签订地点：</w:t>
      </w:r>
    </w:p>
    <w:p>
      <w:pPr>
        <w:pStyle w:val="28"/>
        <w:spacing w:line="560" w:lineRule="exact"/>
        <w:ind w:firstLine="482"/>
        <w:jc w:val="center"/>
        <w:rPr>
          <w:rFonts w:hAnsi="仿宋_GB2312" w:cs="仿宋_GB2312"/>
          <w:b/>
          <w:szCs w:val="24"/>
        </w:rPr>
      </w:pPr>
      <w:r>
        <w:rPr>
          <w:rFonts w:hint="eastAsia" w:hAnsi="仿宋_GB2312" w:cs="仿宋_GB2312"/>
          <w:b/>
          <w:szCs w:val="24"/>
        </w:rPr>
        <w:t xml:space="preserve"> </w:t>
      </w:r>
      <w:bookmarkEnd w:id="404"/>
    </w:p>
    <w:p>
      <w:pPr>
        <w:spacing w:line="360" w:lineRule="auto"/>
        <w:ind w:left="-420" w:leftChars="-200" w:right="-420" w:rightChars="-200" w:firstLine="480" w:firstLineChars="200"/>
        <w:jc w:val="center"/>
        <w:outlineLvl w:val="0"/>
        <w:rPr>
          <w:rFonts w:ascii="仿宋" w:hAnsi="仿宋" w:eastAsia="仿宋"/>
          <w:sz w:val="24"/>
        </w:rPr>
      </w:pPr>
    </w:p>
    <w:p>
      <w:pPr>
        <w:pStyle w:val="65"/>
        <w:ind w:firstLine="480"/>
        <w:rPr>
          <w:rFonts w:ascii="仿宋" w:hAnsi="仿宋" w:eastAsia="仿宋"/>
          <w:sz w:val="24"/>
        </w:rPr>
      </w:pPr>
    </w:p>
    <w:p>
      <w:pPr>
        <w:pStyle w:val="24"/>
        <w:rPr>
          <w:rFonts w:ascii="仿宋" w:hAnsi="仿宋" w:eastAsia="仿宋"/>
          <w:sz w:val="24"/>
        </w:rPr>
      </w:pPr>
    </w:p>
    <w:p>
      <w:pPr>
        <w:rPr>
          <w:rFonts w:ascii="仿宋" w:hAnsi="仿宋" w:eastAsia="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02"/>
      <w:r>
        <w:rPr>
          <w:rFonts w:hint="eastAsia" w:ascii="仿宋" w:hAnsi="仿宋" w:eastAsia="仿宋" w:cs="仿宋"/>
          <w:b/>
          <w:sz w:val="36"/>
          <w:szCs w:val="20"/>
        </w:rPr>
        <w:t xml:space="preserve"> </w:t>
      </w:r>
      <w:bookmarkEnd w:id="403"/>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b/>
          <w:color w:val="000000"/>
          <w:sz w:val="24"/>
        </w:rPr>
      </w:pPr>
      <w:r>
        <w:rPr>
          <w:rFonts w:hint="eastAsia" w:ascii="仿宋" w:hAnsi="仿宋" w:eastAsia="仿宋" w:cs="仿宋"/>
          <w:b/>
          <w:color w:val="000000"/>
          <w:sz w:val="24"/>
        </w:rPr>
        <w:t>一、投标人提交投标文件须知：</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2、所附表格中要求回答的全部问题和/或信息都必须正面回答。</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3、本声明书的签字人应保证全部声明和问题的回答是真实的和准确的。</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4、评标委员会将应用投标人提交的资料作出自己的判断。</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5、投标人提交的材料将在一定期限内被保密保存，但不退还。</w:t>
      </w:r>
    </w:p>
    <w:p>
      <w:pPr>
        <w:snapToGrid w:val="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rPr>
        <w:t>将有可能被评标委员会认定为投标无效。</w:t>
      </w:r>
    </w:p>
    <w:p>
      <w:pPr>
        <w:rPr>
          <w:rFonts w:ascii="仿宋" w:hAnsi="仿宋" w:eastAsia="仿宋" w:cs="仿宋"/>
          <w:b/>
          <w:kern w:val="0"/>
          <w:sz w:val="36"/>
          <w:szCs w:val="36"/>
        </w:rPr>
      </w:pPr>
    </w:p>
    <w:p>
      <w:pPr>
        <w:pStyle w:val="65"/>
        <w:ind w:firstLine="723"/>
        <w:rPr>
          <w:rFonts w:ascii="仿宋_GB2312" w:hAnsi="仿宋" w:eastAsia="仿宋_GB2312" w:cs="仿宋_GB2312"/>
          <w:b/>
          <w:kern w:val="0"/>
          <w:sz w:val="36"/>
          <w:szCs w:val="36"/>
        </w:rPr>
      </w:pPr>
    </w:p>
    <w:p>
      <w:pPr>
        <w:pStyle w:val="24"/>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622"/>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11" w:type="default"/>
          <w:footerReference r:id="rId12" w:type="default"/>
          <w:pgSz w:w="11906" w:h="16838"/>
          <w:pgMar w:top="993" w:right="1474" w:bottom="1134" w:left="1474" w:header="851" w:footer="641" w:gutter="0"/>
          <w:cols w:space="720" w:num="1"/>
          <w:docGrid w:type="lines" w:linePitch="315" w:charSpace="0"/>
        </w:sectPr>
      </w:pPr>
    </w:p>
    <w:p>
      <w:pPr>
        <w:pStyle w:val="65"/>
        <w:ind w:firstLine="420"/>
      </w:pPr>
    </w:p>
    <w:p>
      <w:pPr>
        <w:spacing w:line="360" w:lineRule="auto"/>
        <w:jc w:val="center"/>
        <w:outlineLvl w:val="0"/>
        <w:rPr>
          <w:rFonts w:ascii="华文仿宋" w:hAnsi="华文仿宋" w:eastAsia="华文仿宋" w:cs="华文仿宋"/>
          <w:b/>
          <w:kern w:val="0"/>
          <w:sz w:val="36"/>
          <w:szCs w:val="36"/>
        </w:rPr>
      </w:pPr>
      <w:r>
        <w:rPr>
          <w:rFonts w:hint="eastAsia" w:ascii="华文仿宋" w:hAnsi="华文仿宋" w:eastAsia="华文仿宋" w:cs="华文仿宋"/>
          <w:b/>
          <w:kern w:val="0"/>
          <w:sz w:val="36"/>
          <w:szCs w:val="36"/>
        </w:rPr>
        <w:t>目 录</w:t>
      </w:r>
    </w:p>
    <w:p>
      <w:pPr>
        <w:spacing w:line="360" w:lineRule="auto"/>
        <w:jc w:val="center"/>
        <w:outlineLvl w:val="0"/>
        <w:rPr>
          <w:rFonts w:ascii="华文仿宋" w:hAnsi="华文仿宋" w:eastAsia="华文仿宋" w:cs="华文仿宋"/>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pStyle w:val="26"/>
        <w:ind w:firstLine="0" w:firstLineChars="0"/>
      </w:pPr>
      <w:r>
        <w:rPr>
          <w:rFonts w:hint="eastAsia" w:ascii="仿宋_GB2312" w:hAnsi="仿宋" w:eastAsia="仿宋_GB2312" w:cs="仿宋_GB2312"/>
        </w:rPr>
        <w:t>（</w:t>
      </w:r>
      <w:r>
        <w:rPr>
          <w:rFonts w:ascii="仿宋_GB2312" w:hAnsi="仿宋" w:eastAsia="仿宋_GB2312" w:cs="仿宋_GB2312"/>
        </w:rPr>
        <w:t>3）本项目的特定资格要求……</w:t>
      </w:r>
      <w:r>
        <w:rPr>
          <w:rFonts w:hint="eastAsia" w:ascii="仿宋_GB2312" w:hAnsi="仿宋" w:eastAsia="仿宋_GB2312" w:cs="仿宋_GB2312"/>
        </w:rPr>
        <w:t>…………………………………………（页码）</w:t>
      </w:r>
    </w:p>
    <w:p>
      <w:pPr>
        <w:widowControl/>
        <w:snapToGrid w:val="0"/>
        <w:spacing w:line="360" w:lineRule="auto"/>
        <w:jc w:val="left"/>
        <w:rPr>
          <w:rFonts w:ascii="宋体" w:hAnsi="宋体" w:cs="宋体"/>
          <w:color w:val="000000"/>
          <w:kern w:val="0"/>
          <w:sz w:val="24"/>
        </w:rPr>
      </w:pPr>
    </w:p>
    <w:p>
      <w:pPr>
        <w:pStyle w:val="26"/>
      </w:pPr>
    </w:p>
    <w:p>
      <w:pPr>
        <w:widowControl/>
        <w:snapToGrid w:val="0"/>
        <w:spacing w:line="360" w:lineRule="auto"/>
        <w:jc w:val="left"/>
        <w:rPr>
          <w:rFonts w:ascii="宋体" w:hAnsi="宋体" w:cs="宋体"/>
          <w:color w:val="000000"/>
          <w:kern w:val="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pStyle w:val="65"/>
        <w:ind w:firstLine="480"/>
        <w:rPr>
          <w:rFonts w:cs="宋体"/>
          <w:color w:val="000000"/>
          <w:sz w:val="24"/>
        </w:rPr>
      </w:pPr>
    </w:p>
    <w:p>
      <w:pPr>
        <w:pStyle w:val="24"/>
      </w:pPr>
    </w:p>
    <w:p/>
    <w:p>
      <w:pPr>
        <w:pStyle w:val="65"/>
        <w:ind w:firstLine="420"/>
      </w:pPr>
    </w:p>
    <w:p>
      <w:pPr>
        <w:pStyle w:val="24"/>
      </w:pPr>
    </w:p>
    <w:p/>
    <w:p>
      <w:pPr>
        <w:pStyle w:val="65"/>
        <w:ind w:firstLine="420"/>
      </w:pPr>
    </w:p>
    <w:p>
      <w:pPr>
        <w:pStyle w:val="24"/>
      </w:pPr>
    </w:p>
    <w:p/>
    <w:p>
      <w:pPr>
        <w:pStyle w:val="622"/>
      </w:pPr>
    </w:p>
    <w:p>
      <w:pPr>
        <w:pStyle w:val="622"/>
      </w:pPr>
    </w:p>
    <w:p>
      <w:pPr>
        <w:pStyle w:val="622"/>
      </w:pPr>
    </w:p>
    <w:p>
      <w:pPr>
        <w:pStyle w:val="622"/>
      </w:pPr>
    </w:p>
    <w:p>
      <w:pPr>
        <w:pStyle w:val="622"/>
      </w:pPr>
    </w:p>
    <w:p>
      <w:pPr>
        <w:pStyle w:val="622"/>
      </w:pPr>
    </w:p>
    <w:p>
      <w:pPr>
        <w:pStyle w:val="622"/>
      </w:pPr>
    </w:p>
    <w:p>
      <w:pPr>
        <w:pStyle w:val="622"/>
      </w:pPr>
    </w:p>
    <w:p>
      <w:pPr>
        <w:pStyle w:val="622"/>
      </w:pPr>
    </w:p>
    <w:p>
      <w:pPr>
        <w:pStyle w:val="622"/>
      </w:pPr>
    </w:p>
    <w:p>
      <w:pPr>
        <w:pStyle w:val="622"/>
      </w:pPr>
    </w:p>
    <w:p>
      <w:pPr>
        <w:pStyle w:val="622"/>
      </w:pPr>
    </w:p>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互联网执法办案辅助工作服务外包项目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pStyle w:val="65"/>
        <w:ind w:firstLine="420"/>
      </w:pPr>
    </w:p>
    <w:p>
      <w:pPr>
        <w:snapToGrid w:val="0"/>
        <w:spacing w:line="360" w:lineRule="auto"/>
        <w:ind w:right="480"/>
        <w:jc w:val="center"/>
        <w:rPr>
          <w:rFonts w:ascii="仿宋_GB2312" w:hAnsi="仿宋" w:eastAsia="仿宋_GB2312" w:cs="仿宋_GB2312"/>
          <w:b/>
          <w:kern w:val="0"/>
          <w:sz w:val="32"/>
          <w:szCs w:val="32"/>
        </w:rPr>
      </w:pPr>
    </w:p>
    <w:p>
      <w:pPr>
        <w:pStyle w:val="622"/>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widowControl/>
        <w:spacing w:line="360" w:lineRule="auto"/>
        <w:ind w:left="150"/>
        <w:jc w:val="center"/>
        <w:rPr>
          <w:rFonts w:ascii="仿宋_GB2312" w:hAnsi="仿宋" w:eastAsia="仿宋_GB2312" w:cs="仿宋_GB2312"/>
          <w:b/>
          <w:kern w:val="0"/>
          <w:sz w:val="32"/>
          <w:szCs w:val="32"/>
        </w:rPr>
      </w:pPr>
    </w:p>
    <w:p>
      <w:pPr>
        <w:snapToGrid w:val="0"/>
        <w:spacing w:line="360" w:lineRule="auto"/>
        <w:ind w:firstLine="960" w:firstLineChars="400"/>
        <w:rPr>
          <w:rFonts w:ascii="仿宋_GB2312" w:hAnsi="仿宋" w:eastAsia="仿宋_GB2312" w:cs="仿宋_GB2312"/>
          <w:b/>
          <w:bCs/>
          <w:color w:val="000000"/>
          <w:sz w:val="24"/>
        </w:rPr>
      </w:pPr>
      <w:r>
        <w:rPr>
          <w:rFonts w:ascii="仿宋_GB2312" w:hAnsi="仿宋" w:eastAsia="仿宋_GB2312" w:cs="仿宋_GB2312"/>
          <w:color w:val="000000"/>
          <w:sz w:val="24"/>
        </w:rPr>
        <w:t xml:space="preserve">落实政府采购政策需满足的资格要求: </w:t>
      </w:r>
      <w:r>
        <w:rPr>
          <w:rFonts w:hint="eastAsia" w:ascii="仿宋_GB2312" w:hAnsi="仿宋" w:eastAsia="仿宋_GB2312" w:cs="仿宋_GB2312"/>
          <w:b/>
          <w:bCs/>
          <w:color w:val="000000"/>
          <w:sz w:val="24"/>
        </w:rPr>
        <w:t>本项目为专门面向小</w:t>
      </w:r>
      <w:r>
        <w:rPr>
          <w:rFonts w:hint="eastAsia" w:ascii="仿宋_GB2312" w:hAnsi="仿宋" w:eastAsia="仿宋_GB2312" w:cs="仿宋_GB2312"/>
          <w:b/>
          <w:bCs/>
          <w:color w:val="000000"/>
          <w:sz w:val="24"/>
          <w:lang w:val="en-US" w:eastAsia="zh-CN"/>
        </w:rPr>
        <w:t>微</w:t>
      </w:r>
      <w:r>
        <w:rPr>
          <w:rFonts w:hint="eastAsia" w:ascii="仿宋_GB2312" w:hAnsi="仿宋" w:eastAsia="仿宋_GB2312" w:cs="仿宋_GB2312"/>
          <w:b/>
          <w:bCs/>
          <w:color w:val="000000"/>
          <w:sz w:val="24"/>
        </w:rPr>
        <w:t>企业采购的项目</w:t>
      </w:r>
      <w:r>
        <w:rPr>
          <w:rFonts w:ascii="仿宋_GB2312" w:hAnsi="仿宋" w:eastAsia="仿宋_GB2312" w:cs="仿宋_GB2312"/>
          <w:b/>
          <w:bCs/>
          <w:color w:val="000000"/>
          <w:sz w:val="24"/>
        </w:rPr>
        <w:t>,投标单位应为小</w:t>
      </w:r>
      <w:r>
        <w:rPr>
          <w:rFonts w:hint="eastAsia" w:ascii="仿宋_GB2312" w:hAnsi="仿宋" w:eastAsia="仿宋_GB2312" w:cs="仿宋_GB2312"/>
          <w:b/>
          <w:bCs/>
          <w:color w:val="000000"/>
          <w:sz w:val="24"/>
          <w:lang w:val="en-US" w:eastAsia="zh-CN"/>
        </w:rPr>
        <w:t>微</w:t>
      </w:r>
      <w:r>
        <w:rPr>
          <w:rFonts w:ascii="仿宋_GB2312" w:hAnsi="仿宋" w:eastAsia="仿宋_GB2312" w:cs="仿宋_GB2312"/>
          <w:b/>
          <w:bCs/>
          <w:color w:val="000000"/>
          <w:sz w:val="24"/>
        </w:rPr>
        <w:t>企业或监狱企业和残疾人福利性单位，出具《小</w:t>
      </w:r>
      <w:r>
        <w:rPr>
          <w:rFonts w:hint="eastAsia" w:ascii="仿宋_GB2312" w:hAnsi="仿宋" w:eastAsia="仿宋_GB2312" w:cs="仿宋_GB2312"/>
          <w:b/>
          <w:bCs/>
          <w:color w:val="000000"/>
          <w:sz w:val="24"/>
          <w:lang w:val="en-US" w:eastAsia="zh-CN"/>
        </w:rPr>
        <w:t>微</w:t>
      </w:r>
      <w:r>
        <w:rPr>
          <w:rFonts w:ascii="仿宋_GB2312" w:hAnsi="仿宋" w:eastAsia="仿宋_GB2312" w:cs="仿宋_GB2312"/>
          <w:b/>
          <w:bCs/>
          <w:color w:val="000000"/>
          <w:sz w:val="24"/>
        </w:rPr>
        <w:t xml:space="preserve">企业声明函》，否则作无效投标。                 </w:t>
      </w:r>
    </w:p>
    <w:p>
      <w:pPr>
        <w:pStyle w:val="65"/>
        <w:ind w:firstLine="643"/>
        <w:rPr>
          <w:rFonts w:ascii="仿宋_GB2312" w:hAnsi="仿宋" w:eastAsia="仿宋_GB2312" w:cs="仿宋_GB2312"/>
          <w:b/>
          <w:kern w:val="0"/>
          <w:sz w:val="32"/>
          <w:szCs w:val="32"/>
        </w:rPr>
      </w:pPr>
    </w:p>
    <w:p>
      <w:pPr>
        <w:snapToGrid w:val="0"/>
        <w:spacing w:before="50" w:after="50" w:line="360" w:lineRule="auto"/>
        <w:ind w:firstLine="472" w:firstLineChars="196"/>
        <w:jc w:val="left"/>
        <w:rPr>
          <w:rFonts w:ascii="仿宋_GB2312" w:hAnsi="仿宋" w:eastAsia="仿宋_GB2312" w:cs="仿宋_GB2312"/>
          <w:sz w:val="24"/>
        </w:rPr>
      </w:pPr>
      <w:r>
        <w:rPr>
          <w:rFonts w:hint="eastAsia" w:ascii="仿宋_GB2312" w:hAnsi="仿宋" w:eastAsia="仿宋_GB2312" w:cs="仿宋_GB2312"/>
          <w:b/>
          <w:bCs w:val="0"/>
          <w:sz w:val="24"/>
        </w:rPr>
        <w:t>专门面向小</w:t>
      </w:r>
      <w:r>
        <w:rPr>
          <w:rFonts w:hint="eastAsia" w:ascii="仿宋_GB2312" w:hAnsi="仿宋" w:eastAsia="仿宋_GB2312" w:cs="仿宋_GB2312"/>
          <w:b/>
          <w:bCs w:val="0"/>
          <w:sz w:val="24"/>
          <w:lang w:val="en-US" w:eastAsia="zh-CN"/>
        </w:rPr>
        <w:t>微</w:t>
      </w:r>
      <w:r>
        <w:rPr>
          <w:rFonts w:hint="eastAsia" w:ascii="仿宋_GB2312" w:hAnsi="仿宋" w:eastAsia="仿宋_GB2312" w:cs="仿宋_GB2312"/>
          <w:b/>
          <w:bCs w:val="0"/>
          <w:sz w:val="24"/>
        </w:rPr>
        <w:t>企业，货物全部由符合政策要求的小</w:t>
      </w:r>
      <w:r>
        <w:rPr>
          <w:rFonts w:hint="eastAsia" w:ascii="仿宋_GB2312" w:hAnsi="仿宋" w:eastAsia="仿宋_GB2312" w:cs="仿宋_GB2312"/>
          <w:b/>
          <w:bCs w:val="0"/>
          <w:sz w:val="24"/>
          <w:lang w:val="en-US" w:eastAsia="zh-CN"/>
        </w:rPr>
        <w:t>微</w:t>
      </w:r>
      <w:r>
        <w:rPr>
          <w:rFonts w:hint="eastAsia" w:ascii="仿宋_GB2312" w:hAnsi="仿宋" w:eastAsia="仿宋_GB2312" w:cs="仿宋_GB2312"/>
          <w:b/>
          <w:bCs w:val="0"/>
          <w:sz w:val="24"/>
        </w:rPr>
        <w:t>企业制造或者服务全部由符合政策要求的中小微企业承接的，提供相应的</w:t>
      </w:r>
      <w:r>
        <w:rPr>
          <w:rFonts w:hint="eastAsia" w:ascii="仿宋_GB2312" w:hAnsi="仿宋" w:eastAsia="仿宋_GB2312" w:cs="仿宋_GB2312"/>
          <w:b/>
          <w:bCs w:val="0"/>
          <w:sz w:val="24"/>
          <w:lang w:val="en-US" w:eastAsia="zh-CN"/>
        </w:rPr>
        <w:t>小微</w:t>
      </w:r>
      <w:r>
        <w:rPr>
          <w:rFonts w:hint="eastAsia" w:ascii="仿宋_GB2312" w:hAnsi="仿宋" w:eastAsia="仿宋_GB2312" w:cs="仿宋_GB2312"/>
          <w:b/>
          <w:bCs w:val="0"/>
          <w:sz w:val="24"/>
        </w:rPr>
        <w:t>企业声明函（附件</w:t>
      </w:r>
      <w:r>
        <w:rPr>
          <w:rFonts w:ascii="仿宋_GB2312" w:hAnsi="仿宋" w:eastAsia="仿宋_GB2312" w:cs="仿宋_GB2312"/>
          <w:b/>
          <w:bCs w:val="0"/>
          <w:sz w:val="24"/>
        </w:rPr>
        <w:t>5</w:t>
      </w:r>
      <w:r>
        <w:rPr>
          <w:rFonts w:hint="eastAsia" w:ascii="仿宋_GB2312" w:hAnsi="仿宋" w:eastAsia="仿宋_GB2312" w:cs="仿宋_GB2312"/>
          <w:b/>
          <w:bCs w:val="0"/>
          <w:sz w:val="24"/>
        </w:rPr>
        <w:t>）</w:t>
      </w:r>
      <w:r>
        <w:rPr>
          <w:rFonts w:hint="eastAsia" w:ascii="仿宋_GB2312" w:hAnsi="仿宋" w:eastAsia="仿宋_GB2312" w:cs="仿宋_GB2312"/>
          <w:sz w:val="24"/>
        </w:rPr>
        <w:t>。</w:t>
      </w:r>
      <w:r>
        <w:rPr>
          <w:rFonts w:ascii="仿宋_GB2312" w:hAnsi="仿宋" w:eastAsia="仿宋_GB2312" w:cs="仿宋_GB2312"/>
          <w:sz w:val="24"/>
        </w:rPr>
        <w:t xml:space="preserve"> </w:t>
      </w:r>
    </w:p>
    <w:p>
      <w:pPr>
        <w:pStyle w:val="2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65"/>
        <w:ind w:firstLine="420"/>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p>
    <w:p>
      <w:pPr>
        <w:spacing w:line="360" w:lineRule="auto"/>
        <w:ind w:right="420" w:firstLine="2530" w:firstLineChars="7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pStyle w:val="26"/>
        <w:spacing w:line="360" w:lineRule="auto"/>
        <w:rPr>
          <w:rFonts w:ascii="仿宋_GB2312" w:hAnsi="仿宋_GB2312" w:eastAsia="仿宋_GB2312" w:cs="仿宋_GB231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0" w:name="_Toc17190"/>
      <w:r>
        <w:rPr>
          <w:rFonts w:hint="eastAsia" w:ascii="仿宋_GB2312" w:hAnsi="仿宋_GB2312" w:eastAsia="仿宋_GB2312" w:cs="仿宋_GB2312"/>
          <w:b/>
          <w:bCs/>
          <w:color w:val="000000"/>
          <w:sz w:val="52"/>
          <w:szCs w:val="52"/>
        </w:rPr>
        <w:t>商 务 技 术 文 件</w:t>
      </w:r>
      <w:bookmarkEnd w:id="420"/>
    </w:p>
    <w:p>
      <w:pPr>
        <w:widowControl/>
        <w:spacing w:line="360" w:lineRule="auto"/>
        <w:ind w:right="-2"/>
        <w:jc w:val="center"/>
        <w:outlineLvl w:val="1"/>
        <w:rPr>
          <w:rFonts w:ascii="仿宋_GB2312" w:hAnsi="仿宋_GB2312" w:eastAsia="仿宋_GB2312" w:cs="仿宋_GB2312"/>
          <w:b/>
          <w:color w:val="000000"/>
          <w:sz w:val="36"/>
          <w:szCs w:val="36"/>
        </w:rPr>
      </w:pPr>
      <w:bookmarkStart w:id="421" w:name="_Toc27078"/>
      <w:r>
        <w:rPr>
          <w:rFonts w:hint="eastAsia" w:ascii="仿宋_GB2312" w:hAnsi="仿宋_GB2312" w:eastAsia="仿宋_GB2312" w:cs="仿宋_GB2312"/>
          <w:b/>
          <w:color w:val="000000"/>
          <w:sz w:val="36"/>
          <w:szCs w:val="36"/>
        </w:rPr>
        <w:t>（线上电子招投标）</w:t>
      </w:r>
      <w:bookmarkEnd w:id="421"/>
    </w:p>
    <w:p>
      <w:pPr>
        <w:pStyle w:val="622"/>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2" w:name="_Toc28851"/>
      <w:r>
        <w:rPr>
          <w:rFonts w:hint="eastAsia" w:ascii="仿宋_GB2312" w:hAnsi="仿宋_GB2312" w:eastAsia="仿宋_GB2312" w:cs="仿宋_GB2312"/>
          <w:b/>
          <w:bCs/>
          <w:color w:val="000000"/>
          <w:sz w:val="36"/>
          <w:szCs w:val="36"/>
        </w:rPr>
        <w:t xml:space="preserve">  招标编号：</w:t>
      </w:r>
      <w:bookmarkEnd w:id="422"/>
      <w:r>
        <w:rPr>
          <w:rFonts w:hint="eastAsia" w:ascii="仿宋_GB2312" w:hAnsi="仿宋_GB2312" w:eastAsia="仿宋_GB2312" w:cs="仿宋_GB2312"/>
          <w:b/>
          <w:bCs/>
          <w:color w:val="000000"/>
          <w:sz w:val="36"/>
          <w:szCs w:val="36"/>
        </w:rPr>
        <w:t xml:space="preserve">YHZFCG2022- </w:t>
      </w:r>
    </w:p>
    <w:p>
      <w:pPr>
        <w:pStyle w:val="622"/>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72"/>
          <w:szCs w:val="72"/>
        </w:rPr>
        <w:t>件</w:t>
      </w:r>
    </w:p>
    <w:p>
      <w:pPr>
        <w:pStyle w:val="26"/>
        <w:spacing w:line="360" w:lineRule="auto"/>
        <w:rPr>
          <w:rFonts w:ascii="仿宋_GB2312" w:hAnsi="仿宋_GB2312" w:eastAsia="仿宋_GB2312" w:cs="仿宋_GB2312"/>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cols w:space="720" w:num="1"/>
          <w:docGrid w:type="lines" w:linePitch="315" w:charSpace="0"/>
        </w:sectPr>
      </w:pPr>
    </w:p>
    <w:p>
      <w:pPr>
        <w:pStyle w:val="65"/>
        <w:ind w:firstLine="420"/>
        <w:rPr>
          <w:rFonts w:ascii="仿宋_GB2312" w:hAnsi="仿宋_GB2312" w:eastAsia="仿宋_GB2312" w:cs="仿宋_GB2312"/>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w:t>
      </w:r>
      <w:r>
        <w:rPr>
          <w:rFonts w:hint="eastAsia" w:ascii="仿宋_GB2312" w:hAnsi="仿宋" w:eastAsia="仿宋_GB2312" w:cs="仿宋_GB2312"/>
          <w:b/>
          <w:kern w:val="0"/>
          <w:sz w:val="28"/>
          <w:szCs w:val="28"/>
          <w:lang w:val="en-US" w:eastAsia="zh-CN"/>
        </w:rPr>
        <w:t xml:space="preserve"> </w:t>
      </w:r>
      <w:r>
        <w:rPr>
          <w:rFonts w:hint="eastAsia" w:ascii="仿宋_GB2312" w:hAnsi="仿宋" w:eastAsia="仿宋_GB2312" w:cs="仿宋_GB2312"/>
          <w:b/>
          <w:kern w:val="0"/>
          <w:sz w:val="28"/>
          <w:szCs w:val="28"/>
        </w:rPr>
        <w:t>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）关于对招标文件中有关条款的拒绝声明（如果有的话）</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）投标人认为需要提供的与本项目有关的其他文件和说明</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65"/>
        <w:ind w:firstLine="643"/>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pPr>
    </w:p>
    <w:p>
      <w:pPr>
        <w:snapToGrid w:val="0"/>
        <w:spacing w:line="360" w:lineRule="auto"/>
        <w:jc w:val="center"/>
        <w:outlineLvl w:val="0"/>
        <w:rPr>
          <w:rFonts w:ascii="仿宋_GB2312" w:hAnsi="仿宋" w:eastAsia="仿宋_GB2312" w:cs="仿宋_GB2312"/>
          <w:b/>
          <w:kern w:val="0"/>
          <w:sz w:val="32"/>
          <w:szCs w:val="32"/>
        </w:rPr>
      </w:pPr>
    </w:p>
    <w:p>
      <w:pPr>
        <w:pStyle w:val="65"/>
        <w:ind w:firstLine="643"/>
        <w:rPr>
          <w:rFonts w:ascii="仿宋_GB2312" w:hAnsi="仿宋" w:eastAsia="仿宋_GB2312" w:cs="仿宋_GB2312"/>
          <w:b/>
          <w:kern w:val="0"/>
          <w:sz w:val="32"/>
          <w:szCs w:val="32"/>
        </w:rPr>
      </w:pPr>
    </w:p>
    <w:p>
      <w:pPr>
        <w:pStyle w:val="24"/>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12"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zh-CN"/>
        </w:rPr>
        <w:t>杭州市余杭区市场监督管理局</w:t>
      </w:r>
      <w:r>
        <w:rPr>
          <w:rFonts w:hint="eastAsia" w:ascii="仿宋_GB2312" w:hAnsi="仿宋" w:eastAsia="仿宋_GB2312" w:cs="仿宋_GB2312"/>
          <w:sz w:val="24"/>
        </w:rPr>
        <w:t>）、（耀华建设管理有限公司）：</w:t>
      </w:r>
    </w:p>
    <w:p>
      <w:pPr>
        <w:snapToGrid w:val="0"/>
        <w:spacing w:line="312"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lang w:eastAsia="zh-CN"/>
        </w:rPr>
        <w:t>互联网执法办案辅助工作服务外包项目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12"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12"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12" w:lineRule="auto"/>
        <w:ind w:left="0" w:leftChars="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12" w:lineRule="auto"/>
        <w:ind w:firstLine="3600" w:firstLineChars="1500"/>
        <w:rPr>
          <w:rFonts w:ascii="仿宋_GB2312" w:hAnsi="仿宋" w:eastAsia="仿宋_GB2312" w:cs="仿宋_GB2312"/>
          <w:sz w:val="24"/>
        </w:rPr>
      </w:pPr>
    </w:p>
    <w:p>
      <w:pPr>
        <w:spacing w:line="312"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12"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4154" w:firstLineChars="1293"/>
      </w:pPr>
      <w:r>
        <w:rPr>
          <w:rFonts w:hint="eastAsia" w:ascii="仿宋_GB2312" w:hAnsi="仿宋" w:eastAsia="仿宋_GB2312" w:cs="仿宋_GB2312"/>
          <w:b/>
          <w:kern w:val="0"/>
          <w:sz w:val="32"/>
          <w:szCs w:val="32"/>
          <w:lang w:val="zh-CN"/>
        </w:rPr>
        <w:t>授</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权</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委</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托</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书</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val="zh-CN"/>
        </w:rPr>
        <w:t>杭州市余杭区市场监督管理局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lang w:eastAsia="zh-CN"/>
        </w:rPr>
        <w:t>互联网执法办案辅助工作服务外包项目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投标人名称(公章或电子公章)：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rPr>
          <w:rFonts w:ascii="仿宋_GB2312" w:hAnsi="仿宋" w:eastAsia="仿宋_GB2312" w:cs="仿宋_GB2312"/>
          <w:sz w:val="24"/>
        </w:rPr>
      </w:pPr>
    </w:p>
    <w:p>
      <w:pPr>
        <w:pStyle w:val="65"/>
        <w:ind w:firstLine="420"/>
      </w:pPr>
    </w:p>
    <w:p>
      <w:pPr>
        <w:autoSpaceDE w:val="0"/>
        <w:autoSpaceDN w:val="0"/>
        <w:spacing w:line="360" w:lineRule="auto"/>
        <w:jc w:val="center"/>
        <w:rPr>
          <w:rFonts w:hint="eastAsia" w:ascii="仿宋_GB2312" w:hAnsi="仿宋" w:eastAsia="仿宋_GB2312" w:cs="仿宋_GB2312"/>
          <w:b/>
          <w:kern w:val="0"/>
          <w:sz w:val="32"/>
          <w:szCs w:val="32"/>
          <w:lang w:val="zh-CN"/>
        </w:rPr>
      </w:pP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 xml:space="preserve">注：另提供-法人或者其他组织机构的营业执照（扫描件或复印件加盖公章）或事业法人登记证书或其他工商等登记证明材料；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spacing w:line="360" w:lineRule="auto"/>
        <w:jc w:val="center"/>
        <w:rPr>
          <w:rFonts w:hint="eastAsia" w:ascii="仿宋_GB2312" w:hAnsi="仿宋" w:eastAsia="仿宋_GB2312" w:cs="仿宋_GB2312"/>
          <w:b/>
          <w:kern w:val="0"/>
          <w:sz w:val="32"/>
          <w:szCs w:val="32"/>
          <w:lang w:val="zh-CN"/>
        </w:rPr>
      </w:pPr>
    </w:p>
    <w:p>
      <w:pPr>
        <w:pStyle w:val="4"/>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4"/>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4"/>
        <w:rPr>
          <w:rFonts w:hint="eastAsia" w:ascii="仿宋_GB2312" w:hAnsi="仿宋" w:eastAsia="仿宋_GB2312" w:cs="仿宋_GB2312"/>
          <w:b/>
          <w:kern w:val="0"/>
          <w:sz w:val="32"/>
          <w:szCs w:val="32"/>
          <w:lang w:val="zh-CN"/>
        </w:rPr>
      </w:pPr>
    </w:p>
    <w:p>
      <w:pPr>
        <w:rPr>
          <w:rFonts w:hint="eastAsia"/>
          <w:lang w:val="zh-CN"/>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jc w:val="center"/>
        </w:trPr>
        <w:tc>
          <w:tcPr>
            <w:tcW w:w="9207" w:type="dxa"/>
            <w:vAlign w:val="top"/>
          </w:tcPr>
          <w:p>
            <w:pPr>
              <w:pStyle w:val="9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eastAsia" w:ascii="仿宋" w:hAnsi="仿宋" w:eastAsia="仿宋" w:cs="仿宋"/>
          <w:color w:val="000000"/>
          <w:kern w:val="0"/>
          <w:sz w:val="24"/>
          <w:lang w:val="zh-CN"/>
        </w:rPr>
        <w:t>(公章或电子公章)</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65"/>
        <w:ind w:left="0" w:leftChars="0" w:firstLine="0" w:firstLineChars="0"/>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71"/>
        <w:gridCol w:w="321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07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21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79"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3210"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679" w:type="dxa"/>
            <w:vAlign w:val="top"/>
          </w:tcPr>
          <w:p>
            <w:pPr>
              <w:rPr>
                <w:rFonts w:ascii="仿宋" w:hAnsi="仿宋" w:eastAsia="仿宋" w:cs="仿宋_GB2312"/>
                <w:sz w:val="24"/>
              </w:rPr>
            </w:pPr>
          </w:p>
          <w:p>
            <w:r>
              <w:rPr>
                <w:rFonts w:hint="eastAsia" w:ascii="仿宋" w:hAnsi="仿宋" w:eastAsia="仿宋" w:cs="仿宋_GB2312"/>
                <w:sz w:val="24"/>
              </w:rPr>
              <w:t>详见投标文件所有内容。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hint="eastAsia" w:ascii="仿宋" w:hAnsi="仿宋" w:eastAsia="仿宋"/>
                <w:sz w:val="24"/>
                <w:lang w:val="en-US" w:eastAsia="zh-CN"/>
              </w:rPr>
              <w:t>2</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3210" w:type="dxa"/>
            <w:vAlign w:val="center"/>
          </w:tcPr>
          <w:p>
            <w:pPr>
              <w:rPr>
                <w:rFonts w:ascii="仿宋" w:hAnsi="仿宋" w:eastAsia="仿宋"/>
                <w:sz w:val="24"/>
              </w:rPr>
            </w:pPr>
            <w:r>
              <w:rPr>
                <w:rFonts w:hint="eastAsia" w:ascii="仿宋" w:hAnsi="仿宋" w:eastAsia="仿宋"/>
                <w:sz w:val="24"/>
              </w:rPr>
              <w:t>投标函</w:t>
            </w:r>
          </w:p>
        </w:tc>
        <w:tc>
          <w:tcPr>
            <w:tcW w:w="1679"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4071" w:type="dxa"/>
            <w:vAlign w:val="center"/>
          </w:tcPr>
          <w:p>
            <w:pPr>
              <w:spacing w:line="360" w:lineRule="auto"/>
              <w:jc w:val="left"/>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210"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79" w:type="dxa"/>
            <w:vAlign w:val="top"/>
          </w:tcPr>
          <w:p>
            <w:pPr>
              <w:rPr>
                <w:rFonts w:hint="eastAsia" w:ascii="仿宋" w:hAnsi="仿宋" w:eastAsia="仿宋" w:cs="仿宋_GB2312"/>
                <w:sz w:val="24"/>
              </w:rPr>
            </w:pPr>
            <w:r>
              <w:rPr>
                <w:rFonts w:hint="eastAsia" w:ascii="仿宋" w:hAnsi="仿宋" w:eastAsia="仿宋" w:cs="仿宋_GB2312"/>
                <w:sz w:val="24"/>
              </w:rPr>
              <w:t>见投标文件第</w:t>
            </w:r>
          </w:p>
          <w:p>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numPr>
          <w:ilvl w:val="0"/>
          <w:numId w:val="0"/>
        </w:numPr>
        <w:spacing w:line="360" w:lineRule="auto"/>
        <w:ind w:right="240" w:firstLine="480" w:firstLineChars="200"/>
        <w:rPr>
          <w:rFonts w:ascii="仿宋" w:hAnsi="仿宋" w:eastAsia="仿宋" w:cs="仿宋"/>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6"/>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vAlign w:val="top"/>
          </w:tcPr>
          <w:p/>
          <w:p/>
        </w:tc>
        <w:tc>
          <w:tcPr>
            <w:tcW w:w="189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 xml:space="preserve"> </w:t>
            </w:r>
          </w:p>
        </w:tc>
        <w:tc>
          <w:tcPr>
            <w:tcW w:w="5399" w:type="dxa"/>
            <w:vAlign w:val="top"/>
          </w:tcPr>
          <w:p>
            <w:pPr>
              <w:widowControl/>
              <w:shd w:val="clear" w:color="auto" w:fill="FFFFFF"/>
              <w:adjustRightInd/>
              <w:spacing w:after="225" w:line="315" w:lineRule="atLeast"/>
              <w:ind w:firstLine="420"/>
              <w:jc w:val="left"/>
              <w:rPr>
                <w:rFonts w:ascii="仿宋" w:eastAsia="仿宋"/>
                <w:sz w:val="24"/>
              </w:rPr>
            </w:pPr>
          </w:p>
        </w:tc>
        <w:tc>
          <w:tcPr>
            <w:tcW w:w="1344" w:type="dxa"/>
            <w:vAlign w:val="center"/>
          </w:tcPr>
          <w:p>
            <w:pPr>
              <w:spacing w:line="360" w:lineRule="auto"/>
              <w:ind w:firstLine="120" w:firstLineChars="5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、商务技术偏离表</w:t>
      </w:r>
    </w:p>
    <w:tbl>
      <w:tblPr>
        <w:tblStyle w:val="67"/>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1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195"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320"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投标人保证：除商务技术偏离表列出的偏离外，投标人响应招标文件的全部要求。全部响应的可统一填写“完全响应招标文件条款”即可。</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ascii="仿宋_GB2312" w:hAnsi="仿宋" w:eastAsia="仿宋_GB2312" w:cs="仿宋_GB2312"/>
          <w:kern w:val="0"/>
          <w:sz w:val="24"/>
          <w:lang w:val="zh-CN"/>
        </w:rPr>
        <w:t xml:space="preserve"> 投标人名称(公章或电子公章)：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65"/>
        <w:ind w:firstLine="643"/>
        <w:rPr>
          <w:rFonts w:ascii="仿宋_GB2312" w:hAnsi="仿宋" w:eastAsia="仿宋_GB2312"/>
          <w:b/>
          <w:bCs/>
          <w:sz w:val="32"/>
          <w:szCs w:val="32"/>
        </w:rPr>
      </w:pPr>
    </w:p>
    <w:p>
      <w:pPr>
        <w:pStyle w:val="24"/>
      </w:pPr>
    </w:p>
    <w:p>
      <w:pPr>
        <w:rPr>
          <w:rFonts w:ascii="仿宋_GB2312" w:hAnsi="仿宋" w:eastAsia="仿宋_GB2312" w:cs="仿宋_GB2312"/>
          <w:b/>
          <w:kern w:val="0"/>
          <w:sz w:val="32"/>
          <w:szCs w:val="32"/>
        </w:rPr>
      </w:pPr>
    </w:p>
    <w:p>
      <w:pPr>
        <w:pStyle w:val="26"/>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kern w:val="0"/>
          <w:sz w:val="24"/>
          <w:lang w:val="zh-CN"/>
        </w:rPr>
        <w:t>杭州市余杭区市场监督管理局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投标人名称(公章或电子公章)：</w:t>
      </w:r>
      <w:r>
        <w:rPr>
          <w:rFonts w:ascii="仿宋_GB2312" w:hAnsi="仿宋_GB2312" w:eastAsia="仿宋_GB2312" w:cs="仿宋_GB2312"/>
          <w:kern w:val="0"/>
          <w:sz w:val="24"/>
          <w:lang w:val="zh-CN"/>
        </w:rPr>
        <w:t xml:space="preserve">                                                                                                                                                                                                               </w:t>
      </w:r>
    </w:p>
    <w:p>
      <w:pPr>
        <w:spacing w:line="360" w:lineRule="auto"/>
        <w:ind w:left="4620" w:left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pStyle w:val="2"/>
        <w:rPr>
          <w:rFonts w:ascii="仿宋_GB2312" w:hAnsi="仿宋_GB2312" w:eastAsia="仿宋_GB2312" w:cs="仿宋_GB2312"/>
          <w:kern w:val="0"/>
          <w:sz w:val="24"/>
          <w:lang w:val="zh-CN"/>
        </w:rPr>
      </w:pPr>
    </w:p>
    <w:p>
      <w:pPr>
        <w:rPr>
          <w:rFonts w:ascii="仿宋_GB2312" w:hAnsi="仿宋_GB2312" w:eastAsia="仿宋_GB2312" w:cs="仿宋_GB2312"/>
          <w:kern w:val="0"/>
          <w:sz w:val="24"/>
          <w:lang w:val="zh-CN"/>
        </w:rPr>
      </w:pPr>
    </w:p>
    <w:p>
      <w:pPr>
        <w:pStyle w:val="2"/>
        <w:rPr>
          <w:rFonts w:ascii="仿宋_GB2312" w:hAnsi="仿宋_GB2312" w:eastAsia="仿宋_GB2312" w:cs="仿宋_GB2312"/>
          <w:kern w:val="0"/>
          <w:sz w:val="24"/>
          <w:lang w:val="zh-CN"/>
        </w:rPr>
      </w:pPr>
    </w:p>
    <w:p>
      <w:pPr>
        <w:rPr>
          <w:rFonts w:ascii="仿宋_GB2312" w:hAnsi="仿宋_GB2312" w:eastAsia="仿宋_GB2312" w:cs="仿宋_GB2312"/>
          <w:kern w:val="0"/>
          <w:sz w:val="24"/>
          <w:lang w:val="zh-CN"/>
        </w:rPr>
      </w:pPr>
    </w:p>
    <w:p>
      <w:pPr>
        <w:pStyle w:val="2"/>
        <w:rPr>
          <w:rFonts w:ascii="仿宋_GB2312" w:hAnsi="仿宋_GB2312" w:eastAsia="仿宋_GB2312" w:cs="仿宋_GB2312"/>
          <w:kern w:val="0"/>
          <w:sz w:val="24"/>
          <w:lang w:val="zh-CN"/>
        </w:rPr>
      </w:pPr>
    </w:p>
    <w:p>
      <w:pPr>
        <w:numPr>
          <w:ilvl w:val="0"/>
          <w:numId w:val="8"/>
        </w:numPr>
        <w:jc w:val="center"/>
        <w:rPr>
          <w:rFonts w:hint="eastAsia"/>
          <w:b/>
          <w:bCs/>
          <w:sz w:val="32"/>
          <w:szCs w:val="32"/>
          <w:lang w:eastAsia="zh-CN"/>
        </w:rPr>
      </w:pPr>
      <w:r>
        <w:rPr>
          <w:rFonts w:hint="eastAsia"/>
          <w:b/>
          <w:bCs/>
          <w:sz w:val="32"/>
          <w:szCs w:val="32"/>
          <w:lang w:eastAsia="zh-CN"/>
        </w:rPr>
        <w:t>投标承诺书</w:t>
      </w:r>
    </w:p>
    <w:p>
      <w:pPr>
        <w:spacing w:line="360" w:lineRule="auto"/>
        <w:ind w:right="240" w:firstLine="482" w:firstLineChars="200"/>
        <w:rPr>
          <w:rFonts w:hint="eastAsia" w:ascii="仿宋" w:hAnsi="仿宋" w:eastAsia="仿宋" w:cs="仿宋"/>
          <w:b/>
          <w:sz w:val="24"/>
          <w:highlight w:val="none"/>
        </w:rPr>
      </w:pPr>
    </w:p>
    <w:p>
      <w:pPr>
        <w:snapToGrid w:val="0"/>
        <w:spacing w:line="360" w:lineRule="auto"/>
        <w:rPr>
          <w:rFonts w:hint="eastAsia"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kern w:val="0"/>
          <w:sz w:val="24"/>
          <w:lang w:val="zh-CN"/>
        </w:rPr>
        <w:t>杭州市余杭区市场监督管理局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spacing w:line="360" w:lineRule="auto"/>
        <w:ind w:right="240" w:firstLine="482" w:firstLineChars="200"/>
        <w:rPr>
          <w:rFonts w:hint="eastAsia" w:ascii="仿宋" w:hAnsi="仿宋" w:eastAsia="仿宋" w:cs="仿宋"/>
          <w:b/>
          <w:sz w:val="24"/>
          <w:highlight w:val="none"/>
        </w:rPr>
      </w:pPr>
    </w:p>
    <w:p>
      <w:pPr>
        <w:spacing w:line="480" w:lineRule="auto"/>
        <w:ind w:right="240"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中标方须确保工作按时完成，维持一定的工作人员数量，中标后最少配备70名工作人员</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其中65人驻</w:t>
      </w:r>
      <w:r>
        <w:rPr>
          <w:rFonts w:hint="eastAsia" w:ascii="仿宋" w:hAnsi="仿宋" w:eastAsia="仿宋" w:cs="仿宋"/>
          <w:sz w:val="24"/>
          <w:highlight w:val="none"/>
        </w:rPr>
        <w:t>场提供服务。合同签订后7天内完成招募培训工作</w:t>
      </w:r>
      <w:r>
        <w:rPr>
          <w:rFonts w:hint="eastAsia" w:ascii="仿宋" w:hAnsi="仿宋" w:eastAsia="仿宋" w:cs="仿宋"/>
          <w:b/>
          <w:bCs/>
          <w:sz w:val="24"/>
          <w:highlight w:val="none"/>
        </w:rPr>
        <w:t>。</w:t>
      </w:r>
    </w:p>
    <w:p>
      <w:pPr>
        <w:pStyle w:val="2"/>
        <w:spacing w:line="480" w:lineRule="auto"/>
        <w:rPr>
          <w:rFonts w:hint="eastAsia" w:ascii="仿宋" w:hAnsi="仿宋" w:eastAsia="仿宋" w:cs="仿宋"/>
          <w:b/>
          <w:bCs/>
          <w:sz w:val="24"/>
          <w:highlight w:val="none"/>
        </w:rPr>
      </w:pPr>
    </w:p>
    <w:p>
      <w:pPr>
        <w:rPr>
          <w:rFonts w:hint="eastAsia" w:ascii="仿宋" w:hAnsi="仿宋" w:eastAsia="仿宋" w:cs="仿宋"/>
          <w:b/>
          <w:bCs/>
          <w:sz w:val="24"/>
          <w:highlight w:val="none"/>
        </w:rPr>
      </w:pPr>
    </w:p>
    <w:p>
      <w:pPr>
        <w:pStyle w:val="2"/>
      </w:pPr>
    </w:p>
    <w:p>
      <w:pPr>
        <w:pStyle w:val="2"/>
        <w:numPr>
          <w:ilvl w:val="0"/>
          <w:numId w:val="0"/>
        </w:numPr>
        <w:rPr>
          <w:rFonts w:hint="eastAsia"/>
          <w:lang w:eastAsia="zh-CN"/>
        </w:rPr>
      </w:pPr>
    </w:p>
    <w:p>
      <w:pPr>
        <w:spacing w:line="360" w:lineRule="auto"/>
        <w:jc w:val="center"/>
        <w:rPr>
          <w:rFonts w:ascii="仿宋_GB2312" w:hAnsi="仿宋" w:eastAsia="仿宋_GB2312" w:cs="仿宋_GB2312"/>
          <w:b/>
          <w:bCs/>
          <w:sz w:val="24"/>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投标人名称(公章或电子公章)：</w:t>
      </w:r>
      <w:r>
        <w:rPr>
          <w:rFonts w:ascii="仿宋_GB2312" w:hAnsi="仿宋_GB2312" w:eastAsia="仿宋_GB2312" w:cs="仿宋_GB2312"/>
          <w:kern w:val="0"/>
          <w:sz w:val="24"/>
          <w:lang w:val="zh-CN"/>
        </w:rPr>
        <w:t xml:space="preserve">                                                                                                                                                                                                               </w:t>
      </w:r>
    </w:p>
    <w:p>
      <w:pPr>
        <w:spacing w:line="360" w:lineRule="auto"/>
        <w:ind w:left="4620" w:left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3" w:name="_Toc105"/>
      <w:r>
        <w:rPr>
          <w:rFonts w:hint="eastAsia" w:ascii="仿宋_GB2312" w:hAnsi="仿宋_GB2312" w:eastAsia="仿宋_GB2312" w:cs="仿宋_GB2312"/>
          <w:b/>
          <w:bCs/>
          <w:color w:val="000000"/>
          <w:sz w:val="52"/>
          <w:szCs w:val="52"/>
        </w:rPr>
        <w:t>报 价 文 件</w:t>
      </w:r>
      <w:bookmarkEnd w:id="423"/>
    </w:p>
    <w:p>
      <w:pPr>
        <w:widowControl/>
        <w:spacing w:line="360" w:lineRule="auto"/>
        <w:ind w:right="-2"/>
        <w:jc w:val="center"/>
        <w:outlineLvl w:val="1"/>
        <w:rPr>
          <w:rFonts w:ascii="仿宋_GB2312" w:hAnsi="仿宋_GB2312" w:eastAsia="仿宋_GB2312" w:cs="仿宋_GB2312"/>
          <w:b/>
          <w:color w:val="000000"/>
          <w:sz w:val="36"/>
          <w:szCs w:val="36"/>
        </w:rPr>
      </w:pPr>
      <w:bookmarkStart w:id="424" w:name="_Toc22501"/>
      <w:r>
        <w:rPr>
          <w:rFonts w:hint="eastAsia" w:ascii="仿宋_GB2312" w:hAnsi="仿宋_GB2312" w:eastAsia="仿宋_GB2312" w:cs="仿宋_GB2312"/>
          <w:b/>
          <w:color w:val="000000"/>
          <w:sz w:val="36"/>
          <w:szCs w:val="36"/>
        </w:rPr>
        <w:t>（线上电子招投标）</w:t>
      </w:r>
      <w:bookmarkEnd w:id="424"/>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5"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25"/>
      <w:r>
        <w:rPr>
          <w:rFonts w:hint="eastAsia" w:ascii="仿宋_GB2312" w:hAnsi="仿宋_GB2312" w:eastAsia="仿宋_GB2312" w:cs="仿宋_GB2312"/>
          <w:b/>
          <w:bCs/>
          <w:color w:val="000000"/>
          <w:sz w:val="36"/>
          <w:szCs w:val="36"/>
        </w:rPr>
        <w:t xml:space="preserve">YHZFCG2022- </w:t>
      </w:r>
    </w:p>
    <w:p>
      <w:pPr>
        <w:pStyle w:val="622"/>
        <w:spacing w:line="360" w:lineRule="auto"/>
        <w:rPr>
          <w:rFonts w:ascii="仿宋_GB2312" w:hAnsi="仿宋_GB2312" w:eastAsia="仿宋_GB2312" w:cs="仿宋_GB2312"/>
          <w:sz w:val="72"/>
          <w:szCs w:val="72"/>
        </w:rPr>
      </w:pP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杭州市余杭区市场监督管理局：</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u w:val="single"/>
          <w:lang w:eastAsia="zh-CN"/>
        </w:rPr>
        <w:t>互联网执法办案辅助工作服务外包项目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6"/>
        <w:tblW w:w="8819"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067"/>
        <w:gridCol w:w="217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4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4067" w:type="dxa"/>
            <w:vAlign w:val="center"/>
          </w:tcPr>
          <w:p>
            <w:pPr>
              <w:spacing w:line="360" w:lineRule="auto"/>
              <w:jc w:val="center"/>
              <w:rPr>
                <w:rFonts w:hint="eastAsia" w:ascii="仿宋_GB2312" w:hAnsi="仿宋" w:eastAsia="仿宋_GB2312"/>
                <w:b/>
                <w:sz w:val="24"/>
                <w:lang w:eastAsia="zh-CN"/>
              </w:rPr>
            </w:pPr>
            <w:r>
              <w:rPr>
                <w:rFonts w:hint="eastAsia" w:ascii="仿宋_GB2312" w:hAnsi="仿宋" w:eastAsia="仿宋_GB2312"/>
                <w:b/>
                <w:sz w:val="24"/>
                <w:lang w:eastAsia="zh-CN"/>
              </w:rPr>
              <w:t>辅助工作类型</w:t>
            </w:r>
          </w:p>
          <w:p>
            <w:pPr>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b/>
                <w:sz w:val="24"/>
                <w:lang w:eastAsia="zh-CN"/>
              </w:rPr>
              <w:t>（具体以采购需求为准）</w:t>
            </w:r>
          </w:p>
        </w:tc>
        <w:tc>
          <w:tcPr>
            <w:tcW w:w="217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eastAsia="zh-CN"/>
              </w:rPr>
              <w:t>综合</w:t>
            </w:r>
            <w:r>
              <w:rPr>
                <w:rFonts w:hint="eastAsia" w:ascii="仿宋_GB2312" w:hAnsi="仿宋" w:eastAsia="仿宋_GB2312"/>
                <w:b/>
                <w:sz w:val="24"/>
              </w:rPr>
              <w:t>单价</w:t>
            </w:r>
            <w:r>
              <w:rPr>
                <w:rFonts w:hint="eastAsia" w:ascii="仿宋_GB2312" w:hAnsi="仿宋" w:eastAsia="仿宋_GB2312"/>
                <w:b/>
                <w:sz w:val="24"/>
                <w:lang w:eastAsia="zh-CN"/>
              </w:rPr>
              <w:t>（元</w:t>
            </w:r>
            <w:r>
              <w:rPr>
                <w:rFonts w:hint="eastAsia" w:ascii="仿宋_GB2312" w:hAnsi="仿宋" w:eastAsia="仿宋_GB2312"/>
                <w:b/>
                <w:sz w:val="24"/>
                <w:lang w:val="en-US" w:eastAsia="zh-CN"/>
              </w:rPr>
              <w:t>/件）</w:t>
            </w:r>
          </w:p>
        </w:tc>
        <w:tc>
          <w:tcPr>
            <w:tcW w:w="1935"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spacing w:line="360" w:lineRule="auto"/>
              <w:ind w:firstLine="0" w:firstLineChars="0"/>
              <w:jc w:val="center"/>
              <w:rPr>
                <w:rFonts w:ascii="仿宋_GB2312" w:hAnsi="仿宋" w:eastAsia="仿宋_GB2312" w:cs="仿宋_GB2312"/>
                <w:sz w:val="24"/>
              </w:rPr>
            </w:pPr>
            <w:r>
              <w:rPr>
                <w:rFonts w:hint="eastAsia" w:ascii="仿宋" w:hAnsi="仿宋" w:eastAsia="仿宋" w:cs="仿宋"/>
              </w:rPr>
              <w:t>1</w:t>
            </w:r>
          </w:p>
        </w:tc>
        <w:tc>
          <w:tcPr>
            <w:tcW w:w="4067" w:type="dxa"/>
            <w:vAlign w:val="center"/>
          </w:tcPr>
          <w:p>
            <w:pPr>
              <w:pStyle w:val="26"/>
              <w:spacing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lang w:eastAsia="zh-CN"/>
              </w:rPr>
              <w:t>举报线索研判</w:t>
            </w:r>
          </w:p>
        </w:tc>
        <w:tc>
          <w:tcPr>
            <w:tcW w:w="2175" w:type="dxa"/>
            <w:vAlign w:val="center"/>
          </w:tcPr>
          <w:p>
            <w:pPr>
              <w:snapToGrid w:val="0"/>
              <w:spacing w:line="360" w:lineRule="auto"/>
              <w:jc w:val="center"/>
              <w:rPr>
                <w:rFonts w:ascii="仿宋_GB2312" w:hAnsi="仿宋" w:eastAsia="仿宋_GB2312" w:cs="仿宋_GB2312"/>
                <w:sz w:val="24"/>
              </w:rPr>
            </w:pPr>
          </w:p>
        </w:tc>
        <w:tc>
          <w:tcPr>
            <w:tcW w:w="193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spacing w:line="360" w:lineRule="auto"/>
              <w:ind w:firstLine="0" w:firstLineChars="0"/>
              <w:jc w:val="center"/>
              <w:rPr>
                <w:rFonts w:ascii="仿宋_GB2312" w:hAnsi="仿宋" w:eastAsia="仿宋_GB2312" w:cs="仿宋_GB2312"/>
                <w:sz w:val="24"/>
              </w:rPr>
            </w:pPr>
            <w:r>
              <w:rPr>
                <w:rFonts w:hint="eastAsia" w:ascii="仿宋" w:hAnsi="仿宋" w:eastAsia="仿宋" w:cs="仿宋"/>
              </w:rPr>
              <w:t>2</w:t>
            </w:r>
          </w:p>
        </w:tc>
        <w:tc>
          <w:tcPr>
            <w:tcW w:w="4067" w:type="dxa"/>
            <w:vAlign w:val="center"/>
          </w:tcPr>
          <w:p>
            <w:pPr>
              <w:pStyle w:val="26"/>
              <w:spacing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lang w:eastAsia="zh-CN"/>
              </w:rPr>
              <w:t>异地联动处理</w:t>
            </w:r>
          </w:p>
        </w:tc>
        <w:tc>
          <w:tcPr>
            <w:tcW w:w="2175" w:type="dxa"/>
            <w:vAlign w:val="center"/>
          </w:tcPr>
          <w:p>
            <w:pPr>
              <w:snapToGrid w:val="0"/>
              <w:spacing w:line="360" w:lineRule="auto"/>
              <w:jc w:val="center"/>
              <w:rPr>
                <w:rFonts w:ascii="仿宋_GB2312" w:hAnsi="仿宋" w:eastAsia="仿宋_GB2312" w:cs="仿宋_GB2312"/>
                <w:sz w:val="24"/>
              </w:rPr>
            </w:pPr>
          </w:p>
        </w:tc>
        <w:tc>
          <w:tcPr>
            <w:tcW w:w="193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3</w:t>
            </w:r>
          </w:p>
        </w:tc>
        <w:tc>
          <w:tcPr>
            <w:tcW w:w="4067" w:type="dxa"/>
            <w:vAlign w:val="center"/>
          </w:tcPr>
          <w:p>
            <w:pPr>
              <w:pStyle w:val="26"/>
              <w:spacing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lang w:eastAsia="zh-CN"/>
              </w:rPr>
              <w:t>立案调查</w:t>
            </w:r>
          </w:p>
        </w:tc>
        <w:tc>
          <w:tcPr>
            <w:tcW w:w="2175" w:type="dxa"/>
            <w:vAlign w:val="center"/>
          </w:tcPr>
          <w:p>
            <w:pPr>
              <w:snapToGrid w:val="0"/>
              <w:spacing w:line="360" w:lineRule="auto"/>
              <w:jc w:val="center"/>
              <w:rPr>
                <w:rFonts w:ascii="仿宋_GB2312" w:hAnsi="仿宋" w:eastAsia="仿宋_GB2312" w:cs="仿宋_GB2312"/>
                <w:sz w:val="24"/>
              </w:rPr>
            </w:pPr>
          </w:p>
        </w:tc>
        <w:tc>
          <w:tcPr>
            <w:tcW w:w="193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4</w:t>
            </w:r>
          </w:p>
        </w:tc>
        <w:tc>
          <w:tcPr>
            <w:tcW w:w="4067" w:type="dxa"/>
            <w:vAlign w:val="center"/>
          </w:tcPr>
          <w:p>
            <w:pPr>
              <w:pStyle w:val="26"/>
              <w:spacing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rPr>
              <w:t>不予立案</w:t>
            </w:r>
          </w:p>
        </w:tc>
        <w:tc>
          <w:tcPr>
            <w:tcW w:w="2175" w:type="dxa"/>
            <w:vAlign w:val="center"/>
          </w:tcPr>
          <w:p>
            <w:pPr>
              <w:snapToGrid w:val="0"/>
              <w:spacing w:line="360" w:lineRule="auto"/>
              <w:jc w:val="center"/>
              <w:rPr>
                <w:rFonts w:ascii="仿宋_GB2312" w:hAnsi="仿宋" w:eastAsia="仿宋_GB2312" w:cs="仿宋_GB2312"/>
                <w:sz w:val="24"/>
              </w:rPr>
            </w:pPr>
          </w:p>
        </w:tc>
        <w:tc>
          <w:tcPr>
            <w:tcW w:w="193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5</w:t>
            </w:r>
          </w:p>
        </w:tc>
        <w:tc>
          <w:tcPr>
            <w:tcW w:w="4067" w:type="dxa"/>
            <w:vAlign w:val="center"/>
          </w:tcPr>
          <w:p>
            <w:pPr>
              <w:pStyle w:val="26"/>
              <w:spacing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rPr>
              <w:t>商品处置</w:t>
            </w:r>
          </w:p>
        </w:tc>
        <w:tc>
          <w:tcPr>
            <w:tcW w:w="2175" w:type="dxa"/>
            <w:vAlign w:val="center"/>
          </w:tcPr>
          <w:p>
            <w:pPr>
              <w:snapToGrid w:val="0"/>
              <w:spacing w:line="360" w:lineRule="auto"/>
              <w:jc w:val="center"/>
              <w:rPr>
                <w:rFonts w:ascii="仿宋_GB2312" w:hAnsi="仿宋" w:eastAsia="仿宋_GB2312" w:cs="仿宋_GB2312"/>
                <w:sz w:val="24"/>
              </w:rPr>
            </w:pPr>
          </w:p>
        </w:tc>
        <w:tc>
          <w:tcPr>
            <w:tcW w:w="193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6</w:t>
            </w:r>
          </w:p>
        </w:tc>
        <w:tc>
          <w:tcPr>
            <w:tcW w:w="4067" w:type="dxa"/>
            <w:vAlign w:val="center"/>
          </w:tcPr>
          <w:p>
            <w:pPr>
              <w:pStyle w:val="26"/>
              <w:spacing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rPr>
              <w:t>复议、诉讼答复</w:t>
            </w:r>
          </w:p>
        </w:tc>
        <w:tc>
          <w:tcPr>
            <w:tcW w:w="2175" w:type="dxa"/>
            <w:vAlign w:val="center"/>
          </w:tcPr>
          <w:p>
            <w:pPr>
              <w:snapToGrid w:val="0"/>
              <w:spacing w:line="360" w:lineRule="auto"/>
              <w:jc w:val="center"/>
              <w:rPr>
                <w:rFonts w:ascii="仿宋_GB2312" w:hAnsi="仿宋" w:eastAsia="仿宋_GB2312" w:cs="仿宋_GB2312"/>
                <w:sz w:val="24"/>
              </w:rPr>
            </w:pPr>
          </w:p>
        </w:tc>
        <w:tc>
          <w:tcPr>
            <w:tcW w:w="193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7</w:t>
            </w:r>
          </w:p>
        </w:tc>
        <w:tc>
          <w:tcPr>
            <w:tcW w:w="4067" w:type="dxa"/>
            <w:vAlign w:val="center"/>
          </w:tcPr>
          <w:p>
            <w:pPr>
              <w:pStyle w:val="26"/>
              <w:spacing w:line="360" w:lineRule="auto"/>
              <w:ind w:firstLine="0" w:firstLineChars="0"/>
              <w:jc w:val="center"/>
              <w:rPr>
                <w:rFonts w:ascii="仿宋" w:hAnsi="仿宋" w:eastAsia="仿宋" w:cs="仿宋"/>
                <w:kern w:val="2"/>
                <w:sz w:val="24"/>
                <w:szCs w:val="24"/>
                <w:lang w:val="en-US" w:eastAsia="zh-CN" w:bidi="ar-SA"/>
              </w:rPr>
            </w:pPr>
            <w:r>
              <w:rPr>
                <w:rFonts w:hint="eastAsia" w:ascii="仿宋" w:hAnsi="仿宋" w:eastAsia="仿宋" w:cs="仿宋"/>
              </w:rPr>
              <w:t>复议、诉讼调解</w:t>
            </w:r>
          </w:p>
        </w:tc>
        <w:tc>
          <w:tcPr>
            <w:tcW w:w="2175" w:type="dxa"/>
            <w:vAlign w:val="center"/>
          </w:tcPr>
          <w:p>
            <w:pPr>
              <w:snapToGrid w:val="0"/>
              <w:spacing w:line="360" w:lineRule="auto"/>
              <w:jc w:val="center"/>
              <w:rPr>
                <w:rFonts w:ascii="仿宋_GB2312" w:hAnsi="仿宋" w:eastAsia="仿宋_GB2312" w:cs="仿宋_GB2312"/>
                <w:sz w:val="24"/>
              </w:rPr>
            </w:pPr>
          </w:p>
        </w:tc>
        <w:tc>
          <w:tcPr>
            <w:tcW w:w="193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6"/>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8</w:t>
            </w:r>
          </w:p>
        </w:tc>
        <w:tc>
          <w:tcPr>
            <w:tcW w:w="4067" w:type="dxa"/>
            <w:vAlign w:val="center"/>
          </w:tcPr>
          <w:p>
            <w:pPr>
              <w:pStyle w:val="26"/>
              <w:spacing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lang w:eastAsia="zh-CN"/>
              </w:rPr>
              <w:t>其他</w:t>
            </w:r>
            <w:r>
              <w:rPr>
                <w:rFonts w:hint="eastAsia" w:ascii="仿宋" w:hAnsi="仿宋" w:eastAsia="仿宋" w:cs="仿宋"/>
              </w:rPr>
              <w:t>交办案件处置</w:t>
            </w:r>
          </w:p>
        </w:tc>
        <w:tc>
          <w:tcPr>
            <w:tcW w:w="2175" w:type="dxa"/>
            <w:vAlign w:val="center"/>
          </w:tcPr>
          <w:p>
            <w:pPr>
              <w:snapToGrid w:val="0"/>
              <w:spacing w:line="360" w:lineRule="auto"/>
              <w:jc w:val="center"/>
              <w:rPr>
                <w:rFonts w:ascii="仿宋_GB2312" w:hAnsi="仿宋" w:eastAsia="仿宋_GB2312" w:cs="仿宋_GB2312"/>
                <w:sz w:val="24"/>
              </w:rPr>
            </w:pPr>
          </w:p>
        </w:tc>
        <w:tc>
          <w:tcPr>
            <w:tcW w:w="193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819" w:type="dxa"/>
            <w:gridSpan w:val="4"/>
            <w:vAlign w:val="center"/>
          </w:tcPr>
          <w:p>
            <w:pPr>
              <w:spacing w:line="360" w:lineRule="auto"/>
              <w:jc w:val="center"/>
              <w:rPr>
                <w:rFonts w:hint="eastAsia" w:ascii="仿宋_GB2312" w:hAnsi="仿宋" w:eastAsia="仿宋_GB2312" w:cs="仿宋_GB2312"/>
                <w:b/>
                <w:sz w:val="24"/>
                <w:lang w:val="en-US" w:eastAsia="zh-CN"/>
              </w:rPr>
            </w:pPr>
            <w:r>
              <w:rPr>
                <w:rFonts w:hint="eastAsia" w:ascii="仿宋_GB2312" w:hAnsi="仿宋" w:eastAsia="仿宋_GB2312" w:cs="仿宋_GB2312"/>
                <w:b/>
                <w:sz w:val="24"/>
                <w:lang w:eastAsia="zh-CN"/>
              </w:rPr>
              <w:t>综合单价</w:t>
            </w:r>
            <w:r>
              <w:rPr>
                <w:rFonts w:hint="eastAsia" w:ascii="仿宋_GB2312" w:hAnsi="仿宋" w:eastAsia="仿宋_GB2312" w:cs="仿宋_GB2312"/>
                <w:b/>
                <w:sz w:val="24"/>
              </w:rPr>
              <w:t>投标报价</w:t>
            </w:r>
            <w:r>
              <w:rPr>
                <w:rFonts w:hint="eastAsia" w:ascii="仿宋_GB2312" w:hAnsi="仿宋" w:eastAsia="仿宋_GB2312" w:cs="仿宋_GB2312"/>
                <w:b/>
                <w:sz w:val="24"/>
                <w:lang w:eastAsia="zh-CN"/>
              </w:rPr>
              <w:t>合计：</w:t>
            </w:r>
            <w:r>
              <w:rPr>
                <w:rFonts w:hint="eastAsia" w:ascii="仿宋_GB2312" w:hAnsi="仿宋" w:eastAsia="仿宋_GB2312" w:cs="仿宋_GB2312"/>
                <w:b/>
                <w:sz w:val="24"/>
              </w:rPr>
              <w:t>（小写）</w:t>
            </w:r>
            <w:r>
              <w:rPr>
                <w:rFonts w:hint="eastAsia" w:ascii="仿宋_GB2312" w:hAnsi="仿宋" w:eastAsia="仿宋_GB2312" w:cs="仿宋_GB2312"/>
                <w:b/>
                <w:sz w:val="24"/>
                <w:lang w:val="en-US" w:eastAsia="zh-CN"/>
              </w:rPr>
              <w:t xml:space="preserve">    元；</w:t>
            </w:r>
          </w:p>
          <w:p>
            <w:pPr>
              <w:spacing w:line="360" w:lineRule="auto"/>
              <w:ind w:firstLine="1928" w:firstLineChars="800"/>
              <w:jc w:val="center"/>
              <w:rPr>
                <w:rFonts w:ascii="仿宋_GB2312" w:hAnsi="仿宋" w:eastAsia="仿宋_GB2312" w:cs="仿宋_GB2312"/>
                <w:sz w:val="24"/>
              </w:rPr>
            </w:pPr>
            <w:r>
              <w:rPr>
                <w:rFonts w:hint="eastAsia" w:ascii="仿宋_GB2312" w:hAnsi="仿宋" w:eastAsia="仿宋_GB2312" w:cs="仿宋_GB2312"/>
                <w:b/>
                <w:sz w:val="24"/>
                <w:lang w:val="en-US" w:eastAsia="zh-CN"/>
              </w:rPr>
              <w:t>大写：            元；</w:t>
            </w:r>
          </w:p>
        </w:tc>
      </w:tr>
    </w:tbl>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注：</w:t>
      </w: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pacing w:line="48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w:t>
      </w:r>
    </w:p>
    <w:p>
      <w:pPr>
        <w:spacing w:line="480" w:lineRule="auto"/>
        <w:ind w:firstLine="480" w:firstLineChars="200"/>
        <w:rPr>
          <w:rFonts w:hint="eastAsia" w:ascii="仿宋" w:hAnsi="仿宋" w:eastAsia="仿宋" w:cs="仿宋"/>
          <w:b/>
          <w:bCs/>
          <w:sz w:val="24"/>
          <w:lang w:eastAsia="zh-CN"/>
        </w:rPr>
      </w:pPr>
      <w:r>
        <w:rPr>
          <w:rFonts w:hint="eastAsia" w:ascii="仿宋_GB2312" w:hAnsi="仿宋" w:eastAsia="仿宋_GB2312" w:cs="仿宋_GB2312"/>
          <w:kern w:val="0"/>
          <w:sz w:val="24"/>
          <w:lang w:val="en-US" w:eastAsia="zh-CN"/>
        </w:rPr>
        <w:t>4.1</w:t>
      </w:r>
      <w:r>
        <w:rPr>
          <w:rFonts w:hint="eastAsia" w:ascii="仿宋" w:hAnsi="仿宋" w:eastAsia="仿宋" w:cs="仿宋"/>
          <w:b/>
          <w:bCs/>
          <w:sz w:val="24"/>
          <w:lang w:eastAsia="zh-CN"/>
        </w:rPr>
        <w:t>上述服务包括不限于未明列上表已在采购需求中体现的内容，由投标单位综合考量计入上述综合单价中。</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4.2</w:t>
      </w:r>
      <w:r>
        <w:rPr>
          <w:rFonts w:ascii="仿宋_GB2312" w:hAnsi="仿宋" w:eastAsia="仿宋_GB2312" w:cs="仿宋_GB2312"/>
          <w:kern w:val="0"/>
          <w:sz w:val="24"/>
          <w:lang w:val="zh-CN"/>
        </w:rPr>
        <w:t>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autoSpaceDE w:val="0"/>
        <w:autoSpaceDN w:val="0"/>
        <w:spacing w:line="360" w:lineRule="auto"/>
        <w:ind w:right="112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4.3最高单价限价详见采购需求。超过最高限价作无效投标处理。</w:t>
      </w:r>
    </w:p>
    <w:p>
      <w:pPr>
        <w:autoSpaceDE w:val="0"/>
        <w:autoSpaceDN w:val="0"/>
        <w:spacing w:line="360" w:lineRule="auto"/>
        <w:ind w:right="1120"/>
        <w:jc w:val="left"/>
        <w:rPr>
          <w:rFonts w:hint="eastAsia" w:ascii="仿宋_GB2312" w:hAnsi="仿宋_GB2312" w:eastAsia="仿宋_GB2312" w:cs="仿宋_GB2312"/>
          <w:kern w:val="0"/>
          <w:sz w:val="24"/>
          <w:lang w:val="zh-CN"/>
        </w:rPr>
      </w:pPr>
    </w:p>
    <w:p>
      <w:pPr>
        <w:autoSpaceDE w:val="0"/>
        <w:autoSpaceDN w:val="0"/>
        <w:spacing w:line="360" w:lineRule="auto"/>
        <w:ind w:right="1120"/>
        <w:jc w:val="left"/>
        <w:rPr>
          <w:rFonts w:hint="eastAsia" w:ascii="仿宋_GB2312" w:hAnsi="仿宋_GB2312" w:eastAsia="仿宋_GB2312" w:cs="仿宋_GB2312"/>
          <w:kern w:val="0"/>
          <w:sz w:val="24"/>
          <w:lang w:val="zh-CN"/>
        </w:rPr>
      </w:pPr>
    </w:p>
    <w:p>
      <w:pPr>
        <w:autoSpaceDE w:val="0"/>
        <w:autoSpaceDN w:val="0"/>
        <w:spacing w:line="360" w:lineRule="auto"/>
        <w:ind w:right="1120" w:firstLine="4320" w:firstLineChars="18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投标人名称(公章或电子公章)：</w:t>
      </w:r>
      <w:r>
        <w:rPr>
          <w:rFonts w:ascii="仿宋_GB2312" w:hAnsi="仿宋_GB2312" w:eastAsia="仿宋_GB2312" w:cs="仿宋_GB2312"/>
          <w:kern w:val="0"/>
          <w:sz w:val="24"/>
          <w:lang w:val="zh-CN"/>
        </w:rPr>
        <w:t xml:space="preserve">                                                                                                                                                                                                               </w:t>
      </w:r>
    </w:p>
    <w:p>
      <w:pPr>
        <w:spacing w:line="360" w:lineRule="auto"/>
        <w:ind w:firstLine="4800" w:firstLineChars="2000"/>
        <w:rPr>
          <w:sz w:val="24"/>
        </w:rPr>
      </w:pPr>
      <w:r>
        <w:rPr>
          <w:rFonts w:hint="eastAsia" w:ascii="仿宋_GB2312" w:hAnsi="仿宋_GB2312" w:eastAsia="仿宋_GB2312" w:cs="仿宋_GB2312"/>
          <w:kern w:val="0"/>
          <w:sz w:val="24"/>
          <w:lang w:val="zh-CN"/>
        </w:rPr>
        <w:t>签发日期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4"/>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4"/>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4"/>
        <w:rPr>
          <w:rFonts w:hint="eastAsia" w:ascii="仿宋_GB2312" w:hAnsi="仿宋" w:eastAsia="仿宋_GB2312" w:cs="仿宋_GB2312"/>
          <w:b/>
          <w:sz w:val="32"/>
          <w:szCs w:val="32"/>
        </w:rPr>
      </w:pPr>
    </w:p>
    <w:p>
      <w:pPr>
        <w:rPr>
          <w:rFonts w:hint="eastAsia"/>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pStyle w:val="15"/>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15"/>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pStyle w:val="15"/>
        <w:rPr>
          <w:rFonts w:hint="eastAsia"/>
        </w:rPr>
      </w:pPr>
    </w:p>
    <w:p>
      <w:pPr>
        <w:rPr>
          <w:rFonts w:hint="eastAsia"/>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ind w:firstLine="960" w:firstLineChars="400"/>
        <w:rPr>
          <w:rFonts w:ascii="仿宋" w:eastAsia="仿宋"/>
          <w:sz w:val="24"/>
          <w:szCs w:val="24"/>
          <w:lang w:val="en-US"/>
        </w:rPr>
      </w:pPr>
      <w:r>
        <w:rPr>
          <w:rFonts w:hint="eastAsia" w:ascii="仿宋" w:eastAsia="仿宋"/>
          <w:sz w:val="24"/>
          <w:szCs w:val="24"/>
          <w:lang w:val="en-US"/>
        </w:rPr>
        <w:t>（三）杭州e融平台申请融资</w:t>
      </w:r>
    </w:p>
    <w:p>
      <w:pPr>
        <w:pStyle w:val="4"/>
        <w:ind w:firstLine="960" w:firstLineChars="400"/>
        <w:rPr>
          <w:rFonts w:ascii="仿宋" w:eastAsia="仿宋"/>
          <w:sz w:val="24"/>
          <w:szCs w:val="24"/>
          <w:lang w:val="en-US"/>
        </w:rPr>
      </w:pPr>
      <w:r>
        <w:rPr>
          <w:rFonts w:hint="eastAsia" w:ascii="仿宋" w:eastAsia="仿宋"/>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26" w:name="_Toc465665161"/>
      <w:r>
        <w:rPr>
          <w:rFonts w:hint="eastAsia" w:ascii="仿宋_GB2312" w:hAnsi="仿宋" w:eastAsia="仿宋_GB2312"/>
        </w:rPr>
        <w:t>附件</w:t>
      </w:r>
      <w:bookmarkEnd w:id="42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7" w:name="OLE_LINK13"/>
      <w:bookmarkStart w:id="428" w:name="OLE_LINK14"/>
      <w:r>
        <w:rPr>
          <w:rFonts w:hint="eastAsia" w:ascii="仿宋_GB2312" w:hAnsi="仿宋" w:eastAsia="仿宋_GB2312"/>
          <w:b/>
          <w:spacing w:val="6"/>
          <w:sz w:val="32"/>
          <w:szCs w:val="32"/>
        </w:rPr>
        <w:t>残疾人福利性单位声明函</w:t>
      </w:r>
    </w:p>
    <w:bookmarkEnd w:id="427"/>
    <w:bookmarkEnd w:id="42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lang w:eastAsia="zh-CN"/>
        </w:rPr>
        <w:t>互联网执法办案辅助工作服务外包项目</w:t>
      </w:r>
      <w:r>
        <w:rPr>
          <w:rFonts w:hint="eastAsia" w:ascii="仿宋" w:hAnsi="仿宋" w:eastAsia="仿宋" w:cs="仿宋_GB2312"/>
          <w:sz w:val="24"/>
        </w:rPr>
        <w:t>【招标编号：（</w:t>
      </w:r>
      <w:r>
        <w:rPr>
          <w:rFonts w:hint="eastAsia" w:ascii="仿宋" w:hAnsi="仿宋" w:eastAsia="仿宋" w:cs="仿宋_GB2312"/>
          <w:sz w:val="24"/>
          <w:lang w:eastAsia="zh-CN"/>
        </w:rPr>
        <w:t>YHZFCG2022-197</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w:t>
      </w:r>
      <w:r>
        <w:rPr>
          <w:rFonts w:hint="eastAsia" w:ascii="仿宋_GB2312" w:hAnsi="仿宋" w:eastAsia="仿宋_GB2312" w:cs="仿宋_GB2312"/>
          <w:b/>
          <w:sz w:val="32"/>
          <w:szCs w:val="32"/>
          <w:lang w:val="en-US" w:eastAsia="zh-CN"/>
        </w:rPr>
        <w:t>微</w:t>
      </w:r>
      <w:r>
        <w:rPr>
          <w:rFonts w:hint="eastAsia" w:ascii="仿宋_GB2312" w:hAnsi="仿宋" w:eastAsia="仿宋_GB2312" w:cs="仿宋_GB2312"/>
          <w:b/>
          <w:sz w:val="32"/>
          <w:szCs w:val="32"/>
        </w:rPr>
        <w:t>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val="en-US" w:eastAsia="zh-CN"/>
        </w:rPr>
        <w:t>项目名称</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采购活动，服务全部由符合政策要求的小</w:t>
      </w:r>
      <w:r>
        <w:rPr>
          <w:rFonts w:hint="eastAsia" w:ascii="仿宋_GB2312" w:hAnsi="宋体" w:eastAsia="仿宋_GB2312"/>
          <w:sz w:val="24"/>
          <w:lang w:val="en-US" w:eastAsia="zh-CN"/>
        </w:rPr>
        <w:t>微</w:t>
      </w:r>
      <w:r>
        <w:rPr>
          <w:rFonts w:hint="eastAsia" w:ascii="仿宋_GB2312" w:hAnsi="宋体" w:eastAsia="仿宋_GB2312"/>
          <w:sz w:val="24"/>
        </w:rPr>
        <w:t>企业承接。相关企业的具体情况如下：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人，资产总额为</w:t>
      </w:r>
      <w:r>
        <w:rPr>
          <w:rFonts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ascii="仿宋_GB2312" w:hAnsi="宋体" w:eastAsia="仿宋_GB2312"/>
          <w:sz w:val="24"/>
          <w:u w:val="single"/>
        </w:rPr>
        <w:t xml:space="preserve"> （</w:t>
      </w:r>
      <w:r>
        <w:rPr>
          <w:rFonts w:ascii="仿宋_GB2312" w:hAnsi="宋体" w:eastAsia="仿宋_GB2312"/>
          <w:sz w:val="24"/>
          <w:u w:val="single"/>
        </w:rPr>
        <w:sym w:font="Wingdings" w:char="00A8"/>
      </w:r>
      <w:r>
        <w:rPr>
          <w:rFonts w:ascii="仿宋_GB2312" w:hAnsi="宋体" w:eastAsia="仿宋_GB2312"/>
          <w:sz w:val="24"/>
          <w:u w:val="single"/>
        </w:rPr>
        <w:t>中型企业、</w:t>
      </w:r>
      <w:r>
        <w:rPr>
          <w:rFonts w:ascii="仿宋_GB2312" w:hAnsi="宋体" w:eastAsia="仿宋_GB2312"/>
          <w:sz w:val="24"/>
          <w:u w:val="single"/>
        </w:rPr>
        <w:sym w:font="Wingdings" w:char="00A8"/>
      </w:r>
      <w:r>
        <w:rPr>
          <w:rFonts w:ascii="仿宋_GB2312" w:hAnsi="宋体" w:eastAsia="仿宋_GB2312"/>
          <w:sz w:val="24"/>
          <w:u w:val="single"/>
        </w:rPr>
        <w:t>小型企业、</w:t>
      </w:r>
      <w:r>
        <w:rPr>
          <w:rFonts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hint="eastAsia" w:ascii="仿宋_GB2312" w:hAnsi="仿宋" w:eastAsia="仿宋_GB2312" w:cs="仿宋_GB2312"/>
          <w:sz w:val="24"/>
        </w:rPr>
      </w:pP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hint="default" w:ascii="仿宋_GB2312" w:hAnsi="宋体" w:eastAsia="仿宋_GB2312"/>
          <w:sz w:val="24"/>
          <w:lang w:val="en-US" w:eastAsia="zh-CN"/>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hint="eastAsia" w:ascii="仿宋_GB2312" w:hAnsi="宋体" w:eastAsia="仿宋_GB2312"/>
          <w:sz w:val="24"/>
          <w:lang w:val="en-US" w:eastAsia="zh-CN"/>
        </w:rPr>
        <w:t xml:space="preserve">   年   月   日</w:t>
      </w:r>
    </w:p>
    <w:p>
      <w:pPr>
        <w:spacing w:line="360" w:lineRule="auto"/>
        <w:ind w:firstLine="310" w:firstLineChars="147"/>
        <w:jc w:val="left"/>
        <w:rPr>
          <w:rFonts w:hint="eastAsia" w:ascii="仿宋_GB2312" w:hAnsi="宋体" w:eastAsia="仿宋_GB2312"/>
          <w:b/>
          <w:szCs w:val="21"/>
        </w:rPr>
      </w:pP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cs="仿宋_GB2312"/>
          <w:sz w:val="24"/>
        </w:rPr>
      </w:pPr>
    </w:p>
    <w:p>
      <w:pPr>
        <w:rPr>
          <w:rFonts w:ascii="仿宋_GB2312" w:hAnsi="仿宋" w:eastAsia="仿宋_GB2312" w:cs="仿宋_GB2312"/>
          <w:sz w:val="24"/>
        </w:rPr>
      </w:pPr>
    </w:p>
    <w:p>
      <w:pPr>
        <w:pStyle w:val="4"/>
        <w:rPr>
          <w:rFonts w:cs="仿宋_GB2312"/>
          <w:sz w:val="24"/>
        </w:rPr>
      </w:pPr>
    </w:p>
    <w:p>
      <w:p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仿宋" w:hAnsi="仿宋" w:eastAsia="仿宋" w:cs="仿宋"/>
                <w:b/>
                <w:sz w:val="32"/>
                <w:szCs w:val="32"/>
              </w:rPr>
            </w:pPr>
            <w:r>
              <w:rPr>
                <w:rFonts w:hint="eastAsia" w:ascii="仿宋" w:hAnsi="仿宋" w:eastAsia="仿宋" w:cs="仿宋"/>
                <w:b/>
                <w:kern w:val="0"/>
                <w:sz w:val="32"/>
                <w:szCs w:val="32"/>
              </w:rPr>
              <w:t>中小微行业划型标准规定</w:t>
            </w:r>
            <w:r>
              <w:rPr>
                <w:rFonts w:hint="eastAsia" w:ascii="仿宋" w:hAnsi="仿宋" w:eastAsia="仿宋" w:cs="仿宋"/>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4"/>
        <w:rPr>
          <w:rFonts w:ascii="仿宋" w:eastAsia="仿宋" w:cs="仿宋"/>
        </w:rPr>
        <w:sectPr>
          <w:pgSz w:w="16838" w:h="11906" w:orient="landscape"/>
          <w:pgMar w:top="1418" w:right="1276" w:bottom="1418" w:left="1247" w:header="851" w:footer="992" w:gutter="0"/>
          <w:cols w:space="720" w:num="1"/>
          <w:titlePg/>
          <w:docGrid w:linePitch="312" w:charSpace="0"/>
        </w:sectPr>
      </w:pPr>
    </w:p>
    <w:p>
      <w:pPr>
        <w:rPr>
          <w:rFonts w:ascii="仿宋" w:hAnsi="仿宋" w:eastAsia="仿宋" w:cs="仿宋"/>
        </w:rPr>
      </w:pPr>
    </w:p>
    <w:p>
      <w:pPr>
        <w:rPr>
          <w:rFonts w:ascii="仿宋" w:hAnsi="仿宋" w:eastAsia="仿宋" w:cs="仿宋"/>
          <w:b/>
          <w:sz w:val="48"/>
          <w:szCs w:val="48"/>
        </w:rPr>
      </w:pPr>
      <w:r>
        <w:rPr>
          <w:rFonts w:hint="eastAsia" w:ascii="仿宋" w:hAnsi="仿宋" w:eastAsia="仿宋" w:cs="仿宋"/>
          <w:sz w:val="30"/>
          <w:szCs w:val="30"/>
        </w:rPr>
        <w:t>附件（中标后提供）：</w:t>
      </w:r>
    </w:p>
    <w:p>
      <w:pPr>
        <w:jc w:val="center"/>
        <w:rPr>
          <w:rFonts w:ascii="仿宋" w:hAnsi="仿宋" w:eastAsia="仿宋" w:cs="仿宋"/>
          <w:b/>
          <w:sz w:val="48"/>
          <w:szCs w:val="48"/>
        </w:rPr>
      </w:pPr>
    </w:p>
    <w:p>
      <w:pPr>
        <w:jc w:val="center"/>
        <w:rPr>
          <w:rFonts w:ascii="仿宋" w:hAnsi="仿宋" w:eastAsia="仿宋" w:cs="仿宋"/>
          <w:b/>
          <w:sz w:val="48"/>
          <w:szCs w:val="48"/>
        </w:rPr>
      </w:pPr>
      <w:r>
        <w:rPr>
          <w:rFonts w:hint="eastAsia" w:ascii="仿宋" w:hAnsi="仿宋" w:eastAsia="仿宋" w:cs="仿宋"/>
          <w:b/>
          <w:sz w:val="48"/>
          <w:szCs w:val="48"/>
        </w:rPr>
        <w:t>承 诺 书</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u w:val="single"/>
        </w:rPr>
        <w:t xml:space="preserve">耀华建设管理有限公司 </w:t>
      </w:r>
      <w:r>
        <w:rPr>
          <w:rFonts w:hint="eastAsia" w:ascii="仿宋" w:hAnsi="仿宋" w:eastAsia="仿宋" w:cs="仿宋"/>
          <w:sz w:val="30"/>
          <w:szCs w:val="30"/>
        </w:rPr>
        <w:t>：</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我单位参与投标的</w:t>
      </w:r>
      <w:r>
        <w:rPr>
          <w:rFonts w:hint="eastAsia" w:ascii="仿宋" w:hAnsi="仿宋" w:eastAsia="仿宋" w:cs="仿宋"/>
          <w:sz w:val="30"/>
          <w:szCs w:val="30"/>
          <w:u w:val="single"/>
        </w:rPr>
        <w:t xml:space="preserve">   （项目名称）   </w:t>
      </w:r>
      <w:r>
        <w:rPr>
          <w:rFonts w:hint="eastAsia" w:ascii="仿宋" w:hAnsi="仿宋" w:eastAsia="仿宋" w:cs="仿宋"/>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本单位提交给招标代理机构备案的</w:t>
      </w:r>
      <w:r>
        <w:rPr>
          <w:rFonts w:hint="eastAsia" w:ascii="仿宋" w:hAnsi="仿宋" w:eastAsia="仿宋" w:cs="仿宋"/>
          <w:sz w:val="30"/>
          <w:szCs w:val="30"/>
          <w:u w:val="single"/>
        </w:rPr>
        <w:t>投标文件纸质版</w:t>
      </w:r>
      <w:r>
        <w:rPr>
          <w:rFonts w:hint="eastAsia" w:ascii="仿宋" w:hAnsi="仿宋" w:eastAsia="仿宋" w:cs="仿宋"/>
          <w:sz w:val="30"/>
          <w:szCs w:val="30"/>
        </w:rPr>
        <w:t>与</w:t>
      </w:r>
      <w:r>
        <w:rPr>
          <w:rFonts w:hint="eastAsia" w:ascii="仿宋" w:hAnsi="仿宋" w:eastAsia="仿宋" w:cs="仿宋"/>
          <w:sz w:val="30"/>
          <w:szCs w:val="30"/>
          <w:u w:val="single"/>
        </w:rPr>
        <w:t>电子投标文件</w:t>
      </w:r>
      <w:r>
        <w:rPr>
          <w:rFonts w:hint="eastAsia" w:ascii="仿宋" w:hAnsi="仿宋" w:eastAsia="仿宋" w:cs="仿宋"/>
          <w:sz w:val="30"/>
          <w:szCs w:val="30"/>
        </w:rPr>
        <w:t>内容均一致，如不一致导致的任何法律责任自付。特此承诺！</w:t>
      </w:r>
    </w:p>
    <w:p>
      <w:pPr>
        <w:spacing w:line="780" w:lineRule="exact"/>
        <w:ind w:firstLine="450" w:firstLineChars="150"/>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r>
        <w:rPr>
          <w:rFonts w:hint="eastAsia" w:ascii="仿宋" w:hAnsi="仿宋" w:eastAsia="仿宋" w:cs="仿宋"/>
          <w:sz w:val="30"/>
          <w:szCs w:val="30"/>
        </w:rPr>
        <w:t>投标人名称（盖公章）：</w:t>
      </w:r>
    </w:p>
    <w:p>
      <w:pPr>
        <w:spacing w:line="780" w:lineRule="exact"/>
        <w:ind w:firstLine="5850" w:firstLineChars="1950"/>
        <w:rPr>
          <w:rFonts w:ascii="仿宋" w:hAnsi="仿宋" w:eastAsia="仿宋" w:cs="仿宋"/>
          <w:sz w:val="30"/>
          <w:szCs w:val="30"/>
        </w:rPr>
      </w:pPr>
      <w:r>
        <w:rPr>
          <w:rFonts w:hint="eastAsia" w:ascii="仿宋" w:hAnsi="仿宋" w:eastAsia="仿宋" w:cs="仿宋"/>
          <w:sz w:val="30"/>
          <w:szCs w:val="30"/>
        </w:rPr>
        <w:t>2022年   月   日</w:t>
      </w:r>
    </w:p>
    <w:p>
      <w:pPr>
        <w:spacing w:line="360" w:lineRule="auto"/>
        <w:ind w:firstLine="480" w:firstLineChars="200"/>
        <w:rPr>
          <w:rFonts w:ascii="仿宋" w:hAnsi="仿宋" w:eastAsia="仿宋" w:cs="仿宋"/>
          <w:color w:val="000000"/>
          <w:sz w:val="24"/>
        </w:rPr>
      </w:pPr>
    </w:p>
    <w:p>
      <w:pPr>
        <w:rPr>
          <w:rFonts w:ascii="仿宋" w:hAnsi="仿宋" w:eastAsia="仿宋" w:cs="仿宋"/>
        </w:rPr>
      </w:pPr>
    </w:p>
    <w:p>
      <w:pPr>
        <w:pStyle w:val="24"/>
        <w:ind w:firstLine="0"/>
        <w:rPr>
          <w:rFonts w:ascii="仿宋" w:hAnsi="仿宋" w:eastAsia="仿宋" w:cs="仿宋"/>
        </w:rPr>
      </w:pPr>
    </w:p>
    <w:p>
      <w:pPr>
        <w:pStyle w:val="4"/>
        <w:rPr>
          <w:rFonts w:ascii="仿宋" w:eastAsia="仿宋" w:cs="仿宋"/>
          <w:lang w:val="en-US"/>
        </w:rPr>
      </w:pPr>
    </w:p>
    <w:p>
      <w:pPr>
        <w:rPr>
          <w:rFonts w:ascii="仿宋" w:hAnsi="仿宋" w:eastAsia="仿宋" w:cs="仿宋"/>
        </w:rPr>
      </w:pPr>
    </w:p>
    <w:p>
      <w:pPr>
        <w:pStyle w:val="627"/>
        <w:numPr>
          <w:ilvl w:val="0"/>
          <w:numId w:val="0"/>
        </w:numPr>
        <w:snapToGrid w:val="0"/>
        <w:spacing w:before="120" w:after="120"/>
        <w:rPr>
          <w:rFonts w:ascii="仿宋" w:hAnsi="仿宋" w:eastAsia="仿宋" w:cs="仿宋"/>
          <w:b/>
          <w:sz w:val="28"/>
          <w:szCs w:val="28"/>
          <w:highlight w:val="yellow"/>
        </w:rPr>
      </w:pPr>
    </w:p>
    <w:p>
      <w:pPr>
        <w:pStyle w:val="627"/>
        <w:numPr>
          <w:ilvl w:val="0"/>
          <w:numId w:val="0"/>
        </w:numPr>
        <w:snapToGrid w:val="0"/>
        <w:spacing w:before="120" w:after="120"/>
        <w:rPr>
          <w:rFonts w:ascii="仿宋" w:hAnsi="仿宋" w:eastAsia="仿宋" w:cs="仿宋"/>
          <w:b/>
          <w:sz w:val="28"/>
          <w:szCs w:val="28"/>
          <w:highlight w:val="yellow"/>
        </w:rPr>
      </w:pPr>
    </w:p>
    <w:p>
      <w:pPr>
        <w:pStyle w:val="627"/>
        <w:numPr>
          <w:ilvl w:val="0"/>
          <w:numId w:val="0"/>
        </w:numPr>
        <w:snapToGrid w:val="0"/>
        <w:spacing w:before="120" w:after="120"/>
        <w:rPr>
          <w:rFonts w:ascii="仿宋" w:hAnsi="仿宋" w:eastAsia="仿宋" w:cs="仿宋"/>
          <w:b/>
          <w:sz w:val="28"/>
          <w:szCs w:val="28"/>
          <w:highlight w:val="yellow"/>
        </w:rPr>
      </w:pPr>
      <w:r>
        <w:rPr>
          <w:rFonts w:hint="eastAsia" w:ascii="仿宋" w:hAnsi="仿宋" w:eastAsia="仿宋" w:cs="仿宋"/>
          <w:b/>
          <w:sz w:val="28"/>
          <w:szCs w:val="28"/>
          <w:highlight w:val="yellow"/>
        </w:rPr>
        <w:t>确认声明书（将以下表格填写完成后，与投标文件同步制作递交）</w:t>
      </w:r>
    </w:p>
    <w:p>
      <w:pPr>
        <w:pStyle w:val="627"/>
        <w:snapToGrid w:val="0"/>
        <w:spacing w:before="120" w:after="120"/>
        <w:jc w:val="center"/>
        <w:rPr>
          <w:rFonts w:ascii="仿宋" w:hAnsi="仿宋" w:eastAsia="仿宋" w:cs="仿宋"/>
          <w:kern w:val="0"/>
          <w:sz w:val="21"/>
          <w:szCs w:val="21"/>
        </w:rPr>
      </w:pPr>
      <w:r>
        <w:rPr>
          <w:rFonts w:hint="eastAsia" w:ascii="仿宋" w:hAnsi="仿宋" w:eastAsia="仿宋" w:cs="仿宋"/>
          <w:b/>
        </w:rPr>
        <w:t>（要求在电子投标文件解密后，自行核实下述承诺内容，如有不符，重新联系代理公司重新按新的内容邮箱递交）</w:t>
      </w:r>
    </w:p>
    <w:p>
      <w:pPr>
        <w:pStyle w:val="627"/>
        <w:snapToGrid w:val="0"/>
        <w:spacing w:before="120" w:after="120"/>
        <w:jc w:val="center"/>
        <w:rPr>
          <w:rFonts w:ascii="仿宋" w:hAnsi="仿宋" w:eastAsia="仿宋" w:cs="仿宋"/>
          <w:b/>
        </w:rPr>
      </w:pPr>
    </w:p>
    <w:p>
      <w:pPr>
        <w:pStyle w:val="627"/>
        <w:snapToGrid w:val="0"/>
        <w:spacing w:before="120" w:after="120"/>
        <w:jc w:val="center"/>
        <w:rPr>
          <w:rFonts w:ascii="仿宋" w:hAnsi="仿宋" w:eastAsia="仿宋" w:cs="仿宋"/>
          <w:b/>
        </w:rPr>
      </w:pPr>
      <w:r>
        <w:rPr>
          <w:rFonts w:hint="eastAsia" w:ascii="仿宋" w:hAnsi="仿宋" w:eastAsia="仿宋" w:cs="仿宋"/>
          <w:b/>
        </w:rPr>
        <w:t>政府采购活动现场确认声明书</w:t>
      </w:r>
    </w:p>
    <w:p>
      <w:pPr>
        <w:pStyle w:val="627"/>
        <w:snapToGrid w:val="0"/>
        <w:spacing w:before="120" w:after="120" w:line="380" w:lineRule="exact"/>
        <w:rPr>
          <w:rFonts w:ascii="仿宋" w:hAnsi="仿宋" w:eastAsia="仿宋" w:cs="仿宋"/>
          <w:b/>
        </w:rPr>
      </w:pPr>
      <w:r>
        <w:rPr>
          <w:rFonts w:hint="eastAsia" w:ascii="仿宋" w:hAnsi="仿宋" w:eastAsia="仿宋" w:cs="仿宋"/>
          <w:kern w:val="0"/>
          <w:u w:val="single"/>
        </w:rPr>
        <w:t xml:space="preserve">                        </w:t>
      </w:r>
      <w:r>
        <w:rPr>
          <w:rFonts w:hint="eastAsia" w:ascii="仿宋" w:hAnsi="仿宋" w:eastAsia="仿宋" w:cs="仿宋"/>
          <w:kern w:val="0"/>
        </w:rPr>
        <w:t>：</w:t>
      </w:r>
    </w:p>
    <w:p>
      <w:pPr>
        <w:pStyle w:val="627"/>
        <w:snapToGrid w:val="0"/>
        <w:spacing w:before="120" w:after="120" w:line="380" w:lineRule="exact"/>
        <w:ind w:firstLine="504" w:firstLineChars="200"/>
        <w:rPr>
          <w:rFonts w:ascii="仿宋" w:hAnsi="仿宋" w:eastAsia="仿宋" w:cs="仿宋"/>
          <w:spacing w:val="6"/>
        </w:rPr>
      </w:pPr>
      <w:r>
        <w:rPr>
          <w:rFonts w:hint="eastAsia" w:ascii="仿宋" w:hAnsi="仿宋" w:eastAsia="仿宋" w:cs="仿宋"/>
          <w:spacing w:val="6"/>
        </w:rPr>
        <w:t>本人经由</w:t>
      </w:r>
      <w:r>
        <w:rPr>
          <w:rFonts w:hint="eastAsia" w:ascii="仿宋" w:hAnsi="仿宋" w:eastAsia="仿宋" w:cs="仿宋"/>
          <w:spacing w:val="6"/>
          <w:u w:val="single"/>
        </w:rPr>
        <w:t xml:space="preserve">                  （单位）</w:t>
      </w:r>
      <w:r>
        <w:rPr>
          <w:rFonts w:hint="eastAsia" w:ascii="仿宋" w:hAnsi="仿宋" w:eastAsia="仿宋" w:cs="仿宋"/>
          <w:spacing w:val="6"/>
        </w:rPr>
        <w:t>负责人</w:t>
      </w:r>
      <w:r>
        <w:rPr>
          <w:rFonts w:hint="eastAsia" w:ascii="仿宋" w:hAnsi="仿宋" w:eastAsia="仿宋" w:cs="仿宋"/>
          <w:spacing w:val="6"/>
          <w:u w:val="single"/>
        </w:rPr>
        <w:t xml:space="preserve">        （姓名）</w:t>
      </w:r>
      <w:r>
        <w:rPr>
          <w:rFonts w:hint="eastAsia" w:ascii="仿宋" w:hAnsi="仿宋" w:eastAsia="仿宋" w:cs="仿宋"/>
          <w:spacing w:val="6"/>
        </w:rPr>
        <w:t>合法授权参加</w:t>
      </w:r>
      <w:r>
        <w:rPr>
          <w:rFonts w:hint="eastAsia" w:ascii="仿宋" w:hAnsi="仿宋" w:eastAsia="仿宋" w:cs="仿宋"/>
          <w:spacing w:val="6"/>
          <w:u w:val="single"/>
        </w:rPr>
        <w:t xml:space="preserve">                </w:t>
      </w:r>
      <w:r>
        <w:rPr>
          <w:rFonts w:hint="eastAsia" w:ascii="仿宋" w:hAnsi="仿宋" w:eastAsia="仿宋" w:cs="仿宋"/>
          <w:spacing w:val="6"/>
        </w:rPr>
        <w:t>项目（编号：</w:t>
      </w:r>
      <w:r>
        <w:rPr>
          <w:rFonts w:hint="eastAsia" w:ascii="仿宋" w:hAnsi="仿宋" w:eastAsia="仿宋" w:cs="仿宋"/>
          <w:spacing w:val="6"/>
          <w:u w:val="single"/>
        </w:rPr>
        <w:t xml:space="preserve">        </w:t>
      </w:r>
      <w:r>
        <w:rPr>
          <w:rFonts w:hint="eastAsia" w:ascii="仿宋" w:hAnsi="仿宋" w:eastAsia="仿宋" w:cs="仿宋"/>
          <w:spacing w:val="6"/>
        </w:rPr>
        <w:t xml:space="preserve">）政府采购活动，经与本单位法人代表（负责人）联系确认，现就有关公平竞争事项郑重声明如下： </w:t>
      </w:r>
    </w:p>
    <w:p>
      <w:pPr>
        <w:pStyle w:val="628"/>
        <w:widowControl/>
        <w:numPr>
          <w:ilvl w:val="0"/>
          <w:numId w:val="9"/>
        </w:numPr>
        <w:snapToGrid w:val="0"/>
        <w:spacing w:line="380" w:lineRule="exact"/>
        <w:ind w:firstLine="453" w:firstLineChars="189"/>
        <w:rPr>
          <w:rFonts w:hint="default" w:ascii="仿宋" w:hAnsi="仿宋" w:eastAsia="仿宋" w:cs="仿宋"/>
          <w:kern w:val="0"/>
          <w:sz w:val="24"/>
          <w:szCs w:val="24"/>
        </w:rPr>
      </w:pPr>
      <w:r>
        <w:rPr>
          <w:rFonts w:ascii="仿宋" w:hAnsi="仿宋" w:eastAsia="仿宋" w:cs="仿宋"/>
          <w:kern w:val="0"/>
          <w:sz w:val="24"/>
          <w:szCs w:val="24"/>
        </w:rPr>
        <w:t>本单位与采购人之间 □不存在利害关系 □存在下列利害关系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628"/>
        <w:widowControl/>
        <w:snapToGrid w:val="0"/>
        <w:spacing w:line="380" w:lineRule="exact"/>
        <w:rPr>
          <w:rFonts w:hint="default" w:ascii="仿宋" w:hAnsi="仿宋" w:eastAsia="仿宋" w:cs="仿宋"/>
          <w:kern w:val="0"/>
          <w:sz w:val="24"/>
          <w:szCs w:val="24"/>
        </w:rPr>
      </w:pPr>
      <w:r>
        <w:rPr>
          <w:rFonts w:ascii="仿宋" w:hAnsi="仿宋" w:eastAsia="仿宋" w:cs="仿宋"/>
          <w:kern w:val="0"/>
          <w:sz w:val="24"/>
          <w:szCs w:val="24"/>
        </w:rPr>
        <w:t xml:space="preserve">  A.投资关系    B.行政隶属关系    C.业务指导关系</w:t>
      </w:r>
    </w:p>
    <w:p>
      <w:pPr>
        <w:pStyle w:val="628"/>
        <w:widowControl/>
        <w:snapToGrid w:val="0"/>
        <w:spacing w:line="380" w:lineRule="exact"/>
        <w:rPr>
          <w:rFonts w:hint="default" w:ascii="仿宋" w:hAnsi="仿宋" w:eastAsia="仿宋" w:cs="仿宋"/>
          <w:kern w:val="0"/>
          <w:sz w:val="24"/>
          <w:szCs w:val="24"/>
        </w:rPr>
      </w:pPr>
      <w:r>
        <w:rPr>
          <w:rFonts w:ascii="仿宋" w:hAnsi="仿宋" w:eastAsia="仿宋" w:cs="仿宋"/>
          <w:kern w:val="0"/>
          <w:sz w:val="24"/>
          <w:szCs w:val="24"/>
        </w:rPr>
        <w:t xml:space="preserve">  D.其他可能</w:t>
      </w:r>
      <w:r>
        <w:rPr>
          <w:rFonts w:ascii="仿宋" w:hAnsi="仿宋" w:eastAsia="仿宋" w:cs="仿宋"/>
          <w:sz w:val="24"/>
          <w:szCs w:val="24"/>
        </w:rPr>
        <w:t>影响采购公正的</w:t>
      </w:r>
      <w:r>
        <w:rPr>
          <w:rFonts w:ascii="仿宋" w:hAnsi="仿宋" w:eastAsia="仿宋" w:cs="仿宋"/>
          <w:kern w:val="0"/>
          <w:sz w:val="24"/>
          <w:szCs w:val="24"/>
        </w:rPr>
        <w:t>利害关系</w:t>
      </w:r>
      <w:r>
        <w:rPr>
          <w:rFonts w:ascii="仿宋" w:hAnsi="仿宋" w:eastAsia="仿宋" w:cs="仿宋"/>
          <w:kern w:val="0"/>
          <w:sz w:val="24"/>
          <w:szCs w:val="24"/>
          <w:u w:val="single"/>
        </w:rPr>
        <w:t xml:space="preserve">（如有，请如实说明）                 </w:t>
      </w:r>
      <w:r>
        <w:rPr>
          <w:rFonts w:ascii="仿宋" w:hAnsi="仿宋" w:eastAsia="仿宋" w:cs="仿宋"/>
          <w:kern w:val="0"/>
          <w:sz w:val="24"/>
          <w:szCs w:val="24"/>
        </w:rPr>
        <w:t>。</w:t>
      </w:r>
    </w:p>
    <w:p>
      <w:pPr>
        <w:pStyle w:val="628"/>
        <w:widowControl/>
        <w:snapToGrid w:val="0"/>
        <w:spacing w:line="380" w:lineRule="exact"/>
        <w:rPr>
          <w:rFonts w:hint="default" w:ascii="仿宋" w:hAnsi="仿宋" w:eastAsia="仿宋" w:cs="仿宋"/>
          <w:kern w:val="0"/>
          <w:sz w:val="24"/>
          <w:szCs w:val="24"/>
        </w:rPr>
      </w:pPr>
      <w:r>
        <w:rPr>
          <w:rFonts w:ascii="仿宋" w:hAnsi="仿宋" w:eastAsia="仿宋" w:cs="仿宋"/>
          <w:spacing w:val="6"/>
          <w:sz w:val="24"/>
          <w:szCs w:val="24"/>
        </w:rPr>
        <w:t xml:space="preserve">  二、</w:t>
      </w:r>
      <w:r>
        <w:rPr>
          <w:rFonts w:ascii="仿宋" w:hAnsi="仿宋" w:eastAsia="仿宋" w:cs="仿宋"/>
          <w:kern w:val="0"/>
          <w:sz w:val="24"/>
          <w:szCs w:val="24"/>
        </w:rPr>
        <w:t>现已清楚知道参加本项目采购活动的其他所有供应商名称，本单位 □与其他所有供应商之间均不存在利害关系 □与</w:t>
      </w:r>
      <w:r>
        <w:rPr>
          <w:rFonts w:ascii="仿宋" w:hAnsi="仿宋" w:eastAsia="仿宋" w:cs="仿宋"/>
          <w:kern w:val="0"/>
          <w:sz w:val="24"/>
          <w:szCs w:val="24"/>
          <w:u w:val="single"/>
        </w:rPr>
        <w:t xml:space="preserve">           （供应商名称）</w:t>
      </w:r>
      <w:r>
        <w:rPr>
          <w:rFonts w:ascii="仿宋" w:hAnsi="仿宋" w:eastAsia="仿宋" w:cs="仿宋"/>
          <w:kern w:val="0"/>
          <w:sz w:val="24"/>
          <w:szCs w:val="24"/>
        </w:rPr>
        <w:t>之间存在下列利害关系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627"/>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A.法定代表人或负责人或实际控制人是同一人</w:t>
      </w:r>
    </w:p>
    <w:p>
      <w:pPr>
        <w:pStyle w:val="627"/>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B.法定代表人或负责人或实际控制人是夫妻关系</w:t>
      </w:r>
    </w:p>
    <w:p>
      <w:pPr>
        <w:pStyle w:val="627"/>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C.法定代表人或负责人或实际控制人是直系血亲关系</w:t>
      </w:r>
    </w:p>
    <w:p>
      <w:pPr>
        <w:pStyle w:val="627"/>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D.法定代表人或负责人或实际控制人存在三代以内旁系血亲关系</w:t>
      </w:r>
    </w:p>
    <w:p>
      <w:pPr>
        <w:pStyle w:val="627"/>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E.法定代表人或负责人或实际控制人存在近姻亲关系</w:t>
      </w:r>
    </w:p>
    <w:p>
      <w:pPr>
        <w:pStyle w:val="627"/>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F.法定代表人或负责人或实际控制人存在股份控制或实际控制关系</w:t>
      </w:r>
    </w:p>
    <w:p>
      <w:pPr>
        <w:pStyle w:val="627"/>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G.存在共同直接或间接投资设立子公司、联营企业和合营企业情况</w:t>
      </w:r>
    </w:p>
    <w:p>
      <w:pPr>
        <w:pStyle w:val="627"/>
        <w:adjustRightInd/>
        <w:snapToGrid w:val="0"/>
        <w:spacing w:before="120" w:after="120" w:line="300" w:lineRule="exact"/>
        <w:rPr>
          <w:rFonts w:ascii="仿宋" w:hAnsi="仿宋" w:eastAsia="仿宋" w:cs="仿宋"/>
        </w:rPr>
      </w:pPr>
      <w:r>
        <w:rPr>
          <w:rFonts w:hint="eastAsia" w:ascii="仿宋" w:hAnsi="仿宋" w:eastAsia="仿宋" w:cs="仿宋"/>
          <w:kern w:val="0"/>
        </w:rPr>
        <w:t xml:space="preserve">  H.存在分级代理或代销关系、同一生产制造商关系、</w:t>
      </w:r>
      <w:r>
        <w:rPr>
          <w:rFonts w:hint="eastAsia" w:ascii="仿宋" w:hAnsi="仿宋" w:eastAsia="仿宋" w:cs="仿宋"/>
        </w:rPr>
        <w:t>管理关系、重要业务（占主营业务收入50%以上）或重要财务往来关系（如融资）等其他实质性控制关系</w:t>
      </w:r>
    </w:p>
    <w:p>
      <w:pPr>
        <w:pStyle w:val="627"/>
        <w:snapToGrid w:val="0"/>
        <w:spacing w:before="120" w:after="120" w:line="380" w:lineRule="exact"/>
        <w:rPr>
          <w:rFonts w:ascii="仿宋" w:hAnsi="仿宋" w:eastAsia="仿宋" w:cs="仿宋"/>
          <w:spacing w:val="6"/>
        </w:rPr>
      </w:pPr>
      <w:r>
        <w:rPr>
          <w:rFonts w:hint="eastAsia" w:ascii="仿宋" w:hAnsi="仿宋" w:eastAsia="仿宋" w:cs="仿宋"/>
        </w:rPr>
        <w:t xml:space="preserve">    I</w:t>
      </w:r>
      <w:r>
        <w:rPr>
          <w:rFonts w:hint="eastAsia" w:ascii="仿宋" w:hAnsi="仿宋" w:eastAsia="仿宋" w:cs="仿宋"/>
          <w:kern w:val="0"/>
        </w:rPr>
        <w:t>.</w:t>
      </w:r>
      <w:r>
        <w:rPr>
          <w:rFonts w:hint="eastAsia" w:ascii="仿宋" w:hAnsi="仿宋" w:eastAsia="仿宋" w:cs="仿宋"/>
        </w:rPr>
        <w:t>其他利害关系情况</w:t>
      </w:r>
      <w:r>
        <w:rPr>
          <w:rFonts w:hint="eastAsia" w:ascii="仿宋" w:hAnsi="仿宋" w:eastAsia="仿宋" w:cs="仿宋"/>
          <w:u w:val="single"/>
        </w:rPr>
        <w:t xml:space="preserve">                              </w:t>
      </w:r>
      <w:r>
        <w:rPr>
          <w:rFonts w:hint="eastAsia" w:ascii="仿宋" w:hAnsi="仿宋" w:eastAsia="仿宋" w:cs="仿宋"/>
          <w:kern w:val="0"/>
        </w:rPr>
        <w:t>。</w:t>
      </w:r>
    </w:p>
    <w:p>
      <w:pPr>
        <w:pStyle w:val="628"/>
        <w:widowControl/>
        <w:numPr>
          <w:ilvl w:val="0"/>
          <w:numId w:val="10"/>
        </w:numPr>
        <w:snapToGrid w:val="0"/>
        <w:spacing w:line="380" w:lineRule="exact"/>
        <w:ind w:firstLine="453" w:firstLineChars="189"/>
        <w:rPr>
          <w:rFonts w:hint="default" w:ascii="仿宋" w:hAnsi="仿宋" w:eastAsia="仿宋" w:cs="仿宋"/>
          <w:kern w:val="0"/>
          <w:sz w:val="24"/>
          <w:szCs w:val="24"/>
        </w:rPr>
      </w:pPr>
      <w:r>
        <w:rPr>
          <w:rFonts w:ascii="仿宋" w:hAnsi="仿宋" w:eastAsia="仿宋" w:cs="仿宋"/>
          <w:sz w:val="24"/>
          <w:szCs w:val="24"/>
        </w:rPr>
        <w:t>现已清楚知道并</w:t>
      </w:r>
      <w:r>
        <w:rPr>
          <w:rFonts w:ascii="仿宋" w:hAnsi="仿宋" w:eastAsia="仿宋" w:cs="仿宋"/>
          <w:kern w:val="0"/>
          <w:sz w:val="24"/>
          <w:szCs w:val="24"/>
        </w:rPr>
        <w:t>严格遵守政府采购法律法规和现场纪律。</w:t>
      </w:r>
    </w:p>
    <w:p>
      <w:pPr>
        <w:pStyle w:val="628"/>
        <w:widowControl/>
        <w:numPr>
          <w:ilvl w:val="0"/>
          <w:numId w:val="10"/>
        </w:numPr>
        <w:snapToGrid w:val="0"/>
        <w:spacing w:line="380" w:lineRule="exact"/>
        <w:ind w:firstLine="453" w:firstLineChars="189"/>
        <w:rPr>
          <w:rFonts w:hint="default" w:ascii="仿宋" w:hAnsi="仿宋" w:eastAsia="仿宋" w:cs="仿宋"/>
          <w:sz w:val="24"/>
          <w:szCs w:val="24"/>
        </w:rPr>
      </w:pPr>
      <w:r>
        <w:rPr>
          <w:rFonts w:ascii="仿宋" w:hAnsi="仿宋" w:eastAsia="仿宋" w:cs="仿宋"/>
          <w:kern w:val="0"/>
          <w:sz w:val="24"/>
          <w:szCs w:val="24"/>
        </w:rPr>
        <w:t>我发现</w:t>
      </w:r>
      <w:r>
        <w:rPr>
          <w:rFonts w:ascii="仿宋" w:hAnsi="仿宋" w:eastAsia="仿宋" w:cs="仿宋"/>
          <w:kern w:val="0"/>
          <w:sz w:val="24"/>
          <w:szCs w:val="24"/>
          <w:u w:val="single"/>
        </w:rPr>
        <w:t xml:space="preserve">                    </w:t>
      </w:r>
      <w:r>
        <w:rPr>
          <w:rFonts w:ascii="仿宋" w:hAnsi="仿宋" w:eastAsia="仿宋" w:cs="仿宋"/>
          <w:kern w:val="0"/>
          <w:sz w:val="24"/>
          <w:szCs w:val="24"/>
        </w:rPr>
        <w:t>供应商之间存在或可能存在上述第二条第</w:t>
      </w:r>
      <w:r>
        <w:rPr>
          <w:rFonts w:ascii="仿宋" w:hAnsi="仿宋" w:eastAsia="仿宋" w:cs="仿宋"/>
          <w:kern w:val="0"/>
          <w:sz w:val="24"/>
          <w:szCs w:val="24"/>
          <w:u w:val="single"/>
        </w:rPr>
        <w:t xml:space="preserve">        </w:t>
      </w:r>
      <w:r>
        <w:rPr>
          <w:rFonts w:ascii="仿宋" w:hAnsi="仿宋" w:eastAsia="仿宋" w:cs="仿宋"/>
          <w:kern w:val="0"/>
          <w:sz w:val="24"/>
          <w:szCs w:val="24"/>
        </w:rPr>
        <w:t>项利害关系。</w:t>
      </w:r>
    </w:p>
    <w:p>
      <w:pPr>
        <w:pStyle w:val="627"/>
        <w:snapToGrid w:val="0"/>
        <w:spacing w:before="120" w:after="120"/>
        <w:ind w:firstLine="480" w:firstLineChars="200"/>
        <w:rPr>
          <w:rFonts w:ascii="仿宋" w:hAnsi="仿宋" w:eastAsia="仿宋" w:cs="仿宋"/>
        </w:rPr>
      </w:pPr>
      <w:r>
        <w:rPr>
          <w:rFonts w:hint="eastAsia" w:ascii="仿宋" w:hAnsi="仿宋" w:eastAsia="仿宋" w:cs="仿宋"/>
        </w:rPr>
        <w:t xml:space="preserve">                                          供应商盖章：</w:t>
      </w:r>
    </w:p>
    <w:p>
      <w:pPr>
        <w:pStyle w:val="627"/>
        <w:snapToGrid w:val="0"/>
        <w:spacing w:before="120" w:after="120"/>
        <w:ind w:firstLine="5520" w:firstLineChars="2300"/>
        <w:rPr>
          <w:rFonts w:ascii="仿宋" w:hAnsi="仿宋" w:eastAsia="仿宋" w:cs="仿宋"/>
        </w:rPr>
      </w:pPr>
      <w:r>
        <w:rPr>
          <w:rFonts w:hint="eastAsia" w:ascii="仿宋" w:hAnsi="仿宋" w:eastAsia="仿宋" w:cs="仿宋"/>
        </w:rPr>
        <w:t>授权委托代表签名：</w:t>
      </w:r>
    </w:p>
    <w:p>
      <w:pPr>
        <w:snapToGrid w:val="0"/>
        <w:spacing w:line="360" w:lineRule="auto"/>
        <w:jc w:val="left"/>
        <w:rPr>
          <w:sz w:val="24"/>
        </w:rPr>
      </w:pPr>
      <w:r>
        <w:rPr>
          <w:rFonts w:hint="eastAsia" w:ascii="仿宋" w:hAnsi="仿宋" w:eastAsia="仿宋" w:cs="仿宋"/>
          <w:sz w:val="24"/>
        </w:rPr>
        <w:t xml:space="preserve">                                               年    月    日</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Quad Arrow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Quad Arrow 25"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ARtor4BAACcAwAADgAAAAAAAAABACAAAAAeAQAAZHJzL2Uyb0RvYy54bWxQSwUGAAAA&#10;AAYABgBZAQAATgU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p>
                        <w:p/>
                      </w:txbxContent>
                    </wps:txbx>
                    <wps:bodyPr wrap="none" lIns="0" tIns="0" rIns="0" bIns="0" upright="1">
                      <a:spAutoFit/>
                    </wps:bodyPr>
                  </wps:wsp>
                </a:graphicData>
              </a:graphic>
            </wp:anchor>
          </w:drawing>
        </mc:Choice>
        <mc:Fallback>
          <w:pict>
            <v:shape id="Quad Arrow 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4XlL4BAACc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MNbcKaMycsTfxHLxp2jwgD29ymDg0+VJT46ik1&#10;jg8wUvbiD+RMwscWbfqSJEZx6u/l2l81RibTo+1muy0pJCm2XAi/eHvuMcQnBZYlo+ZIA8x9FeeX&#10;EKfUJSVVc/CojclDNO4vB2EmT5G4TxyTFcfjOAs6QnMhPQPNvuaOVp0z8+yotWlNFgMX47gYvUd9&#10;6ojaOvMK/r6PRCJzSxUm2LkwDS2rmxcsbcWf95z19lP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Z4XlL4BAACcAwAADgAAAAAAAAABACAAAAAeAQAAZHJzL2Uyb0RvYy54bWxQSwUGAAAA&#10;AAYABgBZAQAATgUAAAAA&#10;">
              <v:fill on="f" focussize="0,0"/>
              <v:stroke on="f"/>
              <v:imagedata o:title=""/>
              <o:lock v:ext="edit" aspectratio="f"/>
              <v:textbox inset="0mm,0mm,0mm,0mm" style="mso-fit-shape-to-text:t;">
                <w:txbxContent>
                  <w:p>
                    <w:pPr>
                      <w:pStyle w:val="45"/>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Quad Arrow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57</w:t>
                          </w:r>
                          <w:r>
                            <w:fldChar w:fldCharType="end"/>
                          </w:r>
                        </w:p>
                      </w:txbxContent>
                    </wps:txbx>
                    <wps:bodyPr wrap="none" lIns="0" tIns="0" rIns="0" bIns="0" upright="1">
                      <a:spAutoFit/>
                    </wps:bodyPr>
                  </wps:wsp>
                </a:graphicData>
              </a:graphic>
            </wp:anchor>
          </w:drawing>
        </mc:Choice>
        <mc:Fallback>
          <w:pict>
            <v:shape id="Quad Arrow 10"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487Gn74BAACcAwAADgAAAAAAAAABACAAAAAeAQAAZHJzL2Uyb0RvYy54bWxQSwUGAAAA&#10;AAYABgBZAQAATgU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Quad Arrow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jc w:val="center"/>
                          </w:pPr>
                        </w:p>
                        <w:p/>
                      </w:txbxContent>
                    </wps:txbx>
                    <wps:bodyPr wrap="none" lIns="0" tIns="0" rIns="0" bIns="0" upright="1">
                      <a:spAutoFit/>
                    </wps:bodyPr>
                  </wps:wsp>
                </a:graphicData>
              </a:graphic>
            </wp:anchor>
          </w:drawing>
        </mc:Choice>
        <mc:Fallback>
          <w:pict>
            <v:shape id="Quad Arrow 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XEAKK8AQAAmwMAAA4AAAAAAAAAAQAgAAAAHgEAAGRycy9lMm9Eb2MueG1sUEsFBgAAAAAG&#10;AAYAWQEAAEwFAAAAAA==&#10;">
              <v:fill on="f" focussize="0,0"/>
              <v:stroke on="f"/>
              <v:imagedata o:title=""/>
              <o:lock v:ext="edit" aspectratio="f"/>
              <v:textbox inset="0mm,0mm,0mm,0mm" style="mso-fit-shape-to-text:t;">
                <w:txbxContent>
                  <w:p>
                    <w:pPr>
                      <w:pStyle w:val="45"/>
                      <w:jc w:val="center"/>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Quad Arrow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68</w:t>
                          </w:r>
                          <w:r>
                            <w:fldChar w:fldCharType="end"/>
                          </w:r>
                        </w:p>
                      </w:txbxContent>
                    </wps:txbx>
                    <wps:bodyPr wrap="none" lIns="0" tIns="0" rIns="0" bIns="0" upright="1">
                      <a:spAutoFit/>
                    </wps:bodyPr>
                  </wps:wsp>
                </a:graphicData>
              </a:graphic>
            </wp:anchor>
          </w:drawing>
        </mc:Choice>
        <mc:Fallback>
          <w:pict>
            <v:shape id="Quad Arrow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ti/6G8AQAAmwMAAA4AAAAAAAAAAQAgAAAAHgEAAGRycy9lMm9Eb2MueG1sUEsFBgAAAAAG&#10;AAYAWQEAAEwFA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Quad Arrow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69</w:t>
                          </w:r>
                          <w:r>
                            <w:fldChar w:fldCharType="end"/>
                          </w:r>
                        </w:p>
                      </w:txbxContent>
                    </wps:txbx>
                    <wps:bodyPr wrap="none" lIns="0" tIns="0" rIns="0" bIns="0" upright="1">
                      <a:spAutoFit/>
                    </wps:bodyPr>
                  </wps:wsp>
                </a:graphicData>
              </a:graphic>
            </wp:anchor>
          </w:drawing>
        </mc:Choice>
        <mc:Fallback>
          <w:pict>
            <v:shape id="Quad Arrow 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vmV8K8AQAAmwMAAA4AAAAAAAAAAQAgAAAAHgEAAGRycy9lMm9Eb2MueG1sUEsFBgAAAAAG&#10;AAYAWQEAAEwFA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71</w:t>
                          </w:r>
                          <w:r>
                            <w:fldChar w:fldCharType="end"/>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JRbxOvQEAAJsDAAAOAAAAAAAAAAEAIAAAAB4BAABkcnMvZTJvRG9jLnhtbFBLBQYAAAAA&#10;BgAGAFkBAABNBQ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p>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ygyyvQEAAJsDAAAOAAAAAAAAAAEAIAAAAB4BAABkcnMvZTJvRG9jLnhtbFBLBQYAAAAA&#10;BgAGAFkBAABNBQAAAAA=&#10;">
              <v:fill on="f" focussize="0,0"/>
              <v:stroke on="f"/>
              <v:imagedata o:title=""/>
              <o:lock v:ext="edit" aspectratio="f"/>
              <v:textbox inset="0mm,0mm,0mm,0mm" style="mso-fit-shape-to-text:t;">
                <w:txbxContent>
                  <w:p>
                    <w:pPr>
                      <w:pStyle w:val="45"/>
                    </w:pPr>
                  </w:p>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Quad Arrow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Quad Arrow 4"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v3B374BAACbAwAADgAAAAAAAAABACAAAAAeAQAAZHJzL2Uyb0RvYy54bWxQSwUGAAAA&#10;AAYABgBZAQAATgU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70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p>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93QiHvQEAAJsDAAAOAAAAAAAAAAEAIAAAAB4BAABkcnMvZTJvRG9jLnhtbFBLBQYAAAAA&#10;BgAGAFkBAABNBQAAAAA=&#10;">
              <v:fill on="f" focussize="0,0"/>
              <v:stroke on="f"/>
              <v:imagedata o:title=""/>
              <o:lock v:ext="edit" aspectratio="f"/>
              <v:textbox inset="0mm,0mm,0mm,0mm" style="mso-fit-shape-to-text:t;">
                <w:txbxContent>
                  <w:p>
                    <w:pPr>
                      <w:pStyle w:val="45"/>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Quad Arrow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27"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R/7v74BAACcAwAADgAAAAAAAAABACAAAAAeAQAAZHJzL2Uyb0RvYy54bWxQSwUGAAAA&#10;AAYABgBZAQAATgU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p>
                        <w:p/>
                      </w:txbxContent>
                    </wps:txbx>
                    <wps:bodyPr wrap="none" lIns="0" tIns="0" rIns="0" bIns="0" upright="1">
                      <a:spAutoFit/>
                    </wps:bodyPr>
                  </wps:wsp>
                </a:graphicData>
              </a:graphic>
            </wp:anchor>
          </w:drawing>
        </mc:Choice>
        <mc:Fallback>
          <w:pict>
            <v:shape id="Quad Arrow 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hYGJvQEAAJwDAAAOAAAAAAAAAAEAIAAAAB4BAABkcnMvZTJvRG9jLnhtbFBLBQYAAAAA&#10;BgAGAFkBAABNBQAAAAA=&#10;">
              <v:fill on="f" focussize="0,0"/>
              <v:stroke on="f"/>
              <v:imagedata o:title=""/>
              <o:lock v:ext="edit" aspectratio="f"/>
              <v:textbox inset="0mm,0mm,0mm,0mm" style="mso-fit-shape-to-text:t;">
                <w:txbxContent>
                  <w:p>
                    <w:pPr>
                      <w:pStyle w:val="45"/>
                    </w:pPr>
                  </w:p>
                  <w:p/>
                </w:txbxContent>
              </v:textbox>
            </v:shape>
          </w:pict>
        </mc:Fallback>
      </mc:AlternateContent>
    </w:r>
    <w:r>
      <w:rPr>
        <w:rFonts w:ascii="楷体_GB2312" w:hAnsi="Times New Roman" w:eastAsia="楷体_GB2312" w:cs="Times New Roman"/>
        <w:color w:val="0000FF"/>
        <w:kern w:val="2"/>
        <w:sz w:val="18"/>
        <w:szCs w:val="18"/>
        <w:u w:val="thick"/>
        <w:lang w:val="en-US" w:eastAsia="zh-CN" w:bidi="ar-SA"/>
      </w:rPr>
      <w:drawing>
        <wp:anchor distT="0" distB="0" distL="114300" distR="114300" simplePos="0" relativeHeight="251659264" behindDoc="0" locked="0" layoutInCell="1" allowOverlap="1">
          <wp:simplePos x="0" y="0"/>
          <wp:positionH relativeFrom="column">
            <wp:posOffset>-181610</wp:posOffset>
          </wp:positionH>
          <wp:positionV relativeFrom="paragraph">
            <wp:posOffset>-91440</wp:posOffset>
          </wp:positionV>
          <wp:extent cx="1023620" cy="351155"/>
          <wp:effectExtent l="0" t="0" r="5080" b="4445"/>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Quad Arrow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Quad Arrow 2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a2hzsb4BAACcAwAADgAAAAAAAAABACAAAAAeAQAAZHJzL2Uyb0RvYy54bWxQSwUGAAAA&#10;AAYABgBZAQAATgU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21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Quad Arrow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p>
                        <w:p/>
                      </w:txbxContent>
                    </wps:txbx>
                    <wps:bodyPr wrap="none" lIns="0" tIns="0" rIns="0" bIns="0" upright="1">
                      <a:spAutoFit/>
                    </wps:bodyPr>
                  </wps:wsp>
                </a:graphicData>
              </a:graphic>
            </wp:anchor>
          </w:drawing>
        </mc:Choice>
        <mc:Fallback>
          <w:pict>
            <v:shape id="Quad Arrow 20"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AoOAFvQEAAJwDAAAOAAAAAAAAAAEAIAAAAB4BAABkcnMvZTJvRG9jLnhtbFBLBQYAAAAA&#10;BgAGAFkBAABNBQAAAAA=&#10;">
              <v:fill on="f" focussize="0,0"/>
              <v:stroke on="f"/>
              <v:imagedata o:title=""/>
              <o:lock v:ext="edit" aspectratio="f"/>
              <v:textbox inset="0mm,0mm,0mm,0mm" style="mso-fit-shape-to-text:t;">
                <w:txbxContent>
                  <w:p>
                    <w:pPr>
                      <w:pStyle w:val="45"/>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Quad Arrow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Quad Arrow 23"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NdJOVL4BAACcAwAADgAAAAAAAAABACAAAAAeAQAAZHJzL2Uyb0RvYy54bWxQSwUGAAAA&#10;AAYABgBZAQAATgU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Quad Arrow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p>
                        <w:p/>
                      </w:txbxContent>
                    </wps:txbx>
                    <wps:bodyPr wrap="none" lIns="0" tIns="0" rIns="0" bIns="0" upright="1">
                      <a:spAutoFit/>
                    </wps:bodyPr>
                  </wps:wsp>
                </a:graphicData>
              </a:graphic>
            </wp:anchor>
          </w:drawing>
        </mc:Choice>
        <mc:Fallback>
          <w:pict>
            <v:shape id="Quad Arrow 22"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hrd4L4BAACcAwAADgAAAAAAAAABACAAAAAeAQAAZHJzL2Uyb0RvYy54bWxQSwUGAAAA&#10;AAYABgBZAQAATgUAAAAA&#10;">
              <v:fill on="f" focussize="0,0"/>
              <v:stroke on="f"/>
              <v:imagedata o:title=""/>
              <o:lock v:ext="edit" aspectratio="f"/>
              <v:textbox inset="0mm,0mm,0mm,0mm" style="mso-fit-shape-to-text:t;">
                <w:txbxContent>
                  <w:p>
                    <w:pPr>
                      <w:pStyle w:val="45"/>
                    </w:pPr>
                  </w:p>
                  <w:p/>
                </w:txbxContent>
              </v:textbox>
            </v:shape>
          </w:pict>
        </mc:Fallback>
      </mc:AlternateContent>
    </w:r>
    <w:r>
      <w:rPr>
        <w:rFonts w:ascii="楷体_GB2312" w:hAnsi="Times New Roman" w:eastAsia="楷体_GB2312" w:cs="Times New Roman"/>
        <w:color w:val="0000FF"/>
        <w:kern w:val="2"/>
        <w:sz w:val="18"/>
        <w:szCs w:val="18"/>
        <w:u w:val="thick"/>
        <w:lang w:val="en-US" w:eastAsia="zh-CN" w:bidi="ar-SA"/>
      </w:rPr>
      <w:drawing>
        <wp:anchor distT="0" distB="0" distL="114300" distR="114300" simplePos="0" relativeHeight="251661312" behindDoc="0" locked="0" layoutInCell="1" allowOverlap="1">
          <wp:simplePos x="0" y="0"/>
          <wp:positionH relativeFrom="column">
            <wp:posOffset>-181610</wp:posOffset>
          </wp:positionH>
          <wp:positionV relativeFrom="paragraph">
            <wp:posOffset>-91440</wp:posOffset>
          </wp:positionV>
          <wp:extent cx="1023620" cy="351155"/>
          <wp:effectExtent l="0" t="0" r="5080" b="444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color w:val="0000FF"/>
        <w:u w:val="thick"/>
      </w:rPr>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Rectangle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Rectangle 1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CR&#10;eDAltgEAAJEDAAAOAAAAAAAAAAEAIAAAAB8BAABkcnMvZTJvRG9jLnhtbFBLBQYAAAAABgAGAFkB&#10;AABHBQ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22</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0288"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Rectangle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Rectangle 18"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AY&#10;s2P9tgEAAJADAAAOAAAAAAAAAAEAIAAAAB8BAABkcnMvZTJvRG9jLnhtbFBLBQYAAAAABgAGAFkB&#10;AABH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Quad Arrow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Quad Arrow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AHfd/74BAACcAwAADgAAAAAAAAABACAAAAAeAQAAZHJzL2Uyb0RvYy54bWxQSwUGAAAA&#10;AAYABgBZAQAATgU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Quad Arrow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Quad Arrow 1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HiJS5L4BAACcAwAADgAAAAAAAAABACAAAAAeAQAAZHJzL2Uyb0RvYy54bWxQSwUGAAAA&#10;AAYABgBZAQAATgU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51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Quad Arrow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jc w:val="center"/>
                          </w:pPr>
                        </w:p>
                        <w:p/>
                      </w:txbxContent>
                    </wps:txbx>
                    <wps:bodyPr wrap="none" lIns="0" tIns="0" rIns="0" bIns="0" upright="1">
                      <a:spAutoFit/>
                    </wps:bodyPr>
                  </wps:wsp>
                </a:graphicData>
              </a:graphic>
            </wp:anchor>
          </w:drawing>
        </mc:Choice>
        <mc:Fallback>
          <w:pict>
            <v:shape id="Quad Arrow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aJK74BAACc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MNbcItZ05YmviPXjTsHhEGtt6kDg0+VJT46ik1&#10;jg8wUvbiD+RMwscWbfqSJEZx6u/l2l81RibTo+1muy0pJCm2XAi/eHvuMcQnBZYlo+ZIA8x9FeeX&#10;EKfUJSVVc/CojclDNO4vB2EmT5G4TxyTFcfjOAs6QnMhPQPNvuaOVp0z8+yotWlNFgMX47gYvUd9&#10;6ojaOvMK/r6PRCJzSxUm2LkwDS2rmxcsbcWf95z19lP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lxaJK74BAACcAwAADgAAAAAAAAABACAAAAAeAQAAZHJzL2Uyb0RvYy54bWxQSwUGAAAA&#10;AAYABgBZAQAATgUAAAAA&#10;">
              <v:fill on="f" focussize="0,0"/>
              <v:stroke on="f"/>
              <v:imagedata o:title=""/>
              <o:lock v:ext="edit" aspectratio="f"/>
              <v:textbox inset="0mm,0mm,0mm,0mm" style="mso-fit-shape-to-text:t;">
                <w:txbxContent>
                  <w:p>
                    <w:pPr>
                      <w:pStyle w:val="45"/>
                      <w:jc w:val="center"/>
                    </w:pPr>
                  </w:p>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Quad Arrow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8"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N3svQEAAJsDAAAOAAAAAAAAAAEAIAAAAB4BAABkcnMvZTJvRG9jLnhtbFBLBQYAAAAA&#10;BgAGAFkBAABNBQ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Quad Arrow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jc w:val="center"/>
                          </w:pPr>
                        </w:p>
                        <w:p/>
                      </w:txbxContent>
                    </wps:txbx>
                    <wps:bodyPr wrap="none" lIns="0" tIns="0" rIns="0" bIns="0" upright="1">
                      <a:spAutoFit/>
                    </wps:bodyPr>
                  </wps:wsp>
                </a:graphicData>
              </a:graphic>
            </wp:anchor>
          </w:drawing>
        </mc:Choice>
        <mc:Fallback>
          <w:pict>
            <v:shape id="Quad Arrow 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LOFkhO8AQAAmwMAAA4AAAAAAAAAAQAgAAAAHgEAAGRycy9lMm9Eb2MueG1sUEsFBgAAAAAG&#10;AAYAWQEAAEwFAAAAAA==&#10;">
              <v:fill on="f" focussize="0,0"/>
              <v:stroke on="f"/>
              <v:imagedata o:title=""/>
              <o:lock v:ext="edit" aspectratio="f"/>
              <v:textbox inset="0mm,0mm,0mm,0mm" style="mso-fit-shape-to-text:t;">
                <w:txbxContent>
                  <w:p>
                    <w:pPr>
                      <w:pStyle w:val="45"/>
                      <w:jc w:val="center"/>
                    </w:pPr>
                  </w:p>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AB277517"/>
    <w:multiLevelType w:val="singleLevel"/>
    <w:tmpl w:val="AB277517"/>
    <w:lvl w:ilvl="0" w:tentative="0">
      <w:start w:val="4"/>
      <w:numFmt w:val="chineseCounting"/>
      <w:suff w:val="space"/>
      <w:lvlText w:val="第%1部分"/>
      <w:lvlJc w:val="left"/>
      <w:rPr>
        <w:rFonts w:hint="eastAsia"/>
      </w:rPr>
    </w:lvl>
  </w:abstractNum>
  <w:abstractNum w:abstractNumId="2">
    <w:nsid w:val="B007A3A2"/>
    <w:multiLevelType w:val="singleLevel"/>
    <w:tmpl w:val="B007A3A2"/>
    <w:lvl w:ilvl="0" w:tentative="0">
      <w:start w:val="1"/>
      <w:numFmt w:val="decimal"/>
      <w:suff w:val="nothing"/>
      <w:lvlText w:val="%1、"/>
      <w:lvlJc w:val="left"/>
    </w:lvl>
  </w:abstractNum>
  <w:abstractNum w:abstractNumId="3">
    <w:nsid w:val="1B1138A6"/>
    <w:multiLevelType w:val="singleLevel"/>
    <w:tmpl w:val="1B1138A6"/>
    <w:lvl w:ilvl="0" w:tentative="0">
      <w:start w:val="7"/>
      <w:numFmt w:val="chineseCounting"/>
      <w:suff w:val="nothing"/>
      <w:lvlText w:val="%1、"/>
      <w:lvlJc w:val="left"/>
      <w:rPr>
        <w:rFonts w:hint="eastAsia"/>
      </w:rPr>
    </w:lvl>
  </w:abstractNum>
  <w:abstractNum w:abstractNumId="4">
    <w:nsid w:val="2A107D1F"/>
    <w:multiLevelType w:val="singleLevel"/>
    <w:tmpl w:val="2A107D1F"/>
    <w:lvl w:ilvl="0" w:tentative="0">
      <w:start w:val="13"/>
      <w:numFmt w:val="decimal"/>
      <w:suff w:val="space"/>
      <w:lvlText w:val="%1."/>
      <w:lvlJc w:val="left"/>
    </w:lvl>
  </w:abstractNum>
  <w:abstractNum w:abstractNumId="5">
    <w:nsid w:val="517C102A"/>
    <w:multiLevelType w:val="singleLevel"/>
    <w:tmpl w:val="517C102A"/>
    <w:lvl w:ilvl="0" w:tentative="0">
      <w:start w:val="28"/>
      <w:numFmt w:val="decimal"/>
      <w:suff w:val="space"/>
      <w:lvlText w:val="%1."/>
      <w:lvlJc w:val="left"/>
      <w:pPr>
        <w:ind w:left="120" w:firstLine="0"/>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B678670"/>
    <w:multiLevelType w:val="singleLevel"/>
    <w:tmpl w:val="6B678670"/>
    <w:lvl w:ilvl="0" w:tentative="0">
      <w:start w:val="2"/>
      <w:numFmt w:val="decimal"/>
      <w:suff w:val="nothing"/>
      <w:lvlText w:val="%1、"/>
      <w:lvlJc w:val="left"/>
    </w:lvl>
  </w:abstractNum>
  <w:abstractNum w:abstractNumId="9">
    <w:nsid w:val="73414110"/>
    <w:multiLevelType w:val="singleLevel"/>
    <w:tmpl w:val="73414110"/>
    <w:lvl w:ilvl="0" w:tentative="0">
      <w:start w:val="8"/>
      <w:numFmt w:val="decimal"/>
      <w:suff w:val="space"/>
      <w:lvlText w:val="%1."/>
      <w:lvlJc w:val="left"/>
    </w:lvl>
  </w:abstractNum>
  <w:num w:numId="1">
    <w:abstractNumId w:val="9"/>
  </w:num>
  <w:num w:numId="2">
    <w:abstractNumId w:val="4"/>
  </w:num>
  <w:num w:numId="3">
    <w:abstractNumId w:val="0"/>
  </w:num>
  <w:num w:numId="4">
    <w:abstractNumId w:val="5"/>
  </w:num>
  <w:num w:numId="5">
    <w:abstractNumId w:val="8"/>
  </w:num>
  <w:num w:numId="6">
    <w:abstractNumId w:val="1"/>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zZhZGI4Mjg0N2VjOWYxYmE0YTI4YmYyYTMw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C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B59"/>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F2"/>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D5"/>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FA"/>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6F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86"/>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8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7D30"/>
    <w:rsid w:val="017C7CCD"/>
    <w:rsid w:val="019F7441"/>
    <w:rsid w:val="01B37585"/>
    <w:rsid w:val="01BA1319"/>
    <w:rsid w:val="01D55165"/>
    <w:rsid w:val="01DF6BF8"/>
    <w:rsid w:val="01EC2C57"/>
    <w:rsid w:val="01ED6FD3"/>
    <w:rsid w:val="025D6B3C"/>
    <w:rsid w:val="02642858"/>
    <w:rsid w:val="026B2E25"/>
    <w:rsid w:val="02824D4D"/>
    <w:rsid w:val="02DC4B10"/>
    <w:rsid w:val="02DD76CE"/>
    <w:rsid w:val="02F36323"/>
    <w:rsid w:val="02F5619C"/>
    <w:rsid w:val="0326446A"/>
    <w:rsid w:val="032D5555"/>
    <w:rsid w:val="036634D2"/>
    <w:rsid w:val="038C7DA2"/>
    <w:rsid w:val="03DD35E4"/>
    <w:rsid w:val="04076900"/>
    <w:rsid w:val="041A5A3B"/>
    <w:rsid w:val="0421059C"/>
    <w:rsid w:val="042311BA"/>
    <w:rsid w:val="042B157A"/>
    <w:rsid w:val="048F763B"/>
    <w:rsid w:val="049F330E"/>
    <w:rsid w:val="04AA775C"/>
    <w:rsid w:val="04AF1889"/>
    <w:rsid w:val="04F66F48"/>
    <w:rsid w:val="05251E14"/>
    <w:rsid w:val="05A16594"/>
    <w:rsid w:val="05A7762D"/>
    <w:rsid w:val="060E5941"/>
    <w:rsid w:val="06110FAF"/>
    <w:rsid w:val="06493CA7"/>
    <w:rsid w:val="064D67D9"/>
    <w:rsid w:val="065A6178"/>
    <w:rsid w:val="066F1CF3"/>
    <w:rsid w:val="06930BB8"/>
    <w:rsid w:val="07245D42"/>
    <w:rsid w:val="07264C62"/>
    <w:rsid w:val="0779354C"/>
    <w:rsid w:val="07A66C88"/>
    <w:rsid w:val="08061376"/>
    <w:rsid w:val="08452D77"/>
    <w:rsid w:val="086401F8"/>
    <w:rsid w:val="08751CAA"/>
    <w:rsid w:val="087E4C40"/>
    <w:rsid w:val="08D66AD6"/>
    <w:rsid w:val="08DA33A3"/>
    <w:rsid w:val="08E80F13"/>
    <w:rsid w:val="08FD1DEA"/>
    <w:rsid w:val="09335624"/>
    <w:rsid w:val="0944690F"/>
    <w:rsid w:val="09535675"/>
    <w:rsid w:val="095F057D"/>
    <w:rsid w:val="09642282"/>
    <w:rsid w:val="09733572"/>
    <w:rsid w:val="09772C16"/>
    <w:rsid w:val="098353B5"/>
    <w:rsid w:val="098E09A3"/>
    <w:rsid w:val="09A92330"/>
    <w:rsid w:val="09B06B87"/>
    <w:rsid w:val="09C13146"/>
    <w:rsid w:val="09E04166"/>
    <w:rsid w:val="0A1C0718"/>
    <w:rsid w:val="0A3E7710"/>
    <w:rsid w:val="0A5B7E63"/>
    <w:rsid w:val="0AA374A5"/>
    <w:rsid w:val="0AAB7649"/>
    <w:rsid w:val="0ABC5606"/>
    <w:rsid w:val="0AF4451F"/>
    <w:rsid w:val="0B30404E"/>
    <w:rsid w:val="0B4C6C14"/>
    <w:rsid w:val="0B631A88"/>
    <w:rsid w:val="0B683D45"/>
    <w:rsid w:val="0B7F3F11"/>
    <w:rsid w:val="0B884417"/>
    <w:rsid w:val="0B8F4947"/>
    <w:rsid w:val="0B953FC7"/>
    <w:rsid w:val="0BC042E6"/>
    <w:rsid w:val="0BF6188C"/>
    <w:rsid w:val="0BF73C91"/>
    <w:rsid w:val="0C0360CB"/>
    <w:rsid w:val="0C170175"/>
    <w:rsid w:val="0C370E2F"/>
    <w:rsid w:val="0C571A41"/>
    <w:rsid w:val="0C5C1171"/>
    <w:rsid w:val="0C5E1CBC"/>
    <w:rsid w:val="0C615B50"/>
    <w:rsid w:val="0C6E378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267CD"/>
    <w:rsid w:val="103319CE"/>
    <w:rsid w:val="10646583"/>
    <w:rsid w:val="10743176"/>
    <w:rsid w:val="107D4B15"/>
    <w:rsid w:val="108A3C80"/>
    <w:rsid w:val="10A02A07"/>
    <w:rsid w:val="10A22BBA"/>
    <w:rsid w:val="10C26171"/>
    <w:rsid w:val="10F33360"/>
    <w:rsid w:val="10FC16EA"/>
    <w:rsid w:val="110F1D40"/>
    <w:rsid w:val="111B5819"/>
    <w:rsid w:val="11266F33"/>
    <w:rsid w:val="116023BF"/>
    <w:rsid w:val="118963A1"/>
    <w:rsid w:val="11C6522A"/>
    <w:rsid w:val="11E104CC"/>
    <w:rsid w:val="11E20309"/>
    <w:rsid w:val="121E0D0A"/>
    <w:rsid w:val="12255233"/>
    <w:rsid w:val="12530213"/>
    <w:rsid w:val="127723A9"/>
    <w:rsid w:val="12862074"/>
    <w:rsid w:val="12883966"/>
    <w:rsid w:val="129427A7"/>
    <w:rsid w:val="129E45B4"/>
    <w:rsid w:val="12D81596"/>
    <w:rsid w:val="13072A44"/>
    <w:rsid w:val="13172C53"/>
    <w:rsid w:val="135F4BE2"/>
    <w:rsid w:val="139B1A0A"/>
    <w:rsid w:val="139D25C7"/>
    <w:rsid w:val="13BF3CE4"/>
    <w:rsid w:val="13FB2D35"/>
    <w:rsid w:val="141008D8"/>
    <w:rsid w:val="14125FE6"/>
    <w:rsid w:val="146D271E"/>
    <w:rsid w:val="14731F34"/>
    <w:rsid w:val="14982588"/>
    <w:rsid w:val="149A5AD9"/>
    <w:rsid w:val="14A7619D"/>
    <w:rsid w:val="150536C3"/>
    <w:rsid w:val="150C1963"/>
    <w:rsid w:val="151447A0"/>
    <w:rsid w:val="154A6454"/>
    <w:rsid w:val="15762120"/>
    <w:rsid w:val="15DE6F34"/>
    <w:rsid w:val="16A8729C"/>
    <w:rsid w:val="16B33777"/>
    <w:rsid w:val="16BC70A7"/>
    <w:rsid w:val="16C6339E"/>
    <w:rsid w:val="16F36C8C"/>
    <w:rsid w:val="172F2D79"/>
    <w:rsid w:val="17557BEF"/>
    <w:rsid w:val="177E0790"/>
    <w:rsid w:val="178E5663"/>
    <w:rsid w:val="17BF5F86"/>
    <w:rsid w:val="17D349C1"/>
    <w:rsid w:val="1830729E"/>
    <w:rsid w:val="185A5E93"/>
    <w:rsid w:val="1870062C"/>
    <w:rsid w:val="18817102"/>
    <w:rsid w:val="18830A15"/>
    <w:rsid w:val="18852B28"/>
    <w:rsid w:val="188B5321"/>
    <w:rsid w:val="19044ED1"/>
    <w:rsid w:val="19401D80"/>
    <w:rsid w:val="19932372"/>
    <w:rsid w:val="19A20DD5"/>
    <w:rsid w:val="19AE03F1"/>
    <w:rsid w:val="1A071A03"/>
    <w:rsid w:val="1A1F16AE"/>
    <w:rsid w:val="1A336431"/>
    <w:rsid w:val="1A3B5C77"/>
    <w:rsid w:val="1A984BAD"/>
    <w:rsid w:val="1AB8220E"/>
    <w:rsid w:val="1ABF0FF7"/>
    <w:rsid w:val="1AE4166C"/>
    <w:rsid w:val="1AF06CFB"/>
    <w:rsid w:val="1AF11B8D"/>
    <w:rsid w:val="1B11359C"/>
    <w:rsid w:val="1B2A271F"/>
    <w:rsid w:val="1B530544"/>
    <w:rsid w:val="1B713184"/>
    <w:rsid w:val="1BA209CF"/>
    <w:rsid w:val="1BB4777D"/>
    <w:rsid w:val="1BD75AB8"/>
    <w:rsid w:val="1BE04958"/>
    <w:rsid w:val="1C0459C2"/>
    <w:rsid w:val="1C1B3B4A"/>
    <w:rsid w:val="1C88086E"/>
    <w:rsid w:val="1CFA74DE"/>
    <w:rsid w:val="1D266CE1"/>
    <w:rsid w:val="1D3963AF"/>
    <w:rsid w:val="1D461625"/>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5E1D3F"/>
    <w:rsid w:val="1F6B09CC"/>
    <w:rsid w:val="1F796E16"/>
    <w:rsid w:val="1FE868A9"/>
    <w:rsid w:val="20034907"/>
    <w:rsid w:val="20173E4B"/>
    <w:rsid w:val="204E48BC"/>
    <w:rsid w:val="208921B3"/>
    <w:rsid w:val="20973DEB"/>
    <w:rsid w:val="20B26522"/>
    <w:rsid w:val="20B44310"/>
    <w:rsid w:val="20FE5F27"/>
    <w:rsid w:val="211116EB"/>
    <w:rsid w:val="216133FC"/>
    <w:rsid w:val="21D56769"/>
    <w:rsid w:val="21E52EF3"/>
    <w:rsid w:val="21FB5D7B"/>
    <w:rsid w:val="220B1C3D"/>
    <w:rsid w:val="221D1D20"/>
    <w:rsid w:val="22334A87"/>
    <w:rsid w:val="22477E35"/>
    <w:rsid w:val="2265761B"/>
    <w:rsid w:val="22BE6801"/>
    <w:rsid w:val="233500BF"/>
    <w:rsid w:val="23377FF7"/>
    <w:rsid w:val="23651C9F"/>
    <w:rsid w:val="236B425F"/>
    <w:rsid w:val="23836192"/>
    <w:rsid w:val="23901F29"/>
    <w:rsid w:val="239816A9"/>
    <w:rsid w:val="239C0061"/>
    <w:rsid w:val="23B908A4"/>
    <w:rsid w:val="23D47425"/>
    <w:rsid w:val="23E95BEF"/>
    <w:rsid w:val="23FD0064"/>
    <w:rsid w:val="240A0748"/>
    <w:rsid w:val="24525BA6"/>
    <w:rsid w:val="245375B0"/>
    <w:rsid w:val="24642C0A"/>
    <w:rsid w:val="24912949"/>
    <w:rsid w:val="24B22173"/>
    <w:rsid w:val="24B95AD9"/>
    <w:rsid w:val="24BE24DA"/>
    <w:rsid w:val="24CF5825"/>
    <w:rsid w:val="24D663E6"/>
    <w:rsid w:val="24D77F2B"/>
    <w:rsid w:val="256C0A82"/>
    <w:rsid w:val="258B00E2"/>
    <w:rsid w:val="25A917A6"/>
    <w:rsid w:val="25BE27CC"/>
    <w:rsid w:val="25F74A5C"/>
    <w:rsid w:val="2628662C"/>
    <w:rsid w:val="262D45DE"/>
    <w:rsid w:val="26A53EF9"/>
    <w:rsid w:val="26A94201"/>
    <w:rsid w:val="26AC274F"/>
    <w:rsid w:val="27044A29"/>
    <w:rsid w:val="271D34C8"/>
    <w:rsid w:val="276142BF"/>
    <w:rsid w:val="27783712"/>
    <w:rsid w:val="27907362"/>
    <w:rsid w:val="27D65640"/>
    <w:rsid w:val="28333E1D"/>
    <w:rsid w:val="28454BD6"/>
    <w:rsid w:val="28455253"/>
    <w:rsid w:val="28551971"/>
    <w:rsid w:val="285B1C53"/>
    <w:rsid w:val="289F7086"/>
    <w:rsid w:val="28C32028"/>
    <w:rsid w:val="28CC490F"/>
    <w:rsid w:val="28CE678A"/>
    <w:rsid w:val="28DE40AA"/>
    <w:rsid w:val="29345E77"/>
    <w:rsid w:val="294C65AD"/>
    <w:rsid w:val="29806583"/>
    <w:rsid w:val="298B3C4C"/>
    <w:rsid w:val="29AA44E3"/>
    <w:rsid w:val="29F26D24"/>
    <w:rsid w:val="2A15033F"/>
    <w:rsid w:val="2A1662C1"/>
    <w:rsid w:val="2A1C7367"/>
    <w:rsid w:val="2A2815FA"/>
    <w:rsid w:val="2A6D6092"/>
    <w:rsid w:val="2A7D76B4"/>
    <w:rsid w:val="2A8E6137"/>
    <w:rsid w:val="2B437463"/>
    <w:rsid w:val="2B717030"/>
    <w:rsid w:val="2B7807EE"/>
    <w:rsid w:val="2BBF00EC"/>
    <w:rsid w:val="2BC37CFD"/>
    <w:rsid w:val="2BD5237F"/>
    <w:rsid w:val="2BE536CE"/>
    <w:rsid w:val="2BE758D9"/>
    <w:rsid w:val="2C07444B"/>
    <w:rsid w:val="2C09049E"/>
    <w:rsid w:val="2C0A653C"/>
    <w:rsid w:val="2C191F85"/>
    <w:rsid w:val="2CE82D6F"/>
    <w:rsid w:val="2D343236"/>
    <w:rsid w:val="2D5106F2"/>
    <w:rsid w:val="2DD15014"/>
    <w:rsid w:val="2DF72DE4"/>
    <w:rsid w:val="2E0220AF"/>
    <w:rsid w:val="2E4B082A"/>
    <w:rsid w:val="2E5D4E86"/>
    <w:rsid w:val="2E5D790B"/>
    <w:rsid w:val="2E9A3C18"/>
    <w:rsid w:val="2EBB0FEE"/>
    <w:rsid w:val="2EC63002"/>
    <w:rsid w:val="2F0A6B38"/>
    <w:rsid w:val="2F4352DD"/>
    <w:rsid w:val="2F9341F7"/>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06690"/>
    <w:rsid w:val="32BE5C2C"/>
    <w:rsid w:val="32FB6478"/>
    <w:rsid w:val="33263B3F"/>
    <w:rsid w:val="336963EB"/>
    <w:rsid w:val="33816EEB"/>
    <w:rsid w:val="33EB55CD"/>
    <w:rsid w:val="33EC4C02"/>
    <w:rsid w:val="340D2360"/>
    <w:rsid w:val="3410665D"/>
    <w:rsid w:val="34211214"/>
    <w:rsid w:val="342E63AB"/>
    <w:rsid w:val="34923951"/>
    <w:rsid w:val="34950E68"/>
    <w:rsid w:val="34986E94"/>
    <w:rsid w:val="34AF62C9"/>
    <w:rsid w:val="34CB4388"/>
    <w:rsid w:val="34FA6E12"/>
    <w:rsid w:val="358D5588"/>
    <w:rsid w:val="35981D80"/>
    <w:rsid w:val="360D5E4C"/>
    <w:rsid w:val="363A3B40"/>
    <w:rsid w:val="365302AE"/>
    <w:rsid w:val="36607A0A"/>
    <w:rsid w:val="366C6D72"/>
    <w:rsid w:val="366E227C"/>
    <w:rsid w:val="366F2E0D"/>
    <w:rsid w:val="367B6A5C"/>
    <w:rsid w:val="369C60FB"/>
    <w:rsid w:val="36A74ADA"/>
    <w:rsid w:val="36AD60D5"/>
    <w:rsid w:val="36B224F9"/>
    <w:rsid w:val="36EC0CC9"/>
    <w:rsid w:val="36FC5E87"/>
    <w:rsid w:val="37224F7B"/>
    <w:rsid w:val="373F410B"/>
    <w:rsid w:val="378660C8"/>
    <w:rsid w:val="37C837F4"/>
    <w:rsid w:val="37EE7094"/>
    <w:rsid w:val="38296C89"/>
    <w:rsid w:val="383002EB"/>
    <w:rsid w:val="38586797"/>
    <w:rsid w:val="38BC0149"/>
    <w:rsid w:val="38D87D1C"/>
    <w:rsid w:val="39636459"/>
    <w:rsid w:val="396B7F6C"/>
    <w:rsid w:val="39B417A9"/>
    <w:rsid w:val="39F06197"/>
    <w:rsid w:val="39FC5695"/>
    <w:rsid w:val="3A006D8E"/>
    <w:rsid w:val="3A3651E5"/>
    <w:rsid w:val="3A616A18"/>
    <w:rsid w:val="3A744481"/>
    <w:rsid w:val="3A8C7BEF"/>
    <w:rsid w:val="3A906246"/>
    <w:rsid w:val="3ADE3FB6"/>
    <w:rsid w:val="3B0741BF"/>
    <w:rsid w:val="3B2349B7"/>
    <w:rsid w:val="3B616CFF"/>
    <w:rsid w:val="3B6259F6"/>
    <w:rsid w:val="3B742410"/>
    <w:rsid w:val="3B976654"/>
    <w:rsid w:val="3BC01EFC"/>
    <w:rsid w:val="3BC13F9D"/>
    <w:rsid w:val="3BCA786A"/>
    <w:rsid w:val="3BD31E2F"/>
    <w:rsid w:val="3BF15831"/>
    <w:rsid w:val="3C063CB7"/>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213B4"/>
    <w:rsid w:val="3F95482B"/>
    <w:rsid w:val="3FF46A69"/>
    <w:rsid w:val="4019356B"/>
    <w:rsid w:val="40592157"/>
    <w:rsid w:val="406E1CAE"/>
    <w:rsid w:val="40A0133A"/>
    <w:rsid w:val="40A74181"/>
    <w:rsid w:val="40C31A53"/>
    <w:rsid w:val="40E44B73"/>
    <w:rsid w:val="40FF545D"/>
    <w:rsid w:val="410067C8"/>
    <w:rsid w:val="418F0D2A"/>
    <w:rsid w:val="41D01505"/>
    <w:rsid w:val="41D63FD8"/>
    <w:rsid w:val="41E2613A"/>
    <w:rsid w:val="41F76AC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168D5"/>
    <w:rsid w:val="43C77C27"/>
    <w:rsid w:val="43DE09EE"/>
    <w:rsid w:val="44002FAD"/>
    <w:rsid w:val="44467546"/>
    <w:rsid w:val="449101DD"/>
    <w:rsid w:val="44DE1391"/>
    <w:rsid w:val="451B225C"/>
    <w:rsid w:val="452410C9"/>
    <w:rsid w:val="4530540F"/>
    <w:rsid w:val="45317DFB"/>
    <w:rsid w:val="456D3CE4"/>
    <w:rsid w:val="4579042C"/>
    <w:rsid w:val="457F0571"/>
    <w:rsid w:val="45851176"/>
    <w:rsid w:val="45C63B94"/>
    <w:rsid w:val="460E7DA5"/>
    <w:rsid w:val="463074C6"/>
    <w:rsid w:val="46422483"/>
    <w:rsid w:val="4659254A"/>
    <w:rsid w:val="465B0637"/>
    <w:rsid w:val="465E3F0D"/>
    <w:rsid w:val="466A16E6"/>
    <w:rsid w:val="46893F2B"/>
    <w:rsid w:val="46C4686E"/>
    <w:rsid w:val="477B778F"/>
    <w:rsid w:val="478203EC"/>
    <w:rsid w:val="47B025FA"/>
    <w:rsid w:val="4809698F"/>
    <w:rsid w:val="4811697D"/>
    <w:rsid w:val="48135E3E"/>
    <w:rsid w:val="48542939"/>
    <w:rsid w:val="487A3E25"/>
    <w:rsid w:val="487F17BC"/>
    <w:rsid w:val="488B5503"/>
    <w:rsid w:val="48937E21"/>
    <w:rsid w:val="489A0361"/>
    <w:rsid w:val="48B94FF3"/>
    <w:rsid w:val="48E37AAB"/>
    <w:rsid w:val="48F863B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071261"/>
    <w:rsid w:val="4B236AAE"/>
    <w:rsid w:val="4B3527A5"/>
    <w:rsid w:val="4B707271"/>
    <w:rsid w:val="4B9739F7"/>
    <w:rsid w:val="4BD45567"/>
    <w:rsid w:val="4BEE2503"/>
    <w:rsid w:val="4C245A30"/>
    <w:rsid w:val="4CB6685F"/>
    <w:rsid w:val="4CC367FE"/>
    <w:rsid w:val="4D077F3C"/>
    <w:rsid w:val="4D123355"/>
    <w:rsid w:val="4D2A3B31"/>
    <w:rsid w:val="4D312C52"/>
    <w:rsid w:val="4D905305"/>
    <w:rsid w:val="4D964A72"/>
    <w:rsid w:val="4D9C1254"/>
    <w:rsid w:val="4DAE7818"/>
    <w:rsid w:val="4DB56DF9"/>
    <w:rsid w:val="4E793892"/>
    <w:rsid w:val="4E800872"/>
    <w:rsid w:val="4EC569ED"/>
    <w:rsid w:val="4ED50EA1"/>
    <w:rsid w:val="4EEC050C"/>
    <w:rsid w:val="4F104EC3"/>
    <w:rsid w:val="4F47354A"/>
    <w:rsid w:val="4F911C54"/>
    <w:rsid w:val="4FD90BCF"/>
    <w:rsid w:val="4FE625E0"/>
    <w:rsid w:val="4FFE6C3E"/>
    <w:rsid w:val="5021480F"/>
    <w:rsid w:val="50750E8F"/>
    <w:rsid w:val="50962ECB"/>
    <w:rsid w:val="50A42E38"/>
    <w:rsid w:val="50A4577F"/>
    <w:rsid w:val="50B73D1F"/>
    <w:rsid w:val="50BD5BC9"/>
    <w:rsid w:val="50C11EEE"/>
    <w:rsid w:val="50E97CFC"/>
    <w:rsid w:val="50FA4028"/>
    <w:rsid w:val="510D65B7"/>
    <w:rsid w:val="511157AB"/>
    <w:rsid w:val="5142540C"/>
    <w:rsid w:val="518832C8"/>
    <w:rsid w:val="519F5234"/>
    <w:rsid w:val="51A0432A"/>
    <w:rsid w:val="51A86090"/>
    <w:rsid w:val="51B7396D"/>
    <w:rsid w:val="522E4CC3"/>
    <w:rsid w:val="5244713B"/>
    <w:rsid w:val="52615633"/>
    <w:rsid w:val="528A14CF"/>
    <w:rsid w:val="52977FD4"/>
    <w:rsid w:val="52A25790"/>
    <w:rsid w:val="52A96B6F"/>
    <w:rsid w:val="52B45975"/>
    <w:rsid w:val="52D94AA4"/>
    <w:rsid w:val="52EA3A62"/>
    <w:rsid w:val="52F50BB8"/>
    <w:rsid w:val="53097272"/>
    <w:rsid w:val="531526DC"/>
    <w:rsid w:val="53414394"/>
    <w:rsid w:val="53544462"/>
    <w:rsid w:val="5397158E"/>
    <w:rsid w:val="54013861"/>
    <w:rsid w:val="542A104D"/>
    <w:rsid w:val="54487265"/>
    <w:rsid w:val="544D6070"/>
    <w:rsid w:val="545E28FC"/>
    <w:rsid w:val="54605E1E"/>
    <w:rsid w:val="546E6E1F"/>
    <w:rsid w:val="54B3506A"/>
    <w:rsid w:val="54B40BE7"/>
    <w:rsid w:val="54C61495"/>
    <w:rsid w:val="54CA0D16"/>
    <w:rsid w:val="54DD4057"/>
    <w:rsid w:val="54E7490F"/>
    <w:rsid w:val="54ED3438"/>
    <w:rsid w:val="550764A4"/>
    <w:rsid w:val="550B2BF6"/>
    <w:rsid w:val="55214EB5"/>
    <w:rsid w:val="55364EFD"/>
    <w:rsid w:val="555D4828"/>
    <w:rsid w:val="557A4C8B"/>
    <w:rsid w:val="557B0F98"/>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4C25"/>
    <w:rsid w:val="58917D2F"/>
    <w:rsid w:val="5894085C"/>
    <w:rsid w:val="58AE4F0C"/>
    <w:rsid w:val="58B85899"/>
    <w:rsid w:val="58E363A9"/>
    <w:rsid w:val="595E1678"/>
    <w:rsid w:val="596D5BD4"/>
    <w:rsid w:val="597E3DD8"/>
    <w:rsid w:val="59F80043"/>
    <w:rsid w:val="5A09252F"/>
    <w:rsid w:val="5A0B2778"/>
    <w:rsid w:val="5A1E7905"/>
    <w:rsid w:val="5A2A7C7B"/>
    <w:rsid w:val="5A3E2560"/>
    <w:rsid w:val="5A5D3B6E"/>
    <w:rsid w:val="5A637A76"/>
    <w:rsid w:val="5A6D33BA"/>
    <w:rsid w:val="5A792B1F"/>
    <w:rsid w:val="5A824FB6"/>
    <w:rsid w:val="5A874767"/>
    <w:rsid w:val="5AAD6F28"/>
    <w:rsid w:val="5AC635BB"/>
    <w:rsid w:val="5AD50114"/>
    <w:rsid w:val="5AD63A24"/>
    <w:rsid w:val="5B2E1A1D"/>
    <w:rsid w:val="5B843A1C"/>
    <w:rsid w:val="5B873E3F"/>
    <w:rsid w:val="5C02690E"/>
    <w:rsid w:val="5C196DA7"/>
    <w:rsid w:val="5C2A048C"/>
    <w:rsid w:val="5C80234E"/>
    <w:rsid w:val="5C8A680C"/>
    <w:rsid w:val="5CFA37F2"/>
    <w:rsid w:val="5D0C4701"/>
    <w:rsid w:val="5D0F0395"/>
    <w:rsid w:val="5D221076"/>
    <w:rsid w:val="5D397964"/>
    <w:rsid w:val="5D5A391C"/>
    <w:rsid w:val="5D5F10C0"/>
    <w:rsid w:val="5D891B7B"/>
    <w:rsid w:val="5DAD38EE"/>
    <w:rsid w:val="5DEB56F0"/>
    <w:rsid w:val="5E006862"/>
    <w:rsid w:val="5E0207B9"/>
    <w:rsid w:val="5E1834A1"/>
    <w:rsid w:val="5E261785"/>
    <w:rsid w:val="5E4A7017"/>
    <w:rsid w:val="5E552BBA"/>
    <w:rsid w:val="5E611C10"/>
    <w:rsid w:val="5EE11F1E"/>
    <w:rsid w:val="5EFC7377"/>
    <w:rsid w:val="5F06174D"/>
    <w:rsid w:val="5F3A3602"/>
    <w:rsid w:val="5F6277C6"/>
    <w:rsid w:val="5F6D0B1D"/>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4E6D02"/>
    <w:rsid w:val="615227C4"/>
    <w:rsid w:val="6152499D"/>
    <w:rsid w:val="61654E3F"/>
    <w:rsid w:val="6182292A"/>
    <w:rsid w:val="619F7F92"/>
    <w:rsid w:val="61F94C26"/>
    <w:rsid w:val="62000E56"/>
    <w:rsid w:val="620152D8"/>
    <w:rsid w:val="624F3E49"/>
    <w:rsid w:val="62632286"/>
    <w:rsid w:val="626B771F"/>
    <w:rsid w:val="62885958"/>
    <w:rsid w:val="62F40B65"/>
    <w:rsid w:val="62FC2CFE"/>
    <w:rsid w:val="63024505"/>
    <w:rsid w:val="635B1DB5"/>
    <w:rsid w:val="636A3B18"/>
    <w:rsid w:val="63711FED"/>
    <w:rsid w:val="63880DDC"/>
    <w:rsid w:val="638D750D"/>
    <w:rsid w:val="63AC6CC0"/>
    <w:rsid w:val="63DF054D"/>
    <w:rsid w:val="64055776"/>
    <w:rsid w:val="64184872"/>
    <w:rsid w:val="64240056"/>
    <w:rsid w:val="643E143A"/>
    <w:rsid w:val="648B6EEF"/>
    <w:rsid w:val="64C158BF"/>
    <w:rsid w:val="64CE2EAA"/>
    <w:rsid w:val="653C3090"/>
    <w:rsid w:val="65716420"/>
    <w:rsid w:val="65854376"/>
    <w:rsid w:val="658767BE"/>
    <w:rsid w:val="65892531"/>
    <w:rsid w:val="65EA4748"/>
    <w:rsid w:val="66195831"/>
    <w:rsid w:val="662E75B1"/>
    <w:rsid w:val="66342C2E"/>
    <w:rsid w:val="663E784C"/>
    <w:rsid w:val="668B6A45"/>
    <w:rsid w:val="669C4947"/>
    <w:rsid w:val="672F3F24"/>
    <w:rsid w:val="673E055F"/>
    <w:rsid w:val="67551CE3"/>
    <w:rsid w:val="675E5CB8"/>
    <w:rsid w:val="67625388"/>
    <w:rsid w:val="67A22552"/>
    <w:rsid w:val="67B22DCC"/>
    <w:rsid w:val="67BE71AA"/>
    <w:rsid w:val="67D90273"/>
    <w:rsid w:val="67DE5875"/>
    <w:rsid w:val="67E55852"/>
    <w:rsid w:val="67EB1AB4"/>
    <w:rsid w:val="67FA1285"/>
    <w:rsid w:val="68551F4F"/>
    <w:rsid w:val="687C10C9"/>
    <w:rsid w:val="68840C16"/>
    <w:rsid w:val="68876EFB"/>
    <w:rsid w:val="68884654"/>
    <w:rsid w:val="689B3ABC"/>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61E9B"/>
    <w:rsid w:val="6C196F71"/>
    <w:rsid w:val="6C1D0DCA"/>
    <w:rsid w:val="6C226FCB"/>
    <w:rsid w:val="6C31226F"/>
    <w:rsid w:val="6C496C32"/>
    <w:rsid w:val="6C552F0B"/>
    <w:rsid w:val="6C6116E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43CD3"/>
    <w:rsid w:val="6F8331F1"/>
    <w:rsid w:val="6FAE1A09"/>
    <w:rsid w:val="6FD75BF8"/>
    <w:rsid w:val="707723D0"/>
    <w:rsid w:val="70D93627"/>
    <w:rsid w:val="70F5661B"/>
    <w:rsid w:val="71360107"/>
    <w:rsid w:val="713B688E"/>
    <w:rsid w:val="7143471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E2BEF"/>
    <w:rsid w:val="77052AA4"/>
    <w:rsid w:val="77136511"/>
    <w:rsid w:val="77340A39"/>
    <w:rsid w:val="77351FD0"/>
    <w:rsid w:val="77472422"/>
    <w:rsid w:val="777F31F2"/>
    <w:rsid w:val="77D1700D"/>
    <w:rsid w:val="77EC04CC"/>
    <w:rsid w:val="78694886"/>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53BB9"/>
    <w:rsid w:val="7B5A2978"/>
    <w:rsid w:val="7B5A7E4C"/>
    <w:rsid w:val="7B667AF9"/>
    <w:rsid w:val="7B7468F8"/>
    <w:rsid w:val="7BEE0103"/>
    <w:rsid w:val="7C0A0FE4"/>
    <w:rsid w:val="7C254906"/>
    <w:rsid w:val="7C590818"/>
    <w:rsid w:val="7C6819CF"/>
    <w:rsid w:val="7C7C10F6"/>
    <w:rsid w:val="7C853BEA"/>
    <w:rsid w:val="7C881368"/>
    <w:rsid w:val="7CE27788"/>
    <w:rsid w:val="7CF7112C"/>
    <w:rsid w:val="7D0C32F1"/>
    <w:rsid w:val="7D0F408D"/>
    <w:rsid w:val="7D3E59E9"/>
    <w:rsid w:val="7D491C6C"/>
    <w:rsid w:val="7D5429C0"/>
    <w:rsid w:val="7D553C43"/>
    <w:rsid w:val="7D6A39E8"/>
    <w:rsid w:val="7D6E6D43"/>
    <w:rsid w:val="7DB57A34"/>
    <w:rsid w:val="7DE60973"/>
    <w:rsid w:val="7DEF0916"/>
    <w:rsid w:val="7E1E5218"/>
    <w:rsid w:val="7E1E5516"/>
    <w:rsid w:val="7E7D47D7"/>
    <w:rsid w:val="7E9A4E1F"/>
    <w:rsid w:val="7EA7723A"/>
    <w:rsid w:val="7ED152B8"/>
    <w:rsid w:val="7EF56FBB"/>
    <w:rsid w:val="7F0768EB"/>
    <w:rsid w:val="7F143BEC"/>
    <w:rsid w:val="7F715AF2"/>
    <w:rsid w:val="7F886E69"/>
    <w:rsid w:val="7FC0595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6"/>
    <w:qFormat/>
    <w:uiPriority w:val="0"/>
    <w:pPr>
      <w:shd w:val="clear" w:color="auto" w:fill="000080"/>
    </w:pPr>
  </w:style>
  <w:style w:type="paragraph" w:styleId="19">
    <w:name w:val="annotation text"/>
    <w:basedOn w:val="1"/>
    <w:link w:val="864"/>
    <w:qFormat/>
    <w:uiPriority w:val="99"/>
    <w:pPr>
      <w:jc w:val="left"/>
    </w:pPr>
  </w:style>
  <w:style w:type="paragraph" w:styleId="20">
    <w:name w:val="Salutation"/>
    <w:basedOn w:val="1"/>
    <w:next w:val="1"/>
    <w:link w:val="824"/>
    <w:qFormat/>
    <w:uiPriority w:val="0"/>
    <w:rPr>
      <w:rFonts w:ascii="仿宋_GB2312" w:eastAsia="仿宋_GB2312"/>
      <w:sz w:val="28"/>
      <w:szCs w:val="20"/>
    </w:rPr>
  </w:style>
  <w:style w:type="paragraph" w:styleId="21">
    <w:name w:val="Body Text 3"/>
    <w:basedOn w:val="1"/>
    <w:link w:val="85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3"/>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2"/>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0"/>
    <w:pPr>
      <w:keepNext/>
      <w:keepLines/>
      <w:tabs>
        <w:tab w:val="left" w:pos="706"/>
        <w:tab w:val="clear" w:pos="8268"/>
      </w:tabs>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1"/>
    <w:link w:val="668"/>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18"/>
    <w:qFormat/>
    <w:uiPriority w:val="0"/>
    <w:pPr>
      <w:ind w:left="100" w:leftChars="2500"/>
    </w:pPr>
    <w:rPr>
      <w:rFonts w:ascii="宋体"/>
      <w:sz w:val="24"/>
      <w:szCs w:val="21"/>
      <w:lang w:val="zh-CN"/>
    </w:rPr>
  </w:style>
  <w:style w:type="paragraph" w:styleId="42">
    <w:name w:val="Body Text Indent 2"/>
    <w:basedOn w:val="1"/>
    <w:link w:val="832"/>
    <w:qFormat/>
    <w:uiPriority w:val="0"/>
    <w:pPr>
      <w:spacing w:line="360" w:lineRule="auto"/>
      <w:ind w:firstLine="601"/>
      <w:textAlignment w:val="baseline"/>
    </w:pPr>
    <w:rPr>
      <w:rFonts w:ascii="宋体"/>
      <w:kern w:val="0"/>
      <w:sz w:val="28"/>
      <w:szCs w:val="20"/>
    </w:rPr>
  </w:style>
  <w:style w:type="paragraph" w:styleId="43">
    <w:name w:val="endnote text"/>
    <w:basedOn w:val="1"/>
    <w:link w:val="949"/>
    <w:qFormat/>
    <w:uiPriority w:val="0"/>
    <w:rPr>
      <w:lang w:val="zh-CN"/>
    </w:rPr>
  </w:style>
  <w:style w:type="paragraph" w:styleId="44">
    <w:name w:val="Balloon Text"/>
    <w:basedOn w:val="1"/>
    <w:link w:val="725"/>
    <w:qFormat/>
    <w:uiPriority w:val="0"/>
    <w:rPr>
      <w:sz w:val="18"/>
      <w:szCs w:val="18"/>
    </w:rPr>
  </w:style>
  <w:style w:type="paragraph" w:styleId="45">
    <w:name w:val="footer"/>
    <w:basedOn w:val="1"/>
    <w:link w:val="900"/>
    <w:qFormat/>
    <w:uiPriority w:val="99"/>
    <w:pPr>
      <w:tabs>
        <w:tab w:val="center" w:pos="4153"/>
        <w:tab w:val="right" w:pos="8306"/>
      </w:tabs>
      <w:snapToGrid w:val="0"/>
      <w:jc w:val="left"/>
    </w:pPr>
    <w:rPr>
      <w:sz w:val="18"/>
      <w:szCs w:val="18"/>
    </w:rPr>
  </w:style>
  <w:style w:type="paragraph" w:styleId="46">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5"/>
    <w:link w:val="834"/>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3"/>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8"/>
    <w:qFormat/>
    <w:uiPriority w:val="0"/>
    <w:pPr>
      <w:spacing w:after="120" w:line="480" w:lineRule="auto"/>
    </w:pPr>
  </w:style>
  <w:style w:type="paragraph" w:styleId="61">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12"/>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1"/>
    <w:qFormat/>
    <w:uiPriority w:val="0"/>
    <w:rPr>
      <w:b/>
      <w:bCs/>
    </w:rPr>
  </w:style>
  <w:style w:type="paragraph" w:styleId="65">
    <w:name w:val="Body Text First Indent 2"/>
    <w:basedOn w:val="26"/>
    <w:next w:val="24"/>
    <w:link w:val="664"/>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文本首行缩进 21"/>
    <w:basedOn w:val="26"/>
    <w:qFormat/>
    <w:uiPriority w:val="99"/>
    <w:pPr>
      <w:spacing w:line="200" w:lineRule="atLeast"/>
      <w:ind w:firstLine="420"/>
    </w:pPr>
    <w:rPr>
      <w:rFonts w:hAnsi="Courier New"/>
      <w:spacing w:val="-4"/>
      <w:sz w:val="18"/>
    </w:rPr>
  </w:style>
  <w:style w:type="paragraph" w:customStyle="1" w:styleId="84">
    <w:name w:val="正文首行缩进 21"/>
    <w:basedOn w:val="85"/>
    <w:next w:val="1"/>
    <w:qFormat/>
    <w:uiPriority w:val="0"/>
    <w:pPr>
      <w:ind w:firstLine="210"/>
    </w:pPr>
  </w:style>
  <w:style w:type="paragraph" w:customStyle="1" w:styleId="85">
    <w:name w:val="正文文本缩进1"/>
    <w:basedOn w:val="1"/>
    <w:next w:val="1"/>
    <w:qFormat/>
    <w:uiPriority w:val="0"/>
    <w:pPr>
      <w:widowControl/>
      <w:ind w:left="420"/>
    </w:pPr>
    <w:rPr>
      <w:color w:val="000000"/>
    </w:rPr>
  </w:style>
  <w:style w:type="paragraph" w:customStyle="1" w:styleId="86">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next w:val="48"/>
    <w:link w:val="673"/>
    <w:qFormat/>
    <w:uiPriority w:val="0"/>
    <w:pPr>
      <w:spacing w:before="156" w:line="360" w:lineRule="auto"/>
      <w:ind w:firstLine="510" w:firstLineChars="200"/>
    </w:pPr>
    <w:rPr>
      <w:sz w:val="24"/>
      <w:szCs w:val="20"/>
    </w:rPr>
  </w:style>
  <w:style w:type="paragraph" w:customStyle="1" w:styleId="92">
    <w:name w:val="无间隔1"/>
    <w:link w:val="681"/>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9"/>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4"/>
    <w:link w:val="708"/>
    <w:qFormat/>
    <w:uiPriority w:val="0"/>
    <w:pPr>
      <w:snapToGrid w:val="0"/>
      <w:spacing w:before="240" w:after="240" w:line="240" w:lineRule="auto"/>
      <w:jc w:val="center"/>
    </w:pPr>
    <w:rPr>
      <w:rFonts w:ascii="Calibri" w:hAnsi="Calibri" w:eastAsia="宋体"/>
      <w:kern w:val="0"/>
      <w:szCs w:val="20"/>
    </w:rPr>
  </w:style>
  <w:style w:type="paragraph" w:customStyle="1" w:styleId="97">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4"/>
    <w:qFormat/>
    <w:uiPriority w:val="0"/>
    <w:pPr>
      <w:ind w:left="0" w:right="466" w:firstLine="288"/>
    </w:pPr>
    <w:rPr>
      <w:rFonts w:hAnsi="宋体"/>
    </w:rPr>
  </w:style>
  <w:style w:type="paragraph" w:customStyle="1" w:styleId="99">
    <w:name w:val="样式 标题 3h33rd level3BOD 0H3l3CTHeading 3 - oldLevel 3 He..."/>
    <w:basedOn w:val="2"/>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5"/>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6"/>
    <w:qFormat/>
    <w:uiPriority w:val="0"/>
    <w:pPr>
      <w:adjustRightInd/>
      <w:spacing w:line="360" w:lineRule="auto"/>
      <w:ind w:firstLine="480" w:firstLineChars="200"/>
    </w:pPr>
    <w:rPr>
      <w:kern w:val="0"/>
      <w:sz w:val="24"/>
    </w:rPr>
  </w:style>
  <w:style w:type="paragraph" w:customStyle="1" w:styleId="104">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表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7"/>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9"/>
    <w:qFormat/>
    <w:uiPriority w:val="0"/>
    <w:pPr>
      <w:tabs>
        <w:tab w:val="left" w:pos="2356"/>
      </w:tabs>
    </w:pPr>
  </w:style>
  <w:style w:type="paragraph" w:customStyle="1" w:styleId="109">
    <w:name w:val="样式 标题 4h4H4Fab-4T5Ref Heading 1rh1Heading sqlsect 1.2.3...."/>
    <w:basedOn w:val="5"/>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2"/>
    <w:qFormat/>
    <w:uiPriority w:val="0"/>
    <w:pPr>
      <w:adjustRightInd/>
    </w:pPr>
    <w:rPr>
      <w:rFonts w:ascii="宋体" w:hAnsi="Courier New"/>
      <w:kern w:val="0"/>
      <w:sz w:val="20"/>
      <w:szCs w:val="20"/>
    </w:rPr>
  </w:style>
  <w:style w:type="paragraph" w:customStyle="1" w:styleId="112">
    <w:name w:val="正文说明"/>
    <w:basedOn w:val="1"/>
    <w:link w:val="854"/>
    <w:qFormat/>
    <w:uiPriority w:val="0"/>
    <w:pPr>
      <w:adjustRightInd/>
      <w:spacing w:line="360" w:lineRule="auto"/>
    </w:pPr>
    <w:rPr>
      <w:kern w:val="0"/>
      <w:sz w:val="24"/>
    </w:rPr>
  </w:style>
  <w:style w:type="paragraph" w:customStyle="1" w:styleId="113">
    <w:name w:val="Table Text"/>
    <w:basedOn w:val="1"/>
    <w:link w:val="860"/>
    <w:qFormat/>
    <w:uiPriority w:val="0"/>
    <w:pPr>
      <w:widowControl/>
      <w:spacing w:before="60" w:after="60"/>
      <w:jc w:val="left"/>
    </w:pPr>
    <w:rPr>
      <w:kern w:val="0"/>
      <w:sz w:val="24"/>
    </w:rPr>
  </w:style>
  <w:style w:type="paragraph" w:customStyle="1" w:styleId="114">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2"/>
    <w:qFormat/>
    <w:uiPriority w:val="0"/>
    <w:pPr>
      <w:widowControl/>
      <w:snapToGrid w:val="0"/>
      <w:spacing w:afterLines="50"/>
      <w:ind w:firstLine="200" w:firstLineChars="200"/>
    </w:pPr>
    <w:rPr>
      <w:kern w:val="0"/>
      <w:sz w:val="24"/>
      <w:szCs w:val="20"/>
    </w:rPr>
  </w:style>
  <w:style w:type="paragraph" w:customStyle="1" w:styleId="119">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5"/>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5"/>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outlineLvl w:val="5"/>
    </w:pPr>
  </w:style>
  <w:style w:type="paragraph" w:customStyle="1" w:styleId="163">
    <w:name w:val="5级标题"/>
    <w:basedOn w:val="164"/>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50"/>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2"/>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6"/>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2"/>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5"/>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Lines="50"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4"/>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60"/>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5">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4"/>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4"/>
    <w:qFormat/>
    <w:uiPriority w:val="0"/>
    <w:pPr>
      <w:widowControl/>
      <w:spacing w:before="260" w:after="260" w:line="416" w:lineRule="auto"/>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Lines="0" w:afterLines="0"/>
      <w:ind w:left="1680"/>
      <w:outlineLvl w:val="2"/>
    </w:pPr>
  </w:style>
  <w:style w:type="paragraph" w:customStyle="1" w:styleId="347">
    <w:name w:val="章标题"/>
    <w:next w:val="32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5"/>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Lines="50"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qFormat/>
    <w:uiPriority w:val="0"/>
    <w:pPr>
      <w:spacing w:before="120" w:after="12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42"/>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2"/>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2"/>
    <w:next w:val="57"/>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2"/>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Normal]"/>
    <w:qFormat/>
    <w:uiPriority w:val="0"/>
    <w:rPr>
      <w:rFonts w:ascii="宋体" w:hAnsi="宋体" w:eastAsia="宋体" w:cs="Times New Roman"/>
      <w:sz w:val="24"/>
      <w:szCs w:val="22"/>
      <w:lang w:val="zh-CN" w:eastAsia="zh-CN" w:bidi="ar-SA"/>
    </w:rPr>
  </w:style>
  <w:style w:type="paragraph" w:customStyle="1" w:styleId="623">
    <w:name w:val="No Spacing1"/>
    <w:qFormat/>
    <w:uiPriority w:val="0"/>
    <w:rPr>
      <w:rFonts w:ascii="Times New Roman" w:hAnsi="Times New Roman" w:eastAsia="??" w:cs="宋体"/>
      <w:sz w:val="22"/>
      <w:szCs w:val="22"/>
      <w:lang w:val="en-US" w:eastAsia="en-US" w:bidi="ar-SA"/>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Normal Indent1"/>
    <w:basedOn w:val="1"/>
    <w:qFormat/>
    <w:uiPriority w:val="0"/>
    <w:pPr>
      <w:ind w:firstLine="420"/>
    </w:pPr>
    <w:rPr>
      <w:szCs w:val="20"/>
    </w:rPr>
  </w:style>
  <w:style w:type="paragraph" w:customStyle="1" w:styleId="626">
    <w:name w:val="列出段落6"/>
    <w:basedOn w:val="1"/>
    <w:qFormat/>
    <w:uiPriority w:val="34"/>
    <w:pPr>
      <w:ind w:firstLine="420" w:firstLineChars="200"/>
    </w:pPr>
  </w:style>
  <w:style w:type="paragraph" w:customStyle="1" w:styleId="627">
    <w:name w:val="纯文本3"/>
    <w:basedOn w:val="1"/>
    <w:qFormat/>
    <w:uiPriority w:val="0"/>
    <w:pPr>
      <w:spacing w:beforeLines="50"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公文标2级"/>
    <w:basedOn w:val="1"/>
    <w:qFormat/>
    <w:uiPriority w:val="0"/>
    <w:rPr>
      <w:rFonts w:ascii="楷体_GB2312" w:hAnsi="楷体_GB2312" w:eastAsia="楷体" w:cs="楷体"/>
      <w:color w:val="000000"/>
      <w:kern w:val="1"/>
      <w:sz w:val="32"/>
    </w:rPr>
  </w:style>
  <w:style w:type="character" w:customStyle="1" w:styleId="630">
    <w:name w:val="表格非标题文字 Char"/>
    <w:link w:val="86"/>
    <w:qFormat/>
    <w:uiPriority w:val="0"/>
    <w:rPr>
      <w:rFonts w:ascii="Futura Bk" w:hAnsi="Futura Bk"/>
      <w:kern w:val="2"/>
      <w:sz w:val="18"/>
      <w:szCs w:val="21"/>
      <w:lang w:val="en-US" w:eastAsia="zh-CN" w:bidi="ar-SA"/>
    </w:rPr>
  </w:style>
  <w:style w:type="character" w:customStyle="1" w:styleId="631">
    <w:name w:val="*正文 Char"/>
    <w:link w:val="87"/>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88"/>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Char1"/>
    <w:link w:val="64"/>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89"/>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0"/>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Char"/>
    <w:link w:val="65"/>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73"/>
    <w:qFormat/>
    <w:uiPriority w:val="0"/>
    <w:rPr>
      <w:rFonts w:ascii="Arial" w:hAnsi="Arial" w:eastAsia="黑体" w:cs="Arial"/>
      <w:snapToGrid w:val="0"/>
      <w:kern w:val="0"/>
      <w:szCs w:val="21"/>
    </w:rPr>
  </w:style>
  <w:style w:type="character" w:customStyle="1" w:styleId="668">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1"/>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Char"/>
    <w:link w:val="52"/>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2"/>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Char"/>
    <w:link w:val="7"/>
    <w:qFormat/>
    <w:uiPriority w:val="0"/>
    <w:rPr>
      <w:rFonts w:ascii="Arial" w:hAnsi="Arial" w:eastAsia="黑体"/>
      <w:b/>
      <w:bCs/>
      <w:kern w:val="2"/>
      <w:sz w:val="24"/>
      <w:szCs w:val="24"/>
    </w:rPr>
  </w:style>
  <w:style w:type="character" w:customStyle="1" w:styleId="689">
    <w:name w:val="纯文本 Char_0"/>
    <w:link w:val="93"/>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5"/>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6"/>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Char"/>
    <w:link w:val="41"/>
    <w:qFormat/>
    <w:uiPriority w:val="0"/>
    <w:rPr>
      <w:rFonts w:ascii="宋体"/>
      <w:kern w:val="2"/>
      <w:sz w:val="24"/>
      <w:szCs w:val="21"/>
      <w:lang w:val="zh-CN"/>
    </w:rPr>
  </w:style>
  <w:style w:type="character" w:customStyle="1" w:styleId="719">
    <w:name w:val="标题 9 Char"/>
    <w:link w:val="10"/>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Char"/>
    <w:link w:val="44"/>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97"/>
    <w:qFormat/>
    <w:locked/>
    <w:uiPriority w:val="0"/>
    <w:rPr>
      <w:rFonts w:ascii="Tahoma" w:hAnsi="Tahoma"/>
      <w:sz w:val="24"/>
      <w:szCs w:val="24"/>
    </w:rPr>
  </w:style>
  <w:style w:type="character" w:customStyle="1" w:styleId="729">
    <w:name w:val="正文缩进 Char2"/>
    <w:link w:val="15"/>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98"/>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18"/>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73"/>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Char"/>
    <w:link w:val="36"/>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0"/>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1"/>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16"/>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102"/>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3"/>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4"/>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5"/>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Char3"/>
    <w:link w:val="26"/>
    <w:qFormat/>
    <w:uiPriority w:val="0"/>
    <w:rPr>
      <w:rFonts w:ascii="宋体" w:hAnsi="宋体"/>
      <w:kern w:val="2"/>
      <w:sz w:val="24"/>
      <w:szCs w:val="24"/>
    </w:rPr>
  </w:style>
  <w:style w:type="character" w:customStyle="1" w:styleId="793">
    <w:name w:val="font01"/>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07"/>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Char"/>
    <w:link w:val="3"/>
    <w:qFormat/>
    <w:uiPriority w:val="9"/>
    <w:rPr>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Char2"/>
    <w:link w:val="63"/>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Char"/>
    <w:link w:val="6"/>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Char"/>
    <w:link w:val="20"/>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Char"/>
    <w:link w:val="61"/>
    <w:qFormat/>
    <w:uiPriority w:val="0"/>
    <w:rPr>
      <w:rFonts w:ascii="黑体" w:hAnsi="Courier New" w:eastAsia="黑体"/>
    </w:rPr>
  </w:style>
  <w:style w:type="character" w:customStyle="1" w:styleId="828">
    <w:name w:val="正文文本 2 Char1"/>
    <w:link w:val="60"/>
    <w:qFormat/>
    <w:uiPriority w:val="0"/>
    <w:rPr>
      <w:kern w:val="2"/>
      <w:sz w:val="21"/>
      <w:szCs w:val="24"/>
    </w:rPr>
  </w:style>
  <w:style w:type="character" w:customStyle="1" w:styleId="829">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Char"/>
    <w:link w:val="8"/>
    <w:qFormat/>
    <w:uiPriority w:val="0"/>
    <w:rPr>
      <w:b/>
      <w:bCs/>
      <w:kern w:val="2"/>
      <w:sz w:val="24"/>
      <w:szCs w:val="24"/>
    </w:rPr>
  </w:style>
  <w:style w:type="character" w:customStyle="1" w:styleId="832">
    <w:name w:val="正文文本缩进 2 Char"/>
    <w:link w:val="42"/>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Char"/>
    <w:link w:val="55"/>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0"/>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1"/>
    <w:qFormat/>
    <w:uiPriority w:val="0"/>
    <w:rPr>
      <w:rFonts w:ascii="宋体" w:hAnsi="Courier New"/>
    </w:rPr>
  </w:style>
  <w:style w:type="character" w:customStyle="1" w:styleId="843">
    <w:name w:val="正文首行缩进 Char"/>
    <w:link w:val="24"/>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Char2"/>
    <w:link w:val="5"/>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Char"/>
    <w:link w:val="21"/>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2"/>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3"/>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Char1"/>
    <w:link w:val="19"/>
    <w:qFormat/>
    <w:uiPriority w:val="0"/>
    <w:rPr>
      <w:kern w:val="2"/>
      <w:sz w:val="21"/>
      <w:szCs w:val="24"/>
    </w:rPr>
  </w:style>
  <w:style w:type="character" w:customStyle="1" w:styleId="865">
    <w:name w:val="签名 Char"/>
    <w:link w:val="47"/>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4"/>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5"/>
    <w:qFormat/>
    <w:uiPriority w:val="0"/>
    <w:rPr>
      <w:rFonts w:ascii="宋体"/>
    </w:rPr>
  </w:style>
  <w:style w:type="character" w:customStyle="1" w:styleId="876">
    <w:name w:val="标题 8 Char"/>
    <w:link w:val="9"/>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Char"/>
    <w:link w:val="57"/>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6"/>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Char2"/>
    <w:link w:val="45"/>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17"/>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Char2"/>
    <w:link w:val="46"/>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18"/>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19"/>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0"/>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1"/>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73"/>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2"/>
    <w:qFormat/>
    <w:uiPriority w:val="0"/>
    <w:rPr>
      <w:rFonts w:cs="宋体"/>
      <w:kern w:val="2"/>
      <w:sz w:val="24"/>
    </w:rPr>
  </w:style>
  <w:style w:type="character" w:customStyle="1" w:styleId="94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2">
    <w:name w:val="gray6"/>
    <w:basedOn w:val="73"/>
    <w:qFormat/>
    <w:uiPriority w:val="0"/>
    <w:rPr>
      <w:rFonts w:ascii="Arial" w:hAnsi="Arial" w:eastAsia="黑体" w:cs="Arial"/>
      <w:snapToGrid w:val="0"/>
      <w:kern w:val="0"/>
      <w:szCs w:val="21"/>
    </w:rPr>
  </w:style>
  <w:style w:type="character" w:customStyle="1" w:styleId="943">
    <w:name w:val="hui"/>
    <w:basedOn w:val="73"/>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Char"/>
    <w:link w:val="43"/>
    <w:qFormat/>
    <w:uiPriority w:val="0"/>
    <w:rPr>
      <w:kern w:val="2"/>
      <w:sz w:val="21"/>
      <w:szCs w:val="24"/>
      <w:lang w:val="zh-CN"/>
    </w:rPr>
  </w:style>
  <w:style w:type="character" w:customStyle="1" w:styleId="950">
    <w:name w:val="无间隔 Char"/>
    <w:link w:val="172"/>
    <w:qFormat/>
    <w:uiPriority w:val="99"/>
    <w:rPr>
      <w:kern w:val="2"/>
      <w:sz w:val="21"/>
      <w:szCs w:val="22"/>
    </w:rPr>
  </w:style>
  <w:style w:type="character" w:customStyle="1" w:styleId="951">
    <w:name w:val="标准文本 Char Char"/>
    <w:link w:val="609"/>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73"/>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33787</Words>
  <Characters>35813</Characters>
  <Lines>325</Lines>
  <Paragraphs>91</Paragraphs>
  <TotalTime>38</TotalTime>
  <ScaleCrop>false</ScaleCrop>
  <LinksUpToDate>false</LinksUpToDate>
  <CharactersWithSpaces>40569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2022-01-27T12:24:00Z</dcterms:created>
  <dc:creator>玥</dc:creator>
  <cp:lastModifiedBy>成燕</cp:lastModifiedBy>
  <cp:lastPrinted>2022-01-27T12:24:00Z</cp:lastPrinted>
  <dcterms:modified xsi:type="dcterms:W3CDTF">2022-08-30T13:22:55Z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C98A198E17B2449E86CE1655E9EB53D3</vt:lpwstr>
  </property>
</Properties>
</file>