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bCs/>
          <w:sz w:val="44"/>
          <w:szCs w:val="44"/>
          <w:lang w:eastAsia="zh-CN"/>
        </w:rPr>
      </w:pPr>
      <w:r>
        <w:rPr>
          <w:rFonts w:hint="eastAsia" w:ascii="仿宋" w:hAnsi="仿宋" w:eastAsia="仿宋" w:cs="仿宋_GB2312"/>
          <w:b/>
          <w:bCs/>
          <w:sz w:val="44"/>
          <w:szCs w:val="44"/>
          <w:lang w:eastAsia="zh-CN"/>
        </w:rPr>
        <w:t>余杭区市政工程联合质量抽检、房屋建筑工程监督检测项目</w:t>
      </w:r>
    </w:p>
    <w:p>
      <w:pPr>
        <w:pStyle w:val="2"/>
      </w:pPr>
    </w:p>
    <w:p>
      <w:pPr>
        <w:adjustRightInd/>
        <w:spacing w:line="360" w:lineRule="auto"/>
        <w:jc w:val="center"/>
        <w:rPr>
          <w:rFonts w:hint="eastAsia" w:ascii="仿宋" w:hAnsi="仿宋" w:eastAsia="仿宋" w:cs="仿宋_GB2312"/>
          <w:b/>
          <w:bCs/>
          <w:sz w:val="84"/>
          <w:szCs w:val="84"/>
        </w:rPr>
      </w:pPr>
    </w:p>
    <w:p>
      <w:pPr>
        <w:adjustRightInd/>
        <w:spacing w:line="360" w:lineRule="auto"/>
        <w:jc w:val="center"/>
        <w:rPr>
          <w:rFonts w:hint="eastAsia" w:ascii="仿宋" w:hAnsi="仿宋" w:eastAsia="仿宋" w:cs="仿宋_GB2312"/>
          <w:b/>
          <w:bCs/>
          <w:sz w:val="84"/>
          <w:szCs w:val="84"/>
        </w:rPr>
      </w:pPr>
      <w:r>
        <w:rPr>
          <w:rFonts w:hint="eastAsia" w:ascii="仿宋" w:hAnsi="仿宋" w:eastAsia="仿宋" w:cs="仿宋_GB2312"/>
          <w:b/>
          <w:bCs/>
          <w:sz w:val="84"/>
          <w:szCs w:val="84"/>
        </w:rPr>
        <w:t>招</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件</w:t>
      </w:r>
    </w:p>
    <w:p>
      <w:pPr>
        <w:adjustRightInd/>
        <w:spacing w:line="360" w:lineRule="auto"/>
        <w:jc w:val="center"/>
        <w:rPr>
          <w:rFonts w:hint="eastAsia" w:ascii="仿宋" w:hAnsi="仿宋" w:eastAsia="仿宋" w:cs="仿宋_GB2312"/>
          <w:b/>
          <w:sz w:val="44"/>
          <w:szCs w:val="44"/>
          <w:lang w:eastAsia="zh-CN"/>
        </w:rPr>
      </w:pPr>
      <w:r>
        <w:rPr>
          <w:rFonts w:ascii="仿宋" w:hAnsi="仿宋" w:eastAsia="仿宋" w:cs="仿宋_GB2312"/>
          <w:b/>
          <w:sz w:val="44"/>
          <w:szCs w:val="44"/>
        </w:rPr>
        <w:t xml:space="preserve"> （电子招投标）</w:t>
      </w:r>
    </w:p>
    <w:p>
      <w:pPr>
        <w:pStyle w:val="25"/>
        <w:rPr>
          <w:rFonts w:hint="eastAsia"/>
          <w:lang w:eastAsia="zh-CN"/>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YHZFCG2022-024</w:t>
      </w:r>
    </w:p>
    <w:p>
      <w:pPr>
        <w:snapToGrid w:val="0"/>
        <w:spacing w:line="360" w:lineRule="auto"/>
        <w:jc w:val="both"/>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hd w:val="clear" w:color="auto" w:fill="FFFFFF"/>
        <w:snapToGrid w:val="0"/>
        <w:spacing w:line="360" w:lineRule="auto"/>
        <w:ind w:firstLine="425"/>
        <w:jc w:val="center"/>
        <w:textAlignment w:val="bottom"/>
        <w:rPr>
          <w:rFonts w:hint="default"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杭州市余杭区建筑工程质量安全监督站</w:t>
      </w:r>
    </w:p>
    <w:p>
      <w:pPr>
        <w:shd w:val="clear" w:color="auto" w:fill="FFFFFF"/>
        <w:snapToGrid w:val="0"/>
        <w:spacing w:line="360" w:lineRule="auto"/>
        <w:ind w:firstLine="2240" w:firstLineChars="700"/>
        <w:jc w:val="both"/>
        <w:textAlignment w:val="bottom"/>
        <w:rPr>
          <w:rFonts w:hint="eastAsia" w:ascii="仿宋" w:hAnsi="仿宋" w:eastAsia="仿宋" w:cs="仿宋_GB2312"/>
          <w:sz w:val="32"/>
          <w:szCs w:val="32"/>
        </w:rPr>
      </w:pPr>
      <w:r>
        <w:rPr>
          <w:rFonts w:hint="eastAsia" w:ascii="仿宋" w:hAnsi="仿宋" w:eastAsia="仿宋" w:cs="仿宋_GB2312"/>
          <w:sz w:val="32"/>
          <w:szCs w:val="32"/>
        </w:rPr>
        <w:t>采购代理机构：耀华建设管理有限公司</w:t>
      </w:r>
    </w:p>
    <w:p>
      <w:pPr>
        <w:shd w:val="clear" w:color="auto" w:fill="FFFFFF"/>
        <w:snapToGrid w:val="0"/>
        <w:spacing w:line="360" w:lineRule="auto"/>
        <w:ind w:firstLine="2880" w:firstLineChars="900"/>
        <w:jc w:val="both"/>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三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五 </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余杭区市政工程联合质量抽检、房屋建筑工程监督检测项目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"https://www.zcygov.cn/）获取（下载）招标文件，并于2021年" </w:instrText>
      </w:r>
      <w:r>
        <w:rPr>
          <w:color w:val="000000" w:themeColor="text1"/>
          <w14:textFill>
            <w14:solidFill>
              <w14:schemeClr w14:val="tx1"/>
            </w14:solidFill>
          </w14:textFill>
        </w:rPr>
        <w:fldChar w:fldCharType="separate"/>
      </w:r>
      <w:r>
        <w:rPr>
          <w:rStyle w:val="76"/>
          <w:rFonts w:ascii="仿宋_GB2312" w:hAnsi="仿宋" w:eastAsia="仿宋_GB2312" w:cs="Times New Roman"/>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03</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28</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14</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00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00秒</w:t>
      </w:r>
      <w:r>
        <w:rPr>
          <w:color w:val="000000" w:themeColor="text1"/>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YHZFCG2022-024</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
          <w:sz w:val="24"/>
          <w:lang w:val="en-US" w:eastAsia="zh-CN"/>
        </w:rPr>
        <w:t>项目名称</w:t>
      </w:r>
      <w:r>
        <w:rPr>
          <w:rFonts w:hint="eastAsia" w:ascii="仿宋" w:hAnsi="仿宋" w:eastAsia="仿宋" w:cs="仿宋"/>
          <w:b/>
          <w:sz w:val="24"/>
        </w:rPr>
        <w:t>：</w:t>
      </w:r>
      <w:r>
        <w:rPr>
          <w:rFonts w:hint="eastAsia" w:ascii="仿宋" w:hAnsi="仿宋" w:eastAsia="仿宋" w:cs="仿宋"/>
          <w:sz w:val="24"/>
          <w:lang w:eastAsia="zh-CN"/>
        </w:rPr>
        <w:t>余杭区市政工程联合质量抽检、房屋建筑工程监督检测项目</w:t>
      </w:r>
    </w:p>
    <w:p>
      <w:pPr>
        <w:spacing w:line="360" w:lineRule="auto"/>
        <w:rPr>
          <w:rFonts w:hint="eastAsia"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6726000.00；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6726000.00</w:t>
      </w:r>
      <w:r>
        <w:rPr>
          <w:rFonts w:hint="eastAsia" w:ascii="仿宋" w:hAnsi="仿宋" w:eastAsia="仿宋" w:cs="仿宋"/>
          <w:sz w:val="24"/>
          <w:lang w:eastAsia="zh-CN"/>
        </w:rPr>
        <w:t>；</w:t>
      </w:r>
    </w:p>
    <w:p>
      <w:pPr>
        <w:pStyle w:val="5"/>
        <w:spacing w:line="360" w:lineRule="auto"/>
        <w:ind w:firstLine="480"/>
        <w:rPr>
          <w:rFonts w:hint="eastAsia" w:ascii="仿宋" w:hAnsi="仿宋" w:eastAsia="仿宋" w:cs="仿宋"/>
          <w:bCs/>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余杭区市政工程联合质量抽检、房屋建筑工程监督检测项目，其中市政工程联合质量抽检费用预算172.3万元</w:t>
      </w:r>
      <w:r>
        <w:rPr>
          <w:rFonts w:hint="eastAsia" w:ascii="仿宋" w:hAnsi="仿宋" w:eastAsia="仿宋" w:cs="仿宋"/>
          <w:bCs/>
          <w:color w:val="auto"/>
          <w:kern w:val="2"/>
          <w:sz w:val="24"/>
          <w:szCs w:val="24"/>
          <w:lang w:val="en-US" w:eastAsia="zh-CN"/>
        </w:rPr>
        <w:t>/年</w:t>
      </w:r>
      <w:r>
        <w:rPr>
          <w:rFonts w:hint="eastAsia" w:ascii="仿宋" w:hAnsi="仿宋" w:eastAsia="仿宋" w:cs="仿宋"/>
          <w:bCs/>
          <w:color w:val="auto"/>
          <w:kern w:val="2"/>
          <w:sz w:val="24"/>
          <w:szCs w:val="24"/>
          <w:lang w:eastAsia="zh-CN"/>
        </w:rPr>
        <w:t>；房屋建筑工程监督检测费用预算164万元</w:t>
      </w:r>
      <w:r>
        <w:rPr>
          <w:rFonts w:hint="eastAsia" w:ascii="仿宋" w:hAnsi="仿宋" w:eastAsia="仿宋" w:cs="仿宋"/>
          <w:bCs/>
          <w:color w:val="auto"/>
          <w:kern w:val="2"/>
          <w:sz w:val="24"/>
          <w:szCs w:val="24"/>
          <w:lang w:val="en-US" w:eastAsia="zh-CN"/>
        </w:rPr>
        <w:t>/年</w:t>
      </w:r>
      <w:r>
        <w:rPr>
          <w:rFonts w:hint="eastAsia" w:ascii="仿宋" w:hAnsi="仿宋" w:eastAsia="仿宋" w:cs="仿宋"/>
          <w:bCs/>
          <w:color w:val="auto"/>
          <w:kern w:val="2"/>
          <w:sz w:val="24"/>
          <w:szCs w:val="24"/>
          <w:lang w:eastAsia="zh-CN"/>
        </w:rPr>
        <w:t>。一年预算合计总额</w:t>
      </w:r>
      <w:r>
        <w:rPr>
          <w:rFonts w:hint="eastAsia" w:ascii="仿宋" w:hAnsi="仿宋" w:eastAsia="仿宋" w:cs="仿宋"/>
          <w:bCs/>
          <w:color w:val="auto"/>
          <w:kern w:val="2"/>
          <w:sz w:val="24"/>
          <w:szCs w:val="24"/>
          <w:lang w:val="en-US" w:eastAsia="zh-CN"/>
        </w:rPr>
        <w:t>3363000元，二年预算合计总额6726000元。</w:t>
      </w:r>
    </w:p>
    <w:p>
      <w:pPr>
        <w:pStyle w:val="5"/>
        <w:spacing w:line="360" w:lineRule="auto"/>
        <w:ind w:firstLine="480"/>
        <w:rPr>
          <w:rFonts w:hint="eastAsia" w:ascii="仿宋" w:hAnsi="仿宋" w:eastAsia="仿宋" w:cs="仿宋"/>
          <w:b/>
          <w:bCs w:val="0"/>
          <w:color w:val="auto"/>
          <w:kern w:val="2"/>
          <w:sz w:val="24"/>
          <w:szCs w:val="24"/>
          <w:lang w:val="en-US" w:eastAsia="zh-CN"/>
        </w:rPr>
      </w:pPr>
      <w:r>
        <w:rPr>
          <w:rFonts w:hint="eastAsia" w:ascii="仿宋" w:hAnsi="仿宋" w:eastAsia="仿宋" w:cs="仿宋"/>
          <w:b/>
          <w:bCs w:val="0"/>
          <w:color w:val="auto"/>
          <w:kern w:val="2"/>
          <w:sz w:val="24"/>
          <w:szCs w:val="24"/>
          <w:lang w:val="en-US" w:eastAsia="zh-CN"/>
        </w:rPr>
        <w:t>具体内容和相关要求详见招标文件“第三部分 采购需求”。</w:t>
      </w:r>
    </w:p>
    <w:p>
      <w:pPr>
        <w:pStyle w:val="5"/>
        <w:spacing w:line="360" w:lineRule="auto"/>
        <w:ind w:firstLine="480"/>
        <w:rPr>
          <w:rFonts w:hint="eastAsia" w:ascii="仿宋_GB2312" w:hAnsi="仿宋" w:eastAsia="仿宋_GB2312"/>
          <w:b w:val="0"/>
          <w:bCs/>
          <w:lang w:eastAsia="zh-CN"/>
        </w:rPr>
      </w:pPr>
      <w:r>
        <w:rPr>
          <w:rFonts w:hint="eastAsia" w:ascii="仿宋" w:hAnsi="仿宋" w:eastAsia="仿宋" w:cs="仿宋"/>
          <w:b/>
          <w:color w:val="auto"/>
          <w:sz w:val="24"/>
        </w:rPr>
        <w:t>项</w:t>
      </w:r>
      <w:r>
        <w:rPr>
          <w:rFonts w:hint="eastAsia" w:ascii="仿宋" w:hAnsi="仿宋" w:eastAsia="仿宋" w:cs="仿宋"/>
          <w:b/>
          <w:color w:val="auto"/>
          <w:sz w:val="24"/>
          <w:lang w:val="en-US" w:eastAsia="zh-CN"/>
        </w:rPr>
        <w:t>目</w:t>
      </w:r>
      <w:r>
        <w:rPr>
          <w:rFonts w:hint="eastAsia" w:ascii="仿宋" w:hAnsi="仿宋" w:eastAsia="仿宋" w:cs="仿宋"/>
          <w:b/>
          <w:color w:val="auto"/>
          <w:sz w:val="24"/>
        </w:rPr>
        <w:t>名称:</w:t>
      </w:r>
      <w:r>
        <w:rPr>
          <w:rFonts w:hint="eastAsia" w:ascii="仿宋" w:hAnsi="仿宋" w:eastAsia="仿宋" w:cs="仿宋"/>
          <w:sz w:val="24"/>
          <w:lang w:eastAsia="zh-CN"/>
        </w:rPr>
        <w:t>余杭区市政工程联合质量抽检、房屋建筑工程监督检测项目</w:t>
      </w:r>
    </w:p>
    <w:p>
      <w:pPr>
        <w:pStyle w:val="91"/>
        <w:keepNext w:val="0"/>
        <w:keepLines w:val="0"/>
        <w:pageBreakBefore w:val="0"/>
        <w:widowControl w:val="0"/>
        <w:kinsoku/>
        <w:wordWrap/>
        <w:overflowPunct/>
        <w:topLinePunct w:val="0"/>
        <w:autoSpaceDE/>
        <w:autoSpaceDN/>
        <w:bidi w:val="0"/>
        <w:adjustRightInd w:val="0"/>
        <w:snapToGrid/>
        <w:spacing w:before="0"/>
        <w:ind w:left="479" w:leftChars="228" w:firstLine="0" w:firstLineChars="0"/>
        <w:textAlignment w:val="auto"/>
        <w:outlineLvl w:val="2"/>
        <w:rPr>
          <w:rFonts w:hint="eastAsia" w:ascii="仿宋_GB2312" w:hAnsi="仿宋" w:eastAsia="仿宋_GB2312"/>
          <w:b/>
          <w:lang w:val="en-US" w:eastAsia="zh-CN"/>
        </w:rPr>
      </w:pPr>
      <w:r>
        <w:rPr>
          <w:rFonts w:hint="eastAsia" w:ascii="仿宋_GB2312" w:hAnsi="仿宋" w:eastAsia="仿宋_GB2312"/>
          <w:b/>
        </w:rPr>
        <w:t>预算金额（元）:</w:t>
      </w:r>
      <w:r>
        <w:rPr>
          <w:rFonts w:hint="eastAsia" w:ascii="仿宋" w:hAnsi="仿宋" w:eastAsia="仿宋" w:cs="仿宋"/>
          <w:b/>
          <w:sz w:val="24"/>
          <w:lang w:val="en-US" w:eastAsia="zh-CN"/>
        </w:rPr>
        <w:t>6726000.00</w:t>
      </w:r>
      <w:r>
        <w:rPr>
          <w:rFonts w:hint="eastAsia" w:ascii="仿宋_GB2312" w:hAnsi="仿宋" w:eastAsia="仿宋_GB2312"/>
          <w:b/>
          <w:lang w:val="en-US" w:eastAsia="zh-CN"/>
        </w:rPr>
        <w:t>元</w:t>
      </w:r>
      <w:r>
        <w:rPr>
          <w:rFonts w:hint="eastAsia" w:ascii="仿宋_GB2312" w:hAnsi="仿宋" w:eastAsia="仿宋_GB2312"/>
          <w:b/>
        </w:rPr>
        <w:t> </w:t>
      </w:r>
      <w:r>
        <w:rPr>
          <w:rFonts w:hint="eastAsia" w:ascii="仿宋_GB2312" w:hAnsi="仿宋" w:eastAsia="仿宋_GB2312"/>
          <w:b/>
          <w:lang w:eastAsia="zh-CN"/>
        </w:rPr>
        <w:t>；</w:t>
      </w:r>
    </w:p>
    <w:p>
      <w:pPr>
        <w:pStyle w:val="91"/>
        <w:keepNext w:val="0"/>
        <w:keepLines w:val="0"/>
        <w:pageBreakBefore w:val="0"/>
        <w:widowControl w:val="0"/>
        <w:kinsoku/>
        <w:wordWrap/>
        <w:overflowPunct/>
        <w:topLinePunct w:val="0"/>
        <w:autoSpaceDE/>
        <w:autoSpaceDN/>
        <w:bidi w:val="0"/>
        <w:adjustRightInd w:val="0"/>
        <w:snapToGrid/>
        <w:spacing w:before="0"/>
        <w:textAlignment w:val="auto"/>
        <w:outlineLvl w:val="2"/>
        <w:rPr>
          <w:rFonts w:hint="eastAsia" w:ascii="仿宋_GB2312" w:hAnsi="仿宋" w:eastAsia="仿宋_GB2312"/>
          <w:b/>
          <w:lang w:eastAsia="zh-CN"/>
        </w:rPr>
      </w:pPr>
      <w:r>
        <w:rPr>
          <w:rFonts w:hint="eastAsia" w:ascii="仿宋_GB2312" w:hAnsi="仿宋" w:eastAsia="仿宋_GB2312"/>
          <w:b/>
        </w:rPr>
        <w:t>简要规格描述或项目基本概况介绍、用途：</w:t>
      </w:r>
      <w:r>
        <w:rPr>
          <w:rFonts w:hint="eastAsia" w:ascii="仿宋_GB2312" w:hAnsi="仿宋" w:eastAsia="仿宋_GB2312"/>
          <w:b w:val="0"/>
          <w:bCs/>
          <w:lang w:val="en-US" w:eastAsia="zh-CN"/>
        </w:rPr>
        <w:t>具体内容和相关要求详见招标文件“第三部分 采购需求”。</w:t>
      </w:r>
    </w:p>
    <w:p>
      <w:pPr>
        <w:pStyle w:val="91"/>
        <w:keepNext w:val="0"/>
        <w:keepLines w:val="0"/>
        <w:pageBreakBefore w:val="0"/>
        <w:widowControl w:val="0"/>
        <w:kinsoku/>
        <w:wordWrap/>
        <w:overflowPunct/>
        <w:topLinePunct w:val="0"/>
        <w:autoSpaceDE/>
        <w:autoSpaceDN/>
        <w:bidi w:val="0"/>
        <w:adjustRightInd w:val="0"/>
        <w:snapToGrid/>
        <w:spacing w:before="0"/>
        <w:textAlignment w:val="auto"/>
        <w:outlineLvl w:val="2"/>
        <w:rPr>
          <w:rFonts w:hint="eastAsia" w:ascii="仿宋" w:hAnsi="仿宋" w:eastAsia="仿宋" w:cs="仿宋"/>
          <w:color w:val="000000"/>
          <w:kern w:val="0"/>
          <w:sz w:val="24"/>
          <w:szCs w:val="24"/>
          <w:highlight w:val="none"/>
          <w:lang w:val="en-US" w:eastAsia="zh-CN"/>
        </w:rPr>
      </w:pPr>
      <w:r>
        <w:rPr>
          <w:rFonts w:hint="eastAsia" w:ascii="仿宋_GB2312" w:hAnsi="仿宋" w:eastAsia="仿宋_GB2312"/>
          <w:b/>
        </w:rPr>
        <w:t>合同履约期限：</w:t>
      </w:r>
      <w:r>
        <w:rPr>
          <w:rFonts w:hint="eastAsia" w:ascii="仿宋" w:hAnsi="仿宋" w:eastAsia="仿宋" w:cs="仿宋"/>
          <w:b w:val="0"/>
          <w:bCs/>
          <w:lang w:val="en-US" w:eastAsia="zh-CN"/>
        </w:rPr>
        <w:t>自合同签订之日</w:t>
      </w:r>
      <w:r>
        <w:rPr>
          <w:rFonts w:hint="eastAsia" w:ascii="仿宋" w:hAnsi="仿宋" w:eastAsia="仿宋" w:cs="仿宋"/>
          <w:b w:val="0"/>
          <w:bCs/>
          <w:highlight w:val="none"/>
          <w:lang w:val="en-US" w:eastAsia="zh-CN"/>
        </w:rPr>
        <w:t>起二年</w:t>
      </w:r>
      <w:r>
        <w:rPr>
          <w:rFonts w:hint="eastAsia" w:ascii="仿宋" w:hAnsi="仿宋" w:eastAsia="仿宋" w:cs="仿宋"/>
          <w:color w:val="000000"/>
          <w:kern w:val="0"/>
          <w:sz w:val="24"/>
          <w:szCs w:val="24"/>
          <w:highlight w:val="none"/>
          <w:lang w:val="en-US" w:eastAsia="zh-CN"/>
        </w:rPr>
        <w:t>。</w:t>
      </w:r>
    </w:p>
    <w:p>
      <w:pPr>
        <w:pStyle w:val="91"/>
        <w:keepNext w:val="0"/>
        <w:keepLines w:val="0"/>
        <w:pageBreakBefore w:val="0"/>
        <w:widowControl w:val="0"/>
        <w:kinsoku/>
        <w:wordWrap/>
        <w:overflowPunct/>
        <w:topLinePunct w:val="0"/>
        <w:autoSpaceDE/>
        <w:autoSpaceDN/>
        <w:bidi w:val="0"/>
        <w:adjustRightInd w:val="0"/>
        <w:snapToGrid/>
        <w:spacing w:before="0"/>
        <w:ind w:left="0" w:leftChars="0" w:firstLine="482" w:firstLineChars="200"/>
        <w:textAlignment w:val="auto"/>
        <w:outlineLvl w:val="2"/>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hint="eastAsia"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pStyle w:val="25"/>
        <w:spacing w:line="360" w:lineRule="auto"/>
        <w:ind w:firstLine="960" w:firstLineChars="400"/>
        <w:rPr>
          <w:rFonts w:hint="eastAsia"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pStyle w:val="25"/>
        <w:spacing w:line="360" w:lineRule="auto"/>
        <w:ind w:firstLine="960" w:firstLineChars="4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numPr>
          <w:ilvl w:val="0"/>
          <w:numId w:val="1"/>
        </w:numPr>
        <w:spacing w:line="360" w:lineRule="auto"/>
        <w:ind w:firstLine="480" w:firstLineChars="200"/>
        <w:rPr>
          <w:rFonts w:hint="eastAsia" w:ascii="仿宋_GB2312" w:hAnsi="仿宋" w:eastAsia="仿宋_GB2312"/>
          <w:b/>
          <w:bCs/>
          <w:sz w:val="24"/>
        </w:rPr>
      </w:pPr>
      <w:r>
        <w:rPr>
          <w:rFonts w:ascii="仿宋_GB2312" w:hAnsi="仿宋" w:eastAsia="仿宋_GB2312"/>
          <w:sz w:val="24"/>
        </w:rPr>
        <w:t>本项目的特定资格要求：</w:t>
      </w:r>
    </w:p>
    <w:p>
      <w:pPr>
        <w:spacing w:line="360" w:lineRule="auto"/>
        <w:ind w:firstLine="482" w:firstLineChars="200"/>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检测机构</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具有①建设行政主管部门颁发的建设工程质量检测机构资质证书并在有效期内，且资质证书检测内容包含：见证取样检测（通用）/或建筑工程材料和市政道路工程材料见证取样检测</w:t>
      </w: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"https://baike.baidu.com/item/%E5%9C%B0%E5%9F%BA%E5%9F%BA%E7%A1%80%E5%B7%A5%E7%A8%8B%E6%A3%80%E6%B5%8B" \t "https://baike.baidu.com/item/%E5%BB%BA%E8%AE%BE%E5%B7%A5%E7%A8%8B%E8%B4%A8%E9%87%8F%E6%A3%80%E6%B5%8B%E7%AE%A1%E7%90%86%E5%8A%9E%E6%B3%95/_blank" </w:instrTex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t>地基基础工程检测</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b/>
          <w:bCs/>
          <w:i w:val="0"/>
          <w:iCs w:val="0"/>
          <w:caps w:val="0"/>
          <w:color w:val="000000" w:themeColor="text1"/>
          <w:spacing w:val="0"/>
          <w:sz w:val="24"/>
          <w:szCs w:val="24"/>
          <w:u w:val="none"/>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"https://baike.baidu.com/item/%E4%B8%BB%E4%BD%93%E7%BB%93%E6%9E%84%E5%B7%A5%E7%A8%8B" \t "https://baike.baidu.com/item/%E5%BB%BA%E8%AE%BE%E5%B7%A5%E7%A8%8B%E8%B4%A8%E9%87%8F%E6%A3%80%E6%B5%8B%E7%AE%A1%E7%90%86%E5%8A%9E%E6%B3%95/_blank" </w:instrTex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t>主体结构工程</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现场检测</w:t>
      </w:r>
      <w:r>
        <w:rPr>
          <w:rFonts w:hint="eastAsia" w:ascii="仿宋" w:hAnsi="仿宋" w:eastAsia="仿宋" w:cs="仿宋"/>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室内环境质量检测</w:t>
      </w: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②具有质量技术监督部门颁发的CMA计量认证证书并在有效期内。 </w:t>
      </w:r>
    </w:p>
    <w:p>
      <w:pPr>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lang w:val="en-US" w:eastAsia="zh-CN"/>
        </w:rPr>
        <w:t>2）为</w:t>
      </w:r>
      <w:r>
        <w:rPr>
          <w:rFonts w:hint="eastAsia" w:ascii="仿宋" w:hAnsi="仿宋" w:eastAsia="仿宋" w:cs="仿宋"/>
          <w:b/>
          <w:bCs/>
          <w:sz w:val="24"/>
          <w:lang w:val="zh-CN"/>
        </w:rPr>
        <w:t>检测工作公平公正原则和</w:t>
      </w:r>
      <w:r>
        <w:rPr>
          <w:rFonts w:hint="eastAsia" w:ascii="仿宋" w:hAnsi="仿宋" w:eastAsia="仿宋" w:cs="仿宋"/>
          <w:b/>
          <w:bCs/>
          <w:sz w:val="24"/>
          <w:lang w:val="en-US" w:eastAsia="zh-CN"/>
        </w:rPr>
        <w:t>须</w:t>
      </w:r>
      <w:r>
        <w:rPr>
          <w:rFonts w:hint="eastAsia" w:ascii="仿宋" w:hAnsi="仿宋" w:eastAsia="仿宋" w:cs="仿宋"/>
          <w:b/>
          <w:bCs/>
          <w:sz w:val="24"/>
          <w:lang w:val="zh-CN"/>
        </w:rPr>
        <w:t>回避</w:t>
      </w:r>
      <w:r>
        <w:rPr>
          <w:rFonts w:hint="eastAsia" w:ascii="仿宋" w:hAnsi="仿宋" w:eastAsia="仿宋" w:cs="仿宋"/>
          <w:b/>
          <w:bCs/>
          <w:sz w:val="24"/>
          <w:lang w:val="zh-CN" w:eastAsia="zh-CN"/>
        </w:rPr>
        <w:t>项目</w:t>
      </w:r>
      <w:r>
        <w:rPr>
          <w:rFonts w:hint="eastAsia" w:ascii="仿宋" w:hAnsi="仿宋" w:eastAsia="仿宋" w:cs="仿宋"/>
          <w:b/>
          <w:bCs/>
          <w:sz w:val="24"/>
          <w:lang w:val="zh-CN"/>
        </w:rPr>
        <w:t>原检测单位的工作要求，原已承接的余杭区范围内的第三方检测业务，在中标后须暂停检测服务，不得与监督检测冲突；检测业务为</w:t>
      </w:r>
      <w:r>
        <w:rPr>
          <w:rFonts w:hint="eastAsia" w:ascii="仿宋" w:hAnsi="仿宋" w:eastAsia="仿宋" w:cs="仿宋"/>
          <w:b/>
          <w:bCs/>
          <w:sz w:val="24"/>
          <w:lang w:eastAsia="zh-CN"/>
        </w:rPr>
        <w:t>余杭</w:t>
      </w:r>
      <w:r>
        <w:rPr>
          <w:rFonts w:hint="eastAsia" w:ascii="仿宋" w:hAnsi="仿宋" w:eastAsia="仿宋" w:cs="仿宋"/>
          <w:b/>
          <w:bCs/>
          <w:sz w:val="24"/>
        </w:rPr>
        <w:t>区</w:t>
      </w:r>
      <w:r>
        <w:rPr>
          <w:rFonts w:hint="eastAsia" w:ascii="仿宋" w:hAnsi="仿宋" w:eastAsia="仿宋" w:cs="仿宋"/>
          <w:b/>
          <w:bCs/>
          <w:sz w:val="24"/>
          <w:lang w:val="zh-CN"/>
        </w:rPr>
        <w:t>辖区内任何用于工程验收或检测用的第三方检测业务，包括但不限于室内环境质量、地基基础、主体结构工程、建筑（市政）材料见证取样、门窗幕墙和钢结构检测业务等。投标时提供承诺书，否则作无效投标处理。</w:t>
      </w:r>
    </w:p>
    <w:p>
      <w:pPr>
        <w:snapToGrid w:val="0"/>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时间：</w:t>
      </w:r>
      <w:r>
        <w:rPr>
          <w:rFonts w:ascii="仿宋_GB2312" w:hAnsi="仿宋" w:eastAsia="仿宋_GB2312"/>
          <w:sz w:val="24"/>
        </w:rPr>
        <w:t>/</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hint="eastAsia" w:ascii="仿宋_GB2312" w:hAnsi="仿宋" w:eastAsia="仿宋_GB2312"/>
          <w:sz w:val="24"/>
          <w:highlight w:val="none"/>
          <w:lang w:val="en-US" w:eastAsia="zh-CN"/>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lang w:val="en-US" w:eastAsia="zh-CN"/>
        </w:rPr>
        <w:t>线上投标响应；</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00秒</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hint="eastAsia" w:ascii="仿宋_GB2312" w:hAnsi="仿宋" w:eastAsia="仿宋_GB2312"/>
          <w:sz w:val="24"/>
          <w:lang w:val="en-US" w:eastAsia="zh-CN"/>
        </w:rPr>
      </w:pPr>
      <w:r>
        <w:rPr>
          <w:rFonts w:hint="eastAsia" w:ascii="仿宋_GB2312" w:hAnsi="仿宋" w:eastAsia="仿宋_GB2312"/>
          <w:b/>
          <w:sz w:val="24"/>
          <w:highlight w:val="none"/>
        </w:rPr>
        <w:t>开标地点（网址）：</w:t>
      </w:r>
      <w:r>
        <w:rPr>
          <w:rFonts w:hint="eastAsia" w:ascii="仿宋_GB2312" w:hAnsi="仿宋" w:eastAsia="仿宋_GB2312"/>
          <w:b/>
          <w:sz w:val="24"/>
          <w:highlight w:val="none"/>
          <w:lang w:val="en-US" w:eastAsia="zh-CN"/>
        </w:rPr>
        <w:t>登陆</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https://www.zcygov.cn/）开标大</w:t>
      </w:r>
      <w:r>
        <w:rPr>
          <w:rFonts w:ascii="仿宋_GB2312" w:hAnsi="仿宋" w:eastAsia="仿宋_GB2312"/>
          <w:sz w:val="24"/>
        </w:rPr>
        <w:t>厅等候</w:t>
      </w:r>
      <w:r>
        <w:rPr>
          <w:rFonts w:hint="eastAsia" w:ascii="仿宋_GB2312" w:hAnsi="仿宋" w:eastAsia="仿宋_GB2312"/>
          <w:sz w:val="24"/>
          <w:lang w:val="en-US" w:eastAsia="zh-CN"/>
        </w:rPr>
        <w:t>开标</w:t>
      </w:r>
      <w:r>
        <w:rPr>
          <w:rFonts w:ascii="仿宋_GB2312" w:hAnsi="仿宋" w:eastAsia="仿宋_GB2312"/>
          <w:sz w:val="24"/>
        </w:rPr>
        <w:t>解密</w:t>
      </w:r>
      <w:r>
        <w:rPr>
          <w:rFonts w:hint="eastAsia" w:ascii="仿宋_GB2312" w:hAnsi="仿宋" w:eastAsia="仿宋_GB2312"/>
          <w:sz w:val="24"/>
          <w:lang w:val="en-US" w:eastAsia="zh-CN"/>
        </w:rPr>
        <w:t>；</w:t>
      </w:r>
    </w:p>
    <w:p>
      <w:pPr>
        <w:snapToGrid w:val="0"/>
        <w:spacing w:line="360" w:lineRule="auto"/>
        <w:ind w:firstLine="482" w:firstLineChars="200"/>
        <w:rPr>
          <w:rFonts w:hint="eastAsia" w:ascii="仿宋_GB2312" w:hAnsi="仿宋" w:eastAsia="仿宋_GB2312" w:cs="Times New Roman"/>
          <w:sz w:val="24"/>
        </w:rPr>
      </w:pPr>
      <w:r>
        <w:rPr>
          <w:rFonts w:hint="eastAsia" w:ascii="仿宋_GB2312" w:hAnsi="仿宋" w:eastAsia="仿宋_GB2312" w:cs="Times New Roman"/>
          <w:b/>
          <w:sz w:val="24"/>
        </w:rPr>
        <w:t>组织机构线下开标地点：</w:t>
      </w:r>
      <w:r>
        <w:rPr>
          <w:rFonts w:hint="eastAsia" w:ascii="仿宋_GB2312" w:hAnsi="仿宋_GB2312" w:eastAsia="仿宋_GB2312" w:cs="仿宋_GB2312"/>
          <w:sz w:val="24"/>
          <w:highlight w:val="none"/>
        </w:rPr>
        <w:t>杭州市余杭区联创街77号汇银中心3幢2单元</w:t>
      </w:r>
      <w:r>
        <w:rPr>
          <w:rFonts w:hint="eastAsia" w:ascii="仿宋_GB2312" w:hAnsi="仿宋_GB2312" w:eastAsia="仿宋_GB2312" w:cs="仿宋_GB2312"/>
          <w:sz w:val="24"/>
          <w:highlight w:val="none"/>
          <w:lang w:val="en-US" w:eastAsia="zh-CN"/>
        </w:rPr>
        <w:t>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12"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12" w:lineRule="auto"/>
        <w:ind w:firstLine="480" w:firstLineChars="200"/>
        <w:rPr>
          <w:rFonts w:ascii="仿宋_GB2312" w:hAnsi="仿宋" w:eastAsia="仿宋_GB2312" w:cs="仿宋_GB2312"/>
          <w:sz w:val="24"/>
        </w:rPr>
      </w:pPr>
      <w:r>
        <w:rPr>
          <w:rFonts w:hint="eastAsia" w:ascii="仿宋_GB2312" w:hAnsi="仿宋" w:eastAsia="仿宋_GB2312"/>
          <w:sz w:val="24"/>
        </w:rPr>
        <w:t>2.其他事项：（1）需要落实的政府采购政策：包括节约资源、保护环境、支持创新、促进中小企业发展等。</w:t>
      </w:r>
      <w:r>
        <w:rPr>
          <w:rFonts w:hint="eastAsia" w:ascii="仿宋_GB2312" w:hAnsi="仿宋" w:eastAsia="仿宋_GB2312"/>
          <w:color w:val="auto"/>
          <w:sz w:val="24"/>
          <w:highlight w:val="none"/>
        </w:rPr>
        <w:t>详见招标文件的第二部分总则。</w:t>
      </w:r>
      <w:r>
        <w:rPr>
          <w:rFonts w:hint="eastAsia" w:ascii="仿宋_GB2312" w:hAnsi="仿宋" w:eastAsia="仿宋_GB2312"/>
          <w:sz w:val="24"/>
        </w:rPr>
        <w:t>（2）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5"/>
        <w:spacing w:line="312" w:lineRule="auto"/>
        <w:ind w:firstLine="480" w:firstLineChars="200"/>
        <w:rPr>
          <w:rFonts w:hint="eastAsia" w:ascii="仿宋_GB2312" w:hAnsi="仿宋" w:eastAsia="仿宋_GB2312" w:cs="仿宋_GB2312"/>
          <w:kern w:val="2"/>
          <w:szCs w:val="24"/>
          <w:lang w:val="en-US" w:eastAsia="zh-CN"/>
        </w:rPr>
      </w:pPr>
      <w:r>
        <w:rPr>
          <w:rFonts w:hint="eastAsia" w:ascii="仿宋_GB2312" w:hAnsi="仿宋" w:eastAsia="仿宋_GB2312" w:cs="仿宋_GB2312"/>
          <w:kern w:val="2"/>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名称：</w:t>
      </w:r>
      <w:r>
        <w:rPr>
          <w:rFonts w:hint="eastAsia" w:ascii="仿宋_GB2312" w:hAnsi="仿宋" w:eastAsia="仿宋_GB2312"/>
          <w:sz w:val="24"/>
          <w:lang w:val="en-US" w:eastAsia="zh-CN"/>
        </w:rPr>
        <w:t>杭州市余杭区建筑工程质量安全监督站</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lang w:eastAsia="zh-CN"/>
        </w:rPr>
        <w:t>地址：浙江省杭州市余杭区浙财科创中心C座</w:t>
      </w:r>
      <w:r>
        <w:rPr>
          <w:rFonts w:hint="eastAsia" w:ascii="仿宋_GB2312" w:hAnsi="仿宋" w:eastAsia="仿宋_GB2312"/>
          <w:sz w:val="24"/>
        </w:rPr>
        <w:t>。</w:t>
      </w:r>
    </w:p>
    <w:p>
      <w:pPr>
        <w:spacing w:line="360" w:lineRule="auto"/>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w:t>
      </w:r>
      <w:r>
        <w:rPr>
          <w:rFonts w:hint="eastAsia" w:ascii="仿宋_GB2312" w:hAnsi="仿宋_GB2312" w:eastAsia="仿宋_GB2312" w:cs="仿宋_GB2312"/>
          <w:color w:val="000000"/>
          <w:sz w:val="24"/>
          <w:highlight w:val="none"/>
          <w:lang w:val="en-US" w:eastAsia="zh-CN"/>
        </w:rPr>
        <w:t>李骁</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项目联系方式（询问）：</w:t>
      </w:r>
      <w:r>
        <w:rPr>
          <w:rFonts w:hint="eastAsia" w:ascii="仿宋_GB2312" w:hAnsi="仿宋_GB2312" w:eastAsia="仿宋_GB2312" w:cs="仿宋_GB2312"/>
          <w:sz w:val="24"/>
          <w:highlight w:val="none"/>
          <w:lang w:val="en-US" w:eastAsia="zh-CN"/>
        </w:rPr>
        <w:t>0571-</w:t>
      </w:r>
      <w:r>
        <w:rPr>
          <w:rFonts w:hint="eastAsia" w:ascii="仿宋_GB2312" w:hAnsi="仿宋_GB2312" w:eastAsia="仿宋_GB2312" w:cs="仿宋_GB2312"/>
          <w:color w:val="000000"/>
          <w:sz w:val="24"/>
          <w:szCs w:val="24"/>
          <w:highlight w:val="none"/>
          <w:lang w:val="en-US" w:eastAsia="zh-CN"/>
        </w:rPr>
        <w:t>88729570</w:t>
      </w: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t xml:space="preserve">    质疑联系人：</w:t>
      </w:r>
      <w:r>
        <w:rPr>
          <w:rFonts w:hint="eastAsia" w:ascii="仿宋_GB2312" w:hAnsi="仿宋_GB2312" w:eastAsia="仿宋_GB2312" w:cs="仿宋_GB2312"/>
          <w:sz w:val="24"/>
          <w:highlight w:val="none"/>
          <w:lang w:val="en-US" w:eastAsia="zh-CN"/>
        </w:rPr>
        <w:t>赵秀丽</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质疑联系方式：</w:t>
      </w:r>
      <w:r>
        <w:rPr>
          <w:rFonts w:hint="eastAsia" w:ascii="仿宋_GB2312" w:hAnsi="仿宋_GB2312" w:eastAsia="仿宋_GB2312" w:cs="仿宋_GB2312"/>
          <w:color w:val="000000"/>
          <w:sz w:val="24"/>
          <w:highlight w:val="none"/>
          <w:lang w:val="en-US" w:eastAsia="zh-CN"/>
        </w:rPr>
        <w:t xml:space="preserve">0571-88729557 </w:t>
      </w:r>
    </w:p>
    <w:p>
      <w:pPr>
        <w:spacing w:line="360" w:lineRule="auto"/>
        <w:ind w:firstLine="0" w:firstLineChars="0"/>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lang w:val="en-US" w:eastAsia="zh-CN"/>
        </w:rPr>
        <w:t>2</w:t>
      </w:r>
      <w:r>
        <w:rPr>
          <w:rFonts w:ascii="仿宋_GB2312" w:hAnsi="仿宋" w:eastAsia="仿宋_GB2312"/>
          <w:b/>
          <w:bCs/>
          <w:sz w:val="24"/>
        </w:rPr>
        <w:t xml:space="preserve">.采购代理机构信息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临平地址：杭州市临平区南苑街道华元欢乐城-华元大厦20层2022办公室。</w:t>
      </w:r>
    </w:p>
    <w:p>
      <w:pPr>
        <w:spacing w:line="360" w:lineRule="auto"/>
        <w:ind w:firstLine="480" w:firstLineChars="200"/>
        <w:rPr>
          <w:highlight w:val="none"/>
          <w:lang w:val="en-US"/>
        </w:rPr>
      </w:pPr>
      <w:r>
        <w:rPr>
          <w:rFonts w:hint="eastAsia" w:ascii="仿宋_GB2312" w:hAnsi="仿宋_GB2312" w:eastAsia="仿宋_GB2312" w:cs="仿宋_GB2312"/>
          <w:sz w:val="24"/>
          <w:highlight w:val="none"/>
          <w:lang w:val="en-US"/>
        </w:rPr>
        <w:t>余杭地址：</w:t>
      </w:r>
      <w:r>
        <w:rPr>
          <w:rFonts w:hint="eastAsia" w:ascii="仿宋_GB2312" w:hAnsi="仿宋_GB2312" w:eastAsia="仿宋_GB2312" w:cs="仿宋_GB2312"/>
          <w:sz w:val="24"/>
          <w:highlight w:val="none"/>
        </w:rPr>
        <w:t>杭州市余杭区联创街77号汇银中心3幢2单元</w:t>
      </w:r>
      <w:r>
        <w:rPr>
          <w:rFonts w:hint="eastAsia" w:ascii="仿宋_GB2312" w:hAnsi="仿宋_GB2312" w:eastAsia="仿宋_GB2312" w:cs="仿宋_GB2312"/>
          <w:sz w:val="24"/>
          <w:highlight w:val="none"/>
          <w:lang w:val="en-US"/>
        </w:rPr>
        <w:t>3楼办公室。</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项目联系人（询问）：刘瑶      项目联系方式（询问）：</w:t>
      </w:r>
      <w:r>
        <w:rPr>
          <w:rFonts w:hint="eastAsia" w:ascii="仿宋" w:hAnsi="仿宋" w:eastAsia="仿宋" w:cs="仿宋"/>
          <w:color w:val="auto"/>
          <w:sz w:val="24"/>
          <w:highlight w:val="none"/>
        </w:rPr>
        <w:t>0571-86320706</w:t>
      </w:r>
      <w:r>
        <w:rPr>
          <w:rFonts w:hint="eastAsia" w:ascii="仿宋" w:hAnsi="仿宋" w:eastAsia="仿宋" w:cs="仿宋"/>
          <w:sz w:val="24"/>
          <w:lang w:eastAsia="zh-CN"/>
        </w:rPr>
        <w:t>、</w:t>
      </w:r>
      <w:r>
        <w:rPr>
          <w:rFonts w:hint="eastAsia" w:ascii="仿宋" w:hAnsi="仿宋" w:eastAsia="仿宋" w:cs="仿宋"/>
          <w:color w:val="auto"/>
          <w:sz w:val="24"/>
          <w:highlight w:val="none"/>
          <w:lang w:val="en-US" w:eastAsia="zh-CN"/>
        </w:rPr>
        <w:t>13857413671</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质疑联系人：</w:t>
      </w:r>
      <w:r>
        <w:rPr>
          <w:rFonts w:hint="eastAsia" w:ascii="仿宋" w:hAnsi="仿宋" w:eastAsia="仿宋" w:cs="仿宋"/>
          <w:color w:val="auto"/>
          <w:sz w:val="24"/>
        </w:rPr>
        <w:t>单成燕</w:t>
      </w:r>
      <w:r>
        <w:rPr>
          <w:rFonts w:hint="eastAsia" w:ascii="仿宋" w:hAnsi="仿宋" w:eastAsia="仿宋" w:cs="仿宋"/>
          <w:sz w:val="24"/>
        </w:rPr>
        <w:t xml:space="preserve">         质疑联系方式：0571-86320727</w:t>
      </w:r>
      <w:r>
        <w:rPr>
          <w:rFonts w:hint="eastAsia" w:ascii="仿宋" w:hAnsi="仿宋" w:eastAsia="仿宋" w:cs="仿宋"/>
          <w:sz w:val="24"/>
          <w:lang w:eastAsia="zh-CN"/>
        </w:rPr>
        <w:t>、</w:t>
      </w:r>
      <w:r>
        <w:rPr>
          <w:rFonts w:hint="eastAsia" w:ascii="仿宋" w:hAnsi="仿宋" w:eastAsia="仿宋" w:cs="仿宋"/>
          <w:sz w:val="24"/>
          <w:lang w:val="en-US" w:eastAsia="zh-CN"/>
        </w:rPr>
        <w:t>18072887619</w:t>
      </w:r>
    </w:p>
    <w:p>
      <w:pPr>
        <w:spacing w:line="360" w:lineRule="auto"/>
        <w:rPr>
          <w:rFonts w:ascii="仿宋_GB2312" w:hAnsi="仿宋" w:eastAsia="仿宋_GB2312"/>
          <w:b/>
          <w:bCs/>
          <w:sz w:val="24"/>
        </w:rPr>
      </w:pPr>
      <w:r>
        <w:rPr>
          <w:rFonts w:hint="eastAsia" w:ascii="仿宋" w:hAnsi="仿宋" w:eastAsia="仿宋" w:cs="仿宋"/>
          <w:sz w:val="24"/>
        </w:rPr>
        <w:t xml:space="preserve"> </w:t>
      </w:r>
      <w:r>
        <w:rPr>
          <w:rFonts w:ascii="仿宋_GB2312" w:hAnsi="仿宋" w:eastAsia="仿宋_GB2312"/>
          <w:b/>
          <w:bCs/>
          <w:sz w:val="24"/>
        </w:rPr>
        <w:t xml:space="preserve">    </w:t>
      </w:r>
      <w:r>
        <w:rPr>
          <w:rFonts w:hint="eastAsia" w:ascii="仿宋_GB2312" w:hAnsi="仿宋" w:eastAsia="仿宋_GB2312"/>
          <w:b/>
          <w:bCs/>
          <w:sz w:val="24"/>
          <w:lang w:val="en-US" w:eastAsia="zh-CN"/>
        </w:rPr>
        <w:t>3</w:t>
      </w:r>
      <w:r>
        <w:rPr>
          <w:rFonts w:ascii="仿宋_GB2312" w:hAnsi="仿宋" w:eastAsia="仿宋_GB2312"/>
          <w:b/>
          <w:bCs/>
          <w:sz w:val="24"/>
        </w:rPr>
        <w:t xml:space="preserve">.同级政府采购监督管理部门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w:t>
      </w:r>
      <w:r>
        <w:rPr>
          <w:rFonts w:hint="eastAsia" w:ascii="仿宋" w:hAnsi="仿宋" w:eastAsia="仿宋" w:cs="仿宋"/>
          <w:sz w:val="24"/>
          <w:lang w:eastAsia="zh-CN"/>
        </w:rPr>
        <w:t>杭州市余杭区财政局</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地址：杭州市余杭区五常街道溪沁路8号中国电信浙江创新园1号楼。 </w:t>
      </w:r>
    </w:p>
    <w:p>
      <w:p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rPr>
        <w:t xml:space="preserve">  传真： </w:t>
      </w:r>
      <w:r>
        <w:rPr>
          <w:rFonts w:hint="eastAsia" w:ascii="仿宋" w:hAnsi="仿宋" w:eastAsia="仿宋" w:cs="仿宋"/>
          <w:sz w:val="24"/>
          <w:lang w:eastAsia="zh-CN"/>
        </w:rPr>
        <w:t>0571-88728858</w:t>
      </w:r>
    </w:p>
    <w:p>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eastAsia="zh-CN"/>
        </w:rPr>
        <w:t>杜国强</w:t>
      </w:r>
      <w:r>
        <w:rPr>
          <w:rFonts w:hint="eastAsia" w:ascii="仿宋" w:hAnsi="仿宋" w:eastAsia="仿宋" w:cs="仿宋"/>
          <w:sz w:val="24"/>
        </w:rPr>
        <w:t xml:space="preserve">    </w:t>
      </w:r>
    </w:p>
    <w:p>
      <w:pPr>
        <w:spacing w:line="360" w:lineRule="auto"/>
        <w:ind w:firstLine="480" w:firstLineChars="200"/>
        <w:rPr>
          <w:rFonts w:hint="eastAsia" w:ascii="仿宋_GB2312" w:hAnsi="仿宋" w:eastAsia="仿宋_GB2312"/>
          <w:sz w:val="24"/>
        </w:rPr>
      </w:pPr>
      <w:r>
        <w:rPr>
          <w:rFonts w:hint="eastAsia" w:ascii="仿宋" w:hAnsi="仿宋" w:eastAsia="仿宋" w:cs="仿宋"/>
          <w:sz w:val="24"/>
        </w:rPr>
        <w:t>监督投诉电话：</w:t>
      </w:r>
      <w:r>
        <w:rPr>
          <w:rFonts w:hint="eastAsia" w:ascii="仿宋" w:hAnsi="仿宋" w:eastAsia="仿宋" w:cs="仿宋"/>
          <w:sz w:val="24"/>
          <w:lang w:eastAsia="zh-CN"/>
        </w:rPr>
        <w:t>0571-88728858</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ind w:firstLine="480" w:firstLineChars="200"/>
        <w:jc w:val="center"/>
        <w:outlineLvl w:val="0"/>
        <w:rPr>
          <w:rFonts w:hint="eastAsia" w:ascii="仿宋_GB2312" w:hAnsi="仿宋" w:eastAsia="仿宋_GB2312" w:cs="Times New Roman"/>
          <w:b w:val="0"/>
          <w:sz w:val="24"/>
          <w:szCs w:val="24"/>
        </w:rPr>
      </w:pPr>
    </w:p>
    <w:p>
      <w:pPr>
        <w:pStyle w:val="34"/>
        <w:adjustRightInd/>
        <w:spacing w:line="360" w:lineRule="auto"/>
        <w:ind w:firstLine="0" w:firstLineChars="0"/>
        <w:jc w:val="center"/>
        <w:outlineLvl w:val="0"/>
        <w:rPr>
          <w:rFonts w:hint="eastAsia" w:ascii="仿宋" w:hAnsi="仿宋" w:eastAsia="仿宋" w:cs="仿宋_GB2312"/>
          <w:b/>
          <w:sz w:val="36"/>
          <w:szCs w:val="20"/>
        </w:rPr>
      </w:pPr>
    </w:p>
    <w:p>
      <w:pPr>
        <w:rPr>
          <w:rFonts w:hint="eastAsia" w:ascii="仿宋" w:hAnsi="仿宋" w:eastAsia="仿宋" w:cs="仿宋_GB2312"/>
          <w:b/>
          <w:sz w:val="36"/>
          <w:szCs w:val="20"/>
        </w:rPr>
      </w:pPr>
    </w:p>
    <w:p>
      <w:pPr>
        <w:rPr>
          <w:rFonts w:hint="eastAsia"/>
        </w:rPr>
      </w:pPr>
    </w:p>
    <w:p>
      <w:pPr>
        <w:pStyle w:val="34"/>
        <w:adjustRightInd/>
        <w:spacing w:line="360" w:lineRule="auto"/>
        <w:ind w:firstLine="0" w:firstLineChars="0"/>
        <w:jc w:val="center"/>
        <w:outlineLvl w:val="0"/>
        <w:rPr>
          <w:rFonts w:hint="eastAsia" w:ascii="仿宋" w:hAnsi="仿宋" w:eastAsia="仿宋" w:cs="仿宋_GB2312"/>
          <w:b/>
          <w:sz w:val="36"/>
          <w:szCs w:val="20"/>
        </w:rPr>
      </w:pPr>
    </w:p>
    <w:p>
      <w:pPr>
        <w:rPr>
          <w:rFonts w:hint="eastAsia"/>
        </w:rPr>
      </w:pPr>
    </w:p>
    <w:p>
      <w:pPr>
        <w:pStyle w:val="34"/>
        <w:adjustRightInd/>
        <w:spacing w:line="360" w:lineRule="auto"/>
        <w:ind w:firstLine="0" w:firstLineChars="0"/>
        <w:jc w:val="center"/>
        <w:outlineLvl w:val="0"/>
        <w:rPr>
          <w:rFonts w:hint="eastAsia" w:ascii="仿宋" w:hAnsi="仿宋" w:eastAsia="仿宋" w:cs="仿宋_GB2312"/>
          <w:b/>
          <w:sz w:val="36"/>
          <w:szCs w:val="20"/>
        </w:rPr>
      </w:pPr>
    </w:p>
    <w:p>
      <w:pPr>
        <w:pStyle w:val="34"/>
        <w:adjustRightInd/>
        <w:spacing w:line="360" w:lineRule="auto"/>
        <w:ind w:firstLine="0" w:firstLineChars="0"/>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hint="default" w:ascii="仿宋_GB2312" w:hAnsi="仿宋" w:eastAsia="仿宋_GB2312" w:cs="仿宋_GB2312"/>
                <w:b/>
                <w:kern w:val="0"/>
                <w:sz w:val="24"/>
                <w:lang w:val="en-US" w:eastAsia="zh-CN"/>
              </w:rPr>
            </w:pPr>
            <w:r>
              <w:rPr>
                <w:rFonts w:hint="eastAsia" w:ascii="仿宋_GB2312" w:hAnsi="仿宋" w:eastAsia="仿宋_GB2312" w:cs="仿宋_GB2312"/>
                <w:b/>
                <w:kern w:val="0"/>
                <w:sz w:val="24"/>
                <w:lang w:val="en-US" w:eastAsia="zh-CN"/>
              </w:rPr>
              <w:t>1.1</w:t>
            </w:r>
            <w:r>
              <w:rPr>
                <w:rFonts w:hint="eastAsia" w:ascii="仿宋" w:hAnsi="仿宋" w:eastAsia="仿宋" w:cs="仿宋"/>
                <w:bCs/>
                <w:color w:val="auto"/>
                <w:kern w:val="2"/>
                <w:sz w:val="24"/>
                <w:szCs w:val="24"/>
                <w:lang w:eastAsia="zh-CN"/>
              </w:rPr>
              <w:t>一年预算合计总额</w:t>
            </w:r>
            <w:r>
              <w:rPr>
                <w:rFonts w:hint="eastAsia" w:ascii="仿宋" w:hAnsi="仿宋" w:eastAsia="仿宋" w:cs="仿宋"/>
                <w:bCs/>
                <w:color w:val="auto"/>
                <w:kern w:val="2"/>
                <w:sz w:val="24"/>
                <w:szCs w:val="24"/>
                <w:lang w:val="en-US" w:eastAsia="zh-CN"/>
              </w:rPr>
              <w:t>3363000元，二年预算合计总额6726000元</w:t>
            </w:r>
            <w:r>
              <w:rPr>
                <w:rFonts w:hint="eastAsia" w:ascii="仿宋_GB2312" w:hAnsi="仿宋" w:eastAsia="仿宋_GB2312" w:cs="仿宋_GB2312"/>
                <w:b/>
                <w:kern w:val="0"/>
                <w:sz w:val="24"/>
                <w:lang w:val="en-US" w:eastAsia="zh-CN"/>
              </w:rPr>
              <w:t>；其中市政工程联合质量抽检费用约1723000元/年；房屋建筑工程监督检测费用约1640000元/年。</w:t>
            </w:r>
          </w:p>
          <w:p>
            <w:pPr>
              <w:snapToGrid w:val="0"/>
              <w:spacing w:line="360" w:lineRule="auto"/>
              <w:ind w:firstLine="241" w:firstLineChars="100"/>
              <w:jc w:val="left"/>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投标人针对本项目的投标报价不得超过上述每年采购预算金额和二年预算总额，否则其投标无效。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lang w:val="en-US" w:eastAsia="zh-CN"/>
              </w:rPr>
              <w:t>1.2</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hint="eastAsia" w:ascii="仿宋_GB2312" w:hAnsi="仿宋" w:eastAsia="仿宋_GB2312"/>
                <w:b/>
                <w:sz w:val="24"/>
              </w:rPr>
            </w:pPr>
            <w:r>
              <w:rPr>
                <w:rFonts w:hint="eastAsia" w:ascii="仿宋_GB2312" w:hAnsi="仿宋" w:eastAsia="仿宋_GB2312" w:cs="Arial"/>
                <w:b/>
                <w:kern w:val="0"/>
                <w:sz w:val="24"/>
                <w:lang w:val="en-US" w:eastAsia="zh-CN"/>
              </w:rPr>
              <w:t>1.3</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lang w:val="en-US" w:eastAsia="zh-CN"/>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ind w:firstLine="480" w:firstLineChars="200"/>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sz w:val="24"/>
                <w:lang w:val="en-US" w:eastAsia="zh-CN"/>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r>
              <w:rPr>
                <w:rFonts w:hint="eastAsia" w:ascii="仿宋_GB2312" w:hAnsi="仿宋" w:eastAsia="仿宋_GB2312"/>
                <w:sz w:val="24"/>
                <w:lang w:eastAsia="zh-CN"/>
              </w:rPr>
              <w:t>自行踏勘，安全责任自负。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sz w:val="24"/>
                <w:lang w:val="en-US" w:eastAsia="zh-CN"/>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r>
              <w:rPr>
                <w:rFonts w:hint="eastAsia" w:ascii="仿宋_GB2312" w:hAnsi="仿宋" w:eastAsia="仿宋_GB2312"/>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_GB2312" w:hAnsi="仿宋" w:eastAsia="仿宋_GB2312"/>
                <w:b/>
                <w:sz w:val="24"/>
                <w:lang w:val="en-US" w:eastAsia="zh-CN"/>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w:t>
            </w:r>
            <w:r>
              <w:rPr>
                <w:rFonts w:hint="eastAsia" w:ascii="仿宋_GB2312" w:hAnsi="仿宋" w:eastAsia="仿宋_GB2312"/>
                <w:kern w:val="0"/>
                <w:sz w:val="24"/>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kern w:val="0"/>
                <w:sz w:val="24"/>
                <w:lang w:val="zh-CN"/>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cs="Arial"/>
                <w:kern w:val="0"/>
                <w:sz w:val="24"/>
                <w:lang w:eastAsia="zh-CN"/>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w:t>
            </w:r>
            <w:r>
              <w:rPr>
                <w:rFonts w:hint="eastAsia" w:ascii="仿宋_GB2312" w:hAnsi="仿宋" w:eastAsia="仿宋_GB2312"/>
                <w:sz w:val="24"/>
                <w:lang w:eastAsia="zh-CN"/>
              </w:rPr>
              <w:t>项目不采用。</w:t>
            </w:r>
          </w:p>
          <w:p>
            <w:pPr>
              <w:keepNext w:val="0"/>
              <w:keepLines w:val="0"/>
              <w:pageBreakBefore w:val="0"/>
              <w:widowControl w:val="0"/>
              <w:kinsoku/>
              <w:wordWrap/>
              <w:overflowPunct/>
              <w:topLinePunct w:val="0"/>
              <w:autoSpaceDE/>
              <w:autoSpaceDN/>
              <w:bidi w:val="0"/>
              <w:adjustRightInd w:val="0"/>
              <w:snapToGrid/>
              <w:spacing w:line="360"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40" w:firstLineChars="100"/>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本次采购为专门面向中小企业预留采购份额的采购项目。</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40" w:firstLineChars="100"/>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本采购文件所称中小企业，是指在中华人民共和国境内依法设立，依据国务院批准的中小企业划分标准确定的中型企业、小型企业和微型企业，但与大企业的负责人为同一人， 或者与大企业存在直接控股、管理关系的除外。</w:t>
            </w:r>
          </w:p>
          <w:p>
            <w:pPr>
              <w:pStyle w:val="618"/>
              <w:keepNext w:val="0"/>
              <w:keepLines w:val="0"/>
              <w:pageBreakBefore w:val="0"/>
              <w:widowControl w:val="0"/>
              <w:tabs>
                <w:tab w:val="left" w:pos="1070"/>
              </w:tabs>
              <w:kinsoku/>
              <w:wordWrap/>
              <w:overflowPunct/>
              <w:topLinePunct w:val="0"/>
              <w:autoSpaceDE/>
              <w:autoSpaceDN/>
              <w:bidi w:val="0"/>
              <w:spacing w:line="240" w:lineRule="auto"/>
              <w:ind w:right="52" w:firstLine="240" w:firstLineChars="100"/>
              <w:jc w:val="left"/>
              <w:textAlignment w:val="auto"/>
              <w:rPr>
                <w:rFonts w:hint="eastAsia" w:ascii="仿宋_GB2312" w:hAnsi="仿宋_GB2312" w:eastAsia="仿宋_GB2312" w:cs="仿宋_GB2312"/>
                <w:spacing w:val="-7"/>
                <w:sz w:val="24"/>
                <w:szCs w:val="24"/>
                <w:u w:val="single"/>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 xml:space="preserve">本次采购标的为 </w:t>
            </w:r>
            <w:r>
              <w:rPr>
                <w:rFonts w:hint="eastAsia" w:ascii="仿宋_GB2312" w:hAnsi="仿宋_GB2312" w:eastAsia="仿宋_GB2312" w:cs="仿宋_GB2312"/>
                <w:b/>
                <w:bCs/>
                <w:color w:val="000000"/>
                <w:kern w:val="0"/>
                <w:sz w:val="24"/>
                <w:szCs w:val="24"/>
                <w:u w:val="single"/>
                <w:lang w:eastAsia="zh-CN"/>
              </w:rPr>
              <w:t>余杭区市政工程联合质量抽检、房屋建筑工程监督检测项目</w:t>
            </w:r>
            <w:r>
              <w:rPr>
                <w:rFonts w:hint="eastAsia" w:ascii="仿宋_GB2312" w:hAnsi="仿宋_GB2312" w:eastAsia="仿宋_GB2312" w:cs="仿宋_GB2312"/>
                <w:color w:val="000000"/>
                <w:kern w:val="0"/>
                <w:sz w:val="24"/>
                <w:szCs w:val="24"/>
                <w:lang w:eastAsia="zh-CN"/>
              </w:rPr>
              <w:t>，对应的中小企业划分标准所属行业是：</w:t>
            </w:r>
            <w:r>
              <w:rPr>
                <w:rFonts w:hint="eastAsia" w:ascii="仿宋_GB2312" w:hAnsi="仿宋_GB2312" w:eastAsia="仿宋_GB2312" w:cs="仿宋_GB2312"/>
                <w:b/>
                <w:bCs/>
                <w:spacing w:val="-7"/>
                <w:sz w:val="24"/>
                <w:szCs w:val="24"/>
                <w:u w:val="single"/>
                <w:lang w:val="en-US" w:eastAsia="zh-CN"/>
              </w:rPr>
              <w:t>其他未列明行业</w:t>
            </w:r>
            <w:r>
              <w:rPr>
                <w:rFonts w:hint="eastAsia" w:ascii="仿宋_GB2312" w:hAnsi="仿宋_GB2312" w:eastAsia="仿宋_GB2312" w:cs="仿宋_GB2312"/>
                <w:spacing w:val="-7"/>
                <w:sz w:val="24"/>
                <w:szCs w:val="24"/>
                <w:u w:val="single"/>
              </w:rPr>
              <w:t>；</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hint="eastAsia" w:ascii="宋体" w:hAnsi="宋体" w:cs="宋体"/>
                <w:b/>
                <w:bCs/>
                <w:sz w:val="24"/>
                <w:shd w:val="clear" w:color="auto" w:fill="FFFFFF"/>
                <w:lang w:val="zh-CN" w:bidi="zh-CN"/>
              </w:rPr>
            </w:pPr>
            <w:r>
              <w:rPr>
                <w:sz w:val="24"/>
                <w:lang w:val="en-US" w:bidi="ar-SA"/>
              </w:rPr>
              <w:drawing>
                <wp:anchor distT="0" distB="0" distL="0" distR="0" simplePos="0" relativeHeight="251666432" behindDoc="1" locked="0" layoutInCell="1" allowOverlap="1">
                  <wp:simplePos x="0" y="0"/>
                  <wp:positionH relativeFrom="column">
                    <wp:posOffset>-5080</wp:posOffset>
                  </wp:positionH>
                  <wp:positionV relativeFrom="paragraph">
                    <wp:posOffset>212725</wp:posOffset>
                  </wp:positionV>
                  <wp:extent cx="3813810" cy="492760"/>
                  <wp:effectExtent l="0" t="0" r="11430" b="10160"/>
                  <wp:wrapTight wrapText="bothSides">
                    <wp:wrapPolygon>
                      <wp:start x="0" y="0"/>
                      <wp:lineTo x="0" y="20709"/>
                      <wp:lineTo x="21492" y="20709"/>
                      <wp:lineTo x="21492"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drawing>
                <wp:inline distT="0" distB="0" distL="114300" distR="114300">
                  <wp:extent cx="3805555" cy="338455"/>
                  <wp:effectExtent l="0" t="0" r="4445" b="1206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6"/>
                          <a:stretch>
                            <a:fillRect/>
                          </a:stretch>
                        </pic:blipFill>
                        <pic:spPr>
                          <a:xfrm>
                            <a:off x="0" y="0"/>
                            <a:ext cx="3805555" cy="338455"/>
                          </a:xfrm>
                          <a:prstGeom prst="rect">
                            <a:avLst/>
                          </a:prstGeom>
                          <a:noFill/>
                          <a:ln>
                            <a:noFill/>
                          </a:ln>
                        </pic:spPr>
                      </pic:pic>
                    </a:graphicData>
                  </a:graphic>
                </wp:inline>
              </w:drawing>
            </w:r>
            <w:r>
              <w:rPr>
                <w:rFonts w:hint="eastAsia" w:ascii="宋体" w:hAnsi="宋体" w:cs="宋体"/>
                <w:b/>
                <w:bCs/>
                <w:sz w:val="24"/>
                <w:shd w:val="clear" w:color="auto" w:fill="FFFFFF"/>
                <w:lang w:val="zh-CN" w:bidi="zh-CN"/>
              </w:rPr>
              <w:t>说明： 　　</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4"/>
                <w:shd w:val="clear" w:color="auto" w:fill="FFFFFF"/>
                <w:lang w:val="zh-CN" w:bidi="zh-CN"/>
              </w:rPr>
              <w:t> </w:t>
            </w:r>
            <w:r>
              <w:rPr>
                <w:rFonts w:hint="eastAsia" w:ascii="宋体" w:hAnsi="宋体" w:cs="宋体"/>
                <w:b/>
                <w:bCs/>
                <w:sz w:val="21"/>
                <w:szCs w:val="21"/>
                <w:shd w:val="clear" w:color="auto" w:fill="FFFFFF"/>
                <w:lang w:val="zh-CN" w:bidi="zh-CN"/>
              </w:rPr>
              <w:t>1.大型、中型和小型企业须同时满足所列指标的下限，否则下划一档；微型企业只须满足所列指标中的一项即可。 　　</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2.附表中各行业的范围以《国民经济行业分类》（GB/T4754-2017）为准。</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3.企业划分指标以现行统计制度为准。</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1）从业人员，是指期末从业人员数，没有期末从业人员数的，采用全年平均人员数代替。</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szCs w:val="21"/>
              </w:rPr>
            </w:pPr>
            <w:r>
              <w:rPr>
                <w:rFonts w:hint="eastAsia" w:ascii="宋体" w:hAnsi="宋体" w:cs="宋体"/>
                <w:b/>
                <w:bCs/>
                <w:sz w:val="21"/>
                <w:szCs w:val="21"/>
                <w:shd w:val="clear" w:color="auto" w:fill="FFFFFF"/>
                <w:lang w:val="zh-CN" w:bidi="zh-CN"/>
              </w:rPr>
              <w:t> 3）资产总额，采用资产总计代替。</w:t>
            </w:r>
          </w:p>
          <w:p>
            <w:pPr>
              <w:pStyle w:val="618"/>
              <w:keepNext w:val="0"/>
              <w:keepLines w:val="0"/>
              <w:pageBreakBefore w:val="0"/>
              <w:widowControl w:val="0"/>
              <w:tabs>
                <w:tab w:val="left" w:pos="1070"/>
              </w:tabs>
              <w:kinsoku/>
              <w:wordWrap/>
              <w:overflowPunct/>
              <w:topLinePunct w:val="0"/>
              <w:autoSpaceDE/>
              <w:autoSpaceDN/>
              <w:bidi w:val="0"/>
              <w:snapToGrid/>
              <w:spacing w:line="288" w:lineRule="auto"/>
              <w:ind w:right="52" w:firstLine="236"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rPr>
              <w:t>符合小微企业划分标准的个体工商户，视同小微企业</w:t>
            </w:r>
            <w:r>
              <w:rPr>
                <w:rFonts w:hint="eastAsia" w:ascii="仿宋_GB2312" w:hAnsi="仿宋_GB2312" w:eastAsia="仿宋_GB2312" w:cs="仿宋_GB2312"/>
                <w:spacing w:val="-13"/>
                <w:sz w:val="24"/>
                <w:szCs w:val="24"/>
              </w:rPr>
              <w:t>。</w:t>
            </w:r>
          </w:p>
          <w:p>
            <w:pPr>
              <w:pStyle w:val="618"/>
              <w:tabs>
                <w:tab w:val="left" w:pos="1070"/>
              </w:tabs>
              <w:spacing w:line="360" w:lineRule="auto"/>
              <w:ind w:right="52"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(5)</w:t>
            </w:r>
            <w:r>
              <w:rPr>
                <w:rFonts w:hint="eastAsia" w:ascii="仿宋_GB2312" w:hAnsi="仿宋_GB2312" w:eastAsia="仿宋_GB2312" w:cs="仿宋_GB2312"/>
                <w:sz w:val="24"/>
                <w:szCs w:val="24"/>
              </w:rPr>
              <w:t>参加本次采购活动的供应商（服务承接商）为小微企业的，其报价</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予扣除</w:t>
            </w:r>
            <w:r>
              <w:rPr>
                <w:rFonts w:hint="eastAsia" w:ascii="仿宋_GB2312" w:hAnsi="仿宋_GB2312" w:eastAsia="仿宋_GB2312" w:cs="仿宋_GB2312"/>
                <w:sz w:val="24"/>
                <w:szCs w:val="24"/>
                <w:lang w:eastAsia="zh-CN"/>
              </w:rPr>
              <w:t>评审。</w:t>
            </w:r>
          </w:p>
          <w:p>
            <w:pPr>
              <w:pStyle w:val="618"/>
              <w:tabs>
                <w:tab w:val="left" w:pos="1070"/>
              </w:tabs>
              <w:spacing w:line="360" w:lineRule="auto"/>
              <w:ind w:right="52" w:firstLine="240" w:firstLineChars="100"/>
              <w:jc w:val="left"/>
              <w:rPr>
                <w:rFonts w:hint="eastAsia" w:ascii="仿宋_GB2312" w:hAnsi="仿宋_GB2312" w:eastAsia="仿宋_GB2312" w:cs="仿宋_GB2312"/>
                <w:bCs/>
                <w:color w:val="000000"/>
                <w:kern w:val="10"/>
                <w:sz w:val="24"/>
                <w:szCs w:val="24"/>
              </w:rPr>
            </w:pPr>
            <w:r>
              <w:rPr>
                <w:rFonts w:hint="eastAsia" w:ascii="仿宋_GB2312" w:hAnsi="仿宋_GB2312" w:eastAsia="仿宋_GB2312" w:cs="仿宋_GB2312"/>
                <w:bCs/>
                <w:color w:val="000000"/>
                <w:kern w:val="10"/>
                <w:sz w:val="24"/>
                <w:szCs w:val="24"/>
                <w:lang w:val="en-US"/>
              </w:rPr>
              <w:t>(</w:t>
            </w:r>
            <w:r>
              <w:rPr>
                <w:rFonts w:hint="eastAsia" w:ascii="仿宋_GB2312" w:hAnsi="仿宋_GB2312" w:eastAsia="仿宋_GB2312" w:cs="仿宋_GB2312"/>
                <w:bCs/>
                <w:color w:val="000000"/>
                <w:kern w:val="10"/>
                <w:sz w:val="24"/>
                <w:szCs w:val="24"/>
                <w:lang w:val="en-US" w:eastAsia="zh-CN"/>
              </w:rPr>
              <w:t>6</w:t>
            </w:r>
            <w:r>
              <w:rPr>
                <w:rFonts w:hint="eastAsia" w:ascii="仿宋_GB2312" w:hAnsi="仿宋_GB2312" w:eastAsia="仿宋_GB2312" w:cs="仿宋_GB2312"/>
                <w:bCs/>
                <w:color w:val="000000"/>
                <w:kern w:val="10"/>
                <w:sz w:val="24"/>
                <w:szCs w:val="24"/>
                <w:lang w:val="en-US"/>
              </w:rPr>
              <w:t>)</w:t>
            </w:r>
            <w:r>
              <w:rPr>
                <w:rFonts w:hint="eastAsia" w:ascii="仿宋_GB2312" w:hAnsi="仿宋_GB2312" w:eastAsia="仿宋_GB2312" w:cs="仿宋_GB2312"/>
                <w:bCs/>
                <w:color w:val="000000"/>
                <w:kern w:val="10"/>
                <w:sz w:val="24"/>
                <w:szCs w:val="24"/>
                <w:lang w:val="en-US" w:eastAsia="zh-CN"/>
              </w:rPr>
              <w:t>中</w:t>
            </w:r>
            <w:r>
              <w:rPr>
                <w:rFonts w:hint="eastAsia" w:ascii="仿宋_GB2312" w:hAnsi="仿宋_GB2312" w:eastAsia="仿宋_GB2312" w:cs="仿宋_GB2312"/>
                <w:bCs/>
                <w:color w:val="000000"/>
                <w:kern w:val="10"/>
                <w:sz w:val="24"/>
                <w:szCs w:val="24"/>
              </w:rPr>
              <w:t>小微企业参加政府采购活动，应当出具《中小企业声明函》，否则</w:t>
            </w:r>
            <w:r>
              <w:rPr>
                <w:rFonts w:hint="eastAsia" w:ascii="仿宋_GB2312" w:hAnsi="仿宋_GB2312" w:eastAsia="仿宋_GB2312" w:cs="仿宋_GB2312"/>
                <w:bCs/>
                <w:color w:val="000000"/>
                <w:kern w:val="10"/>
                <w:sz w:val="24"/>
                <w:szCs w:val="24"/>
                <w:lang w:eastAsia="zh-CN"/>
              </w:rPr>
              <w:t>投标无效</w:t>
            </w:r>
            <w:r>
              <w:rPr>
                <w:rFonts w:hint="eastAsia" w:ascii="仿宋_GB2312" w:hAnsi="仿宋_GB2312" w:eastAsia="仿宋_GB2312" w:cs="仿宋_GB2312"/>
                <w:bCs/>
                <w:color w:val="000000"/>
                <w:kern w:val="10"/>
                <w:sz w:val="24"/>
                <w:szCs w:val="24"/>
              </w:rPr>
              <w:t>。</w:t>
            </w:r>
          </w:p>
          <w:p>
            <w:pPr>
              <w:keepNext w:val="0"/>
              <w:keepLines w:val="0"/>
              <w:pageBreakBefore w:val="0"/>
              <w:widowControl w:val="0"/>
              <w:kinsoku/>
              <w:wordWrap/>
              <w:overflowPunct/>
              <w:topLinePunct w:val="0"/>
              <w:autoSpaceDE/>
              <w:autoSpaceDN/>
              <w:bidi w:val="0"/>
              <w:snapToGrid/>
              <w:spacing w:line="288" w:lineRule="auto"/>
              <w:ind w:firstLine="238" w:firstLineChars="100"/>
              <w:textAlignment w:val="auto"/>
              <w:rPr>
                <w:lang w:val="en-US"/>
              </w:rPr>
            </w:pP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rPr>
              <w:t xml:space="preserve">监狱企业和残疾人福利性单位视同小型、微型企业， </w:t>
            </w:r>
            <w:r>
              <w:rPr>
                <w:rFonts w:hint="eastAsia" w:ascii="仿宋_GB2312" w:hAnsi="仿宋_GB2312" w:eastAsia="仿宋_GB2312" w:cs="仿宋_GB2312"/>
                <w:sz w:val="24"/>
                <w:szCs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szCs w:val="24"/>
              </w:rPr>
              <w:t>疾人联合会关于促进残疾人就业政府采购政策的通知》</w:t>
            </w:r>
            <w:r>
              <w:rPr>
                <w:rFonts w:hint="eastAsia" w:ascii="仿宋_GB2312" w:hAnsi="仿宋_GB2312" w:eastAsia="仿宋_GB2312" w:cs="仿宋_GB2312"/>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_GB2312" w:hAnsi="仿宋_GB2312" w:eastAsia="仿宋_GB2312" w:cs="仿宋_GB2312"/>
                <w:snapToGrid w:val="0"/>
                <w:color w:val="000000" w:themeColor="text1"/>
                <w:kern w:val="28"/>
                <w:sz w:val="24"/>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sz w:val="24"/>
                <w:u w:val="single"/>
              </w:rPr>
              <w:t xml:space="preserve">  密封包装后（建议顺丰邮寄形式）投标截止时间前递交、一份（邮寄地址：</w:t>
            </w:r>
            <w:r>
              <w:rPr>
                <w:rFonts w:hint="eastAsia" w:ascii="宋体" w:hAnsi="宋体" w:cs="宋体"/>
                <w:sz w:val="24"/>
              </w:rPr>
              <w:t>杭州市余杭区联创街77号汇银中心3幢2单元</w:t>
            </w:r>
            <w:r>
              <w:rPr>
                <w:rFonts w:hint="eastAsia" w:ascii="宋体" w:hAnsi="宋体" w:cs="宋体"/>
                <w:sz w:val="24"/>
                <w:lang w:val="en-US"/>
              </w:rPr>
              <w:t>3楼办公室</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lang w:val="en-US" w:eastAsia="zh-CN"/>
              </w:rPr>
              <w:t>刘瑶</w:t>
            </w:r>
            <w:r>
              <w:rPr>
                <w:rFonts w:hint="eastAsia" w:ascii="仿宋_GB2312" w:hAnsi="仿宋_GB2312" w:eastAsia="仿宋_GB2312" w:cs="仿宋_GB2312"/>
                <w:sz w:val="24"/>
                <w:u w:val="single"/>
              </w:rPr>
              <w:t>收，</w:t>
            </w:r>
            <w:r>
              <w:rPr>
                <w:rFonts w:hint="eastAsia" w:ascii="仿宋_GB2312" w:hAnsi="仿宋_GB2312" w:eastAsia="仿宋_GB2312" w:cs="仿宋_GB2312"/>
                <w:sz w:val="24"/>
                <w:u w:val="single"/>
                <w:lang w:val="en-US" w:eastAsia="zh-CN"/>
              </w:rPr>
              <w:t>13857413671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bCs/>
                <w:color w:val="000000"/>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numPr>
                <w:ilvl w:val="0"/>
                <w:numId w:val="0"/>
              </w:numPr>
              <w:tabs>
                <w:tab w:val="left" w:pos="706"/>
                <w:tab w:val="clear" w:pos="432"/>
              </w:tabs>
              <w:ind w:left="0" w:leftChars="0" w:firstLine="0" w:firstLineChars="0"/>
              <w:rPr>
                <w:rFonts w:hint="eastAsia" w:ascii="仿宋_GB2312" w:hAnsi="仿宋_GB2312" w:eastAsia="仿宋_GB2312" w:cs="仿宋_GB2312"/>
                <w:sz w:val="21"/>
                <w:szCs w:val="24"/>
                <w:lang w:val="en-US" w:eastAsia="zh-CN"/>
              </w:rPr>
            </w:pPr>
            <w:r>
              <w:rPr>
                <w:rFonts w:hint="eastAsia" w:ascii="仿宋_GB2312" w:hAnsi="仿宋_GB2312" w:eastAsia="仿宋_GB2312" w:cs="仿宋_GB2312"/>
                <w:sz w:val="24"/>
                <w:szCs w:val="24"/>
                <w:lang w:val="en-US" w:eastAsia="zh-CN"/>
              </w:rPr>
              <w:t>本项目的招标代理费用由中标单位支付，代理费用付款按《招标代理服务收费管理暂行办法》的通知（计价格[2002]1980号）文件</w:t>
            </w:r>
            <w:r>
              <w:rPr>
                <w:rFonts w:hint="eastAsia" w:hAnsi="仿宋_GB2312" w:cs="仿宋_GB2312"/>
                <w:sz w:val="24"/>
                <w:szCs w:val="24"/>
                <w:lang w:val="en-US" w:eastAsia="zh-CN"/>
              </w:rPr>
              <w:t>八</w:t>
            </w:r>
            <w:r>
              <w:rPr>
                <w:rFonts w:hint="eastAsia" w:ascii="仿宋_GB2312" w:hAnsi="仿宋_GB2312" w:eastAsia="仿宋_GB2312" w:cs="仿宋_GB2312"/>
                <w:sz w:val="24"/>
                <w:szCs w:val="24"/>
                <w:lang w:val="en-US" w:eastAsia="zh-CN"/>
              </w:rPr>
              <w:t>折计取，付款基数为</w:t>
            </w:r>
            <w:r>
              <w:rPr>
                <w:rFonts w:hint="eastAsia" w:hAnsi="仿宋_GB2312" w:cs="仿宋_GB2312"/>
                <w:sz w:val="24"/>
                <w:szCs w:val="24"/>
                <w:lang w:val="en-US" w:eastAsia="zh-CN"/>
              </w:rPr>
              <w:t>二年</w:t>
            </w:r>
            <w:r>
              <w:rPr>
                <w:rFonts w:hint="eastAsia" w:ascii="仿宋_GB2312" w:hAnsi="仿宋_GB2312" w:eastAsia="仿宋_GB2312" w:cs="仿宋_GB2312"/>
                <w:sz w:val="24"/>
                <w:szCs w:val="24"/>
                <w:lang w:val="en-US" w:eastAsia="zh-CN"/>
              </w:rPr>
              <w:t>预算</w:t>
            </w:r>
            <w:r>
              <w:rPr>
                <w:rFonts w:hint="eastAsia" w:hAnsi="仿宋_GB2312" w:cs="仿宋_GB2312"/>
                <w:sz w:val="24"/>
                <w:szCs w:val="24"/>
                <w:lang w:val="en-US" w:eastAsia="zh-CN"/>
              </w:rPr>
              <w:t>总</w:t>
            </w:r>
            <w:r>
              <w:rPr>
                <w:rFonts w:hint="eastAsia" w:ascii="仿宋_GB2312" w:hAnsi="仿宋_GB2312" w:eastAsia="仿宋_GB2312" w:cs="仿宋_GB2312"/>
                <w:sz w:val="24"/>
                <w:szCs w:val="24"/>
                <w:lang w:val="en-US" w:eastAsia="zh-CN"/>
              </w:rPr>
              <w:t>金额，直接支付给分散采购招标代理单位，投标人在报价时应综合考虑该笔费用，但不单列进投标总价</w:t>
            </w:r>
            <w:r>
              <w:rPr>
                <w:rFonts w:hint="eastAsia" w:ascii="仿宋_GB2312" w:hAnsi="仿宋_GB2312" w:eastAsia="仿宋_GB2312" w:cs="仿宋_GB2312"/>
                <w:sz w:val="21"/>
                <w:szCs w:val="24"/>
                <w:lang w:val="en-US" w:eastAsia="zh-CN"/>
              </w:rPr>
              <w:t>。</w:t>
            </w:r>
          </w:p>
          <w:p>
            <w:pPr>
              <w:pStyle w:val="2"/>
              <w:numPr>
                <w:ilvl w:val="0"/>
                <w:numId w:val="0"/>
              </w:numPr>
              <w:tabs>
                <w:tab w:val="left" w:pos="706"/>
                <w:tab w:val="clear" w:pos="432"/>
              </w:tabs>
              <w:ind w:left="0" w:leftChars="0" w:firstLine="0" w:firstLineChars="0"/>
              <w:rPr>
                <w:rFonts w:hint="eastAsia" w:ascii="仿宋_GB2312" w:hAnsi="仿宋_GB2312" w:eastAsia="仿宋_GB2312" w:cs="仿宋_GB2312"/>
                <w:sz w:val="21"/>
                <w:szCs w:val="24"/>
                <w:lang w:val="en-US" w:eastAsia="zh-CN"/>
              </w:rPr>
            </w:pPr>
            <w:r>
              <w:rPr>
                <w:rFonts w:hint="eastAsia" w:hAnsi="仿宋_GB2312" w:cs="仿宋_GB2312"/>
                <w:sz w:val="24"/>
                <w:szCs w:val="24"/>
                <w:lang w:val="en-US"/>
              </w:rPr>
              <w:drawing>
                <wp:anchor distT="0" distB="0" distL="114300" distR="114300" simplePos="0" relativeHeight="251671552" behindDoc="0" locked="0" layoutInCell="1" allowOverlap="1">
                  <wp:simplePos x="0" y="0"/>
                  <wp:positionH relativeFrom="column">
                    <wp:posOffset>104140</wp:posOffset>
                  </wp:positionH>
                  <wp:positionV relativeFrom="paragraph">
                    <wp:posOffset>120650</wp:posOffset>
                  </wp:positionV>
                  <wp:extent cx="3423285" cy="1569720"/>
                  <wp:effectExtent l="0" t="0" r="5715" b="1143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3423285" cy="1569720"/>
                          </a:xfrm>
                          <a:prstGeom prst="rect">
                            <a:avLst/>
                          </a:prstGeom>
                          <a:noFill/>
                          <a:ln>
                            <a:noFill/>
                          </a:ln>
                        </pic:spPr>
                      </pic:pic>
                    </a:graphicData>
                  </a:graphic>
                </wp:anchor>
              </w:drawing>
            </w:r>
          </w:p>
          <w:p>
            <w:pPr>
              <w:pStyle w:val="2"/>
              <w:numPr>
                <w:ilvl w:val="0"/>
                <w:numId w:val="0"/>
              </w:numPr>
              <w:tabs>
                <w:tab w:val="left" w:pos="706"/>
                <w:tab w:val="clear" w:pos="432"/>
              </w:tabs>
              <w:ind w:left="0" w:leftChars="0" w:firstLine="0" w:firstLineChars="0"/>
              <w:rPr>
                <w:rFonts w:hint="eastAsia" w:ascii="仿宋_GB2312" w:hAnsi="仿宋_GB2312" w:eastAsia="仿宋_GB2312" w:cs="仿宋_GB2312"/>
                <w:sz w:val="21"/>
                <w:szCs w:val="24"/>
                <w:lang w:val="en-US" w:eastAsia="zh-CN"/>
              </w:rPr>
            </w:pPr>
          </w:p>
        </w:tc>
      </w:tr>
    </w:tbl>
    <w:p>
      <w:pPr>
        <w:pStyle w:val="23"/>
      </w:pPr>
    </w:p>
    <w:bookmarkEnd w:id="10"/>
    <w:p>
      <w:pPr>
        <w:adjustRightInd/>
        <w:spacing w:line="240" w:lineRule="auto"/>
        <w:jc w:val="left"/>
        <w:outlineLvl w:val="9"/>
        <w:rPr>
          <w:rFonts w:hint="eastAsia"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br w:type="page"/>
      </w:r>
    </w:p>
    <w:p>
      <w:pPr>
        <w:adjustRightInd/>
        <w:spacing w:line="360" w:lineRule="auto"/>
        <w:jc w:val="center"/>
        <w:outlineLvl w:val="0"/>
        <w:rPr>
          <w:rFonts w:hint="default" w:ascii="仿宋_GB2312" w:hAnsi="仿宋" w:eastAsia="仿宋_GB2312" w:cs="仿宋_GB2312"/>
          <w:b/>
          <w:sz w:val="32"/>
          <w:szCs w:val="20"/>
          <w:lang w:val="en-US" w:eastAsia="zh-CN"/>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_GB2312" w:hAnsi="仿宋" w:eastAsia="仿宋_GB2312"/>
          <w:b/>
          <w:sz w:val="24"/>
          <w:lang w:eastAsia="zh-CN"/>
        </w:rPr>
        <w:t>（本项目服务采购，不采用）</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本项目不适用</w:t>
      </w:r>
      <w:r>
        <w:rPr>
          <w:rFonts w:hint="eastAsia" w:ascii="仿宋_GB2312" w:hAnsi="宋体" w:eastAsia="仿宋_GB2312" w:cs="宋体"/>
          <w:kern w:val="0"/>
          <w:sz w:val="24"/>
          <w:lang w:eastAsia="zh-CN"/>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3.3.3</w:t>
      </w: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14:textFill>
            <w14:solidFill>
              <w14:schemeClr w14:val="tx1"/>
            </w14:solidFill>
          </w14:textFill>
        </w:rPr>
        <w:t>10%的扣除，用扣除后的价格参与评审。</w:t>
      </w:r>
    </w:p>
    <w:p>
      <w:pPr>
        <w:spacing w:line="360" w:lineRule="auto"/>
        <w:ind w:firstLine="482" w:firstLineChars="200"/>
        <w:rPr>
          <w:rFonts w:ascii="仿宋_GB2312" w:hAnsi="仿宋" w:eastAsia="仿宋_GB2312"/>
          <w:b/>
          <w:bCs/>
          <w:color w:val="C00000"/>
          <w:sz w:val="24"/>
        </w:rPr>
      </w:pPr>
      <w:r>
        <w:rPr>
          <w:rFonts w:hint="eastAsia" w:ascii="仿宋_GB2312" w:hAnsi="仿宋" w:eastAsia="仿宋_GB2312"/>
          <w:b/>
          <w:bCs/>
          <w:color w:val="C00000"/>
          <w:sz w:val="24"/>
        </w:rPr>
        <w:t>对于预留份额专门面向中小企业的政府采购货物或服务项目，对小型和微型企业的投标报价</w:t>
      </w:r>
      <w:r>
        <w:rPr>
          <w:rFonts w:hint="eastAsia" w:ascii="仿宋_GB2312" w:hAnsi="仿宋" w:eastAsia="仿宋_GB2312"/>
          <w:b/>
          <w:bCs/>
          <w:color w:val="C00000"/>
          <w:sz w:val="24"/>
          <w:lang w:eastAsia="zh-CN"/>
        </w:rPr>
        <w:t>不予以扣除评审</w:t>
      </w:r>
      <w:r>
        <w:rPr>
          <w:rFonts w:ascii="仿宋_GB2312" w:hAnsi="仿宋" w:eastAsia="仿宋_GB2312"/>
          <w:b/>
          <w:bCs/>
          <w:color w:val="C00000"/>
          <w:sz w:val="24"/>
        </w:rPr>
        <w:t>。</w:t>
      </w:r>
    </w:p>
    <w:p>
      <w:pPr>
        <w:widowControl/>
        <w:spacing w:line="360" w:lineRule="auto"/>
        <w:ind w:firstLine="480" w:firstLineChars="200"/>
        <w:jc w:val="left"/>
        <w:rPr>
          <w:rFonts w:hint="eastAsia" w:ascii="仿宋_GB2312" w:hAnsi="宋体" w:eastAsia="仿宋_GB2312" w:cs="宋体"/>
          <w:kern w:val="0"/>
          <w:sz w:val="24"/>
          <w:lang w:eastAsia="zh-CN"/>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本项目不适用</w:t>
      </w:r>
      <w:r>
        <w:rPr>
          <w:rFonts w:hint="eastAsia" w:ascii="仿宋_GB2312" w:hAnsi="宋体" w:eastAsia="仿宋_GB2312" w:cs="宋体"/>
          <w:kern w:val="0"/>
          <w:sz w:val="24"/>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3.3.7中小企业享受扶持政策获得政府采购合同的，小微企业不得将合同分包给大中型企业，中型企业不得将合同分包给大型企业</w:t>
      </w:r>
      <w:r>
        <w:rPr>
          <w:rFonts w:hint="eastAsia" w:ascii="仿宋_GB2312" w:hAnsi="仿宋" w:eastAsia="仿宋_GB2312"/>
          <w:b/>
          <w:bCs/>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r>
        <w:rPr>
          <w:rFonts w:ascii="仿宋_GB2312" w:hAnsi="仿宋" w:eastAsia="仿宋_GB2312"/>
          <w:color w:val="000000" w:themeColor="text1"/>
          <w:sz w:val="24"/>
          <w14:textFill>
            <w14:solidFill>
              <w14:schemeClr w14:val="tx1"/>
            </w14:solidFill>
          </w14:textFill>
        </w:rPr>
        <w:cr/>
      </w: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themeColor="text1"/>
          <w14:textFill>
            <w14:solidFill>
              <w14:schemeClr w14:val="tx1"/>
            </w14:solidFill>
          </w14:textFill>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.4</w:t>
      </w:r>
      <w:r>
        <w:rPr>
          <w:rFonts w:hint="eastAsia" w:ascii="仿宋_GB2312" w:hAnsi="仿宋" w:eastAsia="仿宋_GB2312"/>
          <w:color w:val="000000" w:themeColor="text1"/>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14:textFill>
            <w14:solidFill>
              <w14:schemeClr w14:val="tx1"/>
            </w14:solidFill>
          </w14:textFill>
        </w:rPr>
        <w:t>2021〕17号）,</w:t>
      </w:r>
      <w:r>
        <w:rPr>
          <w:rFonts w:hint="eastAsia" w:ascii="仿宋_GB2312" w:hAnsi="仿宋" w:eastAsia="仿宋_GB2312"/>
          <w:color w:val="000000" w:themeColor="text1"/>
          <w14:textFill>
            <w14:solidFill>
              <w14:schemeClr w14:val="tx1"/>
            </w14:solidFill>
          </w14:textFill>
        </w:rPr>
        <w:t>采购人或者采购机构在质疑回复后</w:t>
      </w:r>
      <w:r>
        <w:rPr>
          <w:rFonts w:ascii="仿宋_GB2312" w:hAnsi="仿宋" w:eastAsia="仿宋_GB2312"/>
          <w:color w:val="000000" w:themeColor="text1"/>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14:textFill>
            <w14:solidFill>
              <w14:schemeClr w14:val="tx1"/>
            </w14:solidFill>
          </w14:textFill>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ind w:firstLine="400"/>
        <w:rPr>
          <w:rFonts w:hint="eastAsia" w:ascii="仿宋_GB2312" w:hAnsi="仿宋" w:eastAsia="仿宋_GB2312"/>
          <w:lang w:val="en-US" w:eastAsia="zh-CN"/>
        </w:rPr>
      </w:pP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r>
        <w:rPr>
          <w:rFonts w:hint="eastAsia" w:ascii="仿宋_GB2312" w:hAnsi="仿宋" w:eastAsia="仿宋_GB2312" w:cs="宋体"/>
          <w:kern w:val="0"/>
          <w:sz w:val="24"/>
          <w:lang w:eastAsia="zh-CN"/>
        </w:rPr>
        <w:t>（</w:t>
      </w:r>
      <w:r>
        <w:rPr>
          <w:rFonts w:hint="eastAsia" w:ascii="仿宋_GB2312" w:hAnsi="仿宋" w:eastAsia="仿宋_GB2312" w:cs="宋体"/>
          <w:kern w:val="0"/>
          <w:sz w:val="24"/>
          <w:lang w:val="en-US" w:eastAsia="zh-CN"/>
        </w:rPr>
        <w:t>本项目不适用</w:t>
      </w:r>
      <w:r>
        <w:rPr>
          <w:rFonts w:hint="eastAsia" w:ascii="仿宋_GB2312" w:hAnsi="仿宋" w:eastAsia="仿宋_GB2312" w:cs="宋体"/>
          <w:kern w:val="0"/>
          <w:sz w:val="24"/>
          <w:lang w:eastAsia="zh-CN"/>
        </w:rPr>
        <w:t>）</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240" w:firstLineChars="100"/>
        <w:rPr>
          <w:rFonts w:hint="eastAsia" w:ascii="仿宋_GB2312" w:hAnsi="仿宋" w:eastAsia="仿宋_GB2312" w:cs="仿宋_GB2312"/>
          <w:color w:val="FF0000"/>
          <w:sz w:val="24"/>
          <w:lang w:eastAsia="zh-CN"/>
        </w:rPr>
      </w:pPr>
      <w:r>
        <w:rPr>
          <w:rFonts w:hint="default" w:ascii="仿宋_GB2312" w:hAnsi="仿宋" w:eastAsia="仿宋_GB2312" w:cs="仿宋_GB2312"/>
          <w:color w:val="auto"/>
          <w:sz w:val="24"/>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241" w:firstLineChars="100"/>
        <w:rPr>
          <w:rFonts w:ascii="仿宋_GB2312" w:hAnsi="仿宋" w:eastAsia="仿宋_GB2312" w:cs="仿宋_GB2312"/>
          <w:b/>
          <w:bCs/>
          <w:sz w:val="24"/>
        </w:rPr>
      </w:pPr>
      <w:r>
        <w:rPr>
          <w:rFonts w:hint="eastAsia" w:ascii="宋体" w:hAnsi="宋体" w:eastAsia="宋体" w:cs="宋体"/>
          <w:b/>
          <w:bCs/>
          <w:color w:val="000000"/>
          <w:kern w:val="0"/>
          <w:sz w:val="24"/>
          <w:highlight w:val="none"/>
          <w:lang w:val="en-US" w:eastAsia="zh-CN"/>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color w:val="FF0000"/>
          <w:sz w:val="24"/>
          <w:lang w:eastAsia="zh-CN"/>
        </w:rPr>
        <w:t>：</w:t>
      </w:r>
      <w:r>
        <w:rPr>
          <w:rFonts w:hint="default" w:ascii="仿宋_GB2312" w:hAnsi="仿宋" w:eastAsia="仿宋_GB2312" w:cs="仿宋_GB2312"/>
          <w:b/>
          <w:bCs/>
          <w:color w:val="FF0000"/>
          <w:sz w:val="24"/>
          <w:szCs w:val="24"/>
        </w:rPr>
        <w:t>（</w:t>
      </w:r>
      <w:r>
        <w:rPr>
          <w:rFonts w:hint="default" w:ascii="仿宋_GB2312" w:hAnsi="仿宋" w:eastAsia="仿宋_GB2312" w:cs="仿宋_GB2312"/>
          <w:b/>
          <w:bCs/>
          <w:color w:val="FF0000"/>
          <w:sz w:val="24"/>
          <w:szCs w:val="24"/>
          <w:lang w:val="en-US" w:eastAsia="zh-CN"/>
        </w:rPr>
        <w:t>1</w:t>
      </w:r>
      <w:r>
        <w:rPr>
          <w:rFonts w:hint="default" w:ascii="仿宋_GB2312" w:hAnsi="仿宋" w:eastAsia="仿宋_GB2312" w:cs="仿宋_GB2312"/>
          <w:b/>
          <w:bCs/>
          <w:color w:val="FF0000"/>
          <w:sz w:val="24"/>
          <w:szCs w:val="24"/>
        </w:rPr>
        <w:t>）</w:t>
      </w: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default" w:ascii="仿宋_GB2312" w:hAnsi="仿宋" w:eastAsia="仿宋_GB2312" w:cs="仿宋_GB2312"/>
          <w:b/>
          <w:bCs/>
          <w:color w:val="FF0000"/>
          <w:sz w:val="24"/>
          <w:szCs w:val="24"/>
          <w:lang w:val="en-US" w:eastAsia="zh-CN"/>
        </w:rPr>
        <w:t>。</w:t>
      </w:r>
    </w:p>
    <w:p>
      <w:pPr>
        <w:snapToGrid w:val="0"/>
        <w:spacing w:line="360" w:lineRule="auto"/>
        <w:ind w:firstLine="480" w:firstLineChars="200"/>
        <w:rPr>
          <w:rFonts w:hint="eastAsia" w:ascii="仿宋_GB2312" w:hAnsi="仿宋" w:eastAsia="仿宋_GB2312" w:cs="仿宋_GB2312"/>
          <w:color w:val="FF0000"/>
          <w:sz w:val="24"/>
          <w:lang w:eastAsia="zh-CN"/>
        </w:rPr>
      </w:pPr>
      <w:r>
        <w:rPr>
          <w:rFonts w:ascii="仿宋_GB2312" w:hAnsi="仿宋" w:eastAsia="仿宋_GB2312" w:cs="仿宋_GB2312"/>
          <w:color w:val="FF0000"/>
          <w:sz w:val="24"/>
        </w:rPr>
        <w:t>11.1.3</w:t>
      </w:r>
      <w:r>
        <w:rPr>
          <w:rFonts w:hint="eastAsia" w:ascii="仿宋_GB2312" w:hAnsi="仿宋" w:eastAsia="仿宋_GB2312" w:cs="仿宋_GB2312"/>
          <w:color w:val="FF0000"/>
          <w:sz w:val="24"/>
          <w:lang w:val="en-US" w:eastAsia="zh-CN"/>
        </w:rPr>
        <w:t>.1</w:t>
      </w:r>
      <w:r>
        <w:rPr>
          <w:rFonts w:ascii="仿宋_GB2312" w:hAnsi="仿宋" w:eastAsia="仿宋_GB2312" w:cs="仿宋_GB2312"/>
          <w:color w:val="FF0000"/>
          <w:sz w:val="24"/>
        </w:rPr>
        <w:t>本项目的特定资格要求</w:t>
      </w:r>
      <w:r>
        <w:rPr>
          <w:rFonts w:hint="eastAsia" w:ascii="仿宋_GB2312" w:hAnsi="仿宋" w:eastAsia="仿宋_GB2312" w:cs="仿宋_GB2312"/>
          <w:color w:val="FF0000"/>
          <w:sz w:val="24"/>
          <w:lang w:eastAsia="zh-CN"/>
        </w:rPr>
        <w:t>：</w:t>
      </w:r>
    </w:p>
    <w:p>
      <w:pPr>
        <w:spacing w:line="360" w:lineRule="auto"/>
        <w:ind w:firstLine="482" w:firstLineChars="200"/>
        <w:rPr>
          <w:rFonts w:hint="eastAsia" w:ascii="仿宋" w:hAnsi="仿宋" w:eastAsia="仿宋" w:cs="仿宋"/>
          <w:b/>
          <w:bCs/>
          <w:i w:val="0"/>
          <w:iCs w:val="0"/>
          <w:caps w:val="0"/>
          <w:color w:val="000000" w:themeColor="text1"/>
          <w:spacing w:val="0"/>
          <w:sz w:val="24"/>
          <w:szCs w:val="24"/>
          <w14:textFill>
            <w14:solidFill>
              <w14:schemeClr w14:val="tx1"/>
            </w14:solidFill>
          </w14:textFill>
        </w:rPr>
      </w:pPr>
      <w:r>
        <w:rPr>
          <w:rFonts w:hint="eastAsia" w:ascii="仿宋" w:hAnsi="仿宋" w:eastAsia="仿宋" w:cs="仿宋"/>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检测机构</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具有①建设行政主管部门颁发的建设工程质量检测机构资质证书并在有效期内，且资质证书检测内容包含：见证取样检测（通用）/或建筑工程材料和市政道路工程材料见证取样检测</w:t>
      </w: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"https://baike.baidu.com/item/%E5%9C%B0%E5%9F%BA%E5%9F%BA%E7%A1%80%E5%B7%A5%E7%A8%8B%E6%A3%80%E6%B5%8B" \t "https://baike.baidu.com/item/%E5%BB%BA%E8%AE%BE%E5%B7%A5%E7%A8%8B%E8%B4%A8%E9%87%8F%E6%A3%80%E6%B5%8B%E7%AE%A1%E7%90%86%E5%8A%9E%E6%B3%95/_blank" </w:instrTex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t>地基基础工程检测</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b/>
          <w:bCs/>
          <w:i w:val="0"/>
          <w:iCs w:val="0"/>
          <w:caps w:val="0"/>
          <w:color w:val="000000" w:themeColor="text1"/>
          <w:spacing w:val="0"/>
          <w:sz w:val="24"/>
          <w:szCs w:val="24"/>
          <w:u w:val="none"/>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"https://baike.baidu.com/item/%E4%B8%BB%E4%BD%93%E7%BB%93%E6%9E%84%E5%B7%A5%E7%A8%8B" \t "https://baike.baidu.com/item/%E5%BB%BA%E8%AE%BE%E5%B7%A5%E7%A8%8B%E8%B4%A8%E9%87%8F%E6%A3%80%E6%B5%8B%E7%AE%A1%E7%90%86%E5%8A%9E%E6%B3%95/_blank" </w:instrTex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t>主体结构工程</w:t>
      </w:r>
      <w:r>
        <w:rPr>
          <w:rFonts w:hint="eastAsia" w:ascii="仿宋" w:hAnsi="仿宋" w:eastAsia="仿宋" w:cs="仿宋"/>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b/>
          <w:bCs/>
          <w:i w:val="0"/>
          <w:iCs w:val="0"/>
          <w:caps w:val="0"/>
          <w:color w:val="000000" w:themeColor="text1"/>
          <w:spacing w:val="0"/>
          <w:sz w:val="24"/>
          <w:szCs w:val="24"/>
          <w:shd w:val="clear" w:fill="FFFFFF"/>
          <w14:textFill>
            <w14:solidFill>
              <w14:schemeClr w14:val="tx1"/>
            </w14:solidFill>
          </w14:textFill>
        </w:rPr>
        <w:t>现场检测</w:t>
      </w:r>
      <w:r>
        <w:rPr>
          <w:rFonts w:hint="eastAsia" w:ascii="仿宋" w:hAnsi="仿宋" w:eastAsia="仿宋" w:cs="仿宋"/>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室内环境质量检测</w:t>
      </w: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bCs/>
          <w:i w:val="0"/>
          <w:iCs w:val="0"/>
          <w:caps w:val="0"/>
          <w:color w:val="000000" w:themeColor="text1"/>
          <w:spacing w:val="0"/>
          <w:sz w:val="24"/>
          <w:szCs w:val="24"/>
          <w14:textFill>
            <w14:solidFill>
              <w14:schemeClr w14:val="tx1"/>
            </w14:solidFill>
          </w14:textFill>
        </w:rPr>
        <w:t>②具有质量技术监督部门颁发的CMA计量认证证书并在有效期内。 </w:t>
      </w:r>
    </w:p>
    <w:p>
      <w:pPr>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lang w:val="en-US" w:eastAsia="zh-CN"/>
        </w:rPr>
        <w:t>2）为</w:t>
      </w:r>
      <w:r>
        <w:rPr>
          <w:rFonts w:hint="eastAsia" w:ascii="仿宋" w:hAnsi="仿宋" w:eastAsia="仿宋" w:cs="仿宋"/>
          <w:b/>
          <w:bCs/>
          <w:sz w:val="24"/>
          <w:lang w:val="zh-CN"/>
        </w:rPr>
        <w:t>检测工作公平公正原则和</w:t>
      </w:r>
      <w:r>
        <w:rPr>
          <w:rFonts w:hint="eastAsia" w:ascii="仿宋" w:hAnsi="仿宋" w:eastAsia="仿宋" w:cs="仿宋"/>
          <w:b/>
          <w:bCs/>
          <w:sz w:val="24"/>
          <w:lang w:val="en-US" w:eastAsia="zh-CN"/>
        </w:rPr>
        <w:t>须</w:t>
      </w:r>
      <w:r>
        <w:rPr>
          <w:rFonts w:hint="eastAsia" w:ascii="仿宋" w:hAnsi="仿宋" w:eastAsia="仿宋" w:cs="仿宋"/>
          <w:b/>
          <w:bCs/>
          <w:sz w:val="24"/>
          <w:lang w:val="zh-CN"/>
        </w:rPr>
        <w:t>回避</w:t>
      </w:r>
      <w:r>
        <w:rPr>
          <w:rFonts w:hint="eastAsia" w:ascii="仿宋" w:hAnsi="仿宋" w:eastAsia="仿宋" w:cs="仿宋"/>
          <w:b/>
          <w:bCs/>
          <w:sz w:val="24"/>
          <w:lang w:val="zh-CN" w:eastAsia="zh-CN"/>
        </w:rPr>
        <w:t>项目</w:t>
      </w:r>
      <w:r>
        <w:rPr>
          <w:rFonts w:hint="eastAsia" w:ascii="仿宋" w:hAnsi="仿宋" w:eastAsia="仿宋" w:cs="仿宋"/>
          <w:b/>
          <w:bCs/>
          <w:sz w:val="24"/>
          <w:lang w:val="zh-CN"/>
        </w:rPr>
        <w:t>原检测单位的工作要求，原已承接的余杭区范围内的第三方检测业务，在中标后须暂停检测服务，不得与监督检测冲突；检测业务为</w:t>
      </w:r>
      <w:r>
        <w:rPr>
          <w:rFonts w:hint="eastAsia" w:ascii="仿宋" w:hAnsi="仿宋" w:eastAsia="仿宋" w:cs="仿宋"/>
          <w:b/>
          <w:bCs/>
          <w:sz w:val="24"/>
          <w:lang w:eastAsia="zh-CN"/>
        </w:rPr>
        <w:t>余杭</w:t>
      </w:r>
      <w:r>
        <w:rPr>
          <w:rFonts w:hint="eastAsia" w:ascii="仿宋" w:hAnsi="仿宋" w:eastAsia="仿宋" w:cs="仿宋"/>
          <w:b/>
          <w:bCs/>
          <w:sz w:val="24"/>
        </w:rPr>
        <w:t>区</w:t>
      </w:r>
      <w:r>
        <w:rPr>
          <w:rFonts w:hint="eastAsia" w:ascii="仿宋" w:hAnsi="仿宋" w:eastAsia="仿宋" w:cs="仿宋"/>
          <w:b/>
          <w:bCs/>
          <w:sz w:val="24"/>
          <w:lang w:val="zh-CN"/>
        </w:rPr>
        <w:t>辖区内任何用于工程验收或检测用的第三方检测业务，包括但不限于室内环境质量、地基基础、主体结构工程、建筑（市政）材料见证取样、门窗幕墙和钢结构检测业务等。投标时提供承诺书，否则作无效投标处理。</w:t>
      </w:r>
    </w:p>
    <w:p>
      <w:pPr>
        <w:pStyle w:val="2"/>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cs="仿宋_GB2312"/>
          <w:color w:val="FF0000"/>
          <w:sz w:val="24"/>
          <w:szCs w:val="24"/>
          <w:highlight w:val="none"/>
          <w:lang w:val="en-US" w:eastAsia="zh-CN"/>
        </w:rPr>
        <w:t xml:space="preserve"> </w:t>
      </w: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11.2.1投标函</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lang w:val="en-US" w:eastAsia="zh-CN"/>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color w:val="auto"/>
          <w:sz w:val="24"/>
          <w:lang w:val="en-US" w:eastAsia="zh-CN"/>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hint="eastAsia" w:ascii="仿宋_GB2312" w:hAnsi="仿宋" w:eastAsia="仿宋_GB2312" w:cs="仿宋_GB2312"/>
          <w:sz w:val="24"/>
          <w:lang w:val="en-US" w:eastAsia="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11.3.1开标一览表（报价表）；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lang w:val="en-US"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w:t>
      </w:r>
      <w:r>
        <w:rPr>
          <w:rFonts w:hint="eastAsia" w:ascii="仿宋_GB2312" w:hAnsi="仿宋" w:eastAsia="仿宋_GB2312" w:cs="仿宋_GB2312"/>
          <w:szCs w:val="21"/>
          <w:highlight w:val="none"/>
          <w:lang w:eastAsia="zh-CN"/>
        </w:rPr>
        <w:t>第四部分</w:t>
      </w:r>
      <w:r>
        <w:rPr>
          <w:rFonts w:ascii="仿宋_GB2312" w:hAnsi="仿宋" w:eastAsia="仿宋_GB2312"/>
          <w:highlight w:val="none"/>
        </w:rPr>
        <w:t>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w:t>
      </w:r>
      <w:r>
        <w:rPr>
          <w:rFonts w:ascii="仿宋_GB2312" w:hAnsi="仿宋" w:eastAsia="仿宋_GB2312" w:cs="仿宋_GB2312"/>
          <w:sz w:val="24"/>
          <w:highlight w:val="none"/>
        </w:rPr>
        <w:t>标文件。采购机构依托电子交易平台发起开始解密指令，投标人按照平台提示和招标文件的规定在半小时内完成在</w:t>
      </w:r>
      <w:r>
        <w:rPr>
          <w:rFonts w:ascii="仿宋_GB2312" w:hAnsi="仿宋" w:eastAsia="仿宋_GB2312" w:cs="仿宋_GB2312"/>
          <w:sz w:val="24"/>
        </w:rPr>
        <w:t>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 xml:space="preserve">. </w:t>
      </w:r>
      <w:r>
        <w:rPr>
          <w:rFonts w:ascii="仿宋_GB2312" w:hAnsi="仿宋" w:eastAsia="仿宋_GB2312" w:cs="仿宋_GB2312"/>
          <w:b/>
          <w:sz w:val="24"/>
          <w:szCs w:val="20"/>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ascii="仿宋_GB2312" w:hAnsi="仿宋" w:eastAsia="仿宋_GB2312" w:cs="仿宋_GB2312"/>
          <w:b/>
          <w:sz w:val="24"/>
        </w:rPr>
        <w:t>.</w:t>
      </w:r>
      <w:r>
        <w:rPr>
          <w:rFonts w:ascii="仿宋_GB2312" w:eastAsia="仿宋_GB2312"/>
        </w:rPr>
        <w:t xml:space="preserve"> </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1"/>
        <w:snapToGrid w:val="0"/>
        <w:spacing w:before="0"/>
        <w:ind w:firstLine="480"/>
        <w:rPr>
          <w:rFonts w:hint="eastAsia"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Helvetica"/>
          <w:kern w:val="0"/>
          <w:sz w:val="24"/>
        </w:rPr>
        <w:t>拟签订的合同文本要求中标供应商提交履约保证金的，供应商应当以支票、汇票、本</w:t>
      </w:r>
      <w:r>
        <w:rPr>
          <w:rFonts w:hint="eastAsia" w:ascii="仿宋_GB2312" w:hAnsi="仿宋" w:eastAsia="仿宋_GB2312" w:cs="Helvetica"/>
          <w:color w:val="000000" w:themeColor="text1"/>
          <w:kern w:val="0"/>
          <w:sz w:val="24"/>
          <w14:textFill>
            <w14:solidFill>
              <w14:schemeClr w14:val="tx1"/>
            </w14:solidFill>
          </w14:textFill>
        </w:rPr>
        <w:t>票或者金融机构、担保机构出具的保函等非现金形式提交</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14:textFill>
            <w14:solidFill>
              <w14:schemeClr w14:val="tx1"/>
            </w14:solidFill>
          </w14:textFill>
        </w:rPr>
        <w:t>采购人不得拒收履约保函。</w:t>
      </w:r>
    </w:p>
    <w:p>
      <w:pPr>
        <w:tabs>
          <w:tab w:val="left" w:pos="0"/>
        </w:tabs>
        <w:spacing w:line="360" w:lineRule="auto"/>
        <w:ind w:firstLine="482"/>
        <w:rPr>
          <w:rFonts w:ascii="仿宋_GB2312" w:hAnsi="仿宋" w:eastAsia="仿宋_GB2312" w:cs="仿宋_GB2312"/>
          <w:color w:val="000000" w:themeColor="text1"/>
          <w:sz w:val="24"/>
          <w:szCs w:val="20"/>
          <w14:textFill>
            <w14:solidFill>
              <w14:schemeClr w14:val="tx1"/>
            </w14:solidFill>
          </w14:textFill>
        </w:rPr>
      </w:pPr>
      <w:r>
        <w:rPr>
          <w:rFonts w:hint="eastAsia" w:ascii="仿宋_GB2312" w:hAnsi="仿宋" w:eastAsia="仿宋_GB2312" w:cs="仿宋_GB2312"/>
          <w:color w:val="000000" w:themeColor="text1"/>
          <w:sz w:val="24"/>
          <w:szCs w:val="20"/>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000000" w:themeColor="text1"/>
          <w:sz w:val="24"/>
          <w:szCs w:val="20"/>
          <w:lang w:val="en-US" w:eastAsia="zh-CN"/>
          <w14:textFill>
            <w14:solidFill>
              <w14:schemeClr w14:val="tx1"/>
            </w14:solidFill>
          </w14:textFill>
        </w:rPr>
        <w:t>2.</w:t>
      </w:r>
      <w:r>
        <w:rPr>
          <w:rFonts w:hint="eastAsia" w:ascii="仿宋_GB2312" w:hAnsi="仿宋" w:eastAsia="仿宋_GB2312" w:cs="仿宋_GB2312"/>
          <w:color w:val="000000" w:themeColor="text1"/>
          <w:sz w:val="24"/>
          <w:szCs w:val="20"/>
          <w14:textFill>
            <w14:solidFill>
              <w14:schemeClr w14:val="tx1"/>
            </w14:solidFill>
          </w14:textFill>
        </w:rPr>
        <w:t>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bCs/>
          <w:szCs w:val="24"/>
        </w:rPr>
        <w:t>电子交</w:t>
      </w:r>
      <w:r>
        <w:rPr>
          <w:rFonts w:hint="eastAsia" w:ascii="仿宋_GB2312" w:hAnsi="仿宋" w:eastAsia="仿宋_GB2312" w:cs="仿宋_GB2312"/>
          <w:b/>
          <w:szCs w:val="24"/>
        </w:rPr>
        <w:t>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themeColor="text1"/>
          <w:kern w:val="0"/>
          <w:sz w:val="24"/>
          <w14:textFill>
            <w14:solidFill>
              <w14:schemeClr w14:val="tx1"/>
            </w14:solidFill>
          </w14:textFill>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011"/>
      <w:bookmarkEnd w:id="14"/>
      <w:bookmarkStart w:id="15" w:name="_Hlt68072998"/>
      <w:bookmarkEnd w:id="15"/>
      <w:bookmarkStart w:id="16" w:name="_Hlt74729768"/>
      <w:bookmarkEnd w:id="16"/>
      <w:bookmarkStart w:id="17" w:name="_Hlt75236101"/>
      <w:bookmarkEnd w:id="17"/>
      <w:bookmarkStart w:id="18" w:name="_Hlt68073093"/>
      <w:bookmarkEnd w:id="18"/>
      <w:bookmarkStart w:id="19" w:name="_Hlt68057669"/>
      <w:bookmarkEnd w:id="19"/>
      <w:bookmarkStart w:id="20" w:name="_Hlt68072990"/>
      <w:bookmarkEnd w:id="20"/>
      <w:bookmarkStart w:id="21" w:name="_Hlt74707468"/>
      <w:bookmarkEnd w:id="21"/>
      <w:bookmarkStart w:id="22" w:name="_Hlt74730295"/>
      <w:bookmarkEnd w:id="22"/>
      <w:bookmarkStart w:id="23" w:name="_Hlt74714665"/>
      <w:bookmarkEnd w:id="23"/>
      <w:bookmarkStart w:id="24" w:name="_Hlt75236290"/>
      <w:bookmarkEnd w:id="24"/>
      <w:bookmarkStart w:id="25" w:name="_Hlt68403820"/>
      <w:bookmarkEnd w:id="25"/>
    </w:p>
    <w:bookmarkEnd w:id="11"/>
    <w:bookmarkEnd w:id="12"/>
    <w:p>
      <w:pPr>
        <w:numPr>
          <w:ilvl w:val="0"/>
          <w:numId w:val="2"/>
        </w:numPr>
        <w:spacing w:line="360" w:lineRule="auto"/>
        <w:jc w:val="center"/>
        <w:outlineLvl w:val="0"/>
        <w:rPr>
          <w:rFonts w:hint="eastAsia"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85"/>
        <w:numPr>
          <w:ilvl w:val="-1"/>
          <w:numId w:val="0"/>
        </w:numPr>
      </w:pPr>
    </w:p>
    <w:p>
      <w:pPr>
        <w:numPr>
          <w:ilvl w:val="0"/>
          <w:numId w:val="3"/>
        </w:numPr>
        <w:spacing w:line="360" w:lineRule="auto"/>
        <w:ind w:firstLine="482" w:firstLineChars="200"/>
        <w:outlineLvl w:val="0"/>
        <w:rPr>
          <w:rFonts w:hint="eastAsia" w:ascii="宋体" w:hAnsi="宋体" w:cs="宋体"/>
          <w:sz w:val="24"/>
        </w:rPr>
      </w:pPr>
      <w:bookmarkStart w:id="27" w:name="_Toc310602338"/>
      <w:bookmarkStart w:id="28" w:name="_Toc155322445"/>
      <w:bookmarkStart w:id="29" w:name="_Toc274303250"/>
      <w:bookmarkStart w:id="30" w:name="_Toc16157"/>
      <w:bookmarkStart w:id="31" w:name="_Toc238878122"/>
      <w:bookmarkStart w:id="32" w:name="_Toc445394041"/>
      <w:bookmarkStart w:id="33" w:name="_Toc135212467"/>
      <w:bookmarkStart w:id="34" w:name="_Toc33335632"/>
      <w:bookmarkStart w:id="35" w:name="_Toc21033"/>
      <w:bookmarkStart w:id="36" w:name="_Toc445393970"/>
      <w:bookmarkStart w:id="37" w:name="_Toc444796244"/>
      <w:r>
        <w:rPr>
          <w:rFonts w:hint="eastAsia" w:ascii="宋体" w:hAnsi="宋体" w:cs="宋体"/>
          <w:b/>
          <w:bCs/>
          <w:sz w:val="24"/>
        </w:rPr>
        <w:t>招标内容</w:t>
      </w:r>
      <w:bookmarkEnd w:id="27"/>
      <w:bookmarkEnd w:id="28"/>
    </w:p>
    <w:p>
      <w:pPr>
        <w:tabs>
          <w:tab w:val="left" w:pos="993"/>
          <w:tab w:val="left" w:pos="1134"/>
          <w:tab w:val="left" w:pos="1418"/>
        </w:tabs>
        <w:spacing w:line="360" w:lineRule="auto"/>
        <w:ind w:firstLine="480" w:firstLineChars="200"/>
        <w:outlineLvl w:val="0"/>
        <w:rPr>
          <w:rFonts w:hint="eastAsia" w:ascii="宋体" w:hAnsi="宋体" w:cs="宋体"/>
          <w:sz w:val="24"/>
        </w:rPr>
      </w:pPr>
      <w:bookmarkStart w:id="38" w:name="_Toc229566549"/>
      <w:bookmarkStart w:id="39" w:name="_Toc228002621"/>
      <w:bookmarkStart w:id="40" w:name="_Toc229566663"/>
      <w:r>
        <w:rPr>
          <w:rFonts w:hint="eastAsia" w:ascii="宋体" w:hAnsi="宋体" w:cs="宋体"/>
          <w:sz w:val="24"/>
        </w:rPr>
        <w:t>根据《关于印发&lt;关于进一步提升杭州市市政道路建设质量管理的若干意见&gt;及相关配套文件的通知》（杭建工发【2021】32号）文件要求，我局与城管部门须开展市政道路工程联合质量抽检。市政工程联合质量抽检费用约172.3万元；</w:t>
      </w:r>
    </w:p>
    <w:p>
      <w:pPr>
        <w:tabs>
          <w:tab w:val="left" w:pos="993"/>
          <w:tab w:val="left" w:pos="1134"/>
          <w:tab w:val="left" w:pos="1418"/>
        </w:tabs>
        <w:spacing w:line="360" w:lineRule="auto"/>
        <w:ind w:firstLine="480" w:firstLineChars="200"/>
        <w:rPr>
          <w:rFonts w:hint="eastAsia" w:ascii="宋体" w:hAnsi="宋体" w:cs="宋体"/>
          <w:sz w:val="24"/>
        </w:rPr>
      </w:pPr>
      <w:r>
        <w:rPr>
          <w:rFonts w:hint="eastAsia" w:ascii="宋体" w:hAnsi="宋体" w:cs="宋体"/>
          <w:sz w:val="24"/>
        </w:rPr>
        <w:t>为加强我区房屋建筑工程质量检测，充分保障建筑工程施工质量，进行新年度房屋建筑工程质量监督检测。房屋建筑工程监督检测费用约164万元。检测内容：1.在建工程监督检测； 2.商品房项目竣工验收前分户检验的监督检测；3.其他相关检测。</w:t>
      </w:r>
    </w:p>
    <w:bookmarkEnd w:id="38"/>
    <w:bookmarkEnd w:id="39"/>
    <w:bookmarkEnd w:id="40"/>
    <w:p>
      <w:pPr>
        <w:pStyle w:val="85"/>
        <w:spacing w:line="360" w:lineRule="auto"/>
        <w:ind w:firstLine="480"/>
        <w:rPr>
          <w:rFonts w:hint="eastAsia" w:cs="宋体"/>
          <w:b/>
          <w:bCs/>
          <w:szCs w:val="24"/>
          <w:lang w:val="en-US"/>
        </w:rPr>
      </w:pPr>
      <w:r>
        <w:rPr>
          <w:rFonts w:hint="eastAsia" w:cs="宋体"/>
          <w:b/>
          <w:bCs/>
          <w:szCs w:val="24"/>
          <w:lang w:val="en-US"/>
        </w:rPr>
        <w:t>二、检测业务范围</w:t>
      </w:r>
    </w:p>
    <w:p>
      <w:pPr>
        <w:widowControl/>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1）房屋建筑工程监督检测业务范围：余杭区内在建工程建设项目的见证取样检测和分户检测工作，具体检测项目为：钢筋检测，砖及砌体，防水卷材及涂料，外墙节能构造，饰面砖拉拔，分户检测，桩基检测，保温层构造，保温板、保温棉、保温砂浆等材料，烟道，电线、电缆，建筑外窗气密性等；</w:t>
      </w:r>
    </w:p>
    <w:p>
      <w:pPr>
        <w:pStyle w:val="85"/>
        <w:spacing w:line="360" w:lineRule="auto"/>
        <w:ind w:firstLine="480"/>
        <w:rPr>
          <w:rFonts w:cs="宋体"/>
          <w:szCs w:val="24"/>
          <w:highlight w:val="none"/>
          <w:lang w:val="en-US"/>
        </w:rPr>
      </w:pPr>
      <w:r>
        <w:rPr>
          <w:rFonts w:hint="eastAsia" w:cs="宋体"/>
          <w:szCs w:val="24"/>
          <w:highlight w:val="none"/>
        </w:rPr>
        <w:t>（</w:t>
      </w:r>
      <w:r>
        <w:rPr>
          <w:rFonts w:hint="eastAsia" w:cs="宋体"/>
          <w:szCs w:val="24"/>
          <w:highlight w:val="none"/>
          <w:lang w:val="en-US"/>
        </w:rPr>
        <w:t>2</w:t>
      </w:r>
      <w:r>
        <w:rPr>
          <w:rFonts w:hint="eastAsia" w:cs="宋体"/>
          <w:szCs w:val="24"/>
          <w:highlight w:val="none"/>
        </w:rPr>
        <w:t>）市政工程联合质量抽检</w:t>
      </w:r>
      <w:r>
        <w:rPr>
          <w:rFonts w:hint="eastAsia" w:cs="宋体"/>
          <w:szCs w:val="24"/>
          <w:highlight w:val="none"/>
          <w:lang w:val="en-US"/>
        </w:rPr>
        <w:t>业务范围</w:t>
      </w:r>
      <w:r>
        <w:rPr>
          <w:rFonts w:hint="eastAsia" w:cs="宋体"/>
          <w:b/>
          <w:bCs/>
          <w:szCs w:val="24"/>
          <w:highlight w:val="none"/>
          <w:lang w:val="en-US"/>
        </w:rPr>
        <w:t>：</w:t>
      </w:r>
      <w:r>
        <w:rPr>
          <w:rFonts w:hint="eastAsia" w:cs="宋体"/>
          <w:szCs w:val="24"/>
          <w:highlight w:val="none"/>
        </w:rPr>
        <w:t>水稳基层、雨污水管道标高、人行道检测项目</w:t>
      </w:r>
      <w:r>
        <w:rPr>
          <w:rFonts w:hint="eastAsia" w:cs="宋体"/>
          <w:szCs w:val="24"/>
          <w:highlight w:val="none"/>
          <w:lang w:val="en-US"/>
        </w:rPr>
        <w:t>等检测</w:t>
      </w:r>
      <w:r>
        <w:rPr>
          <w:rFonts w:hint="eastAsia" w:cs="宋体"/>
          <w:szCs w:val="24"/>
          <w:highlight w:val="none"/>
        </w:rPr>
        <w:t>。</w:t>
      </w:r>
      <w:r>
        <w:rPr>
          <w:rFonts w:hint="eastAsia" w:cs="宋体"/>
          <w:szCs w:val="24"/>
          <w:highlight w:val="none"/>
          <w:lang w:val="en-US"/>
        </w:rPr>
        <w:t>具体内容参照杭建工发〔2021〕32号，可网上下载关于印发《关于进一步提升杭州市市政道路建设质量管理的若干意见》及相关配套文件的通知</w:t>
      </w:r>
      <w:r>
        <w:rPr>
          <w:rFonts w:hint="eastAsia" w:cs="宋体"/>
          <w:szCs w:val="24"/>
          <w:highlight w:val="none"/>
          <w:lang w:val="en-US" w:eastAsia="zh-CN"/>
        </w:rPr>
        <w:t>。</w:t>
      </w:r>
    </w:p>
    <w:p>
      <w:pPr>
        <w:widowControl/>
        <w:spacing w:line="360" w:lineRule="auto"/>
        <w:ind w:firstLine="482" w:firstLineChars="200"/>
        <w:outlineLvl w:val="0"/>
        <w:rPr>
          <w:rFonts w:hint="eastAsia" w:ascii="宋体" w:hAnsi="宋体" w:cs="宋体"/>
          <w:b/>
          <w:bCs/>
          <w:sz w:val="24"/>
          <w:highlight w:val="none"/>
        </w:rPr>
      </w:pPr>
      <w:bookmarkStart w:id="41" w:name="_Toc310602339"/>
      <w:bookmarkStart w:id="42" w:name="_Toc155322446"/>
      <w:r>
        <w:rPr>
          <w:rFonts w:hint="eastAsia" w:ascii="宋体" w:hAnsi="宋体" w:cs="宋体"/>
          <w:b/>
          <w:bCs/>
          <w:sz w:val="24"/>
          <w:highlight w:val="none"/>
        </w:rPr>
        <w:t>三、服务期限</w:t>
      </w:r>
      <w:bookmarkEnd w:id="41"/>
      <w:bookmarkEnd w:id="42"/>
    </w:p>
    <w:p>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rPr>
        <w:t>服务期限：</w:t>
      </w:r>
      <w:r>
        <w:rPr>
          <w:rFonts w:hint="eastAsia" w:ascii="宋体" w:hAnsi="宋体" w:eastAsia="宋体" w:cs="宋体"/>
          <w:color w:val="000000"/>
          <w:sz w:val="24"/>
          <w:szCs w:val="24"/>
          <w:highlight w:val="none"/>
          <w:lang w:val="en-US" w:eastAsia="zh-CN"/>
        </w:rPr>
        <w:t>自合同签订之日起二年服务期。本项目采取一次招标二年沿用、实行一年一考核。年终经考核合格的，经采购人申请可续签合同。</w:t>
      </w:r>
    </w:p>
    <w:p>
      <w:pPr>
        <w:widowControl/>
        <w:spacing w:line="360" w:lineRule="auto"/>
        <w:ind w:firstLine="482" w:firstLineChars="200"/>
        <w:outlineLvl w:val="0"/>
        <w:rPr>
          <w:rFonts w:hint="eastAsia" w:ascii="宋体" w:hAnsi="宋体" w:cs="宋体"/>
          <w:b/>
          <w:bCs/>
          <w:sz w:val="24"/>
        </w:rPr>
      </w:pPr>
      <w:r>
        <w:rPr>
          <w:rFonts w:hint="eastAsia" w:ascii="宋体" w:hAnsi="宋体" w:cs="宋体"/>
          <w:b/>
          <w:bCs/>
          <w:sz w:val="24"/>
        </w:rPr>
        <w:t>三、质量标准</w:t>
      </w:r>
    </w:p>
    <w:p>
      <w:pPr>
        <w:widowControl/>
        <w:spacing w:line="360" w:lineRule="auto"/>
        <w:ind w:firstLine="480" w:firstLineChars="200"/>
        <w:outlineLvl w:val="0"/>
        <w:rPr>
          <w:rFonts w:hint="eastAsia" w:ascii="宋体" w:hAnsi="宋体" w:cs="宋体"/>
          <w:sz w:val="24"/>
        </w:rPr>
      </w:pPr>
      <w:r>
        <w:rPr>
          <w:rFonts w:hint="eastAsia" w:ascii="宋体" w:hAnsi="宋体" w:cs="宋体"/>
          <w:sz w:val="24"/>
        </w:rPr>
        <w:t>符合国家有关建设工程质量检测的规定，所提交的检测报告须真实有效，符合建设工程有关工程质量检测的有关法律、行政法规和规范要求，并在杭州市余杭区建筑工程质量安全监督站抽查的情况下达标。</w:t>
      </w:r>
    </w:p>
    <w:p>
      <w:pPr>
        <w:widowControl/>
        <w:spacing w:line="360" w:lineRule="auto"/>
        <w:ind w:firstLine="482" w:firstLineChars="200"/>
        <w:outlineLvl w:val="0"/>
        <w:rPr>
          <w:rFonts w:ascii="宋体" w:hAnsi="宋体" w:cs="宋体"/>
          <w:b/>
          <w:bCs/>
          <w:sz w:val="24"/>
        </w:rPr>
      </w:pPr>
      <w:bookmarkStart w:id="43" w:name="_Toc310602342"/>
      <w:bookmarkStart w:id="44" w:name="_Toc155322448"/>
      <w:r>
        <w:rPr>
          <w:rFonts w:hint="eastAsia" w:ascii="宋体" w:hAnsi="宋体" w:cs="宋体"/>
          <w:b/>
          <w:bCs/>
          <w:sz w:val="24"/>
        </w:rPr>
        <w:t>四、检测费用</w:t>
      </w:r>
      <w:bookmarkEnd w:id="43"/>
      <w:bookmarkEnd w:id="44"/>
      <w:r>
        <w:rPr>
          <w:rFonts w:hint="eastAsia" w:ascii="宋体" w:hAnsi="宋体" w:cs="宋体"/>
          <w:b/>
          <w:bCs/>
          <w:sz w:val="24"/>
        </w:rPr>
        <w:t>投标报价</w:t>
      </w:r>
    </w:p>
    <w:p>
      <w:pPr>
        <w:widowControl/>
        <w:spacing w:line="360" w:lineRule="auto"/>
        <w:ind w:firstLine="480" w:firstLineChars="200"/>
        <w:outlineLvl w:val="0"/>
        <w:rPr>
          <w:rFonts w:hint="eastAsia" w:ascii="宋体" w:hAnsi="宋体" w:cs="宋体"/>
          <w:bCs/>
          <w:sz w:val="24"/>
        </w:rPr>
      </w:pPr>
      <w:r>
        <w:rPr>
          <w:rFonts w:hint="eastAsia" w:ascii="宋体" w:hAnsi="宋体" w:cs="宋体"/>
          <w:bCs/>
          <w:sz w:val="24"/>
        </w:rPr>
        <w:t>投标人的报价应包含为完成规定检测任务所需人工费、材料费、机械使用费（含交通费）、管理、安全生产、利润、规费、税金等的所有相关费用组成，并按招标人提供的</w:t>
      </w:r>
      <w:r>
        <w:rPr>
          <w:rFonts w:hint="eastAsia" w:ascii="宋体" w:hAnsi="宋体" w:cs="宋体"/>
          <w:b/>
          <w:bCs w:val="0"/>
          <w:sz w:val="24"/>
        </w:rPr>
        <w:t>“检测</w:t>
      </w:r>
      <w:r>
        <w:rPr>
          <w:rFonts w:hint="eastAsia" w:ascii="宋体" w:hAnsi="宋体" w:cs="宋体"/>
          <w:b/>
          <w:bCs w:val="0"/>
          <w:sz w:val="24"/>
          <w:lang w:eastAsia="zh-CN"/>
        </w:rPr>
        <w:t>内容和最高限价一览表</w:t>
      </w:r>
      <w:r>
        <w:rPr>
          <w:rFonts w:hint="eastAsia" w:ascii="宋体" w:hAnsi="宋体" w:cs="宋体"/>
          <w:b/>
          <w:bCs w:val="0"/>
          <w:sz w:val="24"/>
        </w:rPr>
        <w:t>”</w:t>
      </w:r>
      <w:r>
        <w:rPr>
          <w:rFonts w:hint="eastAsia" w:ascii="宋体" w:hAnsi="宋体" w:cs="宋体"/>
          <w:bCs/>
          <w:sz w:val="24"/>
        </w:rPr>
        <w:t>进行折扣</w:t>
      </w:r>
      <w:r>
        <w:rPr>
          <w:rFonts w:hint="eastAsia" w:ascii="宋体" w:hAnsi="宋体" w:cs="宋体"/>
          <w:bCs/>
          <w:sz w:val="24"/>
          <w:lang w:eastAsia="zh-CN"/>
        </w:rPr>
        <w:t>率</w:t>
      </w:r>
      <w:r>
        <w:rPr>
          <w:rFonts w:hint="eastAsia" w:ascii="宋体" w:hAnsi="宋体" w:cs="宋体"/>
          <w:bCs/>
          <w:sz w:val="24"/>
        </w:rPr>
        <w:t>报价。</w:t>
      </w:r>
    </w:p>
    <w:p>
      <w:pPr>
        <w:spacing w:line="360" w:lineRule="auto"/>
        <w:ind w:firstLine="482" w:firstLineChars="200"/>
        <w:rPr>
          <w:rFonts w:hint="eastAsia" w:ascii="宋体" w:hAnsi="宋体" w:cs="宋体"/>
          <w:b/>
          <w:sz w:val="24"/>
        </w:rPr>
      </w:pPr>
      <w:r>
        <w:rPr>
          <w:rFonts w:hint="eastAsia" w:ascii="宋体" w:hAnsi="宋体" w:cs="宋体"/>
          <w:b/>
          <w:sz w:val="24"/>
        </w:rPr>
        <w:t>五、检测</w:t>
      </w:r>
      <w:r>
        <w:rPr>
          <w:rFonts w:hint="eastAsia" w:ascii="宋体" w:hAnsi="宋体" w:cs="宋体"/>
          <w:b/>
          <w:sz w:val="24"/>
          <w:lang w:eastAsia="zh-CN"/>
        </w:rPr>
        <w:t>内容及费用标准</w:t>
      </w:r>
      <w:r>
        <w:rPr>
          <w:rFonts w:hint="eastAsia" w:ascii="宋体" w:hAnsi="宋体" w:cs="宋体"/>
          <w:b/>
          <w:sz w:val="24"/>
        </w:rPr>
        <w:t>和响应时间</w:t>
      </w:r>
    </w:p>
    <w:p>
      <w:pPr>
        <w:spacing w:line="360" w:lineRule="auto"/>
        <w:rPr>
          <w:rFonts w:hint="eastAsia" w:ascii="宋体" w:hAnsi="宋体" w:cs="宋体"/>
          <w:b/>
          <w:sz w:val="24"/>
          <w:lang w:eastAsia="zh-CN"/>
        </w:rPr>
      </w:pPr>
      <w:r>
        <w:rPr>
          <w:rFonts w:hint="eastAsia" w:ascii="宋体" w:hAnsi="宋体" w:cs="宋体"/>
          <w:b/>
          <w:sz w:val="24"/>
        </w:rPr>
        <w:t xml:space="preserve">   1、检测主要内容（包括不限于</w:t>
      </w:r>
      <w:r>
        <w:rPr>
          <w:rFonts w:hint="eastAsia" w:ascii="宋体" w:hAnsi="宋体" w:cs="宋体"/>
          <w:b/>
          <w:sz w:val="24"/>
          <w:lang w:eastAsia="zh-CN"/>
        </w:rPr>
        <w:t>下表</w:t>
      </w:r>
      <w:r>
        <w:rPr>
          <w:rFonts w:hint="eastAsia" w:ascii="宋体" w:hAnsi="宋体" w:cs="宋体"/>
          <w:b/>
          <w:sz w:val="24"/>
        </w:rPr>
        <w:t>）</w:t>
      </w:r>
      <w:r>
        <w:rPr>
          <w:rFonts w:hint="eastAsia" w:ascii="宋体" w:hAnsi="宋体" w:cs="宋体"/>
          <w:b/>
          <w:sz w:val="24"/>
          <w:lang w:eastAsia="zh-CN"/>
        </w:rPr>
        <w:t>：</w:t>
      </w:r>
    </w:p>
    <w:p>
      <w:pPr>
        <w:pStyle w:val="85"/>
        <w:rPr>
          <w:rFonts w:hint="eastAsia" w:ascii="宋体" w:hAnsi="宋体" w:cs="宋体"/>
          <w:b/>
          <w:sz w:val="24"/>
          <w:lang w:eastAsia="zh-CN"/>
        </w:rPr>
      </w:pPr>
    </w:p>
    <w:p>
      <w:pPr>
        <w:pStyle w:val="85"/>
        <w:rPr>
          <w:rFonts w:hint="eastAsia" w:ascii="宋体" w:hAnsi="宋体" w:cs="宋体"/>
          <w:b/>
          <w:sz w:val="24"/>
          <w:lang w:eastAsia="zh-CN"/>
        </w:rPr>
      </w:pPr>
    </w:p>
    <w:p>
      <w:pPr>
        <w:pStyle w:val="85"/>
        <w:rPr>
          <w:rFonts w:hint="eastAsia" w:ascii="宋体" w:hAnsi="宋体" w:cs="宋体"/>
          <w:b/>
          <w:sz w:val="24"/>
          <w:lang w:eastAsia="zh-CN"/>
        </w:rPr>
      </w:pPr>
    </w:p>
    <w:p>
      <w:pPr>
        <w:pStyle w:val="85"/>
        <w:rPr>
          <w:rFonts w:hint="eastAsia" w:ascii="宋体" w:hAnsi="宋体" w:eastAsia="宋体" w:cs="宋体"/>
          <w:b/>
          <w:bCs w:val="0"/>
          <w:sz w:val="24"/>
          <w:lang w:val="en-US" w:eastAsia="zh-CN"/>
        </w:rPr>
      </w:pPr>
      <w:r>
        <w:rPr>
          <w:rFonts w:hint="eastAsia" w:ascii="宋体" w:hAnsi="宋体" w:cs="宋体"/>
          <w:b w:val="0"/>
          <w:bCs/>
          <w:sz w:val="24"/>
          <w:lang w:val="en-US" w:eastAsia="zh-CN"/>
        </w:rPr>
        <w:t xml:space="preserve">                    </w:t>
      </w:r>
      <w:r>
        <w:rPr>
          <w:rFonts w:hint="eastAsia" w:ascii="宋体" w:hAnsi="宋体" w:cs="宋体"/>
          <w:b/>
          <w:bCs w:val="0"/>
          <w:sz w:val="24"/>
          <w:lang w:val="en-US" w:eastAsia="zh-CN"/>
        </w:rPr>
        <w:t xml:space="preserve">  </w:t>
      </w:r>
      <w:r>
        <w:rPr>
          <w:rFonts w:hint="eastAsia" w:ascii="宋体" w:hAnsi="宋体" w:cs="宋体"/>
          <w:b/>
          <w:bCs w:val="0"/>
          <w:sz w:val="24"/>
        </w:rPr>
        <w:t>检测</w:t>
      </w:r>
      <w:r>
        <w:rPr>
          <w:rFonts w:hint="eastAsia" w:ascii="宋体" w:hAnsi="宋体" w:cs="宋体"/>
          <w:b/>
          <w:bCs w:val="0"/>
          <w:sz w:val="24"/>
          <w:lang w:eastAsia="zh-CN"/>
        </w:rPr>
        <w:t>内容和最高限价一览表</w:t>
      </w:r>
    </w:p>
    <w:tbl>
      <w:tblPr>
        <w:tblStyle w:val="62"/>
        <w:tblW w:w="8824" w:type="dxa"/>
        <w:tblInd w:w="0" w:type="dxa"/>
        <w:tblLayout w:type="fixed"/>
        <w:tblCellMar>
          <w:top w:w="0" w:type="dxa"/>
          <w:left w:w="0" w:type="dxa"/>
          <w:bottom w:w="0" w:type="dxa"/>
          <w:right w:w="0" w:type="dxa"/>
        </w:tblCellMar>
      </w:tblPr>
      <w:tblGrid>
        <w:gridCol w:w="750"/>
        <w:gridCol w:w="1108"/>
        <w:gridCol w:w="1834"/>
        <w:gridCol w:w="1843"/>
        <w:gridCol w:w="1245"/>
        <w:gridCol w:w="2044"/>
      </w:tblGrid>
      <w:tr>
        <w:tblPrEx>
          <w:tblCellMar>
            <w:top w:w="0" w:type="dxa"/>
            <w:left w:w="0" w:type="dxa"/>
            <w:bottom w:w="0" w:type="dxa"/>
            <w:right w:w="0" w:type="dxa"/>
          </w:tblCellMar>
        </w:tblPrEx>
        <w:trPr>
          <w:trHeight w:val="79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序号</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代码</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主要检测内容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单位</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lang w:eastAsia="zh-CN" w:bidi="ar"/>
              </w:rPr>
              <w:t>综合</w:t>
            </w:r>
            <w:r>
              <w:rPr>
                <w:rFonts w:hint="eastAsia" w:ascii="宋体" w:hAnsi="宋体" w:cs="宋体"/>
                <w:b/>
                <w:color w:val="000000"/>
                <w:kern w:val="0"/>
                <w:szCs w:val="21"/>
                <w:highlight w:val="none"/>
                <w:lang w:bidi="ar"/>
              </w:rPr>
              <w:t>单价最高限价（元）</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C01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钢筋原材料（力学性能、重量偏差）</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2"/>
                <w:szCs w:val="21"/>
                <w:highlight w:val="none"/>
                <w:lang w:bidi="ar-SA"/>
              </w:rPr>
            </w:pPr>
            <w:r>
              <w:rPr>
                <w:rFonts w:hint="eastAsia" w:ascii="宋体" w:hAnsi="宋体" w:cs="宋体"/>
                <w:color w:val="000000"/>
                <w:kern w:val="0"/>
                <w:szCs w:val="21"/>
                <w:highlight w:val="none"/>
                <w:lang w:bidi="ar"/>
              </w:rPr>
              <w:t>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2"/>
                <w:szCs w:val="21"/>
                <w:highlight w:val="none"/>
                <w:lang w:bidi="ar-SA"/>
              </w:rPr>
            </w:pPr>
            <w:r>
              <w:rPr>
                <w:rFonts w:hint="eastAsia" w:ascii="宋体" w:hAnsi="宋体" w:cs="宋体"/>
                <w:color w:val="000000"/>
                <w:kern w:val="0"/>
                <w:szCs w:val="21"/>
                <w:highlight w:val="none"/>
                <w:lang w:bidi="ar"/>
              </w:rPr>
              <w:t>C02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★钢筋金相组织（宏观金相、截面维氏硬度、微观组织）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钢筋焊接检测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55</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钢筋机械连接接头试验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55</w:t>
            </w:r>
          </w:p>
        </w:tc>
      </w:tr>
      <w:tr>
        <w:tblPrEx>
          <w:tblCellMar>
            <w:top w:w="0" w:type="dxa"/>
            <w:left w:w="0" w:type="dxa"/>
            <w:bottom w:w="0" w:type="dxa"/>
            <w:right w:w="0" w:type="dxa"/>
          </w:tblCellMar>
        </w:tblPrEx>
        <w:trPr>
          <w:trHeight w:val="49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砂（常规）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★天然砂氯离子含量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人工砂压碎值</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碎石、卵石（常规）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C09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碎石压碎值</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碎石针片状颗粒含量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水泥（安定性、强度、凝结时间）</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450</w:t>
            </w:r>
          </w:p>
        </w:tc>
      </w:tr>
      <w:tr>
        <w:tblPrEx>
          <w:tblCellMar>
            <w:top w:w="0" w:type="dxa"/>
            <w:left w:w="0" w:type="dxa"/>
            <w:bottom w:w="0" w:type="dxa"/>
            <w:right w:w="0" w:type="dxa"/>
          </w:tblCellMar>
        </w:tblPrEx>
        <w:trPr>
          <w:trHeight w:val="8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粉煤灰（细度、烧失量、含水量、</w:t>
            </w:r>
            <w:r>
              <w:rPr>
                <w:rStyle w:val="679"/>
                <w:rFonts w:hint="eastAsia" w:ascii="宋体" w:hAnsi="宋体" w:eastAsia="宋体" w:cs="宋体"/>
                <w:sz w:val="21"/>
                <w:szCs w:val="21"/>
                <w:highlight w:val="none"/>
                <w:lang w:bidi="ar"/>
              </w:rPr>
              <w:t>SO</w:t>
            </w:r>
            <w:r>
              <w:rPr>
                <w:rStyle w:val="785"/>
                <w:rFonts w:hint="default"/>
                <w:sz w:val="21"/>
                <w:szCs w:val="21"/>
                <w:highlight w:val="none"/>
                <w:vertAlign w:val="subscript"/>
                <w:lang w:bidi="ar"/>
              </w:rPr>
              <w:t>3</w:t>
            </w:r>
            <w:r>
              <w:rPr>
                <w:rStyle w:val="732"/>
                <w:rFonts w:hint="default"/>
                <w:sz w:val="21"/>
                <w:szCs w:val="21"/>
                <w:highlight w:val="none"/>
                <w:lang w:bidi="ar"/>
              </w:rPr>
              <w:t>、活性指数）</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103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矿粉（密度、比表面积、流动度、活性指数、含水量、三氧化硫）</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外加剂（pH值、含固量、密度、总碱量、减水率）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预拌砂浆</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工程现场混凝土抽样检测（包括试块制作、养护、试压等）</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混凝土抗渗性能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C19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★混凝土氯离子含量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混凝土拌合物用水</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回弹法检测混凝土抗压强度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1个构件</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300" w:hRule="atLeast"/>
        </w:trPr>
        <w:tc>
          <w:tcPr>
            <w:tcW w:w="7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11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C22C36</w:t>
            </w:r>
          </w:p>
        </w:tc>
        <w:tc>
          <w:tcPr>
            <w:tcW w:w="367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钻芯法检测混凝土抗压强度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1个构件</w:t>
            </w:r>
          </w:p>
        </w:tc>
        <w:tc>
          <w:tcPr>
            <w:tcW w:w="20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315"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11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367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r>
              <w:rPr>
                <w:rStyle w:val="679"/>
                <w:rFonts w:hint="eastAsia" w:ascii="宋体" w:hAnsi="宋体" w:eastAsia="宋体" w:cs="宋体"/>
                <w:sz w:val="21"/>
                <w:szCs w:val="21"/>
                <w:highlight w:val="none"/>
                <w:lang w:bidi="ar"/>
              </w:rPr>
              <w:t>3</w:t>
            </w:r>
            <w:r>
              <w:rPr>
                <w:rStyle w:val="732"/>
                <w:rFonts w:hint="default"/>
                <w:sz w:val="21"/>
                <w:szCs w:val="21"/>
                <w:highlight w:val="none"/>
                <w:lang w:bidi="ar"/>
              </w:rPr>
              <w:t>芯）</w:t>
            </w:r>
          </w:p>
        </w:tc>
        <w:tc>
          <w:tcPr>
            <w:tcW w:w="20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结构实体钢筋保护层厚度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1个构件</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层高</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板厚</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混凝土构件尺寸</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1个构件</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砂浆强度实体检测（贯入法、回弹法等）</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建筑工程饰面砖粘结强度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C29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钢管脚手架用扣件检测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只</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脚手架用钢管性能检测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外墙节能构造检测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保温板</w:t>
            </w:r>
            <w:r>
              <w:rPr>
                <w:rStyle w:val="679"/>
                <w:rFonts w:hint="eastAsia" w:ascii="宋体" w:hAnsi="宋体" w:eastAsia="宋体" w:cs="宋体"/>
                <w:sz w:val="21"/>
                <w:szCs w:val="21"/>
                <w:highlight w:val="none"/>
                <w:lang w:bidi="ar"/>
              </w:rPr>
              <w:t>/</w:t>
            </w:r>
            <w:r>
              <w:rPr>
                <w:rStyle w:val="732"/>
                <w:rFonts w:hint="default"/>
                <w:sz w:val="21"/>
                <w:szCs w:val="21"/>
                <w:highlight w:val="none"/>
                <w:lang w:bidi="ar"/>
              </w:rPr>
              <w:t>保温棉（常规）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建筑保温砂浆（常规）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建筑保温砂浆（燃烧性能）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35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★抗裂砂浆、抹面胶浆、界面砂浆、胶粘剂（常规）</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480" w:hRule="atLeast"/>
        </w:trPr>
        <w:tc>
          <w:tcPr>
            <w:tcW w:w="7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36</w:t>
            </w:r>
          </w:p>
        </w:tc>
        <w:tc>
          <w:tcPr>
            <w:tcW w:w="11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C36</w:t>
            </w:r>
          </w:p>
        </w:tc>
        <w:tc>
          <w:tcPr>
            <w:tcW w:w="183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★保温板</w:t>
            </w:r>
            <w:r>
              <w:rPr>
                <w:rStyle w:val="845"/>
                <w:rFonts w:hint="eastAsia" w:ascii="宋体" w:hAnsi="宋体" w:cs="宋体"/>
                <w:sz w:val="21"/>
                <w:szCs w:val="21"/>
                <w:highlight w:val="none"/>
                <w:lang w:bidi="ar"/>
              </w:rPr>
              <w:t>/</w:t>
            </w:r>
            <w:r>
              <w:rPr>
                <w:rStyle w:val="732"/>
                <w:rFonts w:hint="default"/>
                <w:sz w:val="21"/>
                <w:szCs w:val="21"/>
                <w:highlight w:val="none"/>
                <w:lang w:bidi="ar"/>
              </w:rPr>
              <w:t>保温棉（燃烧性能）</w:t>
            </w: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A级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2000</w:t>
            </w:r>
          </w:p>
        </w:tc>
      </w:tr>
      <w:tr>
        <w:tblPrEx>
          <w:tblCellMar>
            <w:top w:w="0" w:type="dxa"/>
            <w:left w:w="0" w:type="dxa"/>
            <w:bottom w:w="0" w:type="dxa"/>
            <w:right w:w="0" w:type="dxa"/>
          </w:tblCellMar>
        </w:tblPrEx>
        <w:trPr>
          <w:trHeight w:val="450" w:hRule="atLeast"/>
        </w:trPr>
        <w:tc>
          <w:tcPr>
            <w:tcW w:w="750" w:type="dxa"/>
            <w:vMerge w:val="continue"/>
            <w:tcBorders>
              <w:left w:val="single" w:color="auto" w:sz="4" w:space="0"/>
              <w:right w:val="single" w:color="auto" w:sz="4" w:space="0"/>
            </w:tcBorders>
            <w:noWrap w:val="0"/>
            <w:tcMar>
              <w:top w:w="15" w:type="dxa"/>
              <w:left w:w="15" w:type="dxa"/>
              <w:right w:w="15" w:type="dxa"/>
            </w:tcMar>
            <w:vAlign w:val="center"/>
          </w:tcPr>
          <w:p>
            <w:pPr>
              <w:spacing w:line="360" w:lineRule="auto"/>
              <w:jc w:val="center"/>
              <w:rPr>
                <w:rFonts w:ascii="宋体" w:hAnsi="宋体" w:eastAsia="宋体" w:cs="宋体"/>
                <w:color w:val="000000"/>
                <w:kern w:val="2"/>
                <w:sz w:val="21"/>
                <w:szCs w:val="21"/>
                <w:highlight w:val="none"/>
                <w:lang w:val="en-US" w:eastAsia="zh-CN" w:bidi="ar-SA"/>
              </w:rPr>
            </w:pPr>
          </w:p>
        </w:tc>
        <w:tc>
          <w:tcPr>
            <w:tcW w:w="11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p>
        </w:tc>
        <w:tc>
          <w:tcPr>
            <w:tcW w:w="18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B1级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3000</w:t>
            </w:r>
          </w:p>
        </w:tc>
      </w:tr>
      <w:tr>
        <w:tblPrEx>
          <w:tblCellMar>
            <w:top w:w="0" w:type="dxa"/>
            <w:left w:w="0" w:type="dxa"/>
            <w:bottom w:w="0" w:type="dxa"/>
            <w:right w:w="0" w:type="dxa"/>
          </w:tblCellMar>
        </w:tblPrEx>
        <w:trPr>
          <w:trHeight w:val="315" w:hRule="atLeast"/>
        </w:trPr>
        <w:tc>
          <w:tcPr>
            <w:tcW w:w="7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11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18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B2级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37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网格布</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38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电线</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39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C39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电缆</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10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锚栓拉拔</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蒸压加气混凝土砌块（干密度、抗压强度、导热系数）</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烧结普通砖（抗压强度）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烧结多孔砖（抗压强度）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129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★水泥基渗透结晶型防水涂料试验（全项）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聚氨酯防水涂料试验（全项）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2"/>
                <w:szCs w:val="21"/>
                <w:highlight w:val="none"/>
                <w:lang w:bidi="ar-SA"/>
              </w:rPr>
            </w:pPr>
            <w:r>
              <w:rPr>
                <w:rFonts w:hint="eastAsia" w:ascii="宋体" w:hAnsi="宋体" w:cs="宋体"/>
                <w:color w:val="000000"/>
                <w:kern w:val="0"/>
                <w:szCs w:val="21"/>
                <w:highlight w:val="none"/>
                <w:lang w:bidi="ar"/>
              </w:rPr>
              <w:t>C46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★防腐涂料</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2"/>
                <w:szCs w:val="21"/>
                <w:highlight w:val="none"/>
                <w:lang w:bidi="ar-SA"/>
              </w:rPr>
            </w:pPr>
            <w:r>
              <w:rPr>
                <w:rFonts w:hint="eastAsia" w:ascii="宋体" w:hAnsi="宋体" w:cs="宋体"/>
                <w:color w:val="000000"/>
                <w:kern w:val="0"/>
                <w:szCs w:val="21"/>
                <w:highlight w:val="none"/>
                <w:lang w:bidi="ar"/>
              </w:rPr>
              <w:t>C47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★建筑反射隔热涂料（太阳光反射比、近红外反射比）</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1500</w:t>
            </w:r>
          </w:p>
        </w:tc>
      </w:tr>
      <w:tr>
        <w:tblPrEx>
          <w:tblCellMar>
            <w:top w:w="0" w:type="dxa"/>
            <w:left w:w="0" w:type="dxa"/>
            <w:bottom w:w="0" w:type="dxa"/>
            <w:right w:w="0" w:type="dxa"/>
          </w:tblCellMar>
        </w:tblPrEx>
        <w:trPr>
          <w:trHeight w:val="55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★热塑性聚烯烃防水卷材试验</w:t>
            </w:r>
            <w:r>
              <w:rPr>
                <w:rStyle w:val="732"/>
                <w:rFonts w:hint="default"/>
                <w:sz w:val="21"/>
                <w:szCs w:val="21"/>
                <w:highlight w:val="none"/>
                <w:lang w:bidi="ar"/>
              </w:rPr>
              <w:t>（全项）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5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49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C49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预铺</w:t>
            </w:r>
            <w:r>
              <w:rPr>
                <w:rStyle w:val="845"/>
                <w:rFonts w:hint="eastAsia" w:ascii="宋体" w:hAnsi="宋体" w:cs="宋体"/>
                <w:sz w:val="21"/>
                <w:szCs w:val="21"/>
                <w:highlight w:val="none"/>
                <w:lang w:bidi="ar"/>
              </w:rPr>
              <w:t>/</w:t>
            </w:r>
            <w:r>
              <w:rPr>
                <w:rStyle w:val="732"/>
                <w:rFonts w:hint="default"/>
                <w:sz w:val="21"/>
                <w:szCs w:val="21"/>
                <w:highlight w:val="none"/>
                <w:lang w:bidi="ar"/>
              </w:rPr>
              <w:t>湿铺防水卷材试验（全项）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81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聚氯乙烯防水卷材</w:t>
            </w:r>
            <w:r>
              <w:rPr>
                <w:rStyle w:val="845"/>
                <w:rFonts w:hint="eastAsia" w:ascii="宋体" w:hAnsi="宋体" w:cs="宋体"/>
                <w:sz w:val="21"/>
                <w:szCs w:val="21"/>
                <w:highlight w:val="none"/>
                <w:lang w:bidi="ar"/>
              </w:rPr>
              <w:t>/</w:t>
            </w:r>
            <w:r>
              <w:rPr>
                <w:rStyle w:val="732"/>
                <w:rFonts w:hint="default"/>
                <w:sz w:val="21"/>
                <w:szCs w:val="21"/>
                <w:highlight w:val="none"/>
                <w:lang w:bidi="ar"/>
              </w:rPr>
              <w:t>氯化聚乙烯防水卷材试验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高分子防水材料（片材）试验（全项）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高分子防水材料（止水带）试验（全项）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高分子防水材料（遇水膨胀橡胶）试验（全项）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膨润土橡胶遇水膨胀止水条试验（全项）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★自粘聚合物改性沥青防水卷材（全项）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Style w:val="732"/>
                <w:rFonts w:hint="default"/>
                <w:sz w:val="21"/>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106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沥青复合胎柔性防水卷材</w:t>
            </w:r>
            <w:r>
              <w:rPr>
                <w:rStyle w:val="845"/>
                <w:rFonts w:hint="eastAsia" w:ascii="宋体" w:hAnsi="宋体" w:cs="宋体"/>
                <w:sz w:val="21"/>
                <w:szCs w:val="21"/>
                <w:highlight w:val="none"/>
                <w:lang w:bidi="ar"/>
              </w:rPr>
              <w:t>/</w:t>
            </w:r>
            <w:r>
              <w:rPr>
                <w:rStyle w:val="732"/>
                <w:rFonts w:hint="default"/>
                <w:sz w:val="21"/>
                <w:szCs w:val="21"/>
                <w:highlight w:val="none"/>
                <w:lang w:bidi="ar"/>
              </w:rPr>
              <w:t>改性沥青聚乙烯胎防水卷材试验（全项）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★结构砼氯离子含量试验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C58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★结构砼抗氯离子渗透性能试验（电通量法）</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59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bidi="ar"/>
              </w:rPr>
              <w:t>C</w:t>
            </w:r>
            <w:r>
              <w:rPr>
                <w:rFonts w:hint="eastAsia" w:ascii="宋体" w:hAnsi="宋体" w:cs="宋体"/>
                <w:color w:val="000000"/>
                <w:kern w:val="0"/>
                <w:szCs w:val="21"/>
                <w:highlight w:val="none"/>
                <w:lang w:val="en-US" w:eastAsia="zh-CN" w:bidi="ar"/>
              </w:rPr>
              <w:t>59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混凝土中碱含量试验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4000</w:t>
            </w:r>
          </w:p>
        </w:tc>
      </w:tr>
      <w:tr>
        <w:tblPrEx>
          <w:tblCellMar>
            <w:top w:w="0" w:type="dxa"/>
            <w:left w:w="0" w:type="dxa"/>
            <w:bottom w:w="0" w:type="dxa"/>
            <w:right w:w="0" w:type="dxa"/>
          </w:tblCellMar>
        </w:tblPrEx>
        <w:trPr>
          <w:trHeight w:val="402"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bidi="ar"/>
              </w:rPr>
              <w:t>C</w:t>
            </w:r>
            <w:r>
              <w:rPr>
                <w:rFonts w:hint="eastAsia" w:ascii="宋体" w:hAnsi="宋体" w:cs="宋体"/>
                <w:color w:val="000000"/>
                <w:kern w:val="0"/>
                <w:szCs w:val="21"/>
                <w:highlight w:val="none"/>
                <w:lang w:val="en-US" w:eastAsia="zh-CN" w:bidi="ar"/>
              </w:rPr>
              <w:t>60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安全网</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bidi="ar"/>
              </w:rPr>
              <w:t>C</w:t>
            </w:r>
            <w:r>
              <w:rPr>
                <w:rFonts w:hint="eastAsia" w:ascii="宋体" w:hAnsi="宋体" w:cs="宋体"/>
                <w:color w:val="000000"/>
                <w:kern w:val="0"/>
                <w:szCs w:val="21"/>
                <w:highlight w:val="none"/>
                <w:lang w:val="en-US" w:eastAsia="zh-CN" w:bidi="ar"/>
              </w:rPr>
              <w:t>61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★灌浆套筒连接接头残余变形试验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C</w:t>
            </w:r>
            <w:r>
              <w:rPr>
                <w:rFonts w:hint="eastAsia" w:ascii="宋体" w:hAnsi="宋体" w:cs="宋体"/>
                <w:color w:val="000000"/>
                <w:kern w:val="0"/>
                <w:szCs w:val="21"/>
                <w:highlight w:val="none"/>
                <w:lang w:val="en-US" w:eastAsia="zh-CN" w:bidi="ar"/>
              </w:rPr>
              <w:t>62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★预制混凝土构件结构性能试验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8000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建筑门窗四项性能检测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建筑门窗传热系数检测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建筑外窗或阳台门现场气密性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65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中空玻璃常规性能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66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硅酮密封胶/结构胶常规性能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67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★建筑用硅酮结构密封胶相容性试验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68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花岗岩（或大理石）常规性能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69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幕墙后置锚栓拉拔试验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M9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★幕墙金属龙骨镀锌层厚度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M10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★风机盘管性能试验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M11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★防火止回阀耐火性能试验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G1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普通螺栓力学、硬度试验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G2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高强度螺栓预拉力（扭矩系数）检验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G3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★钢结构焊缝超声波检测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G4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防火涂料涂层厚度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G5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防腐涂层厚度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★排气道（烟道）管材物理力学性能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79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预应力混凝土桥梁用塑料波纹管性能试验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55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★雨、污水管道</w:t>
            </w:r>
            <w:r>
              <w:rPr>
                <w:rStyle w:val="845"/>
                <w:rFonts w:hint="eastAsia" w:ascii="宋体" w:hAnsi="宋体" w:cs="宋体"/>
                <w:sz w:val="21"/>
                <w:szCs w:val="21"/>
                <w:highlight w:val="none"/>
                <w:lang w:bidi="ar"/>
              </w:rPr>
              <w:t>CCTV</w:t>
            </w:r>
            <w:r>
              <w:rPr>
                <w:rStyle w:val="732"/>
                <w:rFonts w:hint="default"/>
                <w:sz w:val="21"/>
                <w:szCs w:val="21"/>
                <w:highlight w:val="none"/>
                <w:lang w:bidi="ar"/>
              </w:rPr>
              <w:t>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钢板（角钢、槽钢等）力学性能（抗拉、屈服、延伸）</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铝合金力学性能（抗拉、屈服、延伸）</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钢筋焊接网</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土工布</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★碗扣式钢管脚手架性能试验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门式钢管脚手架性能试验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★盘扣式钢管脚手架性能试验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路缘石、路面砖尺寸测量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89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路面砖力学性能</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沥青（针入度、延度、软化点）</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w:t>
            </w:r>
          </w:p>
        </w:tc>
      </w:tr>
      <w:tr>
        <w:tblPrEx>
          <w:tblCellMar>
            <w:top w:w="0" w:type="dxa"/>
            <w:left w:w="0" w:type="dxa"/>
            <w:bottom w:w="0" w:type="dxa"/>
            <w:right w:w="0" w:type="dxa"/>
          </w:tblCellMar>
        </w:tblPrEx>
        <w:trPr>
          <w:trHeight w:val="54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压实沥青混合料密实度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点（每层</w:t>
            </w:r>
            <w:r>
              <w:rPr>
                <w:rStyle w:val="679"/>
                <w:rFonts w:hint="eastAsia" w:ascii="宋体" w:hAnsi="宋体" w:eastAsia="宋体" w:cs="宋体"/>
                <w:sz w:val="21"/>
                <w:szCs w:val="21"/>
                <w:highlight w:val="none"/>
                <w:lang w:bidi="ar"/>
              </w:rPr>
              <w:t>1</w:t>
            </w:r>
            <w:r>
              <w:rPr>
                <w:rStyle w:val="732"/>
                <w:rFonts w:hint="default"/>
                <w:sz w:val="21"/>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沥青混合料马歇尔稳定度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沥青含量检测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无机结合料无侧限抗压强度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预应力筋用锚具、夹具硬度试验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个</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S19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锚固静载试验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孔</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预应力混凝土用钢绞线拉伸试验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土压实度（灌砂法）</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99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土压实度（环刀法）</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路基路面回弹弯沉试验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路基路面钻芯法检测厚度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集料筛分试验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85</w:t>
            </w:r>
          </w:p>
        </w:tc>
      </w:tr>
      <w:tr>
        <w:tblPrEx>
          <w:tblCellMar>
            <w:top w:w="0" w:type="dxa"/>
            <w:left w:w="0" w:type="dxa"/>
            <w:bottom w:w="0" w:type="dxa"/>
            <w:right w:w="0"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集料含泥量试验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S27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★桥梁静载试验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跨</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45000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S28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★桥梁动载试验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跨</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S29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r>
              <w:rPr>
                <w:rFonts w:hint="eastAsia" w:ascii="宋体" w:hAnsi="宋体" w:cs="宋体"/>
                <w:color w:val="000000"/>
                <w:szCs w:val="21"/>
                <w:highlight w:val="none"/>
              </w:rPr>
              <w:t>地质雷达检测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公里</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S</w:t>
            </w:r>
            <w:r>
              <w:rPr>
                <w:rFonts w:hint="eastAsia" w:ascii="宋体" w:hAnsi="宋体" w:cs="宋体"/>
                <w:color w:val="000000"/>
                <w:kern w:val="0"/>
                <w:szCs w:val="21"/>
                <w:highlight w:val="none"/>
                <w:lang w:val="en-US" w:eastAsia="zh-CN" w:bidi="ar"/>
              </w:rPr>
              <w:t>30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★聚乙烯</w:t>
            </w:r>
            <w:r>
              <w:rPr>
                <w:rFonts w:ascii="宋体" w:hAnsi="宋体" w:cs="宋体"/>
                <w:color w:val="000000"/>
                <w:kern w:val="0"/>
                <w:szCs w:val="21"/>
                <w:highlight w:val="none"/>
                <w:lang w:bidi="ar"/>
              </w:rPr>
              <w:t>管道</w:t>
            </w:r>
            <w:r>
              <w:rPr>
                <w:rFonts w:hint="eastAsia" w:ascii="宋体" w:hAnsi="宋体" w:cs="宋体"/>
                <w:color w:val="000000"/>
                <w:kern w:val="0"/>
                <w:szCs w:val="21"/>
                <w:highlight w:val="none"/>
                <w:lang w:bidi="ar"/>
              </w:rPr>
              <w:t>静液压和耐内压试验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S</w:t>
            </w:r>
            <w:r>
              <w:rPr>
                <w:rFonts w:hint="eastAsia" w:ascii="宋体" w:hAnsi="宋体" w:cs="宋体"/>
                <w:color w:val="000000"/>
                <w:kern w:val="0"/>
                <w:szCs w:val="21"/>
                <w:highlight w:val="none"/>
                <w:lang w:val="en-US" w:eastAsia="zh-CN" w:bidi="ar"/>
              </w:rPr>
              <w:t>31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★地下连续墙完整性和成槽质量检测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109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桩基低应变动测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桩基高应变动测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桩基声波透射法检测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单桩竖向抗压静载试验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吨</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单桩复合地基抗压静载试验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吨</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45</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钻芯法检测混凝土灌注桩强度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钻芯法检测桩基完整性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350</w:t>
            </w:r>
          </w:p>
        </w:tc>
      </w:tr>
      <w:tr>
        <w:tblPrEx>
          <w:tblCellMar>
            <w:top w:w="0" w:type="dxa"/>
            <w:left w:w="0" w:type="dxa"/>
            <w:bottom w:w="0" w:type="dxa"/>
            <w:right w:w="0" w:type="dxa"/>
          </w:tblCellMar>
        </w:tblPrEx>
        <w:trPr>
          <w:trHeight w:val="37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★基桩钢筋笼长度</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200</w:t>
            </w:r>
          </w:p>
        </w:tc>
      </w:tr>
      <w:tr>
        <w:tblPrEx>
          <w:tblCellMar>
            <w:top w:w="0" w:type="dxa"/>
            <w:left w:w="0" w:type="dxa"/>
            <w:bottom w:w="0" w:type="dxa"/>
            <w:right w:w="0" w:type="dxa"/>
          </w:tblCellMar>
        </w:tblPrEx>
        <w:trPr>
          <w:trHeight w:val="78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D9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水泥土桩（三轴搅拌桩、高压旋喷桩）加固取芯检测</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★空气中的甲醛</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119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★空气中的氨</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H3</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★空气中的氡</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H4</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★空气中的苯</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122</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H5</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★空气中的甲苯</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123</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H6</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★空气中的二甲苯</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124</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H7</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★空气中总挥发性有机化合物（TVOC）</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点</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bidi="ar"/>
              </w:rPr>
              <w:t>125</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H8</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内墙涂料有害物质</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bidi="ar"/>
              </w:rPr>
              <w:t>126</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H9</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（墙）壁纸有害物质</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127</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H10</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天然石材放射性</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128</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H11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★装修材料（木材）甲醛释放量</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3500</w:t>
            </w:r>
          </w:p>
        </w:tc>
      </w:tr>
      <w:tr>
        <w:tblPrEx>
          <w:tblCellMar>
            <w:top w:w="0" w:type="dxa"/>
            <w:left w:w="0" w:type="dxa"/>
            <w:bottom w:w="0" w:type="dxa"/>
            <w:right w:w="0" w:type="dxa"/>
          </w:tblCellMar>
        </w:tblPrEx>
        <w:trPr>
          <w:trHeight w:val="52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szCs w:val="21"/>
                <w:highlight w:val="none"/>
                <w:lang w:val="en-US" w:eastAsia="zh-CN"/>
              </w:rPr>
              <w:t>129</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bidi="ar"/>
              </w:rPr>
              <w:t>H1</w:t>
            </w:r>
            <w:r>
              <w:rPr>
                <w:rFonts w:hint="eastAsia" w:ascii="宋体" w:hAnsi="宋体" w:cs="宋体"/>
                <w:color w:val="000000"/>
                <w:kern w:val="0"/>
                <w:szCs w:val="21"/>
                <w:highlight w:val="none"/>
                <w:lang w:val="en-US" w:eastAsia="zh-CN" w:bidi="ar"/>
              </w:rPr>
              <w:t>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★合成材料面层运动场地（塑胶跑道）的TVOC、甲醛、苯、甲苯、二甲苯和乙苯总和</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组</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12000</w:t>
            </w:r>
          </w:p>
        </w:tc>
      </w:tr>
      <w:tr>
        <w:tblPrEx>
          <w:tblCellMar>
            <w:top w:w="0" w:type="dxa"/>
            <w:left w:w="0" w:type="dxa"/>
            <w:bottom w:w="0" w:type="dxa"/>
            <w:right w:w="0" w:type="dxa"/>
          </w:tblCellMar>
        </w:tblPrEx>
        <w:trPr>
          <w:trHeight w:val="315"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130</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F1</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★住宅工程分户验收</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450</w:t>
            </w:r>
          </w:p>
        </w:tc>
      </w:tr>
      <w:tr>
        <w:tblPrEx>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131</w:t>
            </w: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F2</w:t>
            </w:r>
          </w:p>
        </w:tc>
        <w:tc>
          <w:tcPr>
            <w:tcW w:w="367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★全装修住宅分户验收</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20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500</w:t>
            </w:r>
          </w:p>
        </w:tc>
      </w:tr>
    </w:tbl>
    <w:p>
      <w:pPr>
        <w:snapToGrid w:val="0"/>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说明：1）</w:t>
      </w:r>
      <w:r>
        <w:rPr>
          <w:rFonts w:hint="eastAsia" w:ascii="宋体" w:hAnsi="宋体" w:cs="宋体"/>
          <w:b/>
          <w:snapToGrid w:val="0"/>
          <w:kern w:val="0"/>
          <w:sz w:val="24"/>
          <w:lang w:eastAsia="zh-CN"/>
        </w:rPr>
        <w:t>综合</w:t>
      </w:r>
      <w:r>
        <w:rPr>
          <w:rFonts w:hint="eastAsia" w:ascii="宋体" w:hAnsi="宋体" w:cs="宋体"/>
          <w:b/>
          <w:snapToGrid w:val="0"/>
          <w:kern w:val="0"/>
          <w:sz w:val="24"/>
        </w:rPr>
        <w:t>单价应包括完成全部检测内容所需的一切人工、工具、设备、保险、交通、利润、税金、其它需中标单位承担的费用的一切费用。</w:t>
      </w:r>
    </w:p>
    <w:p>
      <w:pPr>
        <w:snapToGrid w:val="0"/>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2）</w:t>
      </w:r>
      <w:r>
        <w:rPr>
          <w:rFonts w:hint="eastAsia" w:ascii="宋体" w:hAnsi="宋体" w:cs="宋体"/>
          <w:b/>
          <w:snapToGrid w:val="0"/>
          <w:kern w:val="0"/>
          <w:sz w:val="24"/>
          <w:lang w:eastAsia="zh-CN"/>
        </w:rPr>
        <w:t>综合</w:t>
      </w:r>
      <w:r>
        <w:rPr>
          <w:rFonts w:hint="eastAsia" w:ascii="宋体" w:hAnsi="宋体" w:cs="宋体"/>
          <w:b/>
          <w:snapToGrid w:val="0"/>
          <w:kern w:val="0"/>
          <w:sz w:val="24"/>
        </w:rPr>
        <w:t>单价</w:t>
      </w:r>
      <w:r>
        <w:rPr>
          <w:rFonts w:hint="eastAsia" w:ascii="宋体" w:hAnsi="宋体" w:cs="宋体"/>
          <w:b/>
          <w:snapToGrid w:val="0"/>
          <w:kern w:val="0"/>
          <w:sz w:val="24"/>
          <w:lang w:eastAsia="zh-CN"/>
        </w:rPr>
        <w:t>乘以单价折扣</w:t>
      </w:r>
      <w:r>
        <w:rPr>
          <w:rFonts w:hint="eastAsia" w:ascii="宋体" w:hAnsi="宋体" w:cs="宋体"/>
          <w:b/>
          <w:snapToGrid w:val="0"/>
          <w:kern w:val="0"/>
          <w:sz w:val="24"/>
        </w:rPr>
        <w:t>在合同执行期内固定不变，因各种原因而导致费用的增减，采购方均不考虑补偿，结算总价根据完成的检测项目数量</w:t>
      </w:r>
      <w:r>
        <w:rPr>
          <w:rFonts w:hint="eastAsia" w:ascii="宋体" w:hAnsi="宋体" w:cs="宋体"/>
          <w:b/>
          <w:snapToGrid w:val="0"/>
          <w:kern w:val="0"/>
          <w:sz w:val="24"/>
          <w:lang w:eastAsia="zh-CN"/>
        </w:rPr>
        <w:t>乘以单价折扣</w:t>
      </w:r>
      <w:r>
        <w:rPr>
          <w:rFonts w:hint="eastAsia" w:ascii="宋体" w:hAnsi="宋体" w:cs="宋体"/>
          <w:b/>
          <w:snapToGrid w:val="0"/>
          <w:kern w:val="0"/>
          <w:sz w:val="24"/>
        </w:rPr>
        <w:t>按实结算。</w:t>
      </w:r>
    </w:p>
    <w:p>
      <w:pPr>
        <w:snapToGrid w:val="0"/>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3）服务要求在合同履行期内若主管部门有其他政策颁布的，依照最新政策所规定的落实。</w:t>
      </w:r>
    </w:p>
    <w:p>
      <w:pPr>
        <w:spacing w:line="360" w:lineRule="auto"/>
        <w:ind w:firstLine="480" w:firstLineChars="200"/>
        <w:rPr>
          <w:rFonts w:hint="eastAsia" w:ascii="宋体" w:hAnsi="宋体" w:cs="宋体"/>
          <w:sz w:val="24"/>
        </w:rPr>
      </w:pPr>
      <w:r>
        <w:rPr>
          <w:rFonts w:hint="eastAsia" w:ascii="宋体" w:hAnsi="宋体" w:cs="宋体"/>
          <w:sz w:val="24"/>
        </w:rPr>
        <w:t>4）其他无结算标准的有关检测内容由招标人根据市场行情报有关主管部门同意后作为检测费用，委托双方视具体检测项目根据市场价协商解决；</w:t>
      </w:r>
    </w:p>
    <w:p>
      <w:pPr>
        <w:spacing w:line="360" w:lineRule="auto"/>
        <w:ind w:firstLine="482" w:firstLineChars="200"/>
        <w:rPr>
          <w:rFonts w:hint="eastAsia" w:ascii="宋体" w:hAnsi="宋体" w:cs="宋体"/>
          <w:b/>
          <w:sz w:val="24"/>
        </w:rPr>
      </w:pPr>
      <w:r>
        <w:rPr>
          <w:rFonts w:hint="eastAsia" w:ascii="宋体" w:hAnsi="宋体" w:cs="宋体"/>
          <w:b/>
          <w:sz w:val="24"/>
        </w:rPr>
        <w:t>5)检测响应时间：所有检测项目均应在接到通知后在规定的时间内出具有效的检测报告，否则该次检测费用不予支付。</w:t>
      </w:r>
    </w:p>
    <w:p>
      <w:pPr>
        <w:pStyle w:val="25"/>
        <w:spacing w:line="360" w:lineRule="auto"/>
        <w:ind w:firstLine="480" w:firstLineChars="200"/>
        <w:rPr>
          <w:rFonts w:hint="eastAsia" w:ascii="宋体" w:hAnsi="宋体" w:eastAsia="宋体" w:cs="宋体"/>
          <w:b/>
          <w:sz w:val="24"/>
          <w:lang w:val="en-US" w:eastAsia="zh-CN"/>
        </w:rPr>
      </w:pPr>
      <w:r>
        <w:rPr>
          <w:rFonts w:ascii="仿宋_GB2312" w:hAnsi="仿宋" w:eastAsia="仿宋_GB2312"/>
          <w:sz w:val="24"/>
        </w:rPr>
        <w:t>▲</w:t>
      </w:r>
      <w:r>
        <w:rPr>
          <w:rFonts w:hint="eastAsia" w:ascii="宋体" w:hAnsi="宋体" w:eastAsia="宋体" w:cs="宋体"/>
          <w:b/>
          <w:sz w:val="24"/>
          <w:lang w:val="en-US" w:eastAsia="zh-CN"/>
        </w:rPr>
        <w:t>6)</w:t>
      </w:r>
      <w:r>
        <w:rPr>
          <w:rFonts w:hint="eastAsia" w:cs="宋体"/>
          <w:b/>
          <w:sz w:val="24"/>
          <w:lang w:val="en-US" w:eastAsia="zh-CN"/>
        </w:rPr>
        <w:t>投标报价及</w:t>
      </w:r>
      <w:r>
        <w:rPr>
          <w:rFonts w:hint="eastAsia" w:ascii="宋体" w:hAnsi="宋体" w:eastAsia="宋体" w:cs="宋体"/>
          <w:b/>
          <w:sz w:val="24"/>
          <w:lang w:val="en-US" w:eastAsia="zh-CN"/>
        </w:rPr>
        <w:t>结算</w:t>
      </w:r>
      <w:r>
        <w:rPr>
          <w:rFonts w:hint="eastAsia" w:cs="宋体"/>
          <w:b/>
          <w:sz w:val="24"/>
          <w:lang w:val="en-US" w:eastAsia="zh-CN"/>
        </w:rPr>
        <w:t>方式</w:t>
      </w:r>
      <w:r>
        <w:rPr>
          <w:rFonts w:hint="eastAsia" w:ascii="宋体" w:hAnsi="宋体" w:eastAsia="宋体" w:cs="宋体"/>
          <w:b/>
          <w:sz w:val="24"/>
          <w:lang w:val="en-US" w:eastAsia="zh-CN"/>
        </w:rPr>
        <w:t>：投标报价折扣不得超过“</w:t>
      </w:r>
      <w:r>
        <w:rPr>
          <w:rFonts w:hint="eastAsia" w:ascii="宋体" w:hAnsi="宋体" w:cs="宋体"/>
          <w:b/>
          <w:bCs w:val="0"/>
          <w:sz w:val="24"/>
        </w:rPr>
        <w:t>检测</w:t>
      </w:r>
      <w:r>
        <w:rPr>
          <w:rFonts w:hint="eastAsia" w:ascii="宋体" w:hAnsi="宋体" w:cs="宋体"/>
          <w:b/>
          <w:bCs w:val="0"/>
          <w:sz w:val="24"/>
          <w:lang w:eastAsia="zh-CN"/>
        </w:rPr>
        <w:t>内容和最高限价一览表</w:t>
      </w:r>
      <w:r>
        <w:rPr>
          <w:rFonts w:hint="eastAsia" w:ascii="宋体" w:hAnsi="宋体" w:eastAsia="宋体" w:cs="宋体"/>
          <w:b/>
          <w:sz w:val="24"/>
          <w:lang w:val="en-US" w:eastAsia="zh-CN"/>
        </w:rPr>
        <w:t>”的100%，投标报价按折扣进行报价，</w:t>
      </w:r>
      <w:r>
        <w:rPr>
          <w:rFonts w:hint="eastAsia" w:ascii="宋体" w:hAnsi="宋体" w:eastAsia="宋体" w:cs="宋体"/>
          <w:b/>
          <w:sz w:val="24"/>
          <w:lang w:eastAsia="zh-CN"/>
        </w:rPr>
        <w:t>填报统一折扣</w:t>
      </w:r>
      <w:r>
        <w:rPr>
          <w:rFonts w:hint="eastAsia" w:ascii="宋体" w:eastAsia="宋体"/>
          <w:b/>
          <w:sz w:val="24"/>
          <w:u w:val="single"/>
        </w:rPr>
        <w:t xml:space="preserve"> </w:t>
      </w:r>
      <w:r>
        <w:rPr>
          <w:rFonts w:hint="eastAsia" w:ascii="宋体" w:eastAsia="宋体"/>
          <w:b/>
          <w:sz w:val="24"/>
          <w:u w:val="single"/>
          <w:lang w:val="en-US" w:eastAsia="zh-CN"/>
        </w:rPr>
        <w:t xml:space="preserve"> </w:t>
      </w:r>
      <w:r>
        <w:rPr>
          <w:rFonts w:hint="eastAsia" w:ascii="宋体" w:eastAsia="宋体"/>
          <w:b/>
          <w:sz w:val="24"/>
        </w:rPr>
        <w:t>%</w:t>
      </w:r>
      <w:r>
        <w:rPr>
          <w:rFonts w:hint="eastAsia" w:ascii="宋体" w:hAnsi="宋体" w:eastAsia="宋体" w:cs="宋体"/>
          <w:b/>
          <w:sz w:val="24"/>
          <w:lang w:val="en-US" w:eastAsia="zh-CN"/>
        </w:rPr>
        <w:t xml:space="preserve"> </w:t>
      </w:r>
      <w:r>
        <w:rPr>
          <w:rFonts w:hint="eastAsia" w:ascii="宋体" w:hAnsi="宋体" w:eastAsia="宋体" w:cs="宋体"/>
          <w:b/>
          <w:sz w:val="24"/>
          <w:lang w:eastAsia="zh-CN"/>
        </w:rPr>
        <w:t>（例</w:t>
      </w:r>
      <w:r>
        <w:rPr>
          <w:rFonts w:hint="eastAsia" w:ascii="宋体" w:hAnsi="宋体" w:eastAsia="宋体" w:cs="宋体"/>
          <w:b/>
          <w:sz w:val="24"/>
          <w:lang w:val="en-US" w:eastAsia="zh-CN"/>
        </w:rPr>
        <w:t>80%或90%即为打八折和九折，即八折优惠更大），不得填报负数和O，不得分项不同折扣,所有子项分项折扣均统一,否则作无效标处理。</w:t>
      </w:r>
    </w:p>
    <w:p>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报价结算公式：监督检测费用综合单价（元）× 投标报价折扣</w:t>
      </w:r>
      <w:r>
        <w:rPr>
          <w:rFonts w:hint="eastAsia" w:ascii="宋体" w:hAnsi="宋体" w:cs="宋体"/>
          <w:b/>
          <w:bCs/>
          <w:sz w:val="24"/>
          <w:u w:val="single"/>
          <w:lang w:val="en-US" w:eastAsia="zh-CN"/>
        </w:rPr>
        <w:t xml:space="preserve">  </w:t>
      </w:r>
      <w:r>
        <w:rPr>
          <w:rFonts w:hint="eastAsia" w:ascii="宋体" w:hAnsi="宋体" w:cs="宋体"/>
          <w:b/>
          <w:bCs/>
          <w:sz w:val="24"/>
        </w:rPr>
        <w:t>%×</w:t>
      </w:r>
      <w:r>
        <w:rPr>
          <w:rFonts w:hint="eastAsia" w:ascii="宋体" w:hAnsi="宋体" w:cs="宋体"/>
          <w:b/>
          <w:snapToGrid w:val="0"/>
          <w:kern w:val="0"/>
          <w:sz w:val="24"/>
        </w:rPr>
        <w:t>检测项目数量</w:t>
      </w:r>
      <w:r>
        <w:rPr>
          <w:rFonts w:hint="eastAsia" w:ascii="宋体" w:hAnsi="宋体" w:cs="宋体"/>
          <w:b/>
          <w:bCs/>
          <w:sz w:val="24"/>
        </w:rPr>
        <w:t xml:space="preserve"> = 实际结算价。</w:t>
      </w:r>
    </w:p>
    <w:p>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举例：天然石材放射性</w:t>
      </w:r>
      <w:r>
        <w:rPr>
          <w:rFonts w:hint="eastAsia" w:ascii="宋体" w:hAnsi="宋体" w:cs="宋体"/>
          <w:b/>
          <w:bCs/>
          <w:sz w:val="24"/>
          <w:lang w:val="en-US" w:eastAsia="zh-CN"/>
        </w:rPr>
        <w:t>检测1组1000元，检测10组，</w:t>
      </w:r>
      <w:r>
        <w:rPr>
          <w:rFonts w:hint="eastAsia" w:ascii="宋体" w:hAnsi="宋体" w:cs="宋体"/>
          <w:b/>
          <w:bCs/>
          <w:sz w:val="24"/>
        </w:rPr>
        <w:t>投标单位填写折扣为85%，则如若中标，综合单价</w:t>
      </w:r>
      <w:r>
        <w:rPr>
          <w:rFonts w:hint="eastAsia" w:ascii="宋体" w:hAnsi="宋体" w:cs="宋体"/>
          <w:b/>
          <w:bCs/>
          <w:sz w:val="24"/>
          <w:lang w:val="en-US" w:eastAsia="zh-CN"/>
        </w:rPr>
        <w:t>1000</w:t>
      </w:r>
      <w:r>
        <w:rPr>
          <w:rFonts w:hint="eastAsia" w:ascii="宋体" w:hAnsi="宋体" w:cs="宋体"/>
          <w:b/>
          <w:bCs/>
          <w:sz w:val="24"/>
        </w:rPr>
        <w:t>（元）× 投标报价折扣85%×</w:t>
      </w:r>
      <w:r>
        <w:rPr>
          <w:rFonts w:hint="eastAsia" w:ascii="宋体" w:hAnsi="宋体" w:cs="宋体"/>
          <w:b/>
          <w:snapToGrid w:val="0"/>
          <w:kern w:val="0"/>
          <w:sz w:val="24"/>
          <w:lang w:val="en-US" w:eastAsia="zh-CN"/>
        </w:rPr>
        <w:t>10组</w:t>
      </w:r>
      <w:r>
        <w:rPr>
          <w:rFonts w:hint="eastAsia" w:ascii="宋体" w:hAnsi="宋体" w:cs="宋体"/>
          <w:b/>
          <w:bCs/>
          <w:sz w:val="24"/>
        </w:rPr>
        <w:t xml:space="preserve"> = </w:t>
      </w:r>
      <w:r>
        <w:rPr>
          <w:rFonts w:hint="eastAsia" w:ascii="宋体" w:hAnsi="宋体" w:cs="宋体"/>
          <w:b/>
          <w:bCs/>
          <w:sz w:val="24"/>
          <w:lang w:val="en-US" w:eastAsia="zh-CN"/>
        </w:rPr>
        <w:t>85000元</w:t>
      </w:r>
      <w:r>
        <w:rPr>
          <w:rFonts w:hint="eastAsia" w:ascii="宋体" w:hAnsi="宋体" w:cs="宋体"/>
          <w:b/>
          <w:bCs/>
          <w:sz w:val="24"/>
        </w:rPr>
        <w:t>。</w:t>
      </w:r>
    </w:p>
    <w:p>
      <w:pPr>
        <w:pStyle w:val="85"/>
        <w:spacing w:line="360" w:lineRule="auto"/>
        <w:ind w:firstLine="480" w:firstLineChars="200"/>
        <w:rPr>
          <w:rFonts w:hint="eastAsia"/>
        </w:rPr>
      </w:pPr>
    </w:p>
    <w:p>
      <w:pPr>
        <w:pStyle w:val="85"/>
        <w:spacing w:line="360" w:lineRule="auto"/>
        <w:ind w:firstLine="480" w:firstLineChars="200"/>
        <w:rPr>
          <w:rFonts w:hint="eastAsia"/>
        </w:rPr>
      </w:pPr>
      <w:r>
        <w:rPr>
          <w:rFonts w:hint="eastAsia"/>
          <w:lang w:eastAsia="zh-CN"/>
        </w:rPr>
        <w:t>注：</w:t>
      </w:r>
      <w:r>
        <w:rPr>
          <w:rFonts w:hint="eastAsia"/>
        </w:rPr>
        <w:t>本项目采招标文件中未明确，但完成质量监督检测工作应包括的施工措施费用，乙方已计入综合单价中，不得调整。本项目按综合单价并结合实际</w:t>
      </w:r>
      <w:r>
        <w:rPr>
          <w:rFonts w:hint="eastAsia"/>
          <w:lang w:eastAsia="zh-CN"/>
        </w:rPr>
        <w:t>完成</w:t>
      </w:r>
      <w:r>
        <w:rPr>
          <w:rFonts w:hint="eastAsia"/>
        </w:rPr>
        <w:t>工作量进行结算。</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六、工作要求</w:t>
      </w:r>
    </w:p>
    <w:p>
      <w:pPr>
        <w:spacing w:line="360" w:lineRule="auto"/>
        <w:ind w:firstLine="480" w:firstLineChars="200"/>
        <w:jc w:val="left"/>
        <w:rPr>
          <w:rFonts w:hint="eastAsia" w:ascii="宋体" w:hAnsi="宋体" w:cs="宋体"/>
          <w:sz w:val="24"/>
        </w:rPr>
      </w:pPr>
      <w:r>
        <w:rPr>
          <w:rFonts w:hint="eastAsia" w:ascii="宋体" w:hAnsi="宋体" w:cs="宋体"/>
          <w:sz w:val="24"/>
        </w:rPr>
        <w:t>1、由于检测单位工作失误或操作不当引起的损失由检测单位自行负责，造成重大质量事故的除按国家有关法律法规进行处罚外，招标人有权直接无偿清退责任单位，并不予支付该次检测项目的检测费用。</w:t>
      </w:r>
    </w:p>
    <w:p>
      <w:pPr>
        <w:spacing w:line="360" w:lineRule="auto"/>
        <w:ind w:firstLine="482" w:firstLineChars="200"/>
        <w:rPr>
          <w:rFonts w:hint="eastAsia" w:ascii="宋体" w:hAnsi="宋体" w:cs="宋体"/>
          <w:b/>
          <w:bCs/>
          <w:sz w:val="24"/>
        </w:rPr>
      </w:pPr>
      <w:r>
        <w:rPr>
          <w:rFonts w:hint="eastAsia" w:ascii="宋体" w:hAnsi="宋体" w:cs="宋体"/>
          <w:b/>
          <w:bCs/>
          <w:sz w:val="24"/>
        </w:rPr>
        <w:t>2、在监督检查，飞行检查等检查中被查处的，采购单位有权解除合同。</w:t>
      </w:r>
    </w:p>
    <w:p>
      <w:pPr>
        <w:spacing w:line="360" w:lineRule="auto"/>
        <w:ind w:firstLine="480" w:firstLineChars="200"/>
        <w:rPr>
          <w:rFonts w:hint="eastAsia" w:ascii="宋体" w:hAnsi="宋体" w:cs="宋体"/>
          <w:sz w:val="24"/>
        </w:rPr>
      </w:pPr>
      <w:r>
        <w:rPr>
          <w:rFonts w:hint="eastAsia" w:ascii="宋体" w:hAnsi="宋体" w:cs="宋体"/>
          <w:sz w:val="24"/>
        </w:rPr>
        <w:t>3、中标单位在接到业主通知后两天内必须取样检测，检测报告需在完成现场检测后二日内送达采购单位，如有特殊情况需征得甲方同意后可适当延长提交检测报告的时间。第一次无故延期的采购方将提出警告；第二次无故延期的将扣除该次检测费用的一半；第三次无故延期的将扣除该次全部检测费用，并且采购方有权利提前中止合同。</w:t>
      </w:r>
    </w:p>
    <w:p>
      <w:pPr>
        <w:spacing w:line="360" w:lineRule="auto"/>
        <w:ind w:firstLine="480" w:firstLineChars="200"/>
        <w:rPr>
          <w:rFonts w:hint="eastAsia" w:ascii="宋体" w:hAnsi="宋体" w:cs="宋体"/>
          <w:sz w:val="24"/>
        </w:rPr>
      </w:pPr>
      <w:r>
        <w:rPr>
          <w:rFonts w:hint="eastAsia" w:ascii="宋体" w:hAnsi="宋体" w:cs="宋体"/>
          <w:sz w:val="24"/>
        </w:rPr>
        <w:t>4、中标单位收到采购方的委托单后到工程现场收取检测样品，并承担相应运输费用。中标单位不得私自到工程现场进行相关检测以及收取检测样品等工作。</w:t>
      </w:r>
    </w:p>
    <w:p>
      <w:pPr>
        <w:spacing w:line="360" w:lineRule="auto"/>
        <w:ind w:firstLine="480" w:firstLineChars="200"/>
        <w:rPr>
          <w:rFonts w:hint="eastAsia" w:ascii="宋体" w:hAnsi="宋体" w:cs="宋体"/>
          <w:sz w:val="24"/>
        </w:rPr>
      </w:pPr>
      <w:r>
        <w:rPr>
          <w:rFonts w:hint="eastAsia" w:ascii="宋体" w:hAnsi="宋体" w:cs="宋体"/>
          <w:sz w:val="24"/>
        </w:rPr>
        <w:t>5、如中标人因不可抗力或者自身原因不能履行合同的或提出采购机构不能接受的条件，致使合同无法签订，采购机构可以与排位在中标人之后的第一位中标候选人签订合同，以此类推。推荐中标候选人均放弃中标的，依法重新组织招标或经批准按其他方式执行。</w:t>
      </w:r>
    </w:p>
    <w:p>
      <w:pPr>
        <w:spacing w:line="360" w:lineRule="auto"/>
        <w:ind w:firstLine="480" w:firstLineChars="200"/>
        <w:rPr>
          <w:rFonts w:hint="eastAsia" w:ascii="宋体" w:hAnsi="宋体" w:cs="宋体"/>
          <w:sz w:val="24"/>
        </w:rPr>
      </w:pPr>
      <w:r>
        <w:rPr>
          <w:rFonts w:hint="eastAsia" w:ascii="宋体" w:hAnsi="宋体" w:cs="宋体"/>
          <w:sz w:val="24"/>
        </w:rPr>
        <w:t>6、中标单位在检测过程中必须保证真实性与准确性，如存在弄虚作假行为的采购方有权提前中止合同并按照相应规定进行处理。采购方将与排名第一的中标候选人签订合同。</w:t>
      </w:r>
    </w:p>
    <w:p>
      <w:pPr>
        <w:widowControl/>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7、提供计量认证证书及相应检测能力附表（附表只须提供与本项目相配套能力部分内容即可）。</w:t>
      </w:r>
    </w:p>
    <w:p>
      <w:pPr>
        <w:widowControl/>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省外检测机构需提供浙江省建设行政主管部门已备案的证明材料；</w:t>
      </w:r>
    </w:p>
    <w:p>
      <w:pPr>
        <w:spacing w:line="360" w:lineRule="auto"/>
        <w:ind w:firstLine="480" w:firstLineChars="200"/>
        <w:rPr>
          <w:rFonts w:hint="eastAsia" w:ascii="宋体" w:hAnsi="宋体" w:cs="宋体"/>
          <w:sz w:val="24"/>
        </w:rPr>
      </w:pPr>
      <w:r>
        <w:rPr>
          <w:rFonts w:hint="eastAsia" w:ascii="宋体" w:hAnsi="宋体" w:cs="宋体"/>
          <w:sz w:val="24"/>
        </w:rPr>
        <w:t>根据浙建法{2006}47号文相关规定，凡省外检测机构进入本省承接检测业务，应到省建设行政主管部门申请备案。在投标截止时间前如投标人尚未完成备案手续的，均须出具承诺书(格式自定)。承诺书中须体现“如中标，自接到中标通知书起30天内完成备案手续，否则，招标人有权单方面取消其中标资格。</w:t>
      </w:r>
    </w:p>
    <w:p>
      <w:pPr>
        <w:spacing w:line="360" w:lineRule="auto"/>
        <w:ind w:firstLine="480" w:firstLineChars="200"/>
        <w:rPr>
          <w:rFonts w:hint="eastAsia" w:ascii="宋体" w:hAnsi="宋体" w:cs="宋体"/>
          <w:sz w:val="24"/>
        </w:rPr>
      </w:pPr>
      <w:r>
        <w:rPr>
          <w:rFonts w:hint="eastAsia" w:ascii="宋体" w:hAnsi="宋体" w:cs="宋体"/>
          <w:sz w:val="24"/>
        </w:rPr>
        <w:t>8、中标人需在中标后10日内就近设立</w:t>
      </w:r>
      <w:r>
        <w:rPr>
          <w:rFonts w:hint="eastAsia" w:ascii="宋体" w:hAnsi="宋体" w:cs="宋体"/>
          <w:sz w:val="24"/>
          <w:lang w:eastAsia="zh-CN"/>
        </w:rPr>
        <w:t>工作</w:t>
      </w:r>
      <w:r>
        <w:rPr>
          <w:rFonts w:hint="eastAsia" w:ascii="宋体" w:hAnsi="宋体" w:cs="宋体"/>
          <w:sz w:val="24"/>
        </w:rPr>
        <w:t>联络点。</w:t>
      </w:r>
    </w:p>
    <w:p>
      <w:pPr>
        <w:spacing w:line="360" w:lineRule="auto"/>
        <w:ind w:firstLine="482" w:firstLineChars="200"/>
        <w:rPr>
          <w:rFonts w:hint="eastAsia" w:ascii="宋体" w:hAnsi="宋体" w:cs="宋体"/>
          <w:b/>
          <w:bCs/>
          <w:sz w:val="24"/>
        </w:rPr>
      </w:pPr>
      <w:r>
        <w:rPr>
          <w:rFonts w:hint="eastAsia" w:ascii="宋体" w:hAnsi="宋体" w:cs="宋体"/>
          <w:b/>
          <w:bCs/>
          <w:sz w:val="24"/>
        </w:rPr>
        <w:t>9、检测信息申报系统联网情况</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中标后要求供应商与杭州市和</w:t>
      </w:r>
      <w:r>
        <w:rPr>
          <w:rFonts w:hint="eastAsia" w:ascii="宋体" w:hAnsi="宋体" w:cs="宋体"/>
          <w:sz w:val="24"/>
          <w:lang w:val="zh-CN" w:eastAsia="zh-CN"/>
        </w:rPr>
        <w:t>余杭区建筑工程质量安全监督站</w:t>
      </w:r>
      <w:r>
        <w:rPr>
          <w:rFonts w:hint="eastAsia" w:ascii="宋体" w:hAnsi="宋体" w:cs="宋体"/>
          <w:sz w:val="24"/>
          <w:lang w:val="zh-CN"/>
        </w:rPr>
        <w:t>检测信息联网；</w:t>
      </w:r>
    </w:p>
    <w:p>
      <w:pPr>
        <w:spacing w:line="360" w:lineRule="auto"/>
        <w:ind w:firstLine="480" w:firstLineChars="200"/>
        <w:rPr>
          <w:rFonts w:hint="eastAsia" w:ascii="宋体" w:hAnsi="宋体" w:cs="宋体"/>
          <w:sz w:val="24"/>
          <w:lang w:val="zh-CN"/>
        </w:rPr>
      </w:pPr>
      <w:r>
        <w:rPr>
          <w:rFonts w:hint="eastAsia" w:ascii="宋体" w:hAnsi="宋体" w:cs="宋体"/>
          <w:sz w:val="24"/>
        </w:rPr>
        <w:t>▲10、</w:t>
      </w:r>
      <w:r>
        <w:rPr>
          <w:rFonts w:hint="eastAsia" w:ascii="宋体" w:hAnsi="宋体" w:cs="宋体"/>
          <w:b/>
          <w:bCs/>
          <w:sz w:val="24"/>
          <w:lang w:val="zh-CN"/>
        </w:rPr>
        <w:t>投标人须承诺</w:t>
      </w: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en-US" w:eastAsia="zh-CN"/>
        </w:rPr>
        <w:t>为</w:t>
      </w:r>
      <w:r>
        <w:rPr>
          <w:rFonts w:hint="eastAsia" w:ascii="宋体" w:hAnsi="宋体" w:eastAsia="宋体" w:cs="宋体"/>
          <w:sz w:val="24"/>
          <w:lang w:val="zh-CN"/>
        </w:rPr>
        <w:t>检测工作公平公正原则和需回避</w:t>
      </w:r>
      <w:r>
        <w:rPr>
          <w:rFonts w:hint="eastAsia" w:ascii="宋体" w:hAnsi="宋体" w:eastAsia="宋体" w:cs="宋体"/>
          <w:sz w:val="24"/>
          <w:lang w:val="zh-CN" w:eastAsia="zh-CN"/>
        </w:rPr>
        <w:t>项目</w:t>
      </w:r>
      <w:r>
        <w:rPr>
          <w:rFonts w:hint="eastAsia" w:ascii="宋体" w:hAnsi="宋体" w:eastAsia="宋体" w:cs="宋体"/>
          <w:sz w:val="24"/>
          <w:lang w:val="zh-CN"/>
        </w:rPr>
        <w:t>原检测单位的工作要求，</w:t>
      </w:r>
      <w:r>
        <w:rPr>
          <w:rFonts w:hint="eastAsia" w:ascii="宋体" w:hAnsi="宋体" w:cs="宋体"/>
          <w:b/>
          <w:bCs/>
          <w:sz w:val="24"/>
        </w:rPr>
        <w:t>故</w:t>
      </w:r>
      <w:r>
        <w:rPr>
          <w:rFonts w:hint="eastAsia" w:ascii="宋体" w:hAnsi="宋体" w:cs="宋体"/>
          <w:b/>
          <w:bCs/>
          <w:sz w:val="24"/>
          <w:lang w:eastAsia="zh-CN"/>
        </w:rPr>
        <w:t>供应商</w:t>
      </w:r>
      <w:r>
        <w:rPr>
          <w:rFonts w:hint="eastAsia" w:ascii="宋体" w:hAnsi="宋体" w:cs="宋体"/>
          <w:b/>
          <w:bCs/>
          <w:sz w:val="24"/>
        </w:rPr>
        <w:t>正在承接</w:t>
      </w:r>
      <w:r>
        <w:rPr>
          <w:rFonts w:hint="eastAsia" w:ascii="宋体" w:hAnsi="宋体" w:cs="宋体"/>
          <w:b/>
          <w:bCs/>
          <w:sz w:val="24"/>
          <w:lang w:eastAsia="zh-CN"/>
        </w:rPr>
        <w:t>余杭</w:t>
      </w:r>
      <w:r>
        <w:rPr>
          <w:rFonts w:hint="eastAsia" w:ascii="宋体" w:hAnsi="宋体" w:cs="宋体"/>
          <w:b/>
          <w:bCs/>
          <w:sz w:val="24"/>
        </w:rPr>
        <w:t>区</w:t>
      </w:r>
      <w:r>
        <w:rPr>
          <w:rFonts w:hint="eastAsia" w:ascii="宋体" w:hAnsi="宋体" w:eastAsia="宋体" w:cs="宋体"/>
          <w:sz w:val="24"/>
          <w:lang w:val="zh-CN"/>
        </w:rPr>
        <w:t>辖区内任何用于工程验收或检测用的第三方检测业务，包括但不限于室内环境质量、地基基础、主体结构工程、建筑（市政）材料见证取样、门窗幕墙和钢结构检测业务等</w:t>
      </w:r>
      <w:r>
        <w:rPr>
          <w:rFonts w:hint="eastAsia" w:ascii="宋体" w:hAnsi="宋体" w:cs="宋体"/>
          <w:sz w:val="24"/>
          <w:lang w:val="zh-CN"/>
        </w:rPr>
        <w:t>，</w:t>
      </w:r>
      <w:r>
        <w:rPr>
          <w:rFonts w:hint="eastAsia" w:ascii="宋体" w:hAnsi="宋体" w:cs="宋体"/>
          <w:sz w:val="24"/>
          <w:lang w:val="en-US" w:eastAsia="zh-CN"/>
        </w:rPr>
        <w:t>如若中标，则中标后所</w:t>
      </w:r>
      <w:r>
        <w:rPr>
          <w:rFonts w:hint="eastAsia" w:ascii="宋体" w:hAnsi="宋体" w:cs="宋体"/>
          <w:sz w:val="24"/>
          <w:lang w:val="zh-CN"/>
        </w:rPr>
        <w:t>出具的上述类型检测报告将不能作为工程验收的依据，同时将追究其相关隐瞒责任，同时耽误的工作时效及其他责任另行追究。</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七、付款方式</w:t>
      </w:r>
    </w:p>
    <w:p>
      <w:pPr>
        <w:spacing w:line="360" w:lineRule="auto"/>
        <w:ind w:firstLine="480" w:firstLineChars="200"/>
        <w:rPr>
          <w:rFonts w:hint="eastAsia" w:ascii="宋体" w:hAnsi="宋体" w:cs="宋体"/>
          <w:sz w:val="24"/>
        </w:rPr>
      </w:pPr>
      <w:r>
        <w:rPr>
          <w:rFonts w:hint="eastAsia" w:ascii="宋体" w:hAnsi="宋体" w:cs="宋体"/>
          <w:sz w:val="24"/>
        </w:rPr>
        <w:t>按本招标文件中的“检测</w:t>
      </w:r>
      <w:r>
        <w:rPr>
          <w:rFonts w:hint="eastAsia" w:ascii="宋体" w:hAnsi="宋体" w:cs="宋体"/>
          <w:sz w:val="24"/>
          <w:lang w:eastAsia="zh-CN"/>
        </w:rPr>
        <w:t>内容和最高限价一览表</w:t>
      </w:r>
      <w:r>
        <w:rPr>
          <w:rFonts w:hint="eastAsia" w:ascii="宋体" w:hAnsi="宋体" w:cs="宋体"/>
          <w:sz w:val="24"/>
        </w:rPr>
        <w:t>”结合</w:t>
      </w:r>
      <w:r>
        <w:rPr>
          <w:rFonts w:hint="eastAsia" w:ascii="宋体" w:hAnsi="宋体" w:cs="宋体"/>
          <w:sz w:val="24"/>
          <w:lang w:eastAsia="zh-CN"/>
        </w:rPr>
        <w:t>投标报价折扣及相关</w:t>
      </w:r>
      <w:r>
        <w:rPr>
          <w:rFonts w:hint="eastAsia" w:ascii="宋体" w:hAnsi="宋体" w:cs="宋体"/>
          <w:sz w:val="24"/>
        </w:rPr>
        <w:t>内容。</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付款方式：费用按季度结算。按检测项目单价和实际检测数量</w:t>
      </w:r>
      <w:r>
        <w:rPr>
          <w:rFonts w:hint="eastAsia" w:ascii="宋体" w:hAnsi="宋体" w:cs="宋体"/>
          <w:b/>
          <w:bCs/>
          <w:color w:val="000000"/>
          <w:sz w:val="24"/>
          <w:lang w:eastAsia="zh-CN"/>
        </w:rPr>
        <w:t>乘以中标折扣</w:t>
      </w:r>
      <w:r>
        <w:rPr>
          <w:rFonts w:hint="eastAsia" w:ascii="宋体" w:hAnsi="宋体" w:cs="宋体"/>
          <w:b/>
          <w:bCs/>
          <w:color w:val="000000"/>
          <w:sz w:val="24"/>
        </w:rPr>
        <w:t>计算总检测费用，经双方共同确认检测数量无异议后30个工作日内支付。</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八、质量要求</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检测工作按照相关国家检测规范、标准执行。如出现不合格，负责无偿给予重新检测，以达到质量要求为止。</w:t>
      </w:r>
    </w:p>
    <w:p>
      <w:pPr>
        <w:spacing w:line="360" w:lineRule="auto"/>
        <w:ind w:firstLine="482" w:firstLineChars="200"/>
        <w:outlineLvl w:val="0"/>
        <w:rPr>
          <w:rFonts w:hint="eastAsia" w:ascii="宋体" w:hAnsi="宋体" w:cs="宋体"/>
          <w:b/>
          <w:bCs/>
          <w:sz w:val="24"/>
        </w:rPr>
      </w:pPr>
      <w:r>
        <w:rPr>
          <w:rFonts w:hint="eastAsia" w:ascii="宋体" w:hAnsi="宋体" w:cs="宋体"/>
          <w:b/>
          <w:bCs/>
          <w:sz w:val="24"/>
        </w:rPr>
        <w:t>九、考核办法（中标后提供）</w:t>
      </w:r>
    </w:p>
    <w:p>
      <w:pPr>
        <w:spacing w:line="360" w:lineRule="auto"/>
        <w:ind w:firstLine="480" w:firstLineChars="200"/>
        <w:outlineLvl w:val="0"/>
        <w:rPr>
          <w:rFonts w:hint="eastAsia" w:ascii="宋体" w:hAnsi="宋体" w:cs="宋体"/>
          <w:sz w:val="24"/>
        </w:rPr>
      </w:pPr>
      <w:r>
        <w:rPr>
          <w:rFonts w:hint="eastAsia" w:ascii="宋体" w:hAnsi="宋体" w:cs="宋体"/>
          <w:sz w:val="24"/>
        </w:rPr>
        <w:t>1、采购人组织每季度不定期抽查考核，考核采取百分制，90分（含）以上为合格，90分以下为不合格。</w:t>
      </w:r>
    </w:p>
    <w:p>
      <w:pPr>
        <w:spacing w:line="360" w:lineRule="auto"/>
        <w:ind w:firstLine="480" w:firstLineChars="200"/>
        <w:outlineLvl w:val="0"/>
        <w:rPr>
          <w:rFonts w:hint="eastAsia" w:ascii="宋体" w:hAnsi="宋体" w:cs="宋体"/>
          <w:b/>
          <w:bCs/>
          <w:sz w:val="24"/>
        </w:rPr>
      </w:pPr>
      <w:r>
        <w:rPr>
          <w:rFonts w:hint="eastAsia" w:ascii="宋体" w:hAnsi="宋体" w:cs="宋体"/>
          <w:sz w:val="24"/>
        </w:rPr>
        <w:t>其中出具虚假检测报告、不按规定数量接样、转包检测业务和</w:t>
      </w:r>
      <w:r>
        <w:rPr>
          <w:rFonts w:hint="eastAsia" w:ascii="宋体" w:hAnsi="宋体" w:cs="宋体"/>
          <w:sz w:val="24"/>
          <w:lang w:val="zh-CN"/>
        </w:rPr>
        <w:t>承接本监督管理辖区内任何用于工程验收用的第三方检测业务</w:t>
      </w:r>
      <w:r>
        <w:rPr>
          <w:rFonts w:hint="eastAsia" w:ascii="宋体" w:hAnsi="宋体" w:cs="宋体"/>
          <w:sz w:val="24"/>
        </w:rPr>
        <w:t>等违规行为，采购单位有权中止合同，</w:t>
      </w:r>
      <w:r>
        <w:rPr>
          <w:rFonts w:hint="eastAsia" w:ascii="宋体" w:hAnsi="宋体" w:cs="宋体"/>
          <w:b/>
          <w:bCs/>
          <w:sz w:val="24"/>
        </w:rPr>
        <w:t>并追究相关违约责任。</w:t>
      </w:r>
    </w:p>
    <w:p>
      <w:pPr>
        <w:spacing w:line="360" w:lineRule="auto"/>
        <w:ind w:firstLine="482" w:firstLineChars="200"/>
        <w:outlineLvl w:val="0"/>
        <w:rPr>
          <w:rFonts w:hint="eastAsia" w:ascii="宋体" w:hAnsi="宋体" w:cs="宋体"/>
          <w:b/>
          <w:bCs/>
          <w:sz w:val="24"/>
        </w:rPr>
      </w:pPr>
      <w:r>
        <w:rPr>
          <w:rFonts w:hint="eastAsia" w:ascii="宋体" w:hAnsi="宋体" w:cs="宋体"/>
          <w:b/>
          <w:bCs/>
          <w:sz w:val="24"/>
        </w:rPr>
        <w:t>2、每年度考核评分，考核采取百分制。年度考核得分为90分以上，全额支付检测费用；年度考核得分为79-89分（含任意年份），则扣除10%当年度结算总费用；年度考核得分为79分以下（含任意年份），则扣除50%当年度结算总费用，并视为服务不合格，终止合同，止付余款，并追究相关违约责任。</w:t>
      </w:r>
    </w:p>
    <w:bookmarkEnd w:id="29"/>
    <w:bookmarkEnd w:id="30"/>
    <w:bookmarkEnd w:id="31"/>
    <w:p>
      <w:pPr>
        <w:pStyle w:val="2"/>
        <w:numPr>
          <w:ilvl w:val="0"/>
          <w:numId w:val="0"/>
        </w:numPr>
        <w:tabs>
          <w:tab w:val="left" w:pos="706"/>
          <w:tab w:val="clear" w:pos="432"/>
        </w:tabs>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十、履约验收</w:t>
      </w:r>
    </w:p>
    <w:p>
      <w:pPr>
        <w:spacing w:line="360" w:lineRule="auto"/>
        <w:ind w:firstLine="480" w:firstLineChars="200"/>
        <w:jc w:val="left"/>
        <w:rPr>
          <w:rFonts w:hint="eastAsia" w:ascii="宋体" w:hAnsi="宋体" w:cs="宋体"/>
          <w:sz w:val="24"/>
        </w:rPr>
      </w:pPr>
      <w:r>
        <w:rPr>
          <w:rFonts w:hint="eastAsia" w:ascii="宋体" w:hAnsi="宋体" w:cs="宋体"/>
          <w:sz w:val="24"/>
        </w:rPr>
        <w:t>服务期满后，采购人按照政府采购合同规定的技术、服务、安全标准组织对供应商履约情况进行验收，并出具验收书。出具合格</w:t>
      </w:r>
      <w:r>
        <w:rPr>
          <w:rFonts w:ascii="宋体" w:hAnsi="宋体" w:cs="宋体"/>
          <w:sz w:val="24"/>
        </w:rPr>
        <w:t>报告，</w:t>
      </w:r>
      <w:r>
        <w:rPr>
          <w:rFonts w:hint="eastAsia" w:ascii="宋体" w:hAnsi="宋体" w:cs="宋体"/>
          <w:sz w:val="24"/>
        </w:rPr>
        <w:t>接收</w:t>
      </w:r>
      <w:r>
        <w:rPr>
          <w:rFonts w:ascii="宋体" w:hAnsi="宋体" w:cs="宋体"/>
          <w:sz w:val="24"/>
        </w:rPr>
        <w:t>采购人及相关部门监督</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十一、其他事项</w:t>
      </w:r>
    </w:p>
    <w:p>
      <w:pPr>
        <w:pStyle w:val="85"/>
        <w:spacing w:line="360" w:lineRule="auto"/>
        <w:ind w:firstLine="480" w:firstLineChars="200"/>
        <w:rPr>
          <w:rFonts w:hint="eastAsia"/>
        </w:rPr>
      </w:pPr>
      <w:r>
        <w:rPr>
          <w:rFonts w:hint="eastAsia"/>
          <w:lang w:val="en-US"/>
        </w:rPr>
        <w:t>1、</w:t>
      </w:r>
      <w:r>
        <w:rPr>
          <w:rFonts w:hint="eastAsia"/>
        </w:rPr>
        <w:t>其他未明事项，以采购人要求为准。</w:t>
      </w:r>
    </w:p>
    <w:p>
      <w:pPr>
        <w:pStyle w:val="34"/>
        <w:spacing w:line="360" w:lineRule="auto"/>
        <w:ind w:firstLine="48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中标人在签订合同时，若坚持提出附加条件和不合理要求，中标资格将被取消，该中标人</w:t>
      </w:r>
      <w:r>
        <w:rPr>
          <w:rFonts w:hint="eastAsia" w:ascii="宋体" w:hAnsi="宋体" w:eastAsia="宋体" w:cs="宋体"/>
          <w:color w:val="000000"/>
          <w:sz w:val="24"/>
          <w:lang w:val="en-US" w:eastAsia="zh-CN"/>
        </w:rPr>
        <w:t>对由此产生的一切后果负责。</w:t>
      </w:r>
    </w:p>
    <w:p>
      <w:pPr>
        <w:pStyle w:val="34"/>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鉴于本</w:t>
      </w:r>
      <w:r>
        <w:rPr>
          <w:rFonts w:hint="eastAsia" w:ascii="宋体" w:hAnsi="宋体" w:eastAsia="宋体" w:cs="宋体"/>
          <w:color w:val="000000"/>
          <w:sz w:val="24"/>
          <w:lang w:val="en-US" w:eastAsia="zh-CN"/>
        </w:rPr>
        <w:t>项目验收</w:t>
      </w:r>
      <w:r>
        <w:rPr>
          <w:rFonts w:hint="eastAsia" w:ascii="宋体" w:hAnsi="宋体" w:eastAsia="宋体" w:cs="宋体"/>
          <w:color w:val="000000"/>
          <w:sz w:val="24"/>
        </w:rPr>
        <w:t>的范围比较广，在</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过程中，</w:t>
      </w:r>
      <w:r>
        <w:rPr>
          <w:rFonts w:hint="eastAsia" w:ascii="宋体" w:hAnsi="宋体" w:eastAsia="宋体" w:cs="宋体"/>
          <w:color w:val="000000"/>
          <w:sz w:val="24"/>
          <w:lang w:val="en-US" w:eastAsia="zh-CN"/>
        </w:rPr>
        <w:t>根据采购人具体需求，</w:t>
      </w:r>
      <w:r>
        <w:rPr>
          <w:rFonts w:hint="eastAsia" w:ascii="宋体" w:hAnsi="宋体" w:eastAsia="宋体" w:cs="宋体"/>
          <w:color w:val="000000"/>
          <w:sz w:val="24"/>
        </w:rPr>
        <w:t>可能</w:t>
      </w:r>
      <w:r>
        <w:rPr>
          <w:rFonts w:hint="eastAsia" w:ascii="宋体" w:hAnsi="宋体" w:eastAsia="宋体" w:cs="宋体"/>
          <w:color w:val="000000"/>
          <w:sz w:val="24"/>
          <w:lang w:val="en-US" w:eastAsia="zh-CN"/>
        </w:rPr>
        <w:t>各标项中标单位存在交叉施工</w:t>
      </w:r>
      <w:r>
        <w:rPr>
          <w:rFonts w:hint="eastAsia" w:ascii="宋体" w:hAnsi="宋体" w:eastAsia="宋体" w:cs="宋体"/>
          <w:color w:val="000000"/>
          <w:sz w:val="24"/>
        </w:rPr>
        <w:t>可能性，</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单位必须友好协商</w:t>
      </w:r>
      <w:r>
        <w:rPr>
          <w:rFonts w:hint="eastAsia" w:ascii="宋体" w:hAnsi="宋体" w:eastAsia="宋体" w:cs="宋体"/>
          <w:color w:val="000000"/>
          <w:sz w:val="24"/>
          <w:lang w:val="en-US" w:eastAsia="zh-CN"/>
        </w:rPr>
        <w:t>工作</w:t>
      </w:r>
      <w:r>
        <w:rPr>
          <w:rFonts w:hint="eastAsia" w:ascii="宋体" w:hAnsi="宋体" w:eastAsia="宋体" w:cs="宋体"/>
          <w:color w:val="000000"/>
          <w:sz w:val="24"/>
        </w:rPr>
        <w:t>，各自主动、自觉地</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好自身的</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范围，不得出现相互推诿，不按招标人规定进行</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，造成招标人或他人的利益损失，</w:t>
      </w:r>
      <w:r>
        <w:rPr>
          <w:rFonts w:hint="eastAsia" w:ascii="宋体" w:hAnsi="宋体" w:eastAsia="宋体" w:cs="宋体"/>
          <w:color w:val="000000"/>
          <w:sz w:val="24"/>
          <w:lang w:eastAsia="zh-CN"/>
        </w:rPr>
        <w:t>将追究相关违约责任</w:t>
      </w:r>
      <w:r>
        <w:rPr>
          <w:rFonts w:hint="eastAsia" w:ascii="宋体" w:hAnsi="宋体" w:eastAsia="宋体" w:cs="宋体"/>
          <w:color w:val="000000"/>
          <w:sz w:val="24"/>
        </w:rPr>
        <w:t>。</w:t>
      </w:r>
    </w:p>
    <w:bookmarkEnd w:id="32"/>
    <w:bookmarkEnd w:id="33"/>
    <w:bookmarkEnd w:id="34"/>
    <w:bookmarkEnd w:id="35"/>
    <w:bookmarkEnd w:id="36"/>
    <w:bookmarkEnd w:id="37"/>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.3中标人应遵守相关保密法律、法规，确保招标单位及项目建设方的信息安全。</w:t>
      </w:r>
    </w:p>
    <w:p>
      <w:pPr>
        <w:widowControl w:val="0"/>
        <w:numPr>
          <w:ilvl w:val="0"/>
          <w:numId w:val="0"/>
        </w:numPr>
        <w:wordWrap/>
        <w:adjustRightInd/>
        <w:snapToGrid/>
        <w:spacing w:beforeLines="0" w:line="360"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color w:val="auto"/>
          <w:kern w:val="2"/>
          <w:sz w:val="24"/>
          <w:lang w:val="en-US" w:eastAsia="zh-CN"/>
        </w:rPr>
        <w:t>十二</w:t>
      </w:r>
      <w:r>
        <w:rPr>
          <w:rFonts w:hint="eastAsia" w:ascii="宋体" w:hAnsi="宋体" w:eastAsia="宋体" w:cs="宋体"/>
          <w:b/>
          <w:bCs/>
          <w:sz w:val="24"/>
          <w:szCs w:val="24"/>
          <w:lang w:val="en-US" w:eastAsia="zh-CN"/>
        </w:rPr>
        <w:t>、中标人必须遵循下列行为规范：</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及所派的项目人员应遵守国家相关法律法规，严守《服务单位守则》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2、中标人及所派的项目人员要加强自身业务水平，不断提高职业素养和业务水平，保证检查结果正确性。</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3、工作资料、现场勘查记录、影像资料等相关材料，应及时归档，并遵守保密协议。</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4、项目人员在检查中发现以下情况应及时向采购人报告：</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1)存在重大事故隐患的；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2)协作服务检查中存在较大争议问题的；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3)其他认为有必要报告的事项。</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5、中标人及项目人员有下列情况之一的，采购人将采取责令中标人更换项目人员或者与中标人终止合同等措施。</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1）违反国家法律法规、不服从工作纪律和工作制度，利用协作服务检查行为向被检查对象“吃、拿、卡、要”，变相推销、承接有偿服务等违纪违规行为；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2）检查中发现有重大事故隐患未及时报告的；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3）协作服务检查中经核实存在有损采购人形象、弄虚作假、职业道德不良等行为；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4）无正当理由未按时完成采购人安排的协作服务检查任务，项目人员业务能力明显不符合协作检查服务需求的；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5）有其它严重违规行为的。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6、中标人更换</w:t>
      </w:r>
      <w:r>
        <w:rPr>
          <w:rFonts w:hint="eastAsia" w:ascii="宋体" w:hAnsi="宋体" w:eastAsia="宋体" w:cs="宋体"/>
          <w:b w:val="0"/>
          <w:bCs w:val="0"/>
          <w:sz w:val="24"/>
          <w:szCs w:val="24"/>
          <w:shd w:val="clear" w:color="auto" w:fill="auto"/>
          <w:lang w:val="en-US" w:eastAsia="zh-CN"/>
        </w:rPr>
        <w:t>人</w:t>
      </w:r>
      <w:r>
        <w:rPr>
          <w:rFonts w:hint="eastAsia" w:ascii="宋体" w:hAnsi="宋体" w:eastAsia="宋体" w:cs="宋体"/>
          <w:b w:val="0"/>
          <w:bCs w:val="0"/>
          <w:sz w:val="24"/>
          <w:szCs w:val="24"/>
          <w:lang w:val="en-US" w:eastAsia="zh-CN"/>
        </w:rPr>
        <w:t>员时，须向采购人提出书面申请，经采购人审核批准后方可更换。</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7、中标人应对检查结果负责，出具虚假检查报告的，泄漏企业技术秘密等行为，一经查实确认，招标人不再支付应付未付的服务费，同时终止服务合同，记入招标人不良供应商名录并报有关部门。</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rPr>
          <w:rFonts w:hint="eastAsia" w:ascii="仿宋" w:hAnsi="仿宋" w:eastAsia="仿宋" w:cs="仿宋_GB2312"/>
          <w:b/>
          <w:sz w:val="36"/>
          <w:szCs w:val="36"/>
        </w:rPr>
      </w:pPr>
      <w:r>
        <w:rPr>
          <w:rFonts w:hint="eastAsia" w:ascii="仿宋" w:hAnsi="仿宋" w:eastAsia="仿宋" w:cs="仿宋_GB2312"/>
          <w:b/>
          <w:sz w:val="36"/>
          <w:szCs w:val="36"/>
        </w:rPr>
        <w:br w:type="page"/>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5" w:name="_Toc184312110"/>
      <w:bookmarkEnd w:id="45"/>
      <w:bookmarkStart w:id="46" w:name="_Toc184313253"/>
      <w:bookmarkEnd w:id="46"/>
      <w:bookmarkStart w:id="47" w:name="_Toc184313273"/>
      <w:bookmarkEnd w:id="47"/>
      <w:bookmarkStart w:id="48" w:name="_Toc184312070"/>
      <w:bookmarkEnd w:id="48"/>
      <w:bookmarkStart w:id="49" w:name="_Toc184308053"/>
      <w:bookmarkEnd w:id="49"/>
      <w:bookmarkStart w:id="50" w:name="_Toc184312131"/>
      <w:bookmarkEnd w:id="50"/>
      <w:bookmarkStart w:id="51" w:name="_Toc184308043"/>
      <w:bookmarkEnd w:id="51"/>
      <w:bookmarkStart w:id="52" w:name="_Toc184314478"/>
      <w:bookmarkEnd w:id="52"/>
      <w:bookmarkStart w:id="53" w:name="_Toc184313304"/>
      <w:bookmarkEnd w:id="53"/>
      <w:bookmarkStart w:id="54" w:name="_Toc184312122"/>
      <w:bookmarkEnd w:id="54"/>
      <w:bookmarkStart w:id="55" w:name="_Toc184314419"/>
      <w:bookmarkEnd w:id="55"/>
      <w:bookmarkStart w:id="56" w:name="_Toc184308086"/>
      <w:bookmarkEnd w:id="56"/>
      <w:bookmarkStart w:id="57" w:name="_Toc184312108"/>
      <w:bookmarkEnd w:id="57"/>
      <w:bookmarkStart w:id="58" w:name="_Toc184310281"/>
      <w:bookmarkEnd w:id="58"/>
      <w:bookmarkStart w:id="59" w:name="_Toc184314459"/>
      <w:bookmarkEnd w:id="59"/>
      <w:bookmarkStart w:id="60" w:name="_Toc184313260"/>
      <w:bookmarkEnd w:id="60"/>
      <w:bookmarkStart w:id="61" w:name="_Toc184313279"/>
      <w:bookmarkEnd w:id="61"/>
      <w:bookmarkStart w:id="62" w:name="_Toc184310289"/>
      <w:bookmarkEnd w:id="62"/>
      <w:bookmarkStart w:id="63" w:name="_Toc184314425"/>
      <w:bookmarkEnd w:id="63"/>
      <w:bookmarkStart w:id="64" w:name="_Toc184310312"/>
      <w:bookmarkEnd w:id="64"/>
      <w:bookmarkStart w:id="65" w:name="_Toc184308044"/>
      <w:bookmarkEnd w:id="65"/>
      <w:bookmarkStart w:id="66" w:name="_Toc184314440"/>
      <w:bookmarkEnd w:id="66"/>
      <w:bookmarkStart w:id="67" w:name="_Toc184308066"/>
      <w:bookmarkEnd w:id="67"/>
      <w:bookmarkStart w:id="68" w:name="_Toc184312082"/>
      <w:bookmarkEnd w:id="68"/>
      <w:bookmarkStart w:id="69" w:name="_Toc184313301"/>
      <w:bookmarkEnd w:id="69"/>
      <w:bookmarkStart w:id="70" w:name="_Toc184312085"/>
      <w:bookmarkEnd w:id="70"/>
      <w:bookmarkStart w:id="71" w:name="_Toc184312073"/>
      <w:bookmarkEnd w:id="71"/>
      <w:bookmarkStart w:id="72" w:name="_Toc184312088"/>
      <w:bookmarkEnd w:id="72"/>
      <w:bookmarkStart w:id="73" w:name="_Toc184313277"/>
      <w:bookmarkEnd w:id="73"/>
      <w:bookmarkStart w:id="74" w:name="_Toc184312097"/>
      <w:bookmarkEnd w:id="74"/>
      <w:bookmarkStart w:id="75" w:name="_Toc184314438"/>
      <w:bookmarkEnd w:id="75"/>
      <w:bookmarkStart w:id="76" w:name="_Toc184308071"/>
      <w:bookmarkEnd w:id="76"/>
      <w:bookmarkStart w:id="77" w:name="_Toc184310302"/>
      <w:bookmarkEnd w:id="77"/>
      <w:bookmarkStart w:id="78" w:name="_Toc184308101"/>
      <w:bookmarkEnd w:id="78"/>
      <w:bookmarkStart w:id="79" w:name="_Toc184308105"/>
      <w:bookmarkEnd w:id="79"/>
      <w:bookmarkStart w:id="80" w:name="_Toc184312081"/>
      <w:bookmarkEnd w:id="80"/>
      <w:bookmarkStart w:id="81" w:name="_Toc184308082"/>
      <w:bookmarkEnd w:id="81"/>
      <w:bookmarkStart w:id="82" w:name="_Toc184313247"/>
      <w:bookmarkEnd w:id="82"/>
      <w:bookmarkStart w:id="83" w:name="_Toc184313283"/>
      <w:bookmarkEnd w:id="83"/>
      <w:bookmarkStart w:id="84" w:name="_Toc184310301"/>
      <w:bookmarkEnd w:id="84"/>
      <w:bookmarkStart w:id="85" w:name="_Toc184312113"/>
      <w:bookmarkEnd w:id="85"/>
      <w:bookmarkStart w:id="86" w:name="_Toc184312124"/>
      <w:bookmarkEnd w:id="86"/>
      <w:bookmarkStart w:id="87" w:name="_Toc184314482"/>
      <w:bookmarkEnd w:id="87"/>
      <w:bookmarkStart w:id="88" w:name="_Toc184308060"/>
      <w:bookmarkEnd w:id="88"/>
      <w:bookmarkStart w:id="89" w:name="_Toc184314427"/>
      <w:bookmarkEnd w:id="89"/>
      <w:bookmarkStart w:id="90" w:name="_Toc184312117"/>
      <w:bookmarkEnd w:id="90"/>
      <w:bookmarkStart w:id="91" w:name="_Toc184313281"/>
      <w:bookmarkEnd w:id="91"/>
      <w:bookmarkStart w:id="92" w:name="_Toc184308080"/>
      <w:bookmarkEnd w:id="92"/>
      <w:bookmarkStart w:id="93" w:name="_Toc184314466"/>
      <w:bookmarkEnd w:id="93"/>
      <w:bookmarkStart w:id="94" w:name="_Toc184308055"/>
      <w:bookmarkEnd w:id="94"/>
      <w:bookmarkStart w:id="95" w:name="_Toc184314468"/>
      <w:bookmarkEnd w:id="95"/>
      <w:bookmarkStart w:id="96" w:name="_Toc184313298"/>
      <w:bookmarkEnd w:id="96"/>
      <w:bookmarkStart w:id="97" w:name="_Toc184310336"/>
      <w:bookmarkEnd w:id="97"/>
      <w:bookmarkStart w:id="98" w:name="_Toc184308074"/>
      <w:bookmarkEnd w:id="98"/>
      <w:bookmarkStart w:id="99" w:name="_Toc184313264"/>
      <w:bookmarkEnd w:id="99"/>
      <w:bookmarkStart w:id="100" w:name="_Toc184313293"/>
      <w:bookmarkEnd w:id="100"/>
      <w:bookmarkStart w:id="101" w:name="_Toc184314415"/>
      <w:bookmarkEnd w:id="101"/>
      <w:bookmarkStart w:id="102" w:name="_Toc184313246"/>
      <w:bookmarkEnd w:id="102"/>
      <w:bookmarkStart w:id="103" w:name="_Toc184314461"/>
      <w:bookmarkEnd w:id="103"/>
      <w:bookmarkStart w:id="104" w:name="_Toc184314462"/>
      <w:bookmarkEnd w:id="104"/>
      <w:bookmarkStart w:id="105" w:name="_Toc184310296"/>
      <w:bookmarkEnd w:id="105"/>
      <w:bookmarkStart w:id="106" w:name="_Toc184313308"/>
      <w:bookmarkEnd w:id="106"/>
      <w:bookmarkStart w:id="107" w:name="_Toc184312078"/>
      <w:bookmarkEnd w:id="107"/>
      <w:bookmarkStart w:id="108" w:name="_Toc184308061"/>
      <w:bookmarkEnd w:id="108"/>
      <w:bookmarkStart w:id="109" w:name="_Toc184310314"/>
      <w:bookmarkEnd w:id="109"/>
      <w:bookmarkStart w:id="110" w:name="_Toc184308094"/>
      <w:bookmarkEnd w:id="110"/>
      <w:bookmarkStart w:id="111" w:name="_Toc184310280"/>
      <w:bookmarkEnd w:id="111"/>
      <w:bookmarkStart w:id="112" w:name="_Toc184310278"/>
      <w:bookmarkEnd w:id="112"/>
      <w:bookmarkStart w:id="113" w:name="_Toc184314471"/>
      <w:bookmarkEnd w:id="113"/>
      <w:bookmarkStart w:id="114" w:name="_Toc184310324"/>
      <w:bookmarkEnd w:id="114"/>
      <w:bookmarkStart w:id="115" w:name="_Toc184308038"/>
      <w:bookmarkEnd w:id="115"/>
      <w:bookmarkStart w:id="116" w:name="_Toc184310340"/>
      <w:bookmarkEnd w:id="116"/>
      <w:bookmarkStart w:id="117" w:name="_Toc184312129"/>
      <w:bookmarkEnd w:id="117"/>
      <w:bookmarkStart w:id="118" w:name="_Toc184313244"/>
      <w:bookmarkEnd w:id="118"/>
      <w:bookmarkStart w:id="119" w:name="_Toc184308096"/>
      <w:bookmarkEnd w:id="119"/>
      <w:bookmarkStart w:id="120" w:name="_Toc184314480"/>
      <w:bookmarkEnd w:id="120"/>
      <w:bookmarkStart w:id="121" w:name="_Toc184308037"/>
      <w:bookmarkEnd w:id="121"/>
      <w:bookmarkStart w:id="122" w:name="_Toc184308103"/>
      <w:bookmarkEnd w:id="122"/>
      <w:bookmarkStart w:id="123" w:name="_Toc184312099"/>
      <w:bookmarkEnd w:id="123"/>
      <w:bookmarkStart w:id="124" w:name="_Toc184313258"/>
      <w:bookmarkEnd w:id="124"/>
      <w:bookmarkStart w:id="125" w:name="_Toc184308058"/>
      <w:bookmarkEnd w:id="125"/>
      <w:bookmarkStart w:id="126" w:name="_Toc184308041"/>
      <w:bookmarkEnd w:id="126"/>
      <w:bookmarkStart w:id="127" w:name="_Toc184308051"/>
      <w:bookmarkEnd w:id="127"/>
      <w:bookmarkStart w:id="128" w:name="_Toc184312069"/>
      <w:bookmarkEnd w:id="128"/>
      <w:bookmarkStart w:id="129" w:name="_Toc184310305"/>
      <w:bookmarkEnd w:id="129"/>
      <w:bookmarkStart w:id="130" w:name="_Toc184310310"/>
      <w:bookmarkEnd w:id="130"/>
      <w:bookmarkStart w:id="131" w:name="_Toc184310272"/>
      <w:bookmarkEnd w:id="131"/>
      <w:bookmarkStart w:id="132" w:name="_Toc184313267"/>
      <w:bookmarkEnd w:id="132"/>
      <w:bookmarkStart w:id="133" w:name="_Toc184310337"/>
      <w:bookmarkEnd w:id="133"/>
      <w:bookmarkStart w:id="134" w:name="_Toc184310276"/>
      <w:bookmarkEnd w:id="134"/>
      <w:bookmarkStart w:id="135" w:name="_Toc184308062"/>
      <w:bookmarkEnd w:id="135"/>
      <w:bookmarkStart w:id="136" w:name="_Toc184312103"/>
      <w:bookmarkEnd w:id="136"/>
      <w:bookmarkStart w:id="137" w:name="_Toc184312102"/>
      <w:bookmarkEnd w:id="137"/>
      <w:bookmarkStart w:id="138" w:name="_Toc184314433"/>
      <w:bookmarkEnd w:id="138"/>
      <w:bookmarkStart w:id="139" w:name="_Toc184313245"/>
      <w:bookmarkEnd w:id="139"/>
      <w:bookmarkStart w:id="140" w:name="_Toc184314434"/>
      <w:bookmarkEnd w:id="140"/>
      <w:bookmarkStart w:id="141" w:name="_Toc184310279"/>
      <w:bookmarkEnd w:id="141"/>
      <w:bookmarkStart w:id="142" w:name="_Toc184313241"/>
      <w:bookmarkEnd w:id="142"/>
      <w:bookmarkStart w:id="143" w:name="_Toc184308075"/>
      <w:bookmarkEnd w:id="143"/>
      <w:bookmarkStart w:id="144" w:name="_Toc184313276"/>
      <w:bookmarkEnd w:id="144"/>
      <w:bookmarkStart w:id="145" w:name="_Toc184310298"/>
      <w:bookmarkEnd w:id="145"/>
      <w:bookmarkStart w:id="146" w:name="_Toc184314437"/>
      <w:bookmarkEnd w:id="146"/>
      <w:bookmarkStart w:id="147" w:name="_Toc184312118"/>
      <w:bookmarkEnd w:id="147"/>
      <w:bookmarkStart w:id="148" w:name="_Toc184312120"/>
      <w:bookmarkEnd w:id="148"/>
      <w:bookmarkStart w:id="149" w:name="_Toc184312127"/>
      <w:bookmarkEnd w:id="149"/>
      <w:bookmarkStart w:id="150" w:name="_Toc184308048"/>
      <w:bookmarkEnd w:id="150"/>
      <w:bookmarkStart w:id="151" w:name="_Toc184312137"/>
      <w:bookmarkEnd w:id="151"/>
      <w:bookmarkStart w:id="152" w:name="_Toc184310282"/>
      <w:bookmarkEnd w:id="152"/>
      <w:bookmarkStart w:id="153" w:name="_Toc184308045"/>
      <w:bookmarkEnd w:id="153"/>
      <w:bookmarkStart w:id="154" w:name="_Toc184310309"/>
      <w:bookmarkEnd w:id="154"/>
      <w:bookmarkStart w:id="155" w:name="_Toc184308078"/>
      <w:bookmarkEnd w:id="155"/>
      <w:bookmarkStart w:id="156" w:name="_Toc184314436"/>
      <w:bookmarkEnd w:id="156"/>
      <w:bookmarkStart w:id="157" w:name="_Toc184312083"/>
      <w:bookmarkEnd w:id="157"/>
      <w:bookmarkStart w:id="158" w:name="_Toc184310313"/>
      <w:bookmarkEnd w:id="158"/>
      <w:bookmarkStart w:id="159" w:name="_Toc184310307"/>
      <w:bookmarkEnd w:id="159"/>
      <w:bookmarkStart w:id="160" w:name="_Toc184314451"/>
      <w:bookmarkEnd w:id="160"/>
      <w:bookmarkStart w:id="161" w:name="_Toc184313274"/>
      <w:bookmarkEnd w:id="161"/>
      <w:bookmarkStart w:id="162" w:name="_Toc184312072"/>
      <w:bookmarkEnd w:id="162"/>
      <w:bookmarkStart w:id="163" w:name="_Toc184313259"/>
      <w:bookmarkEnd w:id="163"/>
      <w:bookmarkStart w:id="164" w:name="_Toc184308104"/>
      <w:bookmarkEnd w:id="164"/>
      <w:bookmarkStart w:id="165" w:name="_Toc184313263"/>
      <w:bookmarkEnd w:id="165"/>
      <w:bookmarkStart w:id="166" w:name="_Toc184308063"/>
      <w:bookmarkEnd w:id="166"/>
      <w:bookmarkStart w:id="167" w:name="_Toc184310308"/>
      <w:bookmarkEnd w:id="167"/>
      <w:bookmarkStart w:id="168" w:name="_Toc184314464"/>
      <w:bookmarkEnd w:id="168"/>
      <w:bookmarkStart w:id="169" w:name="_Toc184314463"/>
      <w:bookmarkEnd w:id="169"/>
      <w:bookmarkStart w:id="170" w:name="_Toc184312139"/>
      <w:bookmarkEnd w:id="170"/>
      <w:bookmarkStart w:id="171" w:name="_Toc184308092"/>
      <w:bookmarkEnd w:id="171"/>
      <w:bookmarkStart w:id="172" w:name="_Toc184312107"/>
      <w:bookmarkEnd w:id="172"/>
      <w:bookmarkStart w:id="173" w:name="_Toc184310329"/>
      <w:bookmarkEnd w:id="173"/>
      <w:bookmarkStart w:id="174" w:name="_Toc184313291"/>
      <w:bookmarkEnd w:id="174"/>
      <w:bookmarkStart w:id="175" w:name="_Toc184308064"/>
      <w:bookmarkEnd w:id="175"/>
      <w:bookmarkStart w:id="176" w:name="_Toc184310294"/>
      <w:bookmarkEnd w:id="176"/>
      <w:bookmarkStart w:id="177" w:name="_Toc184312075"/>
      <w:bookmarkEnd w:id="177"/>
      <w:bookmarkStart w:id="178" w:name="_Toc184310297"/>
      <w:bookmarkEnd w:id="178"/>
      <w:bookmarkStart w:id="179" w:name="_Toc184312089"/>
      <w:bookmarkEnd w:id="179"/>
      <w:bookmarkStart w:id="180" w:name="_Toc184308077"/>
      <w:bookmarkEnd w:id="180"/>
      <w:bookmarkStart w:id="181" w:name="_Toc184308049"/>
      <w:bookmarkEnd w:id="181"/>
      <w:bookmarkStart w:id="182" w:name="_Toc184314417"/>
      <w:bookmarkEnd w:id="182"/>
      <w:bookmarkStart w:id="183" w:name="_Toc184313271"/>
      <w:bookmarkEnd w:id="183"/>
      <w:bookmarkStart w:id="184" w:name="_Toc184314444"/>
      <w:bookmarkEnd w:id="184"/>
      <w:bookmarkStart w:id="185" w:name="_Toc184312100"/>
      <w:bookmarkEnd w:id="185"/>
      <w:bookmarkStart w:id="186" w:name="_Toc184310275"/>
      <w:bookmarkEnd w:id="186"/>
      <w:bookmarkStart w:id="187" w:name="_Toc184310293"/>
      <w:bookmarkEnd w:id="187"/>
      <w:bookmarkStart w:id="188" w:name="_Toc184314435"/>
      <w:bookmarkEnd w:id="188"/>
      <w:bookmarkStart w:id="189" w:name="_Toc184312096"/>
      <w:bookmarkEnd w:id="189"/>
      <w:bookmarkStart w:id="190" w:name="_Toc184308067"/>
      <w:bookmarkEnd w:id="190"/>
      <w:bookmarkStart w:id="191" w:name="_Toc184310284"/>
      <w:bookmarkEnd w:id="191"/>
      <w:bookmarkStart w:id="192" w:name="_Toc184312109"/>
      <w:bookmarkEnd w:id="192"/>
      <w:bookmarkStart w:id="193" w:name="_Toc184314475"/>
      <w:bookmarkEnd w:id="193"/>
      <w:bookmarkStart w:id="194" w:name="_Toc184308042"/>
      <w:bookmarkEnd w:id="194"/>
      <w:bookmarkStart w:id="195" w:name="_Toc184313272"/>
      <w:bookmarkEnd w:id="195"/>
      <w:bookmarkStart w:id="196" w:name="_Toc184310287"/>
      <w:bookmarkEnd w:id="196"/>
      <w:bookmarkStart w:id="197" w:name="_Toc184308088"/>
      <w:bookmarkEnd w:id="197"/>
      <w:bookmarkStart w:id="198" w:name="_Toc184308073"/>
      <w:bookmarkEnd w:id="198"/>
      <w:bookmarkStart w:id="199" w:name="_Toc184312095"/>
      <w:bookmarkEnd w:id="199"/>
      <w:bookmarkStart w:id="200" w:name="_Toc184310291"/>
      <w:bookmarkEnd w:id="200"/>
      <w:bookmarkStart w:id="201" w:name="_Toc184308102"/>
      <w:bookmarkEnd w:id="201"/>
      <w:bookmarkStart w:id="202" w:name="_Toc184314472"/>
      <w:bookmarkEnd w:id="202"/>
      <w:bookmarkStart w:id="203" w:name="_Toc184310339"/>
      <w:bookmarkEnd w:id="203"/>
      <w:bookmarkStart w:id="204" w:name="_Toc184310303"/>
      <w:bookmarkEnd w:id="204"/>
      <w:bookmarkStart w:id="205" w:name="_Toc184313275"/>
      <w:bookmarkEnd w:id="205"/>
      <w:bookmarkStart w:id="206" w:name="_Toc184308097"/>
      <w:bookmarkEnd w:id="206"/>
      <w:bookmarkStart w:id="207" w:name="_Toc184308083"/>
      <w:bookmarkEnd w:id="207"/>
      <w:bookmarkStart w:id="208" w:name="_Toc184314429"/>
      <w:bookmarkEnd w:id="208"/>
      <w:bookmarkStart w:id="209" w:name="_Toc184310323"/>
      <w:bookmarkEnd w:id="209"/>
      <w:bookmarkStart w:id="210" w:name="_Toc184310326"/>
      <w:bookmarkEnd w:id="210"/>
      <w:bookmarkStart w:id="211" w:name="_Toc184314432"/>
      <w:bookmarkEnd w:id="211"/>
      <w:bookmarkStart w:id="212" w:name="_Toc184310292"/>
      <w:bookmarkEnd w:id="212"/>
      <w:bookmarkStart w:id="213" w:name="_Toc184313251"/>
      <w:bookmarkEnd w:id="213"/>
      <w:bookmarkStart w:id="214" w:name="_Toc184314418"/>
      <w:bookmarkEnd w:id="214"/>
      <w:bookmarkStart w:id="215" w:name="_Toc184314411"/>
      <w:bookmarkEnd w:id="215"/>
      <w:bookmarkStart w:id="216" w:name="_Toc184313282"/>
      <w:bookmarkEnd w:id="216"/>
      <w:bookmarkStart w:id="217" w:name="_Toc184313254"/>
      <w:bookmarkEnd w:id="217"/>
      <w:bookmarkStart w:id="218" w:name="_Toc184314430"/>
      <w:bookmarkEnd w:id="218"/>
      <w:bookmarkStart w:id="219" w:name="_Toc184312086"/>
      <w:bookmarkEnd w:id="219"/>
      <w:bookmarkStart w:id="220" w:name="_Toc184308084"/>
      <w:bookmarkEnd w:id="220"/>
      <w:bookmarkStart w:id="221" w:name="_Toc184308106"/>
      <w:bookmarkEnd w:id="221"/>
      <w:bookmarkStart w:id="222" w:name="_Toc184313242"/>
      <w:bookmarkEnd w:id="222"/>
      <w:bookmarkStart w:id="223" w:name="_Toc184308079"/>
      <w:bookmarkEnd w:id="223"/>
      <w:bookmarkStart w:id="224" w:name="_Toc184310335"/>
      <w:bookmarkEnd w:id="224"/>
      <w:bookmarkStart w:id="225" w:name="_Toc184312067"/>
      <w:bookmarkEnd w:id="225"/>
      <w:bookmarkStart w:id="226" w:name="_Toc184312087"/>
      <w:bookmarkEnd w:id="226"/>
      <w:bookmarkStart w:id="227" w:name="_Toc184313299"/>
      <w:bookmarkEnd w:id="227"/>
      <w:bookmarkStart w:id="228" w:name="_Toc184314469"/>
      <w:bookmarkEnd w:id="228"/>
      <w:bookmarkStart w:id="229" w:name="_Toc184310285"/>
      <w:bookmarkEnd w:id="229"/>
      <w:bookmarkStart w:id="230" w:name="_Toc184310300"/>
      <w:bookmarkEnd w:id="230"/>
      <w:bookmarkStart w:id="231" w:name="_Toc184314442"/>
      <w:bookmarkEnd w:id="231"/>
      <w:bookmarkStart w:id="232" w:name="_Toc184308070"/>
      <w:bookmarkEnd w:id="232"/>
      <w:bookmarkStart w:id="233" w:name="_Toc184310299"/>
      <w:bookmarkEnd w:id="233"/>
      <w:bookmarkStart w:id="234" w:name="_Toc184312076"/>
      <w:bookmarkEnd w:id="234"/>
      <w:bookmarkStart w:id="235" w:name="_Toc184310328"/>
      <w:bookmarkEnd w:id="235"/>
      <w:bookmarkStart w:id="236" w:name="_Toc184312106"/>
      <w:bookmarkEnd w:id="236"/>
      <w:bookmarkStart w:id="237" w:name="_Toc184308081"/>
      <w:bookmarkEnd w:id="237"/>
      <w:bookmarkStart w:id="238" w:name="_Toc184313292"/>
      <w:bookmarkEnd w:id="238"/>
      <w:bookmarkStart w:id="239" w:name="_Toc184314416"/>
      <w:bookmarkEnd w:id="239"/>
      <w:bookmarkStart w:id="240" w:name="_Toc184310290"/>
      <w:bookmarkEnd w:id="240"/>
      <w:bookmarkStart w:id="241" w:name="_Toc184310288"/>
      <w:bookmarkEnd w:id="241"/>
      <w:bookmarkStart w:id="242" w:name="_Toc184310334"/>
      <w:bookmarkEnd w:id="242"/>
      <w:bookmarkStart w:id="243" w:name="_Toc184314470"/>
      <w:bookmarkEnd w:id="243"/>
      <w:bookmarkStart w:id="244" w:name="_Toc184314426"/>
      <w:bookmarkEnd w:id="244"/>
      <w:bookmarkStart w:id="245" w:name="_Toc184308059"/>
      <w:bookmarkEnd w:id="245"/>
      <w:bookmarkStart w:id="246" w:name="_Toc184308100"/>
      <w:bookmarkEnd w:id="246"/>
      <w:bookmarkStart w:id="247" w:name="_Toc184312092"/>
      <w:bookmarkEnd w:id="247"/>
      <w:bookmarkStart w:id="248" w:name="_Toc184313252"/>
      <w:bookmarkEnd w:id="248"/>
      <w:bookmarkStart w:id="249" w:name="_Toc184313294"/>
      <w:bookmarkEnd w:id="249"/>
      <w:bookmarkStart w:id="250" w:name="_Toc184310318"/>
      <w:bookmarkEnd w:id="250"/>
      <w:bookmarkStart w:id="251" w:name="_Toc184312101"/>
      <w:bookmarkEnd w:id="251"/>
      <w:bookmarkStart w:id="252" w:name="_Toc184313256"/>
      <w:bookmarkEnd w:id="252"/>
      <w:bookmarkStart w:id="253" w:name="_Toc184308090"/>
      <w:bookmarkEnd w:id="253"/>
      <w:bookmarkStart w:id="254" w:name="_Toc184312105"/>
      <w:bookmarkEnd w:id="254"/>
      <w:bookmarkStart w:id="255" w:name="_Toc184314424"/>
      <w:bookmarkEnd w:id="255"/>
      <w:bookmarkStart w:id="256" w:name="_Toc184308039"/>
      <w:bookmarkEnd w:id="256"/>
      <w:bookmarkStart w:id="257" w:name="_Toc184310342"/>
      <w:bookmarkEnd w:id="257"/>
      <w:bookmarkStart w:id="258" w:name="_Toc184310295"/>
      <w:bookmarkEnd w:id="258"/>
      <w:bookmarkStart w:id="259" w:name="_Toc184308076"/>
      <w:bookmarkEnd w:id="259"/>
      <w:bookmarkStart w:id="260" w:name="_Toc184312112"/>
      <w:bookmarkEnd w:id="260"/>
      <w:bookmarkStart w:id="261" w:name="_Toc184312136"/>
      <w:bookmarkEnd w:id="261"/>
      <w:bookmarkStart w:id="262" w:name="_Toc184314414"/>
      <w:bookmarkEnd w:id="262"/>
      <w:bookmarkStart w:id="263" w:name="_Toc184314421"/>
      <w:bookmarkEnd w:id="263"/>
      <w:bookmarkStart w:id="264" w:name="_Toc184312093"/>
      <w:bookmarkEnd w:id="264"/>
      <w:bookmarkStart w:id="265" w:name="_Toc184312130"/>
      <w:bookmarkEnd w:id="265"/>
      <w:bookmarkStart w:id="266" w:name="_Toc184314446"/>
      <w:bookmarkEnd w:id="266"/>
      <w:bookmarkStart w:id="267" w:name="_Toc184312126"/>
      <w:bookmarkEnd w:id="267"/>
      <w:bookmarkStart w:id="268" w:name="_Toc184314477"/>
      <w:bookmarkEnd w:id="268"/>
      <w:bookmarkStart w:id="269" w:name="_Toc184313257"/>
      <w:bookmarkEnd w:id="269"/>
      <w:bookmarkStart w:id="270" w:name="_Toc184314431"/>
      <w:bookmarkEnd w:id="270"/>
      <w:bookmarkStart w:id="271" w:name="_Toc184313286"/>
      <w:bookmarkEnd w:id="271"/>
      <w:bookmarkStart w:id="272" w:name="_Toc184308072"/>
      <w:bookmarkEnd w:id="272"/>
      <w:bookmarkStart w:id="273" w:name="_Toc184310331"/>
      <w:bookmarkEnd w:id="273"/>
      <w:bookmarkStart w:id="274" w:name="_Toc184313290"/>
      <w:bookmarkEnd w:id="274"/>
      <w:bookmarkStart w:id="275" w:name="_Toc184314413"/>
      <w:bookmarkEnd w:id="275"/>
      <w:bookmarkStart w:id="276" w:name="_Toc184310315"/>
      <w:bookmarkEnd w:id="276"/>
      <w:bookmarkStart w:id="277" w:name="_Toc184314450"/>
      <w:bookmarkEnd w:id="277"/>
      <w:bookmarkStart w:id="278" w:name="_Toc184310344"/>
      <w:bookmarkEnd w:id="278"/>
      <w:bookmarkStart w:id="279" w:name="_Toc184313280"/>
      <w:bookmarkEnd w:id="279"/>
      <w:bookmarkStart w:id="280" w:name="_Toc184313310"/>
      <w:bookmarkEnd w:id="280"/>
      <w:bookmarkStart w:id="281" w:name="_Toc184312132"/>
      <w:bookmarkEnd w:id="281"/>
      <w:bookmarkStart w:id="282" w:name="_Toc184313261"/>
      <w:bookmarkEnd w:id="282"/>
      <w:bookmarkStart w:id="283" w:name="_Toc184310319"/>
      <w:bookmarkEnd w:id="283"/>
      <w:bookmarkStart w:id="284" w:name="_Toc184313270"/>
      <w:bookmarkEnd w:id="284"/>
      <w:bookmarkStart w:id="285" w:name="_Toc184310274"/>
      <w:bookmarkEnd w:id="285"/>
      <w:bookmarkStart w:id="286" w:name="_Toc184308054"/>
      <w:bookmarkEnd w:id="286"/>
      <w:bookmarkStart w:id="287" w:name="_Toc184308091"/>
      <w:bookmarkEnd w:id="287"/>
      <w:bookmarkStart w:id="288" w:name="_Toc184313300"/>
      <w:bookmarkEnd w:id="288"/>
      <w:bookmarkStart w:id="289" w:name="_Toc184312128"/>
      <w:bookmarkEnd w:id="289"/>
      <w:bookmarkStart w:id="290" w:name="_Toc184312098"/>
      <w:bookmarkEnd w:id="290"/>
      <w:bookmarkStart w:id="291" w:name="_Toc184310311"/>
      <w:bookmarkEnd w:id="291"/>
      <w:bookmarkStart w:id="292" w:name="_Toc184314479"/>
      <w:bookmarkEnd w:id="292"/>
      <w:bookmarkStart w:id="293" w:name="_Toc184312119"/>
      <w:bookmarkEnd w:id="293"/>
      <w:bookmarkStart w:id="294" w:name="_Toc184314445"/>
      <w:bookmarkEnd w:id="294"/>
      <w:bookmarkStart w:id="295" w:name="_Toc184313268"/>
      <w:bookmarkEnd w:id="295"/>
      <w:bookmarkStart w:id="296" w:name="_Toc184312115"/>
      <w:bookmarkEnd w:id="296"/>
      <w:bookmarkStart w:id="297" w:name="_Toc184313303"/>
      <w:bookmarkEnd w:id="297"/>
      <w:bookmarkStart w:id="298" w:name="_Toc184310306"/>
      <w:bookmarkEnd w:id="298"/>
      <w:bookmarkStart w:id="299" w:name="_Toc184313240"/>
      <w:bookmarkEnd w:id="299"/>
      <w:bookmarkStart w:id="300" w:name="_Toc184313296"/>
      <w:bookmarkEnd w:id="300"/>
      <w:bookmarkStart w:id="301" w:name="_Toc184312079"/>
      <w:bookmarkEnd w:id="301"/>
      <w:bookmarkStart w:id="302" w:name="_Toc184313255"/>
      <w:bookmarkEnd w:id="302"/>
      <w:bookmarkStart w:id="303" w:name="_Toc184308040"/>
      <w:bookmarkEnd w:id="303"/>
      <w:bookmarkStart w:id="304" w:name="_Toc184312071"/>
      <w:bookmarkEnd w:id="304"/>
      <w:bookmarkStart w:id="305" w:name="_Toc184312090"/>
      <w:bookmarkEnd w:id="305"/>
      <w:bookmarkStart w:id="306" w:name="_Toc184314428"/>
      <w:bookmarkEnd w:id="306"/>
      <w:bookmarkStart w:id="307" w:name="_Toc184313243"/>
      <w:bookmarkEnd w:id="307"/>
      <w:bookmarkStart w:id="308" w:name="_Toc184308069"/>
      <w:bookmarkEnd w:id="308"/>
      <w:bookmarkStart w:id="309" w:name="_Toc184308099"/>
      <w:bookmarkEnd w:id="309"/>
      <w:bookmarkStart w:id="310" w:name="_Toc184314458"/>
      <w:bookmarkEnd w:id="310"/>
      <w:bookmarkStart w:id="311" w:name="_Toc184308036"/>
      <w:bookmarkEnd w:id="311"/>
      <w:bookmarkStart w:id="312" w:name="_Toc184313287"/>
      <w:bookmarkEnd w:id="312"/>
      <w:bookmarkStart w:id="313" w:name="_Toc184312074"/>
      <w:bookmarkEnd w:id="313"/>
      <w:bookmarkStart w:id="314" w:name="_Toc184310338"/>
      <w:bookmarkEnd w:id="314"/>
      <w:bookmarkStart w:id="315" w:name="_Toc184310273"/>
      <w:bookmarkEnd w:id="315"/>
      <w:bookmarkStart w:id="316" w:name="_Toc184314456"/>
      <w:bookmarkEnd w:id="316"/>
      <w:bookmarkStart w:id="317" w:name="_Toc184312068"/>
      <w:bookmarkEnd w:id="317"/>
      <w:bookmarkStart w:id="318" w:name="_Toc184314449"/>
      <w:bookmarkEnd w:id="318"/>
      <w:bookmarkStart w:id="319" w:name="_Toc184313305"/>
      <w:bookmarkEnd w:id="319"/>
      <w:bookmarkStart w:id="320" w:name="_Toc184310325"/>
      <w:bookmarkEnd w:id="320"/>
      <w:bookmarkStart w:id="321" w:name="_Toc184310286"/>
      <w:bookmarkEnd w:id="321"/>
      <w:bookmarkStart w:id="322" w:name="_Toc184313289"/>
      <w:bookmarkEnd w:id="322"/>
      <w:bookmarkStart w:id="323" w:name="_Toc184312114"/>
      <w:bookmarkEnd w:id="323"/>
      <w:bookmarkStart w:id="324" w:name="_Toc184308068"/>
      <w:bookmarkEnd w:id="324"/>
      <w:bookmarkStart w:id="325" w:name="_Toc184308046"/>
      <w:bookmarkEnd w:id="325"/>
      <w:bookmarkStart w:id="326" w:name="_Toc184314412"/>
      <w:bookmarkEnd w:id="326"/>
      <w:bookmarkStart w:id="327" w:name="_Toc184310320"/>
      <w:bookmarkEnd w:id="327"/>
      <w:bookmarkStart w:id="328" w:name="_Toc184313284"/>
      <w:bookmarkEnd w:id="328"/>
      <w:bookmarkStart w:id="329" w:name="_Toc184314443"/>
      <w:bookmarkEnd w:id="329"/>
      <w:bookmarkStart w:id="330" w:name="_Toc184310330"/>
      <w:bookmarkEnd w:id="330"/>
      <w:bookmarkStart w:id="331" w:name="_Toc184314474"/>
      <w:bookmarkEnd w:id="331"/>
      <w:bookmarkStart w:id="332" w:name="_Toc184314452"/>
      <w:bookmarkEnd w:id="332"/>
      <w:bookmarkStart w:id="333" w:name="_Toc184312094"/>
      <w:bookmarkEnd w:id="333"/>
      <w:bookmarkStart w:id="334" w:name="_Toc184313250"/>
      <w:bookmarkEnd w:id="334"/>
      <w:bookmarkStart w:id="335" w:name="_Toc184314422"/>
      <w:bookmarkEnd w:id="335"/>
      <w:bookmarkStart w:id="336" w:name="_Toc184313285"/>
      <w:bookmarkEnd w:id="336"/>
      <w:bookmarkStart w:id="337" w:name="_Toc184310327"/>
      <w:bookmarkEnd w:id="337"/>
      <w:bookmarkStart w:id="338" w:name="_Toc184314453"/>
      <w:bookmarkEnd w:id="338"/>
      <w:bookmarkStart w:id="339" w:name="_Toc184313265"/>
      <w:bookmarkEnd w:id="339"/>
      <w:bookmarkStart w:id="340" w:name="_Toc184310332"/>
      <w:bookmarkEnd w:id="340"/>
      <w:bookmarkStart w:id="341" w:name="_Toc184314448"/>
      <w:bookmarkEnd w:id="341"/>
      <w:bookmarkStart w:id="342" w:name="_Toc184314447"/>
      <w:bookmarkEnd w:id="342"/>
      <w:bookmarkStart w:id="343" w:name="_Toc184312104"/>
      <w:bookmarkEnd w:id="343"/>
      <w:bookmarkStart w:id="344" w:name="_Toc184313248"/>
      <w:bookmarkEnd w:id="344"/>
      <w:bookmarkStart w:id="345" w:name="_Toc184312084"/>
      <w:bookmarkEnd w:id="345"/>
      <w:bookmarkStart w:id="346" w:name="_Toc184308108"/>
      <w:bookmarkEnd w:id="346"/>
      <w:bookmarkStart w:id="347" w:name="_Toc184312080"/>
      <w:bookmarkEnd w:id="347"/>
      <w:bookmarkStart w:id="348" w:name="_Toc184312135"/>
      <w:bookmarkEnd w:id="348"/>
      <w:bookmarkStart w:id="349" w:name="_Toc184308050"/>
      <w:bookmarkEnd w:id="349"/>
      <w:bookmarkStart w:id="350" w:name="_Toc184308089"/>
      <w:bookmarkEnd w:id="350"/>
      <w:bookmarkStart w:id="351" w:name="_Toc184310317"/>
      <w:bookmarkEnd w:id="351"/>
      <w:bookmarkStart w:id="352" w:name="_Toc184313306"/>
      <w:bookmarkEnd w:id="352"/>
      <w:bookmarkStart w:id="353" w:name="_Toc184314481"/>
      <w:bookmarkEnd w:id="353"/>
      <w:bookmarkStart w:id="354" w:name="_Toc184312111"/>
      <w:bookmarkEnd w:id="354"/>
      <w:bookmarkStart w:id="355" w:name="_Toc184312116"/>
      <w:bookmarkEnd w:id="355"/>
      <w:bookmarkStart w:id="356" w:name="_Toc184310341"/>
      <w:bookmarkEnd w:id="356"/>
      <w:bookmarkStart w:id="357" w:name="_Toc184312133"/>
      <w:bookmarkEnd w:id="357"/>
      <w:bookmarkStart w:id="358" w:name="_Toc184314455"/>
      <w:bookmarkEnd w:id="358"/>
      <w:bookmarkStart w:id="359" w:name="_Toc184308107"/>
      <w:bookmarkEnd w:id="359"/>
      <w:bookmarkStart w:id="360" w:name="_Toc184314467"/>
      <w:bookmarkEnd w:id="360"/>
      <w:bookmarkStart w:id="361" w:name="_Toc184314457"/>
      <w:bookmarkEnd w:id="361"/>
      <w:bookmarkStart w:id="362" w:name="_Toc184312125"/>
      <w:bookmarkEnd w:id="362"/>
      <w:bookmarkStart w:id="363" w:name="_Toc184312134"/>
      <w:bookmarkEnd w:id="363"/>
      <w:bookmarkStart w:id="364" w:name="_Toc184308056"/>
      <w:bookmarkEnd w:id="364"/>
      <w:bookmarkStart w:id="365" w:name="_Toc184312077"/>
      <w:bookmarkEnd w:id="365"/>
      <w:bookmarkStart w:id="366" w:name="_Toc184308093"/>
      <w:bookmarkEnd w:id="366"/>
      <w:bookmarkStart w:id="367" w:name="_Toc184308095"/>
      <w:bookmarkEnd w:id="367"/>
      <w:bookmarkStart w:id="368" w:name="_Toc184313295"/>
      <w:bookmarkEnd w:id="368"/>
      <w:bookmarkStart w:id="369" w:name="_Toc184314410"/>
      <w:bookmarkEnd w:id="369"/>
      <w:bookmarkStart w:id="370" w:name="_Toc184313297"/>
      <w:bookmarkEnd w:id="370"/>
      <w:bookmarkStart w:id="371" w:name="_Toc184312123"/>
      <w:bookmarkEnd w:id="371"/>
      <w:bookmarkStart w:id="372" w:name="_Toc184314465"/>
      <w:bookmarkEnd w:id="372"/>
      <w:bookmarkStart w:id="373" w:name="_Toc184310283"/>
      <w:bookmarkEnd w:id="373"/>
      <w:bookmarkStart w:id="374" w:name="_Toc184313309"/>
      <w:bookmarkEnd w:id="374"/>
      <w:bookmarkStart w:id="375" w:name="_Toc184313239"/>
      <w:bookmarkEnd w:id="375"/>
      <w:bookmarkStart w:id="376" w:name="_Toc184313288"/>
      <w:bookmarkEnd w:id="376"/>
      <w:bookmarkStart w:id="377" w:name="_Toc184310277"/>
      <w:bookmarkEnd w:id="377"/>
      <w:bookmarkStart w:id="378" w:name="_Toc184313262"/>
      <w:bookmarkEnd w:id="378"/>
      <w:bookmarkStart w:id="379" w:name="_Toc184310343"/>
      <w:bookmarkEnd w:id="379"/>
      <w:bookmarkStart w:id="380" w:name="_Toc184308047"/>
      <w:bookmarkEnd w:id="380"/>
      <w:bookmarkStart w:id="381" w:name="_Toc184313278"/>
      <w:bookmarkEnd w:id="381"/>
      <w:bookmarkStart w:id="382" w:name="_Toc184308098"/>
      <w:bookmarkEnd w:id="382"/>
      <w:bookmarkStart w:id="383" w:name="_Toc184310333"/>
      <w:bookmarkEnd w:id="383"/>
      <w:bookmarkStart w:id="384" w:name="_Toc184310322"/>
      <w:bookmarkEnd w:id="384"/>
      <w:bookmarkStart w:id="385" w:name="_Toc184313249"/>
      <w:bookmarkEnd w:id="385"/>
      <w:bookmarkStart w:id="386" w:name="_Toc184312138"/>
      <w:bookmarkEnd w:id="386"/>
      <w:bookmarkStart w:id="387" w:name="_Toc184314476"/>
      <w:bookmarkEnd w:id="387"/>
      <w:bookmarkStart w:id="388" w:name="_Toc184313266"/>
      <w:bookmarkEnd w:id="388"/>
      <w:bookmarkStart w:id="389" w:name="_Toc184312091"/>
      <w:bookmarkEnd w:id="389"/>
      <w:bookmarkStart w:id="390" w:name="_Toc184308057"/>
      <w:bookmarkEnd w:id="390"/>
      <w:bookmarkStart w:id="391" w:name="_Toc184313307"/>
      <w:bookmarkEnd w:id="391"/>
      <w:bookmarkStart w:id="392" w:name="_Toc184308065"/>
      <w:bookmarkEnd w:id="392"/>
      <w:bookmarkStart w:id="393" w:name="_Toc184313269"/>
      <w:bookmarkEnd w:id="393"/>
      <w:bookmarkStart w:id="394" w:name="_Toc184314439"/>
      <w:bookmarkEnd w:id="394"/>
      <w:bookmarkStart w:id="395" w:name="_Toc184308052"/>
      <w:bookmarkEnd w:id="395"/>
      <w:bookmarkStart w:id="396" w:name="_Toc184310304"/>
      <w:bookmarkEnd w:id="396"/>
      <w:bookmarkStart w:id="397" w:name="_Toc184314441"/>
      <w:bookmarkEnd w:id="397"/>
      <w:bookmarkStart w:id="398" w:name="_Toc184308085"/>
      <w:bookmarkEnd w:id="398"/>
      <w:bookmarkStart w:id="399" w:name="_Toc184314460"/>
      <w:bookmarkEnd w:id="399"/>
      <w:bookmarkStart w:id="400" w:name="_Toc184314420"/>
      <w:bookmarkEnd w:id="400"/>
      <w:bookmarkStart w:id="401" w:name="_Toc184313302"/>
      <w:bookmarkEnd w:id="401"/>
      <w:bookmarkStart w:id="402" w:name="_Toc184312121"/>
      <w:bookmarkEnd w:id="402"/>
      <w:bookmarkStart w:id="403" w:name="_Toc184313238"/>
      <w:bookmarkEnd w:id="403"/>
      <w:bookmarkStart w:id="404" w:name="_Toc184314454"/>
      <w:bookmarkEnd w:id="404"/>
      <w:bookmarkStart w:id="405" w:name="_Toc184314473"/>
      <w:bookmarkEnd w:id="405"/>
      <w:bookmarkStart w:id="406" w:name="_Toc184314423"/>
      <w:bookmarkEnd w:id="406"/>
      <w:bookmarkStart w:id="407" w:name="_Toc184310321"/>
      <w:bookmarkEnd w:id="407"/>
      <w:bookmarkStart w:id="408" w:name="_Toc184308087"/>
      <w:bookmarkEnd w:id="408"/>
      <w:bookmarkStart w:id="409" w:name="_Toc184310316"/>
      <w:bookmarkEnd w:id="409"/>
      <w:r>
        <w:rPr>
          <w:rFonts w:hint="eastAsia" w:ascii="仿宋" w:hAnsi="仿宋" w:eastAsia="仿宋" w:cs="仿宋_GB2312"/>
          <w:b/>
          <w:sz w:val="36"/>
          <w:szCs w:val="36"/>
        </w:rPr>
        <w:t>评标办法</w:t>
      </w:r>
    </w:p>
    <w:p>
      <w:pPr>
        <w:snapToGrid w:val="0"/>
        <w:spacing w:line="360" w:lineRule="auto"/>
        <w:jc w:val="center"/>
        <w:rPr>
          <w:rFonts w:hint="default" w:ascii="仿宋" w:hAnsi="仿宋" w:eastAsia="仿宋" w:cs="仿宋_GB2312"/>
          <w:b/>
          <w:sz w:val="32"/>
          <w:szCs w:val="20"/>
          <w:lang w:val="en-US" w:eastAsia="zh-CN"/>
        </w:rPr>
      </w:pPr>
      <w:r>
        <w:rPr>
          <w:rFonts w:hint="eastAsia" w:ascii="仿宋" w:hAnsi="仿宋" w:eastAsia="仿宋" w:cs="仿宋_GB2312"/>
          <w:b/>
          <w:sz w:val="32"/>
          <w:szCs w:val="20"/>
        </w:rPr>
        <w:t>评标办法前附表</w:t>
      </w:r>
    </w:p>
    <w:p>
      <w:pPr>
        <w:numPr>
          <w:ilvl w:val="0"/>
          <w:numId w:val="4"/>
        </w:numPr>
        <w:snapToGrid w:val="0"/>
        <w:spacing w:line="360" w:lineRule="auto"/>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评标标准</w:t>
      </w:r>
    </w:p>
    <w:p>
      <w:pPr>
        <w:pStyle w:val="2"/>
        <w:numPr>
          <w:ilvl w:val="0"/>
          <w:numId w:val="0"/>
        </w:numPr>
        <w:tabs>
          <w:tab w:val="left" w:pos="706"/>
          <w:tab w:val="clear" w:pos="432"/>
        </w:tabs>
        <w:ind w:left="0" w:firstLine="482" w:firstLineChars="200"/>
        <w:rPr>
          <w:rFonts w:hint="eastAsia" w:ascii="宋体" w:hAnsi="宋体" w:eastAsia="宋体" w:cs="宋体"/>
          <w:i w:val="0"/>
          <w:iCs w:val="0"/>
          <w:sz w:val="24"/>
          <w:szCs w:val="24"/>
          <w:lang w:eastAsia="zh-CN"/>
        </w:rPr>
      </w:pPr>
      <w:r>
        <w:rPr>
          <w:rFonts w:hint="eastAsia" w:ascii="仿宋_GB2312" w:hAnsi="仿宋_GB2312" w:eastAsia="仿宋_GB2312" w:cs="仿宋_GB2312"/>
          <w:i w:val="0"/>
          <w:iCs w:val="0"/>
          <w:sz w:val="24"/>
          <w:szCs w:val="24"/>
          <w:lang w:val="en-US" w:eastAsia="zh-CN"/>
        </w:rPr>
        <w:t>商务</w:t>
      </w:r>
      <w:r>
        <w:rPr>
          <w:rFonts w:hint="eastAsia" w:ascii="仿宋_GB2312" w:hAnsi="仿宋_GB2312" w:eastAsia="仿宋_GB2312" w:cs="仿宋_GB2312"/>
          <w:i w:val="0"/>
          <w:iCs w:val="0"/>
          <w:sz w:val="24"/>
          <w:szCs w:val="24"/>
        </w:rPr>
        <w:t>技术分（</w:t>
      </w:r>
      <w:r>
        <w:rPr>
          <w:rFonts w:hint="eastAsia" w:ascii="仿宋_GB2312" w:hAnsi="仿宋_GB2312" w:eastAsia="仿宋_GB2312" w:cs="仿宋_GB2312"/>
          <w:i w:val="0"/>
          <w:iCs w:val="0"/>
          <w:sz w:val="24"/>
          <w:szCs w:val="24"/>
          <w:lang w:val="en-US" w:eastAsia="zh-CN"/>
        </w:rPr>
        <w:t>90</w:t>
      </w:r>
      <w:r>
        <w:rPr>
          <w:rFonts w:hint="eastAsia" w:ascii="仿宋_GB2312" w:hAnsi="仿宋_GB2312" w:eastAsia="仿宋_GB2312" w:cs="仿宋_GB2312"/>
          <w:i w:val="0"/>
          <w:iCs w:val="0"/>
          <w:sz w:val="24"/>
          <w:szCs w:val="24"/>
        </w:rPr>
        <w:t>分）</w:t>
      </w:r>
      <w:r>
        <w:rPr>
          <w:rFonts w:hint="eastAsia" w:ascii="仿宋_GB2312" w:hAnsi="仿宋_GB2312" w:eastAsia="仿宋_GB2312" w:cs="仿宋_GB2312"/>
          <w:i w:val="0"/>
          <w:iCs w:val="0"/>
          <w:sz w:val="24"/>
          <w:szCs w:val="24"/>
          <w:lang w:eastAsia="zh-CN"/>
        </w:rPr>
        <w:t>：</w:t>
      </w:r>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1696" w:type="dxa"/>
            <w:noWrap w:val="0"/>
            <w:vAlign w:val="center"/>
          </w:tcPr>
          <w:p>
            <w:pPr>
              <w:widowControl/>
              <w:spacing w:line="288" w:lineRule="auto"/>
              <w:jc w:val="center"/>
              <w:rPr>
                <w:rFonts w:hint="eastAsia" w:ascii="宋体" w:hAnsi="宋体" w:cs="宋体"/>
                <w:b/>
                <w:sz w:val="24"/>
              </w:rPr>
            </w:pPr>
            <w:r>
              <w:rPr>
                <w:rFonts w:hint="eastAsia" w:ascii="宋体" w:hAnsi="宋体" w:cs="宋体"/>
                <w:b/>
                <w:sz w:val="24"/>
              </w:rPr>
              <w:t>序号</w:t>
            </w:r>
          </w:p>
        </w:tc>
        <w:tc>
          <w:tcPr>
            <w:tcW w:w="7318" w:type="dxa"/>
            <w:noWrap w:val="0"/>
            <w:vAlign w:val="center"/>
          </w:tcPr>
          <w:p>
            <w:pPr>
              <w:widowControl/>
              <w:spacing w:line="288" w:lineRule="auto"/>
              <w:jc w:val="center"/>
              <w:rPr>
                <w:rFonts w:hint="eastAsia" w:ascii="宋体" w:hAnsi="宋体" w:cs="宋体"/>
                <w:b/>
                <w:sz w:val="24"/>
              </w:rPr>
            </w:pPr>
            <w:r>
              <w:rPr>
                <w:rFonts w:hint="eastAsia" w:ascii="宋体" w:hAnsi="宋体" w:cs="宋体"/>
                <w:b/>
                <w:sz w:val="24"/>
              </w:rPr>
              <w:t>评分内容</w:t>
            </w:r>
          </w:p>
        </w:tc>
        <w:tc>
          <w:tcPr>
            <w:tcW w:w="1156" w:type="dxa"/>
            <w:noWrap w:val="0"/>
            <w:vAlign w:val="center"/>
          </w:tcPr>
          <w:p>
            <w:pPr>
              <w:widowControl/>
              <w:spacing w:line="288" w:lineRule="auto"/>
              <w:jc w:val="center"/>
              <w:rPr>
                <w:rFonts w:hint="eastAsia" w:ascii="宋体" w:hAnsi="宋体" w:cs="宋体"/>
                <w:b/>
                <w:sz w:val="24"/>
              </w:rPr>
            </w:pPr>
            <w:r>
              <w:rPr>
                <w:rFonts w:hint="eastAsia" w:ascii="宋体" w:hAnsi="宋体" w:cs="宋体"/>
                <w:b/>
                <w:sz w:val="24"/>
              </w:rPr>
              <w:t>分值</w:t>
            </w:r>
          </w:p>
          <w:p>
            <w:pPr>
              <w:widowControl/>
              <w:spacing w:line="288" w:lineRule="auto"/>
              <w:jc w:val="center"/>
              <w:rPr>
                <w:rFonts w:hint="eastAsia" w:ascii="宋体" w:hAnsi="宋体" w:cs="宋体"/>
                <w:b/>
                <w:sz w:val="24"/>
              </w:rPr>
            </w:pPr>
            <w:r>
              <w:rPr>
                <w:rFonts w:hint="eastAsia" w:ascii="宋体" w:hAnsi="宋体" w:cs="宋体"/>
                <w:b/>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696" w:type="dxa"/>
            <w:noWrap w:val="0"/>
            <w:vAlign w:val="center"/>
          </w:tcPr>
          <w:p>
            <w:pPr>
              <w:spacing w:line="288" w:lineRule="auto"/>
              <w:jc w:val="center"/>
              <w:rPr>
                <w:rFonts w:hint="eastAsia" w:ascii="宋体" w:hAnsi="宋体" w:cs="宋体"/>
                <w:sz w:val="24"/>
              </w:rPr>
            </w:pPr>
            <w:r>
              <w:rPr>
                <w:rFonts w:hint="eastAsia" w:ascii="宋体" w:hAnsi="宋体" w:cs="宋体"/>
                <w:sz w:val="24"/>
              </w:rPr>
              <w:t>1.检测管理机构设置方案、运作流程、管理方式及计划</w:t>
            </w:r>
          </w:p>
        </w:tc>
        <w:tc>
          <w:tcPr>
            <w:tcW w:w="7318" w:type="dxa"/>
            <w:noWrap w:val="0"/>
            <w:vAlign w:val="center"/>
          </w:tcPr>
          <w:p>
            <w:pPr>
              <w:spacing w:line="288" w:lineRule="auto"/>
              <w:ind w:firstLine="480" w:firstLineChars="200"/>
              <w:rPr>
                <w:rFonts w:hint="eastAsia" w:ascii="宋体" w:hAnsi="宋体" w:eastAsia="宋体" w:cs="宋体"/>
                <w:sz w:val="24"/>
              </w:rPr>
            </w:pPr>
            <w:r>
              <w:rPr>
                <w:rFonts w:hint="eastAsia" w:ascii="宋体" w:hAnsi="宋体" w:eastAsia="宋体" w:cs="宋体"/>
                <w:color w:val="000000"/>
                <w:sz w:val="24"/>
              </w:rPr>
              <w:t>根据投标</w:t>
            </w:r>
            <w:r>
              <w:rPr>
                <w:rFonts w:hint="eastAsia" w:ascii="宋体" w:hAnsi="宋体" w:eastAsia="宋体" w:cs="宋体"/>
                <w:sz w:val="24"/>
                <w:lang w:val="zh-CN"/>
              </w:rPr>
              <w:t>单位</w:t>
            </w:r>
            <w:r>
              <w:rPr>
                <w:rFonts w:hint="eastAsia" w:ascii="宋体" w:hAnsi="宋体" w:eastAsia="宋体" w:cs="宋体"/>
                <w:color w:val="000000"/>
                <w:sz w:val="24"/>
              </w:rPr>
              <w:t>对本项目的</w:t>
            </w:r>
            <w:r>
              <w:rPr>
                <w:rFonts w:hint="eastAsia" w:ascii="宋体" w:hAnsi="宋体" w:eastAsia="宋体" w:cs="宋体"/>
                <w:sz w:val="24"/>
              </w:rPr>
              <w:t>检测管理机构设置</w:t>
            </w:r>
            <w:r>
              <w:rPr>
                <w:rFonts w:hint="eastAsia" w:ascii="宋体" w:hAnsi="宋体" w:eastAsia="宋体" w:cs="宋体"/>
                <w:color w:val="000000"/>
                <w:sz w:val="24"/>
              </w:rPr>
              <w:t>（附组织机构图）、运作流程（附运作流程图）、激励机制、监督机制、自我约束机制和信息反馈渠道及处理机制</w:t>
            </w:r>
            <w:r>
              <w:rPr>
                <w:rFonts w:hint="eastAsia" w:ascii="宋体" w:hAnsi="宋体" w:cs="宋体"/>
                <w:color w:val="000000"/>
                <w:sz w:val="24"/>
                <w:lang w:eastAsia="zh-CN"/>
              </w:rPr>
              <w:t>，根据内容完整性和合理性</w:t>
            </w:r>
            <w:r>
              <w:rPr>
                <w:rFonts w:hint="eastAsia" w:ascii="宋体" w:hAnsi="宋体" w:eastAsia="宋体" w:cs="宋体"/>
                <w:color w:val="000000"/>
                <w:sz w:val="24"/>
              </w:rPr>
              <w:t>进行打分0-3分。</w:t>
            </w:r>
          </w:p>
        </w:tc>
        <w:tc>
          <w:tcPr>
            <w:tcW w:w="1156" w:type="dxa"/>
            <w:noWrap w:val="0"/>
            <w:vAlign w:val="center"/>
          </w:tcPr>
          <w:p>
            <w:pPr>
              <w:spacing w:line="288" w:lineRule="auto"/>
              <w:jc w:val="center"/>
              <w:rPr>
                <w:rFonts w:hint="eastAsia" w:ascii="宋体" w:hAnsi="宋体" w:cs="宋体"/>
                <w:color w:val="000000"/>
                <w:sz w:val="24"/>
              </w:rPr>
            </w:pPr>
            <w:r>
              <w:rPr>
                <w:rFonts w:hint="eastAsia" w:ascii="宋体" w:hAnsi="宋体" w:cs="宋体"/>
                <w:color w:val="000000"/>
                <w:sz w:val="24"/>
              </w:rPr>
              <w:t>0-3分</w:t>
            </w:r>
          </w:p>
          <w:p>
            <w:pPr>
              <w:spacing w:line="288"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96" w:type="dxa"/>
            <w:noWrap w:val="0"/>
            <w:vAlign w:val="center"/>
          </w:tcPr>
          <w:p>
            <w:pPr>
              <w:spacing w:line="288" w:lineRule="auto"/>
              <w:rPr>
                <w:rFonts w:hint="eastAsia" w:ascii="宋体" w:hAnsi="宋体" w:cs="宋体"/>
                <w:b/>
                <w:sz w:val="24"/>
              </w:rPr>
            </w:pPr>
            <w:r>
              <w:rPr>
                <w:rFonts w:hint="eastAsia" w:ascii="宋体" w:hAnsi="宋体" w:cs="宋体"/>
                <w:sz w:val="24"/>
              </w:rPr>
              <w:t>2.</w:t>
            </w:r>
            <w:r>
              <w:rPr>
                <w:rFonts w:hint="eastAsia" w:ascii="宋体" w:hAnsi="宋体" w:cs="宋体"/>
                <w:bCs/>
                <w:sz w:val="24"/>
              </w:rPr>
              <w:t>需求理解</w:t>
            </w:r>
          </w:p>
        </w:tc>
        <w:tc>
          <w:tcPr>
            <w:tcW w:w="7318" w:type="dxa"/>
            <w:noWrap w:val="0"/>
            <w:vAlign w:val="center"/>
          </w:tcPr>
          <w:p>
            <w:pPr>
              <w:spacing w:line="288" w:lineRule="auto"/>
              <w:ind w:firstLine="480" w:firstLineChars="200"/>
              <w:jc w:val="left"/>
              <w:rPr>
                <w:rFonts w:hint="eastAsia" w:ascii="宋体" w:hAnsi="宋体" w:eastAsia="宋体" w:cs="宋体"/>
                <w:color w:val="000000"/>
                <w:sz w:val="24"/>
              </w:rPr>
            </w:pPr>
            <w:r>
              <w:rPr>
                <w:rFonts w:hint="eastAsia" w:ascii="宋体" w:hAnsi="宋体" w:eastAsia="宋体" w:cs="宋体"/>
                <w:bCs/>
                <w:sz w:val="24"/>
              </w:rPr>
              <w:t>对本地工程质量检测市场现状的认知情况，以及解决问题的对策以及合理可行情况，进行打分0-4分。</w:t>
            </w:r>
          </w:p>
        </w:tc>
        <w:tc>
          <w:tcPr>
            <w:tcW w:w="1156" w:type="dxa"/>
            <w:noWrap w:val="0"/>
            <w:vAlign w:val="center"/>
          </w:tcPr>
          <w:p>
            <w:pPr>
              <w:spacing w:line="288" w:lineRule="auto"/>
              <w:jc w:val="center"/>
              <w:rPr>
                <w:rFonts w:hint="eastAsia" w:ascii="宋体" w:hAnsi="宋体" w:cs="宋体"/>
                <w:color w:val="000000"/>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noWrap w:val="0"/>
            <w:vAlign w:val="center"/>
          </w:tcPr>
          <w:p>
            <w:pPr>
              <w:spacing w:line="288" w:lineRule="auto"/>
              <w:jc w:val="center"/>
              <w:rPr>
                <w:rFonts w:hint="eastAsia" w:ascii="宋体" w:hAnsi="宋体" w:cs="宋体"/>
                <w:sz w:val="24"/>
              </w:rPr>
            </w:pPr>
            <w:r>
              <w:rPr>
                <w:rFonts w:hint="eastAsia" w:ascii="宋体" w:hAnsi="宋体" w:cs="宋体"/>
                <w:sz w:val="24"/>
              </w:rPr>
              <w:t>3.作业机具及车辆配置情况</w:t>
            </w:r>
          </w:p>
        </w:tc>
        <w:tc>
          <w:tcPr>
            <w:tcW w:w="7318" w:type="dxa"/>
            <w:noWrap w:val="0"/>
            <w:vAlign w:val="center"/>
          </w:tcPr>
          <w:p>
            <w:pPr>
              <w:spacing w:line="288" w:lineRule="auto"/>
              <w:ind w:firstLine="480" w:firstLineChars="200"/>
              <w:jc w:val="left"/>
              <w:rPr>
                <w:rFonts w:hint="eastAsia" w:ascii="宋体" w:hAnsi="宋体" w:eastAsia="宋体" w:cs="宋体"/>
                <w:sz w:val="24"/>
              </w:rPr>
            </w:pPr>
            <w:r>
              <w:rPr>
                <w:rFonts w:hint="eastAsia" w:ascii="宋体" w:hAnsi="宋体" w:eastAsia="宋体" w:cs="宋体"/>
                <w:sz w:val="24"/>
              </w:rPr>
              <w:t>检测所对应主要检测仪器、设备以及开展外出见证取样检测和分户检测工作车辆配置情况，科学、可行，由评委进行打分0-4分</w:t>
            </w:r>
            <w:r>
              <w:rPr>
                <w:rFonts w:hint="eastAsia" w:ascii="宋体" w:hAnsi="宋体" w:cs="宋体"/>
                <w:sz w:val="24"/>
                <w:lang w:eastAsia="zh-CN"/>
              </w:rPr>
              <w:t>。</w:t>
            </w:r>
          </w:p>
        </w:tc>
        <w:tc>
          <w:tcPr>
            <w:tcW w:w="1156" w:type="dxa"/>
            <w:noWrap w:val="0"/>
            <w:vAlign w:val="center"/>
          </w:tcPr>
          <w:p>
            <w:pPr>
              <w:spacing w:line="288" w:lineRule="auto"/>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spacing w:line="288" w:lineRule="auto"/>
              <w:jc w:val="center"/>
              <w:rPr>
                <w:rFonts w:hint="eastAsia" w:ascii="宋体" w:hAnsi="宋体" w:cs="宋体"/>
                <w:sz w:val="24"/>
              </w:rPr>
            </w:pPr>
            <w:r>
              <w:rPr>
                <w:rFonts w:hint="eastAsia" w:ascii="宋体" w:hAnsi="宋体" w:cs="宋体"/>
                <w:bCs/>
                <w:sz w:val="24"/>
              </w:rPr>
              <w:t>4.拟设立的各项管理规章制度及档案资料的建立与管理</w:t>
            </w:r>
          </w:p>
        </w:tc>
        <w:tc>
          <w:tcPr>
            <w:tcW w:w="7318" w:type="dxa"/>
            <w:noWrap w:val="0"/>
            <w:vAlign w:val="center"/>
          </w:tcPr>
          <w:p>
            <w:pPr>
              <w:spacing w:line="288"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投标</w:t>
            </w:r>
            <w:r>
              <w:rPr>
                <w:rFonts w:hint="eastAsia" w:ascii="宋体" w:hAnsi="宋体" w:eastAsia="宋体" w:cs="宋体"/>
                <w:sz w:val="24"/>
                <w:lang w:val="zh-CN"/>
              </w:rPr>
              <w:t>单位</w:t>
            </w:r>
            <w:r>
              <w:rPr>
                <w:rFonts w:hint="eastAsia" w:ascii="宋体" w:hAnsi="宋体" w:eastAsia="宋体" w:cs="宋体"/>
                <w:sz w:val="24"/>
              </w:rPr>
              <w:t>针对本项目设立的各项公众制度、内部岗位责任制度、管理运作制度、考核制度及标准等，要求符合规范，体现高标准、高档次、科学合理、详细完备（人员、设施、设备管理服务、业主方反馈资料、行政文件资料等档案的建立与管理），</w:t>
            </w:r>
            <w:r>
              <w:rPr>
                <w:rFonts w:hint="eastAsia" w:ascii="宋体" w:hAnsi="宋体" w:cs="宋体"/>
                <w:color w:val="000000"/>
                <w:sz w:val="24"/>
                <w:lang w:eastAsia="zh-CN"/>
              </w:rPr>
              <w:t>根据内容完整性和合理性</w:t>
            </w:r>
            <w:r>
              <w:rPr>
                <w:rFonts w:hint="eastAsia" w:ascii="宋体" w:hAnsi="宋体" w:eastAsia="宋体" w:cs="宋体"/>
                <w:sz w:val="24"/>
              </w:rPr>
              <w:t>进行打分0-4分。</w:t>
            </w:r>
          </w:p>
        </w:tc>
        <w:tc>
          <w:tcPr>
            <w:tcW w:w="1156" w:type="dxa"/>
            <w:noWrap w:val="0"/>
            <w:vAlign w:val="center"/>
          </w:tcPr>
          <w:p>
            <w:pPr>
              <w:spacing w:line="288" w:lineRule="auto"/>
              <w:jc w:val="center"/>
              <w:rPr>
                <w:rFonts w:ascii="宋体" w:hAnsi="宋体" w:cs="宋体"/>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Merge w:val="restart"/>
            <w:noWrap w:val="0"/>
            <w:vAlign w:val="center"/>
          </w:tcPr>
          <w:p>
            <w:pPr>
              <w:spacing w:line="288" w:lineRule="auto"/>
              <w:jc w:val="center"/>
              <w:rPr>
                <w:rFonts w:hint="eastAsia" w:ascii="宋体" w:hAnsi="宋体" w:cs="宋体"/>
                <w:sz w:val="24"/>
              </w:rPr>
            </w:pPr>
            <w:r>
              <w:rPr>
                <w:rFonts w:hint="eastAsia" w:ascii="宋体" w:hAnsi="宋体" w:cs="宋体"/>
                <w:sz w:val="24"/>
              </w:rPr>
              <w:t>5.操作规程</w:t>
            </w:r>
            <w:r>
              <w:rPr>
                <w:rFonts w:hint="eastAsia" w:ascii="宋体" w:hAnsi="宋体" w:cs="宋体"/>
                <w:sz w:val="24"/>
                <w:lang w:eastAsia="zh-CN"/>
              </w:rPr>
              <w:t>和质量控制措施</w:t>
            </w:r>
          </w:p>
        </w:tc>
        <w:tc>
          <w:tcPr>
            <w:tcW w:w="7318"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sz w:val="24"/>
              </w:rPr>
              <w:t>1）根据投标</w:t>
            </w:r>
            <w:r>
              <w:rPr>
                <w:rFonts w:hint="eastAsia" w:ascii="宋体" w:hAnsi="宋体" w:eastAsia="宋体" w:cs="宋体"/>
                <w:sz w:val="24"/>
                <w:lang w:val="zh-CN"/>
              </w:rPr>
              <w:t>单位</w:t>
            </w:r>
            <w:r>
              <w:rPr>
                <w:rFonts w:hint="eastAsia" w:ascii="宋体" w:hAnsi="宋体" w:eastAsia="宋体" w:cs="宋体"/>
                <w:sz w:val="24"/>
              </w:rPr>
              <w:t>对各项工作要求作出具体承诺及所采用的操作规程、标准、具体实施计划和方案明确</w:t>
            </w:r>
            <w:r>
              <w:rPr>
                <w:rFonts w:hint="eastAsia" w:ascii="宋体" w:hAnsi="宋体" w:cs="宋体"/>
                <w:sz w:val="24"/>
                <w:lang w:eastAsia="zh-CN"/>
              </w:rPr>
              <w:t>且</w:t>
            </w:r>
            <w:r>
              <w:rPr>
                <w:rFonts w:hint="eastAsia" w:ascii="宋体" w:hAnsi="宋体" w:eastAsia="宋体" w:cs="宋体"/>
                <w:sz w:val="24"/>
              </w:rPr>
              <w:t>科学、</w:t>
            </w:r>
            <w:r>
              <w:rPr>
                <w:rFonts w:hint="eastAsia" w:ascii="宋体" w:hAnsi="宋体" w:cs="宋体"/>
                <w:sz w:val="24"/>
                <w:lang w:eastAsia="zh-CN"/>
              </w:rPr>
              <w:t>合理、</w:t>
            </w:r>
            <w:r>
              <w:rPr>
                <w:rFonts w:hint="eastAsia" w:ascii="宋体" w:hAnsi="宋体" w:eastAsia="宋体" w:cs="宋体"/>
                <w:sz w:val="24"/>
              </w:rPr>
              <w:t>可行</w:t>
            </w:r>
            <w:r>
              <w:rPr>
                <w:rFonts w:hint="eastAsia" w:ascii="宋体" w:hAnsi="宋体" w:cs="宋体"/>
                <w:sz w:val="24"/>
                <w:lang w:eastAsia="zh-CN"/>
              </w:rPr>
              <w:t>性</w:t>
            </w:r>
            <w:r>
              <w:rPr>
                <w:rFonts w:hint="eastAsia" w:ascii="宋体" w:hAnsi="宋体" w:eastAsia="宋体" w:cs="宋体"/>
                <w:sz w:val="24"/>
              </w:rPr>
              <w:t>，由评委进行打分0-4分；</w:t>
            </w:r>
          </w:p>
        </w:tc>
        <w:tc>
          <w:tcPr>
            <w:tcW w:w="1156" w:type="dxa"/>
            <w:noWrap w:val="0"/>
            <w:vAlign w:val="center"/>
          </w:tcPr>
          <w:p>
            <w:pPr>
              <w:spacing w:line="288" w:lineRule="auto"/>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96" w:type="dxa"/>
            <w:vMerge w:val="continue"/>
            <w:noWrap w:val="0"/>
            <w:vAlign w:val="center"/>
          </w:tcPr>
          <w:p>
            <w:pPr>
              <w:spacing w:line="288" w:lineRule="auto"/>
              <w:jc w:val="center"/>
              <w:rPr>
                <w:rFonts w:hint="eastAsia" w:ascii="宋体" w:hAnsi="宋体" w:cs="宋体"/>
                <w:sz w:val="24"/>
              </w:rPr>
            </w:pPr>
          </w:p>
        </w:tc>
        <w:tc>
          <w:tcPr>
            <w:tcW w:w="7318" w:type="dxa"/>
            <w:noWrap w:val="0"/>
            <w:vAlign w:val="center"/>
          </w:tcPr>
          <w:p>
            <w:pPr>
              <w:widowControl/>
              <w:spacing w:line="288" w:lineRule="auto"/>
              <w:ind w:firstLine="480" w:firstLineChars="200"/>
              <w:jc w:val="left"/>
              <w:rPr>
                <w:rFonts w:hint="eastAsia" w:ascii="宋体" w:hAnsi="宋体" w:eastAsia="宋体" w:cs="宋体"/>
                <w:sz w:val="24"/>
              </w:rPr>
            </w:pPr>
            <w:r>
              <w:rPr>
                <w:rFonts w:hint="eastAsia" w:ascii="宋体" w:hAnsi="宋体" w:eastAsia="宋体" w:cs="宋体"/>
                <w:sz w:val="24"/>
              </w:rPr>
              <w:t>2）根据投标</w:t>
            </w:r>
            <w:r>
              <w:rPr>
                <w:rFonts w:hint="eastAsia" w:ascii="宋体" w:hAnsi="宋体" w:eastAsia="宋体" w:cs="宋体"/>
                <w:sz w:val="24"/>
                <w:lang w:val="zh-CN"/>
              </w:rPr>
              <w:t>单位</w:t>
            </w:r>
            <w:r>
              <w:rPr>
                <w:rFonts w:hint="eastAsia" w:ascii="宋体" w:hAnsi="宋体" w:eastAsia="宋体" w:cs="宋体"/>
                <w:sz w:val="24"/>
              </w:rPr>
              <w:t>对</w:t>
            </w:r>
            <w:r>
              <w:rPr>
                <w:rFonts w:hint="eastAsia" w:ascii="宋体" w:hAnsi="宋体" w:cs="宋体"/>
                <w:sz w:val="24"/>
                <w:lang w:eastAsia="zh-CN"/>
              </w:rPr>
              <w:t>项目工作</w:t>
            </w:r>
            <w:r>
              <w:rPr>
                <w:rFonts w:hint="eastAsia" w:ascii="宋体" w:hAnsi="宋体" w:eastAsia="宋体" w:cs="宋体"/>
                <w:sz w:val="24"/>
              </w:rPr>
              <w:t>质量的控制</w:t>
            </w:r>
            <w:r>
              <w:rPr>
                <w:rFonts w:hint="eastAsia" w:ascii="宋体" w:hAnsi="宋体" w:cs="宋体"/>
                <w:sz w:val="24"/>
                <w:lang w:eastAsia="zh-CN"/>
              </w:rPr>
              <w:t>措施</w:t>
            </w:r>
            <w:r>
              <w:rPr>
                <w:rFonts w:hint="eastAsia" w:ascii="宋体" w:hAnsi="宋体" w:eastAsia="宋体" w:cs="宋体"/>
                <w:sz w:val="24"/>
              </w:rPr>
              <w:t>和检验手段科学</w:t>
            </w:r>
            <w:r>
              <w:rPr>
                <w:rFonts w:hint="eastAsia" w:ascii="宋体" w:hAnsi="宋体" w:cs="宋体"/>
                <w:sz w:val="24"/>
                <w:lang w:eastAsia="zh-CN"/>
              </w:rPr>
              <w:t>、合理、可行性，</w:t>
            </w:r>
            <w:r>
              <w:rPr>
                <w:rFonts w:hint="eastAsia" w:ascii="宋体" w:hAnsi="宋体" w:eastAsia="宋体" w:cs="宋体"/>
                <w:sz w:val="24"/>
              </w:rPr>
              <w:t>由评委进行打分0-</w:t>
            </w:r>
            <w:r>
              <w:rPr>
                <w:rFonts w:hint="eastAsia" w:ascii="宋体" w:hAnsi="宋体" w:eastAsia="宋体" w:cs="宋体"/>
                <w:sz w:val="24"/>
                <w:lang w:val="en-US" w:eastAsia="zh-CN"/>
              </w:rPr>
              <w:t>5</w:t>
            </w:r>
            <w:r>
              <w:rPr>
                <w:rFonts w:hint="eastAsia" w:ascii="宋体" w:hAnsi="宋体" w:eastAsia="宋体" w:cs="宋体"/>
                <w:sz w:val="24"/>
              </w:rPr>
              <w:t xml:space="preserve">分。 </w:t>
            </w:r>
          </w:p>
        </w:tc>
        <w:tc>
          <w:tcPr>
            <w:tcW w:w="1156" w:type="dxa"/>
            <w:noWrap w:val="0"/>
            <w:vAlign w:val="center"/>
          </w:tcPr>
          <w:p>
            <w:pPr>
              <w:spacing w:line="288" w:lineRule="auto"/>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bCs/>
                <w:szCs w:val="24"/>
                <w:lang w:val="en-US" w:eastAsia="zh-CN"/>
              </w:rPr>
            </w:pPr>
            <w:r>
              <w:rPr>
                <w:rFonts w:hint="eastAsia" w:ascii="宋体" w:hAnsi="宋体" w:eastAsia="宋体" w:cs="宋体"/>
                <w:bCs/>
                <w:color w:val="000000"/>
                <w:szCs w:val="24"/>
                <w:lang w:val="en-US" w:eastAsia="zh-CN"/>
              </w:rPr>
              <w:t>6.安全保障</w:t>
            </w:r>
          </w:p>
        </w:tc>
        <w:tc>
          <w:tcPr>
            <w:tcW w:w="7318" w:type="dxa"/>
            <w:noWrap w:val="0"/>
            <w:vAlign w:val="top"/>
          </w:tcPr>
          <w:p>
            <w:pPr>
              <w:spacing w:line="288" w:lineRule="auto"/>
              <w:ind w:firstLine="480" w:firstLineChars="200"/>
              <w:jc w:val="left"/>
              <w:rPr>
                <w:rFonts w:hint="eastAsia" w:ascii="宋体" w:hAnsi="宋体" w:eastAsia="宋体" w:cs="宋体"/>
                <w:sz w:val="24"/>
                <w:lang w:val="zh-CN"/>
              </w:rPr>
            </w:pPr>
            <w:r>
              <w:rPr>
                <w:rFonts w:hint="eastAsia" w:ascii="宋体" w:hAnsi="宋体" w:eastAsia="宋体" w:cs="宋体"/>
                <w:sz w:val="24"/>
              </w:rPr>
              <w:t>根据投标</w:t>
            </w:r>
            <w:r>
              <w:rPr>
                <w:rFonts w:hint="eastAsia" w:ascii="宋体" w:hAnsi="宋体" w:eastAsia="宋体" w:cs="宋体"/>
                <w:sz w:val="24"/>
                <w:lang w:val="zh-CN"/>
              </w:rPr>
              <w:t>单位</w:t>
            </w:r>
            <w:r>
              <w:rPr>
                <w:rFonts w:hint="eastAsia" w:ascii="宋体" w:hAnsi="宋体" w:eastAsia="宋体" w:cs="宋体"/>
                <w:sz w:val="24"/>
              </w:rPr>
              <w:t>针对本项目的安全教育、劳动保护、安全保证、安全责任等措施方案</w:t>
            </w:r>
            <w:r>
              <w:rPr>
                <w:rFonts w:hint="eastAsia" w:ascii="宋体" w:hAnsi="宋体" w:cs="宋体"/>
                <w:sz w:val="24"/>
                <w:lang w:eastAsia="zh-CN"/>
              </w:rPr>
              <w:t>可行性和合理性</w:t>
            </w:r>
            <w:r>
              <w:rPr>
                <w:rFonts w:hint="eastAsia" w:ascii="宋体" w:hAnsi="宋体" w:eastAsia="宋体" w:cs="宋体"/>
                <w:sz w:val="24"/>
              </w:rPr>
              <w:t>进行</w:t>
            </w:r>
            <w:r>
              <w:rPr>
                <w:rFonts w:hint="eastAsia" w:ascii="宋体" w:hAnsi="宋体" w:eastAsia="宋体" w:cs="宋体"/>
                <w:color w:val="000000"/>
                <w:sz w:val="24"/>
              </w:rPr>
              <w:t>打</w:t>
            </w:r>
            <w:r>
              <w:rPr>
                <w:rFonts w:hint="eastAsia" w:ascii="宋体" w:hAnsi="宋体" w:eastAsia="宋体" w:cs="宋体"/>
                <w:sz w:val="24"/>
              </w:rPr>
              <w:t>分0-</w:t>
            </w:r>
            <w:r>
              <w:rPr>
                <w:rFonts w:hint="eastAsia" w:ascii="宋体" w:hAnsi="宋体" w:eastAsia="宋体" w:cs="宋体"/>
                <w:sz w:val="24"/>
                <w:lang w:val="en-US" w:eastAsia="zh-CN"/>
              </w:rPr>
              <w:t>4</w:t>
            </w:r>
            <w:r>
              <w:rPr>
                <w:rFonts w:hint="eastAsia" w:ascii="宋体" w:hAnsi="宋体" w:eastAsia="宋体" w:cs="宋体"/>
                <w:sz w:val="24"/>
              </w:rPr>
              <w:t>分。</w:t>
            </w:r>
          </w:p>
        </w:tc>
        <w:tc>
          <w:tcPr>
            <w:tcW w:w="1156" w:type="dxa"/>
            <w:noWrap w:val="0"/>
            <w:vAlign w:val="center"/>
          </w:tcPr>
          <w:p>
            <w:pPr>
              <w:pStyle w:val="91"/>
              <w:spacing w:before="0" w:line="288" w:lineRule="auto"/>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bCs/>
                <w:szCs w:val="24"/>
                <w:lang w:val="zh-CN" w:eastAsia="zh-CN"/>
              </w:rPr>
            </w:pPr>
            <w:r>
              <w:rPr>
                <w:rFonts w:hint="eastAsia" w:ascii="宋体" w:hAnsi="宋体" w:eastAsia="宋体" w:cs="宋体"/>
                <w:bCs/>
                <w:color w:val="000000"/>
                <w:szCs w:val="24"/>
                <w:lang w:val="en-US" w:eastAsia="zh-CN"/>
              </w:rPr>
              <w:t>7.应急保障</w:t>
            </w:r>
          </w:p>
        </w:tc>
        <w:tc>
          <w:tcPr>
            <w:tcW w:w="7318" w:type="dxa"/>
            <w:noWrap w:val="0"/>
            <w:vAlign w:val="top"/>
          </w:tcPr>
          <w:p>
            <w:pPr>
              <w:spacing w:before="120" w:beforeLines="50" w:after="120" w:afterLines="50" w:line="288" w:lineRule="auto"/>
              <w:ind w:firstLine="480" w:firstLineChars="200"/>
              <w:rPr>
                <w:rFonts w:hint="eastAsia" w:ascii="宋体" w:hAnsi="宋体" w:eastAsia="宋体" w:cs="宋体"/>
                <w:kern w:val="0"/>
                <w:sz w:val="24"/>
                <w:lang w:val="zh-CN"/>
              </w:rPr>
            </w:pPr>
            <w:r>
              <w:rPr>
                <w:rFonts w:hint="eastAsia" w:ascii="宋体" w:hAnsi="宋体" w:eastAsia="宋体" w:cs="宋体"/>
                <w:color w:val="000000"/>
                <w:sz w:val="24"/>
              </w:rPr>
              <w:t>投标人根据本项目制定详细的应急工作方案计划，包括但不限于建筑事故，重大节假日，重要社会活动日，高温低温等应急预案实施方案</w:t>
            </w:r>
            <w:r>
              <w:rPr>
                <w:rFonts w:hint="eastAsia" w:ascii="宋体" w:hAnsi="宋体" w:cs="宋体"/>
                <w:color w:val="000000"/>
                <w:sz w:val="24"/>
                <w:lang w:eastAsia="zh-CN"/>
              </w:rPr>
              <w:t>合理性和可行性</w:t>
            </w:r>
            <w:r>
              <w:rPr>
                <w:rFonts w:hint="eastAsia" w:ascii="宋体" w:hAnsi="宋体" w:eastAsia="宋体" w:cs="宋体"/>
                <w:color w:val="000000"/>
                <w:sz w:val="24"/>
              </w:rPr>
              <w:t>进行打分0-</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156" w:type="dxa"/>
            <w:noWrap w:val="0"/>
            <w:vAlign w:val="center"/>
          </w:tcPr>
          <w:p>
            <w:pPr>
              <w:pStyle w:val="91"/>
              <w:spacing w:before="0" w:line="288" w:lineRule="auto"/>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96" w:type="dxa"/>
            <w:noWrap w:val="0"/>
            <w:vAlign w:val="center"/>
          </w:tcPr>
          <w:p>
            <w:pPr>
              <w:pStyle w:val="91"/>
              <w:spacing w:before="0" w:line="288" w:lineRule="auto"/>
              <w:ind w:firstLine="0" w:firstLineChars="0"/>
              <w:rPr>
                <w:rFonts w:ascii="宋体" w:hAnsi="宋体" w:eastAsia="宋体" w:cs="宋体"/>
                <w:bCs/>
                <w:szCs w:val="24"/>
                <w:lang w:val="en-US" w:eastAsia="zh-CN"/>
              </w:rPr>
            </w:pPr>
            <w:r>
              <w:rPr>
                <w:rFonts w:hint="eastAsia" w:ascii="宋体" w:hAnsi="宋体" w:eastAsia="宋体" w:cs="宋体"/>
                <w:bCs/>
                <w:color w:val="000000"/>
                <w:szCs w:val="24"/>
                <w:lang w:val="en-US" w:eastAsia="zh-CN"/>
              </w:rPr>
              <w:t>8.对本项目现状的合理性建议</w:t>
            </w:r>
          </w:p>
        </w:tc>
        <w:tc>
          <w:tcPr>
            <w:tcW w:w="7318" w:type="dxa"/>
            <w:noWrap w:val="0"/>
            <w:vAlign w:val="top"/>
          </w:tcPr>
          <w:p>
            <w:pPr>
              <w:spacing w:before="120" w:beforeLines="50" w:after="120" w:afterLines="50" w:line="288"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根据投标人对现有</w:t>
            </w:r>
            <w:r>
              <w:rPr>
                <w:rFonts w:hint="eastAsia" w:ascii="宋体" w:hAnsi="宋体" w:eastAsia="宋体" w:cs="宋体"/>
                <w:sz w:val="24"/>
              </w:rPr>
              <w:t>余杭区内在建工程建设项目的合理性建议</w:t>
            </w:r>
            <w:r>
              <w:rPr>
                <w:rFonts w:hint="eastAsia" w:ascii="宋体" w:hAnsi="宋体" w:eastAsia="宋体" w:cs="宋体"/>
                <w:sz w:val="24"/>
                <w:lang w:val="zh-CN"/>
              </w:rPr>
              <w:t>，并针对性的提出克服难点和要点技术措施</w:t>
            </w:r>
            <w:r>
              <w:rPr>
                <w:rFonts w:hint="eastAsia" w:ascii="宋体" w:hAnsi="宋体" w:cs="宋体"/>
                <w:color w:val="000000"/>
                <w:sz w:val="24"/>
                <w:lang w:eastAsia="zh-CN"/>
              </w:rPr>
              <w:t>合理性和可行性</w:t>
            </w:r>
            <w:r>
              <w:rPr>
                <w:rFonts w:hint="eastAsia" w:ascii="宋体" w:hAnsi="宋体" w:eastAsia="宋体" w:cs="宋体"/>
                <w:sz w:val="24"/>
                <w:lang w:val="zh-CN"/>
              </w:rPr>
              <w:t>进行打分</w:t>
            </w: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zh-CN"/>
              </w:rPr>
              <w:t>。</w:t>
            </w:r>
          </w:p>
        </w:tc>
        <w:tc>
          <w:tcPr>
            <w:tcW w:w="1156" w:type="dxa"/>
            <w:noWrap w:val="0"/>
            <w:vAlign w:val="center"/>
          </w:tcPr>
          <w:p>
            <w:pPr>
              <w:pStyle w:val="34"/>
              <w:adjustRightInd w:val="0"/>
              <w:snapToGrid w:val="0"/>
              <w:spacing w:line="288"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696" w:type="dxa"/>
            <w:vMerge w:val="restart"/>
            <w:noWrap w:val="0"/>
            <w:vAlign w:val="center"/>
          </w:tcPr>
          <w:p>
            <w:pPr>
              <w:pStyle w:val="91"/>
              <w:spacing w:before="0" w:line="288" w:lineRule="auto"/>
              <w:ind w:firstLine="0" w:firstLineChars="0"/>
              <w:rPr>
                <w:rFonts w:hint="eastAsia" w:ascii="宋体" w:hAnsi="宋体" w:eastAsia="宋体" w:cs="宋体"/>
                <w:bCs/>
                <w:color w:val="000000"/>
                <w:szCs w:val="24"/>
                <w:lang w:val="en-US" w:eastAsia="zh-CN"/>
              </w:rPr>
            </w:pPr>
            <w:r>
              <w:rPr>
                <w:rFonts w:hint="eastAsia" w:ascii="宋体" w:hAnsi="宋体" w:eastAsia="宋体" w:cs="宋体"/>
                <w:bCs/>
                <w:color w:val="000000"/>
                <w:szCs w:val="24"/>
                <w:lang w:val="en-US" w:eastAsia="zh-CN"/>
              </w:rPr>
              <w:t>9.投标单位资质能力</w:t>
            </w:r>
          </w:p>
        </w:tc>
        <w:tc>
          <w:tcPr>
            <w:tcW w:w="7318" w:type="dxa"/>
            <w:noWrap w:val="0"/>
            <w:vAlign w:val="top"/>
          </w:tcPr>
          <w:p>
            <w:pPr>
              <w:spacing w:before="120" w:beforeLines="50" w:after="120" w:afterLines="50" w:line="288" w:lineRule="auto"/>
              <w:ind w:firstLine="480" w:firstLineChars="200"/>
              <w:rPr>
                <w:rFonts w:hint="eastAsia" w:ascii="宋体" w:hAnsi="宋体" w:cs="宋体"/>
                <w:sz w:val="24"/>
                <w:lang w:val="zh-CN"/>
              </w:rPr>
            </w:pPr>
            <w:r>
              <w:rPr>
                <w:rFonts w:hint="eastAsia" w:ascii="宋体" w:hAnsi="宋体" w:cs="宋体"/>
                <w:sz w:val="24"/>
                <w:lang w:val="zh-CN"/>
              </w:rPr>
              <w:t>采购清单中标注“★”的检测项目通过计量认证情况，进行打分，依据投标文件中所附计量认证证书及附表所体现的检测项目情况进行评分，标注“★”的检测项目全部通过计量认证的得满分</w:t>
            </w:r>
            <w:r>
              <w:rPr>
                <w:rFonts w:hint="eastAsia" w:ascii="宋体" w:hAnsi="宋体" w:cs="宋体"/>
                <w:sz w:val="24"/>
                <w:lang w:val="en-US" w:eastAsia="zh-CN"/>
              </w:rPr>
              <w:t>15</w:t>
            </w:r>
            <w:r>
              <w:rPr>
                <w:rFonts w:hint="eastAsia" w:ascii="宋体" w:hAnsi="宋体" w:cs="宋体"/>
                <w:sz w:val="24"/>
                <w:lang w:val="zh-CN"/>
              </w:rPr>
              <w:t>分，缺1项扣2分，扣完为止。</w:t>
            </w:r>
          </w:p>
          <w:p>
            <w:pPr>
              <w:spacing w:before="120" w:beforeLines="50" w:after="120" w:afterLines="50" w:line="288" w:lineRule="auto"/>
              <w:ind w:firstLine="480" w:firstLineChars="200"/>
              <w:rPr>
                <w:rFonts w:hint="eastAsia" w:ascii="宋体" w:hAnsi="宋体" w:cs="宋体"/>
                <w:sz w:val="24"/>
                <w:lang w:val="zh-CN"/>
              </w:rPr>
            </w:pPr>
            <w:r>
              <w:rPr>
                <w:rFonts w:hint="eastAsia" w:ascii="宋体" w:hAnsi="宋体" w:cs="宋体"/>
                <w:sz w:val="24"/>
                <w:lang w:val="zh-CN"/>
              </w:rPr>
              <w:t>提供</w:t>
            </w:r>
            <w:r>
              <w:rPr>
                <w:rFonts w:hint="eastAsia" w:ascii="宋体" w:hAnsi="宋体" w:cs="宋体"/>
                <w:sz w:val="24"/>
                <w:lang w:val="en-US" w:eastAsia="zh-CN"/>
              </w:rPr>
              <w:t>CMA</w:t>
            </w:r>
            <w:r>
              <w:rPr>
                <w:rFonts w:hint="eastAsia" w:ascii="宋体" w:hAnsi="宋体" w:cs="宋体"/>
                <w:sz w:val="24"/>
                <w:lang w:val="zh-CN"/>
              </w:rPr>
              <w:t>计量认证证书附表中相关页面的证明材料进行打分，不提供不得分。</w:t>
            </w:r>
          </w:p>
        </w:tc>
        <w:tc>
          <w:tcPr>
            <w:tcW w:w="1156" w:type="dxa"/>
            <w:noWrap w:val="0"/>
            <w:vAlign w:val="center"/>
          </w:tcPr>
          <w:p>
            <w:pPr>
              <w:pStyle w:val="34"/>
              <w:adjustRightInd w:val="0"/>
              <w:snapToGrid w:val="0"/>
              <w:spacing w:line="288" w:lineRule="auto"/>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0-1</w:t>
            </w:r>
            <w:r>
              <w:rPr>
                <w:rFonts w:hint="eastAsia"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1696" w:type="dxa"/>
            <w:vMerge w:val="continue"/>
            <w:noWrap w:val="0"/>
            <w:vAlign w:val="center"/>
          </w:tcPr>
          <w:p>
            <w:pPr>
              <w:pStyle w:val="91"/>
              <w:spacing w:before="0" w:line="288" w:lineRule="auto"/>
              <w:ind w:firstLine="0" w:firstLineChars="0"/>
              <w:rPr>
                <w:rFonts w:hint="eastAsia" w:ascii="宋体" w:hAnsi="宋体" w:eastAsia="宋体" w:cs="宋体"/>
                <w:bCs/>
                <w:color w:val="000000"/>
                <w:szCs w:val="24"/>
                <w:lang w:val="en-US" w:eastAsia="zh-CN"/>
              </w:rPr>
            </w:pPr>
          </w:p>
        </w:tc>
        <w:tc>
          <w:tcPr>
            <w:tcW w:w="7318" w:type="dxa"/>
            <w:noWrap w:val="0"/>
            <w:vAlign w:val="top"/>
          </w:tcPr>
          <w:p>
            <w:pPr>
              <w:spacing w:before="120" w:beforeLines="50" w:after="120" w:afterLines="50" w:line="288" w:lineRule="auto"/>
              <w:ind w:firstLine="480" w:firstLineChars="200"/>
              <w:jc w:val="left"/>
              <w:rPr>
                <w:rFonts w:hint="eastAsia"/>
                <w:sz w:val="24"/>
                <w:lang w:val="zh-CN"/>
              </w:rPr>
            </w:pPr>
            <w:r>
              <w:rPr>
                <w:rFonts w:hint="eastAsia"/>
                <w:sz w:val="24"/>
                <w:lang w:val="zh-CN"/>
              </w:rPr>
              <w:t>投标单位具有建设行政主管部门核发的市政桥梁检测资质的加</w:t>
            </w:r>
            <w:r>
              <w:rPr>
                <w:rFonts w:hint="eastAsia"/>
                <w:sz w:val="24"/>
                <w:lang w:val="en-US" w:eastAsia="zh-CN"/>
              </w:rPr>
              <w:t>3</w:t>
            </w:r>
            <w:r>
              <w:rPr>
                <w:rFonts w:hint="eastAsia"/>
                <w:sz w:val="24"/>
                <w:lang w:val="zh-CN"/>
              </w:rPr>
              <w:t>分；</w:t>
            </w:r>
          </w:p>
          <w:p>
            <w:pPr>
              <w:spacing w:before="120" w:beforeLines="50" w:after="120" w:afterLines="50" w:line="288" w:lineRule="auto"/>
              <w:ind w:firstLine="480" w:firstLineChars="200"/>
              <w:jc w:val="left"/>
              <w:rPr>
                <w:rFonts w:hint="eastAsia"/>
                <w:sz w:val="24"/>
                <w:lang w:val="zh-CN"/>
              </w:rPr>
            </w:pPr>
            <w:r>
              <w:rPr>
                <w:rFonts w:hint="eastAsia"/>
                <w:sz w:val="24"/>
                <w:lang w:val="zh-CN"/>
              </w:rPr>
              <w:t>投标单位具有建设行政主管部门核发的</w:t>
            </w:r>
            <w:r>
              <w:rPr>
                <w:rFonts w:hint="eastAsia"/>
                <w:sz w:val="24"/>
              </w:rPr>
              <w:t>建设工程钢结构检测资质</w:t>
            </w:r>
            <w:r>
              <w:rPr>
                <w:rFonts w:hint="eastAsia"/>
                <w:sz w:val="24"/>
                <w:lang w:val="zh-CN"/>
              </w:rPr>
              <w:t>的加</w:t>
            </w:r>
            <w:r>
              <w:rPr>
                <w:rFonts w:hint="eastAsia"/>
                <w:sz w:val="24"/>
                <w:lang w:val="en-US" w:eastAsia="zh-CN"/>
              </w:rPr>
              <w:t>2</w:t>
            </w:r>
            <w:r>
              <w:rPr>
                <w:rFonts w:hint="eastAsia"/>
                <w:sz w:val="24"/>
                <w:lang w:val="zh-CN"/>
              </w:rPr>
              <w:t>分；</w:t>
            </w:r>
          </w:p>
          <w:p>
            <w:pPr>
              <w:spacing w:before="120" w:beforeLines="50" w:after="120" w:afterLines="50" w:line="288" w:lineRule="auto"/>
              <w:ind w:firstLine="480" w:firstLineChars="200"/>
              <w:jc w:val="left"/>
              <w:rPr>
                <w:rFonts w:hint="eastAsia"/>
                <w:sz w:val="24"/>
                <w:lang w:val="zh-CN"/>
              </w:rPr>
            </w:pPr>
            <w:r>
              <w:rPr>
                <w:rFonts w:hint="eastAsia"/>
                <w:sz w:val="24"/>
                <w:lang w:val="zh-CN"/>
              </w:rPr>
              <w:t>投标单位具有建设行政主管部门核发的</w:t>
            </w:r>
            <w:r>
              <w:rPr>
                <w:rFonts w:hint="eastAsia"/>
                <w:sz w:val="24"/>
              </w:rPr>
              <w:t>建筑门窗幕墙检测资质</w:t>
            </w:r>
            <w:r>
              <w:rPr>
                <w:rFonts w:hint="eastAsia"/>
                <w:sz w:val="24"/>
                <w:lang w:val="zh-CN"/>
              </w:rPr>
              <w:t>的加2分；</w:t>
            </w:r>
          </w:p>
          <w:p>
            <w:pPr>
              <w:spacing w:before="120" w:beforeLines="50" w:after="120" w:afterLines="50" w:line="288" w:lineRule="auto"/>
              <w:ind w:firstLine="480" w:firstLineChars="200"/>
              <w:rPr>
                <w:rFonts w:hint="eastAsia"/>
                <w:lang w:val="zh-CN"/>
              </w:rPr>
            </w:pPr>
            <w:r>
              <w:rPr>
                <w:rFonts w:hint="eastAsia"/>
                <w:sz w:val="24"/>
                <w:lang w:val="zh-CN"/>
              </w:rPr>
              <w:t>注：投标单位提供有效期内检测资质证书扫描件或复印件加盖公章，否则不得分。</w:t>
            </w:r>
          </w:p>
        </w:tc>
        <w:tc>
          <w:tcPr>
            <w:tcW w:w="1156" w:type="dxa"/>
            <w:noWrap w:val="0"/>
            <w:vAlign w:val="center"/>
          </w:tcPr>
          <w:p>
            <w:pPr>
              <w:pStyle w:val="34"/>
              <w:adjustRightInd w:val="0"/>
              <w:snapToGrid w:val="0"/>
              <w:spacing w:line="288"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hAnsi="宋体" w:cs="宋体"/>
                <w:sz w:val="24"/>
                <w:szCs w:val="24"/>
                <w:lang w:val="en-US" w:eastAsia="zh-CN"/>
              </w:rPr>
              <w:t>7</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bCs/>
                <w:szCs w:val="24"/>
                <w:lang w:val="en-US" w:eastAsia="zh-CN"/>
              </w:rPr>
            </w:pPr>
            <w:r>
              <w:rPr>
                <w:rFonts w:hint="eastAsia" w:ascii="宋体" w:hAnsi="宋体" w:eastAsia="宋体" w:cs="宋体"/>
                <w:bCs/>
                <w:color w:val="000000"/>
                <w:szCs w:val="24"/>
                <w:lang w:val="en-US" w:eastAsia="zh-CN"/>
              </w:rPr>
              <w:t>10.企业管理技术认证</w:t>
            </w:r>
          </w:p>
        </w:tc>
        <w:tc>
          <w:tcPr>
            <w:tcW w:w="7318" w:type="dxa"/>
            <w:noWrap w:val="0"/>
            <w:vAlign w:val="top"/>
          </w:tcPr>
          <w:p>
            <w:pPr>
              <w:spacing w:before="120" w:beforeLines="50" w:after="120" w:afterLines="50" w:line="288" w:lineRule="auto"/>
              <w:ind w:firstLine="480" w:firstLineChars="200"/>
              <w:rPr>
                <w:rFonts w:hint="eastAsia" w:ascii="宋体" w:hAnsi="宋体" w:cs="宋体"/>
                <w:sz w:val="24"/>
                <w:lang w:val="zh-CN"/>
              </w:rPr>
            </w:pPr>
            <w:r>
              <w:rPr>
                <w:rFonts w:hint="eastAsia" w:ascii="宋体" w:hAnsi="宋体" w:cs="宋体"/>
                <w:sz w:val="24"/>
                <w:lang w:val="zh-CN"/>
              </w:rPr>
              <w:t>投标</w:t>
            </w:r>
            <w:r>
              <w:rPr>
                <w:rFonts w:hint="eastAsia" w:ascii="宋体" w:hAnsi="宋体" w:cs="宋体"/>
                <w:lang w:val="zh-CN"/>
              </w:rPr>
              <w:t>单位</w:t>
            </w:r>
            <w:r>
              <w:rPr>
                <w:rFonts w:hint="eastAsia" w:ascii="宋体" w:hAnsi="宋体" w:cs="宋体"/>
                <w:sz w:val="24"/>
                <w:lang w:val="zh-CN"/>
              </w:rPr>
              <w:t>具有ISO9000质量管理体系认证证书（在有效期内）的，得1分；具有获得高新技术企业证书的（在有效期内），得1分；本项满分2分。</w:t>
            </w:r>
          </w:p>
          <w:p>
            <w:pPr>
              <w:spacing w:before="120" w:beforeLines="50" w:after="120" w:afterLines="50" w:line="288" w:lineRule="auto"/>
              <w:ind w:firstLine="480" w:firstLineChars="200"/>
              <w:rPr>
                <w:rFonts w:hint="eastAsia" w:ascii="宋体" w:hAnsi="宋体" w:cs="宋体"/>
                <w:sz w:val="24"/>
                <w:lang w:val="zh-CN"/>
              </w:rPr>
            </w:pPr>
            <w:r>
              <w:rPr>
                <w:rFonts w:hint="eastAsia" w:ascii="宋体" w:hAnsi="宋体" w:cs="宋体"/>
                <w:sz w:val="24"/>
                <w:lang w:val="zh-CN"/>
              </w:rPr>
              <w:t>注：提供有效期内认证证书扫描件或复印件加盖公章，否则不得分。</w:t>
            </w:r>
          </w:p>
        </w:tc>
        <w:tc>
          <w:tcPr>
            <w:tcW w:w="1156" w:type="dxa"/>
            <w:noWrap w:val="0"/>
            <w:vAlign w:val="center"/>
          </w:tcPr>
          <w:p>
            <w:pPr>
              <w:pStyle w:val="91"/>
              <w:spacing w:before="0" w:line="288" w:lineRule="auto"/>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11.</w:t>
            </w:r>
            <w:r>
              <w:rPr>
                <w:rFonts w:hint="eastAsia" w:ascii="宋体" w:hAnsi="宋体" w:eastAsia="宋体" w:cs="宋体"/>
                <w:szCs w:val="24"/>
                <w:lang w:val="en-US" w:eastAsia="zh-CN"/>
              </w:rPr>
              <w:t>实验室</w:t>
            </w:r>
            <w:r>
              <w:rPr>
                <w:rFonts w:hint="eastAsia" w:ascii="宋体" w:hAnsi="宋体" w:eastAsia="宋体" w:cs="宋体"/>
                <w:color w:val="000000"/>
                <w:szCs w:val="24"/>
                <w:lang w:val="en-US" w:eastAsia="zh-CN"/>
              </w:rPr>
              <w:t>认可证书</w:t>
            </w:r>
          </w:p>
        </w:tc>
        <w:tc>
          <w:tcPr>
            <w:tcW w:w="7318" w:type="dxa"/>
            <w:noWrap w:val="0"/>
            <w:vAlign w:val="top"/>
          </w:tcPr>
          <w:p>
            <w:pPr>
              <w:pStyle w:val="91"/>
              <w:spacing w:line="288" w:lineRule="auto"/>
              <w:ind w:firstLine="480"/>
              <w:jc w:val="left"/>
              <w:rPr>
                <w:rFonts w:hint="eastAsia" w:ascii="宋体" w:hAnsi="宋体" w:eastAsia="宋体" w:cs="宋体"/>
                <w:szCs w:val="24"/>
                <w:lang w:val="en-US" w:eastAsia="zh-CN"/>
              </w:rPr>
            </w:pPr>
            <w:r>
              <w:rPr>
                <w:rFonts w:hint="eastAsia" w:ascii="宋体" w:hAnsi="宋体" w:eastAsia="宋体" w:cs="宋体"/>
                <w:szCs w:val="24"/>
                <w:lang w:val="en-US" w:eastAsia="zh-CN"/>
              </w:rPr>
              <w:t>投标</w:t>
            </w:r>
            <w:r>
              <w:rPr>
                <w:rFonts w:hint="eastAsia" w:ascii="宋体" w:hAnsi="宋体" w:eastAsia="宋体" w:cs="宋体"/>
                <w:szCs w:val="24"/>
                <w:lang w:val="zh-CN" w:eastAsia="zh-CN"/>
              </w:rPr>
              <w:t>单位</w:t>
            </w:r>
            <w:r>
              <w:rPr>
                <w:rFonts w:hint="eastAsia" w:ascii="宋体" w:hAnsi="宋体" w:eastAsia="宋体" w:cs="宋体"/>
                <w:szCs w:val="24"/>
                <w:lang w:val="en-US" w:eastAsia="zh-CN"/>
              </w:rPr>
              <w:t>获得国家实验室认可证书的，得1分；具有获得检查机构认可证书的，得1分；本项满分2分；</w:t>
            </w:r>
          </w:p>
          <w:p>
            <w:pPr>
              <w:pStyle w:val="91"/>
              <w:spacing w:line="288" w:lineRule="auto"/>
              <w:ind w:firstLine="480"/>
              <w:jc w:val="left"/>
              <w:rPr>
                <w:rFonts w:hint="eastAsia" w:ascii="宋体" w:hAnsi="宋体" w:eastAsia="宋体" w:cs="宋体"/>
                <w:szCs w:val="24"/>
                <w:lang w:val="en-US" w:eastAsia="zh-CN"/>
              </w:rPr>
            </w:pPr>
            <w:r>
              <w:rPr>
                <w:rFonts w:hint="eastAsia" w:ascii="宋体" w:hAnsi="宋体" w:eastAsia="宋体" w:cs="宋体"/>
                <w:szCs w:val="24"/>
                <w:lang w:val="zh-CN" w:eastAsia="zh-CN"/>
              </w:rPr>
              <w:t>注：投标单位提供认可证书扫描件或复印件加盖公章，否则不得分。</w:t>
            </w:r>
          </w:p>
        </w:tc>
        <w:tc>
          <w:tcPr>
            <w:tcW w:w="1156" w:type="dxa"/>
            <w:noWrap w:val="0"/>
            <w:vAlign w:val="center"/>
          </w:tcPr>
          <w:p>
            <w:pPr>
              <w:widowControl/>
              <w:spacing w:line="288"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0-</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6" w:type="dxa"/>
            <w:vMerge w:val="restart"/>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12.</w:t>
            </w:r>
            <w:r>
              <w:rPr>
                <w:rFonts w:hint="eastAsia" w:ascii="宋体" w:hAnsi="宋体" w:eastAsia="宋体" w:cs="宋体"/>
                <w:b/>
                <w:bCs/>
                <w:szCs w:val="24"/>
                <w:lang w:val="en-US" w:eastAsia="zh-CN"/>
              </w:rPr>
              <w:t>标准规范编制及企业</w:t>
            </w:r>
            <w:r>
              <w:rPr>
                <w:rFonts w:hint="eastAsia" w:ascii="宋体" w:hAnsi="宋体" w:cs="宋体"/>
                <w:b/>
                <w:bCs/>
                <w:szCs w:val="24"/>
                <w:lang w:val="en-US" w:eastAsia="zh-CN"/>
              </w:rPr>
              <w:t>奖项</w:t>
            </w:r>
          </w:p>
        </w:tc>
        <w:tc>
          <w:tcPr>
            <w:tcW w:w="7318" w:type="dxa"/>
            <w:noWrap w:val="0"/>
            <w:vAlign w:val="top"/>
          </w:tcPr>
          <w:p>
            <w:pPr>
              <w:pStyle w:val="91"/>
              <w:spacing w:before="120" w:beforeLines="50" w:after="120" w:afterLines="50" w:line="288" w:lineRule="auto"/>
              <w:ind w:firstLine="480"/>
              <w:jc w:val="left"/>
              <w:rPr>
                <w:rFonts w:hint="eastAsia" w:ascii="宋体" w:hAnsi="宋体" w:eastAsia="宋体" w:cs="宋体"/>
                <w:szCs w:val="24"/>
                <w:lang w:val="en-US" w:eastAsia="zh-CN"/>
              </w:rPr>
            </w:pPr>
            <w:r>
              <w:rPr>
                <w:rFonts w:hint="eastAsia" w:ascii="宋体" w:hAnsi="宋体" w:eastAsia="宋体" w:cs="宋体"/>
                <w:szCs w:val="24"/>
                <w:lang w:val="en-US" w:eastAsia="zh-CN"/>
              </w:rPr>
              <w:t>1）投标单位或拟派本项目技术负责人参与过工程检测类国家级、行业、省级标准规范编制的，主编每次得2分，参编每次</w:t>
            </w:r>
            <w:r>
              <w:rPr>
                <w:rFonts w:hint="eastAsia" w:ascii="宋体" w:hAnsi="宋体" w:eastAsia="宋体" w:cs="宋体"/>
                <w:color w:val="000000"/>
                <w:szCs w:val="24"/>
                <w:lang w:val="en-US" w:eastAsia="zh-CN"/>
              </w:rPr>
              <w:t>得0.5分，</w:t>
            </w:r>
            <w:r>
              <w:rPr>
                <w:rFonts w:hint="eastAsia" w:ascii="宋体" w:hAnsi="宋体" w:eastAsia="宋体" w:cs="宋体"/>
                <w:szCs w:val="24"/>
                <w:lang w:val="en-US" w:eastAsia="zh-CN"/>
              </w:rPr>
              <w:t>本项满分5分。</w:t>
            </w:r>
          </w:p>
          <w:p>
            <w:pPr>
              <w:pStyle w:val="91"/>
              <w:spacing w:before="120" w:beforeLines="50" w:after="120" w:afterLines="50" w:line="288" w:lineRule="auto"/>
              <w:ind w:firstLine="480"/>
              <w:jc w:val="left"/>
              <w:rPr>
                <w:rFonts w:hint="eastAsia" w:ascii="宋体" w:hAnsi="宋体" w:eastAsia="宋体" w:cs="宋体"/>
                <w:color w:val="000000"/>
                <w:szCs w:val="24"/>
                <w:lang w:val="en-US" w:eastAsia="zh-CN"/>
              </w:rPr>
            </w:pPr>
            <w:r>
              <w:rPr>
                <w:rFonts w:hint="eastAsia" w:ascii="宋体" w:hAnsi="宋体" w:eastAsia="宋体" w:cs="宋体"/>
                <w:szCs w:val="24"/>
                <w:lang w:val="en-US" w:eastAsia="zh-CN"/>
              </w:rPr>
              <w:t>注：由投标单位提供证明材料，以提供规范标准为评审依据；单位和个人仅记一次，不重复计分。</w:t>
            </w:r>
          </w:p>
        </w:tc>
        <w:tc>
          <w:tcPr>
            <w:tcW w:w="1156" w:type="dxa"/>
            <w:noWrap w:val="0"/>
            <w:vAlign w:val="center"/>
          </w:tcPr>
          <w:p>
            <w:pPr>
              <w:pStyle w:val="34"/>
              <w:adjustRightInd w:val="0"/>
              <w:snapToGrid w:val="0"/>
              <w:spacing w:line="288" w:lineRule="auto"/>
              <w:jc w:val="center"/>
              <w:rPr>
                <w:rFonts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696" w:type="dxa"/>
            <w:vMerge w:val="continue"/>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p>
        </w:tc>
        <w:tc>
          <w:tcPr>
            <w:tcW w:w="7318" w:type="dxa"/>
            <w:noWrap w:val="0"/>
            <w:vAlign w:val="top"/>
          </w:tcPr>
          <w:p>
            <w:pPr>
              <w:pStyle w:val="91"/>
              <w:spacing w:before="120" w:beforeLines="50" w:after="120" w:afterLines="50" w:line="288" w:lineRule="auto"/>
              <w:ind w:firstLine="480"/>
              <w:jc w:val="left"/>
              <w:rPr>
                <w:rFonts w:hint="eastAsia" w:ascii="宋体" w:hAnsi="宋体" w:eastAsia="宋体" w:cs="宋体"/>
                <w:color w:val="000000"/>
                <w:szCs w:val="24"/>
                <w:lang w:val="zh-CN" w:eastAsia="zh-CN"/>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lang w:val="zh-CN" w:eastAsia="zh-CN"/>
              </w:rPr>
              <w:t>）投标单位获得过各级政府、相关行业主管部门或市级及以上相关行业协会授予的企业</w:t>
            </w:r>
            <w:r>
              <w:rPr>
                <w:rFonts w:hint="eastAsia" w:ascii="宋体" w:hAnsi="宋体" w:cs="宋体"/>
                <w:color w:val="000000"/>
                <w:szCs w:val="24"/>
                <w:lang w:val="en-US" w:eastAsia="zh-CN"/>
              </w:rPr>
              <w:t>奖项</w:t>
            </w:r>
            <w:r>
              <w:rPr>
                <w:rFonts w:hint="eastAsia" w:ascii="宋体" w:hAnsi="宋体" w:eastAsia="宋体" w:cs="宋体"/>
                <w:color w:val="000000"/>
                <w:szCs w:val="24"/>
                <w:lang w:val="zh-CN" w:eastAsia="zh-CN"/>
              </w:rPr>
              <w:t>证书，提供一个得</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val="zh-CN" w:eastAsia="zh-CN"/>
              </w:rPr>
              <w:t>分，最高得</w:t>
            </w:r>
            <w:r>
              <w:rPr>
                <w:rFonts w:hint="eastAsia" w:ascii="宋体" w:hAnsi="宋体" w:eastAsia="宋体" w:cs="宋体"/>
                <w:color w:val="000000"/>
                <w:szCs w:val="24"/>
                <w:lang w:val="en-US" w:eastAsia="zh-CN"/>
              </w:rPr>
              <w:t>5分</w:t>
            </w:r>
            <w:r>
              <w:rPr>
                <w:rFonts w:hint="eastAsia" w:ascii="宋体" w:hAnsi="宋体" w:eastAsia="宋体" w:cs="宋体"/>
                <w:color w:val="000000"/>
                <w:szCs w:val="24"/>
                <w:lang w:val="zh-CN" w:eastAsia="zh-CN"/>
              </w:rPr>
              <w:t>。</w:t>
            </w:r>
          </w:p>
          <w:p>
            <w:pPr>
              <w:pStyle w:val="91"/>
              <w:spacing w:before="120" w:beforeLines="50" w:after="120" w:afterLines="50" w:line="288" w:lineRule="auto"/>
              <w:ind w:firstLine="480"/>
              <w:jc w:val="left"/>
              <w:rPr>
                <w:rFonts w:hint="eastAsia" w:ascii="宋体" w:hAnsi="宋体" w:eastAsia="宋体" w:cs="宋体"/>
                <w:szCs w:val="24"/>
                <w:lang w:val="en-US" w:eastAsia="zh-CN"/>
              </w:rPr>
            </w:pPr>
            <w:r>
              <w:rPr>
                <w:rFonts w:hint="eastAsia" w:ascii="宋体" w:hAnsi="宋体" w:eastAsia="宋体" w:cs="宋体"/>
                <w:color w:val="000000"/>
                <w:szCs w:val="24"/>
                <w:lang w:val="zh-CN" w:eastAsia="zh-CN"/>
              </w:rPr>
              <w:t>注：提供企业</w:t>
            </w:r>
            <w:r>
              <w:rPr>
                <w:rFonts w:hint="eastAsia" w:ascii="宋体" w:hAnsi="宋体" w:cs="宋体"/>
                <w:color w:val="000000"/>
                <w:szCs w:val="24"/>
                <w:lang w:val="en-US" w:eastAsia="zh-CN"/>
              </w:rPr>
              <w:t>奖项</w:t>
            </w:r>
            <w:r>
              <w:rPr>
                <w:rFonts w:hint="eastAsia" w:ascii="宋体" w:hAnsi="宋体" w:eastAsia="宋体" w:cs="宋体"/>
                <w:color w:val="000000"/>
                <w:szCs w:val="24"/>
                <w:lang w:val="zh-CN" w:eastAsia="zh-CN"/>
              </w:rPr>
              <w:t>证书扫描件或复印件加盖公章</w:t>
            </w:r>
            <w:r>
              <w:rPr>
                <w:rFonts w:hint="eastAsia" w:ascii="宋体" w:hAnsi="宋体" w:eastAsia="宋体" w:cs="宋体"/>
                <w:szCs w:val="24"/>
                <w:lang w:val="zh-CN" w:eastAsia="zh-CN"/>
              </w:rPr>
              <w:t>，否则不得分。</w:t>
            </w:r>
          </w:p>
        </w:tc>
        <w:tc>
          <w:tcPr>
            <w:tcW w:w="1156" w:type="dxa"/>
            <w:noWrap w:val="0"/>
            <w:vAlign w:val="center"/>
          </w:tcPr>
          <w:p>
            <w:pPr>
              <w:pStyle w:val="34"/>
              <w:adjustRightInd w:val="0"/>
              <w:snapToGrid w:val="0"/>
              <w:spacing w:line="288"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13.拟投入技术力量</w:t>
            </w:r>
          </w:p>
        </w:tc>
        <w:tc>
          <w:tcPr>
            <w:tcW w:w="7318" w:type="dxa"/>
            <w:noWrap w:val="0"/>
            <w:vAlign w:val="top"/>
          </w:tcPr>
          <w:p>
            <w:pPr>
              <w:pStyle w:val="91"/>
              <w:spacing w:line="288" w:lineRule="auto"/>
              <w:ind w:firstLine="0" w:firstLineChars="0"/>
              <w:jc w:val="left"/>
              <w:rPr>
                <w:rFonts w:hint="eastAsia" w:ascii="宋体" w:hAnsi="宋体" w:eastAsia="宋体" w:cs="宋体"/>
                <w:szCs w:val="24"/>
                <w:lang w:val="zh-CN" w:eastAsia="zh-CN"/>
              </w:rPr>
            </w:pPr>
            <w:r>
              <w:rPr>
                <w:rFonts w:hint="eastAsia" w:ascii="宋体" w:hAnsi="宋体" w:eastAsia="宋体" w:cs="宋体"/>
                <w:szCs w:val="24"/>
                <w:lang w:val="zh-CN" w:eastAsia="zh-CN"/>
              </w:rPr>
              <w:t>（1）具有教授级高级工程师或正高级工程师职称的得2分；</w:t>
            </w:r>
          </w:p>
          <w:p>
            <w:pPr>
              <w:pStyle w:val="91"/>
              <w:spacing w:line="288" w:lineRule="auto"/>
              <w:ind w:firstLine="0" w:firstLineChars="0"/>
              <w:jc w:val="left"/>
              <w:rPr>
                <w:rFonts w:hint="eastAsia" w:ascii="宋体" w:hAnsi="宋体" w:eastAsia="宋体" w:cs="宋体"/>
                <w:szCs w:val="24"/>
                <w:lang w:val="zh-CN" w:eastAsia="zh-CN"/>
              </w:rPr>
            </w:pPr>
            <w:r>
              <w:rPr>
                <w:rFonts w:hint="eastAsia" w:ascii="宋体" w:hAnsi="宋体" w:eastAsia="宋体" w:cs="宋体"/>
                <w:szCs w:val="24"/>
                <w:lang w:val="zh-CN" w:eastAsia="zh-CN"/>
              </w:rPr>
              <w:t>（2）具有高级工程师职称的技术人员10人及以上的得4分，5人至9人的得2分，</w:t>
            </w:r>
            <w:r>
              <w:rPr>
                <w:rFonts w:hint="eastAsia" w:ascii="宋体" w:hAnsi="宋体" w:eastAsia="宋体" w:cs="宋体"/>
                <w:szCs w:val="24"/>
                <w:lang w:val="en-US" w:eastAsia="zh-CN"/>
              </w:rPr>
              <w:t>4</w:t>
            </w:r>
            <w:r>
              <w:rPr>
                <w:rFonts w:hint="eastAsia" w:ascii="宋体" w:hAnsi="宋体" w:eastAsia="宋体" w:cs="宋体"/>
                <w:szCs w:val="24"/>
                <w:lang w:val="zh-CN" w:eastAsia="zh-CN"/>
              </w:rPr>
              <w:t>人至</w:t>
            </w:r>
            <w:r>
              <w:rPr>
                <w:rFonts w:hint="eastAsia" w:ascii="宋体" w:hAnsi="宋体" w:eastAsia="宋体" w:cs="宋体"/>
                <w:szCs w:val="24"/>
                <w:lang w:val="en-US" w:eastAsia="zh-CN"/>
              </w:rPr>
              <w:t>3人的得1分，2人及</w:t>
            </w:r>
            <w:r>
              <w:rPr>
                <w:rFonts w:hint="eastAsia" w:ascii="宋体" w:hAnsi="宋体" w:eastAsia="宋体" w:cs="宋体"/>
                <w:szCs w:val="24"/>
                <w:lang w:val="zh-CN" w:eastAsia="zh-CN"/>
              </w:rPr>
              <w:t>以下不得分。本项满分4分。</w:t>
            </w:r>
          </w:p>
          <w:p>
            <w:pPr>
              <w:pStyle w:val="91"/>
              <w:spacing w:line="288" w:lineRule="auto"/>
              <w:ind w:firstLine="0" w:firstLineChars="0"/>
              <w:jc w:val="left"/>
              <w:rPr>
                <w:rFonts w:hint="eastAsia" w:ascii="宋体" w:hAnsi="宋体" w:eastAsia="宋体" w:cs="宋体"/>
                <w:szCs w:val="24"/>
                <w:lang w:val="zh-CN" w:eastAsia="zh-CN"/>
              </w:rPr>
            </w:pPr>
            <w:r>
              <w:rPr>
                <w:rFonts w:hint="eastAsia" w:ascii="宋体" w:hAnsi="宋体" w:eastAsia="宋体" w:cs="宋体"/>
                <w:szCs w:val="24"/>
                <w:lang w:val="zh-CN" w:eastAsia="zh-CN"/>
              </w:rPr>
              <w:t>（3）具有中级工程师职称的技术人员15人及以上的得4分，10人至14人的得2分，5-9人得1分，5人以下得0分，本项满分4分。</w:t>
            </w:r>
          </w:p>
          <w:p>
            <w:pPr>
              <w:pStyle w:val="91"/>
              <w:spacing w:before="120" w:beforeLines="50" w:after="120" w:afterLines="50" w:line="288" w:lineRule="auto"/>
              <w:ind w:firstLine="0" w:firstLineChars="0"/>
              <w:jc w:val="left"/>
              <w:rPr>
                <w:rFonts w:hint="eastAsia" w:ascii="宋体" w:hAnsi="宋体" w:eastAsia="宋体" w:cs="宋体"/>
                <w:color w:val="000000"/>
                <w:szCs w:val="24"/>
                <w:lang w:val="zh-CN" w:eastAsia="zh-CN"/>
              </w:rPr>
            </w:pPr>
            <w:r>
              <w:rPr>
                <w:rFonts w:hint="eastAsia" w:ascii="宋体" w:hAnsi="宋体" w:eastAsia="宋体" w:cs="宋体"/>
                <w:szCs w:val="24"/>
                <w:lang w:val="zh-CN" w:eastAsia="zh-CN"/>
              </w:rPr>
              <w:t>注：同一人员以最高的职称为准，不重复统计。有效证明材料：人员身份证、职称资格证书及单位交纳的社会保险凭证（社保部门出具）。</w:t>
            </w:r>
          </w:p>
        </w:tc>
        <w:tc>
          <w:tcPr>
            <w:tcW w:w="1156" w:type="dxa"/>
            <w:noWrap w:val="0"/>
            <w:vAlign w:val="center"/>
          </w:tcPr>
          <w:p>
            <w:pPr>
              <w:pStyle w:val="34"/>
              <w:adjustRightInd w:val="0"/>
              <w:snapToGrid w:val="0"/>
              <w:spacing w:line="288" w:lineRule="auto"/>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14</w:t>
            </w:r>
            <w:r>
              <w:rPr>
                <w:rFonts w:hint="eastAsia" w:ascii="宋体" w:hAnsi="宋体" w:eastAsia="宋体" w:cs="宋体"/>
                <w:color w:val="000000"/>
                <w:szCs w:val="24"/>
                <w:lang w:val="zh-CN" w:eastAsia="zh-CN"/>
              </w:rPr>
              <w:t>.类似业绩经验</w:t>
            </w:r>
          </w:p>
        </w:tc>
        <w:tc>
          <w:tcPr>
            <w:tcW w:w="7318" w:type="dxa"/>
            <w:noWrap w:val="0"/>
            <w:vAlign w:val="top"/>
          </w:tcPr>
          <w:p>
            <w:pPr>
              <w:pStyle w:val="91"/>
              <w:spacing w:before="120" w:beforeLines="50" w:after="120" w:afterLines="50" w:line="288" w:lineRule="auto"/>
              <w:ind w:firstLine="480"/>
              <w:jc w:val="left"/>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投标单位自20</w:t>
            </w:r>
            <w:r>
              <w:rPr>
                <w:rFonts w:hint="eastAsia" w:ascii="宋体" w:hAnsi="宋体" w:eastAsia="宋体" w:cs="宋体"/>
                <w:color w:val="000000"/>
                <w:szCs w:val="24"/>
                <w:lang w:val="en-US" w:eastAsia="zh-CN"/>
              </w:rPr>
              <w:t>19</w:t>
            </w:r>
            <w:r>
              <w:rPr>
                <w:rFonts w:hint="eastAsia" w:ascii="宋体" w:hAnsi="宋体" w:eastAsia="宋体" w:cs="宋体"/>
                <w:color w:val="000000"/>
                <w:szCs w:val="24"/>
                <w:lang w:val="zh-CN" w:eastAsia="zh-CN"/>
              </w:rPr>
              <w:t>年1月1日至投标截止期间参与建设行政主管部门委托实施的监督检测工作业绩合同的,每提供1例合同得</w:t>
            </w:r>
            <w:r>
              <w:rPr>
                <w:rFonts w:hint="eastAsia" w:ascii="宋体" w:hAnsi="宋体" w:eastAsia="宋体" w:cs="宋体"/>
                <w:color w:val="000000"/>
                <w:szCs w:val="24"/>
                <w:lang w:val="en-US" w:eastAsia="zh-CN"/>
              </w:rPr>
              <w:t>0.5</w:t>
            </w:r>
            <w:r>
              <w:rPr>
                <w:rFonts w:hint="eastAsia" w:ascii="宋体" w:hAnsi="宋体" w:eastAsia="宋体" w:cs="宋体"/>
                <w:color w:val="000000"/>
                <w:szCs w:val="24"/>
                <w:lang w:val="zh-CN" w:eastAsia="zh-CN"/>
              </w:rPr>
              <w:t>分，最高得</w:t>
            </w:r>
            <w:r>
              <w:rPr>
                <w:rFonts w:hint="eastAsia" w:ascii="宋体" w:hAnsi="宋体" w:eastAsia="宋体" w:cs="宋体"/>
                <w:szCs w:val="24"/>
                <w:lang w:val="en-US" w:eastAsia="zh-CN"/>
              </w:rPr>
              <w:t>2</w:t>
            </w:r>
            <w:r>
              <w:rPr>
                <w:rFonts w:hint="eastAsia" w:ascii="宋体" w:hAnsi="宋体" w:eastAsia="宋体" w:cs="宋体"/>
                <w:color w:val="000000"/>
                <w:szCs w:val="24"/>
                <w:lang w:val="zh-CN" w:eastAsia="zh-CN"/>
              </w:rPr>
              <w:t>分。</w:t>
            </w:r>
          </w:p>
          <w:p>
            <w:pPr>
              <w:pStyle w:val="91"/>
              <w:spacing w:before="120" w:beforeLines="50" w:after="120" w:afterLines="50" w:line="288" w:lineRule="auto"/>
              <w:ind w:firstLine="480"/>
              <w:jc w:val="left"/>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注：证明材料建设行政主管部门（包括工程质量监督机构）出具的合同扫描件或复印件加盖公章。</w:t>
            </w:r>
          </w:p>
        </w:tc>
        <w:tc>
          <w:tcPr>
            <w:tcW w:w="1156" w:type="dxa"/>
            <w:noWrap w:val="0"/>
            <w:vAlign w:val="center"/>
          </w:tcPr>
          <w:p>
            <w:pPr>
              <w:pStyle w:val="34"/>
              <w:adjustRightInd w:val="0"/>
              <w:snapToGrid w:val="0"/>
              <w:spacing w:line="288" w:lineRule="auto"/>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696" w:type="dxa"/>
            <w:vMerge w:val="restart"/>
            <w:noWrap w:val="0"/>
            <w:vAlign w:val="center"/>
          </w:tcPr>
          <w:p>
            <w:pPr>
              <w:pStyle w:val="91"/>
              <w:spacing w:before="0" w:line="288" w:lineRule="auto"/>
              <w:ind w:firstLine="0" w:firstLineChars="0"/>
              <w:rPr>
                <w:rFonts w:ascii="宋体" w:hAnsi="宋体" w:eastAsia="宋体" w:cs="宋体"/>
                <w:color w:val="000000"/>
                <w:szCs w:val="24"/>
                <w:lang w:val="en-US" w:eastAsia="zh-CN"/>
              </w:rPr>
            </w:pPr>
            <w:r>
              <w:rPr>
                <w:rFonts w:hint="eastAsia" w:ascii="宋体" w:hAnsi="宋体" w:eastAsia="宋体" w:cs="宋体"/>
                <w:color w:val="000000"/>
                <w:szCs w:val="24"/>
                <w:lang w:val="en-US" w:eastAsia="zh-CN"/>
              </w:rPr>
              <w:t>15.专业能力体现</w:t>
            </w:r>
          </w:p>
        </w:tc>
        <w:tc>
          <w:tcPr>
            <w:tcW w:w="7318" w:type="dxa"/>
            <w:noWrap w:val="0"/>
            <w:vAlign w:val="top"/>
          </w:tcPr>
          <w:p>
            <w:pPr>
              <w:spacing w:before="120" w:beforeLines="50" w:after="120" w:afterLines="50" w:line="288" w:lineRule="auto"/>
              <w:ind w:firstLine="480" w:firstLineChars="200"/>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投标单位属于人民法院对外委托专业机构的得</w:t>
            </w:r>
            <w:r>
              <w:rPr>
                <w:rFonts w:hint="eastAsia" w:ascii="宋体" w:hAnsi="宋体" w:cs="宋体"/>
                <w:color w:val="000000"/>
                <w:sz w:val="24"/>
                <w:lang w:val="en-US" w:eastAsia="zh-CN"/>
              </w:rPr>
              <w:t>3</w:t>
            </w:r>
            <w:r>
              <w:rPr>
                <w:rFonts w:hint="eastAsia" w:ascii="宋体" w:hAnsi="宋体" w:cs="宋体"/>
                <w:color w:val="000000"/>
                <w:sz w:val="24"/>
                <w:lang w:val="zh-CN"/>
              </w:rPr>
              <w:t>分。</w:t>
            </w:r>
          </w:p>
          <w:p>
            <w:pPr>
              <w:spacing w:before="120" w:beforeLines="50" w:after="120" w:afterLines="50" w:line="288"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证明材料：要求在人民法院诉讼资产网（人民法院对外委托专业机构专业人员信息平台）上可以查询到投标人信息，投标人提供相应证明材料网页截图，并加盖公章证明。</w:t>
            </w:r>
          </w:p>
        </w:tc>
        <w:tc>
          <w:tcPr>
            <w:tcW w:w="1156" w:type="dxa"/>
            <w:noWrap w:val="0"/>
            <w:vAlign w:val="center"/>
          </w:tcPr>
          <w:p>
            <w:pPr>
              <w:pStyle w:val="34"/>
              <w:adjustRightInd w:val="0"/>
              <w:snapToGrid w:val="0"/>
              <w:spacing w:line="288" w:lineRule="auto"/>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696" w:type="dxa"/>
            <w:vMerge w:val="continue"/>
            <w:noWrap w:val="0"/>
            <w:vAlign w:val="center"/>
          </w:tcPr>
          <w:p>
            <w:pPr>
              <w:pStyle w:val="91"/>
              <w:spacing w:before="0" w:line="288" w:lineRule="auto"/>
              <w:ind w:firstLine="0" w:firstLineChars="0"/>
              <w:rPr>
                <w:rFonts w:hint="eastAsia" w:ascii="宋体" w:hAnsi="宋体" w:eastAsia="宋体" w:cs="宋体"/>
                <w:color w:val="000000"/>
                <w:szCs w:val="24"/>
                <w:lang w:val="en-US" w:eastAsia="zh-CN"/>
              </w:rPr>
            </w:pPr>
          </w:p>
        </w:tc>
        <w:tc>
          <w:tcPr>
            <w:tcW w:w="7318" w:type="dxa"/>
            <w:noWrap w:val="0"/>
            <w:vAlign w:val="top"/>
          </w:tcPr>
          <w:p>
            <w:pPr>
              <w:spacing w:before="120" w:beforeLines="50" w:after="120" w:afterLines="50" w:line="288" w:lineRule="auto"/>
              <w:ind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投标单位参与过省、市（地区）、区县建设行政主管部门委托的工程质量事故调查检测的，每参与一次得</w:t>
            </w:r>
            <w:r>
              <w:rPr>
                <w:rFonts w:hint="eastAsia" w:ascii="宋体" w:hAnsi="宋体" w:cs="宋体"/>
                <w:color w:val="000000"/>
                <w:sz w:val="24"/>
              </w:rPr>
              <w:t>1</w:t>
            </w:r>
            <w:r>
              <w:rPr>
                <w:rFonts w:hint="eastAsia" w:ascii="宋体" w:hAnsi="宋体" w:cs="宋体"/>
                <w:color w:val="000000"/>
                <w:sz w:val="24"/>
                <w:lang w:val="zh-CN"/>
              </w:rPr>
              <w:t>分，最多得</w:t>
            </w:r>
            <w:r>
              <w:rPr>
                <w:rFonts w:hint="eastAsia" w:ascii="宋体" w:hAnsi="宋体" w:cs="宋体"/>
                <w:color w:val="000000"/>
                <w:sz w:val="24"/>
                <w:lang w:val="en-US" w:eastAsia="zh-CN"/>
              </w:rPr>
              <w:t>3</w:t>
            </w:r>
            <w:r>
              <w:rPr>
                <w:rFonts w:hint="eastAsia" w:ascii="宋体" w:hAnsi="宋体" w:cs="宋体"/>
                <w:color w:val="000000"/>
                <w:sz w:val="24"/>
                <w:lang w:val="zh-CN"/>
              </w:rPr>
              <w:t>分。</w:t>
            </w:r>
          </w:p>
          <w:p>
            <w:pPr>
              <w:spacing w:before="120" w:beforeLines="50" w:after="120" w:afterLines="50" w:line="288"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注：证明材料建设行政主管部门出具的委托书或委托合同扫描件或复印件加盖公章。</w:t>
            </w:r>
          </w:p>
        </w:tc>
        <w:tc>
          <w:tcPr>
            <w:tcW w:w="1156" w:type="dxa"/>
            <w:noWrap w:val="0"/>
            <w:vAlign w:val="center"/>
          </w:tcPr>
          <w:p>
            <w:pPr>
              <w:pStyle w:val="34"/>
              <w:adjustRightInd w:val="0"/>
              <w:snapToGrid w:val="0"/>
              <w:spacing w:line="288"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0-3分</w:t>
            </w:r>
          </w:p>
        </w:tc>
      </w:tr>
    </w:tbl>
    <w:p>
      <w:pPr>
        <w:pStyle w:val="91"/>
        <w:spacing w:before="0"/>
        <w:ind w:firstLine="480"/>
        <w:rPr>
          <w:rFonts w:hint="eastAsia" w:ascii="仿宋" w:hAnsi="仿宋" w:eastAsia="仿宋" w:cs="仿宋"/>
          <w:b/>
          <w:bCs/>
          <w:color w:val="000000" w:themeColor="text1"/>
          <w:kern w:val="0"/>
          <w:szCs w:val="24"/>
          <w14:textFill>
            <w14:solidFill>
              <w14:schemeClr w14:val="tx1"/>
            </w14:solidFill>
          </w14:textFill>
        </w:rPr>
      </w:pPr>
      <w:r>
        <w:rPr>
          <w:rFonts w:hint="eastAsia" w:ascii="仿宋" w:hAnsi="仿宋" w:eastAsia="仿宋" w:cs="仿宋"/>
          <w:b/>
          <w:bCs/>
          <w:color w:val="000000" w:themeColor="text1"/>
          <w:kern w:val="0"/>
          <w:szCs w:val="24"/>
          <w:lang w:val="en-US" w:eastAsia="zh-CN"/>
          <w14:textFill>
            <w14:solidFill>
              <w14:schemeClr w14:val="tx1"/>
            </w14:solidFill>
          </w14:textFill>
        </w:rPr>
        <w:t>备</w:t>
      </w:r>
      <w:r>
        <w:rPr>
          <w:rFonts w:hint="eastAsia" w:ascii="仿宋" w:hAnsi="仿宋" w:eastAsia="仿宋" w:cs="仿宋"/>
          <w:b/>
          <w:bCs/>
          <w:color w:val="000000" w:themeColor="text1"/>
          <w:kern w:val="0"/>
          <w:szCs w:val="24"/>
          <w14:textFill>
            <w14:solidFill>
              <w14:schemeClr w14:val="tx1"/>
            </w14:solidFill>
          </w14:textFill>
        </w:rPr>
        <w:t>注：投标人编制投标文件（商务技术文件部分）时，建议按此目录（序号和内容）提供评标标准相应的商务技术资料。 </w:t>
      </w:r>
    </w:p>
    <w:p>
      <w:pPr>
        <w:spacing w:line="360" w:lineRule="auto"/>
        <w:ind w:firstLine="482" w:firstLineChars="200"/>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、商务分+技术分=评标委员会所有成员评分合计数/评标委员会组成人员数（精</w:t>
      </w:r>
      <w:r>
        <w:rPr>
          <w:rFonts w:hint="eastAsia" w:ascii="仿宋_GB2312" w:hAnsi="仿宋_GB2312" w:eastAsia="仿宋_GB2312" w:cs="仿宋_GB2312"/>
          <w:b/>
          <w:bCs/>
          <w:color w:val="000000" w:themeColor="text1"/>
          <w:sz w:val="24"/>
          <w14:textFill>
            <w14:solidFill>
              <w14:schemeClr w14:val="tx1"/>
            </w14:solidFill>
          </w14:textFill>
        </w:rPr>
        <w:t>确到小数点后二位）；</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3</w:t>
      </w:r>
      <w:r>
        <w:rPr>
          <w:rFonts w:hint="eastAsia" w:ascii="仿宋_GB2312" w:hAnsi="仿宋_GB2312" w:eastAsia="仿宋_GB2312" w:cs="仿宋_GB2312"/>
          <w:b/>
          <w:bCs/>
          <w:color w:val="000000" w:themeColor="text1"/>
          <w:sz w:val="24"/>
          <w14:textFill>
            <w14:solidFill>
              <w14:schemeClr w14:val="tx1"/>
            </w14:solidFill>
          </w14:textFill>
        </w:rPr>
        <w:t>、价格分（</w:t>
      </w:r>
      <w:r>
        <w:rPr>
          <w:rFonts w:hint="eastAsia" w:ascii="仿宋_GB2312" w:hAnsi="仿宋_GB2312" w:eastAsia="仿宋_GB2312" w:cs="仿宋_GB2312"/>
          <w:b/>
          <w:bCs/>
          <w:color w:val="000000" w:themeColor="text1"/>
          <w:sz w:val="24"/>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4"/>
          <w14:textFill>
            <w14:solidFill>
              <w14:schemeClr w14:val="tx1"/>
            </w14:solidFill>
          </w14:textFill>
        </w:rPr>
        <w:t>分）</w:t>
      </w:r>
      <w:r>
        <w:rPr>
          <w:rFonts w:hint="eastAsia" w:ascii="仿宋_GB2312" w:hAnsi="仿宋_GB2312" w:eastAsia="仿宋_GB2312" w:cs="仿宋_GB2312"/>
          <w:color w:val="000000" w:themeColor="text1"/>
          <w:sz w:val="24"/>
          <w14:textFill>
            <w14:solidFill>
              <w14:schemeClr w14:val="tx1"/>
            </w14:solidFill>
          </w14:textFill>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w:t>
      </w:r>
      <w:r>
        <w:rPr>
          <w:rFonts w:hint="eastAsia" w:ascii="仿宋_GB2312" w:hAnsi="仿宋_GB2312" w:eastAsia="仿宋_GB2312" w:cs="仿宋_GB2312"/>
          <w:b/>
          <w:bCs/>
          <w:color w:val="000000"/>
          <w:sz w:val="24"/>
          <w:lang w:val="en-US" w:eastAsia="zh-CN"/>
        </w:rPr>
        <w:t>10</w:t>
      </w:r>
      <w:r>
        <w:rPr>
          <w:rFonts w:hint="eastAsia" w:ascii="仿宋_GB2312" w:hAnsi="仿宋_GB2312" w:eastAsia="仿宋_GB2312" w:cs="仿宋_GB2312"/>
          <w:b/>
          <w:bCs/>
          <w:color w:val="000000"/>
          <w:sz w:val="24"/>
        </w:rPr>
        <w:t>%×100（精确到小数点后二位）；</w:t>
      </w:r>
    </w:p>
    <w:p>
      <w:pPr>
        <w:spacing w:line="360" w:lineRule="auto"/>
        <w:ind w:firstLine="482" w:firstLineChars="200"/>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4</w:t>
      </w:r>
      <w:r>
        <w:rPr>
          <w:rFonts w:hint="eastAsia" w:ascii="仿宋_GB2312" w:hAnsi="仿宋_GB2312" w:eastAsia="仿宋_GB2312" w:cs="仿宋_GB2312"/>
          <w:b/>
          <w:bCs/>
          <w:color w:val="000000" w:themeColor="text1"/>
          <w:sz w:val="24"/>
          <w14:textFill>
            <w14:solidFill>
              <w14:schemeClr w14:val="tx1"/>
            </w14:solidFill>
          </w14:textFill>
        </w:rPr>
        <w:t>、投标人评标综合得分=价格分+商务分+技术分（精确到小数点后二位）；</w:t>
      </w:r>
    </w:p>
    <w:p>
      <w:pPr>
        <w:spacing w:line="360" w:lineRule="auto"/>
        <w:ind w:firstLine="472" w:firstLineChars="196"/>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报价是中标的一个重要因素，但最低报价不是中标的唯一依据。</w:t>
      </w:r>
    </w:p>
    <w:p>
      <w:pPr>
        <w:pStyle w:val="85"/>
        <w:rPr>
          <w:rFonts w:hint="eastAsia"/>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w:t>
      </w:r>
      <w:r>
        <w:rPr>
          <w:rFonts w:ascii="仿宋" w:hAnsi="仿宋" w:eastAsia="仿宋" w:cs="仿宋"/>
          <w:color w:val="000000" w:themeColor="text1"/>
          <w:kern w:val="0"/>
          <w:szCs w:val="24"/>
          <w14:textFill>
            <w14:solidFill>
              <w14:schemeClr w14:val="tx1"/>
            </w14:solidFill>
          </w14:textFill>
        </w:rPr>
        <w:t>无效投标处理。</w:t>
      </w:r>
    </w:p>
    <w:p>
      <w:pPr>
        <w:widowControl/>
        <w:spacing w:before="0" w:line="360" w:lineRule="auto"/>
        <w:ind w:firstLine="480" w:firstLineChars="200"/>
        <w:jc w:val="left"/>
        <w:rPr>
          <w:rFonts w:hint="default" w:ascii="仿宋_GB2312" w:hAnsi="仿宋" w:eastAsia="仿宋_GB2312" w:cs="Arial"/>
          <w:b/>
          <w:bCs/>
          <w:kern w:val="0"/>
          <w:sz w:val="24"/>
          <w:szCs w:val="24"/>
          <w:lang w:val="en-US" w:eastAsia="zh-CN"/>
        </w:rPr>
      </w:pPr>
      <w:r>
        <w:rPr>
          <w:rFonts w:ascii="仿宋_GB2312" w:hAnsi="仿宋" w:eastAsia="仿宋_GB2312" w:cs="Arial"/>
          <w:kern w:val="0"/>
          <w:sz w:val="24"/>
          <w:szCs w:val="24"/>
        </w:rPr>
        <w:t>3.4.5</w:t>
      </w:r>
      <w:r>
        <w:rPr>
          <w:rFonts w:hint="default" w:ascii="仿宋_GB2312" w:hAnsi="仿宋" w:eastAsia="仿宋_GB2312" w:cs="Arial"/>
          <w:kern w:val="0"/>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 w:val="24"/>
          <w:szCs w:val="24"/>
        </w:rPr>
        <w:t>10%的扣除，用扣除后的价格参与评审。</w:t>
      </w:r>
      <w:r>
        <w:rPr>
          <w:rFonts w:hint="default" w:ascii="仿宋_GB2312" w:hAnsi="仿宋" w:eastAsia="仿宋_GB2312" w:cs="Arial"/>
          <w:b/>
          <w:bCs/>
          <w:kern w:val="0"/>
          <w:sz w:val="24"/>
          <w:szCs w:val="24"/>
          <w:lang w:eastAsia="zh-CN"/>
        </w:rPr>
        <w:t>本项目</w:t>
      </w:r>
      <w:r>
        <w:rPr>
          <w:rFonts w:hint="default" w:ascii="仿宋_GB2312" w:hAnsi="仿宋" w:eastAsia="仿宋_GB2312" w:cs="Arial"/>
          <w:b/>
          <w:bCs/>
          <w:kern w:val="0"/>
          <w:sz w:val="24"/>
          <w:szCs w:val="24"/>
          <w:lang w:val="en-US" w:eastAsia="zh-CN"/>
        </w:rPr>
        <w:t>专门面向中小企业，</w:t>
      </w:r>
      <w:r>
        <w:rPr>
          <w:rFonts w:hint="default" w:ascii="仿宋_GB2312" w:hAnsi="仿宋" w:eastAsia="仿宋_GB2312" w:cs="Arial"/>
          <w:b/>
          <w:bCs/>
          <w:kern w:val="0"/>
          <w:sz w:val="24"/>
          <w:szCs w:val="24"/>
        </w:rPr>
        <w:t>对小型和微型企业的投标报价</w:t>
      </w:r>
      <w:r>
        <w:rPr>
          <w:rFonts w:hint="default" w:ascii="仿宋_GB2312" w:hAnsi="仿宋" w:eastAsia="仿宋_GB2312" w:cs="Arial"/>
          <w:b/>
          <w:bCs/>
          <w:kern w:val="0"/>
          <w:sz w:val="24"/>
          <w:szCs w:val="24"/>
          <w:lang w:eastAsia="zh-CN"/>
        </w:rPr>
        <w:t>不</w:t>
      </w:r>
      <w:r>
        <w:rPr>
          <w:rFonts w:hint="default" w:ascii="仿宋_GB2312" w:hAnsi="仿宋" w:eastAsia="仿宋_GB2312" w:cs="Arial"/>
          <w:b/>
          <w:bCs/>
          <w:kern w:val="0"/>
          <w:sz w:val="24"/>
          <w:szCs w:val="24"/>
        </w:rPr>
        <w:t>予</w:t>
      </w:r>
      <w:r>
        <w:rPr>
          <w:rFonts w:ascii="仿宋_GB2312" w:hAnsi="仿宋" w:eastAsia="仿宋_GB2312" w:cs="Arial"/>
          <w:b/>
          <w:bCs/>
          <w:kern w:val="0"/>
          <w:sz w:val="24"/>
          <w:szCs w:val="24"/>
        </w:rPr>
        <w:t>扣除</w:t>
      </w:r>
      <w:r>
        <w:rPr>
          <w:rFonts w:hint="default" w:ascii="仿宋_GB2312" w:hAnsi="仿宋" w:eastAsia="仿宋_GB2312" w:cs="Arial"/>
          <w:b/>
          <w:bCs/>
          <w:kern w:val="0"/>
          <w:sz w:val="24"/>
          <w:szCs w:val="24"/>
          <w:lang w:eastAsia="zh-CN"/>
        </w:rPr>
        <w:t>评审。</w:t>
      </w:r>
    </w:p>
    <w:p>
      <w:pPr>
        <w:widowControl/>
        <w:spacing w:before="0" w:line="360" w:lineRule="auto"/>
        <w:ind w:firstLine="480" w:firstLineChars="200"/>
        <w:jc w:val="left"/>
        <w:rPr>
          <w:rFonts w:ascii="仿宋_GB2312" w:hAnsi="仿宋" w:eastAsia="仿宋_GB2312" w:cs="Arial"/>
          <w:kern w:val="0"/>
          <w:sz w:val="24"/>
          <w:szCs w:val="24"/>
        </w:rPr>
      </w:pPr>
      <w:r>
        <w:rPr>
          <w:rFonts w:ascii="仿宋_GB2312" w:hAnsi="仿宋" w:eastAsia="仿宋_GB2312" w:cs="Arial"/>
          <w:kern w:val="0"/>
          <w:sz w:val="24"/>
          <w:szCs w:val="24"/>
        </w:rPr>
        <w:t>接受大中型企业与小</w:t>
      </w:r>
      <w:r>
        <w:rPr>
          <w:rFonts w:hint="default" w:ascii="仿宋_GB2312" w:hAnsi="仿宋" w:eastAsia="仿宋_GB2312" w:cs="Arial"/>
          <w:kern w:val="0"/>
          <w:sz w:val="24"/>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 w:val="24"/>
          <w:szCs w:val="24"/>
        </w:rPr>
        <w:t>30%以上的，对联合体或者大中型企业的报价给予3%的扣除，用扣除后的价格参加评审。组成联合体或者接受分包的小</w:t>
      </w:r>
      <w:r>
        <w:rPr>
          <w:rFonts w:hint="default" w:ascii="仿宋_GB2312" w:hAnsi="仿宋" w:eastAsia="仿宋_GB2312" w:cs="Arial"/>
          <w:kern w:val="0"/>
          <w:sz w:val="24"/>
          <w:szCs w:val="24"/>
        </w:rPr>
        <w:t>微企业与联合体内其他企业、分包企业之间存在直接控股、管理关系的，不享受价格扣除优惠政策。</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hint="eastAsia" w:ascii="仿宋_GB2312" w:hAnsi="仿宋" w:eastAsia="仿宋_GB2312" w:cs="仿宋_GB2312"/>
          <w:b/>
          <w:sz w:val="36"/>
          <w:szCs w:val="36"/>
        </w:rPr>
      </w:pPr>
      <w:bookmarkStart w:id="410" w:name="第五部分"/>
      <w:bookmarkStart w:id="411"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lang w:val="en-US" w:eastAsia="zh-CN"/>
        </w:rPr>
        <w:t xml:space="preserve"> </w:t>
      </w:r>
      <w:r>
        <w:rPr>
          <w:rFonts w:hint="eastAsia" w:ascii="仿宋_GB2312" w:hAnsi="仿宋" w:eastAsia="仿宋_GB2312" w:cs="仿宋_GB2312"/>
          <w:b/>
          <w:sz w:val="36"/>
          <w:szCs w:val="36"/>
        </w:rPr>
        <w:t>拟签订的合同文本</w:t>
      </w:r>
    </w:p>
    <w:p>
      <w:pPr>
        <w:ind w:firstLine="6240" w:firstLineChars="2600"/>
        <w:rPr>
          <w:rFonts w:hint="eastAsia"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宋体" w:hAnsi="宋体"/>
          <w:color w:val="000000"/>
          <w:sz w:val="24"/>
        </w:rPr>
      </w:pPr>
      <w:r>
        <w:rPr>
          <w:rFonts w:ascii="宋体" w:hAnsi="宋体"/>
          <w:color w:val="000000"/>
          <w:sz w:val="24"/>
        </w:rPr>
        <w:t>项目名称：</w:t>
      </w:r>
      <w:r>
        <w:rPr>
          <w:rFonts w:hint="eastAsia" w:ascii="宋体" w:hAnsi="宋体"/>
          <w:color w:val="000000"/>
          <w:sz w:val="24"/>
        </w:rPr>
        <w:t xml:space="preserve"> </w:t>
      </w:r>
    </w:p>
    <w:p>
      <w:pPr>
        <w:pStyle w:val="34"/>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招标编号</w:t>
      </w:r>
      <w:r>
        <w:rPr>
          <w:rFonts w:ascii="宋体" w:hAnsi="宋体" w:eastAsia="宋体"/>
          <w:sz w:val="24"/>
          <w:szCs w:val="24"/>
        </w:rPr>
        <w:t>：</w:t>
      </w:r>
      <w:r>
        <w:rPr>
          <w:rFonts w:hint="eastAsia" w:hAnsi="宋体"/>
          <w:sz w:val="24"/>
          <w:lang w:eastAsia="zh-CN"/>
        </w:rPr>
        <w:t>YHZFCG2022-024</w:t>
      </w:r>
    </w:p>
    <w:p>
      <w:pPr>
        <w:pStyle w:val="34"/>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甲方：</w:t>
      </w:r>
    </w:p>
    <w:p>
      <w:pPr>
        <w:adjustRightInd w:val="0"/>
        <w:snapToGrid w:val="0"/>
        <w:spacing w:line="360" w:lineRule="auto"/>
        <w:ind w:firstLine="480" w:firstLineChars="200"/>
        <w:rPr>
          <w:rFonts w:ascii="宋体" w:hAnsi="宋体"/>
          <w:sz w:val="24"/>
        </w:rPr>
      </w:pPr>
      <w:r>
        <w:rPr>
          <w:rFonts w:hint="eastAsia" w:ascii="宋体" w:hAnsi="宋体"/>
          <w:sz w:val="24"/>
        </w:rPr>
        <w:t>乙方：</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s="Times New Roman"/>
          <w:kern w:val="2"/>
          <w:sz w:val="24"/>
          <w:szCs w:val="24"/>
          <w:lang w:eastAsia="zh-CN"/>
        </w:rPr>
        <w:t>甲、乙双方根据</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lang w:eastAsia="zh-CN"/>
        </w:rPr>
        <w:t>项目（</w:t>
      </w:r>
      <w:r>
        <w:rPr>
          <w:rFonts w:hint="eastAsia" w:ascii="宋体" w:hAnsi="宋体" w:eastAsia="宋体" w:cs="Times New Roman"/>
          <w:kern w:val="2"/>
          <w:sz w:val="24"/>
          <w:szCs w:val="24"/>
          <w:u w:val="single"/>
          <w:lang w:eastAsia="zh-CN"/>
        </w:rPr>
        <w:t>招标编号：</w:t>
      </w:r>
      <w:r>
        <w:rPr>
          <w:rFonts w:hint="eastAsia" w:ascii="宋体" w:hAnsi="宋体"/>
          <w:sz w:val="24"/>
          <w:u w:val="single"/>
          <w:lang w:eastAsia="zh-CN"/>
        </w:rPr>
        <w:t>YHZFCG2022-024</w:t>
      </w:r>
      <w:r>
        <w:rPr>
          <w:rFonts w:hint="eastAsia" w:ascii="宋体" w:hAnsi="宋体" w:eastAsia="宋体"/>
          <w:sz w:val="24"/>
          <w:lang w:eastAsia="zh-CN"/>
        </w:rPr>
        <w:t>）</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2" w:name="_Toc5663"/>
      <w:r>
        <w:rPr>
          <w:rFonts w:hint="eastAsia" w:ascii="宋体" w:hAnsi="宋体" w:eastAsia="宋体"/>
          <w:b/>
          <w:color w:val="000000"/>
          <w:sz w:val="24"/>
          <w:szCs w:val="24"/>
          <w:lang w:eastAsia="zh-CN"/>
        </w:rPr>
        <w:t>一、服务内容</w:t>
      </w:r>
      <w:bookmarkEnd w:id="412"/>
    </w:p>
    <w:p>
      <w:pPr>
        <w:adjustRightInd w:val="0"/>
        <w:snapToGrid w:val="0"/>
        <w:spacing w:line="360" w:lineRule="auto"/>
        <w:ind w:firstLine="480" w:firstLineChars="200"/>
        <w:rPr>
          <w:rFonts w:ascii="宋体" w:hAnsi="宋体"/>
          <w:sz w:val="24"/>
        </w:rPr>
      </w:pPr>
      <w:r>
        <w:rPr>
          <w:rFonts w:hint="eastAsia" w:ascii="宋体" w:hAnsi="宋体"/>
          <w:sz w:val="24"/>
        </w:rPr>
        <w:t>具体内容和相关要求详见招标文件“</w:t>
      </w:r>
      <w:r>
        <w:rPr>
          <w:rFonts w:hint="eastAsia" w:ascii="宋体" w:hAnsi="宋体" w:cs="宋体"/>
          <w:kern w:val="0"/>
          <w:sz w:val="24"/>
        </w:rPr>
        <w:t>第三部分——</w:t>
      </w:r>
      <w:r>
        <w:rPr>
          <w:rFonts w:hint="eastAsia" w:ascii="宋体" w:hAnsi="宋体" w:cs="宋体"/>
          <w:kern w:val="0"/>
          <w:sz w:val="24"/>
          <w:lang w:val="en-US" w:eastAsia="zh-CN"/>
        </w:rPr>
        <w:t>采购需求</w:t>
      </w:r>
      <w:r>
        <w:rPr>
          <w:rFonts w:hint="eastAsia" w:ascii="宋体" w:hAnsi="宋体" w:cs="宋体"/>
          <w:kern w:val="0"/>
          <w:sz w:val="24"/>
        </w:rPr>
        <w:t>”</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3" w:name="_Toc13637"/>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bookmarkEnd w:id="413"/>
    </w:p>
    <w:p>
      <w:pPr>
        <w:pStyle w:val="967"/>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4" w:name="_Toc22910"/>
      <w:r>
        <w:rPr>
          <w:rFonts w:hint="eastAsia" w:ascii="宋体" w:hAnsi="宋体" w:eastAsia="宋体"/>
          <w:b/>
          <w:color w:val="000000"/>
          <w:sz w:val="24"/>
          <w:szCs w:val="24"/>
          <w:lang w:eastAsia="zh-CN"/>
        </w:rPr>
        <w:t>三、合同金额</w:t>
      </w:r>
      <w:bookmarkEnd w:id="414"/>
    </w:p>
    <w:p>
      <w:pPr>
        <w:pStyle w:val="967"/>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967"/>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综合单价：</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5" w:name="_Toc3395"/>
      <w:r>
        <w:rPr>
          <w:rFonts w:hint="eastAsia" w:ascii="宋体" w:hAnsi="宋体" w:eastAsia="宋体"/>
          <w:b/>
          <w:color w:val="000000"/>
          <w:sz w:val="24"/>
          <w:szCs w:val="24"/>
          <w:lang w:eastAsia="zh-CN"/>
        </w:rPr>
        <w:t>四、技术资料</w:t>
      </w:r>
      <w:bookmarkEnd w:id="415"/>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6" w:name="_Toc24660"/>
      <w:r>
        <w:rPr>
          <w:rFonts w:hint="eastAsia" w:ascii="宋体" w:hAnsi="宋体" w:eastAsia="宋体"/>
          <w:b/>
          <w:color w:val="000000"/>
          <w:sz w:val="24"/>
          <w:szCs w:val="24"/>
          <w:lang w:eastAsia="zh-CN"/>
        </w:rPr>
        <w:t>五、知识产权</w:t>
      </w:r>
      <w:bookmarkEnd w:id="416"/>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7" w:name="_Toc27890"/>
      <w:r>
        <w:rPr>
          <w:rFonts w:hint="eastAsia" w:ascii="宋体" w:hAnsi="宋体" w:eastAsia="宋体"/>
          <w:b/>
          <w:color w:val="000000"/>
          <w:sz w:val="24"/>
          <w:szCs w:val="24"/>
          <w:lang w:eastAsia="zh-CN"/>
        </w:rPr>
        <w:t>六、履约保证金</w:t>
      </w:r>
      <w:bookmarkEnd w:id="417"/>
    </w:p>
    <w:p>
      <w:pPr>
        <w:pStyle w:val="967"/>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8" w:name="_Toc724"/>
      <w:r>
        <w:rPr>
          <w:rFonts w:hint="eastAsia" w:ascii="宋体" w:hAnsi="宋体" w:eastAsia="宋体"/>
          <w:b/>
          <w:color w:val="000000"/>
          <w:sz w:val="24"/>
          <w:szCs w:val="24"/>
          <w:lang w:eastAsia="zh-CN"/>
        </w:rPr>
        <w:t>七、转包或分包</w:t>
      </w:r>
      <w:bookmarkEnd w:id="418"/>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967"/>
        <w:snapToGrid w:val="0"/>
        <w:spacing w:line="360" w:lineRule="auto"/>
        <w:ind w:firstLine="482" w:firstLineChars="200"/>
        <w:outlineLvl w:val="1"/>
        <w:rPr>
          <w:rFonts w:ascii="宋体" w:hAnsi="宋体" w:eastAsia="宋体"/>
          <w:color w:val="000000"/>
          <w:sz w:val="24"/>
          <w:szCs w:val="24"/>
          <w:lang w:eastAsia="zh-CN"/>
        </w:rPr>
      </w:pPr>
      <w:bookmarkStart w:id="419" w:name="_Toc26219"/>
      <w:r>
        <w:rPr>
          <w:rFonts w:hint="eastAsia" w:ascii="宋体" w:hAnsi="宋体" w:eastAsia="宋体"/>
          <w:b/>
          <w:color w:val="000000"/>
          <w:sz w:val="24"/>
          <w:szCs w:val="24"/>
          <w:lang w:eastAsia="zh-CN"/>
        </w:rPr>
        <w:t>八、合同履行时间、履行方式及履行地点</w:t>
      </w:r>
      <w:bookmarkEnd w:id="419"/>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967"/>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0" w:name="_Toc670"/>
      <w:r>
        <w:rPr>
          <w:rFonts w:hint="eastAsia" w:ascii="宋体" w:hAnsi="宋体" w:eastAsia="宋体"/>
          <w:b/>
          <w:color w:val="000000"/>
          <w:sz w:val="24"/>
          <w:szCs w:val="24"/>
          <w:lang w:eastAsia="zh-CN"/>
        </w:rPr>
        <w:t>九、款项支付</w:t>
      </w:r>
      <w:bookmarkEnd w:id="420"/>
    </w:p>
    <w:p>
      <w:pPr>
        <w:pStyle w:val="967"/>
        <w:snapToGrid w:val="0"/>
        <w:spacing w:line="360" w:lineRule="auto"/>
        <w:ind w:firstLine="960" w:firstLineChars="400"/>
        <w:rPr>
          <w:rFonts w:ascii="宋体" w:hAnsi="宋体" w:eastAsia="宋体"/>
          <w:bCs/>
          <w:color w:val="000000"/>
          <w:sz w:val="24"/>
          <w:lang w:eastAsia="zh-CN"/>
        </w:rPr>
      </w:pPr>
      <w:r>
        <w:rPr>
          <w:rFonts w:hint="eastAsia" w:ascii="宋体" w:hAnsi="宋体" w:eastAsia="宋体"/>
          <w:bCs/>
          <w:color w:val="000000"/>
          <w:sz w:val="24"/>
          <w:szCs w:val="24"/>
          <w:lang w:eastAsia="zh-CN"/>
        </w:rPr>
        <w:t>按招标文件约定执行</w:t>
      </w:r>
      <w:r>
        <w:rPr>
          <w:rFonts w:hint="eastAsia" w:ascii="宋体" w:hAnsi="宋体" w:eastAsia="宋体"/>
          <w:bCs/>
          <w:color w:val="000000"/>
          <w:sz w:val="24"/>
          <w:lang w:eastAsia="zh-CN"/>
        </w:rPr>
        <w:t>。</w:t>
      </w:r>
    </w:p>
    <w:p>
      <w:pPr>
        <w:autoSpaceDE w:val="0"/>
        <w:autoSpaceDN w:val="0"/>
        <w:snapToGrid w:val="0"/>
        <w:spacing w:line="360" w:lineRule="auto"/>
        <w:ind w:firstLine="482" w:firstLineChars="200"/>
        <w:outlineLvl w:val="1"/>
        <w:rPr>
          <w:rFonts w:ascii="宋体" w:hAnsi="宋体"/>
          <w:b/>
          <w:color w:val="000000"/>
          <w:sz w:val="24"/>
        </w:rPr>
      </w:pPr>
      <w:bookmarkStart w:id="421" w:name="_Toc29970"/>
      <w:r>
        <w:rPr>
          <w:rFonts w:hint="eastAsia" w:ascii="宋体" w:hAnsi="宋体"/>
          <w:b/>
          <w:color w:val="000000"/>
          <w:sz w:val="24"/>
        </w:rPr>
        <w:t>十、税费</w:t>
      </w:r>
      <w:bookmarkEnd w:id="421"/>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2" w:name="_Toc13501"/>
      <w:r>
        <w:rPr>
          <w:rFonts w:hint="eastAsia" w:ascii="宋体" w:hAnsi="宋体" w:eastAsia="宋体"/>
          <w:b/>
          <w:color w:val="000000"/>
          <w:sz w:val="24"/>
          <w:szCs w:val="24"/>
          <w:lang w:eastAsia="zh-CN"/>
        </w:rPr>
        <w:t>十一、质量保证及后续服务</w:t>
      </w:r>
      <w:bookmarkEnd w:id="422"/>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3" w:name="_Toc11285"/>
      <w:r>
        <w:rPr>
          <w:rFonts w:hint="eastAsia" w:ascii="宋体" w:hAnsi="宋体" w:eastAsia="宋体"/>
          <w:b/>
          <w:color w:val="000000"/>
          <w:sz w:val="24"/>
          <w:szCs w:val="24"/>
          <w:lang w:eastAsia="zh-CN"/>
        </w:rPr>
        <w:t>十二、违约责任</w:t>
      </w:r>
      <w:bookmarkEnd w:id="423"/>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2、甲方无故逾期验收和办理款项支付手续的，甲方应按逾期付款总额每日万分之五向乙方支付违约金，赔付上线为合同总额的百分之五。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3、乙方未能如期提供服务的，每逾期一日向甲方支付合同款项的万分之五作为违约金，赔付上线为合同总额的百分之五。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4、乙方因未能如期提供服务或因其他违约行为导致甲方解除合同的，乙方应向甲方支付合同总值的百分之五违约金。</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4" w:name="_Toc28853"/>
      <w:r>
        <w:rPr>
          <w:rFonts w:hint="eastAsia" w:ascii="宋体" w:hAnsi="宋体" w:eastAsia="宋体"/>
          <w:b/>
          <w:color w:val="000000"/>
          <w:sz w:val="24"/>
          <w:szCs w:val="24"/>
          <w:lang w:eastAsia="zh-CN"/>
        </w:rPr>
        <w:t>十三、不可抗力事件处理</w:t>
      </w:r>
      <w:bookmarkEnd w:id="424"/>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2、不可抗力事件发生后，应立即通知对方，并寄送有关权威机构出具的证明。</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5" w:name="_Toc31178"/>
      <w:r>
        <w:rPr>
          <w:rFonts w:hint="eastAsia" w:ascii="宋体" w:hAnsi="宋体" w:eastAsia="宋体"/>
          <w:b/>
          <w:color w:val="000000"/>
          <w:sz w:val="24"/>
          <w:szCs w:val="24"/>
          <w:lang w:eastAsia="zh-CN"/>
        </w:rPr>
        <w:t>十四、诉讼</w:t>
      </w:r>
      <w:bookmarkEnd w:id="425"/>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6" w:name="_Toc5342"/>
      <w:r>
        <w:rPr>
          <w:rFonts w:hint="eastAsia" w:ascii="宋体" w:hAnsi="宋体" w:eastAsia="宋体"/>
          <w:b/>
          <w:color w:val="000000"/>
          <w:sz w:val="24"/>
          <w:szCs w:val="24"/>
          <w:lang w:eastAsia="zh-CN"/>
        </w:rPr>
        <w:t>十五、合同生效及其它</w:t>
      </w:r>
      <w:bookmarkEnd w:id="426"/>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、合同经双方法定代表人或授权代表签字或盖章并加盖单位公章后生效。</w:t>
      </w:r>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合同执行中涉及采购资金和采购内容修改或补充的，须签书面补充协议</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方可作为主合同不可分割的一部分</w:t>
      </w:r>
      <w:r>
        <w:rPr>
          <w:rFonts w:hint="eastAsia" w:ascii="宋体" w:hAnsi="宋体" w:eastAsia="宋体"/>
          <w:color w:val="000000"/>
          <w:sz w:val="24"/>
          <w:szCs w:val="24"/>
          <w:lang w:eastAsia="zh-CN"/>
        </w:rPr>
        <w:t>并备案</w:t>
      </w:r>
      <w:r>
        <w:rPr>
          <w:rFonts w:ascii="宋体" w:hAnsi="宋体" w:eastAsia="宋体"/>
          <w:color w:val="000000"/>
          <w:sz w:val="24"/>
          <w:szCs w:val="24"/>
          <w:lang w:eastAsia="zh-CN"/>
        </w:rPr>
        <w:t>。</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4"/>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4、本合同一式陆份，具有同等法律效力，甲乙双方各执叁份。</w:t>
      </w:r>
    </w:p>
    <w:p>
      <w:pPr>
        <w:snapToGrid w:val="0"/>
        <w:spacing w:line="360" w:lineRule="auto"/>
        <w:ind w:firstLine="480" w:firstLineChars="200"/>
        <w:rPr>
          <w:rFonts w:ascii="宋体" w:hAnsi="宋体" w:cs="宋体"/>
          <w:color w:val="000000"/>
          <w:sz w:val="24"/>
        </w:rPr>
      </w:pP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或受委托人（签字或盖章）：                或受委托人（签字或盖章）：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签订时间：                                签订时间：</w:t>
      </w:r>
    </w:p>
    <w:p>
      <w:pPr>
        <w:pStyle w:val="26"/>
        <w:spacing w:line="360" w:lineRule="auto"/>
        <w:ind w:firstLine="480"/>
        <w:rPr>
          <w:rFonts w:ascii="宋体" w:hAnsi="宋体" w:cs="宋体"/>
          <w:color w:val="000000"/>
          <w:sz w:val="24"/>
        </w:rPr>
      </w:pPr>
    </w:p>
    <w:p>
      <w:pPr>
        <w:pStyle w:val="26"/>
        <w:spacing w:line="360" w:lineRule="auto"/>
        <w:ind w:firstLine="5280" w:firstLineChars="2200"/>
      </w:pPr>
      <w:r>
        <w:rPr>
          <w:rFonts w:hint="eastAsia" w:ascii="宋体" w:hAnsi="宋体" w:cs="宋体"/>
          <w:color w:val="000000"/>
          <w:sz w:val="24"/>
        </w:rPr>
        <w:t>签订地点：</w:t>
      </w:r>
    </w:p>
    <w:p>
      <w:pPr>
        <w:spacing w:line="480" w:lineRule="auto"/>
        <w:jc w:val="center"/>
        <w:rPr>
          <w:rFonts w:ascii="仿宋" w:hAnsi="仿宋" w:eastAsia="仿宋"/>
          <w:b/>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0"/>
      <w:r>
        <w:rPr>
          <w:rFonts w:ascii="仿宋" w:hAnsi="仿宋" w:eastAsia="仿宋" w:cs="仿宋_GB2312"/>
          <w:b/>
          <w:sz w:val="36"/>
          <w:szCs w:val="20"/>
        </w:rPr>
        <w:t xml:space="preserve"> </w:t>
      </w:r>
      <w:bookmarkEnd w:id="41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outlineLvl w:val="9"/>
        <w:rPr>
          <w:b/>
          <w:bCs/>
          <w:sz w:val="40"/>
          <w:szCs w:val="48"/>
        </w:rPr>
      </w:pPr>
      <w:bookmarkStart w:id="427" w:name="_Toc12947"/>
      <w:r>
        <w:rPr>
          <w:b/>
          <w:bCs/>
          <w:sz w:val="40"/>
          <w:szCs w:val="48"/>
        </w:rPr>
        <w:br w:type="page"/>
      </w:r>
    </w:p>
    <w:p>
      <w:pPr>
        <w:jc w:val="center"/>
        <w:outlineLvl w:val="0"/>
        <w:rPr>
          <w:b/>
          <w:bCs/>
          <w:sz w:val="40"/>
          <w:szCs w:val="48"/>
        </w:rPr>
      </w:pPr>
      <w:r>
        <w:rPr>
          <w:b/>
          <w:bCs/>
          <w:sz w:val="40"/>
          <w:szCs w:val="48"/>
        </w:rPr>
        <w:t>电子备份投标文件的外包装封面格式</w:t>
      </w:r>
      <w:bookmarkEnd w:id="427"/>
    </w:p>
    <w:p>
      <w:pPr>
        <w:rPr>
          <w:b/>
          <w:bCs/>
          <w:sz w:val="40"/>
          <w:szCs w:val="48"/>
        </w:rPr>
      </w:pPr>
    </w:p>
    <w:p>
      <w:pPr>
        <w:rPr>
          <w:b/>
          <w:bCs/>
          <w:sz w:val="40"/>
          <w:szCs w:val="48"/>
        </w:rPr>
      </w:pPr>
    </w:p>
    <w:p>
      <w:pPr>
        <w:jc w:val="center"/>
        <w:outlineLvl w:val="0"/>
        <w:rPr>
          <w:b/>
          <w:bCs/>
          <w:sz w:val="40"/>
          <w:szCs w:val="48"/>
        </w:rPr>
      </w:pPr>
      <w:bookmarkStart w:id="428" w:name="_Toc13184"/>
      <w:r>
        <w:rPr>
          <w:b/>
          <w:bCs/>
          <w:sz w:val="40"/>
          <w:szCs w:val="48"/>
        </w:rPr>
        <w:t>电子备份投标文件</w:t>
      </w:r>
      <w:bookmarkEnd w:id="428"/>
    </w:p>
    <w:p>
      <w:pPr>
        <w:jc w:val="center"/>
        <w:rPr>
          <w:b/>
          <w:bCs/>
          <w:sz w:val="40"/>
          <w:szCs w:val="48"/>
        </w:rPr>
      </w:pPr>
    </w:p>
    <w:p>
      <w:pPr>
        <w:jc w:val="center"/>
        <w:rPr>
          <w:b/>
          <w:bCs/>
          <w:sz w:val="40"/>
          <w:szCs w:val="48"/>
        </w:rPr>
      </w:pPr>
    </w:p>
    <w:p>
      <w:pPr>
        <w:jc w:val="center"/>
        <w:outlineLvl w:val="0"/>
        <w:rPr>
          <w:b/>
          <w:bCs/>
          <w:sz w:val="40"/>
          <w:szCs w:val="48"/>
        </w:rPr>
      </w:pPr>
      <w:bookmarkStart w:id="429" w:name="_Toc18701"/>
      <w:r>
        <w:rPr>
          <w:rFonts w:hint="eastAsia"/>
          <w:b/>
          <w:bCs/>
          <w:sz w:val="40"/>
          <w:szCs w:val="48"/>
        </w:rPr>
        <w:t>项目名称：</w:t>
      </w:r>
      <w:bookmarkEnd w:id="429"/>
    </w:p>
    <w:p>
      <w:pPr>
        <w:jc w:val="center"/>
        <w:rPr>
          <w:b/>
          <w:bCs/>
          <w:sz w:val="40"/>
          <w:szCs w:val="48"/>
        </w:rPr>
      </w:pPr>
    </w:p>
    <w:p>
      <w:pPr>
        <w:jc w:val="center"/>
        <w:outlineLvl w:val="0"/>
        <w:rPr>
          <w:b/>
          <w:bCs/>
          <w:sz w:val="40"/>
          <w:szCs w:val="48"/>
        </w:rPr>
      </w:pPr>
      <w:bookmarkStart w:id="430" w:name="_Toc20693"/>
      <w:r>
        <w:rPr>
          <w:rFonts w:hint="eastAsia"/>
          <w:b/>
          <w:bCs/>
          <w:sz w:val="40"/>
          <w:szCs w:val="48"/>
        </w:rPr>
        <w:t>项目编号：</w:t>
      </w:r>
      <w:bookmarkEnd w:id="430"/>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31" w:name="_Toc27616"/>
      <w:r>
        <w:rPr>
          <w:rFonts w:hint="eastAsia"/>
          <w:b/>
          <w:bCs/>
          <w:sz w:val="40"/>
          <w:szCs w:val="48"/>
        </w:rPr>
        <w:t>投标人名称：（盖章）</w:t>
      </w:r>
      <w:bookmarkEnd w:id="431"/>
    </w:p>
    <w:p>
      <w:pPr>
        <w:jc w:val="center"/>
        <w:rPr>
          <w:b/>
          <w:bCs/>
          <w:sz w:val="40"/>
          <w:szCs w:val="48"/>
        </w:rPr>
      </w:pPr>
    </w:p>
    <w:p>
      <w:pPr>
        <w:jc w:val="center"/>
        <w:outlineLvl w:val="0"/>
        <w:rPr>
          <w:b/>
          <w:bCs/>
          <w:sz w:val="40"/>
          <w:szCs w:val="48"/>
        </w:rPr>
      </w:pPr>
      <w:bookmarkStart w:id="432" w:name="_Toc8328"/>
      <w:r>
        <w:rPr>
          <w:rFonts w:hint="eastAsia"/>
          <w:b/>
          <w:bCs/>
          <w:sz w:val="40"/>
          <w:szCs w:val="48"/>
        </w:rPr>
        <w:t>投标人地址：</w:t>
      </w:r>
      <w:bookmarkEnd w:id="432"/>
    </w:p>
    <w:p>
      <w:pPr>
        <w:jc w:val="center"/>
        <w:rPr>
          <w:b/>
          <w:bCs/>
          <w:sz w:val="40"/>
          <w:szCs w:val="48"/>
        </w:rPr>
      </w:pPr>
    </w:p>
    <w:p>
      <w:pPr>
        <w:jc w:val="center"/>
        <w:outlineLvl w:val="0"/>
        <w:rPr>
          <w:b/>
          <w:bCs/>
          <w:sz w:val="40"/>
          <w:szCs w:val="48"/>
        </w:rPr>
      </w:pPr>
      <w:bookmarkStart w:id="433"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lang w:val="en-US" w:eastAsia="zh-CN"/>
        </w:rPr>
        <w:t xml:space="preserve"> </w:t>
      </w:r>
      <w:r>
        <w:rPr>
          <w:rFonts w:hint="eastAsia"/>
          <w:b/>
          <w:bCs/>
          <w:sz w:val="40"/>
          <w:szCs w:val="48"/>
        </w:rPr>
        <w:t>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33"/>
    </w:p>
    <w:p>
      <w:pPr>
        <w:jc w:val="center"/>
        <w:rPr>
          <w:b/>
          <w:bCs/>
          <w:sz w:val="40"/>
          <w:szCs w:val="48"/>
        </w:rPr>
      </w:pPr>
    </w:p>
    <w:p>
      <w:pPr>
        <w:jc w:val="center"/>
        <w:outlineLvl w:val="0"/>
        <w:rPr>
          <w:b/>
          <w:bCs/>
          <w:sz w:val="40"/>
          <w:szCs w:val="48"/>
        </w:rPr>
      </w:pPr>
      <w:bookmarkStart w:id="434" w:name="_Toc10680"/>
      <w:r>
        <w:rPr>
          <w:rFonts w:hint="eastAsia"/>
          <w:b/>
          <w:bCs/>
          <w:sz w:val="40"/>
          <w:szCs w:val="48"/>
        </w:rPr>
        <w:t>年</w:t>
      </w:r>
      <w:r>
        <w:rPr>
          <w:rFonts w:hint="eastAsia"/>
          <w:b/>
          <w:bCs/>
          <w:sz w:val="40"/>
          <w:szCs w:val="48"/>
        </w:rPr>
        <w:tab/>
      </w:r>
      <w:r>
        <w:rPr>
          <w:rFonts w:hint="eastAsia"/>
          <w:b/>
          <w:bCs/>
          <w:sz w:val="40"/>
          <w:szCs w:val="48"/>
        </w:rPr>
        <w:t xml:space="preserve">  月   </w:t>
      </w:r>
      <w:r>
        <w:rPr>
          <w:rFonts w:hint="eastAsia"/>
          <w:b/>
          <w:bCs/>
          <w:sz w:val="40"/>
          <w:szCs w:val="48"/>
        </w:rPr>
        <w:tab/>
      </w:r>
      <w:r>
        <w:rPr>
          <w:rFonts w:hint="eastAsia"/>
          <w:b/>
          <w:bCs/>
          <w:sz w:val="40"/>
          <w:szCs w:val="48"/>
        </w:rPr>
        <w:t>日</w:t>
      </w:r>
      <w:bookmarkEnd w:id="434"/>
    </w:p>
    <w:p>
      <w:pPr>
        <w:pStyle w:val="2"/>
      </w:pPr>
    </w:p>
    <w:p/>
    <w:p>
      <w:pPr>
        <w:spacing w:line="240" w:lineRule="auto"/>
        <w:jc w:val="left"/>
        <w:outlineLvl w:val="9"/>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5"/>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0" w:firstLineChars="0"/>
        <w:rPr>
          <w:rFonts w:hint="eastAsia" w:ascii="仿宋_GB2312" w:hAnsi="仿宋_GB2312" w:eastAsia="仿宋_GB2312" w:cs="仿宋_GB2312"/>
          <w:color w:val="000000"/>
          <w:sz w:val="32"/>
          <w:szCs w:val="32"/>
        </w:rPr>
      </w:pPr>
    </w:p>
    <w:p>
      <w:pPr>
        <w:snapToGrid w:val="0"/>
        <w:spacing w:line="360" w:lineRule="auto"/>
        <w:ind w:firstLine="1920" w:firstLineChars="600"/>
        <w:rPr>
          <w:rFonts w:hint="eastAsia"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8" w:type="default"/>
          <w:footerReference r:id="rId9"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34"/>
        <w:rPr>
          <w:rFonts w:hint="eastAsia" w:ascii="仿宋_GB2312" w:hAnsi="仿宋" w:eastAsia="仿宋_GB2312" w:cs="仿宋_GB2312"/>
          <w:b/>
          <w:kern w:val="0"/>
          <w:sz w:val="36"/>
          <w:szCs w:val="36"/>
        </w:rPr>
      </w:pPr>
    </w:p>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highlight w:val="none"/>
        </w:rPr>
      </w:pPr>
      <w:bookmarkStart w:id="435" w:name="_Hlk33176655"/>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rPr>
          <w:rFonts w:hint="default" w:eastAsia="仿宋_GB2312"/>
          <w:lang w:val="en-US" w:eastAsia="zh-CN"/>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4</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服务承诺书</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bookmarkEnd w:id="435"/>
    <w:p>
      <w:pPr>
        <w:snapToGrid w:val="0"/>
        <w:spacing w:line="360" w:lineRule="auto"/>
        <w:ind w:right="480"/>
        <w:jc w:val="center"/>
        <w:rPr>
          <w:rFonts w:ascii="仿宋_GB2312" w:hAnsi="仿宋" w:eastAsia="仿宋_GB2312" w:cs="仿宋_GB2312"/>
          <w:b/>
          <w:kern w:val="0"/>
          <w:sz w:val="32"/>
          <w:szCs w:val="32"/>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kern w:val="0"/>
          <w:sz w:val="24"/>
        </w:rPr>
      </w:pPr>
    </w:p>
    <w:p>
      <w:pPr>
        <w:pStyle w:val="2"/>
        <w:rPr>
          <w:rFonts w:ascii="仿宋_GB2312" w:hAnsi="仿宋" w:eastAsia="仿宋_GB2312" w:cs="仿宋_GB2312"/>
          <w:kern w:val="0"/>
          <w:sz w:val="24"/>
        </w:rPr>
      </w:pPr>
    </w:p>
    <w:p>
      <w:pPr>
        <w:rPr>
          <w:rFonts w:ascii="仿宋_GB2312" w:hAnsi="仿宋" w:eastAsia="仿宋_GB2312" w:cs="仿宋_GB2312"/>
          <w:kern w:val="0"/>
          <w:sz w:val="24"/>
        </w:rPr>
      </w:pPr>
    </w:p>
    <w:p>
      <w:pPr>
        <w:pStyle w:val="2"/>
      </w:pP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rPr>
        <w:t xml:space="preserve">  </w:t>
      </w:r>
      <w:r>
        <w:rPr>
          <w:rFonts w:ascii="仿宋_GB2312" w:hAnsi="仿宋" w:eastAsia="仿宋_GB2312" w:cs="仿宋_GB2312"/>
          <w:b/>
          <w:kern w:val="0"/>
          <w:sz w:val="32"/>
          <w:szCs w:val="32"/>
          <w:highlight w:val="none"/>
        </w:rPr>
        <w:t>一、 符合参加政府采购活动应当具备的一般条件的承诺函</w:t>
      </w:r>
    </w:p>
    <w:p>
      <w:pPr>
        <w:snapToGrid w:val="0"/>
        <w:spacing w:line="360" w:lineRule="auto"/>
        <w:rPr>
          <w:rFonts w:hint="eastAsia"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_GB2312" w:hAnsi="仿宋" w:eastAsia="仿宋_GB2312" w:cs="仿宋_GB2312"/>
          <w:sz w:val="24"/>
          <w:highlight w:val="none"/>
          <w:u w:val="single"/>
          <w:lang w:eastAsia="zh-CN"/>
        </w:rPr>
        <w:t>余杭区市政工程联合质量抽检、房屋建筑工程监督检测项目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u w:val="singl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2、潜在投标供应商不得</w:t>
      </w:r>
      <w:r>
        <w:rPr>
          <w:rFonts w:hint="eastAsia" w:ascii="仿宋" w:hAnsi="仿宋" w:eastAsia="仿宋" w:cs="仿宋"/>
          <w:b/>
          <w:bCs/>
          <w:color w:val="000000" w:themeColor="text1"/>
          <w:sz w:val="24"/>
          <w:highlight w:val="none"/>
          <w14:textFill>
            <w14:solidFill>
              <w14:schemeClr w14:val="tx1"/>
            </w14:solidFill>
          </w14:textFill>
        </w:rPr>
        <w:t>为</w:t>
      </w:r>
      <w:r>
        <w:rPr>
          <w:rFonts w:hint="eastAsia" w:ascii="仿宋" w:hAnsi="仿宋" w:eastAsia="仿宋" w:cs="仿宋"/>
          <w:b/>
          <w:bCs/>
          <w:color w:val="000000" w:themeColor="text1"/>
          <w:sz w:val="24"/>
          <w:highlight w:val="none"/>
          <w:lang w:eastAsia="zh-CN"/>
          <w14:textFill>
            <w14:solidFill>
              <w14:schemeClr w14:val="tx1"/>
            </w14:solidFill>
          </w14:textFill>
        </w:rPr>
        <w:t>本</w:t>
      </w:r>
      <w:r>
        <w:rPr>
          <w:rFonts w:hint="eastAsia" w:ascii="仿宋" w:hAnsi="仿宋" w:eastAsia="仿宋" w:cs="仿宋"/>
          <w:b/>
          <w:bCs/>
          <w:color w:val="000000" w:themeColor="text1"/>
          <w:sz w:val="24"/>
          <w:highlight w:val="none"/>
          <w14:textFill>
            <w14:solidFill>
              <w14:schemeClr w14:val="tx1"/>
            </w14:solidFill>
          </w14:textFill>
        </w:rPr>
        <w:t>采购项目提供整体设计、规范编制或者项目管理、监理、检测等服务后再参加该采购项目的其他采购活动的。</w:t>
      </w:r>
    </w:p>
    <w:p>
      <w:pPr>
        <w:pStyle w:val="3"/>
      </w:pPr>
    </w:p>
    <w:p>
      <w:pPr>
        <w:snapToGrid w:val="0"/>
        <w:spacing w:line="360" w:lineRule="auto"/>
        <w:ind w:firstLine="5520" w:firstLineChars="2300"/>
        <w:rPr>
          <w:rFonts w:hint="eastAsia" w:ascii="仿宋_GB2312" w:hAnsi="仿宋" w:eastAsia="仿宋_GB2312" w:cs="仿宋_GB2312"/>
          <w:kern w:val="0"/>
          <w:sz w:val="24"/>
          <w:highlight w:val="none"/>
          <w:lang w:val="zh-CN"/>
        </w:rPr>
      </w:pP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pStyle w:val="26"/>
        <w:rPr>
          <w:rFonts w:hint="eastAsia" w:ascii="仿宋" w:hAnsi="仿宋" w:eastAsia="仿宋" w:cs="仿宋"/>
          <w:color w:val="000000"/>
          <w:sz w:val="28"/>
          <w:szCs w:val="28"/>
          <w:highlight w:val="none"/>
          <w:lang w:eastAsia="zh-CN"/>
        </w:rPr>
      </w:pPr>
    </w:p>
    <w:p>
      <w:pPr>
        <w:pStyle w:val="24"/>
        <w:rPr>
          <w:rFonts w:hint="eastAsia" w:ascii="仿宋" w:hAnsi="仿宋" w:eastAsia="仿宋" w:cs="仿宋"/>
          <w:color w:val="000000"/>
          <w:sz w:val="28"/>
          <w:szCs w:val="28"/>
          <w:highlight w:val="none"/>
          <w:lang w:eastAsia="zh-CN"/>
        </w:rPr>
      </w:pPr>
    </w:p>
    <w:p>
      <w:pPr>
        <w:rPr>
          <w:rFonts w:hint="eastAsia"/>
          <w:highlight w:val="none"/>
        </w:rPr>
      </w:pPr>
    </w:p>
    <w:p>
      <w:pPr>
        <w:rPr>
          <w:rFonts w:hint="eastAsia"/>
          <w:highlight w:val="none"/>
        </w:rPr>
      </w:pPr>
    </w:p>
    <w:p>
      <w:pPr>
        <w:pStyle w:val="25"/>
        <w:rPr>
          <w:rFonts w:hint="eastAsia"/>
          <w:highlight w:val="none"/>
        </w:rPr>
      </w:pPr>
    </w:p>
    <w:p>
      <w:pPr>
        <w:pStyle w:val="26"/>
        <w:rPr>
          <w:rFonts w:hint="eastAsia"/>
          <w:highlight w:val="none"/>
        </w:rPr>
      </w:pPr>
    </w:p>
    <w:p>
      <w:pPr>
        <w:numPr>
          <w:ilvl w:val="0"/>
          <w:numId w:val="3"/>
        </w:numPr>
        <w:snapToGrid w:val="0"/>
        <w:spacing w:line="360" w:lineRule="auto"/>
        <w:ind w:right="480" w:firstLine="643" w:firstLineChars="20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落实政府采购政策需满足的资格要求</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napToGrid w:val="0"/>
        <w:spacing w:before="50" w:after="50" w:line="360" w:lineRule="auto"/>
        <w:jc w:val="center"/>
        <w:rPr>
          <w:rFonts w:ascii="仿宋_GB2312" w:hAnsi="仿宋" w:eastAsia="仿宋_GB2312" w:cs="仿宋_GB2312"/>
          <w:b/>
          <w:sz w:val="24"/>
        </w:rPr>
      </w:pPr>
    </w:p>
    <w:p>
      <w:pPr>
        <w:widowControl/>
        <w:spacing w:line="360" w:lineRule="auto"/>
        <w:ind w:left="0" w:firstLine="643" w:firstLineChars="200"/>
        <w:jc w:val="left"/>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widowControl/>
        <w:numPr>
          <w:ilvl w:val="0"/>
          <w:numId w:val="3"/>
        </w:numPr>
        <w:snapToGrid w:val="0"/>
        <w:spacing w:line="360" w:lineRule="auto"/>
        <w:ind w:left="0" w:leftChars="0" w:firstLine="643" w:firstLineChars="20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本项目的特定资格要求</w:t>
      </w:r>
      <w:bookmarkStart w:id="436" w:name="_Toc33194404"/>
      <w:bookmarkStart w:id="437" w:name="_Toc27119252"/>
      <w:bookmarkStart w:id="438" w:name="_Toc14356"/>
      <w:bookmarkStart w:id="439" w:name="_Toc21670"/>
      <w:bookmarkStart w:id="440" w:name="_Toc32567"/>
      <w:bookmarkStart w:id="441" w:name="_Toc27479"/>
      <w:bookmarkStart w:id="442" w:name="_Toc14043"/>
      <w:bookmarkStart w:id="443" w:name="_Toc9796"/>
      <w:bookmarkStart w:id="444" w:name="_Toc5464"/>
      <w:bookmarkStart w:id="445" w:name="_Toc20581"/>
      <w:bookmarkStart w:id="446" w:name="_Toc6616"/>
      <w:bookmarkStart w:id="447" w:name="_Toc5698"/>
      <w:bookmarkStart w:id="448" w:name="_Toc20141"/>
      <w:bookmarkStart w:id="449" w:name="_Toc26491"/>
      <w:bookmarkStart w:id="450" w:name="_Toc21301"/>
      <w:bookmarkStart w:id="451" w:name="_Toc26100"/>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pStyle w:val="25"/>
        <w:numPr>
          <w:ilvl w:val="-1"/>
          <w:numId w:val="0"/>
        </w:numPr>
        <w:ind w:firstLine="0" w:firstLineChars="0"/>
        <w:jc w:val="center"/>
        <w:rPr>
          <w:rFonts w:hint="eastAsia" w:eastAsia="仿宋_GB2312"/>
          <w:lang w:eastAsia="zh-CN"/>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w:t>
      </w:r>
      <w:r>
        <w:rPr>
          <w:rFonts w:hint="eastAsia" w:ascii="仿宋_GB2312" w:hAnsi="仿宋" w:eastAsia="仿宋_GB2312"/>
          <w:sz w:val="24"/>
          <w:highlight w:val="none"/>
          <w:lang w:eastAsia="zh-CN"/>
        </w:rPr>
        <w:t>）</w:t>
      </w:r>
    </w:p>
    <w:p>
      <w:pPr>
        <w:snapToGrid w:val="0"/>
        <w:spacing w:line="360" w:lineRule="auto"/>
        <w:ind w:firstLine="241" w:firstLineChars="100"/>
        <w:rPr>
          <w:rFonts w:hint="default" w:ascii="仿宋_GB2312" w:hAnsi="仿宋" w:eastAsia="仿宋_GB2312" w:cs="仿宋_GB2312"/>
          <w:b/>
          <w:bCs/>
          <w:color w:val="FF0000"/>
          <w:sz w:val="24"/>
          <w:szCs w:val="24"/>
        </w:rPr>
      </w:pPr>
    </w:p>
    <w:p>
      <w:pPr>
        <w:snapToGrid w:val="0"/>
        <w:spacing w:line="360" w:lineRule="auto"/>
        <w:ind w:firstLine="480" w:firstLineChars="200"/>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本项目的特定资格要求</w:t>
      </w:r>
      <w:r>
        <w:rPr>
          <w:rFonts w:hint="eastAsia" w:ascii="仿宋_GB2312" w:hAnsi="仿宋_GB2312" w:eastAsia="仿宋_GB2312" w:cs="仿宋_GB2312"/>
          <w:color w:val="000000" w:themeColor="text1"/>
          <w:sz w:val="24"/>
          <w:lang w:eastAsia="zh-CN"/>
          <w14:textFill>
            <w14:solidFill>
              <w14:schemeClr w14:val="tx1"/>
            </w14:solidFill>
          </w14:textFill>
        </w:rPr>
        <w:t>：</w:t>
      </w:r>
    </w:p>
    <w:p>
      <w:pPr>
        <w:spacing w:line="360" w:lineRule="auto"/>
        <w:ind w:firstLine="482" w:firstLineChars="200"/>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t>检测机构</w:t>
      </w: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具有①建设行政主管部门颁发的建设工程质量检测机构资质证书并在有效期内，且资质证书检测内容包含：见证取样检测（通用）/或建筑工程材料和市政道路工程材料见证取样检测</w:t>
      </w:r>
      <w:r>
        <w:rPr>
          <w:rFonts w:hint="eastAsia" w:ascii="仿宋_GB2312" w:hAnsi="仿宋_GB2312" w:eastAsia="仿宋_GB2312" w:cs="仿宋_GB2312"/>
          <w:b/>
          <w:bCs/>
          <w:i w:val="0"/>
          <w:iCs w:val="0"/>
          <w:caps w:val="0"/>
          <w:color w:val="000000" w:themeColor="text1"/>
          <w:spacing w:val="0"/>
          <w:sz w:val="24"/>
          <w:szCs w:val="24"/>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"https://baike.baidu.com/item/%E5%9C%B0%E5%9F%BA%E5%9F%BA%E7%A1%80%E5%B7%A5%E7%A8%8B%E6%A3%80%E6%B5%8B" \t "https://baike.baidu.com/item/%E5%BB%BA%E8%AE%BE%E5%B7%A5%E7%A8%8B%E8%B4%A8%E9%87%8F%E6%A3%80%E6%B5%8B%E7%AE%A1%E7%90%86%E5%8A%9E%E6%B3%95/_blank" </w:instrTex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t>地基基础工程检测</w: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_GB2312" w:hAnsi="仿宋_GB2312" w:eastAsia="仿宋_GB2312" w:cs="仿宋_GB2312"/>
          <w:b/>
          <w:bCs/>
          <w:i w:val="0"/>
          <w:iCs w:val="0"/>
          <w:caps w:val="0"/>
          <w:color w:val="000000" w:themeColor="text1"/>
          <w:spacing w:val="0"/>
          <w:sz w:val="24"/>
          <w:szCs w:val="24"/>
          <w:u w:val="none"/>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"https://baike.baidu.com/item/%E4%B8%BB%E4%BD%93%E7%BB%93%E6%9E%84%E5%B7%A5%E7%A8%8B" \t "https://baike.baidu.com/item/%E5%BB%BA%E8%AE%BE%E5%B7%A5%E7%A8%8B%E8%B4%A8%E9%87%8F%E6%A3%80%E6%B5%8B%E7%AE%A1%E7%90%86%E5%8A%9E%E6%B3%95/_blank" </w:instrTex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76"/>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t>主体结构工程</w:t>
      </w:r>
      <w:r>
        <w:rPr>
          <w:rFonts w:hint="eastAsia" w:ascii="仿宋_GB2312" w:hAnsi="仿宋_GB2312" w:eastAsia="仿宋_GB2312" w:cs="仿宋_GB2312"/>
          <w:b/>
          <w:bCs/>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_GB2312" w:hAnsi="仿宋_GB2312" w:eastAsia="仿宋_GB2312" w:cs="仿宋_GB2312"/>
          <w:b/>
          <w:bCs/>
          <w:i w:val="0"/>
          <w:iCs w:val="0"/>
          <w:caps w:val="0"/>
          <w:color w:val="000000" w:themeColor="text1"/>
          <w:spacing w:val="0"/>
          <w:sz w:val="24"/>
          <w:szCs w:val="24"/>
          <w:shd w:val="clear" w:fill="FFFFFF"/>
          <w14:textFill>
            <w14:solidFill>
              <w14:schemeClr w14:val="tx1"/>
            </w14:solidFill>
          </w14:textFill>
        </w:rPr>
        <w:t>现场检测</w:t>
      </w:r>
      <w:r>
        <w:rPr>
          <w:rFonts w:hint="eastAsia" w:ascii="仿宋_GB2312" w:hAnsi="仿宋_GB2312" w:eastAsia="仿宋_GB2312" w:cs="仿宋_GB2312"/>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室内环境质量检测</w:t>
      </w:r>
      <w:r>
        <w:rPr>
          <w:rFonts w:hint="eastAsia" w:ascii="仿宋_GB2312" w:hAnsi="仿宋_GB2312" w:eastAsia="仿宋_GB2312" w:cs="仿宋_GB2312"/>
          <w:b/>
          <w:bCs/>
          <w:i w:val="0"/>
          <w:iCs w:val="0"/>
          <w:caps w:val="0"/>
          <w:color w:val="000000" w:themeColor="text1"/>
          <w:spacing w:val="0"/>
          <w:sz w:val="24"/>
          <w:szCs w:val="24"/>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②具有质量技术监督部门颁发的CMA计量认证证书并在有效期内。 </w:t>
      </w:r>
    </w:p>
    <w:p>
      <w:pPr>
        <w:numPr>
          <w:ilvl w:val="-1"/>
          <w:numId w:val="0"/>
        </w:numPr>
        <w:spacing w:line="360" w:lineRule="auto"/>
        <w:ind w:left="420" w:firstLine="0" w:firstLineChars="0"/>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pPr>
    </w:p>
    <w:p>
      <w:pPr>
        <w:numPr>
          <w:ilvl w:val="-1"/>
          <w:numId w:val="0"/>
        </w:numPr>
        <w:spacing w:line="360" w:lineRule="auto"/>
        <w:ind w:left="420" w:firstLine="0" w:firstLineChars="0"/>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pPr>
    </w:p>
    <w:p>
      <w:pPr>
        <w:numPr>
          <w:ilvl w:val="-1"/>
          <w:numId w:val="0"/>
        </w:numPr>
        <w:spacing w:line="360" w:lineRule="auto"/>
        <w:ind w:firstLine="720" w:firstLineChars="3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提供资质证书</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en-US" w:eastAsia="zh-CN"/>
        </w:rPr>
        <w:t>计量认定证书复印件或扫描件加盖公章；</w:t>
      </w:r>
    </w:p>
    <w:p>
      <w:pPr>
        <w:pStyle w:val="3"/>
        <w:snapToGrid w:val="0"/>
        <w:jc w:val="both"/>
        <w:rPr>
          <w:rFonts w:ascii="宋体" w:hAnsi="宋体"/>
          <w:b w:val="0"/>
          <w:color w:val="000000"/>
          <w:szCs w:val="32"/>
        </w:rPr>
      </w:pPr>
    </w:p>
    <w:p>
      <w:pPr>
        <w:rPr>
          <w:rFonts w:ascii="宋体" w:hAnsi="宋体"/>
          <w:b w:val="0"/>
          <w:color w:val="000000"/>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jc w:val="center"/>
        <w:rPr>
          <w:rFonts w:hint="eastAsia" w:ascii="仿宋_GB2312" w:hAnsi="仿宋" w:eastAsia="仿宋_GB2312" w:cs="仿宋_GB2312"/>
          <w:sz w:val="24"/>
          <w:highlight w:val="none"/>
        </w:rPr>
      </w:pPr>
    </w:p>
    <w:p>
      <w:pPr>
        <w:spacing w:line="360" w:lineRule="auto"/>
        <w:jc w:val="center"/>
        <w:rPr>
          <w:rFonts w:hint="eastAsia" w:ascii="仿宋_GB2312" w:hAnsi="仿宋" w:eastAsia="仿宋_GB2312" w:cs="仿宋_GB2312"/>
          <w:sz w:val="24"/>
          <w:highlight w:val="none"/>
        </w:rPr>
      </w:pPr>
    </w:p>
    <w:p>
      <w:pPr>
        <w:pStyle w:val="3"/>
        <w:rPr>
          <w:rFonts w:hint="eastAsia" w:ascii="仿宋_GB2312" w:hAnsi="仿宋" w:eastAsia="仿宋_GB2312" w:cs="仿宋_GB2312"/>
          <w:sz w:val="24"/>
          <w:highlight w:val="none"/>
        </w:rPr>
      </w:pPr>
    </w:p>
    <w:p>
      <w:pPr>
        <w:rPr>
          <w:rFonts w:hint="eastAsia" w:ascii="仿宋_GB2312" w:hAnsi="仿宋" w:eastAsia="仿宋_GB2312" w:cs="仿宋_GB2312"/>
          <w:sz w:val="24"/>
          <w:highlight w:val="none"/>
        </w:rPr>
      </w:pPr>
    </w:p>
    <w:p>
      <w:pPr>
        <w:pStyle w:val="3"/>
        <w:rPr>
          <w:rFonts w:hint="eastAsia" w:ascii="仿宋_GB2312" w:hAnsi="仿宋" w:eastAsia="仿宋_GB2312" w:cs="仿宋_GB2312"/>
          <w:sz w:val="24"/>
          <w:highlight w:val="none"/>
        </w:rPr>
      </w:pPr>
    </w:p>
    <w:p>
      <w:pPr>
        <w:rPr>
          <w:rFonts w:hint="eastAsia"/>
        </w:rPr>
      </w:pPr>
    </w:p>
    <w:p>
      <w:pPr>
        <w:rPr>
          <w:rFonts w:hint="eastAsia"/>
        </w:rPr>
      </w:pPr>
    </w:p>
    <w:p>
      <w:pPr>
        <w:widowControl/>
        <w:spacing w:line="360" w:lineRule="auto"/>
        <w:ind w:left="150"/>
        <w:jc w:val="center"/>
        <w:rPr>
          <w:rFonts w:hint="eastAsia" w:ascii="仿宋_GB2312" w:hAnsi="仿宋_GB2312" w:eastAsia="仿宋_GB2312" w:cs="仿宋_GB2312"/>
          <w:b/>
          <w:kern w:val="0"/>
          <w:sz w:val="32"/>
          <w:szCs w:val="32"/>
          <w:highlight w:val="none"/>
          <w:lang w:val="en-US" w:eastAsia="zh-CN"/>
        </w:rPr>
      </w:pPr>
      <w:r>
        <w:rPr>
          <w:rFonts w:hint="eastAsia" w:ascii="仿宋_GB2312" w:hAnsi="仿宋_GB2312" w:eastAsia="仿宋_GB2312" w:cs="仿宋_GB2312"/>
          <w:b/>
          <w:kern w:val="0"/>
          <w:sz w:val="32"/>
          <w:szCs w:val="32"/>
          <w:highlight w:val="none"/>
          <w:lang w:val="en-US" w:eastAsia="zh-CN"/>
        </w:rPr>
        <w:t>服务承诺书</w:t>
      </w:r>
    </w:p>
    <w:p>
      <w:pPr>
        <w:snapToGrid w:val="0"/>
        <w:spacing w:line="360" w:lineRule="auto"/>
        <w:rPr>
          <w:rFonts w:hint="eastAsia" w:ascii="仿宋_GB2312" w:hAnsi="仿宋_GB2312" w:eastAsia="仿宋_GB2312" w:cs="仿宋_GB2312"/>
          <w:sz w:val="24"/>
        </w:rPr>
      </w:pPr>
    </w:p>
    <w:p>
      <w:pPr>
        <w:shd w:val="clear" w:color="auto" w:fill="FFFFFF"/>
        <w:snapToGrid w:val="0"/>
        <w:spacing w:line="360" w:lineRule="auto"/>
        <w:ind w:firstLine="482" w:firstLineChars="200"/>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b/>
          <w:bCs/>
          <w:sz w:val="24"/>
          <w:szCs w:val="24"/>
          <w:lang w:val="en-US" w:eastAsia="zh-CN"/>
        </w:rPr>
        <w:t>杭州市余杭区建筑工程质量安全监督站</w:t>
      </w:r>
      <w:r>
        <w:rPr>
          <w:rFonts w:hint="eastAsia" w:ascii="仿宋_GB2312" w:hAnsi="仿宋_GB2312" w:eastAsia="仿宋_GB2312" w:cs="仿宋_GB2312"/>
          <w:kern w:val="0"/>
          <w:sz w:val="24"/>
          <w:szCs w:val="24"/>
          <w:lang w:val="zh-CN"/>
        </w:rPr>
        <w:t>：</w:t>
      </w:r>
    </w:p>
    <w:p>
      <w:pPr>
        <w:pStyle w:val="24"/>
        <w:rPr>
          <w:rFonts w:hint="eastAsia" w:ascii="仿宋_GB2312" w:hAnsi="仿宋_GB2312" w:eastAsia="仿宋_GB2312" w:cs="仿宋_GB2312"/>
          <w:b/>
          <w:bCs/>
          <w:sz w:val="24"/>
          <w:lang w:val="zh-CN"/>
        </w:rPr>
      </w:pPr>
      <w:r>
        <w:rPr>
          <w:rFonts w:hint="eastAsia" w:ascii="仿宋_GB2312" w:hAnsi="仿宋_GB2312" w:eastAsia="仿宋_GB2312" w:cs="仿宋_GB2312"/>
          <w:b/>
          <w:bCs/>
          <w:sz w:val="24"/>
          <w:lang w:val="en-US" w:eastAsia="zh-CN"/>
        </w:rPr>
        <w:t>为</w:t>
      </w:r>
      <w:r>
        <w:rPr>
          <w:rFonts w:hint="eastAsia" w:ascii="仿宋_GB2312" w:hAnsi="仿宋_GB2312" w:eastAsia="仿宋_GB2312" w:cs="仿宋_GB2312"/>
          <w:b/>
          <w:bCs/>
          <w:sz w:val="24"/>
          <w:lang w:val="zh-CN"/>
        </w:rPr>
        <w:t>检测工作公平公正原则和</w:t>
      </w:r>
      <w:r>
        <w:rPr>
          <w:rFonts w:hint="eastAsia" w:ascii="仿宋_GB2312" w:hAnsi="仿宋_GB2312" w:eastAsia="仿宋_GB2312" w:cs="仿宋_GB2312"/>
          <w:b/>
          <w:bCs/>
          <w:sz w:val="24"/>
          <w:lang w:val="en-US" w:eastAsia="zh-CN"/>
        </w:rPr>
        <w:t>须</w:t>
      </w:r>
      <w:r>
        <w:rPr>
          <w:rFonts w:hint="eastAsia" w:ascii="仿宋_GB2312" w:hAnsi="仿宋_GB2312" w:eastAsia="仿宋_GB2312" w:cs="仿宋_GB2312"/>
          <w:b/>
          <w:bCs/>
          <w:sz w:val="24"/>
          <w:lang w:val="zh-CN"/>
        </w:rPr>
        <w:t>回避</w:t>
      </w:r>
      <w:r>
        <w:rPr>
          <w:rFonts w:hint="eastAsia" w:ascii="仿宋_GB2312" w:hAnsi="仿宋_GB2312" w:eastAsia="仿宋_GB2312" w:cs="仿宋_GB2312"/>
          <w:b/>
          <w:bCs/>
          <w:sz w:val="24"/>
          <w:lang w:val="zh-CN" w:eastAsia="zh-CN"/>
        </w:rPr>
        <w:t>项目</w:t>
      </w:r>
      <w:r>
        <w:rPr>
          <w:rFonts w:hint="eastAsia" w:ascii="仿宋_GB2312" w:hAnsi="仿宋_GB2312" w:eastAsia="仿宋_GB2312" w:cs="仿宋_GB2312"/>
          <w:b/>
          <w:bCs/>
          <w:sz w:val="24"/>
          <w:lang w:val="zh-CN"/>
        </w:rPr>
        <w:t>原检测单位的工作要求，原已承接的余杭区范围内的第三方检测业务，在中标后须暂停检测服务，不得与监督检测冲突；检测业务为</w:t>
      </w:r>
      <w:r>
        <w:rPr>
          <w:rFonts w:hint="eastAsia" w:ascii="仿宋_GB2312" w:hAnsi="仿宋_GB2312" w:eastAsia="仿宋_GB2312" w:cs="仿宋_GB2312"/>
          <w:b/>
          <w:bCs/>
          <w:sz w:val="24"/>
          <w:lang w:eastAsia="zh-CN"/>
        </w:rPr>
        <w:t>余杭</w:t>
      </w:r>
      <w:r>
        <w:rPr>
          <w:rFonts w:hint="eastAsia" w:ascii="仿宋_GB2312" w:hAnsi="仿宋_GB2312" w:eastAsia="仿宋_GB2312" w:cs="仿宋_GB2312"/>
          <w:b/>
          <w:bCs/>
          <w:sz w:val="24"/>
        </w:rPr>
        <w:t>区</w:t>
      </w:r>
      <w:r>
        <w:rPr>
          <w:rFonts w:hint="eastAsia" w:ascii="仿宋_GB2312" w:hAnsi="仿宋_GB2312" w:eastAsia="仿宋_GB2312" w:cs="仿宋_GB2312"/>
          <w:b/>
          <w:bCs/>
          <w:sz w:val="24"/>
          <w:lang w:val="zh-CN"/>
        </w:rPr>
        <w:t>辖区内任何用于工程验收或检测用的第三方检测业务，包括但不限于室内环境质量、地基基础、主体结构工程、建筑（市政）材料见证取样、门窗幕墙和钢结构检测业务等。</w:t>
      </w:r>
      <w:r>
        <w:rPr>
          <w:rFonts w:hint="eastAsia" w:ascii="仿宋_GB2312" w:hAnsi="仿宋_GB2312" w:eastAsia="仿宋_GB2312" w:cs="仿宋_GB2312"/>
          <w:sz w:val="24"/>
          <w:szCs w:val="24"/>
          <w:vertAlign w:val="baseline"/>
          <w:lang w:val="en-US" w:eastAsia="zh-CN"/>
        </w:rPr>
        <w:t>我单位承诺，服务过程完全按照招标文件要求执行</w:t>
      </w:r>
      <w:r>
        <w:rPr>
          <w:rFonts w:hint="eastAsia" w:ascii="仿宋_GB2312" w:hAnsi="仿宋_GB2312" w:eastAsia="仿宋_GB2312" w:cs="仿宋_GB2312"/>
          <w:b/>
          <w:bCs/>
          <w:sz w:val="24"/>
          <w:lang w:val="zh-CN"/>
        </w:rPr>
        <w:t>。</w:t>
      </w:r>
    </w:p>
    <w:p>
      <w:pPr>
        <w:rPr>
          <w:rFonts w:hint="eastAsia" w:ascii="仿宋_GB2312" w:hAnsi="仿宋_GB2312" w:eastAsia="仿宋_GB2312" w:cs="仿宋_GB2312"/>
          <w:lang w:val="en-US" w:eastAsia="zh-CN"/>
        </w:rPr>
      </w:pPr>
    </w:p>
    <w:p>
      <w:pPr>
        <w:snapToGrid w:val="0"/>
        <w:spacing w:line="360" w:lineRule="auto"/>
        <w:ind w:firstLine="5520" w:firstLineChars="2300"/>
        <w:rPr>
          <w:rFonts w:hint="eastAsia" w:ascii="仿宋_GB2312" w:hAnsi="仿宋_GB2312" w:eastAsia="仿宋_GB2312" w:cs="仿宋_GB2312"/>
          <w:kern w:val="0"/>
          <w:sz w:val="24"/>
          <w:highlight w:val="none"/>
          <w:lang w:val="zh-CN"/>
        </w:rPr>
      </w:pPr>
    </w:p>
    <w:p>
      <w:pPr>
        <w:snapToGrid w:val="0"/>
        <w:spacing w:line="360" w:lineRule="auto"/>
        <w:ind w:firstLine="5520" w:firstLineChars="23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投标人名称(电子签名)：</w:t>
      </w:r>
    </w:p>
    <w:p>
      <w:pPr>
        <w:snapToGrid w:val="0"/>
        <w:spacing w:line="360" w:lineRule="auto"/>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 xml:space="preserve">                        </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rPr>
          <w:rFonts w:hint="eastAsia" w:ascii="宋体" w:hAnsi="宋体" w:eastAsia="宋体" w:cs="宋体"/>
          <w:b/>
          <w:kern w:val="0"/>
          <w:sz w:val="36"/>
          <w:szCs w:val="36"/>
          <w:highlight w:val="none"/>
        </w:rPr>
      </w:pPr>
    </w:p>
    <w:p>
      <w:pPr>
        <w:pStyle w:val="24"/>
        <w:rPr>
          <w:rFonts w:hint="eastAsia"/>
        </w:rPr>
      </w:pPr>
    </w:p>
    <w:p>
      <w:pPr>
        <w:rPr>
          <w:rFonts w:hint="eastAsia"/>
        </w:rPr>
      </w:pPr>
    </w:p>
    <w:p>
      <w:pPr>
        <w:pStyle w:val="34"/>
        <w:rPr>
          <w:rFonts w:hint="eastAsia"/>
        </w:rPr>
      </w:pPr>
    </w:p>
    <w:p>
      <w:pPr>
        <w:rPr>
          <w:rFonts w:hint="eastAsia"/>
        </w:rPr>
      </w:pPr>
    </w:p>
    <w:p>
      <w:pPr>
        <w:pStyle w:val="34"/>
        <w:rPr>
          <w:rFonts w:hint="eastAsia"/>
        </w:rPr>
      </w:pPr>
    </w:p>
    <w:p>
      <w:pPr>
        <w:rPr>
          <w:rFonts w:hint="eastAsia"/>
        </w:rPr>
      </w:pPr>
    </w:p>
    <w:p>
      <w:pPr>
        <w:pStyle w:val="34"/>
        <w:rPr>
          <w:rFonts w:hint="eastAsia"/>
        </w:rPr>
      </w:pPr>
    </w:p>
    <w:p>
      <w:pPr>
        <w:rPr>
          <w:rFonts w:hint="eastAsia"/>
        </w:rPr>
      </w:pPr>
    </w:p>
    <w:p>
      <w:pPr>
        <w:spacing w:line="360" w:lineRule="auto"/>
        <w:ind w:right="420" w:firstLine="2209" w:firstLineChars="500"/>
        <w:rPr>
          <w:rFonts w:hint="eastAsia" w:ascii="仿宋_GB2312" w:hAnsi="仿宋" w:eastAsia="仿宋_GB2312" w:cs="仿宋_GB2312"/>
          <w:b/>
          <w:kern w:val="0"/>
          <w:sz w:val="44"/>
          <w:szCs w:val="44"/>
        </w:rPr>
      </w:pPr>
    </w:p>
    <w:p>
      <w:pPr>
        <w:pStyle w:val="2"/>
        <w:rPr>
          <w:rFonts w:hint="eastAsia" w:ascii="仿宋_GB2312" w:hAnsi="仿宋" w:eastAsia="仿宋_GB2312" w:cs="仿宋_GB2312"/>
          <w:b/>
          <w:kern w:val="0"/>
          <w:sz w:val="44"/>
          <w:szCs w:val="44"/>
        </w:rPr>
      </w:pPr>
    </w:p>
    <w:p>
      <w:pPr>
        <w:rPr>
          <w:rFonts w:hint="eastAsia"/>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52" w:name="_Toc17190"/>
      <w:r>
        <w:rPr>
          <w:rFonts w:hint="eastAsia" w:ascii="仿宋_GB2312" w:hAnsi="仿宋_GB2312" w:eastAsia="仿宋_GB2312" w:cs="仿宋_GB2312"/>
          <w:b/>
          <w:bCs/>
          <w:color w:val="000000"/>
          <w:sz w:val="52"/>
          <w:szCs w:val="52"/>
        </w:rPr>
        <w:t>商 务 技 术 文 件</w:t>
      </w:r>
      <w:bookmarkEnd w:id="452"/>
    </w:p>
    <w:p>
      <w:pPr>
        <w:widowControl/>
        <w:spacing w:line="360" w:lineRule="auto"/>
        <w:ind w:right="-2"/>
        <w:jc w:val="center"/>
        <w:outlineLvl w:val="1"/>
        <w:rPr>
          <w:rFonts w:ascii="仿宋_GB2312" w:hAnsi="仿宋_GB2312" w:eastAsia="仿宋_GB2312" w:cs="仿宋_GB2312"/>
          <w:b/>
          <w:color w:val="000000"/>
          <w:sz w:val="36"/>
          <w:szCs w:val="36"/>
        </w:rPr>
      </w:pPr>
      <w:bookmarkStart w:id="453" w:name="_Toc27078"/>
      <w:r>
        <w:rPr>
          <w:rFonts w:hint="eastAsia" w:ascii="仿宋_GB2312" w:hAnsi="仿宋_GB2312" w:eastAsia="仿宋_GB2312" w:cs="仿宋_GB2312"/>
          <w:b/>
          <w:color w:val="000000"/>
          <w:sz w:val="36"/>
          <w:szCs w:val="36"/>
        </w:rPr>
        <w:t>（线上电子招投标）</w:t>
      </w:r>
      <w:bookmarkEnd w:id="453"/>
    </w:p>
    <w:p>
      <w:pPr>
        <w:pStyle w:val="85"/>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54" w:name="_Toc28851"/>
      <w:r>
        <w:rPr>
          <w:rFonts w:hint="eastAsia" w:ascii="仿宋_GB2312" w:hAnsi="仿宋_GB2312" w:eastAsia="仿宋_GB2312" w:cs="仿宋_GB2312"/>
          <w:b/>
          <w:bCs/>
          <w:color w:val="000000"/>
          <w:sz w:val="36"/>
          <w:szCs w:val="36"/>
        </w:rPr>
        <w:t xml:space="preserve">  招标编号：</w:t>
      </w:r>
      <w:bookmarkEnd w:id="454"/>
      <w:r>
        <w:rPr>
          <w:rFonts w:hint="eastAsia" w:ascii="仿宋_GB2312" w:hAnsi="仿宋_GB2312" w:eastAsia="仿宋_GB2312" w:cs="仿宋_GB2312"/>
          <w:b/>
          <w:bCs/>
          <w:color w:val="000000"/>
          <w:sz w:val="36"/>
          <w:szCs w:val="36"/>
        </w:rPr>
        <w:t xml:space="preserve">YHZFCG2022- </w:t>
      </w:r>
    </w:p>
    <w:p>
      <w:pPr>
        <w:pStyle w:val="85"/>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w:t>
      </w:r>
      <w:r>
        <w:rPr>
          <w:rFonts w:hint="eastAsia" w:ascii="仿宋_GB2312" w:hAnsi="仿宋" w:eastAsia="仿宋_GB2312" w:cs="仿宋_GB2312"/>
          <w:sz w:val="24"/>
          <w:lang w:val="zh-CN" w:eastAsia="zh-CN"/>
        </w:rPr>
        <w:t>投标人签署的《政府采购活动现场确认声明书》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余杭区市政工程联合质量抽检、房屋建筑工程监督检测项目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YHZFCG2022-024</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2.1资格文件：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b/>
          <w:bCs/>
          <w:sz w:val="24"/>
        </w:rPr>
        <w:t>（</w:t>
      </w:r>
      <w:r>
        <w:rPr>
          <w:rFonts w:hint="eastAsia" w:ascii="仿宋_GB2312" w:hAnsi="仿宋" w:eastAsia="仿宋_GB2312" w:cs="仿宋_GB2312"/>
          <w:b/>
          <w:bCs/>
          <w:sz w:val="24"/>
          <w:lang w:eastAsia="zh-CN"/>
        </w:rPr>
        <w:t>余杭区市政工程联合质量抽检、房屋建筑工程监督检测项目</w:t>
      </w:r>
      <w:r>
        <w:rPr>
          <w:rFonts w:hint="eastAsia" w:ascii="仿宋_GB2312" w:hAnsi="仿宋" w:eastAsia="仿宋_GB2312" w:cs="仿宋_GB2312"/>
          <w:b/>
          <w:bCs/>
          <w:sz w:val="24"/>
        </w:rPr>
        <w:t>）</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YHZFCG2022-024</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p>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pStyle w:val="2"/>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2"/>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2"/>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2"/>
        <w:rPr>
          <w:rFonts w:ascii="仿宋_GB2312" w:hAnsi="仿宋" w:eastAsia="仿宋_GB2312" w:cs="仿宋_GB2312"/>
          <w:kern w:val="0"/>
          <w:sz w:val="24"/>
          <w:lang w:val="zh-CN"/>
        </w:rPr>
      </w:pPr>
    </w:p>
    <w:p>
      <w:pPr>
        <w:rPr>
          <w:lang w:val="zh-CN"/>
        </w:rPr>
      </w:pPr>
    </w:p>
    <w:p>
      <w:pPr>
        <w:rPr>
          <w:rFonts w:ascii="仿宋_GB2312" w:hAnsi="仿宋" w:eastAsia="仿宋_GB2312" w:cs="仿宋_GB2312"/>
          <w:kern w:val="0"/>
          <w:sz w:val="24"/>
          <w:lang w:val="zh-CN"/>
        </w:rPr>
      </w:pPr>
    </w:p>
    <w:p>
      <w:pPr>
        <w:pStyle w:val="25"/>
        <w:rPr>
          <w:rFonts w:ascii="仿宋_GB2312" w:hAnsi="仿宋" w:eastAsia="仿宋_GB2312" w:cs="仿宋_GB2312"/>
          <w:kern w:val="0"/>
          <w:sz w:val="24"/>
          <w:lang w:val="zh-CN"/>
        </w:rPr>
      </w:pPr>
    </w:p>
    <w:p>
      <w:pPr>
        <w:pStyle w:val="26"/>
        <w:rPr>
          <w:rFonts w:ascii="仿宋_GB2312" w:hAnsi="仿宋" w:eastAsia="仿宋_GB2312" w:cs="仿宋_GB2312"/>
          <w:kern w:val="0"/>
          <w:sz w:val="24"/>
          <w:lang w:val="zh-CN"/>
        </w:rPr>
      </w:pPr>
    </w:p>
    <w:p>
      <w:pPr>
        <w:ind w:firstLine="643" w:firstLineChars="200"/>
        <w:rPr>
          <w:rFonts w:hint="default"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注：另提供-</w:t>
      </w:r>
      <w:r>
        <w:rPr>
          <w:rFonts w:hint="default" w:ascii="仿宋_GB2312" w:hAnsi="仿宋" w:eastAsia="仿宋_GB2312" w:cs="仿宋_GB2312"/>
          <w:b/>
          <w:kern w:val="0"/>
          <w:sz w:val="32"/>
          <w:szCs w:val="32"/>
        </w:rPr>
        <w:t>法人或者其他组织</w:t>
      </w:r>
      <w:r>
        <w:rPr>
          <w:rFonts w:hint="default" w:ascii="仿宋_GB2312" w:hAnsi="仿宋" w:eastAsia="仿宋_GB2312" w:cs="仿宋_GB2312"/>
          <w:b/>
          <w:kern w:val="0"/>
          <w:sz w:val="32"/>
          <w:szCs w:val="32"/>
          <w:lang w:eastAsia="zh-CN"/>
        </w:rPr>
        <w:t>机构的</w:t>
      </w:r>
      <w:r>
        <w:rPr>
          <w:rFonts w:hint="default" w:ascii="仿宋_GB2312" w:hAnsi="仿宋" w:eastAsia="仿宋_GB2312" w:cs="仿宋_GB2312"/>
          <w:b/>
          <w:kern w:val="0"/>
          <w:sz w:val="32"/>
          <w:szCs w:val="32"/>
        </w:rPr>
        <w:t>营业执照</w:t>
      </w:r>
      <w:r>
        <w:rPr>
          <w:rFonts w:hint="default" w:ascii="仿宋_GB2312" w:hAnsi="仿宋" w:eastAsia="仿宋_GB2312" w:cs="仿宋_GB2312"/>
          <w:b/>
          <w:kern w:val="0"/>
          <w:sz w:val="32"/>
          <w:szCs w:val="32"/>
          <w:lang w:eastAsia="zh-CN"/>
        </w:rPr>
        <w:t>（</w:t>
      </w:r>
      <w:r>
        <w:rPr>
          <w:rFonts w:hint="default" w:ascii="仿宋_GB2312" w:hAnsi="仿宋" w:eastAsia="仿宋_GB2312" w:cs="仿宋_GB2312"/>
          <w:b/>
          <w:kern w:val="0"/>
          <w:sz w:val="32"/>
          <w:szCs w:val="32"/>
          <w:lang w:val="en-US" w:eastAsia="zh-CN"/>
        </w:rPr>
        <w:t>扫</w:t>
      </w:r>
      <w:r>
        <w:rPr>
          <w:rFonts w:hint="default" w:ascii="仿宋_GB2312" w:hAnsi="仿宋" w:eastAsia="仿宋_GB2312" w:cs="仿宋_GB2312"/>
          <w:b/>
          <w:kern w:val="0"/>
          <w:sz w:val="32"/>
          <w:szCs w:val="32"/>
          <w:lang w:eastAsia="zh-CN"/>
        </w:rPr>
        <w:t>描件或复印件加盖公章）</w:t>
      </w:r>
      <w:r>
        <w:rPr>
          <w:rFonts w:hint="default" w:ascii="仿宋_GB2312" w:hAnsi="仿宋" w:eastAsia="仿宋_GB2312" w:cs="仿宋_GB2312"/>
          <w:b/>
          <w:kern w:val="0"/>
          <w:sz w:val="32"/>
          <w:szCs w:val="32"/>
        </w:rPr>
        <w:t>或事业法人登记证书或其</w:t>
      </w:r>
      <w:r>
        <w:rPr>
          <w:rFonts w:hint="default" w:ascii="仿宋_GB2312" w:hAnsi="仿宋" w:eastAsia="仿宋_GB2312" w:cs="仿宋_GB2312"/>
          <w:b/>
          <w:kern w:val="0"/>
          <w:sz w:val="32"/>
          <w:szCs w:val="32"/>
          <w:lang w:eastAsia="zh-CN"/>
        </w:rPr>
        <w:t>他</w:t>
      </w:r>
      <w:r>
        <w:rPr>
          <w:rFonts w:hint="default" w:ascii="仿宋_GB2312" w:hAnsi="仿宋" w:eastAsia="仿宋_GB2312" w:cs="仿宋_GB2312"/>
          <w:b/>
          <w:kern w:val="0"/>
          <w:sz w:val="32"/>
          <w:szCs w:val="32"/>
        </w:rPr>
        <w:t xml:space="preserve">工商等登记证明材料； </w:t>
      </w:r>
    </w:p>
    <w:p>
      <w:pPr>
        <w:snapToGrid w:val="0"/>
        <w:spacing w:line="360" w:lineRule="auto"/>
        <w:ind w:left="0" w:leftChars="0" w:firstLine="480" w:firstLineChars="200"/>
        <w:rPr>
          <w:rFonts w:hint="default" w:ascii="仿宋_GB2312" w:hAnsi="仿宋" w:eastAsia="仿宋_GB2312" w:cs="仿宋_GB2312"/>
          <w:color w:val="auto"/>
          <w:sz w:val="24"/>
          <w:szCs w:val="24"/>
        </w:rPr>
      </w:pPr>
      <w:r>
        <w:rPr>
          <w:rFonts w:hint="default" w:ascii="仿宋_GB2312" w:hAnsi="仿宋" w:eastAsia="仿宋_GB2312" w:cs="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6"/>
        <w:rPr>
          <w:rFonts w:ascii="仿宋_GB2312" w:hAnsi="仿宋" w:eastAsia="仿宋_GB2312" w:cs="仿宋_GB2312"/>
          <w:sz w:val="24"/>
        </w:rPr>
      </w:pPr>
    </w:p>
    <w:p>
      <w:pPr>
        <w:pStyle w:val="24"/>
        <w:rPr>
          <w:rFonts w:ascii="仿宋_GB2312" w:hAnsi="仿宋" w:eastAsia="仿宋_GB2312" w:cs="仿宋_GB2312"/>
          <w:sz w:val="24"/>
        </w:rPr>
      </w:pPr>
    </w:p>
    <w:p>
      <w:pPr>
        <w:rPr>
          <w:rFonts w:ascii="仿宋_GB2312" w:hAnsi="仿宋" w:eastAsia="仿宋_GB2312" w:cs="仿宋_GB2312"/>
          <w:sz w:val="24"/>
        </w:rPr>
      </w:pPr>
    </w:p>
    <w:p>
      <w:pPr>
        <w:pStyle w:val="26"/>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4"/>
        <w:rPr>
          <w:rFonts w:ascii="仿宋_GB2312" w:hAnsi="仿宋" w:eastAsia="仿宋_GB2312" w:cs="仿宋_GB2312"/>
          <w:kern w:val="0"/>
          <w:sz w:val="24"/>
          <w:lang w:val="zh-CN"/>
        </w:rPr>
      </w:pPr>
    </w:p>
    <w:p>
      <w:pPr>
        <w:rPr>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r>
              <w:rPr>
                <w:rFonts w:hint="eastAsia" w:ascii="仿宋" w:hAnsi="仿宋" w:eastAsia="仿宋" w:cs="仿宋_GB2312"/>
                <w:sz w:val="24"/>
              </w:rPr>
              <w:t>投标文件</w:t>
            </w:r>
            <w:r>
              <w:rPr>
                <w:rFonts w:hint="eastAsia" w:ascii="仿宋" w:hAnsi="仿宋" w:eastAsia="仿宋" w:cs="仿宋_GB2312"/>
                <w:sz w:val="24"/>
                <w:lang w:eastAsia="zh-CN"/>
              </w:rPr>
              <w:t>相关</w:t>
            </w:r>
            <w:r>
              <w:rPr>
                <w:rFonts w:hint="eastAsia" w:ascii="仿宋_GB2312" w:hAnsi="仿宋" w:eastAsia="仿宋_GB2312" w:cs="仿宋_GB2312"/>
                <w:sz w:val="24"/>
              </w:rPr>
              <w:t>签署、盖章</w:t>
            </w:r>
            <w:r>
              <w:rPr>
                <w:rFonts w:hint="eastAsia" w:ascii="仿宋_GB2312" w:hAnsi="仿宋" w:eastAsia="仿宋_GB2312" w:cs="仿宋_GB2312"/>
                <w:sz w:val="24"/>
                <w:lang w:eastAsia="zh-CN"/>
              </w:rPr>
              <w:t>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991" w:type="dxa"/>
            <w:vAlign w:val="center"/>
          </w:tcPr>
          <w:p>
            <w:pPr>
              <w:spacing w:line="360" w:lineRule="auto"/>
              <w:jc w:val="left"/>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418" w:type="dxa"/>
            <w:vAlign w:val="top"/>
          </w:tcPr>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bl>
    <w:p>
      <w:pPr>
        <w:jc w:val="center"/>
        <w:rPr>
          <w:rFonts w:ascii="仿宋_GB2312" w:hAnsi="仿宋" w:eastAsia="仿宋_GB2312" w:cs="仿宋_GB2312"/>
          <w:b/>
          <w:kern w:val="0"/>
          <w:sz w:val="32"/>
          <w:szCs w:val="32"/>
        </w:rPr>
      </w:pPr>
    </w:p>
    <w:p>
      <w:pPr>
        <w:pStyle w:val="25"/>
      </w:pPr>
    </w:p>
    <w:p>
      <w:pPr>
        <w:pStyle w:val="26"/>
      </w:pPr>
    </w:p>
    <w:p>
      <w:pPr>
        <w:pStyle w:val="24"/>
      </w:pPr>
    </w:p>
    <w:p/>
    <w:p>
      <w:pPr>
        <w:pStyle w:val="25"/>
      </w:pPr>
    </w:p>
    <w:p>
      <w:pPr>
        <w:pStyle w:val="26"/>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pStyle w:val="81"/>
        <w:rPr>
          <w:rFonts w:hint="eastAsia" w:hAnsi="仿宋" w:cs="仿宋_GB2312"/>
          <w:kern w:val="0"/>
          <w:sz w:val="24"/>
          <w:lang w:eastAsia="zh-CN"/>
        </w:rPr>
      </w:pPr>
      <w:r>
        <w:rPr>
          <w:rFonts w:hint="eastAsia" w:hAnsi="仿宋" w:cs="仿宋_GB2312"/>
          <w:kern w:val="0"/>
          <w:sz w:val="24"/>
          <w:lang w:eastAsia="zh-CN"/>
        </w:rPr>
        <w:t>服务类项目如</w:t>
      </w:r>
      <w:r>
        <w:rPr>
          <w:rFonts w:hint="default" w:hAnsi="仿宋" w:cs="仿宋_GB2312"/>
          <w:kern w:val="0"/>
          <w:sz w:val="24"/>
          <w:lang w:val="en-US" w:eastAsia="zh-CN"/>
        </w:rPr>
        <w:t>”</w:t>
      </w:r>
      <w:r>
        <w:rPr>
          <w:rFonts w:hint="eastAsia" w:hAnsi="仿宋" w:cs="仿宋_GB2312"/>
          <w:kern w:val="0"/>
          <w:sz w:val="24"/>
          <w:lang w:eastAsia="zh-CN"/>
        </w:rPr>
        <w:t>商务技术</w:t>
      </w:r>
      <w:r>
        <w:rPr>
          <w:rFonts w:hint="default" w:hAnsi="仿宋" w:cs="仿宋_GB2312"/>
          <w:kern w:val="0"/>
          <w:sz w:val="24"/>
          <w:lang w:val="en-US" w:eastAsia="zh-CN"/>
        </w:rPr>
        <w:t>”</w:t>
      </w:r>
      <w:r>
        <w:rPr>
          <w:rFonts w:hint="eastAsia" w:hAnsi="仿宋" w:cs="仿宋_GB2312"/>
          <w:kern w:val="0"/>
          <w:sz w:val="24"/>
          <w:lang w:eastAsia="zh-CN"/>
        </w:rPr>
        <w:t>无偏离的可在“投标文件响应”栏填写：响应招标文件要求即可，并加盖投标单位公章。其中带“▲”条款系指实质性要求条款，如未填入此表，即默认同意或认可。</w:t>
      </w:r>
    </w:p>
    <w:p>
      <w:pPr>
        <w:pStyle w:val="81"/>
        <w:rPr>
          <w:rFonts w:hint="eastAsia"/>
          <w:lang w:eastAsia="zh-CN"/>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5"/>
        <w:rPr>
          <w:rFonts w:ascii="仿宋_GB2312" w:hAnsi="仿宋" w:eastAsia="仿宋_GB2312"/>
          <w:b/>
          <w:bCs/>
          <w:sz w:val="32"/>
          <w:szCs w:val="32"/>
        </w:rPr>
      </w:pPr>
    </w:p>
    <w:p>
      <w:pPr>
        <w:pStyle w:val="26"/>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pStyle w:val="25"/>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ind w:firstLine="3190" w:firstLineChars="993"/>
        <w:jc w:val="both"/>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承</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诺</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书</w:t>
      </w:r>
    </w:p>
    <w:p>
      <w:pPr>
        <w:spacing w:line="360" w:lineRule="auto"/>
        <w:ind w:firstLine="480" w:firstLineChars="200"/>
        <w:rPr>
          <w:rFonts w:hint="eastAsia" w:ascii="宋体" w:hAnsi="宋体" w:cs="宋体"/>
          <w:sz w:val="24"/>
        </w:rPr>
      </w:pPr>
    </w:p>
    <w:p>
      <w:pPr>
        <w:spacing w:line="360" w:lineRule="auto"/>
        <w:ind w:firstLine="482" w:firstLineChars="200"/>
        <w:rPr>
          <w:rFonts w:hint="eastAsia" w:ascii="宋体" w:hAnsi="宋体" w:cs="宋体"/>
          <w:b/>
          <w:bCs/>
          <w:sz w:val="24"/>
          <w:lang w:val="zh-CN"/>
        </w:rPr>
      </w:pPr>
    </w:p>
    <w:p>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eastAsia="zh-CN"/>
        </w:rPr>
        <w:t>杭州市余杭区建筑工程质量安全监督站</w:t>
      </w:r>
      <w:r>
        <w:rPr>
          <w:rFonts w:hint="eastAsia" w:ascii="宋体" w:hAnsi="宋体" w:eastAsia="宋体" w:cs="宋体"/>
          <w:sz w:val="24"/>
          <w:lang w:val="zh-CN"/>
        </w:rPr>
        <w:t>：</w:t>
      </w:r>
    </w:p>
    <w:p>
      <w:pPr>
        <w:spacing w:line="360" w:lineRule="auto"/>
        <w:ind w:firstLine="480" w:firstLineChars="200"/>
        <w:rPr>
          <w:rFonts w:hint="eastAsia" w:ascii="仿宋_GB2312" w:hAnsi="仿宋_GB2312" w:eastAsia="仿宋_GB2312" w:cs="仿宋_GB2312"/>
          <w:sz w:val="24"/>
          <w:lang w:val="zh-CN"/>
        </w:rPr>
      </w:pPr>
    </w:p>
    <w:p>
      <w:pPr>
        <w:spacing w:line="360" w:lineRule="auto"/>
        <w:ind w:firstLine="480" w:firstLineChars="200"/>
        <w:rPr>
          <w:rFonts w:hint="eastAsia" w:ascii="宋体" w:hAnsi="宋体" w:cs="宋体"/>
          <w:sz w:val="24"/>
          <w:lang w:val="zh-CN"/>
        </w:rPr>
      </w:pPr>
      <w:r>
        <w:rPr>
          <w:rFonts w:hint="eastAsia" w:ascii="宋体" w:hAnsi="宋体" w:cs="宋体"/>
          <w:sz w:val="24"/>
        </w:rPr>
        <w:t>▲</w:t>
      </w:r>
      <w:r>
        <w:rPr>
          <w:rFonts w:hint="eastAsia" w:ascii="宋体" w:hAnsi="宋体" w:cs="宋体"/>
          <w:b/>
          <w:bCs/>
          <w:sz w:val="24"/>
          <w:lang w:val="zh-CN"/>
        </w:rPr>
        <w:t>投标人须承诺</w:t>
      </w: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en-US" w:eastAsia="zh-CN"/>
        </w:rPr>
        <w:t>为</w:t>
      </w:r>
      <w:r>
        <w:rPr>
          <w:rFonts w:hint="eastAsia" w:ascii="宋体" w:hAnsi="宋体" w:eastAsia="宋体" w:cs="宋体"/>
          <w:sz w:val="24"/>
          <w:lang w:val="zh-CN"/>
        </w:rPr>
        <w:t>检测工作公平公正原则和需回避</w:t>
      </w:r>
      <w:r>
        <w:rPr>
          <w:rFonts w:hint="eastAsia" w:ascii="宋体" w:hAnsi="宋体" w:eastAsia="宋体" w:cs="宋体"/>
          <w:sz w:val="24"/>
          <w:lang w:val="zh-CN" w:eastAsia="zh-CN"/>
        </w:rPr>
        <w:t>项目</w:t>
      </w:r>
      <w:r>
        <w:rPr>
          <w:rFonts w:hint="eastAsia" w:ascii="宋体" w:hAnsi="宋体" w:eastAsia="宋体" w:cs="宋体"/>
          <w:sz w:val="24"/>
          <w:lang w:val="zh-CN"/>
        </w:rPr>
        <w:t>原检测单位的工作要求，</w:t>
      </w:r>
      <w:r>
        <w:rPr>
          <w:rFonts w:hint="eastAsia" w:ascii="宋体" w:hAnsi="宋体" w:cs="宋体"/>
          <w:b/>
          <w:bCs/>
          <w:sz w:val="24"/>
        </w:rPr>
        <w:t>故</w:t>
      </w:r>
      <w:r>
        <w:rPr>
          <w:rFonts w:hint="eastAsia" w:ascii="宋体" w:hAnsi="宋体" w:cs="宋体"/>
          <w:b/>
          <w:bCs/>
          <w:sz w:val="24"/>
          <w:lang w:eastAsia="zh-CN"/>
        </w:rPr>
        <w:t>供应商</w:t>
      </w:r>
      <w:r>
        <w:rPr>
          <w:rFonts w:hint="eastAsia" w:ascii="宋体" w:hAnsi="宋体" w:cs="宋体"/>
          <w:b/>
          <w:bCs/>
          <w:sz w:val="24"/>
        </w:rPr>
        <w:t>正在承接</w:t>
      </w:r>
      <w:r>
        <w:rPr>
          <w:rFonts w:hint="eastAsia" w:ascii="宋体" w:hAnsi="宋体" w:cs="宋体"/>
          <w:b/>
          <w:bCs/>
          <w:sz w:val="24"/>
          <w:lang w:eastAsia="zh-CN"/>
        </w:rPr>
        <w:t>余杭</w:t>
      </w:r>
      <w:r>
        <w:rPr>
          <w:rFonts w:hint="eastAsia" w:ascii="宋体" w:hAnsi="宋体" w:cs="宋体"/>
          <w:b/>
          <w:bCs/>
          <w:sz w:val="24"/>
        </w:rPr>
        <w:t>区</w:t>
      </w:r>
      <w:r>
        <w:rPr>
          <w:rFonts w:hint="eastAsia" w:ascii="宋体" w:hAnsi="宋体" w:eastAsia="宋体" w:cs="宋体"/>
          <w:sz w:val="24"/>
          <w:lang w:val="zh-CN"/>
        </w:rPr>
        <w:t>辖区内任何用于工程验收或检测用的第三方检测业务，包括但不限于室内环境质量、地基基础、主体结构工程、建筑（市政）材料见证取样、门窗幕墙和钢结构检测业务等</w:t>
      </w:r>
      <w:r>
        <w:rPr>
          <w:rFonts w:hint="eastAsia" w:ascii="宋体" w:hAnsi="宋体" w:cs="宋体"/>
          <w:sz w:val="24"/>
          <w:lang w:val="zh-CN"/>
        </w:rPr>
        <w:t>，</w:t>
      </w:r>
      <w:r>
        <w:rPr>
          <w:rFonts w:hint="eastAsia" w:ascii="宋体" w:hAnsi="宋体" w:cs="宋体"/>
          <w:sz w:val="24"/>
          <w:lang w:val="en-US" w:eastAsia="zh-CN"/>
        </w:rPr>
        <w:t>如若中标，则中标后所</w:t>
      </w:r>
      <w:r>
        <w:rPr>
          <w:rFonts w:hint="eastAsia" w:ascii="宋体" w:hAnsi="宋体" w:cs="宋体"/>
          <w:sz w:val="24"/>
          <w:lang w:val="zh-CN"/>
        </w:rPr>
        <w:t>出具的上述类型检测报告将不能作为工程验收的依据，同时将追究其相关隐瞒责任，同时耽误的工作时效及其他责任另行追究。</w:t>
      </w:r>
    </w:p>
    <w:p>
      <w:pPr>
        <w:spacing w:line="360" w:lineRule="auto"/>
        <w:ind w:firstLine="480" w:firstLineChars="200"/>
        <w:rPr>
          <w:rFonts w:hint="eastAsia" w:ascii="仿宋_GB2312" w:hAnsi="仿宋_GB2312" w:eastAsia="仿宋_GB2312" w:cs="仿宋_GB2312"/>
          <w:sz w:val="24"/>
          <w:lang w:val="zh-CN"/>
        </w:rPr>
      </w:pPr>
    </w:p>
    <w:p>
      <w:pPr>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特此承诺。</w:t>
      </w:r>
    </w:p>
    <w:p>
      <w:pPr>
        <w:spacing w:line="360" w:lineRule="auto"/>
        <w:jc w:val="center"/>
        <w:outlineLvl w:val="0"/>
        <w:rPr>
          <w:rFonts w:hint="eastAsia" w:ascii="宋体" w:hAnsi="宋体" w:eastAsia="宋体" w:cs="宋体"/>
          <w:b/>
          <w:kern w:val="0"/>
          <w:sz w:val="44"/>
          <w:szCs w:val="44"/>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outlineLvl w:val="0"/>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pStyle w:val="85"/>
        <w:rPr>
          <w:rFonts w:hint="eastAsia" w:ascii="仿宋_GB2312" w:hAnsi="仿宋" w:eastAsia="仿宋_GB2312" w:cs="仿宋_GB2312"/>
          <w:b/>
          <w:kern w:val="0"/>
          <w:sz w:val="44"/>
          <w:szCs w:val="44"/>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55" w:name="_Toc105"/>
      <w:r>
        <w:rPr>
          <w:rFonts w:hint="eastAsia" w:ascii="仿宋_GB2312" w:hAnsi="仿宋_GB2312" w:eastAsia="仿宋_GB2312" w:cs="仿宋_GB2312"/>
          <w:b/>
          <w:bCs/>
          <w:color w:val="000000"/>
          <w:sz w:val="52"/>
          <w:szCs w:val="52"/>
        </w:rPr>
        <w:t>报 价 文 件</w:t>
      </w:r>
      <w:bookmarkEnd w:id="455"/>
    </w:p>
    <w:p>
      <w:pPr>
        <w:widowControl/>
        <w:spacing w:line="360" w:lineRule="auto"/>
        <w:ind w:right="-2"/>
        <w:jc w:val="center"/>
        <w:outlineLvl w:val="1"/>
        <w:rPr>
          <w:rFonts w:ascii="仿宋_GB2312" w:hAnsi="仿宋_GB2312" w:eastAsia="仿宋_GB2312" w:cs="仿宋_GB2312"/>
          <w:b/>
          <w:color w:val="000000"/>
          <w:sz w:val="36"/>
          <w:szCs w:val="36"/>
        </w:rPr>
      </w:pPr>
      <w:bookmarkStart w:id="456" w:name="_Toc22501"/>
      <w:r>
        <w:rPr>
          <w:rFonts w:hint="eastAsia" w:ascii="仿宋_GB2312" w:hAnsi="仿宋_GB2312" w:eastAsia="仿宋_GB2312" w:cs="仿宋_GB2312"/>
          <w:b/>
          <w:color w:val="000000"/>
          <w:sz w:val="36"/>
          <w:szCs w:val="36"/>
        </w:rPr>
        <w:t>（线上电子招投标）</w:t>
      </w:r>
      <w:bookmarkEnd w:id="456"/>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57"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57"/>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hint="eastAsia" w:ascii="仿宋_GB2312" w:hAnsi="仿宋_GB2312" w:eastAsia="仿宋_GB2312" w:cs="仿宋_GB2312"/>
          <w:color w:val="000000"/>
          <w:sz w:val="28"/>
          <w:szCs w:val="28"/>
          <w:lang w:val="en-US" w:eastAsia="zh-CN"/>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14" w:type="default"/>
          <w:footerReference r:id="rId15"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leftChars="0" w:firstLine="0" w:firstLineChars="0"/>
        <w:rPr>
          <w:rFonts w:hint="eastAsia" w:eastAsia="仿宋_GB2312"/>
          <w:lang w:val="en-US" w:eastAsia="zh-CN"/>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eastAsia="zh-CN"/>
        </w:rPr>
        <w:t>余杭区市政工程联合质量抽检、房屋建筑工程监督检测项目</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【招标编号：</w:t>
      </w:r>
      <w:r>
        <w:rPr>
          <w:rFonts w:hint="eastAsia" w:ascii="仿宋_GB2312" w:hAnsi="仿宋" w:eastAsia="仿宋_GB2312"/>
          <w:sz w:val="24"/>
        </w:rPr>
        <w:t>（</w:t>
      </w:r>
      <w:r>
        <w:rPr>
          <w:rFonts w:hint="eastAsia" w:ascii="仿宋_GB2312" w:hAnsi="仿宋" w:eastAsia="仿宋_GB2312"/>
          <w:sz w:val="24"/>
          <w:lang w:eastAsia="zh-CN"/>
        </w:rPr>
        <w:t>YHZFCG2022-024</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adjustRightInd w:val="0"/>
        <w:spacing w:line="360" w:lineRule="auto"/>
        <w:ind w:firstLine="420" w:firstLineChars="200"/>
        <w:rPr>
          <w:rFonts w:hint="eastAsia" w:ascii="宋体" w:hAnsi="宋体"/>
          <w:szCs w:val="21"/>
        </w:rPr>
      </w:pPr>
    </w:p>
    <w:tbl>
      <w:tblPr>
        <w:tblStyle w:val="62"/>
        <w:tblW w:w="81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3"/>
        <w:gridCol w:w="5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8" w:hRule="atLeast"/>
          <w:tblHeader/>
          <w:jc w:val="center"/>
        </w:trPr>
        <w:tc>
          <w:tcPr>
            <w:tcW w:w="303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仿宋_GB2312" w:hAnsi="宋体" w:eastAsia="宋体"/>
                <w:b/>
                <w:sz w:val="24"/>
                <w:lang w:val="en-GB" w:eastAsia="zh-CN"/>
              </w:rPr>
            </w:pPr>
            <w:r>
              <w:rPr>
                <w:rFonts w:hint="eastAsia" w:ascii="仿宋_GB2312" w:hAnsi="宋体" w:eastAsia="宋体"/>
                <w:b/>
                <w:sz w:val="24"/>
                <w:lang w:val="en-GB" w:eastAsia="zh-CN"/>
              </w:rPr>
              <w:t>项目名称</w:t>
            </w:r>
          </w:p>
        </w:tc>
        <w:tc>
          <w:tcPr>
            <w:tcW w:w="5080"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sz w:val="24"/>
                <w:lang w:eastAsia="zh-CN"/>
              </w:rPr>
            </w:pPr>
            <w:r>
              <w:rPr>
                <w:rFonts w:hint="eastAsia" w:ascii="宋体" w:hAnsi="宋体" w:cs="宋体"/>
                <w:b/>
                <w:sz w:val="24"/>
                <w:lang w:val="en-GB"/>
              </w:rPr>
              <w:t>投标报价</w:t>
            </w:r>
            <w:r>
              <w:rPr>
                <w:rFonts w:hint="eastAsia" w:ascii="宋体" w:hAnsi="宋体" w:cs="宋体"/>
                <w:b/>
                <w:sz w:val="24"/>
                <w:lang w:val="en-GB" w:eastAsia="zh-CN"/>
              </w:rPr>
              <w:t>折扣（</w:t>
            </w:r>
            <w:r>
              <w:rPr>
                <w:rFonts w:hint="eastAsia" w:ascii="宋体" w:hAnsi="宋体" w:cs="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35" w:hRule="atLeast"/>
          <w:jc w:val="center"/>
        </w:trPr>
        <w:tc>
          <w:tcPr>
            <w:tcW w:w="3033"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lang w:val="en-GB"/>
              </w:rPr>
            </w:pPr>
            <w:r>
              <w:rPr>
                <w:rFonts w:hint="eastAsia" w:ascii="仿宋_GB2312" w:hAnsi="仿宋" w:eastAsia="仿宋_GB2312" w:cs="仿宋_GB2312"/>
                <w:sz w:val="24"/>
                <w:lang w:eastAsia="zh-CN"/>
              </w:rPr>
              <w:t>余杭区市政工程联合质量抽检、房屋建筑工程监督检测项目</w:t>
            </w:r>
          </w:p>
        </w:tc>
        <w:tc>
          <w:tcPr>
            <w:tcW w:w="5080" w:type="dxa"/>
            <w:noWrap w:val="0"/>
            <w:vAlign w:val="center"/>
          </w:tcPr>
          <w:p>
            <w:pPr>
              <w:keepNext w:val="0"/>
              <w:keepLines w:val="0"/>
              <w:pageBreakBefore w:val="0"/>
              <w:widowControl w:val="0"/>
              <w:kinsoku/>
              <w:wordWrap/>
              <w:overflowPunct/>
              <w:topLinePunct w:val="0"/>
              <w:bidi w:val="0"/>
              <w:spacing w:line="360" w:lineRule="auto"/>
              <w:textAlignment w:val="auto"/>
              <w:rPr>
                <w:rFonts w:hint="eastAsia" w:ascii="仿宋_GB2312" w:hAnsi="仿宋" w:eastAsia="仿宋_GB2312" w:cs="仿宋_GB2312"/>
                <w:sz w:val="24"/>
                <w:lang w:eastAsia="zh-CN"/>
              </w:rPr>
            </w:pPr>
            <w:r>
              <w:rPr>
                <w:rFonts w:hint="eastAsia" w:ascii="宋体" w:hAnsi="宋体" w:eastAsia="宋体" w:cs="宋体"/>
                <w:sz w:val="24"/>
              </w:rPr>
              <w:t xml:space="preserve"> </w:t>
            </w:r>
            <w:r>
              <w:rPr>
                <w:rFonts w:hint="eastAsia" w:ascii="宋体" w:hAnsi="宋体" w:eastAsia="宋体" w:cs="宋体"/>
                <w:b/>
                <w:sz w:val="24"/>
              </w:rPr>
              <w:t>按招标文件中“检测结算标准</w:t>
            </w:r>
            <w:r>
              <w:rPr>
                <w:rFonts w:hint="eastAsia" w:ascii="宋体" w:hAnsi="宋体" w:eastAsia="宋体" w:cs="宋体"/>
                <w:b/>
                <w:sz w:val="24"/>
                <w:lang w:eastAsia="zh-CN"/>
              </w:rPr>
              <w:t>（</w:t>
            </w:r>
            <w:r>
              <w:rPr>
                <w:rFonts w:hint="eastAsia" w:ascii="宋体" w:hAnsi="宋体" w:eastAsia="宋体" w:cs="宋体"/>
                <w:b/>
                <w:sz w:val="24"/>
                <w:lang w:val="en-US" w:eastAsia="zh-CN"/>
              </w:rPr>
              <w:t>单价最高限价）</w:t>
            </w:r>
            <w:r>
              <w:rPr>
                <w:rFonts w:hint="eastAsia" w:ascii="宋体" w:hAnsi="宋体" w:eastAsia="宋体" w:cs="宋体"/>
                <w:b/>
                <w:sz w:val="24"/>
              </w:rPr>
              <w:t>”</w:t>
            </w:r>
            <w:r>
              <w:rPr>
                <w:rFonts w:hint="eastAsia" w:ascii="宋体" w:hAnsi="宋体" w:eastAsia="宋体" w:cs="宋体"/>
                <w:b/>
                <w:sz w:val="24"/>
                <w:lang w:eastAsia="zh-CN"/>
              </w:rPr>
              <w:t>的</w:t>
            </w:r>
            <w:r>
              <w:rPr>
                <w:rFonts w:hint="eastAsia" w:ascii="宋体" w:hAnsi="宋体" w:eastAsia="宋体" w:cs="宋体"/>
                <w:b/>
                <w:sz w:val="24"/>
                <w:u w:val="single"/>
              </w:rPr>
              <w:t xml:space="preserve">   </w:t>
            </w:r>
            <w:r>
              <w:rPr>
                <w:rFonts w:hint="eastAsia" w:ascii="宋体" w:hAnsi="宋体" w:cs="宋体"/>
                <w:b/>
                <w:sz w:val="24"/>
                <w:u w:val="single"/>
                <w:lang w:val="en-US" w:eastAsia="zh-CN"/>
              </w:rPr>
              <w:t xml:space="preserve">  </w:t>
            </w:r>
            <w:r>
              <w:rPr>
                <w:rFonts w:hint="eastAsia" w:ascii="宋体" w:hAnsi="宋体" w:eastAsia="宋体" w:cs="宋体"/>
                <w:b/>
                <w:sz w:val="24"/>
                <w:u w:val="single"/>
              </w:rPr>
              <w:t xml:space="preserve">  </w:t>
            </w:r>
            <w:r>
              <w:rPr>
                <w:rFonts w:hint="eastAsia" w:ascii="宋体" w:hAnsi="宋体" w:eastAsia="宋体" w:cs="宋体"/>
                <w:b/>
                <w:sz w:val="24"/>
                <w:u w:val="none"/>
              </w:rPr>
              <w:t>%</w:t>
            </w:r>
            <w:r>
              <w:rPr>
                <w:rFonts w:hint="eastAsia" w:ascii="宋体" w:hAnsi="宋体" w:eastAsia="宋体" w:cs="宋体"/>
                <w:b/>
                <w:sz w:val="24"/>
                <w:lang w:val="en-US" w:eastAsia="zh-CN"/>
              </w:rPr>
              <w:t>统一</w:t>
            </w:r>
            <w:r>
              <w:rPr>
                <w:rFonts w:hint="eastAsia" w:ascii="宋体" w:hAnsi="宋体" w:eastAsia="宋体" w:cs="宋体"/>
                <w:b/>
                <w:sz w:val="24"/>
                <w:lang w:val="en-GB" w:eastAsia="zh-CN"/>
              </w:rPr>
              <w:t>折扣</w:t>
            </w:r>
            <w:r>
              <w:rPr>
                <w:rFonts w:hint="eastAsia" w:ascii="宋体" w:hAnsi="宋体" w:eastAsia="宋体" w:cs="宋体"/>
                <w:b/>
                <w:sz w:val="24"/>
                <w:lang w:val="en-US" w:eastAsia="zh-CN"/>
              </w:rPr>
              <w:t>报价</w:t>
            </w:r>
            <w:r>
              <w:rPr>
                <w:rFonts w:hint="eastAsia" w:ascii="宋体" w:hAnsi="宋体" w:eastAsia="宋体" w:cs="宋体"/>
                <w:b/>
                <w:sz w:val="24"/>
                <w:u w:val="none"/>
                <w:lang w:val="en-US" w:eastAsia="zh-CN"/>
              </w:rPr>
              <w:t>；</w:t>
            </w:r>
          </w:p>
        </w:tc>
      </w:tr>
    </w:tbl>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b/>
          <w:sz w:val="24"/>
          <w:lang w:val="en-US" w:eastAsia="zh-CN"/>
        </w:rPr>
      </w:pPr>
      <w:r>
        <w:rPr>
          <w:rFonts w:hint="eastAsia" w:ascii="宋体" w:hAnsi="宋体" w:cs="宋体"/>
          <w:b/>
          <w:kern w:val="0"/>
          <w:sz w:val="24"/>
          <w:lang w:val="zh-CN"/>
        </w:rPr>
        <w:t>备注</w:t>
      </w:r>
      <w:r>
        <w:rPr>
          <w:rFonts w:hint="eastAsia" w:ascii="Malgun Gothic Semilight" w:hAnsi="Malgun Gothic Semilight" w:eastAsia="Malgun Gothic Semilight" w:cs="Malgun Gothic Semilight"/>
          <w:b/>
          <w:kern w:val="0"/>
          <w:sz w:val="24"/>
          <w:lang w:val="zh-CN"/>
        </w:rPr>
        <w:t>：</w:t>
      </w:r>
      <w:r>
        <w:rPr>
          <w:rFonts w:hint="eastAsia" w:ascii="Malgun Gothic Semilight" w:hAnsi="Malgun Gothic Semilight" w:eastAsia="Malgun Gothic Semilight" w:cs="Malgun Gothic Semilight"/>
          <w:b/>
          <w:kern w:val="0"/>
          <w:sz w:val="24"/>
          <w:lang w:val="en-US" w:eastAsia="zh-CN"/>
        </w:rPr>
        <w:t>1、折扣填报：</w:t>
      </w:r>
      <w:r>
        <w:rPr>
          <w:rFonts w:hint="eastAsia" w:ascii="宋体" w:hAnsi="宋体" w:eastAsia="宋体" w:cs="宋体"/>
          <w:b/>
          <w:sz w:val="24"/>
          <w:lang w:val="en-US" w:eastAsia="zh-CN"/>
        </w:rPr>
        <w:t>投标报价不得超过“建设工程检测结算标准</w:t>
      </w:r>
      <w:r>
        <w:rPr>
          <w:rFonts w:hint="eastAsia" w:ascii="宋体" w:hAnsi="宋体" w:eastAsia="宋体" w:cs="宋体"/>
          <w:b/>
          <w:sz w:val="24"/>
          <w:lang w:eastAsia="zh-CN"/>
        </w:rPr>
        <w:t>（</w:t>
      </w:r>
      <w:r>
        <w:rPr>
          <w:rFonts w:hint="eastAsia" w:ascii="宋体" w:hAnsi="宋体" w:eastAsia="宋体" w:cs="宋体"/>
          <w:b/>
          <w:sz w:val="24"/>
          <w:lang w:val="en-US" w:eastAsia="zh-CN"/>
        </w:rPr>
        <w:t>单价最高限价）”的100%，投标报价按折扣进行报价，</w:t>
      </w:r>
      <w:r>
        <w:rPr>
          <w:rFonts w:hint="eastAsia" w:ascii="宋体" w:hAnsi="宋体" w:eastAsia="宋体" w:cs="宋体"/>
          <w:b/>
          <w:sz w:val="24"/>
          <w:u w:val="none"/>
          <w:lang w:eastAsia="zh-CN"/>
        </w:rPr>
        <w:t>填报统一折扣（例</w:t>
      </w:r>
      <w:r>
        <w:rPr>
          <w:rFonts w:hint="eastAsia" w:ascii="宋体" w:hAnsi="宋体" w:eastAsia="宋体" w:cs="宋体"/>
          <w:b/>
          <w:sz w:val="24"/>
          <w:u w:val="none"/>
          <w:lang w:val="en-US" w:eastAsia="zh-CN"/>
        </w:rPr>
        <w:t>80%或90%），</w:t>
      </w:r>
      <w:r>
        <w:rPr>
          <w:rFonts w:hint="eastAsia" w:ascii="宋体" w:hAnsi="宋体" w:eastAsia="宋体" w:cs="宋体"/>
          <w:b/>
          <w:sz w:val="24"/>
          <w:lang w:val="en-US" w:eastAsia="zh-CN"/>
        </w:rPr>
        <w:t>不得填报负数和O，不得分项不同折扣,所有子项分项折扣均统一,否则作无效标处理。</w:t>
      </w:r>
    </w:p>
    <w:p>
      <w:pPr>
        <w:adjustRightIn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eastAsia="zh-CN"/>
        </w:rPr>
        <w:t>投标报价结算公式：例投标单位填写折扣为</w:t>
      </w:r>
      <w:r>
        <w:rPr>
          <w:rFonts w:hint="eastAsia" w:ascii="宋体" w:hAnsi="宋体"/>
          <w:b/>
          <w:bCs/>
          <w:sz w:val="24"/>
          <w:szCs w:val="24"/>
          <w:lang w:val="en-US" w:eastAsia="zh-CN"/>
        </w:rPr>
        <w:t>85%，则如若中标，监督</w:t>
      </w:r>
      <w:r>
        <w:rPr>
          <w:rFonts w:hint="eastAsia" w:ascii="宋体" w:hAnsi="宋体"/>
          <w:b/>
          <w:bCs/>
          <w:sz w:val="24"/>
          <w:szCs w:val="24"/>
        </w:rPr>
        <w:t>检测</w:t>
      </w:r>
      <w:r>
        <w:rPr>
          <w:rFonts w:hint="eastAsia" w:ascii="宋体" w:hAnsi="宋体"/>
          <w:b/>
          <w:bCs/>
          <w:sz w:val="24"/>
          <w:szCs w:val="24"/>
          <w:lang w:eastAsia="zh-CN"/>
        </w:rPr>
        <w:t>费用</w:t>
      </w:r>
      <w:r>
        <w:rPr>
          <w:rFonts w:hint="eastAsia" w:ascii="宋体" w:hAnsi="宋体"/>
          <w:b/>
          <w:bCs/>
          <w:sz w:val="24"/>
          <w:szCs w:val="24"/>
          <w:lang w:val="en-US" w:eastAsia="zh-CN"/>
        </w:rPr>
        <w:t>综合单价（元）</w:t>
      </w:r>
      <w:r>
        <w:rPr>
          <w:rFonts w:hint="default" w:ascii="Arial" w:hAnsi="Arial" w:cs="Arial"/>
          <w:b/>
          <w:bCs/>
          <w:sz w:val="24"/>
          <w:szCs w:val="24"/>
          <w:lang w:eastAsia="zh-CN"/>
        </w:rPr>
        <w:t>×</w:t>
      </w:r>
      <w:r>
        <w:rPr>
          <w:rFonts w:hint="eastAsia" w:ascii="Arial" w:hAnsi="Arial" w:cs="Arial"/>
          <w:b/>
          <w:bCs/>
          <w:sz w:val="24"/>
          <w:szCs w:val="24"/>
          <w:lang w:val="en-US" w:eastAsia="zh-CN"/>
        </w:rPr>
        <w:t xml:space="preserve"> </w:t>
      </w:r>
      <w:r>
        <w:rPr>
          <w:rFonts w:hint="eastAsia" w:ascii="宋体" w:hAnsi="宋体"/>
          <w:b/>
          <w:bCs/>
          <w:sz w:val="24"/>
          <w:szCs w:val="24"/>
          <w:lang w:val="en-US" w:eastAsia="zh-CN"/>
        </w:rPr>
        <w:t>投标报价折扣85%=实际结算单价费用。</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lang w:val="zh-CN"/>
        </w:rPr>
        <w:t>、本应标文件及其所附文件涵盖了我方要约的全部内容。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cs="宋体"/>
          <w:kern w:val="0"/>
          <w:sz w:val="24"/>
          <w:lang w:val="en-US" w:eastAsia="zh-CN"/>
        </w:rPr>
        <w:t>3</w:t>
      </w:r>
      <w:r>
        <w:rPr>
          <w:rFonts w:hint="eastAsia" w:ascii="宋体" w:hAnsi="宋体" w:eastAsia="宋体" w:cs="宋体"/>
          <w:kern w:val="0"/>
          <w:sz w:val="24"/>
          <w:lang w:val="zh-CN"/>
        </w:rPr>
        <w:t>、本应标文件，你方之接受函，包括条款栏，标的规格要求栏和其它有关文件在内的应标文件对我们双方均具约束力。</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lang w:val="zh-CN"/>
        </w:rPr>
        <w:t>、我方受应标文件之价目表上我方要约金额的约束，包括有关本项目实施所需的所有必要费用均已计入报价</w:t>
      </w:r>
    </w:p>
    <w:p>
      <w:pPr>
        <w:spacing w:line="360" w:lineRule="auto"/>
        <w:jc w:val="center"/>
        <w:rPr>
          <w:rFonts w:hint="eastAsia" w:ascii="仿宋_GB2312" w:hAnsi="仿宋" w:eastAsia="仿宋_GB2312" w:cs="仿宋_GB2312"/>
          <w:b/>
          <w:kern w:val="0"/>
          <w:sz w:val="24"/>
          <w:lang w:val="zh-CN"/>
        </w:rPr>
      </w:pPr>
    </w:p>
    <w:p>
      <w:pPr>
        <w:rPr>
          <w:rFonts w:hint="eastAsia" w:ascii="宋体" w:hAnsi="宋体" w:cs="宋体"/>
          <w:b/>
          <w:bCs/>
          <w:color w:val="000000"/>
          <w:kern w:val="0"/>
          <w:sz w:val="24"/>
          <w:lang w:val="zh-CN"/>
        </w:rPr>
      </w:pPr>
    </w:p>
    <w:p>
      <w:pPr>
        <w:pStyle w:val="23"/>
        <w:rPr>
          <w:rFonts w:hint="eastAsia"/>
          <w:lang w:val="zh-CN"/>
        </w:rPr>
      </w:pPr>
    </w:p>
    <w:p>
      <w:pPr>
        <w:rPr>
          <w:rFonts w:hint="eastAsia"/>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hint="eastAsia"/>
          <w:lang w:val="zh-CN"/>
        </w:rPr>
      </w:pPr>
    </w:p>
    <w:p>
      <w:pPr>
        <w:pStyle w:val="2"/>
        <w:rPr>
          <w:rFonts w:hint="eastAsia"/>
          <w:lang w:val="zh-CN"/>
        </w:rPr>
      </w:pPr>
    </w:p>
    <w:p>
      <w:pPr>
        <w:rPr>
          <w:rFonts w:hint="eastAsia"/>
          <w:lang w:val="zh-CN"/>
        </w:rPr>
      </w:pPr>
    </w:p>
    <w:p>
      <w:pPr>
        <w:rPr>
          <w:rFonts w:ascii="仿宋_GB2312" w:hAnsi="宋体" w:eastAsia="仿宋_GB2312"/>
          <w:sz w:val="32"/>
          <w:szCs w:val="32"/>
        </w:rPr>
      </w:pPr>
      <w:r>
        <w:rPr>
          <w:rFonts w:hint="eastAsia" w:ascii="仿宋_GB2312" w:hAnsi="仿宋" w:eastAsia="仿宋_GB2312" w:cs="仿宋_GB2312"/>
          <w:sz w:val="24"/>
        </w:rPr>
        <w:br w:type="page"/>
      </w: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hint="eastAsia" w:ascii="仿宋_GB2312" w:hAnsi="仿宋" w:eastAsia="仿宋_GB2312" w:cs="仿宋_GB2312"/>
          <w:b/>
          <w:sz w:val="24"/>
        </w:rPr>
      </w:pP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w:t>
      </w:r>
      <w:r>
        <w:rPr>
          <w:rFonts w:hint="eastAsia" w:ascii="仿宋_GB2312" w:hAnsi="仿宋" w:eastAsia="仿宋_GB2312" w:cs="仿宋_GB2312"/>
          <w:b/>
          <w:sz w:val="24"/>
          <w:lang w:eastAsia="zh-CN"/>
        </w:rPr>
        <w:t>专门面向中小企业</w:t>
      </w:r>
      <w:r>
        <w:rPr>
          <w:rFonts w:hint="eastAsia" w:ascii="仿宋_GB2312" w:hAnsi="仿宋" w:eastAsia="仿宋_GB2312" w:cs="仿宋_GB2312"/>
          <w:b/>
          <w:sz w:val="24"/>
        </w:rPr>
        <w:t>”即本项目专门面向中小企业时，小微企业</w:t>
      </w:r>
      <w:r>
        <w:rPr>
          <w:rFonts w:hint="eastAsia" w:ascii="仿宋_GB2312" w:hAnsi="仿宋" w:eastAsia="仿宋_GB2312" w:cs="仿宋_GB2312"/>
          <w:b/>
          <w:sz w:val="24"/>
          <w:lang w:eastAsia="zh-CN"/>
        </w:rPr>
        <w:t>不</w:t>
      </w:r>
      <w:r>
        <w:rPr>
          <w:rFonts w:hint="eastAsia" w:ascii="仿宋_GB2312" w:hAnsi="仿宋" w:eastAsia="仿宋_GB2312" w:cs="仿宋_GB2312"/>
          <w:b/>
          <w:sz w:val="24"/>
        </w:rPr>
        <w:t>享受价格扣除政策</w:t>
      </w:r>
      <w:r>
        <w:rPr>
          <w:rFonts w:ascii="仿宋_GB2312" w:hAnsi="仿宋" w:eastAsia="仿宋_GB2312" w:cs="仿宋_GB2312"/>
          <w:b/>
          <w:sz w:val="24"/>
        </w:rPr>
        <w:t>。</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58" w:name="_Toc465665161"/>
      <w:r>
        <w:rPr>
          <w:rFonts w:hint="eastAsia" w:ascii="仿宋_GB2312" w:hAnsi="仿宋" w:eastAsia="仿宋_GB2312"/>
        </w:rPr>
        <w:t>附件</w:t>
      </w:r>
      <w:bookmarkEnd w:id="45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59" w:name="OLE_LINK14"/>
      <w:bookmarkStart w:id="460" w:name="OLE_LINK13"/>
      <w:r>
        <w:rPr>
          <w:rFonts w:hint="eastAsia" w:ascii="仿宋_GB2312" w:hAnsi="仿宋" w:eastAsia="仿宋_GB2312"/>
          <w:b/>
          <w:spacing w:val="6"/>
          <w:sz w:val="32"/>
          <w:szCs w:val="32"/>
        </w:rPr>
        <w:t>残疾人福利性单位声明函</w:t>
      </w:r>
    </w:p>
    <w:bookmarkEnd w:id="459"/>
    <w:bookmarkEnd w:id="46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余杭区市政工程联合质量抽检、房屋建筑工程监督检测项目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bookmarkStart w:id="461" w:name="_GoBack"/>
      <w:bookmarkEnd w:id="461"/>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余杭区市政工程联合质量抽检、房屋建筑工程监督检测项目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YHZFCG2022-024</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spacing w:line="360" w:lineRule="auto"/>
        <w:jc w:val="both"/>
        <w:rPr>
          <w:rFonts w:hint="eastAsia" w:ascii="仿宋_GB2312" w:hAnsi="仿宋" w:eastAsia="仿宋_GB2312" w:cs="仿宋_GB2312"/>
          <w:b/>
          <w:sz w:val="32"/>
          <w:szCs w:val="32"/>
          <w:highlight w:val="none"/>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仿宋" w:eastAsia="仿宋_GB2312" w:cs="仿宋_GB2312"/>
          <w:b/>
          <w:sz w:val="32"/>
          <w:szCs w:val="32"/>
          <w:highlight w:val="none"/>
        </w:rPr>
        <w:t>中小企业声明函</w:t>
      </w:r>
    </w:p>
    <w:p>
      <w:pPr>
        <w:spacing w:line="360" w:lineRule="auto"/>
        <w:jc w:val="center"/>
        <w:rPr>
          <w:rFonts w:hint="eastAsia" w:ascii="仿宋_GB2312" w:hAnsi="仿宋" w:eastAsia="仿宋_GB2312" w:cs="仿宋_GB2312"/>
          <w:b/>
          <w:sz w:val="32"/>
          <w:szCs w:val="32"/>
          <w:highlight w:val="none"/>
        </w:rPr>
      </w:pPr>
    </w:p>
    <w:p>
      <w:pPr>
        <w:spacing w:line="360" w:lineRule="auto"/>
        <w:jc w:val="center"/>
        <w:rPr>
          <w:rFonts w:ascii="仿宋_GB2312" w:hAnsi="仿宋" w:eastAsia="仿宋_GB231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u w:val="single"/>
        </w:rPr>
        <w:t xml:space="preserve"> </w:t>
      </w:r>
      <w:r>
        <w:rPr>
          <w:rFonts w:hint="eastAsia" w:ascii="仿宋_GB2312" w:hAnsi="宋体" w:eastAsia="仿宋_GB2312"/>
          <w:b/>
          <w:bCs/>
          <w:sz w:val="24"/>
          <w:highlight w:val="none"/>
          <w:u w:val="single"/>
        </w:rPr>
        <w:t>（单位名称）</w:t>
      </w:r>
      <w:r>
        <w:rPr>
          <w:rFonts w:ascii="仿宋_GB2312" w:hAnsi="宋体" w:eastAsia="仿宋_GB2312"/>
          <w:b/>
          <w:bCs/>
          <w:sz w:val="24"/>
          <w:highlight w:val="none"/>
          <w:u w:val="single"/>
        </w:rPr>
        <w:t xml:space="preserve"> </w:t>
      </w:r>
      <w:r>
        <w:rPr>
          <w:rFonts w:hint="eastAsia" w:ascii="仿宋_GB2312" w:hAnsi="宋体" w:eastAsia="仿宋_GB2312"/>
          <w:sz w:val="24"/>
          <w:highlight w:val="none"/>
        </w:rPr>
        <w:t>的</w:t>
      </w:r>
      <w:r>
        <w:rPr>
          <w:rFonts w:hint="eastAsia" w:ascii="仿宋_GB2312" w:hAnsi="宋体" w:eastAsia="仿宋_GB2312"/>
          <w:sz w:val="24"/>
          <w:highlight w:val="none"/>
          <w:lang w:val="en-US" w:eastAsia="zh-CN"/>
        </w:rPr>
        <w:t xml:space="preserve">  </w:t>
      </w:r>
      <w:r>
        <w:rPr>
          <w:rFonts w:hint="eastAsia" w:ascii="仿宋_GB2312" w:hAnsi="仿宋" w:eastAsia="仿宋_GB2312" w:cs="仿宋_GB2312"/>
          <w:b/>
          <w:bCs/>
          <w:sz w:val="24"/>
          <w:highlight w:val="none"/>
          <w:u w:val="single"/>
          <w:lang w:val="en-US" w:eastAsia="zh-CN"/>
        </w:rPr>
        <w:t>（项目名称）</w:t>
      </w:r>
      <w:r>
        <w:rPr>
          <w:rFonts w:hint="eastAsia" w:ascii="仿宋_GB2312" w:hAnsi="仿宋" w:eastAsia="仿宋_GB2312" w:cs="仿宋_GB2312"/>
          <w:sz w:val="24"/>
          <w:highlight w:val="none"/>
          <w:u w:val="single"/>
          <w:lang w:val="en-US" w:eastAsia="zh-CN"/>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中型企业、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小型企业、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 xml:space="preserve">微型企业） </w:t>
      </w:r>
      <w:r>
        <w:rPr>
          <w:rFonts w:hint="eastAsia" w:ascii="仿宋_GB2312" w:hAnsi="宋体" w:eastAsia="仿宋_GB2312"/>
          <w:sz w:val="24"/>
          <w:highlight w:val="none"/>
        </w:rPr>
        <w:t>；</w:t>
      </w:r>
    </w:p>
    <w:p>
      <w:pPr>
        <w:spacing w:line="360" w:lineRule="auto"/>
        <w:ind w:firstLine="480" w:firstLineChars="200"/>
        <w:jc w:val="left"/>
        <w:rPr>
          <w:rFonts w:hint="eastAsia" w:ascii="仿宋_GB2312" w:hAnsi="宋体" w:eastAsia="仿宋_GB2312"/>
          <w:sz w:val="24"/>
          <w:highlight w:val="none"/>
        </w:rPr>
      </w:pP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highlight w:val="none"/>
        </w:rPr>
      </w:pP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hint="eastAsia" w:ascii="仿宋_GB2312" w:hAnsi="宋体" w:eastAsia="仿宋_GB2312"/>
          <w:sz w:val="24"/>
          <w:highlight w:val="none"/>
          <w:lang w:eastAsia="zh-CN"/>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r>
        <w:rPr>
          <w:rFonts w:hint="eastAsia" w:ascii="仿宋_GB2312" w:hAnsi="宋体" w:eastAsia="仿宋_GB2312"/>
          <w:sz w:val="24"/>
          <w:highlight w:val="none"/>
          <w:lang w:val="en-US" w:eastAsia="zh-CN"/>
        </w:rPr>
        <w:t xml:space="preserve">202 </w:t>
      </w:r>
      <w:r>
        <w:rPr>
          <w:rFonts w:hint="eastAsia" w:ascii="仿宋_GB2312" w:hAnsi="宋体" w:eastAsia="仿宋_GB2312"/>
          <w:sz w:val="24"/>
          <w:highlight w:val="none"/>
          <w:lang w:eastAsia="zh-CN"/>
        </w:rPr>
        <w:t>年</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月</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日</w:t>
      </w:r>
    </w:p>
    <w:p>
      <w:pPr>
        <w:pStyle w:val="2"/>
        <w:rPr>
          <w:rFonts w:hint="eastAsia"/>
          <w:lang w:eastAsia="zh-CN"/>
        </w:rPr>
      </w:pP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jc w:val="left"/>
        <w:rPr>
          <w:rFonts w:ascii="仿宋_GB2312" w:hAnsi="仿宋" w:eastAsia="仿宋_GB2312" w:cs="仿宋_GB2312"/>
          <w:sz w:val="24"/>
          <w:highlight w:val="none"/>
        </w:rPr>
      </w:pPr>
    </w:p>
    <w:p>
      <w:pPr>
        <w:widowControl/>
        <w:spacing w:before="0" w:beforeAutospacing="0" w:after="0" w:afterAutospacing="0"/>
        <w:ind w:left="0" w:right="0"/>
        <w:jc w:val="left"/>
        <w:textAlignment w:val="bottom"/>
        <w:rPr>
          <w:rFonts w:hint="eastAsia" w:ascii="宋体" w:hAnsi="宋体" w:cs="宋体"/>
          <w:b/>
          <w:kern w:val="0"/>
          <w:sz w:val="32"/>
          <w:szCs w:val="32"/>
          <w:lang w:bidi="ar"/>
        </w:rPr>
        <w:sectPr>
          <w:headerReference r:id="rId21" w:type="first"/>
          <w:footerReference r:id="rId23" w:type="first"/>
          <w:headerReference r:id="rId20" w:type="default"/>
          <w:footerReference r:id="rId22" w:type="default"/>
          <w:pgSz w:w="11905" w:h="16838"/>
          <w:pgMar w:top="1276" w:right="1417" w:bottom="1247" w:left="1417" w:header="851" w:footer="992" w:gutter="0"/>
          <w:pgNumType w:fmt="decimal"/>
          <w:cols w:space="0" w:num="1"/>
          <w:titlePg/>
          <w:rtlGutter w:val="0"/>
          <w:docGrid w:linePitch="312" w:charSpace="0"/>
        </w:sect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5" w:orient="landscape"/>
          <w:pgMar w:top="1417" w:right="1276" w:bottom="1417" w:left="1247" w:header="851" w:footer="992" w:gutter="0"/>
          <w:pgNumType w:fmt="decimal"/>
          <w:cols w:space="0" w:num="1"/>
          <w:titlePg/>
          <w:rtlGutter w:val="0"/>
          <w:docGrid w:linePitch="312" w:charSpace="0"/>
        </w:sectPr>
      </w:pPr>
    </w:p>
    <w:p/>
    <w:p>
      <w:pPr>
        <w:jc w:val="both"/>
        <w:rPr>
          <w:rFonts w:hint="eastAsia"/>
          <w:b/>
          <w:sz w:val="48"/>
          <w:szCs w:val="48"/>
        </w:rPr>
      </w:pPr>
      <w:r>
        <w:rPr>
          <w:rFonts w:hint="eastAsia"/>
          <w:sz w:val="30"/>
          <w:szCs w:val="30"/>
          <w:u w:val="none"/>
          <w:lang w:val="en-US" w:eastAsia="zh-CN"/>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r>
        <w:rPr>
          <w:rFonts w:hint="eastAsia"/>
          <w:sz w:val="30"/>
          <w:szCs w:val="30"/>
          <w:u w:val="single"/>
          <w:lang w:val="en-US" w:eastAsia="zh-CN"/>
        </w:rPr>
        <w:t xml:space="preserve">耀华建设管理有限公司 </w:t>
      </w:r>
      <w:r>
        <w:rPr>
          <w:rFonts w:hint="eastAsia"/>
          <w:sz w:val="30"/>
          <w:szCs w:val="30"/>
        </w:rPr>
        <w:t>：</w:t>
      </w:r>
    </w:p>
    <w:p>
      <w:pPr>
        <w:spacing w:line="780" w:lineRule="exact"/>
        <w:ind w:firstLine="600" w:firstLineChars="200"/>
        <w:rPr>
          <w:rFonts w:hint="eastAsia"/>
          <w:sz w:val="30"/>
          <w:szCs w:val="30"/>
        </w:rPr>
      </w:pPr>
      <w:r>
        <w:rPr>
          <w:rFonts w:hint="eastAsia"/>
          <w:sz w:val="30"/>
          <w:szCs w:val="30"/>
          <w:u w:val="none"/>
          <w:lang w:val="en-US" w:eastAsia="zh-CN"/>
        </w:rPr>
        <w:t>我单位参与投标的</w:t>
      </w:r>
      <w:r>
        <w:rPr>
          <w:rFonts w:hint="eastAsia"/>
          <w:sz w:val="30"/>
          <w:szCs w:val="30"/>
          <w:u w:val="single"/>
          <w:lang w:val="en-US" w:eastAsia="zh-CN"/>
        </w:rPr>
        <w:t xml:space="preserve">   （项目名称）   </w:t>
      </w:r>
      <w:r>
        <w:rPr>
          <w:rFonts w:hint="eastAsia"/>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sz w:val="30"/>
          <w:szCs w:val="30"/>
        </w:rPr>
        <w:t>，本公司承诺：</w:t>
      </w:r>
    </w:p>
    <w:p>
      <w:pPr>
        <w:spacing w:line="780" w:lineRule="exact"/>
        <w:ind w:firstLine="600" w:firstLineChars="200"/>
        <w:rPr>
          <w:rFonts w:hint="eastAsia" w:eastAsia="宋体"/>
          <w:sz w:val="30"/>
          <w:szCs w:val="30"/>
          <w:lang w:eastAsia="zh-CN"/>
        </w:rPr>
      </w:pPr>
      <w:r>
        <w:rPr>
          <w:rFonts w:hint="eastAsia"/>
          <w:sz w:val="30"/>
          <w:szCs w:val="30"/>
          <w:lang w:eastAsia="zh-CN"/>
        </w:rPr>
        <w:t>本单位</w:t>
      </w:r>
      <w:r>
        <w:rPr>
          <w:rFonts w:hint="eastAsia"/>
          <w:sz w:val="30"/>
          <w:szCs w:val="30"/>
        </w:rPr>
        <w:t>提交给</w:t>
      </w:r>
      <w:r>
        <w:rPr>
          <w:rFonts w:hint="eastAsia"/>
          <w:sz w:val="30"/>
          <w:szCs w:val="30"/>
          <w:lang w:eastAsia="zh-CN"/>
        </w:rPr>
        <w:t>招标代理机构备案的</w:t>
      </w:r>
      <w:r>
        <w:rPr>
          <w:rFonts w:hint="eastAsia"/>
          <w:sz w:val="30"/>
          <w:szCs w:val="30"/>
          <w:u w:val="single"/>
          <w:lang w:eastAsia="zh-CN"/>
        </w:rPr>
        <w:t>投标文件</w:t>
      </w:r>
      <w:r>
        <w:rPr>
          <w:rFonts w:hint="eastAsia"/>
          <w:sz w:val="30"/>
          <w:szCs w:val="30"/>
          <w:u w:val="single"/>
        </w:rPr>
        <w:t>纸质</w:t>
      </w:r>
      <w:r>
        <w:rPr>
          <w:rFonts w:hint="eastAsia"/>
          <w:sz w:val="30"/>
          <w:szCs w:val="30"/>
          <w:u w:val="single"/>
          <w:lang w:eastAsia="zh-CN"/>
        </w:rPr>
        <w:t>版</w:t>
      </w:r>
      <w:r>
        <w:rPr>
          <w:rFonts w:hint="eastAsia"/>
          <w:sz w:val="30"/>
          <w:szCs w:val="30"/>
        </w:rPr>
        <w:t>与</w:t>
      </w:r>
      <w:r>
        <w:rPr>
          <w:rFonts w:hint="eastAsia"/>
          <w:sz w:val="30"/>
          <w:szCs w:val="30"/>
          <w:u w:val="single"/>
        </w:rPr>
        <w:t>电子</w:t>
      </w:r>
      <w:r>
        <w:rPr>
          <w:rFonts w:hint="eastAsia"/>
          <w:sz w:val="30"/>
          <w:szCs w:val="30"/>
          <w:u w:val="single"/>
          <w:lang w:eastAsia="zh-CN"/>
        </w:rPr>
        <w:t>投标文件</w:t>
      </w:r>
      <w:r>
        <w:rPr>
          <w:rFonts w:hint="eastAsia"/>
          <w:sz w:val="30"/>
          <w:szCs w:val="30"/>
        </w:rPr>
        <w:t>内容均一致，</w:t>
      </w:r>
      <w:r>
        <w:rPr>
          <w:rFonts w:hint="eastAsia"/>
          <w:sz w:val="30"/>
          <w:szCs w:val="30"/>
          <w:lang w:eastAsia="zh-CN"/>
        </w:rPr>
        <w:t>如不一致导致的任何法律责任自付。特此承诺！</w:t>
      </w:r>
    </w:p>
    <w:p>
      <w:pPr>
        <w:spacing w:line="780" w:lineRule="exact"/>
        <w:ind w:firstLine="450" w:firstLineChars="150"/>
        <w:rPr>
          <w:rFonts w:hint="eastAsia"/>
          <w:sz w:val="30"/>
          <w:szCs w:val="30"/>
        </w:rPr>
      </w:pPr>
    </w:p>
    <w:p>
      <w:pPr>
        <w:spacing w:line="780" w:lineRule="exact"/>
        <w:jc w:val="both"/>
        <w:rPr>
          <w:rFonts w:hint="eastAsia"/>
          <w:sz w:val="30"/>
          <w:szCs w:val="30"/>
          <w:lang w:eastAsia="zh-CN"/>
        </w:rPr>
      </w:pPr>
    </w:p>
    <w:p>
      <w:pPr>
        <w:spacing w:line="780" w:lineRule="exact"/>
        <w:jc w:val="both"/>
        <w:rPr>
          <w:rFonts w:hint="eastAsia"/>
          <w:sz w:val="30"/>
          <w:szCs w:val="30"/>
          <w:lang w:eastAsia="zh-CN"/>
        </w:rPr>
      </w:pPr>
    </w:p>
    <w:p>
      <w:pPr>
        <w:spacing w:line="780" w:lineRule="exact"/>
        <w:jc w:val="both"/>
        <w:rPr>
          <w:rFonts w:hint="eastAsia"/>
          <w:sz w:val="30"/>
          <w:szCs w:val="30"/>
        </w:rPr>
      </w:pPr>
      <w:r>
        <w:rPr>
          <w:rFonts w:hint="eastAsia"/>
          <w:sz w:val="30"/>
          <w:szCs w:val="30"/>
          <w:lang w:eastAsia="zh-CN"/>
        </w:rPr>
        <w:t>投标人名称（盖公章）：</w:t>
      </w:r>
    </w:p>
    <w:p>
      <w:pPr>
        <w:spacing w:line="780" w:lineRule="exact"/>
        <w:ind w:firstLine="5850" w:firstLineChars="1950"/>
        <w:rPr>
          <w:rFonts w:hint="eastAsia"/>
          <w:sz w:val="30"/>
          <w:szCs w:val="30"/>
        </w:rPr>
      </w:pPr>
      <w:r>
        <w:rPr>
          <w:rFonts w:hint="eastAsia"/>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Pr>
        <w:rPr>
          <w:lang w:val="en-US"/>
        </w:rPr>
      </w:pPr>
    </w:p>
    <w:p>
      <w:pPr>
        <w:pStyle w:val="968"/>
        <w:numPr>
          <w:ilvl w:val="-1"/>
          <w:numId w:val="0"/>
        </w:numPr>
        <w:snapToGrid w:val="0"/>
        <w:spacing w:before="120" w:after="120"/>
        <w:jc w:val="both"/>
        <w:rPr>
          <w:rFonts w:hint="eastAsia" w:hAnsi="宋体" w:cs="宋体"/>
          <w:b/>
          <w:sz w:val="28"/>
          <w:szCs w:val="28"/>
          <w:highlight w:val="yellow"/>
        </w:rPr>
      </w:pPr>
    </w:p>
    <w:p>
      <w:pPr>
        <w:pStyle w:val="968"/>
        <w:numPr>
          <w:ilvl w:val="-1"/>
          <w:numId w:val="0"/>
        </w:numPr>
        <w:snapToGrid w:val="0"/>
        <w:spacing w:before="120" w:after="120"/>
        <w:jc w:val="both"/>
        <w:rPr>
          <w:rFonts w:hint="eastAsia" w:hAnsi="宋体" w:cs="宋体"/>
          <w:b/>
          <w:sz w:val="28"/>
          <w:szCs w:val="28"/>
          <w:highlight w:val="yellow"/>
        </w:rPr>
      </w:pPr>
    </w:p>
    <w:p>
      <w:pPr>
        <w:pStyle w:val="968"/>
        <w:numPr>
          <w:ilvl w:val="-1"/>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68"/>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68"/>
        <w:snapToGrid w:val="0"/>
        <w:spacing w:before="120" w:after="120"/>
        <w:jc w:val="center"/>
        <w:rPr>
          <w:rFonts w:hint="eastAsia" w:hAnsi="宋体" w:cs="宋体"/>
          <w:b/>
          <w:sz w:val="32"/>
          <w:szCs w:val="32"/>
          <w:highlight w:val="none"/>
        </w:rPr>
      </w:pPr>
    </w:p>
    <w:p>
      <w:pPr>
        <w:pStyle w:val="968"/>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68"/>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u w:val="single"/>
          <w:lang w:val="en-US" w:eastAsia="zh-CN"/>
        </w:rPr>
        <w:t>采购人、代理机构</w:t>
      </w: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68"/>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69"/>
        <w:widowControl/>
        <w:numPr>
          <w:ilvl w:val="0"/>
          <w:numId w:val="5"/>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9"/>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69"/>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69"/>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68"/>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69"/>
        <w:widowControl/>
        <w:numPr>
          <w:ilvl w:val="0"/>
          <w:numId w:val="6"/>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69"/>
        <w:widowControl/>
        <w:numPr>
          <w:ilvl w:val="0"/>
          <w:numId w:val="6"/>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68"/>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68"/>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spacing w:line="360" w:lineRule="auto"/>
        <w:ind w:right="420"/>
      </w:pPr>
    </w:p>
    <w:p>
      <w:pPr>
        <w:spacing w:line="360" w:lineRule="auto"/>
        <w:rPr>
          <w:rFonts w:ascii="仿宋" w:hAnsi="仿宋" w:eastAsia="仿宋"/>
          <w:bCs/>
          <w:sz w:val="24"/>
        </w:rPr>
      </w:pPr>
    </w:p>
    <w:sectPr>
      <w:pgSz w:w="11905"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algun Gothic Semilight">
    <w:altName w:val="宋体"/>
    <w:panose1 w:val="020B0502040204020203"/>
    <w:charset w:val="86"/>
    <w:family w:val="swiss"/>
    <w:pitch w:val="default"/>
    <w:sig w:usb0="00000000" w:usb1="00000000" w:usb2="00000012" w:usb3="00000000" w:csb0="203E01BD" w:csb1="D7FF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399</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6B92"/>
    <w:multiLevelType w:val="singleLevel"/>
    <w:tmpl w:val="80DE6B92"/>
    <w:lvl w:ilvl="0" w:tentative="0">
      <w:start w:val="3"/>
      <w:numFmt w:val="decimal"/>
      <w:lvlText w:val="%1."/>
      <w:lvlJc w:val="left"/>
      <w:pPr>
        <w:tabs>
          <w:tab w:val="left" w:pos="312"/>
        </w:tabs>
      </w:p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B8058E68"/>
    <w:multiLevelType w:val="singleLevel"/>
    <w:tmpl w:val="B8058E68"/>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14B4932"/>
    <w:multiLevelType w:val="singleLevel"/>
    <w:tmpl w:val="714B4932"/>
    <w:lvl w:ilvl="0" w:tentative="0">
      <w:start w:val="1"/>
      <w:numFmt w:val="chineseCounting"/>
      <w:suff w:val="nothing"/>
      <w:lvlText w:val="%1、"/>
      <w:lvlJc w:val="left"/>
      <w:rPr>
        <w:rFonts w:hint="eastAsi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9C6131"/>
    <w:rsid w:val="03D03647"/>
    <w:rsid w:val="03DD35E4"/>
    <w:rsid w:val="04076900"/>
    <w:rsid w:val="041A5A3B"/>
    <w:rsid w:val="042311BA"/>
    <w:rsid w:val="042B157A"/>
    <w:rsid w:val="048F763B"/>
    <w:rsid w:val="049F330E"/>
    <w:rsid w:val="04AA775C"/>
    <w:rsid w:val="04AF1889"/>
    <w:rsid w:val="04DB09BB"/>
    <w:rsid w:val="04F66F48"/>
    <w:rsid w:val="05251E14"/>
    <w:rsid w:val="05A16594"/>
    <w:rsid w:val="05A7762D"/>
    <w:rsid w:val="06022AFF"/>
    <w:rsid w:val="060E5941"/>
    <w:rsid w:val="06110FAF"/>
    <w:rsid w:val="06493CA7"/>
    <w:rsid w:val="065A6178"/>
    <w:rsid w:val="066F1CF3"/>
    <w:rsid w:val="06930BB8"/>
    <w:rsid w:val="06D32CB2"/>
    <w:rsid w:val="06F80AFB"/>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C11EE9"/>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7DC8"/>
    <w:rsid w:val="0D827401"/>
    <w:rsid w:val="0D84094E"/>
    <w:rsid w:val="0D8A00E9"/>
    <w:rsid w:val="0D8D589E"/>
    <w:rsid w:val="0DA01C73"/>
    <w:rsid w:val="0DC80CC4"/>
    <w:rsid w:val="0DCD01D9"/>
    <w:rsid w:val="0DD63300"/>
    <w:rsid w:val="0DF50604"/>
    <w:rsid w:val="0DF702FE"/>
    <w:rsid w:val="0E060E51"/>
    <w:rsid w:val="0E4D2D7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855D5"/>
    <w:rsid w:val="10C26171"/>
    <w:rsid w:val="10EC101A"/>
    <w:rsid w:val="10F33360"/>
    <w:rsid w:val="10FC16EA"/>
    <w:rsid w:val="110F1D40"/>
    <w:rsid w:val="111D46BF"/>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6E1C8E"/>
    <w:rsid w:val="14982588"/>
    <w:rsid w:val="149A5AD9"/>
    <w:rsid w:val="14A7619D"/>
    <w:rsid w:val="150536C3"/>
    <w:rsid w:val="150C1963"/>
    <w:rsid w:val="151447A0"/>
    <w:rsid w:val="154A6454"/>
    <w:rsid w:val="15762120"/>
    <w:rsid w:val="15FE4FD0"/>
    <w:rsid w:val="16A8729C"/>
    <w:rsid w:val="16B33777"/>
    <w:rsid w:val="16BC70A7"/>
    <w:rsid w:val="16C6339E"/>
    <w:rsid w:val="172F2D79"/>
    <w:rsid w:val="17557BEF"/>
    <w:rsid w:val="17875F03"/>
    <w:rsid w:val="17BF5F86"/>
    <w:rsid w:val="17D349C1"/>
    <w:rsid w:val="1830729E"/>
    <w:rsid w:val="1870062C"/>
    <w:rsid w:val="18817102"/>
    <w:rsid w:val="18830A15"/>
    <w:rsid w:val="18852B28"/>
    <w:rsid w:val="188B5321"/>
    <w:rsid w:val="19932372"/>
    <w:rsid w:val="19A20DD5"/>
    <w:rsid w:val="19AE03F1"/>
    <w:rsid w:val="1A071A03"/>
    <w:rsid w:val="1A1F16AE"/>
    <w:rsid w:val="1A323CF2"/>
    <w:rsid w:val="1A3B5C77"/>
    <w:rsid w:val="1A984BAD"/>
    <w:rsid w:val="1AB8220E"/>
    <w:rsid w:val="1ABF0FF7"/>
    <w:rsid w:val="1AD82707"/>
    <w:rsid w:val="1AE4166C"/>
    <w:rsid w:val="1AF06CFB"/>
    <w:rsid w:val="1AF11B8D"/>
    <w:rsid w:val="1B11359C"/>
    <w:rsid w:val="1B2A271F"/>
    <w:rsid w:val="1B530544"/>
    <w:rsid w:val="1B713184"/>
    <w:rsid w:val="1BA209CF"/>
    <w:rsid w:val="1BB4777D"/>
    <w:rsid w:val="1BD75AB8"/>
    <w:rsid w:val="1C0459C2"/>
    <w:rsid w:val="1C1B3B4A"/>
    <w:rsid w:val="1C203898"/>
    <w:rsid w:val="1C88086E"/>
    <w:rsid w:val="1D266CE1"/>
    <w:rsid w:val="1D3963AF"/>
    <w:rsid w:val="1D6220E7"/>
    <w:rsid w:val="1D6A673C"/>
    <w:rsid w:val="1D9247AE"/>
    <w:rsid w:val="1DB567EC"/>
    <w:rsid w:val="1DBF5A9A"/>
    <w:rsid w:val="1DF51A98"/>
    <w:rsid w:val="1E3D060F"/>
    <w:rsid w:val="1E3F7D2E"/>
    <w:rsid w:val="1E4134E4"/>
    <w:rsid w:val="1E5062B3"/>
    <w:rsid w:val="1E523514"/>
    <w:rsid w:val="1E714A66"/>
    <w:rsid w:val="1E802593"/>
    <w:rsid w:val="1EA703CC"/>
    <w:rsid w:val="1EAE512F"/>
    <w:rsid w:val="1EB7330C"/>
    <w:rsid w:val="1F0A0FF3"/>
    <w:rsid w:val="1F5771FF"/>
    <w:rsid w:val="1F7A4175"/>
    <w:rsid w:val="1FE868A9"/>
    <w:rsid w:val="20034907"/>
    <w:rsid w:val="20173E4B"/>
    <w:rsid w:val="20247B33"/>
    <w:rsid w:val="20361BDE"/>
    <w:rsid w:val="204E48BC"/>
    <w:rsid w:val="208921B3"/>
    <w:rsid w:val="20973DEB"/>
    <w:rsid w:val="20B26522"/>
    <w:rsid w:val="20B44310"/>
    <w:rsid w:val="211116EB"/>
    <w:rsid w:val="216133FC"/>
    <w:rsid w:val="21D03B4C"/>
    <w:rsid w:val="21D56769"/>
    <w:rsid w:val="21E52EF3"/>
    <w:rsid w:val="21FB5D7B"/>
    <w:rsid w:val="220B1C3D"/>
    <w:rsid w:val="221D1D20"/>
    <w:rsid w:val="22334A87"/>
    <w:rsid w:val="22BE6801"/>
    <w:rsid w:val="22C32B48"/>
    <w:rsid w:val="230B62A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42318"/>
    <w:rsid w:val="25A917A6"/>
    <w:rsid w:val="25BE27CC"/>
    <w:rsid w:val="25D0267F"/>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86EA1"/>
    <w:rsid w:val="29C17889"/>
    <w:rsid w:val="29F26D24"/>
    <w:rsid w:val="2A15033F"/>
    <w:rsid w:val="2A1662C1"/>
    <w:rsid w:val="2A1821E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491818"/>
    <w:rsid w:val="2D8A5D8A"/>
    <w:rsid w:val="2DD15014"/>
    <w:rsid w:val="2DD84FAF"/>
    <w:rsid w:val="2DF72DE4"/>
    <w:rsid w:val="2E0220AF"/>
    <w:rsid w:val="2E4B082A"/>
    <w:rsid w:val="2E5D4E86"/>
    <w:rsid w:val="2E5D790B"/>
    <w:rsid w:val="2E9A3C18"/>
    <w:rsid w:val="2EBB0FEE"/>
    <w:rsid w:val="2EC63002"/>
    <w:rsid w:val="2F0A6B38"/>
    <w:rsid w:val="2F946CCB"/>
    <w:rsid w:val="2FD25781"/>
    <w:rsid w:val="2FD85D33"/>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781935"/>
    <w:rsid w:val="37B039E8"/>
    <w:rsid w:val="37EE7094"/>
    <w:rsid w:val="38296C89"/>
    <w:rsid w:val="383002EB"/>
    <w:rsid w:val="38586797"/>
    <w:rsid w:val="386D2B2A"/>
    <w:rsid w:val="38BC0149"/>
    <w:rsid w:val="38D87D1C"/>
    <w:rsid w:val="39636459"/>
    <w:rsid w:val="396B7F6C"/>
    <w:rsid w:val="39B40600"/>
    <w:rsid w:val="39B417A9"/>
    <w:rsid w:val="39FC5695"/>
    <w:rsid w:val="3A006D8E"/>
    <w:rsid w:val="3A3651E5"/>
    <w:rsid w:val="3A4C6A14"/>
    <w:rsid w:val="3A744481"/>
    <w:rsid w:val="3A8C7BEF"/>
    <w:rsid w:val="3A906246"/>
    <w:rsid w:val="3B2349B7"/>
    <w:rsid w:val="3B616CFF"/>
    <w:rsid w:val="3B6259F6"/>
    <w:rsid w:val="3B976654"/>
    <w:rsid w:val="3BC01EFC"/>
    <w:rsid w:val="3BCA786A"/>
    <w:rsid w:val="3BD31E2F"/>
    <w:rsid w:val="3BF15831"/>
    <w:rsid w:val="3C105946"/>
    <w:rsid w:val="3C1C5271"/>
    <w:rsid w:val="3C471448"/>
    <w:rsid w:val="3C5F759A"/>
    <w:rsid w:val="3C6C525A"/>
    <w:rsid w:val="3CCB21B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A7C39"/>
    <w:rsid w:val="4019356B"/>
    <w:rsid w:val="40592157"/>
    <w:rsid w:val="406E1CAE"/>
    <w:rsid w:val="40A0133A"/>
    <w:rsid w:val="40A175C4"/>
    <w:rsid w:val="40C31A53"/>
    <w:rsid w:val="40FF545D"/>
    <w:rsid w:val="410067C8"/>
    <w:rsid w:val="412544FF"/>
    <w:rsid w:val="418F0D2A"/>
    <w:rsid w:val="41D01505"/>
    <w:rsid w:val="42297D7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32098"/>
    <w:rsid w:val="449101DD"/>
    <w:rsid w:val="44DE1391"/>
    <w:rsid w:val="451B225C"/>
    <w:rsid w:val="452410C9"/>
    <w:rsid w:val="45317DFB"/>
    <w:rsid w:val="456D3CE4"/>
    <w:rsid w:val="4579042C"/>
    <w:rsid w:val="457F0571"/>
    <w:rsid w:val="45851176"/>
    <w:rsid w:val="45BE334A"/>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0ECE"/>
    <w:rsid w:val="4AB82D0F"/>
    <w:rsid w:val="4AEB7664"/>
    <w:rsid w:val="4AFD7C19"/>
    <w:rsid w:val="4B0567D1"/>
    <w:rsid w:val="4B236AAE"/>
    <w:rsid w:val="4B707271"/>
    <w:rsid w:val="4B9739F7"/>
    <w:rsid w:val="4BEE2503"/>
    <w:rsid w:val="4C245A30"/>
    <w:rsid w:val="4CB6685F"/>
    <w:rsid w:val="4CC367FE"/>
    <w:rsid w:val="4D077F3C"/>
    <w:rsid w:val="4D123355"/>
    <w:rsid w:val="4D272AD5"/>
    <w:rsid w:val="4D2A3B31"/>
    <w:rsid w:val="4D312C52"/>
    <w:rsid w:val="4D905305"/>
    <w:rsid w:val="4D964A72"/>
    <w:rsid w:val="4D9C1254"/>
    <w:rsid w:val="4E793892"/>
    <w:rsid w:val="4E800872"/>
    <w:rsid w:val="4EC569ED"/>
    <w:rsid w:val="4ED50EA1"/>
    <w:rsid w:val="4EEC050C"/>
    <w:rsid w:val="4F104EC3"/>
    <w:rsid w:val="4F47354A"/>
    <w:rsid w:val="4F72556E"/>
    <w:rsid w:val="4F911C54"/>
    <w:rsid w:val="4FE625E0"/>
    <w:rsid w:val="5021480F"/>
    <w:rsid w:val="50750E8F"/>
    <w:rsid w:val="50962ECB"/>
    <w:rsid w:val="50A42E38"/>
    <w:rsid w:val="50A4577F"/>
    <w:rsid w:val="50B73D1F"/>
    <w:rsid w:val="50BD5BC9"/>
    <w:rsid w:val="50C11EEE"/>
    <w:rsid w:val="50CA7505"/>
    <w:rsid w:val="50E97CFC"/>
    <w:rsid w:val="50FA4028"/>
    <w:rsid w:val="510D65B7"/>
    <w:rsid w:val="511157AB"/>
    <w:rsid w:val="5142540C"/>
    <w:rsid w:val="518832C8"/>
    <w:rsid w:val="51A0432A"/>
    <w:rsid w:val="51A86090"/>
    <w:rsid w:val="51B7396D"/>
    <w:rsid w:val="51C86B64"/>
    <w:rsid w:val="520D4E40"/>
    <w:rsid w:val="522E4CC3"/>
    <w:rsid w:val="5244713B"/>
    <w:rsid w:val="52615633"/>
    <w:rsid w:val="5292555D"/>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91363"/>
    <w:rsid w:val="54B3506A"/>
    <w:rsid w:val="54B64766"/>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A718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555F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BF52211"/>
    <w:rsid w:val="5C02690E"/>
    <w:rsid w:val="5C196DA7"/>
    <w:rsid w:val="5C2A048C"/>
    <w:rsid w:val="5C37052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B416B"/>
    <w:rsid w:val="619F7F92"/>
    <w:rsid w:val="61F94C26"/>
    <w:rsid w:val="62000E56"/>
    <w:rsid w:val="620152D8"/>
    <w:rsid w:val="624F3E49"/>
    <w:rsid w:val="62632286"/>
    <w:rsid w:val="62885958"/>
    <w:rsid w:val="62F40B65"/>
    <w:rsid w:val="62FC2CFE"/>
    <w:rsid w:val="63024505"/>
    <w:rsid w:val="635803E4"/>
    <w:rsid w:val="635B1DB5"/>
    <w:rsid w:val="63711FED"/>
    <w:rsid w:val="63880DDC"/>
    <w:rsid w:val="638D750D"/>
    <w:rsid w:val="63AC6CC0"/>
    <w:rsid w:val="64055776"/>
    <w:rsid w:val="64240056"/>
    <w:rsid w:val="643E143A"/>
    <w:rsid w:val="64854F93"/>
    <w:rsid w:val="648B6EEF"/>
    <w:rsid w:val="64C158BF"/>
    <w:rsid w:val="64CE2EAA"/>
    <w:rsid w:val="653C3090"/>
    <w:rsid w:val="65854376"/>
    <w:rsid w:val="658767BE"/>
    <w:rsid w:val="65892531"/>
    <w:rsid w:val="660E491E"/>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82B92"/>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40368"/>
    <w:rsid w:val="6CF17EE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0033A7"/>
    <w:rsid w:val="72154626"/>
    <w:rsid w:val="72192A65"/>
    <w:rsid w:val="72262B5D"/>
    <w:rsid w:val="72283FF7"/>
    <w:rsid w:val="722E7212"/>
    <w:rsid w:val="723A0474"/>
    <w:rsid w:val="725923E4"/>
    <w:rsid w:val="72864BF7"/>
    <w:rsid w:val="729023FC"/>
    <w:rsid w:val="73105F81"/>
    <w:rsid w:val="73982B4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B079E"/>
    <w:rsid w:val="79A97383"/>
    <w:rsid w:val="79CB2A4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3602"/>
    <w:rsid w:val="7BA85A1D"/>
    <w:rsid w:val="7BEE0103"/>
    <w:rsid w:val="7C0A0FE4"/>
    <w:rsid w:val="7C254906"/>
    <w:rsid w:val="7C590818"/>
    <w:rsid w:val="7C7C10F6"/>
    <w:rsid w:val="7C853BEA"/>
    <w:rsid w:val="7C881368"/>
    <w:rsid w:val="7CD2582C"/>
    <w:rsid w:val="7CE27788"/>
    <w:rsid w:val="7D074823"/>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首行缩进 21"/>
    <w:basedOn w:val="84"/>
    <w:next w:val="1"/>
    <w:qFormat/>
    <w:uiPriority w:val="0"/>
    <w:pPr>
      <w:ind w:firstLine="210"/>
    </w:pPr>
  </w:style>
  <w:style w:type="paragraph" w:customStyle="1" w:styleId="84">
    <w:name w:val="正文文本缩进1"/>
    <w:basedOn w:val="1"/>
    <w:next w:val="1"/>
    <w:qFormat/>
    <w:uiPriority w:val="0"/>
    <w:pPr>
      <w:widowControl/>
      <w:spacing w:after="120"/>
      <w:ind w:left="420"/>
    </w:pPr>
    <w:rPr>
      <w:color w:val="000000"/>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5"/>
    <w:qFormat/>
    <w:uiPriority w:val="0"/>
    <w:pPr>
      <w:spacing w:before="156" w:line="360" w:lineRule="auto"/>
      <w:ind w:firstLine="510" w:firstLineChars="200"/>
    </w:pPr>
    <w:rPr>
      <w:sz w:val="24"/>
      <w:szCs w:val="20"/>
    </w:rPr>
  </w:style>
  <w:style w:type="paragraph" w:customStyle="1" w:styleId="92">
    <w:name w:val="无间隔1"/>
    <w:link w:val="673"/>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1"/>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6"/>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8"/>
    <w:qFormat/>
    <w:uiPriority w:val="0"/>
    <w:pPr>
      <w:adjustRightInd/>
      <w:spacing w:line="360" w:lineRule="auto"/>
      <w:ind w:firstLine="480" w:firstLineChars="200"/>
    </w:pPr>
    <w:rPr>
      <w:kern w:val="0"/>
      <w:sz w:val="24"/>
    </w:rPr>
  </w:style>
  <w:style w:type="paragraph" w:customStyle="1" w:styleId="104">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799"/>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1"/>
    <w:qFormat/>
    <w:uiPriority w:val="0"/>
    <w:pPr>
      <w:tabs>
        <w:tab w:val="left" w:pos="2356"/>
      </w:tabs>
    </w:pPr>
  </w:style>
  <w:style w:type="paragraph" w:customStyle="1" w:styleId="109">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4"/>
    <w:qFormat/>
    <w:uiPriority w:val="0"/>
    <w:pPr>
      <w:adjustRightInd/>
    </w:pPr>
    <w:rPr>
      <w:rFonts w:ascii="宋体" w:hAnsi="Courier New"/>
      <w:kern w:val="0"/>
      <w:sz w:val="20"/>
      <w:szCs w:val="20"/>
    </w:rPr>
  </w:style>
  <w:style w:type="paragraph" w:customStyle="1" w:styleId="112">
    <w:name w:val="正文说明"/>
    <w:basedOn w:val="1"/>
    <w:link w:val="846"/>
    <w:qFormat/>
    <w:uiPriority w:val="0"/>
    <w:pPr>
      <w:adjustRightInd/>
      <w:spacing w:line="360" w:lineRule="auto"/>
    </w:pPr>
    <w:rPr>
      <w:kern w:val="0"/>
      <w:sz w:val="24"/>
    </w:rPr>
  </w:style>
  <w:style w:type="paragraph" w:customStyle="1" w:styleId="113">
    <w:name w:val="Table Text"/>
    <w:basedOn w:val="1"/>
    <w:link w:val="852"/>
    <w:qFormat/>
    <w:uiPriority w:val="0"/>
    <w:pPr>
      <w:widowControl/>
      <w:spacing w:before="60" w:after="60"/>
      <w:jc w:val="left"/>
    </w:pPr>
    <w:rPr>
      <w:kern w:val="0"/>
      <w:sz w:val="24"/>
    </w:rPr>
  </w:style>
  <w:style w:type="paragraph" w:customStyle="1" w:styleId="114">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2"/>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2">
    <w:name w:val="表格非标题文字 Char"/>
    <w:link w:val="86"/>
    <w:qFormat/>
    <w:uiPriority w:val="0"/>
    <w:rPr>
      <w:rFonts w:ascii="Futura Bk" w:hAnsi="Futura Bk"/>
      <w:kern w:val="2"/>
      <w:sz w:val="18"/>
      <w:szCs w:val="21"/>
      <w:lang w:val="en-US" w:eastAsia="zh-CN" w:bidi="ar-SA"/>
    </w:rPr>
  </w:style>
  <w:style w:type="character" w:customStyle="1" w:styleId="623">
    <w:name w:val="*正文 Char"/>
    <w:link w:val="87"/>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8"/>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9"/>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90"/>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1"/>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2"/>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3"/>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5"/>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6"/>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7"/>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8"/>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100"/>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1"/>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2"/>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3"/>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4"/>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5"/>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basedOn w:val="69"/>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7"/>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10"/>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1"/>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69"/>
    <w:qFormat/>
    <w:uiPriority w:val="0"/>
    <w:rPr>
      <w:rFonts w:hint="eastAsia" w:ascii="仿宋" w:hAnsi="仿宋" w:eastAsia="仿宋" w:cs="仿宋"/>
      <w:color w:val="000000"/>
      <w:sz w:val="20"/>
      <w:szCs w:val="20"/>
      <w:u w:val="none"/>
    </w:rPr>
  </w:style>
  <w:style w:type="character" w:customStyle="1" w:styleId="846">
    <w:name w:val="正文说明 Char"/>
    <w:link w:val="112"/>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3"/>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4"/>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5"/>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6"/>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7"/>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8"/>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9"/>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20"/>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1"/>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2"/>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72"/>
    <w:qFormat/>
    <w:uiPriority w:val="99"/>
    <w:rPr>
      <w:kern w:val="2"/>
      <w:sz w:val="21"/>
      <w:szCs w:val="22"/>
    </w:rPr>
  </w:style>
  <w:style w:type="character" w:customStyle="1" w:styleId="943">
    <w:name w:val="标准文本 Char Char"/>
    <w:link w:val="609"/>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67">
    <w:name w:val="No Spacing1"/>
    <w:qFormat/>
    <w:uiPriority w:val="0"/>
    <w:rPr>
      <w:rFonts w:ascii="Times New Roman" w:hAnsi="Times New Roman" w:eastAsia="??" w:cs="宋体"/>
      <w:sz w:val="22"/>
      <w:szCs w:val="22"/>
      <w:lang w:val="en-US" w:eastAsia="en-US" w:bidi="ar-SA"/>
    </w:rPr>
  </w:style>
  <w:style w:type="paragraph" w:customStyle="1" w:styleId="968">
    <w:name w:val="Plain Text"/>
    <w:basedOn w:val="1"/>
    <w:qFormat/>
    <w:uiPriority w:val="0"/>
    <w:pPr>
      <w:spacing w:before="156" w:beforeLines="50" w:after="156" w:afterLines="50" w:line="400" w:lineRule="exact"/>
    </w:pPr>
    <w:rPr>
      <w:rFonts w:ascii="宋体" w:hAnsi="Courier New"/>
      <w:sz w:val="24"/>
    </w:rPr>
  </w:style>
  <w:style w:type="paragraph" w:customStyle="1" w:styleId="96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成燕</cp:lastModifiedBy>
  <cp:lastPrinted>2022-03-05T02:58:00Z</cp:lastPrinted>
  <dcterms:modified xsi:type="dcterms:W3CDTF">2022-03-05T10:32:14Z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B17B91AA2D9F4F59B130B3D208EE2786</vt:lpwstr>
  </property>
</Properties>
</file>