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rPr>
      </w:pPr>
    </w:p>
    <w:p>
      <w:pPr>
        <w:jc w:val="center"/>
        <w:outlineLvl w:val="0"/>
        <w:rPr>
          <w:rFonts w:hint="default" w:ascii="仿宋" w:hAnsi="仿宋" w:eastAsia="仿宋" w:cs="仿宋"/>
          <w:b/>
          <w:bCs/>
          <w:sz w:val="44"/>
          <w:szCs w:val="44"/>
          <w:lang w:val="en-US" w:eastAsia="zh-CN"/>
        </w:rPr>
      </w:pPr>
      <w:r>
        <w:rPr>
          <w:rFonts w:hint="eastAsia" w:ascii="仿宋" w:hAnsi="仿宋" w:eastAsia="仿宋" w:cs="仿宋"/>
          <w:b/>
          <w:bCs/>
          <w:w w:val="90"/>
          <w:sz w:val="44"/>
          <w:szCs w:val="44"/>
          <w:lang w:eastAsia="zh-CN"/>
        </w:rPr>
        <w:t>绍兴博物馆可移动文物数字化保护利用项目</w:t>
      </w:r>
    </w:p>
    <w:p>
      <w:pPr>
        <w:pStyle w:val="80"/>
        <w:rPr>
          <w:rFonts w:hint="eastAsia"/>
        </w:rPr>
      </w:pPr>
    </w:p>
    <w:p>
      <w:pPr>
        <w:pStyle w:val="80"/>
        <w:rPr>
          <w:rFonts w:hint="eastAsia"/>
        </w:rPr>
      </w:pPr>
    </w:p>
    <w:p>
      <w:pPr>
        <w:pStyle w:val="81"/>
        <w:rPr>
          <w:rFonts w:hint="eastAsia" w:eastAsia="仿宋"/>
        </w:rPr>
      </w:pPr>
    </w:p>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21"/>
          <w:szCs w:val="21"/>
        </w:rPr>
      </w:pPr>
      <w:r>
        <w:rPr>
          <w:rFonts w:hint="eastAsia" w:ascii="仿宋" w:hAnsi="仿宋" w:eastAsia="仿宋" w:cs="仿宋"/>
          <w:b/>
          <w:sz w:val="21"/>
          <w:szCs w:val="21"/>
        </w:rPr>
        <w:t xml:space="preserve"> </w:t>
      </w:r>
    </w:p>
    <w:p>
      <w:pPr>
        <w:spacing w:line="360" w:lineRule="auto"/>
        <w:rPr>
          <w:rFonts w:hint="eastAsia" w:ascii="仿宋" w:hAnsi="仿宋" w:eastAsia="仿宋" w:cs="仿宋"/>
          <w:b/>
          <w:sz w:val="21"/>
          <w:szCs w:val="21"/>
        </w:rPr>
      </w:pPr>
    </w:p>
    <w:p>
      <w:pPr>
        <w:spacing w:line="360" w:lineRule="auto"/>
        <w:rPr>
          <w:rFonts w:hint="eastAsia" w:ascii="仿宋" w:hAnsi="仿宋" w:eastAsia="仿宋" w:cs="仿宋"/>
          <w:b/>
          <w:sz w:val="21"/>
          <w:szCs w:val="21"/>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招标编号:YH202</w:t>
      </w:r>
      <w:r>
        <w:rPr>
          <w:rFonts w:hint="eastAsia" w:ascii="仿宋" w:hAnsi="仿宋" w:eastAsia="仿宋" w:cs="仿宋"/>
          <w:b/>
          <w:sz w:val="28"/>
          <w:szCs w:val="28"/>
          <w:lang w:val="en-US" w:eastAsia="zh-CN"/>
        </w:rPr>
        <w:t>4</w:t>
      </w:r>
      <w:r>
        <w:rPr>
          <w:rFonts w:hint="eastAsia" w:ascii="仿宋" w:hAnsi="仿宋" w:eastAsia="仿宋" w:cs="仿宋"/>
          <w:b/>
          <w:sz w:val="28"/>
          <w:szCs w:val="28"/>
        </w:rPr>
        <w:t>-</w:t>
      </w:r>
      <w:r>
        <w:rPr>
          <w:rFonts w:hint="eastAsia" w:ascii="仿宋" w:hAnsi="仿宋" w:eastAsia="仿宋" w:cs="仿宋"/>
          <w:b/>
          <w:sz w:val="28"/>
          <w:szCs w:val="28"/>
          <w:lang w:val="en-US" w:eastAsia="zh-CN"/>
        </w:rPr>
        <w:t>03003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bCs/>
                <w:sz w:val="28"/>
                <w:szCs w:val="28"/>
                <w:lang w:eastAsia="zh-CN"/>
              </w:rPr>
              <w:t>绍兴博物馆</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四</w:t>
            </w:r>
            <w:r>
              <w:rPr>
                <w:rFonts w:hint="eastAsia" w:ascii="仿宋" w:hAnsi="仿宋" w:eastAsia="仿宋" w:cs="仿宋"/>
                <w:sz w:val="28"/>
                <w:szCs w:val="28"/>
              </w:rPr>
              <w:t>月</w:t>
            </w:r>
          </w:p>
        </w:tc>
      </w:tr>
    </w:tbl>
    <w:p>
      <w:pPr>
        <w:pStyle w:val="636"/>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绍兴博物馆可移动文物数字化保护利用项目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"https://www.zcygov.cn/）获取（下载）招标文件，并于2023年9月%20日%20点%20分00秒" </w:instrText>
      </w:r>
      <w:r>
        <w:fldChar w:fldCharType="separate"/>
      </w:r>
      <w:r>
        <w:rPr>
          <w:rStyle w:val="77"/>
          <w:rFonts w:hint="eastAsia" w:ascii="仿宋" w:hAnsi="仿宋" w:eastAsia="仿宋" w:cs="仿宋"/>
          <w:snapToGrid/>
          <w:kern w:val="2"/>
          <w:sz w:val="24"/>
          <w:szCs w:val="24"/>
        </w:rPr>
        <w:t>https://www.zcygov.cn/）获取（下载）招标文件，并于202</w:t>
      </w:r>
      <w:r>
        <w:rPr>
          <w:rStyle w:val="77"/>
          <w:rFonts w:hint="eastAsia" w:ascii="仿宋" w:hAnsi="仿宋" w:eastAsia="仿宋" w:cs="仿宋"/>
          <w:snapToGrid/>
          <w:kern w:val="2"/>
          <w:sz w:val="24"/>
          <w:szCs w:val="24"/>
          <w:lang w:val="en-US" w:eastAsia="zh-CN"/>
        </w:rPr>
        <w:t>4</w:t>
      </w:r>
      <w:r>
        <w:rPr>
          <w:rStyle w:val="77"/>
          <w:rFonts w:hint="eastAsia" w:ascii="仿宋" w:hAnsi="仿宋" w:eastAsia="仿宋" w:cs="仿宋"/>
          <w:snapToGrid/>
          <w:kern w:val="2"/>
          <w:sz w:val="24"/>
          <w:szCs w:val="24"/>
        </w:rPr>
        <w:t>年</w:t>
      </w:r>
      <w:r>
        <w:rPr>
          <w:rStyle w:val="77"/>
          <w:rFonts w:hint="eastAsia" w:ascii="仿宋" w:hAnsi="仿宋" w:eastAsia="仿宋" w:cs="仿宋"/>
          <w:snapToGrid/>
          <w:kern w:val="2"/>
          <w:sz w:val="24"/>
          <w:szCs w:val="24"/>
          <w:lang w:val="en-US" w:eastAsia="zh-CN"/>
        </w:rPr>
        <w:t>4</w:t>
      </w:r>
      <w:r>
        <w:rPr>
          <w:rStyle w:val="77"/>
          <w:rFonts w:hint="eastAsia" w:ascii="仿宋" w:hAnsi="仿宋" w:eastAsia="仿宋" w:cs="仿宋"/>
          <w:snapToGrid/>
          <w:kern w:val="2"/>
          <w:sz w:val="24"/>
          <w:szCs w:val="24"/>
        </w:rPr>
        <w:t>月</w:t>
      </w:r>
      <w:r>
        <w:rPr>
          <w:rStyle w:val="77"/>
          <w:rFonts w:hint="eastAsia" w:ascii="仿宋" w:hAnsi="仿宋" w:eastAsia="仿宋" w:cs="仿宋"/>
          <w:snapToGrid/>
          <w:kern w:val="2"/>
          <w:sz w:val="24"/>
          <w:szCs w:val="24"/>
          <w:lang w:val="en-US" w:eastAsia="zh-CN"/>
        </w:rPr>
        <w:t>23</w:t>
      </w:r>
      <w:r>
        <w:rPr>
          <w:rStyle w:val="77"/>
          <w:rFonts w:hint="eastAsia" w:ascii="仿宋" w:hAnsi="仿宋" w:eastAsia="仿宋" w:cs="仿宋"/>
          <w:snapToGrid/>
          <w:kern w:val="2"/>
          <w:sz w:val="24"/>
          <w:szCs w:val="24"/>
        </w:rPr>
        <w:t>日</w:t>
      </w:r>
      <w:r>
        <w:rPr>
          <w:rStyle w:val="77"/>
          <w:rFonts w:hint="eastAsia" w:ascii="仿宋" w:hAnsi="仿宋" w:eastAsia="仿宋" w:cs="仿宋"/>
          <w:snapToGrid/>
          <w:kern w:val="2"/>
          <w:sz w:val="24"/>
          <w:szCs w:val="24"/>
          <w:lang w:val="en-US" w:eastAsia="zh-CN"/>
        </w:rPr>
        <w:t>09</w:t>
      </w:r>
      <w:r>
        <w:rPr>
          <w:rStyle w:val="77"/>
          <w:rFonts w:hint="eastAsia" w:ascii="仿宋" w:hAnsi="仿宋" w:eastAsia="仿宋" w:cs="仿宋"/>
          <w:snapToGrid/>
          <w:kern w:val="2"/>
          <w:sz w:val="24"/>
          <w:szCs w:val="24"/>
        </w:rPr>
        <w:t>点</w:t>
      </w:r>
      <w:r>
        <w:rPr>
          <w:rStyle w:val="77"/>
          <w:rFonts w:hint="eastAsia" w:ascii="仿宋" w:hAnsi="仿宋" w:eastAsia="仿宋" w:cs="仿宋"/>
          <w:snapToGrid/>
          <w:kern w:val="2"/>
          <w:sz w:val="24"/>
          <w:szCs w:val="24"/>
          <w:lang w:val="en-US" w:eastAsia="zh-CN"/>
        </w:rPr>
        <w:t>00</w:t>
      </w:r>
      <w:r>
        <w:rPr>
          <w:rStyle w:val="77"/>
          <w:rFonts w:hint="eastAsia" w:ascii="仿宋" w:hAnsi="仿宋" w:eastAsia="仿宋" w:cs="仿宋"/>
          <w:snapToGrid/>
          <w:kern w:val="2"/>
          <w:sz w:val="24"/>
          <w:szCs w:val="24"/>
        </w:rPr>
        <w:t>分</w:t>
      </w:r>
      <w:r>
        <w:rPr>
          <w:rStyle w:val="77"/>
          <w:rFonts w:hint="eastAsia" w:ascii="仿宋" w:hAnsi="仿宋" w:eastAsia="仿宋" w:cs="仿宋"/>
          <w:bCs/>
          <w:snapToGrid/>
          <w:kern w:val="2"/>
          <w:sz w:val="24"/>
          <w:szCs w:val="24"/>
        </w:rPr>
        <w:t>00秒</w:t>
      </w:r>
      <w:r>
        <w:rPr>
          <w:rStyle w:val="77"/>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lang w:val="en-US" w:eastAsia="zh-CN"/>
        </w:rPr>
        <w:t>YH2024-03003</w:t>
      </w:r>
    </w:p>
    <w:p>
      <w:pPr>
        <w:spacing w:line="360" w:lineRule="auto"/>
        <w:ind w:firstLine="482" w:firstLineChars="200"/>
        <w:rPr>
          <w:rFonts w:hint="eastAsia" w:ascii="仿宋" w:hAnsi="仿宋" w:eastAsia="仿宋" w:cs="仿宋"/>
          <w:sz w:val="24"/>
          <w:lang w:val="en-US" w:eastAsia="zh-CN"/>
        </w:rPr>
      </w:pPr>
      <w:r>
        <w:rPr>
          <w:rFonts w:hint="eastAsia" w:ascii="仿宋" w:hAnsi="仿宋" w:eastAsia="仿宋" w:cs="仿宋"/>
          <w:b/>
          <w:sz w:val="24"/>
        </w:rPr>
        <w:t>项目名称：</w:t>
      </w:r>
      <w:r>
        <w:rPr>
          <w:rFonts w:hint="eastAsia" w:ascii="仿宋" w:hAnsi="仿宋" w:eastAsia="仿宋" w:cs="仿宋"/>
          <w:b w:val="0"/>
          <w:bCs/>
          <w:sz w:val="24"/>
          <w:lang w:eastAsia="zh-CN"/>
        </w:rPr>
        <w:t>绍兴博物馆可移动文物数字化保护利用项目</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预算金额（元）</w:t>
      </w:r>
      <w:r>
        <w:rPr>
          <w:rFonts w:hint="eastAsia" w:ascii="仿宋" w:hAnsi="仿宋" w:eastAsia="仿宋" w:cs="仿宋"/>
          <w:color w:val="auto"/>
          <w:sz w:val="24"/>
        </w:rPr>
        <w:t>：</w:t>
      </w:r>
      <w:r>
        <w:rPr>
          <w:rFonts w:hint="eastAsia" w:ascii="仿宋" w:hAnsi="仿宋" w:eastAsia="仿宋" w:cs="仿宋"/>
          <w:color w:val="auto"/>
          <w:sz w:val="24"/>
          <w:lang w:val="en-US" w:eastAsia="zh-CN"/>
        </w:rPr>
        <w:t xml:space="preserve">60500 </w:t>
      </w:r>
      <w:r>
        <w:rPr>
          <w:rFonts w:hint="eastAsia" w:ascii="仿宋" w:hAnsi="仿宋" w:eastAsia="仿宋" w:cs="仿宋"/>
          <w:color w:val="auto"/>
          <w:sz w:val="24"/>
        </w:rPr>
        <w:t xml:space="preserve"> </w:t>
      </w:r>
    </w:p>
    <w:p>
      <w:pPr>
        <w:spacing w:line="360" w:lineRule="auto"/>
        <w:ind w:firstLine="482" w:firstLineChars="200"/>
        <w:rPr>
          <w:rFonts w:ascii="仿宋" w:hAnsi="仿宋" w:eastAsia="仿宋" w:cs="仿宋"/>
          <w:b/>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60500</w:t>
      </w:r>
      <w:r>
        <w:rPr>
          <w:rFonts w:hint="eastAsia" w:ascii="仿宋" w:hAnsi="仿宋" w:eastAsia="仿宋" w:cs="仿宋"/>
          <w:color w:val="auto"/>
          <w:sz w:val="24"/>
          <w:lang w:val="en-US" w:eastAsia="zh-CN"/>
        </w:rPr>
        <w:t xml:space="preserve"> </w:t>
      </w:r>
      <w:r>
        <w:rPr>
          <w:rFonts w:hint="eastAsia" w:ascii="仿宋" w:hAnsi="仿宋" w:eastAsia="仿宋" w:cs="仿宋"/>
          <w:sz w:val="24"/>
        </w:rPr>
        <w:t xml:space="preserve">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绍兴博物馆可移动文物数字化保护利用项目</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pPr>
        <w:spacing w:line="360" w:lineRule="auto"/>
        <w:ind w:firstLine="480" w:firstLineChars="200"/>
        <w:rPr>
          <w:rFonts w:hint="default" w:ascii="仿宋" w:hAnsi="仿宋" w:eastAsia="仿宋" w:cs="仿宋"/>
          <w:bCs/>
          <w:sz w:val="24"/>
          <w:lang w:val="en-US"/>
        </w:rPr>
      </w:pPr>
      <w:r>
        <w:rPr>
          <w:rFonts w:hint="eastAsia" w:ascii="仿宋" w:hAnsi="仿宋" w:eastAsia="仿宋" w:cs="仿宋"/>
          <w:bCs/>
          <w:sz w:val="24"/>
        </w:rPr>
        <w:t>预算金额</w:t>
      </w:r>
      <w:r>
        <w:rPr>
          <w:rFonts w:hint="eastAsia" w:ascii="仿宋" w:hAnsi="仿宋" w:eastAsia="仿宋" w:cs="仿宋"/>
          <w:sz w:val="24"/>
        </w:rPr>
        <w:t>（元）</w:t>
      </w:r>
      <w:r>
        <w:rPr>
          <w:rFonts w:hint="eastAsia" w:ascii="仿宋" w:hAnsi="仿宋" w:eastAsia="仿宋" w:cs="仿宋"/>
          <w:bCs/>
          <w:sz w:val="24"/>
        </w:rPr>
        <w:t>：</w:t>
      </w:r>
      <w:r>
        <w:rPr>
          <w:rFonts w:hint="eastAsia" w:ascii="仿宋" w:hAnsi="仿宋" w:eastAsia="仿宋" w:cs="仿宋"/>
          <w:bCs/>
          <w:sz w:val="24"/>
          <w:lang w:val="en-US" w:eastAsia="zh-CN"/>
        </w:rPr>
        <w:t>60500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color w:val="000000"/>
          <w:kern w:val="0"/>
          <w:sz w:val="24"/>
        </w:rPr>
        <w:sym w:font="Wingdings" w:char="00FE"/>
      </w:r>
      <w:r>
        <w:rPr>
          <w:rFonts w:hint="eastAsia" w:ascii="仿宋" w:hAnsi="仿宋" w:eastAsia="仿宋" w:cs="仿宋"/>
          <w:b/>
          <w:sz w:val="24"/>
        </w:rPr>
        <w:t>是，☐否。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color w:val="FF0000"/>
          <w:sz w:val="24"/>
        </w:rPr>
      </w:pPr>
      <w:r>
        <w:rPr>
          <w:rFonts w:hint="eastAsia" w:ascii="仿宋" w:hAnsi="仿宋" w:eastAsia="仿宋" w:cs="仿宋"/>
          <w:sz w:val="24"/>
        </w:rPr>
        <w:t>4.本项目的特定资格要求：</w:t>
      </w:r>
      <w:r>
        <w:rPr>
          <w:rFonts w:hint="eastAsia" w:ascii="仿宋" w:hAnsi="仿宋" w:eastAsia="仿宋" w:cs="仿宋"/>
          <w:color w:val="auto"/>
          <w:kern w:val="2"/>
          <w:sz w:val="24"/>
          <w:szCs w:val="24"/>
          <w:highlight w:val="none"/>
          <w:lang w:val="en-US" w:eastAsia="zh-CN" w:bidi="ar"/>
        </w:rPr>
        <w:t>无</w:t>
      </w:r>
      <w:r>
        <w:rPr>
          <w:rFonts w:hint="eastAsia" w:ascii="仿宋" w:hAnsi="仿宋" w:eastAsia="仿宋" w:cs="仿宋"/>
          <w:color w:val="auto"/>
          <w:kern w:val="2"/>
          <w:sz w:val="24"/>
          <w:szCs w:val="24"/>
          <w:highlight w:val="none"/>
          <w:lang w:val="en-US" w:eastAsia="zh-CN" w:bidi="ar"/>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4</w:t>
      </w:r>
      <w:r>
        <w:rPr>
          <w:rFonts w:hint="eastAsia" w:ascii="仿宋" w:hAnsi="仿宋" w:eastAsia="仿宋" w:cs="仿宋"/>
          <w:sz w:val="24"/>
          <w:u w:val="single"/>
        </w:rPr>
        <w:t>月</w:t>
      </w:r>
      <w:r>
        <w:rPr>
          <w:rFonts w:hint="eastAsia" w:ascii="仿宋" w:hAnsi="仿宋" w:eastAsia="仿宋" w:cs="仿宋"/>
          <w:sz w:val="24"/>
          <w:u w:val="single"/>
          <w:lang w:val="en-US" w:eastAsia="zh-CN"/>
        </w:rPr>
        <w:t>23</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4</w:t>
      </w:r>
      <w:r>
        <w:rPr>
          <w:rFonts w:hint="eastAsia" w:ascii="仿宋" w:hAnsi="仿宋" w:eastAsia="仿宋" w:cs="仿宋"/>
          <w:sz w:val="24"/>
          <w:u w:val="single"/>
        </w:rPr>
        <w:t>月</w:t>
      </w:r>
      <w:r>
        <w:rPr>
          <w:rFonts w:hint="eastAsia" w:ascii="仿宋" w:hAnsi="仿宋" w:eastAsia="仿宋" w:cs="仿宋"/>
          <w:sz w:val="24"/>
          <w:u w:val="single"/>
          <w:lang w:val="en-US" w:eastAsia="zh-CN"/>
        </w:rPr>
        <w:t>23</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4</w:t>
      </w:r>
      <w:r>
        <w:rPr>
          <w:rFonts w:hint="eastAsia" w:ascii="仿宋" w:hAnsi="仿宋" w:eastAsia="仿宋" w:cs="仿宋"/>
          <w:sz w:val="24"/>
          <w:u w:val="single"/>
        </w:rPr>
        <w:t>月</w:t>
      </w:r>
      <w:r>
        <w:rPr>
          <w:rFonts w:hint="eastAsia" w:ascii="仿宋" w:hAnsi="仿宋" w:eastAsia="仿宋" w:cs="仿宋"/>
          <w:sz w:val="24"/>
          <w:u w:val="single"/>
          <w:lang w:val="en-US" w:eastAsia="zh-CN"/>
        </w:rPr>
        <w:t>23</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sz w:val="24"/>
          <w:highlight w:val="none"/>
        </w:rPr>
        <w:t>行。</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ind w:left="0" w:firstLine="482" w:firstLineChars="200"/>
        <w:rPr>
          <w:rFonts w:ascii="仿宋" w:eastAsia="仿宋" w:cs="仿宋"/>
          <w:sz w:val="24"/>
          <w:szCs w:val="24"/>
        </w:rPr>
      </w:pPr>
      <w:bookmarkStart w:id="5" w:name="_Toc28359096"/>
      <w:bookmarkStart w:id="6" w:name="_Toc28359019"/>
      <w:bookmarkStart w:id="7" w:name="_Toc3539380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hint="default" w:ascii="仿宋" w:hAnsi="仿宋" w:eastAsia="仿宋" w:cs="仿宋"/>
          <w:sz w:val="24"/>
          <w:lang w:val="en-US"/>
        </w:rPr>
      </w:pPr>
      <w:bookmarkStart w:id="9" w:name="_Toc35393638"/>
      <w:bookmarkStart w:id="10" w:name="_Toc28359020"/>
      <w:bookmarkStart w:id="11" w:name="_Toc28359097"/>
      <w:bookmarkStart w:id="12" w:name="_Toc35393807"/>
      <w:r>
        <w:rPr>
          <w:rFonts w:hint="eastAsia" w:ascii="仿宋" w:hAnsi="仿宋" w:eastAsia="仿宋" w:cs="仿宋"/>
          <w:sz w:val="24"/>
        </w:rPr>
        <w:t>名称：</w:t>
      </w:r>
      <w:r>
        <w:rPr>
          <w:rFonts w:hint="eastAsia" w:ascii="仿宋" w:hAnsi="仿宋" w:eastAsia="仿宋" w:cs="仿宋"/>
          <w:sz w:val="24"/>
          <w:lang w:eastAsia="zh-CN"/>
        </w:rPr>
        <w:t>绍兴博物馆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地址：绍兴市</w:t>
      </w:r>
      <w:r>
        <w:rPr>
          <w:rFonts w:hint="eastAsia" w:ascii="仿宋" w:hAnsi="仿宋" w:eastAsia="仿宋" w:cs="仿宋"/>
          <w:sz w:val="24"/>
          <w:lang w:eastAsia="zh-CN"/>
        </w:rPr>
        <w:t>越城区偏门直街</w:t>
      </w:r>
      <w:r>
        <w:rPr>
          <w:rFonts w:hint="eastAsia" w:ascii="仿宋" w:hAnsi="仿宋" w:eastAsia="仿宋" w:cs="仿宋"/>
          <w:sz w:val="24"/>
          <w:lang w:val="en-US" w:eastAsia="zh-CN"/>
        </w:rPr>
        <w:t>75号</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史霖</w:t>
      </w:r>
    </w:p>
    <w:p>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13735296726</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张瑶</w:t>
      </w:r>
    </w:p>
    <w:p>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0575-85096362</w:t>
      </w:r>
    </w:p>
    <w:p>
      <w:pPr>
        <w:pStyle w:val="4"/>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名称：耀华建设管理有限公司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项目联系人（询问）：郭虹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项目联系方式（询问）：0575-88776697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质疑联系人：单成燕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pPr>
        <w:spacing w:line="360" w:lineRule="auto"/>
        <w:ind w:firstLine="482" w:firstLineChars="200"/>
        <w:rPr>
          <w:rFonts w:ascii="仿宋" w:hAnsi="仿宋" w:eastAsia="仿宋" w:cs="仿宋"/>
          <w:b/>
          <w:sz w:val="24"/>
        </w:rPr>
      </w:pPr>
      <w:bookmarkStart w:id="13" w:name="_Toc28359098"/>
      <w:bookmarkStart w:id="14" w:name="_Toc28359021"/>
      <w:bookmarkStart w:id="15" w:name="_Toc35393639"/>
      <w:bookmarkStart w:id="16"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名称：绍兴市财政局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地址：绍兴市越城区凤林西路151号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监督投诉电话：0575-85209806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 xml:space="preserve"> 租赁和商务服务业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color w:val="000000"/>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color w:val="000000"/>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CN"/>
              </w:rPr>
              <w:t>中标人需向采购代理机构支付</w:t>
            </w:r>
            <w:r>
              <w:rPr>
                <w:rFonts w:hint="eastAsia" w:ascii="仿宋" w:hAnsi="仿宋" w:eastAsia="仿宋" w:cs="仿宋"/>
                <w:b w:val="0"/>
                <w:bCs/>
                <w:sz w:val="24"/>
              </w:rPr>
              <w:t>代理服务费</w:t>
            </w:r>
            <w:r>
              <w:rPr>
                <w:rFonts w:hint="eastAsia" w:ascii="仿宋" w:hAnsi="仿宋" w:eastAsia="仿宋" w:cs="仿宋"/>
                <w:b w:val="0"/>
                <w:bCs/>
                <w:sz w:val="24"/>
                <w:lang w:val="en-US" w:eastAsia="zh-CN"/>
              </w:rPr>
              <w:t>5000元。</w:t>
            </w:r>
          </w:p>
          <w:p>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hint="eastAsia" w:ascii="仿宋" w:hAnsi="仿宋" w:eastAsia="仿宋" w:cs="仿宋"/>
                <w:sz w:val="24"/>
              </w:rPr>
            </w:pPr>
            <w:r>
              <w:rPr>
                <w:rFonts w:hint="eastAsia" w:ascii="仿宋" w:hAnsi="仿宋" w:eastAsia="仿宋" w:cs="仿宋"/>
                <w:sz w:val="24"/>
              </w:rPr>
              <w:t>账    号：336006190018819003083</w:t>
            </w:r>
          </w:p>
          <w:p>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pPr>
              <w:spacing w:line="336" w:lineRule="auto"/>
              <w:rPr>
                <w:rFonts w:ascii="仿宋" w:hAnsi="仿宋" w:eastAsia="仿宋" w:cs="仿宋"/>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第三部分"/>
      <w:bookmarkStart w:id="18" w:name="_Toc164416483"/>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ascii="仿宋" w:hAnsi="仿宋" w:eastAsia="仿宋"/>
          <w:sz w:val="24"/>
        </w:rPr>
        <w:t>3.4</w:t>
      </w:r>
      <w:r>
        <w:rPr>
          <w:rFonts w:hint="eastAsia" w:ascii="仿宋" w:hAnsi="仿宋" w:eastAsia="仿宋"/>
          <w:bCs/>
          <w:sz w:val="24"/>
        </w:rPr>
        <w:t>支持科技创新创新发展</w:t>
      </w:r>
    </w:p>
    <w:p>
      <w:pPr>
        <w:spacing w:line="440" w:lineRule="exact"/>
        <w:ind w:firstLine="480" w:firstLineChars="200"/>
        <w:rPr>
          <w:rFonts w:ascii="仿宋" w:hAnsi="仿宋" w:eastAsia="仿宋"/>
          <w:sz w:val="24"/>
        </w:rPr>
      </w:pPr>
      <w:r>
        <w:rPr>
          <w:rFonts w:hint="eastAsia" w:ascii="仿宋" w:hAnsi="仿宋" w:eastAsia="仿宋"/>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rPr>
      </w:pPr>
      <w:r>
        <w:rPr>
          <w:rFonts w:hint="eastAsia" w:ascii="仿宋" w:hAnsi="仿宋" w:eastAsia="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61"/>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61"/>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pPr>
        <w:pStyle w:val="61"/>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pPr>
        <w:pStyle w:val="61"/>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61"/>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61"/>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61"/>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61"/>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1"/>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19"/>
    <w:p>
      <w:pPr>
        <w:pStyle w:val="33"/>
        <w:spacing w:line="360" w:lineRule="auto"/>
        <w:ind w:firstLine="726"/>
        <w:jc w:val="center"/>
        <w:rPr>
          <w:rFonts w:ascii="仿宋" w:hAnsi="仿宋" w:eastAsia="仿宋" w:cs="仿宋"/>
          <w:b/>
          <w:sz w:val="32"/>
          <w:szCs w:val="32"/>
        </w:rPr>
      </w:pPr>
      <w:bookmarkStart w:id="20" w:name="_Hlt75236011"/>
      <w:bookmarkEnd w:id="20"/>
      <w:bookmarkStart w:id="21" w:name="_Hlt74730295"/>
      <w:bookmarkEnd w:id="21"/>
      <w:bookmarkStart w:id="22" w:name="_Hlt68403820"/>
      <w:bookmarkEnd w:id="22"/>
      <w:bookmarkStart w:id="23" w:name="_Hlt74714665"/>
      <w:bookmarkEnd w:id="23"/>
      <w:bookmarkStart w:id="24" w:name="_Hlt68072990"/>
      <w:bookmarkEnd w:id="24"/>
      <w:bookmarkStart w:id="25" w:name="_Hlt75236290"/>
      <w:bookmarkEnd w:id="25"/>
      <w:bookmarkStart w:id="26" w:name="_Hlt74729768"/>
      <w:bookmarkEnd w:id="26"/>
      <w:bookmarkStart w:id="27" w:name="_Hlt74707468"/>
      <w:bookmarkEnd w:id="27"/>
      <w:bookmarkStart w:id="28" w:name="_Hlt68073093"/>
      <w:bookmarkEnd w:id="28"/>
      <w:bookmarkStart w:id="29" w:name="_Hlt75236101"/>
      <w:bookmarkEnd w:id="29"/>
      <w:bookmarkStart w:id="30" w:name="_Hlt68057669"/>
      <w:bookmarkEnd w:id="30"/>
      <w:bookmarkStart w:id="31" w:name="_Hlt68072998"/>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4"/>
        <w:spacing w:line="440" w:lineRule="exact"/>
        <w:ind w:firstLine="480" w:firstLineChars="200"/>
        <w:rPr>
          <w:rFonts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spacing w:beforeLines="0" w:afterLines="0" w:line="400" w:lineRule="exact"/>
        <w:ind w:firstLine="482" w:firstLineChars="200"/>
        <w:rPr>
          <w:rFonts w:hint="eastAsia" w:ascii="仿宋" w:hAnsi="仿宋" w:eastAsia="仿宋" w:cs="仿宋"/>
          <w:b/>
          <w:color w:val="000000"/>
          <w:kern w:val="2"/>
          <w:sz w:val="24"/>
          <w:szCs w:val="24"/>
          <w:highlight w:val="none"/>
        </w:rPr>
      </w:pPr>
      <w:bookmarkStart w:id="36" w:name="第五部分"/>
      <w:bookmarkStart w:id="37" w:name="_Toc86217003"/>
      <w:r>
        <w:rPr>
          <w:rFonts w:hint="eastAsia" w:ascii="仿宋" w:hAnsi="仿宋" w:eastAsia="仿宋" w:cs="仿宋"/>
          <w:b/>
          <w:color w:val="000000"/>
          <w:kern w:val="2"/>
          <w:sz w:val="24"/>
          <w:szCs w:val="24"/>
          <w:highlight w:val="none"/>
          <w:lang w:bidi="ar"/>
        </w:rPr>
        <w:t>一、项目概述：</w:t>
      </w:r>
    </w:p>
    <w:p>
      <w:pPr>
        <w:spacing w:beforeLines="0" w:afterLines="0"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响应国家文物事业发展战略，聚焦绍兴博物馆可移动文物数字化保护实际需求，精选有代表性的珍贵文物进行数字资源的采集与制作，提升绍兴博物馆文物保护与信息化能力。</w:t>
      </w:r>
    </w:p>
    <w:p>
      <w:pPr>
        <w:numPr>
          <w:ilvl w:val="0"/>
          <w:numId w:val="0"/>
        </w:numPr>
        <w:spacing w:beforeLines="0" w:afterLines="0" w:line="400" w:lineRule="exact"/>
        <w:ind w:firstLine="482" w:firstLineChars="200"/>
        <w:rPr>
          <w:rFonts w:hint="eastAsia" w:ascii="仿宋" w:hAnsi="仿宋" w:eastAsia="仿宋" w:cs="仿宋"/>
          <w:b/>
          <w:color w:val="000000"/>
          <w:kern w:val="2"/>
          <w:sz w:val="24"/>
          <w:szCs w:val="24"/>
          <w:highlight w:val="none"/>
          <w:lang w:bidi="ar"/>
        </w:rPr>
      </w:pPr>
      <w:r>
        <w:rPr>
          <w:rFonts w:hint="eastAsia" w:ascii="仿宋" w:hAnsi="仿宋" w:eastAsia="仿宋" w:cs="仿宋"/>
          <w:b/>
          <w:color w:val="000000"/>
          <w:kern w:val="2"/>
          <w:sz w:val="24"/>
          <w:szCs w:val="24"/>
          <w:highlight w:val="none"/>
          <w:lang w:eastAsia="zh-CN" w:bidi="ar"/>
        </w:rPr>
        <w:t>二、</w:t>
      </w:r>
      <w:r>
        <w:rPr>
          <w:rFonts w:hint="eastAsia" w:ascii="仿宋" w:hAnsi="仿宋" w:eastAsia="仿宋" w:cs="仿宋"/>
          <w:b/>
          <w:color w:val="000000"/>
          <w:kern w:val="2"/>
          <w:sz w:val="24"/>
          <w:szCs w:val="24"/>
          <w:highlight w:val="none"/>
          <w:lang w:bidi="ar"/>
        </w:rPr>
        <w:t>服务内容</w:t>
      </w:r>
      <w:r>
        <w:rPr>
          <w:rFonts w:hint="eastAsia" w:ascii="仿宋" w:hAnsi="仿宋" w:eastAsia="仿宋" w:cs="仿宋"/>
          <w:b/>
          <w:color w:val="000000"/>
          <w:kern w:val="2"/>
          <w:sz w:val="24"/>
          <w:szCs w:val="24"/>
          <w:highlight w:val="none"/>
          <w:lang w:val="en-US" w:eastAsia="zh-CN" w:bidi="ar"/>
        </w:rPr>
        <w:t>及</w:t>
      </w:r>
      <w:r>
        <w:rPr>
          <w:rFonts w:hint="eastAsia" w:ascii="仿宋" w:hAnsi="仿宋" w:eastAsia="仿宋" w:cs="仿宋"/>
          <w:b/>
          <w:color w:val="000000"/>
          <w:kern w:val="2"/>
          <w:sz w:val="24"/>
          <w:szCs w:val="24"/>
          <w:highlight w:val="none"/>
          <w:lang w:bidi="ar"/>
        </w:rPr>
        <w:t>要求：</w:t>
      </w:r>
    </w:p>
    <w:p>
      <w:pPr>
        <w:spacing w:beforeLines="0" w:afterLines="0" w:line="400" w:lineRule="exact"/>
        <w:ind w:firstLine="480" w:firstLineChars="200"/>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w:t>
      </w:r>
      <w:r>
        <w:rPr>
          <w:rFonts w:hint="eastAsia" w:ascii="仿宋" w:hAnsi="仿宋" w:eastAsia="仿宋" w:cs="仿宋"/>
          <w:color w:val="auto"/>
          <w:kern w:val="2"/>
          <w:sz w:val="24"/>
          <w:szCs w:val="24"/>
          <w:highlight w:val="none"/>
          <w:lang w:val="en-US" w:eastAsia="en-US" w:bidi="ar"/>
        </w:rPr>
        <w:t>根据</w:t>
      </w:r>
      <w:r>
        <w:rPr>
          <w:rFonts w:hint="eastAsia" w:ascii="仿宋" w:hAnsi="仿宋" w:eastAsia="仿宋" w:cs="仿宋"/>
          <w:color w:val="auto"/>
          <w:kern w:val="2"/>
          <w:sz w:val="24"/>
          <w:szCs w:val="24"/>
          <w:highlight w:val="none"/>
          <w:lang w:val="en-US" w:eastAsia="zh-CN" w:bidi="ar"/>
        </w:rPr>
        <w:t>绍兴博物馆</w:t>
      </w:r>
      <w:r>
        <w:rPr>
          <w:rFonts w:hint="eastAsia" w:ascii="仿宋" w:hAnsi="仿宋" w:eastAsia="仿宋" w:cs="仿宋"/>
          <w:color w:val="auto"/>
          <w:kern w:val="2"/>
          <w:sz w:val="24"/>
          <w:szCs w:val="24"/>
          <w:highlight w:val="none"/>
          <w:lang w:val="en-US" w:eastAsia="en-US" w:bidi="ar"/>
        </w:rPr>
        <w:t>馆藏珍贵可移动文物数字化保护项目工作要求，编制文物数字化保护方案。服务内容为方案编制文本。</w:t>
      </w:r>
    </w:p>
    <w:p>
      <w:pPr>
        <w:spacing w:beforeLines="0" w:afterLines="0" w:line="400" w:lineRule="exact"/>
        <w:ind w:firstLine="480" w:firstLineChars="200"/>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2.具体招标清单和需求</w:t>
      </w:r>
    </w:p>
    <w:p>
      <w:pPr>
        <w:spacing w:beforeLines="0" w:afterLines="0"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根据项目要求，合理选择数字化技术采集、制定馆藏127件平面类文物、324件器物类文物高精度空间信息与纹理信息的存档级二维、三维纹理模型服务设计方案，并对加工、制作相应的应用级、展示级三维模型及展开图等数字资源提出技术要求；建设智能存储设备和数字资源管理模块，对已有数字资源和本次数字化成果进行统一存储、管理、共享，建设藏品全息展示系统，实现馆藏文物线上展示。</w:t>
      </w:r>
    </w:p>
    <w:p>
      <w:pPr>
        <w:spacing w:beforeLines="0" w:afterLines="0"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要注重方案的可操作性，提出实施中重要的和具有控制性的工程建设项目建议、实施的时序安排和相应的政策措施。</w:t>
      </w:r>
    </w:p>
    <w:p>
      <w:pPr>
        <w:spacing w:beforeLines="0" w:afterLines="0" w:line="400" w:lineRule="exact"/>
        <w:ind w:firstLine="480" w:firstLineChars="200"/>
        <w:rPr>
          <w:rFonts w:hint="default" w:ascii="仿宋" w:hAnsi="仿宋" w:eastAsia="仿宋" w:cs="仿宋"/>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bidi="ar"/>
        </w:rPr>
        <w:t>三</w:t>
      </w:r>
      <w:r>
        <w:rPr>
          <w:rFonts w:hint="eastAsia" w:ascii="仿宋" w:hAnsi="仿宋" w:eastAsia="仿宋" w:cs="仿宋"/>
          <w:b/>
          <w:color w:val="000000"/>
          <w:kern w:val="2"/>
          <w:sz w:val="24"/>
          <w:szCs w:val="24"/>
          <w:highlight w:val="none"/>
          <w:lang w:bidi="ar"/>
        </w:rPr>
        <w:t>、</w:t>
      </w:r>
      <w:r>
        <w:rPr>
          <w:rFonts w:hint="eastAsia" w:ascii="仿宋" w:hAnsi="仿宋" w:eastAsia="仿宋" w:cs="仿宋"/>
          <w:b/>
          <w:color w:val="000000"/>
          <w:kern w:val="2"/>
          <w:sz w:val="24"/>
          <w:szCs w:val="24"/>
          <w:highlight w:val="none"/>
          <w:lang w:eastAsia="zh-CN" w:bidi="ar"/>
        </w:rPr>
        <w:t>服务</w:t>
      </w:r>
      <w:r>
        <w:rPr>
          <w:rFonts w:hint="eastAsia" w:ascii="仿宋" w:hAnsi="仿宋" w:eastAsia="仿宋" w:cs="仿宋"/>
          <w:b/>
          <w:color w:val="000000"/>
          <w:kern w:val="2"/>
          <w:sz w:val="24"/>
          <w:szCs w:val="24"/>
          <w:highlight w:val="none"/>
          <w:lang w:bidi="ar"/>
        </w:rPr>
        <w:t>期限：</w:t>
      </w:r>
      <w:r>
        <w:rPr>
          <w:rFonts w:hint="eastAsia" w:ascii="仿宋" w:hAnsi="仿宋" w:eastAsia="仿宋" w:cs="仿宋"/>
          <w:kern w:val="2"/>
          <w:sz w:val="24"/>
          <w:szCs w:val="24"/>
          <w:highlight w:val="none"/>
          <w:lang w:bidi="ar"/>
        </w:rPr>
        <w:t>自本合同签署生效之日起</w:t>
      </w:r>
      <w:r>
        <w:rPr>
          <w:rFonts w:hint="eastAsia" w:ascii="仿宋" w:hAnsi="仿宋" w:eastAsia="仿宋" w:cs="仿宋"/>
          <w:kern w:val="2"/>
          <w:sz w:val="24"/>
          <w:szCs w:val="24"/>
          <w:highlight w:val="none"/>
          <w:lang w:val="en-US" w:eastAsia="zh-CN" w:bidi="ar"/>
        </w:rPr>
        <w:t>14日内完成。</w:t>
      </w:r>
    </w:p>
    <w:p>
      <w:pPr>
        <w:widowControl/>
        <w:snapToGrid w:val="0"/>
        <w:spacing w:beforeLines="0" w:afterLines="0" w:line="400" w:lineRule="exact"/>
        <w:ind w:firstLine="482" w:firstLineChars="200"/>
        <w:rPr>
          <w:rFonts w:hint="eastAsia" w:ascii="仿宋" w:hAnsi="仿宋" w:eastAsia="仿宋" w:cs="仿宋"/>
          <w:sz w:val="24"/>
          <w:szCs w:val="24"/>
          <w:highlight w:val="none"/>
          <w:lang w:bidi="ar"/>
        </w:rPr>
      </w:pPr>
      <w:r>
        <w:rPr>
          <w:rFonts w:hint="eastAsia" w:ascii="仿宋" w:hAnsi="仿宋" w:eastAsia="仿宋" w:cs="仿宋"/>
          <w:b/>
          <w:sz w:val="24"/>
          <w:szCs w:val="24"/>
          <w:highlight w:val="none"/>
          <w:lang w:val="en-US" w:eastAsia="zh-CN" w:bidi="ar"/>
        </w:rPr>
        <w:t>四</w:t>
      </w:r>
      <w:r>
        <w:rPr>
          <w:rFonts w:hint="eastAsia" w:ascii="仿宋" w:hAnsi="仿宋" w:eastAsia="仿宋" w:cs="仿宋"/>
          <w:b/>
          <w:sz w:val="24"/>
          <w:szCs w:val="24"/>
          <w:highlight w:val="none"/>
          <w:lang w:bidi="ar"/>
        </w:rPr>
        <w:t>、成果资料</w:t>
      </w:r>
    </w:p>
    <w:p>
      <w:pPr>
        <w:widowControl/>
        <w:snapToGrid w:val="0"/>
        <w:spacing w:beforeLines="0" w:afterLines="0" w:line="400" w:lineRule="exact"/>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1.供应商应按采购文件要求向采购人提供项目的有关文件资料及验收资料。</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没有采购人事先书面同意，供应商不得将由采购人提供的有关合同或任何合同条文、规格、计划、图纸、样品或资料提供给与履行本合同无关的任何其他人。即使向履行本合同有关的人员提供，也应注意保密并限于履行合同的必需范围。</w:t>
      </w:r>
    </w:p>
    <w:p>
      <w:pPr>
        <w:widowControl/>
        <w:snapToGrid w:val="0"/>
        <w:spacing w:beforeLines="0" w:after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bidi="ar"/>
        </w:rPr>
        <w:t>五</w:t>
      </w:r>
      <w:r>
        <w:rPr>
          <w:rFonts w:hint="eastAsia" w:ascii="仿宋" w:hAnsi="仿宋" w:eastAsia="仿宋" w:cs="仿宋"/>
          <w:b/>
          <w:sz w:val="24"/>
          <w:szCs w:val="24"/>
          <w:highlight w:val="none"/>
          <w:lang w:bidi="ar"/>
        </w:rPr>
        <w:t>、知识产权</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1.供应商应保证所提供的货物或其任何一部分均不会侵犯任何第三方的知识产权。</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2.供应商保证所交付的货物的所有权完全属于供应商且无任何抵押、查封等产权瑕疵。</w:t>
      </w:r>
    </w:p>
    <w:p>
      <w:pPr>
        <w:widowControl/>
        <w:snapToGrid w:val="0"/>
        <w:spacing w:beforeLines="0" w:afterLines="0" w:line="400" w:lineRule="exact"/>
        <w:ind w:firstLine="480" w:firstLineChars="200"/>
        <w:rPr>
          <w:rFonts w:hint="eastAsia" w:ascii="仿宋" w:hAnsi="仿宋" w:eastAsia="仿宋" w:cs="仿宋"/>
          <w:kern w:val="2"/>
          <w:sz w:val="24"/>
          <w:szCs w:val="24"/>
          <w:highlight w:val="none"/>
        </w:rPr>
      </w:pPr>
      <w:r>
        <w:rPr>
          <w:rFonts w:hint="eastAsia" w:ascii="仿宋" w:hAnsi="仿宋" w:eastAsia="仿宋" w:cs="仿宋"/>
          <w:sz w:val="24"/>
          <w:szCs w:val="24"/>
          <w:highlight w:val="none"/>
          <w:lang w:bidi="ar"/>
        </w:rPr>
        <w:t>3.本项目解释权归</w:t>
      </w:r>
      <w:r>
        <w:rPr>
          <w:rFonts w:hint="eastAsia" w:ascii="仿宋" w:hAnsi="仿宋" w:eastAsia="仿宋" w:cs="仿宋"/>
          <w:sz w:val="24"/>
          <w:szCs w:val="24"/>
          <w:highlight w:val="none"/>
          <w:lang w:val="en-US" w:eastAsia="zh-CN" w:bidi="ar"/>
        </w:rPr>
        <w:t>绍兴博物馆</w:t>
      </w:r>
      <w:r>
        <w:rPr>
          <w:rFonts w:hint="eastAsia" w:ascii="仿宋" w:hAnsi="仿宋" w:eastAsia="仿宋" w:cs="仿宋"/>
          <w:sz w:val="24"/>
          <w:szCs w:val="24"/>
          <w:highlight w:val="none"/>
          <w:lang w:bidi="ar"/>
        </w:rPr>
        <w:t>，未尽事宜由采购人和供应商双方协商。</w:t>
      </w:r>
    </w:p>
    <w:p>
      <w:pPr>
        <w:widowControl/>
        <w:snapToGrid w:val="0"/>
        <w:spacing w:beforeLines="0" w:after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bidi="ar"/>
        </w:rPr>
        <w:t>六</w:t>
      </w:r>
      <w:r>
        <w:rPr>
          <w:rFonts w:hint="eastAsia" w:ascii="仿宋" w:hAnsi="仿宋" w:eastAsia="仿宋" w:cs="仿宋"/>
          <w:b/>
          <w:sz w:val="24"/>
          <w:szCs w:val="24"/>
          <w:highlight w:val="none"/>
          <w:lang w:bidi="ar"/>
        </w:rPr>
        <w:t>、违约责任</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1．若供应商出现不可抗力或遇意外情况而导致不能履行合同时，应在48小时内通知采购人，经采购人确认后，可免除其不能履行部分的违约责任。否则，视同无故违约，供应商按合作款项的30%偿付违约金给采购人。</w:t>
      </w:r>
    </w:p>
    <w:p>
      <w:pPr>
        <w:widowControl/>
        <w:snapToGrid w:val="0"/>
        <w:spacing w:beforeLines="0" w:afterLines="0" w:line="400" w:lineRule="exact"/>
        <w:ind w:firstLine="480" w:firstLineChars="200"/>
        <w:rPr>
          <w:rFonts w:hint="eastAsia" w:ascii="仿宋" w:hAnsi="仿宋" w:eastAsia="仿宋" w:cs="仿宋"/>
          <w:kern w:val="2"/>
          <w:sz w:val="24"/>
          <w:szCs w:val="24"/>
          <w:highlight w:val="none"/>
        </w:rPr>
      </w:pPr>
      <w:r>
        <w:rPr>
          <w:rFonts w:hint="eastAsia" w:ascii="仿宋" w:hAnsi="仿宋" w:eastAsia="仿宋" w:cs="仿宋"/>
          <w:sz w:val="24"/>
          <w:szCs w:val="24"/>
          <w:highlight w:val="none"/>
          <w:lang w:bidi="ar"/>
        </w:rPr>
        <w:t>2．供应商需切实按照本合同书要求完成合作事项</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bidi="ar"/>
        </w:rPr>
        <w:t>严格遵守国家相关保密与安全法律法规,遵循保密制度和规章,供应商对工作中涉及到的所有资料进行保密。因工作人员的行为造成泄密等问题由供应商承担相应的责任。</w:t>
      </w:r>
    </w:p>
    <w:p>
      <w:pPr>
        <w:widowControl/>
        <w:snapToGrid w:val="0"/>
        <w:spacing w:beforeLines="0" w:after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bidi="ar"/>
        </w:rPr>
        <w:t>七</w:t>
      </w:r>
      <w:r>
        <w:rPr>
          <w:rFonts w:hint="eastAsia" w:ascii="仿宋" w:hAnsi="仿宋" w:eastAsia="仿宋" w:cs="仿宋"/>
          <w:b/>
          <w:sz w:val="24"/>
          <w:szCs w:val="24"/>
          <w:highlight w:val="none"/>
          <w:lang w:bidi="ar"/>
        </w:rPr>
        <w:t>、其他</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1.供应商应选派专人与采购人进行专项对接，并组织符合项目需求的服务团队，保证</w:t>
      </w:r>
      <w:r>
        <w:rPr>
          <w:rFonts w:hint="eastAsia" w:ascii="仿宋" w:hAnsi="仿宋" w:eastAsia="仿宋" w:cs="仿宋"/>
          <w:sz w:val="24"/>
          <w:szCs w:val="24"/>
          <w:highlight w:val="none"/>
          <w:lang w:val="en-US" w:eastAsia="zh-CN" w:bidi="ar"/>
        </w:rPr>
        <w:t>工作</w:t>
      </w:r>
      <w:r>
        <w:rPr>
          <w:rFonts w:hint="eastAsia" w:ascii="仿宋" w:hAnsi="仿宋" w:eastAsia="仿宋" w:cs="仿宋"/>
          <w:sz w:val="24"/>
          <w:szCs w:val="24"/>
          <w:highlight w:val="none"/>
          <w:lang w:bidi="ar"/>
        </w:rPr>
        <w:t>顺利进行；</w:t>
      </w:r>
    </w:p>
    <w:p>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.项目小组成员的往返交通费、劳务费等所需费用由供应商</w:t>
      </w:r>
      <w:r>
        <w:rPr>
          <w:rFonts w:hint="eastAsia" w:ascii="仿宋" w:hAnsi="仿宋" w:eastAsia="仿宋" w:cs="仿宋"/>
          <w:color w:val="auto"/>
          <w:sz w:val="24"/>
          <w:szCs w:val="24"/>
          <w:highlight w:val="none"/>
          <w:lang w:val="en-US" w:eastAsia="zh-CN" w:bidi="ar"/>
        </w:rPr>
        <w:t>自行承担</w:t>
      </w:r>
      <w:r>
        <w:rPr>
          <w:rFonts w:hint="eastAsia" w:ascii="仿宋" w:hAnsi="仿宋" w:eastAsia="仿宋" w:cs="仿宋"/>
          <w:color w:val="auto"/>
          <w:sz w:val="24"/>
          <w:szCs w:val="24"/>
          <w:highlight w:val="none"/>
          <w:lang w:bidi="ar"/>
        </w:rPr>
        <w:t>；</w:t>
      </w:r>
    </w:p>
    <w:p>
      <w:pPr>
        <w:widowControl/>
        <w:snapToGrid w:val="0"/>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.采购人有权在</w:t>
      </w:r>
      <w:r>
        <w:rPr>
          <w:rFonts w:hint="eastAsia" w:ascii="仿宋" w:hAnsi="仿宋" w:eastAsia="仿宋" w:cs="仿宋"/>
          <w:color w:val="auto"/>
          <w:sz w:val="24"/>
          <w:szCs w:val="24"/>
          <w:highlight w:val="none"/>
          <w:lang w:val="en-US" w:eastAsia="zh-CN" w:bidi="ar"/>
        </w:rPr>
        <w:t>设计工作</w:t>
      </w:r>
      <w:r>
        <w:rPr>
          <w:rFonts w:hint="eastAsia" w:ascii="仿宋" w:hAnsi="仿宋" w:eastAsia="仿宋" w:cs="仿宋"/>
          <w:color w:val="auto"/>
          <w:sz w:val="24"/>
          <w:szCs w:val="24"/>
          <w:highlight w:val="none"/>
          <w:lang w:bidi="ar"/>
        </w:rPr>
        <w:t>开展期间对供应商的工作进程、工作质量进行监督，指出不符合整体活动执行方案要求的内容、有权要求供应商进行整改</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供应商对各阶段工作情况</w:t>
      </w:r>
      <w:r>
        <w:rPr>
          <w:rFonts w:hint="eastAsia" w:ascii="仿宋" w:hAnsi="仿宋" w:eastAsia="仿宋" w:cs="仿宋"/>
          <w:color w:val="auto"/>
          <w:sz w:val="24"/>
          <w:szCs w:val="24"/>
          <w:highlight w:val="none"/>
          <w:lang w:val="en-US" w:eastAsia="zh-CN" w:bidi="ar"/>
        </w:rPr>
        <w:t>需向采购人</w:t>
      </w:r>
      <w:r>
        <w:rPr>
          <w:rFonts w:hint="eastAsia" w:ascii="仿宋" w:hAnsi="仿宋" w:eastAsia="仿宋" w:cs="仿宋"/>
          <w:color w:val="auto"/>
          <w:sz w:val="24"/>
          <w:szCs w:val="24"/>
          <w:highlight w:val="none"/>
          <w:lang w:bidi="ar"/>
        </w:rPr>
        <w:t>进行报告</w:t>
      </w:r>
      <w:r>
        <w:rPr>
          <w:rFonts w:hint="eastAsia" w:ascii="仿宋" w:hAnsi="仿宋" w:eastAsia="仿宋" w:cs="仿宋"/>
          <w:strike w:val="0"/>
          <w:dstrike w:val="0"/>
          <w:color w:val="auto"/>
          <w:sz w:val="24"/>
          <w:szCs w:val="24"/>
          <w:highlight w:val="none"/>
          <w:lang w:bidi="ar"/>
        </w:rPr>
        <w:t>，</w:t>
      </w:r>
      <w:r>
        <w:rPr>
          <w:rFonts w:hint="eastAsia" w:ascii="仿宋" w:hAnsi="仿宋" w:eastAsia="仿宋" w:cs="仿宋"/>
          <w:strike w:val="0"/>
          <w:dstrike w:val="0"/>
          <w:color w:val="auto"/>
          <w:sz w:val="24"/>
          <w:szCs w:val="24"/>
          <w:highlight w:val="none"/>
          <w:lang w:val="en-US" w:eastAsia="zh-CN" w:bidi="ar"/>
        </w:rPr>
        <w:t>并</w:t>
      </w:r>
      <w:r>
        <w:rPr>
          <w:rFonts w:hint="eastAsia" w:ascii="仿宋" w:hAnsi="仿宋" w:eastAsia="仿宋" w:cs="仿宋"/>
          <w:color w:val="auto"/>
          <w:sz w:val="24"/>
          <w:szCs w:val="24"/>
          <w:highlight w:val="none"/>
          <w:lang w:bidi="ar"/>
        </w:rPr>
        <w:t>在活</w:t>
      </w:r>
      <w:r>
        <w:rPr>
          <w:rFonts w:hint="eastAsia" w:ascii="仿宋" w:hAnsi="仿宋" w:eastAsia="仿宋" w:cs="仿宋"/>
          <w:sz w:val="24"/>
          <w:szCs w:val="24"/>
          <w:highlight w:val="none"/>
          <w:lang w:bidi="ar"/>
        </w:rPr>
        <w:t>动结束后接受采购人验收。</w:t>
      </w:r>
    </w:p>
    <w:p>
      <w:pPr>
        <w:numPr>
          <w:ilvl w:val="0"/>
          <w:numId w:val="0"/>
        </w:numPr>
        <w:spacing w:line="440" w:lineRule="exact"/>
        <w:ind w:firstLine="482"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bidi="ar"/>
        </w:rPr>
        <w:t>八</w:t>
      </w:r>
      <w:r>
        <w:rPr>
          <w:rFonts w:hint="eastAsia" w:ascii="仿宋" w:hAnsi="仿宋" w:eastAsia="仿宋" w:cs="仿宋"/>
          <w:b/>
          <w:bCs/>
          <w:color w:val="auto"/>
          <w:sz w:val="24"/>
          <w:szCs w:val="24"/>
          <w:highlight w:val="none"/>
          <w:lang w:bidi="ar"/>
        </w:rPr>
        <w:t>、付款方式：</w:t>
      </w:r>
      <w:r>
        <w:rPr>
          <w:rFonts w:hint="eastAsia" w:ascii="仿宋" w:hAnsi="仿宋" w:eastAsia="仿宋" w:cs="仿宋"/>
          <w:color w:val="auto"/>
          <w:sz w:val="24"/>
          <w:highlight w:val="none"/>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spacing w:line="360" w:lineRule="auto"/>
        <w:ind w:firstLine="723" w:firstLineChars="200"/>
        <w:jc w:val="both"/>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1"/>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4"/>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spacing w:before="120" w:line="22" w:lineRule="atLeast"/>
        <w:rPr>
          <w:rFonts w:ascii="仿宋" w:hAnsi="仿宋" w:eastAsia="仿宋" w:cs="仿宋"/>
          <w:szCs w:val="24"/>
        </w:rPr>
      </w:pPr>
    </w:p>
    <w:p>
      <w:pPr>
        <w:pStyle w:val="598"/>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r>
        <w:rPr>
          <w:rFonts w:hint="eastAsia" w:ascii="仿宋" w:hAnsi="仿宋" w:eastAsia="仿宋" w:cs="仿宋"/>
          <w:b/>
          <w:sz w:val="24"/>
        </w:rPr>
        <w:t>1.1 合同组成部分</w:t>
      </w:r>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1.2 标的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p>
      <w:pPr>
        <w:pStyle w:val="959"/>
        <w:spacing w:before="0" w:beforeAutospacing="0" w:after="0" w:afterAutospacing="0" w:line="440" w:lineRule="exact"/>
        <w:ind w:firstLine="482" w:firstLineChars="200"/>
        <w:rPr>
          <w:rFonts w:ascii="仿宋" w:hAnsi="仿宋" w:eastAsia="仿宋" w:cs="仿宋"/>
          <w:b/>
        </w:rPr>
      </w:pPr>
      <w:r>
        <w:rPr>
          <w:rFonts w:hint="eastAsia" w:ascii="仿宋" w:hAnsi="仿宋" w:eastAsia="仿宋" w:cs="仿宋"/>
          <w:b/>
        </w:rPr>
        <w:t>1.4履约保证金</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1.5预付款</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1.9合同争议的解决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2.0 合同生效</w:t>
      </w:r>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 定义</w:t>
      </w:r>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2.2 技术规范</w:t>
      </w:r>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2.3 知识产权</w:t>
      </w:r>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2.5 结算方式和付款条件</w:t>
      </w:r>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2.6 技术资料和保密义务</w:t>
      </w:r>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2.7 质量保证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2.8 延迟履行</w:t>
      </w:r>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2.9 合同变更</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2.10 合同转让和分包</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2.11 不可抗力</w:t>
      </w:r>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2.12 税费</w:t>
      </w:r>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2.13 乙方破产</w:t>
      </w:r>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2.14 合同中止、终止</w:t>
      </w:r>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2.15 检验和验收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2.16 通知和送达</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2.17 合同使用的文字和适用的法律</w:t>
      </w:r>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2.18 计量单位</w:t>
      </w:r>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2.19 合同使用的文字和适用的法律</w:t>
      </w:r>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r>
        <w:rPr>
          <w:rFonts w:hint="eastAsia" w:ascii="仿宋" w:hAnsi="仿宋" w:eastAsia="仿宋" w:cs="仿宋"/>
          <w:b/>
          <w:sz w:val="24"/>
        </w:rPr>
        <w:t xml:space="preserve"> 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outlineLvl w:val="0"/>
        <w:rPr>
          <w:rFonts w:ascii="仿宋" w:hAnsi="仿宋" w:eastAsia="仿宋" w:cs="仿宋"/>
          <w:sz w:val="24"/>
        </w:rPr>
      </w:pPr>
    </w:p>
    <w:p>
      <w:pPr>
        <w:spacing w:line="240" w:lineRule="auto"/>
        <w:jc w:val="left"/>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default" w:ascii="仿宋" w:hAnsi="仿宋" w:eastAsia="仿宋" w:cs="仿宋"/>
          <w:sz w:val="24"/>
          <w:u w:val="single"/>
          <w:lang w:val="en-US" w:eastAsia="zh-CN"/>
        </w:rPr>
        <w:t>8</w:t>
      </w:r>
      <w:r>
        <w:rPr>
          <w:rFonts w:hint="eastAsia" w:ascii="仿宋" w:hAnsi="仿宋" w:eastAsia="仿宋" w:cs="仿宋"/>
          <w:sz w:val="24"/>
          <w:u w:val="single"/>
        </w:rPr>
        <w:t>0</w:t>
      </w:r>
      <w:r>
        <w:rPr>
          <w:rFonts w:hint="eastAsia" w:ascii="仿宋" w:hAnsi="仿宋" w:eastAsia="仿宋" w:cs="仿宋"/>
          <w:sz w:val="24"/>
        </w:rPr>
        <w:t>分，价格分</w:t>
      </w:r>
      <w:r>
        <w:rPr>
          <w:rFonts w:hint="default" w:ascii="仿宋" w:hAnsi="仿宋" w:eastAsia="仿宋" w:cs="仿宋"/>
          <w:sz w:val="24"/>
          <w:u w:val="single"/>
          <w:lang w:val="en-US" w:eastAsia="zh-CN"/>
        </w:rPr>
        <w:t>2</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default" w:ascii="仿宋" w:hAnsi="仿宋" w:eastAsia="仿宋" w:cs="仿宋"/>
          <w:b/>
          <w:bCs/>
          <w:iCs/>
          <w:sz w:val="24"/>
          <w:u w:val="single"/>
          <w:lang w:val="en-US" w:eastAsia="zh-CN"/>
        </w:rPr>
        <w:t>8</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3"/>
        <w:tblW w:w="9315" w:type="dxa"/>
        <w:tblInd w:w="-186" w:type="dxa"/>
        <w:tblLayout w:type="fixed"/>
        <w:tblCellMar>
          <w:top w:w="0" w:type="dxa"/>
          <w:left w:w="108" w:type="dxa"/>
          <w:bottom w:w="0" w:type="dxa"/>
          <w:right w:w="108" w:type="dxa"/>
        </w:tblCellMar>
      </w:tblPr>
      <w:tblGrid>
        <w:gridCol w:w="960"/>
        <w:gridCol w:w="1650"/>
        <w:gridCol w:w="5625"/>
        <w:gridCol w:w="1080"/>
      </w:tblGrid>
      <w:tr>
        <w:tblPrEx>
          <w:tblCellMar>
            <w:top w:w="0" w:type="dxa"/>
            <w:left w:w="108" w:type="dxa"/>
            <w:bottom w:w="0" w:type="dxa"/>
            <w:right w:w="108" w:type="dxa"/>
          </w:tblCellMar>
        </w:tblPrEx>
        <w:trPr>
          <w:trHeight w:val="692" w:hRule="atLeast"/>
        </w:trPr>
        <w:tc>
          <w:tcPr>
            <w:tcW w:w="960" w:type="dxa"/>
            <w:tcBorders>
              <w:top w:val="single" w:color="auto" w:sz="8" w:space="0"/>
              <w:left w:val="single" w:color="auto" w:sz="8" w:space="0"/>
              <w:bottom w:val="single" w:color="auto" w:sz="8" w:space="0"/>
              <w:right w:val="single" w:color="auto" w:sz="8" w:space="0"/>
            </w:tcBorders>
            <w:vAlign w:val="center"/>
          </w:tcPr>
          <w:p>
            <w:pPr>
              <w:jc w:val="center"/>
              <w:rPr>
                <w:rFonts w:ascii="仿宋" w:hAnsi="仿宋" w:eastAsia="仿宋" w:cs="宋体"/>
                <w:b/>
                <w:bCs/>
                <w:sz w:val="24"/>
              </w:rPr>
            </w:pPr>
            <w:r>
              <w:rPr>
                <w:rFonts w:hint="eastAsia" w:ascii="仿宋" w:hAnsi="仿宋" w:eastAsia="仿宋" w:cs="宋体"/>
                <w:b/>
                <w:bCs/>
                <w:sz w:val="24"/>
              </w:rPr>
              <w:t>序号</w:t>
            </w:r>
          </w:p>
        </w:tc>
        <w:tc>
          <w:tcPr>
            <w:tcW w:w="1650" w:type="dxa"/>
            <w:tcBorders>
              <w:top w:val="single" w:color="auto" w:sz="8" w:space="0"/>
              <w:left w:val="nil"/>
              <w:bottom w:val="single" w:color="auto" w:sz="8" w:space="0"/>
              <w:right w:val="single" w:color="auto" w:sz="8" w:space="0"/>
            </w:tcBorders>
            <w:vAlign w:val="center"/>
          </w:tcPr>
          <w:p>
            <w:pPr>
              <w:jc w:val="center"/>
              <w:rPr>
                <w:rFonts w:ascii="仿宋" w:hAnsi="仿宋" w:eastAsia="仿宋" w:cs="宋体"/>
                <w:b/>
                <w:bCs/>
                <w:sz w:val="24"/>
              </w:rPr>
            </w:pPr>
            <w:r>
              <w:rPr>
                <w:rFonts w:hint="eastAsia" w:ascii="仿宋" w:hAnsi="仿宋" w:eastAsia="仿宋" w:cs="宋体"/>
                <w:b/>
                <w:bCs/>
                <w:sz w:val="24"/>
              </w:rPr>
              <w:t>评分内容</w:t>
            </w:r>
          </w:p>
        </w:tc>
        <w:tc>
          <w:tcPr>
            <w:tcW w:w="5625" w:type="dxa"/>
            <w:tcBorders>
              <w:top w:val="single" w:color="auto" w:sz="8" w:space="0"/>
              <w:left w:val="nil"/>
              <w:bottom w:val="single" w:color="auto" w:sz="8" w:space="0"/>
              <w:right w:val="single" w:color="auto" w:sz="8" w:space="0"/>
            </w:tcBorders>
            <w:vAlign w:val="center"/>
          </w:tcPr>
          <w:p>
            <w:pPr>
              <w:jc w:val="center"/>
              <w:rPr>
                <w:rFonts w:ascii="仿宋" w:hAnsi="仿宋" w:eastAsia="仿宋" w:cs="宋体"/>
                <w:b/>
                <w:bCs/>
                <w:sz w:val="24"/>
              </w:rPr>
            </w:pPr>
            <w:r>
              <w:rPr>
                <w:rFonts w:hint="eastAsia" w:ascii="仿宋" w:hAnsi="仿宋" w:eastAsia="仿宋" w:cs="宋体"/>
                <w:b/>
                <w:bCs/>
                <w:sz w:val="24"/>
              </w:rPr>
              <w:t>评审细则</w:t>
            </w:r>
          </w:p>
        </w:tc>
        <w:tc>
          <w:tcPr>
            <w:tcW w:w="1080" w:type="dxa"/>
            <w:tcBorders>
              <w:top w:val="single" w:color="auto" w:sz="8" w:space="0"/>
              <w:left w:val="nil"/>
              <w:bottom w:val="single" w:color="auto" w:sz="8" w:space="0"/>
              <w:right w:val="single" w:color="auto" w:sz="8" w:space="0"/>
            </w:tcBorders>
            <w:vAlign w:val="center"/>
          </w:tcPr>
          <w:p>
            <w:pPr>
              <w:jc w:val="center"/>
              <w:rPr>
                <w:rFonts w:ascii="仿宋" w:hAnsi="仿宋" w:eastAsia="仿宋" w:cs="宋体"/>
                <w:b/>
                <w:bCs/>
                <w:sz w:val="24"/>
              </w:rPr>
            </w:pPr>
            <w:r>
              <w:rPr>
                <w:rFonts w:hint="eastAsia" w:ascii="仿宋" w:hAnsi="仿宋" w:eastAsia="仿宋" w:cs="宋体"/>
                <w:b/>
                <w:bCs/>
                <w:sz w:val="24"/>
              </w:rPr>
              <w:t>分值</w:t>
            </w:r>
          </w:p>
        </w:tc>
      </w:tr>
      <w:tr>
        <w:tblPrEx>
          <w:tblCellMar>
            <w:top w:w="0" w:type="dxa"/>
            <w:left w:w="108" w:type="dxa"/>
            <w:bottom w:w="0" w:type="dxa"/>
            <w:right w:w="108" w:type="dxa"/>
          </w:tblCellMar>
        </w:tblPrEx>
        <w:trPr>
          <w:trHeight w:val="1356" w:hRule="atLeast"/>
        </w:trPr>
        <w:tc>
          <w:tcPr>
            <w:tcW w:w="960" w:type="dxa"/>
            <w:tcBorders>
              <w:left w:val="single" w:color="auto" w:sz="8" w:space="0"/>
              <w:bottom w:val="single" w:color="auto" w:sz="4" w:space="0"/>
              <w:right w:val="single" w:color="auto" w:sz="8" w:space="0"/>
            </w:tcBorders>
            <w:shd w:val="clear" w:color="auto" w:fill="auto"/>
            <w:vAlign w:val="center"/>
          </w:tcPr>
          <w:p>
            <w:pPr>
              <w:jc w:val="center"/>
              <w:rPr>
                <w:rFonts w:ascii="仿宋" w:hAnsi="仿宋" w:eastAsia="仿宋" w:cs="宋体"/>
                <w:sz w:val="24"/>
              </w:rPr>
            </w:pPr>
          </w:p>
          <w:p>
            <w:pPr>
              <w:jc w:val="center"/>
              <w:rPr>
                <w:rFonts w:ascii="仿宋" w:hAnsi="仿宋" w:eastAsia="仿宋" w:cs="宋体"/>
                <w:sz w:val="24"/>
              </w:rPr>
            </w:pPr>
            <w:r>
              <w:rPr>
                <w:rFonts w:hint="eastAsia" w:ascii="仿宋" w:hAnsi="仿宋" w:eastAsia="仿宋" w:cs="宋体"/>
                <w:sz w:val="24"/>
              </w:rPr>
              <w:t>1</w:t>
            </w:r>
          </w:p>
        </w:tc>
        <w:tc>
          <w:tcPr>
            <w:tcW w:w="1650" w:type="dxa"/>
            <w:tcBorders>
              <w:top w:val="single" w:color="auto" w:sz="4" w:space="0"/>
              <w:left w:val="nil"/>
              <w:bottom w:val="single" w:color="auto" w:sz="4" w:space="0"/>
              <w:right w:val="single" w:color="auto" w:sz="8" w:space="0"/>
            </w:tcBorders>
            <w:shd w:val="clear" w:color="auto" w:fill="auto"/>
            <w:vAlign w:val="center"/>
          </w:tcPr>
          <w:p>
            <w:pPr>
              <w:pStyle w:val="80"/>
            </w:pPr>
            <w:r>
              <w:rPr>
                <w:rFonts w:hint="eastAsia"/>
              </w:rPr>
              <w:t>同类业绩</w:t>
            </w:r>
          </w:p>
        </w:tc>
        <w:tc>
          <w:tcPr>
            <w:tcW w:w="5625" w:type="dxa"/>
            <w:tcBorders>
              <w:top w:val="single" w:color="auto" w:sz="4" w:space="0"/>
              <w:left w:val="nil"/>
              <w:bottom w:val="single" w:color="auto" w:sz="4" w:space="0"/>
              <w:right w:val="single" w:color="auto" w:sz="8" w:space="0"/>
            </w:tcBorders>
            <w:shd w:val="clear" w:color="auto" w:fill="FFFFFF"/>
            <w:vAlign w:val="center"/>
          </w:tcPr>
          <w:p>
            <w:pPr>
              <w:pStyle w:val="80"/>
              <w:rPr>
                <w:rFonts w:hint="default" w:eastAsia="仿宋_GB2312"/>
                <w:color w:val="auto"/>
                <w:highlight w:val="yellow"/>
                <w:lang w:val="en-US" w:eastAsia="zh-CN"/>
              </w:rPr>
            </w:pPr>
            <w:r>
              <w:rPr>
                <w:rFonts w:hint="eastAsia"/>
                <w:color w:val="auto"/>
              </w:rPr>
              <w:t>自20</w:t>
            </w:r>
            <w:r>
              <w:rPr>
                <w:color w:val="auto"/>
              </w:rPr>
              <w:t>21</w:t>
            </w:r>
            <w:r>
              <w:rPr>
                <w:rFonts w:hint="eastAsia"/>
                <w:color w:val="auto"/>
              </w:rPr>
              <w:t>年1月1日至今</w:t>
            </w:r>
            <w:r>
              <w:rPr>
                <w:rFonts w:hint="eastAsia"/>
                <w:b/>
                <w:color w:val="auto"/>
              </w:rPr>
              <w:t>（以合同签订时间为准）</w:t>
            </w:r>
            <w:r>
              <w:rPr>
                <w:rFonts w:hint="eastAsia"/>
                <w:color w:val="auto"/>
              </w:rPr>
              <w:t>，投标人承担</w:t>
            </w:r>
            <w:r>
              <w:rPr>
                <w:rFonts w:hint="eastAsia"/>
                <w:color w:val="auto"/>
                <w:lang w:eastAsia="zh-CN"/>
              </w:rPr>
              <w:t>同类</w:t>
            </w:r>
            <w:r>
              <w:rPr>
                <w:rFonts w:hint="eastAsia"/>
                <w:color w:val="auto"/>
              </w:rPr>
              <w:t>项目业绩的，每个得</w:t>
            </w:r>
            <w:r>
              <w:rPr>
                <w:rFonts w:hint="eastAsia"/>
                <w:color w:val="auto"/>
                <w:lang w:val="en-US" w:eastAsia="zh-CN"/>
              </w:rPr>
              <w:t>0.5</w:t>
            </w:r>
            <w:r>
              <w:rPr>
                <w:rFonts w:hint="eastAsia"/>
                <w:color w:val="auto"/>
              </w:rPr>
              <w:t>分，最多得</w:t>
            </w:r>
            <w:r>
              <w:rPr>
                <w:rFonts w:hint="default"/>
                <w:color w:val="auto"/>
                <w:lang w:val="en-US" w:eastAsia="zh-CN"/>
              </w:rPr>
              <w:t>2</w:t>
            </w:r>
            <w:r>
              <w:rPr>
                <w:rFonts w:hint="eastAsia"/>
                <w:color w:val="auto"/>
              </w:rPr>
              <w:t>分。</w:t>
            </w:r>
          </w:p>
          <w:p>
            <w:pPr>
              <w:pStyle w:val="80"/>
              <w:rPr>
                <w:color w:val="auto"/>
              </w:rPr>
            </w:pPr>
            <w:r>
              <w:rPr>
                <w:rFonts w:hint="eastAsia"/>
                <w:color w:val="auto"/>
              </w:rPr>
              <w:t>（提供业绩合同复印件加盖单位公章）</w:t>
            </w:r>
          </w:p>
        </w:tc>
        <w:tc>
          <w:tcPr>
            <w:tcW w:w="1080" w:type="dxa"/>
            <w:tcBorders>
              <w:top w:val="nil"/>
              <w:left w:val="nil"/>
              <w:bottom w:val="single" w:color="auto" w:sz="8" w:space="0"/>
              <w:right w:val="single" w:color="auto" w:sz="8" w:space="0"/>
            </w:tcBorders>
            <w:shd w:val="clear" w:color="auto" w:fill="FFFFFF"/>
            <w:vAlign w:val="center"/>
          </w:tcPr>
          <w:p>
            <w:pPr>
              <w:jc w:val="center"/>
              <w:rPr>
                <w:rFonts w:ascii="仿宋" w:hAnsi="仿宋" w:eastAsia="仿宋" w:cs="宋体"/>
                <w:color w:val="auto"/>
                <w:sz w:val="24"/>
              </w:rPr>
            </w:pPr>
            <w:r>
              <w:rPr>
                <w:rFonts w:hint="eastAsia" w:ascii="仿宋" w:hAnsi="仿宋" w:eastAsia="仿宋" w:cs="宋体"/>
                <w:color w:val="auto"/>
                <w:sz w:val="24"/>
              </w:rPr>
              <w:t>0-</w:t>
            </w:r>
            <w:r>
              <w:rPr>
                <w:rFonts w:hint="default" w:ascii="仿宋" w:hAnsi="仿宋" w:eastAsia="仿宋" w:cs="宋体"/>
                <w:color w:val="auto"/>
                <w:sz w:val="24"/>
                <w:lang w:val="en-US" w:eastAsia="zh-CN"/>
              </w:rPr>
              <w:t>2</w:t>
            </w:r>
            <w:r>
              <w:rPr>
                <w:rFonts w:hint="eastAsia" w:ascii="仿宋" w:hAnsi="仿宋" w:eastAsia="仿宋" w:cs="宋体"/>
                <w:color w:val="auto"/>
                <w:sz w:val="24"/>
              </w:rPr>
              <w:t>分</w:t>
            </w:r>
          </w:p>
        </w:tc>
      </w:tr>
      <w:tr>
        <w:tblPrEx>
          <w:tblCellMar>
            <w:top w:w="0" w:type="dxa"/>
            <w:left w:w="108" w:type="dxa"/>
            <w:bottom w:w="0" w:type="dxa"/>
            <w:right w:w="108" w:type="dxa"/>
          </w:tblCellMar>
        </w:tblPrEx>
        <w:trPr>
          <w:trHeight w:val="936" w:hRule="atLeast"/>
        </w:trPr>
        <w:tc>
          <w:tcPr>
            <w:tcW w:w="960" w:type="dxa"/>
            <w:tcBorders>
              <w:top w:val="single" w:color="auto" w:sz="4" w:space="0"/>
              <w:left w:val="single" w:color="auto" w:sz="8" w:space="0"/>
              <w:bottom w:val="single" w:color="auto" w:sz="8" w:space="0"/>
              <w:right w:val="single" w:color="auto" w:sz="8" w:space="0"/>
            </w:tcBorders>
            <w:vAlign w:val="center"/>
          </w:tcPr>
          <w:p>
            <w:pPr>
              <w:jc w:val="center"/>
              <w:rPr>
                <w:rFonts w:ascii="仿宋" w:hAnsi="仿宋" w:eastAsia="仿宋" w:cs="宋体"/>
                <w:sz w:val="24"/>
              </w:rPr>
            </w:pPr>
            <w:r>
              <w:rPr>
                <w:rFonts w:hint="eastAsia" w:ascii="仿宋" w:hAnsi="仿宋" w:eastAsia="仿宋" w:cs="宋体"/>
                <w:sz w:val="24"/>
              </w:rPr>
              <w:t>2</w:t>
            </w:r>
          </w:p>
        </w:tc>
        <w:tc>
          <w:tcPr>
            <w:tcW w:w="1650" w:type="dxa"/>
            <w:tcBorders>
              <w:top w:val="single" w:color="auto" w:sz="4" w:space="0"/>
              <w:left w:val="nil"/>
              <w:bottom w:val="single" w:color="auto" w:sz="8" w:space="0"/>
              <w:right w:val="single" w:color="auto" w:sz="8" w:space="0"/>
            </w:tcBorders>
            <w:vAlign w:val="center"/>
          </w:tcPr>
          <w:p>
            <w:pPr>
              <w:pStyle w:val="80"/>
            </w:pPr>
            <w:r>
              <w:rPr>
                <w:rFonts w:hint="eastAsia"/>
              </w:rPr>
              <w:t>总体设计方案</w:t>
            </w:r>
          </w:p>
        </w:tc>
        <w:tc>
          <w:tcPr>
            <w:tcW w:w="5625" w:type="dxa"/>
            <w:tcBorders>
              <w:top w:val="single" w:color="auto" w:sz="4" w:space="0"/>
              <w:left w:val="nil"/>
              <w:bottom w:val="single" w:color="auto" w:sz="8" w:space="0"/>
              <w:right w:val="single" w:color="auto" w:sz="8" w:space="0"/>
            </w:tcBorders>
            <w:vAlign w:val="center"/>
          </w:tcPr>
          <w:p>
            <w:pPr>
              <w:pStyle w:val="80"/>
              <w:rPr>
                <w:rFonts w:hint="default" w:eastAsia="仿宋_GB2312"/>
                <w:color w:val="auto"/>
                <w:u w:val="none"/>
                <w:lang w:val="en-US" w:eastAsia="zh-CN"/>
              </w:rPr>
            </w:pPr>
            <w:r>
              <w:rPr>
                <w:rFonts w:hint="eastAsia"/>
                <w:color w:val="auto"/>
                <w:u w:val="none"/>
              </w:rPr>
              <w:t>总体设计方案充分理解项目的建设需求，在建设目标、建设内容、设计思路、技术架构、功能设计等方面设计科学合理，完全响应招标文件的要求。</w:t>
            </w:r>
            <w:r>
              <w:rPr>
                <w:rFonts w:hint="eastAsia"/>
                <w:color w:val="auto"/>
                <w:u w:val="none"/>
                <w:lang w:eastAsia="zh-CN"/>
              </w:rPr>
              <w:t>（</w:t>
            </w:r>
            <w:r>
              <w:rPr>
                <w:rFonts w:hint="eastAsia"/>
                <w:color w:val="auto"/>
                <w:u w:val="none"/>
                <w:lang w:val="en-US" w:eastAsia="zh-CN"/>
              </w:rPr>
              <w:t>0-8分）</w:t>
            </w:r>
          </w:p>
        </w:tc>
        <w:tc>
          <w:tcPr>
            <w:tcW w:w="1080" w:type="dxa"/>
            <w:tcBorders>
              <w:top w:val="nil"/>
              <w:left w:val="nil"/>
              <w:bottom w:val="single" w:color="auto" w:sz="8" w:space="0"/>
              <w:right w:val="single" w:color="auto" w:sz="8" w:space="0"/>
            </w:tcBorders>
            <w:vAlign w:val="center"/>
          </w:tcPr>
          <w:p>
            <w:pPr>
              <w:jc w:val="center"/>
              <w:rPr>
                <w:rFonts w:ascii="仿宋" w:hAnsi="仿宋" w:eastAsia="仿宋" w:cs="宋体"/>
                <w:color w:val="auto"/>
                <w:sz w:val="24"/>
              </w:rPr>
            </w:pPr>
            <w:r>
              <w:rPr>
                <w:rFonts w:hint="eastAsia" w:ascii="仿宋" w:hAnsi="仿宋" w:eastAsia="仿宋" w:cs="宋体"/>
                <w:color w:val="auto"/>
                <w:sz w:val="24"/>
              </w:rPr>
              <w:t>0</w:t>
            </w:r>
            <w:r>
              <w:rPr>
                <w:rFonts w:ascii="仿宋" w:hAnsi="仿宋" w:eastAsia="仿宋" w:cs="宋体"/>
                <w:color w:val="auto"/>
                <w:sz w:val="24"/>
              </w:rPr>
              <w:t>-</w:t>
            </w:r>
            <w:r>
              <w:rPr>
                <w:rFonts w:hint="eastAsia" w:ascii="仿宋" w:hAnsi="仿宋" w:eastAsia="仿宋" w:cs="宋体"/>
                <w:color w:val="auto"/>
                <w:sz w:val="24"/>
                <w:lang w:val="en-US" w:eastAsia="zh-CN"/>
              </w:rPr>
              <w:t>8</w:t>
            </w:r>
            <w:r>
              <w:rPr>
                <w:rFonts w:hint="eastAsia" w:ascii="仿宋" w:hAnsi="仿宋" w:eastAsia="仿宋" w:cs="宋体"/>
                <w:color w:val="auto"/>
                <w:sz w:val="24"/>
              </w:rPr>
              <w:t>分</w:t>
            </w:r>
          </w:p>
        </w:tc>
      </w:tr>
      <w:tr>
        <w:tblPrEx>
          <w:tblCellMar>
            <w:top w:w="0" w:type="dxa"/>
            <w:left w:w="108" w:type="dxa"/>
            <w:bottom w:w="0" w:type="dxa"/>
            <w:right w:w="108" w:type="dxa"/>
          </w:tblCellMar>
        </w:tblPrEx>
        <w:trPr>
          <w:trHeight w:val="741" w:hRule="atLeast"/>
        </w:trPr>
        <w:tc>
          <w:tcPr>
            <w:tcW w:w="960" w:type="dxa"/>
            <w:tcBorders>
              <w:top w:val="single" w:color="auto" w:sz="4" w:space="0"/>
              <w:left w:val="single" w:color="auto" w:sz="8" w:space="0"/>
              <w:bottom w:val="single" w:color="auto" w:sz="4" w:space="0"/>
              <w:right w:val="single" w:color="auto" w:sz="8" w:space="0"/>
            </w:tcBorders>
            <w:vAlign w:val="center"/>
          </w:tcPr>
          <w:p>
            <w:pPr>
              <w:jc w:val="center"/>
              <w:rPr>
                <w:rFonts w:ascii="仿宋" w:hAnsi="仿宋" w:eastAsia="仿宋" w:cs="宋体"/>
                <w:sz w:val="24"/>
              </w:rPr>
            </w:pPr>
            <w:r>
              <w:rPr>
                <w:rFonts w:hint="eastAsia" w:ascii="仿宋" w:hAnsi="仿宋" w:eastAsia="仿宋" w:cs="宋体"/>
                <w:sz w:val="24"/>
              </w:rPr>
              <w:t>3</w:t>
            </w:r>
          </w:p>
        </w:tc>
        <w:tc>
          <w:tcPr>
            <w:tcW w:w="1650" w:type="dxa"/>
            <w:tcBorders>
              <w:top w:val="single" w:color="auto" w:sz="4" w:space="0"/>
              <w:left w:val="nil"/>
              <w:bottom w:val="single" w:color="auto" w:sz="4" w:space="0"/>
              <w:right w:val="single" w:color="auto" w:sz="8" w:space="0"/>
            </w:tcBorders>
            <w:vAlign w:val="center"/>
          </w:tcPr>
          <w:p>
            <w:pPr>
              <w:pStyle w:val="80"/>
            </w:pPr>
            <w:r>
              <w:rPr>
                <w:rFonts w:hint="eastAsia"/>
              </w:rPr>
              <w:t>项目设计方案</w:t>
            </w:r>
          </w:p>
        </w:tc>
        <w:tc>
          <w:tcPr>
            <w:tcW w:w="5625" w:type="dxa"/>
            <w:tcBorders>
              <w:top w:val="single" w:color="auto" w:sz="4" w:space="0"/>
              <w:left w:val="nil"/>
              <w:bottom w:val="single" w:color="auto" w:sz="4" w:space="0"/>
              <w:right w:val="single" w:color="auto" w:sz="8" w:space="0"/>
            </w:tcBorders>
            <w:vAlign w:val="center"/>
          </w:tcPr>
          <w:p>
            <w:pPr>
              <w:pStyle w:val="80"/>
              <w:numPr>
                <w:ilvl w:val="0"/>
                <w:numId w:val="1"/>
              </w:numPr>
              <w:rPr>
                <w:rFonts w:hint="eastAsia"/>
                <w:color w:val="auto"/>
                <w:u w:val="none"/>
                <w:lang w:val="en-US" w:eastAsia="zh-CN" w:bidi="ar"/>
              </w:rPr>
            </w:pPr>
            <w:r>
              <w:rPr>
                <w:rFonts w:hint="eastAsia"/>
                <w:color w:val="auto"/>
                <w:u w:val="none"/>
                <w:lang w:bidi="ar"/>
              </w:rPr>
              <w:t>根据投标人提供的文物数字化保护方案的可行性、合理性、科学性进行综合评分。</w:t>
            </w:r>
            <w:r>
              <w:rPr>
                <w:rFonts w:hint="eastAsia"/>
                <w:color w:val="auto"/>
                <w:u w:val="none"/>
                <w:lang w:eastAsia="zh-CN" w:bidi="ar"/>
              </w:rPr>
              <w:t>（</w:t>
            </w:r>
            <w:r>
              <w:rPr>
                <w:rFonts w:hint="eastAsia"/>
                <w:color w:val="auto"/>
                <w:u w:val="none"/>
                <w:lang w:val="en-US" w:eastAsia="zh-CN" w:bidi="ar"/>
              </w:rPr>
              <w:t>0-5分）</w:t>
            </w:r>
          </w:p>
          <w:p>
            <w:pPr>
              <w:pStyle w:val="80"/>
              <w:numPr>
                <w:ilvl w:val="0"/>
                <w:numId w:val="1"/>
              </w:numPr>
              <w:rPr>
                <w:rFonts w:hint="default"/>
                <w:color w:val="auto"/>
                <w:u w:val="none"/>
                <w:lang w:val="en-US" w:eastAsia="zh-CN" w:bidi="ar"/>
              </w:rPr>
            </w:pPr>
            <w:r>
              <w:rPr>
                <w:rFonts w:hint="eastAsia"/>
                <w:color w:val="auto"/>
                <w:u w:val="none"/>
                <w:lang w:bidi="ar"/>
              </w:rPr>
              <w:t>根据投标人</w:t>
            </w:r>
            <w:r>
              <w:rPr>
                <w:rFonts w:hint="eastAsia"/>
                <w:color w:val="auto"/>
                <w:u w:val="none"/>
                <w:lang w:val="en-US" w:eastAsia="zh-CN" w:bidi="ar"/>
              </w:rPr>
              <w:t>提供的文物数字化相关设备参数要求的科学性、</w:t>
            </w:r>
            <w:r>
              <w:rPr>
                <w:rFonts w:hint="eastAsia"/>
                <w:color w:val="auto"/>
                <w:u w:val="none"/>
              </w:rPr>
              <w:t>合理性</w:t>
            </w:r>
            <w:r>
              <w:rPr>
                <w:rFonts w:hint="eastAsia"/>
                <w:color w:val="auto"/>
                <w:u w:val="none"/>
                <w:lang w:bidi="ar"/>
              </w:rPr>
              <w:t>进行综合评分。</w:t>
            </w:r>
            <w:r>
              <w:rPr>
                <w:rFonts w:hint="eastAsia"/>
                <w:color w:val="auto"/>
                <w:u w:val="none"/>
                <w:lang w:eastAsia="zh-CN" w:bidi="ar"/>
              </w:rPr>
              <w:t>（</w:t>
            </w:r>
            <w:r>
              <w:rPr>
                <w:rFonts w:hint="eastAsia"/>
                <w:color w:val="auto"/>
                <w:u w:val="none"/>
                <w:lang w:val="en-US" w:eastAsia="zh-CN" w:bidi="ar"/>
              </w:rPr>
              <w:t>0-5分）</w:t>
            </w:r>
          </w:p>
          <w:p>
            <w:pPr>
              <w:pStyle w:val="80"/>
              <w:rPr>
                <w:color w:val="auto"/>
                <w:u w:val="none"/>
                <w:lang w:bidi="ar"/>
              </w:rPr>
            </w:pPr>
            <w:r>
              <w:rPr>
                <w:rFonts w:hint="eastAsia"/>
                <w:color w:val="auto"/>
                <w:u w:val="none"/>
                <w:lang w:val="en-US" w:eastAsia="zh-CN" w:bidi="ar"/>
              </w:rPr>
              <w:t>3</w:t>
            </w:r>
            <w:r>
              <w:rPr>
                <w:rFonts w:hint="eastAsia"/>
                <w:color w:val="auto"/>
                <w:u w:val="none"/>
                <w:lang w:bidi="ar"/>
              </w:rPr>
              <w:t>、根据投标人提供的存档级、展示级二维高保真影像和三维模型等数字资源提出的技术要求的</w:t>
            </w:r>
            <w:r>
              <w:rPr>
                <w:rFonts w:hint="eastAsia"/>
                <w:color w:val="auto"/>
                <w:u w:val="none"/>
              </w:rPr>
              <w:t>可行性、合理性、科学性</w:t>
            </w:r>
            <w:r>
              <w:rPr>
                <w:rFonts w:hint="eastAsia"/>
                <w:color w:val="auto"/>
                <w:u w:val="none"/>
                <w:lang w:bidi="ar"/>
              </w:rPr>
              <w:t>进行评分。</w:t>
            </w:r>
            <w:r>
              <w:rPr>
                <w:rFonts w:hint="eastAsia"/>
                <w:color w:val="auto"/>
                <w:u w:val="none"/>
                <w:lang w:eastAsia="zh-CN" w:bidi="ar"/>
              </w:rPr>
              <w:t>（</w:t>
            </w:r>
            <w:r>
              <w:rPr>
                <w:rFonts w:hint="eastAsia"/>
                <w:color w:val="auto"/>
                <w:u w:val="none"/>
                <w:lang w:val="en-US" w:eastAsia="zh-CN" w:bidi="ar"/>
              </w:rPr>
              <w:t>0-5分）</w:t>
            </w:r>
          </w:p>
          <w:p>
            <w:pPr>
              <w:pStyle w:val="80"/>
              <w:rPr>
                <w:color w:val="auto"/>
                <w:u w:val="none"/>
                <w:lang w:bidi="ar"/>
              </w:rPr>
            </w:pPr>
            <w:r>
              <w:rPr>
                <w:rFonts w:hint="eastAsia"/>
                <w:color w:val="auto"/>
                <w:u w:val="none"/>
                <w:lang w:val="en-US" w:eastAsia="zh-CN" w:bidi="ar"/>
              </w:rPr>
              <w:t>4</w:t>
            </w:r>
            <w:r>
              <w:rPr>
                <w:rFonts w:hint="eastAsia"/>
                <w:color w:val="auto"/>
                <w:u w:val="none"/>
                <w:lang w:bidi="ar"/>
              </w:rPr>
              <w:t>、根据投标人提供的智能存储设备性能参数的</w:t>
            </w:r>
            <w:r>
              <w:rPr>
                <w:rFonts w:hint="eastAsia"/>
                <w:color w:val="auto"/>
                <w:u w:val="none"/>
              </w:rPr>
              <w:t>可行性、合理性、科学性</w:t>
            </w:r>
            <w:r>
              <w:rPr>
                <w:rFonts w:hint="eastAsia"/>
                <w:color w:val="auto"/>
                <w:u w:val="none"/>
                <w:lang w:bidi="ar"/>
              </w:rPr>
              <w:t>进行评分。</w:t>
            </w:r>
            <w:r>
              <w:rPr>
                <w:rFonts w:hint="eastAsia"/>
                <w:color w:val="auto"/>
                <w:u w:val="none"/>
                <w:lang w:eastAsia="zh-CN" w:bidi="ar"/>
              </w:rPr>
              <w:t>（</w:t>
            </w:r>
            <w:r>
              <w:rPr>
                <w:rFonts w:hint="eastAsia"/>
                <w:color w:val="auto"/>
                <w:u w:val="none"/>
                <w:lang w:val="en-US" w:eastAsia="zh-CN" w:bidi="ar"/>
              </w:rPr>
              <w:t>0-5分）</w:t>
            </w:r>
          </w:p>
          <w:p>
            <w:pPr>
              <w:pStyle w:val="80"/>
              <w:rPr>
                <w:color w:val="auto"/>
                <w:u w:val="none"/>
              </w:rPr>
            </w:pPr>
            <w:r>
              <w:rPr>
                <w:rFonts w:hint="eastAsia"/>
                <w:color w:val="auto"/>
                <w:u w:val="none"/>
                <w:lang w:val="en-US" w:eastAsia="zh-CN" w:bidi="ar"/>
              </w:rPr>
              <w:t>5</w:t>
            </w:r>
            <w:r>
              <w:rPr>
                <w:rFonts w:hint="eastAsia"/>
                <w:color w:val="auto"/>
                <w:u w:val="none"/>
                <w:lang w:bidi="ar"/>
              </w:rPr>
              <w:t>、根据投标人提供的数字资源管理模块、藏品全息展示模块功能设计的</w:t>
            </w:r>
            <w:r>
              <w:rPr>
                <w:rFonts w:hint="eastAsia"/>
                <w:color w:val="auto"/>
                <w:u w:val="none"/>
              </w:rPr>
              <w:t>科学性、合理性进行评分。</w:t>
            </w:r>
            <w:r>
              <w:rPr>
                <w:rFonts w:hint="eastAsia"/>
                <w:color w:val="auto"/>
                <w:u w:val="none"/>
                <w:lang w:eastAsia="zh-CN" w:bidi="ar"/>
              </w:rPr>
              <w:t>（</w:t>
            </w:r>
            <w:r>
              <w:rPr>
                <w:rFonts w:hint="eastAsia"/>
                <w:color w:val="auto"/>
                <w:u w:val="none"/>
                <w:lang w:val="en-US" w:eastAsia="zh-CN" w:bidi="ar"/>
              </w:rPr>
              <w:t>0-5分）</w:t>
            </w:r>
          </w:p>
        </w:tc>
        <w:tc>
          <w:tcPr>
            <w:tcW w:w="1080" w:type="dxa"/>
            <w:tcBorders>
              <w:top w:val="nil"/>
              <w:left w:val="nil"/>
              <w:bottom w:val="single" w:color="auto" w:sz="8" w:space="0"/>
              <w:right w:val="single" w:color="auto" w:sz="8" w:space="0"/>
            </w:tcBorders>
            <w:vAlign w:val="center"/>
          </w:tcPr>
          <w:p>
            <w:pPr>
              <w:jc w:val="center"/>
              <w:rPr>
                <w:rFonts w:ascii="仿宋" w:hAnsi="仿宋" w:eastAsia="仿宋" w:cs="宋体"/>
                <w:color w:val="auto"/>
                <w:sz w:val="24"/>
              </w:rPr>
            </w:pPr>
            <w:r>
              <w:rPr>
                <w:rFonts w:hint="eastAsia" w:ascii="仿宋" w:hAnsi="仿宋" w:eastAsia="仿宋" w:cs="宋体"/>
                <w:color w:val="auto"/>
                <w:sz w:val="24"/>
              </w:rPr>
              <w:t>0</w:t>
            </w:r>
            <w:r>
              <w:rPr>
                <w:rFonts w:ascii="仿宋" w:hAnsi="仿宋" w:eastAsia="仿宋" w:cs="宋体"/>
                <w:color w:val="auto"/>
                <w:sz w:val="24"/>
              </w:rPr>
              <w:t>-</w:t>
            </w:r>
            <w:r>
              <w:rPr>
                <w:rFonts w:hint="eastAsia" w:ascii="仿宋" w:hAnsi="仿宋" w:eastAsia="仿宋" w:cs="宋体"/>
                <w:color w:val="auto"/>
                <w:sz w:val="24"/>
                <w:lang w:val="en-US" w:eastAsia="zh-CN"/>
              </w:rPr>
              <w:t>25</w:t>
            </w:r>
            <w:r>
              <w:rPr>
                <w:rFonts w:hint="eastAsia" w:ascii="仿宋" w:hAnsi="仿宋" w:eastAsia="仿宋" w:cs="宋体"/>
                <w:color w:val="auto"/>
                <w:sz w:val="24"/>
              </w:rPr>
              <w:t>分</w:t>
            </w:r>
          </w:p>
        </w:tc>
      </w:tr>
      <w:tr>
        <w:tblPrEx>
          <w:tblCellMar>
            <w:top w:w="0" w:type="dxa"/>
            <w:left w:w="108" w:type="dxa"/>
            <w:bottom w:w="0" w:type="dxa"/>
            <w:right w:w="108" w:type="dxa"/>
          </w:tblCellMar>
        </w:tblPrEx>
        <w:trPr>
          <w:trHeight w:val="912" w:hRule="atLeast"/>
        </w:trPr>
        <w:tc>
          <w:tcPr>
            <w:tcW w:w="960" w:type="dxa"/>
            <w:tcBorders>
              <w:top w:val="single" w:color="auto" w:sz="4" w:space="0"/>
              <w:left w:val="single" w:color="auto" w:sz="8" w:space="0"/>
              <w:bottom w:val="single" w:color="auto" w:sz="4" w:space="0"/>
              <w:right w:val="single" w:color="auto" w:sz="8" w:space="0"/>
            </w:tcBorders>
            <w:vAlign w:val="center"/>
          </w:tcPr>
          <w:p>
            <w:pPr>
              <w:jc w:val="center"/>
              <w:rPr>
                <w:rFonts w:ascii="仿宋" w:hAnsi="仿宋" w:eastAsia="仿宋" w:cs="宋体"/>
                <w:sz w:val="24"/>
              </w:rPr>
            </w:pPr>
            <w:r>
              <w:rPr>
                <w:rFonts w:hint="eastAsia" w:ascii="仿宋" w:hAnsi="仿宋" w:eastAsia="仿宋" w:cs="宋体"/>
                <w:sz w:val="24"/>
              </w:rPr>
              <w:t>4</w:t>
            </w:r>
          </w:p>
        </w:tc>
        <w:tc>
          <w:tcPr>
            <w:tcW w:w="1650" w:type="dxa"/>
            <w:tcBorders>
              <w:top w:val="single" w:color="auto" w:sz="4" w:space="0"/>
              <w:left w:val="nil"/>
              <w:bottom w:val="single" w:color="auto" w:sz="4" w:space="0"/>
              <w:right w:val="single" w:color="auto" w:sz="8" w:space="0"/>
            </w:tcBorders>
            <w:vAlign w:val="center"/>
          </w:tcPr>
          <w:p>
            <w:pPr>
              <w:pStyle w:val="80"/>
              <w:jc w:val="center"/>
            </w:pPr>
            <w:r>
              <w:rPr>
                <w:rFonts w:hint="eastAsia"/>
              </w:rPr>
              <w:t>进度安排</w:t>
            </w:r>
          </w:p>
        </w:tc>
        <w:tc>
          <w:tcPr>
            <w:tcW w:w="5625" w:type="dxa"/>
            <w:tcBorders>
              <w:top w:val="single" w:color="auto" w:sz="4" w:space="0"/>
              <w:left w:val="nil"/>
              <w:bottom w:val="single" w:color="auto" w:sz="8" w:space="0"/>
              <w:right w:val="single" w:color="auto" w:sz="8" w:space="0"/>
            </w:tcBorders>
            <w:vAlign w:val="center"/>
          </w:tcPr>
          <w:p>
            <w:pPr>
              <w:pStyle w:val="80"/>
              <w:rPr>
                <w:color w:val="auto"/>
              </w:rPr>
            </w:pPr>
            <w:r>
              <w:rPr>
                <w:rFonts w:hint="eastAsia"/>
                <w:color w:val="auto"/>
              </w:rPr>
              <w:t>根据投标人的项目进度安排</w:t>
            </w:r>
            <w:r>
              <w:rPr>
                <w:rFonts w:hint="eastAsia"/>
                <w:color w:val="auto"/>
                <w:lang w:eastAsia="zh-CN"/>
              </w:rPr>
              <w:t>的合理性、可行性</w:t>
            </w:r>
            <w:r>
              <w:rPr>
                <w:rFonts w:hint="eastAsia"/>
                <w:color w:val="auto"/>
              </w:rPr>
              <w:t>进行综合评分</w:t>
            </w:r>
            <w:r>
              <w:rPr>
                <w:rFonts w:hint="eastAsia"/>
                <w:color w:val="auto"/>
                <w:lang w:eastAsia="zh-CN"/>
              </w:rPr>
              <w:t>。</w:t>
            </w:r>
            <w:r>
              <w:rPr>
                <w:rFonts w:hint="eastAsia"/>
                <w:color w:val="auto"/>
                <w:lang w:eastAsia="zh-CN" w:bidi="ar"/>
              </w:rPr>
              <w:t>（</w:t>
            </w:r>
            <w:r>
              <w:rPr>
                <w:rFonts w:hint="eastAsia"/>
                <w:color w:val="auto"/>
                <w:lang w:val="en-US" w:eastAsia="zh-CN" w:bidi="ar"/>
              </w:rPr>
              <w:t>0-5分）</w:t>
            </w:r>
          </w:p>
        </w:tc>
        <w:tc>
          <w:tcPr>
            <w:tcW w:w="1080" w:type="dxa"/>
            <w:tcBorders>
              <w:top w:val="nil"/>
              <w:left w:val="nil"/>
              <w:bottom w:val="single" w:color="auto" w:sz="8" w:space="0"/>
              <w:right w:val="single" w:color="auto" w:sz="8" w:space="0"/>
            </w:tcBorders>
            <w:vAlign w:val="center"/>
          </w:tcPr>
          <w:p>
            <w:pPr>
              <w:jc w:val="center"/>
              <w:rPr>
                <w:rFonts w:ascii="仿宋" w:hAnsi="仿宋" w:eastAsia="仿宋" w:cs="宋体"/>
                <w:color w:val="auto"/>
                <w:sz w:val="24"/>
              </w:rPr>
            </w:pPr>
            <w:r>
              <w:rPr>
                <w:rFonts w:hint="eastAsia" w:ascii="仿宋" w:hAnsi="仿宋" w:eastAsia="仿宋" w:cs="宋体"/>
                <w:color w:val="auto"/>
                <w:sz w:val="24"/>
              </w:rPr>
              <w:t>0</w:t>
            </w:r>
            <w:r>
              <w:rPr>
                <w:rFonts w:ascii="仿宋" w:hAnsi="仿宋" w:eastAsia="仿宋" w:cs="宋体"/>
                <w:color w:val="auto"/>
                <w:sz w:val="24"/>
              </w:rPr>
              <w:t>-</w:t>
            </w:r>
            <w:r>
              <w:rPr>
                <w:rFonts w:hint="eastAsia" w:ascii="仿宋" w:hAnsi="仿宋" w:eastAsia="仿宋" w:cs="宋体"/>
                <w:color w:val="auto"/>
                <w:sz w:val="24"/>
                <w:lang w:val="en-US" w:eastAsia="zh-CN"/>
              </w:rPr>
              <w:t>5</w:t>
            </w:r>
            <w:r>
              <w:rPr>
                <w:rFonts w:hint="eastAsia" w:ascii="仿宋" w:hAnsi="仿宋" w:eastAsia="仿宋" w:cs="宋体"/>
                <w:color w:val="auto"/>
                <w:sz w:val="24"/>
              </w:rPr>
              <w:t>分</w:t>
            </w:r>
          </w:p>
        </w:tc>
      </w:tr>
      <w:tr>
        <w:tblPrEx>
          <w:tblCellMar>
            <w:top w:w="0" w:type="dxa"/>
            <w:left w:w="108" w:type="dxa"/>
            <w:bottom w:w="0" w:type="dxa"/>
            <w:right w:w="108" w:type="dxa"/>
          </w:tblCellMar>
        </w:tblPrEx>
        <w:trPr>
          <w:trHeight w:val="90" w:hRule="atLeast"/>
        </w:trPr>
        <w:tc>
          <w:tcPr>
            <w:tcW w:w="960" w:type="dxa"/>
            <w:tcBorders>
              <w:top w:val="single" w:color="auto" w:sz="4" w:space="0"/>
              <w:left w:val="single" w:color="auto" w:sz="8" w:space="0"/>
              <w:bottom w:val="single" w:color="auto" w:sz="8" w:space="0"/>
              <w:right w:val="single" w:color="auto" w:sz="8" w:space="0"/>
            </w:tcBorders>
            <w:vAlign w:val="center"/>
          </w:tcPr>
          <w:p>
            <w:pPr>
              <w:jc w:val="center"/>
              <w:rPr>
                <w:rFonts w:ascii="仿宋" w:hAnsi="仿宋" w:eastAsia="仿宋" w:cs="宋体"/>
                <w:sz w:val="24"/>
              </w:rPr>
            </w:pPr>
            <w:r>
              <w:rPr>
                <w:rFonts w:hint="eastAsia" w:ascii="仿宋" w:hAnsi="仿宋" w:eastAsia="仿宋" w:cs="宋体"/>
                <w:sz w:val="24"/>
              </w:rPr>
              <w:t>5</w:t>
            </w:r>
          </w:p>
        </w:tc>
        <w:tc>
          <w:tcPr>
            <w:tcW w:w="1650" w:type="dxa"/>
            <w:tcBorders>
              <w:top w:val="single" w:color="auto" w:sz="4" w:space="0"/>
              <w:left w:val="nil"/>
              <w:bottom w:val="single" w:color="auto" w:sz="8" w:space="0"/>
              <w:right w:val="single" w:color="auto" w:sz="8" w:space="0"/>
            </w:tcBorders>
            <w:vAlign w:val="center"/>
          </w:tcPr>
          <w:p>
            <w:pPr>
              <w:pStyle w:val="80"/>
              <w:jc w:val="center"/>
            </w:pPr>
            <w:r>
              <w:rPr>
                <w:rFonts w:hint="eastAsia"/>
              </w:rPr>
              <w:t>保障措施</w:t>
            </w:r>
          </w:p>
        </w:tc>
        <w:tc>
          <w:tcPr>
            <w:tcW w:w="5625" w:type="dxa"/>
            <w:tcBorders>
              <w:top w:val="single" w:color="auto" w:sz="4" w:space="0"/>
              <w:left w:val="nil"/>
              <w:bottom w:val="single" w:color="auto" w:sz="8" w:space="0"/>
              <w:right w:val="single" w:color="auto" w:sz="8" w:space="0"/>
            </w:tcBorders>
            <w:vAlign w:val="center"/>
          </w:tcPr>
          <w:p>
            <w:pPr>
              <w:pStyle w:val="80"/>
              <w:rPr>
                <w:color w:val="auto"/>
              </w:rPr>
            </w:pPr>
            <w:r>
              <w:rPr>
                <w:rFonts w:hint="eastAsia"/>
                <w:color w:val="auto"/>
              </w:rPr>
              <w:t>根据投标人提供的项目质量保证措施</w:t>
            </w:r>
            <w:r>
              <w:rPr>
                <w:rFonts w:hint="eastAsia"/>
                <w:color w:val="auto"/>
                <w:lang w:eastAsia="zh-CN"/>
              </w:rPr>
              <w:t>合理性、可行性</w:t>
            </w:r>
            <w:r>
              <w:rPr>
                <w:rFonts w:hint="eastAsia"/>
                <w:color w:val="auto"/>
              </w:rPr>
              <w:t>进行综合评分</w:t>
            </w:r>
            <w:r>
              <w:rPr>
                <w:rFonts w:hint="eastAsia"/>
                <w:color w:val="auto"/>
                <w:lang w:eastAsia="zh-CN"/>
              </w:rPr>
              <w:t>。</w:t>
            </w:r>
            <w:r>
              <w:rPr>
                <w:rFonts w:hint="eastAsia"/>
                <w:color w:val="auto"/>
                <w:lang w:eastAsia="zh-CN" w:bidi="ar"/>
              </w:rPr>
              <w:t>（</w:t>
            </w:r>
            <w:r>
              <w:rPr>
                <w:rFonts w:hint="eastAsia"/>
                <w:color w:val="auto"/>
                <w:lang w:val="en-US" w:eastAsia="zh-CN" w:bidi="ar"/>
              </w:rPr>
              <w:t>0-5分）</w:t>
            </w:r>
          </w:p>
        </w:tc>
        <w:tc>
          <w:tcPr>
            <w:tcW w:w="1080" w:type="dxa"/>
            <w:tcBorders>
              <w:top w:val="nil"/>
              <w:left w:val="nil"/>
              <w:bottom w:val="single" w:color="auto" w:sz="8" w:space="0"/>
              <w:right w:val="single" w:color="auto" w:sz="8" w:space="0"/>
            </w:tcBorders>
            <w:vAlign w:val="center"/>
          </w:tcPr>
          <w:p>
            <w:pPr>
              <w:jc w:val="center"/>
              <w:rPr>
                <w:rFonts w:ascii="仿宋" w:hAnsi="仿宋" w:eastAsia="仿宋" w:cs="宋体"/>
                <w:color w:val="auto"/>
                <w:sz w:val="24"/>
              </w:rPr>
            </w:pPr>
            <w:r>
              <w:rPr>
                <w:rFonts w:hint="eastAsia" w:ascii="仿宋" w:hAnsi="仿宋" w:eastAsia="仿宋" w:cs="宋体"/>
                <w:color w:val="auto"/>
                <w:sz w:val="24"/>
              </w:rPr>
              <w:t>0-</w:t>
            </w:r>
            <w:r>
              <w:rPr>
                <w:rFonts w:hint="eastAsia" w:ascii="仿宋" w:hAnsi="仿宋" w:eastAsia="仿宋" w:cs="宋体"/>
                <w:color w:val="auto"/>
                <w:sz w:val="24"/>
                <w:lang w:val="en-US" w:eastAsia="zh-CN"/>
              </w:rPr>
              <w:t>5</w:t>
            </w:r>
            <w:r>
              <w:rPr>
                <w:rFonts w:hint="eastAsia" w:ascii="仿宋" w:hAnsi="仿宋" w:eastAsia="仿宋" w:cs="宋体"/>
                <w:color w:val="auto"/>
                <w:sz w:val="24"/>
              </w:rPr>
              <w:t>分</w:t>
            </w:r>
          </w:p>
        </w:tc>
      </w:tr>
      <w:tr>
        <w:tblPrEx>
          <w:tblCellMar>
            <w:top w:w="0" w:type="dxa"/>
            <w:left w:w="108" w:type="dxa"/>
            <w:bottom w:w="0" w:type="dxa"/>
            <w:right w:w="108" w:type="dxa"/>
          </w:tblCellMar>
        </w:tblPrEx>
        <w:trPr>
          <w:trHeight w:val="1061" w:hRule="atLeast"/>
        </w:trPr>
        <w:tc>
          <w:tcPr>
            <w:tcW w:w="960" w:type="dxa"/>
            <w:tcBorders>
              <w:top w:val="nil"/>
              <w:left w:val="single" w:color="auto" w:sz="8" w:space="0"/>
              <w:bottom w:val="single" w:color="auto" w:sz="4" w:space="0"/>
              <w:right w:val="single" w:color="auto" w:sz="8" w:space="0"/>
            </w:tcBorders>
            <w:vAlign w:val="center"/>
          </w:tcPr>
          <w:p>
            <w:pPr>
              <w:jc w:val="center"/>
              <w:rPr>
                <w:rFonts w:ascii="仿宋" w:hAnsi="仿宋" w:eastAsia="仿宋" w:cs="宋体"/>
                <w:sz w:val="24"/>
              </w:rPr>
            </w:pPr>
            <w:r>
              <w:rPr>
                <w:rFonts w:hint="eastAsia" w:ascii="仿宋" w:hAnsi="仿宋" w:eastAsia="仿宋" w:cs="宋体"/>
                <w:sz w:val="24"/>
              </w:rPr>
              <w:t>6</w:t>
            </w:r>
          </w:p>
        </w:tc>
        <w:tc>
          <w:tcPr>
            <w:tcW w:w="1650" w:type="dxa"/>
            <w:tcBorders>
              <w:top w:val="nil"/>
              <w:left w:val="nil"/>
              <w:bottom w:val="single" w:color="auto" w:sz="4" w:space="0"/>
              <w:right w:val="single" w:color="auto" w:sz="8" w:space="0"/>
            </w:tcBorders>
            <w:vAlign w:val="center"/>
          </w:tcPr>
          <w:p>
            <w:pPr>
              <w:jc w:val="center"/>
              <w:rPr>
                <w:rFonts w:ascii="仿宋" w:hAnsi="仿宋" w:eastAsia="仿宋" w:cs="仿宋_GB2312"/>
                <w:sz w:val="24"/>
              </w:rPr>
            </w:pPr>
            <w:r>
              <w:rPr>
                <w:rFonts w:hint="eastAsia" w:ascii="仿宋" w:hAnsi="仿宋" w:eastAsia="仿宋" w:cs="仿宋_GB2312"/>
                <w:sz w:val="24"/>
              </w:rPr>
              <w:t>项目建议</w:t>
            </w:r>
          </w:p>
        </w:tc>
        <w:tc>
          <w:tcPr>
            <w:tcW w:w="5625" w:type="dxa"/>
            <w:tcBorders>
              <w:top w:val="nil"/>
              <w:left w:val="nil"/>
              <w:bottom w:val="single" w:color="auto" w:sz="4" w:space="0"/>
              <w:right w:val="single" w:color="auto" w:sz="8" w:space="0"/>
            </w:tcBorders>
            <w:vAlign w:val="center"/>
          </w:tcPr>
          <w:p>
            <w:pPr>
              <w:pStyle w:val="80"/>
              <w:rPr>
                <w:color w:val="auto"/>
              </w:rPr>
            </w:pPr>
            <w:r>
              <w:rPr>
                <w:rFonts w:hint="eastAsia"/>
                <w:color w:val="auto"/>
                <w:lang w:bidi="ar"/>
              </w:rPr>
              <w:t>根据投标人提出的项目实施中重要的和具有控制性的项目建议的科学性、合理性、可行性进行评分。</w:t>
            </w:r>
            <w:r>
              <w:rPr>
                <w:rFonts w:hint="eastAsia"/>
                <w:color w:val="auto"/>
                <w:lang w:eastAsia="zh-CN" w:bidi="ar"/>
              </w:rPr>
              <w:t>（</w:t>
            </w:r>
            <w:r>
              <w:rPr>
                <w:rFonts w:hint="eastAsia"/>
                <w:color w:val="auto"/>
                <w:lang w:val="en-US" w:eastAsia="zh-CN" w:bidi="ar"/>
              </w:rPr>
              <w:t>0-8分）</w:t>
            </w:r>
          </w:p>
        </w:tc>
        <w:tc>
          <w:tcPr>
            <w:tcW w:w="1080" w:type="dxa"/>
            <w:tcBorders>
              <w:top w:val="nil"/>
              <w:left w:val="nil"/>
              <w:bottom w:val="single" w:color="auto" w:sz="4" w:space="0"/>
              <w:right w:val="single" w:color="auto" w:sz="8" w:space="0"/>
            </w:tcBorders>
            <w:vAlign w:val="center"/>
          </w:tcPr>
          <w:p>
            <w:pPr>
              <w:jc w:val="center"/>
              <w:rPr>
                <w:rFonts w:ascii="仿宋" w:hAnsi="仿宋" w:eastAsia="仿宋" w:cs="仿宋_GB2312"/>
                <w:color w:val="auto"/>
                <w:sz w:val="24"/>
              </w:rPr>
            </w:pPr>
            <w:r>
              <w:rPr>
                <w:rFonts w:ascii="仿宋" w:hAnsi="仿宋" w:eastAsia="仿宋" w:cs="宋体"/>
                <w:bCs/>
                <w:color w:val="auto"/>
                <w:sz w:val="24"/>
              </w:rPr>
              <w:t>0-</w:t>
            </w:r>
            <w:r>
              <w:rPr>
                <w:rFonts w:hint="eastAsia" w:ascii="仿宋" w:hAnsi="仿宋" w:eastAsia="仿宋" w:cs="宋体"/>
                <w:bCs/>
                <w:color w:val="auto"/>
                <w:sz w:val="24"/>
              </w:rPr>
              <w:t>8分</w:t>
            </w:r>
          </w:p>
        </w:tc>
      </w:tr>
      <w:tr>
        <w:tblPrEx>
          <w:tblCellMar>
            <w:top w:w="0" w:type="dxa"/>
            <w:left w:w="108" w:type="dxa"/>
            <w:bottom w:w="0" w:type="dxa"/>
            <w:right w:w="108" w:type="dxa"/>
          </w:tblCellMar>
        </w:tblPrEx>
        <w:trPr>
          <w:trHeight w:val="1287" w:hRule="atLeast"/>
        </w:trPr>
        <w:tc>
          <w:tcPr>
            <w:tcW w:w="960" w:type="dxa"/>
            <w:tcBorders>
              <w:top w:val="single" w:color="auto" w:sz="4" w:space="0"/>
              <w:left w:val="single" w:color="auto" w:sz="8" w:space="0"/>
              <w:bottom w:val="single" w:color="auto" w:sz="4" w:space="0"/>
              <w:right w:val="single" w:color="auto" w:sz="8" w:space="0"/>
            </w:tcBorders>
            <w:vAlign w:val="center"/>
          </w:tcPr>
          <w:p>
            <w:pPr>
              <w:jc w:val="center"/>
              <w:rPr>
                <w:rFonts w:ascii="仿宋" w:hAnsi="仿宋" w:eastAsia="仿宋" w:cs="宋体"/>
                <w:sz w:val="24"/>
              </w:rPr>
            </w:pPr>
            <w:r>
              <w:rPr>
                <w:rFonts w:hint="eastAsia" w:ascii="仿宋" w:hAnsi="仿宋" w:eastAsia="仿宋" w:cs="宋体"/>
                <w:bCs/>
                <w:sz w:val="24"/>
              </w:rPr>
              <w:t>7</w:t>
            </w:r>
          </w:p>
        </w:tc>
        <w:tc>
          <w:tcPr>
            <w:tcW w:w="1650" w:type="dxa"/>
            <w:tcBorders>
              <w:top w:val="single" w:color="auto" w:sz="4" w:space="0"/>
              <w:left w:val="nil"/>
              <w:bottom w:val="single" w:color="auto" w:sz="4" w:space="0"/>
              <w:right w:val="single" w:color="auto" w:sz="8" w:space="0"/>
            </w:tcBorders>
            <w:vAlign w:val="center"/>
          </w:tcPr>
          <w:p>
            <w:pPr>
              <w:jc w:val="center"/>
              <w:rPr>
                <w:rFonts w:ascii="仿宋" w:hAnsi="仿宋" w:eastAsia="仿宋"/>
                <w:sz w:val="24"/>
              </w:rPr>
            </w:pPr>
            <w:r>
              <w:rPr>
                <w:rFonts w:hint="eastAsia" w:ascii="仿宋" w:hAnsi="仿宋" w:eastAsia="仿宋" w:cs="仿宋_GB2312"/>
                <w:sz w:val="24"/>
              </w:rPr>
              <w:t>团队配备</w:t>
            </w:r>
          </w:p>
        </w:tc>
        <w:tc>
          <w:tcPr>
            <w:tcW w:w="5625" w:type="dxa"/>
            <w:tcBorders>
              <w:top w:val="single" w:color="auto" w:sz="4" w:space="0"/>
              <w:left w:val="nil"/>
              <w:bottom w:val="single" w:color="auto" w:sz="4" w:space="0"/>
              <w:right w:val="single" w:color="auto" w:sz="8" w:space="0"/>
            </w:tcBorders>
            <w:vAlign w:val="center"/>
          </w:tcPr>
          <w:p>
            <w:pPr>
              <w:pStyle w:val="80"/>
              <w:rPr>
                <w:color w:val="auto"/>
              </w:rPr>
            </w:pPr>
            <w:r>
              <w:rPr>
                <w:rFonts w:hint="eastAsia"/>
                <w:color w:val="auto"/>
              </w:rPr>
              <w:t>根据投标人安排参与本项目团队成员情况进行打分：</w:t>
            </w:r>
          </w:p>
          <w:p>
            <w:pPr>
              <w:pStyle w:val="80"/>
              <w:rPr>
                <w:color w:val="auto"/>
              </w:rPr>
            </w:pPr>
            <w:r>
              <w:rPr>
                <w:rFonts w:hint="eastAsia"/>
                <w:color w:val="auto"/>
                <w:lang w:bidi="ar"/>
              </w:rPr>
              <w:t>1、</w:t>
            </w:r>
            <w:r>
              <w:rPr>
                <w:rFonts w:hint="eastAsia"/>
                <w:color w:val="auto"/>
              </w:rPr>
              <w:t>投标供应商拟派项目经理需具备以下资质能力：</w:t>
            </w:r>
          </w:p>
          <w:p>
            <w:pPr>
              <w:pStyle w:val="80"/>
              <w:rPr>
                <w:rFonts w:hint="eastAsia"/>
                <w:color w:val="auto"/>
              </w:rPr>
            </w:pPr>
            <w:r>
              <w:rPr>
                <w:rFonts w:hint="eastAsia"/>
                <w:color w:val="auto"/>
              </w:rPr>
              <w:t>①信息系统项目管理师（高级）资格证书；</w:t>
            </w:r>
          </w:p>
          <w:p>
            <w:pPr>
              <w:pStyle w:val="80"/>
              <w:rPr>
                <w:rFonts w:hint="eastAsia"/>
                <w:color w:val="auto"/>
              </w:rPr>
            </w:pPr>
            <w:r>
              <w:rPr>
                <w:rFonts w:hint="eastAsia"/>
                <w:color w:val="auto"/>
                <w:lang w:val="en-US" w:eastAsia="zh-CN"/>
              </w:rPr>
              <w:t>②</w:t>
            </w:r>
            <w:r>
              <w:rPr>
                <w:rFonts w:hint="eastAsia"/>
                <w:color w:val="auto"/>
              </w:rPr>
              <w:t>知识图谱相关证书；</w:t>
            </w:r>
          </w:p>
          <w:p>
            <w:pPr>
              <w:pStyle w:val="80"/>
              <w:rPr>
                <w:rFonts w:hint="eastAsia"/>
                <w:color w:val="auto"/>
              </w:rPr>
            </w:pPr>
            <w:r>
              <w:rPr>
                <w:rFonts w:hint="eastAsia"/>
                <w:color w:val="auto"/>
              </w:rPr>
              <w:t>③展陈设计专业人才中级及以上相关证书；</w:t>
            </w:r>
          </w:p>
          <w:p>
            <w:pPr>
              <w:pStyle w:val="80"/>
              <w:rPr>
                <w:rFonts w:hint="default" w:eastAsia="仿宋_GB2312"/>
                <w:color w:val="auto"/>
                <w:lang w:val="en-US" w:eastAsia="zh-CN"/>
              </w:rPr>
            </w:pPr>
            <w:r>
              <w:rPr>
                <w:rFonts w:hint="eastAsia"/>
                <w:color w:val="auto"/>
                <w:lang w:eastAsia="zh-CN"/>
              </w:rPr>
              <w:t>每有一本证书得</w:t>
            </w:r>
            <w:r>
              <w:rPr>
                <w:rFonts w:hint="default"/>
                <w:color w:val="auto"/>
                <w:lang w:val="en-US" w:eastAsia="zh-CN"/>
              </w:rPr>
              <w:t>1</w:t>
            </w:r>
            <w:r>
              <w:rPr>
                <w:rFonts w:hint="eastAsia"/>
                <w:color w:val="auto"/>
                <w:lang w:val="en-US" w:eastAsia="zh-CN"/>
              </w:rPr>
              <w:t>分，最高得</w:t>
            </w:r>
            <w:r>
              <w:rPr>
                <w:rFonts w:hint="default"/>
                <w:color w:val="auto"/>
                <w:lang w:val="en-US" w:eastAsia="zh-CN"/>
              </w:rPr>
              <w:t>3</w:t>
            </w:r>
            <w:r>
              <w:rPr>
                <w:rFonts w:hint="eastAsia"/>
                <w:color w:val="auto"/>
                <w:lang w:val="en-US" w:eastAsia="zh-CN"/>
              </w:rPr>
              <w:t>分。</w:t>
            </w:r>
          </w:p>
          <w:p>
            <w:pPr>
              <w:pStyle w:val="80"/>
              <w:numPr>
                <w:ilvl w:val="0"/>
                <w:numId w:val="2"/>
              </w:numPr>
              <w:rPr>
                <w:color w:val="auto"/>
              </w:rPr>
            </w:pPr>
            <w:r>
              <w:rPr>
                <w:rFonts w:hint="eastAsia"/>
                <w:color w:val="auto"/>
              </w:rPr>
              <w:t>项目</w:t>
            </w:r>
            <w:r>
              <w:rPr>
                <w:rFonts w:hint="eastAsia"/>
                <w:color w:val="auto"/>
                <w:lang w:val="en-US" w:eastAsia="zh-CN"/>
              </w:rPr>
              <w:t>设计</w:t>
            </w:r>
            <w:r>
              <w:rPr>
                <w:rFonts w:hint="eastAsia"/>
                <w:color w:val="auto"/>
              </w:rPr>
              <w:t>人员应具有博物馆、图情、数字媒体技术、计算机等与本项目相关专业人员，并熟悉文化遗产数字化业务和行业发展</w:t>
            </w:r>
            <w:r>
              <w:rPr>
                <w:rFonts w:hint="eastAsia"/>
                <w:color w:val="auto"/>
                <w:lang w:eastAsia="zh-CN"/>
              </w:rPr>
              <w:t>。</w:t>
            </w:r>
            <w:r>
              <w:rPr>
                <w:rFonts w:hint="eastAsia"/>
                <w:color w:val="auto"/>
              </w:rPr>
              <w:t>每提供一个</w:t>
            </w:r>
            <w:r>
              <w:rPr>
                <w:rFonts w:hint="eastAsia"/>
                <w:color w:val="auto"/>
                <w:lang w:val="en-US" w:eastAsia="zh-CN"/>
              </w:rPr>
              <w:t>专业的</w:t>
            </w:r>
            <w:r>
              <w:rPr>
                <w:rFonts w:hint="eastAsia"/>
                <w:color w:val="auto"/>
              </w:rPr>
              <w:t>相关学历证书得2分，</w:t>
            </w:r>
            <w:r>
              <w:rPr>
                <w:rFonts w:hint="eastAsia"/>
                <w:color w:val="auto"/>
                <w:lang w:eastAsia="zh-CN"/>
              </w:rPr>
              <w:t>最高得</w:t>
            </w:r>
            <w:r>
              <w:rPr>
                <w:rFonts w:hint="eastAsia"/>
                <w:color w:val="auto"/>
              </w:rPr>
              <w:t>8分。</w:t>
            </w:r>
          </w:p>
          <w:p>
            <w:pPr>
              <w:pStyle w:val="80"/>
              <w:rPr>
                <w:color w:val="auto"/>
              </w:rPr>
            </w:pPr>
            <w:r>
              <w:rPr>
                <w:rFonts w:hint="eastAsia"/>
                <w:color w:val="auto"/>
              </w:rPr>
              <w:t>3、团队</w:t>
            </w:r>
            <w:r>
              <w:rPr>
                <w:rFonts w:hint="eastAsia"/>
                <w:color w:val="auto"/>
                <w:lang w:val="en-US" w:eastAsia="zh-CN"/>
              </w:rPr>
              <w:t>成员中</w:t>
            </w:r>
            <w:r>
              <w:rPr>
                <w:rFonts w:hint="eastAsia"/>
                <w:color w:val="auto"/>
              </w:rPr>
              <w:t>有正高级职称的得5分，有高级职称的得3分，最</w:t>
            </w:r>
            <w:r>
              <w:rPr>
                <w:rFonts w:hint="eastAsia"/>
                <w:color w:val="auto"/>
                <w:lang w:eastAsia="zh-CN"/>
              </w:rPr>
              <w:t>高</w:t>
            </w:r>
            <w:r>
              <w:rPr>
                <w:rFonts w:hint="eastAsia"/>
                <w:color w:val="auto"/>
              </w:rPr>
              <w:t>得8分。</w:t>
            </w:r>
          </w:p>
          <w:p>
            <w:pPr>
              <w:jc w:val="left"/>
              <w:rPr>
                <w:rFonts w:ascii="仿宋" w:hAnsi="仿宋" w:eastAsia="仿宋" w:cs="仿宋_GB2312"/>
                <w:color w:val="auto"/>
                <w:sz w:val="24"/>
              </w:rPr>
            </w:pPr>
            <w:r>
              <w:rPr>
                <w:rFonts w:hint="eastAsia" w:ascii="仿宋" w:hAnsi="仿宋" w:eastAsia="仿宋"/>
                <w:b w:val="0"/>
                <w:bCs w:val="0"/>
                <w:color w:val="auto"/>
                <w:sz w:val="24"/>
              </w:rPr>
              <w:t>（</w:t>
            </w:r>
            <w:r>
              <w:rPr>
                <w:rFonts w:hint="eastAsia" w:ascii="仿宋" w:hAnsi="仿宋" w:eastAsia="仿宋"/>
                <w:b w:val="0"/>
                <w:bCs w:val="0"/>
                <w:color w:val="auto"/>
                <w:sz w:val="24"/>
                <w:lang w:eastAsia="zh-CN"/>
              </w:rPr>
              <w:t>提供证书复印件及投标人为其缴纳的</w:t>
            </w:r>
            <w:r>
              <w:rPr>
                <w:rFonts w:hint="eastAsia" w:ascii="仿宋" w:hAnsi="仿宋" w:eastAsia="仿宋"/>
                <w:b w:val="0"/>
                <w:bCs w:val="0"/>
                <w:color w:val="auto"/>
                <w:sz w:val="24"/>
              </w:rPr>
              <w:t>近3个月社保证明材料加盖单位公章）</w:t>
            </w:r>
          </w:p>
        </w:tc>
        <w:tc>
          <w:tcPr>
            <w:tcW w:w="1080" w:type="dxa"/>
            <w:tcBorders>
              <w:top w:val="single" w:color="auto" w:sz="4" w:space="0"/>
              <w:left w:val="nil"/>
              <w:bottom w:val="single" w:color="auto" w:sz="4" w:space="0"/>
              <w:right w:val="single" w:color="auto" w:sz="8" w:space="0"/>
            </w:tcBorders>
            <w:vAlign w:val="center"/>
          </w:tcPr>
          <w:p>
            <w:pPr>
              <w:jc w:val="center"/>
              <w:rPr>
                <w:rFonts w:ascii="仿宋" w:hAnsi="仿宋" w:eastAsia="仿宋" w:cs="宋体"/>
                <w:color w:val="auto"/>
                <w:sz w:val="24"/>
              </w:rPr>
            </w:pPr>
            <w:r>
              <w:rPr>
                <w:rFonts w:hint="eastAsia" w:ascii="仿宋" w:hAnsi="仿宋" w:eastAsia="仿宋" w:cs="仿宋_GB2312"/>
                <w:color w:val="auto"/>
                <w:sz w:val="24"/>
              </w:rPr>
              <w:t>0-</w:t>
            </w:r>
            <w:r>
              <w:rPr>
                <w:rFonts w:hint="default" w:ascii="仿宋" w:hAnsi="仿宋" w:eastAsia="仿宋" w:cs="仿宋_GB2312"/>
                <w:color w:val="auto"/>
                <w:sz w:val="24"/>
                <w:lang w:val="en-US" w:eastAsia="zh-CN"/>
              </w:rPr>
              <w:t>19</w:t>
            </w:r>
            <w:r>
              <w:rPr>
                <w:rFonts w:hint="eastAsia" w:ascii="仿宋" w:hAnsi="仿宋" w:eastAsia="仿宋" w:cs="仿宋_GB2312"/>
                <w:color w:val="auto"/>
                <w:sz w:val="24"/>
              </w:rPr>
              <w:t>分</w:t>
            </w:r>
          </w:p>
        </w:tc>
      </w:tr>
      <w:tr>
        <w:tblPrEx>
          <w:tblCellMar>
            <w:top w:w="0" w:type="dxa"/>
            <w:left w:w="108" w:type="dxa"/>
            <w:bottom w:w="0" w:type="dxa"/>
            <w:right w:w="108" w:type="dxa"/>
          </w:tblCellMar>
        </w:tblPrEx>
        <w:trPr>
          <w:trHeight w:val="2588" w:hRule="atLeast"/>
        </w:trPr>
        <w:tc>
          <w:tcPr>
            <w:tcW w:w="960" w:type="dxa"/>
            <w:tcBorders>
              <w:top w:val="single" w:color="auto" w:sz="4" w:space="0"/>
              <w:left w:val="single" w:color="auto" w:sz="8" w:space="0"/>
              <w:bottom w:val="single" w:color="auto" w:sz="4" w:space="0"/>
              <w:right w:val="single" w:color="auto" w:sz="8" w:space="0"/>
            </w:tcBorders>
            <w:vAlign w:val="center"/>
          </w:tcPr>
          <w:p>
            <w:pPr>
              <w:jc w:val="center"/>
              <w:rPr>
                <w:rFonts w:ascii="仿宋" w:hAnsi="仿宋" w:eastAsia="仿宋" w:cs="宋体"/>
                <w:bCs/>
                <w:sz w:val="24"/>
              </w:rPr>
            </w:pPr>
            <w:r>
              <w:rPr>
                <w:rFonts w:hint="eastAsia" w:ascii="仿宋" w:hAnsi="仿宋" w:eastAsia="仿宋" w:cs="宋体"/>
                <w:bCs/>
                <w:sz w:val="24"/>
              </w:rPr>
              <w:t>8</w:t>
            </w:r>
          </w:p>
        </w:tc>
        <w:tc>
          <w:tcPr>
            <w:tcW w:w="1650" w:type="dxa"/>
            <w:tcBorders>
              <w:top w:val="single" w:color="auto" w:sz="4" w:space="0"/>
              <w:left w:val="nil"/>
              <w:bottom w:val="single" w:color="auto" w:sz="4" w:space="0"/>
              <w:right w:val="single" w:color="auto" w:sz="8" w:space="0"/>
            </w:tcBorders>
            <w:vAlign w:val="center"/>
          </w:tcPr>
          <w:p>
            <w:pPr>
              <w:jc w:val="center"/>
              <w:rPr>
                <w:rFonts w:ascii="仿宋" w:hAnsi="仿宋" w:eastAsia="仿宋" w:cs="仿宋_GB2312"/>
                <w:sz w:val="24"/>
              </w:rPr>
            </w:pPr>
            <w:r>
              <w:rPr>
                <w:rFonts w:hint="eastAsia" w:ascii="仿宋" w:hAnsi="仿宋" w:eastAsia="仿宋" w:cs="仿宋_GB2312"/>
                <w:sz w:val="24"/>
              </w:rPr>
              <w:t>综合实力</w:t>
            </w:r>
          </w:p>
        </w:tc>
        <w:tc>
          <w:tcPr>
            <w:tcW w:w="5625" w:type="dxa"/>
            <w:tcBorders>
              <w:top w:val="single" w:color="auto" w:sz="4" w:space="0"/>
              <w:left w:val="nil"/>
              <w:bottom w:val="single" w:color="auto" w:sz="4" w:space="0"/>
              <w:right w:val="single" w:color="auto" w:sz="8" w:space="0"/>
            </w:tcBorders>
            <w:vAlign w:val="center"/>
          </w:tcPr>
          <w:p>
            <w:pPr>
              <w:pStyle w:val="80"/>
              <w:rPr>
                <w:color w:val="auto"/>
              </w:rPr>
            </w:pPr>
            <w:r>
              <w:rPr>
                <w:rFonts w:hint="eastAsia"/>
                <w:color w:val="auto"/>
                <w:lang w:val="en-US" w:eastAsia="zh-CN"/>
              </w:rPr>
              <w:t>1、</w:t>
            </w:r>
            <w:r>
              <w:rPr>
                <w:rFonts w:hint="eastAsia"/>
                <w:color w:val="auto"/>
              </w:rPr>
              <w:t>投标人具有在有效期内的</w:t>
            </w:r>
            <w:r>
              <w:rPr>
                <w:color w:val="auto"/>
              </w:rPr>
              <w:t xml:space="preserve"> ISO/IEC27001 </w:t>
            </w:r>
            <w:r>
              <w:rPr>
                <w:rFonts w:hint="eastAsia"/>
                <w:color w:val="auto"/>
              </w:rPr>
              <w:t>信息安</w:t>
            </w:r>
          </w:p>
          <w:p>
            <w:pPr>
              <w:pStyle w:val="80"/>
              <w:rPr>
                <w:rFonts w:hint="eastAsia"/>
                <w:color w:val="auto"/>
              </w:rPr>
            </w:pPr>
            <w:r>
              <w:rPr>
                <w:rFonts w:hint="eastAsia"/>
                <w:color w:val="auto"/>
              </w:rPr>
              <w:t>全管理体系认证、ISO9001</w:t>
            </w:r>
            <w:r>
              <w:rPr>
                <w:color w:val="auto"/>
              </w:rPr>
              <w:t xml:space="preserve"> </w:t>
            </w:r>
            <w:r>
              <w:rPr>
                <w:rFonts w:hint="eastAsia"/>
                <w:color w:val="auto"/>
              </w:rPr>
              <w:t>质量体系认证、ISO14001环境管理体系认证或</w:t>
            </w:r>
            <w:r>
              <w:rPr>
                <w:color w:val="auto"/>
              </w:rPr>
              <w:t xml:space="preserve"> ISO45001 </w:t>
            </w:r>
            <w:r>
              <w:rPr>
                <w:rFonts w:hint="eastAsia"/>
                <w:color w:val="auto"/>
              </w:rPr>
              <w:t>职业健康安全管理体系认证，每</w:t>
            </w:r>
            <w:r>
              <w:rPr>
                <w:rFonts w:hint="eastAsia"/>
                <w:color w:val="auto"/>
                <w:lang w:eastAsia="zh-CN"/>
              </w:rPr>
              <w:t>本证书</w:t>
            </w:r>
            <w:r>
              <w:rPr>
                <w:rFonts w:hint="eastAsia"/>
                <w:color w:val="auto"/>
              </w:rPr>
              <w:t xml:space="preserve">得 </w:t>
            </w:r>
            <w:r>
              <w:rPr>
                <w:rFonts w:hint="eastAsia"/>
                <w:color w:val="auto"/>
                <w:lang w:val="en-US" w:eastAsia="zh-CN"/>
              </w:rPr>
              <w:t>1</w:t>
            </w:r>
            <w:r>
              <w:rPr>
                <w:rFonts w:hint="eastAsia"/>
                <w:color w:val="auto"/>
              </w:rPr>
              <w:t xml:space="preserve"> 分，</w:t>
            </w:r>
            <w:r>
              <w:rPr>
                <w:rFonts w:hint="eastAsia"/>
                <w:color w:val="auto"/>
                <w:lang w:eastAsia="zh-CN"/>
              </w:rPr>
              <w:t>本项最高得</w:t>
            </w:r>
            <w:r>
              <w:rPr>
                <w:rFonts w:hint="eastAsia"/>
                <w:color w:val="auto"/>
              </w:rPr>
              <w:t xml:space="preserve"> </w:t>
            </w:r>
            <w:r>
              <w:rPr>
                <w:rFonts w:hint="eastAsia"/>
                <w:color w:val="auto"/>
                <w:lang w:val="en-US" w:eastAsia="zh-CN"/>
              </w:rPr>
              <w:t xml:space="preserve">4 </w:t>
            </w:r>
            <w:r>
              <w:rPr>
                <w:rFonts w:hint="eastAsia"/>
                <w:color w:val="auto"/>
              </w:rPr>
              <w:t>分。</w:t>
            </w:r>
          </w:p>
          <w:p>
            <w:pPr>
              <w:pStyle w:val="80"/>
              <w:rPr>
                <w:rFonts w:hint="eastAsia"/>
                <w:color w:val="auto"/>
              </w:rPr>
            </w:pPr>
            <w:r>
              <w:rPr>
                <w:rFonts w:hint="eastAsia"/>
                <w:color w:val="auto"/>
                <w:lang w:val="en-US" w:eastAsia="zh-CN"/>
              </w:rPr>
              <w:t>2、投标人具有文物三维数字化、数字资源管理、博物馆基础支撑平台、博物馆新媒体等相关软件著作权证书的，每个证书得1分</w:t>
            </w:r>
            <w:r>
              <w:rPr>
                <w:rFonts w:hint="eastAsia"/>
                <w:color w:val="auto"/>
              </w:rPr>
              <w:t>，</w:t>
            </w:r>
            <w:r>
              <w:rPr>
                <w:rFonts w:hint="eastAsia"/>
                <w:color w:val="auto"/>
                <w:lang w:eastAsia="zh-CN"/>
              </w:rPr>
              <w:t>本项最高得</w:t>
            </w:r>
            <w:r>
              <w:rPr>
                <w:rFonts w:hint="eastAsia"/>
                <w:color w:val="auto"/>
                <w:lang w:val="en-US" w:eastAsia="zh-CN"/>
              </w:rPr>
              <w:t>4</w:t>
            </w:r>
            <w:r>
              <w:rPr>
                <w:rFonts w:hint="eastAsia"/>
                <w:color w:val="auto"/>
              </w:rPr>
              <w:t>分。</w:t>
            </w:r>
          </w:p>
          <w:p>
            <w:pPr>
              <w:pStyle w:val="80"/>
              <w:rPr>
                <w:rFonts w:hint="default"/>
                <w:color w:val="auto"/>
                <w:lang w:val="en-US" w:eastAsia="zh-CN"/>
              </w:rPr>
            </w:pPr>
            <w:r>
              <w:rPr>
                <w:rFonts w:hint="eastAsia"/>
                <w:color w:val="auto"/>
                <w:lang w:eastAsia="zh-CN"/>
              </w:rPr>
              <w:t>（提供证书复印件加盖单位公章）</w:t>
            </w:r>
            <w:bookmarkStart w:id="47" w:name="_GoBack"/>
            <w:bookmarkEnd w:id="47"/>
          </w:p>
        </w:tc>
        <w:tc>
          <w:tcPr>
            <w:tcW w:w="1080" w:type="dxa"/>
            <w:tcBorders>
              <w:top w:val="single" w:color="auto" w:sz="4" w:space="0"/>
              <w:left w:val="nil"/>
              <w:bottom w:val="single" w:color="auto" w:sz="4" w:space="0"/>
              <w:right w:val="single" w:color="auto" w:sz="8" w:space="0"/>
            </w:tcBorders>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0-</w:t>
            </w:r>
            <w:r>
              <w:rPr>
                <w:rFonts w:hint="eastAsia" w:ascii="仿宋" w:hAnsi="仿宋" w:eastAsia="仿宋" w:cs="仿宋_GB2312"/>
                <w:color w:val="auto"/>
                <w:sz w:val="24"/>
                <w:lang w:val="en-US" w:eastAsia="zh-CN"/>
              </w:rPr>
              <w:t>8</w:t>
            </w:r>
            <w:r>
              <w:rPr>
                <w:rFonts w:hint="eastAsia" w:ascii="仿宋" w:hAnsi="仿宋" w:eastAsia="仿宋" w:cs="仿宋_GB2312"/>
                <w:color w:val="auto"/>
                <w:sz w:val="24"/>
              </w:rPr>
              <w:t>分</w:t>
            </w:r>
          </w:p>
        </w:tc>
      </w:tr>
    </w:tbl>
    <w:p>
      <w:pPr>
        <w:spacing w:line="281" w:lineRule="auto"/>
        <w:ind w:firstLine="964"/>
        <w:rPr>
          <w:rFonts w:ascii="仿宋" w:hAnsi="仿宋" w:eastAsia="仿宋" w:cs="仿宋"/>
          <w:b/>
          <w:bCs/>
          <w:sz w:val="24"/>
        </w:rPr>
      </w:pPr>
    </w:p>
    <w:p>
      <w:pPr>
        <w:spacing w:line="281" w:lineRule="auto"/>
        <w:rPr>
          <w:rFonts w:ascii="仿宋" w:hAnsi="仿宋" w:eastAsia="仿宋" w:cs="仿宋"/>
          <w:b/>
          <w:sz w:val="24"/>
        </w:rPr>
      </w:pPr>
      <w:r>
        <w:rPr>
          <w:rFonts w:hint="eastAsia" w:ascii="仿宋" w:hAnsi="仿宋" w:eastAsia="仿宋" w:cs="仿宋"/>
          <w:b/>
          <w:bCs/>
          <w:color w:val="auto"/>
          <w:sz w:val="24"/>
          <w:lang w:eastAsia="zh-CN"/>
        </w:rPr>
        <w:t>备</w:t>
      </w:r>
      <w:r>
        <w:rPr>
          <w:rFonts w:hint="eastAsia" w:ascii="仿宋" w:hAnsi="仿宋" w:eastAsia="仿宋" w:cs="仿宋"/>
          <w:b/>
          <w:color w:val="auto"/>
          <w:sz w:val="24"/>
        </w:rPr>
        <w:t>注：1、本项目招标文件内对开标现场原件核验不作要求，招标人有权</w:t>
      </w:r>
      <w:r>
        <w:rPr>
          <w:rFonts w:hint="eastAsia" w:ascii="仿宋" w:hAnsi="仿宋" w:eastAsia="仿宋" w:cs="仿宋"/>
          <w:b/>
          <w:sz w:val="24"/>
        </w:rPr>
        <w:t>在标后对中标候选人进行原件核验，投标人对所提供的全部资料的真实性承担法律责任。</w:t>
      </w:r>
    </w:p>
    <w:p>
      <w:pPr>
        <w:snapToGrid w:val="0"/>
        <w:spacing w:line="440" w:lineRule="exact"/>
        <w:rPr>
          <w:rFonts w:hint="eastAsia"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napToGrid w:val="0"/>
        <w:spacing w:line="440" w:lineRule="exact"/>
        <w:rPr>
          <w:rFonts w:ascii="仿宋" w:hAnsi="仿宋" w:eastAsia="仿宋" w:cs="仿宋"/>
          <w:b/>
          <w:sz w:val="24"/>
        </w:rPr>
      </w:pPr>
      <w:r>
        <w:rPr>
          <w:rFonts w:hint="eastAsia" w:ascii="仿宋" w:hAnsi="仿宋" w:eastAsia="仿宋" w:cs="仿宋"/>
          <w:b/>
          <w:sz w:val="24"/>
        </w:rPr>
        <w:t>3、投标人编制投标文件（商务技术文件部分）时，建议按此目录（序号和内容）提供评标标准相应的商务技术资料。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w:t>
      </w:r>
      <w:r>
        <w:rPr>
          <w:rFonts w:hint="default" w:ascii="仿宋" w:hAnsi="仿宋" w:eastAsia="仿宋" w:cs="仿宋"/>
          <w:b/>
          <w:bCs/>
          <w:iCs/>
          <w:sz w:val="24"/>
          <w:u w:val="single"/>
          <w:lang w:val="en-US" w:eastAsia="zh-CN"/>
        </w:rPr>
        <w:t>2</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w:t>
      </w:r>
      <w:r>
        <w:rPr>
          <w:rFonts w:hint="eastAsia" w:ascii="仿宋" w:hAnsi="仿宋" w:eastAsia="仿宋" w:cs="仿宋"/>
          <w:bCs/>
          <w:iCs/>
          <w:sz w:val="24"/>
          <w:u w:val="single"/>
        </w:rPr>
        <w:t>0</w:t>
      </w:r>
    </w:p>
    <w:p>
      <w:pPr>
        <w:pStyle w:val="25"/>
        <w:snapToGrid w:val="0"/>
        <w:spacing w:line="360" w:lineRule="auto"/>
        <w:ind w:firstLine="0" w:firstLineChars="0"/>
        <w:rPr>
          <w:rFonts w:ascii="仿宋" w:hAnsi="仿宋" w:eastAsia="仿宋" w:cs="仿宋"/>
        </w:rPr>
      </w:pPr>
    </w:p>
    <w:p>
      <w:pPr>
        <w:rPr>
          <w:rFonts w:ascii="仿宋" w:hAnsi="仿宋" w:eastAsia="仿宋" w:cs="仿宋"/>
        </w:rPr>
      </w:pPr>
    </w:p>
    <w:p>
      <w:pPr>
        <w:widowControl/>
        <w:adjustRightInd/>
        <w:jc w:val="center"/>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bCs/>
          <w:sz w:val="24"/>
          <w:lang w:eastAsia="zh-CN"/>
        </w:rPr>
        <w:t>绍兴博物馆</w:t>
      </w:r>
      <w:r>
        <w:rPr>
          <w:rFonts w:hint="eastAsia" w:ascii="仿宋" w:hAnsi="仿宋" w:eastAsia="仿宋" w:cs="仿宋"/>
          <w:sz w:val="24"/>
        </w:rPr>
        <w:t>、耀华建设管理有限公司：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_GB2312"/>
          <w:sz w:val="24"/>
        </w:rPr>
        <w:t>（</w:t>
      </w:r>
      <w:r>
        <w:rPr>
          <w:rFonts w:hint="eastAsia" w:ascii="仿宋" w:hAnsi="仿宋" w:eastAsia="仿宋"/>
          <w:sz w:val="24"/>
        </w:rPr>
        <w:t>如投标人为</w:t>
      </w:r>
      <w:r>
        <w:rPr>
          <w:rFonts w:hint="eastAsia" w:ascii="仿宋" w:hAnsi="仿宋" w:eastAsia="仿宋"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3"/>
        </w:numPr>
        <w:spacing w:line="336" w:lineRule="auto"/>
        <w:ind w:left="0" w:firstLine="0" w:firstLineChars="0"/>
        <w:rPr>
          <w:rFonts w:ascii="仿宋" w:eastAsia="仿宋" w:cs="仿宋"/>
        </w:rPr>
      </w:pPr>
      <w:r>
        <w:rPr>
          <w:rFonts w:hint="eastAsia" w:ascii="仿宋" w:eastAsia="仿宋" w:cs="仿宋"/>
        </w:rPr>
        <w:t>投标函…………………………………………………………………………（页码）</w:t>
      </w:r>
    </w:p>
    <w:p>
      <w:pPr>
        <w:pStyle w:val="905"/>
        <w:numPr>
          <w:ilvl w:val="0"/>
          <w:numId w:val="3"/>
        </w:numPr>
        <w:spacing w:line="336" w:lineRule="auto"/>
        <w:ind w:left="0" w:firstLine="0" w:firstLineChars="0"/>
        <w:rPr>
          <w:rFonts w:ascii="仿宋" w:eastAsia="仿宋" w:cs="仿宋"/>
        </w:rPr>
      </w:pPr>
      <w:r>
        <w:rPr>
          <w:rFonts w:hint="eastAsia" w:ascii="仿宋" w:eastAsia="仿宋" w:cs="仿宋"/>
        </w:rPr>
        <w:t>法定代表人授权书 ………………………………………………………… （页码）</w:t>
      </w:r>
    </w:p>
    <w:p>
      <w:pPr>
        <w:pStyle w:val="905"/>
        <w:numPr>
          <w:ilvl w:val="0"/>
          <w:numId w:val="3"/>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pPr>
        <w:pStyle w:val="905"/>
        <w:numPr>
          <w:ilvl w:val="0"/>
          <w:numId w:val="3"/>
        </w:numPr>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5"/>
        <w:numPr>
          <w:ilvl w:val="0"/>
          <w:numId w:val="3"/>
        </w:numPr>
        <w:spacing w:line="336" w:lineRule="auto"/>
        <w:ind w:left="0" w:firstLine="0" w:firstLineChars="0"/>
        <w:rPr>
          <w:rFonts w:ascii="仿宋" w:eastAsia="仿宋" w:cs="仿宋"/>
        </w:rPr>
      </w:pPr>
      <w:r>
        <w:rPr>
          <w:rFonts w:hint="eastAsia" w:ascii="仿宋" w:eastAsia="仿宋" w:cs="仿宋"/>
        </w:rPr>
        <w:t>商务技术偏离表……………………………………………………………… （页码）</w:t>
      </w:r>
    </w:p>
    <w:p>
      <w:pPr>
        <w:pStyle w:val="905"/>
        <w:numPr>
          <w:ilvl w:val="0"/>
          <w:numId w:val="3"/>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（7）</w:t>
      </w:r>
      <w:r>
        <w:rPr>
          <w:rFonts w:hint="eastAsia" w:ascii="仿宋" w:hAnsi="仿宋" w:eastAsia="仿宋" w:cs="仿宋_GB2312"/>
          <w:sz w:val="24"/>
          <w:lang w:val="zh-CN"/>
        </w:rPr>
        <w:t>主要业绩证明…………………………………………………</w:t>
      </w:r>
      <w:r>
        <w:rPr>
          <w:rFonts w:hint="eastAsia" w:ascii="仿宋" w:hAnsi="仿宋" w:eastAsia="仿宋" w:cs="仿宋_GB2312"/>
          <w:sz w:val="24"/>
        </w:rPr>
        <w:t>…………</w:t>
      </w:r>
      <w:r>
        <w:rPr>
          <w:rFonts w:hint="eastAsia" w:ascii="仿宋" w:hAnsi="仿宋" w:eastAsia="仿宋" w:cs="仿宋_GB2312"/>
          <w:sz w:val="24"/>
          <w:lang w:val="zh-CN"/>
        </w:rPr>
        <w:t>…</w:t>
      </w:r>
      <w:r>
        <w:rPr>
          <w:rFonts w:hint="eastAsia" w:ascii="仿宋" w:hAnsi="仿宋" w:eastAsia="仿宋" w:cs="仿宋"/>
        </w:rPr>
        <w:t>……</w:t>
      </w:r>
      <w:r>
        <w:rPr>
          <w:rFonts w:hint="eastAsia" w:ascii="仿宋" w:hAnsi="仿宋" w:eastAsia="仿宋" w:cs="仿宋_GB2312"/>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（8）技术解决方案…………………………………………………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（9）组织实施方案……………………………………………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（10）售后服务方案……………………………………………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（11）供应商售后服务证明材料……………………………………………………（页码）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（12）项目小组人员名单………………………………………</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（13）</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（14）</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（15）</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ind w:right="-368" w:rightChars="-175"/>
        <w:rPr>
          <w:rFonts w:ascii="仿宋" w:hAnsi="仿宋" w:eastAsia="仿宋" w:cs="仿宋_GB2312"/>
          <w:b/>
          <w:bCs/>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bCs/>
          <w:sz w:val="24"/>
          <w:lang w:eastAsia="zh-CN"/>
        </w:rPr>
        <w:t>绍兴博物馆</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80"/>
        <w:jc w:val="center"/>
        <w:rPr>
          <w:rFonts w:ascii="仿宋" w:hAnsi="仿宋" w:eastAsia="仿宋" w:cs="仿宋"/>
          <w:b/>
          <w:bCs/>
        </w:rPr>
      </w:pPr>
    </w:p>
    <w:p>
      <w:pPr>
        <w:spacing w:line="360" w:lineRule="auto"/>
        <w:jc w:val="center"/>
        <w:rPr>
          <w:rFonts w:ascii="仿宋" w:hAnsi="仿宋" w:eastAsia="仿宋" w:cs="仿宋_GB2312"/>
          <w:b/>
          <w:bCs/>
          <w:sz w:val="32"/>
          <w:szCs w:val="32"/>
        </w:rPr>
      </w:pPr>
      <w:r>
        <w:rPr>
          <w:rFonts w:ascii="仿宋" w:hAnsi="仿宋" w:eastAsia="仿宋" w:cs="仿宋_GB2312"/>
          <w:b/>
          <w:sz w:val="32"/>
          <w:szCs w:val="32"/>
        </w:rPr>
        <w:br w:type="column"/>
      </w:r>
      <w:r>
        <w:rPr>
          <w:rFonts w:hint="eastAsia" w:ascii="仿宋" w:hAnsi="仿宋" w:eastAsia="仿宋" w:cs="仿宋_GB2312"/>
          <w:b/>
          <w:sz w:val="32"/>
          <w:szCs w:val="32"/>
        </w:rPr>
        <w:t>七、</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rPr>
          <w:rFonts w:hAnsi="仿宋_GB2312" w:cs="仿宋_GB2312"/>
        </w:rPr>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八、技术解决方案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 w:hAnsi="仿宋" w:eastAsia="仿宋" w:cs="仿宋_GB2312"/>
          <w:b/>
          <w:kern w:val="0"/>
          <w:sz w:val="28"/>
          <w:szCs w:val="28"/>
        </w:rPr>
        <w:t>附</w:t>
      </w:r>
      <w:r>
        <w:rPr>
          <w:rFonts w:hint="eastAsia" w:ascii="仿宋_GB2312" w:hAnsi="仿宋_GB2312" w:eastAsia="仿宋_GB2312" w:cs="仿宋_GB2312"/>
          <w:b/>
          <w:kern w:val="0"/>
          <w:sz w:val="28"/>
          <w:szCs w:val="28"/>
        </w:rPr>
        <w:t>：</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九、组织实施方案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十、售后服务方案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pStyle w:val="80"/>
      </w:pPr>
    </w:p>
    <w:p>
      <w:pPr>
        <w:spacing w:line="360" w:lineRule="auto"/>
        <w:jc w:val="center"/>
        <w:rPr>
          <w:rFonts w:ascii="仿宋" w:hAnsi="仿宋" w:eastAsia="仿宋" w:cs="仿宋_GB2312"/>
          <w:b/>
          <w:sz w:val="30"/>
          <w:szCs w:val="30"/>
        </w:rPr>
      </w:pPr>
      <w:r>
        <w:rPr>
          <w:rFonts w:hint="eastAsia" w:ascii="仿宋" w:hAnsi="仿宋" w:eastAsia="仿宋" w:cs="仿宋_GB2312"/>
          <w:b/>
          <w:sz w:val="30"/>
          <w:szCs w:val="30"/>
        </w:rPr>
        <w:t>十一、投标人售后服务能力证明材料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0"/>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十二、项目小组人员名单</w:t>
      </w:r>
    </w:p>
    <w:p>
      <w:pPr>
        <w:spacing w:line="360" w:lineRule="auto"/>
        <w:jc w:val="center"/>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注：投标人可按上述的格式自行编制，须随表提交相应的证书复印件并注明所在投标技术文件页码。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附表C:本项目的项目负责人和小组人员社会保障资金记录情况表</w:t>
      </w:r>
      <w:r>
        <w:rPr>
          <w:rFonts w:hint="eastAsia" w:ascii="仿宋" w:hAnsi="仿宋" w:eastAsia="仿宋"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十三、</w:t>
      </w:r>
      <w:r>
        <w:rPr>
          <w:rFonts w:hint="eastAsia" w:ascii="仿宋" w:hAnsi="仿宋" w:eastAsia="仿宋" w:cs="仿宋_GB2312"/>
          <w:b/>
          <w:kern w:val="0"/>
          <w:sz w:val="32"/>
          <w:szCs w:val="32"/>
          <w:lang w:val="zh-CN"/>
        </w:rPr>
        <w:t>优惠条件及特殊承诺</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pStyle w:val="80"/>
        <w:rPr>
          <w:rFonts w:ascii="仿宋" w:hAnsi="仿宋" w:eastAsia="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十四、</w:t>
      </w:r>
      <w:r>
        <w:rPr>
          <w:rFonts w:hint="eastAsia" w:ascii="仿宋" w:hAnsi="仿宋" w:eastAsia="仿宋" w:cs="仿宋_GB2312"/>
          <w:b/>
          <w:kern w:val="0"/>
          <w:sz w:val="32"/>
          <w:szCs w:val="32"/>
          <w:lang w:val="zh-CN"/>
        </w:rPr>
        <w:t>备品备件及供选择的配套零部件清单</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right="960"/>
        <w:jc w:val="right"/>
        <w:rPr>
          <w:rFonts w:ascii="仿宋" w:hAnsi="仿宋" w:eastAsia="仿宋" w:cs="仿宋_GB2312"/>
          <w:kern w:val="0"/>
          <w:sz w:val="24"/>
          <w:lang w:val="zh-CN"/>
        </w:rPr>
      </w:pPr>
    </w:p>
    <w:p>
      <w:pPr>
        <w:snapToGrid w:val="0"/>
        <w:spacing w:line="360" w:lineRule="auto"/>
        <w:ind w:right="960"/>
        <w:jc w:val="right"/>
        <w:rPr>
          <w:rFonts w:ascii="仿宋" w:hAnsi="仿宋" w:eastAsia="仿宋"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十五、</w:t>
      </w:r>
      <w:r>
        <w:rPr>
          <w:rFonts w:hint="eastAsia" w:ascii="仿宋" w:hAnsi="仿宋" w:eastAsia="仿宋" w:cs="仿宋_GB2312"/>
          <w:b/>
          <w:kern w:val="0"/>
          <w:sz w:val="32"/>
          <w:szCs w:val="32"/>
          <w:lang w:val="zh-CN"/>
        </w:rPr>
        <w:t>培训计划</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十六、验收方案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十七、认为需要的</w:t>
      </w:r>
      <w:r>
        <w:rPr>
          <w:rFonts w:hint="eastAsia" w:ascii="仿宋" w:hAnsi="仿宋" w:eastAsia="仿宋" w:cs="仿宋_GB2312"/>
          <w:b/>
          <w:kern w:val="0"/>
          <w:sz w:val="32"/>
          <w:szCs w:val="32"/>
          <w:lang w:val="zh-CN"/>
        </w:rPr>
        <w:t>其他商务技术（资信）文件或说明</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4"/>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jc w:val="center"/>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bCs/>
          <w:sz w:val="24"/>
          <w:lang w:eastAsia="zh-CN"/>
        </w:rPr>
        <w:t>绍兴博物馆</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jc w:val="center"/>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b/>
          <w:sz w:val="24"/>
        </w:rPr>
      </w:pPr>
    </w:p>
    <w:p/>
    <w:p>
      <w:pPr>
        <w:widowControl/>
        <w:spacing w:line="360" w:lineRule="auto"/>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pPr>
        <w:pStyle w:val="24"/>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428" w:hanging="428" w:hangingChars="97"/>
        <w:jc w:val="center"/>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38" w:name="_Hlk101131882"/>
      <w:r>
        <w:rPr>
          <w:rFonts w:hint="eastAsia" w:ascii="仿宋" w:hAnsi="仿宋" w:eastAsia="仿宋" w:cs="仿宋"/>
          <w:kern w:val="0"/>
          <w:sz w:val="24"/>
          <w:u w:val="single"/>
        </w:rPr>
        <w:t>联合体成员X,……</w:t>
      </w:r>
      <w:bookmarkEnd w:id="3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3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39"/>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4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0"/>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p>
    <w:p>
      <w:pPr>
        <w:snapToGrid w:val="0"/>
        <w:spacing w:line="360" w:lineRule="auto"/>
        <w:jc w:val="center"/>
        <w:rPr>
          <w:rFonts w:ascii="仿宋" w:hAnsi="仿宋" w:eastAsia="仿宋" w:cs="仿宋"/>
          <w:b/>
          <w:kern w:val="0"/>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附件6：</w:t>
      </w:r>
      <w:bookmarkStart w:id="41" w:name="OLE_LINK13"/>
      <w:bookmarkStart w:id="42" w:name="OLE_LINK14"/>
      <w:r>
        <w:rPr>
          <w:rFonts w:hint="eastAsia" w:ascii="仿宋" w:hAnsi="仿宋" w:eastAsia="仿宋" w:cs="仿宋"/>
          <w:b/>
          <w:spacing w:val="6"/>
          <w:sz w:val="32"/>
          <w:szCs w:val="32"/>
        </w:rPr>
        <w:t>残疾人福利性单位声明函</w:t>
      </w:r>
    </w:p>
    <w:bookmarkEnd w:id="41"/>
    <w:bookmarkEnd w:id="4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4"/>
        <w:rPr>
          <w:rFonts w:ascii="仿宋" w:hAnsi="仿宋" w:eastAsia="仿宋" w:cs="仿宋"/>
        </w:rPr>
      </w:pPr>
    </w:p>
    <w:p>
      <w:pPr>
        <w:snapToGrid w:val="0"/>
        <w:spacing w:line="360" w:lineRule="auto"/>
        <w:rPr>
          <w:rFonts w:ascii="仿宋" w:hAnsi="仿宋" w:eastAsia="仿宋" w:cs="仿宋"/>
          <w:b/>
          <w:kern w:val="0"/>
          <w:sz w:val="32"/>
          <w:szCs w:val="32"/>
        </w:rPr>
      </w:pPr>
      <w:r>
        <w:rPr>
          <w:rFonts w:ascii="仿宋" w:hAnsi="仿宋" w:eastAsia="仿宋" w:cs="仿宋"/>
          <w:b/>
          <w:kern w:val="0"/>
          <w:sz w:val="32"/>
          <w:szCs w:val="32"/>
        </w:rPr>
        <w:br w:type="column"/>
      </w: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43" w:name="_Toc91899912"/>
    <w:bookmarkStart w:id="44" w:name="_Toc131845147"/>
    <w:bookmarkStart w:id="45" w:name="_Toc164085800"/>
    <w:bookmarkStart w:id="46" w:name="_Toc36110187"/>
    <w:r>
      <w:rPr>
        <w:rFonts w:hint="eastAsia" w:ascii="仿宋_GB2312" w:eastAsia="仿宋_GB2312"/>
        <w:kern w:val="0"/>
        <w:szCs w:val="21"/>
      </w:rPr>
      <w:t xml:space="preserve"> 页</w:t>
    </w:r>
    <w:bookmarkEnd w:id="43"/>
    <w:bookmarkEnd w:id="44"/>
    <w:bookmarkEnd w:id="45"/>
    <w:bookmarkEnd w:id="4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
        <w:i/>
        <w:u w:val="single"/>
        <w:lang w:val="en-US" w:eastAsia="zh-CN"/>
      </w:rPr>
    </w:pP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val="en-US" w:eastAsia="zh-CN"/>
      </w:rPr>
      <w:t>YH2024-03003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lang w:eastAsia="zh-CN"/>
      </w:rPr>
      <w:t>耀华建设管理有限公司</w:t>
    </w:r>
    <w:r>
      <w:rPr>
        <w:rFonts w:hint="eastAsia" w:ascii="仿宋" w:hAnsi="仿宋" w:eastAsia="仿宋" w:cs="仿宋"/>
      </w:rPr>
      <w:t xml:space="preserve">                                                文件编号:</w:t>
    </w:r>
    <w:r>
      <w:rPr>
        <w:rFonts w:hint="eastAsia" w:ascii="仿宋" w:hAnsi="仿宋" w:eastAsia="仿宋" w:cs="仿宋"/>
        <w:lang w:val="en-US" w:eastAsia="zh-CN"/>
      </w:rPr>
      <w:t>YH2024-03003</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szCs w:val="18"/>
        <w:u w:val="single"/>
      </w:rPr>
    </w:pPr>
    <w:r>
      <w:rPr>
        <w:rFonts w:hint="eastAsia" w:ascii="仿宋" w:hAnsi="仿宋" w:eastAsia="仿宋" w:cs="仿宋"/>
        <w:sz w:val="18"/>
        <w:szCs w:val="18"/>
        <w:lang w:eastAsia="zh-CN"/>
      </w:rPr>
      <w:t>耀华建设管理有限公司</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文件编号:</w:t>
    </w:r>
    <w:r>
      <w:rPr>
        <w:rFonts w:hint="eastAsia" w:ascii="仿宋" w:hAnsi="仿宋" w:eastAsia="仿宋" w:cs="仿宋"/>
        <w:sz w:val="18"/>
        <w:szCs w:val="18"/>
        <w:lang w:val="en-US" w:eastAsia="zh-CN"/>
      </w:rPr>
      <w:t>YH2024-02007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FBEA3"/>
    <w:multiLevelType w:val="singleLevel"/>
    <w:tmpl w:val="CFFFBEA3"/>
    <w:lvl w:ilvl="0" w:tentative="0">
      <w:start w:val="1"/>
      <w:numFmt w:val="decimal"/>
      <w:suff w:val="nothing"/>
      <w:lvlText w:val="（%1）"/>
      <w:lvlJc w:val="left"/>
    </w:lvl>
  </w:abstractNum>
  <w:abstractNum w:abstractNumId="1">
    <w:nsid w:val="F61B80F0"/>
    <w:multiLevelType w:val="singleLevel"/>
    <w:tmpl w:val="F61B80F0"/>
    <w:lvl w:ilvl="0" w:tentative="0">
      <w:start w:val="2"/>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2BAD14"/>
    <w:multiLevelType w:val="singleLevel"/>
    <w:tmpl w:val="622BAD14"/>
    <w:lvl w:ilvl="0" w:tentative="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172A27"/>
    <w:rsid w:val="00172A27"/>
    <w:rsid w:val="005427A0"/>
    <w:rsid w:val="00545A06"/>
    <w:rsid w:val="0079292A"/>
    <w:rsid w:val="007B47C5"/>
    <w:rsid w:val="007C6616"/>
    <w:rsid w:val="007F1102"/>
    <w:rsid w:val="00872E36"/>
    <w:rsid w:val="0094001F"/>
    <w:rsid w:val="00B34AC1"/>
    <w:rsid w:val="00C2215C"/>
    <w:rsid w:val="00C60125"/>
    <w:rsid w:val="00C81ADA"/>
    <w:rsid w:val="00E76A5D"/>
    <w:rsid w:val="02AA3058"/>
    <w:rsid w:val="040D172B"/>
    <w:rsid w:val="04380EC8"/>
    <w:rsid w:val="065E2B43"/>
    <w:rsid w:val="07041BD8"/>
    <w:rsid w:val="08A676DF"/>
    <w:rsid w:val="08AE0F31"/>
    <w:rsid w:val="09050AA2"/>
    <w:rsid w:val="09DA275E"/>
    <w:rsid w:val="0F096B8F"/>
    <w:rsid w:val="0F63063F"/>
    <w:rsid w:val="11965F2B"/>
    <w:rsid w:val="11A56419"/>
    <w:rsid w:val="12542560"/>
    <w:rsid w:val="1426671F"/>
    <w:rsid w:val="14C45B1B"/>
    <w:rsid w:val="18790D66"/>
    <w:rsid w:val="18E60774"/>
    <w:rsid w:val="194F1272"/>
    <w:rsid w:val="1BBE0E42"/>
    <w:rsid w:val="1D2F1C3B"/>
    <w:rsid w:val="1ED66627"/>
    <w:rsid w:val="20D46D82"/>
    <w:rsid w:val="22017BD3"/>
    <w:rsid w:val="22447179"/>
    <w:rsid w:val="265B00B7"/>
    <w:rsid w:val="26E84BCF"/>
    <w:rsid w:val="291C2D52"/>
    <w:rsid w:val="2D924BD3"/>
    <w:rsid w:val="30925833"/>
    <w:rsid w:val="30CD01D9"/>
    <w:rsid w:val="33057F84"/>
    <w:rsid w:val="39DF8C35"/>
    <w:rsid w:val="3AF633A0"/>
    <w:rsid w:val="3F17640A"/>
    <w:rsid w:val="3FC91B39"/>
    <w:rsid w:val="41680D63"/>
    <w:rsid w:val="427E60E8"/>
    <w:rsid w:val="448B09FE"/>
    <w:rsid w:val="45725771"/>
    <w:rsid w:val="464D3681"/>
    <w:rsid w:val="49121453"/>
    <w:rsid w:val="4A79BB1F"/>
    <w:rsid w:val="4AD102CE"/>
    <w:rsid w:val="4D970F7D"/>
    <w:rsid w:val="4E053CA6"/>
    <w:rsid w:val="4E4E5D01"/>
    <w:rsid w:val="4F4B3D85"/>
    <w:rsid w:val="4F7A78EE"/>
    <w:rsid w:val="4FF86A50"/>
    <w:rsid w:val="511A6849"/>
    <w:rsid w:val="52D04356"/>
    <w:rsid w:val="53ED1115"/>
    <w:rsid w:val="550E1D45"/>
    <w:rsid w:val="555702BA"/>
    <w:rsid w:val="58580AAD"/>
    <w:rsid w:val="58B3712F"/>
    <w:rsid w:val="59CD3AAF"/>
    <w:rsid w:val="5D1A1269"/>
    <w:rsid w:val="5F127ECA"/>
    <w:rsid w:val="5F561B6F"/>
    <w:rsid w:val="5F57E5CA"/>
    <w:rsid w:val="607C1EEE"/>
    <w:rsid w:val="669C35D3"/>
    <w:rsid w:val="6A554FF0"/>
    <w:rsid w:val="6A5E77BD"/>
    <w:rsid w:val="6F681188"/>
    <w:rsid w:val="6FBACD55"/>
    <w:rsid w:val="6FC37AD4"/>
    <w:rsid w:val="71C618C5"/>
    <w:rsid w:val="75471478"/>
    <w:rsid w:val="75A53401"/>
    <w:rsid w:val="77A00842"/>
    <w:rsid w:val="78AD1F79"/>
    <w:rsid w:val="7AD908B1"/>
    <w:rsid w:val="7B0E2A36"/>
    <w:rsid w:val="7D070031"/>
    <w:rsid w:val="7DFF3A1B"/>
    <w:rsid w:val="7E7F5162"/>
    <w:rsid w:val="7EEFDFE3"/>
    <w:rsid w:val="7FCE9F2A"/>
    <w:rsid w:val="7FDDF1CF"/>
    <w:rsid w:val="A3FB1A36"/>
    <w:rsid w:val="B2F77605"/>
    <w:rsid w:val="FF3F59ED"/>
    <w:rsid w:val="FF775A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iPriority="99"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Closing"/>
    <w:basedOn w:val="1"/>
    <w:autoRedefine/>
    <w:unhideWhenUsed/>
    <w:qFormat/>
    <w:uiPriority w:val="99"/>
    <w:pPr>
      <w:ind w:left="4320"/>
    </w:pPr>
    <w:rPr>
      <w:rFonts w:ascii="宋体"/>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2"/>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w:basedOn w:val="24"/>
    <w:next w:val="51"/>
    <w:link w:val="320"/>
    <w:autoRedefine/>
    <w:qFormat/>
    <w:uiPriority w:val="0"/>
    <w:pPr>
      <w:ind w:firstLine="420"/>
    </w:pPr>
    <w:rPr>
      <w:rFonts w:hAnsi="Calibri" w:cs="Times New Roman"/>
      <w:snapToGrid/>
      <w:szCs w:val="20"/>
    </w:rPr>
  </w:style>
  <w:style w:type="paragraph" w:styleId="62">
    <w:name w:val="Body Text First Indent 2"/>
    <w:basedOn w:val="25"/>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2"/>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2"/>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1"/>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2"/>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2"/>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2"/>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2"/>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2"/>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2"/>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8"/>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Pages>
  <Words>8474</Words>
  <Characters>48303</Characters>
  <Lines>1</Lines>
  <Paragraphs>1</Paragraphs>
  <TotalTime>3</TotalTime>
  <ScaleCrop>false</ScaleCrop>
  <LinksUpToDate>false</LinksUpToDate>
  <CharactersWithSpaces>56664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2023-09-09T05:28:00Z</dcterms:created>
  <dc:creator>玥</dc:creator>
  <cp:lastModifiedBy>郭虹</cp:lastModifiedBy>
  <cp:lastPrinted>2021-12-30T11:06:00Z</cp:lastPrinted>
  <dcterms:modified xsi:type="dcterms:W3CDTF">2024-04-01T02:58:33Z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F0C3E05F9D35472D887EBF43C9396888_13</vt:lpwstr>
  </property>
</Properties>
</file>