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auto"/>
          <w:sz w:val="44"/>
          <w:szCs w:val="44"/>
          <w:lang w:eastAsia="zh-CN"/>
        </w:rPr>
      </w:pPr>
    </w:p>
    <w:p>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44"/>
          <w:szCs w:val="44"/>
          <w:lang w:eastAsia="zh-CN"/>
        </w:rPr>
        <w:t>绍兴市农田灌溉水有效利用系数测算分析服务项目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spacing w:line="312" w:lineRule="auto"/>
        <w:jc w:val="center"/>
        <w:rPr>
          <w:rFonts w:hint="eastAsia" w:ascii="仿宋" w:hAnsi="仿宋" w:eastAsia="仿宋" w:cs="仿宋"/>
          <w:b/>
          <w:sz w:val="28"/>
          <w:szCs w:val="28"/>
        </w:rPr>
      </w:pPr>
    </w:p>
    <w:p>
      <w:pPr>
        <w:spacing w:line="312" w:lineRule="auto"/>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w:t>
      </w:r>
      <w:r>
        <w:rPr>
          <w:rFonts w:hint="eastAsia" w:ascii="仿宋" w:hAnsi="仿宋" w:eastAsia="仿宋" w:cs="仿宋"/>
          <w:b/>
          <w:sz w:val="28"/>
          <w:szCs w:val="28"/>
          <w:lang w:val="en-US" w:eastAsia="zh-CN"/>
        </w:rPr>
        <w:t>4-03010</w:t>
      </w:r>
    </w:p>
    <w:tbl>
      <w:tblPr>
        <w:tblStyle w:val="63"/>
        <w:tblW w:w="6075" w:type="dxa"/>
        <w:jc w:val="center"/>
        <w:tblLayout w:type="fixed"/>
        <w:tblCellMar>
          <w:top w:w="0" w:type="dxa"/>
          <w:left w:w="108" w:type="dxa"/>
          <w:bottom w:w="0" w:type="dxa"/>
          <w:right w:w="108" w:type="dxa"/>
        </w:tblCellMar>
      </w:tblPr>
      <w:tblGrid>
        <w:gridCol w:w="2356"/>
        <w:gridCol w:w="3719"/>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93"/>
                <w:kern w:val="0"/>
                <w:sz w:val="28"/>
                <w:szCs w:val="28"/>
              </w:rPr>
              <w:t>采购单</w:t>
            </w:r>
            <w:r>
              <w:rPr>
                <w:rFonts w:hint="eastAsia" w:ascii="仿宋" w:hAnsi="仿宋" w:eastAsia="仿宋" w:cs="仿宋"/>
                <w:b/>
                <w:bCs/>
                <w:spacing w:val="1"/>
                <w:kern w:val="0"/>
                <w:sz w:val="28"/>
                <w:szCs w:val="28"/>
              </w:rPr>
              <w:t>位</w:t>
            </w:r>
            <w:r>
              <w:rPr>
                <w:rFonts w:hint="eastAsia" w:ascii="仿宋" w:hAnsi="仿宋" w:eastAsia="仿宋" w:cs="仿宋"/>
                <w:b/>
                <w:bCs/>
                <w:sz w:val="28"/>
                <w:szCs w:val="28"/>
              </w:rPr>
              <w:t>：</w:t>
            </w:r>
          </w:p>
        </w:tc>
        <w:tc>
          <w:tcPr>
            <w:tcW w:w="3719" w:type="dxa"/>
            <w:vAlign w:val="center"/>
          </w:tcPr>
          <w:p>
            <w:pPr>
              <w:spacing w:line="320" w:lineRule="exact"/>
              <w:outlineLvl w:val="0"/>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绍兴市水利工程管理中心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0"/>
                <w:w w:val="100"/>
                <w:kern w:val="0"/>
                <w:sz w:val="28"/>
                <w:szCs w:val="28"/>
                <w:fitText w:val="1680" w:id="975125391"/>
              </w:rPr>
              <w:t>采购代理机构</w:t>
            </w:r>
            <w:r>
              <w:rPr>
                <w:rFonts w:hint="eastAsia" w:ascii="仿宋" w:hAnsi="仿宋" w:eastAsia="仿宋" w:cs="仿宋"/>
                <w:b/>
                <w:bCs/>
                <w:sz w:val="28"/>
                <w:szCs w:val="28"/>
              </w:rPr>
              <w:t>：</w:t>
            </w:r>
          </w:p>
        </w:tc>
        <w:tc>
          <w:tcPr>
            <w:tcW w:w="3719"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z w:val="28"/>
                <w:szCs w:val="28"/>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pacing w:val="93"/>
                <w:kern w:val="0"/>
                <w:sz w:val="28"/>
                <w:szCs w:val="28"/>
                <w:fitText w:val="1680" w:id="1"/>
              </w:rPr>
              <w:t>监督单</w:t>
            </w:r>
            <w:r>
              <w:rPr>
                <w:rFonts w:hint="eastAsia" w:ascii="仿宋" w:hAnsi="仿宋" w:eastAsia="仿宋" w:cs="仿宋"/>
                <w:b/>
                <w:bCs/>
                <w:spacing w:val="1"/>
                <w:kern w:val="0"/>
                <w:sz w:val="28"/>
                <w:szCs w:val="28"/>
                <w:fitText w:val="1680" w:id="1"/>
              </w:rPr>
              <w:t>位</w:t>
            </w:r>
            <w:r>
              <w:rPr>
                <w:rFonts w:hint="eastAsia" w:ascii="仿宋" w:hAnsi="仿宋" w:eastAsia="仿宋" w:cs="仿宋"/>
                <w:b/>
                <w:bCs/>
                <w:sz w:val="28"/>
                <w:szCs w:val="28"/>
              </w:rPr>
              <w:t>：</w:t>
            </w:r>
          </w:p>
        </w:tc>
        <w:tc>
          <w:tcPr>
            <w:tcW w:w="3719" w:type="dxa"/>
          </w:tcPr>
          <w:p>
            <w:pPr>
              <w:spacing w:after="100" w:afterAutospacing="1" w:line="440" w:lineRule="exact"/>
              <w:rPr>
                <w:rFonts w:hint="eastAsia" w:ascii="仿宋" w:hAnsi="仿宋" w:eastAsia="仿宋" w:cs="仿宋"/>
                <w:b/>
                <w:bCs/>
                <w:sz w:val="28"/>
                <w:szCs w:val="28"/>
              </w:rPr>
            </w:pPr>
            <w:r>
              <w:rPr>
                <w:rFonts w:hint="eastAsia" w:ascii="仿宋" w:hAnsi="仿宋" w:eastAsia="仿宋" w:cs="仿宋"/>
                <w:b/>
                <w:bCs/>
                <w:sz w:val="28"/>
                <w:szCs w:val="28"/>
              </w:rPr>
              <w:t>绍兴市财政局</w:t>
            </w:r>
          </w:p>
        </w:tc>
      </w:tr>
      <w:tr>
        <w:tblPrEx>
          <w:tblCellMar>
            <w:top w:w="0" w:type="dxa"/>
            <w:left w:w="108" w:type="dxa"/>
            <w:bottom w:w="0" w:type="dxa"/>
            <w:right w:w="108" w:type="dxa"/>
          </w:tblCellMar>
        </w:tblPrEx>
        <w:trPr>
          <w:trHeight w:val="333" w:hRule="atLeast"/>
          <w:jc w:val="center"/>
        </w:trPr>
        <w:tc>
          <w:tcPr>
            <w:tcW w:w="6075" w:type="dxa"/>
            <w:gridSpan w:val="2"/>
          </w:tcPr>
          <w:p>
            <w:pPr>
              <w:spacing w:after="100" w:afterAutospacing="1" w:line="440" w:lineRule="exact"/>
              <w:jc w:val="center"/>
              <w:rPr>
                <w:rFonts w:hint="eastAsia" w:ascii="仿宋" w:hAnsi="仿宋" w:eastAsia="仿宋" w:cs="仿宋"/>
                <w:b/>
                <w:bCs/>
                <w:sz w:val="28"/>
                <w:szCs w:val="28"/>
              </w:rPr>
            </w:pPr>
            <w:r>
              <w:rPr>
                <w:rFonts w:hint="eastAsia" w:ascii="仿宋" w:hAnsi="仿宋" w:eastAsia="仿宋" w:cs="仿宋"/>
                <w:b/>
                <w:bCs/>
                <w:sz w:val="28"/>
                <w:szCs w:val="28"/>
              </w:rPr>
              <w:t>二○二</w:t>
            </w: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t>年</w:t>
            </w:r>
            <w:r>
              <w:rPr>
                <w:rFonts w:hint="eastAsia" w:ascii="仿宋" w:hAnsi="仿宋" w:eastAsia="仿宋" w:cs="仿宋"/>
                <w:b/>
                <w:bCs/>
                <w:sz w:val="28"/>
                <w:szCs w:val="28"/>
                <w:lang w:eastAsia="zh-CN"/>
              </w:rPr>
              <w:t>四</w:t>
            </w:r>
            <w:r>
              <w:rPr>
                <w:rFonts w:hint="eastAsia" w:ascii="仿宋" w:hAnsi="仿宋" w:eastAsia="仿宋" w:cs="仿宋"/>
                <w:b/>
                <w:bCs/>
                <w:sz w:val="28"/>
                <w:szCs w:val="28"/>
              </w:rPr>
              <w:t>月</w:t>
            </w:r>
          </w:p>
        </w:tc>
      </w:tr>
    </w:tbl>
    <w:p>
      <w:pPr>
        <w:pStyle w:val="637"/>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pgNumType w:fmt="decimal"/>
          <w:cols w:space="720" w:num="1"/>
          <w:titlePg/>
          <w:docGrid w:linePitch="312" w:charSpace="0"/>
        </w:sectPr>
      </w:pPr>
    </w:p>
    <w:p>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kern w:val="0"/>
          <w:sz w:val="24"/>
          <w:u w:val="single"/>
          <w:lang w:eastAsia="zh-CN"/>
        </w:rPr>
        <w:t>绍兴市农田灌溉水有效利用系数测算分析服务项目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17</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YH202</w:t>
      </w:r>
      <w:r>
        <w:rPr>
          <w:rFonts w:hint="eastAsia" w:ascii="仿宋" w:hAnsi="仿宋" w:eastAsia="仿宋" w:cs="仿宋"/>
          <w:b w:val="0"/>
          <w:bCs/>
          <w:color w:val="auto"/>
          <w:sz w:val="24"/>
          <w:lang w:val="en-US" w:eastAsia="zh-CN"/>
        </w:rPr>
        <w:t>4-03010</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kern w:val="0"/>
          <w:sz w:val="24"/>
          <w:lang w:eastAsia="zh-CN"/>
        </w:rPr>
        <w:t>绍兴市农田灌溉水有效利用系数测算分析服务项目</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392400</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392400</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kern w:val="0"/>
          <w:sz w:val="24"/>
        </w:rPr>
        <w:t>详见采购文件</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kern w:val="0"/>
          <w:sz w:val="24"/>
          <w:lang w:eastAsia="zh-CN"/>
        </w:rPr>
        <w:t>绍兴市农田灌溉水有效利用系数测算分析服务项目</w:t>
      </w:r>
    </w:p>
    <w:p>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color w:val="auto"/>
          <w:sz w:val="24"/>
          <w:lang w:val="en-US" w:eastAsia="zh-CN"/>
        </w:rPr>
        <w:t>392400</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rPr>
        <w:t>主要内容：简要规格描述、项目基本概况介绍、用途详见采购文件。</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kern w:val="0"/>
          <w:sz w:val="24"/>
        </w:rPr>
        <w:t>按双方合同约定条款执行</w:t>
      </w:r>
      <w:r>
        <w:rPr>
          <w:rFonts w:hint="eastAsia" w:ascii="仿宋" w:hAnsi="仿宋" w:eastAsia="仿宋"/>
          <w:kern w:val="0"/>
          <w:sz w:val="24"/>
          <w:lang w:eastAsia="zh-CN"/>
        </w:rPr>
        <w:t>。</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F0FE"/>
          </w:r>
        </w:sdtContent>
      </w:sdt>
      <w:r>
        <w:rPr>
          <w:rFonts w:hint="eastAsia" w:ascii="仿宋" w:hAnsi="仿宋" w:eastAsia="仿宋" w:cs="仿宋"/>
          <w:b/>
          <w:color w:val="auto"/>
          <w:sz w:val="24"/>
          <w:szCs w:val="24"/>
        </w:rPr>
        <w:t>是，</w:t>
      </w: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b/>
          <w:color w:val="auto"/>
          <w:sz w:val="24"/>
          <w:szCs w:val="24"/>
        </w:rPr>
        <w:t>否。</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strike/>
          <w:dstrike w:val="0"/>
          <w:color w:val="0000FF"/>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无</w:t>
      </w:r>
    </w:p>
    <w:p>
      <w:pPr>
        <w:pageBreakBefore w:val="0"/>
        <w:widowControl w:val="0"/>
        <w:kinsoku/>
        <w:wordWrap/>
        <w:overflowPunct/>
        <w:topLinePunct w:val="0"/>
        <w:autoSpaceDE/>
        <w:autoSpaceDN/>
        <w:bidi w:val="0"/>
        <w:spacing w:line="288" w:lineRule="auto"/>
        <w:ind w:left="0" w:firstLine="420" w:firstLineChars="2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color w:val="auto"/>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288" w:lineRule="auto"/>
        <w:ind w:left="0" w:firstLine="840" w:firstLineChars="400"/>
        <w:textAlignment w:val="auto"/>
        <w:rPr>
          <w:rFonts w:hint="eastAsia" w:ascii="仿宋" w:hAnsi="仿宋" w:eastAsia="仿宋" w:cs="仿宋"/>
          <w:color w:val="auto"/>
          <w:sz w:val="24"/>
        </w:rPr>
      </w:pPr>
      <w:sdt>
        <w:sdtPr>
          <w:rPr>
            <w:rFonts w:hint="eastAsia" w:ascii="仿宋_GB2312" w:hAnsi="仿宋" w:eastAsia="仿宋_GB2312" w:cs="Arial"/>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u w:val="none"/>
          <w:lang w:val="en-US" w:eastAsia="zh-CN"/>
        </w:rPr>
        <w:t>5.</w:t>
      </w:r>
      <w:r>
        <w:rPr>
          <w:rFonts w:hint="eastAsia" w:ascii="仿宋" w:hAnsi="仿宋" w:eastAsia="仿宋" w:cs="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17</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17</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17</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bookmarkStart w:id="163" w:name="_GoBack"/>
      <w:bookmarkEnd w:id="163"/>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kern w:val="0"/>
          <w:sz w:val="24"/>
          <w:lang w:eastAsia="zh-CN"/>
        </w:rPr>
        <w:t>绍兴市水利工程管理中心</w:t>
      </w:r>
    </w:p>
    <w:p>
      <w:pPr>
        <w:widowControl/>
        <w:snapToGrid w:val="0"/>
        <w:spacing w:line="288" w:lineRule="auto"/>
        <w:ind w:firstLine="480" w:firstLineChars="200"/>
        <w:rPr>
          <w:rFonts w:hint="eastAsia" w:ascii="仿宋" w:hAnsi="仿宋" w:eastAsia="仿宋"/>
          <w:color w:val="000000"/>
          <w:kern w:val="0"/>
          <w:sz w:val="24"/>
        </w:rPr>
      </w:pPr>
      <w:r>
        <w:rPr>
          <w:rFonts w:hint="eastAsia" w:ascii="仿宋" w:hAnsi="仿宋" w:eastAsia="仿宋" w:cs="仿宋"/>
          <w:color w:val="auto"/>
          <w:sz w:val="24"/>
        </w:rPr>
        <w:t>地    址：</w:t>
      </w:r>
      <w:bookmarkStart w:id="9" w:name="_Toc35393638"/>
      <w:bookmarkStart w:id="10" w:name="_Toc35393807"/>
      <w:bookmarkStart w:id="11" w:name="_Toc28359020"/>
      <w:bookmarkStart w:id="12" w:name="_Toc28359097"/>
      <w:r>
        <w:rPr>
          <w:rFonts w:hint="eastAsia" w:ascii="仿宋" w:hAnsi="仿宋" w:eastAsia="仿宋"/>
          <w:color w:val="000000"/>
          <w:kern w:val="0"/>
          <w:sz w:val="24"/>
        </w:rPr>
        <w:t>绍兴市洋江西路589号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    真：</w:t>
      </w:r>
      <w:r>
        <w:rPr>
          <w:rFonts w:hint="eastAsia" w:ascii="仿宋" w:hAnsi="仿宋" w:eastAsia="仿宋" w:cs="仿宋"/>
          <w:kern w:val="0"/>
          <w:sz w:val="24"/>
        </w:rPr>
        <w:t>/</w:t>
      </w:r>
    </w:p>
    <w:p>
      <w:pPr>
        <w:widowControl/>
        <w:snapToGrid w:val="0"/>
        <w:spacing w:line="288" w:lineRule="auto"/>
        <w:ind w:firstLine="480" w:firstLineChars="200"/>
        <w:rPr>
          <w:rFonts w:hint="eastAsia" w:ascii="仿宋" w:hAnsi="仿宋" w:eastAsia="仿宋"/>
          <w:color w:val="000000"/>
          <w:kern w:val="0"/>
          <w:sz w:val="24"/>
        </w:rPr>
      </w:pPr>
      <w:r>
        <w:rPr>
          <w:rFonts w:hint="eastAsia" w:ascii="仿宋" w:hAnsi="仿宋" w:eastAsia="仿宋"/>
          <w:color w:val="000000"/>
          <w:kern w:val="0"/>
          <w:sz w:val="24"/>
        </w:rPr>
        <w:t>项目联系人:钱争 </w:t>
      </w:r>
    </w:p>
    <w:p>
      <w:pPr>
        <w:widowControl/>
        <w:snapToGrid w:val="0"/>
        <w:spacing w:line="288" w:lineRule="auto"/>
        <w:ind w:firstLine="480" w:firstLineChars="200"/>
        <w:rPr>
          <w:rFonts w:hint="eastAsia" w:ascii="仿宋" w:hAnsi="仿宋" w:eastAsia="仿宋" w:cs="仿宋"/>
          <w:color w:val="000000"/>
          <w:sz w:val="24"/>
          <w:szCs w:val="24"/>
        </w:rPr>
      </w:pPr>
      <w:r>
        <w:rPr>
          <w:rFonts w:hint="eastAsia" w:ascii="仿宋" w:hAnsi="仿宋" w:eastAsia="仿宋"/>
          <w:color w:val="000000"/>
          <w:kern w:val="0"/>
          <w:sz w:val="24"/>
        </w:rPr>
        <w:t>项目联系方式：</w:t>
      </w:r>
      <w:r>
        <w:rPr>
          <w:rFonts w:hint="eastAsia" w:ascii="仿宋" w:hAnsi="仿宋" w:eastAsia="仿宋" w:cs="仿宋"/>
          <w:color w:val="000000"/>
          <w:sz w:val="24"/>
          <w:szCs w:val="24"/>
        </w:rPr>
        <w:t>0575-85159722</w:t>
      </w:r>
    </w:p>
    <w:p>
      <w:pPr>
        <w:widowControl/>
        <w:snapToGrid w:val="0"/>
        <w:spacing w:line="288" w:lineRule="auto"/>
        <w:ind w:firstLine="480" w:firstLineChars="200"/>
        <w:rPr>
          <w:rFonts w:hint="default" w:ascii="仿宋" w:hAnsi="仿宋" w:eastAsia="仿宋"/>
          <w:color w:val="000000"/>
          <w:kern w:val="0"/>
          <w:sz w:val="24"/>
          <w:szCs w:val="22"/>
        </w:rPr>
      </w:pPr>
      <w:r>
        <w:rPr>
          <w:rFonts w:hint="eastAsia" w:ascii="仿宋" w:hAnsi="仿宋" w:eastAsia="仿宋"/>
          <w:color w:val="000000"/>
          <w:kern w:val="0"/>
          <w:sz w:val="24"/>
          <w:szCs w:val="22"/>
        </w:rPr>
        <w:t>质疑联系人</w:t>
      </w:r>
      <w:r>
        <w:rPr>
          <w:rFonts w:hint="default" w:ascii="仿宋" w:hAnsi="仿宋" w:eastAsia="仿宋"/>
          <w:color w:val="000000"/>
          <w:kern w:val="0"/>
          <w:sz w:val="24"/>
          <w:szCs w:val="22"/>
        </w:rPr>
        <w:t>：秦琳琳</w:t>
      </w:r>
    </w:p>
    <w:p>
      <w:pPr>
        <w:widowControl/>
        <w:snapToGrid w:val="0"/>
        <w:spacing w:line="288" w:lineRule="auto"/>
        <w:ind w:firstLine="480" w:firstLineChars="200"/>
        <w:rPr>
          <w:rFonts w:hint="default"/>
          <w:color w:val="000000"/>
        </w:rPr>
      </w:pPr>
      <w:r>
        <w:rPr>
          <w:rFonts w:hint="eastAsia" w:ascii="仿宋" w:hAnsi="仿宋" w:eastAsia="仿宋"/>
          <w:color w:val="000000"/>
          <w:kern w:val="0"/>
          <w:sz w:val="24"/>
          <w:szCs w:val="22"/>
        </w:rPr>
        <w:t>质疑联系方式：0575-</w:t>
      </w:r>
      <w:r>
        <w:rPr>
          <w:rFonts w:hint="default" w:ascii="仿宋" w:hAnsi="仿宋" w:eastAsia="仿宋"/>
          <w:color w:val="000000"/>
          <w:kern w:val="0"/>
          <w:sz w:val="24"/>
          <w:szCs w:val="22"/>
        </w:rPr>
        <w:t>85155702</w:t>
      </w:r>
    </w:p>
    <w:p>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kern w:val="0"/>
          <w:sz w:val="24"/>
        </w:rPr>
        <w:t>耀华建设管理有限公司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kern w:val="0"/>
          <w:sz w:val="24"/>
        </w:rPr>
        <w:t>绍兴市越城区阳明北路80号滨江大厦C楼3楼309号</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kern w:val="0"/>
          <w:sz w:val="24"/>
          <w:lang w:val="en-US" w:eastAsia="zh-CN"/>
        </w:rPr>
        <w:t>凌静</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kern w:val="0"/>
          <w:sz w:val="24"/>
        </w:rPr>
        <w:t>0575-88776697</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郭虹</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kern w:val="0"/>
          <w:sz w:val="24"/>
        </w:rPr>
        <w:t>0575-88336881</w:t>
      </w:r>
    </w:p>
    <w:p>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Times New Roman"/>
          <w:kern w:val="0"/>
          <w:sz w:val="24"/>
        </w:rPr>
        <w:t>绍兴市财政局</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Times New Roman"/>
          <w:kern w:val="0"/>
          <w:sz w:val="24"/>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sz w:val="24"/>
        </w:rPr>
        <w:t>0575-85209806</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w:t>
      </w:r>
      <w:r>
        <w:rPr>
          <w:rFonts w:hint="eastAsia" w:ascii="仿宋" w:hAnsi="仿宋" w:eastAsia="仿宋" w:cs="仿宋"/>
          <w:sz w:val="24"/>
        </w:rPr>
        <w:t>张婷婷</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sz w:val="24"/>
        </w:rPr>
        <w:t>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keepNext w:val="0"/>
        <w:keepLines w:val="0"/>
        <w:pageBreakBefore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70"/>
        <w:gridCol w:w="7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highlight w:val="green"/>
              </w:rPr>
            </w:pPr>
            <w:r>
              <w:rPr>
                <w:rFonts w:hint="eastAsia" w:ascii="仿宋" w:hAnsi="仿宋" w:eastAsia="仿宋" w:cs="仿宋"/>
                <w:b/>
                <w:sz w:val="24"/>
              </w:rPr>
              <w:t>分包：</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同意将非主体、</w:t>
            </w:r>
            <w:r>
              <w:rPr>
                <w:rFonts w:hint="eastAsia" w:ascii="仿宋" w:hAnsi="仿宋" w:eastAsia="仿宋" w:cs="仿宋"/>
                <w:sz w:val="24"/>
                <w:highlight w:val="none"/>
              </w:rPr>
              <w:t>非关键性的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工作分包。</w:t>
            </w:r>
          </w:p>
          <w:p>
            <w:pPr>
              <w:keepNext w:val="0"/>
              <w:keepLines w:val="0"/>
              <w:pageBreakBefore w:val="0"/>
              <w:widowControl w:val="0"/>
              <w:kinsoku/>
              <w:wordWrap/>
              <w:overflowPunct/>
              <w:topLinePunct w:val="0"/>
              <w:bidi w:val="0"/>
              <w:adjustRightInd w:val="0"/>
              <w:spacing w:line="288" w:lineRule="auto"/>
              <w:ind w:left="0" w:leftChars="0" w:right="0" w:rightChars="0" w:firstLine="630" w:firstLineChars="30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lang w:val="en-US" w:eastAsia="zh-CN"/>
                  </w:rPr>
                  <w:t xml:space="preserve"> </w:t>
                </w:r>
                <w:r>
                  <w:rPr>
                    <w:rFonts w:hint="eastAsia" w:ascii="仿宋" w:hAnsi="仿宋" w:eastAsia="仿宋" w:cs="仿宋"/>
                    <w:sz w:val="24"/>
                    <w:szCs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否；</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keepNext w:val="0"/>
              <w:keepLines w:val="0"/>
              <w:pageBreakBefore w:val="0"/>
              <w:kinsoku/>
              <w:wordWrap/>
              <w:overflowPunct/>
              <w:topLinePunct w:val="0"/>
              <w:bidi w:val="0"/>
              <w:spacing w:line="288" w:lineRule="auto"/>
              <w:rPr>
                <w:rFonts w:ascii="仿宋" w:hAnsi="仿宋" w:eastAsia="仿宋" w:cs="仿宋"/>
                <w:b/>
                <w:color w:val="000000"/>
                <w:sz w:val="24"/>
              </w:rPr>
            </w:pPr>
            <w:r>
              <w:rPr>
                <w:rFonts w:hint="eastAsia" w:ascii="仿宋" w:hAnsi="仿宋" w:eastAsia="仿宋" w:cs="仿宋"/>
                <w:b/>
                <w:color w:val="000000"/>
                <w:sz w:val="24"/>
              </w:rPr>
              <w:t>方案讲解演示：</w:t>
            </w:r>
          </w:p>
          <w:p>
            <w:pPr>
              <w:keepNext w:val="0"/>
              <w:keepLines w:val="0"/>
              <w:pageBreakBefore w:val="0"/>
              <w:kinsoku/>
              <w:wordWrap/>
              <w:overflowPunct/>
              <w:topLinePunct w:val="0"/>
              <w:bidi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A无方案讲解演示。</w:t>
            </w:r>
          </w:p>
          <w:p>
            <w:pPr>
              <w:keepNext w:val="0"/>
              <w:keepLines w:val="0"/>
              <w:pageBreakBefore w:val="0"/>
              <w:kinsoku/>
              <w:wordWrap/>
              <w:overflowPunct/>
              <w:topLinePunct w:val="0"/>
              <w:bidi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B有方案讲解演示：</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keepNext w:val="0"/>
              <w:keepLines w:val="0"/>
              <w:pageBreakBefore w:val="0"/>
              <w:kinsoku/>
              <w:wordWrap/>
              <w:overflowPunct/>
              <w:topLinePunct w:val="0"/>
              <w:bidi w:val="0"/>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00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00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37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000" w:type="dxa"/>
            <w:vAlign w:val="center"/>
          </w:tcPr>
          <w:p>
            <w:pPr>
              <w:keepNext w:val="0"/>
              <w:keepLines w:val="0"/>
              <w:pageBreakBefore w:val="0"/>
              <w:widowControl/>
              <w:suppressLineNumbers w:val="0"/>
              <w:kinsoku/>
              <w:wordWrap/>
              <w:overflowPunct/>
              <w:topLinePunct w:val="0"/>
              <w:bidi w:val="0"/>
              <w:spacing w:line="288" w:lineRule="auto"/>
              <w:jc w:val="lef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kern w:val="0"/>
                <w:sz w:val="24"/>
                <w:u w:val="single"/>
                <w:lang w:val="en-US" w:eastAsia="zh-CN"/>
              </w:rPr>
              <w:t>01标</w:t>
            </w:r>
            <w:r>
              <w:rPr>
                <w:rFonts w:hint="eastAsia" w:ascii="仿宋" w:hAnsi="仿宋" w:eastAsia="仿宋" w:cs="仿宋"/>
                <w:kern w:val="0"/>
                <w:sz w:val="24"/>
              </w:rPr>
              <w:t>，属于</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其他未列明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370" w:type="dxa"/>
            <w:vMerge w:val="restart"/>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370" w:type="dxa"/>
            <w:vMerge w:val="continue"/>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370" w:type="dxa"/>
            <w:vMerge w:val="continue"/>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7000" w:type="dxa"/>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kinsoku/>
              <w:wordWrap/>
              <w:overflowPunct/>
              <w:topLinePunct w:val="0"/>
              <w:bidi w:val="0"/>
              <w:snapToGrid w:val="0"/>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keepNext w:val="0"/>
              <w:keepLines w:val="0"/>
              <w:pageBreakBefore w:val="0"/>
              <w:numPr>
                <w:ilvl w:val="0"/>
                <w:numId w:val="2"/>
              </w:numPr>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b w:val="0"/>
                <w:sz w:val="24"/>
                <w:szCs w:val="24"/>
              </w:rPr>
              <w:t>采购代理服务费</w:t>
            </w:r>
            <w:r>
              <w:rPr>
                <w:rFonts w:hint="eastAsia" w:ascii="仿宋" w:hAnsi="仿宋" w:eastAsia="仿宋" w:cs="仿宋"/>
                <w:b w:val="0"/>
                <w:sz w:val="24"/>
                <w:szCs w:val="24"/>
                <w:lang w:val="en-US" w:eastAsia="zh-CN"/>
              </w:rPr>
              <w:t>5000元由</w:t>
            </w:r>
            <w:r>
              <w:rPr>
                <w:rFonts w:hint="eastAsia" w:ascii="仿宋" w:hAnsi="仿宋" w:eastAsia="仿宋" w:cs="仿宋"/>
                <w:sz w:val="24"/>
                <w:szCs w:val="24"/>
              </w:rPr>
              <w:t>采购人</w:t>
            </w:r>
            <w:r>
              <w:rPr>
                <w:rFonts w:hint="eastAsia" w:ascii="仿宋" w:hAnsi="仿宋" w:eastAsia="仿宋" w:cs="仿宋"/>
                <w:sz w:val="24"/>
                <w:szCs w:val="24"/>
                <w:lang w:eastAsia="zh-CN"/>
              </w:rPr>
              <w:t>支付。</w:t>
            </w:r>
          </w:p>
          <w:p>
            <w:pPr>
              <w:keepNext w:val="0"/>
              <w:keepLines w:val="0"/>
              <w:pageBreakBefore w:val="0"/>
              <w:numPr>
                <w:ilvl w:val="0"/>
                <w:numId w:val="2"/>
              </w:numPr>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代理服务费的交纳方式：</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pPr>
              <w:keepNext w:val="0"/>
              <w:keepLines w:val="0"/>
              <w:pageBreakBefore w:val="0"/>
              <w:kinsoku/>
              <w:wordWrap/>
              <w:overflowPunct/>
              <w:topLinePunct w:val="0"/>
              <w:bidi w:val="0"/>
              <w:spacing w:line="288" w:lineRule="auto"/>
              <w:rPr>
                <w:rFonts w:hint="eastAsia" w:ascii="仿宋" w:hAnsi="仿宋" w:eastAsia="仿宋" w:cs="仿宋"/>
                <w:kern w:val="2"/>
                <w:sz w:val="21"/>
                <w:szCs w:val="24"/>
                <w:lang w:val="en-US" w:eastAsia="zh-CN" w:bidi="ar-SA"/>
              </w:rPr>
            </w:pPr>
            <w:r>
              <w:rPr>
                <w:rFonts w:hint="eastAsia" w:ascii="仿宋" w:hAnsi="仿宋" w:eastAsia="仿宋" w:cs="仿宋"/>
                <w:sz w:val="24"/>
                <w:szCs w:val="24"/>
              </w:rPr>
              <w:t>开 户 行：交通银行股份有限公司绍兴迪荡支行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2"/>
          <w:szCs w:val="32"/>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288" w:lineRule="auto"/>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288" w:lineRule="auto"/>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rPr>
          <w:id w:val="337506595"/>
        </w:sdtPr>
        <w:sdtEndPr>
          <w:rPr>
            <w:rFonts w:hint="eastAsia" w:ascii="仿宋" w:hAnsi="仿宋" w:eastAsia="仿宋" w:cs="仿宋"/>
            <w:sz w:val="24"/>
            <w:szCs w:val="24"/>
          </w:rPr>
        </w:sdtEndPr>
        <w:sdtContent>
          <w:r>
            <w:rPr>
              <w:rFonts w:hint="eastAsia" w:ascii="仿宋" w:hAnsi="仿宋" w:eastAsia="仿宋" w:cs="仿宋"/>
              <w:sz w:val="24"/>
              <w:szCs w:val="24"/>
            </w:rPr>
            <w:sym w:font="Wingdings" w:char="00A8"/>
          </w:r>
        </w:sdtContent>
      </w:sdt>
      <w:r>
        <w:rPr>
          <w:rFonts w:hint="eastAsia" w:ascii="仿宋" w:hAnsi="仿宋" w:eastAsia="仿宋" w:cs="仿宋"/>
          <w:sz w:val="24"/>
        </w:rPr>
        <w:t>”系指不适用本项目的要求。</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3.2支持绿色发展</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kinsoku/>
        <w:wordWrap/>
        <w:overflowPunct/>
        <w:topLinePunct w:val="0"/>
        <w:bidi w:val="0"/>
        <w:spacing w:line="288" w:lineRule="auto"/>
        <w:textAlignment w:val="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keepNext w:val="0"/>
        <w:keepLines w:val="0"/>
        <w:pageBreakBefore w:val="0"/>
        <w:kinsoku/>
        <w:wordWrap/>
        <w:overflowPunct/>
        <w:topLinePunct w:val="0"/>
        <w:bidi w:val="0"/>
        <w:spacing w:line="288" w:lineRule="auto"/>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★4.特别说明：</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keepNext w:val="0"/>
        <w:keepLines w:val="0"/>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keepNext w:val="0"/>
        <w:keepLines w:val="0"/>
        <w:pageBreakBefore w:val="0"/>
        <w:kinsoku/>
        <w:wordWrap/>
        <w:overflowPunct/>
        <w:topLinePunct w:val="0"/>
        <w:bidi w:val="0"/>
        <w:spacing w:line="288" w:lineRule="auto"/>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
        <w:keepNext w:val="0"/>
        <w:keepLines w:val="0"/>
        <w:pageBreakBefore w:val="0"/>
        <w:kinsoku/>
        <w:wordWrap/>
        <w:overflowPunct/>
        <w:topLinePunct w:val="0"/>
        <w:autoSpaceDE/>
        <w:autoSpaceDN/>
        <w:bidi w:val="0"/>
        <w:snapToGrid w:val="0"/>
        <w:spacing w:line="288" w:lineRule="auto"/>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投标费用</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招标文件的修改</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288" w:lineRule="auto"/>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288" w:lineRule="auto"/>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keepNext w:val="0"/>
        <w:keepLines w:val="0"/>
        <w:pageBreakBefore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288" w:lineRule="auto"/>
        <w:ind w:firstLine="723" w:firstLineChars="300"/>
        <w:textAlignment w:val="auto"/>
        <w:rPr>
          <w:rFonts w:hint="eastAsia" w:ascii="仿宋" w:hAnsi="仿宋" w:eastAsia="仿宋" w:cs="仿宋"/>
          <w:b/>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2"/>
        <w:keepNext w:val="0"/>
        <w:keepLines w:val="0"/>
        <w:pageBreakBefore w:val="0"/>
        <w:kinsoku/>
        <w:wordWrap/>
        <w:overflowPunct/>
        <w:topLinePunct w:val="0"/>
        <w:bidi w:val="0"/>
        <w:spacing w:before="0" w:line="288" w:lineRule="auto"/>
        <w:ind w:firstLine="0" w:firstLineChars="0"/>
        <w:textAlignment w:val="auto"/>
        <w:rPr>
          <w:rFonts w:hint="eastAsia" w:ascii="仿宋" w:hAnsi="仿宋" w:eastAsia="仿宋" w:cs="仿宋"/>
          <w:b/>
          <w:szCs w:val="24"/>
        </w:rPr>
      </w:pPr>
      <w:r>
        <w:rPr>
          <w:rFonts w:hint="eastAsia" w:ascii="仿宋" w:hAnsi="仿宋" w:eastAsia="仿宋" w:cs="仿宋"/>
          <w:b/>
          <w:szCs w:val="24"/>
          <w:lang w:val="en-US" w:eastAsia="zh-CN"/>
        </w:rPr>
        <w:t>5</w:t>
      </w:r>
      <w:r>
        <w:rPr>
          <w:rFonts w:hint="eastAsia" w:ascii="仿宋" w:hAnsi="仿宋" w:eastAsia="仿宋" w:cs="仿宋"/>
          <w:b/>
          <w:szCs w:val="24"/>
        </w:rPr>
        <w:t>.投标文件的提交、补充、修改、撤回</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keepNext w:val="0"/>
        <w:keepLines w:val="0"/>
        <w:pageBreakBefore w:val="0"/>
        <w:kinsoku/>
        <w:wordWrap/>
        <w:overflowPunct/>
        <w:topLinePunct w:val="0"/>
        <w:bidi w:val="0"/>
        <w:adjustRightInd w:val="0"/>
        <w:spacing w:line="288" w:lineRule="auto"/>
        <w:ind w:left="0" w:leftChars="0" w:firstLine="0" w:firstLineChars="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2"/>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288" w:lineRule="auto"/>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288" w:lineRule="auto"/>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仿宋"/>
          <w:b/>
          <w:kern w:val="0"/>
          <w:sz w:val="24"/>
        </w:rPr>
      </w:pPr>
      <w:r>
        <w:rPr>
          <w:rFonts w:hint="eastAsia" w:ascii="仿宋" w:hAnsi="仿宋" w:eastAsia="仿宋" w:cs="仿宋"/>
          <w:b/>
          <w:kern w:val="0"/>
          <w:sz w:val="24"/>
        </w:rPr>
        <w:t>9</w:t>
      </w:r>
      <w:r>
        <w:rPr>
          <w:rFonts w:hint="eastAsia" w:ascii="仿宋" w:hAnsi="仿宋" w:eastAsia="仿宋" w:cs="仿宋"/>
          <w:b/>
          <w:kern w:val="0"/>
          <w:sz w:val="24"/>
          <w:lang w:val="en-US" w:eastAsia="zh-CN"/>
        </w:rPr>
        <w:t>.</w:t>
      </w:r>
      <w:r>
        <w:rPr>
          <w:rFonts w:hint="eastAsia" w:ascii="仿宋" w:hAnsi="仿宋" w:eastAsia="仿宋" w:cs="仿宋"/>
          <w:b/>
          <w:kern w:val="0"/>
          <w:sz w:val="24"/>
        </w:rPr>
        <w:t>评标过程保密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19"/>
    <w:p>
      <w:pPr>
        <w:pStyle w:val="32"/>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20" w:name="_Hlt68057669"/>
      <w:bookmarkEnd w:id="20"/>
      <w:bookmarkStart w:id="21" w:name="_Hlt74729768"/>
      <w:bookmarkEnd w:id="21"/>
      <w:bookmarkStart w:id="22" w:name="_Hlt75236290"/>
      <w:bookmarkEnd w:id="22"/>
      <w:bookmarkStart w:id="23" w:name="_Hlt75236011"/>
      <w:bookmarkEnd w:id="23"/>
      <w:bookmarkStart w:id="24" w:name="_Hlt74707468"/>
      <w:bookmarkEnd w:id="24"/>
      <w:bookmarkStart w:id="25" w:name="_Hlt74714665"/>
      <w:bookmarkEnd w:id="25"/>
      <w:bookmarkStart w:id="26" w:name="_Hlt68072998"/>
      <w:bookmarkEnd w:id="26"/>
      <w:bookmarkStart w:id="27" w:name="_Hlt74730295"/>
      <w:bookmarkEnd w:id="27"/>
      <w:bookmarkStart w:id="28" w:name="_Hlt68403820"/>
      <w:bookmarkEnd w:id="28"/>
      <w:bookmarkStart w:id="29" w:name="_Hlt68073093"/>
      <w:bookmarkEnd w:id="29"/>
      <w:bookmarkStart w:id="30" w:name="_Hlt75236101"/>
      <w:bookmarkEnd w:id="30"/>
      <w:bookmarkStart w:id="31" w:name="_Hlt68072990"/>
      <w:bookmarkEnd w:id="31"/>
      <w:bookmarkStart w:id="32" w:name="_Toc81372776"/>
      <w:bookmarkStart w:id="33" w:name="_Toc81372953"/>
      <w:bookmarkStart w:id="34" w:name="_Toc84325929"/>
      <w:r>
        <w:rPr>
          <w:rFonts w:hint="eastAsia" w:ascii="仿宋" w:hAnsi="仿宋" w:eastAsia="仿宋" w:cs="仿宋"/>
          <w:b/>
          <w:sz w:val="32"/>
          <w:szCs w:val="32"/>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288" w:lineRule="auto"/>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288" w:lineRule="auto"/>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kern w:val="0"/>
          <w:sz w:val="24"/>
        </w:rPr>
      </w:pPr>
    </w:p>
    <w:p>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2.供应商询问</w:t>
      </w:r>
    </w:p>
    <w:p>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3.供应商质疑</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eepNext w:val="0"/>
        <w:keepLines w:val="0"/>
        <w:pageBreakBefore w:val="0"/>
        <w:kinsoku/>
        <w:wordWrap/>
        <w:overflowPunct/>
        <w:topLinePunct w:val="0"/>
        <w:bidi w:val="0"/>
        <w:adjustRightInd w:val="0"/>
        <w:spacing w:line="288" w:lineRule="auto"/>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outlineLvl w:val="0"/>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6" w:type="default"/>
          <w:pgSz w:w="11906" w:h="16838"/>
          <w:pgMar w:top="1474" w:right="1814" w:bottom="1474" w:left="1814" w:header="851" w:footer="992" w:gutter="0"/>
          <w:pgNumType w:fmt="decimal" w:start="2"/>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pStyle w:val="32"/>
        <w:spacing w:line="276" w:lineRule="auto"/>
        <w:ind w:firstLine="480" w:firstLineChars="200"/>
        <w:rPr>
          <w:rFonts w:hint="eastAsia" w:ascii="仿宋" w:hAnsi="仿宋" w:eastAsia="仿宋" w:cs="仿宋"/>
          <w:sz w:val="24"/>
        </w:rPr>
      </w:pPr>
      <w:bookmarkStart w:id="36" w:name="第五部分"/>
      <w:bookmarkStart w:id="37" w:name="_Toc86217003"/>
      <w:r>
        <w:rPr>
          <w:rFonts w:hint="eastAsia" w:ascii="仿宋" w:hAnsi="仿宋" w:eastAsia="仿宋" w:cs="仿宋"/>
          <w:sz w:val="24"/>
        </w:rPr>
        <w:t>（一）项目名称：</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绍兴市202</w:t>
      </w:r>
      <w:r>
        <w:rPr>
          <w:rFonts w:hint="eastAsia" w:ascii="仿宋" w:hAnsi="仿宋" w:eastAsia="仿宋" w:cs="仿宋"/>
          <w:sz w:val="24"/>
          <w:lang w:val="en-US" w:eastAsia="zh-CN"/>
        </w:rPr>
        <w:t>4</w:t>
      </w:r>
      <w:r>
        <w:rPr>
          <w:rFonts w:hint="eastAsia" w:ascii="仿宋" w:hAnsi="仿宋" w:eastAsia="仿宋" w:cs="仿宋"/>
          <w:sz w:val="24"/>
        </w:rPr>
        <w:t>年农田灌溉水有效利用系数测算分析服务项目</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项目编制范围：</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本次测算范围是绍兴市范围内的农田灌溉水有效利用系数测算分析样点灌区。</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（三）项目编制技术要求</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测算分析水平年</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本次测算分析水平年为202</w:t>
      </w:r>
      <w:r>
        <w:rPr>
          <w:rFonts w:hint="eastAsia" w:ascii="仿宋" w:hAnsi="仿宋" w:eastAsia="仿宋" w:cs="仿宋"/>
          <w:sz w:val="24"/>
          <w:lang w:val="en-US" w:eastAsia="zh-CN"/>
        </w:rPr>
        <w:t>4</w:t>
      </w:r>
      <w:r>
        <w:rPr>
          <w:rFonts w:hint="eastAsia" w:ascii="仿宋" w:hAnsi="仿宋" w:eastAsia="仿宋" w:cs="仿宋"/>
          <w:sz w:val="24"/>
        </w:rPr>
        <w:t>年。</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测算分析内容</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本测算分析应当包括以下主要内容：</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全面总结系数测算分析的工作组织与工作过程，总结全市农田灌溉及用水情况</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sz w:val="24"/>
        </w:rPr>
        <w:t>进行样点灌区的选择和代表性分析；</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w:t>
      </w:r>
      <w:r>
        <w:rPr>
          <w:rFonts w:hint="eastAsia" w:ascii="仿宋" w:hAnsi="仿宋" w:eastAsia="仿宋" w:cs="仿宋"/>
          <w:sz w:val="24"/>
        </w:rPr>
        <w:t>进行样点灌区灌溉用水有效利用系数测算分析及成果检验，进行全市灌溉水有效利用系数测算分析；</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w:t>
      </w:r>
      <w:r>
        <w:rPr>
          <w:rFonts w:hint="eastAsia" w:ascii="仿宋" w:hAnsi="仿宋" w:eastAsia="仿宋" w:cs="仿宋"/>
          <w:sz w:val="24"/>
        </w:rPr>
        <w:t>提出系数测算分析工作的结论及建议，并进行工作评价；</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w:t>
      </w:r>
      <w:r>
        <w:rPr>
          <w:rFonts w:hint="eastAsia" w:ascii="仿宋" w:hAnsi="仿宋" w:eastAsia="仿宋" w:cs="仿宋"/>
          <w:sz w:val="24"/>
        </w:rPr>
        <w:t>对全市农田灌溉水有效系数测算分析工作进行指导；</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z w:val="24"/>
          <w:lang w:val="en-US" w:eastAsia="zh-CN"/>
        </w:rPr>
        <w:t>.</w:t>
      </w:r>
      <w:r>
        <w:rPr>
          <w:rFonts w:hint="eastAsia" w:ascii="仿宋" w:hAnsi="仿宋" w:eastAsia="仿宋" w:cs="仿宋"/>
          <w:sz w:val="24"/>
        </w:rPr>
        <w:t>举办全市系数测算分析工作培训1次</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（四）成果形式</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本测算成果为《绍兴市农田灌溉水利用系数测算分析报告》和《绍兴市农田灌溉水利用系数测算分析工作评价报告》，并按以下形式提交：</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A4幅面的纸质文本10套；</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（五）工作要求：</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投标单位应在投标文件中附详细工作方案，明确项目组成员及分工方案、工作基础、技术路线与工作重点、工作衔接方案、项目进度计划安排和保证措施、成果质量保证措施、预期成果体系及表现形式等内容。</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（1）项目组成员及分工方案</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明确项目负责人及其主要职责、工作任务安排，项目负责人应具有高级工程师资格及以上职称，具有类似项目工作业绩。项目组成员按照工作岗位和专业特长进行合理分工和工作量分配，形成较为完善的工作组织。要求项目负责人带队至少三人以上常驻绍兴市区至项目报批，向委托方进行中间汇报和讨论每周不得少于1次。</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（2）技术路线与工作重点</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针对规划编制任务，理清规划编制的工作思路，并建立规划编制工作技术路线图。项目工作思路清晰、技术路线正确、工作重点把握明确，可操作性强。</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（3）测算单位要充分掌握全市样点灌区量水设施建设情况，充分收集相关资料，为样点灌区提供技术服务。</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（4）测算单位向委托方进行中间汇报和讨论每两月不得少于1次，1年不少于6次。</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（5）在省厅年度考核中获得优秀等级。</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（六）其他说明：</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项目组负责人须有较强的组织和协调能力，具有较强的理论素养和分析解决问题的能力。项目组负责人必须是该项目实施全过程的真正组织和指导者，担负项目实质性工作。挂名或不担负实质性研究工作的人不得作为项目负责人申请项目。</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测算分析所需资料及所需现场调研费用均有中标单位自行解决。</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（七）服务时间：一年。</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（八）付款方式：</w:t>
      </w:r>
    </w:p>
    <w:p>
      <w:pPr>
        <w:pStyle w:val="32"/>
        <w:spacing w:line="27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合同签订后</w:t>
      </w:r>
      <w:r>
        <w:rPr>
          <w:rFonts w:hint="eastAsia" w:ascii="仿宋" w:hAnsi="仿宋" w:eastAsia="仿宋" w:cs="仿宋"/>
          <w:color w:val="FF0000"/>
          <w:sz w:val="24"/>
          <w:lang w:val="en-US" w:eastAsia="zh-CN"/>
        </w:rPr>
        <w:t>7日内</w:t>
      </w:r>
      <w:r>
        <w:rPr>
          <w:rFonts w:hint="eastAsia" w:ascii="仿宋" w:hAnsi="仿宋" w:eastAsia="仿宋" w:cs="仿宋"/>
          <w:sz w:val="24"/>
          <w:lang w:val="en-US" w:eastAsia="zh-CN"/>
        </w:rPr>
        <w:t>支付合同金额的50%，提交初步成果支付30%，提交最终报告支付尾款。</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（九）其他</w:t>
      </w:r>
    </w:p>
    <w:p>
      <w:pPr>
        <w:pStyle w:val="32"/>
        <w:spacing w:line="276" w:lineRule="auto"/>
        <w:ind w:firstLine="480" w:firstLineChars="200"/>
        <w:rPr>
          <w:rFonts w:hint="eastAsia" w:ascii="仿宋" w:hAnsi="仿宋" w:eastAsia="仿宋" w:cs="仿宋"/>
          <w:sz w:val="24"/>
        </w:rPr>
      </w:pPr>
      <w:r>
        <w:rPr>
          <w:rFonts w:hint="eastAsia" w:ascii="仿宋" w:hAnsi="仿宋" w:eastAsia="仿宋" w:cs="仿宋"/>
          <w:sz w:val="24"/>
        </w:rPr>
        <w:t>投标供应商的承诺：为维护政府采购的公正性和严肃性，并确保项目实施进展和成果质量，投标供应商应维持项目组成员稳定。投标供应商应书面承诺在项目实施过程中，除不可抗力，项目负责人和项目组主要成员不予更换。承诺书将作为投标文件和合同的组成部分。</w:t>
      </w: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pPr>
        <w:pageBreakBefore w:val="0"/>
        <w:kinsoku/>
        <w:wordWrap/>
        <w:overflowPunct/>
        <w:topLinePunct w:val="0"/>
        <w:bidi w:val="0"/>
        <w:spacing w:line="288" w:lineRule="auto"/>
        <w:jc w:val="both"/>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24"/>
        </w:rPr>
      </w:pP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pPr>
        <w:pStyle w:val="702"/>
        <w:pageBreakBefore w:val="0"/>
        <w:kinsoku/>
        <w:wordWrap/>
        <w:overflowPunct/>
        <w:topLinePunct w:val="0"/>
        <w:bidi w:val="0"/>
        <w:spacing w:line="288" w:lineRule="auto"/>
        <w:ind w:firstLine="2843" w:firstLineChars="1180"/>
        <w:textAlignment w:val="auto"/>
        <w:rPr>
          <w:rFonts w:hint="eastAsia" w:ascii="仿宋" w:hAnsi="仿宋" w:eastAsia="仿宋" w:cs="仿宋"/>
          <w:b/>
          <w:szCs w:val="24"/>
        </w:rPr>
      </w:pPr>
      <w:r>
        <w:rPr>
          <w:rFonts w:hint="eastAsia" w:ascii="仿宋" w:hAnsi="仿宋" w:eastAsia="仿宋" w:cs="仿宋"/>
          <w:b/>
          <w:szCs w:val="24"/>
        </w:rPr>
        <w:t>第一部分 合同书</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Style w:val="4"/>
        <w:pageBreakBefore w:val="0"/>
        <w:kinsoku/>
        <w:wordWrap/>
        <w:overflowPunct/>
        <w:topLinePunct w:val="0"/>
        <w:bidi w:val="0"/>
        <w:spacing w:line="288" w:lineRule="auto"/>
        <w:textAlignment w:val="auto"/>
        <w:rPr>
          <w:rFonts w:hint="eastAsia" w:ascii="仿宋" w:hAnsi="仿宋" w:eastAsia="仿宋" w:cs="仿宋"/>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Style w:val="599"/>
        <w:pageBreakBefore w:val="0"/>
        <w:kinsoku/>
        <w:wordWrap/>
        <w:overflowPunct/>
        <w:topLinePunct w:val="0"/>
        <w:bidi w:val="0"/>
        <w:spacing w:before="120" w:line="288" w:lineRule="auto"/>
        <w:textAlignment w:val="auto"/>
        <w:rPr>
          <w:rFonts w:hint="eastAsia" w:ascii="仿宋" w:hAnsi="仿宋" w:eastAsia="仿宋" w:cs="仿宋"/>
          <w:szCs w:val="24"/>
        </w:rPr>
      </w:pPr>
    </w:p>
    <w:p>
      <w:pPr>
        <w:pageBreakBefore w:val="0"/>
        <w:kinsoku/>
        <w:wordWrap/>
        <w:overflowPunct/>
        <w:topLinePunct w:val="0"/>
        <w:bidi w:val="0"/>
        <w:spacing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pageBreakBefore w:val="0"/>
        <w:kinsoku/>
        <w:wordWrap/>
        <w:overflowPunct/>
        <w:topLinePunct w:val="0"/>
        <w:bidi w:val="0"/>
        <w:spacing w:before="120" w:line="288" w:lineRule="auto"/>
        <w:textAlignment w:val="auto"/>
        <w:rPr>
          <w:rFonts w:hint="eastAsia" w:ascii="仿宋" w:hAnsi="仿宋" w:eastAsia="仿宋" w:cs="仿宋"/>
          <w:sz w:val="24"/>
        </w:rPr>
      </w:pPr>
    </w:p>
    <w:p>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pageBreakBefore w:val="0"/>
        <w:widowControl/>
        <w:kinsoku/>
        <w:wordWrap/>
        <w:overflowPunct/>
        <w:topLinePunct w:val="0"/>
        <w:bidi w:val="0"/>
        <w:spacing w:line="288" w:lineRule="auto"/>
        <w:jc w:val="left"/>
        <w:textAlignment w:val="auto"/>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pageBreakBefore w:val="0"/>
        <w:kinsoku/>
        <w:wordWrap/>
        <w:overflowPunct/>
        <w:topLinePunct w:val="0"/>
        <w:bidi w:val="0"/>
        <w:spacing w:line="288" w:lineRule="auto"/>
        <w:textAlignment w:val="auto"/>
        <w:rPr>
          <w:rFonts w:hint="eastAsia" w:ascii="仿宋" w:hAnsi="仿宋" w:eastAsia="仿宋" w:cs="仿宋"/>
          <w:b/>
          <w:sz w:val="24"/>
        </w:rPr>
      </w:pP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38" w:name="_Toc22967"/>
      <w:bookmarkStart w:id="39" w:name="_Toc28855"/>
      <w:bookmarkStart w:id="40" w:name="_Toc20421"/>
      <w:bookmarkStart w:id="41" w:name="_Toc15367"/>
      <w:bookmarkStart w:id="42" w:name="_Toc19273"/>
      <w:r>
        <w:rPr>
          <w:rFonts w:hint="eastAsia" w:ascii="仿宋" w:hAnsi="仿宋" w:eastAsia="仿宋" w:cs="仿宋"/>
          <w:b/>
          <w:sz w:val="24"/>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3" w:name="_Toc22185"/>
      <w:bookmarkStart w:id="44" w:name="_Toc2918"/>
      <w:bookmarkStart w:id="45" w:name="_Toc6773"/>
      <w:bookmarkStart w:id="46" w:name="_Toc18585"/>
      <w:bookmarkStart w:id="47" w:name="_Toc6311"/>
      <w:r>
        <w:rPr>
          <w:rFonts w:hint="eastAsia" w:ascii="仿宋" w:hAnsi="仿宋" w:eastAsia="仿宋" w:cs="仿宋"/>
          <w:b/>
          <w:sz w:val="24"/>
        </w:rPr>
        <w:t>1.2 标的</w:t>
      </w:r>
      <w:bookmarkEnd w:id="43"/>
      <w:bookmarkEnd w:id="44"/>
      <w:bookmarkEnd w:id="45"/>
      <w:bookmarkEnd w:id="46"/>
      <w:bookmarkEnd w:id="47"/>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48" w:name="_Toc5635"/>
      <w:bookmarkStart w:id="49" w:name="_Toc21124"/>
      <w:bookmarkStart w:id="50" w:name="_Toc1386"/>
      <w:bookmarkStart w:id="51" w:name="_Toc4929"/>
      <w:bookmarkStart w:id="52"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0"/>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3" w:name="_Toc30506"/>
      <w:bookmarkStart w:id="54" w:name="_Toc14993"/>
      <w:bookmarkStart w:id="55" w:name="_Toc30158"/>
      <w:bookmarkStart w:id="56" w:name="_Toc26916"/>
      <w:bookmarkStart w:id="57"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lang w:val="en-US" w:eastAsia="zh-CN"/>
        </w:rPr>
        <w:t>¥</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58" w:name="_Toc1814"/>
      <w:bookmarkStart w:id="59" w:name="_Toc22618"/>
      <w:bookmarkStart w:id="60" w:name="_Toc10340"/>
      <w:bookmarkStart w:id="61" w:name="_Toc8772"/>
      <w:bookmarkStart w:id="62" w:name="_Toc11108"/>
      <w:bookmarkStart w:id="63" w:name="_Toc4760"/>
      <w:bookmarkStart w:id="64" w:name="_Toc31421"/>
      <w:bookmarkStart w:id="65" w:name="_Toc3625"/>
      <w:r>
        <w:rPr>
          <w:rFonts w:hint="eastAsia" w:ascii="仿宋" w:hAnsi="仿宋" w:eastAsia="仿宋" w:cs="仿宋"/>
          <w:b/>
        </w:rPr>
        <w:t>1.4履约保证金</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4"/>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9"/>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66" w:name="_Toc3079"/>
      <w:bookmarkStart w:id="67" w:name="_Toc8586"/>
      <w:bookmarkStart w:id="68" w:name="_Toc2375"/>
      <w:bookmarkStart w:id="69" w:name="_Toc5698"/>
      <w:bookmarkStart w:id="70" w:name="_Toc24662"/>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1" w:name="_Toc32454"/>
      <w:bookmarkStart w:id="72" w:name="_Toc26807"/>
      <w:bookmarkStart w:id="73" w:name="_Toc9497"/>
      <w:bookmarkStart w:id="74" w:name="_Toc18683"/>
      <w:bookmarkStart w:id="75" w:name="_Toc30329"/>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6" w:name="_Toc28375"/>
      <w:bookmarkStart w:id="77" w:name="_Toc16021"/>
      <w:bookmarkStart w:id="78" w:name="_Toc15583"/>
      <w:r>
        <w:rPr>
          <w:rFonts w:hint="eastAsia" w:ascii="仿宋" w:hAnsi="仿宋" w:eastAsia="仿宋" w:cs="仿宋"/>
          <w:b/>
          <w:sz w:val="24"/>
        </w:rPr>
        <w:t>1.9合同争议的解决</w:t>
      </w:r>
      <w:bookmarkEnd w:id="76"/>
      <w:bookmarkEnd w:id="77"/>
      <w:bookmarkEnd w:id="78"/>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79" w:name="_Toc7245"/>
      <w:bookmarkStart w:id="80" w:name="_Toc15322"/>
      <w:bookmarkStart w:id="81" w:name="_Toc11173"/>
      <w:r>
        <w:rPr>
          <w:rFonts w:hint="eastAsia" w:ascii="仿宋" w:hAnsi="仿宋" w:eastAsia="仿宋" w:cs="仿宋"/>
          <w:b/>
          <w:sz w:val="24"/>
        </w:rPr>
        <w:t>2.0 合同生效</w:t>
      </w:r>
      <w:bookmarkEnd w:id="79"/>
      <w:bookmarkEnd w:id="80"/>
      <w:bookmarkEnd w:id="81"/>
    </w:p>
    <w:p>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pPr>
        <w:pStyle w:val="702"/>
        <w:pageBreakBefore w:val="0"/>
        <w:kinsoku/>
        <w:wordWrap/>
        <w:overflowPunct/>
        <w:topLinePunct w:val="0"/>
        <w:bidi w:val="0"/>
        <w:spacing w:line="288" w:lineRule="auto"/>
        <w:ind w:firstLine="482"/>
        <w:jc w:val="center"/>
        <w:textAlignment w:val="auto"/>
        <w:rPr>
          <w:rFonts w:hint="eastAsia" w:ascii="仿宋" w:hAnsi="仿宋" w:eastAsia="仿宋" w:cs="仿宋"/>
          <w:b/>
          <w:szCs w:val="24"/>
        </w:rPr>
      </w:pPr>
      <w:r>
        <w:rPr>
          <w:rFonts w:hint="eastAsia" w:ascii="仿宋" w:hAnsi="仿宋" w:eastAsia="仿宋" w:cs="仿宋"/>
          <w:b/>
          <w:szCs w:val="24"/>
        </w:rPr>
        <w:t>第二部分 合同一般条款</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2" w:name="_Toc5228"/>
      <w:bookmarkStart w:id="83" w:name="_Toc31297"/>
      <w:bookmarkStart w:id="84" w:name="_Toc14021"/>
      <w:bookmarkStart w:id="85" w:name="_Toc25079"/>
      <w:bookmarkStart w:id="86" w:name="_Toc19680"/>
      <w:r>
        <w:rPr>
          <w:rFonts w:hint="eastAsia" w:ascii="仿宋" w:hAnsi="仿宋" w:eastAsia="仿宋" w:cs="仿宋"/>
          <w:b/>
          <w:sz w:val="24"/>
        </w:rPr>
        <w:t>2.1 定义</w:t>
      </w:r>
      <w:bookmarkEnd w:id="82"/>
      <w:bookmarkEnd w:id="83"/>
      <w:bookmarkEnd w:id="84"/>
      <w:bookmarkEnd w:id="85"/>
      <w:bookmarkEnd w:id="8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7" w:name="_Toc3769"/>
      <w:bookmarkStart w:id="88" w:name="_Toc31402"/>
      <w:bookmarkStart w:id="89" w:name="_Toc19539"/>
      <w:bookmarkStart w:id="90" w:name="_Toc23289"/>
      <w:bookmarkStart w:id="91" w:name="_Toc16752"/>
      <w:r>
        <w:rPr>
          <w:rFonts w:hint="eastAsia" w:ascii="仿宋" w:hAnsi="仿宋" w:eastAsia="仿宋" w:cs="仿宋"/>
          <w:b/>
          <w:sz w:val="24"/>
        </w:rPr>
        <w:t>2.2 技术规范</w:t>
      </w:r>
      <w:bookmarkEnd w:id="87"/>
      <w:bookmarkEnd w:id="88"/>
      <w:bookmarkEnd w:id="89"/>
      <w:bookmarkEnd w:id="90"/>
      <w:bookmarkEnd w:id="9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2" w:name="_Toc9161"/>
      <w:bookmarkStart w:id="93" w:name="_Toc27945"/>
      <w:bookmarkStart w:id="94" w:name="_Toc13673"/>
      <w:bookmarkStart w:id="95" w:name="_Toc4133"/>
      <w:bookmarkStart w:id="96" w:name="_Toc12412"/>
      <w:r>
        <w:rPr>
          <w:rFonts w:hint="eastAsia" w:ascii="仿宋" w:hAnsi="仿宋" w:eastAsia="仿宋" w:cs="仿宋"/>
          <w:b/>
          <w:sz w:val="24"/>
        </w:rPr>
        <w:t>2.3 知识产权</w:t>
      </w:r>
      <w:bookmarkEnd w:id="92"/>
      <w:bookmarkEnd w:id="93"/>
      <w:bookmarkEnd w:id="94"/>
      <w:bookmarkEnd w:id="95"/>
      <w:bookmarkEnd w:id="9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7" w:name="_Toc22011"/>
      <w:bookmarkStart w:id="98" w:name="_Toc15447"/>
      <w:bookmarkStart w:id="99" w:name="_Toc31233"/>
      <w:bookmarkStart w:id="100" w:name="_Toc26555"/>
      <w:bookmarkStart w:id="101" w:name="_Toc32670"/>
      <w:r>
        <w:rPr>
          <w:rFonts w:hint="eastAsia" w:ascii="仿宋" w:hAnsi="仿宋" w:eastAsia="仿宋" w:cs="仿宋"/>
          <w:b/>
          <w:sz w:val="24"/>
        </w:rPr>
        <w:t>2.5 结算方式和付款条件</w:t>
      </w:r>
      <w:bookmarkEnd w:id="97"/>
      <w:bookmarkEnd w:id="98"/>
      <w:bookmarkEnd w:id="99"/>
      <w:bookmarkEnd w:id="100"/>
      <w:bookmarkEnd w:id="101"/>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13154"/>
      <w:bookmarkStart w:id="103" w:name="_Toc18990"/>
      <w:bookmarkStart w:id="104" w:name="_Toc13467"/>
      <w:bookmarkStart w:id="105" w:name="_Toc30507"/>
      <w:bookmarkStart w:id="106" w:name="_Toc16163"/>
      <w:r>
        <w:rPr>
          <w:rFonts w:hint="eastAsia" w:ascii="仿宋" w:hAnsi="仿宋" w:eastAsia="仿宋" w:cs="仿宋"/>
          <w:b/>
          <w:sz w:val="24"/>
        </w:rPr>
        <w:t>2.6 技术资料和保密义务</w:t>
      </w:r>
      <w:bookmarkEnd w:id="102"/>
      <w:bookmarkEnd w:id="103"/>
      <w:bookmarkEnd w:id="104"/>
      <w:bookmarkEnd w:id="105"/>
      <w:bookmarkEnd w:id="10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0" w:name="_Toc42"/>
      <w:bookmarkStart w:id="111" w:name="_Toc26689"/>
      <w:bookmarkStart w:id="112" w:name="_Toc23368"/>
      <w:bookmarkStart w:id="113" w:name="_Toc10663"/>
      <w:bookmarkStart w:id="114" w:name="_Toc21830"/>
      <w:r>
        <w:rPr>
          <w:rFonts w:hint="eastAsia" w:ascii="仿宋" w:hAnsi="仿宋" w:eastAsia="仿宋" w:cs="仿宋"/>
          <w:b/>
          <w:sz w:val="24"/>
        </w:rPr>
        <w:t>2.10 合同转让和分包</w:t>
      </w:r>
      <w:bookmarkEnd w:id="110"/>
      <w:bookmarkEnd w:id="111"/>
      <w:bookmarkEnd w:id="112"/>
      <w:bookmarkEnd w:id="113"/>
      <w:bookmarkEnd w:id="11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5" w:name="_Toc4720"/>
      <w:bookmarkStart w:id="116" w:name="_Toc25571"/>
      <w:bookmarkStart w:id="117" w:name="_Toc14371"/>
      <w:bookmarkStart w:id="118" w:name="_Toc26633"/>
      <w:bookmarkStart w:id="119" w:name="_Toc32494"/>
      <w:r>
        <w:rPr>
          <w:rFonts w:hint="eastAsia" w:ascii="仿宋" w:hAnsi="仿宋" w:eastAsia="仿宋" w:cs="仿宋"/>
          <w:b/>
          <w:sz w:val="24"/>
        </w:rPr>
        <w:t>2.11 不可抗力</w:t>
      </w:r>
      <w:bookmarkEnd w:id="115"/>
      <w:bookmarkEnd w:id="116"/>
      <w:bookmarkEnd w:id="117"/>
      <w:bookmarkEnd w:id="118"/>
      <w:bookmarkEnd w:id="11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0" w:name="_Toc14115"/>
      <w:bookmarkStart w:id="121" w:name="_Toc3638"/>
      <w:bookmarkStart w:id="122" w:name="_Toc24465"/>
      <w:bookmarkStart w:id="123" w:name="_Toc25783"/>
      <w:bookmarkStart w:id="124" w:name="_Toc23854"/>
      <w:r>
        <w:rPr>
          <w:rFonts w:hint="eastAsia" w:ascii="仿宋" w:hAnsi="仿宋" w:eastAsia="仿宋" w:cs="仿宋"/>
          <w:b/>
          <w:sz w:val="24"/>
        </w:rPr>
        <w:t>2.12 税费</w:t>
      </w:r>
      <w:bookmarkEnd w:id="120"/>
      <w:bookmarkEnd w:id="121"/>
      <w:bookmarkEnd w:id="122"/>
      <w:bookmarkEnd w:id="123"/>
      <w:bookmarkEnd w:id="124"/>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5" w:name="_Toc26883"/>
      <w:bookmarkStart w:id="126" w:name="_Toc14814"/>
      <w:bookmarkStart w:id="127" w:name="_Toc7315"/>
      <w:bookmarkStart w:id="128" w:name="_Toc30105"/>
      <w:bookmarkStart w:id="129" w:name="_Toc25525"/>
      <w:r>
        <w:rPr>
          <w:rFonts w:hint="eastAsia" w:ascii="仿宋" w:hAnsi="仿宋" w:eastAsia="仿宋" w:cs="仿宋"/>
          <w:b/>
          <w:sz w:val="24"/>
        </w:rPr>
        <w:t>2.13 乙方破产</w:t>
      </w:r>
      <w:bookmarkEnd w:id="125"/>
      <w:bookmarkEnd w:id="126"/>
      <w:bookmarkEnd w:id="127"/>
      <w:bookmarkEnd w:id="128"/>
      <w:bookmarkEnd w:id="129"/>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0" w:name="_Toc2016"/>
      <w:bookmarkStart w:id="131" w:name="_Toc1123"/>
      <w:bookmarkStart w:id="132" w:name="_Toc23323"/>
      <w:r>
        <w:rPr>
          <w:rFonts w:hint="eastAsia" w:ascii="仿宋" w:hAnsi="仿宋" w:eastAsia="仿宋" w:cs="仿宋"/>
          <w:b/>
          <w:sz w:val="24"/>
        </w:rPr>
        <w:t>2.14 合同中止、终止</w:t>
      </w:r>
      <w:bookmarkEnd w:id="130"/>
      <w:bookmarkEnd w:id="131"/>
      <w:bookmarkEnd w:id="132"/>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3" w:name="_Toc14525"/>
      <w:bookmarkStart w:id="134" w:name="_Toc1969"/>
      <w:bookmarkStart w:id="135" w:name="_Toc17363"/>
      <w:r>
        <w:rPr>
          <w:rFonts w:hint="eastAsia" w:ascii="仿宋" w:hAnsi="仿宋" w:eastAsia="仿宋" w:cs="仿宋"/>
          <w:b/>
          <w:sz w:val="24"/>
        </w:rPr>
        <w:t>2.15 检验和验收</w:t>
      </w:r>
      <w:bookmarkEnd w:id="133"/>
      <w:bookmarkEnd w:id="134"/>
      <w:bookmarkEnd w:id="135"/>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6" w:name="_Toc2308"/>
      <w:bookmarkStart w:id="137" w:name="_Toc9808"/>
      <w:bookmarkStart w:id="138" w:name="_Toc31892"/>
      <w:bookmarkStart w:id="139" w:name="_Toc12666"/>
      <w:bookmarkStart w:id="140" w:name="_Toc25198"/>
      <w:r>
        <w:rPr>
          <w:rFonts w:hint="eastAsia" w:ascii="仿宋" w:hAnsi="仿宋" w:eastAsia="仿宋" w:cs="仿宋"/>
          <w:b/>
          <w:sz w:val="24"/>
        </w:rPr>
        <w:t>2.16 通知和送达</w:t>
      </w:r>
      <w:bookmarkEnd w:id="136"/>
      <w:bookmarkEnd w:id="137"/>
      <w:bookmarkEnd w:id="138"/>
      <w:bookmarkEnd w:id="139"/>
      <w:bookmarkEnd w:id="14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1" w:name="_Toc18401"/>
      <w:bookmarkStart w:id="142"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3" w:name="_Toc12254"/>
      <w:bookmarkStart w:id="144" w:name="_Toc5063"/>
      <w:bookmarkStart w:id="145" w:name="_Toc20808"/>
      <w:bookmarkStart w:id="146" w:name="_Toc27644"/>
      <w:bookmarkStart w:id="147" w:name="_Toc28906"/>
      <w:r>
        <w:rPr>
          <w:rFonts w:hint="eastAsia" w:ascii="仿宋" w:hAnsi="仿宋" w:eastAsia="仿宋" w:cs="仿宋"/>
          <w:b/>
          <w:sz w:val="24"/>
        </w:rPr>
        <w:t>2.17 合同使用的文字和适用的法律</w:t>
      </w:r>
      <w:bookmarkEnd w:id="143"/>
      <w:bookmarkEnd w:id="144"/>
      <w:bookmarkEnd w:id="145"/>
      <w:bookmarkEnd w:id="146"/>
      <w:bookmarkEnd w:id="147"/>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8" w:name="_Toc4355"/>
      <w:bookmarkStart w:id="149" w:name="_Toc18540"/>
      <w:bookmarkStart w:id="150" w:name="_Toc30599"/>
      <w:r>
        <w:rPr>
          <w:rFonts w:hint="eastAsia" w:ascii="仿宋" w:hAnsi="仿宋" w:eastAsia="仿宋" w:cs="仿宋"/>
          <w:b/>
          <w:sz w:val="24"/>
        </w:rPr>
        <w:t>2.18 计量单位</w:t>
      </w:r>
      <w:bookmarkEnd w:id="148"/>
      <w:bookmarkEnd w:id="149"/>
      <w:bookmarkEnd w:id="150"/>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1" w:name="_Toc259093692"/>
      <w:bookmarkStart w:id="152" w:name="_Toc10330"/>
      <w:bookmarkStart w:id="153" w:name="_Toc487900373"/>
      <w:bookmarkStart w:id="154" w:name="_Toc12773"/>
      <w:bookmarkStart w:id="155" w:name="_Toc279701263"/>
      <w:bookmarkStart w:id="156" w:name="_Toc18567"/>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pageBreakBefore w:val="0"/>
              <w:kinsoku/>
              <w:wordWrap/>
              <w:overflowPunct/>
              <w:topLinePunct w:val="0"/>
              <w:bidi w:val="0"/>
              <w:spacing w:line="288" w:lineRule="auto"/>
              <w:textAlignment w:val="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pPr>
              <w:pageBreakBefore w:val="0"/>
              <w:kinsoku/>
              <w:wordWrap/>
              <w:overflowPunct/>
              <w:topLinePunct w:val="0"/>
              <w:bidi w:val="0"/>
              <w:spacing w:line="288" w:lineRule="auto"/>
              <w:textAlignment w:val="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90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90 </w:t>
      </w:r>
      <w:r>
        <w:rPr>
          <w:rFonts w:hint="eastAsia" w:ascii="仿宋" w:hAnsi="仿宋" w:eastAsia="仿宋" w:cs="仿宋"/>
          <w:b/>
          <w:bCs/>
          <w:iCs/>
          <w:color w:val="auto"/>
          <w:sz w:val="24"/>
          <w:highlight w:val="none"/>
        </w:rPr>
        <w:t>分）</w:t>
      </w:r>
    </w:p>
    <w:tbl>
      <w:tblPr>
        <w:tblStyle w:val="63"/>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76"/>
        <w:gridCol w:w="940"/>
        <w:gridCol w:w="6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序号</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项目</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分值</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企业承担类似业绩</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20</w:t>
            </w:r>
            <w:r>
              <w:rPr>
                <w:rFonts w:hint="eastAsia" w:ascii="仿宋" w:hAnsi="仿宋" w:eastAsia="仿宋" w:cs="仿宋"/>
                <w:sz w:val="24"/>
                <w:lang w:val="en-US" w:eastAsia="zh-CN"/>
              </w:rPr>
              <w:t>20</w:t>
            </w:r>
            <w:r>
              <w:rPr>
                <w:rFonts w:hint="eastAsia" w:ascii="仿宋" w:hAnsi="仿宋" w:eastAsia="仿宋" w:cs="仿宋"/>
                <w:sz w:val="24"/>
              </w:rPr>
              <w:t>年以来具有</w:t>
            </w:r>
            <w:r>
              <w:rPr>
                <w:rFonts w:hint="eastAsia" w:ascii="仿宋" w:hAnsi="仿宋" w:eastAsia="仿宋" w:cs="仿宋"/>
                <w:sz w:val="24"/>
                <w:lang w:val="en-US" w:eastAsia="zh-CN"/>
              </w:rPr>
              <w:t>同类项目</w:t>
            </w:r>
            <w:r>
              <w:rPr>
                <w:rFonts w:hint="eastAsia" w:ascii="仿宋" w:hAnsi="仿宋" w:eastAsia="仿宋" w:cs="仿宋"/>
                <w:sz w:val="24"/>
              </w:rPr>
              <w:t>业绩的，每项得1分,最高得1分。</w:t>
            </w:r>
          </w:p>
          <w:p>
            <w:pPr>
              <w:spacing w:line="281" w:lineRule="auto"/>
              <w:jc w:val="left"/>
              <w:rPr>
                <w:rFonts w:hint="eastAsia" w:ascii="仿宋" w:hAnsi="仿宋" w:eastAsia="仿宋" w:cs="仿宋"/>
                <w:sz w:val="24"/>
              </w:rPr>
            </w:pPr>
            <w:r>
              <w:rPr>
                <w:rFonts w:hint="eastAsia" w:ascii="仿宋" w:hAnsi="仿宋" w:eastAsia="仿宋" w:cs="仿宋"/>
                <w:sz w:val="24"/>
              </w:rPr>
              <w:t>提供相应合同或中标通知书复印件盖公章，否则不得分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3</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项目组成员情况</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lang w:val="en-US" w:eastAsia="zh-CN"/>
              </w:rPr>
              <w:t>8</w:t>
            </w:r>
            <w:r>
              <w:rPr>
                <w:rFonts w:hint="eastAsia" w:ascii="仿宋" w:hAnsi="仿宋" w:eastAsia="仿宋" w:cs="仿宋"/>
                <w:sz w:val="24"/>
              </w:rPr>
              <w:t>分</w:t>
            </w:r>
          </w:p>
        </w:tc>
        <w:tc>
          <w:tcPr>
            <w:tcW w:w="6414" w:type="dxa"/>
            <w:noWrap w:val="0"/>
            <w:vAlign w:val="center"/>
          </w:tcPr>
          <w:p>
            <w:pPr>
              <w:numPr>
                <w:ilvl w:val="0"/>
                <w:numId w:val="0"/>
              </w:numPr>
              <w:shd w:val="clear" w:color="auto" w:fill="auto"/>
              <w:spacing w:line="240" w:lineRule="auto"/>
              <w:jc w:val="left"/>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1、项目负责人具有</w:t>
            </w:r>
            <w:r>
              <w:rPr>
                <w:rFonts w:hint="eastAsia" w:ascii="仿宋" w:hAnsi="仿宋" w:eastAsia="仿宋" w:cs="仿宋"/>
                <w:color w:val="auto"/>
                <w:sz w:val="24"/>
                <w:szCs w:val="24"/>
              </w:rPr>
              <w:t>高级工程师</w:t>
            </w:r>
            <w:r>
              <w:rPr>
                <w:rFonts w:hint="eastAsia" w:ascii="仿宋" w:hAnsi="仿宋" w:eastAsia="仿宋" w:cs="仿宋"/>
                <w:color w:val="auto"/>
                <w:sz w:val="24"/>
                <w:szCs w:val="24"/>
                <w:lang w:val="en-US" w:eastAsia="zh-CN"/>
              </w:rPr>
              <w:t>证书的</w:t>
            </w:r>
            <w:r>
              <w:rPr>
                <w:rFonts w:hint="eastAsia" w:ascii="仿宋" w:hAnsi="仿宋" w:eastAsia="仿宋" w:cs="仿宋"/>
                <w:color w:val="auto"/>
                <w:sz w:val="24"/>
                <w:szCs w:val="24"/>
              </w:rPr>
              <w:t>得1分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同时具有注册土木工程师（水利水电工程规划）资格证书和注册咨询工程师（投资）注册证书的</w:t>
            </w:r>
            <w:r>
              <w:rPr>
                <w:rFonts w:hint="eastAsia" w:ascii="仿宋" w:hAnsi="仿宋" w:eastAsia="仿宋" w:cs="仿宋"/>
                <w:color w:val="auto"/>
                <w:sz w:val="24"/>
                <w:szCs w:val="24"/>
                <w:lang w:val="en-US" w:eastAsia="zh-CN"/>
              </w:rPr>
              <w:t>再</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最高2分</w:t>
            </w:r>
          </w:p>
          <w:p>
            <w:pPr>
              <w:numPr>
                <w:ilvl w:val="0"/>
                <w:numId w:val="0"/>
              </w:numPr>
              <w:shd w:val="clear" w:color="auto" w:fill="auto"/>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2、项目组成员</w:t>
            </w:r>
            <w:r>
              <w:rPr>
                <w:rFonts w:hint="eastAsia" w:ascii="仿宋" w:hAnsi="仿宋" w:eastAsia="仿宋" w:cs="仿宋"/>
                <w:color w:val="auto"/>
                <w:sz w:val="24"/>
                <w:szCs w:val="24"/>
              </w:rPr>
              <w:t>拥有水利类高级工程师以职称且同时具有注册土木工程师（水利水电工程规划或水工结构）资格证书，每人得2分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具有水利类工程师职称且同时具有注册土木工程师（水利水电工程规划或水工结构）资格证书，每人得1分，最高得</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分。</w:t>
            </w:r>
          </w:p>
          <w:p/>
          <w:p>
            <w:pPr>
              <w:spacing w:line="281" w:lineRule="auto"/>
              <w:jc w:val="left"/>
              <w:rPr>
                <w:rFonts w:hint="eastAsia" w:ascii="仿宋" w:hAnsi="仿宋" w:eastAsia="仿宋" w:cs="仿宋"/>
                <w:sz w:val="24"/>
              </w:rPr>
            </w:pPr>
            <w:r>
              <w:rPr>
                <w:rFonts w:hint="eastAsia" w:ascii="仿宋" w:hAnsi="仿宋" w:eastAsia="仿宋" w:cs="仿宋"/>
                <w:sz w:val="24"/>
              </w:rPr>
              <w:t>投标文件中提供职称证书及在本单位近三个月的社保证明复印件加盖公章，否则不得分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4</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企业管理体系</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分</w:t>
            </w:r>
          </w:p>
        </w:tc>
        <w:tc>
          <w:tcPr>
            <w:tcW w:w="6414" w:type="dxa"/>
            <w:noWrap w:val="0"/>
            <w:vAlign w:val="center"/>
          </w:tcPr>
          <w:p>
            <w:pPr>
              <w:spacing w:line="281" w:lineRule="auto"/>
              <w:jc w:val="left"/>
              <w:rPr>
                <w:rFonts w:hint="default" w:ascii="仿宋" w:hAnsi="仿宋" w:eastAsia="仿宋" w:cs="仿宋"/>
                <w:sz w:val="24"/>
                <w:lang w:val="en-US" w:eastAsia="zh-CN"/>
              </w:rPr>
            </w:pPr>
            <w:r>
              <w:rPr>
                <w:rFonts w:hint="eastAsia" w:ascii="仿宋" w:hAnsi="仿宋" w:eastAsia="仿宋" w:cs="仿宋"/>
                <w:sz w:val="24"/>
              </w:rPr>
              <w:t>投标人通过有效期内的质量管理体系认证</w:t>
            </w:r>
            <w:r>
              <w:rPr>
                <w:rFonts w:hint="eastAsia" w:ascii="仿宋" w:hAnsi="仿宋" w:eastAsia="仿宋" w:cs="仿宋"/>
                <w:sz w:val="24"/>
                <w:lang w:eastAsia="zh-CN"/>
              </w:rPr>
              <w:t>，</w:t>
            </w:r>
            <w:r>
              <w:rPr>
                <w:rFonts w:hint="eastAsia" w:ascii="仿宋" w:hAnsi="仿宋" w:eastAsia="仿宋" w:cs="仿宋"/>
                <w:sz w:val="24"/>
              </w:rPr>
              <w:t>环境管理体系认证</w:t>
            </w:r>
            <w:r>
              <w:rPr>
                <w:rFonts w:hint="eastAsia" w:ascii="仿宋" w:hAnsi="仿宋" w:eastAsia="仿宋" w:cs="仿宋"/>
                <w:sz w:val="24"/>
                <w:lang w:eastAsia="zh-CN"/>
              </w:rPr>
              <w:t>，</w:t>
            </w:r>
            <w:r>
              <w:rPr>
                <w:rFonts w:hint="eastAsia" w:ascii="仿宋" w:hAnsi="仿宋" w:eastAsia="仿宋" w:cs="仿宋"/>
                <w:sz w:val="24"/>
              </w:rPr>
              <w:t>职业健康安全管理体系认证，具有守合同重信用证书的每个证书得</w:t>
            </w:r>
            <w:r>
              <w:rPr>
                <w:rFonts w:hint="eastAsia" w:ascii="仿宋" w:hAnsi="仿宋" w:eastAsia="仿宋" w:cs="仿宋"/>
                <w:sz w:val="24"/>
                <w:lang w:val="en-US" w:eastAsia="zh-CN"/>
              </w:rPr>
              <w:t>1</w:t>
            </w:r>
            <w:r>
              <w:rPr>
                <w:rFonts w:hint="eastAsia" w:ascii="仿宋" w:hAnsi="仿宋" w:eastAsia="仿宋" w:cs="仿宋"/>
                <w:sz w:val="24"/>
              </w:rPr>
              <w:t>分；</w:t>
            </w:r>
            <w:r>
              <w:rPr>
                <w:rFonts w:hint="eastAsia" w:ascii="仿宋" w:hAnsi="仿宋" w:eastAsia="仿宋" w:cs="仿宋"/>
                <w:sz w:val="24"/>
                <w:lang w:eastAsia="zh-CN"/>
              </w:rPr>
              <w:t>最高得</w:t>
            </w:r>
            <w:r>
              <w:rPr>
                <w:rFonts w:hint="eastAsia" w:ascii="仿宋" w:hAnsi="仿宋" w:eastAsia="仿宋" w:cs="仿宋"/>
                <w:sz w:val="24"/>
                <w:lang w:val="en-US" w:eastAsia="zh-CN"/>
              </w:rPr>
              <w:t>4分</w:t>
            </w:r>
          </w:p>
          <w:p>
            <w:pPr>
              <w:spacing w:line="281" w:lineRule="auto"/>
              <w:jc w:val="left"/>
              <w:rPr>
                <w:rFonts w:hint="eastAsia" w:ascii="仿宋" w:hAnsi="仿宋" w:eastAsia="仿宋" w:cs="仿宋"/>
                <w:sz w:val="24"/>
              </w:rPr>
            </w:pPr>
            <w:r>
              <w:rPr>
                <w:rFonts w:hint="eastAsia" w:ascii="仿宋" w:hAnsi="仿宋" w:eastAsia="仿宋" w:cs="仿宋"/>
                <w:sz w:val="24"/>
              </w:rPr>
              <w:t>投标文件中提供证书复印件加盖公章，否则不得分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5</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项目工作思路及可操作性</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16分</w:t>
            </w:r>
          </w:p>
        </w:tc>
        <w:tc>
          <w:tcPr>
            <w:tcW w:w="6414" w:type="dxa"/>
            <w:noWrap w:val="0"/>
            <w:vAlign w:val="center"/>
          </w:tcPr>
          <w:p>
            <w:pPr>
              <w:spacing w:line="281" w:lineRule="auto"/>
              <w:jc w:val="left"/>
              <w:rPr>
                <w:rFonts w:hint="eastAsia" w:ascii="仿宋" w:hAnsi="仿宋" w:eastAsia="仿宋" w:cs="仿宋"/>
                <w:sz w:val="24"/>
                <w:lang w:eastAsia="zh-CN"/>
              </w:rPr>
            </w:pPr>
            <w:r>
              <w:rPr>
                <w:rFonts w:hint="eastAsia" w:ascii="仿宋" w:hAnsi="仿宋" w:eastAsia="仿宋" w:cs="仿宋"/>
                <w:sz w:val="24"/>
              </w:rPr>
              <w:t>项目工作思路是否清晰、工作重点把握是否明确，技术路线是否科学合理，是否符合项目实际</w:t>
            </w:r>
            <w:r>
              <w:rPr>
                <w:rFonts w:hint="eastAsia" w:ascii="仿宋" w:hAnsi="仿宋" w:eastAsia="仿宋" w:cs="仿宋"/>
                <w:sz w:val="24"/>
                <w:lang w:eastAsia="zh-CN"/>
              </w:rPr>
              <w:t>。（</w:t>
            </w:r>
            <w:r>
              <w:rPr>
                <w:rFonts w:hint="eastAsia" w:ascii="仿宋" w:hAnsi="仿宋" w:eastAsia="仿宋" w:cs="仿宋"/>
                <w:sz w:val="24"/>
                <w:lang w:val="en-US" w:eastAsia="zh-CN"/>
              </w:rPr>
              <w:t>0-16分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6</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服务进度保障</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根据进度控制计划的合理性、符合本项目要求给分</w:t>
            </w:r>
            <w:r>
              <w:rPr>
                <w:rFonts w:hint="eastAsia" w:ascii="仿宋" w:hAnsi="仿宋" w:eastAsia="仿宋" w:cs="仿宋"/>
                <w:sz w:val="24"/>
                <w:lang w:eastAsia="zh-CN"/>
              </w:rPr>
              <w:t>。（</w:t>
            </w:r>
            <w:r>
              <w:rPr>
                <w:rFonts w:hint="eastAsia" w:ascii="仿宋" w:hAnsi="仿宋" w:eastAsia="仿宋" w:cs="仿宋"/>
                <w:sz w:val="24"/>
                <w:lang w:val="en-US" w:eastAsia="zh-CN"/>
              </w:rPr>
              <w:t>0-16分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7</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工作方案</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18分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根据投标人技术响应情况，工作方案内容是否全面、合理，是否符合本项目实际情况和招标文件提出的要求，酌情给分；对项目地概况较为掌握，并在项目地承接过相关测算业务的适当给予高分</w:t>
            </w:r>
            <w:r>
              <w:rPr>
                <w:rFonts w:hint="eastAsia" w:ascii="仿宋" w:hAnsi="仿宋" w:eastAsia="仿宋" w:cs="仿宋"/>
                <w:sz w:val="24"/>
                <w:lang w:eastAsia="zh-CN"/>
              </w:rPr>
              <w:t>。（</w:t>
            </w:r>
            <w:r>
              <w:rPr>
                <w:rFonts w:hint="eastAsia" w:ascii="仿宋" w:hAnsi="仿宋" w:eastAsia="仿宋" w:cs="仿宋"/>
                <w:sz w:val="24"/>
                <w:lang w:val="en-US" w:eastAsia="zh-CN"/>
              </w:rPr>
              <w:t>0-18分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8</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服务质量保障</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15分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质量管理措施良好，项目服务安排合理，对所有投标单位进行</w:t>
            </w:r>
            <w:r>
              <w:rPr>
                <w:rFonts w:hint="eastAsia" w:ascii="仿宋" w:hAnsi="仿宋" w:eastAsia="仿宋" w:cs="仿宋"/>
                <w:sz w:val="24"/>
                <w:lang w:eastAsia="zh-CN"/>
              </w:rPr>
              <w:t>打分。（</w:t>
            </w:r>
            <w:r>
              <w:rPr>
                <w:rFonts w:hint="eastAsia" w:ascii="仿宋" w:hAnsi="仿宋" w:eastAsia="仿宋" w:cs="仿宋"/>
                <w:sz w:val="24"/>
                <w:lang w:val="en-US" w:eastAsia="zh-CN"/>
              </w:rPr>
              <w:t>0-15分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0" w:type="dxa"/>
            <w:vMerge w:val="restart"/>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9</w:t>
            </w:r>
          </w:p>
        </w:tc>
        <w:tc>
          <w:tcPr>
            <w:tcW w:w="1276" w:type="dxa"/>
            <w:vMerge w:val="restart"/>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后续服务承诺及安排</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4分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根据后续服务承诺及安排全面、合理，横向比较</w:t>
            </w:r>
            <w:r>
              <w:rPr>
                <w:rFonts w:hint="eastAsia" w:ascii="仿宋" w:hAnsi="仿宋" w:eastAsia="仿宋" w:cs="仿宋"/>
                <w:sz w:val="24"/>
                <w:lang w:eastAsia="zh-CN"/>
              </w:rPr>
              <w:t>。（</w:t>
            </w:r>
            <w:r>
              <w:rPr>
                <w:rFonts w:hint="eastAsia" w:ascii="仿宋" w:hAnsi="仿宋" w:eastAsia="仿宋" w:cs="仿宋"/>
                <w:sz w:val="24"/>
                <w:lang w:val="en-US" w:eastAsia="zh-CN"/>
              </w:rPr>
              <w:t>0-4分</w:t>
            </w:r>
            <w:r>
              <w:rPr>
                <w:rFonts w:hint="eastAsia" w:ascii="仿宋" w:hAnsi="仿宋" w:eastAsia="仿宋" w:cs="仿宋"/>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10" w:type="dxa"/>
            <w:vMerge w:val="continue"/>
            <w:noWrap w:val="0"/>
            <w:vAlign w:val="center"/>
          </w:tcPr>
          <w:p>
            <w:pPr>
              <w:spacing w:line="281" w:lineRule="auto"/>
              <w:jc w:val="left"/>
              <w:rPr>
                <w:rFonts w:hint="eastAsia" w:ascii="仿宋" w:hAnsi="仿宋" w:eastAsia="仿宋" w:cs="仿宋"/>
                <w:sz w:val="24"/>
              </w:rPr>
            </w:pPr>
          </w:p>
        </w:tc>
        <w:tc>
          <w:tcPr>
            <w:tcW w:w="1276" w:type="dxa"/>
            <w:vMerge w:val="continue"/>
            <w:noWrap w:val="0"/>
            <w:vAlign w:val="center"/>
          </w:tcPr>
          <w:p>
            <w:pPr>
              <w:spacing w:line="281" w:lineRule="auto"/>
              <w:jc w:val="left"/>
              <w:rPr>
                <w:rFonts w:hint="eastAsia" w:ascii="仿宋" w:hAnsi="仿宋" w:eastAsia="仿宋" w:cs="仿宋"/>
                <w:sz w:val="24"/>
              </w:rPr>
            </w:pP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3分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投标人承诺项目负责人带队至少三人以上常驻绍兴市区至项目报批，向委托方进行中间汇报和讨论每周不得少于1次，得3分，不提供不得分。提供相应的承诺函并加盖公章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10</w:t>
            </w:r>
          </w:p>
        </w:tc>
        <w:tc>
          <w:tcPr>
            <w:tcW w:w="1276"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服务响应</w:t>
            </w:r>
          </w:p>
        </w:tc>
        <w:tc>
          <w:tcPr>
            <w:tcW w:w="940"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5分</w:t>
            </w:r>
          </w:p>
        </w:tc>
        <w:tc>
          <w:tcPr>
            <w:tcW w:w="6414" w:type="dxa"/>
            <w:noWrap w:val="0"/>
            <w:vAlign w:val="center"/>
          </w:tcPr>
          <w:p>
            <w:pPr>
              <w:spacing w:line="281" w:lineRule="auto"/>
              <w:jc w:val="left"/>
              <w:rPr>
                <w:rFonts w:hint="eastAsia" w:ascii="仿宋" w:hAnsi="仿宋" w:eastAsia="仿宋" w:cs="仿宋"/>
                <w:sz w:val="24"/>
              </w:rPr>
            </w:pPr>
            <w:r>
              <w:rPr>
                <w:rFonts w:hint="eastAsia" w:ascii="仿宋" w:hAnsi="仿宋" w:eastAsia="仿宋" w:cs="仿宋"/>
                <w:sz w:val="24"/>
              </w:rPr>
              <w:t>投标人能提供快速的服务响应，20分钟（含）以内得5分，20分钟-50分钟（含）得2分，50分钟以上得1分，未承诺的不得分（将按实际情况判断打分）。提供相应的承诺函并加盖公章</w:t>
            </w:r>
          </w:p>
        </w:tc>
      </w:tr>
    </w:tbl>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b w:val="0"/>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autoSpaceDE/>
        <w:autoSpaceDN/>
        <w:snapToGrid w:val="0"/>
        <w:spacing w:line="288" w:lineRule="auto"/>
        <w:ind w:firstLine="720" w:firstLineChars="300"/>
        <w:rPr>
          <w:rFonts w:hint="eastAsia" w:ascii="仿宋" w:hAnsi="仿宋" w:eastAsia="仿宋" w:cs="仿宋"/>
          <w:color w:val="auto"/>
          <w:sz w:val="24"/>
          <w:highlight w:val="none"/>
        </w:rPr>
      </w:pPr>
      <w:r>
        <w:rPr>
          <w:rFonts w:hint="eastAsia" w:ascii="仿宋" w:hAnsi="仿宋" w:eastAsia="仿宋" w:cs="仿宋"/>
          <w:b w:val="0"/>
          <w:color w:val="auto"/>
          <w:sz w:val="24"/>
          <w:highlight w:val="none"/>
        </w:rPr>
        <w:t>2、</w:t>
      </w: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pPr>
        <w:keepNext w:val="0"/>
        <w:keepLines w:val="0"/>
        <w:pageBreakBefore w:val="0"/>
        <w:kinsoku/>
        <w:wordWrap/>
        <w:overflowPunct/>
        <w:topLinePunct w:val="0"/>
        <w:autoSpaceDE/>
        <w:autoSpaceDN/>
        <w:bidi w:val="0"/>
        <w:adjustRightInd w:val="0"/>
        <w:spacing w:line="288" w:lineRule="auto"/>
        <w:ind w:firstLine="720" w:firstLineChars="300"/>
        <w:textAlignment w:val="auto"/>
        <w:rPr>
          <w:rFonts w:hint="eastAsia" w:ascii="仿宋" w:hAnsi="仿宋" w:eastAsia="仿宋" w:cs="仿宋"/>
          <w:b w:val="0"/>
          <w:bCs w:val="0"/>
          <w:iCs w:val="0"/>
          <w:color w:val="auto"/>
          <w:sz w:val="24"/>
          <w:highlight w:val="none"/>
        </w:rPr>
      </w:pPr>
      <w:r>
        <w:rPr>
          <w:rFonts w:hint="eastAsia" w:ascii="仿宋" w:hAnsi="仿宋" w:eastAsia="仿宋" w:cs="仿宋"/>
          <w:b w:val="0"/>
          <w:color w:val="auto"/>
          <w:sz w:val="24"/>
          <w:highlight w:val="none"/>
        </w:rPr>
        <w:t>3、</w:t>
      </w:r>
      <w:r>
        <w:rPr>
          <w:rFonts w:hint="eastAsia" w:ascii="仿宋" w:hAnsi="仿宋" w:eastAsia="仿宋" w:cs="仿宋"/>
          <w:color w:val="auto"/>
          <w:sz w:val="24"/>
          <w:highlight w:val="none"/>
        </w:rPr>
        <w:t>所有的证书必须在有效期内，不在有效期内的不得分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10 </w:t>
      </w:r>
      <w:r>
        <w:rPr>
          <w:rFonts w:hint="eastAsia" w:ascii="仿宋" w:hAnsi="仿宋" w:eastAsia="仿宋" w:cs="仿宋"/>
          <w:b/>
          <w:bCs/>
          <w:iCs/>
          <w:sz w:val="24"/>
        </w:rPr>
        <w:t>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widowControl/>
        <w:kinsoku/>
        <w:wordWrap/>
        <w:overflowPunct/>
        <w:topLinePunct w:val="0"/>
        <w:autoSpaceDE/>
        <w:autoSpaceDN/>
        <w:bidi w:val="0"/>
        <w:adjustRightInd w:val="0"/>
        <w:spacing w:line="288" w:lineRule="auto"/>
        <w:ind w:firstLine="0" w:firstLineChars="0"/>
        <w:jc w:val="lef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10 </w:t>
      </w: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1</w:t>
      </w:r>
      <w:r>
        <w:rPr>
          <w:rFonts w:hint="eastAsia" w:ascii="仿宋" w:eastAsia="仿宋" w:cs="仿宋"/>
          <w:color w:val="auto"/>
          <w:lang w:eastAsia="zh-CN"/>
        </w:rPr>
        <w:t>）</w:t>
      </w:r>
      <w:r>
        <w:rPr>
          <w:rFonts w:hint="eastAsia" w:ascii="仿宋" w:hAnsi="仿宋" w:eastAsia="仿宋" w:cs="仿宋"/>
          <w:color w:val="auto"/>
          <w:lang w:eastAsia="zh-CN"/>
        </w:rPr>
        <w:t>投标函</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2</w:t>
      </w:r>
      <w:r>
        <w:rPr>
          <w:rFonts w:hint="eastAsia" w:ascii="仿宋" w:eastAsia="仿宋" w:cs="仿宋"/>
          <w:color w:val="auto"/>
          <w:lang w:eastAsia="zh-CN"/>
        </w:rPr>
        <w:t>）</w:t>
      </w:r>
      <w:r>
        <w:rPr>
          <w:rFonts w:hint="eastAsia" w:ascii="仿宋" w:hAnsi="仿宋" w:eastAsia="仿宋" w:cs="仿宋"/>
          <w:color w:val="auto"/>
        </w:rPr>
        <w:t>法定代表人授权书……………………………………………………………（页码）</w:t>
      </w:r>
    </w:p>
    <w:p>
      <w:pPr>
        <w:pStyle w:val="905"/>
        <w:numPr>
          <w:ilvl w:val="0"/>
          <w:numId w:val="0"/>
        </w:numPr>
        <w:spacing w:line="336" w:lineRule="auto"/>
        <w:ind w:leftChars="0"/>
        <w:jc w:val="both"/>
        <w:rPr>
          <w:rFonts w:hint="eastAsia" w:ascii="仿宋" w:hAnsi="仿宋" w:eastAsia="仿宋" w:cs="仿宋"/>
          <w:color w:val="auto"/>
          <w:lang w:val="en-US" w:eastAsia="zh-CN"/>
        </w:rPr>
      </w:pPr>
      <w:r>
        <w:rPr>
          <w:rFonts w:hint="eastAsia" w:ascii="仿宋" w:eastAsia="仿宋" w:cs="仿宋"/>
          <w:color w:val="auto"/>
          <w:lang w:val="en-US" w:eastAsia="zh-CN"/>
        </w:rPr>
        <w:t>（3）</w:t>
      </w:r>
      <w:r>
        <w:rPr>
          <w:rFonts w:hint="eastAsia" w:ascii="仿宋" w:hAnsi="仿宋" w:eastAsia="仿宋" w:cs="仿宋"/>
          <w:color w:val="auto"/>
          <w:lang w:val="en-US" w:eastAsia="zh-CN"/>
        </w:rPr>
        <w:t>授权代表社保证明</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4</w:t>
      </w:r>
      <w:r>
        <w:rPr>
          <w:rFonts w:hint="eastAsia" w:ascii="仿宋" w:eastAsia="仿宋" w:cs="仿宋"/>
          <w:color w:val="auto"/>
          <w:lang w:eastAsia="zh-CN"/>
        </w:rPr>
        <w:t>）</w:t>
      </w:r>
      <w:r>
        <w:rPr>
          <w:rFonts w:hint="eastAsia" w:ascii="仿宋" w:hAnsi="仿宋" w:eastAsia="仿宋" w:cs="仿宋"/>
          <w:color w:val="auto"/>
        </w:rPr>
        <w:t>法定代表人及其授权代表身份证复印件（复印件）………………………（页码）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5</w:t>
      </w:r>
      <w:r>
        <w:rPr>
          <w:rFonts w:hint="eastAsia" w:ascii="仿宋" w:eastAsia="仿宋" w:cs="仿宋"/>
          <w:color w:val="auto"/>
          <w:lang w:eastAsia="zh-CN"/>
        </w:rPr>
        <w:t>）</w:t>
      </w:r>
      <w:r>
        <w:rPr>
          <w:rFonts w:hint="eastAsia" w:ascii="仿宋" w:hAnsi="仿宋" w:eastAsia="仿宋" w:cs="仿宋"/>
          <w:color w:val="auto"/>
        </w:rPr>
        <w:t>法定代表人身份证明书………………………………………………………（页码）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eastAsia="zh-CN"/>
        </w:rPr>
        <w:t>（</w:t>
      </w:r>
      <w:r>
        <w:rPr>
          <w:rFonts w:hint="eastAsia" w:ascii="仿宋" w:eastAsia="仿宋" w:cs="仿宋"/>
          <w:color w:val="auto"/>
          <w:lang w:val="en-US" w:eastAsia="zh-CN"/>
        </w:rPr>
        <w:t>6</w:t>
      </w:r>
      <w:r>
        <w:rPr>
          <w:rFonts w:hint="eastAsia" w:ascii="仿宋" w:eastAsia="仿宋" w:cs="仿宋"/>
          <w:color w:val="auto"/>
          <w:lang w:eastAsia="zh-CN"/>
        </w:rPr>
        <w:t>）</w:t>
      </w:r>
      <w:r>
        <w:rPr>
          <w:rFonts w:hint="eastAsia" w:ascii="仿宋" w:hAnsi="仿宋" w:eastAsia="仿宋" w:cs="仿宋"/>
          <w:color w:val="auto"/>
        </w:rPr>
        <w:t>商务技术</w:t>
      </w:r>
      <w:r>
        <w:rPr>
          <w:rFonts w:hint="eastAsia" w:ascii="仿宋" w:hAnsi="仿宋" w:eastAsia="仿宋" w:cs="仿宋"/>
          <w:color w:val="auto"/>
          <w:lang w:eastAsia="zh-CN"/>
        </w:rPr>
        <w:t>偏离表</w:t>
      </w:r>
      <w:r>
        <w:rPr>
          <w:rFonts w:hint="eastAsia" w:ascii="仿宋" w:hAnsi="仿宋" w:eastAsia="仿宋" w:cs="仿宋"/>
          <w:color w:val="auto"/>
        </w:rPr>
        <w:t>………………………………………………………………（页码）</w:t>
      </w:r>
    </w:p>
    <w:p>
      <w:pPr>
        <w:pStyle w:val="905"/>
        <w:numPr>
          <w:ilvl w:val="0"/>
          <w:numId w:val="0"/>
        </w:numPr>
        <w:spacing w:line="336" w:lineRule="auto"/>
        <w:ind w:leftChars="0"/>
        <w:jc w:val="both"/>
        <w:rPr>
          <w:rFonts w:hint="eastAsia" w:ascii="仿宋" w:hAnsi="仿宋" w:eastAsia="仿宋" w:cs="仿宋"/>
          <w:color w:val="auto"/>
        </w:rPr>
      </w:pPr>
      <w:r>
        <w:rPr>
          <w:rFonts w:hint="eastAsia" w:ascii="仿宋" w:eastAsia="仿宋" w:cs="仿宋"/>
          <w:color w:val="auto"/>
          <w:lang w:val="zh-CN"/>
        </w:rPr>
        <w:t>（</w:t>
      </w:r>
      <w:r>
        <w:rPr>
          <w:rFonts w:hint="eastAsia" w:ascii="仿宋" w:eastAsia="仿宋" w:cs="仿宋"/>
          <w:color w:val="auto"/>
          <w:lang w:val="en-US" w:eastAsia="zh-CN"/>
        </w:rPr>
        <w:t>7</w:t>
      </w:r>
      <w:r>
        <w:rPr>
          <w:rFonts w:hint="eastAsia" w:ascii="仿宋" w:eastAsia="仿宋" w:cs="仿宋"/>
          <w:color w:val="auto"/>
          <w:lang w:val="zh-CN"/>
        </w:rPr>
        <w:t>）</w:t>
      </w:r>
      <w:r>
        <w:rPr>
          <w:rFonts w:hint="eastAsia" w:ascii="仿宋" w:hAnsi="仿宋" w:eastAsia="仿宋" w:cs="仿宋"/>
          <w:color w:val="auto"/>
          <w:lang w:val="zh-CN"/>
        </w:rPr>
        <w:t>政府采购供应商廉洁自律承诺书</w:t>
      </w:r>
      <w:r>
        <w:rPr>
          <w:rFonts w:hint="eastAsia" w:ascii="仿宋" w:hAnsi="仿宋" w:eastAsia="仿宋" w:cs="仿宋"/>
          <w:color w:val="auto"/>
        </w:rPr>
        <w:t>……………………………………………（页码）</w:t>
      </w:r>
    </w:p>
    <w:p>
      <w:pPr>
        <w:adjustRightInd w:val="0"/>
        <w:spacing w:line="360" w:lineRule="auto"/>
        <w:ind w:right="-510" w:rightChars="-243"/>
        <w:jc w:val="both"/>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8</w:t>
      </w:r>
      <w:r>
        <w:rPr>
          <w:rFonts w:hint="eastAsia" w:ascii="仿宋" w:hAnsi="仿宋" w:eastAsia="仿宋" w:cs="仿宋"/>
          <w:color w:val="auto"/>
          <w:sz w:val="24"/>
        </w:rPr>
        <w:t>）</w:t>
      </w:r>
      <w:r>
        <w:rPr>
          <w:rFonts w:hint="eastAsia" w:ascii="仿宋" w:hAnsi="仿宋" w:eastAsia="仿宋" w:cs="仿宋"/>
          <w:color w:val="auto"/>
          <w:sz w:val="24"/>
          <w:lang w:val="zh-CN"/>
        </w:rPr>
        <w:t>主要业绩证明……………………</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2"/>
          <w:sz w:val="24"/>
          <w:szCs w:val="24"/>
          <w:lang w:val="zh-CN" w:eastAsia="zh-CN" w:bidi="ar-SA"/>
        </w:rPr>
        <w:t>…</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sz w:val="24"/>
        </w:rPr>
        <w:t>（页码）</w:t>
      </w:r>
    </w:p>
    <w:p>
      <w:pPr>
        <w:spacing w:line="360" w:lineRule="auto"/>
        <w:ind w:right="-510" w:rightChars="-243"/>
        <w:jc w:val="both"/>
        <w:outlineLvl w:val="0"/>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9</w:t>
      </w:r>
      <w:r>
        <w:rPr>
          <w:rFonts w:hint="eastAsia" w:ascii="仿宋" w:hAnsi="仿宋" w:eastAsia="仿宋" w:cs="仿宋"/>
          <w:color w:val="auto"/>
          <w:kern w:val="0"/>
          <w:sz w:val="24"/>
        </w:rPr>
        <w:t>）技术解决方案………………………</w:t>
      </w:r>
      <w:r>
        <w:rPr>
          <w:rFonts w:hint="eastAsia" w:ascii="仿宋" w:hAnsi="仿宋" w:eastAsia="仿宋" w:cs="仿宋"/>
          <w:color w:val="auto"/>
          <w:kern w:val="2"/>
          <w:sz w:val="24"/>
          <w:szCs w:val="24"/>
          <w:lang w:val="en-US" w:eastAsia="zh-CN" w:bidi="ar-SA"/>
        </w:rPr>
        <w:t>…………………………………………</w:t>
      </w:r>
      <w:r>
        <w:rPr>
          <w:rFonts w:hint="eastAsia" w:ascii="仿宋" w:hAnsi="仿宋" w:eastAsia="仿宋" w:cs="仿宋"/>
          <w:color w:val="auto"/>
          <w:kern w:val="0"/>
          <w:sz w:val="24"/>
        </w:rPr>
        <w:t>（页码）</w:t>
      </w:r>
    </w:p>
    <w:p>
      <w:pPr>
        <w:spacing w:line="360" w:lineRule="auto"/>
        <w:ind w:right="-510" w:rightChars="-243"/>
        <w:jc w:val="both"/>
        <w:outlineLvl w:val="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）售后服务方案…………………………………………………………………（页码）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供应商售后服务证明材料……………………………………………………（页码）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13</w:t>
      </w:r>
      <w:r>
        <w:rPr>
          <w:rFonts w:hint="eastAsia" w:ascii="仿宋" w:hAnsi="仿宋" w:eastAsia="仿宋" w:cs="仿宋"/>
          <w:color w:val="auto"/>
          <w:kern w:val="0"/>
          <w:sz w:val="24"/>
        </w:rPr>
        <w:t>）项目小组人员名单……………………………………………………………（页码）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14</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16</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培训计划………………………………………………………</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17</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验收方案…………………………………………………………</w:t>
      </w:r>
      <w:r>
        <w:rPr>
          <w:rFonts w:hint="eastAsia" w:ascii="仿宋" w:hAnsi="仿宋" w:eastAsia="仿宋" w:cs="仿宋"/>
          <w:color w:val="auto"/>
          <w:kern w:val="0"/>
          <w:sz w:val="24"/>
        </w:rPr>
        <w:t>……………（页码）</w:t>
      </w:r>
    </w:p>
    <w:p>
      <w:pPr>
        <w:spacing w:line="360" w:lineRule="auto"/>
        <w:ind w:right="-510" w:rightChars="-243"/>
        <w:jc w:val="both"/>
        <w:rPr>
          <w:rFonts w:hint="eastAsia" w:ascii="仿宋" w:hAnsi="仿宋" w:eastAsia="仿宋" w:cs="仿宋"/>
          <w:color w:val="auto"/>
          <w:kern w:val="0"/>
          <w:sz w:val="24"/>
        </w:rPr>
      </w:pPr>
      <w:r>
        <w:rPr>
          <w:rFonts w:hint="eastAsia" w:ascii="仿宋" w:hAnsi="仿宋" w:eastAsia="仿宋" w:cs="仿宋"/>
          <w:color w:val="auto"/>
          <w:kern w:val="0"/>
          <w:sz w:val="24"/>
        </w:rPr>
        <w:t>（</w:t>
      </w:r>
      <w:r>
        <w:rPr>
          <w:rFonts w:hint="eastAsia" w:ascii="仿宋" w:hAnsi="仿宋" w:eastAsia="仿宋" w:cs="仿宋"/>
          <w:color w:val="auto"/>
          <w:kern w:val="0"/>
          <w:sz w:val="24"/>
          <w:lang w:val="en-US" w:eastAsia="zh-CN"/>
        </w:rPr>
        <w:t>18</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keepNext w:val="0"/>
        <w:keepLines w:val="0"/>
        <w:pageBreakBefore w:val="0"/>
        <w:kinsoku/>
        <w:wordWrap/>
        <w:overflowPunct/>
        <w:topLinePunct w:val="0"/>
        <w:autoSpaceDE/>
        <w:autoSpaceDN/>
        <w:bidi w:val="0"/>
        <w:snapToGrid w:val="0"/>
        <w:spacing w:line="312" w:lineRule="auto"/>
        <w:jc w:val="center"/>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keepNext w:val="0"/>
        <w:keepLines w:val="0"/>
        <w:pageBreakBefore w:val="0"/>
        <w:kinsoku/>
        <w:wordWrap/>
        <w:overflowPunct/>
        <w:topLinePunct w:val="0"/>
        <w:autoSpaceDE/>
        <w:autoSpaceDN/>
        <w:bidi w:val="0"/>
        <w:spacing w:after="0" w:line="312"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w:t>
      </w:r>
      <w:r>
        <w:rPr>
          <w:rFonts w:hint="eastAsia" w:ascii="仿宋" w:hAnsi="仿宋" w:eastAsia="仿宋" w:cs="仿宋"/>
          <w:sz w:val="24"/>
          <w:szCs w:val="24"/>
        </w:rPr>
        <w:t>号：</w:t>
      </w:r>
    </w:p>
    <w:p>
      <w:pPr>
        <w:pStyle w:val="397"/>
        <w:keepNext w:val="0"/>
        <w:keepLines w:val="0"/>
        <w:pageBreakBefore w:val="0"/>
        <w:kinsoku/>
        <w:wordWrap/>
        <w:overflowPunct/>
        <w:topLinePunct w:val="0"/>
        <w:autoSpaceDE/>
        <w:autoSpaceDN/>
        <w:bidi w:val="0"/>
        <w:spacing w:after="0" w:line="312"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jc w:val="left"/>
        <w:rPr>
          <w:rFonts w:hint="eastAsia" w:ascii="仿宋" w:hAnsi="仿宋" w:eastAsia="仿宋" w:cs="仿宋"/>
          <w:b/>
          <w:sz w:val="30"/>
          <w:szCs w:val="30"/>
          <w:lang w:eastAsia="zh-CN"/>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both"/>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lang w:val="en-US" w:eastAsia="zh-CN"/>
        </w:rPr>
      </w:pPr>
    </w:p>
    <w:p>
      <w:pPr>
        <w:spacing w:line="800" w:lineRule="exact"/>
        <w:jc w:val="both"/>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lang w:val="en-US"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both"/>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val="en-US" w:eastAsia="zh-CN"/>
        </w:rPr>
      </w:pPr>
    </w:p>
    <w:p>
      <w:pPr>
        <w:jc w:val="center"/>
        <w:rPr>
          <w:rFonts w:hint="eastAsia" w:ascii="仿宋" w:hAnsi="仿宋" w:eastAsia="仿宋" w:cs="仿宋"/>
          <w:b/>
          <w:kern w:val="0"/>
          <w:sz w:val="32"/>
          <w:szCs w:val="32"/>
          <w:lang w:val="en-US" w:eastAsia="zh-CN"/>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bCs/>
          <w:sz w:val="32"/>
          <w:szCs w:val="32"/>
          <w:lang w:val="en-US" w:eastAsia="zh-CN"/>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81"/>
        <w:jc w:val="center"/>
        <w:rPr>
          <w:rFonts w:hint="eastAsia" w:ascii="仿宋" w:hAnsi="仿宋" w:eastAsia="仿宋" w:cs="仿宋"/>
          <w:b/>
          <w:bCs/>
          <w:sz w:val="24"/>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sz w:val="32"/>
          <w:szCs w:val="32"/>
          <w:lang w:val="en-US"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649"/>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lang w:val="zh-CN"/>
        </w:rPr>
        <w:t>、组织实施方案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kern w:val="0"/>
          <w:sz w:val="24"/>
        </w:rPr>
      </w:pPr>
    </w:p>
    <w:p>
      <w:pPr>
        <w:spacing w:line="360" w:lineRule="auto"/>
        <w:jc w:val="center"/>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sz w:val="30"/>
          <w:szCs w:val="30"/>
          <w:lang w:eastAsia="zh-CN"/>
        </w:rPr>
      </w:pPr>
    </w:p>
    <w:p>
      <w:pPr>
        <w:spacing w:line="360" w:lineRule="auto"/>
        <w:jc w:val="center"/>
        <w:rPr>
          <w:rFonts w:hint="eastAsia" w:ascii="仿宋" w:hAnsi="仿宋" w:eastAsia="仿宋" w:cs="仿宋"/>
          <w:b/>
          <w:sz w:val="30"/>
          <w:szCs w:val="30"/>
          <w:lang w:eastAsia="zh-CN"/>
        </w:rPr>
      </w:pPr>
    </w:p>
    <w:p>
      <w:pPr>
        <w:pStyle w:val="81"/>
        <w:rPr>
          <w:rFonts w:hint="eastAsia" w:ascii="仿宋" w:hAnsi="仿宋" w:eastAsia="仿宋" w:cs="仿宋"/>
          <w:lang w:eastAsia="zh-CN"/>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w:t>
      </w:r>
      <w:r>
        <w:rPr>
          <w:rFonts w:hint="eastAsia" w:ascii="仿宋" w:hAnsi="仿宋" w:eastAsia="仿宋" w:cs="仿宋"/>
          <w:b/>
          <w:sz w:val="30"/>
          <w:szCs w:val="30"/>
          <w:lang w:val="en-US" w:eastAsia="zh-CN"/>
        </w:rPr>
        <w:t>二</w:t>
      </w:r>
      <w:r>
        <w:rPr>
          <w:rFonts w:hint="eastAsia" w:ascii="仿宋" w:hAnsi="仿宋" w:eastAsia="仿宋" w:cs="仿宋"/>
          <w:b/>
          <w:sz w:val="30"/>
          <w:szCs w:val="30"/>
        </w:rPr>
        <w:t>、</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根据采购需求及磋商文件要求编制）</w:t>
      </w:r>
    </w:p>
    <w:p>
      <w:pPr>
        <w:spacing w:line="336" w:lineRule="auto"/>
        <w:ind w:firstLine="3600" w:firstLineChars="1500"/>
        <w:rPr>
          <w:rFonts w:hint="eastAsia" w:ascii="仿宋" w:hAnsi="仿宋" w:eastAsia="仿宋" w:cs="仿宋"/>
          <w:sz w:val="24"/>
        </w:rPr>
      </w:pPr>
    </w:p>
    <w:p>
      <w:pPr>
        <w:pStyle w:val="81"/>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1"/>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pacing w:line="336" w:lineRule="auto"/>
        <w:jc w:val="center"/>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jc w:val="both"/>
        <w:rPr>
          <w:rFonts w:hint="eastAsia" w:ascii="仿宋" w:hAnsi="仿宋" w:eastAsia="仿宋" w:cs="仿宋"/>
          <w:b/>
          <w:bCs/>
          <w:sz w:val="32"/>
          <w:szCs w:val="32"/>
          <w:lang w:eastAsia="zh-CN"/>
        </w:rPr>
      </w:pP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18"/>
          <w:szCs w:val="18"/>
        </w:rPr>
      </w:pPr>
    </w:p>
    <w:p>
      <w:pPr>
        <w:pStyle w:val="81"/>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both"/>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、验收方案</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jc w:val="center"/>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pPr>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pPr>
        <w:pStyle w:val="82"/>
        <w:rPr>
          <w:rFonts w:hint="eastAsia" w:ascii="仿宋" w:hAnsi="仿宋" w:eastAsia="仿宋" w:cs="仿宋"/>
        </w:rPr>
        <w:sectPr>
          <w:headerReference r:id="rId8" w:type="first"/>
          <w:footerReference r:id="rId10" w:type="first"/>
          <w:headerReference r:id="rId7" w:type="default"/>
          <w:footerReference r:id="rId9" w:type="default"/>
          <w:pgSz w:w="11906" w:h="16838"/>
          <w:pgMar w:top="1134" w:right="1417" w:bottom="1134" w:left="1417"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4"/>
        <w:numPr>
          <w:ilvl w:val="0"/>
          <w:numId w:val="0"/>
        </w:numPr>
        <w:snapToGrid w:val="0"/>
        <w:spacing w:line="360" w:lineRule="auto"/>
        <w:rPr>
          <w:rFonts w:hint="eastAsia" w:ascii="仿宋" w:hAnsi="仿宋" w:eastAsia="仿宋" w:cs="仿宋"/>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sz w:val="24"/>
        </w:rPr>
      </w:pPr>
    </w:p>
    <w:p>
      <w:pPr>
        <w:pStyle w:val="82"/>
        <w:rPr>
          <w:rFonts w:hint="eastAsia" w:ascii="仿宋" w:hAnsi="仿宋" w:eastAsia="仿宋" w:cs="仿宋"/>
          <w:b/>
          <w:color w:val="auto"/>
          <w:sz w:val="24"/>
        </w:rPr>
      </w:pPr>
    </w:p>
    <w:p>
      <w:pPr>
        <w:rPr>
          <w:rFonts w:hint="eastAsia" w:ascii="仿宋" w:hAnsi="仿宋" w:eastAsia="仿宋" w:cs="仿宋"/>
          <w:b/>
          <w:color w:val="auto"/>
          <w:sz w:val="24"/>
        </w:rPr>
      </w:pPr>
    </w:p>
    <w:p>
      <w:pPr>
        <w:pStyle w:val="81"/>
        <w:rPr>
          <w:rFonts w:hint="eastAsia" w:ascii="仿宋" w:hAnsi="仿宋" w:eastAsia="仿宋" w:cs="仿宋"/>
          <w:b/>
          <w:color w:val="auto"/>
          <w:sz w:val="24"/>
        </w:rPr>
      </w:pPr>
    </w:p>
    <w:p>
      <w:pPr>
        <w:pStyle w:val="82"/>
        <w:rPr>
          <w:rFonts w:hint="eastAsia" w:ascii="仿宋" w:hAnsi="仿宋" w:eastAsia="仿宋" w:cs="仿宋"/>
          <w:b/>
          <w:color w:val="auto"/>
          <w:sz w:val="24"/>
        </w:rPr>
      </w:pPr>
    </w:p>
    <w:p>
      <w:pPr>
        <w:rPr>
          <w:rFonts w:hint="eastAsia" w:ascii="仿宋" w:hAnsi="仿宋" w:eastAsia="仿宋" w:cs="仿宋"/>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both"/>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both"/>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spacing w:val="6"/>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3"/>
      <w:bookmarkStart w:id="162" w:name="OLE_LINK14"/>
      <w:r>
        <w:rPr>
          <w:rFonts w:hint="eastAsia" w:ascii="仿宋" w:hAnsi="仿宋" w:eastAsia="仿宋" w:cs="仿宋"/>
          <w:b/>
          <w:spacing w:val="6"/>
          <w:sz w:val="32"/>
          <w:szCs w:val="32"/>
        </w:rPr>
        <w:t>残疾人福利性单位声明函</w:t>
      </w:r>
    </w:p>
    <w:bookmarkEnd w:id="161"/>
    <w:bookmarkEnd w:id="162"/>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4"/>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lang w:val="en-US" w:eastAsia="zh-CN"/>
        </w:rPr>
      </w:pPr>
      <w:r>
        <w:rPr>
          <w:rFonts w:hint="eastAsia" w:ascii="仿宋" w:hAnsi="仿宋" w:eastAsia="仿宋" w:cs="仿宋"/>
          <w:kern w:val="0"/>
          <w:szCs w:val="21"/>
        </w:rPr>
        <w:t>2017年12月28日</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134" w:right="1417" w:bottom="1134" w:left="141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AmdtSymbols"/>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AmdtSymbols">
    <w:panose1 w:val="020005000000000200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3"/>
      </w:rPr>
    </w:pPr>
    <w:r>
      <w:fldChar w:fldCharType="begin"/>
    </w:r>
    <w:r>
      <w:rPr>
        <w:rStyle w:val="73"/>
      </w:rPr>
      <w:instrText xml:space="preserve">PAGE  </w:instrText>
    </w:r>
    <w:r>
      <w:fldChar w:fldCharType="end"/>
    </w:r>
  </w:p>
  <w:p>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9"/>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default"/>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4-03010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 w:hAnsi="仿宋" w:eastAsia="仿宋" w:cs="仿宋"/>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 xml:space="preserve">03010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default"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4-03010</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eastAsia="仿宋"/>
        <w:lang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ascii="仿宋_GB2312" w:eastAsia="仿宋"/>
        <w:b w:val="0"/>
        <w:i/>
        <w:sz w:val="18"/>
        <w:u w:val="single"/>
        <w:lang w:val="en-US" w:eastAsia="zh-CN"/>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YH2023-11034</w:t>
    </w:r>
  </w:p>
  <w:p>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00000A"/>
    <w:multiLevelType w:val="multilevel"/>
    <w:tmpl w:val="0000000A"/>
    <w:lvl w:ilvl="0" w:tentative="0">
      <w:start w:val="1"/>
      <w:numFmt w:val="decimal"/>
      <w:pStyle w:val="966"/>
      <w:lvlText w:val="%1."/>
      <w:lvlJc w:val="left"/>
      <w:pPr>
        <w:tabs>
          <w:tab w:val="left" w:pos="1200"/>
        </w:tabs>
        <w:ind w:left="1200" w:hanging="360"/>
      </w:p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
    <w:nsid w:val="47FC052C"/>
    <w:multiLevelType w:val="singleLevel"/>
    <w:tmpl w:val="47FC052C"/>
    <w:lvl w:ilvl="0" w:tentative="0">
      <w:start w:val="1"/>
      <w:numFmt w:val="decimal"/>
      <w:lvlText w:val="(%1)"/>
      <w:lvlJc w:val="left"/>
      <w:pPr>
        <w:tabs>
          <w:tab w:val="left" w:pos="312"/>
        </w:tabs>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2ZmNjN2Y0NDZjYTFlM2U5Yzg3YTQxM2ZlMjRjMzMifQ=="/>
  </w:docVars>
  <w:rsids>
    <w:rsidRoot w:val="00172A27"/>
    <w:rsid w:val="01D202BF"/>
    <w:rsid w:val="034D0AB5"/>
    <w:rsid w:val="037F4049"/>
    <w:rsid w:val="03ED56BE"/>
    <w:rsid w:val="04323725"/>
    <w:rsid w:val="0687794E"/>
    <w:rsid w:val="0832086E"/>
    <w:rsid w:val="095C271E"/>
    <w:rsid w:val="0A415C80"/>
    <w:rsid w:val="0C09226A"/>
    <w:rsid w:val="0E511C4A"/>
    <w:rsid w:val="0E525E13"/>
    <w:rsid w:val="0F096B8F"/>
    <w:rsid w:val="0F63063F"/>
    <w:rsid w:val="103547A6"/>
    <w:rsid w:val="117F0F32"/>
    <w:rsid w:val="11B61FD4"/>
    <w:rsid w:val="15D83ACA"/>
    <w:rsid w:val="17456831"/>
    <w:rsid w:val="182D2DF3"/>
    <w:rsid w:val="18E60774"/>
    <w:rsid w:val="1A5A59EA"/>
    <w:rsid w:val="1CE62159"/>
    <w:rsid w:val="1D28626C"/>
    <w:rsid w:val="1D2F1C3B"/>
    <w:rsid w:val="1DAB733F"/>
    <w:rsid w:val="1E734496"/>
    <w:rsid w:val="20951F09"/>
    <w:rsid w:val="21C535CA"/>
    <w:rsid w:val="27B76947"/>
    <w:rsid w:val="27F55F1B"/>
    <w:rsid w:val="29844431"/>
    <w:rsid w:val="2BA351CF"/>
    <w:rsid w:val="2CC264EC"/>
    <w:rsid w:val="2CD00D1F"/>
    <w:rsid w:val="2DB46486"/>
    <w:rsid w:val="2DF358B2"/>
    <w:rsid w:val="30CD01D9"/>
    <w:rsid w:val="310C7E24"/>
    <w:rsid w:val="317768DA"/>
    <w:rsid w:val="326C0B10"/>
    <w:rsid w:val="36C9790D"/>
    <w:rsid w:val="37B556B0"/>
    <w:rsid w:val="37EE33C8"/>
    <w:rsid w:val="39F82267"/>
    <w:rsid w:val="3B4C168B"/>
    <w:rsid w:val="3BCB019C"/>
    <w:rsid w:val="3D7527C4"/>
    <w:rsid w:val="3E8D1AB3"/>
    <w:rsid w:val="3EC67400"/>
    <w:rsid w:val="421C7219"/>
    <w:rsid w:val="427E60E8"/>
    <w:rsid w:val="43FC44E5"/>
    <w:rsid w:val="45A2247F"/>
    <w:rsid w:val="49952794"/>
    <w:rsid w:val="49A531CE"/>
    <w:rsid w:val="4A2038AF"/>
    <w:rsid w:val="4B4E184B"/>
    <w:rsid w:val="4BF344C2"/>
    <w:rsid w:val="4C60173E"/>
    <w:rsid w:val="4D883BC0"/>
    <w:rsid w:val="4F4B3D85"/>
    <w:rsid w:val="50006B75"/>
    <w:rsid w:val="5020744C"/>
    <w:rsid w:val="507A31A6"/>
    <w:rsid w:val="5487657D"/>
    <w:rsid w:val="54BE39E0"/>
    <w:rsid w:val="5587543A"/>
    <w:rsid w:val="57DF7E9A"/>
    <w:rsid w:val="5B6C451D"/>
    <w:rsid w:val="5B6C6F4D"/>
    <w:rsid w:val="5CB87AF5"/>
    <w:rsid w:val="5E426FAC"/>
    <w:rsid w:val="5F182265"/>
    <w:rsid w:val="5F561B6F"/>
    <w:rsid w:val="5F57E5CA"/>
    <w:rsid w:val="61723BCA"/>
    <w:rsid w:val="61CE1DDF"/>
    <w:rsid w:val="6506044E"/>
    <w:rsid w:val="662230B0"/>
    <w:rsid w:val="669C35D3"/>
    <w:rsid w:val="67F31D1E"/>
    <w:rsid w:val="695C6CC2"/>
    <w:rsid w:val="6A7E414D"/>
    <w:rsid w:val="6AA53938"/>
    <w:rsid w:val="6C634D87"/>
    <w:rsid w:val="6D3E2B59"/>
    <w:rsid w:val="6DC442E3"/>
    <w:rsid w:val="6F95175B"/>
    <w:rsid w:val="6FC37AD4"/>
    <w:rsid w:val="70487921"/>
    <w:rsid w:val="716D017F"/>
    <w:rsid w:val="73D72329"/>
    <w:rsid w:val="740D6797"/>
    <w:rsid w:val="749278A6"/>
    <w:rsid w:val="752C5806"/>
    <w:rsid w:val="77137864"/>
    <w:rsid w:val="77344029"/>
    <w:rsid w:val="78796428"/>
    <w:rsid w:val="78AD1F79"/>
    <w:rsid w:val="794B2117"/>
    <w:rsid w:val="7C452E58"/>
    <w:rsid w:val="7C510A01"/>
    <w:rsid w:val="7D956862"/>
    <w:rsid w:val="7DC973A1"/>
    <w:rsid w:val="7DFF3A1B"/>
    <w:rsid w:val="7F075EC2"/>
    <w:rsid w:val="7F6F24AE"/>
    <w:rsid w:val="7FCE9F2A"/>
    <w:rsid w:val="7FE55526"/>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styleId="2">
    <w:name w:val="Body Text Indent"/>
    <w:basedOn w:val="1"/>
    <w:next w:val="1"/>
    <w:link w:val="265"/>
    <w:autoRedefine/>
    <w:qFormat/>
    <w:uiPriority w:val="0"/>
    <w:pPr>
      <w:spacing w:line="480" w:lineRule="exact"/>
      <w:ind w:firstLine="480" w:firstLineChars="200"/>
    </w:pPr>
    <w:rPr>
      <w:rFonts w:ascii="宋体" w:hAnsi="宋体"/>
      <w:sz w:val="24"/>
    </w:rPr>
  </w:style>
  <w:style w:type="paragraph" w:styleId="6">
    <w:name w:val="Normal Indent"/>
    <w:basedOn w:val="1"/>
    <w:next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0"/>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3"/>
    <w:autoRedefine/>
    <w:qFormat/>
    <w:uiPriority w:val="0"/>
    <w:pPr>
      <w:shd w:val="clear" w:color="auto" w:fill="000080"/>
    </w:pPr>
  </w:style>
  <w:style w:type="paragraph" w:styleId="20">
    <w:name w:val="annotation text"/>
    <w:basedOn w:val="1"/>
    <w:link w:val="344"/>
    <w:autoRedefine/>
    <w:qFormat/>
    <w:uiPriority w:val="99"/>
    <w:pPr>
      <w:jc w:val="left"/>
    </w:pPr>
  </w:style>
  <w:style w:type="paragraph" w:styleId="21">
    <w:name w:val="Salutation"/>
    <w:basedOn w:val="1"/>
    <w:next w:val="1"/>
    <w:link w:val="298"/>
    <w:autoRedefine/>
    <w:qFormat/>
    <w:uiPriority w:val="0"/>
    <w:rPr>
      <w:rFonts w:ascii="仿宋_GB2312" w:eastAsia="仿宋_GB2312"/>
      <w:sz w:val="28"/>
      <w:szCs w:val="20"/>
    </w:rPr>
  </w:style>
  <w:style w:type="paragraph" w:styleId="22">
    <w:name w:val="Body Text 3"/>
    <w:basedOn w:val="1"/>
    <w:link w:val="330"/>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6"/>
    <w:link w:val="126"/>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2"/>
    <w:autoRedefine/>
    <w:qFormat/>
    <w:uiPriority w:val="0"/>
    <w:pPr>
      <w:ind w:left="100" w:leftChars="2500"/>
    </w:pPr>
    <w:rPr>
      <w:rFonts w:ascii="宋体"/>
      <w:sz w:val="24"/>
      <w:szCs w:val="21"/>
      <w:lang w:val="zh-CN"/>
    </w:rPr>
  </w:style>
  <w:style w:type="paragraph" w:styleId="36">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1"/>
    <w:autoRedefine/>
    <w:qFormat/>
    <w:uiPriority w:val="0"/>
    <w:rPr>
      <w:lang w:val="zh-CN"/>
    </w:rPr>
  </w:style>
  <w:style w:type="paragraph" w:styleId="38">
    <w:name w:val="Balloon Text"/>
    <w:basedOn w:val="1"/>
    <w:link w:val="189"/>
    <w:autoRedefine/>
    <w:qFormat/>
    <w:uiPriority w:val="0"/>
    <w:rPr>
      <w:sz w:val="18"/>
      <w:szCs w:val="18"/>
    </w:rPr>
  </w:style>
  <w:style w:type="paragraph" w:styleId="39">
    <w:name w:val="footer"/>
    <w:basedOn w:val="1"/>
    <w:link w:val="383"/>
    <w:autoRedefine/>
    <w:qFormat/>
    <w:uiPriority w:val="99"/>
    <w:pPr>
      <w:tabs>
        <w:tab w:val="center" w:pos="4153"/>
        <w:tab w:val="right" w:pos="8306"/>
      </w:tabs>
      <w:snapToGrid w:val="0"/>
      <w:jc w:val="left"/>
    </w:pPr>
    <w:rPr>
      <w:sz w:val="18"/>
      <w:szCs w:val="18"/>
    </w:rPr>
  </w:style>
  <w:style w:type="paragraph" w:styleId="40">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6"/>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next w:val="53"/>
    <w:link w:val="375"/>
    <w:autoRedefine/>
    <w:qFormat/>
    <w:uiPriority w:val="0"/>
    <w:pPr>
      <w:spacing w:line="360" w:lineRule="auto"/>
      <w:ind w:firstLine="420"/>
    </w:pPr>
    <w:rPr>
      <w:sz w:val="24"/>
      <w:szCs w:val="20"/>
    </w:rPr>
  </w:style>
  <w:style w:type="paragraph" w:customStyle="1" w:styleId="53">
    <w:name w:val="目录 92"/>
    <w:next w:val="1"/>
    <w:autoRedefine/>
    <w:qFormat/>
    <w:uiPriority w:val="0"/>
    <w:pPr>
      <w:wordWrap w:val="0"/>
      <w:ind w:left="2975"/>
      <w:jc w:val="both"/>
    </w:pPr>
    <w:rPr>
      <w:rFonts w:ascii="Times New Roman" w:hAnsi="Times New Roman" w:eastAsia="宋体" w:cs="Times New Roman"/>
      <w:sz w:val="21"/>
      <w:lang w:val="en-US" w:eastAsia="zh-CN" w:bidi="ar-SA"/>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7"/>
    <w:autoRedefine/>
    <w:qFormat/>
    <w:uiPriority w:val="0"/>
    <w:rPr>
      <w:b/>
      <w:bCs/>
    </w:rPr>
  </w:style>
  <w:style w:type="paragraph" w:styleId="61">
    <w:name w:val="Body Text First Indent"/>
    <w:basedOn w:val="24"/>
    <w:next w:val="1"/>
    <w:link w:val="321"/>
    <w:autoRedefine/>
    <w:qFormat/>
    <w:uiPriority w:val="0"/>
    <w:pPr>
      <w:ind w:firstLine="420"/>
    </w:pPr>
    <w:rPr>
      <w:rFonts w:hAnsi="Calibri" w:cs="Times New Roman"/>
      <w:snapToGrid/>
      <w:szCs w:val="20"/>
    </w:rPr>
  </w:style>
  <w:style w:type="paragraph" w:styleId="62">
    <w:name w:val="Body Text First Indent 2"/>
    <w:basedOn w:val="2"/>
    <w:next w:val="1"/>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next w:val="24"/>
    <w:autoRedefine/>
    <w:qFormat/>
    <w:uiPriority w:val="0"/>
    <w:pPr>
      <w:spacing w:line="360" w:lineRule="auto"/>
      <w:ind w:firstLine="480" w:firstLineChars="200"/>
    </w:pPr>
    <w:rPr>
      <w:rFonts w:ascii="宋体"/>
      <w:sz w:val="24"/>
      <w:szCs w:val="20"/>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29dca83e-cfa0-4d29-9006-28a1b752e563"/>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6"/>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9"/>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4"/>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5"/>
    <w:autoRedefine/>
    <w:qFormat/>
    <w:uiPriority w:val="0"/>
    <w:rPr>
      <w:rFonts w:ascii="宋体"/>
      <w:kern w:val="2"/>
      <w:sz w:val="24"/>
      <w:szCs w:val="21"/>
      <w:lang w:val="zh-CN"/>
    </w:rPr>
  </w:style>
  <w:style w:type="character" w:customStyle="1" w:styleId="183">
    <w:name w:val="标题 9 Char"/>
    <w:link w:val="12"/>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8"/>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9"/>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29"/>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7"/>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7"/>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3"/>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8"/>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1"/>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7"/>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10"/>
    <w:autoRedefine/>
    <w:qFormat/>
    <w:uiPriority w:val="0"/>
    <w:rPr>
      <w:b/>
      <w:bCs/>
      <w:kern w:val="2"/>
      <w:sz w:val="24"/>
      <w:szCs w:val="24"/>
    </w:rPr>
  </w:style>
  <w:style w:type="character" w:customStyle="1" w:styleId="308">
    <w:name w:val="正文文本缩进 2 Char"/>
    <w:link w:val="36"/>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49"/>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61"/>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7"/>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2"/>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20"/>
    <w:autoRedefine/>
    <w:qFormat/>
    <w:uiPriority w:val="99"/>
    <w:rPr>
      <w:kern w:val="2"/>
      <w:sz w:val="21"/>
      <w:szCs w:val="24"/>
    </w:rPr>
  </w:style>
  <w:style w:type="character" w:customStyle="1" w:styleId="345">
    <w:name w:val="签名 Char"/>
    <w:link w:val="41"/>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1"/>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2"/>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39"/>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0"/>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6"/>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5"/>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8"/>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7"/>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3"/>
    <w:autoRedefine/>
    <w:qFormat/>
    <w:uiPriority w:val="0"/>
    <w:pPr>
      <w:tabs>
        <w:tab w:val="left" w:pos="840"/>
      </w:tabs>
      <w:adjustRightInd/>
      <w:ind w:left="840" w:hanging="420"/>
    </w:pPr>
  </w:style>
  <w:style w:type="paragraph" w:customStyle="1" w:styleId="626">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7"/>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5"/>
    <w:next w:val="52"/>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4"/>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next w:val="32"/>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9"/>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autoRedefine/>
    <w:qFormat/>
    <w:uiPriority w:val="0"/>
    <w:rPr>
      <w:rFonts w:ascii="仿宋_GB2312" w:eastAsia="仿宋_GB2312"/>
      <w:b/>
      <w:sz w:val="32"/>
      <w:szCs w:val="32"/>
    </w:rPr>
  </w:style>
  <w:style w:type="paragraph" w:customStyle="1" w:styleId="885">
    <w:name w:val="正文箭头"/>
    <w:basedOn w:val="538"/>
    <w:autoRedefine/>
    <w:qFormat/>
    <w:uiPriority w:val="0"/>
  </w:style>
  <w:style w:type="paragraph" w:customStyle="1" w:styleId="886">
    <w:name w:val="U_编号2"/>
    <w:basedOn w:val="1"/>
    <w:autoRedefine/>
    <w:qFormat/>
    <w:uiPriority w:val="0"/>
    <w:pPr>
      <w:tabs>
        <w:tab w:val="left" w:pos="785"/>
      </w:tabs>
      <w:adjustRightInd/>
      <w:spacing w:beforeLines="10" w:afterLines="10" w:line="300" w:lineRule="auto"/>
    </w:pPr>
    <w:rPr>
      <w:sz w:val="24"/>
    </w:rPr>
  </w:style>
  <w:style w:type="paragraph" w:customStyle="1" w:styleId="887">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autoRedefine/>
    <w:qFormat/>
    <w:uiPriority w:val="34"/>
    <w:pPr>
      <w:adjustRightInd/>
      <w:ind w:firstLine="420" w:firstLineChars="200"/>
    </w:pPr>
    <w:rPr>
      <w:rFonts w:eastAsia="仿宋_GB2312"/>
      <w:sz w:val="28"/>
    </w:rPr>
  </w:style>
  <w:style w:type="paragraph" w:customStyle="1" w:styleId="892">
    <w:name w:val="表格 内容"/>
    <w:basedOn w:val="729"/>
    <w:autoRedefine/>
    <w:qFormat/>
    <w:uiPriority w:val="0"/>
    <w:rPr>
      <w:b w:val="0"/>
      <w:sz w:val="20"/>
    </w:rPr>
  </w:style>
  <w:style w:type="paragraph" w:customStyle="1" w:styleId="893">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autoRedefine/>
    <w:qFormat/>
    <w:uiPriority w:val="0"/>
    <w:pPr>
      <w:tabs>
        <w:tab w:val="left" w:pos="1080"/>
      </w:tabs>
      <w:ind w:left="1080" w:hanging="1080"/>
    </w:pPr>
  </w:style>
  <w:style w:type="paragraph" w:customStyle="1" w:styleId="896">
    <w:name w:val="数字标题1"/>
    <w:basedOn w:val="3"/>
    <w:next w:val="1"/>
    <w:autoRedefine/>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autoRedefine/>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autoRedefine/>
    <w:qFormat/>
    <w:uiPriority w:val="34"/>
    <w:pPr>
      <w:adjustRightInd/>
      <w:ind w:firstLine="420" w:firstLineChars="200"/>
    </w:pPr>
    <w:rPr>
      <w:rFonts w:eastAsia="仿宋_GB2312"/>
      <w:sz w:val="28"/>
    </w:rPr>
  </w:style>
  <w:style w:type="paragraph" w:customStyle="1" w:styleId="9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autoRedefine/>
    <w:qFormat/>
    <w:uiPriority w:val="6"/>
    <w:pPr>
      <w:widowControl/>
      <w:spacing w:after="160" w:line="240" w:lineRule="exact"/>
      <w:jc w:val="left"/>
    </w:pPr>
    <w:rPr>
      <w:rFonts w:eastAsia="仿宋_GB2312"/>
      <w:sz w:val="28"/>
    </w:rPr>
  </w:style>
  <w:style w:type="paragraph" w:customStyle="1" w:styleId="913">
    <w:name w:val="正文 图"/>
    <w:basedOn w:val="443"/>
    <w:autoRedefine/>
    <w:qFormat/>
    <w:uiPriority w:val="0"/>
    <w:pPr>
      <w:adjustRightInd/>
      <w:spacing w:before="0"/>
      <w:ind w:firstLine="0"/>
      <w:jc w:val="center"/>
    </w:pPr>
    <w:rPr>
      <w:rFonts w:ascii="微软雅黑" w:hAnsi="微软雅黑"/>
    </w:rPr>
  </w:style>
  <w:style w:type="paragraph" w:customStyle="1" w:styleId="914">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autoRedefine/>
    <w:qFormat/>
    <w:uiPriority w:val="34"/>
    <w:pPr>
      <w:ind w:firstLine="420" w:firstLineChars="200"/>
    </w:pPr>
  </w:style>
  <w:style w:type="character" w:customStyle="1" w:styleId="927">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autoRedefine/>
    <w:qFormat/>
    <w:uiPriority w:val="0"/>
    <w:rPr>
      <w:rFonts w:ascii="宋体" w:eastAsia="宋体"/>
      <w:snapToGrid w:val="0"/>
      <w:color w:val="000000"/>
      <w:kern w:val="28"/>
      <w:sz w:val="28"/>
      <w:lang w:val="en-US" w:eastAsia="zh-CN" w:bidi="ar-SA"/>
    </w:rPr>
  </w:style>
  <w:style w:type="character" w:customStyle="1" w:styleId="929">
    <w:name w:val="页脚 字符1"/>
    <w:autoRedefine/>
    <w:qFormat/>
    <w:uiPriority w:val="99"/>
    <w:rPr>
      <w:kern w:val="2"/>
      <w:sz w:val="18"/>
      <w:szCs w:val="18"/>
    </w:rPr>
  </w:style>
  <w:style w:type="character" w:customStyle="1" w:styleId="930">
    <w:name w:val="页眉 字符1"/>
    <w:autoRedefine/>
    <w:qFormat/>
    <w:uiPriority w:val="99"/>
    <w:rPr>
      <w:kern w:val="2"/>
      <w:sz w:val="18"/>
      <w:szCs w:val="18"/>
    </w:rPr>
  </w:style>
  <w:style w:type="character" w:customStyle="1" w:styleId="931">
    <w:name w:val="尾注文本 Char"/>
    <w:link w:val="37"/>
    <w:autoRedefine/>
    <w:qFormat/>
    <w:uiPriority w:val="0"/>
    <w:rPr>
      <w:kern w:val="2"/>
      <w:sz w:val="21"/>
      <w:szCs w:val="24"/>
      <w:lang w:val="zh-CN"/>
    </w:rPr>
  </w:style>
  <w:style w:type="character" w:customStyle="1" w:styleId="932">
    <w:name w:val="无间隔 Char"/>
    <w:link w:val="483"/>
    <w:autoRedefine/>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258"/>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5">
    <w:name w:val="样式 10 磅3111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66">
    <w:name w:val="（1）"/>
    <w:basedOn w:val="1"/>
    <w:autoRedefine/>
    <w:qFormat/>
    <w:uiPriority w:val="0"/>
    <w:pPr>
      <w:numPr>
        <w:ilvl w:val="0"/>
        <w:numId w:val="1"/>
      </w:numPr>
      <w:tabs>
        <w:tab w:val="left" w:pos="961"/>
      </w:tabs>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0</TotalTime>
  <ScaleCrop>false</ScaleCrop>
  <LinksUpToDate>false</LinksUpToDate>
  <CharactersWithSpaces>50218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疯趣味</cp:lastModifiedBy>
  <cp:lastPrinted>2021-12-28T19:06:00Z</cp:lastPrinted>
  <dcterms:modified xsi:type="dcterms:W3CDTF">2024-04-25T02:17:57Z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A0FD348FE08A42DC8E2D29DDB0EC1090_13</vt:lpwstr>
  </property>
</Properties>
</file>