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44"/>
          <w:szCs w:val="44"/>
          <w:lang w:eastAsia="zh-CN"/>
        </w:rPr>
      </w:pPr>
    </w:p>
    <w:p>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44"/>
          <w:szCs w:val="44"/>
          <w:lang w:eastAsia="zh-CN"/>
        </w:rPr>
        <w:t>河道安全运行评估技术服务项目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spacing w:line="312" w:lineRule="auto"/>
        <w:jc w:val="center"/>
        <w:rPr>
          <w:rFonts w:hint="eastAsia" w:ascii="仿宋" w:hAnsi="仿宋" w:eastAsia="仿宋" w:cs="仿宋"/>
          <w:b/>
          <w:sz w:val="28"/>
          <w:szCs w:val="28"/>
        </w:rPr>
      </w:pPr>
    </w:p>
    <w:p>
      <w:pPr>
        <w:spacing w:line="312" w:lineRule="auto"/>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w:t>
      </w:r>
      <w:r>
        <w:rPr>
          <w:rFonts w:hint="eastAsia" w:ascii="仿宋" w:hAnsi="仿宋" w:eastAsia="仿宋" w:cs="仿宋"/>
          <w:b/>
          <w:sz w:val="28"/>
          <w:szCs w:val="28"/>
          <w:lang w:val="en-US" w:eastAsia="zh-CN"/>
        </w:rPr>
        <w:t>4-03008</w:t>
      </w:r>
    </w:p>
    <w:tbl>
      <w:tblPr>
        <w:tblStyle w:val="63"/>
        <w:tblW w:w="6075" w:type="dxa"/>
        <w:jc w:val="center"/>
        <w:tblLayout w:type="fixed"/>
        <w:tblCellMar>
          <w:top w:w="0" w:type="dxa"/>
          <w:left w:w="108" w:type="dxa"/>
          <w:bottom w:w="0" w:type="dxa"/>
          <w:right w:w="108" w:type="dxa"/>
        </w:tblCellMar>
      </w:tblPr>
      <w:tblGrid>
        <w:gridCol w:w="2356"/>
        <w:gridCol w:w="3719"/>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93"/>
                <w:kern w:val="0"/>
                <w:sz w:val="28"/>
                <w:szCs w:val="28"/>
              </w:rPr>
              <w:t>采购单</w:t>
            </w:r>
            <w:r>
              <w:rPr>
                <w:rFonts w:hint="eastAsia" w:ascii="仿宋" w:hAnsi="仿宋" w:eastAsia="仿宋" w:cs="仿宋"/>
                <w:b/>
                <w:bCs/>
                <w:spacing w:val="1"/>
                <w:kern w:val="0"/>
                <w:sz w:val="28"/>
                <w:szCs w:val="28"/>
              </w:rPr>
              <w:t>位</w:t>
            </w:r>
            <w:r>
              <w:rPr>
                <w:rFonts w:hint="eastAsia" w:ascii="仿宋" w:hAnsi="仿宋" w:eastAsia="仿宋" w:cs="仿宋"/>
                <w:b/>
                <w:bCs/>
                <w:sz w:val="28"/>
                <w:szCs w:val="28"/>
              </w:rPr>
              <w:t>：</w:t>
            </w:r>
          </w:p>
        </w:tc>
        <w:tc>
          <w:tcPr>
            <w:tcW w:w="3719" w:type="dxa"/>
            <w:vAlign w:val="center"/>
          </w:tcPr>
          <w:p>
            <w:pPr>
              <w:spacing w:line="320" w:lineRule="exact"/>
              <w:outlineLvl w:val="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绍兴市水利工程管理中心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0"/>
                <w:w w:val="100"/>
                <w:kern w:val="0"/>
                <w:sz w:val="28"/>
                <w:szCs w:val="28"/>
                <w:fitText w:val="1680" w:id="975125391"/>
              </w:rPr>
              <w:t>采购代理机构</w:t>
            </w:r>
            <w:r>
              <w:rPr>
                <w:rFonts w:hint="eastAsia" w:ascii="仿宋" w:hAnsi="仿宋" w:eastAsia="仿宋" w:cs="仿宋"/>
                <w:b/>
                <w:bCs/>
                <w:sz w:val="28"/>
                <w:szCs w:val="28"/>
              </w:rPr>
              <w:t>：</w:t>
            </w:r>
          </w:p>
        </w:tc>
        <w:tc>
          <w:tcPr>
            <w:tcW w:w="3719"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93"/>
                <w:kern w:val="0"/>
                <w:sz w:val="28"/>
                <w:szCs w:val="28"/>
                <w:fitText w:val="1680" w:id="1"/>
              </w:rPr>
              <w:t>监督单</w:t>
            </w:r>
            <w:r>
              <w:rPr>
                <w:rFonts w:hint="eastAsia" w:ascii="仿宋" w:hAnsi="仿宋" w:eastAsia="仿宋" w:cs="仿宋"/>
                <w:b/>
                <w:bCs/>
                <w:spacing w:val="1"/>
                <w:kern w:val="0"/>
                <w:sz w:val="28"/>
                <w:szCs w:val="28"/>
                <w:fitText w:val="1680" w:id="1"/>
              </w:rPr>
              <w:t>位</w:t>
            </w:r>
            <w:r>
              <w:rPr>
                <w:rFonts w:hint="eastAsia" w:ascii="仿宋" w:hAnsi="仿宋" w:eastAsia="仿宋" w:cs="仿宋"/>
                <w:b/>
                <w:bCs/>
                <w:sz w:val="28"/>
                <w:szCs w:val="28"/>
              </w:rPr>
              <w:t>：</w:t>
            </w:r>
          </w:p>
        </w:tc>
        <w:tc>
          <w:tcPr>
            <w:tcW w:w="3719"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z w:val="28"/>
                <w:szCs w:val="28"/>
              </w:rPr>
              <w:t>绍兴市财政局</w:t>
            </w:r>
          </w:p>
        </w:tc>
      </w:tr>
      <w:tr>
        <w:tblPrEx>
          <w:tblCellMar>
            <w:top w:w="0" w:type="dxa"/>
            <w:left w:w="108" w:type="dxa"/>
            <w:bottom w:w="0" w:type="dxa"/>
            <w:right w:w="108" w:type="dxa"/>
          </w:tblCellMar>
        </w:tblPrEx>
        <w:trPr>
          <w:trHeight w:val="333" w:hRule="atLeast"/>
          <w:jc w:val="center"/>
        </w:trPr>
        <w:tc>
          <w:tcPr>
            <w:tcW w:w="6075" w:type="dxa"/>
            <w:gridSpan w:val="2"/>
          </w:tcPr>
          <w:p>
            <w:pPr>
              <w:spacing w:after="100" w:afterAutospacing="1" w:line="440" w:lineRule="exact"/>
              <w:jc w:val="center"/>
              <w:rPr>
                <w:rFonts w:hint="eastAsia" w:ascii="仿宋" w:hAnsi="仿宋" w:eastAsia="仿宋" w:cs="仿宋"/>
                <w:b/>
                <w:bCs/>
                <w:sz w:val="28"/>
                <w:szCs w:val="28"/>
              </w:rPr>
            </w:pPr>
            <w:r>
              <w:rPr>
                <w:rFonts w:hint="eastAsia" w:ascii="仿宋" w:hAnsi="仿宋" w:eastAsia="仿宋" w:cs="仿宋"/>
                <w:b/>
                <w:bCs/>
                <w:sz w:val="28"/>
                <w:szCs w:val="28"/>
              </w:rPr>
              <w:t>二○二</w:t>
            </w:r>
            <w:r>
              <w:rPr>
                <w:rFonts w:hint="eastAsia" w:ascii="仿宋" w:hAnsi="仿宋" w:eastAsia="仿宋" w:cs="仿宋"/>
                <w:b/>
                <w:bCs/>
                <w:sz w:val="28"/>
                <w:szCs w:val="28"/>
                <w:lang w:val="en-US" w:eastAsia="zh-CN"/>
              </w:rPr>
              <w:t>四</w:t>
            </w:r>
            <w:r>
              <w:rPr>
                <w:rFonts w:hint="eastAsia" w:ascii="仿宋" w:hAnsi="仿宋" w:eastAsia="仿宋" w:cs="仿宋"/>
                <w:b/>
                <w:bCs/>
                <w:sz w:val="28"/>
                <w:szCs w:val="28"/>
              </w:rPr>
              <w:t>年</w:t>
            </w:r>
            <w:r>
              <w:rPr>
                <w:rFonts w:hint="eastAsia" w:ascii="仿宋" w:hAnsi="仿宋" w:eastAsia="仿宋" w:cs="仿宋"/>
                <w:b/>
                <w:bCs/>
                <w:sz w:val="28"/>
                <w:szCs w:val="28"/>
                <w:lang w:eastAsia="zh-CN"/>
              </w:rPr>
              <w:t>四</w:t>
            </w:r>
            <w:r>
              <w:rPr>
                <w:rFonts w:hint="eastAsia" w:ascii="仿宋" w:hAnsi="仿宋" w:eastAsia="仿宋" w:cs="仿宋"/>
                <w:b/>
                <w:bCs/>
                <w:sz w:val="28"/>
                <w:szCs w:val="28"/>
              </w:rPr>
              <w:t>月</w:t>
            </w:r>
          </w:p>
        </w:tc>
      </w:tr>
    </w:tbl>
    <w:p>
      <w:pPr>
        <w:pStyle w:val="637"/>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kern w:val="0"/>
          <w:sz w:val="24"/>
          <w:u w:val="single"/>
          <w:lang w:eastAsia="zh-CN"/>
        </w:rPr>
        <w:t>河道安全运行评估技术服务项目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16</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YH202</w:t>
      </w:r>
      <w:r>
        <w:rPr>
          <w:rFonts w:hint="eastAsia" w:ascii="仿宋" w:hAnsi="仿宋" w:eastAsia="仿宋" w:cs="仿宋"/>
          <w:b w:val="0"/>
          <w:bCs/>
          <w:color w:val="auto"/>
          <w:sz w:val="24"/>
          <w:lang w:val="en-US" w:eastAsia="zh-CN"/>
        </w:rPr>
        <w:t>4-03008</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kern w:val="0"/>
          <w:sz w:val="24"/>
          <w:lang w:eastAsia="zh-CN"/>
        </w:rPr>
        <w:t>河道安全运行评估技术服务项目</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272900</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272900</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kern w:val="0"/>
          <w:sz w:val="24"/>
        </w:rPr>
        <w:t>详见采购文件</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kern w:val="0"/>
          <w:sz w:val="24"/>
          <w:lang w:eastAsia="zh-CN"/>
        </w:rPr>
        <w:t>河道安全运行评估技术服务项目</w:t>
      </w:r>
    </w:p>
    <w:p>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color w:val="auto"/>
          <w:sz w:val="24"/>
          <w:lang w:val="en-US" w:eastAsia="zh-CN"/>
        </w:rPr>
        <w:t>272900</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rPr>
        <w:t>主要内容：简要规格描述、项目基本概况介绍、用途详见采购文件。</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kern w:val="0"/>
          <w:sz w:val="24"/>
        </w:rPr>
        <w:t>按双方合同约定条款执行</w:t>
      </w:r>
      <w:r>
        <w:rPr>
          <w:rFonts w:hint="eastAsia" w:ascii="仿宋" w:hAnsi="仿宋" w:eastAsia="仿宋"/>
          <w:kern w:val="0"/>
          <w:sz w:val="24"/>
          <w:lang w:eastAsia="zh-CN"/>
        </w:rPr>
        <w:t>。</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F0FE"/>
          </w:r>
        </w:sdtContent>
      </w:sdt>
      <w:r>
        <w:rPr>
          <w:rFonts w:hint="eastAsia" w:ascii="仿宋" w:hAnsi="仿宋" w:eastAsia="仿宋" w:cs="仿宋"/>
          <w:b/>
          <w:color w:val="auto"/>
          <w:sz w:val="24"/>
          <w:szCs w:val="24"/>
        </w:rPr>
        <w:t>是，</w:t>
      </w: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b/>
          <w:color w:val="auto"/>
          <w:sz w:val="24"/>
          <w:szCs w:val="24"/>
        </w:rPr>
        <w:t>否。</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strike/>
          <w:dstrike w:val="0"/>
          <w:color w:val="0000FF"/>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无</w:t>
      </w:r>
    </w:p>
    <w:p>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u w:val="none"/>
          <w:lang w:val="en-US" w:eastAsia="zh-CN"/>
        </w:rPr>
        <w:t>5.</w:t>
      </w:r>
      <w:r>
        <w:rPr>
          <w:rFonts w:hint="eastAsia" w:ascii="仿宋" w:hAnsi="仿宋" w:eastAsia="仿宋" w:cs="仿宋"/>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16</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16</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16</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bookmarkStart w:id="163" w:name="_GoBack"/>
      <w:bookmarkEnd w:id="163"/>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96"/>
      <w:bookmarkStart w:id="7" w:name="_Toc28359019"/>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kern w:val="0"/>
          <w:sz w:val="24"/>
          <w:lang w:eastAsia="zh-CN"/>
        </w:rPr>
        <w:t>绍兴市水利工程管理中心</w:t>
      </w:r>
    </w:p>
    <w:p>
      <w:pPr>
        <w:widowControl/>
        <w:snapToGrid w:val="0"/>
        <w:spacing w:line="288" w:lineRule="auto"/>
        <w:ind w:firstLine="480" w:firstLineChars="200"/>
        <w:rPr>
          <w:rFonts w:hint="eastAsia" w:ascii="仿宋" w:hAnsi="仿宋" w:eastAsia="仿宋"/>
          <w:color w:val="000000"/>
          <w:kern w:val="0"/>
          <w:sz w:val="24"/>
        </w:rPr>
      </w:pPr>
      <w:r>
        <w:rPr>
          <w:rFonts w:hint="eastAsia" w:ascii="仿宋" w:hAnsi="仿宋" w:eastAsia="仿宋" w:cs="仿宋"/>
          <w:color w:val="auto"/>
          <w:sz w:val="24"/>
        </w:rPr>
        <w:t>地    址：</w:t>
      </w:r>
      <w:bookmarkStart w:id="9" w:name="_Toc35393638"/>
      <w:bookmarkStart w:id="10" w:name="_Toc35393807"/>
      <w:bookmarkStart w:id="11" w:name="_Toc28359020"/>
      <w:bookmarkStart w:id="12" w:name="_Toc28359097"/>
      <w:r>
        <w:rPr>
          <w:rFonts w:hint="eastAsia" w:ascii="仿宋" w:hAnsi="仿宋" w:eastAsia="仿宋"/>
          <w:color w:val="000000"/>
          <w:kern w:val="0"/>
          <w:sz w:val="24"/>
        </w:rPr>
        <w:t>绍兴市洋江西路589号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    真：</w:t>
      </w:r>
      <w:r>
        <w:rPr>
          <w:rFonts w:hint="eastAsia" w:ascii="仿宋" w:hAnsi="仿宋" w:eastAsia="仿宋" w:cs="仿宋"/>
          <w:kern w:val="0"/>
          <w:sz w:val="24"/>
        </w:rPr>
        <w:t>/</w:t>
      </w:r>
    </w:p>
    <w:p>
      <w:pPr>
        <w:widowControl/>
        <w:snapToGrid w:val="0"/>
        <w:spacing w:line="288" w:lineRule="auto"/>
        <w:ind w:firstLine="480" w:firstLineChars="200"/>
        <w:rPr>
          <w:rFonts w:hint="eastAsia" w:ascii="仿宋" w:hAnsi="仿宋" w:eastAsia="仿宋"/>
          <w:color w:val="000000"/>
          <w:kern w:val="0"/>
          <w:sz w:val="24"/>
        </w:rPr>
      </w:pPr>
      <w:r>
        <w:rPr>
          <w:rFonts w:hint="eastAsia" w:ascii="仿宋" w:hAnsi="仿宋" w:eastAsia="仿宋"/>
          <w:color w:val="000000"/>
          <w:kern w:val="0"/>
          <w:sz w:val="24"/>
        </w:rPr>
        <w:t>项目联系人:王宇 </w:t>
      </w:r>
    </w:p>
    <w:p>
      <w:pPr>
        <w:widowControl/>
        <w:snapToGrid w:val="0"/>
        <w:spacing w:line="288" w:lineRule="auto"/>
        <w:ind w:firstLine="480" w:firstLineChars="200"/>
        <w:rPr>
          <w:rFonts w:hint="eastAsia" w:ascii="仿宋" w:hAnsi="仿宋" w:eastAsia="仿宋" w:cs="仿宋"/>
          <w:color w:val="000000"/>
          <w:kern w:val="0"/>
          <w:sz w:val="24"/>
        </w:rPr>
      </w:pPr>
      <w:r>
        <w:rPr>
          <w:rFonts w:hint="eastAsia" w:ascii="仿宋" w:hAnsi="仿宋" w:eastAsia="仿宋"/>
          <w:color w:val="000000"/>
          <w:kern w:val="0"/>
          <w:sz w:val="24"/>
        </w:rPr>
        <w:t>项目联系方式：</w:t>
      </w:r>
      <w:r>
        <w:rPr>
          <w:rFonts w:hint="eastAsia" w:ascii="仿宋" w:hAnsi="仿宋" w:eastAsia="仿宋" w:cs="仿宋"/>
          <w:color w:val="000000"/>
          <w:sz w:val="24"/>
          <w:szCs w:val="24"/>
        </w:rPr>
        <w:t>0575-85152815</w:t>
      </w:r>
      <w:r>
        <w:rPr>
          <w:rFonts w:hint="eastAsia" w:ascii="仿宋" w:hAnsi="仿宋" w:eastAsia="仿宋" w:cs="仿宋"/>
          <w:color w:val="000000"/>
          <w:kern w:val="0"/>
          <w:sz w:val="24"/>
        </w:rPr>
        <w:t xml:space="preserve">  </w:t>
      </w:r>
    </w:p>
    <w:p>
      <w:pPr>
        <w:widowControl/>
        <w:snapToGrid w:val="0"/>
        <w:spacing w:line="288" w:lineRule="auto"/>
        <w:ind w:firstLine="480" w:firstLineChars="200"/>
        <w:rPr>
          <w:rFonts w:hint="default" w:ascii="仿宋" w:hAnsi="仿宋" w:eastAsia="仿宋"/>
          <w:color w:val="000000"/>
          <w:kern w:val="0"/>
          <w:sz w:val="24"/>
          <w:szCs w:val="22"/>
        </w:rPr>
      </w:pPr>
      <w:r>
        <w:rPr>
          <w:rFonts w:hint="eastAsia" w:ascii="仿宋" w:hAnsi="仿宋" w:eastAsia="仿宋"/>
          <w:color w:val="000000"/>
          <w:kern w:val="0"/>
          <w:sz w:val="24"/>
          <w:szCs w:val="22"/>
        </w:rPr>
        <w:t>质疑联系人</w:t>
      </w:r>
      <w:r>
        <w:rPr>
          <w:rFonts w:hint="default" w:ascii="仿宋" w:hAnsi="仿宋" w:eastAsia="仿宋"/>
          <w:color w:val="000000"/>
          <w:kern w:val="0"/>
          <w:sz w:val="24"/>
          <w:szCs w:val="22"/>
        </w:rPr>
        <w:t>：秦琳琳</w:t>
      </w:r>
    </w:p>
    <w:p>
      <w:pPr>
        <w:widowControl/>
        <w:snapToGrid w:val="0"/>
        <w:spacing w:line="288" w:lineRule="auto"/>
        <w:ind w:firstLine="480" w:firstLineChars="200"/>
        <w:rPr>
          <w:rFonts w:hint="default"/>
          <w:color w:val="000000"/>
        </w:rPr>
      </w:pPr>
      <w:r>
        <w:rPr>
          <w:rFonts w:hint="eastAsia" w:ascii="仿宋" w:hAnsi="仿宋" w:eastAsia="仿宋"/>
          <w:color w:val="000000"/>
          <w:kern w:val="0"/>
          <w:sz w:val="24"/>
          <w:szCs w:val="22"/>
        </w:rPr>
        <w:t>质疑联系方式：0575-</w:t>
      </w:r>
      <w:r>
        <w:rPr>
          <w:rFonts w:hint="default" w:ascii="仿宋" w:hAnsi="仿宋" w:eastAsia="仿宋"/>
          <w:color w:val="000000"/>
          <w:kern w:val="0"/>
          <w:sz w:val="24"/>
          <w:szCs w:val="22"/>
        </w:rPr>
        <w:t>85155702</w:t>
      </w:r>
    </w:p>
    <w:p>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kern w:val="0"/>
          <w:sz w:val="24"/>
        </w:rPr>
        <w:t>耀华建设管理有限公司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kern w:val="0"/>
          <w:sz w:val="24"/>
        </w:rPr>
        <w:t>绍兴市越城区阳明北路80号滨江大厦C楼3楼309号</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kern w:val="0"/>
          <w:sz w:val="24"/>
          <w:lang w:val="en-US" w:eastAsia="zh-CN"/>
        </w:rPr>
        <w:t>凌静</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kern w:val="0"/>
          <w:sz w:val="24"/>
        </w:rPr>
        <w:t>0575-88776697</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kern w:val="0"/>
          <w:sz w:val="24"/>
          <w:lang w:eastAsia="zh-CN"/>
        </w:rPr>
        <w:t>郭虹</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kern w:val="0"/>
          <w:sz w:val="24"/>
        </w:rPr>
        <w:t>0575-88336881</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Times New Roman"/>
          <w:kern w:val="0"/>
          <w:sz w:val="24"/>
        </w:rPr>
        <w:t>绍兴市财政局</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Times New Roman"/>
          <w:kern w:val="0"/>
          <w:sz w:val="24"/>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sz w:val="24"/>
        </w:rPr>
        <w:t>0575-85209806</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w:t>
      </w:r>
      <w:r>
        <w:rPr>
          <w:rFonts w:hint="eastAsia" w:ascii="仿宋" w:hAnsi="仿宋" w:eastAsia="仿宋" w:cs="仿宋"/>
          <w:sz w:val="24"/>
        </w:rPr>
        <w:t>张婷婷</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sz w:val="24"/>
        </w:rPr>
        <w:t>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keepNext w:val="0"/>
        <w:keepLines w:val="0"/>
        <w:pageBreakBefore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70"/>
        <w:gridCol w:w="7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highlight w:val="green"/>
              </w:rPr>
            </w:pPr>
            <w:r>
              <w:rPr>
                <w:rFonts w:hint="eastAsia" w:ascii="仿宋" w:hAnsi="仿宋" w:eastAsia="仿宋" w:cs="仿宋"/>
                <w:b/>
                <w:sz w:val="24"/>
              </w:rPr>
              <w:t>分包：</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同意将非主体、</w:t>
            </w:r>
            <w:r>
              <w:rPr>
                <w:rFonts w:hint="eastAsia" w:ascii="仿宋" w:hAnsi="仿宋" w:eastAsia="仿宋" w:cs="仿宋"/>
                <w:sz w:val="24"/>
                <w:highlight w:val="none"/>
              </w:rPr>
              <w:t>非关键性的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288" w:lineRule="auto"/>
              <w:ind w:left="0" w:leftChars="0" w:right="0" w:rightChars="0" w:firstLine="630" w:firstLineChars="30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lang w:val="en-US" w:eastAsia="zh-CN"/>
                  </w:rPr>
                  <w:t xml:space="preserve"> </w:t>
                </w:r>
                <w:r>
                  <w:rPr>
                    <w:rFonts w:hint="eastAsia" w:ascii="仿宋" w:hAnsi="仿宋" w:eastAsia="仿宋" w:cs="仿宋"/>
                    <w:sz w:val="24"/>
                    <w:szCs w:val="24"/>
                  </w:rPr>
                  <w:sym w:font="Wingdings" w:char="00FE"/>
                </w:r>
              </w:sdtContent>
            </w:sdt>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否；</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keepNext w:val="0"/>
              <w:keepLines w:val="0"/>
              <w:pageBreakBefore w:val="0"/>
              <w:kinsoku/>
              <w:wordWrap/>
              <w:overflowPunct/>
              <w:topLinePunct w:val="0"/>
              <w:bidi w:val="0"/>
              <w:spacing w:line="288" w:lineRule="auto"/>
              <w:rPr>
                <w:rFonts w:ascii="仿宋" w:hAnsi="仿宋" w:eastAsia="仿宋" w:cs="仿宋"/>
                <w:b/>
                <w:color w:val="000000"/>
                <w:sz w:val="24"/>
              </w:rPr>
            </w:pPr>
            <w:r>
              <w:rPr>
                <w:rFonts w:hint="eastAsia" w:ascii="仿宋" w:hAnsi="仿宋" w:eastAsia="仿宋" w:cs="仿宋"/>
                <w:b/>
                <w:color w:val="000000"/>
                <w:sz w:val="24"/>
              </w:rPr>
              <w:t>方案讲解演示：</w:t>
            </w:r>
          </w:p>
          <w:p>
            <w:pPr>
              <w:keepNext w:val="0"/>
              <w:keepLines w:val="0"/>
              <w:pageBreakBefore w:val="0"/>
              <w:kinsoku/>
              <w:wordWrap/>
              <w:overflowPunct/>
              <w:topLinePunct w:val="0"/>
              <w:bidi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pPr>
              <w:keepNext w:val="0"/>
              <w:keepLines w:val="0"/>
              <w:pageBreakBefore w:val="0"/>
              <w:kinsoku/>
              <w:wordWrap/>
              <w:overflowPunct/>
              <w:topLinePunct w:val="0"/>
              <w:bidi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00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00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000" w:type="dxa"/>
            <w:vAlign w:val="center"/>
          </w:tcPr>
          <w:p>
            <w:pPr>
              <w:keepNext w:val="0"/>
              <w:keepLines w:val="0"/>
              <w:pageBreakBefore w:val="0"/>
              <w:widowControl/>
              <w:suppressLineNumbers w:val="0"/>
              <w:kinsoku/>
              <w:wordWrap/>
              <w:overflowPunct/>
              <w:topLinePunct w:val="0"/>
              <w:bidi w:val="0"/>
              <w:spacing w:line="288" w:lineRule="auto"/>
              <w:jc w:val="lef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kern w:val="0"/>
                <w:sz w:val="24"/>
                <w:u w:val="single"/>
                <w:lang w:val="en-US" w:eastAsia="zh-CN"/>
              </w:rPr>
              <w:t>01标</w:t>
            </w:r>
            <w:r>
              <w:rPr>
                <w:rFonts w:hint="eastAsia" w:ascii="仿宋" w:hAnsi="仿宋" w:eastAsia="仿宋" w:cs="仿宋"/>
                <w:kern w:val="0"/>
                <w:sz w:val="24"/>
              </w:rPr>
              <w:t>，属于</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其他未列明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370" w:type="dxa"/>
            <w:vMerge w:val="restart"/>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370" w:type="dxa"/>
            <w:vMerge w:val="continue"/>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370" w:type="dxa"/>
            <w:vMerge w:val="continue"/>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kinsoku/>
              <w:wordWrap/>
              <w:overflowPunct/>
              <w:topLinePunct w:val="0"/>
              <w:bidi w:val="0"/>
              <w:snapToGrid w:val="0"/>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pPr>
              <w:keepNext w:val="0"/>
              <w:keepLines w:val="0"/>
              <w:pageBreakBefore w:val="0"/>
              <w:numPr>
                <w:ilvl w:val="0"/>
                <w:numId w:val="2"/>
              </w:numPr>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b w:val="0"/>
                <w:sz w:val="24"/>
                <w:szCs w:val="24"/>
              </w:rPr>
              <w:t>采购代理服务费</w:t>
            </w:r>
            <w:r>
              <w:rPr>
                <w:rFonts w:hint="eastAsia" w:ascii="仿宋" w:hAnsi="仿宋" w:eastAsia="仿宋" w:cs="仿宋"/>
                <w:b w:val="0"/>
                <w:sz w:val="24"/>
                <w:szCs w:val="24"/>
                <w:lang w:val="en-US" w:eastAsia="zh-CN"/>
              </w:rPr>
              <w:t>5000元由</w:t>
            </w:r>
            <w:r>
              <w:rPr>
                <w:rFonts w:hint="eastAsia" w:ascii="仿宋" w:hAnsi="仿宋" w:eastAsia="仿宋" w:cs="仿宋"/>
                <w:sz w:val="24"/>
                <w:szCs w:val="24"/>
              </w:rPr>
              <w:t>采购人</w:t>
            </w:r>
            <w:r>
              <w:rPr>
                <w:rFonts w:hint="eastAsia" w:ascii="仿宋" w:hAnsi="仿宋" w:eastAsia="仿宋" w:cs="仿宋"/>
                <w:sz w:val="24"/>
                <w:szCs w:val="24"/>
                <w:lang w:eastAsia="zh-CN"/>
              </w:rPr>
              <w:t>支付。</w:t>
            </w:r>
          </w:p>
          <w:p>
            <w:pPr>
              <w:keepNext w:val="0"/>
              <w:keepLines w:val="0"/>
              <w:pageBreakBefore w:val="0"/>
              <w:numPr>
                <w:ilvl w:val="0"/>
                <w:numId w:val="2"/>
              </w:numPr>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代理服务费的交纳方式：</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pPr>
              <w:keepNext w:val="0"/>
              <w:keepLines w:val="0"/>
              <w:pageBreakBefore w:val="0"/>
              <w:kinsoku/>
              <w:wordWrap/>
              <w:overflowPunct/>
              <w:topLinePunct w:val="0"/>
              <w:bidi w:val="0"/>
              <w:spacing w:line="288" w:lineRule="auto"/>
              <w:rPr>
                <w:rFonts w:hint="eastAsia" w:ascii="仿宋" w:hAnsi="仿宋" w:eastAsia="仿宋" w:cs="仿宋"/>
                <w:kern w:val="2"/>
                <w:sz w:val="21"/>
                <w:szCs w:val="24"/>
                <w:lang w:val="en-US" w:eastAsia="zh-CN" w:bidi="ar-SA"/>
              </w:rPr>
            </w:pPr>
            <w:r>
              <w:rPr>
                <w:rFonts w:hint="eastAsia" w:ascii="仿宋" w:hAnsi="仿宋" w:eastAsia="仿宋" w:cs="仿宋"/>
                <w:sz w:val="24"/>
                <w:szCs w:val="24"/>
              </w:rPr>
              <w:t>开 户 行：交通银行股份有限公司绍兴迪荡支行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2"/>
          <w:szCs w:val="32"/>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288" w:lineRule="auto"/>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288" w:lineRule="auto"/>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sz w:val="24"/>
        </w:rPr>
        <w:t>”系指不适用本项目的要求。</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3.2支持绿色发展</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★4.特别说明：</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keepNext w:val="0"/>
        <w:keepLines w:val="0"/>
        <w:pageBreakBefore w:val="0"/>
        <w:kinsoku/>
        <w:wordWrap/>
        <w:overflowPunct/>
        <w:topLinePunct w:val="0"/>
        <w:bidi w:val="0"/>
        <w:spacing w:line="288" w:lineRule="auto"/>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288" w:lineRule="auto"/>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投标费用</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招标文件的修改</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288"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288" w:lineRule="auto"/>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3" w:firstLineChars="300"/>
        <w:textAlignment w:val="auto"/>
        <w:rPr>
          <w:rFonts w:hint="eastAsia" w:ascii="仿宋" w:hAnsi="仿宋" w:eastAsia="仿宋" w:cs="仿宋"/>
          <w:b/>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2"/>
        <w:keepNext w:val="0"/>
        <w:keepLines w:val="0"/>
        <w:pageBreakBefore w:val="0"/>
        <w:kinsoku/>
        <w:wordWrap/>
        <w:overflowPunct/>
        <w:topLinePunct w:val="0"/>
        <w:bidi w:val="0"/>
        <w:spacing w:before="0" w:line="288" w:lineRule="auto"/>
        <w:ind w:firstLine="0" w:firstLineChars="0"/>
        <w:textAlignment w:val="auto"/>
        <w:rPr>
          <w:rFonts w:hint="eastAsia" w:ascii="仿宋" w:hAnsi="仿宋" w:eastAsia="仿宋" w:cs="仿宋"/>
          <w:b/>
          <w:szCs w:val="24"/>
        </w:rPr>
      </w:pPr>
      <w:r>
        <w:rPr>
          <w:rFonts w:hint="eastAsia" w:ascii="仿宋" w:hAnsi="仿宋" w:eastAsia="仿宋" w:cs="仿宋"/>
          <w:b/>
          <w:szCs w:val="24"/>
          <w:lang w:val="en-US" w:eastAsia="zh-CN"/>
        </w:rPr>
        <w:t>5</w:t>
      </w:r>
      <w:r>
        <w:rPr>
          <w:rFonts w:hint="eastAsia" w:ascii="仿宋" w:hAnsi="仿宋" w:eastAsia="仿宋" w:cs="仿宋"/>
          <w:b/>
          <w:szCs w:val="24"/>
        </w:rPr>
        <w:t>.投标文件的提交、补充、修改、撤回</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keepNext w:val="0"/>
        <w:keepLines w:val="0"/>
        <w:pageBreakBefore w:val="0"/>
        <w:kinsoku/>
        <w:wordWrap/>
        <w:overflowPunct/>
        <w:topLinePunct w:val="0"/>
        <w:bidi w:val="0"/>
        <w:adjustRightInd w:val="0"/>
        <w:spacing w:line="288" w:lineRule="auto"/>
        <w:ind w:left="0" w:leftChars="0" w:firstLine="0" w:firstLineChars="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288" w:lineRule="auto"/>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b/>
          <w:kern w:val="0"/>
          <w:sz w:val="24"/>
        </w:rPr>
      </w:pPr>
      <w:r>
        <w:rPr>
          <w:rFonts w:hint="eastAsia" w:ascii="仿宋" w:hAnsi="仿宋" w:eastAsia="仿宋" w:cs="仿宋"/>
          <w:b/>
          <w:kern w:val="0"/>
          <w:sz w:val="24"/>
        </w:rPr>
        <w:t>9</w:t>
      </w:r>
      <w:r>
        <w:rPr>
          <w:rFonts w:hint="eastAsia" w:ascii="仿宋" w:hAnsi="仿宋" w:eastAsia="仿宋" w:cs="仿宋"/>
          <w:b/>
          <w:kern w:val="0"/>
          <w:sz w:val="24"/>
          <w:lang w:val="en-US" w:eastAsia="zh-CN"/>
        </w:rPr>
        <w:t>.</w:t>
      </w:r>
      <w:r>
        <w:rPr>
          <w:rFonts w:hint="eastAsia" w:ascii="仿宋" w:hAnsi="仿宋" w:eastAsia="仿宋" w:cs="仿宋"/>
          <w:b/>
          <w:kern w:val="0"/>
          <w:sz w:val="24"/>
        </w:rPr>
        <w:t>评标过程保密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150"/>
        <w:jc w:val="center"/>
        <w:textAlignment w:val="auto"/>
        <w:rPr>
          <w:rFonts w:hint="eastAsia" w:ascii="仿宋" w:hAnsi="仿宋" w:eastAsia="仿宋" w:cs="仿宋"/>
          <w:b/>
          <w:sz w:val="32"/>
        </w:rPr>
      </w:pPr>
    </w:p>
    <w:bookmarkEnd w:id="19"/>
    <w:p>
      <w:pPr>
        <w:pStyle w:val="32"/>
        <w:keepNext w:val="0"/>
        <w:keepLines w:val="0"/>
        <w:pageBreakBefore w:val="0"/>
        <w:widowControl w:val="0"/>
        <w:kinsoku/>
        <w:wordWrap/>
        <w:overflowPunct/>
        <w:topLinePunct w:val="0"/>
        <w:autoSpaceDE/>
        <w:autoSpaceDN/>
        <w:bidi w:val="0"/>
        <w:adjustRightInd w:val="0"/>
        <w:spacing w:line="288" w:lineRule="auto"/>
        <w:ind w:firstLine="726"/>
        <w:jc w:val="center"/>
        <w:textAlignment w:val="auto"/>
        <w:rPr>
          <w:rFonts w:hint="eastAsia" w:ascii="仿宋" w:hAnsi="仿宋" w:eastAsia="仿宋" w:cs="仿宋"/>
          <w:b/>
          <w:sz w:val="32"/>
          <w:szCs w:val="32"/>
        </w:rPr>
      </w:pPr>
      <w:bookmarkStart w:id="20" w:name="_Hlt68057669"/>
      <w:bookmarkEnd w:id="20"/>
      <w:bookmarkStart w:id="21" w:name="_Hlt74729768"/>
      <w:bookmarkEnd w:id="21"/>
      <w:bookmarkStart w:id="22" w:name="_Hlt75236290"/>
      <w:bookmarkEnd w:id="22"/>
      <w:bookmarkStart w:id="23" w:name="_Hlt75236011"/>
      <w:bookmarkEnd w:id="23"/>
      <w:bookmarkStart w:id="24" w:name="_Hlt74707468"/>
      <w:bookmarkEnd w:id="24"/>
      <w:bookmarkStart w:id="25" w:name="_Hlt74714665"/>
      <w:bookmarkEnd w:id="25"/>
      <w:bookmarkStart w:id="26" w:name="_Hlt68072998"/>
      <w:bookmarkEnd w:id="26"/>
      <w:bookmarkStart w:id="27" w:name="_Hlt74730295"/>
      <w:bookmarkEnd w:id="27"/>
      <w:bookmarkStart w:id="28" w:name="_Hlt68403820"/>
      <w:bookmarkEnd w:id="28"/>
      <w:bookmarkStart w:id="29" w:name="_Hlt68073093"/>
      <w:bookmarkEnd w:id="29"/>
      <w:bookmarkStart w:id="30" w:name="_Hlt75236101"/>
      <w:bookmarkEnd w:id="30"/>
      <w:bookmarkStart w:id="31" w:name="_Hlt68072990"/>
      <w:bookmarkEnd w:id="31"/>
      <w:bookmarkStart w:id="32" w:name="_Toc81372776"/>
      <w:bookmarkStart w:id="33" w:name="_Toc81372953"/>
      <w:bookmarkStart w:id="34" w:name="_Toc84325929"/>
      <w:r>
        <w:rPr>
          <w:rFonts w:hint="eastAsia" w:ascii="仿宋" w:hAnsi="仿宋" w:eastAsia="仿宋" w:cs="仿宋"/>
          <w:b/>
          <w:sz w:val="32"/>
          <w:szCs w:val="32"/>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288" w:lineRule="auto"/>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288" w:lineRule="auto"/>
        <w:ind w:firstLine="480"/>
        <w:textAlignment w:val="auto"/>
        <w:rPr>
          <w:rFonts w:hint="eastAsia" w:ascii="仿宋" w:hAnsi="仿宋" w:eastAsia="仿宋" w:cs="仿宋"/>
          <w:kern w:val="0"/>
          <w:sz w:val="24"/>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2.供应商询问</w:t>
      </w:r>
    </w:p>
    <w:p>
      <w:pPr>
        <w:keepNext w:val="0"/>
        <w:keepLines w:val="0"/>
        <w:pageBreakBefore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3.供应商质疑</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kinsoku/>
        <w:wordWrap/>
        <w:overflowPunct/>
        <w:topLinePunct w:val="0"/>
        <w:bidi w:val="0"/>
        <w:adjustRightInd w:val="0"/>
        <w:snapToGrid w:val="0"/>
        <w:spacing w:line="288" w:lineRule="auto"/>
        <w:ind w:firstLine="434" w:firstLineChars="181"/>
        <w:jc w:val="both"/>
        <w:textAlignment w:val="auto"/>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outlineLvl w:val="0"/>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6" w:type="default"/>
          <w:pgSz w:w="11906" w:h="16838"/>
          <w:pgMar w:top="1474" w:right="1814" w:bottom="1474" w:left="1814" w:header="851" w:footer="992" w:gutter="0"/>
          <w:pgNumType w:fmt="decimal" w:start="2"/>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snapToGrid w:val="0"/>
        <w:spacing w:line="440" w:lineRule="exact"/>
        <w:jc w:val="left"/>
        <w:rPr>
          <w:rFonts w:ascii="仿宋" w:hAnsi="仿宋" w:eastAsia="仿宋"/>
          <w:bCs/>
          <w:sz w:val="24"/>
        </w:rPr>
      </w:pPr>
      <w:bookmarkStart w:id="36" w:name="第五部分"/>
      <w:bookmarkStart w:id="37" w:name="_Toc86217003"/>
      <w:r>
        <w:rPr>
          <w:rFonts w:hint="eastAsia" w:ascii="仿宋" w:hAnsi="仿宋" w:eastAsia="仿宋"/>
          <w:b/>
          <w:sz w:val="24"/>
        </w:rPr>
        <w:t>1.项目名称：</w:t>
      </w:r>
    </w:p>
    <w:p>
      <w:pPr>
        <w:snapToGrid w:val="0"/>
        <w:spacing w:line="440" w:lineRule="exact"/>
        <w:jc w:val="left"/>
        <w:rPr>
          <w:rFonts w:ascii="仿宋" w:hAnsi="仿宋" w:eastAsia="仿宋"/>
          <w:bCs/>
          <w:color w:val="000000"/>
          <w:sz w:val="24"/>
        </w:rPr>
      </w:pPr>
      <w:r>
        <w:rPr>
          <w:rFonts w:hint="eastAsia" w:eastAsia="仿宋_GB2312"/>
          <w:color w:val="000000"/>
          <w:kern w:val="0"/>
          <w:sz w:val="24"/>
          <w:szCs w:val="24"/>
        </w:rPr>
        <w:t>河道安全运行评估技术服务</w:t>
      </w:r>
      <w:r>
        <w:rPr>
          <w:rFonts w:hint="eastAsia" w:ascii="仿宋" w:hAnsi="仿宋" w:eastAsia="仿宋"/>
          <w:bCs/>
          <w:color w:val="000000"/>
          <w:sz w:val="24"/>
        </w:rPr>
        <w:t>项目</w:t>
      </w:r>
    </w:p>
    <w:p>
      <w:pPr>
        <w:snapToGrid w:val="0"/>
        <w:spacing w:line="440" w:lineRule="exact"/>
        <w:jc w:val="left"/>
        <w:rPr>
          <w:rFonts w:ascii="仿宋" w:hAnsi="仿宋" w:eastAsia="仿宋"/>
          <w:b/>
          <w:sz w:val="24"/>
        </w:rPr>
      </w:pPr>
      <w:r>
        <w:rPr>
          <w:rFonts w:hint="eastAsia" w:ascii="仿宋" w:hAnsi="仿宋" w:eastAsia="仿宋"/>
          <w:b/>
          <w:sz w:val="24"/>
        </w:rPr>
        <w:t>2.项目背景：</w:t>
      </w:r>
    </w:p>
    <w:p>
      <w:pPr>
        <w:spacing w:line="440" w:lineRule="exact"/>
        <w:ind w:firstLine="480" w:firstLineChars="200"/>
        <w:rPr>
          <w:rFonts w:hint="eastAsia" w:eastAsia="仿宋_GB2312"/>
          <w:color w:val="000000"/>
          <w:kern w:val="0"/>
          <w:sz w:val="24"/>
          <w:szCs w:val="24"/>
        </w:rPr>
      </w:pPr>
      <w:r>
        <w:rPr>
          <w:rFonts w:hint="eastAsia" w:eastAsia="仿宋_GB2312"/>
          <w:color w:val="000000"/>
          <w:kern w:val="0"/>
          <w:sz w:val="24"/>
          <w:szCs w:val="24"/>
        </w:rPr>
        <w:t>为提高水利工程运行管理水平，科学辨识与评价水利工程运行隐患，有效防范运行生产安全事故。根据水利部、浙江省水利厅颁布的技术标准、规范、规程和其它有关规定，结合浙江省水利厅深化水利工程标准化管理工作要求，对全市堤防、海塘、闸泵站等开展安全运行抽查与评价工作。</w:t>
      </w:r>
    </w:p>
    <w:p>
      <w:pPr>
        <w:snapToGrid w:val="0"/>
        <w:spacing w:line="440" w:lineRule="exact"/>
        <w:jc w:val="left"/>
        <w:rPr>
          <w:rFonts w:ascii="仿宋" w:hAnsi="仿宋" w:eastAsia="仿宋"/>
          <w:bCs/>
          <w:sz w:val="24"/>
        </w:rPr>
      </w:pPr>
      <w:r>
        <w:rPr>
          <w:rFonts w:hint="eastAsia" w:ascii="仿宋" w:hAnsi="仿宋" w:eastAsia="仿宋"/>
          <w:b/>
          <w:sz w:val="24"/>
        </w:rPr>
        <w:t>3.项目工作内容：</w:t>
      </w:r>
    </w:p>
    <w:p>
      <w:pPr>
        <w:snapToGrid w:val="0"/>
        <w:spacing w:line="440" w:lineRule="exact"/>
        <w:ind w:firstLine="480" w:firstLineChars="200"/>
        <w:jc w:val="left"/>
        <w:rPr>
          <w:rFonts w:ascii="仿宋" w:hAnsi="仿宋" w:eastAsia="仿宋"/>
          <w:bCs/>
          <w:sz w:val="24"/>
        </w:rPr>
      </w:pPr>
      <w:r>
        <w:rPr>
          <w:rFonts w:hint="eastAsia" w:eastAsia="仿宋_GB2312"/>
          <w:color w:val="000000"/>
          <w:kern w:val="0"/>
          <w:sz w:val="24"/>
          <w:szCs w:val="24"/>
        </w:rPr>
        <w:t>对全市堤防、</w:t>
      </w:r>
      <w:r>
        <w:rPr>
          <w:rFonts w:hint="eastAsia" w:eastAsia="仿宋_GB2312"/>
          <w:color w:val="000000"/>
          <w:kern w:val="0"/>
          <w:sz w:val="24"/>
          <w:szCs w:val="24"/>
          <w:lang w:eastAsia="zh-CN"/>
        </w:rPr>
        <w:t>水</w:t>
      </w:r>
      <w:r>
        <w:rPr>
          <w:rFonts w:hint="eastAsia" w:eastAsia="仿宋_GB2312"/>
          <w:color w:val="000000"/>
          <w:kern w:val="0"/>
          <w:sz w:val="24"/>
          <w:szCs w:val="24"/>
        </w:rPr>
        <w:t>闸</w:t>
      </w:r>
      <w:r>
        <w:rPr>
          <w:rFonts w:hint="eastAsia" w:eastAsia="仿宋_GB2312"/>
          <w:color w:val="000000"/>
          <w:kern w:val="0"/>
          <w:sz w:val="24"/>
          <w:szCs w:val="24"/>
          <w:lang w:eastAsia="zh-CN"/>
        </w:rPr>
        <w:t>、</w:t>
      </w:r>
      <w:r>
        <w:rPr>
          <w:rFonts w:hint="eastAsia" w:eastAsia="仿宋_GB2312"/>
          <w:color w:val="000000"/>
          <w:kern w:val="0"/>
          <w:sz w:val="24"/>
          <w:szCs w:val="24"/>
        </w:rPr>
        <w:t>泵站等工程开展安全运行检查和指导服务，</w:t>
      </w:r>
      <w:r>
        <w:rPr>
          <w:rFonts w:hint="eastAsia" w:eastAsia="仿宋_GB2312"/>
          <w:color w:val="000000"/>
          <w:kern w:val="0"/>
          <w:sz w:val="24"/>
          <w:szCs w:val="24"/>
          <w:highlight w:val="none"/>
        </w:rPr>
        <w:t>对工程</w:t>
      </w:r>
      <w:r>
        <w:rPr>
          <w:rFonts w:hint="eastAsia" w:eastAsia="仿宋_GB2312"/>
          <w:color w:val="000000"/>
          <w:kern w:val="0"/>
          <w:sz w:val="24"/>
          <w:szCs w:val="24"/>
          <w:highlight w:val="none"/>
          <w:lang w:eastAsia="zh-CN"/>
        </w:rPr>
        <w:t>控制运用、维修养护、白蚁防治、</w:t>
      </w:r>
      <w:r>
        <w:rPr>
          <w:rFonts w:hint="eastAsia" w:eastAsia="仿宋_GB2312"/>
          <w:color w:val="000000"/>
          <w:kern w:val="0"/>
          <w:sz w:val="24"/>
          <w:szCs w:val="24"/>
          <w:highlight w:val="none"/>
        </w:rPr>
        <w:t>安全</w:t>
      </w:r>
      <w:r>
        <w:rPr>
          <w:rFonts w:hint="eastAsia" w:eastAsia="仿宋_GB2312"/>
          <w:color w:val="000000"/>
          <w:kern w:val="0"/>
          <w:sz w:val="24"/>
          <w:szCs w:val="24"/>
          <w:highlight w:val="none"/>
          <w:lang w:eastAsia="zh-CN"/>
        </w:rPr>
        <w:t>管理</w:t>
      </w:r>
      <w:r>
        <w:rPr>
          <w:rFonts w:hint="eastAsia" w:eastAsia="仿宋_GB2312"/>
          <w:color w:val="000000"/>
          <w:kern w:val="0"/>
          <w:sz w:val="24"/>
          <w:szCs w:val="24"/>
          <w:highlight w:val="none"/>
        </w:rPr>
        <w:t>、信息管理等提出意见建议，并做</w:t>
      </w:r>
      <w:r>
        <w:rPr>
          <w:rFonts w:hint="eastAsia" w:eastAsia="仿宋_GB2312"/>
          <w:color w:val="000000"/>
          <w:kern w:val="0"/>
          <w:sz w:val="24"/>
          <w:szCs w:val="24"/>
        </w:rPr>
        <w:t>好回头看复核等，指导督促加快问题整改，</w:t>
      </w:r>
      <w:r>
        <w:rPr>
          <w:rFonts w:eastAsia="仿宋_GB2312"/>
          <w:color w:val="000000"/>
          <w:kern w:val="0"/>
          <w:sz w:val="24"/>
          <w:szCs w:val="24"/>
        </w:rPr>
        <w:t>全年</w:t>
      </w:r>
      <w:r>
        <w:rPr>
          <w:rFonts w:hint="eastAsia" w:eastAsia="仿宋_GB2312"/>
          <w:color w:val="000000"/>
          <w:kern w:val="0"/>
          <w:sz w:val="24"/>
          <w:szCs w:val="24"/>
        </w:rPr>
        <w:t>完成50个以上工程</w:t>
      </w:r>
      <w:r>
        <w:rPr>
          <w:rFonts w:eastAsia="仿宋_GB2312"/>
          <w:color w:val="000000"/>
          <w:kern w:val="0"/>
          <w:sz w:val="24"/>
          <w:szCs w:val="24"/>
        </w:rPr>
        <w:t>抽查工作。</w:t>
      </w:r>
    </w:p>
    <w:p>
      <w:pPr>
        <w:snapToGrid w:val="0"/>
        <w:spacing w:line="440" w:lineRule="exact"/>
        <w:jc w:val="left"/>
        <w:rPr>
          <w:rFonts w:hint="eastAsia" w:ascii="仿宋" w:hAnsi="仿宋" w:eastAsia="仿宋"/>
          <w:b/>
          <w:color w:val="0000FF"/>
          <w:sz w:val="24"/>
        </w:rPr>
      </w:pPr>
      <w:r>
        <w:rPr>
          <w:rFonts w:hint="eastAsia" w:ascii="仿宋" w:hAnsi="仿宋" w:eastAsia="仿宋"/>
          <w:b/>
          <w:sz w:val="24"/>
        </w:rPr>
        <w:t>4.成果要求 ：</w:t>
      </w:r>
    </w:p>
    <w:p>
      <w:pPr>
        <w:snapToGrid w:val="0"/>
        <w:spacing w:line="440" w:lineRule="exact"/>
        <w:jc w:val="left"/>
        <w:rPr>
          <w:rFonts w:ascii="仿宋" w:hAnsi="仿宋" w:eastAsia="仿宋"/>
          <w:bCs/>
          <w:sz w:val="24"/>
        </w:rPr>
      </w:pPr>
      <w:r>
        <w:rPr>
          <w:rFonts w:ascii="仿宋" w:eastAsia="仿宋"/>
          <w:color w:val="000000"/>
          <w:kern w:val="0"/>
          <w:sz w:val="24"/>
        </w:rPr>
        <w:t xml:space="preserve">    </w:t>
      </w:r>
      <w:r>
        <w:rPr>
          <w:rFonts w:hint="eastAsia" w:ascii="仿宋" w:eastAsia="仿宋"/>
          <w:color w:val="000000"/>
          <w:kern w:val="0"/>
          <w:sz w:val="24"/>
        </w:rPr>
        <w:t>根据业主需求开展的相关技术服务，编制相关报告。</w:t>
      </w:r>
    </w:p>
    <w:p>
      <w:pPr>
        <w:snapToGrid w:val="0"/>
        <w:spacing w:line="440" w:lineRule="exact"/>
        <w:jc w:val="left"/>
        <w:rPr>
          <w:rFonts w:ascii="仿宋" w:hAnsi="仿宋" w:eastAsia="仿宋"/>
          <w:bCs/>
          <w:sz w:val="24"/>
        </w:rPr>
      </w:pPr>
      <w:r>
        <w:rPr>
          <w:rFonts w:hint="eastAsia" w:ascii="仿宋" w:hAnsi="仿宋" w:eastAsia="仿宋"/>
          <w:b/>
          <w:sz w:val="24"/>
        </w:rPr>
        <w:t>5.工作要求：</w:t>
      </w:r>
    </w:p>
    <w:p>
      <w:pPr>
        <w:snapToGrid w:val="0"/>
        <w:spacing w:line="440" w:lineRule="exact"/>
        <w:ind w:firstLine="480" w:firstLineChars="200"/>
        <w:jc w:val="left"/>
        <w:rPr>
          <w:rFonts w:ascii="仿宋" w:hAnsi="仿宋" w:eastAsia="仿宋"/>
          <w:bCs/>
          <w:sz w:val="24"/>
        </w:rPr>
      </w:pPr>
      <w:r>
        <w:rPr>
          <w:rFonts w:hint="eastAsia" w:ascii="仿宋" w:hAnsi="仿宋" w:eastAsia="仿宋"/>
          <w:bCs/>
          <w:sz w:val="24"/>
        </w:rPr>
        <w:t>投标单位应在投标文件中附详细工作方案，明确项目组成员及分工方案、工作基础、技术路线与工作重点、工作衔接方案、项目进度计划安排和保证措施、成果质量保证措施、预期成果体系及表现形式等内容。</w:t>
      </w:r>
    </w:p>
    <w:p>
      <w:pPr>
        <w:snapToGrid w:val="0"/>
        <w:spacing w:line="440" w:lineRule="exact"/>
        <w:jc w:val="left"/>
        <w:rPr>
          <w:rFonts w:ascii="仿宋" w:hAnsi="仿宋" w:eastAsia="仿宋"/>
          <w:bCs/>
          <w:sz w:val="24"/>
        </w:rPr>
      </w:pPr>
      <w:r>
        <w:rPr>
          <w:rFonts w:hint="eastAsia" w:ascii="仿宋" w:hAnsi="仿宋" w:eastAsia="仿宋"/>
          <w:bCs/>
          <w:sz w:val="24"/>
        </w:rPr>
        <w:t>（1）项目组成员及分工方案</w:t>
      </w:r>
    </w:p>
    <w:p>
      <w:pPr>
        <w:snapToGrid w:val="0"/>
        <w:spacing w:line="440" w:lineRule="exact"/>
        <w:ind w:firstLine="480" w:firstLineChars="200"/>
        <w:jc w:val="left"/>
        <w:rPr>
          <w:rFonts w:ascii="仿宋" w:hAnsi="仿宋" w:eastAsia="仿宋"/>
          <w:bCs/>
          <w:color w:val="FF0000"/>
          <w:sz w:val="24"/>
        </w:rPr>
      </w:pPr>
      <w:r>
        <w:rPr>
          <w:rFonts w:hint="eastAsia" w:ascii="仿宋" w:hAnsi="仿宋" w:eastAsia="仿宋"/>
          <w:bCs/>
          <w:sz w:val="24"/>
        </w:rPr>
        <w:t>明确项目负责人及其主要职责、工作任务安排，项目负责人应具有高级工程师资格及以上职称，具有类似项目工作业绩。项目组成员按照工作岗位和专业特长进行合理分工和工作量分配，形成较为完善的工作组织。</w:t>
      </w:r>
    </w:p>
    <w:p>
      <w:pPr>
        <w:snapToGrid w:val="0"/>
        <w:spacing w:line="440" w:lineRule="exact"/>
        <w:jc w:val="left"/>
        <w:rPr>
          <w:rFonts w:ascii="仿宋" w:hAnsi="仿宋" w:eastAsia="仿宋"/>
          <w:bCs/>
          <w:sz w:val="24"/>
        </w:rPr>
      </w:pPr>
      <w:r>
        <w:rPr>
          <w:rFonts w:hint="eastAsia" w:ascii="仿宋" w:hAnsi="仿宋" w:eastAsia="仿宋"/>
          <w:bCs/>
          <w:sz w:val="24"/>
        </w:rPr>
        <w:t>（2）工作基础</w:t>
      </w:r>
    </w:p>
    <w:p>
      <w:pPr>
        <w:snapToGrid w:val="0"/>
        <w:spacing w:line="440" w:lineRule="exact"/>
        <w:ind w:firstLine="480" w:firstLineChars="200"/>
        <w:jc w:val="left"/>
        <w:rPr>
          <w:rFonts w:ascii="仿宋" w:hAnsi="仿宋" w:eastAsia="仿宋"/>
          <w:bCs/>
          <w:sz w:val="24"/>
        </w:rPr>
      </w:pPr>
      <w:r>
        <w:rPr>
          <w:rFonts w:hint="eastAsia" w:ascii="仿宋" w:hAnsi="仿宋" w:eastAsia="仿宋"/>
          <w:bCs/>
          <w:sz w:val="24"/>
        </w:rPr>
        <w:t>为满足报告编制，应充分利用己完成或正在编制的有关规划与划界、标准化基础资料，对已有的工作基础进行梳理，对工作基础尚存在薄弱环节的，应提出合理的补充收资方案或调研方案。</w:t>
      </w:r>
    </w:p>
    <w:p>
      <w:pPr>
        <w:snapToGrid w:val="0"/>
        <w:spacing w:line="440" w:lineRule="exact"/>
        <w:jc w:val="left"/>
        <w:rPr>
          <w:rFonts w:ascii="仿宋" w:hAnsi="仿宋" w:eastAsia="仿宋"/>
          <w:bCs/>
          <w:sz w:val="24"/>
        </w:rPr>
      </w:pPr>
      <w:r>
        <w:rPr>
          <w:rFonts w:hint="eastAsia" w:ascii="仿宋" w:hAnsi="仿宋" w:eastAsia="仿宋"/>
          <w:bCs/>
          <w:sz w:val="24"/>
        </w:rPr>
        <w:t>（3）技术路线与工作重点</w:t>
      </w:r>
    </w:p>
    <w:p>
      <w:pPr>
        <w:snapToGrid w:val="0"/>
        <w:spacing w:line="440" w:lineRule="exact"/>
        <w:ind w:firstLine="480" w:firstLineChars="200"/>
        <w:jc w:val="left"/>
        <w:rPr>
          <w:rFonts w:ascii="仿宋" w:hAnsi="仿宋" w:eastAsia="仿宋"/>
          <w:bCs/>
          <w:sz w:val="24"/>
        </w:rPr>
      </w:pPr>
      <w:r>
        <w:rPr>
          <w:rFonts w:hint="eastAsia" w:ascii="仿宋" w:hAnsi="仿宋" w:eastAsia="仿宋"/>
          <w:bCs/>
          <w:sz w:val="24"/>
        </w:rPr>
        <w:t>针对报告编制任务，理清报告编制的工作思路，并建立报告编制工作技术路线图。项目工作思路清晰、技术路线正确、工作重点把握明确，可操作性强。</w:t>
      </w:r>
    </w:p>
    <w:p>
      <w:pPr>
        <w:snapToGrid w:val="0"/>
        <w:spacing w:line="440" w:lineRule="exact"/>
        <w:jc w:val="left"/>
        <w:rPr>
          <w:rFonts w:ascii="仿宋" w:hAnsi="仿宋" w:eastAsia="仿宋"/>
          <w:bCs/>
          <w:sz w:val="24"/>
        </w:rPr>
      </w:pPr>
      <w:r>
        <w:rPr>
          <w:rFonts w:hint="eastAsia" w:ascii="仿宋" w:hAnsi="仿宋" w:eastAsia="仿宋"/>
          <w:bCs/>
          <w:sz w:val="24"/>
        </w:rPr>
        <w:t>（4）项目进度计划安排合理性和保证措施</w:t>
      </w:r>
    </w:p>
    <w:p>
      <w:pPr>
        <w:snapToGrid w:val="0"/>
        <w:spacing w:line="440" w:lineRule="exact"/>
        <w:ind w:firstLine="480" w:firstLineChars="200"/>
        <w:jc w:val="left"/>
        <w:rPr>
          <w:rFonts w:ascii="仿宋" w:hAnsi="仿宋" w:eastAsia="仿宋"/>
          <w:bCs/>
          <w:sz w:val="24"/>
        </w:rPr>
      </w:pPr>
      <w:r>
        <w:rPr>
          <w:rFonts w:hint="eastAsia" w:ascii="仿宋" w:hAnsi="仿宋" w:eastAsia="仿宋"/>
          <w:bCs/>
          <w:sz w:val="24"/>
        </w:rPr>
        <w:t>对项目开展的关键节点、进度计划进行合理安排，细化关键节点之间的进度安排，并提出确保各关键节点任务完成的保证措施。</w:t>
      </w:r>
    </w:p>
    <w:p>
      <w:pPr>
        <w:snapToGrid w:val="0"/>
        <w:spacing w:line="440" w:lineRule="exact"/>
        <w:jc w:val="left"/>
        <w:rPr>
          <w:rFonts w:ascii="仿宋" w:hAnsi="仿宋" w:eastAsia="仿宋"/>
          <w:bCs/>
          <w:sz w:val="24"/>
        </w:rPr>
      </w:pPr>
      <w:r>
        <w:rPr>
          <w:rFonts w:hint="eastAsia" w:ascii="仿宋" w:hAnsi="仿宋" w:eastAsia="仿宋"/>
          <w:bCs/>
          <w:sz w:val="24"/>
        </w:rPr>
        <w:t>（6）成果质量保证措施</w:t>
      </w:r>
    </w:p>
    <w:p>
      <w:pPr>
        <w:snapToGrid w:val="0"/>
        <w:spacing w:line="440" w:lineRule="exact"/>
        <w:jc w:val="left"/>
        <w:rPr>
          <w:rFonts w:ascii="仿宋" w:hAnsi="仿宋" w:eastAsia="仿宋"/>
          <w:bCs/>
          <w:sz w:val="24"/>
        </w:rPr>
      </w:pPr>
      <w:r>
        <w:rPr>
          <w:rFonts w:ascii="仿宋" w:hAnsi="仿宋" w:eastAsia="仿宋"/>
          <w:bCs/>
          <w:sz w:val="24"/>
        </w:rPr>
        <w:t xml:space="preserve">   </w:t>
      </w:r>
      <w:r>
        <w:rPr>
          <w:rFonts w:hint="eastAsia" w:ascii="仿宋" w:hAnsi="仿宋" w:eastAsia="仿宋"/>
          <w:bCs/>
          <w:sz w:val="24"/>
        </w:rPr>
        <w:t>为提升报告编制水平和数据库成果质量，提出可操作的质量控制措施，遵循严格的质量保障制度，提出可行的保证措施。</w:t>
      </w:r>
    </w:p>
    <w:p>
      <w:pPr>
        <w:snapToGrid w:val="0"/>
        <w:spacing w:line="440" w:lineRule="exact"/>
        <w:jc w:val="left"/>
        <w:rPr>
          <w:rFonts w:ascii="仿宋" w:hAnsi="仿宋" w:eastAsia="仿宋"/>
          <w:b/>
          <w:sz w:val="24"/>
        </w:rPr>
      </w:pPr>
      <w:r>
        <w:rPr>
          <w:rFonts w:hint="eastAsia" w:ascii="仿宋" w:hAnsi="仿宋" w:eastAsia="仿宋"/>
          <w:b/>
          <w:sz w:val="24"/>
        </w:rPr>
        <w:t>6.服务时间要求：</w:t>
      </w:r>
    </w:p>
    <w:p>
      <w:pPr>
        <w:snapToGrid w:val="0"/>
        <w:spacing w:line="440" w:lineRule="exact"/>
        <w:jc w:val="left"/>
        <w:rPr>
          <w:rFonts w:ascii="仿宋" w:hAnsi="仿宋" w:eastAsia="仿宋"/>
          <w:b/>
          <w:sz w:val="24"/>
        </w:rPr>
      </w:pPr>
      <w:r>
        <w:rPr>
          <w:rFonts w:hint="eastAsia" w:ascii="仿宋" w:hAnsi="仿宋" w:eastAsia="仿宋"/>
          <w:bCs/>
          <w:sz w:val="24"/>
        </w:rPr>
        <w:t>服务期限为一年。</w:t>
      </w:r>
    </w:p>
    <w:p>
      <w:pPr>
        <w:snapToGrid w:val="0"/>
        <w:spacing w:line="440" w:lineRule="exact"/>
        <w:jc w:val="left"/>
        <w:rPr>
          <w:rFonts w:ascii="仿宋" w:hAnsi="仿宋" w:eastAsia="仿宋"/>
          <w:bCs/>
          <w:sz w:val="24"/>
        </w:rPr>
      </w:pPr>
      <w:r>
        <w:rPr>
          <w:rFonts w:hint="eastAsia" w:ascii="仿宋" w:hAnsi="仿宋" w:eastAsia="仿宋"/>
          <w:b/>
          <w:sz w:val="24"/>
        </w:rPr>
        <w:t>7.付款方式：</w:t>
      </w:r>
      <w:r>
        <w:rPr>
          <w:rFonts w:hint="eastAsia" w:ascii="仿宋" w:hAnsi="仿宋" w:eastAsia="仿宋"/>
          <w:bCs/>
          <w:sz w:val="24"/>
          <w:szCs w:val="22"/>
        </w:rPr>
        <w:t>提交</w:t>
      </w:r>
      <w:r>
        <w:rPr>
          <w:rFonts w:hint="default" w:ascii="仿宋" w:hAnsi="仿宋" w:eastAsia="仿宋"/>
          <w:bCs/>
          <w:sz w:val="24"/>
          <w:szCs w:val="22"/>
        </w:rPr>
        <w:t>初步成果</w:t>
      </w:r>
      <w:r>
        <w:rPr>
          <w:rFonts w:hint="eastAsia" w:ascii="仿宋" w:hAnsi="仿宋" w:eastAsia="仿宋"/>
          <w:bCs/>
          <w:sz w:val="24"/>
          <w:szCs w:val="22"/>
        </w:rPr>
        <w:t>支付合同金额的</w:t>
      </w:r>
      <w:r>
        <w:rPr>
          <w:rFonts w:hint="eastAsia" w:ascii="仿宋" w:hAnsi="仿宋" w:eastAsia="仿宋"/>
          <w:bCs/>
          <w:sz w:val="24"/>
          <w:szCs w:val="22"/>
          <w:lang w:val="en-US" w:eastAsia="zh-CN"/>
        </w:rPr>
        <w:t>7</w:t>
      </w:r>
      <w:r>
        <w:rPr>
          <w:rFonts w:hint="eastAsia" w:ascii="仿宋" w:hAnsi="仿宋" w:eastAsia="仿宋"/>
          <w:bCs/>
          <w:sz w:val="24"/>
          <w:szCs w:val="22"/>
        </w:rPr>
        <w:t>0%，</w:t>
      </w:r>
      <w:r>
        <w:rPr>
          <w:rFonts w:hint="default" w:ascii="仿宋" w:hAnsi="仿宋" w:eastAsia="仿宋"/>
          <w:bCs/>
          <w:sz w:val="24"/>
          <w:szCs w:val="22"/>
        </w:rPr>
        <w:t>提交最终报告支付尾款</w:t>
      </w:r>
      <w:r>
        <w:rPr>
          <w:rFonts w:hint="eastAsia" w:ascii="仿宋" w:hAnsi="仿宋" w:eastAsia="仿宋"/>
          <w:bCs/>
          <w:sz w:val="24"/>
          <w:szCs w:val="22"/>
        </w:rPr>
        <w:t>。</w:t>
      </w:r>
    </w:p>
    <w:p>
      <w:pPr>
        <w:snapToGrid w:val="0"/>
        <w:spacing w:line="440" w:lineRule="exact"/>
        <w:jc w:val="left"/>
        <w:rPr>
          <w:rFonts w:ascii="仿宋" w:hAnsi="仿宋" w:eastAsia="仿宋"/>
          <w:bCs/>
          <w:sz w:val="24"/>
        </w:rPr>
      </w:pPr>
      <w:r>
        <w:rPr>
          <w:rFonts w:hint="eastAsia" w:ascii="仿宋" w:hAnsi="仿宋" w:eastAsia="仿宋"/>
          <w:b/>
          <w:sz w:val="24"/>
        </w:rPr>
        <w:t>8.主要依据：</w:t>
      </w:r>
    </w:p>
    <w:p>
      <w:pPr>
        <w:pStyle w:val="2"/>
        <w:spacing w:line="360" w:lineRule="auto"/>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《水利水电工程（水库、水闸）运行危险源辨识与风险评价导则（试行）》；</w:t>
      </w:r>
    </w:p>
    <w:p>
      <w:pPr>
        <w:pStyle w:val="61"/>
        <w:spacing w:after="0" w:line="360" w:lineRule="auto"/>
        <w:ind w:firstLine="0" w:firstLineChars="0"/>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《水利水电工程（堤防、淤地坝）运行危险源辨识与风险评价导则（试行）》；</w:t>
      </w:r>
    </w:p>
    <w:p>
      <w:pPr>
        <w:pStyle w:val="61"/>
        <w:spacing w:after="0" w:line="360" w:lineRule="auto"/>
        <w:ind w:firstLine="0" w:firstLineChars="0"/>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《水利部关于开展水利安全风险分级管控的指导意见》；</w:t>
      </w:r>
    </w:p>
    <w:p>
      <w:pPr>
        <w:snapToGrid w:val="0"/>
        <w:spacing w:line="360" w:lineRule="auto"/>
        <w:jc w:val="left"/>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《浙江省水利工程安全管理条例》；</w:t>
      </w:r>
    </w:p>
    <w:p>
      <w:pPr>
        <w:spacing w:line="360" w:lineRule="auto"/>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《浙江省堤防工程维修养护管理规程》（试行）；</w:t>
      </w:r>
    </w:p>
    <w:p>
      <w:pPr>
        <w:spacing w:line="360" w:lineRule="auto"/>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《浙江省大中型水闸运行管理规程》；</w:t>
      </w:r>
    </w:p>
    <w:p>
      <w:pPr>
        <w:spacing w:line="360" w:lineRule="auto"/>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《浙江省泵站运行管理规程》；</w:t>
      </w:r>
    </w:p>
    <w:p>
      <w:pPr>
        <w:spacing w:line="360" w:lineRule="auto"/>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 xml:space="preserve">  其它有关规定。</w:t>
      </w:r>
    </w:p>
    <w:p>
      <w:pPr>
        <w:numPr>
          <w:ilvl w:val="0"/>
          <w:numId w:val="3"/>
        </w:numPr>
        <w:snapToGrid w:val="0"/>
        <w:spacing w:line="440" w:lineRule="exact"/>
        <w:jc w:val="left"/>
        <w:rPr>
          <w:rFonts w:hint="eastAsia" w:ascii="仿宋" w:hAnsi="仿宋" w:eastAsia="仿宋"/>
          <w:b/>
          <w:sz w:val="24"/>
        </w:rPr>
      </w:pPr>
      <w:r>
        <w:rPr>
          <w:rFonts w:hint="eastAsia" w:ascii="仿宋" w:hAnsi="仿宋" w:eastAsia="仿宋"/>
          <w:b/>
          <w:sz w:val="24"/>
        </w:rPr>
        <w:t>其他</w:t>
      </w:r>
    </w:p>
    <w:p>
      <w:pPr>
        <w:snapToGrid w:val="0"/>
        <w:spacing w:line="44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bCs/>
          <w:sz w:val="24"/>
          <w:lang w:val="en-US" w:eastAsia="zh-CN"/>
        </w:rPr>
        <w:t>1、</w:t>
      </w:r>
      <w:r>
        <w:rPr>
          <w:rFonts w:hint="eastAsia" w:ascii="仿宋" w:hAnsi="仿宋" w:eastAsia="仿宋"/>
          <w:bCs/>
          <w:sz w:val="24"/>
        </w:rPr>
        <w:t>投标供应商的承诺：为维护政府采购的公正性和严肃性，并确保项目实施进展和成果质量，投标供应商应维持项目组成员稳定。投标供应商应书面承诺在项目实施过程中，除不可抗力，项目负责人和项目组主要成员不予更换。承诺书将作为投标文件和合同的组成部分。</w:t>
      </w:r>
    </w:p>
    <w:p>
      <w:pPr>
        <w:widowControl/>
        <w:snapToGrid w:val="0"/>
        <w:spacing w:line="400" w:lineRule="exact"/>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2"/>
          <w:sz w:val="24"/>
          <w:lang w:val="en-US" w:eastAsia="zh-CN" w:bidi="ar-SA"/>
        </w:rPr>
        <w:t>项目实施过程中投标人未有效履行投标服务响应承诺的，招标人有权解除合同，并追究投标人赔偿责任。</w:t>
      </w:r>
    </w:p>
    <w:p>
      <w:pPr>
        <w:pStyle w:val="2"/>
        <w:rPr>
          <w:rFonts w:hint="eastAsia" w:ascii="仿宋" w:hAnsi="仿宋" w:eastAsia="仿宋" w:cs="仿宋"/>
          <w:b/>
          <w:sz w:val="36"/>
          <w:szCs w:val="36"/>
        </w:rPr>
      </w:pPr>
    </w:p>
    <w:p>
      <w:pPr>
        <w:pStyle w:val="61"/>
        <w:rPr>
          <w:rFonts w:hint="eastAsia"/>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88" w:lineRule="auto"/>
        <w:jc w:val="both"/>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pPr>
        <w:pStyle w:val="702"/>
        <w:pageBreakBefore w:val="0"/>
        <w:kinsoku/>
        <w:wordWrap/>
        <w:overflowPunct/>
        <w:topLinePunct w:val="0"/>
        <w:bidi w:val="0"/>
        <w:spacing w:line="288" w:lineRule="auto"/>
        <w:ind w:firstLine="2843" w:firstLineChars="1180"/>
        <w:textAlignment w:val="auto"/>
        <w:rPr>
          <w:rFonts w:hint="eastAsia" w:ascii="仿宋" w:hAnsi="仿宋" w:eastAsia="仿宋" w:cs="仿宋"/>
          <w:b/>
          <w:szCs w:val="24"/>
        </w:rPr>
      </w:pPr>
      <w:r>
        <w:rPr>
          <w:rFonts w:hint="eastAsia" w:ascii="仿宋" w:hAnsi="仿宋" w:eastAsia="仿宋" w:cs="仿宋"/>
          <w:b/>
          <w:szCs w:val="24"/>
        </w:rPr>
        <w:t>第一部分 合同书</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Style w:val="4"/>
        <w:pageBreakBefore w:val="0"/>
        <w:kinsoku/>
        <w:wordWrap/>
        <w:overflowPunct/>
        <w:topLinePunct w:val="0"/>
        <w:bidi w:val="0"/>
        <w:spacing w:line="288" w:lineRule="auto"/>
        <w:textAlignment w:val="auto"/>
        <w:rPr>
          <w:rFonts w:hint="eastAsia" w:ascii="仿宋" w:hAnsi="仿宋" w:eastAsia="仿宋" w:cs="仿宋"/>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widowControl/>
        <w:kinsoku/>
        <w:wordWrap/>
        <w:overflowPunct/>
        <w:topLinePunct w:val="0"/>
        <w:bidi w:val="0"/>
        <w:spacing w:line="288" w:lineRule="auto"/>
        <w:jc w:val="left"/>
        <w:textAlignment w:val="auto"/>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pageBreakBefore w:val="0"/>
        <w:kinsoku/>
        <w:wordWrap/>
        <w:overflowPunct/>
        <w:topLinePunct w:val="0"/>
        <w:bidi w:val="0"/>
        <w:spacing w:line="288" w:lineRule="auto"/>
        <w:textAlignment w:val="auto"/>
        <w:rPr>
          <w:rFonts w:hint="eastAsia" w:ascii="仿宋" w:hAnsi="仿宋" w:eastAsia="仿宋" w:cs="仿宋"/>
          <w:b/>
          <w:sz w:val="24"/>
        </w:rPr>
      </w:pP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38" w:name="_Toc19273"/>
      <w:bookmarkStart w:id="39" w:name="_Toc15367"/>
      <w:bookmarkStart w:id="40" w:name="_Toc28855"/>
      <w:bookmarkStart w:id="41" w:name="_Toc20421"/>
      <w:bookmarkStart w:id="42" w:name="_Toc22967"/>
      <w:r>
        <w:rPr>
          <w:rFonts w:hint="eastAsia" w:ascii="仿宋" w:hAnsi="仿宋" w:eastAsia="仿宋" w:cs="仿宋"/>
          <w:b/>
          <w:sz w:val="24"/>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3" w:name="_Toc2918"/>
      <w:bookmarkStart w:id="44" w:name="_Toc6311"/>
      <w:bookmarkStart w:id="45" w:name="_Toc18585"/>
      <w:bookmarkStart w:id="46" w:name="_Toc22185"/>
      <w:bookmarkStart w:id="47" w:name="_Toc6773"/>
      <w:r>
        <w:rPr>
          <w:rFonts w:hint="eastAsia" w:ascii="仿宋" w:hAnsi="仿宋" w:eastAsia="仿宋" w:cs="仿宋"/>
          <w:b/>
          <w:sz w:val="24"/>
        </w:rPr>
        <w:t>1.2 标的</w:t>
      </w:r>
      <w:bookmarkEnd w:id="43"/>
      <w:bookmarkEnd w:id="44"/>
      <w:bookmarkEnd w:id="45"/>
      <w:bookmarkEnd w:id="46"/>
      <w:bookmarkEnd w:id="47"/>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48" w:name="_Toc4929"/>
      <w:bookmarkStart w:id="49" w:name="_Toc13918"/>
      <w:bookmarkStart w:id="50" w:name="_Toc1386"/>
      <w:bookmarkStart w:id="51" w:name="_Toc21124"/>
      <w:bookmarkStart w:id="52"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3" w:name="_Toc30506"/>
      <w:bookmarkStart w:id="54" w:name="_Toc14993"/>
      <w:bookmarkStart w:id="55" w:name="_Toc30158"/>
      <w:bookmarkStart w:id="56" w:name="_Toc26916"/>
      <w:bookmarkStart w:id="57"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58" w:name="_Toc1814"/>
      <w:bookmarkStart w:id="59" w:name="_Toc22618"/>
      <w:bookmarkStart w:id="60" w:name="_Toc10340"/>
      <w:bookmarkStart w:id="61" w:name="_Toc8772"/>
      <w:bookmarkStart w:id="62" w:name="_Toc11108"/>
      <w:bookmarkStart w:id="63" w:name="_Toc4760"/>
      <w:bookmarkStart w:id="64" w:name="_Toc31421"/>
      <w:bookmarkStart w:id="65" w:name="_Toc3625"/>
      <w:r>
        <w:rPr>
          <w:rFonts w:hint="eastAsia" w:ascii="仿宋" w:hAnsi="仿宋" w:eastAsia="仿宋" w:cs="仿宋"/>
          <w:b/>
        </w:rPr>
        <w:t>1.4履约保证金</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66" w:name="_Toc3079"/>
      <w:bookmarkStart w:id="67" w:name="_Toc8586"/>
      <w:bookmarkStart w:id="68" w:name="_Toc2375"/>
      <w:bookmarkStart w:id="69" w:name="_Toc5698"/>
      <w:bookmarkStart w:id="70" w:name="_Toc24662"/>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1" w:name="_Toc18683"/>
      <w:bookmarkStart w:id="72" w:name="_Toc9497"/>
      <w:bookmarkStart w:id="73" w:name="_Toc26807"/>
      <w:bookmarkStart w:id="74" w:name="_Toc30329"/>
      <w:bookmarkStart w:id="75"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6" w:name="_Toc28375"/>
      <w:bookmarkStart w:id="77" w:name="_Toc15583"/>
      <w:bookmarkStart w:id="78" w:name="_Toc16021"/>
      <w:r>
        <w:rPr>
          <w:rFonts w:hint="eastAsia" w:ascii="仿宋" w:hAnsi="仿宋" w:eastAsia="仿宋" w:cs="仿宋"/>
          <w:b/>
          <w:sz w:val="24"/>
        </w:rPr>
        <w:t>1.9合同争议的解决</w:t>
      </w:r>
      <w:bookmarkEnd w:id="76"/>
      <w:bookmarkEnd w:id="77"/>
      <w:bookmarkEnd w:id="78"/>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9" w:name="_Toc11173"/>
      <w:bookmarkStart w:id="80" w:name="_Toc7245"/>
      <w:bookmarkStart w:id="81" w:name="_Toc15322"/>
      <w:r>
        <w:rPr>
          <w:rFonts w:hint="eastAsia" w:ascii="仿宋" w:hAnsi="仿宋" w:eastAsia="仿宋" w:cs="仿宋"/>
          <w:b/>
          <w:sz w:val="24"/>
        </w:rPr>
        <w:t>2.0 合同生效</w:t>
      </w:r>
      <w:bookmarkEnd w:id="79"/>
      <w:bookmarkEnd w:id="80"/>
      <w:bookmarkEnd w:id="81"/>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pPr>
        <w:pStyle w:val="702"/>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2" w:name="_Toc5228"/>
      <w:bookmarkStart w:id="83" w:name="_Toc31297"/>
      <w:bookmarkStart w:id="84" w:name="_Toc14021"/>
      <w:bookmarkStart w:id="85" w:name="_Toc25079"/>
      <w:bookmarkStart w:id="86" w:name="_Toc19680"/>
      <w:r>
        <w:rPr>
          <w:rFonts w:hint="eastAsia" w:ascii="仿宋" w:hAnsi="仿宋" w:eastAsia="仿宋" w:cs="仿宋"/>
          <w:b/>
          <w:sz w:val="24"/>
        </w:rPr>
        <w:t>2.1 定义</w:t>
      </w:r>
      <w:bookmarkEnd w:id="82"/>
      <w:bookmarkEnd w:id="83"/>
      <w:bookmarkEnd w:id="84"/>
      <w:bookmarkEnd w:id="85"/>
      <w:bookmarkEnd w:id="8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7" w:name="_Toc23289"/>
      <w:bookmarkStart w:id="88" w:name="_Toc16752"/>
      <w:bookmarkStart w:id="89" w:name="_Toc3769"/>
      <w:bookmarkStart w:id="90" w:name="_Toc19539"/>
      <w:bookmarkStart w:id="91" w:name="_Toc31402"/>
      <w:r>
        <w:rPr>
          <w:rFonts w:hint="eastAsia" w:ascii="仿宋" w:hAnsi="仿宋" w:eastAsia="仿宋" w:cs="仿宋"/>
          <w:b/>
          <w:sz w:val="24"/>
        </w:rPr>
        <w:t>2.2 技术规范</w:t>
      </w:r>
      <w:bookmarkEnd w:id="87"/>
      <w:bookmarkEnd w:id="88"/>
      <w:bookmarkEnd w:id="89"/>
      <w:bookmarkEnd w:id="90"/>
      <w:bookmarkEnd w:id="9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2" w:name="_Toc27945"/>
      <w:bookmarkStart w:id="93" w:name="_Toc13673"/>
      <w:bookmarkStart w:id="94" w:name="_Toc4133"/>
      <w:bookmarkStart w:id="95" w:name="_Toc12412"/>
      <w:bookmarkStart w:id="96" w:name="_Toc9161"/>
      <w:r>
        <w:rPr>
          <w:rFonts w:hint="eastAsia" w:ascii="仿宋" w:hAnsi="仿宋" w:eastAsia="仿宋" w:cs="仿宋"/>
          <w:b/>
          <w:sz w:val="24"/>
        </w:rPr>
        <w:t>2.3 知识产权</w:t>
      </w:r>
      <w:bookmarkEnd w:id="92"/>
      <w:bookmarkEnd w:id="93"/>
      <w:bookmarkEnd w:id="94"/>
      <w:bookmarkEnd w:id="95"/>
      <w:bookmarkEnd w:id="9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7" w:name="_Toc32670"/>
      <w:bookmarkStart w:id="98" w:name="_Toc26555"/>
      <w:bookmarkStart w:id="99" w:name="_Toc31233"/>
      <w:bookmarkStart w:id="100" w:name="_Toc15447"/>
      <w:bookmarkStart w:id="101" w:name="_Toc22011"/>
      <w:r>
        <w:rPr>
          <w:rFonts w:hint="eastAsia" w:ascii="仿宋" w:hAnsi="仿宋" w:eastAsia="仿宋" w:cs="仿宋"/>
          <w:b/>
          <w:sz w:val="24"/>
        </w:rPr>
        <w:t>2.5 结算方式和付款条件</w:t>
      </w:r>
      <w:bookmarkEnd w:id="97"/>
      <w:bookmarkEnd w:id="98"/>
      <w:bookmarkEnd w:id="99"/>
      <w:bookmarkEnd w:id="100"/>
      <w:bookmarkEnd w:id="10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2" w:name="_Toc13154"/>
      <w:bookmarkStart w:id="103" w:name="_Toc16163"/>
      <w:bookmarkStart w:id="104" w:name="_Toc13467"/>
      <w:bookmarkStart w:id="105" w:name="_Toc30507"/>
      <w:bookmarkStart w:id="106" w:name="_Toc18990"/>
      <w:r>
        <w:rPr>
          <w:rFonts w:hint="eastAsia" w:ascii="仿宋" w:hAnsi="仿宋" w:eastAsia="仿宋" w:cs="仿宋"/>
          <w:b/>
          <w:sz w:val="24"/>
        </w:rPr>
        <w:t>2.6 技术资料和保密义务</w:t>
      </w:r>
      <w:bookmarkEnd w:id="102"/>
      <w:bookmarkEnd w:id="103"/>
      <w:bookmarkEnd w:id="104"/>
      <w:bookmarkEnd w:id="105"/>
      <w:bookmarkEnd w:id="10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0" w:name="_Toc26689"/>
      <w:bookmarkStart w:id="111" w:name="_Toc23368"/>
      <w:bookmarkStart w:id="112" w:name="_Toc42"/>
      <w:bookmarkStart w:id="113" w:name="_Toc10663"/>
      <w:bookmarkStart w:id="114" w:name="_Toc21830"/>
      <w:r>
        <w:rPr>
          <w:rFonts w:hint="eastAsia" w:ascii="仿宋" w:hAnsi="仿宋" w:eastAsia="仿宋" w:cs="仿宋"/>
          <w:b/>
          <w:sz w:val="24"/>
        </w:rPr>
        <w:t>2.10 合同转让和分包</w:t>
      </w:r>
      <w:bookmarkEnd w:id="110"/>
      <w:bookmarkEnd w:id="111"/>
      <w:bookmarkEnd w:id="112"/>
      <w:bookmarkEnd w:id="113"/>
      <w:bookmarkEnd w:id="11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5" w:name="_Toc32494"/>
      <w:bookmarkStart w:id="116" w:name="_Toc25571"/>
      <w:bookmarkStart w:id="117" w:name="_Toc14371"/>
      <w:bookmarkStart w:id="118" w:name="_Toc26633"/>
      <w:bookmarkStart w:id="119" w:name="_Toc4720"/>
      <w:r>
        <w:rPr>
          <w:rFonts w:hint="eastAsia" w:ascii="仿宋" w:hAnsi="仿宋" w:eastAsia="仿宋" w:cs="仿宋"/>
          <w:b/>
          <w:sz w:val="24"/>
        </w:rPr>
        <w:t>2.11 不可抗力</w:t>
      </w:r>
      <w:bookmarkEnd w:id="115"/>
      <w:bookmarkEnd w:id="116"/>
      <w:bookmarkEnd w:id="117"/>
      <w:bookmarkEnd w:id="118"/>
      <w:bookmarkEnd w:id="11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0" w:name="_Toc23854"/>
      <w:bookmarkStart w:id="121" w:name="_Toc25783"/>
      <w:bookmarkStart w:id="122" w:name="_Toc24465"/>
      <w:bookmarkStart w:id="123" w:name="_Toc14115"/>
      <w:bookmarkStart w:id="124" w:name="_Toc3638"/>
      <w:r>
        <w:rPr>
          <w:rFonts w:hint="eastAsia" w:ascii="仿宋" w:hAnsi="仿宋" w:eastAsia="仿宋" w:cs="仿宋"/>
          <w:b/>
          <w:sz w:val="24"/>
        </w:rPr>
        <w:t>2.12 税费</w:t>
      </w:r>
      <w:bookmarkEnd w:id="120"/>
      <w:bookmarkEnd w:id="121"/>
      <w:bookmarkEnd w:id="122"/>
      <w:bookmarkEnd w:id="123"/>
      <w:bookmarkEnd w:id="12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5" w:name="_Toc7315"/>
      <w:bookmarkStart w:id="126" w:name="_Toc26883"/>
      <w:bookmarkStart w:id="127" w:name="_Toc14814"/>
      <w:bookmarkStart w:id="128" w:name="_Toc30105"/>
      <w:bookmarkStart w:id="129" w:name="_Toc25525"/>
      <w:r>
        <w:rPr>
          <w:rFonts w:hint="eastAsia" w:ascii="仿宋" w:hAnsi="仿宋" w:eastAsia="仿宋" w:cs="仿宋"/>
          <w:b/>
          <w:sz w:val="24"/>
        </w:rPr>
        <w:t>2.13 乙方破产</w:t>
      </w:r>
      <w:bookmarkEnd w:id="125"/>
      <w:bookmarkEnd w:id="126"/>
      <w:bookmarkEnd w:id="127"/>
      <w:bookmarkEnd w:id="128"/>
      <w:bookmarkEnd w:id="12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0" w:name="_Toc2016"/>
      <w:bookmarkStart w:id="131" w:name="_Toc23323"/>
      <w:bookmarkStart w:id="132" w:name="_Toc1123"/>
      <w:r>
        <w:rPr>
          <w:rFonts w:hint="eastAsia" w:ascii="仿宋" w:hAnsi="仿宋" w:eastAsia="仿宋" w:cs="仿宋"/>
          <w:b/>
          <w:sz w:val="24"/>
        </w:rPr>
        <w:t>2.14 合同中止、终止</w:t>
      </w:r>
      <w:bookmarkEnd w:id="130"/>
      <w:bookmarkEnd w:id="131"/>
      <w:bookmarkEnd w:id="13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3" w:name="_Toc14525"/>
      <w:bookmarkStart w:id="134" w:name="_Toc17363"/>
      <w:bookmarkStart w:id="135" w:name="_Toc1969"/>
      <w:r>
        <w:rPr>
          <w:rFonts w:hint="eastAsia" w:ascii="仿宋" w:hAnsi="仿宋" w:eastAsia="仿宋" w:cs="仿宋"/>
          <w:b/>
          <w:sz w:val="24"/>
        </w:rPr>
        <w:t>2.15 检验和验收</w:t>
      </w:r>
      <w:bookmarkEnd w:id="133"/>
      <w:bookmarkEnd w:id="134"/>
      <w:bookmarkEnd w:id="135"/>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6" w:name="_Toc9808"/>
      <w:bookmarkStart w:id="137" w:name="_Toc12666"/>
      <w:bookmarkStart w:id="138" w:name="_Toc25198"/>
      <w:bookmarkStart w:id="139" w:name="_Toc31892"/>
      <w:bookmarkStart w:id="140" w:name="_Toc2308"/>
      <w:r>
        <w:rPr>
          <w:rFonts w:hint="eastAsia" w:ascii="仿宋" w:hAnsi="仿宋" w:eastAsia="仿宋" w:cs="仿宋"/>
          <w:b/>
          <w:sz w:val="24"/>
        </w:rPr>
        <w:t>2.16 通知和送达</w:t>
      </w:r>
      <w:bookmarkEnd w:id="136"/>
      <w:bookmarkEnd w:id="137"/>
      <w:bookmarkEnd w:id="138"/>
      <w:bookmarkEnd w:id="139"/>
      <w:bookmarkEnd w:id="14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1" w:name="_Toc18401"/>
      <w:bookmarkStart w:id="142"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3" w:name="_Toc5063"/>
      <w:bookmarkStart w:id="144" w:name="_Toc12254"/>
      <w:bookmarkStart w:id="145" w:name="_Toc20808"/>
      <w:bookmarkStart w:id="146" w:name="_Toc27644"/>
      <w:bookmarkStart w:id="147" w:name="_Toc28906"/>
      <w:r>
        <w:rPr>
          <w:rFonts w:hint="eastAsia" w:ascii="仿宋" w:hAnsi="仿宋" w:eastAsia="仿宋" w:cs="仿宋"/>
          <w:b/>
          <w:sz w:val="24"/>
        </w:rPr>
        <w:t>2.17 合同使用的文字和适用的法律</w:t>
      </w:r>
      <w:bookmarkEnd w:id="143"/>
      <w:bookmarkEnd w:id="144"/>
      <w:bookmarkEnd w:id="145"/>
      <w:bookmarkEnd w:id="146"/>
      <w:bookmarkEnd w:id="14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8" w:name="_Toc18540"/>
      <w:bookmarkStart w:id="149" w:name="_Toc30599"/>
      <w:bookmarkStart w:id="150" w:name="_Toc4355"/>
      <w:r>
        <w:rPr>
          <w:rFonts w:hint="eastAsia" w:ascii="仿宋" w:hAnsi="仿宋" w:eastAsia="仿宋" w:cs="仿宋"/>
          <w:b/>
          <w:sz w:val="24"/>
        </w:rPr>
        <w:t>2.18 计量单位</w:t>
      </w:r>
      <w:bookmarkEnd w:id="148"/>
      <w:bookmarkEnd w:id="149"/>
      <w:bookmarkEnd w:id="15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1" w:name="_Toc259093692"/>
      <w:bookmarkStart w:id="152" w:name="_Toc12773"/>
      <w:bookmarkStart w:id="153" w:name="_Toc279701263"/>
      <w:bookmarkStart w:id="154" w:name="_Toc18567"/>
      <w:bookmarkStart w:id="155" w:name="_Toc487900373"/>
      <w:bookmarkStart w:id="156" w:name="_Toc10330"/>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90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90 </w:t>
      </w:r>
      <w:r>
        <w:rPr>
          <w:rFonts w:hint="eastAsia" w:ascii="仿宋" w:hAnsi="仿宋" w:eastAsia="仿宋" w:cs="仿宋"/>
          <w:b/>
          <w:bCs/>
          <w:iCs/>
          <w:color w:val="auto"/>
          <w:sz w:val="24"/>
          <w:highlight w:val="none"/>
        </w:rPr>
        <w:t>分）</w:t>
      </w:r>
    </w:p>
    <w:tbl>
      <w:tblPr>
        <w:tblStyle w:val="6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370"/>
        <w:gridCol w:w="6427"/>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09" w:type="dxa"/>
            <w:noWrap w:val="0"/>
            <w:vAlign w:val="center"/>
          </w:tcPr>
          <w:p>
            <w:pPr>
              <w:spacing w:line="281" w:lineRule="auto"/>
              <w:jc w:val="center"/>
              <w:rPr>
                <w:rFonts w:hint="eastAsia" w:ascii="仿宋" w:hAnsi="仿宋" w:eastAsia="仿宋" w:cs="仿宋"/>
                <w:iCs/>
                <w:sz w:val="24"/>
              </w:rPr>
            </w:pPr>
            <w:r>
              <w:rPr>
                <w:rFonts w:hint="eastAsia" w:ascii="仿宋" w:hAnsi="仿宋" w:eastAsia="仿宋" w:cs="仿宋"/>
                <w:iCs/>
                <w:sz w:val="24"/>
              </w:rPr>
              <w:t>序号</w:t>
            </w:r>
          </w:p>
        </w:tc>
        <w:tc>
          <w:tcPr>
            <w:tcW w:w="1370" w:type="dxa"/>
            <w:noWrap w:val="0"/>
            <w:vAlign w:val="center"/>
          </w:tcPr>
          <w:p>
            <w:pPr>
              <w:spacing w:line="281" w:lineRule="auto"/>
              <w:jc w:val="center"/>
              <w:rPr>
                <w:rFonts w:hint="eastAsia" w:ascii="仿宋" w:hAnsi="仿宋" w:eastAsia="仿宋" w:cs="仿宋"/>
                <w:iCs/>
                <w:sz w:val="24"/>
              </w:rPr>
            </w:pPr>
            <w:r>
              <w:rPr>
                <w:rFonts w:hint="eastAsia" w:ascii="仿宋" w:hAnsi="仿宋" w:eastAsia="仿宋" w:cs="仿宋"/>
                <w:iCs/>
                <w:sz w:val="24"/>
              </w:rPr>
              <w:t>评分内容</w:t>
            </w:r>
          </w:p>
        </w:tc>
        <w:tc>
          <w:tcPr>
            <w:tcW w:w="6427" w:type="dxa"/>
            <w:noWrap w:val="0"/>
            <w:vAlign w:val="center"/>
          </w:tcPr>
          <w:p>
            <w:pPr>
              <w:spacing w:line="281" w:lineRule="auto"/>
              <w:jc w:val="center"/>
              <w:rPr>
                <w:rFonts w:hint="eastAsia" w:ascii="仿宋" w:hAnsi="仿宋" w:eastAsia="仿宋" w:cs="仿宋"/>
                <w:iCs/>
                <w:sz w:val="24"/>
              </w:rPr>
            </w:pPr>
            <w:r>
              <w:rPr>
                <w:rFonts w:hint="eastAsia" w:ascii="仿宋" w:hAnsi="仿宋" w:eastAsia="仿宋" w:cs="仿宋"/>
                <w:iCs/>
                <w:sz w:val="24"/>
              </w:rPr>
              <w:t>评审细则</w:t>
            </w:r>
          </w:p>
        </w:tc>
        <w:tc>
          <w:tcPr>
            <w:tcW w:w="752" w:type="dxa"/>
            <w:noWrap w:val="0"/>
            <w:vAlign w:val="center"/>
          </w:tcPr>
          <w:p>
            <w:pPr>
              <w:spacing w:line="281" w:lineRule="auto"/>
              <w:jc w:val="center"/>
              <w:rPr>
                <w:rFonts w:hint="eastAsia" w:ascii="仿宋" w:hAnsi="仿宋" w:eastAsia="仿宋" w:cs="仿宋"/>
                <w:iCs/>
                <w:sz w:val="24"/>
              </w:rPr>
            </w:pPr>
            <w:r>
              <w:rPr>
                <w:rFonts w:hint="eastAsia" w:ascii="仿宋" w:hAnsi="仿宋" w:eastAsia="仿宋" w:cs="仿宋"/>
                <w:iCs/>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709" w:type="dxa"/>
            <w:tcBorders>
              <w:top w:val="single" w:color="auto" w:sz="4" w:space="0"/>
            </w:tcBorders>
            <w:shd w:val="clear" w:color="auto" w:fill="auto"/>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1</w:t>
            </w:r>
          </w:p>
        </w:tc>
        <w:tc>
          <w:tcPr>
            <w:tcW w:w="1370" w:type="dxa"/>
            <w:tcBorders>
              <w:top w:val="single" w:color="auto" w:sz="4" w:space="0"/>
            </w:tcBorders>
            <w:shd w:val="clear" w:color="auto" w:fill="auto"/>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类似业绩（1分）</w:t>
            </w:r>
          </w:p>
        </w:tc>
        <w:tc>
          <w:tcPr>
            <w:tcW w:w="6427" w:type="dxa"/>
            <w:tcBorders>
              <w:top w:val="single" w:color="000000" w:sz="4" w:space="0"/>
            </w:tcBorders>
            <w:shd w:val="clear" w:color="auto" w:fill="FFFFFF"/>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自</w:t>
            </w:r>
            <w:r>
              <w:rPr>
                <w:rFonts w:hint="eastAsia" w:ascii="仿宋" w:hAnsi="仿宋" w:eastAsia="仿宋" w:cs="仿宋"/>
                <w:iCs/>
                <w:color w:val="auto"/>
                <w:sz w:val="24"/>
              </w:rPr>
              <w:t>20</w:t>
            </w:r>
            <w:r>
              <w:rPr>
                <w:rFonts w:hint="eastAsia" w:ascii="仿宋" w:hAnsi="仿宋" w:eastAsia="仿宋" w:cs="仿宋"/>
                <w:iCs/>
                <w:color w:val="auto"/>
                <w:sz w:val="24"/>
                <w:lang w:val="en-US" w:eastAsia="zh-CN"/>
              </w:rPr>
              <w:t>20</w:t>
            </w:r>
            <w:r>
              <w:rPr>
                <w:rFonts w:hint="eastAsia" w:ascii="仿宋" w:hAnsi="仿宋" w:eastAsia="仿宋" w:cs="仿宋"/>
                <w:iCs/>
                <w:sz w:val="24"/>
              </w:rPr>
              <w:t>年1月1日以来投标单位同类相关业绩，每项得0.5分；此项最高得1分。（投标文件中提供合同复印件加盖投标人公章）</w:t>
            </w:r>
          </w:p>
        </w:tc>
        <w:tc>
          <w:tcPr>
            <w:tcW w:w="752" w:type="dxa"/>
            <w:tcBorders>
              <w:top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9" w:type="dxa"/>
            <w:vMerge w:val="restart"/>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2</w:t>
            </w:r>
          </w:p>
        </w:tc>
        <w:tc>
          <w:tcPr>
            <w:tcW w:w="1370" w:type="dxa"/>
            <w:vMerge w:val="restart"/>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项目组的人员资格和能力配备计划（10分）</w:t>
            </w:r>
          </w:p>
        </w:tc>
        <w:tc>
          <w:tcPr>
            <w:tcW w:w="6427" w:type="dxa"/>
            <w:noWrap w:val="0"/>
            <w:vAlign w:val="center"/>
          </w:tcPr>
          <w:p>
            <w:pPr>
              <w:spacing w:line="281" w:lineRule="auto"/>
              <w:rPr>
                <w:rFonts w:hint="eastAsia" w:ascii="仿宋" w:hAnsi="仿宋" w:eastAsia="仿宋" w:cs="仿宋"/>
                <w:iCs/>
                <w:sz w:val="24"/>
              </w:rPr>
            </w:pPr>
            <w:r>
              <w:rPr>
                <w:rFonts w:hint="eastAsia" w:ascii="仿宋" w:hAnsi="仿宋" w:eastAsia="仿宋" w:cs="仿宋"/>
                <w:color w:val="auto"/>
                <w:sz w:val="24"/>
                <w:szCs w:val="24"/>
                <w:lang w:val="en-US" w:eastAsia="zh-CN"/>
              </w:rPr>
              <w:t>项目负责人具有</w:t>
            </w:r>
            <w:r>
              <w:rPr>
                <w:rFonts w:hint="eastAsia" w:ascii="仿宋" w:hAnsi="仿宋" w:eastAsia="仿宋" w:cs="仿宋"/>
                <w:color w:val="auto"/>
                <w:sz w:val="24"/>
                <w:szCs w:val="24"/>
              </w:rPr>
              <w:t>高级工程师</w:t>
            </w:r>
            <w:r>
              <w:rPr>
                <w:rFonts w:hint="eastAsia" w:ascii="仿宋" w:hAnsi="仿宋" w:eastAsia="仿宋" w:cs="仿宋"/>
                <w:color w:val="auto"/>
                <w:sz w:val="24"/>
                <w:szCs w:val="24"/>
                <w:lang w:val="en-US" w:eastAsia="zh-CN"/>
              </w:rPr>
              <w:t>证书的</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同时具有注册土木工程师（水利水电工程规划）资格证书和注册咨询工程师（投资）注册证书的</w:t>
            </w:r>
            <w:r>
              <w:rPr>
                <w:rFonts w:hint="eastAsia" w:ascii="仿宋" w:hAnsi="仿宋" w:eastAsia="仿宋" w:cs="仿宋"/>
                <w:color w:val="auto"/>
                <w:sz w:val="24"/>
                <w:szCs w:val="24"/>
                <w:lang w:val="en-US" w:eastAsia="zh-CN"/>
              </w:rPr>
              <w:t>再</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r>
              <w:rPr>
                <w:rFonts w:hint="eastAsia" w:ascii="仿宋" w:hAnsi="仿宋" w:eastAsia="仿宋" w:cs="仿宋"/>
                <w:color w:val="000000"/>
                <w:sz w:val="24"/>
                <w:highlight w:val="none"/>
              </w:rPr>
              <w:t>；此项最高得4分。</w:t>
            </w:r>
            <w:r>
              <w:rPr>
                <w:rFonts w:hint="eastAsia" w:ascii="仿宋" w:hAnsi="仿宋" w:eastAsia="仿宋" w:cs="仿宋"/>
                <w:b w:val="0"/>
                <w:bCs/>
                <w:color w:val="000000"/>
                <w:sz w:val="24"/>
                <w:highlight w:val="none"/>
              </w:rPr>
              <w:t>（提供相关证书、投标人为其缴纳的近</w:t>
            </w:r>
            <w:r>
              <w:rPr>
                <w:rFonts w:hint="eastAsia" w:ascii="仿宋" w:hAnsi="仿宋" w:eastAsia="仿宋" w:cs="仿宋"/>
                <w:b w:val="0"/>
                <w:bCs/>
                <w:color w:val="000000"/>
                <w:sz w:val="24"/>
                <w:highlight w:val="none"/>
                <w:lang w:val="en-US" w:eastAsia="zh-CN"/>
              </w:rPr>
              <w:t>3</w:t>
            </w:r>
            <w:r>
              <w:rPr>
                <w:rFonts w:hint="eastAsia" w:ascii="仿宋" w:hAnsi="仿宋" w:eastAsia="仿宋" w:cs="仿宋"/>
                <w:b w:val="0"/>
                <w:bCs/>
                <w:color w:val="000000"/>
                <w:sz w:val="24"/>
                <w:highlight w:val="none"/>
              </w:rPr>
              <w:t>个月的社保证明复印件加盖单位公章）</w:t>
            </w:r>
          </w:p>
        </w:tc>
        <w:tc>
          <w:tcPr>
            <w:tcW w:w="752"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709" w:type="dxa"/>
            <w:vMerge w:val="continue"/>
            <w:noWrap w:val="0"/>
            <w:vAlign w:val="center"/>
          </w:tcPr>
          <w:p>
            <w:pPr>
              <w:spacing w:line="281" w:lineRule="auto"/>
              <w:rPr>
                <w:rFonts w:hint="eastAsia" w:ascii="仿宋" w:hAnsi="仿宋" w:eastAsia="仿宋" w:cs="仿宋"/>
                <w:iCs/>
                <w:sz w:val="24"/>
              </w:rPr>
            </w:pPr>
          </w:p>
        </w:tc>
        <w:tc>
          <w:tcPr>
            <w:tcW w:w="1370" w:type="dxa"/>
            <w:vMerge w:val="continue"/>
            <w:noWrap w:val="0"/>
            <w:vAlign w:val="center"/>
          </w:tcPr>
          <w:p>
            <w:pPr>
              <w:spacing w:line="281" w:lineRule="auto"/>
              <w:rPr>
                <w:rFonts w:hint="eastAsia" w:ascii="仿宋" w:hAnsi="仿宋" w:eastAsia="仿宋" w:cs="仿宋"/>
                <w:iCs/>
                <w:sz w:val="24"/>
              </w:rPr>
            </w:pPr>
          </w:p>
        </w:tc>
        <w:tc>
          <w:tcPr>
            <w:tcW w:w="6427"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color w:val="auto"/>
                <w:sz w:val="24"/>
                <w:szCs w:val="24"/>
                <w:lang w:val="en-US" w:eastAsia="zh-CN"/>
              </w:rPr>
              <w:t>项目组成员</w:t>
            </w:r>
            <w:r>
              <w:rPr>
                <w:rFonts w:hint="eastAsia" w:ascii="仿宋" w:hAnsi="仿宋" w:eastAsia="仿宋" w:cs="仿宋"/>
                <w:color w:val="auto"/>
                <w:sz w:val="24"/>
                <w:szCs w:val="24"/>
              </w:rPr>
              <w:t>拥有水利类高级工程师以职称且同时具有注册土木工程师（水利水电工程规划或水工结构）资格证书，每人得2分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具有水利类工程师职称且同时具有注册土木工程师（水利水电工程规划或水工结构）资格证书，每人得1分，最高得</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w:t>
            </w:r>
            <w:r>
              <w:rPr>
                <w:rFonts w:hint="eastAsia" w:ascii="仿宋" w:hAnsi="仿宋" w:eastAsia="仿宋" w:cs="仿宋"/>
                <w:color w:val="000000"/>
                <w:sz w:val="24"/>
                <w:highlight w:val="none"/>
              </w:rPr>
              <w:t>（提供相关证书、投标人为其缴纳的近</w:t>
            </w:r>
            <w:r>
              <w:rPr>
                <w:rFonts w:hint="eastAsia" w:ascii="仿宋" w:hAnsi="仿宋" w:eastAsia="仿宋" w:cs="仿宋"/>
                <w:color w:val="000000"/>
                <w:sz w:val="24"/>
                <w:highlight w:val="none"/>
                <w:lang w:val="en-US" w:eastAsia="zh-CN"/>
              </w:rPr>
              <w:t>3</w:t>
            </w:r>
            <w:r>
              <w:rPr>
                <w:rFonts w:hint="eastAsia" w:ascii="仿宋" w:hAnsi="仿宋" w:eastAsia="仿宋" w:cs="仿宋"/>
                <w:color w:val="000000"/>
                <w:sz w:val="24"/>
                <w:highlight w:val="none"/>
              </w:rPr>
              <w:t>个月的社保证明复印件加盖单位公章）</w:t>
            </w:r>
          </w:p>
        </w:tc>
        <w:tc>
          <w:tcPr>
            <w:tcW w:w="752"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709" w:type="dxa"/>
            <w:vMerge w:val="restart"/>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3</w:t>
            </w:r>
          </w:p>
        </w:tc>
        <w:tc>
          <w:tcPr>
            <w:tcW w:w="1370" w:type="dxa"/>
            <w:vMerge w:val="restart"/>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工作方案</w:t>
            </w:r>
          </w:p>
          <w:p>
            <w:pPr>
              <w:spacing w:line="281" w:lineRule="auto"/>
              <w:rPr>
                <w:rFonts w:hint="eastAsia" w:ascii="仿宋" w:hAnsi="仿宋" w:eastAsia="仿宋" w:cs="仿宋"/>
                <w:iCs/>
                <w:sz w:val="24"/>
              </w:rPr>
            </w:pPr>
            <w:r>
              <w:rPr>
                <w:rFonts w:hint="eastAsia" w:ascii="仿宋" w:hAnsi="仿宋" w:eastAsia="仿宋" w:cs="仿宋"/>
                <w:iCs/>
                <w:sz w:val="24"/>
              </w:rPr>
              <w:t>（57分）</w:t>
            </w:r>
          </w:p>
        </w:tc>
        <w:tc>
          <w:tcPr>
            <w:tcW w:w="6427" w:type="dxa"/>
            <w:tcBorders>
              <w:bottom w:val="single" w:color="auto" w:sz="4" w:space="0"/>
            </w:tcBorders>
            <w:noWrap w:val="0"/>
            <w:vAlign w:val="center"/>
          </w:tcPr>
          <w:p>
            <w:pPr>
              <w:spacing w:line="281" w:lineRule="auto"/>
              <w:rPr>
                <w:rFonts w:hint="eastAsia" w:ascii="仿宋" w:hAnsi="仿宋" w:eastAsia="仿宋" w:cs="仿宋"/>
                <w:iCs/>
                <w:sz w:val="24"/>
                <w:lang w:eastAsia="zh-CN"/>
              </w:rPr>
            </w:pPr>
            <w:r>
              <w:rPr>
                <w:rFonts w:hint="eastAsia" w:ascii="仿宋" w:hAnsi="仿宋" w:eastAsia="仿宋" w:cs="仿宋"/>
                <w:iCs/>
                <w:sz w:val="24"/>
              </w:rPr>
              <w:t>对项目区域情况了解是否全面，包括自然地理、社会经济等；对项目区域各项用水了解是否全面，包括区域水资源状况以及水资源开发利用水平等；对项目区域水利工程了解是否全面，包括工程概况、工程运行管理概况、管理单位安全生产管理情况</w:t>
            </w:r>
            <w:r>
              <w:rPr>
                <w:rFonts w:hint="eastAsia" w:ascii="仿宋" w:hAnsi="仿宋" w:eastAsia="仿宋" w:cs="仿宋"/>
                <w:iCs/>
                <w:sz w:val="24"/>
                <w:lang w:eastAsia="zh-CN"/>
              </w:rPr>
              <w:t>。（</w:t>
            </w:r>
            <w:r>
              <w:rPr>
                <w:rFonts w:hint="eastAsia" w:ascii="仿宋" w:hAnsi="仿宋" w:eastAsia="仿宋" w:cs="仿宋"/>
                <w:iCs/>
                <w:sz w:val="24"/>
                <w:lang w:val="en-US" w:eastAsia="zh-CN"/>
              </w:rPr>
              <w:t>0-15分</w:t>
            </w:r>
            <w:r>
              <w:rPr>
                <w:rFonts w:hint="eastAsia" w:ascii="仿宋" w:hAnsi="仿宋" w:eastAsia="仿宋" w:cs="仿宋"/>
                <w:iCs/>
                <w:sz w:val="24"/>
                <w:lang w:eastAsia="zh-CN"/>
              </w:rPr>
              <w:t>）</w:t>
            </w:r>
          </w:p>
        </w:tc>
        <w:tc>
          <w:tcPr>
            <w:tcW w:w="752"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709" w:type="dxa"/>
            <w:vMerge w:val="continue"/>
            <w:noWrap w:val="0"/>
            <w:vAlign w:val="center"/>
          </w:tcPr>
          <w:p>
            <w:pPr>
              <w:spacing w:line="281" w:lineRule="auto"/>
              <w:rPr>
                <w:rFonts w:hint="eastAsia" w:ascii="仿宋" w:hAnsi="仿宋" w:eastAsia="仿宋" w:cs="仿宋"/>
                <w:iCs/>
                <w:sz w:val="24"/>
              </w:rPr>
            </w:pPr>
          </w:p>
        </w:tc>
        <w:tc>
          <w:tcPr>
            <w:tcW w:w="1370" w:type="dxa"/>
            <w:vMerge w:val="continue"/>
            <w:noWrap w:val="0"/>
            <w:vAlign w:val="center"/>
          </w:tcPr>
          <w:p>
            <w:pPr>
              <w:spacing w:line="281" w:lineRule="auto"/>
              <w:rPr>
                <w:rFonts w:hint="eastAsia" w:ascii="仿宋" w:hAnsi="仿宋" w:eastAsia="仿宋" w:cs="仿宋"/>
                <w:iCs/>
                <w:sz w:val="24"/>
              </w:rPr>
            </w:pPr>
          </w:p>
        </w:tc>
        <w:tc>
          <w:tcPr>
            <w:tcW w:w="6427"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对项目区域水利水电工程危险源辨识与风险评价的方法是否具有深入性、系统性、针对性，包括危险源识别方法、危险源风险评价方法。</w:t>
            </w:r>
            <w:r>
              <w:rPr>
                <w:rFonts w:hint="eastAsia" w:ascii="仿宋" w:hAnsi="仿宋" w:eastAsia="仿宋" w:cs="仿宋"/>
                <w:iCs/>
                <w:sz w:val="24"/>
                <w:lang w:eastAsia="zh-CN"/>
              </w:rPr>
              <w:t>（</w:t>
            </w:r>
            <w:r>
              <w:rPr>
                <w:rFonts w:hint="eastAsia" w:ascii="仿宋" w:hAnsi="仿宋" w:eastAsia="仿宋" w:cs="仿宋"/>
                <w:iCs/>
                <w:sz w:val="24"/>
                <w:lang w:val="en-US" w:eastAsia="zh-CN"/>
              </w:rPr>
              <w:t>0-15分</w:t>
            </w:r>
            <w:r>
              <w:rPr>
                <w:rFonts w:hint="eastAsia" w:ascii="仿宋" w:hAnsi="仿宋" w:eastAsia="仿宋" w:cs="仿宋"/>
                <w:iCs/>
                <w:sz w:val="24"/>
                <w:lang w:eastAsia="zh-CN"/>
              </w:rPr>
              <w:t>）</w:t>
            </w:r>
          </w:p>
        </w:tc>
        <w:tc>
          <w:tcPr>
            <w:tcW w:w="752"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709" w:type="dxa"/>
            <w:vMerge w:val="continue"/>
            <w:noWrap w:val="0"/>
            <w:vAlign w:val="center"/>
          </w:tcPr>
          <w:p>
            <w:pPr>
              <w:spacing w:line="281" w:lineRule="auto"/>
              <w:rPr>
                <w:rFonts w:hint="eastAsia" w:ascii="仿宋" w:hAnsi="仿宋" w:eastAsia="仿宋" w:cs="仿宋"/>
                <w:iCs/>
                <w:sz w:val="24"/>
              </w:rPr>
            </w:pPr>
          </w:p>
        </w:tc>
        <w:tc>
          <w:tcPr>
            <w:tcW w:w="1370" w:type="dxa"/>
            <w:vMerge w:val="continue"/>
            <w:noWrap w:val="0"/>
            <w:vAlign w:val="center"/>
          </w:tcPr>
          <w:p>
            <w:pPr>
              <w:spacing w:line="281" w:lineRule="auto"/>
              <w:rPr>
                <w:rFonts w:hint="eastAsia" w:ascii="仿宋" w:hAnsi="仿宋" w:eastAsia="仿宋" w:cs="仿宋"/>
                <w:iCs/>
                <w:sz w:val="24"/>
              </w:rPr>
            </w:pPr>
          </w:p>
        </w:tc>
        <w:tc>
          <w:tcPr>
            <w:tcW w:w="6427"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根据技术路线的合理性、可操作性进行评审打分；根据项目编制大纲及具体工作方法手段选择的合理性、针对性、可操作性进行评审打分。</w:t>
            </w:r>
            <w:r>
              <w:rPr>
                <w:rFonts w:hint="eastAsia" w:ascii="仿宋" w:hAnsi="仿宋" w:eastAsia="仿宋" w:cs="仿宋"/>
                <w:iCs/>
                <w:sz w:val="24"/>
                <w:lang w:eastAsia="zh-CN"/>
              </w:rPr>
              <w:t>（</w:t>
            </w:r>
            <w:r>
              <w:rPr>
                <w:rFonts w:hint="eastAsia" w:ascii="仿宋" w:hAnsi="仿宋" w:eastAsia="仿宋" w:cs="仿宋"/>
                <w:iCs/>
                <w:sz w:val="24"/>
                <w:lang w:val="en-US" w:eastAsia="zh-CN"/>
              </w:rPr>
              <w:t>0-15分</w:t>
            </w:r>
            <w:r>
              <w:rPr>
                <w:rFonts w:hint="eastAsia" w:ascii="仿宋" w:hAnsi="仿宋" w:eastAsia="仿宋" w:cs="仿宋"/>
                <w:iCs/>
                <w:sz w:val="24"/>
                <w:lang w:eastAsia="zh-CN"/>
              </w:rPr>
              <w:t>）</w:t>
            </w:r>
          </w:p>
        </w:tc>
        <w:tc>
          <w:tcPr>
            <w:tcW w:w="752"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709" w:type="dxa"/>
            <w:vMerge w:val="continue"/>
            <w:tcBorders>
              <w:bottom w:val="single" w:color="auto" w:sz="4" w:space="0"/>
            </w:tcBorders>
            <w:noWrap w:val="0"/>
            <w:vAlign w:val="center"/>
          </w:tcPr>
          <w:p>
            <w:pPr>
              <w:spacing w:line="281" w:lineRule="auto"/>
              <w:rPr>
                <w:rFonts w:hint="eastAsia" w:ascii="仿宋" w:hAnsi="仿宋" w:eastAsia="仿宋" w:cs="仿宋"/>
                <w:iCs/>
                <w:sz w:val="24"/>
              </w:rPr>
            </w:pPr>
          </w:p>
        </w:tc>
        <w:tc>
          <w:tcPr>
            <w:tcW w:w="1370" w:type="dxa"/>
            <w:vMerge w:val="continue"/>
            <w:tcBorders>
              <w:bottom w:val="single" w:color="auto" w:sz="4" w:space="0"/>
            </w:tcBorders>
            <w:noWrap w:val="0"/>
            <w:vAlign w:val="center"/>
          </w:tcPr>
          <w:p>
            <w:pPr>
              <w:spacing w:line="281" w:lineRule="auto"/>
              <w:rPr>
                <w:rFonts w:hint="eastAsia" w:ascii="仿宋" w:hAnsi="仿宋" w:eastAsia="仿宋" w:cs="仿宋"/>
                <w:iCs/>
                <w:sz w:val="24"/>
              </w:rPr>
            </w:pPr>
          </w:p>
        </w:tc>
        <w:tc>
          <w:tcPr>
            <w:tcW w:w="6427"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对项目编制工作的重点难点进行综合性分析和考虑</w:t>
            </w:r>
            <w:r>
              <w:rPr>
                <w:rFonts w:hint="eastAsia" w:ascii="仿宋" w:hAnsi="仿宋" w:eastAsia="仿宋" w:cs="仿宋"/>
                <w:iCs/>
                <w:sz w:val="24"/>
                <w:lang w:eastAsia="zh-CN"/>
              </w:rPr>
              <w:t>。（</w:t>
            </w:r>
            <w:r>
              <w:rPr>
                <w:rFonts w:hint="eastAsia" w:ascii="仿宋" w:hAnsi="仿宋" w:eastAsia="仿宋" w:cs="仿宋"/>
                <w:iCs/>
                <w:sz w:val="24"/>
                <w:lang w:val="en-US" w:eastAsia="zh-CN"/>
              </w:rPr>
              <w:t>0-12分</w:t>
            </w:r>
            <w:r>
              <w:rPr>
                <w:rFonts w:hint="eastAsia" w:ascii="仿宋" w:hAnsi="仿宋" w:eastAsia="仿宋" w:cs="仿宋"/>
                <w:iCs/>
                <w:sz w:val="24"/>
                <w:lang w:eastAsia="zh-CN"/>
              </w:rPr>
              <w:t>）</w:t>
            </w:r>
          </w:p>
        </w:tc>
        <w:tc>
          <w:tcPr>
            <w:tcW w:w="752" w:type="dxa"/>
            <w:tcBorders>
              <w:bottom w:val="single" w:color="auto" w:sz="4" w:space="0"/>
            </w:tcBorders>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709" w:type="dxa"/>
            <w:vMerge w:val="restart"/>
            <w:noWrap w:val="0"/>
            <w:vAlign w:val="center"/>
          </w:tcPr>
          <w:p>
            <w:pPr>
              <w:spacing w:line="281" w:lineRule="auto"/>
              <w:rPr>
                <w:rFonts w:hint="eastAsia" w:ascii="仿宋" w:hAnsi="仿宋" w:eastAsia="仿宋" w:cs="仿宋"/>
                <w:iCs/>
                <w:sz w:val="24"/>
              </w:rPr>
            </w:pPr>
          </w:p>
          <w:p>
            <w:pPr>
              <w:spacing w:line="281" w:lineRule="auto"/>
              <w:rPr>
                <w:rFonts w:hint="eastAsia" w:ascii="仿宋" w:hAnsi="仿宋" w:eastAsia="仿宋" w:cs="仿宋"/>
                <w:iCs/>
                <w:sz w:val="24"/>
              </w:rPr>
            </w:pPr>
            <w:r>
              <w:rPr>
                <w:rFonts w:hint="eastAsia" w:ascii="仿宋" w:hAnsi="仿宋" w:eastAsia="仿宋" w:cs="仿宋"/>
                <w:iCs/>
                <w:sz w:val="24"/>
              </w:rPr>
              <w:t>4</w:t>
            </w:r>
          </w:p>
        </w:tc>
        <w:tc>
          <w:tcPr>
            <w:tcW w:w="1370" w:type="dxa"/>
            <w:vMerge w:val="restart"/>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质量进度保障（18分）</w:t>
            </w:r>
          </w:p>
        </w:tc>
        <w:tc>
          <w:tcPr>
            <w:tcW w:w="6427" w:type="dxa"/>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工作进度计划、周期保证措施安排合理</w:t>
            </w:r>
            <w:r>
              <w:rPr>
                <w:rFonts w:hint="eastAsia" w:ascii="仿宋" w:hAnsi="仿宋" w:eastAsia="仿宋" w:cs="仿宋"/>
                <w:iCs/>
                <w:sz w:val="24"/>
                <w:lang w:eastAsia="zh-CN"/>
              </w:rPr>
              <w:t>。（</w:t>
            </w:r>
            <w:r>
              <w:rPr>
                <w:rFonts w:hint="eastAsia" w:ascii="仿宋" w:hAnsi="仿宋" w:eastAsia="仿宋" w:cs="仿宋"/>
                <w:iCs/>
                <w:sz w:val="24"/>
                <w:lang w:val="en-US" w:eastAsia="zh-CN"/>
              </w:rPr>
              <w:t>0-10分</w:t>
            </w:r>
            <w:r>
              <w:rPr>
                <w:rFonts w:hint="eastAsia" w:ascii="仿宋" w:hAnsi="仿宋" w:eastAsia="仿宋" w:cs="仿宋"/>
                <w:iCs/>
                <w:sz w:val="24"/>
                <w:lang w:eastAsia="zh-CN"/>
              </w:rPr>
              <w:t>）</w:t>
            </w:r>
          </w:p>
        </w:tc>
        <w:tc>
          <w:tcPr>
            <w:tcW w:w="752" w:type="dxa"/>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709" w:type="dxa"/>
            <w:vMerge w:val="continue"/>
            <w:noWrap w:val="0"/>
            <w:vAlign w:val="center"/>
          </w:tcPr>
          <w:p>
            <w:pPr>
              <w:spacing w:line="281" w:lineRule="auto"/>
              <w:rPr>
                <w:rFonts w:hint="eastAsia" w:ascii="仿宋" w:hAnsi="仿宋" w:eastAsia="仿宋" w:cs="仿宋"/>
                <w:iCs/>
                <w:sz w:val="24"/>
              </w:rPr>
            </w:pPr>
          </w:p>
        </w:tc>
        <w:tc>
          <w:tcPr>
            <w:tcW w:w="1370" w:type="dxa"/>
            <w:vMerge w:val="continue"/>
            <w:noWrap w:val="0"/>
            <w:vAlign w:val="center"/>
          </w:tcPr>
          <w:p>
            <w:pPr>
              <w:spacing w:line="281" w:lineRule="auto"/>
              <w:rPr>
                <w:rFonts w:hint="eastAsia" w:ascii="仿宋" w:hAnsi="仿宋" w:eastAsia="仿宋" w:cs="仿宋"/>
                <w:iCs/>
                <w:sz w:val="24"/>
              </w:rPr>
            </w:pPr>
          </w:p>
        </w:tc>
        <w:tc>
          <w:tcPr>
            <w:tcW w:w="6427" w:type="dxa"/>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质量管理措施基本满足项目需求得，项目服务安排合理</w:t>
            </w:r>
            <w:r>
              <w:rPr>
                <w:rFonts w:hint="eastAsia" w:ascii="仿宋" w:hAnsi="仿宋" w:eastAsia="仿宋" w:cs="仿宋"/>
                <w:iCs/>
                <w:sz w:val="24"/>
                <w:lang w:eastAsia="zh-CN"/>
              </w:rPr>
              <w:t>。（</w:t>
            </w:r>
            <w:r>
              <w:rPr>
                <w:rFonts w:hint="eastAsia" w:ascii="仿宋" w:hAnsi="仿宋" w:eastAsia="仿宋" w:cs="仿宋"/>
                <w:iCs/>
                <w:sz w:val="24"/>
                <w:lang w:val="en-US" w:eastAsia="zh-CN"/>
              </w:rPr>
              <w:t>0-8分</w:t>
            </w:r>
            <w:r>
              <w:rPr>
                <w:rFonts w:hint="eastAsia" w:ascii="仿宋" w:hAnsi="仿宋" w:eastAsia="仿宋" w:cs="仿宋"/>
                <w:iCs/>
                <w:sz w:val="24"/>
                <w:lang w:eastAsia="zh-CN"/>
              </w:rPr>
              <w:t>）</w:t>
            </w:r>
          </w:p>
        </w:tc>
        <w:tc>
          <w:tcPr>
            <w:tcW w:w="752" w:type="dxa"/>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2" w:hRule="atLeast"/>
          <w:jc w:val="center"/>
        </w:trPr>
        <w:tc>
          <w:tcPr>
            <w:tcW w:w="709" w:type="dxa"/>
            <w:vMerge w:val="restart"/>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5</w:t>
            </w:r>
          </w:p>
        </w:tc>
        <w:tc>
          <w:tcPr>
            <w:tcW w:w="1370" w:type="dxa"/>
            <w:vMerge w:val="restart"/>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服务响应（4分）</w:t>
            </w:r>
          </w:p>
        </w:tc>
        <w:tc>
          <w:tcPr>
            <w:tcW w:w="6427" w:type="dxa"/>
            <w:noWrap w:val="0"/>
            <w:vAlign w:val="center"/>
          </w:tcPr>
          <w:p>
            <w:pPr>
              <w:spacing w:line="281" w:lineRule="auto"/>
              <w:rPr>
                <w:rFonts w:hint="eastAsia" w:ascii="仿宋" w:hAnsi="仿宋" w:eastAsia="仿宋" w:cs="仿宋"/>
                <w:iCs/>
                <w:sz w:val="24"/>
              </w:rPr>
            </w:pPr>
            <w:r>
              <w:rPr>
                <w:rFonts w:hint="default" w:ascii="仿宋" w:hAnsi="仿宋" w:eastAsia="仿宋" w:cs="仿宋"/>
                <w:iCs/>
                <w:sz w:val="24"/>
                <w:lang w:val="en-US" w:eastAsia="zh-CN"/>
              </w:rPr>
              <w:t>紧急情况下，</w:t>
            </w:r>
            <w:r>
              <w:rPr>
                <w:rFonts w:hint="eastAsia" w:ascii="仿宋" w:hAnsi="仿宋" w:eastAsia="仿宋" w:cs="仿宋"/>
                <w:iCs/>
                <w:sz w:val="24"/>
                <w:lang w:val="en-US" w:eastAsia="zh-CN"/>
              </w:rPr>
              <w:t>投标人承诺项目实施期间项目负责人0.5小时内响应并赶赴现场解决问题的得2分，1小时内响应并赶赴现场解决问题的得1分，其余不得分。（提供承诺函，格式自拟）</w:t>
            </w:r>
          </w:p>
        </w:tc>
        <w:tc>
          <w:tcPr>
            <w:tcW w:w="752" w:type="dxa"/>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0-</w:t>
            </w:r>
            <w:r>
              <w:rPr>
                <w:rFonts w:hint="eastAsia" w:ascii="仿宋" w:hAnsi="仿宋" w:eastAsia="仿宋" w:cs="仿宋"/>
                <w:iCs/>
                <w:sz w:val="24"/>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709" w:type="dxa"/>
            <w:vMerge w:val="continue"/>
            <w:noWrap w:val="0"/>
            <w:vAlign w:val="center"/>
          </w:tcPr>
          <w:p>
            <w:pPr>
              <w:spacing w:line="281" w:lineRule="auto"/>
              <w:rPr>
                <w:rFonts w:hint="eastAsia" w:ascii="仿宋" w:hAnsi="仿宋" w:eastAsia="仿宋" w:cs="仿宋"/>
                <w:iCs/>
                <w:sz w:val="24"/>
              </w:rPr>
            </w:pPr>
          </w:p>
        </w:tc>
        <w:tc>
          <w:tcPr>
            <w:tcW w:w="1370" w:type="dxa"/>
            <w:vMerge w:val="continue"/>
            <w:noWrap w:val="0"/>
            <w:vAlign w:val="center"/>
          </w:tcPr>
          <w:p>
            <w:pPr>
              <w:spacing w:line="281" w:lineRule="auto"/>
              <w:rPr>
                <w:rFonts w:hint="eastAsia" w:ascii="仿宋" w:hAnsi="仿宋" w:eastAsia="仿宋" w:cs="仿宋"/>
                <w:iCs/>
                <w:sz w:val="24"/>
              </w:rPr>
            </w:pPr>
          </w:p>
        </w:tc>
        <w:tc>
          <w:tcPr>
            <w:tcW w:w="6427" w:type="dxa"/>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rPr>
              <w:t>投标人承诺项目实施期间项目负责人</w:t>
            </w:r>
            <w:r>
              <w:rPr>
                <w:rFonts w:hint="eastAsia" w:ascii="仿宋" w:hAnsi="仿宋" w:eastAsia="仿宋" w:cs="仿宋"/>
                <w:iCs/>
                <w:sz w:val="24"/>
                <w:lang w:eastAsia="zh-CN"/>
              </w:rPr>
              <w:t>及相关</w:t>
            </w:r>
            <w:r>
              <w:rPr>
                <w:rFonts w:hint="eastAsia" w:ascii="仿宋" w:hAnsi="仿宋" w:eastAsia="仿宋" w:cs="仿宋"/>
                <w:iCs/>
                <w:sz w:val="24"/>
              </w:rPr>
              <w:t>人员（投标文件中确定的人员）每周</w:t>
            </w:r>
            <w:r>
              <w:rPr>
                <w:rFonts w:hint="eastAsia" w:ascii="仿宋" w:hAnsi="仿宋" w:eastAsia="仿宋" w:cs="仿宋"/>
                <w:iCs/>
                <w:sz w:val="24"/>
                <w:lang w:eastAsia="zh-CN"/>
              </w:rPr>
              <w:t>向业主汇报进展情况</w:t>
            </w:r>
            <w:r>
              <w:rPr>
                <w:rFonts w:hint="eastAsia" w:ascii="仿宋" w:hAnsi="仿宋" w:eastAsia="仿宋" w:cs="仿宋"/>
                <w:iCs/>
                <w:sz w:val="24"/>
              </w:rPr>
              <w:t>不少于</w:t>
            </w:r>
            <w:r>
              <w:rPr>
                <w:rFonts w:hint="default" w:ascii="仿宋" w:hAnsi="仿宋" w:eastAsia="仿宋" w:cs="仿宋"/>
                <w:iCs/>
                <w:sz w:val="24"/>
              </w:rPr>
              <w:t>1</w:t>
            </w:r>
            <w:r>
              <w:rPr>
                <w:rFonts w:hint="eastAsia" w:ascii="仿宋" w:hAnsi="仿宋" w:eastAsia="仿宋" w:cs="仿宋"/>
                <w:iCs/>
                <w:sz w:val="24"/>
              </w:rPr>
              <w:t>次的，得2分。（提供承诺函</w:t>
            </w:r>
            <w:r>
              <w:rPr>
                <w:rFonts w:hint="eastAsia" w:ascii="仿宋" w:hAnsi="仿宋" w:eastAsia="仿宋" w:cs="仿宋"/>
                <w:iCs/>
                <w:sz w:val="24"/>
                <w:lang w:eastAsia="zh-CN"/>
              </w:rPr>
              <w:t>，格式自拟</w:t>
            </w:r>
            <w:r>
              <w:rPr>
                <w:rFonts w:hint="eastAsia" w:ascii="仿宋" w:hAnsi="仿宋" w:eastAsia="仿宋" w:cs="仿宋"/>
                <w:iCs/>
                <w:sz w:val="24"/>
              </w:rPr>
              <w:t>）</w:t>
            </w:r>
          </w:p>
        </w:tc>
        <w:tc>
          <w:tcPr>
            <w:tcW w:w="752" w:type="dxa"/>
            <w:noWrap w:val="0"/>
            <w:vAlign w:val="center"/>
          </w:tcPr>
          <w:p>
            <w:pPr>
              <w:spacing w:line="281" w:lineRule="auto"/>
              <w:rPr>
                <w:rFonts w:hint="eastAsia" w:ascii="仿宋" w:hAnsi="仿宋" w:eastAsia="仿宋" w:cs="仿宋"/>
                <w:iCs/>
                <w:sz w:val="24"/>
              </w:rPr>
            </w:pPr>
            <w:r>
              <w:rPr>
                <w:rFonts w:hint="eastAsia" w:ascii="仿宋" w:hAnsi="仿宋" w:eastAsia="仿宋" w:cs="仿宋"/>
                <w:iCs/>
                <w:sz w:val="24"/>
                <w:lang w:val="en-US" w:eastAsia="zh-CN"/>
              </w:rPr>
              <w:t>0</w:t>
            </w:r>
            <w:r>
              <w:rPr>
                <w:rFonts w:hint="eastAsia" w:ascii="仿宋" w:hAnsi="仿宋" w:eastAsia="仿宋" w:cs="仿宋"/>
                <w:iCs/>
                <w:sz w:val="24"/>
              </w:rPr>
              <w:t>-</w:t>
            </w:r>
            <w:r>
              <w:rPr>
                <w:rFonts w:hint="eastAsia" w:ascii="仿宋" w:hAnsi="仿宋" w:eastAsia="仿宋" w:cs="仿宋"/>
                <w:iCs/>
                <w:sz w:val="24"/>
                <w:lang w:val="en-US" w:eastAsia="zh-CN"/>
              </w:rPr>
              <w:t>2</w:t>
            </w: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b w:val="0"/>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autoSpaceDE/>
        <w:autoSpaceDN/>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2、</w:t>
      </w: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pPr>
        <w:keepNext w:val="0"/>
        <w:keepLines w:val="0"/>
        <w:pageBreakBefore w:val="0"/>
        <w:kinsoku/>
        <w:wordWrap/>
        <w:overflowPunct/>
        <w:topLinePunct w:val="0"/>
        <w:autoSpaceDE/>
        <w:autoSpaceDN/>
        <w:bidi w:val="0"/>
        <w:adjustRightInd w:val="0"/>
        <w:spacing w:line="288" w:lineRule="auto"/>
        <w:ind w:firstLine="720" w:firstLineChars="300"/>
        <w:textAlignment w:val="auto"/>
        <w:rPr>
          <w:rFonts w:hint="eastAsia" w:ascii="仿宋" w:hAnsi="仿宋" w:eastAsia="仿宋" w:cs="仿宋"/>
          <w:b w:val="0"/>
          <w:bCs w:val="0"/>
          <w:iCs w:val="0"/>
          <w:color w:val="auto"/>
          <w:sz w:val="24"/>
          <w:highlight w:val="none"/>
        </w:rPr>
      </w:pPr>
      <w:r>
        <w:rPr>
          <w:rFonts w:hint="eastAsia" w:ascii="仿宋" w:hAnsi="仿宋" w:eastAsia="仿宋" w:cs="仿宋"/>
          <w:b w:val="0"/>
          <w:color w:val="auto"/>
          <w:sz w:val="24"/>
          <w:highlight w:val="none"/>
        </w:rPr>
        <w:t>3、</w:t>
      </w:r>
      <w:r>
        <w:rPr>
          <w:rFonts w:hint="eastAsia" w:ascii="仿宋" w:hAnsi="仿宋" w:eastAsia="仿宋" w:cs="仿宋"/>
          <w:color w:val="auto"/>
          <w:sz w:val="24"/>
          <w:highlight w:val="none"/>
        </w:rPr>
        <w:t>所有的证书必须在有效期内，不在有效期内的不得分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10 </w:t>
      </w:r>
      <w:r>
        <w:rPr>
          <w:rFonts w:hint="eastAsia" w:ascii="仿宋" w:hAnsi="仿宋" w:eastAsia="仿宋" w:cs="仿宋"/>
          <w:b/>
          <w:bCs/>
          <w:iCs/>
          <w:sz w:val="24"/>
        </w:rPr>
        <w:t>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widowControl/>
        <w:kinsoku/>
        <w:wordWrap/>
        <w:overflowPunct/>
        <w:topLinePunct w:val="0"/>
        <w:autoSpaceDE/>
        <w:autoSpaceDN/>
        <w:bidi w:val="0"/>
        <w:adjustRightInd w:val="0"/>
        <w:spacing w:line="288" w:lineRule="auto"/>
        <w:ind w:firstLine="0" w:firstLineChars="0"/>
        <w:jc w:val="left"/>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10 </w:t>
      </w: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1</w:t>
      </w:r>
      <w:r>
        <w:rPr>
          <w:rFonts w:hint="eastAsia" w:ascii="仿宋" w:eastAsia="仿宋" w:cs="仿宋"/>
          <w:color w:val="auto"/>
          <w:lang w:eastAsia="zh-CN"/>
        </w:rPr>
        <w:t>）</w:t>
      </w:r>
      <w:r>
        <w:rPr>
          <w:rFonts w:hint="eastAsia" w:ascii="仿宋" w:hAnsi="仿宋" w:eastAsia="仿宋" w:cs="仿宋"/>
          <w:color w:val="auto"/>
          <w:lang w:eastAsia="zh-CN"/>
        </w:rPr>
        <w:t>投标函</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2</w:t>
      </w:r>
      <w:r>
        <w:rPr>
          <w:rFonts w:hint="eastAsia" w:ascii="仿宋" w:eastAsia="仿宋" w:cs="仿宋"/>
          <w:color w:val="auto"/>
          <w:lang w:eastAsia="zh-CN"/>
        </w:rPr>
        <w:t>）</w:t>
      </w:r>
      <w:r>
        <w:rPr>
          <w:rFonts w:hint="eastAsia" w:ascii="仿宋" w:hAnsi="仿宋" w:eastAsia="仿宋" w:cs="仿宋"/>
          <w:color w:val="auto"/>
        </w:rPr>
        <w:t>法定代表人授权书……………………………………………………………（页码）</w:t>
      </w:r>
    </w:p>
    <w:p>
      <w:pPr>
        <w:pStyle w:val="905"/>
        <w:numPr>
          <w:ilvl w:val="0"/>
          <w:numId w:val="0"/>
        </w:numPr>
        <w:spacing w:line="336" w:lineRule="auto"/>
        <w:ind w:leftChars="0"/>
        <w:jc w:val="both"/>
        <w:rPr>
          <w:rFonts w:hint="eastAsia" w:ascii="仿宋" w:hAnsi="仿宋" w:eastAsia="仿宋" w:cs="仿宋"/>
          <w:color w:val="auto"/>
          <w:lang w:val="en-US" w:eastAsia="zh-CN"/>
        </w:rPr>
      </w:pPr>
      <w:r>
        <w:rPr>
          <w:rFonts w:hint="eastAsia" w:ascii="仿宋" w:eastAsia="仿宋" w:cs="仿宋"/>
          <w:color w:val="auto"/>
          <w:lang w:val="en-US" w:eastAsia="zh-CN"/>
        </w:rPr>
        <w:t>（3）</w:t>
      </w:r>
      <w:r>
        <w:rPr>
          <w:rFonts w:hint="eastAsia" w:ascii="仿宋" w:hAnsi="仿宋" w:eastAsia="仿宋" w:cs="仿宋"/>
          <w:color w:val="auto"/>
          <w:lang w:val="en-US" w:eastAsia="zh-CN"/>
        </w:rPr>
        <w:t>授权代表社保证明</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4</w:t>
      </w:r>
      <w:r>
        <w:rPr>
          <w:rFonts w:hint="eastAsia" w:ascii="仿宋" w:eastAsia="仿宋" w:cs="仿宋"/>
          <w:color w:val="auto"/>
          <w:lang w:eastAsia="zh-CN"/>
        </w:rPr>
        <w:t>）</w:t>
      </w:r>
      <w:r>
        <w:rPr>
          <w:rFonts w:hint="eastAsia" w:ascii="仿宋" w:hAnsi="仿宋" w:eastAsia="仿宋" w:cs="仿宋"/>
          <w:color w:val="auto"/>
        </w:rPr>
        <w:t>法定代表人及其授权代表身份证复印件（复印件）………………………（页码）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5</w:t>
      </w:r>
      <w:r>
        <w:rPr>
          <w:rFonts w:hint="eastAsia" w:ascii="仿宋" w:eastAsia="仿宋" w:cs="仿宋"/>
          <w:color w:val="auto"/>
          <w:lang w:eastAsia="zh-CN"/>
        </w:rPr>
        <w:t>）</w:t>
      </w:r>
      <w:r>
        <w:rPr>
          <w:rFonts w:hint="eastAsia" w:ascii="仿宋" w:hAnsi="仿宋" w:eastAsia="仿宋" w:cs="仿宋"/>
          <w:color w:val="auto"/>
        </w:rPr>
        <w:t>法定代表人身份证明书………………………………………………………（页码）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6</w:t>
      </w:r>
      <w:r>
        <w:rPr>
          <w:rFonts w:hint="eastAsia" w:ascii="仿宋" w:eastAsia="仿宋" w:cs="仿宋"/>
          <w:color w:val="auto"/>
          <w:lang w:eastAsia="zh-CN"/>
        </w:rPr>
        <w:t>）</w:t>
      </w:r>
      <w:r>
        <w:rPr>
          <w:rFonts w:hint="eastAsia" w:ascii="仿宋" w:hAnsi="仿宋" w:eastAsia="仿宋" w:cs="仿宋"/>
          <w:color w:val="auto"/>
        </w:rPr>
        <w:t>商务技术</w:t>
      </w:r>
      <w:r>
        <w:rPr>
          <w:rFonts w:hint="eastAsia" w:ascii="仿宋" w:hAnsi="仿宋" w:eastAsia="仿宋" w:cs="仿宋"/>
          <w:color w:val="auto"/>
          <w:lang w:eastAsia="zh-CN"/>
        </w:rPr>
        <w:t>偏离表</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val="zh-CN"/>
        </w:rPr>
        <w:t>（</w:t>
      </w:r>
      <w:r>
        <w:rPr>
          <w:rFonts w:hint="eastAsia" w:ascii="仿宋" w:eastAsia="仿宋" w:cs="仿宋"/>
          <w:color w:val="auto"/>
          <w:lang w:val="en-US" w:eastAsia="zh-CN"/>
        </w:rPr>
        <w:t>7</w:t>
      </w:r>
      <w:r>
        <w:rPr>
          <w:rFonts w:hint="eastAsia" w:ascii="仿宋" w:eastAsia="仿宋" w:cs="仿宋"/>
          <w:color w:val="auto"/>
          <w:lang w:val="zh-CN"/>
        </w:rPr>
        <w:t>）</w:t>
      </w:r>
      <w:r>
        <w:rPr>
          <w:rFonts w:hint="eastAsia" w:ascii="仿宋" w:hAnsi="仿宋" w:eastAsia="仿宋" w:cs="仿宋"/>
          <w:color w:val="auto"/>
          <w:lang w:val="zh-CN"/>
        </w:rPr>
        <w:t>政府采购供应商廉洁自律承诺书</w:t>
      </w:r>
      <w:r>
        <w:rPr>
          <w:rFonts w:hint="eastAsia" w:ascii="仿宋" w:hAnsi="仿宋" w:eastAsia="仿宋" w:cs="仿宋"/>
          <w:color w:val="auto"/>
        </w:rPr>
        <w:t>……………………………………………（页码）</w:t>
      </w:r>
    </w:p>
    <w:p>
      <w:pPr>
        <w:adjustRightInd w:val="0"/>
        <w:spacing w:line="360" w:lineRule="auto"/>
        <w:ind w:right="-510" w:rightChars="-243"/>
        <w:jc w:val="both"/>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8</w:t>
      </w:r>
      <w:r>
        <w:rPr>
          <w:rFonts w:hint="eastAsia" w:ascii="仿宋" w:hAnsi="仿宋" w:eastAsia="仿宋" w:cs="仿宋"/>
          <w:color w:val="auto"/>
          <w:sz w:val="24"/>
        </w:rPr>
        <w:t>）</w:t>
      </w:r>
      <w:r>
        <w:rPr>
          <w:rFonts w:hint="eastAsia" w:ascii="仿宋" w:hAnsi="仿宋" w:eastAsia="仿宋" w:cs="仿宋"/>
          <w:color w:val="auto"/>
          <w:sz w:val="24"/>
          <w:lang w:val="zh-CN"/>
        </w:rPr>
        <w:t>主要业绩证明……………………</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z w:val="24"/>
        </w:rPr>
        <w:t>（页码）</w:t>
      </w:r>
    </w:p>
    <w:p>
      <w:pPr>
        <w:spacing w:line="360" w:lineRule="auto"/>
        <w:ind w:right="-510" w:rightChars="-243"/>
        <w:jc w:val="both"/>
        <w:outlineLvl w:val="0"/>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9</w:t>
      </w:r>
      <w:r>
        <w:rPr>
          <w:rFonts w:hint="eastAsia" w:ascii="仿宋" w:hAnsi="仿宋" w:eastAsia="仿宋" w:cs="仿宋"/>
          <w:color w:val="auto"/>
          <w:kern w:val="0"/>
          <w:sz w:val="24"/>
        </w:rPr>
        <w:t>）技术解决方案………………………</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kern w:val="0"/>
          <w:sz w:val="24"/>
        </w:rPr>
        <w:t>（页码）</w:t>
      </w:r>
    </w:p>
    <w:p>
      <w:pPr>
        <w:spacing w:line="360" w:lineRule="auto"/>
        <w:ind w:right="-510" w:rightChars="-243"/>
        <w:jc w:val="both"/>
        <w:outlineLvl w:val="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）售后服务方案…………………………………………………………………（页码）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供应商售后服务证明材料……………………………………………………（页码）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13</w:t>
      </w:r>
      <w:r>
        <w:rPr>
          <w:rFonts w:hint="eastAsia" w:ascii="仿宋" w:hAnsi="仿宋" w:eastAsia="仿宋" w:cs="仿宋"/>
          <w:color w:val="auto"/>
          <w:kern w:val="0"/>
          <w:sz w:val="24"/>
        </w:rPr>
        <w:t>）项目小组人员名单……………………………………………………………（页码）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14</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16</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培训计划………………………………………………………</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17</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验收方案…………………………………………………………</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18</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keepNext w:val="0"/>
        <w:keepLines w:val="0"/>
        <w:pageBreakBefore w:val="0"/>
        <w:kinsoku/>
        <w:wordWrap/>
        <w:overflowPunct/>
        <w:topLinePunct w:val="0"/>
        <w:autoSpaceDE/>
        <w:autoSpaceDN/>
        <w:bidi w:val="0"/>
        <w:snapToGrid w:val="0"/>
        <w:spacing w:line="312" w:lineRule="auto"/>
        <w:jc w:val="center"/>
        <w:textAlignment w:val="auto"/>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keepNext w:val="0"/>
        <w:keepLines w:val="0"/>
        <w:pageBreakBefore w:val="0"/>
        <w:kinsoku/>
        <w:wordWrap/>
        <w:overflowPunct/>
        <w:topLinePunct w:val="0"/>
        <w:autoSpaceDE/>
        <w:autoSpaceDN/>
        <w:bidi w:val="0"/>
        <w:spacing w:after="0" w:line="312"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w:t>
      </w:r>
      <w:r>
        <w:rPr>
          <w:rFonts w:hint="eastAsia" w:ascii="仿宋" w:hAnsi="仿宋" w:eastAsia="仿宋" w:cs="仿宋"/>
          <w:sz w:val="24"/>
          <w:szCs w:val="24"/>
        </w:rPr>
        <w:t>号：</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12"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jc w:val="left"/>
        <w:rPr>
          <w:rFonts w:hint="eastAsia" w:ascii="仿宋" w:hAnsi="仿宋" w:eastAsia="仿宋" w:cs="仿宋"/>
          <w:b/>
          <w:sz w:val="30"/>
          <w:szCs w:val="30"/>
          <w:lang w:eastAsia="zh-CN"/>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both"/>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both"/>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both"/>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val="en-US" w:eastAsia="zh-CN"/>
        </w:rPr>
      </w:pPr>
    </w:p>
    <w:p>
      <w:pPr>
        <w:jc w:val="center"/>
        <w:rPr>
          <w:rFonts w:hint="eastAsia" w:ascii="仿宋" w:hAnsi="仿宋" w:eastAsia="仿宋" w:cs="仿宋"/>
          <w:b/>
          <w:kern w:val="0"/>
          <w:sz w:val="32"/>
          <w:szCs w:val="32"/>
          <w:lang w:val="en-US" w:eastAsia="zh-CN"/>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81"/>
        <w:jc w:val="center"/>
        <w:rPr>
          <w:rFonts w:hint="eastAsia" w:ascii="仿宋" w:hAnsi="仿宋" w:eastAsia="仿宋" w:cs="仿宋"/>
          <w:b/>
          <w:bCs/>
          <w:sz w:val="24"/>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val="en-US" w:eastAsia="zh-CN"/>
        </w:rPr>
        <w:t>八</w:t>
      </w:r>
      <w:r>
        <w:rPr>
          <w:rFonts w:hint="eastAsia" w:ascii="仿宋" w:hAnsi="仿宋" w:eastAsia="仿宋" w:cs="仿宋"/>
          <w:b/>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rPr>
      </w:pPr>
    </w:p>
    <w:p>
      <w:pPr>
        <w:autoSpaceDE w:val="0"/>
        <w:autoSpaceDN w:val="0"/>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649"/>
        <w:ind w:firstLine="0"/>
        <w:jc w:val="both"/>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、技术解决方案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lang w:val="zh-CN"/>
        </w:rPr>
        <w:t>、组织实施方案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kern w:val="0"/>
          <w:sz w:val="24"/>
        </w:rPr>
      </w:pPr>
    </w:p>
    <w:p>
      <w:pPr>
        <w:spacing w:line="360" w:lineRule="auto"/>
        <w:jc w:val="center"/>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、售后服务方案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sz w:val="30"/>
          <w:szCs w:val="30"/>
          <w:lang w:eastAsia="zh-CN"/>
        </w:rPr>
      </w:pPr>
    </w:p>
    <w:p>
      <w:pPr>
        <w:spacing w:line="360" w:lineRule="auto"/>
        <w:jc w:val="center"/>
        <w:rPr>
          <w:rFonts w:hint="eastAsia" w:ascii="仿宋" w:hAnsi="仿宋" w:eastAsia="仿宋" w:cs="仿宋"/>
          <w:b/>
          <w:sz w:val="30"/>
          <w:szCs w:val="30"/>
          <w:lang w:eastAsia="zh-CN"/>
        </w:rPr>
      </w:pPr>
    </w:p>
    <w:p>
      <w:pPr>
        <w:pStyle w:val="81"/>
        <w:rPr>
          <w:rFonts w:hint="eastAsia" w:ascii="仿宋" w:hAnsi="仿宋" w:eastAsia="仿宋" w:cs="仿宋"/>
          <w:lang w:eastAsia="zh-CN"/>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lang w:eastAsia="zh-CN"/>
        </w:rPr>
        <w:t>十</w:t>
      </w:r>
      <w:r>
        <w:rPr>
          <w:rFonts w:hint="eastAsia" w:ascii="仿宋" w:hAnsi="仿宋" w:eastAsia="仿宋" w:cs="仿宋"/>
          <w:b/>
          <w:sz w:val="30"/>
          <w:szCs w:val="30"/>
          <w:lang w:val="en-US" w:eastAsia="zh-CN"/>
        </w:rPr>
        <w:t>二</w:t>
      </w:r>
      <w:r>
        <w:rPr>
          <w:rFonts w:hint="eastAsia" w:ascii="仿宋" w:hAnsi="仿宋" w:eastAsia="仿宋" w:cs="仿宋"/>
          <w:b/>
          <w:sz w:val="30"/>
          <w:szCs w:val="30"/>
        </w:rPr>
        <w:t>、</w:t>
      </w:r>
      <w:r>
        <w:rPr>
          <w:rFonts w:hint="eastAsia" w:ascii="仿宋" w:hAnsi="仿宋" w:eastAsia="仿宋" w:cs="仿宋"/>
          <w:b/>
          <w:sz w:val="30"/>
          <w:szCs w:val="30"/>
          <w:lang w:eastAsia="zh-CN"/>
        </w:rPr>
        <w:t>投标人</w:t>
      </w:r>
      <w:r>
        <w:rPr>
          <w:rFonts w:hint="eastAsia" w:ascii="仿宋" w:hAnsi="仿宋" w:eastAsia="仿宋" w:cs="仿宋"/>
          <w:b/>
          <w:sz w:val="30"/>
          <w:szCs w:val="30"/>
        </w:rPr>
        <w:t>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根据采购需求及磋商文件要求编制）</w:t>
      </w:r>
    </w:p>
    <w:p>
      <w:pPr>
        <w:spacing w:line="336" w:lineRule="auto"/>
        <w:ind w:firstLine="3600" w:firstLineChars="1500"/>
        <w:rPr>
          <w:rFonts w:hint="eastAsia" w:ascii="仿宋" w:hAnsi="仿宋" w:eastAsia="仿宋" w:cs="仿宋"/>
          <w:sz w:val="24"/>
        </w:rPr>
      </w:pPr>
    </w:p>
    <w:p>
      <w:pPr>
        <w:pStyle w:val="81"/>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1"/>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pacing w:line="336" w:lineRule="auto"/>
        <w:jc w:val="center"/>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right="960"/>
        <w:jc w:val="both"/>
        <w:rPr>
          <w:rFonts w:hint="eastAsia" w:ascii="仿宋" w:hAnsi="仿宋" w:eastAsia="仿宋" w:cs="仿宋"/>
          <w:b/>
          <w:bCs/>
          <w:sz w:val="32"/>
          <w:szCs w:val="32"/>
          <w:lang w:eastAsia="zh-CN"/>
        </w:rPr>
      </w:pP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18"/>
          <w:szCs w:val="18"/>
        </w:rPr>
      </w:pPr>
    </w:p>
    <w:p>
      <w:pPr>
        <w:pStyle w:val="81"/>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both"/>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、验收方案</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jc w:val="center"/>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2"/>
        <w:rPr>
          <w:rFonts w:hint="eastAsia" w:ascii="仿宋" w:hAnsi="仿宋" w:eastAsia="仿宋" w:cs="仿宋"/>
        </w:rPr>
        <w:sectPr>
          <w:headerReference r:id="rId8" w:type="first"/>
          <w:footerReference r:id="rId10" w:type="first"/>
          <w:headerReference r:id="rId7" w:type="default"/>
          <w:footerReference r:id="rId9" w:type="default"/>
          <w:pgSz w:w="11906" w:h="16838"/>
          <w:pgMar w:top="1134" w:right="1417" w:bottom="1134" w:left="1417"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
        <w:numPr>
          <w:ilvl w:val="0"/>
          <w:numId w:val="0"/>
        </w:numPr>
        <w:snapToGrid w:val="0"/>
        <w:spacing w:line="360" w:lineRule="auto"/>
        <w:rPr>
          <w:rFonts w:hint="eastAsia" w:ascii="仿宋" w:hAnsi="仿宋" w:eastAsia="仿宋" w:cs="仿宋"/>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sz w:val="24"/>
        </w:rPr>
      </w:pPr>
    </w:p>
    <w:p>
      <w:pPr>
        <w:pStyle w:val="82"/>
        <w:rPr>
          <w:rFonts w:hint="eastAsia" w:ascii="仿宋" w:hAnsi="仿宋" w:eastAsia="仿宋" w:cs="仿宋"/>
          <w:b/>
          <w:color w:val="auto"/>
          <w:sz w:val="24"/>
        </w:rPr>
      </w:pPr>
    </w:p>
    <w:p>
      <w:pPr>
        <w:rPr>
          <w:rFonts w:hint="eastAsia" w:ascii="仿宋" w:hAnsi="仿宋" w:eastAsia="仿宋" w:cs="仿宋"/>
          <w:b/>
          <w:color w:val="auto"/>
          <w:sz w:val="24"/>
        </w:rPr>
      </w:pPr>
    </w:p>
    <w:p>
      <w:pPr>
        <w:pStyle w:val="81"/>
        <w:rPr>
          <w:rFonts w:hint="eastAsia" w:ascii="仿宋" w:hAnsi="仿宋" w:eastAsia="仿宋" w:cs="仿宋"/>
          <w:b/>
          <w:color w:val="auto"/>
          <w:sz w:val="24"/>
        </w:rPr>
      </w:pPr>
    </w:p>
    <w:p>
      <w:pPr>
        <w:pStyle w:val="82"/>
        <w:rPr>
          <w:rFonts w:hint="eastAsia" w:ascii="仿宋" w:hAnsi="仿宋" w:eastAsia="仿宋" w:cs="仿宋"/>
          <w:b/>
          <w:color w:val="auto"/>
          <w:sz w:val="24"/>
        </w:rPr>
      </w:pPr>
    </w:p>
    <w:p>
      <w:pPr>
        <w:rPr>
          <w:rFonts w:hint="eastAsia" w:ascii="仿宋" w:hAnsi="仿宋" w:eastAsia="仿宋" w:cs="仿宋"/>
          <w:lang w:eastAsia="zh-CN"/>
        </w:rPr>
      </w:pP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both"/>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both"/>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3"/>
      <w:bookmarkStart w:id="162" w:name="OLE_LINK14"/>
      <w:r>
        <w:rPr>
          <w:rFonts w:hint="eastAsia" w:ascii="仿宋" w:hAnsi="仿宋" w:eastAsia="仿宋" w:cs="仿宋"/>
          <w:b/>
          <w:spacing w:val="6"/>
          <w:sz w:val="32"/>
          <w:szCs w:val="32"/>
        </w:rPr>
        <w:t>残疾人福利性单位声明函</w:t>
      </w:r>
    </w:p>
    <w:bookmarkEnd w:id="161"/>
    <w:bookmarkEnd w:id="162"/>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lang w:val="en-US" w:eastAsia="zh-CN"/>
        </w:rPr>
      </w:pPr>
      <w:r>
        <w:rPr>
          <w:rFonts w:hint="eastAsia" w:ascii="仿宋" w:hAnsi="仿宋" w:eastAsia="仿宋" w:cs="仿宋"/>
          <w:kern w:val="0"/>
          <w:szCs w:val="21"/>
        </w:rPr>
        <w:t>2017年12月28日</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134" w:right="1417" w:bottom="1134" w:left="1417"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AmdtSymbols"/>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AmdtSymbols">
    <w:panose1 w:val="020005000000000200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default"/>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4-03008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 w:hAnsi="仿宋" w:eastAsia="仿宋" w:cs="仿宋"/>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lang w:val="en-US" w:eastAsia="zh-CN"/>
      </w:rPr>
      <w:t>03008</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default"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w:t>
    </w:r>
    <w:r>
      <w:rPr>
        <w:rFonts w:hint="eastAsia" w:ascii="仿宋" w:hAnsi="仿宋" w:eastAsia="仿宋" w:cs="仿宋"/>
        <w:lang w:val="en-US" w:eastAsia="zh-CN"/>
      </w:rPr>
      <w:t>24-03008</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p>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p>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p>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00000A"/>
    <w:multiLevelType w:val="multilevel"/>
    <w:tmpl w:val="0000000A"/>
    <w:lvl w:ilvl="0" w:tentative="0">
      <w:start w:val="1"/>
      <w:numFmt w:val="decimal"/>
      <w:pStyle w:val="966"/>
      <w:lvlText w:val="%1."/>
      <w:lvlJc w:val="left"/>
      <w:pPr>
        <w:tabs>
          <w:tab w:val="left" w:pos="1200"/>
        </w:tabs>
        <w:ind w:left="1200" w:hanging="360"/>
      </w:p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47FC052C"/>
    <w:multiLevelType w:val="singleLevel"/>
    <w:tmpl w:val="47FC052C"/>
    <w:lvl w:ilvl="0" w:tentative="0">
      <w:start w:val="1"/>
      <w:numFmt w:val="decimal"/>
      <w:lvlText w:val="(%1)"/>
      <w:lvlJc w:val="left"/>
      <w:pPr>
        <w:tabs>
          <w:tab w:val="left" w:pos="312"/>
        </w:tabs>
      </w:pPr>
    </w:lvl>
  </w:abstractNum>
  <w:abstractNum w:abstractNumId="3">
    <w:nsid w:val="699EB539"/>
    <w:multiLevelType w:val="singleLevel"/>
    <w:tmpl w:val="699EB539"/>
    <w:lvl w:ilvl="0" w:tentative="0">
      <w:start w:val="9"/>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2ZmNjN2Y0NDZjYTFlM2U5Yzg3YTQxM2ZlMjRjMzMifQ=="/>
  </w:docVars>
  <w:rsids>
    <w:rsidRoot w:val="00172A27"/>
    <w:rsid w:val="01D202BF"/>
    <w:rsid w:val="037F4049"/>
    <w:rsid w:val="03ED56BE"/>
    <w:rsid w:val="04323725"/>
    <w:rsid w:val="0687794E"/>
    <w:rsid w:val="0832086E"/>
    <w:rsid w:val="095C271E"/>
    <w:rsid w:val="0A415C80"/>
    <w:rsid w:val="0C09226A"/>
    <w:rsid w:val="0E511C4A"/>
    <w:rsid w:val="0E525E13"/>
    <w:rsid w:val="0F096B8F"/>
    <w:rsid w:val="0F63063F"/>
    <w:rsid w:val="103547A6"/>
    <w:rsid w:val="117F0F32"/>
    <w:rsid w:val="11B61FD4"/>
    <w:rsid w:val="15D83ACA"/>
    <w:rsid w:val="17456831"/>
    <w:rsid w:val="182D2DF3"/>
    <w:rsid w:val="18E60774"/>
    <w:rsid w:val="194B562E"/>
    <w:rsid w:val="1A5A59EA"/>
    <w:rsid w:val="1CE62159"/>
    <w:rsid w:val="1D28626C"/>
    <w:rsid w:val="1D2F1C3B"/>
    <w:rsid w:val="1DAB733F"/>
    <w:rsid w:val="1E734496"/>
    <w:rsid w:val="20951F09"/>
    <w:rsid w:val="21C535CA"/>
    <w:rsid w:val="27B76947"/>
    <w:rsid w:val="27F55F1B"/>
    <w:rsid w:val="29844431"/>
    <w:rsid w:val="2BA351CF"/>
    <w:rsid w:val="2CD00D1F"/>
    <w:rsid w:val="2DB46486"/>
    <w:rsid w:val="2DF358B2"/>
    <w:rsid w:val="30CD01D9"/>
    <w:rsid w:val="310C7E24"/>
    <w:rsid w:val="317768DA"/>
    <w:rsid w:val="326C0B10"/>
    <w:rsid w:val="36C9790D"/>
    <w:rsid w:val="37B556B0"/>
    <w:rsid w:val="37EE33C8"/>
    <w:rsid w:val="39F82267"/>
    <w:rsid w:val="3BCB019C"/>
    <w:rsid w:val="3D7527C4"/>
    <w:rsid w:val="3E8D1AB3"/>
    <w:rsid w:val="3EC67400"/>
    <w:rsid w:val="421C7219"/>
    <w:rsid w:val="427E60E8"/>
    <w:rsid w:val="43FC44E5"/>
    <w:rsid w:val="45A2247F"/>
    <w:rsid w:val="49952794"/>
    <w:rsid w:val="4A2038AF"/>
    <w:rsid w:val="4B4E184B"/>
    <w:rsid w:val="4BF344C2"/>
    <w:rsid w:val="4C60173E"/>
    <w:rsid w:val="4D883BC0"/>
    <w:rsid w:val="4F4B3D85"/>
    <w:rsid w:val="50006B75"/>
    <w:rsid w:val="5020744C"/>
    <w:rsid w:val="507A31A6"/>
    <w:rsid w:val="5487657D"/>
    <w:rsid w:val="54BE39E0"/>
    <w:rsid w:val="5587543A"/>
    <w:rsid w:val="57DF7E9A"/>
    <w:rsid w:val="5B6C451D"/>
    <w:rsid w:val="5B6C6F4D"/>
    <w:rsid w:val="5CB87AF5"/>
    <w:rsid w:val="5E426FAC"/>
    <w:rsid w:val="5F182265"/>
    <w:rsid w:val="5F561B6F"/>
    <w:rsid w:val="5F57E5CA"/>
    <w:rsid w:val="61723BCA"/>
    <w:rsid w:val="61CE1DDF"/>
    <w:rsid w:val="6506044E"/>
    <w:rsid w:val="662230B0"/>
    <w:rsid w:val="669C35D3"/>
    <w:rsid w:val="67F31D1E"/>
    <w:rsid w:val="695C6CC2"/>
    <w:rsid w:val="6A7E414D"/>
    <w:rsid w:val="6AA53938"/>
    <w:rsid w:val="6C634D87"/>
    <w:rsid w:val="6D3E2B59"/>
    <w:rsid w:val="6DC442E3"/>
    <w:rsid w:val="6DCD5CBB"/>
    <w:rsid w:val="6F95175B"/>
    <w:rsid w:val="6FC37AD4"/>
    <w:rsid w:val="70487921"/>
    <w:rsid w:val="711C1CC3"/>
    <w:rsid w:val="716D017F"/>
    <w:rsid w:val="73D72329"/>
    <w:rsid w:val="740D6797"/>
    <w:rsid w:val="749278A6"/>
    <w:rsid w:val="752C5806"/>
    <w:rsid w:val="75833F95"/>
    <w:rsid w:val="77137864"/>
    <w:rsid w:val="78796428"/>
    <w:rsid w:val="78AD1F79"/>
    <w:rsid w:val="792F44CD"/>
    <w:rsid w:val="794B2117"/>
    <w:rsid w:val="7C452E58"/>
    <w:rsid w:val="7D956862"/>
    <w:rsid w:val="7DC973A1"/>
    <w:rsid w:val="7DFF3A1B"/>
    <w:rsid w:val="7F075EC2"/>
    <w:rsid w:val="7F6F24AE"/>
    <w:rsid w:val="7FCE9F2A"/>
    <w:rsid w:val="7FE55526"/>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styleId="2">
    <w:name w:val="Body Text"/>
    <w:basedOn w:val="1"/>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3"/>
    <w:autoRedefine/>
    <w:qFormat/>
    <w:uiPriority w:val="0"/>
    <w:pPr>
      <w:shd w:val="clear" w:color="auto" w:fill="000080"/>
    </w:pPr>
  </w:style>
  <w:style w:type="paragraph" w:styleId="20">
    <w:name w:val="annotation text"/>
    <w:basedOn w:val="1"/>
    <w:link w:val="344"/>
    <w:autoRedefine/>
    <w:qFormat/>
    <w:uiPriority w:val="99"/>
    <w:pPr>
      <w:jc w:val="left"/>
    </w:pPr>
  </w:style>
  <w:style w:type="paragraph" w:styleId="21">
    <w:name w:val="Salutation"/>
    <w:basedOn w:val="1"/>
    <w:next w:val="1"/>
    <w:link w:val="298"/>
    <w:autoRedefine/>
    <w:qFormat/>
    <w:uiPriority w:val="0"/>
    <w:rPr>
      <w:rFonts w:ascii="仿宋_GB2312" w:eastAsia="仿宋_GB2312"/>
      <w:sz w:val="28"/>
      <w:szCs w:val="20"/>
    </w:rPr>
  </w:style>
  <w:style w:type="paragraph" w:styleId="22">
    <w:name w:val="Body Text 3"/>
    <w:basedOn w:val="1"/>
    <w:link w:val="330"/>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Indent"/>
    <w:basedOn w:val="1"/>
    <w:link w:val="265"/>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6"/>
    <w:link w:val="126"/>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2"/>
    <w:autoRedefine/>
    <w:qFormat/>
    <w:uiPriority w:val="0"/>
    <w:pPr>
      <w:ind w:left="100" w:leftChars="2500"/>
    </w:pPr>
    <w:rPr>
      <w:rFonts w:ascii="宋体"/>
      <w:sz w:val="24"/>
      <w:szCs w:val="21"/>
      <w:lang w:val="zh-CN"/>
    </w:rPr>
  </w:style>
  <w:style w:type="paragraph" w:styleId="36">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1"/>
    <w:autoRedefine/>
    <w:qFormat/>
    <w:uiPriority w:val="0"/>
    <w:rPr>
      <w:lang w:val="zh-CN"/>
    </w:rPr>
  </w:style>
  <w:style w:type="paragraph" w:styleId="38">
    <w:name w:val="Balloon Text"/>
    <w:basedOn w:val="1"/>
    <w:link w:val="189"/>
    <w:autoRedefine/>
    <w:qFormat/>
    <w:uiPriority w:val="0"/>
    <w:rPr>
      <w:sz w:val="18"/>
      <w:szCs w:val="18"/>
    </w:rPr>
  </w:style>
  <w:style w:type="paragraph" w:styleId="39">
    <w:name w:val="footer"/>
    <w:basedOn w:val="1"/>
    <w:link w:val="383"/>
    <w:autoRedefine/>
    <w:qFormat/>
    <w:uiPriority w:val="99"/>
    <w:pPr>
      <w:tabs>
        <w:tab w:val="center" w:pos="4153"/>
        <w:tab w:val="right" w:pos="8306"/>
      </w:tabs>
      <w:snapToGrid w:val="0"/>
      <w:jc w:val="left"/>
    </w:pPr>
    <w:rPr>
      <w:sz w:val="18"/>
      <w:szCs w:val="18"/>
    </w:rPr>
  </w:style>
  <w:style w:type="paragraph" w:styleId="40">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6"/>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next w:val="53"/>
    <w:link w:val="375"/>
    <w:autoRedefine/>
    <w:qFormat/>
    <w:uiPriority w:val="0"/>
    <w:pPr>
      <w:spacing w:line="360" w:lineRule="auto"/>
      <w:ind w:firstLine="420"/>
    </w:pPr>
    <w:rPr>
      <w:sz w:val="24"/>
      <w:szCs w:val="20"/>
    </w:rPr>
  </w:style>
  <w:style w:type="paragraph" w:customStyle="1" w:styleId="53">
    <w:name w:val="目录 92"/>
    <w:next w:val="1"/>
    <w:autoRedefine/>
    <w:qFormat/>
    <w:uiPriority w:val="0"/>
    <w:pPr>
      <w:wordWrap w:val="0"/>
      <w:ind w:left="2975"/>
      <w:jc w:val="both"/>
    </w:pPr>
    <w:rPr>
      <w:rFonts w:ascii="Times New Roman" w:hAnsi="Times New Roman" w:eastAsia="宋体" w:cs="Times New Roman"/>
      <w:sz w:val="21"/>
      <w:lang w:val="en-US" w:eastAsia="zh-CN" w:bidi="ar-SA"/>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autoRedefine/>
    <w:qFormat/>
    <w:uiPriority w:val="0"/>
    <w:rPr>
      <w:b/>
      <w:bCs/>
    </w:rPr>
  </w:style>
  <w:style w:type="paragraph" w:styleId="61">
    <w:name w:val="Body Text First Indent"/>
    <w:basedOn w:val="2"/>
    <w:next w:val="1"/>
    <w:link w:val="321"/>
    <w:autoRedefine/>
    <w:qFormat/>
    <w:uiPriority w:val="0"/>
    <w:pPr>
      <w:ind w:firstLine="420"/>
    </w:pPr>
    <w:rPr>
      <w:rFonts w:hAnsi="Calibri" w:cs="Times New Roman"/>
      <w:snapToGrid/>
      <w:szCs w:val="20"/>
    </w:rPr>
  </w:style>
  <w:style w:type="paragraph" w:styleId="62">
    <w:name w:val="Body Text First Indent 2"/>
    <w:basedOn w:val="24"/>
    <w:next w:val="1"/>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next w:val="2"/>
    <w:autoRedefine/>
    <w:qFormat/>
    <w:uiPriority w:val="0"/>
    <w:pPr>
      <w:spacing w:line="360" w:lineRule="auto"/>
      <w:ind w:firstLine="480" w:firstLineChars="200"/>
    </w:pPr>
    <w:rPr>
      <w:rFonts w:ascii="宋体"/>
      <w:sz w:val="24"/>
      <w:szCs w:val="20"/>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29dca83e-cfa0-4d29-9006-28a1b752e563"/>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6"/>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9"/>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4"/>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5"/>
    <w:autoRedefine/>
    <w:qFormat/>
    <w:uiPriority w:val="0"/>
    <w:rPr>
      <w:rFonts w:ascii="宋体"/>
      <w:kern w:val="2"/>
      <w:sz w:val="24"/>
      <w:szCs w:val="21"/>
      <w:lang w:val="zh-CN"/>
    </w:rPr>
  </w:style>
  <w:style w:type="character" w:customStyle="1" w:styleId="183">
    <w:name w:val="标题 9 Char"/>
    <w:link w:val="12"/>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8"/>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9"/>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29"/>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7"/>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7"/>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4"/>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3"/>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8"/>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1"/>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7"/>
    <w:autoRedefine/>
    <w:qFormat/>
    <w:uiPriority w:val="0"/>
    <w:rPr>
      <w:rFonts w:ascii="黑体" w:hAnsi="Courier New" w:eastAsia="黑体"/>
    </w:rPr>
  </w:style>
  <w:style w:type="character" w:customStyle="1" w:styleId="302">
    <w:name w:val="正文文本 2 Char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7"/>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10"/>
    <w:autoRedefine/>
    <w:qFormat/>
    <w:uiPriority w:val="0"/>
    <w:rPr>
      <w:b/>
      <w:bCs/>
      <w:kern w:val="2"/>
      <w:sz w:val="24"/>
      <w:szCs w:val="24"/>
    </w:rPr>
  </w:style>
  <w:style w:type="character" w:customStyle="1" w:styleId="308">
    <w:name w:val="正文文本缩进 2 Char"/>
    <w:link w:val="36"/>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49"/>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61"/>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7"/>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2"/>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autoRedefine/>
    <w:qFormat/>
    <w:uiPriority w:val="99"/>
    <w:rPr>
      <w:kern w:val="2"/>
      <w:sz w:val="21"/>
      <w:szCs w:val="24"/>
    </w:rPr>
  </w:style>
  <w:style w:type="character" w:customStyle="1" w:styleId="345">
    <w:name w:val="签名 Char"/>
    <w:link w:val="41"/>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2"/>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39"/>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0"/>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6"/>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5"/>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8"/>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5"/>
    <w:next w:val="52"/>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4"/>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next w:val="32"/>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9"/>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8"/>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9"/>
    <w:autoRedefine/>
    <w:qFormat/>
    <w:uiPriority w:val="0"/>
    <w:rPr>
      <w:b w:val="0"/>
      <w:sz w:val="20"/>
    </w:rPr>
  </w:style>
  <w:style w:type="paragraph" w:customStyle="1" w:styleId="893">
    <w:name w:val="正文首行缩进1"/>
    <w:basedOn w:val="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3"/>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7"/>
    <w:autoRedefine/>
    <w:qFormat/>
    <w:uiPriority w:val="0"/>
    <w:rPr>
      <w:kern w:val="2"/>
      <w:sz w:val="21"/>
      <w:szCs w:val="24"/>
      <w:lang w:val="zh-CN"/>
    </w:rPr>
  </w:style>
  <w:style w:type="character" w:customStyle="1" w:styleId="932">
    <w:name w:val="无间隔 Char"/>
    <w:link w:val="483"/>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8"/>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4">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样式 10 磅3111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6">
    <w:name w:val="（1）"/>
    <w:basedOn w:val="1"/>
    <w:autoRedefine/>
    <w:qFormat/>
    <w:uiPriority w:val="0"/>
    <w:pPr>
      <w:numPr>
        <w:ilvl w:val="0"/>
        <w:numId w:val="1"/>
      </w:numPr>
      <w:tabs>
        <w:tab w:val="left" w:pos="961"/>
      </w:tabs>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0</TotalTime>
  <ScaleCrop>false</ScaleCrop>
  <LinksUpToDate>false</LinksUpToDate>
  <CharactersWithSpaces>50218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疯趣味</cp:lastModifiedBy>
  <cp:lastPrinted>2021-12-28T19:06:00Z</cp:lastPrinted>
  <dcterms:modified xsi:type="dcterms:W3CDTF">2024-04-25T02:15:23Z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A0FD348FE08A42DC8E2D29DDB0EC1090_13</vt:lpwstr>
  </property>
</Properties>
</file>