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绍兴文理学院轻质合金表面组织调控与性能检测建设项目（重招）</w:t>
      </w:r>
    </w:p>
    <w:p>
      <w:pPr>
        <w:jc w:val="center"/>
        <w:outlineLvl w:val="0"/>
        <w:rPr>
          <w:rFonts w:ascii="仿宋" w:hAnsi="仿宋" w:eastAsia="仿宋" w:cs="仿宋"/>
          <w:b/>
          <w:sz w:val="72"/>
          <w:szCs w:val="72"/>
        </w:rPr>
      </w:pP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r>
        <w:rPr>
          <w:rFonts w:hint="eastAsia" w:ascii="仿宋" w:hAnsi="仿宋" w:eastAsia="仿宋" w:cs="仿宋"/>
          <w:b/>
          <w:sz w:val="44"/>
          <w:szCs w:val="44"/>
        </w:rPr>
        <w:t xml:space="preserve"> </w:t>
      </w:r>
    </w:p>
    <w:p>
      <w:pPr>
        <w:jc w:val="center"/>
        <w:rPr>
          <w:rFonts w:ascii="仿宋" w:hAnsi="仿宋" w:eastAsia="仿宋" w:cs="仿宋"/>
          <w:b/>
          <w:sz w:val="28"/>
          <w:szCs w:val="28"/>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w:t>
      </w:r>
      <w:r>
        <w:rPr>
          <w:rFonts w:hint="eastAsia" w:ascii="仿宋" w:hAnsi="仿宋" w:eastAsia="仿宋" w:cs="仿宋"/>
          <w:b/>
          <w:sz w:val="28"/>
          <w:szCs w:val="28"/>
          <w:lang w:val="en-US" w:eastAsia="zh-CN"/>
        </w:rPr>
        <w:t>4</w:t>
      </w:r>
      <w:r>
        <w:rPr>
          <w:rFonts w:hint="eastAsia" w:ascii="仿宋" w:hAnsi="仿宋" w:eastAsia="仿宋" w:cs="仿宋"/>
          <w:b/>
          <w:sz w:val="28"/>
          <w:szCs w:val="28"/>
          <w:lang w:eastAsia="zh-CN"/>
        </w:rPr>
        <w:t>-</w:t>
      </w:r>
      <w:r>
        <w:rPr>
          <w:rFonts w:hint="eastAsia" w:ascii="仿宋" w:hAnsi="仿宋" w:eastAsia="仿宋" w:cs="仿宋"/>
          <w:b/>
          <w:sz w:val="28"/>
          <w:szCs w:val="28"/>
          <w:lang w:val="en-US" w:eastAsia="zh-CN"/>
        </w:rPr>
        <w:t>01013-1</w:t>
      </w:r>
      <w:r>
        <w:rPr>
          <w:rFonts w:hint="eastAsia" w:ascii="仿宋" w:hAnsi="仿宋" w:eastAsia="仿宋" w:cs="仿宋"/>
          <w:b/>
          <w:sz w:val="28"/>
          <w:szCs w:val="28"/>
        </w:rPr>
        <w:t xml:space="preserve">  </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pPr>
              <w:spacing w:line="320" w:lineRule="exact"/>
              <w:outlineLvl w:val="0"/>
              <w:rPr>
                <w:rFonts w:ascii="仿宋" w:hAnsi="仿宋" w:eastAsia="仿宋" w:cs="仿宋"/>
                <w:sz w:val="28"/>
                <w:szCs w:val="28"/>
              </w:rPr>
            </w:pPr>
            <w:r>
              <w:rPr>
                <w:rFonts w:hint="eastAsia" w:ascii="仿宋" w:hAnsi="仿宋" w:eastAsia="仿宋" w:cs="仿宋"/>
                <w:sz w:val="28"/>
                <w:szCs w:val="28"/>
              </w:rPr>
              <w:t>绍兴文理学院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tblPrEx>
          <w:tblCellMar>
            <w:top w:w="0" w:type="dxa"/>
            <w:left w:w="108" w:type="dxa"/>
            <w:bottom w:w="0" w:type="dxa"/>
            <w:right w:w="108" w:type="dxa"/>
          </w:tblCellMar>
        </w:tblPrEx>
        <w:trPr>
          <w:trHeight w:val="468"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5445"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四</w:t>
            </w:r>
            <w:r>
              <w:rPr>
                <w:rFonts w:hint="eastAsia" w:ascii="仿宋" w:hAnsi="仿宋" w:eastAsia="仿宋" w:cs="仿宋"/>
                <w:sz w:val="28"/>
                <w:szCs w:val="28"/>
              </w:rPr>
              <w:t>年</w:t>
            </w:r>
            <w:r>
              <w:rPr>
                <w:rFonts w:hint="eastAsia" w:ascii="仿宋" w:hAnsi="仿宋" w:eastAsia="仿宋" w:cs="仿宋"/>
                <w:sz w:val="28"/>
                <w:szCs w:val="28"/>
                <w:lang w:eastAsia="zh-CN"/>
              </w:rPr>
              <w:t>二</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814" w:right="1474" w:bottom="1814" w:left="1474"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9822"/>
      <w:bookmarkEnd w:id="4"/>
      <w:bookmarkStart w:id="5" w:name="_Hlt74649545"/>
      <w:bookmarkEnd w:id="5"/>
      <w:bookmarkStart w:id="6" w:name="_Hlt74728647"/>
      <w:bookmarkEnd w:id="6"/>
      <w:bookmarkStart w:id="7" w:name="_Toc91899870"/>
      <w:bookmarkStart w:id="8" w:name="第二部分"/>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u w:val="single"/>
        </w:rPr>
      </w:pPr>
      <w:r>
        <w:rPr>
          <w:rFonts w:hint="eastAsia" w:ascii="仿宋" w:hAnsi="仿宋" w:eastAsia="仿宋" w:cs="仿宋"/>
          <w:sz w:val="24"/>
          <w:u w:val="single"/>
          <w:lang w:eastAsia="zh-CN"/>
        </w:rPr>
        <w:t>绍兴文理学院轻质合金表面组织调控与性能检测建设项目（重招）</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w:t>
      </w:r>
      <w:r>
        <w:rPr>
          <w:rStyle w:val="78"/>
          <w:rFonts w:hint="eastAsia" w:ascii="仿宋" w:hAnsi="仿宋" w:eastAsia="仿宋" w:cs="仿宋"/>
          <w:snapToGrid/>
          <w:color w:val="auto"/>
          <w:kern w:val="2"/>
          <w:sz w:val="24"/>
          <w:szCs w:val="24"/>
          <w:lang w:val="en-US" w:eastAsia="zh-CN"/>
        </w:rPr>
        <w:t>4</w:t>
      </w:r>
      <w:r>
        <w:rPr>
          <w:rStyle w:val="78"/>
          <w:rFonts w:hint="eastAsia" w:ascii="仿宋" w:hAnsi="仿宋" w:eastAsia="仿宋" w:cs="仿宋"/>
          <w:snapToGrid/>
          <w:color w:val="auto"/>
          <w:kern w:val="2"/>
          <w:sz w:val="24"/>
          <w:szCs w:val="24"/>
        </w:rPr>
        <w:t>年</w:t>
      </w:r>
      <w:r>
        <w:rPr>
          <w:rStyle w:val="78"/>
          <w:rFonts w:hint="eastAsia" w:ascii="仿宋" w:hAnsi="仿宋" w:eastAsia="仿宋" w:cs="仿宋"/>
          <w:snapToGrid/>
          <w:color w:val="auto"/>
          <w:kern w:val="2"/>
          <w:sz w:val="24"/>
          <w:szCs w:val="24"/>
          <w:lang w:val="en-US" w:eastAsia="zh-CN"/>
        </w:rPr>
        <w:t>3</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13</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00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ascii="仿宋" w:hAnsi="仿宋" w:eastAsia="仿宋" w:cs="仿宋"/>
          <w:sz w:val="24"/>
        </w:rPr>
      </w:pPr>
      <w:r>
        <w:rPr>
          <w:rFonts w:hint="eastAsia" w:ascii="仿宋" w:hAnsi="仿宋" w:eastAsia="仿宋" w:cs="仿宋"/>
          <w:b/>
          <w:sz w:val="24"/>
        </w:rPr>
        <w:t>项目编号：</w:t>
      </w:r>
      <w:r>
        <w:rPr>
          <w:rFonts w:hint="eastAsia" w:ascii="仿宋" w:hAnsi="仿宋" w:eastAsia="仿宋" w:cs="仿宋"/>
          <w:sz w:val="24"/>
          <w:lang w:eastAsia="zh-CN"/>
        </w:rPr>
        <w:t>YH202</w:t>
      </w:r>
      <w:r>
        <w:rPr>
          <w:rFonts w:hint="eastAsia" w:ascii="仿宋" w:hAnsi="仿宋" w:eastAsia="仿宋" w:cs="仿宋"/>
          <w:sz w:val="24"/>
          <w:lang w:val="en-US" w:eastAsia="zh-CN"/>
        </w:rPr>
        <w:t>4</w:t>
      </w:r>
      <w:r>
        <w:rPr>
          <w:rFonts w:hint="eastAsia" w:ascii="仿宋" w:hAnsi="仿宋" w:eastAsia="仿宋" w:cs="仿宋"/>
          <w:sz w:val="24"/>
          <w:lang w:eastAsia="zh-CN"/>
        </w:rPr>
        <w:t>-</w:t>
      </w:r>
      <w:r>
        <w:rPr>
          <w:rFonts w:hint="eastAsia" w:ascii="仿宋" w:hAnsi="仿宋" w:eastAsia="仿宋" w:cs="仿宋"/>
          <w:sz w:val="24"/>
          <w:lang w:val="en-US" w:eastAsia="zh-CN"/>
        </w:rPr>
        <w:t>01013-1</w:t>
      </w:r>
      <w:r>
        <w:rPr>
          <w:rFonts w:hint="eastAsia" w:ascii="仿宋" w:hAnsi="仿宋" w:eastAsia="仿宋" w:cs="仿宋"/>
          <w:sz w:val="24"/>
        </w:rPr>
        <w:t xml:space="preserve">  </w:t>
      </w:r>
    </w:p>
    <w:p>
      <w:pPr>
        <w:spacing w:line="440" w:lineRule="exact"/>
        <w:ind w:firstLine="482" w:firstLineChars="200"/>
        <w:rPr>
          <w:rFonts w:hint="default" w:ascii="仿宋" w:hAnsi="仿宋" w:eastAsia="仿宋" w:cs="仿宋"/>
          <w:sz w:val="24"/>
          <w:lang w:val="en-US" w:eastAsia="zh-CN"/>
        </w:rPr>
      </w:pPr>
      <w:r>
        <w:rPr>
          <w:rFonts w:hint="eastAsia" w:ascii="仿宋" w:hAnsi="仿宋" w:eastAsia="仿宋" w:cs="仿宋"/>
          <w:b/>
          <w:sz w:val="24"/>
        </w:rPr>
        <w:t>项目名称：</w:t>
      </w:r>
      <w:r>
        <w:rPr>
          <w:rFonts w:hint="eastAsia" w:ascii="仿宋" w:hAnsi="仿宋" w:eastAsia="仿宋" w:cs="仿宋"/>
          <w:bCs/>
          <w:sz w:val="24"/>
          <w:lang w:eastAsia="zh-CN"/>
        </w:rPr>
        <w:t>绍兴文理学院轻质合金表面组织调控与性能检测建设项目</w:t>
      </w:r>
      <w:r>
        <w:rPr>
          <w:rFonts w:hint="eastAsia" w:ascii="仿宋" w:hAnsi="仿宋" w:eastAsia="仿宋" w:cs="仿宋"/>
          <w:bCs/>
          <w:sz w:val="24"/>
          <w:lang w:val="en-US" w:eastAsia="zh-CN"/>
        </w:rPr>
        <w:t>（重招）</w:t>
      </w:r>
    </w:p>
    <w:p>
      <w:pPr>
        <w:spacing w:line="440" w:lineRule="exact"/>
        <w:ind w:firstLine="482" w:firstLineChars="200"/>
        <w:rPr>
          <w:rFonts w:hint="default"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bCs/>
          <w:sz w:val="24"/>
          <w:lang w:val="en-US" w:eastAsia="zh-CN"/>
        </w:rPr>
        <w:t>1500000</w:t>
      </w:r>
    </w:p>
    <w:p>
      <w:pPr>
        <w:spacing w:line="440" w:lineRule="exact"/>
        <w:ind w:firstLine="482" w:firstLineChars="200"/>
        <w:rPr>
          <w:rFonts w:ascii="仿宋" w:hAnsi="仿宋" w:eastAsia="仿宋" w:cs="仿宋"/>
          <w:b/>
          <w:sz w:val="24"/>
        </w:rPr>
      </w:pPr>
      <w:r>
        <w:rPr>
          <w:rFonts w:hint="eastAsia" w:ascii="仿宋" w:hAnsi="仿宋" w:eastAsia="仿宋" w:cs="仿宋"/>
          <w:b/>
          <w:sz w:val="24"/>
        </w:rPr>
        <w:t>最高限价（元）：</w:t>
      </w:r>
      <w:r>
        <w:rPr>
          <w:rFonts w:hint="eastAsia" w:ascii="仿宋" w:hAnsi="仿宋" w:eastAsia="仿宋" w:cs="仿宋"/>
          <w:bCs/>
          <w:sz w:val="24"/>
          <w:lang w:val="en-US" w:eastAsia="zh-CN"/>
        </w:rPr>
        <w:t>1500000</w:t>
      </w:r>
      <w:r>
        <w:rPr>
          <w:rFonts w:hint="eastAsia" w:ascii="仿宋" w:hAnsi="仿宋" w:eastAsia="仿宋" w:cs="仿宋"/>
          <w:b/>
          <w:sz w:val="24"/>
        </w:rPr>
        <w:t xml:space="preserve">  </w:t>
      </w:r>
    </w:p>
    <w:p>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w:t>
      </w:r>
      <w:r>
        <w:rPr>
          <w:rFonts w:hint="eastAsia" w:ascii="仿宋" w:hAnsi="仿宋" w:eastAsia="仿宋" w:cs="仿宋"/>
          <w:bCs/>
          <w:sz w:val="24"/>
        </w:rPr>
        <w:t>简要规格描述、项目基本概况介绍、用途详见采购文件。</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标项一：</w:t>
      </w:r>
    </w:p>
    <w:p>
      <w:pPr>
        <w:spacing w:line="440" w:lineRule="exact"/>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绍兴文理学院轻质合金表面组织调控与性能检测建设项目</w:t>
      </w:r>
      <w:bookmarkStart w:id="205" w:name="_GoBack"/>
      <w:bookmarkEnd w:id="205"/>
      <w:r>
        <w:rPr>
          <w:rFonts w:hint="eastAsia" w:ascii="仿宋" w:hAnsi="仿宋" w:eastAsia="仿宋" w:cs="仿宋"/>
          <w:bCs/>
          <w:sz w:val="24"/>
          <w:lang w:val="en-US" w:eastAsia="zh-CN"/>
        </w:rPr>
        <w:t>（重招）</w:t>
      </w:r>
    </w:p>
    <w:p>
      <w:pPr>
        <w:spacing w:line="440" w:lineRule="exact"/>
        <w:ind w:firstLine="480" w:firstLineChars="200"/>
        <w:rPr>
          <w:rFonts w:ascii="仿宋" w:hAnsi="仿宋" w:eastAsia="仿宋" w:cs="仿宋"/>
          <w:bCs/>
          <w:sz w:val="24"/>
        </w:rPr>
      </w:pPr>
      <w:r>
        <w:rPr>
          <w:rFonts w:hint="eastAsia" w:ascii="仿宋" w:hAnsi="仿宋" w:eastAsia="仿宋" w:cs="仿宋"/>
          <w:bCs/>
          <w:sz w:val="24"/>
        </w:rPr>
        <w:t>数量：1</w:t>
      </w:r>
    </w:p>
    <w:p>
      <w:pPr>
        <w:spacing w:line="440" w:lineRule="exact"/>
        <w:ind w:firstLine="480" w:firstLineChars="200"/>
        <w:rPr>
          <w:rFonts w:hint="default" w:ascii="仿宋" w:hAnsi="仿宋" w:eastAsia="仿宋" w:cs="仿宋"/>
          <w:bCs/>
          <w:sz w:val="24"/>
          <w:lang w:val="en-US" w:eastAsia="zh-CN"/>
        </w:rPr>
      </w:pPr>
      <w:r>
        <w:rPr>
          <w:rFonts w:hint="eastAsia" w:ascii="仿宋" w:hAnsi="仿宋" w:eastAsia="仿宋" w:cs="仿宋"/>
          <w:bCs/>
          <w:sz w:val="24"/>
        </w:rPr>
        <w:t>预算金额：</w:t>
      </w:r>
      <w:r>
        <w:rPr>
          <w:rFonts w:hint="eastAsia" w:ascii="仿宋" w:hAnsi="仿宋" w:eastAsia="仿宋" w:cs="仿宋"/>
          <w:bCs/>
          <w:sz w:val="24"/>
          <w:lang w:val="en-US" w:eastAsia="zh-CN"/>
        </w:rPr>
        <w:t>1500000</w:t>
      </w:r>
    </w:p>
    <w:p>
      <w:pPr>
        <w:spacing w:line="440" w:lineRule="exact"/>
        <w:ind w:firstLine="480" w:firstLineChars="200"/>
        <w:rPr>
          <w:rFonts w:ascii="仿宋" w:hAnsi="仿宋" w:eastAsia="仿宋" w:cs="仿宋"/>
          <w:b/>
          <w:sz w:val="24"/>
        </w:rPr>
      </w:pPr>
      <w:r>
        <w:rPr>
          <w:rFonts w:hint="eastAsia" w:ascii="仿宋" w:hAnsi="仿宋" w:eastAsia="仿宋" w:cs="仿宋"/>
          <w:bCs/>
          <w:sz w:val="24"/>
        </w:rPr>
        <w:t>主要内容：简要规格描述、项目基本概况介绍、用途详见采购文件。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FE"/>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3</w:t>
      </w:r>
      <w:r>
        <w:rPr>
          <w:rFonts w:hint="eastAsia" w:ascii="仿宋" w:hAnsi="仿宋" w:eastAsia="仿宋" w:cs="仿宋"/>
          <w:sz w:val="24"/>
          <w:u w:val="single"/>
        </w:rPr>
        <w:t>月</w:t>
      </w:r>
      <w:r>
        <w:rPr>
          <w:rFonts w:hint="eastAsia" w:ascii="仿宋" w:hAnsi="仿宋" w:eastAsia="仿宋" w:cs="仿宋"/>
          <w:sz w:val="24"/>
          <w:u w:val="single"/>
          <w:lang w:val="en-US" w:eastAsia="zh-CN"/>
        </w:rPr>
        <w:t>13</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288"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 xml:space="preserve">3 </w:t>
      </w:r>
      <w:r>
        <w:rPr>
          <w:rFonts w:hint="eastAsia" w:ascii="仿宋" w:hAnsi="仿宋" w:eastAsia="仿宋" w:cs="仿宋"/>
          <w:sz w:val="24"/>
          <w:u w:val="single"/>
        </w:rPr>
        <w:t>月</w:t>
      </w:r>
      <w:r>
        <w:rPr>
          <w:rFonts w:hint="eastAsia" w:ascii="仿宋" w:hAnsi="仿宋" w:eastAsia="仿宋" w:cs="仿宋"/>
          <w:sz w:val="24"/>
          <w:u w:val="single"/>
          <w:lang w:val="en-US" w:eastAsia="zh-CN"/>
        </w:rPr>
        <w:t>13</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pPr>
        <w:spacing w:line="288"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288"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w:t>
      </w:r>
      <w:r>
        <w:rPr>
          <w:rFonts w:hint="eastAsia" w:ascii="仿宋" w:hAnsi="仿宋" w:eastAsia="仿宋" w:cs="仿宋"/>
          <w:sz w:val="24"/>
          <w:u w:val="single"/>
          <w:lang w:val="en-US" w:eastAsia="zh-CN"/>
        </w:rPr>
        <w:t>4</w:t>
      </w:r>
      <w:r>
        <w:rPr>
          <w:rFonts w:hint="eastAsia" w:ascii="仿宋" w:hAnsi="仿宋" w:eastAsia="仿宋" w:cs="仿宋"/>
          <w:sz w:val="24"/>
          <w:u w:val="single"/>
        </w:rPr>
        <w:t>年</w:t>
      </w:r>
      <w:r>
        <w:rPr>
          <w:rFonts w:hint="eastAsia" w:ascii="仿宋" w:hAnsi="仿宋" w:eastAsia="仿宋" w:cs="仿宋"/>
          <w:sz w:val="24"/>
          <w:u w:val="single"/>
          <w:lang w:val="en-US" w:eastAsia="zh-CN"/>
        </w:rPr>
        <w:t>3</w:t>
      </w:r>
      <w:r>
        <w:rPr>
          <w:rFonts w:hint="eastAsia" w:ascii="仿宋" w:hAnsi="仿宋" w:eastAsia="仿宋" w:cs="仿宋"/>
          <w:sz w:val="24"/>
          <w:u w:val="single"/>
        </w:rPr>
        <w:t>月</w:t>
      </w:r>
      <w:r>
        <w:rPr>
          <w:rFonts w:hint="eastAsia" w:ascii="仿宋" w:hAnsi="仿宋" w:eastAsia="仿宋" w:cs="仿宋"/>
          <w:sz w:val="24"/>
          <w:u w:val="single"/>
          <w:lang w:val="en-US" w:eastAsia="zh-CN"/>
        </w:rPr>
        <w:t>13</w:t>
      </w:r>
      <w:r>
        <w:rPr>
          <w:rFonts w:hint="eastAsia" w:ascii="仿宋" w:hAnsi="仿宋" w:eastAsia="仿宋" w:cs="仿宋"/>
          <w:sz w:val="24"/>
          <w:u w:val="single"/>
        </w:rPr>
        <w:t>日</w:t>
      </w:r>
      <w:r>
        <w:rPr>
          <w:rFonts w:hint="eastAsia" w:ascii="仿宋" w:hAnsi="仿宋" w:eastAsia="仿宋" w:cs="仿宋"/>
          <w:sz w:val="24"/>
          <w:u w:val="single"/>
          <w:lang w:val="en-US" w:eastAsia="zh-CN"/>
        </w:rPr>
        <w:t>09</w:t>
      </w:r>
      <w:r>
        <w:rPr>
          <w:rFonts w:hint="eastAsia" w:ascii="仿宋" w:hAnsi="仿宋" w:eastAsia="仿宋" w:cs="仿宋"/>
          <w:sz w:val="24"/>
          <w:u w:val="single"/>
        </w:rPr>
        <w:t>点</w:t>
      </w:r>
      <w:r>
        <w:rPr>
          <w:rFonts w:hint="eastAsia" w:ascii="仿宋" w:hAnsi="仿宋" w:eastAsia="仿宋" w:cs="仿宋"/>
          <w:sz w:val="24"/>
          <w:u w:val="single"/>
          <w:lang w:val="en-US" w:eastAsia="zh-CN"/>
        </w:rPr>
        <w:t>00</w:t>
      </w:r>
      <w:r>
        <w:rPr>
          <w:rFonts w:hint="eastAsia" w:ascii="仿宋" w:hAnsi="仿宋" w:eastAsia="仿宋" w:cs="仿宋"/>
          <w:sz w:val="24"/>
          <w:u w:val="single"/>
        </w:rPr>
        <w:t>分00秒</w:t>
      </w:r>
      <w:r>
        <w:rPr>
          <w:rFonts w:hint="eastAsia" w:ascii="仿宋" w:hAnsi="仿宋" w:eastAsia="仿宋" w:cs="仿宋"/>
          <w:bCs/>
          <w:sz w:val="24"/>
          <w:u w:val="single"/>
        </w:rPr>
        <w:t xml:space="preserve">  </w:t>
      </w:r>
    </w:p>
    <w:p>
      <w:pPr>
        <w:spacing w:line="288"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288" w:lineRule="auto"/>
        <w:rPr>
          <w:rFonts w:ascii="仿宋" w:hAnsi="仿宋" w:eastAsia="仿宋" w:cs="仿宋"/>
          <w:sz w:val="24"/>
        </w:rPr>
      </w:pPr>
      <w:r>
        <w:rPr>
          <w:rFonts w:hint="eastAsia" w:ascii="仿宋" w:hAnsi="仿宋" w:eastAsia="仿宋" w:cs="仿宋"/>
          <w:b/>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35393637"/>
      <w:bookmarkStart w:id="12" w:name="_Toc35393806"/>
      <w:bookmarkStart w:id="13" w:name="_Toc28359096"/>
      <w:bookmarkStart w:id="14" w:name="_Toc28359019"/>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5" w:name="_Toc28359098"/>
      <w:bookmarkStart w:id="16" w:name="_Toc35393808"/>
      <w:bookmarkStart w:id="17" w:name="_Toc28359021"/>
      <w:bookmarkStart w:id="18" w:name="_Toc35393639"/>
      <w:r>
        <w:rPr>
          <w:rFonts w:hint="eastAsia" w:ascii="仿宋" w:hAnsi="仿宋" w:eastAsia="仿宋" w:cs="仿宋"/>
          <w:sz w:val="24"/>
        </w:rPr>
        <w:t>名    称：绍兴文理学院</w:t>
      </w:r>
    </w:p>
    <w:p>
      <w:pPr>
        <w:spacing w:line="288" w:lineRule="auto"/>
        <w:ind w:firstLine="480" w:firstLineChars="200"/>
        <w:rPr>
          <w:rFonts w:ascii="仿宋" w:hAnsi="仿宋" w:eastAsia="仿宋" w:cs="仿宋"/>
          <w:sz w:val="24"/>
        </w:rPr>
      </w:pPr>
      <w:r>
        <w:rPr>
          <w:rFonts w:hint="eastAsia" w:ascii="仿宋" w:hAnsi="仿宋" w:eastAsia="仿宋" w:cs="仿宋"/>
          <w:sz w:val="24"/>
        </w:rPr>
        <w:t>地    址：绍兴市越城区环城西路508号</w:t>
      </w:r>
    </w:p>
    <w:p>
      <w:pPr>
        <w:spacing w:line="288" w:lineRule="auto"/>
        <w:ind w:firstLine="480" w:firstLineChars="200"/>
        <w:rPr>
          <w:rFonts w:ascii="仿宋" w:hAnsi="仿宋" w:eastAsia="仿宋" w:cs="仿宋"/>
          <w:sz w:val="24"/>
        </w:rPr>
      </w:pPr>
      <w:r>
        <w:rPr>
          <w:rFonts w:hint="eastAsia" w:ascii="仿宋" w:hAnsi="仿宋" w:eastAsia="仿宋" w:cs="仿宋"/>
          <w:sz w:val="24"/>
        </w:rPr>
        <w:t>传    真：/</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项目联系人（询问）：聂玉冰</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项目联系方式（询问）：0575-88342889</w:t>
      </w:r>
    </w:p>
    <w:p>
      <w:pPr>
        <w:spacing w:line="288" w:lineRule="auto"/>
        <w:ind w:firstLine="480"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质疑联系人：</w:t>
      </w:r>
      <w:r>
        <w:rPr>
          <w:rFonts w:hint="eastAsia" w:ascii="仿宋" w:hAnsi="仿宋" w:eastAsia="仿宋" w:cs="仿宋"/>
          <w:color w:val="000000" w:themeColor="text1"/>
          <w:sz w:val="24"/>
          <w:lang w:eastAsia="zh-CN"/>
          <w14:textFill>
            <w14:solidFill>
              <w14:schemeClr w14:val="tx1"/>
            </w14:solidFill>
          </w14:textFill>
        </w:rPr>
        <w:t>单磊</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质疑联系方式：</w:t>
      </w:r>
      <w:bookmarkStart w:id="19" w:name="_Toc35393638"/>
      <w:bookmarkStart w:id="20" w:name="_Toc35393807"/>
      <w:bookmarkStart w:id="21" w:name="_Toc28359020"/>
      <w:bookmarkStart w:id="22" w:name="_Toc28359097"/>
      <w:r>
        <w:rPr>
          <w:rFonts w:hint="eastAsia" w:ascii="仿宋" w:hAnsi="仿宋" w:eastAsia="仿宋" w:cs="仿宋"/>
          <w:sz w:val="24"/>
          <w:lang w:val="en-US" w:eastAsia="zh-CN"/>
        </w:rPr>
        <w:t>17857509076</w:t>
      </w:r>
    </w:p>
    <w:p>
      <w:pPr>
        <w:spacing w:line="288" w:lineRule="auto"/>
        <w:ind w:firstLine="480" w:firstLineChars="200"/>
        <w:rPr>
          <w:rFonts w:ascii="仿宋" w:hAnsi="仿宋" w:eastAsia="仿宋" w:cs="仿宋"/>
          <w:sz w:val="24"/>
        </w:rPr>
      </w:pPr>
      <w:r>
        <w:rPr>
          <w:rFonts w:hint="eastAsia" w:ascii="仿宋" w:hAnsi="仿宋" w:eastAsia="仿宋" w:cs="仿宋"/>
          <w:sz w:val="24"/>
        </w:rPr>
        <w:t>采购代理机构信息</w:t>
      </w:r>
      <w:bookmarkEnd w:id="19"/>
      <w:bookmarkEnd w:id="20"/>
      <w:bookmarkEnd w:id="21"/>
      <w:bookmarkEnd w:id="22"/>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名    称：耀华建设管理有限公司</w:t>
      </w:r>
    </w:p>
    <w:p>
      <w:pPr>
        <w:spacing w:line="288" w:lineRule="auto"/>
        <w:ind w:firstLine="480" w:firstLineChars="200"/>
        <w:rPr>
          <w:rFonts w:ascii="仿宋" w:hAnsi="仿宋" w:eastAsia="仿宋" w:cs="仿宋"/>
          <w:sz w:val="24"/>
        </w:rPr>
      </w:pPr>
      <w:r>
        <w:rPr>
          <w:rFonts w:hint="eastAsia" w:ascii="仿宋" w:hAnsi="仿宋" w:eastAsia="仿宋" w:cs="仿宋"/>
          <w:sz w:val="24"/>
        </w:rPr>
        <w:t>地    址：绍兴市阳明北路80号滨江大厦C楼309</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传    真：/             </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项目联系人（询问）：郭虹</w:t>
      </w:r>
    </w:p>
    <w:p>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项目联系方式（询问）：0575-88776697</w:t>
      </w:r>
    </w:p>
    <w:p>
      <w:pPr>
        <w:spacing w:line="288" w:lineRule="auto"/>
        <w:ind w:firstLine="480" w:firstLineChars="200"/>
        <w:rPr>
          <w:rFonts w:ascii="仿宋" w:hAnsi="仿宋" w:eastAsia="仿宋" w:cs="仿宋"/>
          <w:sz w:val="24"/>
        </w:rPr>
      </w:pPr>
      <w:r>
        <w:rPr>
          <w:rFonts w:hint="eastAsia" w:ascii="仿宋" w:hAnsi="仿宋" w:eastAsia="仿宋" w:cs="仿宋"/>
          <w:sz w:val="24"/>
        </w:rPr>
        <w:t>质疑联系人：单成燕</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质疑联系方式：0575-88336881</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5"/>
    <w:bookmarkEnd w:id="16"/>
    <w:bookmarkEnd w:id="17"/>
    <w:bookmarkEnd w:id="18"/>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ascii="仿宋" w:hAnsi="仿宋" w:eastAsia="仿宋" w:cs="仿宋"/>
          <w:sz w:val="24"/>
        </w:rPr>
      </w:pPr>
      <w:r>
        <w:rPr>
          <w:rFonts w:hint="eastAsia" w:ascii="仿宋" w:hAnsi="仿宋" w:eastAsia="仿宋" w:cs="仿宋"/>
          <w:sz w:val="24"/>
        </w:rPr>
        <w:t>传真：0575-85209806       </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sz w:val="24"/>
              </w:rPr>
              <w:t>样品提供：</w:t>
            </w:r>
          </w:p>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A不要求提供。</w:t>
            </w:r>
          </w:p>
          <w:p>
            <w:pPr>
              <w:spacing w:line="440" w:lineRule="exact"/>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B要求提供，</w:t>
            </w:r>
          </w:p>
          <w:p>
            <w:pPr>
              <w:spacing w:line="440" w:lineRule="exact"/>
              <w:rPr>
                <w:rFonts w:ascii="仿宋" w:hAnsi="仿宋" w:eastAsia="仿宋" w:cs="仿宋"/>
                <w:sz w:val="24"/>
              </w:rPr>
            </w:pPr>
            <w:r>
              <w:rPr>
                <w:rFonts w:hint="eastAsia" w:ascii="仿宋" w:hAnsi="仿宋" w:eastAsia="仿宋" w:cs="仿宋"/>
                <w:sz w:val="24"/>
              </w:rPr>
              <w:t>（1）样品：备用机；</w:t>
            </w:r>
          </w:p>
          <w:p>
            <w:pPr>
              <w:spacing w:line="440" w:lineRule="exact"/>
              <w:rPr>
                <w:rFonts w:ascii="仿宋" w:hAnsi="仿宋" w:eastAsia="仿宋" w:cs="仿宋"/>
                <w:sz w:val="24"/>
              </w:rPr>
            </w:pPr>
            <w:r>
              <w:rPr>
                <w:rFonts w:hint="eastAsia" w:ascii="仿宋" w:hAnsi="仿宋" w:eastAsia="仿宋" w:cs="仿宋"/>
                <w:sz w:val="24"/>
              </w:rPr>
              <w:t>（2）样品制作的标准和要求：详见招标项目范围及要求和评标办法；</w:t>
            </w:r>
          </w:p>
          <w:p>
            <w:pPr>
              <w:spacing w:line="440" w:lineRule="exact"/>
              <w:rPr>
                <w:rFonts w:ascii="仿宋" w:hAnsi="仿宋" w:eastAsia="仿宋" w:cs="仿宋"/>
                <w:sz w:val="24"/>
              </w:rPr>
            </w:pPr>
            <w:r>
              <w:rPr>
                <w:rFonts w:hint="eastAsia" w:ascii="仿宋" w:hAnsi="仿宋" w:eastAsia="仿宋" w:cs="仿宋"/>
                <w:sz w:val="24"/>
              </w:rPr>
              <w:t>（3）样品的评审方法以及评审标准：详见评标办法；</w:t>
            </w:r>
          </w:p>
          <w:p>
            <w:pPr>
              <w:spacing w:line="440" w:lineRule="exact"/>
              <w:rPr>
                <w:rFonts w:ascii="仿宋" w:hAnsi="仿宋" w:eastAsia="仿宋" w:cs="仿宋"/>
                <w:sz w:val="24"/>
              </w:rPr>
            </w:pPr>
            <w:r>
              <w:rPr>
                <w:rFonts w:hint="eastAsia" w:ascii="仿宋" w:hAnsi="仿宋" w:eastAsia="仿宋" w:cs="仿宋"/>
                <w:sz w:val="24"/>
              </w:rPr>
              <w:t>（4）是否需要随样品提交检测报告：</w:t>
            </w:r>
            <w:r>
              <w:rPr>
                <w:rFonts w:hint="eastAsia" w:ascii="仿宋" w:hAnsi="仿宋" w:eastAsia="仿宋" w:cs="仿宋"/>
                <w:sz w:val="24"/>
                <w:lang w:eastAsia="zh-CN"/>
              </w:rPr>
              <w:t>□</w:t>
            </w:r>
            <w:r>
              <w:rPr>
                <w:rFonts w:hint="eastAsia" w:ascii="仿宋" w:hAnsi="仿宋" w:eastAsia="仿宋" w:cs="仿宋"/>
                <w:sz w:val="24"/>
              </w:rPr>
              <w:t>否；□是，检测机构的要求：    ；检测内容：    。</w:t>
            </w:r>
          </w:p>
          <w:p>
            <w:pPr>
              <w:spacing w:line="440" w:lineRule="exact"/>
              <w:rPr>
                <w:rFonts w:ascii="仿宋" w:hAnsi="仿宋" w:eastAsia="仿宋" w:cs="仿宋"/>
                <w:sz w:val="24"/>
              </w:rPr>
            </w:pPr>
            <w:r>
              <w:rPr>
                <w:rFonts w:hint="eastAsia" w:ascii="仿宋" w:hAnsi="仿宋" w:eastAsia="仿宋" w:cs="仿宋"/>
                <w:sz w:val="24"/>
              </w:rPr>
              <w:t>（5）提供样品的时间：投标截止时间前；</w:t>
            </w:r>
            <w:r>
              <w:rPr>
                <w:rFonts w:hint="eastAsia" w:ascii="仿宋" w:hAnsi="仿宋" w:eastAsia="仿宋" w:cs="仿宋"/>
                <w:color w:val="000000" w:themeColor="text1"/>
                <w:sz w:val="24"/>
                <w14:textFill>
                  <w14:solidFill>
                    <w14:schemeClr w14:val="tx1"/>
                  </w14:solidFill>
                </w14:textFill>
              </w:rPr>
              <w:t>地点：</w:t>
            </w:r>
            <w:r>
              <w:rPr>
                <w:rFonts w:hint="eastAsia" w:ascii="仿宋" w:hAnsi="仿宋" w:eastAsia="仿宋" w:cs="仿宋"/>
                <w:color w:val="000000" w:themeColor="text1"/>
                <w:sz w:val="24"/>
                <w:lang w:val="en-US" w:eastAsia="zh-CN"/>
                <w14:textFill>
                  <w14:solidFill>
                    <w14:schemeClr w14:val="tx1"/>
                  </w14:solidFill>
                </w14:textFill>
              </w:rPr>
              <w:t xml:space="preserve">        </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sz w:val="24"/>
              </w:rPr>
              <w:t>联系人：</w:t>
            </w:r>
            <w:r>
              <w:rPr>
                <w:rFonts w:hint="eastAsia" w:ascii="仿宋" w:hAnsi="仿宋" w:eastAsia="仿宋" w:cs="仿宋"/>
                <w:sz w:val="24"/>
                <w:lang w:val="en-US" w:eastAsia="zh-CN"/>
              </w:rPr>
              <w:t xml:space="preserve">     </w:t>
            </w:r>
            <w:r>
              <w:rPr>
                <w:rFonts w:hint="eastAsia" w:ascii="仿宋" w:hAnsi="仿宋" w:eastAsia="仿宋" w:cs="仿宋"/>
                <w:sz w:val="24"/>
              </w:rPr>
              <w:t>，联系电话：</w:t>
            </w:r>
            <w:r>
              <w:rPr>
                <w:rFonts w:hint="eastAsia" w:ascii="仿宋" w:hAnsi="仿宋" w:eastAsia="仿宋" w:cs="仿宋"/>
                <w:sz w:val="24"/>
                <w:lang w:val="en-US" w:eastAsia="zh-CN"/>
              </w:rPr>
              <w:t xml:space="preserve">        </w:t>
            </w:r>
            <w:r>
              <w:rPr>
                <w:rFonts w:hint="eastAsia" w:ascii="仿宋" w:hAnsi="仿宋" w:eastAsia="仿宋" w:cs="仿宋"/>
                <w:sz w:val="24"/>
              </w:rPr>
              <w:t xml:space="preserve"> 。请投标人在上述时间内提供样品并按规定位置安装完毕。超过截止时间的，采购人或采购代理机构将不予接收，并将清场并封闭样品现场。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440" w:lineRule="exact"/>
              <w:rPr>
                <w:rFonts w:ascii="仿宋" w:hAnsi="仿宋" w:eastAsia="仿宋" w:cs="仿宋"/>
                <w:sz w:val="24"/>
              </w:rPr>
            </w:pPr>
            <w:r>
              <w:rPr>
                <w:rFonts w:hint="eastAsia" w:ascii="仿宋" w:hAnsi="仿宋" w:eastAsia="仿宋" w:cs="仿宋"/>
                <w:sz w:val="24"/>
              </w:rPr>
              <w:t>方案讲解演示：</w:t>
            </w:r>
          </w:p>
          <w:p>
            <w:pPr>
              <w:spacing w:line="440" w:lineRule="exact"/>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rPr>
              <w:t>A无方案讲解演示。</w:t>
            </w:r>
          </w:p>
          <w:p>
            <w:pPr>
              <w:spacing w:line="440" w:lineRule="exact"/>
              <w:rPr>
                <w:rFonts w:ascii="仿宋" w:hAnsi="仿宋" w:eastAsia="仿宋" w:cs="仿宋"/>
                <w:sz w:val="24"/>
              </w:rPr>
            </w:pPr>
            <w:r>
              <w:rPr>
                <w:rFonts w:hint="eastAsia" w:ascii="仿宋" w:hAnsi="仿宋" w:eastAsia="仿宋" w:cs="仿宋"/>
                <w:sz w:val="24"/>
              </w:rPr>
              <w:sym w:font="Wingdings 2" w:char="00A3"/>
            </w:r>
            <w:r>
              <w:rPr>
                <w:rFonts w:hint="eastAsia" w:ascii="仿宋" w:hAnsi="仿宋" w:eastAsia="仿宋" w:cs="仿宋"/>
                <w:sz w:val="24"/>
              </w:rPr>
              <w:t>B有方案讲解演示：</w:t>
            </w:r>
          </w:p>
          <w:p>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rPr>
              <w:t>15</w:t>
            </w:r>
            <w:r>
              <w:rPr>
                <w:rFonts w:hint="eastAsia" w:ascii="仿宋" w:hAnsi="仿宋" w:eastAsia="仿宋" w:cs="仿宋"/>
                <w:sz w:val="24"/>
                <w:lang w:val="zh-CN"/>
              </w:rPr>
              <w:t>分钟，讲解次序以投标文件解密时间先后次序为准。讲解演示结束后按要求解答评标委员会提问。</w:t>
            </w:r>
          </w:p>
          <w:p>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pPr>
              <w:spacing w:line="440" w:lineRule="exact"/>
              <w:rPr>
                <w:rFonts w:ascii="仿宋" w:hAnsi="仿宋" w:eastAsia="仿宋" w:cs="仿宋"/>
                <w:sz w:val="24"/>
                <w:lang w:val="zh-CN"/>
              </w:rPr>
            </w:pPr>
            <w:r>
              <w:rPr>
                <w:rFonts w:hint="eastAsia" w:ascii="仿宋" w:hAnsi="仿宋" w:eastAsia="仿宋" w:cs="仿宋"/>
                <w:sz w:val="24"/>
              </w:rPr>
              <w:sym w:font="Wingdings 2" w:char="00A3"/>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sz w:val="24"/>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     ，讲解演示人员不超过 3人。讲解演示所用电脑等设备由供应商自备。现场讲解演示人员进场时提供讲解人员名单（加盖公章或授权代表签名）及身份证明，否则不得讲解演示。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spacing w:line="440" w:lineRule="exact"/>
              <w:rPr>
                <w:rFonts w:hint="default" w:ascii="仿宋" w:hAnsi="仿宋" w:eastAsia="仿宋" w:cs="仿宋"/>
                <w:bCs/>
                <w:color w:val="auto"/>
                <w:sz w:val="24"/>
                <w:u w:val="single"/>
                <w:lang w:val="en-US" w:eastAsia="zh-CN"/>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w:t>
            </w:r>
            <w:r>
              <w:rPr>
                <w:rFonts w:hint="eastAsia" w:ascii="仿宋" w:hAnsi="仿宋" w:eastAsia="仿宋" w:cs="仿宋"/>
                <w:color w:val="auto"/>
                <w:sz w:val="24"/>
              </w:rPr>
              <w:t>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lang w:val="en-US" w:eastAsia="zh-CN"/>
              </w:rPr>
              <w:t xml:space="preserve"> 多功能物理气相沉积系统 </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pacing w:line="440" w:lineRule="exact"/>
              <w:rPr>
                <w:rFonts w:ascii="仿宋" w:hAnsi="仿宋" w:eastAsia="仿宋" w:cs="仿宋"/>
              </w:rPr>
            </w:pPr>
            <w:r>
              <w:rPr>
                <w:rFonts w:hint="eastAsia" w:ascii="仿宋" w:hAnsi="仿宋" w:eastAsia="仿宋" w:cs="仿宋"/>
                <w:sz w:val="24"/>
                <w:lang w:val="zh-CN"/>
              </w:rPr>
              <w:t>（1）标的：01标，属于</w:t>
            </w:r>
            <w:r>
              <w:rPr>
                <w:rFonts w:hint="eastAsia" w:ascii="仿宋" w:hAnsi="仿宋" w:eastAsia="仿宋" w:cs="仿宋"/>
                <w:sz w:val="24"/>
                <w:u w:val="single"/>
                <w:lang w:val="zh-CN"/>
              </w:rPr>
              <w:t>工业</w:t>
            </w:r>
            <w:r>
              <w:rPr>
                <w:rFonts w:hint="eastAsia" w:ascii="仿宋" w:hAnsi="仿宋" w:eastAsia="仿宋" w:cs="仿宋"/>
                <w:sz w:val="24"/>
                <w:lang w:val="zh-CN"/>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17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19</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的20%执行。收费标准：中标金额在100万以下部分为1.5%。</w:t>
            </w:r>
          </w:p>
          <w:p>
            <w:pPr>
              <w:spacing w:line="288" w:lineRule="auto"/>
              <w:rPr>
                <w:rFonts w:ascii="仿宋" w:hAnsi="仿宋" w:eastAsia="仿宋" w:cs="仿宋"/>
                <w:sz w:val="24"/>
              </w:rPr>
            </w:pPr>
            <w:r>
              <w:rPr>
                <w:rFonts w:hint="eastAsia" w:ascii="仿宋" w:hAnsi="仿宋" w:eastAsia="仿宋" w:cs="仿宋"/>
                <w:sz w:val="24"/>
              </w:rPr>
              <w:t>（2）代理服务费的交纳方式：</w:t>
            </w:r>
          </w:p>
          <w:p>
            <w:pPr>
              <w:spacing w:line="288" w:lineRule="auto"/>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288" w:lineRule="auto"/>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288" w:lineRule="auto"/>
              <w:rPr>
                <w:rFonts w:ascii="仿宋" w:hAnsi="仿宋" w:eastAsia="仿宋" w:cs="仿宋"/>
                <w:sz w:val="24"/>
              </w:rPr>
            </w:pPr>
            <w:r>
              <w:rPr>
                <w:rFonts w:hint="eastAsia" w:ascii="仿宋" w:hAnsi="仿宋" w:eastAsia="仿宋" w:cs="仿宋"/>
                <w:sz w:val="24"/>
              </w:rPr>
              <w:t>账    号：336006190018819003083</w:t>
            </w:r>
          </w:p>
          <w:p>
            <w:pPr>
              <w:spacing w:line="288" w:lineRule="auto"/>
              <w:rPr>
                <w:rFonts w:ascii="仿宋" w:hAnsi="仿宋" w:eastAsia="仿宋" w:cs="仿宋"/>
                <w:sz w:val="24"/>
              </w:rPr>
            </w:pPr>
            <w:r>
              <w:rPr>
                <w:rFonts w:hint="eastAsia" w:ascii="仿宋" w:hAnsi="仿宋" w:eastAsia="仿宋" w:cs="仿宋"/>
                <w:sz w:val="24"/>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_Hlt74714665"/>
      <w:bookmarkEnd w:id="23"/>
      <w:bookmarkStart w:id="24" w:name="_Hlt75236011"/>
      <w:bookmarkEnd w:id="24"/>
      <w:bookmarkStart w:id="25" w:name="_Hlt68073093"/>
      <w:bookmarkEnd w:id="25"/>
      <w:bookmarkStart w:id="26" w:name="_Hlt68403820"/>
      <w:bookmarkEnd w:id="26"/>
      <w:bookmarkStart w:id="27" w:name="_Hlt68072990"/>
      <w:bookmarkEnd w:id="27"/>
      <w:bookmarkStart w:id="28" w:name="_Hlt74707468"/>
      <w:bookmarkEnd w:id="28"/>
      <w:bookmarkStart w:id="29" w:name="_Hlt75236101"/>
      <w:bookmarkEnd w:id="29"/>
      <w:bookmarkStart w:id="30" w:name="_Hlt68057669"/>
      <w:bookmarkEnd w:id="30"/>
      <w:bookmarkStart w:id="31" w:name="_Hlt74730295"/>
      <w:bookmarkEnd w:id="31"/>
      <w:bookmarkStart w:id="32" w:name="_Hlt68072998"/>
      <w:bookmarkEnd w:id="32"/>
      <w:bookmarkStart w:id="33" w:name="_Hlt75236290"/>
      <w:bookmarkEnd w:id="33"/>
      <w:bookmarkStart w:id="34" w:name="_Hlt74729768"/>
      <w:bookmarkEnd w:id="34"/>
      <w:bookmarkStart w:id="35" w:name="第三部分"/>
      <w:bookmarkStart w:id="36" w:name="_Toc164416483"/>
    </w:p>
    <w:p>
      <w:pPr>
        <w:rPr>
          <w:rFonts w:ascii="仿宋" w:hAnsi="仿宋" w:eastAsia="仿宋" w:cs="仿宋"/>
          <w:b/>
          <w:sz w:val="32"/>
          <w:szCs w:val="32"/>
        </w:rPr>
      </w:pPr>
      <w:r>
        <w:rPr>
          <w:rFonts w:hint="eastAsia" w:ascii="仿宋" w:hAnsi="仿宋" w:eastAsia="仿宋" w:cs="仿宋"/>
          <w:b/>
          <w:sz w:val="32"/>
          <w:szCs w:val="32"/>
        </w:rPr>
        <w:br w:type="page"/>
      </w: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w:t>
      </w:r>
      <w:bookmarkStart w:id="37" w:name="_Hlk146195673"/>
      <w:r>
        <w:rPr>
          <w:rFonts w:hint="eastAsia" w:ascii="仿宋" w:hAnsi="仿宋" w:eastAsia="仿宋" w:cs="仿宋"/>
          <w:sz w:val="24"/>
        </w:rPr>
        <w:t>打“★”系指实质性指标要求条款，打“▲”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bookmarkEnd w:id="37"/>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133"/>
        <w:snapToGrid w:val="0"/>
        <w:spacing w:before="0" w:line="288" w:lineRule="auto"/>
        <w:ind w:firstLine="640"/>
        <w:rPr>
          <w:rFonts w:ascii="仿宋" w:hAnsi="仿宋" w:eastAsia="仿宋" w:cs="仿宋"/>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6"/>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6"/>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spacing w:line="288" w:lineRule="auto"/>
        <w:rPr>
          <w:rFonts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5"/>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2.2.17</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2.2.18投标人需要说明的其他文件和说明（格式自拟）。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133"/>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133"/>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133"/>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pPr>
        <w:spacing w:line="288" w:lineRule="auto"/>
        <w:jc w:val="center"/>
        <w:rPr>
          <w:rFonts w:ascii="仿宋" w:hAnsi="仿宋" w:eastAsia="仿宋" w:cs="仿宋"/>
          <w:b/>
          <w:sz w:val="32"/>
          <w:szCs w:val="32"/>
        </w:rPr>
      </w:pPr>
      <w:bookmarkStart w:id="38" w:name="_Toc91899903"/>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6"/>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6"/>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5"/>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pPr>
        <w:snapToGrid w:val="0"/>
        <w:spacing w:line="288" w:lineRule="auto"/>
        <w:ind w:firstLine="482" w:firstLineChars="150"/>
        <w:jc w:val="center"/>
        <w:rPr>
          <w:rFonts w:ascii="仿宋" w:hAnsi="仿宋" w:eastAsia="仿宋" w:cs="仿宋"/>
          <w:b/>
          <w:sz w:val="32"/>
        </w:rPr>
      </w:pPr>
    </w:p>
    <w:bookmarkEnd w:id="38"/>
    <w:p>
      <w:pPr>
        <w:pStyle w:val="35"/>
        <w:spacing w:line="288" w:lineRule="auto"/>
        <w:ind w:firstLine="726"/>
        <w:jc w:val="center"/>
        <w:rPr>
          <w:rFonts w:ascii="仿宋" w:hAnsi="仿宋" w:eastAsia="仿宋" w:cs="仿宋"/>
          <w:b/>
          <w:sz w:val="32"/>
          <w:szCs w:val="32"/>
        </w:rPr>
      </w:pPr>
      <w:bookmarkStart w:id="39" w:name="_Toc81372776"/>
      <w:bookmarkStart w:id="40" w:name="_Toc81372953"/>
      <w:bookmarkStart w:id="41" w:name="_Toc84325929"/>
      <w:r>
        <w:rPr>
          <w:rFonts w:hint="eastAsia" w:ascii="仿宋" w:hAnsi="仿宋" w:eastAsia="仿宋" w:cs="仿宋"/>
          <w:b/>
          <w:sz w:val="32"/>
          <w:szCs w:val="32"/>
        </w:rPr>
        <w:t>五、授予合同</w:t>
      </w:r>
    </w:p>
    <w:bookmarkEnd w:id="39"/>
    <w:bookmarkEnd w:id="40"/>
    <w:bookmarkEnd w:id="41"/>
    <w:p>
      <w:pPr>
        <w:pStyle w:val="16"/>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288" w:lineRule="auto"/>
        <w:ind w:firstLine="480"/>
        <w:rPr>
          <w:rFonts w:ascii="仿宋" w:hAnsi="仿宋" w:eastAsia="仿宋" w:cs="仿宋"/>
          <w:kern w:val="0"/>
          <w:sz w:val="24"/>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814" w:right="1474" w:bottom="1814" w:left="1474"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5"/>
    <w:bookmarkEnd w:id="36"/>
    <w:p>
      <w:pPr>
        <w:spacing w:line="288" w:lineRule="auto"/>
        <w:jc w:val="center"/>
        <w:outlineLvl w:val="0"/>
        <w:rPr>
          <w:rFonts w:ascii="仿宋" w:hAnsi="仿宋" w:eastAsia="仿宋" w:cs="仿宋"/>
          <w:b/>
          <w:sz w:val="36"/>
          <w:szCs w:val="36"/>
        </w:rPr>
      </w:pPr>
      <w:bookmarkStart w:id="42" w:name="第五部分"/>
      <w:bookmarkStart w:id="43" w:name="_Toc86217003"/>
      <w:r>
        <w:rPr>
          <w:rFonts w:hint="eastAsia" w:ascii="仿宋" w:hAnsi="仿宋" w:eastAsia="仿宋" w:cs="仿宋"/>
          <w:b/>
          <w:sz w:val="36"/>
          <w:szCs w:val="36"/>
        </w:rPr>
        <w:t>第三部分   招标项目范围及要求</w:t>
      </w:r>
    </w:p>
    <w:p>
      <w:pPr>
        <w:pStyle w:val="39"/>
        <w:rPr>
          <w:rFonts w:hint="eastAsia" w:ascii="仿宋" w:hAnsi="仿宋" w:eastAsia="仿宋" w:cs="仿宋"/>
          <w:sz w:val="24"/>
          <w:szCs w:val="24"/>
          <w:lang w:eastAsia="zh-CN"/>
        </w:rPr>
      </w:pPr>
    </w:p>
    <w:p>
      <w:pPr>
        <w:pStyle w:val="39"/>
        <w:spacing w:line="460" w:lineRule="exact"/>
        <w:ind w:left="0" w:leftChars="0"/>
        <w:rPr>
          <w:rFonts w:hint="eastAsia" w:ascii="仿宋" w:hAnsi="仿宋" w:eastAsia="仿宋" w:cs="仿宋"/>
          <w:b/>
          <w:sz w:val="24"/>
          <w:szCs w:val="24"/>
        </w:rPr>
      </w:pPr>
      <w:r>
        <w:rPr>
          <w:rFonts w:hint="eastAsia" w:ascii="仿宋" w:hAnsi="仿宋" w:eastAsia="仿宋" w:cs="仿宋"/>
          <w:b/>
          <w:sz w:val="24"/>
          <w:szCs w:val="24"/>
          <w:lang w:eastAsia="zh-CN"/>
        </w:rPr>
        <w:t>一、</w:t>
      </w:r>
      <w:r>
        <w:rPr>
          <w:rFonts w:hint="eastAsia" w:ascii="仿宋" w:hAnsi="仿宋" w:eastAsia="仿宋" w:cs="仿宋"/>
          <w:b/>
          <w:sz w:val="24"/>
          <w:szCs w:val="24"/>
        </w:rPr>
        <w:t>拟采购项目货物清单及技术要求：</w:t>
      </w:r>
    </w:p>
    <w:tbl>
      <w:tblPr>
        <w:tblStyle w:val="64"/>
        <w:tblW w:w="8548" w:type="dxa"/>
        <w:tblInd w:w="210" w:type="dxa"/>
        <w:tblLayout w:type="fixed"/>
        <w:tblCellMar>
          <w:top w:w="0" w:type="dxa"/>
          <w:left w:w="108" w:type="dxa"/>
          <w:bottom w:w="0" w:type="dxa"/>
          <w:right w:w="108" w:type="dxa"/>
        </w:tblCellMar>
      </w:tblPr>
      <w:tblGrid>
        <w:gridCol w:w="749"/>
        <w:gridCol w:w="850"/>
        <w:gridCol w:w="5339"/>
        <w:gridCol w:w="792"/>
        <w:gridCol w:w="818"/>
      </w:tblGrid>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序号</w:t>
            </w:r>
          </w:p>
        </w:tc>
        <w:tc>
          <w:tcPr>
            <w:tcW w:w="850"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设备名称</w:t>
            </w:r>
          </w:p>
        </w:tc>
        <w:tc>
          <w:tcPr>
            <w:tcW w:w="5339"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性能指标参数</w:t>
            </w:r>
          </w:p>
        </w:tc>
        <w:tc>
          <w:tcPr>
            <w:tcW w:w="79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数量</w:t>
            </w:r>
          </w:p>
        </w:tc>
        <w:tc>
          <w:tcPr>
            <w:tcW w:w="8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单位</w:t>
            </w:r>
          </w:p>
        </w:tc>
      </w:tr>
      <w:tr>
        <w:tblPrEx>
          <w:tblCellMar>
            <w:top w:w="0" w:type="dxa"/>
            <w:left w:w="108" w:type="dxa"/>
            <w:bottom w:w="0" w:type="dxa"/>
            <w:right w:w="108" w:type="dxa"/>
          </w:tblCellMar>
        </w:tblPrEx>
        <w:trPr>
          <w:trHeight w:val="581" w:hRule="atLeast"/>
        </w:trPr>
        <w:tc>
          <w:tcPr>
            <w:tcW w:w="749"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仿宋"/>
                <w:b/>
                <w:bCs/>
                <w:color w:val="000000" w:themeColor="text1"/>
                <w:kern w:val="0"/>
                <w:sz w:val="24"/>
                <w:szCs w:val="24"/>
                <w14:textFill>
                  <w14:solidFill>
                    <w14:schemeClr w14:val="tx1"/>
                  </w14:solidFill>
                </w14:textFill>
              </w:rPr>
            </w:pPr>
            <w:r>
              <w:rPr>
                <w:rFonts w:hint="eastAsia" w:ascii="仿宋" w:hAnsi="仿宋" w:eastAsia="仿宋" w:cs="仿宋"/>
                <w:b/>
                <w:bCs/>
                <w:color w:val="000000" w:themeColor="text1"/>
                <w:kern w:val="0"/>
                <w:sz w:val="24"/>
                <w:szCs w:val="24"/>
                <w14:textFill>
                  <w14:solidFill>
                    <w14:schemeClr w14:val="tx1"/>
                  </w14:solidFill>
                </w14:textFill>
              </w:rPr>
              <w:t>1</w:t>
            </w:r>
          </w:p>
        </w:tc>
        <w:tc>
          <w:tcPr>
            <w:tcW w:w="850" w:type="dxa"/>
            <w:tcBorders>
              <w:top w:val="single" w:color="auto" w:sz="4" w:space="0"/>
              <w:left w:val="nil"/>
              <w:bottom w:val="single" w:color="auto" w:sz="4" w:space="0"/>
              <w:right w:val="single" w:color="auto" w:sz="4" w:space="0"/>
            </w:tcBorders>
            <w:vAlign w:val="center"/>
          </w:tcPr>
          <w:p>
            <w:pPr>
              <w:widowControl/>
              <w:jc w:val="left"/>
              <w:rPr>
                <w:rFonts w:hint="eastAsia"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多功能物理气相沉积系统</w:t>
            </w:r>
          </w:p>
        </w:tc>
        <w:tc>
          <w:tcPr>
            <w:tcW w:w="5339" w:type="dxa"/>
            <w:tcBorders>
              <w:top w:val="single" w:color="auto" w:sz="4" w:space="0"/>
              <w:left w:val="nil"/>
              <w:bottom w:val="single" w:color="auto" w:sz="4" w:space="0"/>
              <w:right w:val="single" w:color="auto" w:sz="4" w:space="0"/>
            </w:tcBorders>
            <w:vAlign w:val="center"/>
          </w:tcPr>
          <w:p>
            <w:pPr>
              <w:pStyle w:val="480"/>
              <w:widowControl/>
              <w:spacing w:line="360" w:lineRule="auto"/>
              <w:ind w:firstLine="0" w:firstLineChars="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一、涂层制备系统</w:t>
            </w:r>
          </w:p>
          <w:p>
            <w:pPr>
              <w:pStyle w:val="480"/>
              <w:widowControl/>
              <w:numPr>
                <w:ilvl w:val="0"/>
                <w:numId w:val="1"/>
              </w:numPr>
              <w:spacing w:line="360" w:lineRule="auto"/>
              <w:ind w:left="0" w:firstLineChars="0"/>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（一）技术指标：</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1.1、极限真空度不低于9×10</w:t>
            </w:r>
            <w:r>
              <w:rPr>
                <w:rFonts w:hint="eastAsia" w:ascii="仿宋" w:hAnsi="仿宋" w:eastAsia="仿宋" w:cs="仿宋"/>
                <w:color w:val="auto"/>
                <w:sz w:val="24"/>
                <w:szCs w:val="24"/>
                <w:highlight w:val="none"/>
                <w:vertAlign w:val="superscript"/>
              </w:rPr>
              <w:t>-5</w:t>
            </w:r>
            <w:r>
              <w:rPr>
                <w:rFonts w:hint="eastAsia" w:ascii="仿宋" w:hAnsi="仿宋" w:eastAsia="仿宋" w:cs="仿宋"/>
                <w:color w:val="auto"/>
                <w:sz w:val="24"/>
                <w:szCs w:val="24"/>
                <w:highlight w:val="none"/>
              </w:rPr>
              <w:t>Pa.</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1.2、抽速：</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从大气抽至8.0×10</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Pa，≤20分钟(空炉、冷态)</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从大气抽至3.0×10</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Pa，≤60分钟(空炉、冷态)</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1.3压升率：≤0.3Pa/小时；系统真空检漏漏率：≤6.0×10</w:t>
            </w:r>
            <w:r>
              <w:rPr>
                <w:rFonts w:hint="eastAsia" w:ascii="仿宋" w:hAnsi="仿宋" w:eastAsia="仿宋" w:cs="仿宋"/>
                <w:color w:val="auto"/>
                <w:sz w:val="24"/>
                <w:szCs w:val="24"/>
                <w:highlight w:val="none"/>
                <w:vertAlign w:val="superscript"/>
              </w:rPr>
              <w:t>-7</w:t>
            </w:r>
            <w:r>
              <w:rPr>
                <w:rFonts w:hint="eastAsia" w:ascii="仿宋" w:hAnsi="仿宋" w:eastAsia="仿宋" w:cs="仿宋"/>
                <w:color w:val="auto"/>
                <w:sz w:val="24"/>
                <w:szCs w:val="24"/>
                <w:highlight w:val="none"/>
              </w:rPr>
              <w:t xml:space="preserve"> Pa·L/s；</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1.4镀膜有效区不小于550(H)×650，炉内可加热，最高加热温度不低于450度。</w:t>
            </w: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附带热电偶系统结构图并加盖单位公章</w:t>
            </w:r>
            <w:r>
              <w:rPr>
                <w:rFonts w:hint="eastAsia" w:ascii="仿宋" w:hAnsi="仿宋" w:eastAsia="仿宋" w:cs="仿宋"/>
                <w:color w:val="auto"/>
                <w:kern w:val="0"/>
                <w:sz w:val="24"/>
                <w:szCs w:val="24"/>
                <w:highlight w:val="none"/>
              </w:rPr>
              <w:t>）</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1.5电气控制系统：PLC全自动控制，可运行多种工艺设置。</w:t>
            </w:r>
          </w:p>
          <w:p>
            <w:pPr>
              <w:widowControl/>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（二）配置要求：</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1、该系统主要由多弧沉积真空室、多弧源、旋转基片台、加热系统、高能脉冲偏压电源、多弧电源、工作气路、真空获得系统、安装机台、真空测量、水冷却及报警系统和控制系统等部分组成。</w:t>
            </w:r>
          </w:p>
          <w:p>
            <w:pPr>
              <w:pStyle w:val="259"/>
              <w:spacing w:line="360" w:lineRule="auto"/>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2、炉体能够实现</w:t>
            </w:r>
            <w:r>
              <w:rPr>
                <w:rFonts w:hint="eastAsia" w:ascii="仿宋" w:hAnsi="仿宋" w:eastAsia="仿宋" w:cs="仿宋"/>
                <w:color w:val="auto"/>
                <w:kern w:val="0"/>
                <w:sz w:val="24"/>
                <w:szCs w:val="24"/>
                <w:highlight w:val="none"/>
              </w:rPr>
              <w:t>电弧源、加热器等安装，灵活方便，并可为后期功能扩展提供可能。</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3、真空室内外表面采用电解抛光，可长久保持外观效果，易于清洁。镀膜室设置加热系统、抽真空、观察口、离子源安装，充气系统接口、馈入电极等接口，接口采用金属垫圈密封或氟橡胶圈密封。</w:t>
            </w:r>
          </w:p>
          <w:p>
            <w:pPr>
              <w:widowControl/>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4、采用</w:t>
            </w:r>
            <w:r>
              <w:rPr>
                <w:rFonts w:hint="eastAsia" w:ascii="仿宋" w:hAnsi="仿宋" w:eastAsia="仿宋" w:cs="仿宋"/>
                <w:color w:val="auto"/>
                <w:kern w:val="0"/>
                <w:sz w:val="24"/>
                <w:szCs w:val="24"/>
                <w:highlight w:val="none"/>
              </w:rPr>
              <w:t>挂装式双层衬板，拆卸方便，可保证长时间高温下工作不变形，采用SUS304不锈钢，表面喷沙，防止脱膜，炉体支架、气管、水管、电线、电缆桥架一体完成，表面喷塑防腐处理。</w:t>
            </w:r>
          </w:p>
          <w:p>
            <w:pPr>
              <w:widowControl/>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5、工件架公自转系统：工件架能实现公转及自转，</w:t>
            </w:r>
            <w:r>
              <w:rPr>
                <w:rFonts w:hint="eastAsia" w:ascii="仿宋" w:hAnsi="仿宋" w:eastAsia="仿宋" w:cs="仿宋"/>
                <w:color w:val="auto"/>
                <w:kern w:val="0"/>
                <w:sz w:val="24"/>
                <w:szCs w:val="24"/>
                <w:highlight w:val="none"/>
              </w:rPr>
              <w:t>工件也可以在任意位置实现定位自转及摆动自转，自转转数可单独调节；主轴承重不低于400KG(含转盘本体重量)，转架部分满足不低于 1600V 电压下绝缘工艺需求</w:t>
            </w:r>
            <w:r>
              <w:rPr>
                <w:rFonts w:hint="eastAsia" w:ascii="仿宋" w:hAnsi="仿宋" w:eastAsia="仿宋" w:cs="仿宋"/>
                <w:color w:val="auto"/>
                <w:sz w:val="24"/>
                <w:szCs w:val="24"/>
                <w:highlight w:val="none"/>
              </w:rPr>
              <w:t>。</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6、</w:t>
            </w:r>
            <w:r>
              <w:rPr>
                <w:rFonts w:hint="eastAsia" w:ascii="仿宋" w:hAnsi="仿宋" w:eastAsia="仿宋" w:cs="仿宋"/>
                <w:bCs/>
                <w:color w:val="auto"/>
                <w:sz w:val="24"/>
                <w:szCs w:val="24"/>
                <w:highlight w:val="none"/>
              </w:rPr>
              <w:t>离子源清洗</w:t>
            </w:r>
            <w:r>
              <w:rPr>
                <w:rFonts w:hint="eastAsia" w:ascii="仿宋" w:hAnsi="仿宋" w:eastAsia="仿宋" w:cs="仿宋"/>
                <w:color w:val="auto"/>
                <w:sz w:val="24"/>
                <w:szCs w:val="24"/>
                <w:highlight w:val="none"/>
              </w:rPr>
              <w:t>装置：镀膜前利用荷能粒子对工件进行轰击处理，可以激活工件表面，提高薄膜与工件的结合，配阴、</w:t>
            </w:r>
            <w:r>
              <w:rPr>
                <w:rFonts w:hint="eastAsia" w:ascii="仿宋" w:hAnsi="仿宋" w:eastAsia="仿宋" w:cs="仿宋"/>
                <w:bCs/>
                <w:color w:val="auto"/>
                <w:sz w:val="24"/>
                <w:szCs w:val="24"/>
                <w:highlight w:val="none"/>
              </w:rPr>
              <w:t>阳极、</w:t>
            </w:r>
            <w:r>
              <w:rPr>
                <w:rFonts w:hint="eastAsia" w:ascii="仿宋" w:hAnsi="仿宋" w:eastAsia="仿宋" w:cs="仿宋"/>
                <w:color w:val="auto"/>
                <w:sz w:val="24"/>
                <w:szCs w:val="24"/>
                <w:highlight w:val="none"/>
              </w:rPr>
              <w:t>屏蔽罩板及刻蚀电源等部件。</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7、真空获得系统：镀膜室主泵配置由分子泵、罗茨泵、机械泵等泵组组成。其中分子泵名义抽速不低于1600 L/s；罗茨泵名义抽速不低于120 L/s。泵组系统抽真空时可实现长时间连续稳定运行，具备低噪音、低振动、高寿命等特点。同时，配置气动挡板阀、气动插板阀等密封部件，放气阀设置空气过滤功能，保证工件不受污染，加消声器。</w:t>
            </w:r>
          </w:p>
          <w:p>
            <w:pPr>
              <w:widowControl/>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8、电气控制系统：</w:t>
            </w:r>
          </w:p>
          <w:p>
            <w:pPr>
              <w:widowControl/>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①采用PLC为核心的自动化控制系统，使用</w:t>
            </w:r>
            <w:r>
              <w:rPr>
                <w:rFonts w:hint="eastAsia" w:ascii="仿宋" w:hAnsi="仿宋" w:eastAsia="仿宋" w:cs="仿宋"/>
                <w:color w:val="auto"/>
                <w:kern w:val="0"/>
                <w:sz w:val="24"/>
                <w:szCs w:val="24"/>
                <w:highlight w:val="none"/>
              </w:rPr>
              <w:t>工控机</w:t>
            </w:r>
            <w:r>
              <w:rPr>
                <w:rFonts w:hint="eastAsia" w:ascii="仿宋" w:hAnsi="仿宋" w:eastAsia="仿宋" w:cs="仿宋"/>
                <w:color w:val="auto"/>
                <w:sz w:val="24"/>
                <w:szCs w:val="24"/>
                <w:highlight w:val="none"/>
              </w:rPr>
              <w:t>，全自动工艺，可选择工艺步骤，设定工艺参数，一键式运行。界面可显示烘烤温度，镀膜真空度，工艺气体类型，工艺气体流量，靶位选择，阴极预溅射电压/电流，预溅射时间，阴极电压/电流，镀膜时间，离子源电压/电流，离子源轰击时间，工件架升降变速控制及公自转速率等。界面可实现实时曲线和数据记录等功能。</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②工控机应具备千兆网口、USB接口不少于6个、16G运行内存、1T硬盘、windows10操作系统、不小于19英寸的液晶显示器、不小于AIMB-705VG的主板和I56500的CPU等功能</w:t>
            </w:r>
            <w:r>
              <w:rPr>
                <w:rFonts w:hint="eastAsia" w:ascii="仿宋" w:hAnsi="仿宋" w:eastAsia="仿宋" w:cs="仿宋"/>
                <w:color w:val="auto"/>
                <w:sz w:val="24"/>
                <w:szCs w:val="24"/>
                <w:highlight w:val="none"/>
              </w:rPr>
              <w:t>。可实现手机远程监控及操作。A：主控单元可设置参数及工作点，并根据预设置工艺流程，实现对整机全自动、半自动、及手动控制；B：可设置并存储多种工艺，用户可根据不同产品需求选择调用，带管理员密码，可防止其他人员误操作；C：</w:t>
            </w:r>
            <w:r>
              <w:rPr>
                <w:rFonts w:hint="eastAsia" w:ascii="仿宋" w:hAnsi="仿宋" w:eastAsia="仿宋" w:cs="仿宋"/>
                <w:color w:val="auto"/>
                <w:kern w:val="0"/>
                <w:sz w:val="24"/>
                <w:szCs w:val="24"/>
                <w:highlight w:val="none"/>
              </w:rPr>
              <w:t>带实时曲线、历史曲线查询功能</w:t>
            </w:r>
            <w:r>
              <w:rPr>
                <w:rFonts w:hint="eastAsia" w:ascii="仿宋" w:hAnsi="仿宋" w:eastAsia="仿宋" w:cs="仿宋"/>
                <w:color w:val="auto"/>
                <w:sz w:val="24"/>
                <w:szCs w:val="24"/>
                <w:highlight w:val="none"/>
              </w:rPr>
              <w:t>；D：控制系统可监控各泵、阀门工作状态，水温、水管路、真空度、气体流量等工作参量，在任何故障发生时报警，并做出相应处理。</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9、多弧电源系统：炉体至少设置6支电弧蒸发源，弧电源</w:t>
            </w:r>
            <w:r>
              <w:rPr>
                <w:rFonts w:hint="eastAsia" w:ascii="仿宋" w:hAnsi="仿宋" w:eastAsia="仿宋" w:cs="仿宋"/>
                <w:color w:val="auto"/>
                <w:kern w:val="0"/>
                <w:sz w:val="24"/>
                <w:szCs w:val="24"/>
                <w:highlight w:val="none"/>
              </w:rPr>
              <w:t>输出功率不低于功率5KW，配置水流及水温传感器,</w:t>
            </w:r>
            <w:r>
              <w:rPr>
                <w:rFonts w:hint="eastAsia" w:ascii="仿宋" w:hAnsi="仿宋" w:eastAsia="仿宋" w:cs="仿宋"/>
                <w:color w:val="auto"/>
                <w:sz w:val="24"/>
                <w:szCs w:val="24"/>
                <w:highlight w:val="none"/>
              </w:rPr>
              <w:t xml:space="preserve"> </w:t>
            </w:r>
            <w:r>
              <w:rPr>
                <w:rFonts w:hint="eastAsia" w:ascii="仿宋" w:hAnsi="仿宋" w:eastAsia="仿宋" w:cs="仿宋"/>
                <w:color w:val="auto"/>
                <w:kern w:val="0"/>
                <w:sz w:val="24"/>
                <w:szCs w:val="24"/>
                <w:highlight w:val="none"/>
              </w:rPr>
              <w:t>其中含有高能脉冲电源，可实现脉冲溅射与直流溅射兼容。（附带电源系统设计结构图并加盖单位公章）</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10、靶材纯度不低于99%。</w:t>
            </w:r>
          </w:p>
          <w:p>
            <w:pPr>
              <w:widowControl/>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11、偏压电源：选用</w:t>
            </w:r>
            <w:r>
              <w:rPr>
                <w:rFonts w:hint="eastAsia" w:ascii="仿宋" w:hAnsi="仿宋" w:eastAsia="仿宋" w:cs="仿宋"/>
                <w:color w:val="auto"/>
                <w:kern w:val="0"/>
                <w:sz w:val="24"/>
                <w:szCs w:val="24"/>
                <w:highlight w:val="none"/>
              </w:rPr>
              <w:t>双极非对称脉冲电源，0~100kHz可调，功率0~20kW可调。</w:t>
            </w:r>
          </w:p>
          <w:p>
            <w:pPr>
              <w:widowControl/>
              <w:snapToGrid w:val="0"/>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12、</w:t>
            </w:r>
            <w:r>
              <w:rPr>
                <w:rFonts w:hint="eastAsia" w:ascii="仿宋" w:hAnsi="仿宋" w:eastAsia="仿宋" w:cs="仿宋"/>
                <w:color w:val="auto"/>
                <w:kern w:val="0"/>
                <w:sz w:val="24"/>
                <w:szCs w:val="24"/>
                <w:highlight w:val="none"/>
              </w:rPr>
              <w:t>真空测量装置：选用复合真空计（不小于测试范围1.0×10</w:t>
            </w:r>
            <w:r>
              <w:rPr>
                <w:rFonts w:hint="eastAsia" w:ascii="仿宋" w:hAnsi="仿宋" w:eastAsia="仿宋" w:cs="仿宋"/>
                <w:color w:val="auto"/>
                <w:kern w:val="0"/>
                <w:sz w:val="24"/>
                <w:szCs w:val="24"/>
                <w:highlight w:val="none"/>
                <w:vertAlign w:val="superscript"/>
              </w:rPr>
              <w:t>5</w:t>
            </w:r>
            <w:r>
              <w:rPr>
                <w:rFonts w:hint="eastAsia" w:ascii="仿宋" w:hAnsi="仿宋" w:eastAsia="仿宋" w:cs="仿宋"/>
                <w:color w:val="auto"/>
                <w:kern w:val="0"/>
                <w:sz w:val="24"/>
                <w:szCs w:val="24"/>
                <w:highlight w:val="none"/>
              </w:rPr>
              <w:t>～1.0×10</w:t>
            </w:r>
            <w:r>
              <w:rPr>
                <w:rFonts w:hint="eastAsia" w:ascii="仿宋" w:hAnsi="仿宋" w:eastAsia="仿宋" w:cs="仿宋"/>
                <w:color w:val="auto"/>
                <w:kern w:val="0"/>
                <w:sz w:val="24"/>
                <w:szCs w:val="24"/>
                <w:highlight w:val="none"/>
                <w:vertAlign w:val="superscript"/>
              </w:rPr>
              <w:t>-5</w:t>
            </w:r>
            <w:r>
              <w:rPr>
                <w:rFonts w:hint="eastAsia" w:ascii="仿宋" w:hAnsi="仿宋" w:eastAsia="仿宋" w:cs="仿宋"/>
                <w:color w:val="auto"/>
                <w:kern w:val="0"/>
                <w:sz w:val="24"/>
                <w:szCs w:val="24"/>
                <w:highlight w:val="none"/>
              </w:rPr>
              <w:t>Pa）、配备电离规、金属热偶规（不小于测试范围1×10</w:t>
            </w:r>
            <w:r>
              <w:rPr>
                <w:rFonts w:hint="eastAsia" w:ascii="仿宋" w:hAnsi="仿宋" w:eastAsia="仿宋" w:cs="仿宋"/>
                <w:color w:val="auto"/>
                <w:kern w:val="0"/>
                <w:sz w:val="24"/>
                <w:szCs w:val="24"/>
                <w:highlight w:val="none"/>
                <w:vertAlign w:val="superscript"/>
              </w:rPr>
              <w:t>5</w:t>
            </w:r>
            <w:r>
              <w:rPr>
                <w:rFonts w:hint="eastAsia" w:ascii="仿宋" w:hAnsi="仿宋" w:eastAsia="仿宋" w:cs="仿宋"/>
                <w:color w:val="auto"/>
                <w:kern w:val="0"/>
                <w:sz w:val="24"/>
                <w:szCs w:val="24"/>
                <w:highlight w:val="none"/>
              </w:rPr>
              <w:t>~1×10</w:t>
            </w:r>
            <w:r>
              <w:rPr>
                <w:rFonts w:hint="eastAsia" w:ascii="仿宋" w:hAnsi="仿宋" w:eastAsia="仿宋" w:cs="仿宋"/>
                <w:color w:val="auto"/>
                <w:kern w:val="0"/>
                <w:sz w:val="24"/>
                <w:szCs w:val="24"/>
                <w:highlight w:val="none"/>
                <w:vertAlign w:val="superscript"/>
              </w:rPr>
              <w:t>-1</w:t>
            </w:r>
            <w:r>
              <w:rPr>
                <w:rFonts w:hint="eastAsia" w:ascii="仿宋" w:hAnsi="仿宋" w:eastAsia="仿宋" w:cs="仿宋"/>
                <w:color w:val="auto"/>
                <w:kern w:val="0"/>
                <w:sz w:val="24"/>
                <w:szCs w:val="24"/>
                <w:highlight w:val="none"/>
              </w:rPr>
              <w:t>Pa）、薄膜规（不小于1×10</w:t>
            </w:r>
            <w:r>
              <w:rPr>
                <w:rFonts w:hint="eastAsia" w:ascii="仿宋" w:hAnsi="仿宋" w:eastAsia="仿宋" w:cs="仿宋"/>
                <w:color w:val="auto"/>
                <w:kern w:val="0"/>
                <w:sz w:val="24"/>
                <w:szCs w:val="24"/>
                <w:highlight w:val="none"/>
                <w:vertAlign w:val="superscript"/>
              </w:rPr>
              <w:t>-1</w:t>
            </w:r>
            <w:r>
              <w:rPr>
                <w:rFonts w:hint="eastAsia" w:ascii="仿宋" w:hAnsi="仿宋" w:eastAsia="仿宋" w:cs="仿宋"/>
                <w:color w:val="auto"/>
                <w:kern w:val="0"/>
                <w:sz w:val="24"/>
                <w:szCs w:val="24"/>
                <w:highlight w:val="none"/>
              </w:rPr>
              <w:t>~5Pa）等。</w:t>
            </w:r>
          </w:p>
          <w:p>
            <w:pPr>
              <w:spacing w:line="360" w:lineRule="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13、配有</w:t>
            </w:r>
            <w:r>
              <w:rPr>
                <w:rFonts w:hint="eastAsia" w:ascii="仿宋" w:hAnsi="仿宋" w:eastAsia="仿宋" w:cs="仿宋"/>
                <w:bCs/>
                <w:color w:val="auto"/>
                <w:sz w:val="24"/>
                <w:szCs w:val="24"/>
                <w:highlight w:val="none"/>
              </w:rPr>
              <w:t>加热及温控测量系统，可采用工控机控制。</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14、充气系统：至少5套气体质量流量计进行控制，可满足氮气、氧气、乙炔、氩气等气体的定量使用以及腔室混合气体气压的测定。</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15、水冷系统：所有主管道及配件材质均为SUS304不锈钢材料，并配有水流量传感器和水温传感器，水冷系统适宜水温应为20～25℃。</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16、气动控制系统：主要由</w:t>
            </w:r>
            <w:r>
              <w:rPr>
                <w:rFonts w:hint="eastAsia" w:ascii="仿宋" w:hAnsi="仿宋" w:eastAsia="仿宋" w:cs="仿宋"/>
                <w:color w:val="auto"/>
                <w:kern w:val="0"/>
                <w:sz w:val="24"/>
                <w:szCs w:val="24"/>
                <w:highlight w:val="none"/>
              </w:rPr>
              <w:t>气动控制阀岛、先导式4通换向阀、压力传感器、气动三联件、PU管等组成。</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17、紧急制动系统：设备配有急停按钮，可应对紧急情况下设备的停机处理。</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18其他辅助系统：</w:t>
            </w:r>
          </w:p>
          <w:p>
            <w:pPr>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kern w:val="0"/>
                <w:sz w:val="24"/>
                <w:szCs w:val="24"/>
                <w:highlight w:val="none"/>
              </w:rPr>
              <w:t>冷水机：不少于8匹冷水机1台，含不锈钢保温水箱1个，带增压泵及冷水塔各1台；其中冷水机、增压泵选用国内知名品牌；</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2）空压机：</w:t>
            </w:r>
            <w:r>
              <w:rPr>
                <w:rFonts w:hint="eastAsia" w:ascii="仿宋" w:hAnsi="仿宋" w:eastAsia="仿宋" w:cs="仿宋"/>
                <w:color w:val="auto"/>
                <w:sz w:val="24"/>
                <w:szCs w:val="24"/>
                <w:highlight w:val="none"/>
              </w:rPr>
              <w:t>压力不小于0.8MPa，流量不小于1.1m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/min，相应配套冷冻干燥机1台，容量1m</w:t>
            </w:r>
            <w:r>
              <w:rPr>
                <w:rFonts w:hint="eastAsia" w:ascii="仿宋" w:hAnsi="仿宋" w:eastAsia="仿宋" w:cs="仿宋"/>
                <w:color w:val="auto"/>
                <w:sz w:val="24"/>
                <w:szCs w:val="24"/>
                <w:highlight w:val="none"/>
                <w:vertAlign w:val="superscript"/>
              </w:rPr>
              <w:t>3</w:t>
            </w:r>
            <w:r>
              <w:rPr>
                <w:rFonts w:hint="eastAsia" w:ascii="仿宋" w:hAnsi="仿宋" w:eastAsia="仿宋" w:cs="仿宋"/>
                <w:color w:val="auto"/>
                <w:sz w:val="24"/>
                <w:szCs w:val="24"/>
                <w:highlight w:val="none"/>
              </w:rPr>
              <w:t>储气罐1个，精密过滤器3件。</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3）喷砂机：可满足金刚砂、玻璃砂等砂型的使用，具有出砂量可调、出砂方向可变、废砂可单独收集等功能，</w:t>
            </w:r>
            <w:r>
              <w:rPr>
                <w:rFonts w:hint="eastAsia" w:ascii="仿宋" w:hAnsi="仿宋" w:eastAsia="仿宋" w:cs="仿宋"/>
                <w:color w:val="auto"/>
                <w:sz w:val="24"/>
                <w:szCs w:val="24"/>
                <w:highlight w:val="none"/>
              </w:rPr>
              <w:t>性能参数可满足批量生产要求。</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4）纯水机：1台，</w:t>
            </w:r>
            <w:r>
              <w:rPr>
                <w:rFonts w:hint="eastAsia" w:ascii="仿宋" w:hAnsi="仿宋" w:eastAsia="仿宋" w:cs="仿宋"/>
                <w:color w:val="auto"/>
                <w:sz w:val="24"/>
                <w:szCs w:val="24"/>
                <w:highlight w:val="none"/>
              </w:rPr>
              <w:t>每小时纯水制造量不低于0.25T，可生产一级水、二级水功能，并含有储水罐。</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5）超声波清洗机：</w:t>
            </w:r>
            <w:r>
              <w:rPr>
                <w:rFonts w:hint="eastAsia" w:ascii="仿宋" w:hAnsi="仿宋" w:eastAsia="仿宋" w:cs="仿宋"/>
                <w:color w:val="auto"/>
                <w:sz w:val="24"/>
                <w:szCs w:val="24"/>
                <w:highlight w:val="none"/>
              </w:rPr>
              <w:t>手动清洗机1套。</w:t>
            </w: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6）其他：上述设备至少配置维修工具1套，工具箱1套，电动工具1套，内六角工具1套，与设备配套的密封垫圈及管路等若干，内衬板至少2套。</w:t>
            </w:r>
          </w:p>
          <w:p>
            <w:pPr>
              <w:widowControl/>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（三）要求说明：</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1、提供整套镀膜系统（含清洗、喷砂、冷却、纯水、镀膜等制备系统及腐蚀、高温损伤等评估系统）；</w:t>
            </w:r>
          </w:p>
          <w:p>
            <w:pPr>
              <w:widowControl/>
              <w:spacing w:line="360" w:lineRule="auto"/>
              <w:rPr>
                <w:rStyle w:val="267"/>
                <w:rFonts w:hint="eastAsia" w:ascii="仿宋" w:hAnsi="仿宋" w:eastAsia="仿宋" w:cs="仿宋"/>
                <w:color w:val="auto"/>
                <w:sz w:val="24"/>
                <w:szCs w:val="24"/>
                <w:highlight w:val="none"/>
                <w:lang w:bidi="ar"/>
              </w:rPr>
            </w:pPr>
            <w:r>
              <w:rPr>
                <w:rFonts w:hint="eastAsia" w:ascii="仿宋" w:hAnsi="仿宋" w:eastAsia="仿宋" w:cs="仿宋"/>
                <w:color w:val="auto"/>
                <w:kern w:val="0"/>
                <w:sz w:val="24"/>
                <w:szCs w:val="24"/>
                <w:highlight w:val="none"/>
              </w:rPr>
              <w:t>2. 免费提供</w:t>
            </w:r>
            <w:r>
              <w:rPr>
                <w:rFonts w:hint="eastAsia" w:ascii="仿宋" w:hAnsi="仿宋" w:eastAsia="仿宋" w:cs="仿宋"/>
                <w:color w:val="auto"/>
                <w:kern w:val="0"/>
                <w:sz w:val="24"/>
                <w:szCs w:val="24"/>
                <w:highlight w:val="none"/>
                <w:lang w:bidi="ar"/>
              </w:rPr>
              <w:t xml:space="preserve">PPR </w:t>
            </w:r>
            <w:r>
              <w:rPr>
                <w:rFonts w:hint="eastAsia" w:ascii="仿宋" w:hAnsi="仿宋" w:eastAsia="仿宋" w:cs="仿宋"/>
                <w:color w:val="auto"/>
                <w:sz w:val="24"/>
                <w:szCs w:val="24"/>
                <w:highlight w:val="none"/>
                <w:lang w:bidi="ar"/>
              </w:rPr>
              <w:t>热熔管，接头阀门、气瓶柜等以及</w:t>
            </w:r>
            <w:r>
              <w:rPr>
                <w:rFonts w:hint="eastAsia" w:ascii="仿宋" w:hAnsi="仿宋" w:eastAsia="仿宋" w:cs="仿宋"/>
                <w:color w:val="auto"/>
                <w:kern w:val="0"/>
                <w:sz w:val="24"/>
                <w:szCs w:val="24"/>
                <w:highlight w:val="none"/>
                <w:lang w:bidi="ar"/>
              </w:rPr>
              <w:t>纯水机、清洗</w:t>
            </w:r>
            <w:r>
              <w:rPr>
                <w:rStyle w:val="267"/>
                <w:rFonts w:hint="eastAsia" w:ascii="仿宋" w:hAnsi="仿宋" w:eastAsia="仿宋" w:cs="仿宋"/>
                <w:color w:val="auto"/>
                <w:sz w:val="24"/>
                <w:szCs w:val="24"/>
                <w:highlight w:val="none"/>
                <w:lang w:bidi="ar"/>
              </w:rPr>
              <w:t>机、冷水机、冷水塔、保温水箱、增压泵、镀膜机等设备的管路连接和所需电缆，并安装在设备上，保证设备的正常运行。</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3、提供热电偶、热电阻及气路、水冷系统中所用压力表等计量器具第三方检定合格证书（省级检测机构或以上）。</w:t>
            </w:r>
          </w:p>
          <w:p>
            <w:pPr>
              <w:widowControl/>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（四）其他要求：</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★1、提供多种镀膜工艺，至少提供10种可靠的氮化物、碳化物等涂层工艺，涂层质量要求硬度不低于2000HV，结合力不低于50N或HF2级。（</w:t>
            </w:r>
            <w:r>
              <w:rPr>
                <w:rFonts w:hint="eastAsia" w:ascii="仿宋" w:hAnsi="仿宋" w:eastAsia="仿宋" w:cs="仿宋"/>
                <w:color w:val="auto"/>
                <w:sz w:val="24"/>
                <w:szCs w:val="24"/>
                <w:highlight w:val="none"/>
              </w:rPr>
              <w:t>提供详细工艺制备参数及加盖单位公章 </w:t>
            </w:r>
            <w:r>
              <w:rPr>
                <w:rFonts w:hint="eastAsia" w:ascii="仿宋" w:hAnsi="仿宋" w:eastAsia="仿宋" w:cs="仿宋"/>
                <w:color w:val="auto"/>
                <w:kern w:val="0"/>
                <w:sz w:val="24"/>
                <w:szCs w:val="24"/>
                <w:highlight w:val="none"/>
              </w:rPr>
              <w:t>）</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2、免费提供学员现场实习服务。</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3、除偏压电源、薄膜规、质量流量计等按厂家标准进行质保外，其余部件质保期5年。</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质保期内，任何由制造商选材和制造不当引起的质量问题，厂商负责免费维修或更换。质保期自验收完成后签字之日起计算，无论设备是否在保修期内，乙方在接到甲方维修需求时，乙方应在一周内到达甲方现场处理。（提供承诺书及加盖单位公章）</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5、签订合同后，100天内</w:t>
            </w:r>
            <w:r>
              <w:rPr>
                <w:rFonts w:hint="eastAsia" w:ascii="仿宋" w:hAnsi="仿宋" w:eastAsia="仿宋" w:cs="仿宋"/>
                <w:bCs/>
                <w:color w:val="auto"/>
                <w:sz w:val="24"/>
                <w:szCs w:val="24"/>
                <w:highlight w:val="none"/>
              </w:rPr>
              <w:t>完成设备安装、调试、测试等工作</w:t>
            </w:r>
            <w:r>
              <w:rPr>
                <w:rFonts w:hint="eastAsia" w:ascii="仿宋" w:hAnsi="仿宋" w:eastAsia="仿宋" w:cs="仿宋"/>
                <w:color w:val="auto"/>
                <w:kern w:val="0"/>
                <w:sz w:val="24"/>
                <w:szCs w:val="24"/>
                <w:highlight w:val="none"/>
              </w:rPr>
              <w:t>。</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6、设备可实现电弧源、加热器等部件的灵活更换，并可为后期功能扩展提供方便。</w:t>
            </w:r>
          </w:p>
          <w:p>
            <w:pPr>
              <w:widowControl/>
              <w:spacing w:line="360" w:lineRule="auto"/>
              <w:rPr>
                <w:rFonts w:hint="eastAsia" w:ascii="仿宋" w:hAnsi="仿宋" w:eastAsia="仿宋" w:cs="仿宋"/>
                <w:b/>
                <w:color w:val="auto"/>
                <w:kern w:val="0"/>
                <w:sz w:val="24"/>
                <w:szCs w:val="24"/>
                <w:highlight w:val="none"/>
              </w:rPr>
            </w:pPr>
            <w:r>
              <w:rPr>
                <w:rFonts w:hint="eastAsia" w:ascii="仿宋" w:hAnsi="仿宋" w:eastAsia="仿宋" w:cs="仿宋"/>
                <w:b/>
                <w:color w:val="auto"/>
                <w:kern w:val="0"/>
                <w:sz w:val="24"/>
                <w:szCs w:val="24"/>
                <w:highlight w:val="none"/>
              </w:rPr>
              <w:t>二、涂层测试系统</w:t>
            </w:r>
          </w:p>
          <w:p>
            <w:pPr>
              <w:widowControl/>
              <w:spacing w:line="288"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（一）涂层高温损伤评价</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主要用于涂层及材料在高温环境下的损伤机理评价</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加载方式：砝码加载，载荷量程：100～5000g。</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摩擦力量程：0～50N，0～25N各1个。</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 摩擦力测量精度：0.05%F.S。</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额定温度：室温～1000℃，测试温度：室温～900℃。</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旋转转速：1～3000r/min，旋转半径可调。</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 配置不少于3种尺寸的摩擦副工装，摩擦副材质可调。</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 可生成Excel数据库、Word实验报告、Jpeg图片等。</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 可通环境气氛: N</w:t>
            </w:r>
            <w:r>
              <w:rPr>
                <w:rFonts w:hint="eastAsia" w:ascii="仿宋" w:hAnsi="仿宋" w:eastAsia="仿宋" w:cs="仿宋"/>
                <w:color w:val="auto"/>
                <w:sz w:val="24"/>
                <w:szCs w:val="24"/>
                <w:highlight w:val="none"/>
                <w:vertAlign w:val="subscript"/>
              </w:rPr>
              <w:t>2</w:t>
            </w:r>
            <w:r>
              <w:rPr>
                <w:rFonts w:hint="eastAsia" w:ascii="仿宋" w:hAnsi="仿宋" w:eastAsia="仿宋" w:cs="仿宋"/>
                <w:color w:val="auto"/>
                <w:sz w:val="24"/>
                <w:szCs w:val="24"/>
                <w:highlight w:val="none"/>
              </w:rPr>
              <w:t>、CO</w:t>
            </w:r>
            <w:r>
              <w:rPr>
                <w:rFonts w:hint="eastAsia" w:ascii="仿宋" w:hAnsi="仿宋" w:eastAsia="仿宋" w:cs="仿宋"/>
                <w:color w:val="auto"/>
                <w:sz w:val="24"/>
                <w:szCs w:val="24"/>
                <w:highlight w:val="none"/>
                <w:vertAlign w:val="subscript"/>
              </w:rPr>
              <w:t>2</w:t>
            </w:r>
            <w:r>
              <w:rPr>
                <w:rFonts w:hint="eastAsia" w:ascii="仿宋" w:hAnsi="仿宋" w:eastAsia="仿宋" w:cs="仿宋"/>
                <w:color w:val="auto"/>
                <w:sz w:val="24"/>
                <w:szCs w:val="24"/>
                <w:highlight w:val="none"/>
              </w:rPr>
              <w:t>、He、Ar 等惰性气体。</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 配置控制箱，液晶显示器、主机、维修工具、备份文件等。</w:t>
            </w:r>
          </w:p>
          <w:p>
            <w:pPr>
              <w:widowControl/>
              <w:spacing w:line="288"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（二）涂层腐蚀损伤评价</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主要用于涂层及材料在腐蚀环境下的损伤机理评价</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双恒电位仪</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电流范围(两通道电流之和)为±250mA</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w:t>
            </w:r>
            <w:r>
              <w:rPr>
                <w:rFonts w:hint="eastAsia" w:ascii="仿宋" w:hAnsi="仿宋" w:eastAsia="仿宋" w:cs="仿宋"/>
                <w:color w:val="auto"/>
                <w:sz w:val="24"/>
                <w:szCs w:val="24"/>
                <w:highlight w:val="none"/>
              </w:rPr>
              <w:t>3. 可实现双通道同步扫描，最高扫速不低于9,000 V/s，扫描时的电位增量：0.1 mV （当扫速为 1,000 V/s时）</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 交流阻抗： 0.00001-1MHz，交流阻抗波形幅度： 0.00001 V-0.7 V 均方根值</w:t>
            </w:r>
          </w:p>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 FTACV频率范围：0.1-50Hz，可同时获取基波，二次谐波，三次谐波，四次谐波，五次谐波，六次谐波的ACV数据</w:t>
            </w:r>
          </w:p>
          <w:p>
            <w:pPr>
              <w:widowControl/>
              <w:spacing w:line="360" w:lineRule="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6. DPV和NPV的脉冲宽度：0.001-10 sec</w:t>
            </w:r>
          </w:p>
        </w:tc>
        <w:tc>
          <w:tcPr>
            <w:tcW w:w="792"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14:textFill>
                  <w14:solidFill>
                    <w14:schemeClr w14:val="tx1"/>
                  </w14:solidFill>
                </w14:textFill>
              </w:rPr>
              <w:t>1</w:t>
            </w:r>
          </w:p>
        </w:tc>
        <w:tc>
          <w:tcPr>
            <w:tcW w:w="818"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仿宋"/>
                <w:bCs/>
                <w:color w:val="000000" w:themeColor="text1"/>
                <w:kern w:val="0"/>
                <w:sz w:val="24"/>
                <w:szCs w:val="24"/>
                <w14:textFill>
                  <w14:solidFill>
                    <w14:schemeClr w14:val="tx1"/>
                  </w14:solidFill>
                </w14:textFill>
              </w:rPr>
            </w:pPr>
            <w:r>
              <w:rPr>
                <w:rFonts w:hint="eastAsia" w:ascii="仿宋" w:hAnsi="仿宋" w:eastAsia="仿宋" w:cs="仿宋"/>
                <w:bCs/>
                <w:color w:val="000000" w:themeColor="text1"/>
                <w:kern w:val="0"/>
                <w:sz w:val="24"/>
                <w:szCs w:val="24"/>
                <w14:textFill>
                  <w14:solidFill>
                    <w14:schemeClr w14:val="tx1"/>
                  </w14:solidFill>
                </w14:textFill>
              </w:rPr>
              <w:t>套</w:t>
            </w:r>
          </w:p>
        </w:tc>
      </w:tr>
    </w:tbl>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b/>
          <w:color w:val="000000"/>
          <w:kern w:val="0"/>
          <w:sz w:val="24"/>
          <w:szCs w:val="24"/>
          <w:lang w:eastAsia="zh-CN"/>
        </w:rPr>
        <w:t>二</w:t>
      </w:r>
      <w:r>
        <w:rPr>
          <w:rFonts w:hint="eastAsia" w:ascii="仿宋" w:hAnsi="仿宋" w:eastAsia="仿宋" w:cs="仿宋"/>
          <w:b/>
          <w:color w:val="000000"/>
          <w:kern w:val="0"/>
          <w:sz w:val="24"/>
          <w:szCs w:val="24"/>
        </w:rPr>
        <w:t>、其他要求：</w:t>
      </w:r>
      <w:r>
        <w:rPr>
          <w:rFonts w:hint="eastAsia" w:ascii="仿宋" w:hAnsi="仿宋" w:eastAsia="仿宋" w:cs="仿宋"/>
          <w:b/>
          <w:color w:val="000000"/>
          <w:kern w:val="0"/>
          <w:sz w:val="24"/>
          <w:szCs w:val="24"/>
        </w:rPr>
        <w:br w:type="textWrapping"/>
      </w:r>
      <w:r>
        <w:rPr>
          <w:rFonts w:hint="eastAsia" w:ascii="仿宋" w:hAnsi="仿宋" w:eastAsia="仿宋" w:cs="仿宋"/>
          <w:kern w:val="0"/>
          <w:sz w:val="24"/>
          <w:szCs w:val="24"/>
        </w:rPr>
        <w:t>1、投标人应对每个指标项的偏离情况做应答，不得遗漏；投标文件中的技术参数指标必须真实。否则作无效投标（废标）处理。</w:t>
      </w:r>
      <w:r>
        <w:rPr>
          <w:rFonts w:hint="eastAsia" w:ascii="仿宋" w:hAnsi="仿宋" w:eastAsia="仿宋" w:cs="仿宋"/>
          <w:kern w:val="0"/>
          <w:sz w:val="24"/>
          <w:szCs w:val="24"/>
        </w:rPr>
        <w:br w:type="textWrapping"/>
      </w:r>
      <w:r>
        <w:rPr>
          <w:rFonts w:hint="eastAsia" w:ascii="仿宋" w:hAnsi="仿宋" w:eastAsia="仿宋" w:cs="仿宋"/>
          <w:kern w:val="0"/>
          <w:sz w:val="24"/>
          <w:szCs w:val="24"/>
        </w:rPr>
        <w:t>2、投标人投标提供的设备必须是厂商原装的、全新的，配置与装箱单相符；数量、质量及性能不低于本标书中提出的要求；应准确无误地表明设备型号、规格、制造厂及生产或出厂日期。 </w:t>
      </w:r>
      <w:r>
        <w:rPr>
          <w:rFonts w:hint="eastAsia" w:ascii="仿宋" w:hAnsi="仿宋" w:eastAsia="仿宋" w:cs="仿宋"/>
          <w:kern w:val="0"/>
          <w:sz w:val="24"/>
          <w:szCs w:val="24"/>
        </w:rPr>
        <w:br w:type="textWrapping"/>
      </w:r>
      <w:r>
        <w:rPr>
          <w:rFonts w:hint="eastAsia" w:ascii="仿宋" w:hAnsi="仿宋" w:eastAsia="仿宋" w:cs="仿宋"/>
          <w:color w:val="auto"/>
          <w:kern w:val="0"/>
          <w:sz w:val="24"/>
          <w:szCs w:val="24"/>
          <w:highlight w:val="none"/>
        </w:rPr>
        <w:t>3、投标报价：</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1.投标报价是指一次性报出不得更改的价格；</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2.投标报价是履行合同的最终价格，须将设备（软件）费、安装费、调试费、检测费、验收费（通过验收直至交付用户使用，达到使用要求及质量标准）、培训费、合同包含的所有风险责任等各项费用及不可预见费、质保期内保修服务等所需的全部费用都包含在总价之中。</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3.设备费：用户指定位置价。</w:t>
      </w:r>
    </w:p>
    <w:p>
      <w:pPr>
        <w:autoSpaceDE w:val="0"/>
        <w:autoSpaceDN w:val="0"/>
        <w:adjustRightInd w:val="0"/>
        <w:spacing w:line="324" w:lineRule="auto"/>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国产设备：设备费须包含设备（包括主机、标准附件、备品备件、专用工具）价、设备运杂费、保险费、利润、税金等，以人民币报价。</w:t>
      </w:r>
    </w:p>
    <w:p>
      <w:pPr>
        <w:spacing w:line="288" w:lineRule="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4、合同签订及交货期:国产设备中标即日起15个工作日内中标单位到使用单位签订合同，否则视为主动放弃。合同签订后100天内到货，并完成所有软硬件系统安装和调试，在签订合同时提供完整的培训计划；进口设备中标即日起15个工作日内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100天内到货，货到15天内完成仪器安装和调试，在签订合同时提供完整的培训计划。</w:t>
      </w:r>
    </w:p>
    <w:p>
      <w:pPr>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5、付款方式：按《浙江省财政厅关于进一步发挥政府采购政策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widowControl/>
        <w:jc w:val="left"/>
        <w:rPr>
          <w:rFonts w:hint="eastAsia" w:ascii="仿宋" w:hAnsi="仿宋" w:eastAsia="仿宋" w:cs="仿宋"/>
          <w:sz w:val="24"/>
          <w:szCs w:val="24"/>
        </w:rPr>
      </w:pPr>
      <w:r>
        <w:rPr>
          <w:rFonts w:hint="eastAsia" w:ascii="仿宋" w:hAnsi="仿宋" w:eastAsia="仿宋" w:cs="仿宋"/>
          <w:color w:val="auto"/>
          <w:kern w:val="0"/>
          <w:sz w:val="24"/>
          <w:szCs w:val="24"/>
          <w:highlight w:val="none"/>
        </w:rPr>
        <w:t>6、中标人应派技术人员负责设备的安装、调试，调试所需专用工具、设</w:t>
      </w:r>
      <w:r>
        <w:rPr>
          <w:rFonts w:hint="eastAsia" w:ascii="仿宋" w:hAnsi="仿宋" w:eastAsia="仿宋" w:cs="仿宋"/>
          <w:kern w:val="0"/>
          <w:sz w:val="24"/>
          <w:szCs w:val="24"/>
        </w:rPr>
        <w:t>施、物料等由中标人自备、自费运到现场，完工后自费搬走。并且提供相应的培训，产生的一切费用应包含在中标价格中，不得另行收费。</w:t>
      </w:r>
    </w:p>
    <w:p>
      <w:pPr>
        <w:spacing w:line="440" w:lineRule="exact"/>
        <w:rPr>
          <w:rFonts w:hint="eastAsia" w:ascii="仿宋" w:hAnsi="仿宋" w:eastAsia="仿宋" w:cs="仿宋"/>
          <w:b/>
          <w:sz w:val="24"/>
          <w:szCs w:val="24"/>
        </w:rPr>
      </w:pPr>
      <w:r>
        <w:rPr>
          <w:rFonts w:hint="eastAsia" w:ascii="仿宋" w:hAnsi="仿宋" w:eastAsia="仿宋" w:cs="仿宋"/>
          <w:kern w:val="0"/>
          <w:sz w:val="24"/>
          <w:szCs w:val="24"/>
        </w:rPr>
        <w:t>7、</w:t>
      </w:r>
      <w:r>
        <w:rPr>
          <w:rFonts w:hint="eastAsia" w:ascii="仿宋" w:hAnsi="仿宋" w:eastAsia="仿宋" w:cs="仿宋"/>
          <w:sz w:val="24"/>
          <w:szCs w:val="24"/>
        </w:rPr>
        <w:t>至少提供5年质保期。</w:t>
      </w:r>
    </w:p>
    <w:p>
      <w:pPr>
        <w:tabs>
          <w:tab w:val="left" w:pos="1632"/>
        </w:tabs>
        <w:spacing w:line="288" w:lineRule="auto"/>
        <w:jc w:val="left"/>
        <w:rPr>
          <w:rFonts w:ascii="仿宋" w:hAnsi="仿宋" w:eastAsia="仿宋" w:cs="仿宋"/>
          <w:b/>
          <w:color w:val="000000" w:themeColor="text1"/>
          <w:sz w:val="36"/>
          <w:szCs w:val="36"/>
          <w14:textFill>
            <w14:solidFill>
              <w14:schemeClr w14:val="tx1"/>
            </w14:solidFill>
          </w14:textFill>
        </w:rPr>
      </w:pPr>
    </w:p>
    <w:p>
      <w:pPr>
        <w:rPr>
          <w:rFonts w:ascii="仿宋" w:hAnsi="仿宋" w:eastAsia="仿宋" w:cs="仿宋"/>
          <w:b/>
          <w:sz w:val="36"/>
          <w:szCs w:val="36"/>
        </w:rPr>
      </w:pPr>
      <w:r>
        <w:rPr>
          <w:rFonts w:hint="eastAsia" w:ascii="仿宋" w:hAnsi="仿宋" w:eastAsia="仿宋" w:cs="仿宋"/>
          <w:b/>
          <w:sz w:val="36"/>
          <w:szCs w:val="36"/>
        </w:rPr>
        <w:br w:type="page"/>
      </w: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4"/>
        <w:spacing w:line="288" w:lineRule="auto"/>
        <w:ind w:left="0" w:leftChars="0" w:firstLine="0" w:firstLineChars="0"/>
        <w:rPr>
          <w:rFonts w:ascii="仿宋" w:hAnsi="仿宋" w:eastAsia="仿宋" w:cs="仿宋"/>
          <w:szCs w:val="24"/>
        </w:rPr>
      </w:pPr>
    </w:p>
    <w:p>
      <w:pPr>
        <w:pStyle w:val="704"/>
        <w:spacing w:line="288" w:lineRule="auto"/>
        <w:jc w:val="center"/>
        <w:rPr>
          <w:rFonts w:ascii="仿宋" w:hAnsi="仿宋" w:eastAsia="仿宋" w:cs="仿宋"/>
          <w:szCs w:val="24"/>
        </w:rPr>
      </w:pPr>
    </w:p>
    <w:p>
      <w:pPr>
        <w:pStyle w:val="704"/>
        <w:spacing w:line="288" w:lineRule="auto"/>
        <w:ind w:firstLine="2843" w:firstLineChars="1180"/>
        <w:rPr>
          <w:rFonts w:ascii="仿宋" w:hAnsi="仿宋" w:eastAsia="仿宋" w:cs="仿宋"/>
          <w:b/>
          <w:szCs w:val="24"/>
        </w:rPr>
      </w:pPr>
      <w:r>
        <w:rPr>
          <w:rFonts w:hint="eastAsia" w:ascii="仿宋" w:hAnsi="仿宋" w:eastAsia="仿宋" w:cs="仿宋"/>
          <w:b/>
          <w:szCs w:val="24"/>
        </w:rPr>
        <w:t>第一部分 合同书</w:t>
      </w:r>
    </w:p>
    <w:p>
      <w:pPr>
        <w:pStyle w:val="704"/>
        <w:spacing w:line="288" w:lineRule="auto"/>
        <w:rPr>
          <w:rFonts w:ascii="仿宋" w:hAnsi="仿宋" w:eastAsia="仿宋" w:cs="仿宋"/>
          <w:szCs w:val="24"/>
        </w:rPr>
      </w:pPr>
    </w:p>
    <w:p>
      <w:pPr>
        <w:pStyle w:val="704"/>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pPr>
        <w:pStyle w:val="601"/>
        <w:spacing w:before="120" w:line="288" w:lineRule="auto"/>
        <w:rPr>
          <w:rFonts w:ascii="仿宋" w:hAnsi="仿宋" w:eastAsia="仿宋" w:cs="仿宋"/>
          <w:szCs w:val="24"/>
        </w:rPr>
      </w:pPr>
    </w:p>
    <w:p>
      <w:pPr>
        <w:pStyle w:val="601"/>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pPr>
        <w:widowControl/>
        <w:spacing w:line="288" w:lineRule="auto"/>
        <w:jc w:val="left"/>
        <w:rPr>
          <w:rFonts w:ascii="仿宋" w:hAnsi="仿宋" w:eastAsia="仿宋" w:cs="仿宋"/>
          <w:kern w:val="0"/>
          <w:sz w:val="24"/>
        </w:rPr>
        <w:sectPr>
          <w:pgSz w:w="11907" w:h="16840"/>
          <w:pgMar w:top="1814" w:right="1474" w:bottom="1814" w:left="1474"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44" w:name="_Toc2232"/>
      <w:bookmarkStart w:id="45" w:name="_Toc24059"/>
      <w:bookmarkStart w:id="46" w:name="_Toc3029"/>
      <w:r>
        <w:rPr>
          <w:rFonts w:hint="eastAsia" w:ascii="仿宋" w:hAnsi="仿宋" w:eastAsia="仿宋" w:cs="仿宋"/>
          <w:b/>
          <w:sz w:val="24"/>
        </w:rPr>
        <w:t>1.1 合同组成部分</w:t>
      </w:r>
      <w:bookmarkEnd w:id="44"/>
      <w:bookmarkEnd w:id="45"/>
      <w:bookmarkEnd w:id="46"/>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47" w:name="_Toc24300"/>
      <w:bookmarkStart w:id="48" w:name="_Toc21295"/>
      <w:bookmarkStart w:id="49" w:name="_Toc27126"/>
      <w:r>
        <w:rPr>
          <w:rFonts w:hint="eastAsia" w:ascii="仿宋" w:hAnsi="仿宋" w:eastAsia="仿宋" w:cs="仿宋"/>
          <w:b/>
          <w:sz w:val="24"/>
        </w:rPr>
        <w:t>1.2 货物</w:t>
      </w:r>
      <w:bookmarkEnd w:id="47"/>
      <w:bookmarkEnd w:id="48"/>
      <w:bookmarkEnd w:id="49"/>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w:t>
      </w:r>
    </w:p>
    <w:p>
      <w:pPr>
        <w:spacing w:line="288" w:lineRule="auto"/>
        <w:ind w:firstLine="482" w:firstLineChars="200"/>
        <w:outlineLvl w:val="0"/>
        <w:rPr>
          <w:rFonts w:ascii="仿宋" w:hAnsi="仿宋" w:eastAsia="仿宋" w:cs="仿宋"/>
          <w:b/>
          <w:sz w:val="24"/>
        </w:rPr>
      </w:pPr>
      <w:bookmarkStart w:id="50" w:name="_Toc21631"/>
      <w:bookmarkStart w:id="51" w:name="_Toc21551"/>
      <w:bookmarkStart w:id="52" w:name="_Toc23292"/>
      <w:r>
        <w:rPr>
          <w:rFonts w:hint="eastAsia" w:ascii="仿宋" w:hAnsi="仿宋" w:eastAsia="仿宋" w:cs="仿宋"/>
          <w:b/>
          <w:sz w:val="24"/>
        </w:rPr>
        <w:t>1.3 价款</w:t>
      </w:r>
      <w:bookmarkEnd w:id="50"/>
      <w:bookmarkEnd w:id="51"/>
      <w:bookmarkEnd w:id="52"/>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1"/>
              <w:spacing w:line="288" w:lineRule="auto"/>
              <w:ind w:firstLine="200"/>
              <w:jc w:val="center"/>
              <w:rPr>
                <w:rFonts w:ascii="仿宋" w:hAnsi="仿宋" w:eastAsia="仿宋" w:cs="仿宋"/>
                <w:sz w:val="24"/>
                <w:szCs w:val="24"/>
              </w:rPr>
            </w:pPr>
          </w:p>
        </w:tc>
      </w:tr>
    </w:tbl>
    <w:p>
      <w:pPr>
        <w:pStyle w:val="962"/>
        <w:spacing w:before="0" w:beforeAutospacing="0" w:after="0" w:afterAutospacing="0" w:line="288" w:lineRule="auto"/>
        <w:ind w:firstLine="480"/>
        <w:rPr>
          <w:rFonts w:ascii="仿宋" w:hAnsi="仿宋" w:eastAsia="仿宋" w:cs="仿宋"/>
          <w:b/>
        </w:rPr>
      </w:pPr>
      <w:bookmarkStart w:id="53" w:name="_Toc22618"/>
      <w:bookmarkStart w:id="54" w:name="_Toc1814"/>
      <w:bookmarkStart w:id="55" w:name="_Toc10340"/>
      <w:r>
        <w:rPr>
          <w:rFonts w:hint="eastAsia" w:ascii="仿宋" w:hAnsi="仿宋" w:eastAsia="仿宋" w:cs="仿宋"/>
          <w:b/>
        </w:rPr>
        <w:t>1.4履约保证金</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3"/>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53"/>
      <w:bookmarkEnd w:id="54"/>
      <w:bookmarkEnd w:id="55"/>
      <w:r>
        <w:rPr>
          <w:rFonts w:hint="eastAsia" w:ascii="仿宋" w:hAnsi="仿宋" w:eastAsia="仿宋" w:cs="仿宋"/>
          <w:b/>
          <w:sz w:val="24"/>
        </w:rPr>
        <w:t>预付款</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pPr>
        <w:pStyle w:val="962"/>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2"/>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56" w:name="_Toc19304"/>
      <w:bookmarkStart w:id="57" w:name="_Toc32071"/>
      <w:bookmarkStart w:id="58" w:name="_Toc2846"/>
      <w:r>
        <w:rPr>
          <w:rFonts w:hint="eastAsia" w:ascii="仿宋" w:hAnsi="仿宋" w:eastAsia="仿宋" w:cs="仿宋"/>
          <w:b/>
          <w:sz w:val="24"/>
        </w:rPr>
        <w:t>1.7货物交付期限、地点和方式</w:t>
      </w:r>
      <w:bookmarkEnd w:id="56"/>
      <w:bookmarkEnd w:id="57"/>
      <w:bookmarkEnd w:id="58"/>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59" w:name="_Toc21423"/>
      <w:bookmarkStart w:id="60" w:name="_Toc19554"/>
      <w:bookmarkStart w:id="61" w:name="_Toc27250"/>
      <w:r>
        <w:rPr>
          <w:rFonts w:hint="eastAsia" w:ascii="仿宋" w:hAnsi="仿宋" w:eastAsia="仿宋" w:cs="仿宋"/>
          <w:b/>
          <w:sz w:val="24"/>
        </w:rPr>
        <w:t>1.8违约责任</w:t>
      </w:r>
      <w:bookmarkEnd w:id="59"/>
      <w:bookmarkEnd w:id="60"/>
      <w:bookmarkEnd w:id="61"/>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62" w:name="_Toc15583"/>
      <w:bookmarkStart w:id="63" w:name="_Toc28375"/>
      <w:bookmarkStart w:id="64" w:name="_Toc16021"/>
      <w:r>
        <w:rPr>
          <w:rFonts w:hint="eastAsia" w:ascii="仿宋" w:hAnsi="仿宋" w:eastAsia="仿宋" w:cs="仿宋"/>
          <w:b/>
          <w:sz w:val="24"/>
        </w:rPr>
        <w:t>1.9合同争议的解决</w:t>
      </w:r>
      <w:bookmarkEnd w:id="62"/>
      <w:bookmarkEnd w:id="63"/>
      <w:bookmarkEnd w:id="64"/>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65" w:name="_Toc11173"/>
      <w:bookmarkStart w:id="66" w:name="_Toc7245"/>
      <w:bookmarkStart w:id="67" w:name="_Toc15322"/>
      <w:r>
        <w:rPr>
          <w:rFonts w:hint="eastAsia" w:ascii="仿宋" w:hAnsi="仿宋" w:eastAsia="仿宋" w:cs="仿宋"/>
          <w:b/>
          <w:sz w:val="24"/>
        </w:rPr>
        <w:t>2.0 合同生效</w:t>
      </w:r>
      <w:bookmarkEnd w:id="65"/>
      <w:bookmarkEnd w:id="66"/>
      <w:bookmarkEnd w:id="67"/>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pPr>
        <w:pStyle w:val="3"/>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4"/>
        <w:spacing w:line="288" w:lineRule="auto"/>
        <w:ind w:left="0" w:leftChars="0" w:firstLine="0" w:firstLineChars="0"/>
        <w:jc w:val="center"/>
        <w:rPr>
          <w:rFonts w:ascii="仿宋" w:hAnsi="仿宋" w:eastAsia="仿宋" w:cs="仿宋"/>
          <w:b/>
          <w:szCs w:val="24"/>
        </w:rPr>
      </w:pPr>
      <w:r>
        <w:rPr>
          <w:rFonts w:hint="eastAsia" w:ascii="仿宋" w:hAnsi="仿宋" w:eastAsia="仿宋" w:cs="仿宋"/>
          <w:b/>
          <w:szCs w:val="24"/>
        </w:rPr>
        <w:t>第二部分 合同一般条款</w:t>
      </w:r>
    </w:p>
    <w:p>
      <w:pPr>
        <w:spacing w:line="288" w:lineRule="auto"/>
        <w:ind w:firstLine="482" w:firstLineChars="200"/>
        <w:outlineLvl w:val="0"/>
        <w:rPr>
          <w:rFonts w:ascii="仿宋" w:hAnsi="仿宋" w:eastAsia="仿宋" w:cs="仿宋"/>
          <w:b/>
          <w:sz w:val="24"/>
        </w:rPr>
      </w:pPr>
      <w:bookmarkStart w:id="68" w:name="_Toc19614"/>
      <w:bookmarkStart w:id="69" w:name="_Toc28763"/>
      <w:bookmarkStart w:id="70" w:name="_Toc259093669"/>
      <w:bookmarkStart w:id="71" w:name="_Toc487900349"/>
      <w:bookmarkStart w:id="72" w:name="_Toc16917"/>
      <w:bookmarkStart w:id="73" w:name="_Ref467378404"/>
      <w:bookmarkStart w:id="74" w:name="_Ref467379214"/>
      <w:bookmarkStart w:id="75" w:name="_Ref467379225"/>
      <w:bookmarkStart w:id="76" w:name="_Ref467379094"/>
      <w:bookmarkStart w:id="77" w:name="_Ref467378499"/>
      <w:bookmarkStart w:id="78" w:name="_Ref467379205"/>
      <w:bookmarkStart w:id="79" w:name="_Ref467379109"/>
      <w:bookmarkStart w:id="80" w:name="_Ref467379195"/>
      <w:bookmarkStart w:id="81" w:name="_Ref467379101"/>
      <w:bookmarkStart w:id="82" w:name="_Toc279701240"/>
      <w:bookmarkStart w:id="83" w:name="_Ref467378463"/>
      <w:r>
        <w:rPr>
          <w:rFonts w:hint="eastAsia" w:ascii="仿宋" w:hAnsi="仿宋" w:eastAsia="仿宋" w:cs="仿宋"/>
          <w:b/>
          <w:sz w:val="24"/>
        </w:rPr>
        <w:t>2.1 定义</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84" w:name="_Ref467378840"/>
      <w:r>
        <w:rPr>
          <w:rFonts w:hint="eastAsia" w:ascii="仿宋" w:hAnsi="仿宋" w:eastAsia="仿宋" w:cs="仿宋"/>
          <w:sz w:val="24"/>
        </w:rPr>
        <w:t>2.1.4 “甲方”系指与中标或成交供应商签署合同的采购人</w:t>
      </w:r>
      <w:bookmarkEnd w:id="84"/>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85" w:name="_Ref467379400"/>
      <w:r>
        <w:rPr>
          <w:rFonts w:hint="eastAsia" w:ascii="仿宋" w:hAnsi="仿宋" w:eastAsia="仿宋" w:cs="仿宋"/>
          <w:sz w:val="24"/>
        </w:rPr>
        <w:t>2.1.5 “乙方”系指根据合同约定交付货物的中标或成交供应商</w:t>
      </w:r>
      <w:bookmarkEnd w:id="85"/>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86" w:name="_Ref467379436"/>
      <w:r>
        <w:rPr>
          <w:rFonts w:hint="eastAsia" w:ascii="仿宋" w:hAnsi="仿宋" w:eastAsia="仿宋" w:cs="仿宋"/>
          <w:sz w:val="24"/>
        </w:rPr>
        <w:t>2.1.6 “现场”系指合同约定货物将要运至或者安装的地点。</w:t>
      </w:r>
      <w:bookmarkEnd w:id="86"/>
    </w:p>
    <w:p>
      <w:pPr>
        <w:spacing w:line="288" w:lineRule="auto"/>
        <w:ind w:firstLine="482" w:firstLineChars="200"/>
        <w:outlineLvl w:val="0"/>
        <w:rPr>
          <w:rFonts w:ascii="仿宋" w:hAnsi="仿宋" w:eastAsia="仿宋" w:cs="仿宋"/>
          <w:b/>
          <w:sz w:val="24"/>
        </w:rPr>
      </w:pPr>
      <w:bookmarkStart w:id="87" w:name="_Toc279701241"/>
      <w:bookmarkStart w:id="88" w:name="_Toc487900350"/>
      <w:bookmarkStart w:id="89" w:name="_Toc27635"/>
      <w:bookmarkStart w:id="90" w:name="_Toc32504"/>
      <w:bookmarkStart w:id="91" w:name="_Toc13336"/>
      <w:bookmarkStart w:id="92" w:name="_Toc259093670"/>
      <w:r>
        <w:rPr>
          <w:rFonts w:hint="eastAsia" w:ascii="仿宋" w:hAnsi="仿宋" w:eastAsia="仿宋" w:cs="仿宋"/>
          <w:b/>
          <w:sz w:val="24"/>
        </w:rPr>
        <w:t>2.2 技术规范</w:t>
      </w:r>
      <w:bookmarkEnd w:id="87"/>
      <w:bookmarkEnd w:id="88"/>
      <w:bookmarkEnd w:id="89"/>
      <w:bookmarkEnd w:id="90"/>
      <w:bookmarkEnd w:id="91"/>
      <w:bookmarkEnd w:id="92"/>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93" w:name="_Toc259093671"/>
      <w:bookmarkStart w:id="94" w:name="_Toc27853"/>
      <w:bookmarkStart w:id="95" w:name="_Toc31634"/>
      <w:bookmarkStart w:id="96" w:name="_Toc487900351"/>
      <w:bookmarkStart w:id="97" w:name="_Toc279701242"/>
      <w:bookmarkStart w:id="98" w:name="_Toc9829"/>
      <w:r>
        <w:rPr>
          <w:rFonts w:hint="eastAsia" w:ascii="仿宋" w:hAnsi="仿宋" w:eastAsia="仿宋" w:cs="仿宋"/>
          <w:b/>
          <w:sz w:val="24"/>
        </w:rPr>
        <w:t>2.3 知识产权</w:t>
      </w:r>
      <w:bookmarkEnd w:id="93"/>
      <w:bookmarkEnd w:id="94"/>
      <w:bookmarkEnd w:id="95"/>
      <w:bookmarkEnd w:id="96"/>
      <w:bookmarkEnd w:id="97"/>
      <w:bookmarkEnd w:id="98"/>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99" w:name="_Toc4194"/>
      <w:bookmarkStart w:id="100" w:name="_Toc11932"/>
      <w:bookmarkStart w:id="101" w:name="_Toc29149"/>
      <w:r>
        <w:rPr>
          <w:rFonts w:hint="eastAsia" w:ascii="仿宋" w:hAnsi="仿宋" w:eastAsia="仿宋" w:cs="仿宋"/>
          <w:b/>
          <w:sz w:val="24"/>
        </w:rPr>
        <w:t>2.4 包装和装运</w:t>
      </w:r>
      <w:bookmarkEnd w:id="99"/>
      <w:bookmarkEnd w:id="100"/>
      <w:bookmarkEnd w:id="101"/>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02" w:name="_Toc259093674"/>
      <w:bookmarkStart w:id="103" w:name="_Ref467378591"/>
      <w:bookmarkStart w:id="104" w:name="_Toc279701245"/>
      <w:bookmarkStart w:id="105" w:name="_Ref467378541"/>
      <w:bookmarkStart w:id="106" w:name="_Ref467379542"/>
      <w:bookmarkStart w:id="107" w:name="_Toc487900354"/>
      <w:bookmarkStart w:id="108" w:name="_Ref467379527"/>
      <w:bookmarkStart w:id="109" w:name="_Ref467379536"/>
      <w:bookmarkStart w:id="110" w:name="_Toc26182"/>
      <w:bookmarkStart w:id="111" w:name="_Toc30272"/>
      <w:bookmarkStart w:id="112" w:name="_Toc19074"/>
      <w:r>
        <w:rPr>
          <w:rFonts w:hint="eastAsia" w:ascii="仿宋" w:hAnsi="仿宋" w:eastAsia="仿宋" w:cs="仿宋"/>
          <w:b/>
          <w:sz w:val="24"/>
        </w:rPr>
        <w:t>2.</w:t>
      </w:r>
      <w:bookmarkEnd w:id="102"/>
      <w:bookmarkEnd w:id="103"/>
      <w:bookmarkEnd w:id="104"/>
      <w:bookmarkEnd w:id="105"/>
      <w:bookmarkEnd w:id="106"/>
      <w:bookmarkEnd w:id="107"/>
      <w:bookmarkEnd w:id="108"/>
      <w:bookmarkEnd w:id="109"/>
      <w:r>
        <w:rPr>
          <w:rFonts w:hint="eastAsia" w:ascii="仿宋" w:hAnsi="仿宋" w:eastAsia="仿宋" w:cs="仿宋"/>
          <w:b/>
          <w:sz w:val="24"/>
        </w:rPr>
        <w:t>5 履约检查和问题反馈</w:t>
      </w:r>
      <w:bookmarkEnd w:id="110"/>
      <w:bookmarkEnd w:id="111"/>
      <w:bookmarkEnd w:id="112"/>
    </w:p>
    <w:p>
      <w:pPr>
        <w:spacing w:line="288" w:lineRule="auto"/>
        <w:ind w:firstLine="480" w:firstLineChars="200"/>
        <w:rPr>
          <w:rFonts w:ascii="仿宋" w:hAnsi="仿宋" w:eastAsia="仿宋" w:cs="仿宋"/>
          <w:sz w:val="24"/>
        </w:rPr>
      </w:pPr>
      <w:bookmarkStart w:id="113" w:name="_Ref467379657"/>
      <w:r>
        <w:rPr>
          <w:rFonts w:hint="eastAsia" w:ascii="仿宋" w:hAnsi="仿宋" w:eastAsia="仿宋" w:cs="仿宋"/>
          <w:sz w:val="24"/>
        </w:rPr>
        <w:t>2.5.1</w:t>
      </w:r>
      <w:bookmarkEnd w:id="113"/>
      <w:bookmarkStart w:id="114" w:name="_Toc186431854"/>
      <w:bookmarkStart w:id="115" w:name="_Toc259093676"/>
      <w:bookmarkStart w:id="116" w:name="_Toc279701247"/>
      <w:bookmarkStart w:id="117" w:name="_Toc487900357"/>
      <w:bookmarkStart w:id="118" w:name="_Ref467379807"/>
      <w:bookmarkStart w:id="119" w:name="_Ref467379793"/>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14"/>
      <w:bookmarkStart w:id="120" w:name="_Toc186431855"/>
      <w:r>
        <w:rPr>
          <w:rFonts w:hint="eastAsia" w:ascii="仿宋" w:hAnsi="仿宋" w:eastAsia="仿宋" w:cs="仿宋"/>
          <w:sz w:val="24"/>
        </w:rPr>
        <w:t>。</w:t>
      </w:r>
    </w:p>
    <w:bookmarkEnd w:id="115"/>
    <w:bookmarkEnd w:id="116"/>
    <w:bookmarkEnd w:id="117"/>
    <w:bookmarkEnd w:id="118"/>
    <w:bookmarkEnd w:id="119"/>
    <w:bookmarkEnd w:id="120"/>
    <w:p>
      <w:pPr>
        <w:spacing w:line="288" w:lineRule="auto"/>
        <w:ind w:firstLine="482" w:firstLineChars="200"/>
        <w:outlineLvl w:val="0"/>
        <w:rPr>
          <w:rFonts w:ascii="仿宋" w:hAnsi="仿宋" w:eastAsia="仿宋" w:cs="仿宋"/>
          <w:b/>
          <w:sz w:val="24"/>
        </w:rPr>
      </w:pPr>
      <w:bookmarkStart w:id="121" w:name="_Ref467379863"/>
      <w:bookmarkStart w:id="122" w:name="_Ref467379852"/>
      <w:bookmarkStart w:id="123" w:name="_Toc279701248"/>
      <w:bookmarkStart w:id="124" w:name="_Toc259093677"/>
      <w:bookmarkStart w:id="125" w:name="_Toc487900358"/>
      <w:bookmarkStart w:id="126" w:name="_Ref467379923"/>
      <w:bookmarkStart w:id="127" w:name="_Toc3225"/>
      <w:bookmarkStart w:id="128" w:name="_Toc16110"/>
      <w:bookmarkStart w:id="129" w:name="_Toc774"/>
      <w:r>
        <w:rPr>
          <w:rFonts w:hint="eastAsia" w:ascii="仿宋" w:hAnsi="仿宋" w:eastAsia="仿宋" w:cs="仿宋"/>
          <w:b/>
          <w:sz w:val="24"/>
        </w:rPr>
        <w:t>2.6 技术资料</w:t>
      </w:r>
      <w:bookmarkEnd w:id="121"/>
      <w:bookmarkEnd w:id="122"/>
      <w:bookmarkEnd w:id="123"/>
      <w:bookmarkEnd w:id="124"/>
      <w:bookmarkEnd w:id="125"/>
      <w:bookmarkEnd w:id="126"/>
      <w:r>
        <w:rPr>
          <w:rFonts w:hint="eastAsia" w:ascii="仿宋" w:hAnsi="仿宋" w:eastAsia="仿宋" w:cs="仿宋"/>
          <w:b/>
          <w:sz w:val="24"/>
        </w:rPr>
        <w:t>和保密义务</w:t>
      </w:r>
      <w:bookmarkEnd w:id="127"/>
      <w:bookmarkEnd w:id="128"/>
      <w:bookmarkEnd w:id="129"/>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30" w:name="_Toc7860"/>
      <w:r>
        <w:rPr>
          <w:rFonts w:hint="eastAsia" w:ascii="仿宋" w:hAnsi="仿宋" w:eastAsia="仿宋" w:cs="仿宋"/>
          <w:b/>
          <w:sz w:val="24"/>
        </w:rPr>
        <w:t>2.7 质量保证</w:t>
      </w:r>
      <w:bookmarkEnd w:id="130"/>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31" w:name="_Toc17244"/>
      <w:bookmarkStart w:id="132" w:name="_Toc259093681"/>
      <w:bookmarkStart w:id="133" w:name="_Toc279701252"/>
      <w:bookmarkStart w:id="134" w:name="_Toc487900362"/>
      <w:r>
        <w:rPr>
          <w:rFonts w:hint="eastAsia" w:ascii="仿宋" w:hAnsi="仿宋" w:eastAsia="仿宋" w:cs="仿宋"/>
          <w:b/>
          <w:sz w:val="24"/>
        </w:rPr>
        <w:t>2.8 货物的风险负担</w:t>
      </w:r>
      <w:bookmarkEnd w:id="131"/>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35" w:name="_Toc14055"/>
      <w:r>
        <w:rPr>
          <w:rFonts w:hint="eastAsia" w:ascii="仿宋" w:hAnsi="仿宋" w:eastAsia="仿宋" w:cs="仿宋"/>
          <w:b/>
          <w:sz w:val="24"/>
        </w:rPr>
        <w:t>2.9 延迟交货</w:t>
      </w:r>
      <w:bookmarkEnd w:id="132"/>
      <w:bookmarkEnd w:id="133"/>
      <w:bookmarkEnd w:id="134"/>
      <w:bookmarkEnd w:id="135"/>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36" w:name="_Toc7502"/>
      <w:bookmarkStart w:id="137" w:name="_Toc487900364"/>
      <w:bookmarkStart w:id="138" w:name="_Toc259093683"/>
      <w:bookmarkStart w:id="139" w:name="_Ref467378121"/>
      <w:bookmarkStart w:id="140" w:name="_Toc279701254"/>
      <w:r>
        <w:rPr>
          <w:rFonts w:hint="eastAsia" w:ascii="仿宋" w:hAnsi="仿宋" w:eastAsia="仿宋" w:cs="仿宋"/>
          <w:b/>
          <w:sz w:val="24"/>
        </w:rPr>
        <w:t>2.10 合同变更</w:t>
      </w:r>
      <w:bookmarkEnd w:id="136"/>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41" w:name="_Toc259093688"/>
      <w:bookmarkStart w:id="142" w:name="_Toc487900369"/>
      <w:bookmarkStart w:id="143" w:name="_Toc279701259"/>
    </w:p>
    <w:p>
      <w:pPr>
        <w:spacing w:line="288" w:lineRule="auto"/>
        <w:ind w:firstLine="482" w:firstLineChars="200"/>
        <w:outlineLvl w:val="0"/>
        <w:rPr>
          <w:rFonts w:ascii="仿宋" w:hAnsi="仿宋" w:eastAsia="仿宋" w:cs="仿宋"/>
          <w:b/>
          <w:sz w:val="24"/>
        </w:rPr>
      </w:pPr>
      <w:bookmarkStart w:id="144" w:name="_Toc22955"/>
      <w:bookmarkStart w:id="145" w:name="_Toc15237"/>
      <w:bookmarkStart w:id="146" w:name="_Toc10366"/>
      <w:r>
        <w:rPr>
          <w:rFonts w:hint="eastAsia" w:ascii="仿宋" w:hAnsi="仿宋" w:eastAsia="仿宋" w:cs="仿宋"/>
          <w:b/>
          <w:sz w:val="24"/>
        </w:rPr>
        <w:t>2.11 合同转让</w:t>
      </w:r>
      <w:bookmarkEnd w:id="141"/>
      <w:bookmarkEnd w:id="142"/>
      <w:bookmarkEnd w:id="143"/>
      <w:r>
        <w:rPr>
          <w:rFonts w:hint="eastAsia" w:ascii="仿宋" w:hAnsi="仿宋" w:eastAsia="仿宋" w:cs="仿宋"/>
          <w:b/>
          <w:sz w:val="24"/>
        </w:rPr>
        <w:t>和分包</w:t>
      </w:r>
      <w:bookmarkEnd w:id="144"/>
      <w:bookmarkEnd w:id="145"/>
      <w:bookmarkEnd w:id="146"/>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47" w:name="_Toc16508"/>
      <w:bookmarkStart w:id="148" w:name="_Toc14066"/>
      <w:bookmarkStart w:id="149" w:name="_Toc13566"/>
      <w:r>
        <w:rPr>
          <w:rFonts w:hint="eastAsia" w:ascii="仿宋" w:hAnsi="仿宋" w:eastAsia="仿宋" w:cs="仿宋"/>
          <w:b/>
          <w:sz w:val="24"/>
        </w:rPr>
        <w:t>2.12 不可抗力</w:t>
      </w:r>
      <w:bookmarkEnd w:id="147"/>
      <w:bookmarkEnd w:id="148"/>
      <w:bookmarkEnd w:id="149"/>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50" w:name="_Toc30676"/>
      <w:bookmarkStart w:id="151" w:name="_Toc259093684"/>
      <w:bookmarkStart w:id="152" w:name="_Toc487900365"/>
      <w:bookmarkStart w:id="153" w:name="_Toc689"/>
      <w:bookmarkStart w:id="154" w:name="_Toc6969"/>
      <w:bookmarkStart w:id="155" w:name="_Toc279701255"/>
      <w:r>
        <w:rPr>
          <w:rFonts w:hint="eastAsia" w:ascii="仿宋" w:hAnsi="仿宋" w:eastAsia="仿宋" w:cs="仿宋"/>
          <w:b/>
          <w:sz w:val="24"/>
        </w:rPr>
        <w:t>2.13 税费</w:t>
      </w:r>
      <w:bookmarkEnd w:id="150"/>
      <w:bookmarkEnd w:id="151"/>
      <w:bookmarkEnd w:id="152"/>
      <w:bookmarkEnd w:id="153"/>
      <w:bookmarkEnd w:id="154"/>
      <w:bookmarkEnd w:id="155"/>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56" w:name="_Toc259093687"/>
      <w:bookmarkStart w:id="157" w:name="_Toc279701258"/>
      <w:bookmarkStart w:id="158" w:name="_Toc8298"/>
      <w:bookmarkStart w:id="159" w:name="_Toc16959"/>
      <w:bookmarkStart w:id="160" w:name="_Toc487900368"/>
      <w:bookmarkStart w:id="161" w:name="_Toc7102"/>
      <w:r>
        <w:rPr>
          <w:rFonts w:hint="eastAsia" w:ascii="仿宋" w:hAnsi="仿宋" w:eastAsia="仿宋" w:cs="仿宋"/>
          <w:b/>
          <w:sz w:val="24"/>
        </w:rPr>
        <w:t>2.14乙方破产</w:t>
      </w:r>
      <w:bookmarkEnd w:id="156"/>
      <w:bookmarkEnd w:id="157"/>
      <w:bookmarkEnd w:id="158"/>
      <w:bookmarkEnd w:id="159"/>
      <w:bookmarkEnd w:id="160"/>
      <w:bookmarkEnd w:id="161"/>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62" w:name="_Toc15387"/>
      <w:bookmarkStart w:id="163" w:name="_Toc29333"/>
      <w:bookmarkStart w:id="164" w:name="_Toc6134"/>
      <w:r>
        <w:rPr>
          <w:rFonts w:hint="eastAsia" w:ascii="仿宋" w:hAnsi="仿宋" w:eastAsia="仿宋" w:cs="仿宋"/>
          <w:b/>
          <w:sz w:val="24"/>
        </w:rPr>
        <w:t>2.15 合同中止、终止</w:t>
      </w:r>
      <w:bookmarkEnd w:id="162"/>
      <w:bookmarkEnd w:id="163"/>
      <w:bookmarkEnd w:id="164"/>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65" w:name="_Toc14563"/>
      <w:bookmarkStart w:id="166" w:name="_Toc1125"/>
      <w:bookmarkStart w:id="167" w:name="_Toc6596"/>
      <w:r>
        <w:rPr>
          <w:rFonts w:hint="eastAsia" w:ascii="仿宋" w:hAnsi="仿宋" w:eastAsia="仿宋" w:cs="仿宋"/>
          <w:b/>
          <w:sz w:val="24"/>
        </w:rPr>
        <w:t>2.16检验和验收</w:t>
      </w:r>
      <w:bookmarkEnd w:id="165"/>
      <w:bookmarkEnd w:id="166"/>
      <w:bookmarkEnd w:id="167"/>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37"/>
    <w:bookmarkEnd w:id="138"/>
    <w:bookmarkEnd w:id="139"/>
    <w:bookmarkEnd w:id="140"/>
    <w:p>
      <w:pPr>
        <w:spacing w:line="288" w:lineRule="auto"/>
        <w:ind w:firstLine="482" w:firstLineChars="200"/>
        <w:outlineLvl w:val="0"/>
        <w:rPr>
          <w:rFonts w:ascii="仿宋" w:hAnsi="仿宋" w:eastAsia="仿宋" w:cs="仿宋"/>
          <w:b/>
          <w:sz w:val="24"/>
        </w:rPr>
      </w:pPr>
      <w:bookmarkStart w:id="168" w:name="_Toc487900371"/>
      <w:bookmarkStart w:id="169" w:name="_Toc279701261"/>
      <w:bookmarkStart w:id="170" w:name="_Toc259093690"/>
      <w:bookmarkStart w:id="171" w:name="_Toc11284"/>
      <w:bookmarkStart w:id="172" w:name="_Toc25182"/>
      <w:bookmarkStart w:id="173" w:name="_Toc19604"/>
      <w:r>
        <w:rPr>
          <w:rFonts w:hint="eastAsia" w:ascii="仿宋" w:hAnsi="仿宋" w:eastAsia="仿宋" w:cs="仿宋"/>
          <w:b/>
          <w:sz w:val="24"/>
        </w:rPr>
        <w:t>2.17 通知</w:t>
      </w:r>
      <w:bookmarkEnd w:id="168"/>
      <w:bookmarkEnd w:id="169"/>
      <w:bookmarkEnd w:id="170"/>
      <w:r>
        <w:rPr>
          <w:rFonts w:hint="eastAsia" w:ascii="仿宋" w:hAnsi="仿宋" w:eastAsia="仿宋" w:cs="仿宋"/>
          <w:b/>
          <w:sz w:val="24"/>
        </w:rPr>
        <w:t>和送达</w:t>
      </w:r>
      <w:bookmarkEnd w:id="171"/>
      <w:bookmarkEnd w:id="172"/>
      <w:bookmarkEnd w:id="173"/>
    </w:p>
    <w:p>
      <w:pPr>
        <w:spacing w:line="288" w:lineRule="auto"/>
        <w:ind w:firstLine="480" w:firstLineChars="200"/>
        <w:rPr>
          <w:rFonts w:ascii="仿宋" w:hAnsi="仿宋" w:eastAsia="仿宋" w:cs="仿宋"/>
          <w:sz w:val="24"/>
        </w:rPr>
      </w:pPr>
      <w:bookmarkStart w:id="174" w:name="_Toc6698"/>
      <w:bookmarkStart w:id="175" w:name="_Toc3135"/>
      <w:bookmarkStart w:id="176" w:name="_Toc279701262"/>
      <w:bookmarkStart w:id="177" w:name="_Toc259093691"/>
      <w:bookmarkStart w:id="178" w:name="_Toc487900372"/>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74"/>
      <w:bookmarkEnd w:id="175"/>
    </w:p>
    <w:p>
      <w:pPr>
        <w:spacing w:line="288" w:lineRule="auto"/>
        <w:ind w:firstLine="480" w:firstLineChars="200"/>
        <w:rPr>
          <w:rFonts w:ascii="仿宋" w:hAnsi="仿宋" w:eastAsia="仿宋" w:cs="仿宋"/>
          <w:sz w:val="24"/>
        </w:rPr>
      </w:pPr>
      <w:bookmarkStart w:id="179" w:name="_Toc23294"/>
      <w:bookmarkStart w:id="180"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9"/>
      <w:bookmarkEnd w:id="180"/>
    </w:p>
    <w:p>
      <w:pPr>
        <w:spacing w:line="288" w:lineRule="auto"/>
        <w:ind w:firstLine="482" w:firstLineChars="200"/>
        <w:outlineLvl w:val="0"/>
        <w:rPr>
          <w:rFonts w:ascii="仿宋" w:hAnsi="仿宋" w:eastAsia="仿宋" w:cs="仿宋"/>
          <w:b/>
          <w:sz w:val="24"/>
        </w:rPr>
      </w:pPr>
      <w:bookmarkStart w:id="181" w:name="_Toc30599"/>
      <w:bookmarkStart w:id="182" w:name="_Toc4355"/>
      <w:bookmarkStart w:id="183" w:name="_Toc18540"/>
      <w:r>
        <w:rPr>
          <w:rFonts w:hint="eastAsia" w:ascii="仿宋" w:hAnsi="仿宋" w:eastAsia="仿宋" w:cs="仿宋"/>
          <w:b/>
          <w:sz w:val="24"/>
        </w:rPr>
        <w:t>2.18 计量单位</w:t>
      </w:r>
      <w:bookmarkEnd w:id="176"/>
      <w:bookmarkEnd w:id="177"/>
      <w:bookmarkEnd w:id="178"/>
      <w:bookmarkEnd w:id="181"/>
      <w:bookmarkEnd w:id="182"/>
      <w:bookmarkEnd w:id="183"/>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84" w:name="_Toc10330"/>
      <w:bookmarkStart w:id="185" w:name="_Toc487900373"/>
      <w:bookmarkStart w:id="186" w:name="_Toc279701263"/>
      <w:bookmarkStart w:id="187" w:name="_Toc259093692"/>
      <w:bookmarkStart w:id="188" w:name="_Toc12773"/>
      <w:bookmarkStart w:id="189" w:name="_Toc18567"/>
      <w:r>
        <w:rPr>
          <w:rFonts w:hint="eastAsia" w:ascii="仿宋" w:hAnsi="仿宋" w:eastAsia="仿宋" w:cs="仿宋"/>
          <w:b/>
          <w:sz w:val="24"/>
        </w:rPr>
        <w:t>2.19 合同使用的文字和适用的法律</w:t>
      </w:r>
      <w:bookmarkEnd w:id="184"/>
      <w:bookmarkEnd w:id="185"/>
      <w:bookmarkEnd w:id="186"/>
      <w:bookmarkEnd w:id="187"/>
      <w:bookmarkEnd w:id="188"/>
      <w:bookmarkEnd w:id="189"/>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ascii="仿宋" w:hAnsi="仿宋" w:eastAsia="仿宋" w:cs="仿宋"/>
          <w:b/>
          <w:sz w:val="24"/>
        </w:rPr>
      </w:pPr>
      <w:bookmarkStart w:id="190" w:name="_Toc14001"/>
      <w:bookmarkStart w:id="191" w:name="_Toc19890"/>
      <w:bookmarkStart w:id="192" w:name="_Toc6885"/>
      <w:r>
        <w:rPr>
          <w:rFonts w:hint="eastAsia" w:ascii="仿宋" w:hAnsi="仿宋" w:eastAsia="仿宋" w:cs="仿宋"/>
          <w:b/>
          <w:sz w:val="24"/>
        </w:rPr>
        <w:t>2.20 合同份数</w:t>
      </w:r>
      <w:bookmarkEnd w:id="190"/>
      <w:bookmarkEnd w:id="191"/>
      <w:bookmarkEnd w:id="192"/>
    </w:p>
    <w:p>
      <w:pPr>
        <w:spacing w:line="288" w:lineRule="auto"/>
        <w:ind w:firstLine="480" w:firstLineChars="20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ascii="仿宋" w:hAnsi="仿宋" w:eastAsia="仿宋" w:cs="仿宋"/>
          <w:b/>
        </w:rPr>
      </w:pPr>
      <w:r>
        <w:rPr>
          <w:rFonts w:hint="eastAsia" w:ascii="仿宋" w:hAnsi="仿宋" w:eastAsia="仿宋" w:cs="仿宋"/>
          <w:sz w:val="24"/>
        </w:rPr>
        <w:br w:type="page"/>
      </w:r>
      <w:r>
        <w:rPr>
          <w:rFonts w:hint="eastAsia" w:ascii="仿宋" w:hAnsi="仿宋" w:eastAsia="仿宋" w:cs="仿宋"/>
          <w:b/>
          <w:sz w:val="24"/>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17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17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17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17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176"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6</w:t>
      </w:r>
      <w:r>
        <w:rPr>
          <w:rFonts w:hint="eastAsia" w:ascii="仿宋" w:hAnsi="仿宋" w:eastAsia="仿宋" w:cs="仿宋"/>
          <w:sz w:val="24"/>
          <w:u w:val="single"/>
        </w:rPr>
        <w:t>0</w:t>
      </w:r>
      <w:r>
        <w:rPr>
          <w:rFonts w:hint="eastAsia" w:ascii="仿宋" w:hAnsi="仿宋" w:eastAsia="仿宋" w:cs="仿宋"/>
          <w:sz w:val="24"/>
        </w:rPr>
        <w:t>分，价格分</w:t>
      </w:r>
      <w:r>
        <w:rPr>
          <w:rFonts w:hint="eastAsia" w:ascii="仿宋" w:hAnsi="仿宋" w:eastAsia="仿宋" w:cs="仿宋"/>
          <w:sz w:val="24"/>
          <w:u w:val="single"/>
          <w:lang w:val="en-US" w:eastAsia="zh-CN"/>
        </w:rPr>
        <w:t>4</w:t>
      </w:r>
      <w:r>
        <w:rPr>
          <w:rFonts w:hint="eastAsia" w:ascii="仿宋" w:hAnsi="仿宋" w:eastAsia="仿宋" w:cs="仿宋"/>
          <w:sz w:val="24"/>
          <w:u w:val="single"/>
        </w:rPr>
        <w:t>0</w:t>
      </w:r>
      <w:r>
        <w:rPr>
          <w:rFonts w:hint="eastAsia" w:ascii="仿宋" w:hAnsi="仿宋" w:eastAsia="仿宋" w:cs="仿宋"/>
          <w:sz w:val="24"/>
        </w:rPr>
        <w:t>分。评分依下述所列为评标打分依据，分值如下（计算分值时，按其算术平均值保留小数2位）。</w:t>
      </w:r>
    </w:p>
    <w:p>
      <w:pPr>
        <w:spacing w:line="440" w:lineRule="exact"/>
        <w:rPr>
          <w:rFonts w:ascii="仿宋" w:hAnsi="仿宋" w:eastAsia="仿宋" w:cs="仿宋"/>
          <w:b/>
          <w:sz w:val="32"/>
          <w:szCs w:val="20"/>
        </w:rPr>
      </w:pPr>
      <w:bookmarkStart w:id="193" w:name="_Hlk146196127"/>
      <w:bookmarkStart w:id="194" w:name="_Hlk143697923"/>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6</w:t>
      </w:r>
      <w:r>
        <w:rPr>
          <w:rFonts w:hint="eastAsia" w:ascii="仿宋" w:hAnsi="仿宋" w:eastAsia="仿宋" w:cs="仿宋"/>
          <w:b/>
          <w:bCs/>
          <w:iCs/>
          <w:sz w:val="24"/>
          <w:u w:val="single"/>
        </w:rPr>
        <w:t>0</w:t>
      </w:r>
      <w:r>
        <w:rPr>
          <w:rFonts w:hint="eastAsia" w:ascii="仿宋" w:hAnsi="仿宋" w:eastAsia="仿宋" w:cs="仿宋"/>
          <w:b/>
          <w:bCs/>
          <w:iCs/>
          <w:sz w:val="24"/>
        </w:rPr>
        <w:t>分）</w:t>
      </w:r>
    </w:p>
    <w:bookmarkEnd w:id="193"/>
    <w:bookmarkEnd w:id="194"/>
    <w:tbl>
      <w:tblPr>
        <w:tblStyle w:val="64"/>
        <w:tblW w:w="86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874"/>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874"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w:t>
            </w:r>
          </w:p>
        </w:tc>
        <w:tc>
          <w:tcPr>
            <w:tcW w:w="5906" w:type="dxa"/>
            <w:tcBorders>
              <w:top w:val="single" w:color="auto" w:sz="4" w:space="0"/>
              <w:left w:val="single" w:color="auto" w:sz="4" w:space="0"/>
              <w:bottom w:val="single" w:color="auto" w:sz="4" w:space="0"/>
              <w:right w:val="single" w:color="auto" w:sz="4" w:space="0"/>
            </w:tcBorders>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基本分部分</w:t>
            </w:r>
          </w:p>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（24分）</w:t>
            </w:r>
          </w:p>
        </w:tc>
        <w:tc>
          <w:tcPr>
            <w:tcW w:w="5906" w:type="dxa"/>
            <w:tcBorders>
              <w:top w:val="single" w:color="auto" w:sz="4" w:space="0"/>
              <w:left w:val="single" w:color="auto" w:sz="4" w:space="0"/>
              <w:bottom w:val="single" w:color="auto" w:sz="4" w:space="0"/>
              <w:right w:val="single" w:color="auto" w:sz="4" w:space="0"/>
            </w:tcBorders>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满足所有技术参数指标得满分20分，“★”系实质性技术参数条款，如有负偏离作无效投标处理；“▲”系指主要性能指标要求条款，每有一个负偏离扣4分；其它为一般性能指标要求条款，每有一个负偏离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设备运行维护方案（5分）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有详细的设备运行维护方案，需出具设备运行维护说明。（0-5分）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技术方案（6分）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对各投标人提供的技术方案的合理性、创新性，酌情打分。（0-6分）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设备运行供货方案（5分）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提供详细的设备供货方案、时间节点、方式和供货说明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设备培训方案（6分）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提供详细的设备培训方案说明，依据培训人员职称，职务、培训次数、培训天数等内容进行评分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（0-6分）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供应商资质（2分）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供应商提供ISO9001质量管理体系认证、 ISO14001环境管理体系认证证书，每一项得1分，最高2分。（提供证书复印件加盖单位公章）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投标产品销售案例（4分）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提供近2021年1月</w:t>
            </w:r>
            <w:r>
              <w:rPr>
                <w:rFonts w:hint="eastAsia" w:ascii="仿宋" w:hAnsi="仿宋" w:eastAsia="仿宋" w:cs="仿宋"/>
                <w:color w:val="auto"/>
                <w:sz w:val="24"/>
                <w:szCs w:val="24"/>
                <w:highlight w:val="none"/>
                <w:lang w:val="en-US" w:eastAsia="zh-CN"/>
              </w:rPr>
              <w:t>1日</w:t>
            </w:r>
            <w:r>
              <w:rPr>
                <w:rFonts w:hint="eastAsia" w:ascii="仿宋" w:hAnsi="仿宋" w:eastAsia="仿宋" w:cs="仿宋"/>
                <w:color w:val="auto"/>
                <w:sz w:val="24"/>
                <w:szCs w:val="24"/>
                <w:highlight w:val="none"/>
              </w:rPr>
              <w:t>至今</w:t>
            </w:r>
            <w:r>
              <w:rPr>
                <w:rFonts w:hint="eastAsia" w:ascii="仿宋" w:hAnsi="仿宋" w:eastAsia="仿宋" w:cs="仿宋"/>
                <w:color w:val="auto"/>
                <w:sz w:val="24"/>
                <w:szCs w:val="24"/>
                <w:highlight w:val="none"/>
                <w:lang w:eastAsia="zh-CN"/>
              </w:rPr>
              <w:t>（以合同签订日期为准）</w:t>
            </w:r>
            <w:r>
              <w:rPr>
                <w:rFonts w:hint="eastAsia" w:ascii="仿宋" w:hAnsi="仿宋" w:eastAsia="仿宋" w:cs="仿宋"/>
                <w:color w:val="auto"/>
                <w:sz w:val="24"/>
                <w:szCs w:val="24"/>
                <w:highlight w:val="none"/>
              </w:rPr>
              <w:t>同类型项目案例，每</w:t>
            </w:r>
            <w:r>
              <w:rPr>
                <w:rFonts w:hint="eastAsia" w:ascii="仿宋" w:hAnsi="仿宋" w:eastAsia="仿宋" w:cs="仿宋"/>
                <w:color w:val="auto"/>
                <w:sz w:val="24"/>
                <w:szCs w:val="24"/>
                <w:highlight w:val="none"/>
                <w:lang w:eastAsia="zh-CN"/>
              </w:rPr>
              <w:t>提供一</w:t>
            </w:r>
            <w:r>
              <w:rPr>
                <w:rFonts w:hint="eastAsia" w:ascii="仿宋" w:hAnsi="仿宋" w:eastAsia="仿宋" w:cs="仿宋"/>
                <w:color w:val="auto"/>
                <w:sz w:val="24"/>
                <w:szCs w:val="24"/>
                <w:highlight w:val="none"/>
              </w:rPr>
              <w:t>个得1分，最高得4分。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提供合同复印件及客户联系方式加盖单位公章</w:t>
            </w:r>
            <w:r>
              <w:rPr>
                <w:rFonts w:hint="eastAsia" w:ascii="仿宋" w:hAnsi="仿宋" w:eastAsia="仿宋" w:cs="仿宋"/>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售后服务质量保证措施其它优惠承诺（6分）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1、根据投标人提供的售后维护方案，设备标准附件及易损件（打折优惠承诺），对售后维护的团队人员配置、售后服务响应方案等进行评议（0-3分）。</w:t>
            </w: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2、整体系统至少有5年的质保期，在此基础上每增加1年的质保期加1分，最高得3分。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76"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87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合理化建议（2分）</w:t>
            </w:r>
          </w:p>
        </w:tc>
        <w:tc>
          <w:tcPr>
            <w:tcW w:w="5906"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根据投标人提供的合理化建议进行打分。（0-2分）</w:t>
            </w:r>
          </w:p>
        </w:tc>
      </w:tr>
    </w:tbl>
    <w:p>
      <w:pPr>
        <w:pStyle w:val="24"/>
        <w:keepNext w:val="0"/>
        <w:keepLines w:val="0"/>
        <w:pageBreakBefore w:val="0"/>
        <w:widowControl w:val="0"/>
        <w:kinsoku/>
        <w:wordWrap/>
        <w:overflowPunct/>
        <w:topLinePunct w:val="0"/>
        <w:bidi w:val="0"/>
        <w:adjustRightInd w:val="0"/>
        <w:snapToGrid/>
        <w:spacing w:line="440" w:lineRule="exact"/>
        <w:textAlignment w:val="auto"/>
        <w:rPr>
          <w:rFonts w:hint="eastAsia"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b/>
          <w:color w:val="000000" w:themeColor="text1"/>
          <w:szCs w:val="24"/>
          <w:highlight w:val="none"/>
          <w:lang w:eastAsia="zh-CN"/>
          <w14:textFill>
            <w14:solidFill>
              <w14:schemeClr w14:val="tx1"/>
            </w14:solidFill>
          </w14:textFill>
        </w:rPr>
        <w:t>备</w:t>
      </w:r>
      <w:r>
        <w:rPr>
          <w:rFonts w:hint="eastAsia" w:ascii="仿宋" w:hAnsi="仿宋" w:eastAsia="仿宋" w:cs="仿宋"/>
          <w:b/>
          <w:color w:val="000000" w:themeColor="text1"/>
          <w:szCs w:val="24"/>
          <w:highlight w:val="none"/>
          <w14:textFill>
            <w14:solidFill>
              <w14:schemeClr w14:val="tx1"/>
            </w14:solidFill>
          </w14:textFill>
        </w:rPr>
        <w:t>注：</w:t>
      </w:r>
      <w:r>
        <w:rPr>
          <w:rFonts w:hint="eastAsia" w:ascii="仿宋" w:hAnsi="仿宋" w:eastAsia="仿宋" w:cs="仿宋"/>
          <w:color w:val="000000" w:themeColor="text1"/>
          <w:szCs w:val="24"/>
          <w:highlight w:val="none"/>
          <w14:textFill>
            <w14:solidFill>
              <w14:schemeClr w14:val="tx1"/>
            </w14:solidFill>
          </w14:textFill>
        </w:rPr>
        <w:t>投标人编制投标文件（商务技术文件部分）时，建议按此目录（序号和内容）提供评标标准相应的商务技术资料。</w:t>
      </w:r>
    </w:p>
    <w:p>
      <w:pPr>
        <w:pStyle w:val="24"/>
        <w:keepNext w:val="0"/>
        <w:keepLines w:val="0"/>
        <w:pageBreakBefore w:val="0"/>
        <w:widowControl w:val="0"/>
        <w:kinsoku/>
        <w:wordWrap/>
        <w:overflowPunct/>
        <w:topLinePunct w:val="0"/>
        <w:bidi w:val="0"/>
        <w:adjustRightInd w:val="0"/>
        <w:snapToGrid/>
        <w:spacing w:line="440" w:lineRule="exact"/>
        <w:textAlignment w:val="auto"/>
        <w:rPr>
          <w:rFonts w:ascii="仿宋" w:hAnsi="仿宋" w:eastAsia="仿宋" w:cs="仿宋"/>
          <w:b/>
          <w:bCs/>
          <w:iCs/>
          <w:color w:val="000000" w:themeColor="text1"/>
          <w:sz w:val="24"/>
          <w:highlight w:val="none"/>
          <w14:textFill>
            <w14:solidFill>
              <w14:schemeClr w14:val="tx1"/>
            </w14:solidFill>
          </w14:textFill>
        </w:rPr>
      </w:pPr>
      <w:r>
        <w:rPr>
          <w:rFonts w:hint="eastAsia" w:ascii="仿宋" w:hAnsi="仿宋" w:eastAsia="仿宋" w:cs="仿宋"/>
          <w:b/>
          <w:bCs/>
          <w:iCs/>
          <w:color w:val="000000" w:themeColor="text1"/>
          <w:sz w:val="24"/>
          <w:highlight w:val="none"/>
          <w14:textFill>
            <w14:solidFill>
              <w14:schemeClr w14:val="tx1"/>
            </w14:solidFill>
          </w14:textFill>
        </w:rPr>
        <w:t>2.2价格分（</w:t>
      </w:r>
      <w:r>
        <w:rPr>
          <w:rFonts w:hint="eastAsia" w:ascii="仿宋" w:hAnsi="仿宋" w:eastAsia="仿宋" w:cs="仿宋"/>
          <w:b/>
          <w:bCs/>
          <w:iCs/>
          <w:color w:val="000000" w:themeColor="text1"/>
          <w:sz w:val="24"/>
          <w:highlight w:val="none"/>
          <w:u w:val="single"/>
          <w:lang w:val="en-US" w:eastAsia="zh-CN"/>
          <w14:textFill>
            <w14:solidFill>
              <w14:schemeClr w14:val="tx1"/>
            </w14:solidFill>
          </w14:textFill>
        </w:rPr>
        <w:t>4</w:t>
      </w:r>
      <w:r>
        <w:rPr>
          <w:rFonts w:hint="eastAsia" w:ascii="仿宋" w:hAnsi="仿宋" w:eastAsia="仿宋" w:cs="仿宋"/>
          <w:b/>
          <w:bCs/>
          <w:iCs/>
          <w:color w:val="000000" w:themeColor="text1"/>
          <w:sz w:val="24"/>
          <w:highlight w:val="none"/>
          <w:u w:val="single"/>
          <w14:textFill>
            <w14:solidFill>
              <w14:schemeClr w14:val="tx1"/>
            </w14:solidFill>
          </w14:textFill>
        </w:rPr>
        <w:t>0</w:t>
      </w:r>
      <w:r>
        <w:rPr>
          <w:rFonts w:hint="eastAsia" w:ascii="仿宋" w:hAnsi="仿宋" w:eastAsia="仿宋" w:cs="仿宋"/>
          <w:b/>
          <w:bCs/>
          <w:iCs/>
          <w:color w:val="000000" w:themeColor="text1"/>
          <w:sz w:val="24"/>
          <w:highlight w:val="none"/>
          <w14:textFill>
            <w14:solidFill>
              <w14:schemeClr w14:val="tx1"/>
            </w14:solidFill>
          </w14:textFill>
        </w:rPr>
        <w:t>分）</w:t>
      </w:r>
    </w:p>
    <w:p>
      <w:pPr>
        <w:keepNext w:val="0"/>
        <w:keepLines w:val="0"/>
        <w:pageBreakBefore w:val="0"/>
        <w:widowControl w:val="0"/>
        <w:kinsoku/>
        <w:wordWrap/>
        <w:overflowPunct/>
        <w:topLinePunct w:val="0"/>
        <w:bidi w:val="0"/>
        <w:adjustRightInd w:val="0"/>
        <w:snapToGrid/>
        <w:spacing w:line="440" w:lineRule="exact"/>
        <w:textAlignment w:val="auto"/>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2.2.1评标基准价：即满足招标文件要求且投标价格最低的投标报价为评标基准价，其价格分为满分。</w:t>
      </w:r>
    </w:p>
    <w:p>
      <w:pPr>
        <w:keepNext w:val="0"/>
        <w:keepLines w:val="0"/>
        <w:pageBreakBefore w:val="0"/>
        <w:widowControl w:val="0"/>
        <w:kinsoku/>
        <w:wordWrap/>
        <w:overflowPunct/>
        <w:topLinePunct w:val="0"/>
        <w:bidi w:val="0"/>
        <w:adjustRightInd w:val="0"/>
        <w:snapToGrid/>
        <w:spacing w:line="440" w:lineRule="exact"/>
        <w:textAlignment w:val="auto"/>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2.2.2其他投标人的价格分统一按照下列公式计算：</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napToGrid/>
        <w:spacing w:line="440" w:lineRule="exact"/>
        <w:textAlignment w:val="auto"/>
        <w:rPr>
          <w:rFonts w:ascii="仿宋" w:hAnsi="仿宋" w:eastAsia="仿宋" w:cs="仿宋"/>
          <w:bCs/>
          <w:iCs/>
          <w:color w:val="000000" w:themeColor="text1"/>
          <w:sz w:val="24"/>
          <w:highlight w:val="none"/>
          <w14:textFill>
            <w14:solidFill>
              <w14:schemeClr w14:val="tx1"/>
            </w14:solidFill>
          </w14:textFill>
        </w:rPr>
      </w:pPr>
      <w:r>
        <w:rPr>
          <w:rFonts w:hint="eastAsia" w:ascii="仿宋" w:hAnsi="仿宋" w:eastAsia="仿宋" w:cs="仿宋"/>
          <w:bCs/>
          <w:iCs/>
          <w:color w:val="000000" w:themeColor="text1"/>
          <w:sz w:val="24"/>
          <w:highlight w:val="none"/>
          <w14:textFill>
            <w14:solidFill>
              <w14:schemeClr w14:val="tx1"/>
            </w14:solidFill>
          </w14:textFill>
        </w:rPr>
        <w:t>投标报价得分=(评标基准价／投标报价)×价格权值×100</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napToGrid/>
        <w:spacing w:line="440" w:lineRule="exact"/>
        <w:textAlignment w:val="auto"/>
        <w:rPr>
          <w:rFonts w:ascii="仿宋" w:hAnsi="仿宋" w:eastAsia="仿宋" w:cs="仿宋"/>
          <w:b/>
          <w:sz w:val="36"/>
          <w:szCs w:val="20"/>
        </w:rPr>
      </w:pPr>
      <w:r>
        <w:rPr>
          <w:rFonts w:hint="eastAsia" w:ascii="仿宋" w:hAnsi="仿宋" w:eastAsia="仿宋" w:cs="仿宋"/>
          <w:bCs/>
          <w:iCs/>
          <w:color w:val="000000" w:themeColor="text1"/>
          <w:sz w:val="24"/>
          <w:highlight w:val="none"/>
          <w14:textFill>
            <w14:solidFill>
              <w14:schemeClr w14:val="tx1"/>
            </w14:solidFill>
          </w14:textFill>
        </w:rPr>
        <w:t>即：投标报价得分=(评标基准价／投标报价)×</w:t>
      </w:r>
      <w:r>
        <w:rPr>
          <w:rFonts w:hint="eastAsia" w:ascii="仿宋" w:hAnsi="仿宋" w:eastAsia="仿宋" w:cs="仿宋"/>
          <w:bCs/>
          <w:iCs/>
          <w:color w:val="000000" w:themeColor="text1"/>
          <w:sz w:val="24"/>
          <w:highlight w:val="none"/>
          <w:lang w:val="en-US" w:eastAsia="zh-CN"/>
          <w14:textFill>
            <w14:solidFill>
              <w14:schemeClr w14:val="tx1"/>
            </w14:solidFill>
          </w14:textFill>
        </w:rPr>
        <w:t>4</w:t>
      </w:r>
      <w:r>
        <w:rPr>
          <w:rFonts w:ascii="仿宋" w:hAnsi="仿宋" w:eastAsia="仿宋" w:cs="仿宋"/>
          <w:bCs/>
          <w:iCs/>
          <w:color w:val="000000" w:themeColor="text1"/>
          <w:sz w:val="24"/>
          <w:highlight w:val="none"/>
          <w14:textFill>
            <w14:solidFill>
              <w14:schemeClr w14:val="tx1"/>
            </w14:solidFill>
          </w14:textFill>
        </w:rPr>
        <w:t>0</w:t>
      </w:r>
      <w:bookmarkEnd w:id="42"/>
      <w:bookmarkEnd w:id="43"/>
    </w:p>
    <w:p>
      <w:pPr>
        <w:rPr>
          <w:rFonts w:ascii="仿宋" w:hAnsi="仿宋" w:eastAsia="仿宋" w:cs="仿宋"/>
          <w:b/>
          <w:sz w:val="36"/>
          <w:szCs w:val="20"/>
        </w:rPr>
      </w:pPr>
      <w:r>
        <w:rPr>
          <w:rFonts w:hint="eastAsia" w:ascii="仿宋" w:hAnsi="仿宋" w:eastAsia="仿宋" w:cs="仿宋"/>
          <w:b/>
          <w:sz w:val="36"/>
          <w:szCs w:val="20"/>
        </w:rPr>
        <w:br w:type="page"/>
      </w: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4"/>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2"/>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8"/>
        <w:spacing w:line="336" w:lineRule="auto"/>
        <w:ind w:left="0" w:firstLine="0" w:firstLineChars="0"/>
        <w:rPr>
          <w:rFonts w:ascii="仿宋" w:eastAsia="仿宋" w:cs="仿宋"/>
        </w:rPr>
      </w:pPr>
      <w:r>
        <w:rPr>
          <w:rFonts w:hint="eastAsia" w:ascii="仿宋" w:eastAsia="仿宋" w:cs="仿宋"/>
        </w:rPr>
        <w:t>（1）投标函……………………………………………………………………………（页码）</w:t>
      </w:r>
    </w:p>
    <w:p>
      <w:pPr>
        <w:pStyle w:val="908"/>
        <w:spacing w:line="336" w:lineRule="auto"/>
        <w:ind w:left="0" w:firstLine="0" w:firstLineChars="0"/>
        <w:rPr>
          <w:rFonts w:ascii="仿宋" w:eastAsia="仿宋" w:cs="仿宋"/>
        </w:rPr>
      </w:pPr>
      <w:r>
        <w:rPr>
          <w:rFonts w:hint="eastAsia" w:ascii="仿宋" w:eastAsia="仿宋" w:cs="仿宋"/>
        </w:rPr>
        <w:t>（2）法定代表人授权书 ……………………………………………………………（页码）</w:t>
      </w:r>
    </w:p>
    <w:p>
      <w:pPr>
        <w:pStyle w:val="908"/>
        <w:spacing w:line="336" w:lineRule="auto"/>
        <w:ind w:left="0" w:firstLine="0" w:firstLineChars="0"/>
        <w:rPr>
          <w:rFonts w:ascii="仿宋" w:eastAsia="仿宋" w:cs="仿宋"/>
        </w:rPr>
      </w:pPr>
      <w:r>
        <w:rPr>
          <w:rFonts w:hint="eastAsia" w:ascii="仿宋" w:eastAsia="仿宋" w:cs="仿宋"/>
        </w:rPr>
        <w:t>（3）授权代表社保证明………………………………………………………………（页码）</w:t>
      </w:r>
    </w:p>
    <w:p>
      <w:pPr>
        <w:pStyle w:val="908"/>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8"/>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8"/>
        <w:spacing w:line="336" w:lineRule="auto"/>
        <w:ind w:left="0" w:firstLine="0" w:firstLineChars="0"/>
        <w:rPr>
          <w:rFonts w:ascii="仿宋" w:eastAsia="仿宋" w:cs="仿宋"/>
        </w:rPr>
      </w:pPr>
      <w:r>
        <w:rPr>
          <w:rFonts w:hint="eastAsia" w:ascii="仿宋" w:eastAsia="仿宋" w:cs="仿宋"/>
        </w:rPr>
        <w:t>（6）商务技术偏离表…………………………………………………………………（页码）</w:t>
      </w:r>
    </w:p>
    <w:p>
      <w:pPr>
        <w:pStyle w:val="908"/>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8"/>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8"/>
        <w:spacing w:after="12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              </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8"/>
        <w:spacing w:after="12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sz w:val="24"/>
        </w:rPr>
      </w:pP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w:t>
      </w:r>
      <w:r>
        <w:rPr>
          <w:rFonts w:hint="eastAsia" w:ascii="仿宋" w:hAnsi="仿宋" w:eastAsia="仿宋" w:cs="仿宋"/>
          <w:sz w:val="24"/>
        </w:rPr>
        <w:t>组织的</w:t>
      </w:r>
      <w:r>
        <w:rPr>
          <w:rFonts w:hint="eastAsia" w:ascii="仿宋" w:hAnsi="仿宋" w:eastAsia="仿宋" w:cs="仿宋"/>
          <w:sz w:val="24"/>
          <w:u w:val="single"/>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1"/>
        <w:rPr>
          <w:rFonts w:ascii="仿宋" w:hAnsi="仿宋" w:eastAsia="仿宋" w:cs="仿宋"/>
          <w:b/>
        </w:rPr>
      </w:pPr>
    </w:p>
    <w:p>
      <w:pPr>
        <w:pStyle w:val="81"/>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05pt;width:443.55pt;" o:ole="t" filled="f" o:preferrelative="t" stroked="f" coordsize="21600,21600">
            <v:path/>
            <v:fill on="f" focussize="0,0"/>
            <v:stroke on="f" joinstyle="miter"/>
            <v:imagedata r:id="rId29" o:title=""/>
            <o:lock v:ext="edit" aspectratio="t"/>
            <w10:wrap type="none"/>
            <w10:anchorlock/>
          </v:shape>
          <o:OLEObject Type="Embed" ProgID="Package" ShapeID="_x0000_i1025" DrawAspect="Content" ObjectID="_1468075725" r:id="rId28">
            <o:LockedField>false</o:LockedField>
          </o:OLEObject>
        </w:object>
      </w:r>
      <w:r>
        <w:rPr>
          <w:rFonts w:hint="eastAsia" w:ascii="仿宋" w:hAnsi="仿宋" w:eastAsia="仿宋" w:cs="仿宋"/>
          <w:b/>
          <w:kern w:val="0"/>
          <w:sz w:val="28"/>
          <w:szCs w:val="28"/>
        </w:rPr>
        <w:object>
          <v:shape id="_x0000_i1026" o:spt="75" type="#_x0000_t75" style="height:42.05pt;width:440.95pt;" o:ole="t" filled="f" o:preferrelative="t" stroked="f" coordsize="21600,21600">
            <v:path/>
            <v:fill on="f" focussize="0,0"/>
            <v:stroke on="f" joinstyle="miter"/>
            <v:imagedata r:id="rId31" o:title=""/>
            <o:lock v:ext="edit" aspectratio="t"/>
            <w10:wrap type="none"/>
            <w10:anchorlock/>
          </v:shape>
          <o:OLEObject Type="Embed" ProgID="Package" ShapeID="_x0000_i1026" DrawAspect="Content" ObjectID="_1468075726" r:id="rId30">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工作日</w:t>
            </w:r>
          </w:p>
          <w:p>
            <w:pPr>
              <w:rPr>
                <w:rFonts w:ascii="仿宋" w:hAnsi="仿宋" w:eastAsia="仿宋" w:cs="仿宋"/>
                <w:sz w:val="24"/>
              </w:rPr>
            </w:pPr>
            <w:r>
              <w:rPr>
                <w:rFonts w:hint="eastAsia" w:ascii="仿宋" w:hAnsi="仿宋" w:eastAsia="仿宋" w:cs="仿宋"/>
                <w:sz w:val="24"/>
              </w:rPr>
              <w:t>内容</w:t>
            </w:r>
          </w:p>
        </w:tc>
        <w:tc>
          <w:tcPr>
            <w:tcW w:w="552" w:type="dxa"/>
            <w:vAlign w:val="center"/>
          </w:tcPr>
          <w:p>
            <w:pPr>
              <w:rPr>
                <w:rFonts w:ascii="仿宋" w:hAnsi="仿宋" w:eastAsia="仿宋" w:cs="仿宋"/>
                <w:sz w:val="24"/>
              </w:rPr>
            </w:pPr>
            <w:r>
              <w:rPr>
                <w:rFonts w:hint="eastAsia" w:ascii="仿宋" w:hAnsi="仿宋" w:eastAsia="仿宋" w:cs="仿宋"/>
                <w:sz w:val="24"/>
              </w:rPr>
              <w:t>1</w:t>
            </w:r>
          </w:p>
        </w:tc>
        <w:tc>
          <w:tcPr>
            <w:tcW w:w="552" w:type="dxa"/>
            <w:vAlign w:val="center"/>
          </w:tcPr>
          <w:p>
            <w:pPr>
              <w:rPr>
                <w:rFonts w:ascii="仿宋" w:hAnsi="仿宋" w:eastAsia="仿宋" w:cs="仿宋"/>
                <w:sz w:val="24"/>
              </w:rPr>
            </w:pPr>
            <w:r>
              <w:rPr>
                <w:rFonts w:hint="eastAsia" w:ascii="仿宋" w:hAnsi="仿宋" w:eastAsia="仿宋" w:cs="仿宋"/>
                <w:sz w:val="24"/>
              </w:rPr>
              <w:t>2</w:t>
            </w:r>
          </w:p>
        </w:tc>
        <w:tc>
          <w:tcPr>
            <w:tcW w:w="552" w:type="dxa"/>
            <w:vAlign w:val="center"/>
          </w:tcPr>
          <w:p>
            <w:pPr>
              <w:rPr>
                <w:rFonts w:ascii="仿宋" w:hAnsi="仿宋" w:eastAsia="仿宋" w:cs="仿宋"/>
                <w:sz w:val="24"/>
              </w:rPr>
            </w:pPr>
            <w:r>
              <w:rPr>
                <w:rFonts w:hint="eastAsia" w:ascii="仿宋" w:hAnsi="仿宋" w:eastAsia="仿宋" w:cs="仿宋"/>
                <w:sz w:val="24"/>
              </w:rPr>
              <w:t>3</w:t>
            </w:r>
          </w:p>
        </w:tc>
        <w:tc>
          <w:tcPr>
            <w:tcW w:w="552" w:type="dxa"/>
            <w:vAlign w:val="center"/>
          </w:tcPr>
          <w:p>
            <w:pPr>
              <w:rPr>
                <w:rFonts w:ascii="仿宋" w:hAnsi="仿宋" w:eastAsia="仿宋" w:cs="仿宋"/>
                <w:sz w:val="24"/>
              </w:rPr>
            </w:pPr>
            <w:r>
              <w:rPr>
                <w:rFonts w:hint="eastAsia" w:ascii="仿宋" w:hAnsi="仿宋" w:eastAsia="仿宋" w:cs="仿宋"/>
                <w:sz w:val="24"/>
              </w:rPr>
              <w:t>4</w:t>
            </w:r>
          </w:p>
        </w:tc>
        <w:tc>
          <w:tcPr>
            <w:tcW w:w="552" w:type="dxa"/>
            <w:vAlign w:val="center"/>
          </w:tcPr>
          <w:p>
            <w:pPr>
              <w:rPr>
                <w:rFonts w:ascii="仿宋" w:hAnsi="仿宋" w:eastAsia="仿宋" w:cs="仿宋"/>
                <w:sz w:val="24"/>
              </w:rPr>
            </w:pPr>
            <w:r>
              <w:rPr>
                <w:rFonts w:hint="eastAsia" w:ascii="仿宋" w:hAnsi="仿宋" w:eastAsia="仿宋" w:cs="仿宋"/>
                <w:sz w:val="24"/>
              </w:rPr>
              <w:t>5</w:t>
            </w:r>
          </w:p>
        </w:tc>
        <w:tc>
          <w:tcPr>
            <w:tcW w:w="552" w:type="dxa"/>
            <w:vAlign w:val="center"/>
          </w:tcPr>
          <w:p>
            <w:pPr>
              <w:rPr>
                <w:rFonts w:ascii="仿宋" w:hAnsi="仿宋" w:eastAsia="仿宋" w:cs="仿宋"/>
                <w:sz w:val="24"/>
              </w:rPr>
            </w:pPr>
            <w:r>
              <w:rPr>
                <w:rFonts w:hint="eastAsia" w:ascii="仿宋" w:hAnsi="仿宋" w:eastAsia="仿宋" w:cs="仿宋"/>
                <w:sz w:val="24"/>
              </w:rPr>
              <w:t>6</w:t>
            </w:r>
          </w:p>
        </w:tc>
        <w:tc>
          <w:tcPr>
            <w:tcW w:w="553" w:type="dxa"/>
            <w:vAlign w:val="center"/>
          </w:tcPr>
          <w:p>
            <w:pPr>
              <w:rPr>
                <w:rFonts w:ascii="仿宋" w:hAnsi="仿宋" w:eastAsia="仿宋" w:cs="仿宋"/>
                <w:sz w:val="24"/>
              </w:rPr>
            </w:pPr>
            <w:r>
              <w:rPr>
                <w:rFonts w:hint="eastAsia" w:ascii="仿宋" w:hAnsi="仿宋" w:eastAsia="仿宋" w:cs="仿宋"/>
                <w:sz w:val="24"/>
              </w:rPr>
              <w:t>7</w:t>
            </w:r>
          </w:p>
        </w:tc>
        <w:tc>
          <w:tcPr>
            <w:tcW w:w="553" w:type="dxa"/>
            <w:vAlign w:val="center"/>
          </w:tcPr>
          <w:p>
            <w:pPr>
              <w:rPr>
                <w:rFonts w:ascii="仿宋" w:hAnsi="仿宋" w:eastAsia="仿宋" w:cs="仿宋"/>
                <w:sz w:val="24"/>
              </w:rPr>
            </w:pPr>
            <w:r>
              <w:rPr>
                <w:rFonts w:hint="eastAsia" w:ascii="仿宋" w:hAnsi="仿宋" w:eastAsia="仿宋" w:cs="仿宋"/>
                <w:sz w:val="24"/>
              </w:rPr>
              <w:t>8</w:t>
            </w:r>
          </w:p>
        </w:tc>
        <w:tc>
          <w:tcPr>
            <w:tcW w:w="553" w:type="dxa"/>
            <w:vAlign w:val="center"/>
          </w:tcPr>
          <w:p>
            <w:pPr>
              <w:rPr>
                <w:rFonts w:ascii="仿宋" w:hAnsi="仿宋" w:eastAsia="仿宋" w:cs="仿宋"/>
                <w:sz w:val="24"/>
              </w:rPr>
            </w:pPr>
            <w:r>
              <w:rPr>
                <w:rFonts w:hint="eastAsia" w:ascii="仿宋" w:hAnsi="仿宋" w:eastAsia="仿宋" w:cs="仿宋"/>
                <w:sz w:val="24"/>
              </w:rPr>
              <w:t>9</w:t>
            </w:r>
          </w:p>
        </w:tc>
        <w:tc>
          <w:tcPr>
            <w:tcW w:w="553" w:type="dxa"/>
            <w:vAlign w:val="center"/>
          </w:tcPr>
          <w:p>
            <w:pPr>
              <w:rPr>
                <w:rFonts w:ascii="仿宋" w:hAnsi="仿宋" w:eastAsia="仿宋" w:cs="仿宋"/>
                <w:sz w:val="24"/>
              </w:rPr>
            </w:pPr>
            <w:r>
              <w:rPr>
                <w:rFonts w:hint="eastAsia" w:ascii="仿宋" w:hAnsi="仿宋" w:eastAsia="仿宋" w:cs="仿宋"/>
                <w:sz w:val="24"/>
              </w:rPr>
              <w:t>10</w:t>
            </w:r>
          </w:p>
        </w:tc>
        <w:tc>
          <w:tcPr>
            <w:tcW w:w="553" w:type="dxa"/>
            <w:vAlign w:val="center"/>
          </w:tcPr>
          <w:p>
            <w:pPr>
              <w:rPr>
                <w:rFonts w:ascii="仿宋" w:hAnsi="仿宋" w:eastAsia="仿宋" w:cs="仿宋"/>
                <w:sz w:val="24"/>
              </w:rPr>
            </w:pPr>
            <w:r>
              <w:rPr>
                <w:rFonts w:hint="eastAsia" w:ascii="仿宋" w:hAnsi="仿宋" w:eastAsia="仿宋" w:cs="仿宋"/>
                <w:sz w:val="24"/>
              </w:rPr>
              <w:t>11</w:t>
            </w:r>
          </w:p>
        </w:tc>
        <w:tc>
          <w:tcPr>
            <w:tcW w:w="553" w:type="dxa"/>
            <w:vAlign w:val="center"/>
          </w:tcPr>
          <w:p>
            <w:pPr>
              <w:rPr>
                <w:rFonts w:ascii="仿宋" w:hAnsi="仿宋" w:eastAsia="仿宋" w:cs="仿宋"/>
                <w:sz w:val="24"/>
              </w:rPr>
            </w:pPr>
            <w:r>
              <w:rPr>
                <w:rFonts w:hint="eastAsia" w:ascii="仿宋" w:hAnsi="仿宋" w:eastAsia="仿宋" w:cs="仿宋"/>
                <w:sz w:val="24"/>
              </w:rPr>
              <w:t>12</w:t>
            </w:r>
          </w:p>
        </w:tc>
        <w:tc>
          <w:tcPr>
            <w:tcW w:w="553" w:type="dxa"/>
            <w:vAlign w:val="center"/>
          </w:tcPr>
          <w:p>
            <w:pPr>
              <w:rPr>
                <w:rFonts w:ascii="仿宋" w:hAnsi="仿宋" w:eastAsia="仿宋" w:cs="仿宋"/>
                <w:sz w:val="24"/>
              </w:rPr>
            </w:pPr>
            <w:r>
              <w:rPr>
                <w:rFonts w:hint="eastAsia" w:ascii="仿宋" w:hAnsi="仿宋" w:eastAsia="仿宋" w:cs="仿宋"/>
                <w:sz w:val="24"/>
              </w:rPr>
              <w:t>13</w:t>
            </w:r>
          </w:p>
        </w:tc>
        <w:tc>
          <w:tcPr>
            <w:tcW w:w="553" w:type="dxa"/>
            <w:vAlign w:val="center"/>
          </w:tcPr>
          <w:p>
            <w:pPr>
              <w:rPr>
                <w:rFonts w:ascii="仿宋" w:hAnsi="仿宋" w:eastAsia="仿宋" w:cs="仿宋"/>
                <w:sz w:val="24"/>
              </w:rPr>
            </w:pPr>
            <w:r>
              <w:rPr>
                <w:rFonts w:hint="eastAsia" w:ascii="仿宋" w:hAnsi="仿宋" w:eastAsia="仿宋" w:cs="仿宋"/>
                <w:sz w:val="24"/>
              </w:rPr>
              <w:t>14</w:t>
            </w:r>
          </w:p>
        </w:tc>
        <w:tc>
          <w:tcPr>
            <w:tcW w:w="553" w:type="dxa"/>
            <w:vAlign w:val="center"/>
          </w:tcPr>
          <w:p>
            <w:pPr>
              <w:rPr>
                <w:rFonts w:ascii="仿宋" w:hAnsi="仿宋" w:eastAsia="仿宋" w:cs="仿宋"/>
                <w:sz w:val="24"/>
              </w:rPr>
            </w:pPr>
            <w:r>
              <w:rPr>
                <w:rFonts w:hint="eastAsia" w:ascii="仿宋" w:hAnsi="仿宋" w:eastAsia="仿宋" w:cs="仿宋"/>
                <w:sz w:val="24"/>
              </w:rPr>
              <w:t>15</w:t>
            </w:r>
          </w:p>
        </w:tc>
        <w:tc>
          <w:tcPr>
            <w:tcW w:w="553"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2"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c>
          <w:tcPr>
            <w:tcW w:w="553"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2"/>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2"/>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2"/>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2"/>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pPr>
        <w:pStyle w:val="83"/>
        <w:rPr>
          <w:rFonts w:ascii="仿宋" w:hAnsi="仿宋" w:eastAsia="仿宋" w:cs="仿宋"/>
        </w:rPr>
        <w:sectPr>
          <w:headerReference r:id="rId15" w:type="first"/>
          <w:footerReference r:id="rId17" w:type="first"/>
          <w:headerReference r:id="rId14" w:type="default"/>
          <w:footerReference r:id="rId16" w:type="default"/>
          <w:pgSz w:w="11906" w:h="16838"/>
          <w:pgMar w:top="1814" w:right="1474" w:bottom="1814" w:left="1474"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814" w:right="1474" w:bottom="1814" w:left="1474"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p>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95" w:name="_Hlk101259491"/>
      <w:r>
        <w:rPr>
          <w:rFonts w:hint="eastAsia" w:ascii="仿宋" w:hAnsi="仿宋" w:eastAsia="仿宋" w:cs="仿宋"/>
          <w:sz w:val="32"/>
          <w:szCs w:val="32"/>
        </w:rPr>
        <w:t>（如果有）</w:t>
      </w:r>
      <w:bookmarkEnd w:id="195"/>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rPr>
          <w:rFonts w:ascii="仿宋" w:hAnsi="仿宋" w:eastAsia="仿宋" w:cs="仿宋"/>
          <w:b/>
          <w:color w:val="auto"/>
        </w:rPr>
      </w:pPr>
    </w:p>
    <w:p>
      <w:pPr>
        <w:pStyle w:val="83"/>
        <w:rPr>
          <w:rFonts w:ascii="仿宋" w:hAnsi="仿宋" w:eastAsia="仿宋" w:cs="仿宋"/>
          <w:b/>
          <w:sz w:val="24"/>
        </w:rPr>
      </w:pPr>
    </w:p>
    <w:p>
      <w:pPr>
        <w:rPr>
          <w:rFonts w:ascii="仿宋" w:hAnsi="仿宋" w:eastAsia="仿宋" w:cs="仿宋"/>
          <w:b/>
          <w:sz w:val="24"/>
        </w:rPr>
      </w:pPr>
    </w:p>
    <w:p>
      <w:pPr>
        <w:pStyle w:val="82"/>
        <w:rPr>
          <w:rFonts w:ascii="仿宋" w:hAnsi="仿宋" w:eastAsia="仿宋" w:cs="仿宋"/>
          <w:b/>
          <w:color w:val="auto"/>
        </w:rPr>
      </w:pPr>
    </w:p>
    <w:p>
      <w:pPr>
        <w:pStyle w:val="83"/>
        <w:rPr>
          <w:rFonts w:ascii="仿宋" w:hAnsi="仿宋" w:eastAsia="仿宋" w:cs="仿宋"/>
        </w:rPr>
      </w:pPr>
    </w:p>
    <w:p>
      <w:pPr>
        <w:pStyle w:val="83"/>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2"/>
        <w:widowControl/>
        <w:spacing w:line="360" w:lineRule="auto"/>
        <w:ind w:firstLine="120" w:firstLineChars="50"/>
        <w:rPr>
          <w:rFonts w:ascii="仿宋" w:hAnsi="仿宋" w:eastAsia="仿宋" w:cs="仿宋"/>
          <w:b/>
          <w:color w:val="FF0000"/>
        </w:rPr>
      </w:pPr>
    </w:p>
    <w:p>
      <w:pPr>
        <w:pStyle w:val="83"/>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96" w:name="_Toc465665161"/>
      <w:r>
        <w:rPr>
          <w:rFonts w:hint="eastAsia" w:ascii="仿宋" w:hAnsi="仿宋" w:eastAsia="仿宋" w:cs="仿宋"/>
        </w:rPr>
        <w:t>附件</w:t>
      </w:r>
      <w:bookmarkEnd w:id="196"/>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288"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pPr>
        <w:spacing w:line="288"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u w:val="dotted"/>
        </w:rPr>
        <w:t xml:space="preserve">                                                      </w:t>
      </w: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288" w:lineRule="auto"/>
        <w:rPr>
          <w:rFonts w:ascii="仿宋" w:hAnsi="仿宋" w:eastAsia="仿宋" w:cs="仿宋"/>
          <w:sz w:val="24"/>
          <w:u w:val="single"/>
        </w:rPr>
      </w:pPr>
      <w:r>
        <w:rPr>
          <w:rFonts w:hint="eastAsia" w:ascii="仿宋" w:hAnsi="仿宋" w:eastAsia="仿宋" w:cs="仿宋"/>
          <w:sz w:val="24"/>
        </w:rPr>
        <w:t xml:space="preserve">                                                                                                    </w:t>
      </w: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pStyle w:val="82"/>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25"/>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97"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97"/>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9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98"/>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99" w:name="OLE_LINK14"/>
      <w:bookmarkStart w:id="200" w:name="OLE_LINK13"/>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99"/>
    <w:bookmarkEnd w:id="200"/>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4"/>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Arial Unicode MS"/>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2"/>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L0ta/c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972185" cy="147955"/>
              <wp:effectExtent l="0" t="0" r="0" b="0"/>
              <wp:wrapNone/>
              <wp:docPr id="8" name="文本框 8"/>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848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C0jmjo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972185" cy="147955"/>
              <wp:effectExtent l="0" t="0" r="0" b="0"/>
              <wp:wrapNone/>
              <wp:docPr id="9" name="文本框 9"/>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950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FHs+bwxAgAAUw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972185" cy="1479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7052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z6lyzDA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xfGZ0gAAAAQBAAAPAAAAAAAAAAEAIAAAACIAAABkcnMvZG93bnJldi54bWxQSwECFAAU&#10;AAAACACHTuJAz6lyzDACAABVBAAADgAAAAAAAAABACAAAAAh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972185" cy="14795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bookmarkStart w:id="201" w:name="_Toc36110187"/>
                          <w:bookmarkStart w:id="202" w:name="_Toc91899912"/>
                          <w:bookmarkStart w:id="203" w:name="_Toc164085800"/>
                          <w:bookmarkStart w:id="204" w:name="_Toc131845147"/>
                          <w:r>
                            <w:rPr>
                              <w:rFonts w:hint="eastAsia" w:ascii="仿宋_GB2312" w:eastAsia="仿宋_GB2312"/>
                              <w:kern w:val="0"/>
                              <w:szCs w:val="21"/>
                            </w:rPr>
                            <w:t xml:space="preserve"> 页</w:t>
                          </w:r>
                          <w:bookmarkEnd w:id="201"/>
                          <w:bookmarkEnd w:id="202"/>
                          <w:bookmarkEnd w:id="203"/>
                          <w:bookmarkEnd w:id="204"/>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7155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JGwwFkxAgAAVQQAAA4AAAAAAAAAAQAgAAAAIQEAAGRycy9lMm9Eb2MueG1sUEsF&#10;BgAAAAAGAAYAWQEAAMQFA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99</w:t>
                    </w:r>
                    <w:r>
                      <w:rPr>
                        <w:rFonts w:hint="eastAsia" w:ascii="仿宋_GB2312" w:eastAsia="仿宋_GB2312"/>
                        <w:kern w:val="0"/>
                        <w:szCs w:val="21"/>
                      </w:rPr>
                      <w:fldChar w:fldCharType="end"/>
                    </w:r>
                    <w:bookmarkStart w:id="201" w:name="_Toc36110187"/>
                    <w:bookmarkStart w:id="202" w:name="_Toc91899912"/>
                    <w:bookmarkStart w:id="203" w:name="_Toc164085800"/>
                    <w:bookmarkStart w:id="204" w:name="_Toc131845147"/>
                    <w:r>
                      <w:rPr>
                        <w:rFonts w:hint="eastAsia" w:ascii="仿宋_GB2312" w:eastAsia="仿宋_GB2312"/>
                        <w:kern w:val="0"/>
                        <w:szCs w:val="21"/>
                      </w:rPr>
                      <w:t xml:space="preserve"> 页</w:t>
                    </w:r>
                    <w:bookmarkEnd w:id="201"/>
                    <w:bookmarkEnd w:id="202"/>
                    <w:bookmarkEnd w:id="203"/>
                    <w:bookmarkEnd w:id="204"/>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915035" cy="301625"/>
              <wp:effectExtent l="0" t="0" r="0" b="0"/>
              <wp:wrapNone/>
              <wp:docPr id="2" name="文本框 2"/>
              <wp:cNvGraphicFramePr/>
              <a:graphic xmlns:a="http://schemas.openxmlformats.org/drawingml/2006/main">
                <a:graphicData uri="http://schemas.microsoft.com/office/word/2010/wordprocessingShape">
                  <wps:wsp>
                    <wps:cNvSpPr txBox="1"/>
                    <wps:spPr>
                      <a:xfrm>
                        <a:off x="0" y="0"/>
                        <a:ext cx="915035" cy="301625"/>
                      </a:xfrm>
                      <a:prstGeom prst="rect">
                        <a:avLst/>
                      </a:prstGeom>
                      <a:noFill/>
                      <a:ln w="6350">
                        <a:noFill/>
                      </a:ln>
                    </wps:spPr>
                    <wps:txbx>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75pt;width:72.05pt;mso-position-horizontal:center;mso-position-horizontal-relative:margin;mso-wrap-style:none;z-index:251662336;mso-width-relative:page;mso-height-relative:page;" filled="f" stroked="f" coordsize="21600,21600" o:gfxdata="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7CvPb0gAAAAQBAAAPAAAAAAAAAAEAIAAAACIAAABkcnMvZG93bnJldi54bWxQSwECFAAU&#10;AAAACACHTuJAusMsYTACAABTBAAADgAAAAAAAAABACAAAAAhAQAAZHJzL2Uyb0RvYy54bWxQSwUG&#10;AAAAAAYABgBZAQAAwwUAAAAA&#10;">
              <v:fill on="f" focussize="0,0"/>
              <v:stroke on="f" weight="0.5pt"/>
              <v:imagedata o:title=""/>
              <o:lock v:ext="edit" aspectratio="f"/>
              <v:textbox inset="0mm,0mm,0mm,0mm" style="mso-fit-shape-to-text:t;">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3</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15035" cy="301625"/>
              <wp:effectExtent l="0" t="0" r="0" b="0"/>
              <wp:wrapNone/>
              <wp:docPr id="4" name="文本框 4"/>
              <wp:cNvGraphicFramePr/>
              <a:graphic xmlns:a="http://schemas.openxmlformats.org/drawingml/2006/main">
                <a:graphicData uri="http://schemas.microsoft.com/office/word/2010/wordprocessingShape">
                  <wps:wsp>
                    <wps:cNvSpPr txBox="1"/>
                    <wps:spPr>
                      <a:xfrm>
                        <a:off x="0" y="0"/>
                        <a:ext cx="915035" cy="301625"/>
                      </a:xfrm>
                      <a:prstGeom prst="rect">
                        <a:avLst/>
                      </a:prstGeom>
                      <a:noFill/>
                      <a:ln w="6350">
                        <a:noFill/>
                      </a:ln>
                    </wps:spPr>
                    <wps:txbx>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75pt;width:72.05pt;mso-position-horizontal:center;mso-position-horizontal-relative:margin;mso-wrap-style:none;z-index:251664384;mso-width-relative:page;mso-height-relative:page;" filled="f" stroked="f" coordsize="21600,21600" o:gfxdata="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wrz29IAAAAEAQAADwAAAAAAAAABACAAAAAiAAAAZHJzL2Rvd25yZXYueG1sUEsBAhQA&#10;FAAAAAgAh07iQDBshsIxAgAAUwQAAA4AAAAAAAAAAQAgAAAAIQEAAGRycy9lMm9Eb2MueG1sUEsF&#10;BgAAAAAGAAYAWQEAAMQFAAAAAA==&#10;">
              <v:fill on="f" focussize="0,0"/>
              <v:stroke on="f" weight="0.5pt"/>
              <v:imagedata o:title=""/>
              <o:lock v:ext="edit" aspectratio="f"/>
              <v:textbox inset="0mm,0mm,0mm,0mm" style="mso-fit-shape-to-text:t;">
                <w:txbxContent>
                  <w:p>
                    <w:pPr>
                      <w:pStyle w:val="42"/>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857885" cy="147955"/>
              <wp:effectExtent l="0" t="0" r="0" b="0"/>
              <wp:wrapNone/>
              <wp:docPr id="5" name="文本框 5"/>
              <wp:cNvGraphicFramePr/>
              <a:graphic xmlns:a="http://schemas.openxmlformats.org/drawingml/2006/main">
                <a:graphicData uri="http://schemas.microsoft.com/office/word/2010/wordprocessingShape">
                  <wps:wsp>
                    <wps:cNvSpPr txBox="1"/>
                    <wps:spPr>
                      <a:xfrm>
                        <a:off x="0" y="0"/>
                        <a:ext cx="8578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67.55pt;mso-position-horizontal:center;mso-position-horizontal-relative:margin;mso-wrap-style:none;z-index:251665408;mso-width-relative:page;mso-height-relative:page;" filled="f" stroked="f" coordsize="21600,21600" o:gfxdata="UEsDBAoAAAAAAIdO4kAAAAAAAAAAAAAAAAAEAAAAZHJzL1BLAwQUAAAACACHTuJAlxssD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JcbLA3SAAAABAEAAA8AAAAAAAAAAQAgAAAAIgAAAGRycy9kb3ducmV2LnhtbFBLAQIUABQA&#10;AAAIAIdO4kDvUHiYLwIAAFMEAAAOAAAAAAAAAAEAIAAAACEBAABkcnMvZTJvRG9jLnhtbFBLBQYA&#10;AAAABgAGAFkBAADCBQ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6"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xfGZ0gAAAAQBAAAPAAAAAAAAAAEAIAAAACIAAABkcnMvZG93bnJldi54bWxQSwECFAAU&#10;AAAACACHTuJAweIIcTACAABTBAAADgAAAAAAAAABACAAAAAhAQAAZHJzL2Uyb0RvYy54bWxQSwUG&#10;AAAAAAYABgBZAQAAwwUAAAAA&#10;">
              <v:fill on="f" focussize="0,0"/>
              <v:stroke on="f" weight="0.5pt"/>
              <v:imagedata o:title=""/>
              <o:lock v:ext="edit" aspectratio="f"/>
              <v:textbox inset="0mm,0mm,0mm,0mm" style="mso-fit-shape-to-text:t;">
                <w:txbxContent>
                  <w:p>
                    <w:pPr>
                      <w:pStyle w:val="42"/>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99</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 w:hAnsi="仿宋" w:eastAsia="仿宋" w:cs="仿宋"/>
        <w:i/>
        <w:u w:val="single"/>
      </w:rPr>
    </w:pPr>
    <w:r>
      <w:t></w:t>
    </w: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YH</w:t>
    </w:r>
    <w:r>
      <w:rPr>
        <w:rFonts w:hint="eastAsia" w:ascii="仿宋" w:hAnsi="仿宋" w:eastAsia="仿宋" w:cs="仿宋"/>
      </w:rPr>
      <w:t>202</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01013-1</w:t>
    </w:r>
    <w:r>
      <w:rPr>
        <w:rFonts w:hint="eastAsia" w:ascii="仿宋" w:hAnsi="仿宋" w:eastAsia="仿宋" w:cs="仿宋"/>
      </w:rPr>
      <w:t xml:space="preserve">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耀华建设管理有限公司</w:t>
    </w:r>
    <w:r>
      <w:rPr>
        <w:rFonts w:hint="eastAsia"/>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eastAsia="zh-CN"/>
      </w:rPr>
      <w:t>YH202</w:t>
    </w:r>
    <w:r>
      <w:rPr>
        <w:rFonts w:hint="eastAsia" w:ascii="仿宋" w:hAnsi="仿宋" w:eastAsia="仿宋" w:cs="仿宋"/>
        <w:lang w:val="en-US" w:eastAsia="zh-CN"/>
      </w:rPr>
      <w:t>4</w:t>
    </w:r>
    <w:r>
      <w:rPr>
        <w:rFonts w:hint="eastAsia" w:ascii="仿宋" w:hAnsi="仿宋" w:eastAsia="仿宋" w:cs="仿宋"/>
        <w:lang w:eastAsia="zh-CN"/>
      </w:rPr>
      <w:t>-</w:t>
    </w:r>
    <w:r>
      <w:rPr>
        <w:rFonts w:hint="eastAsia" w:ascii="仿宋" w:hAnsi="仿宋" w:eastAsia="仿宋" w:cs="仿宋"/>
        <w:lang w:val="en-US" w:eastAsia="zh-CN"/>
      </w:rPr>
      <w:t>01013-1</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 xml:space="preserve">耀华建设管理有限公司                            文件编号: CGSHZJ-2023-N000907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none" w:color="auto" w:sz="0" w:space="1"/>
      </w:pBdr>
      <w:jc w:val="both"/>
    </w:pP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rPr>
        <w:rFonts w:hint="eastAsia"/>
      </w:rPr>
      <w:t xml:space="preserve">        </w:t>
    </w:r>
    <w:r>
      <w:t></w:t>
    </w:r>
    <w:r>
      <w:rPr>
        <w:rFonts w:hint="eastAsia" w:ascii="仿宋" w:hAnsi="仿宋" w:eastAsia="仿宋" w:cs="仿宋"/>
      </w:rPr>
      <w:t xml:space="preserve">耀华建设管理有限公司                            文件编号: CGSHZJ-2023-N000907   </w:t>
    </w:r>
  </w:p>
  <w:p>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耀华建设管理有限公司</w:t>
    </w:r>
    <w:r>
      <w:rPr>
        <w:rFonts w:hint="eastAsia"/>
      </w:rPr>
      <w:t xml:space="preserve"> </w:t>
    </w:r>
    <w:r>
      <w:rPr>
        <w:rFonts w:hint="eastAsia" w:ascii="仿宋" w:hAnsi="仿宋" w:eastAsia="仿宋" w:cs="仿宋"/>
      </w:rPr>
      <w:t xml:space="preserve">                           文件编号: CGSHZJ-2023-N000907   </w:t>
    </w:r>
  </w:p>
  <w:p>
    <w:pPr>
      <w:pStyle w:val="43"/>
      <w:pBdr>
        <w:bottom w:val="none" w:color="auto" w:sz="0" w:space="1"/>
      </w:pBdr>
      <w:jc w:val="right"/>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i/>
        <w:u w:val="single"/>
      </w:rPr>
    </w:pPr>
    <w:r>
      <w:t></w:t>
    </w:r>
    <w:r>
      <w:rPr>
        <w:rFonts w:hint="eastAsia" w:ascii="仿宋" w:hAnsi="仿宋" w:eastAsia="仿宋" w:cs="仿宋"/>
      </w:rPr>
      <w:t xml:space="preserve">耀华建设管理有限公司                            文件编号: CGSHZJ-2023-N000907   </w:t>
    </w:r>
  </w:p>
  <w:p>
    <w:pPr>
      <w:pStyle w:val="43"/>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r>
      <w:rPr>
        <w:rFonts w:hint="eastAsia" w:ascii="仿宋" w:hAnsi="仿宋" w:eastAsia="仿宋" w:cs="仿宋"/>
      </w:rPr>
      <w:t xml:space="preserve">耀华建设管理有限公司                            文件编号: CGSHZJ-2023-N000907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35496ADA"/>
    <w:multiLevelType w:val="multilevel"/>
    <w:tmpl w:val="35496ADA"/>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1ZTc1MWIwMDgwMmZlMGZmNGQ0YWUwYTk4MzJjODQifQ=="/>
  </w:docVars>
  <w:rsids>
    <w:rsidRoot w:val="00D02BC3"/>
    <w:rsid w:val="000337D9"/>
    <w:rsid w:val="00126EE0"/>
    <w:rsid w:val="001D678D"/>
    <w:rsid w:val="00203ECD"/>
    <w:rsid w:val="00237E5A"/>
    <w:rsid w:val="002619C8"/>
    <w:rsid w:val="00276145"/>
    <w:rsid w:val="002C0536"/>
    <w:rsid w:val="002E4D22"/>
    <w:rsid w:val="00387670"/>
    <w:rsid w:val="003965DC"/>
    <w:rsid w:val="003D2A7F"/>
    <w:rsid w:val="003F0D4F"/>
    <w:rsid w:val="00416054"/>
    <w:rsid w:val="00447A8B"/>
    <w:rsid w:val="004E5779"/>
    <w:rsid w:val="00526905"/>
    <w:rsid w:val="00567382"/>
    <w:rsid w:val="00596D5C"/>
    <w:rsid w:val="005D04D2"/>
    <w:rsid w:val="00637404"/>
    <w:rsid w:val="00646402"/>
    <w:rsid w:val="006B1D21"/>
    <w:rsid w:val="0072151F"/>
    <w:rsid w:val="00735C09"/>
    <w:rsid w:val="00771AA8"/>
    <w:rsid w:val="0082506C"/>
    <w:rsid w:val="0084347F"/>
    <w:rsid w:val="008E51D0"/>
    <w:rsid w:val="008F17EF"/>
    <w:rsid w:val="00937855"/>
    <w:rsid w:val="00971A9D"/>
    <w:rsid w:val="00974E72"/>
    <w:rsid w:val="009C0629"/>
    <w:rsid w:val="00BC4963"/>
    <w:rsid w:val="00BE68F9"/>
    <w:rsid w:val="00C93C87"/>
    <w:rsid w:val="00C96232"/>
    <w:rsid w:val="00D02BC3"/>
    <w:rsid w:val="00D345A5"/>
    <w:rsid w:val="00D7687D"/>
    <w:rsid w:val="00DC71F2"/>
    <w:rsid w:val="00EC5DC8"/>
    <w:rsid w:val="00ED1FBD"/>
    <w:rsid w:val="00F21EF3"/>
    <w:rsid w:val="0142662C"/>
    <w:rsid w:val="01537FD5"/>
    <w:rsid w:val="027A1F36"/>
    <w:rsid w:val="03122290"/>
    <w:rsid w:val="033E089E"/>
    <w:rsid w:val="03D03897"/>
    <w:rsid w:val="06D74677"/>
    <w:rsid w:val="07163C07"/>
    <w:rsid w:val="096E3000"/>
    <w:rsid w:val="0983157E"/>
    <w:rsid w:val="0A6C3E01"/>
    <w:rsid w:val="0C4D7C21"/>
    <w:rsid w:val="0DBF7F42"/>
    <w:rsid w:val="0E3925BF"/>
    <w:rsid w:val="0FA0239A"/>
    <w:rsid w:val="0FF50E46"/>
    <w:rsid w:val="10220EF8"/>
    <w:rsid w:val="110609AE"/>
    <w:rsid w:val="13027FA6"/>
    <w:rsid w:val="13222173"/>
    <w:rsid w:val="14127BE9"/>
    <w:rsid w:val="141715E6"/>
    <w:rsid w:val="156329BA"/>
    <w:rsid w:val="165F6EE2"/>
    <w:rsid w:val="169E17AF"/>
    <w:rsid w:val="16FA2753"/>
    <w:rsid w:val="18CF6794"/>
    <w:rsid w:val="19377C8F"/>
    <w:rsid w:val="195210FF"/>
    <w:rsid w:val="1B9735F0"/>
    <w:rsid w:val="1F4629DA"/>
    <w:rsid w:val="20C53081"/>
    <w:rsid w:val="21B522D0"/>
    <w:rsid w:val="22297444"/>
    <w:rsid w:val="225601ED"/>
    <w:rsid w:val="233367EF"/>
    <w:rsid w:val="244E615E"/>
    <w:rsid w:val="24BB682B"/>
    <w:rsid w:val="26E420EF"/>
    <w:rsid w:val="27CE0D4F"/>
    <w:rsid w:val="292C5E58"/>
    <w:rsid w:val="2B022610"/>
    <w:rsid w:val="2B8E304F"/>
    <w:rsid w:val="2CDA6E57"/>
    <w:rsid w:val="2DD96A21"/>
    <w:rsid w:val="2EA9235C"/>
    <w:rsid w:val="324A37B6"/>
    <w:rsid w:val="32725CF8"/>
    <w:rsid w:val="336F0E1F"/>
    <w:rsid w:val="33F053FF"/>
    <w:rsid w:val="35DB33A8"/>
    <w:rsid w:val="36854A78"/>
    <w:rsid w:val="38BC211A"/>
    <w:rsid w:val="38D359C2"/>
    <w:rsid w:val="39230324"/>
    <w:rsid w:val="39EA2249"/>
    <w:rsid w:val="3A4122C4"/>
    <w:rsid w:val="3ADD2A28"/>
    <w:rsid w:val="3DCD0428"/>
    <w:rsid w:val="3F326AC0"/>
    <w:rsid w:val="3FB8741E"/>
    <w:rsid w:val="4321081C"/>
    <w:rsid w:val="44D530D8"/>
    <w:rsid w:val="452909E1"/>
    <w:rsid w:val="4694489E"/>
    <w:rsid w:val="469A3396"/>
    <w:rsid w:val="48743864"/>
    <w:rsid w:val="489E3C21"/>
    <w:rsid w:val="48CD363F"/>
    <w:rsid w:val="4AA42324"/>
    <w:rsid w:val="4BC555FA"/>
    <w:rsid w:val="4D882205"/>
    <w:rsid w:val="4DE4148C"/>
    <w:rsid w:val="4E31011A"/>
    <w:rsid w:val="4FAE554B"/>
    <w:rsid w:val="50C301CB"/>
    <w:rsid w:val="511E065F"/>
    <w:rsid w:val="54646686"/>
    <w:rsid w:val="55F65E2E"/>
    <w:rsid w:val="56197289"/>
    <w:rsid w:val="56FF0D75"/>
    <w:rsid w:val="570317EE"/>
    <w:rsid w:val="572D7451"/>
    <w:rsid w:val="57DAE6E1"/>
    <w:rsid w:val="580E138B"/>
    <w:rsid w:val="58A077F1"/>
    <w:rsid w:val="59DF1266"/>
    <w:rsid w:val="5A765C18"/>
    <w:rsid w:val="5C2E3077"/>
    <w:rsid w:val="5C827491"/>
    <w:rsid w:val="5C9D1E36"/>
    <w:rsid w:val="5F665FB3"/>
    <w:rsid w:val="5FB95A3F"/>
    <w:rsid w:val="5FBC150A"/>
    <w:rsid w:val="5FBD456A"/>
    <w:rsid w:val="626D4177"/>
    <w:rsid w:val="63B11762"/>
    <w:rsid w:val="63E11C8A"/>
    <w:rsid w:val="642152E2"/>
    <w:rsid w:val="648852AB"/>
    <w:rsid w:val="65077AE2"/>
    <w:rsid w:val="66105CC9"/>
    <w:rsid w:val="6973670F"/>
    <w:rsid w:val="6AEF1016"/>
    <w:rsid w:val="6C184E1F"/>
    <w:rsid w:val="6E742034"/>
    <w:rsid w:val="70826B4C"/>
    <w:rsid w:val="71E56B43"/>
    <w:rsid w:val="729E74BD"/>
    <w:rsid w:val="75B0537C"/>
    <w:rsid w:val="76B16B02"/>
    <w:rsid w:val="78530372"/>
    <w:rsid w:val="798318A6"/>
    <w:rsid w:val="7A3A16A9"/>
    <w:rsid w:val="7B803D71"/>
    <w:rsid w:val="7BAF7E15"/>
    <w:rsid w:val="7BD538EA"/>
    <w:rsid w:val="7C0B664A"/>
    <w:rsid w:val="7C0D2F04"/>
    <w:rsid w:val="7E3B20FE"/>
    <w:rsid w:val="7E941F8F"/>
    <w:rsid w:val="7E951FAE"/>
    <w:rsid w:val="7EB7B118"/>
    <w:rsid w:val="7F4DBC21"/>
    <w:rsid w:val="DD7BA43F"/>
    <w:rsid w:val="ECDF1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qFormat="1" w:uiPriority="99" w:semiHidden="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nhideWhenUsed="0" w:uiPriority="0"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4"/>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4"/>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9"/>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next w:val="1"/>
    <w:link w:val="195"/>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index 8"/>
    <w:basedOn w:val="1"/>
    <w:next w:val="1"/>
    <w:autoRedefine/>
    <w:unhideWhenUsed/>
    <w:qFormat/>
    <w:uiPriority w:val="99"/>
    <w:pPr>
      <w:ind w:left="1400" w:leftChars="1400"/>
    </w:pPr>
  </w:style>
  <w:style w:type="paragraph" w:styleId="16">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7">
    <w:name w:val="caption"/>
    <w:basedOn w:val="1"/>
    <w:next w:val="1"/>
    <w:link w:val="231"/>
    <w:autoRedefine/>
    <w:qFormat/>
    <w:uiPriority w:val="0"/>
    <w:rPr>
      <w:b/>
      <w:sz w:val="28"/>
      <w:szCs w:val="20"/>
    </w:rPr>
  </w:style>
  <w:style w:type="paragraph" w:styleId="18">
    <w:name w:val="index 5"/>
    <w:basedOn w:val="1"/>
    <w:next w:val="1"/>
    <w:autoRedefine/>
    <w:qFormat/>
    <w:uiPriority w:val="0"/>
    <w:pPr>
      <w:adjustRightInd/>
      <w:ind w:left="800" w:leftChars="800" w:firstLine="200" w:firstLineChars="200"/>
    </w:pPr>
  </w:style>
  <w:style w:type="paragraph" w:styleId="19">
    <w:name w:val="Document Map"/>
    <w:basedOn w:val="1"/>
    <w:link w:val="204"/>
    <w:autoRedefine/>
    <w:qFormat/>
    <w:uiPriority w:val="0"/>
    <w:pPr>
      <w:shd w:val="clear" w:color="auto" w:fill="000080"/>
    </w:pPr>
  </w:style>
  <w:style w:type="paragraph" w:styleId="20">
    <w:name w:val="annotation text"/>
    <w:basedOn w:val="1"/>
    <w:link w:val="345"/>
    <w:autoRedefine/>
    <w:qFormat/>
    <w:uiPriority w:val="99"/>
    <w:pPr>
      <w:jc w:val="left"/>
    </w:pPr>
  </w:style>
  <w:style w:type="paragraph" w:styleId="21">
    <w:name w:val="Salutation"/>
    <w:basedOn w:val="1"/>
    <w:next w:val="1"/>
    <w:link w:val="299"/>
    <w:autoRedefine/>
    <w:qFormat/>
    <w:uiPriority w:val="0"/>
    <w:rPr>
      <w:rFonts w:ascii="仿宋_GB2312" w:eastAsia="仿宋_GB2312"/>
      <w:sz w:val="28"/>
      <w:szCs w:val="20"/>
    </w:rPr>
  </w:style>
  <w:style w:type="paragraph" w:styleId="22">
    <w:name w:val="Body Text 3"/>
    <w:basedOn w:val="1"/>
    <w:link w:val="331"/>
    <w:autoRedefine/>
    <w:qFormat/>
    <w:uiPriority w:val="0"/>
    <w:pPr>
      <w:jc w:val="center"/>
    </w:pPr>
    <w:rPr>
      <w:szCs w:val="20"/>
    </w:rPr>
  </w:style>
  <w:style w:type="paragraph" w:styleId="23">
    <w:name w:val="List Bullet 3"/>
    <w:basedOn w:val="1"/>
    <w:autoRedefine/>
    <w:qFormat/>
    <w:uiPriority w:val="0"/>
    <w:pPr>
      <w:snapToGrid w:val="0"/>
      <w:spacing w:line="360" w:lineRule="auto"/>
      <w:ind w:left="360" w:right="238" w:hanging="360"/>
      <w:contextualSpacing/>
    </w:pPr>
    <w:rPr>
      <w:sz w:val="24"/>
    </w:rPr>
  </w:style>
  <w:style w:type="paragraph" w:styleId="24">
    <w:name w:val="Body Text"/>
    <w:basedOn w:val="1"/>
    <w:next w:val="25"/>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2"/>
    <w:autoRedefine/>
    <w:qFormat/>
    <w:uiPriority w:val="0"/>
    <w:pPr>
      <w:ind w:firstLine="420"/>
    </w:pPr>
    <w:rPr>
      <w:rFonts w:hAnsi="Calibri" w:cs="Times New Roman"/>
      <w:snapToGrid/>
      <w:szCs w:val="20"/>
    </w:rPr>
  </w:style>
  <w:style w:type="paragraph" w:styleId="26">
    <w:name w:val="Body Text Indent"/>
    <w:basedOn w:val="1"/>
    <w:next w:val="27"/>
    <w:link w:val="266"/>
    <w:autoRedefine/>
    <w:qFormat/>
    <w:uiPriority w:val="0"/>
    <w:pPr>
      <w:spacing w:line="480" w:lineRule="exact"/>
      <w:ind w:firstLine="480" w:firstLineChars="200"/>
    </w:pPr>
    <w:rPr>
      <w:rFonts w:ascii="宋体" w:hAnsi="宋体"/>
      <w:sz w:val="24"/>
    </w:rPr>
  </w:style>
  <w:style w:type="paragraph" w:styleId="27">
    <w:name w:val="envelope return"/>
    <w:basedOn w:val="1"/>
    <w:autoRedefine/>
    <w:qFormat/>
    <w:uiPriority w:val="0"/>
    <w:pPr>
      <w:snapToGrid w:val="0"/>
    </w:pPr>
    <w:rPr>
      <w:rFonts w:ascii="Arial" w:hAnsi="Arial"/>
    </w:rPr>
  </w:style>
  <w:style w:type="paragraph" w:styleId="28">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21"/>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next w:val="1"/>
    <w:link w:val="127"/>
    <w:autoRedefine/>
    <w:qFormat/>
    <w:uiPriority w:val="0"/>
    <w:rPr>
      <w:rFonts w:ascii="宋体" w:hAnsi="Courier New" w:cs="Arial"/>
      <w:snapToGrid w:val="0"/>
      <w:szCs w:val="21"/>
    </w:rPr>
  </w:style>
  <w:style w:type="paragraph" w:styleId="36">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autoRedefine/>
    <w:qFormat/>
    <w:uiPriority w:val="0"/>
    <w:pPr>
      <w:ind w:left="2940" w:leftChars="1400"/>
    </w:pPr>
  </w:style>
  <w:style w:type="paragraph" w:styleId="38">
    <w:name w:val="Date"/>
    <w:basedOn w:val="1"/>
    <w:next w:val="1"/>
    <w:link w:val="183"/>
    <w:autoRedefine/>
    <w:qFormat/>
    <w:uiPriority w:val="0"/>
    <w:pPr>
      <w:ind w:left="100" w:leftChars="2500"/>
    </w:pPr>
    <w:rPr>
      <w:rFonts w:ascii="宋体"/>
      <w:sz w:val="24"/>
      <w:szCs w:val="21"/>
      <w:lang w:val="zh-CN"/>
    </w:rPr>
  </w:style>
  <w:style w:type="paragraph" w:styleId="39">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40">
    <w:name w:val="endnote text"/>
    <w:basedOn w:val="1"/>
    <w:link w:val="934"/>
    <w:autoRedefine/>
    <w:qFormat/>
    <w:uiPriority w:val="0"/>
    <w:rPr>
      <w:lang w:val="zh-CN"/>
    </w:rPr>
  </w:style>
  <w:style w:type="paragraph" w:styleId="41">
    <w:name w:val="Balloon Text"/>
    <w:basedOn w:val="1"/>
    <w:link w:val="190"/>
    <w:autoRedefine/>
    <w:qFormat/>
    <w:uiPriority w:val="0"/>
    <w:rPr>
      <w:sz w:val="18"/>
      <w:szCs w:val="18"/>
    </w:rPr>
  </w:style>
  <w:style w:type="paragraph" w:styleId="42">
    <w:name w:val="footer"/>
    <w:basedOn w:val="1"/>
    <w:link w:val="384"/>
    <w:autoRedefine/>
    <w:qFormat/>
    <w:uiPriority w:val="99"/>
    <w:pPr>
      <w:tabs>
        <w:tab w:val="center" w:pos="4153"/>
        <w:tab w:val="right" w:pos="8306"/>
      </w:tabs>
      <w:snapToGrid w:val="0"/>
      <w:jc w:val="left"/>
    </w:pPr>
    <w:rPr>
      <w:sz w:val="18"/>
      <w:szCs w:val="18"/>
    </w:rPr>
  </w:style>
  <w:style w:type="paragraph" w:styleId="43">
    <w:name w:val="header"/>
    <w:basedOn w:val="1"/>
    <w:link w:val="393"/>
    <w:autoRedefine/>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5"/>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4"/>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76"/>
    <w:autoRedefine/>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3"/>
    <w:autoRedefine/>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autoRedefine/>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8"/>
    <w:qFormat/>
    <w:uiPriority w:val="0"/>
    <w:rPr>
      <w:b/>
      <w:bCs/>
    </w:rPr>
  </w:style>
  <w:style w:type="paragraph" w:styleId="63">
    <w:name w:val="Body Text First Indent 2"/>
    <w:basedOn w:val="26"/>
    <w:link w:val="123"/>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autoRedefine/>
    <w:qFormat/>
    <w:uiPriority w:val="99"/>
    <w:rPr>
      <w:rFonts w:ascii="Arial" w:hAnsi="Arial" w:eastAsia="黑体" w:cs="Arial"/>
      <w:snapToGrid w:val="0"/>
      <w:color w:val="000000"/>
      <w:kern w:val="0"/>
      <w:sz w:val="18"/>
      <w:szCs w:val="18"/>
      <w:u w:val="none"/>
    </w:rPr>
  </w:style>
  <w:style w:type="character" w:styleId="79">
    <w:name w:val="HTML Code"/>
    <w:autoRedefine/>
    <w:qFormat/>
    <w:uiPriority w:val="0"/>
    <w:rPr>
      <w:rFonts w:ascii="黑体" w:hAnsi="Courier New" w:eastAsia="黑体" w:cs="楷体_GB2312"/>
      <w:sz w:val="20"/>
      <w:szCs w:val="20"/>
    </w:rPr>
  </w:style>
  <w:style w:type="character" w:styleId="80">
    <w:name w:val="annotation reference"/>
    <w:autoRedefine/>
    <w:qFormat/>
    <w:uiPriority w:val="99"/>
    <w:rPr>
      <w:sz w:val="21"/>
      <w:szCs w:val="21"/>
    </w:rPr>
  </w:style>
  <w:style w:type="paragraph" w:customStyle="1" w:styleId="81">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2">
    <w:name w:val="Default"/>
    <w:link w:val="236"/>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autoRedefine/>
    <w:qFormat/>
    <w:uiPriority w:val="0"/>
    <w:rPr>
      <w:rFonts w:ascii="Futura Bk" w:hAnsi="Futura Bk"/>
      <w:kern w:val="2"/>
      <w:sz w:val="18"/>
      <w:szCs w:val="21"/>
      <w:lang w:val="en-US" w:eastAsia="zh-CN" w:bidi="ar-SA"/>
    </w:rPr>
  </w:style>
  <w:style w:type="paragraph" w:customStyle="1" w:styleId="85">
    <w:name w:val="表格非标题文字"/>
    <w:link w:val="84"/>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autoRedefine/>
    <w:qFormat/>
    <w:uiPriority w:val="0"/>
    <w:rPr>
      <w:rFonts w:ascii="宋体" w:hAnsi="宋体"/>
      <w:sz w:val="24"/>
    </w:rPr>
  </w:style>
  <w:style w:type="paragraph" w:customStyle="1" w:styleId="87">
    <w:name w:val="*正文"/>
    <w:basedOn w:val="1"/>
    <w:link w:val="86"/>
    <w:autoRedefine/>
    <w:qFormat/>
    <w:uiPriority w:val="0"/>
    <w:pPr>
      <w:snapToGrid w:val="0"/>
      <w:spacing w:line="360" w:lineRule="auto"/>
      <w:ind w:firstLine="482"/>
      <w:jc w:val="left"/>
    </w:pPr>
    <w:rPr>
      <w:rFonts w:ascii="宋体" w:hAnsi="宋体"/>
      <w:kern w:val="0"/>
      <w:sz w:val="24"/>
      <w:szCs w:val="20"/>
    </w:rPr>
  </w:style>
  <w:style w:type="character" w:customStyle="1" w:styleId="88">
    <w:name w:val="Char Char71"/>
    <w:autoRedefine/>
    <w:qFormat/>
    <w:uiPriority w:val="0"/>
    <w:rPr>
      <w:rFonts w:eastAsia="宋体"/>
      <w:kern w:val="2"/>
      <w:sz w:val="21"/>
      <w:szCs w:val="24"/>
      <w:lang w:val="en-US" w:eastAsia="zh-CN" w:bidi="ar-SA"/>
    </w:rPr>
  </w:style>
  <w:style w:type="character" w:customStyle="1" w:styleId="89">
    <w:name w:val="Char Char6"/>
    <w:autoRedefine/>
    <w:qFormat/>
    <w:uiPriority w:val="0"/>
    <w:rPr>
      <w:rFonts w:eastAsia="宋体"/>
      <w:kern w:val="2"/>
      <w:sz w:val="21"/>
      <w:szCs w:val="24"/>
      <w:lang w:val="en-US"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2">
    <w:name w:val="Char Char28"/>
    <w:autoRedefine/>
    <w:qFormat/>
    <w:uiPriority w:val="6"/>
    <w:rPr>
      <w:rFonts w:ascii="仿宋_GB2312" w:hAnsi="仿宋_GB2312" w:eastAsia="仿宋_GB2312"/>
      <w:kern w:val="1"/>
      <w:sz w:val="28"/>
    </w:rPr>
  </w:style>
  <w:style w:type="character" w:customStyle="1" w:styleId="93">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5">
    <w:name w:val="U_正文 Char"/>
    <w:link w:val="96"/>
    <w:autoRedefine/>
    <w:qFormat/>
    <w:uiPriority w:val="0"/>
    <w:rPr>
      <w:sz w:val="24"/>
      <w:szCs w:val="24"/>
    </w:rPr>
  </w:style>
  <w:style w:type="paragraph" w:customStyle="1" w:styleId="96">
    <w:name w:val="U_正文"/>
    <w:basedOn w:val="1"/>
    <w:link w:val="95"/>
    <w:autoRedefine/>
    <w:qFormat/>
    <w:uiPriority w:val="0"/>
    <w:pPr>
      <w:adjustRightInd/>
      <w:spacing w:beforeLines="20" w:afterLines="20" w:line="300" w:lineRule="auto"/>
      <w:ind w:firstLine="200" w:firstLineChars="200"/>
    </w:pPr>
    <w:rPr>
      <w:kern w:val="0"/>
      <w:sz w:val="24"/>
    </w:rPr>
  </w:style>
  <w:style w:type="character" w:customStyle="1" w:styleId="97">
    <w:name w:val="HTML 地址 Char1"/>
    <w:autoRedefine/>
    <w:qFormat/>
    <w:uiPriority w:val="0"/>
    <w:rPr>
      <w:rFonts w:ascii="Times New Roman" w:hAnsi="Times New Roman" w:eastAsia="宋体" w:cs="Times New Roman"/>
      <w:i/>
      <w:iCs/>
      <w:szCs w:val="24"/>
    </w:rPr>
  </w:style>
  <w:style w:type="character" w:customStyle="1" w:styleId="98">
    <w:name w:val="批注主题 Char1"/>
    <w:link w:val="62"/>
    <w:autoRedefine/>
    <w:qFormat/>
    <w:uiPriority w:val="0"/>
    <w:rPr>
      <w:b/>
      <w:bCs/>
      <w:kern w:val="2"/>
      <w:sz w:val="21"/>
      <w:szCs w:val="24"/>
    </w:rPr>
  </w:style>
  <w:style w:type="character" w:customStyle="1" w:styleId="99">
    <w:name w:val="Char Char51"/>
    <w:autoRedefine/>
    <w:qFormat/>
    <w:uiPriority w:val="0"/>
    <w:rPr>
      <w:rFonts w:ascii="宋体" w:hAnsi="Courier New" w:eastAsia="宋体"/>
      <w:kern w:val="2"/>
      <w:sz w:val="21"/>
      <w:lang w:val="en-US" w:eastAsia="zh-CN"/>
    </w:rPr>
  </w:style>
  <w:style w:type="character" w:customStyle="1" w:styleId="100">
    <w:name w:val="表正文 Char"/>
    <w:autoRedefine/>
    <w:qFormat/>
    <w:uiPriority w:val="0"/>
    <w:rPr>
      <w:rFonts w:ascii="宋体" w:eastAsia="宋体"/>
      <w:snapToGrid w:val="0"/>
      <w:color w:val="000000"/>
      <w:kern w:val="28"/>
      <w:sz w:val="28"/>
      <w:lang w:val="en-US" w:eastAsia="zh-CN" w:bidi="ar-SA"/>
    </w:rPr>
  </w:style>
  <w:style w:type="character" w:customStyle="1" w:styleId="101">
    <w:name w:val="Char Char34"/>
    <w:autoRedefine/>
    <w:qFormat/>
    <w:uiPriority w:val="6"/>
    <w:rPr>
      <w:b/>
      <w:kern w:val="1"/>
      <w:sz w:val="28"/>
      <w:szCs w:val="28"/>
    </w:rPr>
  </w:style>
  <w:style w:type="character" w:customStyle="1" w:styleId="102">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autoRedefine/>
    <w:qFormat/>
    <w:uiPriority w:val="0"/>
    <w:rPr>
      <w:rFonts w:ascii="宋体" w:hAnsi="宋体" w:eastAsia="宋体"/>
      <w:kern w:val="2"/>
      <w:sz w:val="24"/>
      <w:lang w:bidi="ar-SA"/>
    </w:rPr>
  </w:style>
  <w:style w:type="paragraph" w:customStyle="1" w:styleId="104">
    <w:name w:val="哈哈正文"/>
    <w:basedOn w:val="1"/>
    <w:link w:val="103"/>
    <w:autoRedefine/>
    <w:qFormat/>
    <w:uiPriority w:val="0"/>
    <w:pPr>
      <w:adjustRightInd/>
      <w:spacing w:line="360" w:lineRule="auto"/>
      <w:ind w:firstLine="200" w:firstLineChars="200"/>
    </w:pPr>
    <w:rPr>
      <w:rFonts w:ascii="宋体" w:hAnsi="宋体"/>
      <w:sz w:val="24"/>
      <w:szCs w:val="20"/>
    </w:rPr>
  </w:style>
  <w:style w:type="character" w:customStyle="1" w:styleId="105">
    <w:name w:val="未处理的提及1"/>
    <w:autoRedefine/>
    <w:qFormat/>
    <w:uiPriority w:val="0"/>
    <w:rPr>
      <w:color w:val="808080"/>
      <w:shd w:val="clear" w:color="auto" w:fill="E6E6E6"/>
    </w:rPr>
  </w:style>
  <w:style w:type="character" w:customStyle="1" w:styleId="106">
    <w:name w:val="txt"/>
    <w:autoRedefine/>
    <w:qFormat/>
    <w:uiPriority w:val="0"/>
    <w:rPr>
      <w:rFonts w:ascii="仿宋_GB2312" w:eastAsia="微软雅黑"/>
      <w:b/>
      <w:kern w:val="2"/>
      <w:sz w:val="32"/>
      <w:szCs w:val="32"/>
      <w:lang w:val="en-US" w:eastAsia="zh-CN" w:bidi="ar-SA"/>
    </w:rPr>
  </w:style>
  <w:style w:type="character" w:customStyle="1" w:styleId="107">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8">
    <w:name w:val="Char Char32"/>
    <w:autoRedefine/>
    <w:qFormat/>
    <w:uiPriority w:val="6"/>
    <w:rPr>
      <w:b/>
      <w:kern w:val="1"/>
      <w:sz w:val="24"/>
      <w:szCs w:val="24"/>
    </w:rPr>
  </w:style>
  <w:style w:type="character" w:customStyle="1" w:styleId="109">
    <w:name w:val="PI Char1"/>
    <w:autoRedefine/>
    <w:qFormat/>
    <w:uiPriority w:val="0"/>
    <w:rPr>
      <w:rFonts w:ascii="宋体" w:hAnsi="宋体"/>
      <w:kern w:val="2"/>
      <w:sz w:val="24"/>
      <w:szCs w:val="24"/>
    </w:rPr>
  </w:style>
  <w:style w:type="character" w:customStyle="1" w:styleId="110">
    <w:name w:val="tw4winTerm"/>
    <w:autoRedefine/>
    <w:qFormat/>
    <w:uiPriority w:val="0"/>
    <w:rPr>
      <w:color w:val="0000FF"/>
    </w:rPr>
  </w:style>
  <w:style w:type="character" w:customStyle="1" w:styleId="111">
    <w:name w:val="Footer Char_349d8ccd-87a8-4174-b318-483ee852d82b"/>
    <w:autoRedefine/>
    <w:qFormat/>
    <w:uiPriority w:val="0"/>
    <w:rPr>
      <w:rFonts w:eastAsia="宋体"/>
      <w:kern w:val="2"/>
      <w:sz w:val="18"/>
      <w:lang w:val="en-US" w:eastAsia="zh-CN" w:bidi="ar-SA"/>
    </w:rPr>
  </w:style>
  <w:style w:type="character" w:customStyle="1" w:styleId="112">
    <w:name w:val="普通文字 Char Char1"/>
    <w:autoRedefine/>
    <w:qFormat/>
    <w:uiPriority w:val="0"/>
    <w:rPr>
      <w:rFonts w:ascii="宋体" w:hAnsi="Courier New"/>
      <w:kern w:val="2"/>
      <w:sz w:val="21"/>
    </w:rPr>
  </w:style>
  <w:style w:type="character" w:customStyle="1" w:styleId="113">
    <w:name w:val="Char Char101"/>
    <w:autoRedefine/>
    <w:qFormat/>
    <w:uiPriority w:val="6"/>
    <w:rPr>
      <w:rFonts w:ascii="宋体" w:hAnsi="宋体"/>
      <w:kern w:val="2"/>
      <w:sz w:val="21"/>
      <w:szCs w:val="24"/>
      <w:lang w:val="en-US" w:eastAsia="zh-CN"/>
    </w:rPr>
  </w:style>
  <w:style w:type="character" w:customStyle="1" w:styleId="114">
    <w:name w:val="标题 4 Char"/>
    <w:autoRedefine/>
    <w:qFormat/>
    <w:uiPriority w:val="0"/>
    <w:rPr>
      <w:rFonts w:ascii="Arial" w:hAnsi="Arial" w:eastAsia="黑体"/>
      <w:b/>
      <w:kern w:val="2"/>
      <w:sz w:val="28"/>
    </w:rPr>
  </w:style>
  <w:style w:type="character" w:customStyle="1" w:styleId="115">
    <w:name w:val="链接"/>
    <w:autoRedefine/>
    <w:qFormat/>
    <w:uiPriority w:val="0"/>
    <w:rPr>
      <w:color w:val="0000FF"/>
      <w:sz w:val="21"/>
      <w:szCs w:val="21"/>
      <w:u w:val="single"/>
    </w:rPr>
  </w:style>
  <w:style w:type="character" w:customStyle="1" w:styleId="116">
    <w:name w:val="h4 Char"/>
    <w:autoRedefine/>
    <w:qFormat/>
    <w:uiPriority w:val="0"/>
    <w:rPr>
      <w:rFonts w:ascii="Arial" w:hAnsi="Arial" w:eastAsia="黑体"/>
      <w:b/>
      <w:bCs/>
      <w:kern w:val="2"/>
      <w:sz w:val="28"/>
      <w:szCs w:val="28"/>
      <w:lang w:val="zh-CN" w:eastAsia="zh-CN" w:bidi="ar-SA"/>
    </w:rPr>
  </w:style>
  <w:style w:type="character" w:customStyle="1" w:styleId="117">
    <w:name w:val="5正文 Char"/>
    <w:link w:val="118"/>
    <w:autoRedefine/>
    <w:qFormat/>
    <w:uiPriority w:val="0"/>
    <w:rPr>
      <w:rFonts w:ascii="仿宋_GB2312" w:hAnsi="微软雅黑" w:eastAsia="仿宋_GB2312"/>
      <w:sz w:val="28"/>
      <w:szCs w:val="21"/>
    </w:rPr>
  </w:style>
  <w:style w:type="paragraph" w:customStyle="1" w:styleId="118">
    <w:name w:val="5正文"/>
    <w:basedOn w:val="1"/>
    <w:link w:val="117"/>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autoRedefine/>
    <w:qFormat/>
    <w:uiPriority w:val="9"/>
    <w:rPr>
      <w:b/>
      <w:bCs/>
      <w:kern w:val="2"/>
      <w:sz w:val="32"/>
      <w:szCs w:val="32"/>
    </w:rPr>
  </w:style>
  <w:style w:type="character" w:customStyle="1" w:styleId="120">
    <w:name w:val="样式6 Char"/>
    <w:autoRedefine/>
    <w:qFormat/>
    <w:uiPriority w:val="0"/>
    <w:rPr>
      <w:rFonts w:ascii="仿宋_GB2312" w:hAnsi="宋体" w:eastAsia="仿宋_GB2312"/>
      <w:b/>
      <w:bCs/>
      <w:kern w:val="2"/>
      <w:sz w:val="24"/>
      <w:szCs w:val="24"/>
      <w:lang w:val="en-US" w:eastAsia="zh-CN" w:bidi="ar-SA"/>
    </w:rPr>
  </w:style>
  <w:style w:type="character" w:customStyle="1" w:styleId="121">
    <w:name w:val="Char Char14"/>
    <w:autoRedefine/>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3"/>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5"/>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8"/>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autoRedefine/>
    <w:qFormat/>
    <w:uiPriority w:val="0"/>
    <w:rPr>
      <w:rFonts w:eastAsia="宋体"/>
      <w:kern w:val="2"/>
      <w:sz w:val="18"/>
      <w:szCs w:val="18"/>
      <w:lang w:val="en-US" w:eastAsia="zh-CN" w:bidi="ar-SA"/>
    </w:rPr>
  </w:style>
  <w:style w:type="character" w:customStyle="1" w:styleId="154">
    <w:name w:val="正文 项目2 Char"/>
    <w:basedOn w:val="155"/>
    <w:autoRedefine/>
    <w:qFormat/>
    <w:uiPriority w:val="0"/>
    <w:rPr>
      <w:rFonts w:ascii="仿宋_GB2312" w:hAnsi="仿宋_GB2312" w:eastAsia="仿宋_GB2312"/>
      <w:kern w:val="2"/>
      <w:sz w:val="24"/>
      <w:lang w:bidi="ar-SA"/>
    </w:rPr>
  </w:style>
  <w:style w:type="character" w:customStyle="1" w:styleId="155">
    <w:name w:val="正文 项目 Char"/>
    <w:autoRedefine/>
    <w:qFormat/>
    <w:uiPriority w:val="0"/>
    <w:rPr>
      <w:rFonts w:ascii="仿宋_GB2312" w:hAnsi="仿宋_GB2312" w:eastAsia="仿宋_GB2312"/>
      <w:kern w:val="2"/>
      <w:sz w:val="24"/>
      <w:lang w:bidi="ar-SA"/>
    </w:rPr>
  </w:style>
  <w:style w:type="character" w:customStyle="1" w:styleId="156">
    <w:name w:val="h Char Char1"/>
    <w:autoRedefine/>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autoRedefine/>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3"/>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8"/>
    <w:qFormat/>
    <w:uiPriority w:val="0"/>
    <w:rPr>
      <w:rFonts w:ascii="宋体"/>
      <w:kern w:val="2"/>
      <w:sz w:val="24"/>
      <w:szCs w:val="21"/>
      <w:lang w:val="zh-CN"/>
    </w:rPr>
  </w:style>
  <w:style w:type="character" w:customStyle="1" w:styleId="184">
    <w:name w:val="标题 9 Char"/>
    <w:link w:val="11"/>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1"/>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4"/>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autoRedefine/>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autoRedefine/>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2"/>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6"/>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表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6"/>
    <w:qFormat/>
    <w:uiPriority w:val="0"/>
    <w:rPr>
      <w:rFonts w:ascii="宋体" w:hAnsi="宋体"/>
      <w:kern w:val="2"/>
      <w:sz w:val="24"/>
      <w:szCs w:val="24"/>
    </w:rPr>
  </w:style>
  <w:style w:type="character" w:customStyle="1" w:styleId="267">
    <w:name w:val="font01"/>
    <w:basedOn w:val="7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2"/>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7"/>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1"/>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6"/>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9"/>
    <w:qFormat/>
    <w:uiPriority w:val="0"/>
    <w:rPr>
      <w:b/>
      <w:bCs/>
      <w:kern w:val="2"/>
      <w:sz w:val="24"/>
      <w:szCs w:val="24"/>
    </w:rPr>
  </w:style>
  <w:style w:type="character" w:customStyle="1" w:styleId="309">
    <w:name w:val="正文文本缩进 2 Char"/>
    <w:link w:val="39"/>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25"/>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6"/>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2"/>
    <w:autoRedefine/>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autoRedefine/>
    <w:qFormat/>
    <w:uiPriority w:val="0"/>
    <w:rPr>
      <w:kern w:val="2"/>
      <w:sz w:val="21"/>
      <w:szCs w:val="24"/>
    </w:rPr>
  </w:style>
  <w:style w:type="character" w:customStyle="1" w:styleId="346">
    <w:name w:val="签名 Char"/>
    <w:link w:val="44"/>
    <w:autoRedefine/>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0"/>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2"/>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4"/>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仿宋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autoRedefine/>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8"/>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autoRedefine/>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4"/>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autoRedefine/>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9"/>
    <w:qFormat/>
    <w:uiPriority w:val="0"/>
    <w:pPr>
      <w:spacing w:after="120" w:line="480" w:lineRule="auto"/>
      <w:ind w:left="420" w:leftChars="200"/>
    </w:pPr>
    <w:rPr>
      <w:sz w:val="24"/>
      <w:szCs w:val="20"/>
    </w:rPr>
  </w:style>
  <w:style w:type="paragraph" w:customStyle="1" w:styleId="725">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4"/>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6"/>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9"/>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autoRedefine/>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4"/>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4"/>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40"/>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autoRedefine/>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50">
    <w:name w:val="bulletintext1"/>
    <w:autoRedefine/>
    <w:qFormat/>
    <w:uiPriority w:val="0"/>
    <w:rPr>
      <w:color w:val="000000"/>
      <w:sz w:val="18"/>
    </w:rPr>
  </w:style>
  <w:style w:type="paragraph" w:customStyle="1" w:styleId="951">
    <w:name w:val="_Style 947"/>
    <w:basedOn w:val="1"/>
    <w:next w:val="259"/>
    <w:qFormat/>
    <w:uiPriority w:val="34"/>
    <w:pPr>
      <w:adjustRightInd/>
      <w:ind w:firstLine="420" w:firstLineChars="200"/>
    </w:pPr>
  </w:style>
  <w:style w:type="paragraph" w:customStyle="1" w:styleId="952">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1"/>
    <w:autoRedefine/>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character" w:customStyle="1" w:styleId="967">
    <w:name w:val="font251"/>
    <w:basedOn w:val="71"/>
    <w:qFormat/>
    <w:uiPriority w:val="0"/>
    <w:rPr>
      <w:rFonts w:hint="eastAsia" w:ascii="宋体" w:hAnsi="宋体" w:eastAsia="宋体" w:cs="宋体"/>
      <w:color w:val="FF0000"/>
      <w:sz w:val="20"/>
      <w:szCs w:val="20"/>
      <w:u w:val="none"/>
    </w:rPr>
  </w:style>
  <w:style w:type="character" w:customStyle="1" w:styleId="968">
    <w:name w:val="font101"/>
    <w:basedOn w:val="71"/>
    <w:qFormat/>
    <w:uiPriority w:val="0"/>
    <w:rPr>
      <w:rFonts w:hint="eastAsia" w:ascii="宋体" w:hAnsi="宋体" w:eastAsia="宋体" w:cs="宋体"/>
      <w:color w:val="000000"/>
      <w:sz w:val="20"/>
      <w:szCs w:val="20"/>
      <w:u w:val="none"/>
    </w:rPr>
  </w:style>
  <w:style w:type="character" w:customStyle="1" w:styleId="969">
    <w:name w:val="font261"/>
    <w:basedOn w:val="71"/>
    <w:qFormat/>
    <w:uiPriority w:val="0"/>
    <w:rPr>
      <w:rFonts w:ascii="Arial" w:hAnsi="Arial" w:cs="Arial"/>
      <w:color w:val="333333"/>
      <w:sz w:val="20"/>
      <w:szCs w:val="20"/>
      <w:u w:val="none"/>
    </w:rPr>
  </w:style>
  <w:style w:type="character" w:customStyle="1" w:styleId="970">
    <w:name w:val="font171"/>
    <w:basedOn w:val="71"/>
    <w:qFormat/>
    <w:uiPriority w:val="0"/>
    <w:rPr>
      <w:rFonts w:hint="eastAsia" w:ascii="宋体" w:hAnsi="宋体" w:eastAsia="宋体" w:cs="宋体"/>
      <w:color w:val="404040"/>
      <w:sz w:val="20"/>
      <w:szCs w:val="20"/>
      <w:u w:val="none"/>
    </w:rPr>
  </w:style>
  <w:style w:type="character" w:customStyle="1" w:styleId="971">
    <w:name w:val="font161"/>
    <w:basedOn w:val="71"/>
    <w:qFormat/>
    <w:uiPriority w:val="0"/>
    <w:rPr>
      <w:rFonts w:hint="eastAsia" w:ascii="宋体" w:hAnsi="宋体" w:eastAsia="宋体" w:cs="宋体"/>
      <w:color w:val="000000"/>
      <w:sz w:val="20"/>
      <w:szCs w:val="20"/>
      <w:u w:val="none"/>
    </w:rPr>
  </w:style>
  <w:style w:type="character" w:customStyle="1" w:styleId="972">
    <w:name w:val="font271"/>
    <w:basedOn w:val="71"/>
    <w:qFormat/>
    <w:uiPriority w:val="0"/>
    <w:rPr>
      <w:rFonts w:ascii="Calibri" w:hAnsi="Calibri" w:cs="Calibri"/>
      <w:color w:val="000000"/>
      <w:sz w:val="20"/>
      <w:szCs w:val="20"/>
      <w:u w:val="none"/>
    </w:rPr>
  </w:style>
  <w:style w:type="paragraph" w:customStyle="1" w:styleId="973">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74">
    <w:name w:val="1"/>
    <w:basedOn w:val="1"/>
    <w:next w:val="793"/>
    <w:qFormat/>
    <w:uiPriority w:val="99"/>
    <w:pPr>
      <w:widowControl/>
      <w:spacing w:after="200" w:line="276" w:lineRule="auto"/>
      <w:ind w:left="720"/>
      <w:contextualSpacing/>
      <w:jc w:val="left"/>
    </w:pPr>
    <w:rPr>
      <w:rFonts w:ascii="Calibri" w:hAnsi="Calibri"/>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emf"/><Relationship Id="rId30" Type="http://schemas.openxmlformats.org/officeDocument/2006/relationships/oleObject" Target="embeddings/oleObject2.bin"/><Relationship Id="rId3" Type="http://schemas.openxmlformats.org/officeDocument/2006/relationships/header" Target="header1.xml"/><Relationship Id="rId29" Type="http://schemas.openxmlformats.org/officeDocument/2006/relationships/image" Target="media/image1.emf"/><Relationship Id="rId28" Type="http://schemas.openxmlformats.org/officeDocument/2006/relationships/oleObject" Target="embeddings/oleObject1.bin"/><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5D24ABB-72A4-48D8-9E14-FC8BD4C18389}">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99</Pages>
  <Words>10587</Words>
  <Characters>60351</Characters>
  <Lines>502</Lines>
  <Paragraphs>141</Paragraphs>
  <TotalTime>2</TotalTime>
  <ScaleCrop>false</ScaleCrop>
  <LinksUpToDate>false</LinksUpToDate>
  <CharactersWithSpaces>70797</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2023-09-25T08:25:00Z</dcterms:created>
  <dc:creator>玥</dc:creator>
  <cp:lastModifiedBy>郭虹</cp:lastModifiedBy>
  <cp:lastPrinted>2021-12-28T11:06:00Z</cp:lastPrinted>
  <dcterms:modified xsi:type="dcterms:W3CDTF">2024-02-21T06:16:18Z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48BCBC5CBD884775AABCEF07AD4D6FED_13</vt:lpwstr>
  </property>
</Properties>
</file>