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firstLine="240" w:firstLineChars="50"/>
        <w:jc w:val="center"/>
        <w:outlineLvl w:val="0"/>
        <w:rPr>
          <w:rFonts w:hint="eastAsia" w:ascii="隶书" w:hAnsi="Arial" w:eastAsia="隶书" w:cs="Arial"/>
          <w:b/>
          <w:sz w:val="44"/>
          <w:szCs w:val="44"/>
          <w:lang w:eastAsia="zh-CN"/>
        </w:rPr>
      </w:pPr>
      <w:r>
        <w:rPr>
          <w:rFonts w:hint="eastAsia" w:ascii="隶书" w:hAnsi="Arial" w:eastAsia="隶书" w:cs="Arial"/>
          <w:b/>
          <w:sz w:val="48"/>
          <w:szCs w:val="48"/>
          <w:lang w:eastAsia="zh-CN"/>
        </w:rPr>
        <w:t>绍兴市中等专业学校田径场塑胶跑道（操场）改造工程</w:t>
      </w:r>
    </w:p>
    <w:p>
      <w:pPr>
        <w:spacing w:line="312" w:lineRule="auto"/>
        <w:jc w:val="center"/>
        <w:outlineLvl w:val="0"/>
        <w:rPr>
          <w:rFonts w:ascii="隶书" w:hAnsi="Arial" w:eastAsia="隶书" w:cs="Arial"/>
          <w:b/>
          <w:sz w:val="32"/>
          <w:szCs w:val="32"/>
        </w:rPr>
      </w:pPr>
    </w:p>
    <w:p>
      <w:pPr>
        <w:spacing w:line="312" w:lineRule="auto"/>
        <w:outlineLvl w:val="0"/>
        <w:rPr>
          <w:rFonts w:ascii="隶书" w:hAnsi="Arial" w:eastAsia="隶书" w:cs="Arial"/>
          <w:b/>
          <w:sz w:val="32"/>
          <w:szCs w:val="32"/>
        </w:rPr>
      </w:pPr>
    </w:p>
    <w:p>
      <w:pPr>
        <w:spacing w:line="312" w:lineRule="auto"/>
        <w:jc w:val="center"/>
        <w:outlineLvl w:val="0"/>
        <w:rPr>
          <w:rFonts w:ascii="隶书" w:hAnsi="Arial" w:eastAsia="隶书" w:cs="Arial"/>
          <w:b/>
          <w:sz w:val="52"/>
          <w:szCs w:val="52"/>
        </w:rPr>
      </w:pPr>
      <w:r>
        <w:rPr>
          <w:rFonts w:hint="eastAsia" w:ascii="隶书" w:hAnsi="Arial" w:eastAsia="隶书" w:cs="Arial"/>
          <w:b/>
          <w:sz w:val="52"/>
          <w:szCs w:val="52"/>
        </w:rPr>
        <w:t>公</w:t>
      </w:r>
    </w:p>
    <w:p>
      <w:pPr>
        <w:spacing w:line="312" w:lineRule="auto"/>
        <w:jc w:val="center"/>
        <w:outlineLvl w:val="0"/>
        <w:rPr>
          <w:rFonts w:ascii="隶书" w:hAnsi="Arial" w:eastAsia="隶书" w:cs="Arial"/>
          <w:b/>
          <w:sz w:val="52"/>
          <w:szCs w:val="52"/>
        </w:rPr>
      </w:pPr>
      <w:r>
        <w:rPr>
          <w:rFonts w:hint="eastAsia" w:ascii="隶书" w:hAnsi="Arial" w:eastAsia="隶书" w:cs="Arial"/>
          <w:b/>
          <w:sz w:val="52"/>
          <w:szCs w:val="52"/>
        </w:rPr>
        <w:t>开</w:t>
      </w:r>
    </w:p>
    <w:p>
      <w:pPr>
        <w:spacing w:line="312" w:lineRule="auto"/>
        <w:jc w:val="center"/>
        <w:outlineLvl w:val="0"/>
        <w:rPr>
          <w:rFonts w:ascii="隶书" w:hAnsi="Arial" w:eastAsia="隶书" w:cs="Arial"/>
          <w:b/>
          <w:sz w:val="52"/>
          <w:szCs w:val="52"/>
        </w:rPr>
      </w:pPr>
      <w:r>
        <w:rPr>
          <w:rFonts w:hint="eastAsia" w:ascii="隶书" w:hAnsi="Arial" w:eastAsia="隶书" w:cs="Arial"/>
          <w:b/>
          <w:sz w:val="52"/>
          <w:szCs w:val="52"/>
        </w:rPr>
        <w:t>招</w:t>
      </w:r>
    </w:p>
    <w:p>
      <w:pPr>
        <w:spacing w:line="312" w:lineRule="auto"/>
        <w:jc w:val="center"/>
        <w:outlineLvl w:val="0"/>
        <w:rPr>
          <w:rFonts w:ascii="隶书" w:hAnsi="Arial" w:eastAsia="隶书" w:cs="Arial"/>
          <w:b/>
          <w:sz w:val="52"/>
          <w:szCs w:val="52"/>
        </w:rPr>
      </w:pPr>
      <w:r>
        <w:rPr>
          <w:rFonts w:hint="eastAsia" w:ascii="隶书" w:hAnsi="Arial" w:eastAsia="隶书" w:cs="Arial"/>
          <w:b/>
          <w:sz w:val="52"/>
          <w:szCs w:val="52"/>
        </w:rPr>
        <w:t>标</w:t>
      </w:r>
    </w:p>
    <w:p>
      <w:pPr>
        <w:spacing w:line="312" w:lineRule="auto"/>
        <w:jc w:val="center"/>
        <w:outlineLvl w:val="0"/>
        <w:rPr>
          <w:rFonts w:ascii="隶书" w:eastAsia="隶书"/>
          <w:b/>
          <w:sz w:val="52"/>
          <w:szCs w:val="52"/>
        </w:rPr>
      </w:pPr>
      <w:r>
        <w:rPr>
          <w:rFonts w:hint="eastAsia" w:ascii="隶书" w:eastAsia="隶书"/>
          <w:b/>
          <w:sz w:val="52"/>
          <w:szCs w:val="52"/>
        </w:rPr>
        <w:t>文</w:t>
      </w:r>
    </w:p>
    <w:p>
      <w:pPr>
        <w:spacing w:line="312" w:lineRule="auto"/>
        <w:jc w:val="center"/>
        <w:outlineLvl w:val="0"/>
        <w:rPr>
          <w:rFonts w:ascii="隶书" w:eastAsia="隶书"/>
          <w:b/>
          <w:sz w:val="28"/>
          <w:szCs w:val="28"/>
        </w:rPr>
      </w:pPr>
      <w:r>
        <w:rPr>
          <w:rFonts w:hint="eastAsia" w:ascii="隶书" w:eastAsia="隶书"/>
          <w:b/>
          <w:sz w:val="52"/>
          <w:szCs w:val="52"/>
        </w:rPr>
        <w:t>件</w:t>
      </w:r>
    </w:p>
    <w:p>
      <w:pPr>
        <w:spacing w:line="312" w:lineRule="auto"/>
        <w:jc w:val="center"/>
        <w:rPr>
          <w:rFonts w:ascii="隶书" w:eastAsia="隶书"/>
          <w:b/>
          <w:sz w:val="28"/>
          <w:szCs w:val="28"/>
        </w:rPr>
      </w:pPr>
    </w:p>
    <w:p>
      <w:pPr>
        <w:spacing w:line="312" w:lineRule="auto"/>
        <w:jc w:val="center"/>
        <w:rPr>
          <w:rFonts w:ascii="隶书" w:eastAsia="隶书"/>
          <w:b/>
          <w:sz w:val="28"/>
          <w:szCs w:val="28"/>
        </w:rPr>
      </w:pPr>
    </w:p>
    <w:p>
      <w:pPr>
        <w:spacing w:line="312" w:lineRule="auto"/>
        <w:jc w:val="center"/>
        <w:rPr>
          <w:rFonts w:hint="default" w:ascii="隶书" w:eastAsia="隶书"/>
          <w:b/>
          <w:sz w:val="28"/>
          <w:szCs w:val="28"/>
          <w:highlight w:val="none"/>
          <w:lang w:val="en-US" w:eastAsia="zh-CN"/>
        </w:rPr>
      </w:pPr>
      <w:r>
        <w:rPr>
          <w:rFonts w:hint="eastAsia" w:ascii="隶书" w:eastAsia="隶书"/>
          <w:b/>
          <w:sz w:val="28"/>
          <w:szCs w:val="28"/>
          <w:highlight w:val="none"/>
        </w:rPr>
        <w:t>招标编号</w:t>
      </w:r>
      <w:r>
        <w:rPr>
          <w:rFonts w:hint="eastAsia" w:ascii="隶书" w:eastAsia="隶书"/>
          <w:b/>
          <w:sz w:val="28"/>
          <w:szCs w:val="28"/>
          <w:highlight w:val="none"/>
          <w:lang w:eastAsia="zh-CN"/>
        </w:rPr>
        <w:t>：</w:t>
      </w:r>
      <w:r>
        <w:rPr>
          <w:rFonts w:hint="eastAsia" w:ascii="隶书" w:eastAsia="隶书"/>
          <w:b/>
          <w:sz w:val="28"/>
          <w:szCs w:val="28"/>
          <w:highlight w:val="none"/>
          <w:lang w:val="en-US" w:eastAsia="zh-CN"/>
        </w:rPr>
        <w:t>YH2023-03006</w:t>
      </w:r>
    </w:p>
    <w:tbl>
      <w:tblPr>
        <w:tblStyle w:val="29"/>
        <w:tblW w:w="7800" w:type="dxa"/>
        <w:jc w:val="center"/>
        <w:tblLayout w:type="fixed"/>
        <w:tblCellMar>
          <w:top w:w="0" w:type="dxa"/>
          <w:left w:w="108" w:type="dxa"/>
          <w:bottom w:w="0" w:type="dxa"/>
          <w:right w:w="108" w:type="dxa"/>
        </w:tblCellMar>
      </w:tblPr>
      <w:tblGrid>
        <w:gridCol w:w="2356"/>
        <w:gridCol w:w="5444"/>
      </w:tblGrid>
      <w:tr>
        <w:tblPrEx>
          <w:tblCellMar>
            <w:top w:w="0" w:type="dxa"/>
            <w:left w:w="108" w:type="dxa"/>
            <w:bottom w:w="0" w:type="dxa"/>
            <w:right w:w="108" w:type="dxa"/>
          </w:tblCellMar>
        </w:tblPrEx>
        <w:trPr>
          <w:trHeight w:val="399" w:hRule="atLeast"/>
          <w:jc w:val="center"/>
        </w:trPr>
        <w:tc>
          <w:tcPr>
            <w:tcW w:w="2356" w:type="dxa"/>
            <w:vAlign w:val="center"/>
          </w:tcPr>
          <w:p>
            <w:pPr>
              <w:spacing w:after="100" w:afterAutospacing="1"/>
              <w:rPr>
                <w:rFonts w:ascii="隶书" w:hAnsi="宋体" w:eastAsia="隶书"/>
                <w:sz w:val="28"/>
                <w:szCs w:val="28"/>
                <w:highlight w:val="none"/>
              </w:rPr>
            </w:pPr>
            <w:r>
              <w:rPr>
                <w:rFonts w:hint="eastAsia" w:ascii="隶书" w:hAnsi="宋体" w:eastAsia="隶书"/>
                <w:spacing w:val="93"/>
                <w:kern w:val="0"/>
                <w:sz w:val="28"/>
                <w:szCs w:val="28"/>
                <w:highlight w:val="none"/>
              </w:rPr>
              <w:t>采购单</w:t>
            </w:r>
            <w:r>
              <w:rPr>
                <w:rFonts w:hint="eastAsia" w:ascii="隶书" w:hAnsi="宋体" w:eastAsia="隶书"/>
                <w:spacing w:val="1"/>
                <w:kern w:val="0"/>
                <w:sz w:val="28"/>
                <w:szCs w:val="28"/>
                <w:highlight w:val="none"/>
              </w:rPr>
              <w:t>位</w:t>
            </w:r>
            <w:r>
              <w:rPr>
                <w:rFonts w:hint="eastAsia" w:ascii="隶书" w:hAnsi="宋体" w:eastAsia="隶书"/>
                <w:sz w:val="28"/>
                <w:szCs w:val="28"/>
                <w:highlight w:val="none"/>
              </w:rPr>
              <w:t>：</w:t>
            </w:r>
          </w:p>
        </w:tc>
        <w:tc>
          <w:tcPr>
            <w:tcW w:w="5444" w:type="dxa"/>
            <w:vAlign w:val="center"/>
          </w:tcPr>
          <w:p>
            <w:pPr>
              <w:spacing w:after="100" w:afterAutospacing="1"/>
              <w:rPr>
                <w:rFonts w:hint="eastAsia" w:ascii="隶书" w:hAnsi="宋体" w:eastAsia="隶书" w:cs="Times New Roman"/>
                <w:sz w:val="28"/>
                <w:szCs w:val="28"/>
                <w:highlight w:val="none"/>
                <w:lang w:eastAsia="zh-CN"/>
              </w:rPr>
            </w:pPr>
            <w:r>
              <w:rPr>
                <w:rFonts w:hint="eastAsia" w:ascii="隶书" w:hAnsi="宋体" w:eastAsia="隶书" w:cs="Times New Roman"/>
                <w:sz w:val="28"/>
                <w:szCs w:val="28"/>
                <w:highlight w:val="none"/>
                <w:lang w:eastAsia="zh-CN"/>
              </w:rPr>
              <w:t>绍兴市中等专业学校</w:t>
            </w:r>
          </w:p>
        </w:tc>
      </w:tr>
      <w:tr>
        <w:tblPrEx>
          <w:tblCellMar>
            <w:top w:w="0" w:type="dxa"/>
            <w:left w:w="108" w:type="dxa"/>
            <w:bottom w:w="0" w:type="dxa"/>
            <w:right w:w="108" w:type="dxa"/>
          </w:tblCellMar>
        </w:tblPrEx>
        <w:trPr>
          <w:trHeight w:val="399" w:hRule="atLeast"/>
          <w:jc w:val="center"/>
        </w:trPr>
        <w:tc>
          <w:tcPr>
            <w:tcW w:w="2356" w:type="dxa"/>
            <w:vAlign w:val="center"/>
          </w:tcPr>
          <w:p>
            <w:pPr>
              <w:spacing w:after="100" w:afterAutospacing="1"/>
              <w:rPr>
                <w:rFonts w:ascii="隶书" w:hAnsi="宋体" w:eastAsia="隶书"/>
                <w:sz w:val="28"/>
                <w:szCs w:val="28"/>
                <w:highlight w:val="none"/>
              </w:rPr>
            </w:pPr>
            <w:r>
              <w:rPr>
                <w:rFonts w:hint="eastAsia" w:ascii="隶书" w:hAnsi="宋体" w:eastAsia="隶书"/>
                <w:kern w:val="0"/>
                <w:sz w:val="28"/>
                <w:szCs w:val="28"/>
                <w:highlight w:val="none"/>
              </w:rPr>
              <w:t>采购代理机构</w:t>
            </w:r>
            <w:r>
              <w:rPr>
                <w:rFonts w:hint="eastAsia" w:ascii="隶书" w:hAnsi="宋体" w:eastAsia="隶书"/>
                <w:sz w:val="28"/>
                <w:szCs w:val="28"/>
                <w:highlight w:val="none"/>
              </w:rPr>
              <w:t>：</w:t>
            </w:r>
          </w:p>
        </w:tc>
        <w:tc>
          <w:tcPr>
            <w:tcW w:w="5444" w:type="dxa"/>
          </w:tcPr>
          <w:p>
            <w:pPr>
              <w:spacing w:after="100" w:afterAutospacing="1"/>
              <w:rPr>
                <w:rFonts w:hint="eastAsia" w:ascii="隶书" w:hAnsi="宋体" w:eastAsia="隶书" w:cs="Times New Roman"/>
                <w:sz w:val="28"/>
                <w:szCs w:val="28"/>
                <w:highlight w:val="none"/>
                <w:lang w:eastAsia="zh-CN"/>
              </w:rPr>
            </w:pPr>
            <w:r>
              <w:rPr>
                <w:rFonts w:hint="eastAsia" w:ascii="隶书" w:hAnsi="宋体" w:eastAsia="隶书" w:cs="Times New Roman"/>
                <w:sz w:val="28"/>
                <w:szCs w:val="28"/>
                <w:highlight w:val="none"/>
                <w:lang w:eastAsia="zh-CN"/>
              </w:rPr>
              <w:t>耀华建设管理有限公司</w:t>
            </w:r>
          </w:p>
        </w:tc>
      </w:tr>
      <w:tr>
        <w:tblPrEx>
          <w:tblCellMar>
            <w:top w:w="0" w:type="dxa"/>
            <w:left w:w="108" w:type="dxa"/>
            <w:bottom w:w="0" w:type="dxa"/>
            <w:right w:w="108" w:type="dxa"/>
          </w:tblCellMar>
        </w:tblPrEx>
        <w:trPr>
          <w:trHeight w:val="399" w:hRule="atLeast"/>
          <w:jc w:val="center"/>
        </w:trPr>
        <w:tc>
          <w:tcPr>
            <w:tcW w:w="2356" w:type="dxa"/>
            <w:vAlign w:val="center"/>
          </w:tcPr>
          <w:p>
            <w:pPr>
              <w:spacing w:after="100" w:afterAutospacing="1"/>
              <w:rPr>
                <w:rFonts w:ascii="隶书" w:hAnsi="宋体" w:eastAsia="隶书"/>
                <w:sz w:val="28"/>
                <w:szCs w:val="28"/>
                <w:highlight w:val="none"/>
              </w:rPr>
            </w:pPr>
            <w:r>
              <w:rPr>
                <w:rFonts w:hint="eastAsia" w:ascii="隶书" w:hAnsi="宋体" w:eastAsia="隶书"/>
                <w:spacing w:val="93"/>
                <w:kern w:val="0"/>
                <w:sz w:val="28"/>
                <w:szCs w:val="28"/>
                <w:highlight w:val="none"/>
              </w:rPr>
              <w:t>监督单</w:t>
            </w:r>
            <w:r>
              <w:rPr>
                <w:rFonts w:hint="eastAsia" w:ascii="隶书" w:hAnsi="宋体" w:eastAsia="隶书"/>
                <w:spacing w:val="1"/>
                <w:kern w:val="0"/>
                <w:sz w:val="28"/>
                <w:szCs w:val="28"/>
                <w:highlight w:val="none"/>
              </w:rPr>
              <w:t>位</w:t>
            </w:r>
            <w:r>
              <w:rPr>
                <w:rFonts w:hint="eastAsia" w:ascii="隶书" w:hAnsi="宋体" w:eastAsia="隶书"/>
                <w:sz w:val="28"/>
                <w:szCs w:val="28"/>
                <w:highlight w:val="none"/>
              </w:rPr>
              <w:t>：</w:t>
            </w:r>
          </w:p>
        </w:tc>
        <w:tc>
          <w:tcPr>
            <w:tcW w:w="5444" w:type="dxa"/>
          </w:tcPr>
          <w:p>
            <w:pPr>
              <w:spacing w:after="100" w:afterAutospacing="1"/>
              <w:rPr>
                <w:rFonts w:hint="eastAsia" w:ascii="隶书" w:hAnsi="宋体" w:eastAsia="隶书" w:cs="Times New Roman"/>
                <w:sz w:val="28"/>
                <w:szCs w:val="28"/>
                <w:highlight w:val="none"/>
                <w:lang w:eastAsia="zh-CN"/>
              </w:rPr>
            </w:pPr>
            <w:r>
              <w:rPr>
                <w:rFonts w:hint="eastAsia" w:ascii="隶书" w:hAnsi="宋体" w:eastAsia="隶书" w:cs="Times New Roman"/>
                <w:sz w:val="28"/>
                <w:szCs w:val="28"/>
                <w:highlight w:val="none"/>
                <w:lang w:eastAsia="zh-CN"/>
              </w:rPr>
              <w:t>绍兴市财政局</w:t>
            </w:r>
          </w:p>
        </w:tc>
      </w:tr>
      <w:tr>
        <w:tblPrEx>
          <w:tblCellMar>
            <w:top w:w="0" w:type="dxa"/>
            <w:left w:w="108" w:type="dxa"/>
            <w:bottom w:w="0" w:type="dxa"/>
            <w:right w:w="108" w:type="dxa"/>
          </w:tblCellMar>
        </w:tblPrEx>
        <w:trPr>
          <w:trHeight w:val="399" w:hRule="atLeast"/>
          <w:jc w:val="center"/>
        </w:trPr>
        <w:tc>
          <w:tcPr>
            <w:tcW w:w="7800" w:type="dxa"/>
            <w:gridSpan w:val="2"/>
          </w:tcPr>
          <w:p>
            <w:pPr>
              <w:spacing w:after="100" w:afterAutospacing="1"/>
              <w:jc w:val="center"/>
              <w:rPr>
                <w:rFonts w:ascii="隶书" w:hAnsi="宋体" w:eastAsia="隶书"/>
                <w:sz w:val="28"/>
                <w:szCs w:val="28"/>
                <w:highlight w:val="none"/>
              </w:rPr>
            </w:pPr>
            <w:r>
              <w:rPr>
                <w:rFonts w:hint="eastAsia" w:ascii="隶书" w:eastAsia="隶书"/>
                <w:b/>
                <w:sz w:val="28"/>
                <w:szCs w:val="28"/>
                <w:highlight w:val="none"/>
              </w:rPr>
              <w:t>二</w:t>
            </w:r>
            <w:r>
              <w:rPr>
                <w:rFonts w:ascii="隶书" w:eastAsia="隶书"/>
                <w:b/>
                <w:sz w:val="28"/>
                <w:szCs w:val="28"/>
                <w:highlight w:val="none"/>
              </w:rPr>
              <w:t>0</w:t>
            </w:r>
            <w:r>
              <w:rPr>
                <w:rFonts w:hint="eastAsia" w:ascii="隶书" w:eastAsia="隶书"/>
                <w:b/>
                <w:sz w:val="28"/>
                <w:szCs w:val="28"/>
                <w:highlight w:val="none"/>
              </w:rPr>
              <w:t>二</w:t>
            </w:r>
            <w:r>
              <w:rPr>
                <w:rFonts w:hint="eastAsia" w:ascii="隶书" w:eastAsia="隶书"/>
                <w:b/>
                <w:sz w:val="28"/>
                <w:szCs w:val="28"/>
                <w:highlight w:val="none"/>
                <w:lang w:val="en-US" w:eastAsia="zh-CN"/>
              </w:rPr>
              <w:t>三</w:t>
            </w:r>
            <w:r>
              <w:rPr>
                <w:rFonts w:hint="eastAsia" w:ascii="隶书" w:eastAsia="隶书"/>
                <w:b/>
                <w:sz w:val="28"/>
                <w:szCs w:val="28"/>
                <w:highlight w:val="none"/>
              </w:rPr>
              <w:t>年</w:t>
            </w:r>
            <w:r>
              <w:rPr>
                <w:rFonts w:hint="eastAsia" w:ascii="隶书" w:eastAsia="隶书"/>
                <w:b/>
                <w:sz w:val="28"/>
                <w:szCs w:val="28"/>
                <w:highlight w:val="none"/>
                <w:lang w:val="en-US" w:eastAsia="zh-CN"/>
              </w:rPr>
              <w:t>三</w:t>
            </w:r>
            <w:r>
              <w:rPr>
                <w:rFonts w:hint="eastAsia" w:ascii="隶书" w:eastAsia="隶书"/>
                <w:b/>
                <w:sz w:val="28"/>
                <w:szCs w:val="28"/>
                <w:highlight w:val="none"/>
              </w:rPr>
              <w:t>月</w:t>
            </w:r>
          </w:p>
        </w:tc>
      </w:tr>
    </w:tbl>
    <w:p>
      <w:pPr>
        <w:jc w:val="both"/>
        <w:rPr>
          <w:rFonts w:hint="eastAsia" w:ascii="仿宋" w:hAnsi="仿宋" w:eastAsia="仿宋" w:cs="仿宋"/>
          <w:b/>
          <w:sz w:val="44"/>
          <w:szCs w:val="44"/>
          <w:highlight w:val="none"/>
        </w:rPr>
      </w:pPr>
    </w:p>
    <w:p>
      <w:pPr>
        <w:jc w:val="center"/>
        <w:rPr>
          <w:rFonts w:hint="eastAsia" w:ascii="仿宋" w:hAnsi="仿宋" w:eastAsia="仿宋" w:cs="仿宋"/>
          <w:b/>
          <w:sz w:val="44"/>
          <w:szCs w:val="44"/>
          <w:highlight w:val="none"/>
        </w:rPr>
      </w:pPr>
    </w:p>
    <w:p>
      <w:pPr>
        <w:jc w:val="center"/>
        <w:rPr>
          <w:rFonts w:hint="eastAsia" w:ascii="仿宋" w:hAnsi="仿宋" w:eastAsia="仿宋" w:cs="仿宋"/>
          <w:b/>
          <w:sz w:val="44"/>
          <w:szCs w:val="44"/>
          <w:highlight w:val="none"/>
        </w:rPr>
      </w:pPr>
    </w:p>
    <w:p>
      <w:pPr>
        <w:jc w:val="center"/>
        <w:rPr>
          <w:rFonts w:hint="eastAsia" w:ascii="仿宋" w:hAnsi="仿宋" w:eastAsia="仿宋" w:cs="仿宋"/>
          <w:b/>
          <w:sz w:val="44"/>
          <w:szCs w:val="44"/>
          <w:highlight w:val="none"/>
        </w:rPr>
      </w:pPr>
    </w:p>
    <w:p>
      <w:pPr>
        <w:jc w:val="center"/>
        <w:rPr>
          <w:rFonts w:ascii="仿宋" w:hAnsi="仿宋" w:eastAsia="仿宋" w:cs="仿宋"/>
          <w:b/>
          <w:sz w:val="44"/>
          <w:szCs w:val="44"/>
          <w:highlight w:val="none"/>
        </w:rPr>
      </w:pPr>
      <w:r>
        <w:rPr>
          <w:rFonts w:hint="eastAsia" w:ascii="仿宋" w:hAnsi="仿宋" w:eastAsia="仿宋" w:cs="仿宋"/>
          <w:b/>
          <w:sz w:val="44"/>
          <w:szCs w:val="44"/>
          <w:highlight w:val="none"/>
        </w:rPr>
        <w:t>目录</w:t>
      </w:r>
    </w:p>
    <w:p>
      <w:pPr>
        <w:jc w:val="center"/>
        <w:rPr>
          <w:rFonts w:ascii="仿宋" w:hAnsi="仿宋" w:eastAsia="仿宋" w:cs="仿宋"/>
          <w:b/>
          <w:sz w:val="44"/>
          <w:szCs w:val="44"/>
          <w:highlight w:val="none"/>
        </w:rPr>
      </w:pPr>
    </w:p>
    <w:p>
      <w:pPr>
        <w:jc w:val="center"/>
        <w:rPr>
          <w:rFonts w:ascii="仿宋" w:hAnsi="仿宋" w:eastAsia="仿宋" w:cs="仿宋"/>
          <w:highlight w:val="none"/>
        </w:rPr>
      </w:pPr>
    </w:p>
    <w:p>
      <w:pPr>
        <w:snapToGrid w:val="0"/>
        <w:spacing w:line="480" w:lineRule="auto"/>
        <w:ind w:firstLine="1807" w:firstLineChars="500"/>
        <w:jc w:val="left"/>
        <w:rPr>
          <w:rFonts w:ascii="仿宋" w:hAnsi="仿宋" w:eastAsia="仿宋" w:cs="仿宋"/>
          <w:b/>
          <w:sz w:val="36"/>
          <w:szCs w:val="36"/>
          <w:highlight w:val="none"/>
        </w:rPr>
      </w:pPr>
      <w:r>
        <w:rPr>
          <w:rFonts w:hint="eastAsia" w:ascii="仿宋" w:hAnsi="仿宋" w:eastAsia="仿宋" w:cs="仿宋"/>
          <w:b/>
          <w:sz w:val="36"/>
          <w:szCs w:val="36"/>
          <w:highlight w:val="none"/>
        </w:rPr>
        <w:t>第一部分 招标公告</w:t>
      </w:r>
    </w:p>
    <w:p>
      <w:pPr>
        <w:snapToGrid w:val="0"/>
        <w:spacing w:line="480" w:lineRule="auto"/>
        <w:ind w:firstLine="1807" w:firstLineChars="500"/>
        <w:jc w:val="left"/>
        <w:rPr>
          <w:rFonts w:ascii="仿宋" w:hAnsi="仿宋" w:eastAsia="仿宋" w:cs="仿宋"/>
          <w:b/>
          <w:sz w:val="36"/>
          <w:szCs w:val="36"/>
          <w:highlight w:val="none"/>
        </w:rPr>
      </w:pPr>
      <w:r>
        <w:rPr>
          <w:rFonts w:hint="eastAsia" w:ascii="仿宋" w:hAnsi="仿宋" w:eastAsia="仿宋" w:cs="仿宋"/>
          <w:b/>
          <w:sz w:val="36"/>
          <w:szCs w:val="36"/>
          <w:highlight w:val="none"/>
        </w:rPr>
        <w:t>第二部分 投标须知</w:t>
      </w:r>
    </w:p>
    <w:p>
      <w:pPr>
        <w:snapToGrid w:val="0"/>
        <w:spacing w:line="480" w:lineRule="auto"/>
        <w:ind w:firstLine="1807" w:firstLineChars="500"/>
        <w:jc w:val="left"/>
        <w:rPr>
          <w:rFonts w:ascii="仿宋" w:hAnsi="仿宋" w:eastAsia="仿宋" w:cs="仿宋"/>
          <w:b/>
          <w:sz w:val="36"/>
          <w:szCs w:val="36"/>
          <w:highlight w:val="none"/>
        </w:rPr>
      </w:pPr>
      <w:r>
        <w:rPr>
          <w:rFonts w:hint="eastAsia" w:ascii="仿宋" w:hAnsi="仿宋" w:eastAsia="仿宋" w:cs="仿宋"/>
          <w:b/>
          <w:sz w:val="36"/>
          <w:szCs w:val="36"/>
          <w:highlight w:val="none"/>
        </w:rPr>
        <w:t>第三部分 招标项目范围及要求</w:t>
      </w:r>
    </w:p>
    <w:p>
      <w:pPr>
        <w:snapToGrid w:val="0"/>
        <w:spacing w:line="480" w:lineRule="auto"/>
        <w:ind w:firstLine="1807" w:firstLineChars="500"/>
        <w:jc w:val="left"/>
        <w:rPr>
          <w:rFonts w:ascii="仿宋" w:hAnsi="仿宋" w:eastAsia="仿宋" w:cs="仿宋"/>
          <w:b/>
          <w:sz w:val="36"/>
          <w:szCs w:val="36"/>
          <w:highlight w:val="none"/>
        </w:rPr>
      </w:pPr>
      <w:r>
        <w:rPr>
          <w:rFonts w:hint="eastAsia" w:ascii="仿宋" w:hAnsi="仿宋" w:eastAsia="仿宋" w:cs="仿宋"/>
          <w:b/>
          <w:sz w:val="36"/>
          <w:szCs w:val="36"/>
          <w:highlight w:val="none"/>
        </w:rPr>
        <w:t>第四部分  投标文件及其附件格式</w:t>
      </w:r>
    </w:p>
    <w:p>
      <w:pPr>
        <w:snapToGrid w:val="0"/>
        <w:spacing w:line="480" w:lineRule="auto"/>
        <w:jc w:val="left"/>
        <w:rPr>
          <w:rFonts w:ascii="仿宋" w:hAnsi="仿宋" w:eastAsia="仿宋" w:cs="仿宋"/>
          <w:sz w:val="36"/>
          <w:szCs w:val="36"/>
          <w:highlight w:val="none"/>
        </w:rPr>
      </w:pPr>
    </w:p>
    <w:p>
      <w:pPr>
        <w:snapToGrid w:val="0"/>
        <w:spacing w:line="480" w:lineRule="auto"/>
        <w:jc w:val="left"/>
        <w:rPr>
          <w:rFonts w:ascii="仿宋" w:hAnsi="仿宋" w:eastAsia="仿宋" w:cs="仿宋"/>
          <w:sz w:val="36"/>
          <w:szCs w:val="36"/>
          <w:highlight w:val="none"/>
        </w:rPr>
      </w:pPr>
    </w:p>
    <w:p>
      <w:pPr>
        <w:snapToGrid w:val="0"/>
        <w:spacing w:line="480" w:lineRule="auto"/>
        <w:jc w:val="left"/>
        <w:rPr>
          <w:rFonts w:ascii="仿宋" w:hAnsi="仿宋" w:eastAsia="仿宋" w:cs="仿宋"/>
          <w:sz w:val="36"/>
          <w:szCs w:val="36"/>
          <w:highlight w:val="none"/>
        </w:rPr>
      </w:pPr>
    </w:p>
    <w:p>
      <w:pPr>
        <w:snapToGrid w:val="0"/>
        <w:spacing w:line="480" w:lineRule="auto"/>
        <w:jc w:val="left"/>
        <w:rPr>
          <w:rFonts w:ascii="仿宋" w:hAnsi="仿宋" w:eastAsia="仿宋" w:cs="仿宋"/>
          <w:sz w:val="36"/>
          <w:szCs w:val="36"/>
          <w:highlight w:val="none"/>
        </w:rPr>
      </w:pPr>
    </w:p>
    <w:p>
      <w:pPr>
        <w:snapToGrid w:val="0"/>
        <w:spacing w:line="480" w:lineRule="auto"/>
        <w:jc w:val="left"/>
        <w:rPr>
          <w:rFonts w:ascii="仿宋" w:hAnsi="仿宋" w:eastAsia="仿宋" w:cs="仿宋"/>
          <w:sz w:val="36"/>
          <w:szCs w:val="36"/>
          <w:highlight w:val="none"/>
        </w:rPr>
      </w:pPr>
    </w:p>
    <w:p>
      <w:pPr>
        <w:snapToGrid w:val="0"/>
        <w:spacing w:line="288" w:lineRule="auto"/>
        <w:rPr>
          <w:rFonts w:ascii="仿宋" w:hAnsi="仿宋" w:eastAsia="仿宋" w:cs="仿宋"/>
          <w:b/>
          <w:sz w:val="36"/>
          <w:szCs w:val="36"/>
          <w:highlight w:val="none"/>
        </w:rPr>
      </w:pPr>
    </w:p>
    <w:p>
      <w:pPr>
        <w:pageBreakBefore/>
        <w:snapToGrid w:val="0"/>
        <w:spacing w:line="600" w:lineRule="exact"/>
        <w:jc w:val="center"/>
        <w:rPr>
          <w:rFonts w:ascii="仿宋" w:hAnsi="仿宋" w:eastAsia="仿宋" w:cs="仿宋"/>
          <w:b/>
          <w:sz w:val="36"/>
          <w:szCs w:val="36"/>
          <w:highlight w:val="none"/>
        </w:rPr>
      </w:pPr>
      <w:r>
        <w:rPr>
          <w:rFonts w:hint="eastAsia" w:ascii="仿宋" w:hAnsi="仿宋" w:eastAsia="仿宋" w:cs="仿宋"/>
          <w:b/>
          <w:sz w:val="36"/>
          <w:szCs w:val="36"/>
          <w:highlight w:val="none"/>
        </w:rPr>
        <w:t>第一部分 招标公告</w:t>
      </w:r>
    </w:p>
    <w:tbl>
      <w:tblPr>
        <w:tblStyle w:val="29"/>
        <w:tblW w:w="5000" w:type="pct"/>
        <w:tblInd w:w="0" w:type="dxa"/>
        <w:tblLayout w:type="autofit"/>
        <w:tblCellMar>
          <w:top w:w="0" w:type="dxa"/>
          <w:left w:w="0" w:type="dxa"/>
          <w:bottom w:w="0" w:type="dxa"/>
          <w:right w:w="0" w:type="dxa"/>
        </w:tblCellMar>
      </w:tblPr>
      <w:tblGrid>
        <w:gridCol w:w="9026"/>
      </w:tblGrid>
      <w:tr>
        <w:tblPrEx>
          <w:tblCellMar>
            <w:top w:w="0" w:type="dxa"/>
            <w:left w:w="0" w:type="dxa"/>
            <w:bottom w:w="0" w:type="dxa"/>
            <w:right w:w="0" w:type="dxa"/>
          </w:tblCellMar>
        </w:tblPrEx>
        <w:tc>
          <w:tcPr>
            <w:tcW w:w="5000" w:type="pct"/>
            <w:vAlign w:val="center"/>
          </w:tcPr>
          <w:p>
            <w:pPr>
              <w:spacing w:line="288" w:lineRule="auto"/>
              <w:rPr>
                <w:rFonts w:ascii="仿宋" w:hAnsi="仿宋" w:eastAsia="仿宋" w:cs="仿宋"/>
                <w:sz w:val="24"/>
                <w:highlight w:val="none"/>
              </w:rPr>
            </w:pPr>
            <w:r>
              <w:rPr>
                <w:rFonts w:hint="eastAsia" w:ascii="仿宋" w:hAnsi="仿宋" w:eastAsia="仿宋" w:cs="仿宋"/>
                <w:sz w:val="24"/>
                <w:highlight w:val="none"/>
              </w:rPr>
              <w:br w:type="page"/>
            </w:r>
          </w:p>
          <w:tbl>
            <w:tblPr>
              <w:tblStyle w:val="29"/>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8612" w:type="dxa"/>
                </w:tcPr>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项目概况：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eastAsia="zh-CN"/>
                    </w:rPr>
                    <w:t>绍兴市中等专业学校田径场塑胶跑道（操场）改造工程</w:t>
                  </w:r>
                  <w:r>
                    <w:rPr>
                      <w:rFonts w:hint="eastAsia" w:ascii="仿宋" w:hAnsi="仿宋" w:eastAsia="仿宋" w:cs="仿宋"/>
                      <w:kern w:val="0"/>
                      <w:sz w:val="24"/>
                      <w:highlight w:val="none"/>
                    </w:rPr>
                    <w:t>的潜在供应商应在http://www.zcygov.cn/ 获取（下载）采购文件，并于</w:t>
                  </w:r>
                  <w:r>
                    <w:rPr>
                      <w:rFonts w:hint="eastAsia" w:ascii="仿宋" w:hAnsi="仿宋" w:eastAsia="仿宋" w:cs="仿宋"/>
                      <w:kern w:val="0"/>
                      <w:sz w:val="24"/>
                      <w:highlight w:val="none"/>
                      <w:lang w:eastAsia="zh-CN"/>
                    </w:rPr>
                    <w:t>202</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30</w:t>
                  </w:r>
                  <w:r>
                    <w:rPr>
                      <w:rFonts w:hint="eastAsia" w:ascii="仿宋" w:hAnsi="仿宋" w:eastAsia="仿宋" w:cs="仿宋"/>
                      <w:kern w:val="0"/>
                      <w:sz w:val="24"/>
                      <w:highlight w:val="none"/>
                    </w:rPr>
                    <w:t>日</w:t>
                  </w:r>
                  <w:r>
                    <w:rPr>
                      <w:rFonts w:hint="eastAsia" w:ascii="仿宋" w:hAnsi="仿宋" w:eastAsia="仿宋" w:cs="仿宋"/>
                      <w:kern w:val="0"/>
                      <w:sz w:val="24"/>
                      <w:highlight w:val="none"/>
                      <w:lang w:val="en-US" w:eastAsia="zh-CN"/>
                    </w:rPr>
                    <w:t>9</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rPr>
                    <w:t>0（北京时间）前递交（上传）投标文件。</w:t>
                  </w:r>
                </w:p>
              </w:tc>
            </w:tr>
          </w:tbl>
          <w:p>
            <w:pPr>
              <w:widowControl/>
              <w:snapToGrid w:val="0"/>
              <w:spacing w:line="288"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一、项目基本情况 </w:t>
            </w:r>
          </w:p>
          <w:p>
            <w:pPr>
              <w:widowControl/>
              <w:snapToGrid w:val="0"/>
              <w:spacing w:line="288" w:lineRule="auto"/>
              <w:ind w:firstLine="480" w:firstLineChars="200"/>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rPr>
              <w:t>项目编号</w:t>
            </w:r>
            <w:r>
              <w:rPr>
                <w:rFonts w:hint="eastAsia" w:ascii="仿宋" w:hAnsi="仿宋" w:eastAsia="仿宋" w:cs="仿宋"/>
                <w:kern w:val="0"/>
                <w:sz w:val="24"/>
                <w:highlight w:val="none"/>
                <w:lang w:val="en-US" w:eastAsia="zh-CN"/>
              </w:rPr>
              <w:t>：YH2023-03006</w:t>
            </w:r>
          </w:p>
          <w:p>
            <w:pPr>
              <w:widowControl/>
              <w:snapToGrid w:val="0"/>
              <w:spacing w:line="288" w:lineRule="auto"/>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项目名称：</w:t>
            </w:r>
            <w:r>
              <w:rPr>
                <w:rFonts w:hint="eastAsia" w:ascii="仿宋" w:hAnsi="仿宋" w:eastAsia="仿宋" w:cs="仿宋"/>
                <w:kern w:val="0"/>
                <w:sz w:val="24"/>
                <w:highlight w:val="none"/>
                <w:lang w:eastAsia="zh-CN"/>
              </w:rPr>
              <w:t>绍兴市中等专业学校田径场塑胶跑道（操场）改造工程</w:t>
            </w:r>
          </w:p>
          <w:p>
            <w:pPr>
              <w:widowControl/>
              <w:snapToGrid w:val="0"/>
              <w:spacing w:line="28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采购方式：公开招标</w:t>
            </w:r>
          </w:p>
          <w:p>
            <w:pPr>
              <w:widowControl/>
              <w:snapToGrid w:val="0"/>
              <w:spacing w:line="28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预算金额（元）：</w:t>
            </w:r>
            <w:r>
              <w:rPr>
                <w:rFonts w:hint="eastAsia" w:ascii="仿宋" w:hAnsi="仿宋" w:eastAsia="仿宋" w:cs="仿宋"/>
                <w:kern w:val="0"/>
                <w:sz w:val="24"/>
                <w:highlight w:val="none"/>
                <w:lang w:val="en-US" w:eastAsia="zh-CN"/>
              </w:rPr>
              <w:t>1800000</w:t>
            </w:r>
            <w:r>
              <w:rPr>
                <w:rFonts w:hint="eastAsia" w:ascii="仿宋" w:hAnsi="仿宋" w:eastAsia="仿宋" w:cs="仿宋"/>
                <w:kern w:val="0"/>
                <w:sz w:val="24"/>
                <w:highlight w:val="none"/>
              </w:rPr>
              <w:t>  </w:t>
            </w:r>
          </w:p>
          <w:p>
            <w:pPr>
              <w:widowControl/>
              <w:snapToGrid w:val="0"/>
              <w:spacing w:line="288" w:lineRule="auto"/>
              <w:ind w:firstLine="480" w:firstLineChars="20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最高限价（元）：</w:t>
            </w:r>
            <w:r>
              <w:rPr>
                <w:rFonts w:hint="eastAsia" w:ascii="仿宋" w:hAnsi="仿宋" w:eastAsia="仿宋" w:cs="仿宋"/>
                <w:kern w:val="0"/>
                <w:sz w:val="24"/>
                <w:highlight w:val="none"/>
                <w:lang w:val="en-US" w:eastAsia="zh-CN"/>
              </w:rPr>
              <w:t>1799823</w:t>
            </w:r>
          </w:p>
          <w:p>
            <w:pPr>
              <w:widowControl/>
              <w:snapToGrid w:val="0"/>
              <w:spacing w:line="28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采购需求：详见采购文件</w:t>
            </w:r>
          </w:p>
          <w:p>
            <w:pPr>
              <w:widowControl/>
              <w:snapToGrid w:val="0"/>
              <w:spacing w:line="288" w:lineRule="auto"/>
              <w:ind w:firstLine="480" w:firstLineChars="200"/>
              <w:rPr>
                <w:rFonts w:ascii="仿宋" w:hAnsi="仿宋" w:eastAsia="仿宋" w:cs="仿宋"/>
                <w:color w:val="auto"/>
                <w:kern w:val="0"/>
                <w:sz w:val="24"/>
                <w:highlight w:val="none"/>
              </w:rPr>
            </w:pPr>
            <w:r>
              <w:rPr>
                <w:rFonts w:hint="eastAsia" w:ascii="仿宋" w:hAnsi="仿宋" w:eastAsia="仿宋" w:cs="仿宋"/>
                <w:kern w:val="0"/>
                <w:sz w:val="24"/>
                <w:highlight w:val="none"/>
              </w:rPr>
              <w:t>标项一:</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     标项名称:</w:t>
            </w:r>
            <w:r>
              <w:rPr>
                <w:rFonts w:hint="eastAsia" w:ascii="仿宋" w:hAnsi="仿宋" w:eastAsia="仿宋" w:cs="仿宋"/>
                <w:kern w:val="0"/>
                <w:sz w:val="24"/>
                <w:highlight w:val="none"/>
                <w:lang w:eastAsia="zh-CN"/>
              </w:rPr>
              <w:t>绍兴市中等专业学校田径场塑胶跑道（操场）改造工程</w:t>
            </w:r>
            <w:r>
              <w:rPr>
                <w:rFonts w:hint="eastAsia" w:ascii="仿宋" w:hAnsi="仿宋" w:eastAsia="仿宋" w:cs="仿宋"/>
                <w:kern w:val="0"/>
                <w:sz w:val="24"/>
                <w:highlight w:val="none"/>
              </w:rPr>
              <w:t> </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     数量:不限</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     预算金额（元）:</w:t>
            </w:r>
            <w:r>
              <w:rPr>
                <w:rFonts w:hint="eastAsia" w:ascii="仿宋" w:hAnsi="仿宋" w:eastAsia="仿宋" w:cs="仿宋"/>
                <w:kern w:val="0"/>
                <w:sz w:val="24"/>
                <w:highlight w:val="none"/>
                <w:lang w:val="en-US" w:eastAsia="zh-CN"/>
              </w:rPr>
              <w:t>1800000</w:t>
            </w:r>
            <w:r>
              <w:rPr>
                <w:rFonts w:hint="eastAsia" w:ascii="仿宋" w:hAnsi="仿宋" w:eastAsia="仿宋" w:cs="仿宋"/>
                <w:kern w:val="0"/>
                <w:sz w:val="24"/>
                <w:highlight w:val="none"/>
              </w:rPr>
              <w:br w:type="textWrapping"/>
            </w:r>
            <w:r>
              <w:rPr>
                <w:rFonts w:hint="eastAsia" w:ascii="仿宋" w:hAnsi="仿宋" w:eastAsia="仿宋" w:cs="仿宋"/>
                <w:color w:val="auto"/>
                <w:kern w:val="0"/>
                <w:sz w:val="24"/>
                <w:highlight w:val="none"/>
              </w:rPr>
              <w:t>     简要规格描述或项目基本概况介绍、用途：详见采购文件。 </w:t>
            </w:r>
          </w:p>
          <w:p>
            <w:pPr>
              <w:pStyle w:val="66"/>
              <w:spacing w:afterLines="0" w:line="288" w:lineRule="auto"/>
              <w:ind w:left="479" w:leftChars="228"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备注：无。</w:t>
            </w:r>
          </w:p>
          <w:p>
            <w:pPr>
              <w:pStyle w:val="66"/>
              <w:spacing w:afterLines="0" w:line="288"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合同履约期限：按双方合同约定条款执行。</w:t>
            </w:r>
          </w:p>
          <w:p>
            <w:pPr>
              <w:widowControl/>
              <w:snapToGrid w:val="0"/>
              <w:spacing w:line="288"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本项目（</w:t>
            </w:r>
            <w:r>
              <w:rPr>
                <w:rFonts w:hint="eastAsia" w:ascii="仿宋" w:hAnsi="仿宋" w:eastAsia="仿宋" w:cs="仿宋"/>
                <w:color w:val="auto"/>
                <w:kern w:val="0"/>
                <w:sz w:val="24"/>
                <w:highlight w:val="none"/>
                <w:lang w:val="en-US" w:eastAsia="zh-CN"/>
              </w:rPr>
              <w:t>是</w:t>
            </w:r>
            <w:r>
              <w:rPr>
                <w:rFonts w:hint="eastAsia" w:ascii="仿宋" w:hAnsi="仿宋" w:eastAsia="仿宋" w:cs="仿宋"/>
                <w:color w:val="auto"/>
                <w:kern w:val="0"/>
                <w:sz w:val="24"/>
                <w:highlight w:val="none"/>
              </w:rPr>
              <w:t>）接受联合体投标。</w:t>
            </w:r>
          </w:p>
          <w:p>
            <w:pPr>
              <w:widowControl/>
              <w:snapToGrid w:val="0"/>
              <w:spacing w:line="288"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二、申请人的资格要求：</w:t>
            </w:r>
          </w:p>
          <w:p>
            <w:pPr>
              <w:widowControl/>
              <w:snapToGrid w:val="0"/>
              <w:spacing w:line="288"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1.符合《中华人民共和国政府采购法》第二十二条的规定 ；未被“信用中国”（www.creditchina.gov.cn）、中国政府采购网（www.ccgp.gov.cn）列入失信被执行人、重大税收违法案件当事人名单、政府采购严重违法失信行为记录名单。</w:t>
            </w:r>
          </w:p>
          <w:p>
            <w:pPr>
              <w:widowControl/>
              <w:snapToGrid w:val="0"/>
              <w:spacing w:line="288"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kern w:val="0"/>
                <w:sz w:val="24"/>
              </w:rPr>
              <w:t>2.以联合体形式投标的，提供联合体协议（本项目不接受联合体投标或者投标人不以联合体形式投标的，则不需要提供）。</w:t>
            </w:r>
          </w:p>
          <w:p>
            <w:pPr>
              <w:widowControl/>
              <w:snapToGrid w:val="0"/>
              <w:spacing w:line="288"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.落实政府采购政策需满足的资格要求：</w:t>
            </w:r>
          </w:p>
          <w:p>
            <w:pPr>
              <w:widowControl/>
              <w:snapToGrid w:val="0"/>
              <w:spacing w:line="288"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无；</w:t>
            </w:r>
          </w:p>
          <w:p>
            <w:pPr>
              <w:widowControl/>
              <w:snapToGrid w:val="0"/>
              <w:spacing w:line="288"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专门面向中小企业</w:t>
            </w:r>
          </w:p>
          <w:p>
            <w:pPr>
              <w:widowControl/>
              <w:snapToGrid w:val="0"/>
              <w:spacing w:line="288"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lang w:val="en-US" w:eastAsia="zh-CN"/>
              </w:rPr>
              <w:t>工程</w:t>
            </w:r>
            <w:r>
              <w:rPr>
                <w:rFonts w:hint="eastAsia" w:ascii="仿宋" w:hAnsi="仿宋" w:eastAsia="仿宋" w:cs="仿宋"/>
                <w:color w:val="auto"/>
                <w:kern w:val="0"/>
                <w:sz w:val="24"/>
                <w:highlight w:val="none"/>
              </w:rPr>
              <w:t>全部由符合政策要求的中小</w:t>
            </w:r>
            <w:r>
              <w:rPr>
                <w:rFonts w:hint="eastAsia" w:ascii="仿宋" w:hAnsi="仿宋" w:eastAsia="仿宋" w:cs="仿宋"/>
                <w:color w:val="auto"/>
                <w:kern w:val="0"/>
                <w:sz w:val="24"/>
                <w:highlight w:val="none"/>
                <w:lang w:val="en-US" w:eastAsia="zh-CN"/>
              </w:rPr>
              <w:t>微</w:t>
            </w:r>
            <w:r>
              <w:rPr>
                <w:rFonts w:hint="eastAsia" w:ascii="仿宋" w:hAnsi="仿宋" w:eastAsia="仿宋" w:cs="仿宋"/>
                <w:color w:val="auto"/>
                <w:kern w:val="0"/>
                <w:sz w:val="24"/>
                <w:highlight w:val="none"/>
              </w:rPr>
              <w:t>企业承接，提供中小企业声明函；</w:t>
            </w:r>
          </w:p>
          <w:p>
            <w:pPr>
              <w:widowControl/>
              <w:snapToGrid w:val="0"/>
              <w:spacing w:line="288" w:lineRule="auto"/>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lang w:val="en-US" w:eastAsia="zh-CN"/>
              </w:rPr>
              <w:t>工程</w:t>
            </w:r>
            <w:r>
              <w:rPr>
                <w:rFonts w:hint="eastAsia" w:ascii="仿宋" w:hAnsi="仿宋" w:eastAsia="仿宋" w:cs="仿宋"/>
                <w:color w:val="auto"/>
                <w:kern w:val="0"/>
                <w:sz w:val="24"/>
                <w:highlight w:val="none"/>
              </w:rPr>
              <w:t>全部由符合政策要求的小微企业承接，提供中小企业声明函；</w:t>
            </w:r>
          </w:p>
          <w:p>
            <w:pPr>
              <w:widowControl/>
              <w:snapToGrid w:val="0"/>
              <w:spacing w:line="288"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要求以联合体形式参加，提供联合协议和中小企业声明函，联合协议中中小企业合同金额应当达到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%，小微企业合同金额应当达到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%;如果供应商本身提供所有标的均由中小企业制造、承建或承接，视同符合了资格条件，无需再与其他中小企业组成联合体参加政府采购活动，无需提供联合协议；</w:t>
            </w:r>
          </w:p>
          <w:p>
            <w:pPr>
              <w:widowControl/>
              <w:snapToGrid w:val="0"/>
              <w:spacing w:line="288"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要求合同分包，提供分包意向协议和中小企业声明函，分包意向协议中中小企业合同金额应当达到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，小微企业合同金额应当达到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;如果供应商本身提供所有标的均由中小企业制造、承建或承接，视同符合了资格条件，无需再向中小企业分包，无需提供分包意向协议。</w:t>
            </w:r>
          </w:p>
          <w:p>
            <w:pPr>
              <w:pStyle w:val="25"/>
              <w:adjustRightInd/>
              <w:spacing w:before="0" w:beforeAutospacing="0" w:after="0" w:afterAutospacing="0" w:line="276" w:lineRule="auto"/>
              <w:ind w:firstLine="480" w:firstLineChars="200"/>
              <w:jc w:val="both"/>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.本项目的特定资格要求：</w:t>
            </w:r>
          </w:p>
          <w:p>
            <w:pPr>
              <w:pStyle w:val="25"/>
              <w:adjustRightInd/>
              <w:spacing w:before="0" w:beforeAutospacing="0" w:after="0" w:afterAutospacing="0" w:line="276"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①投标人具备安全生产许可证；</w:t>
            </w:r>
          </w:p>
          <w:p>
            <w:pPr>
              <w:pStyle w:val="25"/>
              <w:adjustRightInd/>
              <w:spacing w:before="0" w:beforeAutospacing="0" w:after="0" w:afterAutospacing="0" w:line="276" w:lineRule="auto"/>
              <w:ind w:firstLine="480" w:firstLineChars="200"/>
              <w:jc w:val="both"/>
              <w:rPr>
                <w:rFonts w:hint="eastAsia" w:ascii="仿宋" w:hAnsi="仿宋" w:eastAsia="仿宋" w:cs="仿宋"/>
                <w:color w:val="auto"/>
                <w:kern w:val="0"/>
                <w:sz w:val="24"/>
                <w:highlight w:val="none"/>
              </w:rPr>
            </w:pPr>
            <w:r>
              <w:rPr>
                <w:rFonts w:hint="eastAsia" w:ascii="仿宋" w:hAnsi="仿宋" w:eastAsia="仿宋" w:cs="仿宋"/>
                <w:highlight w:val="none"/>
              </w:rPr>
              <w:t>②拟派项目负责人具有市政公用工程或房屋建筑工程</w:t>
            </w:r>
            <w:r>
              <w:rPr>
                <w:rFonts w:hint="eastAsia" w:ascii="仿宋" w:hAnsi="仿宋" w:eastAsia="仿宋" w:cs="仿宋"/>
                <w:highlight w:val="none"/>
                <w:lang w:eastAsia="zh-CN"/>
              </w:rPr>
              <w:t>注册建造师</w:t>
            </w:r>
            <w:r>
              <w:rPr>
                <w:rFonts w:hint="eastAsia" w:ascii="仿宋" w:hAnsi="仿宋" w:eastAsia="仿宋" w:cs="仿宋"/>
                <w:highlight w:val="none"/>
              </w:rPr>
              <w:t>证书</w:t>
            </w:r>
            <w:r>
              <w:rPr>
                <w:rFonts w:hint="eastAsia" w:ascii="仿宋" w:hAnsi="仿宋" w:eastAsia="仿宋" w:cs="仿宋"/>
                <w:highlight w:val="none"/>
                <w:lang w:eastAsia="zh-CN"/>
              </w:rPr>
              <w:t>二级及以上资质</w:t>
            </w:r>
            <w:r>
              <w:rPr>
                <w:rFonts w:hint="eastAsia" w:ascii="仿宋" w:hAnsi="仿宋" w:eastAsia="仿宋" w:cs="仿宋"/>
                <w:highlight w:val="none"/>
              </w:rPr>
              <w:t>，具有安全生产考核证书（B证）。拟派项目负责人为投标企业在职职工的（在职职工不包括离、退休返聘人员），须提供缴费期限包含</w:t>
            </w:r>
            <w:r>
              <w:rPr>
                <w:rFonts w:hint="eastAsia" w:ascii="仿宋" w:hAnsi="仿宋" w:eastAsia="仿宋" w:cs="仿宋"/>
                <w:highlight w:val="none"/>
                <w:lang w:eastAsia="zh-CN"/>
              </w:rPr>
              <w:t>2022年12月至2023年2月</w:t>
            </w:r>
            <w:r>
              <w:rPr>
                <w:rFonts w:hint="eastAsia" w:ascii="仿宋" w:hAnsi="仿宋" w:eastAsia="仿宋" w:cs="仿宋"/>
                <w:highlight w:val="none"/>
              </w:rPr>
              <w:t>的投标人所属社保机构养老保险交纳清单或证明（缴费单位和投标人名称必须一致，并加盖社保缴费证明专用章）。</w:t>
            </w:r>
          </w:p>
          <w:p>
            <w:pPr>
              <w:pStyle w:val="25"/>
              <w:adjustRightInd/>
              <w:spacing w:before="0" w:beforeAutospacing="0" w:after="0" w:afterAutospacing="0" w:line="276" w:lineRule="auto"/>
              <w:ind w:firstLine="480" w:firstLineChars="200"/>
              <w:jc w:val="both"/>
              <w:rPr>
                <w:rFonts w:hint="eastAsia" w:ascii="仿宋" w:hAnsi="仿宋" w:eastAsia="仿宋" w:cs="仿宋"/>
                <w:highlight w:val="none"/>
              </w:rPr>
            </w:pP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三、获取招标文件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时间：</w:t>
            </w:r>
            <w:r>
              <w:rPr>
                <w:rFonts w:hint="eastAsia" w:ascii="仿宋" w:hAnsi="仿宋" w:eastAsia="仿宋" w:cs="仿宋"/>
                <w:bCs/>
                <w:kern w:val="0"/>
                <w:sz w:val="24"/>
                <w:highlight w:val="none"/>
              </w:rPr>
              <w:t>/</w:t>
            </w:r>
            <w:r>
              <w:rPr>
                <w:rFonts w:hint="eastAsia" w:ascii="仿宋" w:hAnsi="仿宋" w:eastAsia="仿宋" w:cs="仿宋"/>
                <w:kern w:val="0"/>
                <w:sz w:val="24"/>
                <w:highlight w:val="none"/>
              </w:rPr>
              <w:t>至</w:t>
            </w:r>
            <w:r>
              <w:rPr>
                <w:rFonts w:hint="eastAsia" w:ascii="仿宋" w:hAnsi="仿宋" w:eastAsia="仿宋" w:cs="仿宋"/>
                <w:kern w:val="0"/>
                <w:sz w:val="24"/>
                <w:highlight w:val="none"/>
                <w:lang w:eastAsia="zh-CN"/>
              </w:rPr>
              <w:t>202</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30</w:t>
            </w:r>
            <w:r>
              <w:rPr>
                <w:rFonts w:hint="eastAsia" w:ascii="仿宋" w:hAnsi="仿宋" w:eastAsia="仿宋" w:cs="仿宋"/>
                <w:kern w:val="0"/>
                <w:sz w:val="24"/>
                <w:highlight w:val="none"/>
              </w:rPr>
              <w:t>日，每天上午00:00至12:00，下午12:00至23:59（北京时间，线上获取法定节假日均可，线下获取文件法定节假日除外）</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地点（网址）：</w:t>
            </w:r>
            <w:r>
              <w:rPr>
                <w:rFonts w:hint="eastAsia" w:ascii="仿宋" w:hAnsi="仿宋" w:eastAsia="仿宋" w:cs="仿宋"/>
                <w:bCs/>
                <w:kern w:val="0"/>
                <w:sz w:val="24"/>
                <w:highlight w:val="none"/>
              </w:rPr>
              <w:t>http://www.zcygov.cn/</w:t>
            </w:r>
            <w:r>
              <w:rPr>
                <w:rFonts w:hint="eastAsia" w:ascii="仿宋" w:hAnsi="仿宋" w:eastAsia="仿宋" w:cs="仿宋"/>
                <w:kern w:val="0"/>
                <w:sz w:val="24"/>
                <w:highlight w:val="none"/>
              </w:rPr>
              <w:t>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方式：</w:t>
            </w:r>
            <w:r>
              <w:rPr>
                <w:rFonts w:hint="eastAsia" w:ascii="仿宋" w:hAnsi="仿宋" w:eastAsia="仿宋" w:cs="仿宋"/>
                <w:bCs/>
                <w:kern w:val="0"/>
                <w:sz w:val="24"/>
                <w:highlight w:val="none"/>
              </w:rPr>
              <w:t>供应商登陆政采云平台http://www.zcygov.cn/，在线申请获取采购文件（进入“项目采购”应用，在获取采购文件菜单中选择项目，申请获取采购文件）。</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售价（元）：0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四、提交投标文件截止时间、开标时间和地点</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提交投标文件截止时间：</w:t>
            </w:r>
            <w:r>
              <w:rPr>
                <w:rFonts w:hint="eastAsia" w:ascii="仿宋" w:hAnsi="仿宋" w:eastAsia="仿宋" w:cs="仿宋"/>
                <w:kern w:val="0"/>
                <w:sz w:val="24"/>
                <w:highlight w:val="none"/>
                <w:lang w:eastAsia="zh-CN"/>
              </w:rPr>
              <w:t>202</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30</w:t>
            </w:r>
            <w:r>
              <w:rPr>
                <w:rFonts w:hint="eastAsia" w:ascii="仿宋" w:hAnsi="仿宋" w:eastAsia="仿宋" w:cs="仿宋"/>
                <w:kern w:val="0"/>
                <w:sz w:val="24"/>
                <w:highlight w:val="none"/>
              </w:rPr>
              <w:t>日</w:t>
            </w:r>
            <w:r>
              <w:rPr>
                <w:rFonts w:hint="eastAsia" w:ascii="仿宋" w:hAnsi="仿宋" w:eastAsia="仿宋" w:cs="仿宋"/>
                <w:kern w:val="0"/>
                <w:sz w:val="24"/>
                <w:highlight w:val="none"/>
                <w:lang w:val="en-US" w:eastAsia="zh-CN"/>
              </w:rPr>
              <w:t>9</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rPr>
              <w:t>0（北京时间）</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投标地点（网址）：</w:t>
            </w:r>
            <w:r>
              <w:rPr>
                <w:rFonts w:hint="eastAsia" w:ascii="仿宋" w:hAnsi="仿宋" w:eastAsia="仿宋" w:cs="仿宋"/>
                <w:bCs/>
                <w:kern w:val="0"/>
                <w:sz w:val="24"/>
                <w:highlight w:val="none"/>
              </w:rPr>
              <w:t>http://www.zcygov.cn/</w:t>
            </w:r>
          </w:p>
          <w:p>
            <w:pPr>
              <w:widowControl/>
              <w:snapToGrid w:val="0"/>
              <w:spacing w:line="288" w:lineRule="auto"/>
              <w:ind w:firstLine="480" w:firstLineChars="200"/>
              <w:rPr>
                <w:rFonts w:ascii="仿宋" w:hAnsi="仿宋" w:eastAsia="仿宋" w:cs="仿宋"/>
                <w:color w:val="auto"/>
                <w:kern w:val="0"/>
                <w:sz w:val="24"/>
                <w:highlight w:val="none"/>
              </w:rPr>
            </w:pPr>
            <w:r>
              <w:rPr>
                <w:rFonts w:hint="eastAsia" w:ascii="仿宋" w:hAnsi="仿宋" w:eastAsia="仿宋" w:cs="仿宋"/>
                <w:kern w:val="0"/>
                <w:sz w:val="24"/>
                <w:highlight w:val="none"/>
              </w:rPr>
              <w:t>开</w:t>
            </w:r>
            <w:r>
              <w:rPr>
                <w:rFonts w:hint="eastAsia" w:ascii="仿宋" w:hAnsi="仿宋" w:eastAsia="仿宋" w:cs="仿宋"/>
                <w:color w:val="auto"/>
                <w:kern w:val="0"/>
                <w:sz w:val="24"/>
                <w:highlight w:val="none"/>
              </w:rPr>
              <w:t>标时间：</w:t>
            </w:r>
            <w:r>
              <w:rPr>
                <w:rFonts w:hint="eastAsia" w:ascii="仿宋" w:hAnsi="仿宋" w:eastAsia="仿宋" w:cs="仿宋"/>
                <w:kern w:val="0"/>
                <w:sz w:val="24"/>
                <w:highlight w:val="none"/>
                <w:lang w:eastAsia="zh-CN"/>
              </w:rPr>
              <w:t>202</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30</w:t>
            </w:r>
            <w:r>
              <w:rPr>
                <w:rFonts w:hint="eastAsia" w:ascii="仿宋" w:hAnsi="仿宋" w:eastAsia="仿宋" w:cs="仿宋"/>
                <w:kern w:val="0"/>
                <w:sz w:val="24"/>
                <w:highlight w:val="none"/>
              </w:rPr>
              <w:t>日</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0 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开标地点（网址）：</w:t>
            </w:r>
            <w:r>
              <w:rPr>
                <w:rFonts w:hint="eastAsia" w:ascii="仿宋" w:eastAsia="仿宋"/>
                <w:b w:val="0"/>
                <w:bCs w:val="0"/>
                <w:i w:val="0"/>
                <w:iCs w:val="0"/>
                <w:caps w:val="0"/>
                <w:smallCaps w:val="0"/>
                <w:color w:val="3F3F3F"/>
                <w:spacing w:val="0"/>
                <w:sz w:val="24"/>
                <w:szCs w:val="24"/>
                <w:highlight w:val="none"/>
              </w:rPr>
              <w:t>政采云平台http://www.zcygov.cn/</w:t>
            </w:r>
            <w:r>
              <w:rPr>
                <w:rFonts w:ascii="仿宋" w:eastAsia="仿宋"/>
                <w:b w:val="0"/>
                <w:bCs w:val="0"/>
                <w:i w:val="0"/>
                <w:iCs w:val="0"/>
                <w:caps w:val="0"/>
                <w:smallCaps w:val="0"/>
                <w:color w:val="3F3F3F"/>
                <w:spacing w:val="0"/>
                <w:sz w:val="24"/>
                <w:szCs w:val="24"/>
                <w:highlight w:val="none"/>
              </w:rPr>
              <w:t>；现场开标</w:t>
            </w:r>
            <w:r>
              <w:rPr>
                <w:rFonts w:ascii="仿宋" w:hAnsi="Times New Roman" w:eastAsia="仿宋" w:cs="Times New Roman"/>
                <w:b w:val="0"/>
                <w:bCs w:val="0"/>
                <w:i w:val="0"/>
                <w:iCs w:val="0"/>
                <w:caps w:val="0"/>
                <w:smallCaps w:val="0"/>
                <w:color w:val="3F3F3F"/>
                <w:spacing w:val="0"/>
                <w:sz w:val="24"/>
                <w:szCs w:val="24"/>
                <w:highlight w:val="none"/>
              </w:rPr>
              <w:t>地点：</w:t>
            </w:r>
            <w:r>
              <w:rPr>
                <w:rFonts w:hint="eastAsia" w:ascii="仿宋" w:hAnsi="Times New Roman" w:eastAsia="仿宋" w:cs="Times New Roman"/>
                <w:b w:val="0"/>
                <w:bCs w:val="0"/>
                <w:i w:val="0"/>
                <w:iCs w:val="0"/>
                <w:caps w:val="0"/>
                <w:smallCaps w:val="0"/>
                <w:color w:val="3F3F3F"/>
                <w:spacing w:val="0"/>
                <w:sz w:val="24"/>
                <w:szCs w:val="24"/>
                <w:highlight w:val="none"/>
              </w:rPr>
              <w:t>耀华建设管理有限公司绍兴迪荡分公司（绍兴市越城区阳明北路80号滨江大厦C楼3楼</w:t>
            </w:r>
            <w:r>
              <w:rPr>
                <w:rFonts w:hint="eastAsia" w:ascii="仿宋" w:hAnsi="Times New Roman" w:eastAsia="仿宋" w:cs="Times New Roman"/>
                <w:b w:val="0"/>
                <w:bCs w:val="0"/>
                <w:i w:val="0"/>
                <w:iCs w:val="0"/>
                <w:caps w:val="0"/>
                <w:smallCaps w:val="0"/>
                <w:color w:val="3F3F3F"/>
                <w:spacing w:val="0"/>
                <w:sz w:val="24"/>
                <w:szCs w:val="24"/>
                <w:highlight w:val="none"/>
                <w:lang w:val="en-US" w:eastAsia="zh-CN"/>
              </w:rPr>
              <w:t>309</w:t>
            </w:r>
            <w:r>
              <w:rPr>
                <w:rFonts w:hint="eastAsia" w:ascii="仿宋" w:hAnsi="Times New Roman" w:eastAsia="仿宋" w:cs="Times New Roman"/>
                <w:b w:val="0"/>
                <w:bCs w:val="0"/>
                <w:i w:val="0"/>
                <w:iCs w:val="0"/>
                <w:caps w:val="0"/>
                <w:smallCaps w:val="0"/>
                <w:color w:val="3F3F3F"/>
                <w:spacing w:val="0"/>
                <w:sz w:val="24"/>
                <w:szCs w:val="24"/>
                <w:highlight w:val="none"/>
              </w:rPr>
              <w:t>号）开标室。</w:t>
            </w:r>
            <w:r>
              <w:rPr>
                <w:rFonts w:hint="eastAsia" w:ascii="仿宋" w:hAnsi="仿宋" w:eastAsia="仿宋" w:cs="仿宋"/>
                <w:kern w:val="0"/>
                <w:sz w:val="24"/>
                <w:highlight w:val="none"/>
              </w:rPr>
              <w:t>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五、公告期限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自本公告发布之日起5个工作日。</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六、其他补充事宜</w:t>
            </w:r>
          </w:p>
          <w:p>
            <w:pPr>
              <w:widowControl/>
              <w:snapToGrid w:val="0"/>
              <w:spacing w:line="28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2.其他事项：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视为投标文件撤回；⑩具体操作指南：详见政采云平台“服务中心-帮助文档-项目采购-操作流程-电子招投标-政府采购项目电子交易管理操作指南-供应商”。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七、对本次采购提出询问、质疑、投诉，请按以下方式联系</w:t>
            </w:r>
          </w:p>
          <w:p>
            <w:pPr>
              <w:widowControl/>
              <w:snapToGrid w:val="0"/>
              <w:spacing w:line="28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1.采购人信息</w:t>
            </w:r>
          </w:p>
          <w:p>
            <w:pPr>
              <w:widowControl/>
              <w:snapToGrid w:val="0"/>
              <w:spacing w:line="288" w:lineRule="auto"/>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名称：绍兴市中等专业学校</w:t>
            </w:r>
          </w:p>
          <w:p>
            <w:pPr>
              <w:widowControl/>
              <w:snapToGrid w:val="0"/>
              <w:spacing w:line="28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地址：绍兴市越城区解放南路众香路901号 </w:t>
            </w:r>
          </w:p>
          <w:p>
            <w:pPr>
              <w:widowControl/>
              <w:snapToGrid w:val="0"/>
              <w:spacing w:line="28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传真：/  </w:t>
            </w:r>
          </w:p>
          <w:p>
            <w:pPr>
              <w:widowControl/>
              <w:snapToGrid w:val="0"/>
              <w:spacing w:line="28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项目联系人（询问）：单萍萍   </w:t>
            </w:r>
          </w:p>
          <w:p>
            <w:pPr>
              <w:widowControl/>
              <w:snapToGrid w:val="0"/>
              <w:spacing w:line="28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项目联系方式（询问）：</w:t>
            </w:r>
            <w:bookmarkStart w:id="0" w:name="OLE_LINK2"/>
            <w:r>
              <w:rPr>
                <w:rFonts w:hint="eastAsia" w:ascii="仿宋" w:hAnsi="仿宋" w:eastAsia="仿宋" w:cs="仿宋"/>
                <w:kern w:val="0"/>
                <w:sz w:val="24"/>
                <w:highlight w:val="none"/>
              </w:rPr>
              <w:t>0575-88589123</w:t>
            </w:r>
            <w:bookmarkEnd w:id="0"/>
          </w:p>
          <w:p>
            <w:pPr>
              <w:widowControl/>
              <w:snapToGrid w:val="0"/>
              <w:spacing w:line="28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质疑联系人：</w:t>
            </w:r>
            <w:bookmarkStart w:id="1" w:name="OLE_LINK1"/>
            <w:r>
              <w:rPr>
                <w:rFonts w:hint="eastAsia" w:ascii="仿宋" w:hAnsi="仿宋" w:eastAsia="仿宋" w:cs="仿宋"/>
                <w:kern w:val="0"/>
                <w:sz w:val="24"/>
                <w:highlight w:val="none"/>
              </w:rPr>
              <w:t>刘国琪</w:t>
            </w:r>
            <w:bookmarkEnd w:id="1"/>
          </w:p>
          <w:p>
            <w:pPr>
              <w:widowControl/>
              <w:snapToGrid w:val="0"/>
              <w:spacing w:line="288" w:lineRule="auto"/>
              <w:ind w:firstLine="480" w:firstLineChars="200"/>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rPr>
              <w:t>质疑联系方式：0575-88589128</w:t>
            </w:r>
          </w:p>
          <w:p>
            <w:pPr>
              <w:widowControl/>
              <w:snapToGrid w:val="0"/>
              <w:spacing w:line="28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2.采购代理机构信息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 xml:space="preserve">名称：耀华建设管理有限公司       </w:t>
            </w:r>
          </w:p>
          <w:p>
            <w:pPr>
              <w:widowControl/>
              <w:snapToGrid w:val="0"/>
              <w:spacing w:line="288" w:lineRule="auto"/>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地址：绍兴市越城区阳明北路80号滨江大厦C楼3楼</w:t>
            </w:r>
            <w:r>
              <w:rPr>
                <w:rFonts w:hint="eastAsia" w:ascii="仿宋" w:hAnsi="仿宋" w:eastAsia="仿宋" w:cs="仿宋"/>
                <w:kern w:val="0"/>
                <w:sz w:val="24"/>
                <w:highlight w:val="none"/>
                <w:lang w:val="en-US" w:eastAsia="zh-CN"/>
              </w:rPr>
              <w:t>309</w:t>
            </w:r>
            <w:r>
              <w:rPr>
                <w:rFonts w:hint="eastAsia" w:ascii="仿宋" w:hAnsi="仿宋" w:eastAsia="仿宋" w:cs="仿宋"/>
                <w:kern w:val="0"/>
                <w:sz w:val="24"/>
                <w:highlight w:val="none"/>
                <w:lang w:eastAsia="zh-CN"/>
              </w:rPr>
              <w:t>号</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 xml:space="preserve">传真：/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项目联系人（询问）：</w:t>
            </w:r>
            <w:r>
              <w:rPr>
                <w:rFonts w:hint="eastAsia" w:ascii="仿宋" w:hAnsi="仿宋" w:eastAsia="仿宋" w:cs="仿宋"/>
                <w:kern w:val="0"/>
                <w:sz w:val="24"/>
                <w:highlight w:val="none"/>
                <w:lang w:eastAsia="zh-CN"/>
              </w:rPr>
              <w:t>栾雪明</w:t>
            </w:r>
            <w:r>
              <w:rPr>
                <w:rFonts w:hint="eastAsia" w:ascii="仿宋" w:hAnsi="仿宋" w:eastAsia="仿宋" w:cs="仿宋"/>
                <w:kern w:val="0"/>
                <w:sz w:val="24"/>
                <w:highlight w:val="none"/>
              </w:rPr>
              <w:t xml:space="preserve">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项目联系方式（询问）：0575-</w:t>
            </w:r>
            <w:r>
              <w:rPr>
                <w:rFonts w:hint="eastAsia" w:ascii="仿宋" w:hAnsi="仿宋" w:eastAsia="仿宋" w:cs="仿宋"/>
                <w:kern w:val="0"/>
                <w:sz w:val="24"/>
                <w:highlight w:val="none"/>
                <w:lang w:val="en-US" w:eastAsia="zh-CN"/>
              </w:rPr>
              <w:t>88776697</w:t>
            </w:r>
            <w:r>
              <w:rPr>
                <w:rFonts w:hint="eastAsia" w:ascii="仿宋" w:hAnsi="仿宋" w:eastAsia="仿宋" w:cs="仿宋"/>
                <w:kern w:val="0"/>
                <w:sz w:val="24"/>
                <w:highlight w:val="none"/>
              </w:rPr>
              <w:t xml:space="preserve">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 xml:space="preserve">质疑联系人：单成燕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质疑联系方式：0575-88</w:t>
            </w:r>
            <w:r>
              <w:rPr>
                <w:rFonts w:hint="eastAsia" w:ascii="仿宋" w:hAnsi="仿宋" w:eastAsia="仿宋" w:cs="仿宋"/>
                <w:kern w:val="0"/>
                <w:sz w:val="24"/>
                <w:highlight w:val="none"/>
                <w:lang w:val="en-US" w:eastAsia="zh-CN"/>
              </w:rPr>
              <w:t>336881</w:t>
            </w:r>
            <w:r>
              <w:rPr>
                <w:rFonts w:hint="eastAsia" w:ascii="仿宋" w:hAnsi="仿宋" w:eastAsia="仿宋" w:cs="仿宋"/>
                <w:kern w:val="0"/>
                <w:sz w:val="24"/>
                <w:highlight w:val="none"/>
              </w:rPr>
              <w:t xml:space="preserve"> 　　　　　　   </w:t>
            </w:r>
          </w:p>
          <w:p>
            <w:pPr>
              <w:widowControl/>
              <w:snapToGrid w:val="0"/>
              <w:spacing w:line="288" w:lineRule="auto"/>
              <w:ind w:firstLine="480" w:firstLineChars="200"/>
              <w:rPr>
                <w:rFonts w:ascii="仿宋" w:hAnsi="仿宋" w:eastAsia="仿宋"/>
                <w:kern w:val="0"/>
                <w:sz w:val="24"/>
                <w:highlight w:val="none"/>
              </w:rPr>
            </w:pPr>
            <w:r>
              <w:rPr>
                <w:rFonts w:hint="eastAsia" w:ascii="仿宋" w:hAnsi="仿宋" w:eastAsia="仿宋"/>
                <w:kern w:val="0"/>
                <w:sz w:val="24"/>
                <w:highlight w:val="none"/>
              </w:rPr>
              <w:t xml:space="preserve">3.同级政府采购监督管理部门       </w:t>
            </w:r>
          </w:p>
          <w:p>
            <w:pPr>
              <w:widowControl/>
              <w:snapToGrid w:val="0"/>
              <w:spacing w:line="288" w:lineRule="auto"/>
              <w:ind w:firstLine="480" w:firstLineChars="200"/>
              <w:rPr>
                <w:rFonts w:ascii="仿宋" w:hAnsi="仿宋" w:eastAsia="仿宋"/>
                <w:kern w:val="0"/>
                <w:sz w:val="24"/>
                <w:highlight w:val="none"/>
              </w:rPr>
            </w:pPr>
            <w:r>
              <w:rPr>
                <w:rFonts w:hint="eastAsia" w:ascii="仿宋" w:hAnsi="仿宋" w:eastAsia="仿宋"/>
                <w:kern w:val="0"/>
                <w:sz w:val="24"/>
                <w:highlight w:val="none"/>
              </w:rPr>
              <w:t xml:space="preserve">名称：绍兴市财政局       </w:t>
            </w:r>
          </w:p>
          <w:p>
            <w:pPr>
              <w:widowControl/>
              <w:snapToGrid w:val="0"/>
              <w:spacing w:line="288" w:lineRule="auto"/>
              <w:ind w:firstLine="480" w:firstLineChars="200"/>
              <w:rPr>
                <w:rFonts w:ascii="仿宋" w:hAnsi="仿宋" w:eastAsia="仿宋"/>
                <w:kern w:val="0"/>
                <w:sz w:val="24"/>
                <w:highlight w:val="none"/>
              </w:rPr>
            </w:pPr>
            <w:r>
              <w:rPr>
                <w:rFonts w:hint="eastAsia" w:ascii="仿宋" w:hAnsi="仿宋" w:eastAsia="仿宋"/>
                <w:kern w:val="0"/>
                <w:sz w:val="24"/>
                <w:highlight w:val="none"/>
              </w:rPr>
              <w:t xml:space="preserve">地址：绍兴市越城区凤林西路151号       </w:t>
            </w:r>
          </w:p>
          <w:p>
            <w:pPr>
              <w:widowControl/>
              <w:snapToGrid w:val="0"/>
              <w:spacing w:line="288" w:lineRule="auto"/>
              <w:ind w:firstLine="480" w:firstLineChars="200"/>
              <w:rPr>
                <w:rFonts w:ascii="仿宋" w:hAnsi="仿宋" w:eastAsia="仿宋"/>
                <w:kern w:val="0"/>
                <w:sz w:val="24"/>
                <w:highlight w:val="none"/>
              </w:rPr>
            </w:pPr>
            <w:r>
              <w:rPr>
                <w:rFonts w:hint="eastAsia" w:ascii="仿宋" w:hAnsi="仿宋" w:eastAsia="仿宋"/>
                <w:kern w:val="0"/>
                <w:sz w:val="24"/>
                <w:highlight w:val="none"/>
              </w:rPr>
              <w:t xml:space="preserve">传真：/        </w:t>
            </w:r>
          </w:p>
          <w:p>
            <w:pPr>
              <w:widowControl/>
              <w:snapToGrid w:val="0"/>
              <w:spacing w:line="288"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联系人：吴滟       </w:t>
            </w:r>
          </w:p>
          <w:p>
            <w:pPr>
              <w:widowControl/>
              <w:snapToGrid w:val="0"/>
              <w:spacing w:line="288" w:lineRule="auto"/>
              <w:ind w:firstLine="480" w:firstLineChars="200"/>
              <w:rPr>
                <w:rFonts w:hint="eastAsia" w:ascii="仿宋" w:hAnsi="仿宋" w:eastAsia="仿宋"/>
                <w:kern w:val="0"/>
                <w:sz w:val="24"/>
                <w:highlight w:val="none"/>
              </w:rPr>
            </w:pPr>
            <w:r>
              <w:rPr>
                <w:rFonts w:hint="eastAsia" w:ascii="仿宋" w:hAnsi="仿宋" w:eastAsia="仿宋" w:cs="仿宋"/>
                <w:color w:val="auto"/>
                <w:kern w:val="0"/>
                <w:sz w:val="24"/>
              </w:rPr>
              <w:t>监督投诉电话：0575-85209645</w:t>
            </w:r>
            <w:r>
              <w:rPr>
                <w:rFonts w:hint="eastAsia" w:ascii="仿宋" w:hAnsi="仿宋" w:eastAsia="仿宋"/>
                <w:kern w:val="0"/>
                <w:sz w:val="24"/>
                <w:highlight w:val="none"/>
              </w:rPr>
              <w:t xml:space="preserve">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kern w:val="0"/>
                <w:sz w:val="24"/>
                <w:highlight w:val="none"/>
              </w:rPr>
              <w:t>若对项目采购电子交易系统操作有疑问，可登录政采云（https://www.zcygov.cn/），点击右侧咨询小采，获取采小蜜智能服务管家帮助，或拨打政采云服务热线400-881-7190获取热线服务帮助。</w:t>
            </w:r>
            <w:r>
              <w:rPr>
                <w:rFonts w:hint="eastAsia" w:ascii="仿宋" w:hAnsi="仿宋" w:eastAsia="仿宋" w:cs="仿宋"/>
                <w:kern w:val="0"/>
                <w:sz w:val="24"/>
                <w:highlight w:val="none"/>
              </w:rPr>
              <w:t>    </w:t>
            </w:r>
          </w:p>
          <w:p>
            <w:pPr>
              <w:widowControl/>
              <w:snapToGrid w:val="0"/>
              <w:spacing w:line="288"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CA问题联系电话（人工）：汇信CA 400-888-4636；天谷CA 400-087-8198。</w:t>
            </w:r>
          </w:p>
        </w:tc>
      </w:tr>
    </w:tbl>
    <w:p>
      <w:pPr>
        <w:widowControl/>
        <w:spacing w:line="288" w:lineRule="auto"/>
        <w:jc w:val="left"/>
        <w:rPr>
          <w:rFonts w:ascii="仿宋" w:hAnsi="仿宋" w:eastAsia="仿宋" w:cs="仿宋"/>
          <w:kern w:val="0"/>
          <w:sz w:val="24"/>
          <w:highlight w:val="none"/>
        </w:rPr>
      </w:pPr>
    </w:p>
    <w:p>
      <w:pPr>
        <w:widowControl/>
        <w:spacing w:line="288" w:lineRule="auto"/>
        <w:jc w:val="left"/>
        <w:rPr>
          <w:rFonts w:ascii="仿宋" w:hAnsi="仿宋" w:eastAsia="仿宋" w:cs="仿宋"/>
          <w:kern w:val="0"/>
          <w:sz w:val="24"/>
          <w:highlight w:val="none"/>
        </w:rPr>
      </w:pPr>
      <w:r>
        <w:rPr>
          <w:rFonts w:hint="eastAsia" w:ascii="仿宋" w:hAnsi="仿宋" w:eastAsia="仿宋" w:cs="仿宋"/>
          <w:sz w:val="24"/>
          <w:highlight w:val="none"/>
        </w:rPr>
        <w:br w:type="page"/>
      </w:r>
    </w:p>
    <w:p>
      <w:pPr>
        <w:pageBreakBefore/>
        <w:snapToGrid w:val="0"/>
        <w:spacing w:line="600" w:lineRule="exact"/>
        <w:jc w:val="center"/>
        <w:rPr>
          <w:rFonts w:ascii="仿宋" w:hAnsi="仿宋" w:eastAsia="仿宋" w:cs="仿宋"/>
          <w:b/>
          <w:sz w:val="36"/>
          <w:szCs w:val="36"/>
          <w:highlight w:val="none"/>
        </w:rPr>
      </w:pPr>
      <w:r>
        <w:rPr>
          <w:rFonts w:hint="eastAsia" w:ascii="仿宋" w:hAnsi="仿宋" w:eastAsia="仿宋" w:cs="仿宋"/>
          <w:b/>
          <w:sz w:val="36"/>
          <w:szCs w:val="36"/>
          <w:highlight w:val="none"/>
        </w:rPr>
        <w:t>第二部分 投标须知</w:t>
      </w:r>
    </w:p>
    <w:p>
      <w:pPr>
        <w:spacing w:line="288" w:lineRule="auto"/>
        <w:ind w:left="238"/>
        <w:jc w:val="center"/>
        <w:rPr>
          <w:rFonts w:ascii="仿宋" w:hAnsi="仿宋" w:eastAsia="仿宋" w:cs="仿宋"/>
          <w:b/>
          <w:sz w:val="24"/>
          <w:highlight w:val="none"/>
        </w:rPr>
      </w:pPr>
      <w:r>
        <w:rPr>
          <w:rFonts w:hint="eastAsia" w:ascii="仿宋" w:hAnsi="仿宋" w:eastAsia="仿宋" w:cs="仿宋"/>
          <w:b/>
          <w:sz w:val="24"/>
          <w:highlight w:val="none"/>
        </w:rPr>
        <w:t>前附表</w:t>
      </w:r>
    </w:p>
    <w:tbl>
      <w:tblPr>
        <w:tblStyle w:val="29"/>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006"/>
        <w:gridCol w:w="6420"/>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noWrap/>
            <w:vAlign w:val="center"/>
          </w:tcPr>
          <w:p>
            <w:pPr>
              <w:tabs>
                <w:tab w:val="left" w:pos="540"/>
              </w:tabs>
              <w:spacing w:line="288" w:lineRule="auto"/>
              <w:jc w:val="center"/>
              <w:rPr>
                <w:rFonts w:ascii="仿宋" w:hAnsi="仿宋" w:eastAsia="仿宋" w:cs="仿宋"/>
                <w:b/>
                <w:i/>
                <w:iCs/>
                <w:spacing w:val="60"/>
                <w:sz w:val="24"/>
                <w:highlight w:val="none"/>
              </w:rPr>
            </w:pPr>
            <w:r>
              <w:rPr>
                <w:rFonts w:hint="eastAsia" w:ascii="仿宋" w:hAnsi="仿宋" w:eastAsia="仿宋" w:cs="仿宋"/>
                <w:b/>
                <w:kern w:val="16"/>
                <w:sz w:val="24"/>
                <w:highlight w:val="none"/>
              </w:rPr>
              <w:t>序号</w:t>
            </w:r>
          </w:p>
        </w:tc>
        <w:tc>
          <w:tcPr>
            <w:tcW w:w="2006" w:type="dxa"/>
            <w:noWrap/>
            <w:vAlign w:val="center"/>
          </w:tcPr>
          <w:p>
            <w:pPr>
              <w:tabs>
                <w:tab w:val="left" w:pos="540"/>
              </w:tabs>
              <w:spacing w:line="288" w:lineRule="auto"/>
              <w:jc w:val="center"/>
              <w:rPr>
                <w:rFonts w:ascii="仿宋" w:hAnsi="仿宋" w:eastAsia="仿宋" w:cs="仿宋"/>
                <w:b/>
                <w:kern w:val="16"/>
                <w:sz w:val="24"/>
                <w:highlight w:val="none"/>
              </w:rPr>
            </w:pPr>
            <w:r>
              <w:rPr>
                <w:rFonts w:hint="eastAsia" w:ascii="仿宋" w:hAnsi="仿宋" w:eastAsia="仿宋" w:cs="仿宋"/>
                <w:b/>
                <w:kern w:val="16"/>
                <w:sz w:val="24"/>
                <w:highlight w:val="none"/>
              </w:rPr>
              <w:t>内   容</w:t>
            </w:r>
          </w:p>
        </w:tc>
        <w:tc>
          <w:tcPr>
            <w:tcW w:w="6447" w:type="dxa"/>
            <w:gridSpan w:val="2"/>
            <w:noWrap/>
            <w:vAlign w:val="center"/>
          </w:tcPr>
          <w:p>
            <w:pPr>
              <w:tabs>
                <w:tab w:val="left" w:pos="540"/>
              </w:tabs>
              <w:spacing w:line="288" w:lineRule="auto"/>
              <w:jc w:val="center"/>
              <w:rPr>
                <w:rFonts w:ascii="仿宋" w:hAnsi="仿宋" w:eastAsia="仿宋" w:cs="仿宋"/>
                <w:b/>
                <w:kern w:val="16"/>
                <w:sz w:val="24"/>
                <w:highlight w:val="none"/>
              </w:rPr>
            </w:pPr>
            <w:r>
              <w:rPr>
                <w:rFonts w:hint="eastAsia" w:ascii="仿宋" w:hAnsi="仿宋" w:eastAsia="仿宋" w:cs="仿宋"/>
                <w:b/>
                <w:kern w:val="16"/>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2006" w:type="dxa"/>
            <w:noWrap/>
            <w:vAlign w:val="center"/>
          </w:tcPr>
          <w:p>
            <w:pPr>
              <w:tabs>
                <w:tab w:val="left" w:pos="540"/>
              </w:tabs>
              <w:spacing w:line="288" w:lineRule="auto"/>
              <w:jc w:val="center"/>
              <w:rPr>
                <w:rFonts w:ascii="仿宋" w:hAnsi="仿宋" w:eastAsia="仿宋" w:cs="仿宋"/>
                <w:kern w:val="24"/>
                <w:sz w:val="24"/>
                <w:highlight w:val="none"/>
              </w:rPr>
            </w:pPr>
            <w:r>
              <w:rPr>
                <w:rFonts w:hint="eastAsia" w:ascii="仿宋" w:hAnsi="仿宋" w:eastAsia="仿宋" w:cs="仿宋"/>
                <w:kern w:val="24"/>
                <w:sz w:val="24"/>
                <w:highlight w:val="none"/>
              </w:rPr>
              <w:t>项目名称</w:t>
            </w:r>
          </w:p>
        </w:tc>
        <w:tc>
          <w:tcPr>
            <w:tcW w:w="6447" w:type="dxa"/>
            <w:gridSpan w:val="2"/>
            <w:noWrap/>
            <w:vAlign w:val="center"/>
          </w:tcPr>
          <w:p>
            <w:pPr>
              <w:tabs>
                <w:tab w:val="left" w:pos="540"/>
              </w:tabs>
              <w:spacing w:line="288" w:lineRule="auto"/>
              <w:rPr>
                <w:rFonts w:hint="eastAsia" w:ascii="仿宋" w:hAnsi="仿宋" w:eastAsia="仿宋" w:cs="仿宋"/>
                <w:kern w:val="16"/>
                <w:position w:val="6"/>
                <w:sz w:val="24"/>
                <w:highlight w:val="none"/>
                <w:lang w:eastAsia="zh-CN"/>
              </w:rPr>
            </w:pPr>
            <w:r>
              <w:rPr>
                <w:rFonts w:hint="eastAsia" w:ascii="仿宋" w:hAnsi="仿宋" w:eastAsia="仿宋" w:cs="仿宋"/>
                <w:kern w:val="0"/>
                <w:sz w:val="24"/>
                <w:highlight w:val="none"/>
                <w:lang w:eastAsia="zh-CN"/>
              </w:rPr>
              <w:t>绍兴市中等专业学校田径场塑胶跑道（操场）改造工程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2006" w:type="dxa"/>
            <w:noWrap/>
            <w:vAlign w:val="center"/>
          </w:tcPr>
          <w:p>
            <w:pPr>
              <w:tabs>
                <w:tab w:val="left" w:pos="540"/>
              </w:tabs>
              <w:spacing w:line="288" w:lineRule="auto"/>
              <w:jc w:val="center"/>
              <w:rPr>
                <w:rFonts w:ascii="仿宋" w:hAnsi="仿宋" w:eastAsia="仿宋" w:cs="仿宋"/>
                <w:kern w:val="24"/>
                <w:sz w:val="24"/>
                <w:highlight w:val="none"/>
              </w:rPr>
            </w:pPr>
            <w:r>
              <w:rPr>
                <w:rFonts w:hint="eastAsia" w:ascii="仿宋" w:hAnsi="仿宋" w:eastAsia="仿宋" w:cs="仿宋"/>
                <w:kern w:val="24"/>
                <w:sz w:val="24"/>
                <w:highlight w:val="none"/>
              </w:rPr>
              <w:t>建设地点</w:t>
            </w:r>
          </w:p>
        </w:tc>
        <w:tc>
          <w:tcPr>
            <w:tcW w:w="6447" w:type="dxa"/>
            <w:gridSpan w:val="2"/>
            <w:noWrap/>
            <w:vAlign w:val="center"/>
          </w:tcPr>
          <w:p>
            <w:pPr>
              <w:tabs>
                <w:tab w:val="left" w:pos="540"/>
              </w:tabs>
              <w:spacing w:line="288" w:lineRule="auto"/>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绍兴市中等专业学校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3</w:t>
            </w:r>
          </w:p>
        </w:tc>
        <w:tc>
          <w:tcPr>
            <w:tcW w:w="2006" w:type="dxa"/>
            <w:noWrap/>
            <w:vAlign w:val="center"/>
          </w:tcPr>
          <w:p>
            <w:pPr>
              <w:tabs>
                <w:tab w:val="left" w:pos="540"/>
              </w:tabs>
              <w:spacing w:line="288" w:lineRule="auto"/>
              <w:jc w:val="center"/>
              <w:rPr>
                <w:rFonts w:ascii="仿宋" w:hAnsi="仿宋" w:eastAsia="仿宋" w:cs="仿宋"/>
                <w:kern w:val="24"/>
                <w:sz w:val="24"/>
                <w:highlight w:val="none"/>
              </w:rPr>
            </w:pPr>
            <w:r>
              <w:rPr>
                <w:rFonts w:hint="eastAsia" w:ascii="仿宋" w:hAnsi="仿宋" w:eastAsia="仿宋" w:cs="仿宋"/>
                <w:kern w:val="24"/>
                <w:sz w:val="24"/>
                <w:highlight w:val="none"/>
              </w:rPr>
              <w:t>建设规模</w:t>
            </w:r>
          </w:p>
        </w:tc>
        <w:tc>
          <w:tcPr>
            <w:tcW w:w="6447" w:type="dxa"/>
            <w:gridSpan w:val="2"/>
            <w:noWrap/>
            <w:vAlign w:val="center"/>
          </w:tcPr>
          <w:p>
            <w:pPr>
              <w:tabs>
                <w:tab w:val="left" w:pos="540"/>
              </w:tabs>
              <w:spacing w:line="288" w:lineRule="auto"/>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工程招标控制价：</w:t>
            </w:r>
            <w:r>
              <w:rPr>
                <w:rFonts w:hint="eastAsia" w:ascii="仿宋" w:hAnsi="仿宋" w:eastAsia="仿宋" w:cs="仿宋"/>
                <w:kern w:val="0"/>
                <w:sz w:val="24"/>
                <w:highlight w:val="none"/>
                <w:lang w:val="en-US" w:eastAsia="zh-CN"/>
              </w:rPr>
              <w:t>1799823</w:t>
            </w:r>
            <w:r>
              <w:rPr>
                <w:rFonts w:hint="eastAsia" w:ascii="仿宋" w:hAnsi="仿宋" w:eastAsia="仿宋" w:cs="仿宋"/>
                <w:kern w:val="0"/>
                <w:sz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4</w:t>
            </w:r>
          </w:p>
        </w:tc>
        <w:tc>
          <w:tcPr>
            <w:tcW w:w="2006" w:type="dxa"/>
            <w:noWrap/>
            <w:vAlign w:val="center"/>
          </w:tcPr>
          <w:p>
            <w:pPr>
              <w:tabs>
                <w:tab w:val="left" w:pos="540"/>
              </w:tabs>
              <w:spacing w:line="288" w:lineRule="auto"/>
              <w:jc w:val="center"/>
              <w:rPr>
                <w:rFonts w:ascii="仿宋" w:hAnsi="仿宋" w:eastAsia="仿宋" w:cs="仿宋"/>
                <w:kern w:val="24"/>
                <w:sz w:val="24"/>
                <w:highlight w:val="none"/>
              </w:rPr>
            </w:pPr>
            <w:r>
              <w:rPr>
                <w:rFonts w:hint="eastAsia" w:ascii="仿宋" w:hAnsi="仿宋" w:eastAsia="仿宋" w:cs="仿宋"/>
                <w:kern w:val="24"/>
                <w:sz w:val="24"/>
                <w:highlight w:val="none"/>
              </w:rPr>
              <w:t>承包方式</w:t>
            </w:r>
          </w:p>
        </w:tc>
        <w:tc>
          <w:tcPr>
            <w:tcW w:w="6447" w:type="dxa"/>
            <w:gridSpan w:val="2"/>
            <w:noWrap/>
            <w:vAlign w:val="center"/>
          </w:tcPr>
          <w:p>
            <w:pPr>
              <w:pStyle w:val="104"/>
              <w:widowControl w:val="0"/>
              <w:pBdr>
                <w:bottom w:val="none" w:color="auto" w:sz="0" w:space="0"/>
              </w:pBdr>
              <w:tabs>
                <w:tab w:val="left" w:pos="540"/>
              </w:tabs>
              <w:spacing w:before="0" w:beforeAutospacing="0" w:after="0" w:afterAutospacing="0" w:line="288" w:lineRule="auto"/>
              <w:jc w:val="both"/>
              <w:rPr>
                <w:rFonts w:hint="default" w:ascii="仿宋" w:hAnsi="仿宋" w:eastAsia="仿宋" w:cs="仿宋"/>
                <w:color w:val="auto"/>
                <w:kern w:val="16"/>
                <w:highlight w:val="none"/>
              </w:rPr>
            </w:pPr>
            <w:r>
              <w:rPr>
                <w:rFonts w:ascii="仿宋" w:hAnsi="仿宋" w:eastAsia="仿宋" w:cs="仿宋"/>
                <w:color w:val="auto"/>
                <w:kern w:val="16"/>
                <w:position w:val="6"/>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5</w:t>
            </w:r>
          </w:p>
        </w:tc>
        <w:tc>
          <w:tcPr>
            <w:tcW w:w="2006" w:type="dxa"/>
            <w:noWrap/>
            <w:vAlign w:val="center"/>
          </w:tcPr>
          <w:p>
            <w:pPr>
              <w:tabs>
                <w:tab w:val="left" w:pos="540"/>
              </w:tabs>
              <w:spacing w:line="288" w:lineRule="auto"/>
              <w:jc w:val="center"/>
              <w:rPr>
                <w:rFonts w:ascii="仿宋" w:hAnsi="仿宋" w:eastAsia="仿宋" w:cs="仿宋"/>
                <w:kern w:val="24"/>
                <w:sz w:val="24"/>
                <w:highlight w:val="none"/>
              </w:rPr>
            </w:pPr>
            <w:r>
              <w:rPr>
                <w:rFonts w:hint="eastAsia" w:ascii="仿宋" w:hAnsi="仿宋" w:eastAsia="仿宋" w:cs="仿宋"/>
                <w:kern w:val="24"/>
                <w:sz w:val="24"/>
                <w:highlight w:val="none"/>
              </w:rPr>
              <w:t>质量标准</w:t>
            </w:r>
          </w:p>
        </w:tc>
        <w:tc>
          <w:tcPr>
            <w:tcW w:w="6447" w:type="dxa"/>
            <w:gridSpan w:val="2"/>
            <w:noWrap/>
            <w:vAlign w:val="center"/>
          </w:tcPr>
          <w:p>
            <w:pPr>
              <w:pStyle w:val="104"/>
              <w:widowControl w:val="0"/>
              <w:pBdr>
                <w:bottom w:val="none" w:color="auto" w:sz="0" w:space="0"/>
              </w:pBdr>
              <w:tabs>
                <w:tab w:val="left" w:pos="540"/>
              </w:tabs>
              <w:spacing w:before="0" w:beforeAutospacing="0" w:after="0" w:afterAutospacing="0" w:line="288" w:lineRule="auto"/>
              <w:jc w:val="both"/>
              <w:rPr>
                <w:rFonts w:hint="default" w:ascii="仿宋" w:hAnsi="仿宋" w:eastAsia="仿宋" w:cs="仿宋"/>
                <w:color w:val="auto"/>
                <w:kern w:val="16"/>
                <w:highlight w:val="none"/>
              </w:rPr>
            </w:pPr>
            <w:r>
              <w:rPr>
                <w:rFonts w:ascii="仿宋" w:hAnsi="仿宋" w:eastAsia="仿宋" w:cs="仿宋"/>
                <w:bCs/>
                <w:color w:val="auto"/>
                <w:spacing w:val="1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6</w:t>
            </w:r>
          </w:p>
        </w:tc>
        <w:tc>
          <w:tcPr>
            <w:tcW w:w="2006" w:type="dxa"/>
            <w:noWrap/>
            <w:vAlign w:val="center"/>
          </w:tcPr>
          <w:p>
            <w:pPr>
              <w:tabs>
                <w:tab w:val="left" w:pos="540"/>
              </w:tabs>
              <w:spacing w:line="288" w:lineRule="auto"/>
              <w:jc w:val="center"/>
              <w:rPr>
                <w:rFonts w:ascii="仿宋" w:hAnsi="仿宋" w:eastAsia="仿宋" w:cs="仿宋"/>
                <w:kern w:val="24"/>
                <w:sz w:val="24"/>
                <w:highlight w:val="none"/>
              </w:rPr>
            </w:pPr>
            <w:r>
              <w:rPr>
                <w:rFonts w:hint="eastAsia" w:ascii="仿宋" w:hAnsi="仿宋" w:eastAsia="仿宋" w:cs="仿宋"/>
                <w:kern w:val="24"/>
                <w:sz w:val="24"/>
                <w:highlight w:val="none"/>
              </w:rPr>
              <w:t>招标范围</w:t>
            </w:r>
          </w:p>
        </w:tc>
        <w:tc>
          <w:tcPr>
            <w:tcW w:w="6447" w:type="dxa"/>
            <w:gridSpan w:val="2"/>
            <w:noWrap/>
            <w:vAlign w:val="center"/>
          </w:tcPr>
          <w:p>
            <w:pPr>
              <w:pStyle w:val="104"/>
              <w:widowControl w:val="0"/>
              <w:pBdr>
                <w:bottom w:val="none" w:color="auto" w:sz="0" w:space="0"/>
              </w:pBdr>
              <w:tabs>
                <w:tab w:val="left" w:pos="540"/>
              </w:tabs>
              <w:spacing w:before="0" w:beforeAutospacing="0" w:after="0" w:afterAutospacing="0" w:line="288" w:lineRule="auto"/>
              <w:jc w:val="both"/>
              <w:rPr>
                <w:rFonts w:hint="default" w:ascii="仿宋" w:hAnsi="仿宋" w:eastAsia="仿宋" w:cs="仿宋"/>
                <w:color w:val="auto"/>
                <w:kern w:val="16"/>
                <w:position w:val="6"/>
                <w:highlight w:val="none"/>
              </w:rPr>
            </w:pPr>
            <w:r>
              <w:rPr>
                <w:rFonts w:ascii="仿宋" w:hAnsi="仿宋" w:eastAsia="仿宋" w:cs="仿宋"/>
                <w:color w:val="auto"/>
                <w:kern w:val="16"/>
                <w:position w:val="6"/>
                <w:highlight w:val="none"/>
              </w:rPr>
              <w:t>见预算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7</w:t>
            </w:r>
          </w:p>
        </w:tc>
        <w:tc>
          <w:tcPr>
            <w:tcW w:w="2006" w:type="dxa"/>
            <w:noWrap/>
            <w:vAlign w:val="center"/>
          </w:tcPr>
          <w:p>
            <w:pPr>
              <w:tabs>
                <w:tab w:val="left" w:pos="540"/>
              </w:tabs>
              <w:spacing w:line="288" w:lineRule="auto"/>
              <w:jc w:val="center"/>
              <w:rPr>
                <w:rFonts w:ascii="仿宋" w:hAnsi="仿宋" w:eastAsia="仿宋" w:cs="仿宋"/>
                <w:kern w:val="24"/>
                <w:sz w:val="24"/>
                <w:highlight w:val="none"/>
              </w:rPr>
            </w:pPr>
            <w:r>
              <w:rPr>
                <w:rFonts w:hint="eastAsia" w:ascii="仿宋" w:hAnsi="仿宋" w:eastAsia="仿宋" w:cs="仿宋"/>
                <w:kern w:val="24"/>
                <w:sz w:val="24"/>
                <w:highlight w:val="none"/>
              </w:rPr>
              <w:t>工期要求</w:t>
            </w:r>
          </w:p>
        </w:tc>
        <w:tc>
          <w:tcPr>
            <w:tcW w:w="6447" w:type="dxa"/>
            <w:gridSpan w:val="2"/>
            <w:noWrap/>
            <w:vAlign w:val="center"/>
          </w:tcPr>
          <w:p>
            <w:pPr>
              <w:pStyle w:val="104"/>
              <w:widowControl w:val="0"/>
              <w:pBdr>
                <w:bottom w:val="none" w:color="auto" w:sz="0" w:space="0"/>
              </w:pBdr>
              <w:tabs>
                <w:tab w:val="left" w:pos="540"/>
              </w:tabs>
              <w:spacing w:before="0" w:beforeAutospacing="0" w:after="0" w:afterAutospacing="0" w:line="288" w:lineRule="auto"/>
              <w:jc w:val="both"/>
              <w:rPr>
                <w:rFonts w:hint="eastAsia" w:ascii="仿宋" w:hAnsi="仿宋" w:eastAsia="仿宋" w:cs="仿宋"/>
                <w:color w:val="auto"/>
                <w:kern w:val="16"/>
                <w:position w:val="6"/>
                <w:highlight w:val="none"/>
                <w:lang w:eastAsia="zh-CN"/>
              </w:rPr>
            </w:pPr>
            <w:r>
              <w:rPr>
                <w:rFonts w:hint="eastAsia" w:ascii="仿宋" w:hAnsi="仿宋" w:eastAsia="仿宋" w:cs="仿宋"/>
                <w:color w:val="auto"/>
                <w:kern w:val="16"/>
                <w:highlight w:val="none"/>
                <w:u w:val="single"/>
                <w:lang w:val="en-US" w:eastAsia="zh-CN"/>
              </w:rPr>
              <w:t>40日历天</w:t>
            </w:r>
            <w:r>
              <w:rPr>
                <w:rFonts w:hint="eastAsia" w:ascii="仿宋" w:hAnsi="仿宋" w:eastAsia="仿宋" w:cs="仿宋"/>
                <w:color w:val="auto"/>
                <w:kern w:val="16"/>
                <w:highlight w:val="none"/>
                <w:lang w:eastAsia="zh-CN"/>
              </w:rPr>
              <w:t>（具体开工时间以开工报告为准）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8</w:t>
            </w:r>
          </w:p>
        </w:tc>
        <w:tc>
          <w:tcPr>
            <w:tcW w:w="2006" w:type="dxa"/>
            <w:noWrap/>
            <w:vAlign w:val="center"/>
          </w:tcPr>
          <w:p>
            <w:pPr>
              <w:tabs>
                <w:tab w:val="left" w:pos="540"/>
              </w:tabs>
              <w:spacing w:line="288" w:lineRule="auto"/>
              <w:jc w:val="center"/>
              <w:rPr>
                <w:rFonts w:ascii="仿宋" w:hAnsi="仿宋" w:eastAsia="仿宋" w:cs="仿宋"/>
                <w:kern w:val="24"/>
                <w:sz w:val="24"/>
                <w:highlight w:val="none"/>
              </w:rPr>
            </w:pPr>
            <w:r>
              <w:rPr>
                <w:rFonts w:hint="eastAsia" w:ascii="仿宋" w:hAnsi="仿宋" w:eastAsia="仿宋" w:cs="仿宋"/>
                <w:kern w:val="24"/>
                <w:sz w:val="24"/>
                <w:highlight w:val="none"/>
              </w:rPr>
              <w:t>建设资金来源</w:t>
            </w:r>
          </w:p>
        </w:tc>
        <w:tc>
          <w:tcPr>
            <w:tcW w:w="6447" w:type="dxa"/>
            <w:gridSpan w:val="2"/>
            <w:noWrap/>
            <w:vAlign w:val="center"/>
          </w:tcPr>
          <w:p>
            <w:pPr>
              <w:pStyle w:val="104"/>
              <w:widowControl w:val="0"/>
              <w:pBdr>
                <w:bottom w:val="none" w:color="auto" w:sz="0" w:space="0"/>
              </w:pBdr>
              <w:tabs>
                <w:tab w:val="left" w:pos="540"/>
              </w:tabs>
              <w:spacing w:before="0" w:beforeAutospacing="0" w:after="0" w:afterAutospacing="0" w:line="288" w:lineRule="auto"/>
              <w:jc w:val="both"/>
              <w:rPr>
                <w:rFonts w:hint="default" w:ascii="仿宋" w:hAnsi="仿宋" w:eastAsia="仿宋" w:cs="仿宋"/>
                <w:color w:val="auto"/>
                <w:kern w:val="16"/>
                <w:position w:val="6"/>
                <w:highlight w:val="none"/>
              </w:rPr>
            </w:pPr>
            <w:r>
              <w:rPr>
                <w:rFonts w:ascii="仿宋" w:hAnsi="仿宋" w:eastAsia="仿宋" w:cs="仿宋"/>
                <w:color w:val="auto"/>
                <w:kern w:val="16"/>
                <w:position w:val="6"/>
                <w:highlight w:val="none"/>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9</w:t>
            </w:r>
          </w:p>
        </w:tc>
        <w:tc>
          <w:tcPr>
            <w:tcW w:w="2006" w:type="dxa"/>
            <w:noWrap/>
            <w:vAlign w:val="center"/>
          </w:tcPr>
          <w:p>
            <w:pPr>
              <w:tabs>
                <w:tab w:val="left" w:pos="540"/>
              </w:tabs>
              <w:spacing w:line="288" w:lineRule="auto"/>
              <w:jc w:val="center"/>
              <w:rPr>
                <w:rFonts w:ascii="仿宋" w:hAnsi="仿宋" w:eastAsia="仿宋" w:cs="仿宋"/>
                <w:kern w:val="24"/>
                <w:sz w:val="24"/>
                <w:highlight w:val="none"/>
              </w:rPr>
            </w:pPr>
            <w:r>
              <w:rPr>
                <w:rFonts w:hint="eastAsia" w:ascii="仿宋" w:hAnsi="仿宋" w:eastAsia="仿宋" w:cs="仿宋"/>
                <w:kern w:val="24"/>
                <w:sz w:val="24"/>
                <w:highlight w:val="none"/>
              </w:rPr>
              <w:t>是否接受联合体</w:t>
            </w:r>
          </w:p>
        </w:tc>
        <w:tc>
          <w:tcPr>
            <w:tcW w:w="6447" w:type="dxa"/>
            <w:gridSpan w:val="2"/>
            <w:noWrap/>
            <w:vAlign w:val="center"/>
          </w:tcPr>
          <w:p>
            <w:pPr>
              <w:pStyle w:val="104"/>
              <w:widowControl w:val="0"/>
              <w:pBdr>
                <w:bottom w:val="none" w:color="auto" w:sz="0" w:space="0"/>
              </w:pBdr>
              <w:tabs>
                <w:tab w:val="left" w:pos="540"/>
              </w:tabs>
              <w:spacing w:before="0" w:beforeAutospacing="0" w:after="0" w:afterAutospacing="0" w:line="288" w:lineRule="auto"/>
              <w:jc w:val="both"/>
              <w:rPr>
                <w:rFonts w:hint="default" w:ascii="仿宋" w:hAnsi="仿宋" w:eastAsia="仿宋" w:cs="仿宋"/>
                <w:color w:val="auto"/>
                <w:kern w:val="16"/>
                <w:position w:val="6"/>
                <w:highlight w:val="none"/>
              </w:rPr>
            </w:pPr>
            <w:r>
              <w:rPr>
                <w:rFonts w:ascii="仿宋" w:hAnsi="仿宋" w:eastAsia="仿宋" w:cs="仿宋"/>
                <w:color w:val="auto"/>
                <w:kern w:val="16"/>
                <w:position w:val="6"/>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10</w:t>
            </w:r>
          </w:p>
        </w:tc>
        <w:tc>
          <w:tcPr>
            <w:tcW w:w="2006" w:type="dxa"/>
            <w:noWrap/>
            <w:vAlign w:val="center"/>
          </w:tcPr>
          <w:p>
            <w:pPr>
              <w:tabs>
                <w:tab w:val="left" w:pos="540"/>
              </w:tabs>
              <w:spacing w:line="288" w:lineRule="auto"/>
              <w:jc w:val="center"/>
              <w:rPr>
                <w:rFonts w:ascii="仿宋" w:hAnsi="仿宋" w:eastAsia="仿宋" w:cs="仿宋"/>
                <w:kern w:val="24"/>
                <w:sz w:val="24"/>
                <w:highlight w:val="none"/>
              </w:rPr>
            </w:pPr>
            <w:r>
              <w:rPr>
                <w:rFonts w:hint="eastAsia" w:ascii="仿宋" w:hAnsi="仿宋" w:eastAsia="仿宋" w:cs="仿宋"/>
                <w:kern w:val="24"/>
                <w:sz w:val="24"/>
                <w:highlight w:val="none"/>
              </w:rPr>
              <w:t>资格审查方式</w:t>
            </w:r>
          </w:p>
        </w:tc>
        <w:tc>
          <w:tcPr>
            <w:tcW w:w="6447" w:type="dxa"/>
            <w:gridSpan w:val="2"/>
            <w:noWrap/>
            <w:vAlign w:val="center"/>
          </w:tcPr>
          <w:p>
            <w:pPr>
              <w:pStyle w:val="104"/>
              <w:widowControl w:val="0"/>
              <w:pBdr>
                <w:bottom w:val="none" w:color="auto" w:sz="0" w:space="0"/>
              </w:pBdr>
              <w:tabs>
                <w:tab w:val="left" w:pos="540"/>
              </w:tabs>
              <w:spacing w:before="0" w:beforeAutospacing="0" w:after="0" w:afterAutospacing="0" w:line="288" w:lineRule="auto"/>
              <w:jc w:val="both"/>
              <w:rPr>
                <w:rFonts w:hint="default" w:ascii="仿宋" w:hAnsi="仿宋" w:eastAsia="仿宋" w:cs="仿宋"/>
                <w:color w:val="auto"/>
                <w:kern w:val="16"/>
                <w:position w:val="6"/>
                <w:highlight w:val="none"/>
              </w:rPr>
            </w:pPr>
            <w:r>
              <w:rPr>
                <w:rFonts w:ascii="仿宋" w:hAnsi="仿宋" w:eastAsia="仿宋" w:cs="仿宋"/>
                <w:color w:val="auto"/>
                <w:kern w:val="16"/>
                <w:position w:val="6"/>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11</w:t>
            </w:r>
          </w:p>
        </w:tc>
        <w:tc>
          <w:tcPr>
            <w:tcW w:w="2006" w:type="dxa"/>
            <w:noWrap/>
            <w:vAlign w:val="center"/>
          </w:tcPr>
          <w:p>
            <w:pPr>
              <w:tabs>
                <w:tab w:val="left" w:pos="540"/>
              </w:tabs>
              <w:spacing w:line="288" w:lineRule="auto"/>
              <w:jc w:val="center"/>
              <w:rPr>
                <w:rFonts w:ascii="仿宋" w:hAnsi="仿宋" w:eastAsia="仿宋" w:cs="仿宋"/>
                <w:kern w:val="24"/>
                <w:sz w:val="24"/>
                <w:highlight w:val="none"/>
              </w:rPr>
            </w:pPr>
            <w:r>
              <w:rPr>
                <w:rFonts w:hint="eastAsia" w:ascii="仿宋" w:hAnsi="仿宋" w:eastAsia="仿宋" w:cs="仿宋"/>
                <w:kern w:val="24"/>
                <w:sz w:val="24"/>
                <w:highlight w:val="none"/>
              </w:rPr>
              <w:t>评标入围方法</w:t>
            </w:r>
          </w:p>
        </w:tc>
        <w:tc>
          <w:tcPr>
            <w:tcW w:w="6447" w:type="dxa"/>
            <w:gridSpan w:val="2"/>
            <w:noWrap/>
            <w:vAlign w:val="center"/>
          </w:tcPr>
          <w:p>
            <w:pPr>
              <w:spacing w:line="288"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全部入围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985"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12</w:t>
            </w:r>
          </w:p>
        </w:tc>
        <w:tc>
          <w:tcPr>
            <w:tcW w:w="2006" w:type="dxa"/>
            <w:noWrap/>
            <w:vAlign w:val="center"/>
          </w:tcPr>
          <w:p>
            <w:pPr>
              <w:tabs>
                <w:tab w:val="left" w:pos="540"/>
              </w:tabs>
              <w:spacing w:line="288" w:lineRule="auto"/>
              <w:jc w:val="center"/>
              <w:rPr>
                <w:rFonts w:ascii="仿宋" w:hAnsi="仿宋" w:eastAsia="仿宋" w:cs="仿宋"/>
                <w:kern w:val="16"/>
                <w:sz w:val="24"/>
                <w:highlight w:val="none"/>
              </w:rPr>
            </w:pPr>
            <w:r>
              <w:rPr>
                <w:rFonts w:hint="eastAsia" w:ascii="仿宋" w:hAnsi="仿宋" w:eastAsia="仿宋" w:cs="仿宋"/>
                <w:kern w:val="16"/>
                <w:sz w:val="24"/>
                <w:highlight w:val="none"/>
              </w:rPr>
              <w:t>投标有效期</w:t>
            </w:r>
          </w:p>
        </w:tc>
        <w:tc>
          <w:tcPr>
            <w:tcW w:w="6420" w:type="dxa"/>
            <w:noWrap/>
            <w:vAlign w:val="center"/>
          </w:tcPr>
          <w:p>
            <w:pPr>
              <w:tabs>
                <w:tab w:val="left" w:pos="540"/>
              </w:tabs>
              <w:spacing w:line="288" w:lineRule="auto"/>
              <w:rPr>
                <w:rFonts w:ascii="仿宋" w:hAnsi="仿宋" w:eastAsia="仿宋" w:cs="仿宋"/>
                <w:color w:val="auto"/>
                <w:kern w:val="16"/>
                <w:sz w:val="24"/>
                <w:highlight w:val="none"/>
              </w:rPr>
            </w:pPr>
            <w:r>
              <w:rPr>
                <w:rFonts w:hint="eastAsia" w:ascii="仿宋" w:hAnsi="仿宋" w:eastAsia="仿宋" w:cs="仿宋"/>
                <w:color w:val="auto"/>
                <w:kern w:val="16"/>
                <w:sz w:val="24"/>
                <w:highlight w:val="none"/>
                <w:lang w:val="en-US" w:eastAsia="zh-CN"/>
              </w:rPr>
              <w:t>60日历天</w:t>
            </w:r>
            <w:r>
              <w:rPr>
                <w:rFonts w:hint="eastAsia" w:ascii="仿宋" w:hAnsi="仿宋" w:eastAsia="仿宋" w:cs="仿宋"/>
                <w:color w:val="auto"/>
                <w:kern w:val="16"/>
                <w:sz w:val="24"/>
                <w:highlight w:val="none"/>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985"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13</w:t>
            </w:r>
          </w:p>
        </w:tc>
        <w:tc>
          <w:tcPr>
            <w:tcW w:w="2006" w:type="dxa"/>
            <w:noWrap/>
            <w:vAlign w:val="center"/>
          </w:tcPr>
          <w:p>
            <w:pPr>
              <w:tabs>
                <w:tab w:val="left" w:pos="540"/>
              </w:tabs>
              <w:spacing w:line="288" w:lineRule="auto"/>
              <w:jc w:val="center"/>
              <w:rPr>
                <w:rFonts w:ascii="仿宋" w:hAnsi="仿宋" w:eastAsia="仿宋" w:cs="仿宋"/>
                <w:kern w:val="16"/>
                <w:sz w:val="24"/>
                <w:highlight w:val="none"/>
              </w:rPr>
            </w:pPr>
            <w:r>
              <w:rPr>
                <w:rFonts w:hint="eastAsia" w:ascii="仿宋" w:hAnsi="仿宋" w:eastAsia="仿宋" w:cs="仿宋"/>
                <w:kern w:val="16"/>
                <w:sz w:val="24"/>
                <w:highlight w:val="none"/>
              </w:rPr>
              <w:t>投标保证金</w:t>
            </w:r>
          </w:p>
        </w:tc>
        <w:tc>
          <w:tcPr>
            <w:tcW w:w="6420" w:type="dxa"/>
            <w:noWrap/>
            <w:vAlign w:val="center"/>
          </w:tcPr>
          <w:p>
            <w:pPr>
              <w:tabs>
                <w:tab w:val="left" w:pos="540"/>
              </w:tabs>
              <w:spacing w:line="288" w:lineRule="auto"/>
              <w:rPr>
                <w:rFonts w:ascii="仿宋" w:hAnsi="仿宋" w:eastAsia="仿宋" w:cs="仿宋"/>
                <w:color w:val="auto"/>
                <w:kern w:val="24"/>
                <w:sz w:val="24"/>
                <w:highlight w:val="none"/>
              </w:rPr>
            </w:pPr>
            <w:r>
              <w:rPr>
                <w:rFonts w:hint="eastAsia" w:ascii="仿宋" w:hAnsi="仿宋" w:eastAsia="仿宋" w:cs="仿宋"/>
                <w:color w:val="auto"/>
                <w:sz w:val="24"/>
                <w:highlight w:val="none"/>
              </w:rPr>
              <w:t>投标保证金：</w:t>
            </w:r>
            <w:r>
              <w:rPr>
                <w:rFonts w:hint="eastAsia" w:ascii="仿宋" w:hAnsi="仿宋" w:eastAsia="仿宋" w:cs="仿宋"/>
                <w:color w:val="auto"/>
                <w:sz w:val="24"/>
                <w:highlight w:val="none"/>
                <w:u w:val="single"/>
              </w:rPr>
              <w:t>本项目不缴纳</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69" w:hRule="atLeast"/>
          <w:jc w:val="center"/>
        </w:trPr>
        <w:tc>
          <w:tcPr>
            <w:tcW w:w="985"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14</w:t>
            </w:r>
          </w:p>
        </w:tc>
        <w:tc>
          <w:tcPr>
            <w:tcW w:w="2006" w:type="dxa"/>
            <w:noWrap/>
            <w:vAlign w:val="center"/>
          </w:tcPr>
          <w:p>
            <w:pPr>
              <w:tabs>
                <w:tab w:val="left" w:pos="540"/>
              </w:tabs>
              <w:spacing w:line="288" w:lineRule="auto"/>
              <w:jc w:val="center"/>
              <w:rPr>
                <w:rFonts w:ascii="仿宋" w:hAnsi="仿宋" w:eastAsia="仿宋" w:cs="仿宋"/>
                <w:kern w:val="16"/>
                <w:sz w:val="24"/>
                <w:highlight w:val="none"/>
              </w:rPr>
            </w:pPr>
            <w:r>
              <w:rPr>
                <w:rFonts w:hint="eastAsia" w:ascii="仿宋" w:hAnsi="仿宋" w:eastAsia="仿宋" w:cs="仿宋"/>
                <w:kern w:val="16"/>
                <w:sz w:val="24"/>
                <w:highlight w:val="none"/>
              </w:rPr>
              <w:t>投标文件份数</w:t>
            </w:r>
          </w:p>
        </w:tc>
        <w:tc>
          <w:tcPr>
            <w:tcW w:w="6420" w:type="dxa"/>
            <w:noWrap/>
            <w:vAlign w:val="center"/>
          </w:tcPr>
          <w:p>
            <w:pPr>
              <w:tabs>
                <w:tab w:val="left" w:pos="540"/>
              </w:tabs>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本项目实行网上投标，供应商于“政采云”上提供电子投标文件。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985"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15</w:t>
            </w:r>
          </w:p>
        </w:tc>
        <w:tc>
          <w:tcPr>
            <w:tcW w:w="2006" w:type="dxa"/>
            <w:noWrap/>
            <w:vAlign w:val="center"/>
          </w:tcPr>
          <w:p>
            <w:pPr>
              <w:tabs>
                <w:tab w:val="left" w:pos="540"/>
              </w:tabs>
              <w:spacing w:line="288" w:lineRule="auto"/>
              <w:jc w:val="center"/>
              <w:rPr>
                <w:rFonts w:ascii="仿宋" w:hAnsi="仿宋" w:eastAsia="仿宋" w:cs="仿宋"/>
                <w:kern w:val="16"/>
                <w:sz w:val="24"/>
                <w:highlight w:val="none"/>
              </w:rPr>
            </w:pPr>
            <w:r>
              <w:rPr>
                <w:rFonts w:hint="eastAsia" w:ascii="仿宋" w:hAnsi="仿宋" w:eastAsia="仿宋" w:cs="仿宋"/>
                <w:kern w:val="16"/>
                <w:sz w:val="24"/>
                <w:highlight w:val="none"/>
              </w:rPr>
              <w:t>评标办法</w:t>
            </w:r>
          </w:p>
        </w:tc>
        <w:tc>
          <w:tcPr>
            <w:tcW w:w="6420" w:type="dxa"/>
            <w:noWrap/>
            <w:vAlign w:val="center"/>
          </w:tcPr>
          <w:p>
            <w:pPr>
              <w:widowControl/>
              <w:spacing w:line="288" w:lineRule="auto"/>
              <w:rPr>
                <w:rFonts w:ascii="仿宋" w:hAnsi="仿宋" w:eastAsia="仿宋" w:cs="仿宋"/>
                <w:color w:val="auto"/>
                <w:kern w:val="16"/>
                <w:sz w:val="24"/>
                <w:highlight w:val="none"/>
              </w:rPr>
            </w:pPr>
            <w:r>
              <w:rPr>
                <w:rFonts w:hint="eastAsia" w:ascii="仿宋" w:hAnsi="仿宋" w:eastAsia="仿宋" w:cs="仿宋"/>
                <w:color w:val="auto"/>
                <w:sz w:val="24"/>
                <w:highlight w:val="none"/>
                <w:lang w:val="en-US" w:eastAsia="zh-CN"/>
              </w:rPr>
              <w:t>综合评估法</w:t>
            </w:r>
            <w:r>
              <w:rPr>
                <w:rFonts w:hint="eastAsia" w:ascii="仿宋" w:hAnsi="仿宋" w:eastAsia="仿宋" w:cs="仿宋"/>
                <w:color w:val="auto"/>
                <w:kern w:val="16"/>
                <w:sz w:val="24"/>
                <w:highlight w:val="none"/>
              </w:rPr>
              <w:t>（下浮范围为</w:t>
            </w:r>
            <w:r>
              <w:rPr>
                <w:rFonts w:hint="eastAsia" w:ascii="仿宋" w:hAnsi="仿宋" w:eastAsia="仿宋" w:cs="仿宋"/>
                <w:color w:val="auto"/>
                <w:kern w:val="16"/>
                <w:sz w:val="24"/>
                <w:highlight w:val="none"/>
                <w:lang w:eastAsia="zh-CN"/>
              </w:rPr>
              <w:t>5%-1</w:t>
            </w:r>
            <w:r>
              <w:rPr>
                <w:rFonts w:hint="eastAsia" w:ascii="仿宋" w:hAnsi="仿宋" w:eastAsia="仿宋" w:cs="仿宋"/>
                <w:color w:val="auto"/>
                <w:kern w:val="16"/>
                <w:sz w:val="24"/>
                <w:highlight w:val="none"/>
                <w:lang w:val="en-US" w:eastAsia="zh-CN"/>
              </w:rPr>
              <w:t>0</w:t>
            </w:r>
            <w:r>
              <w:rPr>
                <w:rFonts w:hint="eastAsia" w:ascii="仿宋" w:hAnsi="仿宋" w:eastAsia="仿宋" w:cs="仿宋"/>
                <w:color w:val="auto"/>
                <w:kern w:val="16"/>
                <w:sz w:val="24"/>
                <w:highlight w:val="none"/>
                <w:lang w:eastAsia="zh-CN"/>
              </w:rPr>
              <w:t>%</w:t>
            </w:r>
            <w:r>
              <w:rPr>
                <w:rFonts w:hint="eastAsia" w:ascii="仿宋" w:hAnsi="仿宋" w:eastAsia="仿宋" w:cs="仿宋"/>
                <w:color w:val="auto"/>
                <w:kern w:val="16"/>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985"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16</w:t>
            </w:r>
          </w:p>
        </w:tc>
        <w:tc>
          <w:tcPr>
            <w:tcW w:w="2006" w:type="dxa"/>
            <w:noWrap/>
            <w:vAlign w:val="center"/>
          </w:tcPr>
          <w:p>
            <w:pPr>
              <w:tabs>
                <w:tab w:val="left" w:pos="540"/>
              </w:tabs>
              <w:spacing w:line="288" w:lineRule="auto"/>
              <w:jc w:val="center"/>
              <w:rPr>
                <w:rFonts w:ascii="仿宋" w:hAnsi="仿宋" w:eastAsia="仿宋" w:cs="仿宋"/>
                <w:kern w:val="16"/>
                <w:sz w:val="24"/>
                <w:highlight w:val="none"/>
              </w:rPr>
            </w:pPr>
            <w:r>
              <w:rPr>
                <w:rFonts w:hint="eastAsia" w:ascii="仿宋" w:hAnsi="仿宋" w:eastAsia="仿宋" w:cs="仿宋"/>
                <w:kern w:val="16"/>
                <w:sz w:val="24"/>
                <w:highlight w:val="none"/>
              </w:rPr>
              <w:t>履约保证金</w:t>
            </w:r>
          </w:p>
        </w:tc>
        <w:tc>
          <w:tcPr>
            <w:tcW w:w="6420" w:type="dxa"/>
            <w:noWrap/>
            <w:vAlign w:val="center"/>
          </w:tcPr>
          <w:p>
            <w:pPr>
              <w:pStyle w:val="104"/>
              <w:widowControl w:val="0"/>
              <w:pBdr>
                <w:bottom w:val="none" w:color="auto" w:sz="0" w:space="0"/>
              </w:pBdr>
              <w:tabs>
                <w:tab w:val="left" w:pos="540"/>
              </w:tabs>
              <w:spacing w:before="0" w:beforeAutospacing="0" w:after="0" w:afterAutospacing="0" w:line="288" w:lineRule="auto"/>
              <w:jc w:val="both"/>
              <w:rPr>
                <w:rFonts w:hint="eastAsia" w:ascii="仿宋" w:hAnsi="仿宋" w:eastAsia="仿宋" w:cs="仿宋"/>
                <w:color w:val="auto"/>
                <w:kern w:val="24"/>
                <w:highlight w:val="none"/>
                <w:lang w:eastAsia="zh-CN"/>
              </w:rPr>
            </w:pPr>
            <w:r>
              <w:rPr>
                <w:rFonts w:hint="eastAsia" w:ascii="仿宋" w:hAnsi="仿宋" w:eastAsia="仿宋" w:cs="仿宋"/>
                <w:color w:val="auto"/>
                <w:kern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69" w:hRule="atLeast"/>
          <w:jc w:val="center"/>
        </w:trPr>
        <w:tc>
          <w:tcPr>
            <w:tcW w:w="985"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17</w:t>
            </w:r>
          </w:p>
        </w:tc>
        <w:tc>
          <w:tcPr>
            <w:tcW w:w="2006" w:type="dxa"/>
            <w:noWrap/>
            <w:vAlign w:val="center"/>
          </w:tcPr>
          <w:p>
            <w:pPr>
              <w:tabs>
                <w:tab w:val="left" w:pos="540"/>
              </w:tabs>
              <w:spacing w:line="288" w:lineRule="auto"/>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投标报价</w:t>
            </w:r>
          </w:p>
        </w:tc>
        <w:tc>
          <w:tcPr>
            <w:tcW w:w="6420" w:type="dxa"/>
            <w:noWrap/>
            <w:vAlign w:val="center"/>
          </w:tcPr>
          <w:p>
            <w:pPr>
              <w:tabs>
                <w:tab w:val="left" w:pos="540"/>
              </w:tabs>
              <w:spacing w:line="288" w:lineRule="auto"/>
              <w:jc w:val="left"/>
              <w:rPr>
                <w:rFonts w:hint="default" w:ascii="仿宋" w:hAnsi="仿宋" w:eastAsia="仿宋" w:cs="仿宋"/>
                <w:kern w:val="16"/>
                <w:sz w:val="24"/>
                <w:highlight w:val="none"/>
              </w:rPr>
            </w:pPr>
            <w:r>
              <w:rPr>
                <w:rFonts w:hint="eastAsia" w:ascii="仿宋" w:hAnsi="仿宋" w:eastAsia="仿宋" w:cs="仿宋"/>
                <w:kern w:val="16"/>
                <w:sz w:val="24"/>
                <w:highlight w:val="none"/>
              </w:rPr>
              <w:t>投标人按采购人提供的招标控制价为基数，以下浮率形式报价。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69" w:hRule="atLeast"/>
          <w:jc w:val="center"/>
        </w:trPr>
        <w:tc>
          <w:tcPr>
            <w:tcW w:w="985" w:type="dxa"/>
            <w:noWrap/>
            <w:vAlign w:val="center"/>
          </w:tcPr>
          <w:p>
            <w:pPr>
              <w:tabs>
                <w:tab w:val="left" w:pos="360"/>
                <w:tab w:val="left" w:pos="720"/>
                <w:tab w:val="left" w:pos="900"/>
              </w:tabs>
              <w:spacing w:line="288" w:lineRule="auto"/>
              <w:jc w:val="center"/>
              <w:rPr>
                <w:rFonts w:ascii="仿宋" w:hAnsi="仿宋" w:eastAsia="仿宋" w:cs="仿宋"/>
                <w:sz w:val="24"/>
                <w:highlight w:val="none"/>
              </w:rPr>
            </w:pPr>
            <w:r>
              <w:rPr>
                <w:rFonts w:hint="eastAsia" w:ascii="仿宋" w:hAnsi="仿宋" w:eastAsia="仿宋" w:cs="仿宋"/>
                <w:sz w:val="24"/>
                <w:highlight w:val="none"/>
              </w:rPr>
              <w:t>18</w:t>
            </w:r>
          </w:p>
        </w:tc>
        <w:tc>
          <w:tcPr>
            <w:tcW w:w="2006" w:type="dxa"/>
            <w:noWrap/>
            <w:vAlign w:val="center"/>
          </w:tcPr>
          <w:p>
            <w:pPr>
              <w:tabs>
                <w:tab w:val="left" w:pos="540"/>
              </w:tabs>
              <w:spacing w:line="288" w:lineRule="auto"/>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现场踏勘</w:t>
            </w:r>
          </w:p>
        </w:tc>
        <w:tc>
          <w:tcPr>
            <w:tcW w:w="6420" w:type="dxa"/>
            <w:noWrap/>
            <w:vAlign w:val="center"/>
          </w:tcPr>
          <w:p>
            <w:pPr>
              <w:tabs>
                <w:tab w:val="left" w:pos="540"/>
              </w:tabs>
              <w:spacing w:line="288" w:lineRule="auto"/>
              <w:jc w:val="left"/>
              <w:rPr>
                <w:rFonts w:hint="default" w:ascii="仿宋" w:hAnsi="仿宋" w:eastAsia="仿宋" w:cs="仿宋"/>
                <w:kern w:val="16"/>
                <w:sz w:val="24"/>
                <w:highlight w:val="none"/>
              </w:rPr>
            </w:pPr>
            <w:r>
              <w:rPr>
                <w:rFonts w:hint="eastAsia" w:ascii="仿宋" w:hAnsi="仿宋" w:eastAsia="仿宋" w:cs="仿宋"/>
                <w:kern w:val="16"/>
                <w:sz w:val="24"/>
                <w:highlight w:val="none"/>
              </w:rPr>
              <w:t>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53" w:hRule="atLeast"/>
          <w:jc w:val="center"/>
        </w:trPr>
        <w:tc>
          <w:tcPr>
            <w:tcW w:w="985" w:type="dxa"/>
            <w:noWrap/>
            <w:vAlign w:val="center"/>
          </w:tcPr>
          <w:p>
            <w:pPr>
              <w:spacing w:line="288" w:lineRule="auto"/>
              <w:jc w:val="center"/>
              <w:rPr>
                <w:rFonts w:hint="default" w:ascii="仿宋" w:hAnsi="仿宋" w:eastAsia="仿宋" w:cs="仿宋"/>
                <w:sz w:val="24"/>
                <w:highlight w:val="none"/>
                <w:lang w:val="en-US" w:eastAsia="zh-CN"/>
              </w:rPr>
            </w:pPr>
            <w:r>
              <w:rPr>
                <w:rFonts w:hint="eastAsia" w:ascii="仿宋" w:hAnsi="仿宋" w:eastAsia="仿宋" w:cs="仿宋"/>
                <w:color w:val="000000"/>
                <w:sz w:val="24"/>
                <w:szCs w:val="24"/>
                <w:highlight w:val="none"/>
                <w:lang w:val="en-US" w:eastAsia="zh-CN"/>
              </w:rPr>
              <w:t>19</w:t>
            </w:r>
          </w:p>
        </w:tc>
        <w:tc>
          <w:tcPr>
            <w:tcW w:w="2006" w:type="dxa"/>
            <w:noWrap/>
            <w:vAlign w:val="center"/>
          </w:tcPr>
          <w:p>
            <w:pPr>
              <w:tabs>
                <w:tab w:val="left" w:pos="540"/>
              </w:tabs>
              <w:spacing w:line="288" w:lineRule="auto"/>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采购标的对应的中小企业划分标准所属行业</w:t>
            </w:r>
          </w:p>
        </w:tc>
        <w:tc>
          <w:tcPr>
            <w:tcW w:w="6420" w:type="dxa"/>
            <w:noWrap/>
            <w:vAlign w:val="top"/>
          </w:tcPr>
          <w:p>
            <w:pPr>
              <w:tabs>
                <w:tab w:val="left" w:pos="540"/>
              </w:tabs>
              <w:spacing w:line="288" w:lineRule="auto"/>
              <w:jc w:val="left"/>
              <w:rPr>
                <w:rFonts w:hint="eastAsia" w:ascii="仿宋" w:hAnsi="仿宋" w:eastAsia="仿宋" w:cs="仿宋"/>
                <w:kern w:val="16"/>
                <w:sz w:val="24"/>
                <w:highlight w:val="none"/>
              </w:rPr>
            </w:pPr>
            <w:r>
              <w:rPr>
                <w:rFonts w:hint="eastAsia" w:ascii="仿宋" w:hAnsi="仿宋" w:eastAsia="仿宋" w:cs="仿宋"/>
                <w:kern w:val="16"/>
                <w:sz w:val="24"/>
                <w:highlight w:val="none"/>
              </w:rPr>
              <w:t>（1）标的： 01标 ，属于</w:t>
            </w:r>
            <w:r>
              <w:rPr>
                <w:rFonts w:hint="eastAsia" w:ascii="仿宋" w:hAnsi="仿宋" w:eastAsia="仿宋" w:cs="仿宋"/>
                <w:kern w:val="16"/>
                <w:sz w:val="24"/>
                <w:highlight w:val="none"/>
                <w:u w:val="single"/>
              </w:rPr>
              <w:t xml:space="preserve"> </w:t>
            </w:r>
            <w:r>
              <w:rPr>
                <w:rFonts w:hint="eastAsia" w:ascii="仿宋" w:hAnsi="仿宋" w:eastAsia="仿宋" w:cs="仿宋"/>
                <w:kern w:val="16"/>
                <w:sz w:val="24"/>
                <w:highlight w:val="none"/>
                <w:u w:val="single"/>
                <w:lang w:val="en-US" w:eastAsia="zh-CN"/>
              </w:rPr>
              <w:t>建筑业</w:t>
            </w:r>
            <w:r>
              <w:rPr>
                <w:rFonts w:hint="eastAsia" w:ascii="仿宋" w:hAnsi="仿宋" w:eastAsia="仿宋" w:cs="仿宋"/>
                <w:kern w:val="16"/>
                <w:sz w:val="24"/>
                <w:highlight w:val="none"/>
                <w:u w:val="single"/>
              </w:rPr>
              <w:t xml:space="preserve"> </w:t>
            </w:r>
            <w:r>
              <w:rPr>
                <w:rFonts w:hint="eastAsia" w:ascii="仿宋" w:hAnsi="仿宋" w:eastAsia="仿宋" w:cs="仿宋"/>
                <w:kern w:val="16"/>
                <w:sz w:val="24"/>
                <w:highlight w:val="none"/>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20" w:hRule="atLeast"/>
          <w:jc w:val="center"/>
        </w:trPr>
        <w:tc>
          <w:tcPr>
            <w:tcW w:w="985" w:type="dxa"/>
            <w:vMerge w:val="restart"/>
            <w:noWrap/>
            <w:vAlign w:val="center"/>
          </w:tcPr>
          <w:p>
            <w:pPr>
              <w:spacing w:line="288" w:lineRule="auto"/>
              <w:jc w:val="center"/>
              <w:rPr>
                <w:rFonts w:hint="default" w:ascii="仿宋" w:hAnsi="仿宋" w:eastAsia="仿宋" w:cs="仿宋"/>
                <w:sz w:val="24"/>
                <w:highlight w:val="none"/>
                <w:lang w:val="en-US" w:eastAsia="zh-CN"/>
              </w:rPr>
            </w:pPr>
            <w:r>
              <w:rPr>
                <w:rFonts w:hint="eastAsia" w:ascii="仿宋" w:hAnsi="仿宋" w:eastAsia="仿宋" w:cs="仿宋"/>
                <w:sz w:val="24"/>
                <w:szCs w:val="24"/>
                <w:highlight w:val="none"/>
                <w:lang w:val="en-US" w:eastAsia="zh-CN"/>
              </w:rPr>
              <w:t>20</w:t>
            </w:r>
          </w:p>
        </w:tc>
        <w:tc>
          <w:tcPr>
            <w:tcW w:w="2006" w:type="dxa"/>
            <w:vMerge w:val="restart"/>
            <w:noWrap/>
            <w:vAlign w:val="center"/>
          </w:tcPr>
          <w:p>
            <w:pPr>
              <w:tabs>
                <w:tab w:val="left" w:pos="540"/>
              </w:tabs>
              <w:spacing w:line="288" w:lineRule="auto"/>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投标人信用信息事项</w:t>
            </w:r>
          </w:p>
        </w:tc>
        <w:tc>
          <w:tcPr>
            <w:tcW w:w="6420" w:type="dxa"/>
            <w:noWrap/>
            <w:vAlign w:val="center"/>
          </w:tcPr>
          <w:p>
            <w:pPr>
              <w:tabs>
                <w:tab w:val="left" w:pos="540"/>
              </w:tabs>
              <w:spacing w:line="288" w:lineRule="auto"/>
              <w:jc w:val="left"/>
              <w:rPr>
                <w:rFonts w:hint="eastAsia" w:ascii="仿宋" w:hAnsi="仿宋" w:eastAsia="仿宋" w:cs="仿宋"/>
                <w:kern w:val="16"/>
                <w:sz w:val="24"/>
                <w:highlight w:val="none"/>
              </w:rPr>
            </w:pPr>
            <w:r>
              <w:rPr>
                <w:rFonts w:hint="eastAsia" w:ascii="仿宋" w:hAnsi="仿宋" w:eastAsia="仿宋" w:cs="仿宋"/>
                <w:kern w:val="16"/>
                <w:sz w:val="24"/>
                <w:highlight w:val="none"/>
              </w:rPr>
              <w:t>信用信息查询渠道及截止时间：采购人或采购人委托的评审小组或采购代理机构将通过“信用中国”网站(www.creditchina.gov.cn)、中国政府采购网(www.ccgp.gov.cn)渠道查询投标人投标截止时间前的信用记录。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53" w:hRule="atLeast"/>
          <w:jc w:val="center"/>
        </w:trPr>
        <w:tc>
          <w:tcPr>
            <w:tcW w:w="985" w:type="dxa"/>
            <w:vMerge w:val="continue"/>
            <w:noWrap/>
            <w:vAlign w:val="center"/>
          </w:tcPr>
          <w:p>
            <w:pPr>
              <w:spacing w:line="288" w:lineRule="auto"/>
              <w:jc w:val="center"/>
              <w:rPr>
                <w:rFonts w:hint="eastAsia" w:ascii="仿宋" w:hAnsi="仿宋" w:eastAsia="仿宋" w:cs="仿宋"/>
                <w:sz w:val="24"/>
                <w:highlight w:val="none"/>
              </w:rPr>
            </w:pPr>
          </w:p>
        </w:tc>
        <w:tc>
          <w:tcPr>
            <w:tcW w:w="2006" w:type="dxa"/>
            <w:vMerge w:val="continue"/>
            <w:noWrap/>
            <w:vAlign w:val="center"/>
          </w:tcPr>
          <w:p>
            <w:pPr>
              <w:tabs>
                <w:tab w:val="left" w:pos="540"/>
              </w:tabs>
              <w:spacing w:line="288" w:lineRule="auto"/>
              <w:jc w:val="center"/>
              <w:rPr>
                <w:rFonts w:hint="eastAsia" w:ascii="仿宋" w:hAnsi="仿宋" w:eastAsia="仿宋" w:cs="仿宋"/>
                <w:kern w:val="16"/>
                <w:sz w:val="24"/>
                <w:highlight w:val="none"/>
              </w:rPr>
            </w:pPr>
          </w:p>
        </w:tc>
        <w:tc>
          <w:tcPr>
            <w:tcW w:w="6420" w:type="dxa"/>
            <w:noWrap/>
            <w:vAlign w:val="center"/>
          </w:tcPr>
          <w:p>
            <w:pPr>
              <w:tabs>
                <w:tab w:val="left" w:pos="540"/>
              </w:tabs>
              <w:spacing w:line="288" w:lineRule="auto"/>
              <w:jc w:val="left"/>
              <w:rPr>
                <w:rFonts w:hint="eastAsia" w:ascii="仿宋" w:hAnsi="仿宋" w:eastAsia="仿宋" w:cs="仿宋"/>
                <w:kern w:val="16"/>
                <w:sz w:val="24"/>
                <w:highlight w:val="none"/>
              </w:rPr>
            </w:pPr>
            <w:r>
              <w:rPr>
                <w:rFonts w:hint="eastAsia" w:ascii="仿宋" w:hAnsi="仿宋" w:eastAsia="仿宋" w:cs="仿宋"/>
                <w:kern w:val="16"/>
                <w:sz w:val="24"/>
                <w:highlight w:val="none"/>
              </w:rPr>
              <w:t>信用信息查询记录和证据留存的具体方式：采购人或采购人委托的评审小组或采购代理机构现场查询投标人的信用记录，查询结果经确认后与采购文件一起存档。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985" w:type="dxa"/>
            <w:vMerge w:val="continue"/>
            <w:noWrap/>
            <w:vAlign w:val="center"/>
          </w:tcPr>
          <w:p>
            <w:pPr>
              <w:spacing w:line="288" w:lineRule="auto"/>
              <w:jc w:val="center"/>
              <w:rPr>
                <w:rFonts w:hint="eastAsia" w:ascii="仿宋" w:hAnsi="仿宋" w:eastAsia="仿宋" w:cs="仿宋"/>
                <w:sz w:val="24"/>
                <w:highlight w:val="none"/>
              </w:rPr>
            </w:pPr>
          </w:p>
        </w:tc>
        <w:tc>
          <w:tcPr>
            <w:tcW w:w="2006" w:type="dxa"/>
            <w:vMerge w:val="continue"/>
            <w:noWrap/>
            <w:vAlign w:val="center"/>
          </w:tcPr>
          <w:p>
            <w:pPr>
              <w:spacing w:line="288" w:lineRule="auto"/>
              <w:rPr>
                <w:rFonts w:hint="eastAsia" w:ascii="仿宋" w:hAnsi="仿宋" w:eastAsia="仿宋" w:cs="仿宋"/>
                <w:kern w:val="16"/>
                <w:sz w:val="24"/>
                <w:highlight w:val="none"/>
              </w:rPr>
            </w:pPr>
          </w:p>
        </w:tc>
        <w:tc>
          <w:tcPr>
            <w:tcW w:w="6420" w:type="dxa"/>
            <w:noWrap/>
            <w:vAlign w:val="center"/>
          </w:tcPr>
          <w:p>
            <w:pPr>
              <w:spacing w:line="288" w:lineRule="auto"/>
              <w:jc w:val="left"/>
              <w:rPr>
                <w:rFonts w:ascii="仿宋" w:hAnsi="仿宋" w:eastAsia="仿宋" w:cs="仿宋"/>
                <w:bCs/>
                <w:highlight w:val="none"/>
              </w:rPr>
            </w:pPr>
            <w:r>
              <w:rPr>
                <w:rFonts w:hint="eastAsia" w:ascii="仿宋" w:hAnsi="仿宋" w:eastAsia="仿宋" w:cs="仿宋"/>
                <w:b/>
                <w:sz w:val="24"/>
                <w:szCs w:val="24"/>
                <w:highlight w:val="none"/>
              </w:rPr>
              <w:t>信用信息的使用规则：</w:t>
            </w:r>
            <w:r>
              <w:rPr>
                <w:rFonts w:hint="eastAsia" w:ascii="仿宋" w:hAnsi="仿宋" w:eastAsia="仿宋" w:cs="仿宋"/>
                <w:sz w:val="24"/>
                <w:szCs w:val="24"/>
                <w:highlight w:val="none"/>
              </w:rPr>
              <w:t>经查询列入失信被执行人名单、重大税收违法案件当事人名单、政府采购严重违法失信行为记录名单的投标人将被拒绝参与政府采购活动。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52" w:hRule="atLeast"/>
          <w:jc w:val="center"/>
        </w:trPr>
        <w:tc>
          <w:tcPr>
            <w:tcW w:w="985" w:type="dxa"/>
            <w:noWrap/>
            <w:vAlign w:val="center"/>
          </w:tcPr>
          <w:p>
            <w:pPr>
              <w:tabs>
                <w:tab w:val="left" w:pos="360"/>
                <w:tab w:val="left" w:pos="720"/>
                <w:tab w:val="left" w:pos="900"/>
              </w:tabs>
              <w:spacing w:line="288"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21</w:t>
            </w:r>
          </w:p>
        </w:tc>
        <w:tc>
          <w:tcPr>
            <w:tcW w:w="8426" w:type="dxa"/>
            <w:gridSpan w:val="2"/>
            <w:noWrap/>
            <w:vAlign w:val="center"/>
          </w:tcPr>
          <w:p>
            <w:pPr>
              <w:snapToGrid w:val="0"/>
              <w:spacing w:line="288" w:lineRule="auto"/>
              <w:rPr>
                <w:rFonts w:ascii="仿宋" w:hAnsi="仿宋" w:eastAsia="仿宋" w:cs="仿宋"/>
                <w:b/>
                <w:sz w:val="24"/>
                <w:highlight w:val="none"/>
              </w:rPr>
            </w:pPr>
            <w:r>
              <w:rPr>
                <w:rFonts w:hint="eastAsia" w:ascii="仿宋" w:hAnsi="仿宋" w:eastAsia="仿宋" w:cs="仿宋"/>
                <w:b/>
                <w:sz w:val="24"/>
                <w:highlight w:val="none"/>
              </w:rPr>
              <w:t>扰乱公共资源交易市场秩序行为：</w:t>
            </w:r>
          </w:p>
          <w:p>
            <w:pPr>
              <w:snapToGrid w:val="0"/>
              <w:spacing w:line="288" w:lineRule="auto"/>
              <w:rPr>
                <w:rFonts w:ascii="仿宋" w:hAnsi="仿宋" w:eastAsia="仿宋" w:cs="仿宋"/>
                <w:bCs/>
                <w:sz w:val="24"/>
                <w:highlight w:val="none"/>
              </w:rPr>
            </w:pPr>
            <w:r>
              <w:rPr>
                <w:rFonts w:hint="eastAsia" w:ascii="仿宋" w:hAnsi="仿宋" w:eastAsia="仿宋" w:cs="仿宋"/>
                <w:sz w:val="24"/>
                <w:highlight w:val="none"/>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69" w:hRule="atLeast"/>
          <w:jc w:val="center"/>
        </w:trPr>
        <w:tc>
          <w:tcPr>
            <w:tcW w:w="985" w:type="dxa"/>
            <w:noWrap/>
            <w:vAlign w:val="center"/>
          </w:tcPr>
          <w:p>
            <w:pPr>
              <w:tabs>
                <w:tab w:val="left" w:pos="360"/>
                <w:tab w:val="left" w:pos="720"/>
                <w:tab w:val="left" w:pos="900"/>
              </w:tabs>
              <w:spacing w:line="288"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2</w:t>
            </w:r>
          </w:p>
        </w:tc>
        <w:tc>
          <w:tcPr>
            <w:tcW w:w="8426" w:type="dxa"/>
            <w:gridSpan w:val="2"/>
            <w:noWrap/>
            <w:vAlign w:val="center"/>
          </w:tcPr>
          <w:p>
            <w:pPr>
              <w:snapToGrid w:val="0"/>
              <w:spacing w:line="288" w:lineRule="auto"/>
              <w:rPr>
                <w:rFonts w:ascii="仿宋" w:hAnsi="仿宋" w:eastAsia="仿宋" w:cs="仿宋"/>
                <w:bCs/>
                <w:sz w:val="24"/>
                <w:highlight w:val="none"/>
              </w:rPr>
            </w:pPr>
            <w:r>
              <w:rPr>
                <w:rFonts w:hint="eastAsia" w:ascii="仿宋" w:hAnsi="仿宋" w:eastAsia="仿宋" w:cs="仿宋"/>
                <w:sz w:val="24"/>
                <w:highlight w:val="none"/>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985" w:type="dxa"/>
            <w:noWrap/>
            <w:vAlign w:val="center"/>
          </w:tcPr>
          <w:p>
            <w:pPr>
              <w:tabs>
                <w:tab w:val="left" w:pos="360"/>
                <w:tab w:val="left" w:pos="720"/>
                <w:tab w:val="left" w:pos="900"/>
              </w:tabs>
              <w:spacing w:line="288"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3</w:t>
            </w:r>
          </w:p>
        </w:tc>
        <w:tc>
          <w:tcPr>
            <w:tcW w:w="8426" w:type="dxa"/>
            <w:gridSpan w:val="2"/>
            <w:noWrap/>
            <w:vAlign w:val="center"/>
          </w:tcPr>
          <w:p>
            <w:pPr>
              <w:snapToGrid w:val="0"/>
              <w:spacing w:line="288" w:lineRule="auto"/>
              <w:rPr>
                <w:rFonts w:ascii="仿宋" w:hAnsi="仿宋" w:eastAsia="仿宋" w:cs="仿宋"/>
                <w:bCs/>
                <w:sz w:val="24"/>
                <w:highlight w:val="none"/>
              </w:rPr>
            </w:pPr>
            <w:r>
              <w:rPr>
                <w:rFonts w:hint="eastAsia" w:ascii="仿宋" w:hAnsi="仿宋" w:eastAsia="仿宋" w:cs="仿宋"/>
                <w:sz w:val="24"/>
                <w:highlight w:val="none"/>
              </w:rPr>
              <w:t>更正补充公告请自行登录浙江政府采购网或绍兴公共资源交易网查看下载。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248" w:hRule="atLeast"/>
          <w:jc w:val="center"/>
        </w:trPr>
        <w:tc>
          <w:tcPr>
            <w:tcW w:w="985" w:type="dxa"/>
            <w:noWrap/>
            <w:vAlign w:val="center"/>
          </w:tcPr>
          <w:p>
            <w:pPr>
              <w:tabs>
                <w:tab w:val="left" w:pos="360"/>
                <w:tab w:val="left" w:pos="720"/>
                <w:tab w:val="left" w:pos="900"/>
              </w:tabs>
              <w:spacing w:line="288"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4</w:t>
            </w:r>
          </w:p>
        </w:tc>
        <w:tc>
          <w:tcPr>
            <w:tcW w:w="8426" w:type="dxa"/>
            <w:gridSpan w:val="2"/>
            <w:noWrap/>
            <w:vAlign w:val="center"/>
          </w:tcPr>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2.标前准备：各供应商应在开标前应确保成为浙江省政府采购网正式注册入库供应商，并完成CA数字证书办理。因未注册入库、未办理CA数字证书等原因造成无法投标或投标失败等后果由供应商自行承担。</w:t>
            </w:r>
          </w:p>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供应商将政采云电子交易客户端下载、安装完成后，可通过账号密码或CA登录客户端进行投标文件制作。在使用政采云投标客户端时，建议使用WIN7及以上操作系统。</w:t>
            </w:r>
          </w:p>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注：供应商先要申领CA，取得CA后需要在政采云平台进行绑定，CA相关操作可参考《CA申领操作指南》和《CA管理操作指南》。完成CA数字证书办理在资料齐全的情况下预计7个工作日左右，建议供应商获取招标文件后立即办理。</w:t>
            </w:r>
          </w:p>
          <w:p>
            <w:pPr>
              <w:snapToGrid w:val="0"/>
              <w:spacing w:line="288"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《CA申领操作指南》：https://help.zcygov.cn/web/site_2/2018/11-29/2452.html</w:t>
            </w:r>
          </w:p>
          <w:p>
            <w:pPr>
              <w:snapToGrid w:val="0"/>
              <w:spacing w:line="288"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《CA管理操作指南》：https://help.zcygov.cn/web/site_2/2019/08-20/3405.html</w:t>
            </w:r>
          </w:p>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《CA驱动和申领流程》:</w:t>
            </w:r>
          </w:p>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http://zfcg.czt.zj.gov.cn//bidClientTemplate/2019-05-27/12945.html</w:t>
            </w:r>
          </w:p>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pPr>
              <w:snapToGrid w:val="0"/>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3.1应按照本项目招标文件和政采云平台的要求编制、加密传输投标文件。供应商在使用系统进行投标的过程中遇到涉及平台使用的任何问题，可致电政采云平台技术支持热线咨询，联系方式：400-881-7190。</w:t>
            </w:r>
          </w:p>
          <w:p>
            <w:pPr>
              <w:snapToGrid w:val="0"/>
              <w:spacing w:line="288"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3.2投标人通过“政采云”平台制作电子投标文件，投标文件制作详见“供应商-政府采购项目电子交易操作指南：</w:t>
            </w:r>
            <w:r>
              <w:rPr>
                <w:color w:val="auto"/>
                <w:highlight w:val="none"/>
              </w:rPr>
              <w:fldChar w:fldCharType="begin"/>
            </w:r>
            <w:r>
              <w:rPr>
                <w:color w:val="auto"/>
                <w:highlight w:val="none"/>
              </w:rPr>
              <w:instrText xml:space="preserve"> HYPERLINK "https://help.zcygov.cn/web/site_2/2018/12-28/2573.html" </w:instrText>
            </w:r>
            <w:r>
              <w:rPr>
                <w:color w:val="auto"/>
                <w:highlight w:val="none"/>
              </w:rPr>
              <w:fldChar w:fldCharType="separate"/>
            </w:r>
            <w:r>
              <w:rPr>
                <w:rStyle w:val="35"/>
                <w:rFonts w:hint="eastAsia" w:ascii="仿宋" w:hAnsi="仿宋" w:eastAsia="仿宋" w:cs="仿宋"/>
                <w:color w:val="auto"/>
                <w:sz w:val="24"/>
                <w:highlight w:val="none"/>
              </w:rPr>
              <w:t>https://help.zcygov.cn/web/site_2/2018/12-28/2573.html</w:t>
            </w:r>
            <w:r>
              <w:rPr>
                <w:rStyle w:val="35"/>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pPr>
              <w:snapToGrid w:val="0"/>
              <w:spacing w:line="288" w:lineRule="auto"/>
              <w:rPr>
                <w:rFonts w:ascii="仿宋" w:hAnsi="仿宋" w:eastAsia="仿宋" w:cs="仿宋"/>
                <w:bCs/>
                <w:color w:val="auto"/>
                <w:sz w:val="24"/>
                <w:highlight w:val="non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92" w:hRule="atLeast"/>
          <w:jc w:val="center"/>
        </w:trPr>
        <w:tc>
          <w:tcPr>
            <w:tcW w:w="985" w:type="dxa"/>
            <w:vMerge w:val="restart"/>
            <w:noWrap/>
            <w:vAlign w:val="center"/>
          </w:tcPr>
          <w:p>
            <w:pPr>
              <w:spacing w:line="288" w:lineRule="auto"/>
              <w:jc w:val="center"/>
              <w:rPr>
                <w:rFonts w:hint="default" w:ascii="仿宋" w:hAnsi="仿宋" w:eastAsia="仿宋" w:cs="仿宋"/>
                <w:sz w:val="24"/>
                <w:highlight w:val="none"/>
                <w:lang w:val="en-US" w:eastAsia="zh-CN"/>
              </w:rPr>
            </w:pPr>
            <w:r>
              <w:rPr>
                <w:rFonts w:hint="eastAsia" w:ascii="仿宋" w:hAnsi="仿宋" w:eastAsia="仿宋" w:cs="仿宋"/>
                <w:sz w:val="24"/>
                <w:szCs w:val="24"/>
                <w:lang w:val="en-US" w:eastAsia="zh-CN"/>
              </w:rPr>
              <w:t>25</w:t>
            </w:r>
          </w:p>
        </w:tc>
        <w:tc>
          <w:tcPr>
            <w:tcW w:w="8426" w:type="dxa"/>
            <w:gridSpan w:val="2"/>
            <w:noWrap/>
            <w:vAlign w:val="center"/>
          </w:tcPr>
          <w:p>
            <w:pPr>
              <w:spacing w:line="288" w:lineRule="auto"/>
              <w:rPr>
                <w:rFonts w:hint="eastAsia" w:ascii="仿宋" w:hAnsi="仿宋" w:eastAsia="仿宋" w:cs="仿宋"/>
                <w:b/>
                <w:sz w:val="24"/>
                <w:szCs w:val="24"/>
              </w:rPr>
            </w:pPr>
            <w:r>
              <w:rPr>
                <w:rFonts w:hint="eastAsia" w:ascii="仿宋" w:hAnsi="仿宋" w:eastAsia="仿宋" w:cs="仿宋"/>
                <w:b/>
                <w:sz w:val="24"/>
                <w:szCs w:val="24"/>
              </w:rPr>
              <w:t>特别说明：</w:t>
            </w:r>
          </w:p>
          <w:p>
            <w:pPr>
              <w:spacing w:line="288" w:lineRule="auto"/>
              <w:rPr>
                <w:rFonts w:hint="eastAsia" w:ascii="仿宋" w:hAnsi="仿宋" w:eastAsia="仿宋" w:cs="仿宋"/>
                <w:color w:val="auto"/>
                <w:sz w:val="24"/>
                <w:highlight w:val="none"/>
              </w:rPr>
            </w:pPr>
            <w:r>
              <w:rPr>
                <w:rFonts w:hint="eastAsia" w:ascii="仿宋" w:hAnsi="仿宋" w:eastAsia="仿宋" w:cs="仿宋"/>
                <w:snapToGrid w:val="0"/>
                <w:kern w:val="28"/>
                <w:sz w:val="24"/>
                <w:szCs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92" w:hRule="atLeast"/>
          <w:jc w:val="center"/>
        </w:trPr>
        <w:tc>
          <w:tcPr>
            <w:tcW w:w="985" w:type="dxa"/>
            <w:vMerge w:val="continue"/>
            <w:noWrap/>
            <w:vAlign w:val="center"/>
          </w:tcPr>
          <w:p>
            <w:pPr>
              <w:spacing w:line="288" w:lineRule="auto"/>
              <w:jc w:val="center"/>
              <w:rPr>
                <w:rFonts w:hint="eastAsia" w:ascii="仿宋" w:hAnsi="仿宋" w:eastAsia="仿宋" w:cs="仿宋"/>
                <w:sz w:val="24"/>
                <w:highlight w:val="none"/>
              </w:rPr>
            </w:pPr>
          </w:p>
        </w:tc>
        <w:tc>
          <w:tcPr>
            <w:tcW w:w="8426" w:type="dxa"/>
            <w:gridSpan w:val="2"/>
            <w:noWrap/>
            <w:vAlign w:val="center"/>
          </w:tcPr>
          <w:p>
            <w:pPr>
              <w:spacing w:line="288" w:lineRule="auto"/>
              <w:rPr>
                <w:rFonts w:hint="eastAsia" w:ascii="仿宋" w:hAnsi="仿宋" w:eastAsia="仿宋" w:cs="仿宋"/>
                <w:snapToGrid w:val="0"/>
                <w:kern w:val="28"/>
                <w:sz w:val="24"/>
                <w:szCs w:val="24"/>
              </w:rPr>
            </w:pPr>
            <w:r>
              <w:rPr>
                <w:rFonts w:hint="eastAsia" w:ascii="仿宋" w:hAnsi="仿宋" w:eastAsia="仿宋" w:cs="仿宋"/>
                <w:kern w:val="0"/>
                <w:sz w:val="24"/>
                <w:szCs w:val="24"/>
              </w:rPr>
              <w:sym w:font="Wingdings" w:char="00A8"/>
            </w:r>
            <w:r>
              <w:rPr>
                <w:rFonts w:hint="eastAsia" w:ascii="仿宋" w:hAnsi="仿宋" w:eastAsia="仿宋" w:cs="仿宋"/>
                <w:snapToGrid w:val="0"/>
                <w:kern w:val="28"/>
                <w:sz w:val="24"/>
                <w:szCs w:val="24"/>
              </w:rPr>
              <w:t>联合体投标的，联合体各方均需按招标文件要求提供资信证明文件，否则视为不符合相关要求。</w:t>
            </w:r>
          </w:p>
          <w:p>
            <w:pPr>
              <w:spacing w:line="288" w:lineRule="auto"/>
              <w:rPr>
                <w:rFonts w:hint="eastAsia" w:ascii="仿宋" w:hAnsi="仿宋" w:eastAsia="仿宋" w:cs="仿宋"/>
                <w:color w:val="auto"/>
                <w:sz w:val="24"/>
                <w:highlight w:val="none"/>
              </w:rPr>
            </w:pPr>
            <w:r>
              <w:rPr>
                <w:rFonts w:hint="eastAsia" w:ascii="仿宋" w:hAnsi="仿宋" w:eastAsia="仿宋" w:cs="仿宋"/>
                <w:kern w:val="0"/>
                <w:sz w:val="24"/>
                <w:szCs w:val="24"/>
              </w:rPr>
              <w:sym w:font="Wingdings" w:char="F0FE"/>
            </w:r>
            <w:r>
              <w:rPr>
                <w:rFonts w:hint="eastAsia" w:ascii="仿宋" w:hAnsi="仿宋" w:eastAsia="仿宋" w:cs="仿宋"/>
                <w:snapToGrid w:val="0"/>
                <w:kern w:val="28"/>
                <w:sz w:val="24"/>
                <w:szCs w:val="24"/>
              </w:rPr>
              <w:t>联合体投标的，联合体中有一方或者联合体成员根据分工按招标文件要求提供资信证明文件的，视为符合了相关要求。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101" w:hRule="atLeast"/>
          <w:jc w:val="center"/>
        </w:trPr>
        <w:tc>
          <w:tcPr>
            <w:tcW w:w="985" w:type="dxa"/>
            <w:noWrap/>
            <w:vAlign w:val="center"/>
          </w:tcPr>
          <w:p>
            <w:pPr>
              <w:tabs>
                <w:tab w:val="left" w:pos="360"/>
                <w:tab w:val="left" w:pos="720"/>
                <w:tab w:val="left" w:pos="900"/>
              </w:tabs>
              <w:spacing w:line="288"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6</w:t>
            </w:r>
          </w:p>
        </w:tc>
        <w:tc>
          <w:tcPr>
            <w:tcW w:w="8426" w:type="dxa"/>
            <w:gridSpan w:val="2"/>
            <w:noWrap/>
            <w:vAlign w:val="center"/>
          </w:tcPr>
          <w:p>
            <w:pPr>
              <w:spacing w:line="340" w:lineRule="exact"/>
              <w:rPr>
                <w:rFonts w:ascii="仿宋" w:hAnsi="仿宋" w:eastAsia="仿宋" w:cs="仿宋"/>
                <w:b/>
                <w:bCs/>
                <w:sz w:val="24"/>
              </w:rPr>
            </w:pPr>
            <w:r>
              <w:rPr>
                <w:rFonts w:hint="eastAsia" w:ascii="仿宋" w:hAnsi="仿宋" w:eastAsia="仿宋" w:cs="仿宋"/>
                <w:b/>
                <w:bCs/>
                <w:sz w:val="24"/>
              </w:rPr>
              <w:t>其他：代理服务费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中标人须向招标代理机构交纳代理服务费：</w:t>
            </w:r>
          </w:p>
          <w:p>
            <w:pPr>
              <w:spacing w:line="340" w:lineRule="exact"/>
              <w:rPr>
                <w:rFonts w:hint="eastAsia" w:ascii="仿宋" w:hAnsi="仿宋" w:eastAsia="仿宋" w:cs="仿宋"/>
                <w:sz w:val="24"/>
              </w:rPr>
            </w:pPr>
            <w:r>
              <w:rPr>
                <w:rFonts w:hint="eastAsia" w:ascii="仿宋" w:hAnsi="仿宋" w:eastAsia="仿宋" w:cs="仿宋"/>
                <w:sz w:val="24"/>
              </w:rPr>
              <w:t>（1）以中标通知中确定的中标总金额作为服务费的计算基数，收费标准参照《国家计委关于印发&lt;招标代理服务收费管理暂行办法&gt;的通知》（计价格[2002]1980号）</w:t>
            </w:r>
            <w:r>
              <w:rPr>
                <w:rFonts w:hint="eastAsia" w:ascii="仿宋" w:hAnsi="仿宋" w:eastAsia="仿宋" w:cs="仿宋"/>
                <w:sz w:val="24"/>
                <w:lang w:val="en-US" w:eastAsia="zh-CN"/>
              </w:rPr>
              <w:t>的九折收取</w:t>
            </w:r>
            <w:r>
              <w:rPr>
                <w:rFonts w:hint="eastAsia" w:ascii="仿宋" w:hAnsi="仿宋" w:eastAsia="仿宋" w:cs="仿宋"/>
                <w:sz w:val="24"/>
              </w:rPr>
              <w:t>。收费标准：中标金额在100万以下部分为1.</w:t>
            </w:r>
            <w:r>
              <w:rPr>
                <w:rFonts w:hint="eastAsia" w:ascii="仿宋" w:hAnsi="仿宋" w:eastAsia="仿宋" w:cs="仿宋"/>
                <w:sz w:val="24"/>
                <w:lang w:val="en-US" w:eastAsia="zh-CN"/>
              </w:rPr>
              <w:t>0</w:t>
            </w:r>
            <w:r>
              <w:rPr>
                <w:rFonts w:hint="eastAsia" w:ascii="仿宋" w:hAnsi="仿宋" w:eastAsia="仿宋" w:cs="仿宋"/>
                <w:sz w:val="24"/>
              </w:rPr>
              <w:t>%。</w:t>
            </w:r>
          </w:p>
          <w:p>
            <w:pPr>
              <w:spacing w:line="340" w:lineRule="exact"/>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中标人须向采购代理机构交纳</w:t>
            </w:r>
            <w:r>
              <w:rPr>
                <w:rFonts w:hint="eastAsia" w:ascii="仿宋" w:hAnsi="仿宋" w:eastAsia="仿宋" w:cs="仿宋"/>
                <w:sz w:val="24"/>
                <w:lang w:eastAsia="zh-CN"/>
              </w:rPr>
              <w:t>预算编制</w:t>
            </w:r>
            <w:r>
              <w:rPr>
                <w:rFonts w:hint="eastAsia" w:ascii="仿宋" w:hAnsi="仿宋" w:eastAsia="仿宋" w:cs="仿宋"/>
                <w:sz w:val="24"/>
              </w:rPr>
              <w:t>费</w:t>
            </w:r>
            <w:r>
              <w:rPr>
                <w:rFonts w:hint="eastAsia" w:ascii="仿宋" w:hAnsi="仿宋" w:eastAsia="仿宋" w:cs="仿宋"/>
                <w:sz w:val="24"/>
                <w:lang w:val="en-US" w:eastAsia="zh-CN"/>
              </w:rPr>
              <w:t>：</w:t>
            </w:r>
            <w:r>
              <w:rPr>
                <w:rFonts w:hint="eastAsia" w:ascii="仿宋" w:hAnsi="仿宋" w:eastAsia="仿宋" w:cs="仿宋"/>
                <w:sz w:val="24"/>
                <w:lang w:eastAsia="zh-CN"/>
              </w:rPr>
              <w:t>预算编制</w:t>
            </w:r>
            <w:r>
              <w:rPr>
                <w:rFonts w:hint="eastAsia" w:ascii="仿宋" w:hAnsi="仿宋" w:eastAsia="仿宋" w:cs="仿宋"/>
                <w:sz w:val="24"/>
              </w:rPr>
              <w:t>费以</w:t>
            </w:r>
            <w:r>
              <w:rPr>
                <w:rFonts w:hint="eastAsia" w:ascii="仿宋" w:hAnsi="仿宋" w:eastAsia="仿宋" w:cs="仿宋"/>
                <w:sz w:val="24"/>
                <w:lang w:eastAsia="zh-CN"/>
              </w:rPr>
              <w:t>预算</w:t>
            </w:r>
            <w:r>
              <w:rPr>
                <w:rFonts w:hint="eastAsia" w:ascii="仿宋" w:hAnsi="仿宋" w:eastAsia="仿宋" w:cs="仿宋"/>
                <w:sz w:val="24"/>
              </w:rPr>
              <w:t>总金额作为计算基数，收费标准参照《浙江省物价局关于进一步完善工程造价咨询服务收费的通知》（浙价服〔2009〕84号）。</w:t>
            </w:r>
            <w:r>
              <w:rPr>
                <w:rFonts w:hint="eastAsia" w:ascii="仿宋" w:hAnsi="仿宋" w:eastAsia="仿宋" w:cs="仿宋"/>
                <w:sz w:val="24"/>
                <w:lang w:val="en-US" w:eastAsia="zh-CN"/>
              </w:rPr>
              <w:t>预算</w:t>
            </w:r>
            <w:r>
              <w:rPr>
                <w:rFonts w:hint="eastAsia" w:ascii="仿宋" w:hAnsi="仿宋" w:eastAsia="仿宋" w:cs="仿宋"/>
                <w:sz w:val="24"/>
              </w:rPr>
              <w:t>金额在100万以下部分为</w:t>
            </w:r>
            <w:r>
              <w:rPr>
                <w:rFonts w:hint="eastAsia" w:ascii="仿宋" w:hAnsi="仿宋" w:eastAsia="仿宋" w:cs="仿宋"/>
                <w:sz w:val="24"/>
                <w:lang w:val="en-US" w:eastAsia="zh-CN"/>
              </w:rPr>
              <w:t>3.6</w:t>
            </w:r>
            <w:r>
              <w:rPr>
                <w:rFonts w:hint="eastAsia" w:ascii="仿宋" w:hAnsi="仿宋" w:eastAsia="仿宋" w:cs="仿宋"/>
                <w:sz w:val="24"/>
              </w:rPr>
              <w:t>‰</w:t>
            </w:r>
            <w:r>
              <w:rPr>
                <w:rFonts w:hint="eastAsia" w:ascii="仿宋" w:hAnsi="仿宋" w:eastAsia="仿宋" w:cs="仿宋"/>
                <w:sz w:val="24"/>
                <w:lang w:eastAsia="zh-CN"/>
              </w:rPr>
              <w:t>，</w:t>
            </w:r>
            <w:r>
              <w:rPr>
                <w:rFonts w:hint="eastAsia" w:ascii="仿宋" w:hAnsi="仿宋" w:eastAsia="仿宋" w:cs="仿宋"/>
                <w:sz w:val="24"/>
                <w:lang w:val="en-US" w:eastAsia="zh-CN"/>
              </w:rPr>
              <w:t>100万-500万部分为3.3</w:t>
            </w:r>
            <w:r>
              <w:rPr>
                <w:rFonts w:hint="eastAsia" w:ascii="仿宋" w:hAnsi="仿宋" w:eastAsia="仿宋" w:cs="仿宋"/>
                <w:sz w:val="24"/>
              </w:rPr>
              <w:t>‰</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）代理服务费的交纳方式：</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用银行支票、汇票、电汇、现金等付款方式直接交纳代理服务费。</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公司名称：耀华建设管理有限公司绍兴迪荡分公司</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账    号：336006190018819003083</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 户 行：交通银行股份有限公司绍兴迪荡支行</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）领取中标通知书前交纳。</w:t>
            </w:r>
          </w:p>
          <w:p>
            <w:pPr>
              <w:spacing w:line="340" w:lineRule="exact"/>
              <w:rPr>
                <w:rFonts w:ascii="仿宋" w:hAnsi="仿宋" w:eastAsia="仿宋" w:cs="仿宋"/>
                <w:b/>
                <w:color w:val="auto"/>
                <w:sz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）潜在供应商因充分考虑此部分费用，参与投标活动时综合考虑在报价中。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jc w:val="center"/>
        </w:trPr>
        <w:tc>
          <w:tcPr>
            <w:tcW w:w="9411" w:type="dxa"/>
            <w:gridSpan w:val="3"/>
            <w:noWrap/>
            <w:vAlign w:val="center"/>
          </w:tcPr>
          <w:p>
            <w:pPr>
              <w:spacing w:line="288" w:lineRule="auto"/>
              <w:rPr>
                <w:rFonts w:ascii="仿宋" w:hAnsi="仿宋" w:eastAsia="仿宋" w:cs="仿宋"/>
                <w:sz w:val="24"/>
                <w:highlight w:val="none"/>
              </w:rPr>
            </w:pPr>
            <w:r>
              <w:rPr>
                <w:rFonts w:hint="eastAsia" w:ascii="仿宋" w:hAnsi="仿宋" w:eastAsia="仿宋" w:cs="仿宋"/>
                <w:sz w:val="24"/>
                <w:highlight w:val="none"/>
              </w:rPr>
              <w:t>解释：凡涉及本招标文件的解释权属于采购人和本公司。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72" w:hRule="atLeast"/>
          <w:jc w:val="center"/>
        </w:trPr>
        <w:tc>
          <w:tcPr>
            <w:tcW w:w="9411" w:type="dxa"/>
            <w:gridSpan w:val="3"/>
            <w:noWrap/>
            <w:vAlign w:val="center"/>
          </w:tcPr>
          <w:p>
            <w:pPr>
              <w:spacing w:line="288" w:lineRule="auto"/>
              <w:rPr>
                <w:rFonts w:ascii="仿宋" w:hAnsi="仿宋" w:eastAsia="仿宋" w:cs="仿宋"/>
                <w:b/>
                <w:sz w:val="24"/>
                <w:highlight w:val="none"/>
              </w:rPr>
            </w:pPr>
            <w:r>
              <w:rPr>
                <w:rFonts w:hint="eastAsia" w:ascii="仿宋" w:hAnsi="仿宋" w:eastAsia="仿宋" w:cs="仿宋"/>
                <w:b/>
                <w:sz w:val="24"/>
                <w:highlight w:val="none"/>
              </w:rPr>
              <w:t>注：中标人放弃中标资格或因质疑、投诉被取消中标资格或不能履行合同的，本项目重新组织采购。</w:t>
            </w:r>
          </w:p>
        </w:tc>
      </w:tr>
    </w:tbl>
    <w:p>
      <w:pPr>
        <w:spacing w:line="288" w:lineRule="auto"/>
        <w:rPr>
          <w:rFonts w:ascii="仿宋" w:hAnsi="仿宋" w:eastAsia="仿宋" w:cs="仿宋"/>
          <w:b/>
          <w:sz w:val="24"/>
          <w:highlight w:val="none"/>
        </w:rPr>
      </w:pPr>
    </w:p>
    <w:p>
      <w:pPr>
        <w:snapToGrid w:val="0"/>
        <w:spacing w:line="288" w:lineRule="auto"/>
        <w:jc w:val="center"/>
        <w:rPr>
          <w:rFonts w:ascii="仿宋" w:hAnsi="仿宋" w:eastAsia="仿宋" w:cs="仿宋"/>
          <w:b/>
          <w:sz w:val="36"/>
          <w:szCs w:val="36"/>
          <w:highlight w:val="none"/>
        </w:rPr>
      </w:pPr>
    </w:p>
    <w:p>
      <w:pPr>
        <w:snapToGrid w:val="0"/>
        <w:spacing w:line="288" w:lineRule="auto"/>
        <w:jc w:val="both"/>
        <w:rPr>
          <w:rFonts w:hint="eastAsia" w:ascii="仿宋" w:hAnsi="仿宋" w:eastAsia="仿宋" w:cs="仿宋"/>
          <w:b/>
          <w:sz w:val="36"/>
          <w:szCs w:val="36"/>
          <w:highlight w:val="none"/>
        </w:rPr>
      </w:pPr>
    </w:p>
    <w:p>
      <w:pPr>
        <w:snapToGrid w:val="0"/>
        <w:spacing w:line="288" w:lineRule="auto"/>
        <w:jc w:val="center"/>
        <w:rPr>
          <w:rFonts w:hint="eastAsia" w:ascii="仿宋" w:hAnsi="仿宋" w:eastAsia="仿宋" w:cs="仿宋"/>
          <w:b/>
          <w:sz w:val="36"/>
          <w:szCs w:val="36"/>
          <w:highlight w:val="none"/>
        </w:rPr>
      </w:pPr>
    </w:p>
    <w:p>
      <w:pPr>
        <w:snapToGrid w:val="0"/>
        <w:spacing w:line="288" w:lineRule="auto"/>
        <w:jc w:val="center"/>
        <w:rPr>
          <w:rFonts w:hint="eastAsia" w:ascii="仿宋" w:hAnsi="仿宋" w:eastAsia="仿宋" w:cs="仿宋"/>
          <w:b/>
          <w:sz w:val="36"/>
          <w:szCs w:val="36"/>
          <w:highlight w:val="none"/>
        </w:rPr>
      </w:pPr>
    </w:p>
    <w:p>
      <w:pPr>
        <w:snapToGrid w:val="0"/>
        <w:spacing w:line="288" w:lineRule="auto"/>
        <w:jc w:val="center"/>
        <w:rPr>
          <w:rFonts w:hint="eastAsia" w:ascii="仿宋" w:hAnsi="仿宋" w:eastAsia="仿宋" w:cs="仿宋"/>
          <w:b/>
          <w:sz w:val="36"/>
          <w:szCs w:val="36"/>
          <w:highlight w:val="none"/>
        </w:rPr>
      </w:pPr>
    </w:p>
    <w:p>
      <w:pPr>
        <w:snapToGrid w:val="0"/>
        <w:spacing w:line="288" w:lineRule="auto"/>
        <w:jc w:val="both"/>
        <w:rPr>
          <w:rFonts w:hint="eastAsia" w:ascii="仿宋" w:hAnsi="仿宋" w:eastAsia="仿宋" w:cs="仿宋"/>
          <w:b/>
          <w:sz w:val="36"/>
          <w:szCs w:val="36"/>
          <w:highlight w:val="none"/>
        </w:rPr>
      </w:pPr>
    </w:p>
    <w:p>
      <w:pPr>
        <w:snapToGrid w:val="0"/>
        <w:spacing w:line="288"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一、总 则</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1.工程说明</w:t>
      </w:r>
    </w:p>
    <w:p>
      <w:pPr>
        <w:spacing w:line="288"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详见前附表。</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2.招标范围</w:t>
      </w:r>
    </w:p>
    <w:p>
      <w:pPr>
        <w:spacing w:line="288"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详见前附表。</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3.招标方式</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本工程采用</w:t>
      </w:r>
      <w:r>
        <w:rPr>
          <w:rFonts w:hint="eastAsia" w:ascii="仿宋" w:hAnsi="仿宋" w:eastAsia="仿宋" w:cs="仿宋"/>
          <w:color w:val="auto"/>
          <w:sz w:val="24"/>
          <w:highlight w:val="none"/>
          <w:lang w:val="en-US" w:eastAsia="zh-CN"/>
        </w:rPr>
        <w:t>综合评估法</w:t>
      </w:r>
      <w:r>
        <w:rPr>
          <w:rFonts w:hint="eastAsia" w:ascii="仿宋" w:hAnsi="仿宋" w:eastAsia="仿宋" w:cs="仿宋"/>
          <w:color w:val="auto"/>
          <w:sz w:val="24"/>
          <w:highlight w:val="none"/>
        </w:rPr>
        <w:t>，资格审查采用资格后审方法。</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4.资金来源</w:t>
      </w:r>
    </w:p>
    <w:p>
      <w:pPr>
        <w:spacing w:line="288"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详见前附表。</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5.投标费用</w:t>
      </w:r>
    </w:p>
    <w:p>
      <w:pPr>
        <w:spacing w:line="288"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5.1投标人应自行承担编制投标文件与递交投标文件所涉及的一切费用。不论投标结果如何，采购人对上述费用不负任何责任。</w:t>
      </w:r>
      <w:r>
        <w:rPr>
          <w:rFonts w:hint="eastAsia" w:ascii="仿宋" w:hAnsi="仿宋" w:eastAsia="仿宋" w:cs="仿宋"/>
          <w:b/>
          <w:bCs/>
          <w:color w:val="auto"/>
          <w:sz w:val="24"/>
          <w:highlight w:val="none"/>
        </w:rPr>
        <w:t>中标人须向采购代理机构交纳代理服务费，具体详见投标人须知前附表。</w:t>
      </w:r>
    </w:p>
    <w:p>
      <w:pPr>
        <w:spacing w:line="288"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6</w:t>
      </w:r>
      <w:r>
        <w:rPr>
          <w:rFonts w:hint="eastAsia" w:ascii="仿宋" w:hAnsi="仿宋" w:eastAsia="仿宋" w:cs="仿宋"/>
          <w:b/>
          <w:color w:val="000000"/>
          <w:sz w:val="24"/>
          <w:highlight w:val="none"/>
        </w:rPr>
        <w:t>.采购项目需要落实的政府采购政策</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.2支持绿色发展</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288" w:lineRule="auto"/>
        <w:ind w:firstLine="480" w:firstLineChars="200"/>
        <w:rPr>
          <w:rFonts w:hint="eastAsia" w:ascii="仿宋" w:hAnsi="仿宋" w:eastAsia="仿宋" w:cs="仿宋"/>
          <w:b/>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.2.2</w:t>
      </w:r>
      <w:r>
        <w:rPr>
          <w:rFonts w:hint="eastAsia" w:ascii="仿宋" w:hAnsi="仿宋" w:eastAsia="仿宋" w:cs="仿宋"/>
          <w:b/>
          <w:color w:val="000000"/>
          <w:sz w:val="24"/>
          <w:highlight w:val="none"/>
        </w:rPr>
        <w:t>采购人拟采购的产品属于政府强制采购的节能产品品目清单范围的，投标人未按招标文件要求提供国家确定的认证机构出具的、处于有效期之内的节能产品认证证书，投标无效。</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.2.3修缮、装修类项目采购建材的，采购人应将绿色建筑和绿色建材性能、指标等作为实质性条件纳入招标文件和合同。</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.3</w:t>
      </w:r>
      <w:r>
        <w:rPr>
          <w:rFonts w:hint="eastAsia" w:ascii="仿宋" w:hAnsi="仿宋" w:eastAsia="仿宋" w:cs="仿宋"/>
          <w:bCs/>
          <w:color w:val="000000"/>
          <w:sz w:val="24"/>
          <w:highlight w:val="none"/>
        </w:rPr>
        <w:t>小微</w:t>
      </w:r>
      <w:r>
        <w:rPr>
          <w:rFonts w:hint="eastAsia" w:ascii="仿宋" w:hAnsi="仿宋" w:eastAsia="仿宋" w:cs="仿宋"/>
          <w:color w:val="000000"/>
          <w:sz w:val="24"/>
          <w:highlight w:val="none"/>
        </w:rPr>
        <w:t>企业价格扣除。</w:t>
      </w:r>
    </w:p>
    <w:p>
      <w:pPr>
        <w:spacing w:line="288" w:lineRule="auto"/>
        <w:ind w:firstLine="480" w:firstLineChars="200"/>
        <w:rPr>
          <w:rFonts w:hint="eastAsia" w:ascii="仿宋" w:hAnsi="仿宋" w:eastAsia="仿宋" w:cs="仿宋"/>
          <w:bCs/>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.3.1小微企业是指</w:t>
      </w:r>
      <w:r>
        <w:rPr>
          <w:rFonts w:hint="eastAsia" w:ascii="仿宋" w:hAnsi="仿宋" w:eastAsia="仿宋" w:cs="仿宋"/>
          <w:bCs/>
          <w:color w:val="000000"/>
          <w:sz w:val="24"/>
          <w:highlight w:val="none"/>
        </w:rPr>
        <w:t>在中华人民共和国境内依法设立，依据国务院批准的中小企业划分标准确定的小型企业和微型企业，但与大企业的负责人为同一人，或者与大企业存在直接控股、管理关系的除外。</w:t>
      </w:r>
    </w:p>
    <w:p>
      <w:pPr>
        <w:spacing w:line="288"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符合中小企业划分标准的个体工商户，在政府采购活动中视同中小企业。</w:t>
      </w:r>
    </w:p>
    <w:p>
      <w:pPr>
        <w:spacing w:line="288"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6</w:t>
      </w:r>
      <w:r>
        <w:rPr>
          <w:rFonts w:hint="eastAsia" w:ascii="仿宋" w:hAnsi="仿宋" w:eastAsia="仿宋" w:cs="仿宋"/>
          <w:bCs/>
          <w:color w:val="000000"/>
          <w:sz w:val="24"/>
          <w:highlight w:val="none"/>
        </w:rPr>
        <w:t>.3.2在货物采购项目中，货物由小微企业制造，即货物由小微企业生产且使用该小微企业商号或者注册商标。</w:t>
      </w:r>
      <w:r>
        <w:rPr>
          <w:rFonts w:hint="eastAsia" w:ascii="仿宋" w:hAnsi="仿宋" w:eastAsia="仿宋" w:cs="仿宋"/>
          <w:b/>
          <w:bCs/>
          <w:color w:val="000000"/>
          <w:sz w:val="24"/>
          <w:highlight w:val="none"/>
        </w:rPr>
        <w:t>供应商提供的货物既有中小企业制造货物，也有大型企业制造货物的，不享受中小企业扶持政策。</w:t>
      </w:r>
    </w:p>
    <w:p>
      <w:pPr>
        <w:spacing w:line="288"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6</w:t>
      </w:r>
      <w:r>
        <w:rPr>
          <w:rFonts w:hint="eastAsia" w:ascii="仿宋" w:hAnsi="仿宋" w:eastAsia="仿宋" w:cs="仿宋"/>
          <w:bCs/>
          <w:color w:val="000000"/>
          <w:sz w:val="24"/>
          <w:highlight w:val="none"/>
        </w:rPr>
        <w:t>.3.3在服务采购项目中，服务由小微企业承接，即提供服务的人员为小微企业依照《中华人民共和国劳动合同法》订立劳动合同的从业人员。</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.3.4小微企业应按照招标文件格式要求提供《中小企业声明函》。</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.3.5对于经主管预算单位统筹后未预留份额专门面向中小企业采购的采购项目，以及预留份额项目中的非预留部分采购包，采购人、采购代理机构将对符合规定的小微企业报价给予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0%的扣除，用扣除后的价格参加评审。</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%的扣除，用扣除后的价格参加评审。组成联合体或者接受分包的小微企业与联合体内其他企业、分包企业之间存在直接控股、管理关系的，不享受价格扣除优惠政策。</w:t>
      </w:r>
    </w:p>
    <w:p>
      <w:pPr>
        <w:spacing w:line="288"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以联合体形式参加政府采购活动， 联合体各方均为中小企业的，联合体视同中小企业。其中，联合体各方均为小微企业的，联合体视同小微企业。</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.3.7符合《关于促进残疾人就业政府采购政策的通知》（财库〔2017〕141号）规定的条件并提供《残疾人福利性单位声明函》（附件1）的残疾人福利性单位视同小微企业；</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.4支持科技创新创新发展</w:t>
      </w:r>
    </w:p>
    <w:p>
      <w:pPr>
        <w:spacing w:line="288"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对省级以上主管部门认定的首台套产品，自纳入《省推广应用指导目录》起三年内参加政府采购活动，视同已具备相应销售业绩，业绩分为满分。</w:t>
      </w:r>
    </w:p>
    <w:p>
      <w:pPr>
        <w:spacing w:line="288"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.特别说明：</w:t>
      </w:r>
    </w:p>
    <w:p>
      <w:pPr>
        <w:spacing w:line="288"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.1供应商投标所使用的资格、信誉、荣誉、业绩与企业认证必须为投标单位所拥有。供应商投标所使用的采购项目实施人员必须为投标单位正式员工。</w:t>
      </w:r>
    </w:p>
    <w:p>
      <w:pPr>
        <w:spacing w:line="288"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.2供应商应仔细阅读招标文件的所有内容，按照招标文件的要求提交投标文件，并对所提供的全部资料的真实性承担法律责任。</w:t>
      </w:r>
    </w:p>
    <w:p>
      <w:pPr>
        <w:spacing w:line="288" w:lineRule="auto"/>
        <w:ind w:firstLine="480" w:firstLineChars="200"/>
        <w:rPr>
          <w:rFonts w:hint="eastAsia" w:ascii="仿宋" w:hAnsi="仿宋" w:eastAsia="仿宋"/>
          <w:color w:val="000000"/>
          <w:sz w:val="24"/>
          <w:highlight w:val="none"/>
          <w:lang w:val="en-US" w:eastAsia="zh-CN"/>
        </w:rPr>
      </w:pPr>
      <w:r>
        <w:rPr>
          <w:rFonts w:hint="eastAsia" w:ascii="仿宋" w:hAnsi="仿宋" w:eastAsia="仿宋" w:cs="仿宋"/>
          <w:sz w:val="24"/>
          <w:lang w:val="en-US" w:eastAsia="zh-CN"/>
        </w:rPr>
        <w:t>7</w:t>
      </w:r>
      <w:r>
        <w:rPr>
          <w:rFonts w:hint="eastAsia" w:ascii="仿宋" w:hAnsi="仿宋" w:eastAsia="仿宋" w:cs="仿宋"/>
          <w:sz w:val="24"/>
        </w:rPr>
        <w:t>.3供应商在投标活动中提供任何虚假材料,其投标无效，并报监管部门查处；中标后发现的,中标人须依照《中华人民共和国消费者权益保护法》规定赔偿采购人，且民事赔偿并不免除违法供应商的行政与刑事责任。</w:t>
      </w:r>
    </w:p>
    <w:p>
      <w:pPr>
        <w:snapToGrid w:val="0"/>
        <w:spacing w:line="288"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二、招标文件</w:t>
      </w:r>
    </w:p>
    <w:p>
      <w:pPr>
        <w:spacing w:line="288"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1.招标文件的组成</w:t>
      </w:r>
    </w:p>
    <w:p>
      <w:pPr>
        <w:spacing w:line="288" w:lineRule="auto"/>
        <w:ind w:firstLine="480" w:firstLineChars="200"/>
        <w:jc w:val="left"/>
        <w:rPr>
          <w:rFonts w:ascii="仿宋" w:hAnsi="仿宋" w:eastAsia="仿宋" w:cs="仿宋"/>
          <w:color w:val="auto"/>
          <w:spacing w:val="-4"/>
          <w:sz w:val="24"/>
          <w:highlight w:val="none"/>
        </w:rPr>
      </w:pPr>
      <w:r>
        <w:rPr>
          <w:rFonts w:hint="eastAsia" w:ascii="仿宋" w:hAnsi="仿宋" w:eastAsia="仿宋" w:cs="仿宋"/>
          <w:color w:val="auto"/>
          <w:sz w:val="24"/>
          <w:highlight w:val="none"/>
        </w:rPr>
        <w:t>1.1招标文件</w:t>
      </w:r>
      <w:r>
        <w:rPr>
          <w:rFonts w:hint="eastAsia" w:ascii="仿宋" w:hAnsi="仿宋" w:eastAsia="仿宋" w:cs="仿宋"/>
          <w:color w:val="auto"/>
          <w:spacing w:val="-4"/>
          <w:sz w:val="24"/>
          <w:highlight w:val="none"/>
        </w:rPr>
        <w:t>由前附表、招标须知、主要合同协议条款、技术规范、施工图纸等组成。</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1.2投标人应认真阅读招标文件中所有内容。如果投标人编制的投标文件实质上不响应招标文件要求，其投标文件将在评标时被采购人拒绝。</w:t>
      </w:r>
    </w:p>
    <w:p>
      <w:pPr>
        <w:spacing w:line="288"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2.招标文件的解释</w:t>
      </w:r>
    </w:p>
    <w:p>
      <w:pPr>
        <w:spacing w:line="288" w:lineRule="auto"/>
        <w:ind w:firstLine="480" w:firstLineChars="200"/>
        <w:jc w:val="left"/>
        <w:rPr>
          <w:rFonts w:ascii="仿宋" w:hAnsi="仿宋" w:eastAsia="仿宋" w:cs="仿宋"/>
          <w:b/>
          <w:color w:val="auto"/>
          <w:sz w:val="24"/>
          <w:highlight w:val="none"/>
        </w:rPr>
      </w:pPr>
      <w:r>
        <w:rPr>
          <w:rFonts w:hint="eastAsia" w:ascii="仿宋" w:hAnsi="仿宋" w:eastAsia="仿宋" w:cs="仿宋"/>
          <w:color w:val="auto"/>
          <w:sz w:val="24"/>
          <w:highlight w:val="none"/>
        </w:rPr>
        <w:t>投标人在获取招标文件后，若有问题需要澄清，应前附表规定书面形式（包括书面文字、传真等）向采购人提出，采购人汇总后予以解答，同时答疑纪要或补充通知将送给所有获得招标文件的投标人。</w:t>
      </w:r>
    </w:p>
    <w:p>
      <w:pPr>
        <w:spacing w:line="288"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3.招标文件的修改</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3.1在投标截止日</w:t>
      </w:r>
      <w:r>
        <w:rPr>
          <w:rFonts w:hint="eastAsia" w:ascii="仿宋" w:hAnsi="仿宋" w:eastAsia="仿宋" w:cs="仿宋"/>
          <w:sz w:val="24"/>
        </w:rPr>
        <w:t>前规定时间内</w:t>
      </w:r>
      <w:r>
        <w:rPr>
          <w:rFonts w:hint="eastAsia" w:ascii="仿宋" w:hAnsi="仿宋" w:eastAsia="仿宋" w:cs="仿宋"/>
          <w:color w:val="auto"/>
          <w:sz w:val="24"/>
          <w:highlight w:val="none"/>
        </w:rPr>
        <w:t>，采购人可以用答疑纪要或补充通知的方式修改招标文件。</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3.2答疑纪要或补充通知将以书面方式发给所有获得招标文件的投标人，答疑纪要或补充通知作为招标文件的组成部分，对投标人起约束作用。</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3.3为使投标人在编制投标文件时把答疑纪要或补充通知内容考虑进去，采购人将按规定延长递交投标文件的截止日期和开标会议时间。</w:t>
      </w:r>
    </w:p>
    <w:p>
      <w:pPr>
        <w:spacing w:line="288"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4.答疑及现场勘察</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4.1投标人需要对工程施工现场和周围环境进行勘察，以获取编制投标文件和签署合同所需的资料。可事先和采购人联系，自行踏勘现场，勘察现场所发生的费用由投标人自己承担。</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4.2投标人将招标文件和施工图中存在的疑问，在规定的时间内书面送达或传真给采购人，由采购人汇总后，统一书面答复。</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4.3采购人向投标人提供的有关施工现场的资料和数据，是采购人现有的能使投标人利用的资料。</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4.4答疑纪要或补充通知均以书面形式为准。</w:t>
      </w:r>
    </w:p>
    <w:p>
      <w:pPr>
        <w:spacing w:line="288"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5. 工程造价编制</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5.1工程参考造价由采购人根据国家现行规定的工程量计算规则及招标文件规定的计价方法和要求组织编制，并接受财政部门组织审定。</w:t>
      </w:r>
    </w:p>
    <w:p>
      <w:pPr>
        <w:spacing w:line="288" w:lineRule="auto"/>
        <w:ind w:firstLine="480" w:firstLineChars="200"/>
        <w:jc w:val="left"/>
        <w:rPr>
          <w:rFonts w:ascii="仿宋" w:hAnsi="仿宋" w:eastAsia="仿宋" w:cs="仿宋"/>
          <w:b/>
          <w:color w:val="auto"/>
          <w:sz w:val="36"/>
          <w:szCs w:val="36"/>
          <w:highlight w:val="none"/>
        </w:rPr>
      </w:pPr>
      <w:r>
        <w:rPr>
          <w:rFonts w:hint="eastAsia" w:ascii="仿宋" w:hAnsi="仿宋" w:eastAsia="仿宋" w:cs="仿宋"/>
          <w:color w:val="auto"/>
          <w:sz w:val="24"/>
          <w:highlight w:val="none"/>
        </w:rPr>
        <w:t>5.2本工程参考造价编制依据：详见标底编制说明。</w:t>
      </w:r>
    </w:p>
    <w:p>
      <w:pPr>
        <w:snapToGrid w:val="0"/>
        <w:spacing w:line="288"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三、投标文件的编制</w:t>
      </w:r>
    </w:p>
    <w:p>
      <w:pPr>
        <w:spacing w:line="288"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1.投标文件的语言及计量单位</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1.2投标文件以及投标方与招标方就有关投标事宜的所有来往函电，均应以中文书写（技术术语除外）。</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1.3投标计量单位，除招标文件中有特殊要求外，应采用中华人民共和国法定计量单位。</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pPr>
        <w:spacing w:line="288"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1.5投标文件的形式和效力</w:t>
      </w:r>
    </w:p>
    <w:p>
      <w:pPr>
        <w:spacing w:line="288"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1.5.1投标文件为电子投标文件，电子投标文件按“政采云供应商项目采购-电子招投标操作指南”及本招标文件要求制作、加密传输。</w:t>
      </w:r>
    </w:p>
    <w:p>
      <w:pPr>
        <w:spacing w:line="288"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1.5.2投标文件的效力：</w:t>
      </w:r>
    </w:p>
    <w:p>
      <w:pPr>
        <w:spacing w:line="288"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投标文件未在投标截止时间前完成传输的，视为投标文件撤回；投标文件未按时解密，亦视为投标文件撤回。</w:t>
      </w:r>
    </w:p>
    <w:p>
      <w:pPr>
        <w:spacing w:line="288" w:lineRule="auto"/>
        <w:ind w:firstLine="482" w:firstLineChars="200"/>
        <w:jc w:val="left"/>
        <w:rPr>
          <w:rFonts w:ascii="仿宋" w:hAnsi="仿宋" w:eastAsia="仿宋" w:cs="仿宋"/>
          <w:color w:val="auto"/>
          <w:sz w:val="24"/>
          <w:highlight w:val="none"/>
        </w:rPr>
      </w:pPr>
      <w:r>
        <w:rPr>
          <w:rFonts w:hint="eastAsia" w:ascii="仿宋" w:hAnsi="仿宋" w:eastAsia="仿宋" w:cs="仿宋"/>
          <w:b/>
          <w:color w:val="auto"/>
          <w:sz w:val="24"/>
          <w:highlight w:val="none"/>
        </w:rPr>
        <w:t>2.投标文件的组成（注：电子投标文件中所须加盖公章部分均应采用电子签章。）</w:t>
      </w:r>
    </w:p>
    <w:p>
      <w:pPr>
        <w:spacing w:line="288" w:lineRule="auto"/>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2.1资格审查有关的书面承诺函</w:t>
      </w:r>
      <w:r>
        <w:rPr>
          <w:rFonts w:hint="eastAsia" w:ascii="仿宋" w:hAnsi="仿宋" w:eastAsia="仿宋" w:cs="仿宋"/>
          <w:color w:val="auto"/>
          <w:sz w:val="24"/>
          <w:highlight w:val="none"/>
        </w:rPr>
        <w:t>（格式见附件一）；</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法定代表人身份证明（格式见附件</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授权委托书（格式见附件</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代理人身份证复印件（格式见附件</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社保机构出具的本工程授权代表距投标截止时间一个月以内的社保证明（缴费单位和投标单位名称必须一致，并加盖社保缴费证明专用章）复印件；</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投标人营业执照、安全生产许可证复印件；</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投标人拟派项目负责人建造师注册证书、安全生产考核合格证（B证）、项目负责人的包含</w:t>
      </w:r>
      <w:r>
        <w:rPr>
          <w:rFonts w:hint="eastAsia" w:ascii="仿宋" w:hAnsi="仿宋" w:eastAsia="仿宋" w:cs="仿宋"/>
          <w:color w:val="auto"/>
          <w:sz w:val="24"/>
          <w:highlight w:val="none"/>
          <w:lang w:eastAsia="zh-CN"/>
        </w:rPr>
        <w:t>2022年12月至2023年2月</w:t>
      </w:r>
      <w:r>
        <w:rPr>
          <w:rFonts w:hint="eastAsia" w:ascii="仿宋" w:hAnsi="仿宋" w:eastAsia="仿宋" w:cs="仿宋"/>
          <w:color w:val="auto"/>
          <w:sz w:val="24"/>
          <w:highlight w:val="none"/>
        </w:rPr>
        <w:t>的投标人所属社保机构养老保险交纳清单或证明（缴费单位和投标单位名称必须一致，并加盖社保缴费证明专用章）复印件；</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投标承诺书（格式见附件</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招标控制价认可函（格式见附件</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w:t>
      </w:r>
    </w:p>
    <w:p>
      <w:pPr>
        <w:spacing w:line="288"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2.10</w:t>
      </w:r>
      <w:r>
        <w:rPr>
          <w:rFonts w:hint="eastAsia" w:ascii="仿宋" w:hAnsi="仿宋" w:eastAsia="仿宋" w:cs="仿宋"/>
          <w:color w:val="auto"/>
          <w:sz w:val="24"/>
          <w:highlight w:val="none"/>
        </w:rPr>
        <w:t>技术解决方案（格式见附件</w:t>
      </w: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投标函（格式见附件</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总报价书（格式见附件</w:t>
      </w: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u w:val="wave"/>
        </w:rPr>
        <w:t>未尽事宜请各投标单位按评分细则和相对应标项相关要求制作</w:t>
      </w:r>
      <w:r>
        <w:rPr>
          <w:rFonts w:hint="eastAsia" w:ascii="仿宋" w:hAnsi="仿宋" w:eastAsia="仿宋" w:cs="仿宋"/>
          <w:b/>
          <w:bCs/>
          <w:color w:val="auto"/>
          <w:sz w:val="24"/>
          <w:highlight w:val="none"/>
          <w:u w:val="wave"/>
        </w:rPr>
        <w:t>(重要)</w:t>
      </w:r>
      <w:r>
        <w:rPr>
          <w:rFonts w:hint="eastAsia" w:ascii="仿宋" w:hAnsi="仿宋" w:eastAsia="仿宋" w:cs="仿宋"/>
          <w:color w:val="auto"/>
          <w:sz w:val="24"/>
          <w:highlight w:val="none"/>
        </w:rPr>
        <w:t>。</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文件组成投标文件。投标人在投标文件中应对招标文件作出实质性响应，该项内容将作为评标重要指标。投标人不按招标文件的要求提供的投标文件和资料将视为没有对招标文件作出实质性响应，可能导致该投标文件被拒绝，其风险应由投标人自行承担。</w:t>
      </w:r>
    </w:p>
    <w:p>
      <w:pPr>
        <w:spacing w:line="288" w:lineRule="auto"/>
        <w:ind w:firstLine="482" w:firstLineChars="200"/>
        <w:jc w:val="left"/>
        <w:rPr>
          <w:rFonts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（企业安全生产许可证、项目负责人建造师证、安全生产考核合格证（B证）允许使用电子证书打印件（需加盖单位公章），二维码扫描不能获取信息的，则资审查不通过。）</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2.投标文件格式要求</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投标人应按照招标文件要求的内容和附件格式，编制投标文件。</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3.投标保证金：/</w:t>
      </w:r>
    </w:p>
    <w:p>
      <w:pPr>
        <w:spacing w:line="288" w:lineRule="auto"/>
        <w:ind w:firstLine="482" w:firstLineChars="200"/>
        <w:jc w:val="left"/>
        <w:rPr>
          <w:rFonts w:ascii="仿宋" w:hAnsi="仿宋" w:eastAsia="仿宋" w:cs="仿宋"/>
          <w:color w:val="auto"/>
          <w:sz w:val="24"/>
          <w:highlight w:val="none"/>
        </w:rPr>
      </w:pPr>
      <w:r>
        <w:rPr>
          <w:rFonts w:hint="eastAsia" w:ascii="仿宋" w:hAnsi="仿宋" w:eastAsia="仿宋" w:cs="仿宋"/>
          <w:b/>
          <w:color w:val="auto"/>
          <w:sz w:val="24"/>
          <w:highlight w:val="none"/>
        </w:rPr>
        <w:t>4.电子投标文件部分：投标人应根据“政采云供应商项目采购-电子招投标操作指南”及本招标文件规定的格式和顺序编制电子投标文件并进行关联定位。</w:t>
      </w:r>
    </w:p>
    <w:p>
      <w:pPr>
        <w:snapToGrid w:val="0"/>
        <w:spacing w:line="288"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四、投标文件的递交</w:t>
      </w:r>
    </w:p>
    <w:p>
      <w:pPr>
        <w:spacing w:line="288"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投标人应按“招标公告”规定的时间，在“政采云”上提供电子投标文件</w:t>
      </w:r>
      <w:r>
        <w:rPr>
          <w:rFonts w:hint="eastAsia" w:ascii="仿宋" w:hAnsi="仿宋" w:eastAsia="仿宋" w:cs="仿宋"/>
          <w:b/>
          <w:bCs/>
          <w:color w:val="auto"/>
          <w:sz w:val="24"/>
          <w:highlight w:val="none"/>
        </w:rPr>
        <w:t>。</w:t>
      </w:r>
    </w:p>
    <w:p>
      <w:pPr>
        <w:snapToGrid w:val="0"/>
        <w:spacing w:line="288"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五、开标会议</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1.开标会议程序</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1.1投标截止时间后，主持人宣布开标会开始。</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1.2投标人登录政采云平台，用“项目采购-开标评标”功能对电子投标文件进行在线解密。在线解密电子投标文件时间为开标时间起30分钟内。</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1.3评标委员会对所有投标人资格和投标文件进行符合性评审。</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1.4宣布通过符合性评审投标人的报价，未通过符合性评审投标人的投标文件不予宣布报价。</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1.5根据评标办法规定确定中标单位。</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1.6主持人公布评标结果。</w:t>
      </w:r>
    </w:p>
    <w:p>
      <w:pPr>
        <w:snapToGrid w:val="0"/>
        <w:spacing w:line="288"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特别说明：政采云公司如对电子化开标及评审程序有调整的，按调整后的程序操作。</w:t>
      </w:r>
    </w:p>
    <w:p>
      <w:pPr>
        <w:snapToGrid w:val="0"/>
        <w:spacing w:line="288"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pPr>
        <w:snapToGrid w:val="0"/>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2.1电子交易平台发生故障而无法登录访问的； </w:t>
      </w:r>
    </w:p>
    <w:p>
      <w:pPr>
        <w:snapToGrid w:val="0"/>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2.2电子交易平台应用或数据库出现错误，不能进行正常操作的；</w:t>
      </w:r>
    </w:p>
    <w:p>
      <w:pPr>
        <w:snapToGrid w:val="0"/>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2.3电子交易平台发现严重安全漏洞，有潜在泄密危险的；</w:t>
      </w:r>
    </w:p>
    <w:p>
      <w:pPr>
        <w:snapToGrid w:val="0"/>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2.4病毒发作导致不能进行正常操作的； </w:t>
      </w:r>
    </w:p>
    <w:p>
      <w:pPr>
        <w:snapToGrid w:val="0"/>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2.5其他无法保证电子交易的公平、公正和安全的情况。</w:t>
      </w:r>
    </w:p>
    <w:p>
      <w:pPr>
        <w:spacing w:line="288" w:lineRule="auto"/>
        <w:ind w:firstLine="480" w:firstLineChars="200"/>
        <w:rPr>
          <w:rFonts w:ascii="仿宋" w:hAnsi="仿宋" w:eastAsia="仿宋" w:cs="仿宋"/>
          <w:b/>
          <w:color w:val="auto"/>
          <w:kern w:val="24"/>
          <w:sz w:val="24"/>
          <w:highlight w:val="none"/>
        </w:rPr>
      </w:pPr>
      <w:r>
        <w:rPr>
          <w:rFonts w:hint="eastAsia" w:ascii="仿宋" w:hAnsi="仿宋" w:eastAsia="仿宋" w:cs="仿宋"/>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3.投标行为无效情形</w:t>
      </w:r>
    </w:p>
    <w:p>
      <w:pPr>
        <w:spacing w:line="28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投标人有下列情形之一的，其投标行为无效，作无效投标处理：</w:t>
      </w:r>
    </w:p>
    <w:p>
      <w:pPr>
        <w:spacing w:line="28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3.1未在规定时间内对投标文件进行解密的；</w:t>
      </w:r>
    </w:p>
    <w:p>
      <w:pPr>
        <w:spacing w:line="28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3.2投标人不符合招标文件载明的资格条件要求的；</w:t>
      </w:r>
    </w:p>
    <w:p>
      <w:pPr>
        <w:spacing w:line="28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3.3投标文件不符合招标文件载明的要求的；</w:t>
      </w:r>
    </w:p>
    <w:p>
      <w:pPr>
        <w:spacing w:line="28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3.4投标下浮率与招标文件载明的下浮率范围不一致的；</w:t>
      </w:r>
    </w:p>
    <w:p>
      <w:pPr>
        <w:spacing w:line="28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3.5不符合招标文件明确的实质性响应条件的；</w:t>
      </w:r>
    </w:p>
    <w:p>
      <w:pPr>
        <w:spacing w:line="28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3.6未能出具相关证件或证件无效的；</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4.投标文件鉴定和公布</w:t>
      </w:r>
    </w:p>
    <w:p>
      <w:pPr>
        <w:spacing w:line="288"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当众宣传核查结果，并宣读有效投标的投标人名称以及投标主要内容。</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5.唱标</w:t>
      </w:r>
    </w:p>
    <w:p>
      <w:pPr>
        <w:spacing w:line="288"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唱标内容将做好记录。</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6.开标会议记录</w:t>
      </w:r>
    </w:p>
    <w:p>
      <w:pPr>
        <w:spacing w:line="288"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开标会议全过程由采购人代表或其委托的采购代理机构代表记录，并存档备查。</w:t>
      </w:r>
    </w:p>
    <w:p>
      <w:pPr>
        <w:snapToGrid w:val="0"/>
        <w:spacing w:line="288"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六、评 标</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1.评标组织</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1.1评标委员会由招标采购单位依法组建，负责评标活动。评标委员会遵循公开、公平、公正、科学合理、竞争择优的原则。</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1.2评标委员会由</w:t>
      </w:r>
      <w:r>
        <w:rPr>
          <w:rFonts w:hint="eastAsia" w:ascii="仿宋" w:hAnsi="仿宋" w:eastAsia="仿宋" w:cs="仿宋"/>
          <w:color w:val="auto"/>
          <w:sz w:val="24"/>
          <w:highlight w:val="none"/>
          <w:lang w:eastAsia="zh-CN"/>
        </w:rPr>
        <w:t>采购人代表和</w:t>
      </w:r>
      <w:r>
        <w:rPr>
          <w:rFonts w:hint="eastAsia" w:ascii="仿宋" w:hAnsi="仿宋" w:eastAsia="仿宋" w:cs="仿宋"/>
          <w:color w:val="auto"/>
          <w:sz w:val="24"/>
          <w:highlight w:val="none"/>
        </w:rPr>
        <w:t>相关方面的专家组成，成员人数为五人</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以上单数。</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1.3评标委员会负责对投标人资格的最终审定。</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1.4评标委员会可以要求投标人对其投标文件中含义不明确的内容作必要的澄清或者说明，但澄清或者说明不得超过投标文件的范围或者改变投标文件的实质性内容。</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供应商通过政采云平台交换的数据电文必须进行电子签章。</w:t>
      </w:r>
    </w:p>
    <w:p>
      <w:pPr>
        <w:widowControl/>
        <w:snapToGrid w:val="0"/>
        <w:spacing w:line="288"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对投标文件的判定，只依据投标文件和招标文件内容本身，不依据任何外来证明。</w:t>
      </w:r>
    </w:p>
    <w:p>
      <w:pPr>
        <w:spacing w:line="288"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1.6评标委员会不向落标方解释落标的原因。</w:t>
      </w:r>
    </w:p>
    <w:p>
      <w:pPr>
        <w:spacing w:line="288"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2.评标办法</w:t>
      </w:r>
    </w:p>
    <w:p>
      <w:pPr>
        <w:spacing w:line="288" w:lineRule="auto"/>
        <w:ind w:firstLine="480" w:firstLineChars="200"/>
        <w:jc w:val="left"/>
        <w:rPr>
          <w:rFonts w:ascii="仿宋" w:hAnsi="仿宋" w:eastAsia="仿宋" w:cs="仿宋"/>
          <w:color w:val="auto"/>
          <w:sz w:val="24"/>
          <w:highlight w:val="none"/>
          <w:lang w:val="zh-TW"/>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zh-TW"/>
        </w:rPr>
        <w:t>评标入围：全部入围。</w:t>
      </w:r>
    </w:p>
    <w:p>
      <w:pPr>
        <w:spacing w:line="288"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2.2本次评标采用综合评估法，评标委员会在</w:t>
      </w:r>
      <w:r>
        <w:rPr>
          <w:rFonts w:hint="eastAsia" w:ascii="仿宋" w:hAnsi="仿宋" w:eastAsia="仿宋" w:cs="仿宋"/>
          <w:color w:val="auto"/>
          <w:sz w:val="24"/>
          <w:highlight w:val="none"/>
          <w:lang w:val="zh-TW"/>
        </w:rPr>
        <w:t>投标单位中</w:t>
      </w:r>
      <w:r>
        <w:rPr>
          <w:rFonts w:hint="eastAsia" w:ascii="仿宋" w:hAnsi="仿宋" w:eastAsia="仿宋" w:cs="仿宋"/>
          <w:color w:val="auto"/>
          <w:sz w:val="24"/>
          <w:highlight w:val="none"/>
        </w:rPr>
        <w:t>对满足招标文件实质性要求的投标文件，按照本规定的评分标准进行打分，并按综合得分由高到低顺序推荐中标候选人。得分相同时，由采购人现场抽签确定。</w:t>
      </w:r>
    </w:p>
    <w:p>
      <w:pPr>
        <w:spacing w:line="288"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2.3评分标准：共100分，其中商务技术30分，价格70分。评分依下述所列为评标打分依据，分值如下（计算分值时，按其算术平均值保留小数2位）。</w:t>
      </w:r>
    </w:p>
    <w:p>
      <w:pPr>
        <w:spacing w:line="288" w:lineRule="auto"/>
        <w:ind w:firstLine="482"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2.4商务技术评分标准（30分）</w:t>
      </w:r>
    </w:p>
    <w:p>
      <w:pPr>
        <w:spacing w:line="288" w:lineRule="auto"/>
        <w:ind w:firstLine="482" w:firstLineChars="200"/>
        <w:jc w:val="left"/>
        <w:rPr>
          <w:rFonts w:hint="default" w:ascii="仿宋" w:hAnsi="仿宋" w:eastAsia="仿宋" w:cs="仿宋"/>
          <w:b/>
          <w:bCs/>
          <w:sz w:val="24"/>
          <w:lang w:val="en-US" w:eastAsia="zh-CN"/>
        </w:rPr>
      </w:pPr>
      <w:r>
        <w:rPr>
          <w:rFonts w:hint="eastAsia" w:ascii="仿宋" w:hAnsi="仿宋" w:eastAsia="仿宋" w:cs="仿宋"/>
          <w:b/>
          <w:bCs/>
          <w:sz w:val="24"/>
          <w:lang w:val="en-US" w:eastAsia="zh-CN"/>
        </w:rPr>
        <w:t>样品要求</w:t>
      </w:r>
    </w:p>
    <w:p>
      <w:pPr>
        <w:spacing w:line="288" w:lineRule="auto"/>
        <w:ind w:firstLine="482" w:firstLineChars="200"/>
        <w:jc w:val="left"/>
        <w:rPr>
          <w:rFonts w:hint="eastAsia" w:ascii="仿宋" w:hAnsi="仿宋" w:eastAsia="仿宋" w:cs="仿宋"/>
          <w:sz w:val="24"/>
        </w:rPr>
      </w:pPr>
      <w:r>
        <w:rPr>
          <w:rFonts w:hint="eastAsia" w:ascii="仿宋" w:hAnsi="仿宋" w:eastAsia="仿宋" w:cs="仿宋"/>
          <w:b/>
          <w:bCs/>
          <w:sz w:val="24"/>
        </w:rPr>
        <w:t>1.时间要求：</w:t>
      </w:r>
      <w:r>
        <w:rPr>
          <w:rFonts w:hint="eastAsia" w:ascii="仿宋" w:hAnsi="仿宋" w:eastAsia="仿宋" w:cs="仿宋"/>
          <w:sz w:val="24"/>
        </w:rPr>
        <w:t>投标</w:t>
      </w:r>
      <w:r>
        <w:rPr>
          <w:rFonts w:hint="eastAsia" w:ascii="仿宋" w:hAnsi="仿宋" w:eastAsia="仿宋" w:cs="仿宋"/>
          <w:color w:val="auto"/>
          <w:sz w:val="24"/>
        </w:rPr>
        <w:t>人须在</w:t>
      </w:r>
      <w:r>
        <w:rPr>
          <w:rFonts w:hint="eastAsia" w:ascii="仿宋" w:hAnsi="仿宋" w:eastAsia="仿宋" w:cs="仿宋"/>
          <w:color w:val="auto"/>
          <w:sz w:val="24"/>
          <w:lang w:val="en-US" w:eastAsia="zh-CN"/>
        </w:rPr>
        <w:t>投标截止</w:t>
      </w:r>
      <w:r>
        <w:rPr>
          <w:rFonts w:hint="eastAsia" w:ascii="仿宋" w:hAnsi="仿宋" w:eastAsia="仿宋" w:cs="仿宋"/>
          <w:sz w:val="24"/>
        </w:rPr>
        <w:t>时间内，送达指定送样地址，超过时间送达样品的，</w:t>
      </w:r>
      <w:r>
        <w:rPr>
          <w:rFonts w:hint="eastAsia" w:ascii="仿宋" w:hAnsi="仿宋" w:eastAsia="仿宋" w:cs="仿宋"/>
          <w:sz w:val="24"/>
          <w:lang w:val="en-US" w:eastAsia="zh-CN"/>
        </w:rPr>
        <w:t>招标</w:t>
      </w:r>
      <w:r>
        <w:rPr>
          <w:rFonts w:hint="eastAsia" w:ascii="仿宋" w:hAnsi="仿宋" w:eastAsia="仿宋" w:cs="仿宋"/>
          <w:sz w:val="24"/>
        </w:rPr>
        <w:t>人拒收。</w:t>
      </w:r>
    </w:p>
    <w:p>
      <w:pPr>
        <w:spacing w:line="288" w:lineRule="auto"/>
        <w:ind w:firstLine="482" w:firstLineChars="200"/>
        <w:rPr>
          <w:rFonts w:hint="eastAsia" w:ascii="仿宋" w:hAnsi="仿宋" w:eastAsia="仿宋" w:cs="仿宋"/>
          <w:bCs/>
          <w:sz w:val="24"/>
        </w:rPr>
      </w:pPr>
      <w:r>
        <w:rPr>
          <w:rFonts w:hint="eastAsia" w:ascii="仿宋" w:hAnsi="仿宋" w:eastAsia="仿宋" w:cs="仿宋"/>
          <w:b/>
          <w:bCs/>
          <w:sz w:val="24"/>
        </w:rPr>
        <w:t>2.投标样品送到地点及联系方式：</w:t>
      </w:r>
      <w:r>
        <w:rPr>
          <w:rFonts w:hint="eastAsia" w:ascii="仿宋" w:hAnsi="仿宋" w:eastAsia="仿宋" w:cs="仿宋"/>
          <w:sz w:val="24"/>
        </w:rPr>
        <w:t>投标人须将样品在规定时间内</w:t>
      </w:r>
      <w:r>
        <w:rPr>
          <w:rFonts w:hint="eastAsia" w:ascii="仿宋" w:hAnsi="仿宋" w:eastAsia="仿宋" w:cs="仿宋"/>
          <w:sz w:val="24"/>
          <w:lang w:val="en-US" w:eastAsia="zh-CN"/>
        </w:rPr>
        <w:t>送达</w:t>
      </w:r>
      <w:r>
        <w:rPr>
          <w:rFonts w:hint="eastAsia" w:ascii="仿宋" w:hAnsi="仿宋" w:eastAsia="仿宋" w:cs="Times New Roman"/>
          <w:b/>
          <w:bCs/>
          <w:sz w:val="24"/>
          <w:u w:val="single"/>
        </w:rPr>
        <w:t>耀华建设管理有限公司绍兴迪荡分公司（绍兴市越城区阳明北路80号滨江大厦C楼3楼</w:t>
      </w:r>
      <w:r>
        <w:rPr>
          <w:rFonts w:hint="eastAsia" w:ascii="仿宋" w:hAnsi="仿宋" w:eastAsia="仿宋" w:cs="Times New Roman"/>
          <w:b/>
          <w:bCs/>
          <w:sz w:val="24"/>
          <w:u w:val="single"/>
          <w:lang w:val="en-US" w:eastAsia="zh-CN"/>
        </w:rPr>
        <w:t>309</w:t>
      </w:r>
      <w:r>
        <w:rPr>
          <w:rFonts w:hint="eastAsia" w:ascii="仿宋" w:hAnsi="仿宋" w:eastAsia="仿宋" w:cs="Times New Roman"/>
          <w:b/>
          <w:bCs/>
          <w:sz w:val="24"/>
          <w:u w:val="single"/>
        </w:rPr>
        <w:t>号）</w:t>
      </w:r>
      <w:r>
        <w:rPr>
          <w:rFonts w:hint="eastAsia" w:ascii="仿宋" w:hAnsi="仿宋" w:eastAsia="仿宋"/>
          <w:b/>
          <w:bCs/>
          <w:sz w:val="24"/>
          <w:u w:val="single"/>
        </w:rPr>
        <w:t>指定地点</w:t>
      </w:r>
      <w:r>
        <w:rPr>
          <w:rFonts w:hint="eastAsia" w:ascii="仿宋" w:hAnsi="仿宋" w:eastAsia="仿宋" w:cs="仿宋"/>
          <w:bCs/>
          <w:sz w:val="24"/>
        </w:rPr>
        <w:t>；</w:t>
      </w:r>
      <w:r>
        <w:rPr>
          <w:rFonts w:hint="eastAsia" w:ascii="仿宋" w:hAnsi="仿宋" w:eastAsia="仿宋" w:cs="仿宋"/>
          <w:sz w:val="24"/>
        </w:rPr>
        <w:t>联系人：</w:t>
      </w:r>
      <w:r>
        <w:rPr>
          <w:rFonts w:hint="eastAsia" w:ascii="仿宋" w:hAnsi="仿宋" w:eastAsia="仿宋" w:cs="仿宋"/>
          <w:sz w:val="24"/>
          <w:lang w:val="en-US" w:eastAsia="zh-CN"/>
        </w:rPr>
        <w:t>栾雪明</w:t>
      </w:r>
      <w:r>
        <w:rPr>
          <w:rFonts w:hint="eastAsia" w:ascii="仿宋" w:hAnsi="仿宋" w:eastAsia="仿宋" w:cs="仿宋"/>
          <w:sz w:val="24"/>
        </w:rPr>
        <w:t>；联系电话：</w:t>
      </w:r>
      <w:r>
        <w:rPr>
          <w:rFonts w:hint="eastAsia" w:ascii="仿宋" w:hAnsi="仿宋" w:eastAsia="仿宋" w:cs="仿宋"/>
          <w:sz w:val="24"/>
          <w:lang w:val="en-US" w:eastAsia="zh-CN"/>
        </w:rPr>
        <w:t>0575-88776697</w:t>
      </w:r>
      <w:r>
        <w:rPr>
          <w:rFonts w:hint="eastAsia" w:ascii="仿宋" w:hAnsi="仿宋" w:eastAsia="仿宋" w:cs="仿宋"/>
          <w:bCs/>
          <w:sz w:val="24"/>
        </w:rPr>
        <w:t>。</w:t>
      </w:r>
    </w:p>
    <w:p>
      <w:pPr>
        <w:spacing w:line="288" w:lineRule="auto"/>
        <w:ind w:firstLine="482" w:firstLineChars="200"/>
        <w:jc w:val="left"/>
        <w:rPr>
          <w:rFonts w:hint="eastAsia" w:ascii="仿宋" w:hAnsi="仿宋" w:eastAsia="仿宋" w:cs="仿宋"/>
          <w:kern w:val="2"/>
          <w:sz w:val="24"/>
          <w:szCs w:val="24"/>
        </w:rPr>
      </w:pPr>
      <w:r>
        <w:rPr>
          <w:rFonts w:hint="eastAsia" w:ascii="仿宋" w:hAnsi="仿宋" w:eastAsia="仿宋" w:cs="仿宋"/>
          <w:b/>
          <w:bCs/>
          <w:sz w:val="24"/>
        </w:rPr>
        <w:t>3.数量要求：</w:t>
      </w:r>
      <w:r>
        <w:rPr>
          <w:rFonts w:hint="eastAsia" w:ascii="仿宋" w:hAnsi="仿宋" w:eastAsia="仿宋" w:cs="仿宋"/>
          <w:color w:val="auto"/>
          <w:sz w:val="24"/>
          <w:szCs w:val="24"/>
          <w:highlight w:val="none"/>
          <w:lang w:val="en-US" w:eastAsia="zh-CN"/>
        </w:rPr>
        <w:t>50cm*50cm，13mm透气性塑胶面层样品及EPDM颗粒原料（颜色为暗红色）。</w:t>
      </w:r>
    </w:p>
    <w:p>
      <w:pPr>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4.样品需贴有标注供应商名称且加盖公章的标签，标签不完整未盖章的，则样品评审项不得分。</w:t>
      </w:r>
    </w:p>
    <w:p>
      <w:pPr>
        <w:spacing w:line="288"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sz w:val="24"/>
        </w:rPr>
        <w:t>5.</w:t>
      </w:r>
      <w:r>
        <w:rPr>
          <w:rFonts w:hint="eastAsia" w:ascii="仿宋" w:hAnsi="仿宋" w:eastAsia="仿宋" w:cs="仿宋"/>
          <w:sz w:val="24"/>
          <w:szCs w:val="24"/>
          <w:lang w:val="en-US" w:eastAsia="zh-CN"/>
        </w:rPr>
        <w:t>招标</w:t>
      </w:r>
      <w:r>
        <w:rPr>
          <w:rFonts w:hint="eastAsia" w:ascii="仿宋" w:hAnsi="仿宋" w:eastAsia="仿宋" w:cs="仿宋"/>
          <w:sz w:val="24"/>
          <w:szCs w:val="24"/>
        </w:rPr>
        <w:t>活动结束后，对于未中标人提供的样品，</w:t>
      </w:r>
      <w:r>
        <w:rPr>
          <w:rFonts w:hint="eastAsia" w:ascii="仿宋" w:hAnsi="仿宋" w:eastAsia="仿宋" w:cs="仿宋"/>
          <w:sz w:val="24"/>
          <w:szCs w:val="24"/>
          <w:lang w:val="en-US" w:eastAsia="zh-CN"/>
        </w:rPr>
        <w:t>招标</w:t>
      </w:r>
      <w:r>
        <w:rPr>
          <w:rFonts w:hint="eastAsia" w:ascii="仿宋" w:hAnsi="仿宋" w:eastAsia="仿宋" w:cs="仿宋"/>
          <w:sz w:val="24"/>
          <w:szCs w:val="24"/>
        </w:rPr>
        <w:t>人、</w:t>
      </w:r>
      <w:r>
        <w:rPr>
          <w:rFonts w:hint="eastAsia" w:ascii="仿宋" w:hAnsi="仿宋" w:eastAsia="仿宋" w:cs="仿宋"/>
          <w:sz w:val="24"/>
          <w:szCs w:val="24"/>
          <w:lang w:val="en-US" w:eastAsia="zh-CN"/>
        </w:rPr>
        <w:t>招标代理</w:t>
      </w:r>
      <w:r>
        <w:rPr>
          <w:rFonts w:hint="eastAsia" w:ascii="仿宋" w:hAnsi="仿宋" w:eastAsia="仿宋" w:cs="仿宋"/>
          <w:sz w:val="24"/>
          <w:szCs w:val="24"/>
        </w:rPr>
        <w:t>机构将通知未中标人在规定的时间内取回，逾期未取回的，</w:t>
      </w:r>
      <w:r>
        <w:rPr>
          <w:rFonts w:hint="eastAsia" w:ascii="仿宋" w:hAnsi="仿宋" w:eastAsia="仿宋" w:cs="仿宋"/>
          <w:sz w:val="24"/>
          <w:szCs w:val="24"/>
          <w:lang w:val="en-US" w:eastAsia="zh-CN"/>
        </w:rPr>
        <w:t>招标</w:t>
      </w:r>
      <w:r>
        <w:rPr>
          <w:rFonts w:hint="eastAsia" w:ascii="仿宋" w:hAnsi="仿宋" w:eastAsia="仿宋" w:cs="仿宋"/>
          <w:sz w:val="24"/>
          <w:szCs w:val="24"/>
        </w:rPr>
        <w:t>人、</w:t>
      </w:r>
      <w:r>
        <w:rPr>
          <w:rFonts w:hint="eastAsia" w:ascii="仿宋" w:hAnsi="仿宋" w:eastAsia="仿宋" w:cs="仿宋"/>
          <w:sz w:val="24"/>
          <w:szCs w:val="24"/>
          <w:lang w:val="en-US" w:eastAsia="zh-CN"/>
        </w:rPr>
        <w:t>招标代理</w:t>
      </w:r>
      <w:r>
        <w:rPr>
          <w:rFonts w:hint="eastAsia" w:ascii="仿宋" w:hAnsi="仿宋" w:eastAsia="仿宋" w:cs="仿宋"/>
          <w:sz w:val="24"/>
          <w:szCs w:val="24"/>
        </w:rPr>
        <w:t>机构不负保管义务；对于中标人提供的样品，</w:t>
      </w:r>
      <w:r>
        <w:rPr>
          <w:rFonts w:hint="eastAsia" w:ascii="仿宋" w:hAnsi="仿宋" w:eastAsia="仿宋" w:cs="仿宋"/>
          <w:sz w:val="24"/>
          <w:szCs w:val="24"/>
          <w:lang w:val="en-US" w:eastAsia="zh-CN"/>
        </w:rPr>
        <w:t>招标</w:t>
      </w:r>
      <w:r>
        <w:rPr>
          <w:rFonts w:hint="eastAsia" w:ascii="仿宋" w:hAnsi="仿宋" w:eastAsia="仿宋" w:cs="仿宋"/>
          <w:sz w:val="24"/>
          <w:szCs w:val="24"/>
        </w:rPr>
        <w:t>人将进行保管、封存，并作为履约验收的参考。</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759"/>
        <w:gridCol w:w="540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1759" w:type="dxa"/>
            <w:vAlign w:val="center"/>
          </w:tcPr>
          <w:p>
            <w:pPr>
              <w:keepNext w:val="0"/>
              <w:keepLines w:val="0"/>
              <w:pageBreakBefore w:val="0"/>
              <w:kinsoku/>
              <w:wordWrap/>
              <w:overflowPunct/>
              <w:topLinePunct w:val="0"/>
              <w:autoSpaceDE/>
              <w:autoSpaceDN/>
              <w:bidi w:val="0"/>
              <w:adjustRightInd/>
              <w:snapToGrid/>
              <w:spacing w:line="288" w:lineRule="auto"/>
              <w:ind w:firstLine="540" w:firstLineChars="224"/>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评审内容</w:t>
            </w:r>
          </w:p>
        </w:tc>
        <w:tc>
          <w:tcPr>
            <w:tcW w:w="5400" w:type="dxa"/>
            <w:vAlign w:val="center"/>
          </w:tcPr>
          <w:p>
            <w:pPr>
              <w:keepNext w:val="0"/>
              <w:keepLines w:val="0"/>
              <w:pageBreakBefore w:val="0"/>
              <w:kinsoku/>
              <w:wordWrap/>
              <w:overflowPunct/>
              <w:topLinePunct w:val="0"/>
              <w:autoSpaceDE/>
              <w:autoSpaceDN/>
              <w:bidi w:val="0"/>
              <w:adjustRightInd/>
              <w:snapToGrid/>
              <w:spacing w:line="288" w:lineRule="auto"/>
              <w:ind w:firstLine="540" w:firstLineChars="224"/>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评分标准</w:t>
            </w:r>
          </w:p>
        </w:tc>
        <w:tc>
          <w:tcPr>
            <w:tcW w:w="1097" w:type="dxa"/>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1759"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业绩</w:t>
            </w:r>
          </w:p>
        </w:tc>
        <w:tc>
          <w:tcPr>
            <w:tcW w:w="5400" w:type="dxa"/>
            <w:vAlign w:val="center"/>
          </w:tcPr>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vertAlign w:val="baseline"/>
                <w:lang w:val="en-US" w:eastAsia="zh-CN"/>
              </w:rPr>
            </w:pPr>
            <w:r>
              <w:rPr>
                <w:rFonts w:hint="eastAsia" w:ascii="仿宋" w:hAnsi="仿宋" w:eastAsia="仿宋" w:cs="仿宋"/>
                <w:color w:val="auto"/>
                <w:sz w:val="24"/>
                <w:szCs w:val="24"/>
                <w:highlight w:val="none"/>
                <w:lang w:eastAsia="zh-CN"/>
              </w:rPr>
              <w:t>投标人自</w:t>
            </w:r>
            <w:r>
              <w:rPr>
                <w:rFonts w:hint="eastAsia" w:ascii="仿宋" w:hAnsi="仿宋" w:eastAsia="仿宋" w:cs="仿宋"/>
                <w:color w:val="auto"/>
                <w:sz w:val="24"/>
                <w:szCs w:val="24"/>
                <w:highlight w:val="none"/>
                <w:lang w:val="en-US" w:eastAsia="zh-CN"/>
              </w:rPr>
              <w:t>2020年1月1日</w:t>
            </w:r>
            <w:r>
              <w:rPr>
                <w:rFonts w:hint="eastAsia" w:ascii="仿宋" w:hAnsi="仿宋" w:eastAsia="仿宋" w:cs="仿宋"/>
                <w:color w:val="auto"/>
                <w:sz w:val="24"/>
                <w:szCs w:val="24"/>
                <w:highlight w:val="none"/>
              </w:rPr>
              <w:t>至今承接过场地施工</w:t>
            </w:r>
            <w:r>
              <w:rPr>
                <w:rFonts w:hint="eastAsia" w:ascii="仿宋" w:hAnsi="仿宋" w:eastAsia="仿宋" w:cs="仿宋"/>
                <w:color w:val="auto"/>
                <w:sz w:val="24"/>
                <w:szCs w:val="24"/>
                <w:highlight w:val="none"/>
                <w:lang w:val="en-US" w:eastAsia="zh-CN"/>
              </w:rPr>
              <w:t>等类似业绩</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每提供一个业绩得1分，最高得2分。</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复印件加盖</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公章）</w:t>
            </w:r>
          </w:p>
        </w:tc>
        <w:tc>
          <w:tcPr>
            <w:tcW w:w="1097" w:type="dxa"/>
          </w:tcPr>
          <w:p>
            <w:pPr>
              <w:pStyle w:val="3"/>
              <w:ind w:left="0" w:leftChars="0" w:firstLine="0" w:firstLineChars="0"/>
              <w:jc w:val="center"/>
              <w:rPr>
                <w:rFonts w:hint="eastAsia"/>
                <w:vertAlign w:val="baseli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1759"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施工方案</w:t>
            </w:r>
          </w:p>
        </w:tc>
        <w:tc>
          <w:tcPr>
            <w:tcW w:w="5400" w:type="dxa"/>
            <w:vAlign w:val="center"/>
          </w:tcPr>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vertAlign w:val="baseline"/>
                <w:lang w:val="en-US" w:eastAsia="zh-CN"/>
              </w:rPr>
            </w:pPr>
            <w:r>
              <w:rPr>
                <w:rFonts w:hint="eastAsia" w:ascii="仿宋" w:hAnsi="仿宋" w:eastAsia="仿宋" w:cs="仿宋"/>
                <w:color w:val="auto"/>
                <w:sz w:val="24"/>
                <w:szCs w:val="24"/>
                <w:highlight w:val="none"/>
                <w:lang w:eastAsia="zh-CN"/>
              </w:rPr>
              <w:t>评标委员会对投标人就本项目的施工组织方案情况打分。</w:t>
            </w:r>
            <w:r>
              <w:rPr>
                <w:rFonts w:hint="eastAsia" w:ascii="仿宋" w:hAnsi="仿宋" w:eastAsia="仿宋" w:cs="仿宋"/>
                <w:i w:val="0"/>
                <w:iCs w:val="0"/>
                <w:caps w:val="0"/>
                <w:color w:val="auto"/>
                <w:spacing w:val="0"/>
                <w:sz w:val="24"/>
                <w:szCs w:val="24"/>
                <w:highlight w:val="none"/>
              </w:rPr>
              <w:t>完全符合</w:t>
            </w:r>
            <w:r>
              <w:rPr>
                <w:rFonts w:hint="eastAsia" w:ascii="仿宋" w:hAnsi="仿宋" w:eastAsia="仿宋" w:cs="仿宋"/>
                <w:i w:val="0"/>
                <w:iCs w:val="0"/>
                <w:caps w:val="0"/>
                <w:color w:val="auto"/>
                <w:spacing w:val="0"/>
                <w:sz w:val="24"/>
                <w:szCs w:val="24"/>
                <w:highlight w:val="none"/>
                <w:lang w:val="en-US" w:eastAsia="zh-CN"/>
              </w:rPr>
              <w:t>或优于</w:t>
            </w:r>
            <w:r>
              <w:rPr>
                <w:rFonts w:hint="eastAsia" w:ascii="仿宋" w:hAnsi="仿宋" w:eastAsia="仿宋" w:cs="仿宋"/>
                <w:i w:val="0"/>
                <w:iCs w:val="0"/>
                <w:caps w:val="0"/>
                <w:color w:val="auto"/>
                <w:spacing w:val="0"/>
                <w:sz w:val="24"/>
                <w:szCs w:val="24"/>
                <w:highlight w:val="none"/>
              </w:rPr>
              <w:t>项目需求的：</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分</w:t>
            </w:r>
            <w:r>
              <w:rPr>
                <w:rFonts w:hint="eastAsia" w:ascii="仿宋" w:hAnsi="仿宋" w:eastAsia="仿宋" w:cs="仿宋"/>
                <w:i w:val="0"/>
                <w:iCs w:val="0"/>
                <w:caps w:val="0"/>
                <w:color w:val="auto"/>
                <w:spacing w:val="0"/>
                <w:sz w:val="24"/>
                <w:szCs w:val="24"/>
                <w:highlight w:val="none"/>
              </w:rPr>
              <w:t>；基本符合项目需求的：</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分</w:t>
            </w:r>
            <w:r>
              <w:rPr>
                <w:rFonts w:hint="eastAsia" w:ascii="仿宋" w:hAnsi="仿宋" w:eastAsia="仿宋" w:cs="仿宋"/>
                <w:i w:val="0"/>
                <w:iCs w:val="0"/>
                <w:caps w:val="0"/>
                <w:color w:val="auto"/>
                <w:spacing w:val="0"/>
                <w:sz w:val="24"/>
                <w:szCs w:val="24"/>
                <w:highlight w:val="none"/>
              </w:rPr>
              <w:t>；部分符合项目需求的：</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.1分</w:t>
            </w:r>
            <w:r>
              <w:rPr>
                <w:rFonts w:hint="eastAsia" w:ascii="仿宋" w:hAnsi="仿宋" w:eastAsia="仿宋" w:cs="仿宋"/>
                <w:i w:val="0"/>
                <w:iCs w:val="0"/>
                <w:caps w:val="0"/>
                <w:color w:val="auto"/>
                <w:spacing w:val="0"/>
                <w:sz w:val="24"/>
                <w:szCs w:val="24"/>
                <w:highlight w:val="none"/>
              </w:rPr>
              <w:t>；不符合项目需求的得0分。</w:t>
            </w:r>
          </w:p>
        </w:tc>
        <w:tc>
          <w:tcPr>
            <w:tcW w:w="1097" w:type="dxa"/>
          </w:tcPr>
          <w:p>
            <w:pPr>
              <w:pStyle w:val="3"/>
              <w:ind w:left="0" w:leftChars="0" w:firstLine="0" w:firstLineChars="0"/>
              <w:jc w:val="center"/>
              <w:rPr>
                <w:rFonts w:hint="eastAsia"/>
                <w:vertAlign w:val="baseli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1759"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施工措施、施工人员配备情况</w:t>
            </w:r>
          </w:p>
        </w:tc>
        <w:tc>
          <w:tcPr>
            <w:tcW w:w="5400" w:type="dxa"/>
            <w:vAlign w:val="center"/>
          </w:tcPr>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vertAlign w:val="baseline"/>
                <w:lang w:val="en-US" w:eastAsia="zh-CN"/>
              </w:rPr>
            </w:pPr>
            <w:r>
              <w:rPr>
                <w:rFonts w:hint="eastAsia" w:ascii="仿宋" w:hAnsi="仿宋" w:eastAsia="仿宋" w:cs="仿宋"/>
                <w:color w:val="auto"/>
                <w:sz w:val="24"/>
                <w:szCs w:val="24"/>
                <w:highlight w:val="none"/>
                <w:lang w:eastAsia="zh-CN"/>
              </w:rPr>
              <w:t>评标委员会对投标人</w:t>
            </w:r>
            <w:r>
              <w:rPr>
                <w:rFonts w:hint="eastAsia" w:ascii="仿宋" w:hAnsi="仿宋" w:eastAsia="仿宋" w:cs="仿宋"/>
                <w:color w:val="auto"/>
                <w:sz w:val="24"/>
                <w:szCs w:val="24"/>
                <w:highlight w:val="none"/>
                <w:lang w:val="en-US" w:eastAsia="zh-CN"/>
              </w:rPr>
              <w:t>就</w:t>
            </w:r>
            <w:r>
              <w:rPr>
                <w:rFonts w:hint="eastAsia" w:ascii="仿宋" w:hAnsi="仿宋" w:eastAsia="仿宋" w:cs="仿宋"/>
                <w:color w:val="auto"/>
                <w:sz w:val="24"/>
                <w:szCs w:val="24"/>
                <w:highlight w:val="none"/>
                <w:lang w:eastAsia="zh-CN"/>
              </w:rPr>
              <w:t>施工措施情况、本项目的施工人员配备情况打分。</w:t>
            </w:r>
            <w:r>
              <w:rPr>
                <w:rFonts w:hint="eastAsia" w:ascii="仿宋" w:hAnsi="仿宋" w:eastAsia="仿宋" w:cs="仿宋"/>
                <w:i w:val="0"/>
                <w:iCs w:val="0"/>
                <w:caps w:val="0"/>
                <w:color w:val="auto"/>
                <w:spacing w:val="0"/>
                <w:sz w:val="24"/>
                <w:szCs w:val="24"/>
                <w:highlight w:val="none"/>
              </w:rPr>
              <w:t>完全符合</w:t>
            </w:r>
            <w:r>
              <w:rPr>
                <w:rFonts w:hint="eastAsia" w:ascii="仿宋" w:hAnsi="仿宋" w:eastAsia="仿宋" w:cs="仿宋"/>
                <w:i w:val="0"/>
                <w:iCs w:val="0"/>
                <w:caps w:val="0"/>
                <w:color w:val="auto"/>
                <w:spacing w:val="0"/>
                <w:sz w:val="24"/>
                <w:szCs w:val="24"/>
                <w:highlight w:val="none"/>
                <w:lang w:val="en-US" w:eastAsia="zh-CN"/>
              </w:rPr>
              <w:t>或优于</w:t>
            </w:r>
            <w:r>
              <w:rPr>
                <w:rFonts w:hint="eastAsia" w:ascii="仿宋" w:hAnsi="仿宋" w:eastAsia="仿宋" w:cs="仿宋"/>
                <w:i w:val="0"/>
                <w:iCs w:val="0"/>
                <w:caps w:val="0"/>
                <w:color w:val="auto"/>
                <w:spacing w:val="0"/>
                <w:sz w:val="24"/>
                <w:szCs w:val="24"/>
                <w:highlight w:val="none"/>
              </w:rPr>
              <w:t>项目需求的：</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分</w:t>
            </w:r>
            <w:r>
              <w:rPr>
                <w:rFonts w:hint="eastAsia" w:ascii="仿宋" w:hAnsi="仿宋" w:eastAsia="仿宋" w:cs="仿宋"/>
                <w:i w:val="0"/>
                <w:iCs w:val="0"/>
                <w:caps w:val="0"/>
                <w:color w:val="auto"/>
                <w:spacing w:val="0"/>
                <w:sz w:val="24"/>
                <w:szCs w:val="24"/>
                <w:highlight w:val="none"/>
              </w:rPr>
              <w:t>；基本符合项目需求的：</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分</w:t>
            </w:r>
            <w:r>
              <w:rPr>
                <w:rFonts w:hint="eastAsia" w:ascii="仿宋" w:hAnsi="仿宋" w:eastAsia="仿宋" w:cs="仿宋"/>
                <w:i w:val="0"/>
                <w:iCs w:val="0"/>
                <w:caps w:val="0"/>
                <w:color w:val="auto"/>
                <w:spacing w:val="0"/>
                <w:sz w:val="24"/>
                <w:szCs w:val="24"/>
                <w:highlight w:val="none"/>
              </w:rPr>
              <w:t>；部分符合项目需求的：</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.1分</w:t>
            </w:r>
            <w:r>
              <w:rPr>
                <w:rFonts w:hint="eastAsia" w:ascii="仿宋" w:hAnsi="仿宋" w:eastAsia="仿宋" w:cs="仿宋"/>
                <w:i w:val="0"/>
                <w:iCs w:val="0"/>
                <w:caps w:val="0"/>
                <w:color w:val="auto"/>
                <w:spacing w:val="0"/>
                <w:sz w:val="24"/>
                <w:szCs w:val="24"/>
                <w:highlight w:val="none"/>
              </w:rPr>
              <w:t>；不符合项目需求的得0分。</w:t>
            </w:r>
          </w:p>
        </w:tc>
        <w:tc>
          <w:tcPr>
            <w:tcW w:w="1097" w:type="dxa"/>
          </w:tcPr>
          <w:p>
            <w:pPr>
              <w:pStyle w:val="3"/>
              <w:ind w:left="0" w:leftChars="0" w:firstLine="0" w:firstLineChars="0"/>
              <w:jc w:val="center"/>
              <w:rPr>
                <w:rFonts w:hint="eastAsia"/>
                <w:vertAlign w:val="baseli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4"/>
                <w:szCs w:val="24"/>
                <w:highlight w:val="none"/>
                <w:lang w:val="en-US" w:eastAsia="zh-CN"/>
              </w:rPr>
            </w:pPr>
          </w:p>
        </w:tc>
        <w:tc>
          <w:tcPr>
            <w:tcW w:w="1759"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施工安全措施承诺</w:t>
            </w:r>
          </w:p>
        </w:tc>
        <w:tc>
          <w:tcPr>
            <w:tcW w:w="5400" w:type="dxa"/>
            <w:vAlign w:val="center"/>
          </w:tcPr>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vertAlign w:val="baseline"/>
                <w:lang w:val="en-US" w:eastAsia="zh-CN"/>
              </w:rPr>
            </w:pPr>
            <w:r>
              <w:rPr>
                <w:rFonts w:hint="eastAsia" w:ascii="仿宋" w:hAnsi="仿宋" w:eastAsia="仿宋" w:cs="仿宋"/>
                <w:color w:val="auto"/>
                <w:sz w:val="24"/>
                <w:szCs w:val="24"/>
                <w:highlight w:val="none"/>
                <w:lang w:eastAsia="zh-CN"/>
              </w:rPr>
              <w:t>评标委员会对投标人就本项目作出的施工安全措施承诺情况打分。</w:t>
            </w:r>
            <w:r>
              <w:rPr>
                <w:rFonts w:hint="eastAsia" w:ascii="仿宋" w:hAnsi="仿宋" w:eastAsia="仿宋" w:cs="仿宋"/>
                <w:i w:val="0"/>
                <w:iCs w:val="0"/>
                <w:caps w:val="0"/>
                <w:color w:val="auto"/>
                <w:spacing w:val="0"/>
                <w:sz w:val="24"/>
                <w:szCs w:val="24"/>
                <w:highlight w:val="none"/>
              </w:rPr>
              <w:t>完全符合</w:t>
            </w:r>
            <w:r>
              <w:rPr>
                <w:rFonts w:hint="eastAsia" w:ascii="仿宋" w:hAnsi="仿宋" w:eastAsia="仿宋" w:cs="仿宋"/>
                <w:i w:val="0"/>
                <w:iCs w:val="0"/>
                <w:caps w:val="0"/>
                <w:color w:val="auto"/>
                <w:spacing w:val="0"/>
                <w:sz w:val="24"/>
                <w:szCs w:val="24"/>
                <w:highlight w:val="none"/>
                <w:lang w:val="en-US" w:eastAsia="zh-CN"/>
              </w:rPr>
              <w:t>或优于</w:t>
            </w:r>
            <w:r>
              <w:rPr>
                <w:rFonts w:hint="eastAsia" w:ascii="仿宋" w:hAnsi="仿宋" w:eastAsia="仿宋" w:cs="仿宋"/>
                <w:i w:val="0"/>
                <w:iCs w:val="0"/>
                <w:caps w:val="0"/>
                <w:color w:val="auto"/>
                <w:spacing w:val="0"/>
                <w:sz w:val="24"/>
                <w:szCs w:val="24"/>
                <w:highlight w:val="none"/>
              </w:rPr>
              <w:t>项目需求的：</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分</w:t>
            </w:r>
            <w:r>
              <w:rPr>
                <w:rFonts w:hint="eastAsia" w:ascii="仿宋" w:hAnsi="仿宋" w:eastAsia="仿宋" w:cs="仿宋"/>
                <w:i w:val="0"/>
                <w:iCs w:val="0"/>
                <w:caps w:val="0"/>
                <w:color w:val="auto"/>
                <w:spacing w:val="0"/>
                <w:sz w:val="24"/>
                <w:szCs w:val="24"/>
                <w:highlight w:val="none"/>
              </w:rPr>
              <w:t>；基本符合项目需求的：</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分</w:t>
            </w:r>
            <w:r>
              <w:rPr>
                <w:rFonts w:hint="eastAsia" w:ascii="仿宋" w:hAnsi="仿宋" w:eastAsia="仿宋" w:cs="仿宋"/>
                <w:i w:val="0"/>
                <w:iCs w:val="0"/>
                <w:caps w:val="0"/>
                <w:color w:val="auto"/>
                <w:spacing w:val="0"/>
                <w:sz w:val="24"/>
                <w:szCs w:val="24"/>
                <w:highlight w:val="none"/>
              </w:rPr>
              <w:t>；部分符合项目需求的：</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.1分</w:t>
            </w:r>
            <w:r>
              <w:rPr>
                <w:rFonts w:hint="eastAsia" w:ascii="仿宋" w:hAnsi="仿宋" w:eastAsia="仿宋" w:cs="仿宋"/>
                <w:i w:val="0"/>
                <w:iCs w:val="0"/>
                <w:caps w:val="0"/>
                <w:color w:val="auto"/>
                <w:spacing w:val="0"/>
                <w:sz w:val="24"/>
                <w:szCs w:val="24"/>
                <w:highlight w:val="none"/>
              </w:rPr>
              <w:t>；不符合项目需求的得0分。</w:t>
            </w:r>
          </w:p>
        </w:tc>
        <w:tc>
          <w:tcPr>
            <w:tcW w:w="1097" w:type="dxa"/>
          </w:tcPr>
          <w:p>
            <w:pPr>
              <w:pStyle w:val="3"/>
              <w:ind w:left="0" w:leftChars="0" w:firstLine="0" w:firstLineChars="0"/>
              <w:jc w:val="center"/>
              <w:rPr>
                <w:rFonts w:hint="eastAsia"/>
                <w:vertAlign w:val="baseli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1759"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材料检测报告及证书等</w:t>
            </w:r>
          </w:p>
        </w:tc>
        <w:tc>
          <w:tcPr>
            <w:tcW w:w="5400" w:type="dxa"/>
            <w:vAlign w:val="center"/>
          </w:tcPr>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1、投标人提供依据GB 36246-2018《中小学合成材料面层运动场地》“EPDM面层（样品）”的“有害物质含量、有害物质含量释放量及气味和物理性能及无机填料”的检测报告；</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2、投标人提供依据GB 36246-2018《中小学合成材料面层运动场地》“EPDM颗粒（样品）”的“有害物质含量”的检测报告；</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3、投标人提供依据GB36246-2018《中小学合成材料面层运动场》“聚胺脂胶水（样品）”“有害物质含量”的检测报告；</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4、投标人提供依据GB36246-2018《中小学合成材料面层运动场》“色浆（粉）（样品）”“有害物质含量”的检测报告；</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1-4项</w:t>
            </w:r>
            <w:r>
              <w:rPr>
                <w:rFonts w:hint="eastAsia" w:ascii="仿宋" w:hAnsi="仿宋" w:eastAsia="仿宋" w:cs="仿宋"/>
                <w:b/>
                <w:bCs/>
                <w:color w:val="auto"/>
                <w:sz w:val="24"/>
                <w:szCs w:val="24"/>
                <w:highlight w:val="none"/>
                <w:lang w:eastAsia="zh-CN"/>
              </w:rPr>
              <w:t>）评标委员会对投标人</w:t>
            </w:r>
            <w:r>
              <w:rPr>
                <w:rFonts w:hint="eastAsia" w:ascii="仿宋" w:hAnsi="仿宋" w:eastAsia="仿宋" w:cs="仿宋"/>
                <w:b/>
                <w:bCs/>
                <w:color w:val="auto"/>
                <w:sz w:val="24"/>
                <w:szCs w:val="24"/>
                <w:highlight w:val="none"/>
                <w:lang w:val="en-US" w:eastAsia="zh-CN"/>
              </w:rPr>
              <w:t>提供的样品、原材料质量以及相关检测报告、证书进行审定，符合的，每一项目得1分，最多得4分。</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5、投标人提供依据“GB/T 21604-2008”EPDM透气型样块（样品）“化学品 急性皮肤刺激性/腐蚀性试验”检验报告</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6、投标人提供依据“GB/T 21604-2008”EPDM颗粒（样品）“化学品 急性皮肤刺激性/腐蚀性试验”检验报告</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7、投标人提供依据GB/T 21604-2008 胶黏剂（聚胺脂胶水  样品）“化学品 急性皮肤刺激性/腐蚀性试验”检验报告</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8、投标人提供依据GB/T21603-2008“EPDM颗粒（1-4MM）（样品）”急性经口毒性试验报告</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9、投标人提供依据GB/T21603-2008“胶黏剂（聚胺脂胶水  样品）”急性经口毒性试验报告</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10、投标人提供依据GB/T21603-2008“色粉（样品）”急性经口毒性试验报告</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11、投标人提供依据GB/T21603-2008“色膏（样品）”急性经口毒性试验报告</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5-11项</w:t>
            </w:r>
            <w:r>
              <w:rPr>
                <w:rFonts w:hint="eastAsia" w:ascii="仿宋" w:hAnsi="仿宋" w:eastAsia="仿宋" w:cs="仿宋"/>
                <w:b/>
                <w:bCs/>
                <w:color w:val="auto"/>
                <w:sz w:val="24"/>
                <w:szCs w:val="24"/>
                <w:highlight w:val="none"/>
                <w:lang w:eastAsia="zh-CN"/>
              </w:rPr>
              <w:t>）评标委员会对投标人</w:t>
            </w:r>
            <w:r>
              <w:rPr>
                <w:rFonts w:hint="eastAsia" w:ascii="仿宋" w:hAnsi="仿宋" w:eastAsia="仿宋" w:cs="仿宋"/>
                <w:b/>
                <w:bCs/>
                <w:color w:val="auto"/>
                <w:sz w:val="24"/>
                <w:szCs w:val="24"/>
                <w:highlight w:val="none"/>
                <w:lang w:val="en-US" w:eastAsia="zh-CN"/>
              </w:rPr>
              <w:t>提供的样品、原材料以上相关检测报告、证书进行审定，符合的，每一项目得0.5分，最多得3.5分。</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12、投标人提供依据GB/T 22517.6-2020田径场地，“EPDM面层 样品”拉伸强度、拉断伸长率、冲击吸收、垂直变形、抗滑值、阻燃性等检测报告，全部符合得2分，一项不满足不得分。</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13、投标人提供“EPDM颗粒（样品）”“聚胺脂胶水（样品）”国家绿色建筑选用产品证书，得0.5分，缺一不得分。</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注：1.本项内要求提供的检测报告、证书须2020年1月1日始，报告、证书提供</w:t>
            </w:r>
            <w:r>
              <w:rPr>
                <w:rFonts w:hint="eastAsia" w:ascii="仿宋" w:hAnsi="仿宋" w:eastAsia="仿宋" w:cs="仿宋"/>
                <w:b/>
                <w:bCs/>
                <w:color w:val="auto"/>
                <w:sz w:val="24"/>
                <w:szCs w:val="24"/>
                <w:highlight w:val="none"/>
                <w:lang w:eastAsia="zh-CN"/>
              </w:rPr>
              <w:t>复印件</w:t>
            </w:r>
            <w:r>
              <w:rPr>
                <w:rFonts w:hint="eastAsia" w:ascii="仿宋" w:hAnsi="仿宋" w:eastAsia="仿宋" w:cs="仿宋"/>
                <w:b/>
                <w:bCs/>
                <w:color w:val="auto"/>
                <w:sz w:val="24"/>
                <w:szCs w:val="24"/>
                <w:highlight w:val="none"/>
                <w:lang w:val="en-US" w:eastAsia="zh-CN"/>
              </w:rPr>
              <w:t>须</w:t>
            </w:r>
            <w:r>
              <w:rPr>
                <w:rFonts w:hint="eastAsia" w:ascii="仿宋" w:hAnsi="仿宋" w:eastAsia="仿宋" w:cs="仿宋"/>
                <w:b/>
                <w:bCs/>
                <w:color w:val="auto"/>
                <w:sz w:val="24"/>
                <w:szCs w:val="24"/>
                <w:highlight w:val="none"/>
                <w:lang w:eastAsia="zh-CN"/>
              </w:rPr>
              <w:t>加盖</w:t>
            </w:r>
            <w:r>
              <w:rPr>
                <w:rFonts w:hint="eastAsia" w:ascii="仿宋" w:hAnsi="仿宋" w:eastAsia="仿宋" w:cs="仿宋"/>
                <w:b/>
                <w:bCs/>
                <w:color w:val="auto"/>
                <w:sz w:val="24"/>
                <w:szCs w:val="24"/>
                <w:highlight w:val="none"/>
                <w:lang w:val="en-US" w:eastAsia="zh-CN"/>
              </w:rPr>
              <w:t>投标人公章</w:t>
            </w:r>
            <w:r>
              <w:rPr>
                <w:rFonts w:hint="eastAsia" w:ascii="仿宋" w:hAnsi="仿宋" w:eastAsia="仿宋" w:cs="仿宋"/>
                <w:b/>
                <w:bCs/>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288" w:lineRule="auto"/>
              <w:ind w:firstLine="482" w:firstLineChars="200"/>
              <w:jc w:val="left"/>
              <w:textAlignment w:val="auto"/>
              <w:rPr>
                <w:rFonts w:hint="default"/>
                <w:vertAlign w:val="baseline"/>
                <w:lang w:val="en-US" w:eastAsia="zh-CN"/>
              </w:rPr>
            </w:pPr>
            <w:r>
              <w:rPr>
                <w:rFonts w:hint="eastAsia" w:ascii="仿宋" w:hAnsi="仿宋" w:eastAsia="仿宋" w:cs="仿宋"/>
                <w:b/>
                <w:bCs/>
                <w:color w:val="auto"/>
                <w:sz w:val="24"/>
                <w:szCs w:val="24"/>
                <w:highlight w:val="none"/>
                <w:lang w:val="en-US" w:eastAsia="zh-CN"/>
              </w:rPr>
              <w:t>2.本项内要求提供的检测报告、证书须与提供样品配套一致，不一致或未提供样品的，本项不得分。</w:t>
            </w:r>
          </w:p>
        </w:tc>
        <w:tc>
          <w:tcPr>
            <w:tcW w:w="1097" w:type="dxa"/>
          </w:tcPr>
          <w:p>
            <w:pPr>
              <w:pStyle w:val="3"/>
              <w:ind w:left="0" w:leftChars="0" w:firstLine="0" w:firstLineChars="0"/>
              <w:jc w:val="center"/>
              <w:rPr>
                <w:rFonts w:hint="eastAsia"/>
                <w:vertAlign w:val="baseli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759"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样品</w:t>
            </w:r>
          </w:p>
        </w:tc>
        <w:tc>
          <w:tcPr>
            <w:tcW w:w="5400" w:type="dxa"/>
            <w:vAlign w:val="center"/>
          </w:tcPr>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vertAlign w:val="baseline"/>
                <w:lang w:val="en-US" w:eastAsia="zh-CN"/>
              </w:rPr>
            </w:pPr>
            <w:r>
              <w:rPr>
                <w:rFonts w:hint="eastAsia" w:ascii="仿宋" w:hAnsi="仿宋" w:eastAsia="仿宋" w:cs="仿宋"/>
                <w:color w:val="auto"/>
                <w:sz w:val="24"/>
                <w:szCs w:val="24"/>
                <w:highlight w:val="none"/>
                <w:lang w:val="en-US" w:eastAsia="zh-CN"/>
              </w:rPr>
              <w:t>提供50cm*50cm，13mm透气性塑胶面层样品及EPDM颗粒原料（颜色为暗红色），</w:t>
            </w:r>
            <w:r>
              <w:rPr>
                <w:rFonts w:hint="eastAsia" w:ascii="仿宋" w:hAnsi="仿宋" w:eastAsia="仿宋" w:cs="仿宋"/>
                <w:color w:val="auto"/>
                <w:sz w:val="24"/>
                <w:szCs w:val="24"/>
                <w:highlight w:val="none"/>
                <w:lang w:eastAsia="zh-CN"/>
              </w:rPr>
              <w:t>评标委员会对投标人</w:t>
            </w:r>
            <w:r>
              <w:rPr>
                <w:rFonts w:hint="eastAsia" w:ascii="仿宋" w:hAnsi="仿宋" w:eastAsia="仿宋" w:cs="仿宋"/>
                <w:color w:val="auto"/>
                <w:sz w:val="24"/>
                <w:szCs w:val="24"/>
                <w:highlight w:val="none"/>
                <w:lang w:val="en-US" w:eastAsia="zh-CN"/>
              </w:rPr>
              <w:t>提供的样品进行审定，优秀得</w:t>
            </w:r>
            <w:r>
              <w:rPr>
                <w:rFonts w:ascii="宋体" w:hAnsi="宋体" w:eastAsia="宋体" w:cs="宋体"/>
                <w:sz w:val="24"/>
                <w:szCs w:val="24"/>
              </w:rPr>
              <w:t>2-1.5</w:t>
            </w:r>
            <w:r>
              <w:rPr>
                <w:rFonts w:hint="eastAsia" w:ascii="仿宋" w:hAnsi="仿宋" w:eastAsia="仿宋" w:cs="仿宋"/>
                <w:color w:val="auto"/>
                <w:sz w:val="24"/>
                <w:szCs w:val="24"/>
                <w:highlight w:val="none"/>
                <w:lang w:val="en-US" w:eastAsia="zh-CN"/>
              </w:rPr>
              <w:t>分，良好得</w:t>
            </w:r>
            <w:r>
              <w:rPr>
                <w:rFonts w:ascii="宋体" w:hAnsi="宋体" w:eastAsia="宋体" w:cs="宋体"/>
                <w:sz w:val="24"/>
                <w:szCs w:val="24"/>
              </w:rPr>
              <w:t>1.5-0.7</w:t>
            </w:r>
            <w:r>
              <w:rPr>
                <w:rFonts w:hint="eastAsia" w:ascii="仿宋" w:hAnsi="仿宋" w:eastAsia="仿宋" w:cs="仿宋"/>
                <w:color w:val="auto"/>
                <w:sz w:val="24"/>
                <w:szCs w:val="24"/>
                <w:highlight w:val="none"/>
                <w:lang w:val="en-US" w:eastAsia="zh-CN"/>
              </w:rPr>
              <w:t>分，一般得</w:t>
            </w:r>
            <w:r>
              <w:rPr>
                <w:rFonts w:ascii="宋体" w:hAnsi="宋体" w:eastAsia="宋体" w:cs="宋体"/>
                <w:sz w:val="24"/>
                <w:szCs w:val="24"/>
              </w:rPr>
              <w:t>0.6-0</w:t>
            </w:r>
            <w:r>
              <w:rPr>
                <w:rFonts w:hint="eastAsia" w:ascii="仿宋" w:hAnsi="仿宋" w:eastAsia="仿宋" w:cs="仿宋"/>
                <w:color w:val="auto"/>
                <w:sz w:val="24"/>
                <w:szCs w:val="24"/>
                <w:highlight w:val="none"/>
                <w:lang w:val="en-US" w:eastAsia="zh-CN"/>
              </w:rPr>
              <w:t>分，未提供不得分。</w:t>
            </w:r>
          </w:p>
        </w:tc>
        <w:tc>
          <w:tcPr>
            <w:tcW w:w="1097" w:type="dxa"/>
          </w:tcPr>
          <w:p>
            <w:pPr>
              <w:pStyle w:val="3"/>
              <w:ind w:left="0" w:leftChars="0" w:firstLine="0" w:firstLineChars="0"/>
              <w:jc w:val="center"/>
              <w:rPr>
                <w:rFonts w:hint="eastAsia"/>
                <w:vertAlign w:val="baseline"/>
                <w:lang w:val="en-US" w:eastAsia="zh-CN"/>
              </w:rPr>
            </w:pPr>
            <w:r>
              <w:rPr>
                <w:rFonts w:hint="eastAsia" w:ascii="仿宋" w:hAnsi="仿宋" w:eastAsia="仿宋" w:cs="仿宋"/>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1759"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施工进度安排</w:t>
            </w:r>
          </w:p>
        </w:tc>
        <w:tc>
          <w:tcPr>
            <w:tcW w:w="5400" w:type="dxa"/>
            <w:vAlign w:val="center"/>
          </w:tcPr>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vertAlign w:val="baseline"/>
                <w:lang w:val="en-US" w:eastAsia="zh-CN"/>
              </w:rPr>
            </w:pPr>
            <w:r>
              <w:rPr>
                <w:rFonts w:hint="eastAsia" w:ascii="仿宋" w:hAnsi="仿宋" w:eastAsia="仿宋" w:cs="仿宋"/>
                <w:color w:val="auto"/>
                <w:sz w:val="24"/>
                <w:szCs w:val="24"/>
                <w:highlight w:val="none"/>
                <w:lang w:eastAsia="zh-CN"/>
              </w:rPr>
              <w:t>评标委员会对投标人就本项目作出的施工进度安排情况打分。</w:t>
            </w:r>
            <w:r>
              <w:rPr>
                <w:rFonts w:hint="eastAsia" w:ascii="仿宋" w:hAnsi="仿宋" w:eastAsia="仿宋" w:cs="仿宋"/>
                <w:i w:val="0"/>
                <w:iCs w:val="0"/>
                <w:caps w:val="0"/>
                <w:color w:val="auto"/>
                <w:spacing w:val="0"/>
                <w:sz w:val="24"/>
                <w:szCs w:val="24"/>
                <w:highlight w:val="none"/>
              </w:rPr>
              <w:t>完全符合</w:t>
            </w:r>
            <w:r>
              <w:rPr>
                <w:rFonts w:hint="eastAsia" w:ascii="仿宋" w:hAnsi="仿宋" w:eastAsia="仿宋" w:cs="仿宋"/>
                <w:i w:val="0"/>
                <w:iCs w:val="0"/>
                <w:caps w:val="0"/>
                <w:color w:val="auto"/>
                <w:spacing w:val="0"/>
                <w:sz w:val="24"/>
                <w:szCs w:val="24"/>
                <w:highlight w:val="none"/>
                <w:lang w:val="en-US" w:eastAsia="zh-CN"/>
              </w:rPr>
              <w:t>或优于</w:t>
            </w:r>
            <w:r>
              <w:rPr>
                <w:rFonts w:hint="eastAsia" w:ascii="仿宋" w:hAnsi="仿宋" w:eastAsia="仿宋" w:cs="仿宋"/>
                <w:i w:val="0"/>
                <w:iCs w:val="0"/>
                <w:caps w:val="0"/>
                <w:color w:val="auto"/>
                <w:spacing w:val="0"/>
                <w:sz w:val="24"/>
                <w:szCs w:val="24"/>
                <w:highlight w:val="none"/>
              </w:rPr>
              <w:t>项目需求的：</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分</w:t>
            </w:r>
            <w:r>
              <w:rPr>
                <w:rFonts w:hint="eastAsia" w:ascii="仿宋" w:hAnsi="仿宋" w:eastAsia="仿宋" w:cs="仿宋"/>
                <w:i w:val="0"/>
                <w:iCs w:val="0"/>
                <w:caps w:val="0"/>
                <w:color w:val="auto"/>
                <w:spacing w:val="0"/>
                <w:sz w:val="24"/>
                <w:szCs w:val="24"/>
                <w:highlight w:val="none"/>
              </w:rPr>
              <w:t>；基本符合项目需求的：</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分</w:t>
            </w:r>
            <w:r>
              <w:rPr>
                <w:rFonts w:hint="eastAsia" w:ascii="仿宋" w:hAnsi="仿宋" w:eastAsia="仿宋" w:cs="仿宋"/>
                <w:i w:val="0"/>
                <w:iCs w:val="0"/>
                <w:caps w:val="0"/>
                <w:color w:val="auto"/>
                <w:spacing w:val="0"/>
                <w:sz w:val="24"/>
                <w:szCs w:val="24"/>
                <w:highlight w:val="none"/>
              </w:rPr>
              <w:t>；部分符合项目需求的：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.1分</w:t>
            </w:r>
            <w:r>
              <w:rPr>
                <w:rFonts w:hint="eastAsia" w:ascii="仿宋" w:hAnsi="仿宋" w:eastAsia="仿宋" w:cs="仿宋"/>
                <w:i w:val="0"/>
                <w:iCs w:val="0"/>
                <w:caps w:val="0"/>
                <w:color w:val="auto"/>
                <w:spacing w:val="0"/>
                <w:sz w:val="24"/>
                <w:szCs w:val="24"/>
                <w:highlight w:val="none"/>
              </w:rPr>
              <w:t>；不符合项目需求的得0分。</w:t>
            </w:r>
          </w:p>
        </w:tc>
        <w:tc>
          <w:tcPr>
            <w:tcW w:w="1097" w:type="dxa"/>
          </w:tcPr>
          <w:p>
            <w:pPr>
              <w:pStyle w:val="3"/>
              <w:ind w:left="0" w:leftChars="0" w:firstLine="0" w:firstLineChars="0"/>
              <w:jc w:val="center"/>
              <w:rPr>
                <w:rFonts w:hint="eastAsia"/>
                <w:vertAlign w:val="baseli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p>
        </w:tc>
        <w:tc>
          <w:tcPr>
            <w:tcW w:w="1759"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售后服务承诺</w:t>
            </w:r>
          </w:p>
        </w:tc>
        <w:tc>
          <w:tcPr>
            <w:tcW w:w="5400" w:type="dxa"/>
            <w:vAlign w:val="center"/>
          </w:tcPr>
          <w:p>
            <w:pPr>
              <w:keepNext w:val="0"/>
              <w:keepLines w:val="0"/>
              <w:pageBreakBefore w:val="0"/>
              <w:kinsoku/>
              <w:wordWrap/>
              <w:overflowPunct/>
              <w:topLinePunct w:val="0"/>
              <w:autoSpaceDE/>
              <w:autoSpaceDN/>
              <w:bidi w:val="0"/>
              <w:adjustRightInd/>
              <w:snapToGrid/>
              <w:spacing w:line="288"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在满足招标文件要求二年质保期的基础上，每增加一年加0.5分，最高加1分。（提供承诺书，格式自拟）</w:t>
            </w:r>
          </w:p>
        </w:tc>
        <w:tc>
          <w:tcPr>
            <w:tcW w:w="1097" w:type="dxa"/>
          </w:tcPr>
          <w:p>
            <w:pPr>
              <w:pStyle w:val="3"/>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1分</w:t>
            </w:r>
          </w:p>
        </w:tc>
      </w:tr>
    </w:tbl>
    <w:p>
      <w:pPr>
        <w:spacing w:line="288" w:lineRule="auto"/>
        <w:ind w:firstLine="0" w:firstLineChars="0"/>
        <w:jc w:val="left"/>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注：（1）13mm透气型塑胶面层推荐品牌：</w:t>
      </w:r>
      <w:r>
        <w:rPr>
          <w:rFonts w:hint="eastAsia" w:ascii="仿宋" w:hAnsi="仿宋" w:eastAsia="仿宋" w:cs="仿宋"/>
          <w:b/>
          <w:bCs/>
          <w:color w:val="auto"/>
          <w:sz w:val="24"/>
          <w:highlight w:val="none"/>
          <w:lang w:val="en-US" w:eastAsia="zh-Hans"/>
        </w:rPr>
        <w:t>江苏彩虹</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lang w:val="en-US" w:eastAsia="zh-Hans"/>
        </w:rPr>
        <w:t>上海塑驰</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lang w:val="en-US" w:eastAsia="zh-Hans"/>
        </w:rPr>
        <w:t>江苏驰顺</w:t>
      </w:r>
      <w:r>
        <w:rPr>
          <w:rFonts w:hint="eastAsia" w:ascii="仿宋" w:hAnsi="仿宋" w:eastAsia="仿宋" w:cs="仿宋"/>
          <w:b/>
          <w:bCs/>
          <w:color w:val="auto"/>
          <w:sz w:val="24"/>
          <w:highlight w:val="none"/>
          <w:lang w:val="en-US" w:eastAsia="zh-CN"/>
        </w:rPr>
        <w:t>、浙江定阳。</w:t>
      </w:r>
    </w:p>
    <w:p>
      <w:pPr>
        <w:spacing w:line="288" w:lineRule="auto"/>
        <w:ind w:firstLine="482" w:firstLineChars="200"/>
        <w:jc w:val="left"/>
        <w:rPr>
          <w:rFonts w:hint="eastAsia"/>
          <w:lang w:val="en-US" w:eastAsia="zh-CN"/>
        </w:rPr>
      </w:pPr>
      <w:r>
        <w:rPr>
          <w:rFonts w:hint="eastAsia" w:ascii="仿宋" w:hAnsi="仿宋" w:eastAsia="仿宋" w:cs="仿宋"/>
          <w:b/>
          <w:bCs w:val="0"/>
          <w:sz w:val="24"/>
          <w:lang w:val="en-US" w:eastAsia="zh-CN"/>
        </w:rPr>
        <w:t>（2）上述推荐品牌</w:t>
      </w:r>
      <w:r>
        <w:rPr>
          <w:rFonts w:hint="eastAsia" w:ascii="仿宋" w:hAnsi="仿宋" w:eastAsia="仿宋" w:cs="仿宋"/>
          <w:b/>
          <w:bCs w:val="0"/>
          <w:sz w:val="24"/>
        </w:rPr>
        <w:t>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spacing w:line="280" w:lineRule="auto"/>
        <w:ind w:firstLine="482" w:firstLineChars="200"/>
        <w:rPr>
          <w:rFonts w:hint="eastAsia" w:ascii="仿宋" w:hAnsi="仿宋" w:eastAsia="仿宋"/>
          <w:b/>
          <w:sz w:val="24"/>
          <w:szCs w:val="24"/>
        </w:rPr>
      </w:pPr>
      <w:r>
        <w:rPr>
          <w:rFonts w:hint="eastAsia" w:ascii="仿宋" w:hAnsi="仿宋" w:eastAsia="仿宋"/>
          <w:b/>
          <w:sz w:val="24"/>
          <w:szCs w:val="24"/>
          <w:lang w:eastAsia="zh-CN"/>
        </w:rPr>
        <w:t>（</w:t>
      </w:r>
      <w:r>
        <w:rPr>
          <w:rFonts w:hint="eastAsia" w:ascii="仿宋" w:hAnsi="仿宋" w:eastAsia="仿宋"/>
          <w:b/>
          <w:sz w:val="24"/>
          <w:szCs w:val="24"/>
          <w:lang w:val="en-US" w:eastAsia="zh-CN"/>
        </w:rPr>
        <w:t>3</w:t>
      </w:r>
      <w:r>
        <w:rPr>
          <w:rFonts w:hint="eastAsia" w:ascii="仿宋" w:hAnsi="仿宋" w:eastAsia="仿宋"/>
          <w:b/>
          <w:sz w:val="24"/>
          <w:szCs w:val="24"/>
          <w:lang w:eastAsia="zh-CN"/>
        </w:rPr>
        <w:t>）</w:t>
      </w:r>
      <w:r>
        <w:rPr>
          <w:rFonts w:hint="eastAsia" w:ascii="仿宋" w:hAnsi="仿宋" w:eastAsia="仿宋"/>
          <w:b/>
          <w:sz w:val="24"/>
          <w:szCs w:val="24"/>
        </w:rPr>
        <w:t>本项目招标文件内对开标现场原件核验不作要求，招标人有权在标后对中标候选人进行原件核验，投标人对所提供的全部资料的真实性承担法律责任。</w:t>
      </w:r>
    </w:p>
    <w:p>
      <w:pPr>
        <w:spacing w:line="288" w:lineRule="auto"/>
        <w:ind w:firstLine="482"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2.5价格评分标准（70分）</w:t>
      </w:r>
    </w:p>
    <w:p>
      <w:pPr>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5.1</w:t>
      </w:r>
      <w:r>
        <w:rPr>
          <w:rFonts w:hint="eastAsia" w:ascii="仿宋" w:hAnsi="仿宋" w:eastAsia="仿宋" w:cs="仿宋"/>
          <w:color w:val="auto"/>
          <w:sz w:val="24"/>
          <w:highlight w:val="none"/>
        </w:rPr>
        <w:t>投标人以采购人提供的招标控制价为基数，在</w:t>
      </w:r>
      <w:r>
        <w:rPr>
          <w:rFonts w:hint="eastAsia" w:ascii="仿宋" w:hAnsi="仿宋" w:eastAsia="仿宋" w:cs="仿宋"/>
          <w:color w:val="auto"/>
          <w:sz w:val="24"/>
          <w:highlight w:val="none"/>
          <w:lang w:val="en-US" w:eastAsia="zh-CN"/>
        </w:rPr>
        <w:t>5%-10%</w:t>
      </w:r>
      <w:r>
        <w:rPr>
          <w:rFonts w:hint="eastAsia" w:ascii="仿宋" w:hAnsi="仿宋" w:eastAsia="仿宋" w:cs="仿宋"/>
          <w:color w:val="auto"/>
          <w:sz w:val="24"/>
          <w:highlight w:val="none"/>
        </w:rPr>
        <w:t>（含上、下限，下同）有效范围内确定下浮率（百分比小数点后</w:t>
      </w:r>
      <w:r>
        <w:rPr>
          <w:rFonts w:hint="eastAsia" w:ascii="仿宋" w:hAnsi="仿宋" w:eastAsia="仿宋" w:cs="仿宋"/>
          <w:color w:val="auto"/>
          <w:sz w:val="24"/>
          <w:highlight w:val="none"/>
          <w:lang w:eastAsia="zh-CN"/>
        </w:rPr>
        <w:t>最多</w:t>
      </w:r>
      <w:r>
        <w:rPr>
          <w:rFonts w:hint="eastAsia" w:ascii="仿宋" w:hAnsi="仿宋" w:eastAsia="仿宋" w:cs="仿宋"/>
          <w:color w:val="auto"/>
          <w:sz w:val="24"/>
          <w:highlight w:val="none"/>
        </w:rPr>
        <w:t>保留两位，即**.**%，小数点后第三位四舍五入），设为Xi；</w:t>
      </w:r>
    </w:p>
    <w:p>
      <w:pPr>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5.2</w:t>
      </w:r>
      <w:r>
        <w:rPr>
          <w:rFonts w:hint="eastAsia" w:ascii="仿宋" w:hAnsi="仿宋" w:eastAsia="仿宋" w:cs="仿宋"/>
          <w:color w:val="auto"/>
          <w:sz w:val="24"/>
          <w:highlight w:val="none"/>
        </w:rPr>
        <w:t>由采购人代表在</w:t>
      </w:r>
      <w:r>
        <w:rPr>
          <w:rFonts w:hint="eastAsia" w:ascii="仿宋" w:hAnsi="仿宋" w:eastAsia="仿宋" w:cs="仿宋"/>
          <w:color w:val="auto"/>
          <w:sz w:val="24"/>
          <w:highlight w:val="none"/>
          <w:lang w:val="en-US" w:eastAsia="zh-CN"/>
        </w:rPr>
        <w:t>5%-10%</w:t>
      </w:r>
      <w:r>
        <w:rPr>
          <w:rFonts w:hint="eastAsia" w:ascii="仿宋" w:hAnsi="仿宋" w:eastAsia="仿宋" w:cs="仿宋"/>
          <w:color w:val="auto"/>
          <w:sz w:val="24"/>
          <w:highlight w:val="none"/>
        </w:rPr>
        <w:t>有效范围内（各档之间的步长为0.5%）随机抽取2个下浮率，算术平均值作为评估下浮率，设为Y。各投标人报价分值评估计算如下：</w:t>
      </w:r>
    </w:p>
    <w:p>
      <w:pPr>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当Xi＝Y时，得分＝</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0；</w:t>
      </w:r>
    </w:p>
    <w:p>
      <w:pPr>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当Xi＞Y时，得分＝</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0-（Xi-Y）×100×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p>
    <w:p>
      <w:pPr>
        <w:spacing w:line="288"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当Xi＜Y时，得分＝</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0-（Y-Xi）×100×</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pPr>
        <w:spacing w:line="288"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TW" w:eastAsia="zh-CN"/>
        </w:rPr>
        <w:t>计算结果精确到小数点后两位，小数点后第三位四舍五入。</w:t>
      </w:r>
    </w:p>
    <w:p>
      <w:pPr>
        <w:spacing w:line="288" w:lineRule="auto"/>
        <w:ind w:firstLine="480" w:firstLineChars="200"/>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eastAsia="zh-CN"/>
        </w:rPr>
        <w:t>中标价</w:t>
      </w:r>
      <w:r>
        <w:rPr>
          <w:rFonts w:hint="eastAsia" w:ascii="仿宋" w:hAnsi="仿宋" w:eastAsia="仿宋" w:cs="仿宋"/>
          <w:color w:val="auto"/>
          <w:sz w:val="24"/>
          <w:highlight w:val="none"/>
          <w:lang w:val="en-US" w:eastAsia="zh-CN"/>
        </w:rPr>
        <w:t>=本次招标预算价</w:t>
      </w: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lang w:val="en-US" w:eastAsia="zh-CN"/>
        </w:rPr>
        <w:t>（1-中标下浮率）</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3.重新开标情形</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有下列情形之一的，采购人应重新招标：</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 开标会议确认有效投标人少于3家的；</w:t>
      </w:r>
    </w:p>
    <w:p>
      <w:pPr>
        <w:spacing w:line="288"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 开标会议确定的中标人放弃中标资格或者经查实无中标资格的。</w:t>
      </w:r>
    </w:p>
    <w:p>
      <w:pPr>
        <w:spacing w:line="28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4.重大偏差情形</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4.1下列情形之一的，视作重大偏差：</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4.1.1无法定代表人身份证明（格式见附件一）或法定代表人身份证明未加盖单位电子签章的；</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4.1.2无授权委托书（格式见附件二）或授权委托书未加盖单位电子签章和法定代表人未</w:t>
      </w:r>
      <w:r>
        <w:rPr>
          <w:rFonts w:hint="eastAsia" w:ascii="仿宋" w:hAnsi="仿宋" w:eastAsia="仿宋" w:cs="仿宋"/>
          <w:color w:val="auto"/>
          <w:kern w:val="0"/>
          <w:sz w:val="24"/>
          <w:highlight w:val="none"/>
        </w:rPr>
        <w:t>签字或盖章</w:t>
      </w:r>
      <w:r>
        <w:rPr>
          <w:rFonts w:hint="eastAsia" w:ascii="仿宋" w:hAnsi="仿宋" w:eastAsia="仿宋" w:cs="仿宋"/>
          <w:color w:val="auto"/>
          <w:sz w:val="24"/>
          <w:highlight w:val="none"/>
        </w:rPr>
        <w:t>的（</w:t>
      </w:r>
      <w:r>
        <w:rPr>
          <w:rFonts w:hint="eastAsia" w:ascii="仿宋" w:hAnsi="仿宋" w:eastAsia="仿宋" w:cs="仿宋"/>
          <w:color w:val="auto"/>
          <w:kern w:val="24"/>
          <w:sz w:val="24"/>
          <w:highlight w:val="none"/>
        </w:rPr>
        <w:t>授权委托人</w:t>
      </w:r>
      <w:r>
        <w:rPr>
          <w:rFonts w:hint="eastAsia" w:ascii="仿宋" w:hAnsi="仿宋" w:eastAsia="仿宋" w:cs="仿宋"/>
          <w:color w:val="auto"/>
          <w:sz w:val="24"/>
          <w:highlight w:val="none"/>
        </w:rPr>
        <w:t>是法定代表人本人的除外）；</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4.1.3无投标承诺书（格式见附件四）或投标承诺书未加盖单位电子签章和法定代表人未</w:t>
      </w:r>
      <w:r>
        <w:rPr>
          <w:rFonts w:hint="eastAsia" w:ascii="仿宋" w:hAnsi="仿宋" w:eastAsia="仿宋" w:cs="仿宋"/>
          <w:color w:val="auto"/>
          <w:kern w:val="0"/>
          <w:sz w:val="24"/>
          <w:highlight w:val="none"/>
        </w:rPr>
        <w:t>签字或盖章</w:t>
      </w:r>
      <w:r>
        <w:rPr>
          <w:rFonts w:hint="eastAsia" w:ascii="仿宋" w:hAnsi="仿宋" w:eastAsia="仿宋" w:cs="仿宋"/>
          <w:color w:val="auto"/>
          <w:sz w:val="24"/>
          <w:highlight w:val="none"/>
        </w:rPr>
        <w:t>的；</w:t>
      </w:r>
    </w:p>
    <w:p>
      <w:pPr>
        <w:spacing w:line="288" w:lineRule="auto"/>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4.1.4无</w:t>
      </w:r>
      <w:r>
        <w:rPr>
          <w:rFonts w:hint="eastAsia" w:ascii="仿宋" w:hAnsi="仿宋" w:eastAsia="仿宋" w:cs="仿宋"/>
          <w:color w:val="auto"/>
          <w:kern w:val="0"/>
          <w:sz w:val="24"/>
          <w:highlight w:val="none"/>
        </w:rPr>
        <w:t>招标控制价认可函</w:t>
      </w:r>
      <w:r>
        <w:rPr>
          <w:rFonts w:hint="eastAsia" w:ascii="仿宋" w:hAnsi="仿宋" w:eastAsia="仿宋" w:cs="仿宋"/>
          <w:color w:val="auto"/>
          <w:sz w:val="24"/>
          <w:highlight w:val="none"/>
        </w:rPr>
        <w:t>（格式见附件五）或</w:t>
      </w:r>
      <w:r>
        <w:rPr>
          <w:rFonts w:hint="eastAsia" w:ascii="仿宋" w:hAnsi="仿宋" w:eastAsia="仿宋" w:cs="仿宋"/>
          <w:color w:val="auto"/>
          <w:kern w:val="0"/>
          <w:sz w:val="24"/>
          <w:highlight w:val="none"/>
        </w:rPr>
        <w:t>招标控制价认可函</w:t>
      </w:r>
      <w:r>
        <w:rPr>
          <w:rFonts w:hint="eastAsia" w:ascii="仿宋" w:hAnsi="仿宋" w:eastAsia="仿宋" w:cs="仿宋"/>
          <w:color w:val="auto"/>
          <w:sz w:val="24"/>
          <w:highlight w:val="none"/>
        </w:rPr>
        <w:t>未加盖单位电子签章和法定代表人未</w:t>
      </w:r>
      <w:r>
        <w:rPr>
          <w:rFonts w:hint="eastAsia" w:ascii="仿宋" w:hAnsi="仿宋" w:eastAsia="仿宋" w:cs="仿宋"/>
          <w:color w:val="auto"/>
          <w:kern w:val="0"/>
          <w:sz w:val="24"/>
          <w:highlight w:val="none"/>
        </w:rPr>
        <w:t>签字或盖章</w:t>
      </w:r>
      <w:r>
        <w:rPr>
          <w:rFonts w:hint="eastAsia" w:ascii="仿宋" w:hAnsi="仿宋" w:eastAsia="仿宋" w:cs="仿宋"/>
          <w:color w:val="auto"/>
          <w:sz w:val="24"/>
          <w:highlight w:val="none"/>
        </w:rPr>
        <w:t>的</w:t>
      </w:r>
      <w:r>
        <w:rPr>
          <w:rFonts w:hint="eastAsia" w:ascii="仿宋" w:hAnsi="仿宋" w:eastAsia="仿宋" w:cs="仿宋"/>
          <w:bCs/>
          <w:color w:val="auto"/>
          <w:sz w:val="24"/>
          <w:highlight w:val="none"/>
        </w:rPr>
        <w:t>；</w:t>
      </w:r>
    </w:p>
    <w:p>
      <w:pPr>
        <w:spacing w:line="288" w:lineRule="auto"/>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4.1.5无投标函、总报价书（格式见附件六、附件七）或投标函总报价书未加盖单位电子签章和法定代表人未</w:t>
      </w:r>
      <w:r>
        <w:rPr>
          <w:rFonts w:hint="eastAsia" w:ascii="仿宋" w:hAnsi="仿宋" w:eastAsia="仿宋" w:cs="仿宋"/>
          <w:color w:val="auto"/>
          <w:kern w:val="0"/>
          <w:sz w:val="24"/>
          <w:highlight w:val="none"/>
        </w:rPr>
        <w:t>签字或盖章</w:t>
      </w:r>
      <w:r>
        <w:rPr>
          <w:rFonts w:hint="eastAsia" w:ascii="仿宋" w:hAnsi="仿宋" w:eastAsia="仿宋" w:cs="仿宋"/>
          <w:color w:val="auto"/>
          <w:sz w:val="24"/>
          <w:highlight w:val="none"/>
        </w:rPr>
        <w:t>的</w:t>
      </w:r>
      <w:r>
        <w:rPr>
          <w:rFonts w:hint="eastAsia" w:ascii="仿宋" w:hAnsi="仿宋" w:eastAsia="仿宋" w:cs="仿宋"/>
          <w:bCs/>
          <w:color w:val="auto"/>
          <w:sz w:val="24"/>
          <w:highlight w:val="none"/>
        </w:rPr>
        <w:t>；</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4.1.6投标文件未按规定的格式填写，内容不全或关键字迹模糊、无法辨认的；</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4.1.7投标人在一份投标文件中对同一招标项目报有两个或多个报价的；</w:t>
      </w:r>
    </w:p>
    <w:p>
      <w:pPr>
        <w:spacing w:line="288"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4.1.8不符合招标文件中规定的其他实质性要求</w:t>
      </w:r>
      <w:r>
        <w:rPr>
          <w:rFonts w:hint="eastAsia" w:ascii="仿宋" w:hAnsi="仿宋" w:eastAsia="仿宋" w:cs="仿宋"/>
          <w:color w:val="auto"/>
          <w:sz w:val="24"/>
          <w:highlight w:val="none"/>
          <w:lang w:eastAsia="zh-CN"/>
        </w:rPr>
        <w:t>；</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4.2因重大偏差未能对招标文件作出实质性响应的，作无效投标处理。</w:t>
      </w:r>
    </w:p>
    <w:p>
      <w:pPr>
        <w:snapToGrid w:val="0"/>
        <w:spacing w:line="288"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七、定 标</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1.采购代理机构对中标结果在指定媒体（浙江政府采购网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、绍兴公共资源交易网http://ggb.sx.gov.cn）发布中标公告，中标公告期限为</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个工作日。采购代理机构向中标供应商签发中标通知书。在采购代理机构发出中标通知书前，中标供应商如有违反有关法律法规和本项目要求行为的，则取消该投标人的中标资格。</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2.中标通知书对采购人和中标人具有法律效力。中标通知书发出后，采购人改变中标结果的，或者中标人放弃中标项目的，应当依法承担法律责任。</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3.采购人无正当理由不与中标人签订合同的，并赔偿由此给中标人造成的损失。</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4.发生下列情形之一的为中标无效：</w:t>
      </w:r>
    </w:p>
    <w:p>
      <w:pPr>
        <w:spacing w:line="288" w:lineRule="auto"/>
        <w:ind w:firstLine="480" w:firstLineChars="200"/>
        <w:rPr>
          <w:rFonts w:ascii="仿宋" w:hAnsi="仿宋" w:eastAsia="仿宋" w:cs="仿宋"/>
          <w:spacing w:val="-4"/>
          <w:sz w:val="24"/>
          <w:highlight w:val="none"/>
        </w:rPr>
      </w:pPr>
      <w:r>
        <w:rPr>
          <w:rFonts w:hint="eastAsia" w:ascii="仿宋" w:hAnsi="仿宋" w:eastAsia="仿宋" w:cs="仿宋"/>
          <w:color w:val="auto"/>
          <w:sz w:val="24"/>
          <w:highlight w:val="none"/>
        </w:rPr>
        <w:t>4.1</w:t>
      </w:r>
      <w:r>
        <w:rPr>
          <w:rFonts w:hint="eastAsia" w:ascii="仿宋" w:hAnsi="仿宋" w:eastAsia="仿宋" w:cs="仿宋"/>
          <w:color w:val="auto"/>
          <w:spacing w:val="-4"/>
          <w:sz w:val="24"/>
          <w:highlight w:val="none"/>
        </w:rPr>
        <w:t>采购代理机构因泄露</w:t>
      </w:r>
      <w:r>
        <w:rPr>
          <w:rFonts w:hint="eastAsia" w:ascii="仿宋" w:hAnsi="仿宋" w:eastAsia="仿宋" w:cs="仿宋"/>
          <w:spacing w:val="-4"/>
          <w:sz w:val="24"/>
          <w:highlight w:val="none"/>
        </w:rPr>
        <w:t xml:space="preserve">应当保密的与招标投标活动有关的情况和资料的，或者与采购人、投标人串通损害国家利益、社会公共利益或者他人合法权益，影响中标结果的； </w:t>
      </w:r>
    </w:p>
    <w:p>
      <w:pPr>
        <w:spacing w:line="288"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4.2采购人向他人透露已获取招标文件的投标人可能影响公平竞争的有关招标投标的相关情况，影响中标结果的；</w:t>
      </w:r>
    </w:p>
    <w:p>
      <w:pPr>
        <w:spacing w:line="288"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4.3投标人以他人名义投标或者以其他方式弄虚作假，骗取中标的；　</w:t>
      </w:r>
    </w:p>
    <w:p>
      <w:pPr>
        <w:spacing w:line="288"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4.4中标人或中标人拟派项目负责人经有关部门查实有行贿犯罪记录的；</w:t>
      </w:r>
    </w:p>
    <w:p>
      <w:pPr>
        <w:spacing w:line="288"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4.5采购人在开标会议中确定的标人以外确定中标人的；</w:t>
      </w:r>
    </w:p>
    <w:p>
      <w:pPr>
        <w:spacing w:line="288"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4.6在公示期间，根据本招标文件规定，经有关部门查实中标人有投标无效或作无效投标处理的。</w:t>
      </w:r>
    </w:p>
    <w:p>
      <w:pPr>
        <w:spacing w:line="288"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5.确定中标人中标无效后，采购人将重新组织招标。</w:t>
      </w:r>
    </w:p>
    <w:p>
      <w:pPr>
        <w:snapToGrid w:val="0"/>
        <w:spacing w:line="288"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八、授予合同</w:t>
      </w:r>
    </w:p>
    <w:p>
      <w:pPr>
        <w:spacing w:line="288"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1.中标通知书</w:t>
      </w:r>
    </w:p>
    <w:p>
      <w:pPr>
        <w:spacing w:line="288"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采购代理机构向中标人发出中标通知书，中标通知书将成为合同的主要附件。</w:t>
      </w:r>
    </w:p>
    <w:p>
      <w:pPr>
        <w:spacing w:line="288"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2.履约保证金</w:t>
      </w:r>
    </w:p>
    <w:p>
      <w:pPr>
        <w:spacing w:line="288" w:lineRule="auto"/>
        <w:ind w:firstLine="480" w:firstLineChars="200"/>
        <w:jc w:val="left"/>
        <w:rPr>
          <w:rFonts w:hint="eastAsia" w:ascii="仿宋" w:hAnsi="仿宋" w:eastAsia="仿宋" w:cs="仿宋"/>
          <w:bCs/>
          <w:sz w:val="24"/>
        </w:rPr>
      </w:pPr>
      <w:r>
        <w:rPr>
          <w:rFonts w:hint="eastAsia" w:ascii="仿宋" w:hAnsi="仿宋" w:eastAsia="仿宋" w:cs="仿宋"/>
          <w:bCs/>
          <w:sz w:val="24"/>
          <w:lang w:val="en-US" w:eastAsia="zh-CN"/>
        </w:rPr>
        <w:t>2</w:t>
      </w:r>
      <w:r>
        <w:rPr>
          <w:rFonts w:hint="eastAsia" w:ascii="仿宋" w:hAnsi="仿宋" w:eastAsia="仿宋" w:cs="仿宋"/>
          <w:bCs/>
          <w:sz w:val="24"/>
        </w:rPr>
        <w:t>.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pPr>
        <w:spacing w:line="288" w:lineRule="auto"/>
        <w:ind w:firstLine="480" w:firstLineChars="200"/>
        <w:jc w:val="left"/>
        <w:rPr>
          <w:rFonts w:hint="eastAsia" w:ascii="仿宋" w:hAnsi="仿宋" w:eastAsia="仿宋" w:cs="仿宋"/>
          <w:bCs/>
          <w:sz w:val="24"/>
        </w:rPr>
      </w:pPr>
      <w:r>
        <w:rPr>
          <w:rFonts w:hint="eastAsia" w:ascii="仿宋" w:hAnsi="仿宋" w:eastAsia="仿宋" w:cs="仿宋"/>
          <w:bCs/>
          <w:sz w:val="24"/>
          <w:lang w:val="en-US" w:eastAsia="zh-CN"/>
        </w:rPr>
        <w:t>2</w:t>
      </w:r>
      <w:r>
        <w:rPr>
          <w:rFonts w:hint="eastAsia" w:ascii="仿宋" w:hAnsi="仿宋" w:eastAsia="仿宋" w:cs="仿宋"/>
          <w:bCs/>
          <w:sz w:val="24"/>
        </w:rPr>
        <w:t>.2项目验收结束后，采购人应及时退还履约保证金。</w:t>
      </w:r>
    </w:p>
    <w:p>
      <w:pPr>
        <w:spacing w:line="288" w:lineRule="auto"/>
        <w:ind w:firstLine="480" w:firstLineChars="200"/>
        <w:jc w:val="left"/>
        <w:rPr>
          <w:rFonts w:hint="eastAsia" w:ascii="仿宋" w:hAnsi="仿宋" w:eastAsia="仿宋" w:cs="仿宋"/>
          <w:bCs/>
          <w:sz w:val="24"/>
        </w:rPr>
      </w:pPr>
      <w:r>
        <w:rPr>
          <w:rFonts w:hint="eastAsia" w:ascii="仿宋" w:hAnsi="仿宋" w:eastAsia="仿宋" w:cs="仿宋"/>
          <w:bCs/>
          <w:sz w:val="24"/>
          <w:lang w:val="en-US" w:eastAsia="zh-CN"/>
        </w:rPr>
        <w:t>2</w:t>
      </w:r>
      <w:r>
        <w:rPr>
          <w:rFonts w:hint="eastAsia" w:ascii="仿宋" w:hAnsi="仿宋" w:eastAsia="仿宋" w:cs="仿宋"/>
          <w:bCs/>
          <w:sz w:val="24"/>
        </w:rPr>
        <w:t>.3供应商以银行、保险公司出具保函形式提交履约保证金的，采购人不得拒收。</w:t>
      </w:r>
    </w:p>
    <w:p>
      <w:pPr>
        <w:spacing w:line="288"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3.合同签订</w:t>
      </w:r>
    </w:p>
    <w:p>
      <w:pPr>
        <w:spacing w:line="288"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采购人将根据《</w:t>
      </w:r>
      <w:r>
        <w:rPr>
          <w:rFonts w:hint="eastAsia" w:ascii="仿宋" w:hAnsi="仿宋" w:eastAsia="仿宋" w:cs="仿宋"/>
          <w:sz w:val="24"/>
          <w:highlight w:val="none"/>
          <w:lang w:eastAsia="zh-CN"/>
        </w:rPr>
        <w:t>民法典</w:t>
      </w:r>
      <w:r>
        <w:rPr>
          <w:rFonts w:hint="eastAsia" w:ascii="仿宋" w:hAnsi="仿宋" w:eastAsia="仿宋" w:cs="仿宋"/>
          <w:sz w:val="24"/>
          <w:highlight w:val="none"/>
        </w:rPr>
        <w:t>》、《建设工程施工合同管理办法》的规定，采购人和中标人在中标通知书发出之日起五日内，按照招标文件和中标人的投标文件签订书面合同。采购人与中标人不得另行签订背离合同实质性内容的其他协议。签订书面合同后7个工作日内，中标人应当将合同副本等材料向有关部门备案。</w:t>
      </w:r>
    </w:p>
    <w:p>
      <w:pPr>
        <w:spacing w:line="288"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4.合同双方确认</w:t>
      </w:r>
    </w:p>
    <w:p>
      <w:pPr>
        <w:spacing w:line="288"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w:t>
      </w:r>
      <w:r>
        <w:rPr>
          <w:rFonts w:hint="eastAsia" w:ascii="仿宋" w:hAnsi="仿宋" w:eastAsia="仿宋" w:cs="仿宋"/>
          <w:spacing w:val="-2"/>
          <w:sz w:val="24"/>
          <w:highlight w:val="none"/>
        </w:rPr>
        <w:t>合同及本合同约定的其它文件组成部分中的各项约定都是通过法定招标过程形成的合</w:t>
      </w:r>
      <w:r>
        <w:rPr>
          <w:rFonts w:hint="eastAsia" w:ascii="仿宋" w:hAnsi="仿宋" w:eastAsia="仿宋" w:cs="仿宋"/>
          <w:sz w:val="24"/>
          <w:highlight w:val="none"/>
        </w:rPr>
        <w:t>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pacing w:line="288" w:lineRule="auto"/>
        <w:ind w:firstLine="480" w:firstLineChars="200"/>
        <w:rPr>
          <w:rFonts w:ascii="仿宋" w:hAnsi="仿宋" w:eastAsia="仿宋" w:cs="仿宋"/>
          <w:sz w:val="24"/>
          <w:highlight w:val="none"/>
        </w:rPr>
      </w:pPr>
    </w:p>
    <w:p>
      <w:pPr>
        <w:pStyle w:val="15"/>
        <w:adjustRightInd/>
        <w:spacing w:line="288" w:lineRule="auto"/>
        <w:jc w:val="center"/>
        <w:rPr>
          <w:rFonts w:ascii="仿宋" w:hAnsi="仿宋" w:eastAsia="仿宋" w:cs="仿宋"/>
          <w:b/>
          <w:sz w:val="36"/>
          <w:szCs w:val="36"/>
          <w:highlight w:val="none"/>
        </w:rPr>
      </w:pPr>
    </w:p>
    <w:p>
      <w:pPr>
        <w:pStyle w:val="15"/>
        <w:adjustRightInd/>
        <w:spacing w:line="288" w:lineRule="auto"/>
        <w:jc w:val="center"/>
        <w:rPr>
          <w:rFonts w:ascii="仿宋" w:hAnsi="仿宋" w:eastAsia="仿宋" w:cs="仿宋"/>
          <w:b/>
          <w:sz w:val="36"/>
          <w:szCs w:val="36"/>
          <w:highlight w:val="none"/>
        </w:rPr>
      </w:pPr>
    </w:p>
    <w:p>
      <w:pPr>
        <w:pStyle w:val="15"/>
        <w:adjustRightInd/>
        <w:spacing w:line="288" w:lineRule="auto"/>
        <w:jc w:val="both"/>
        <w:rPr>
          <w:rFonts w:hint="eastAsia" w:ascii="仿宋" w:hAnsi="仿宋" w:eastAsia="仿宋" w:cs="仿宋"/>
          <w:b/>
          <w:sz w:val="36"/>
          <w:szCs w:val="36"/>
          <w:highlight w:val="none"/>
        </w:rPr>
      </w:pPr>
    </w:p>
    <w:p>
      <w:pPr>
        <w:pStyle w:val="15"/>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ascii="仿宋" w:hAnsi="仿宋" w:eastAsia="仿宋" w:cs="仿宋"/>
          <w:b/>
          <w:sz w:val="36"/>
          <w:szCs w:val="36"/>
          <w:highlight w:val="none"/>
        </w:rPr>
      </w:pPr>
    </w:p>
    <w:p>
      <w:pPr>
        <w:pStyle w:val="15"/>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b/>
          <w:sz w:val="36"/>
          <w:szCs w:val="36"/>
          <w:highlight w:val="none"/>
        </w:rPr>
      </w:pPr>
    </w:p>
    <w:p>
      <w:pPr>
        <w:pStyle w:val="15"/>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b/>
          <w:sz w:val="36"/>
          <w:szCs w:val="36"/>
          <w:highlight w:val="none"/>
        </w:rPr>
      </w:pPr>
    </w:p>
    <w:p>
      <w:pPr>
        <w:pStyle w:val="15"/>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b/>
          <w:sz w:val="36"/>
          <w:szCs w:val="36"/>
          <w:highlight w:val="none"/>
        </w:rPr>
      </w:pPr>
    </w:p>
    <w:p>
      <w:pPr>
        <w:pStyle w:val="15"/>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b/>
          <w:sz w:val="36"/>
          <w:szCs w:val="36"/>
          <w:highlight w:val="none"/>
        </w:rPr>
      </w:pPr>
    </w:p>
    <w:p>
      <w:pPr>
        <w:pStyle w:val="15"/>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b/>
          <w:sz w:val="36"/>
          <w:szCs w:val="36"/>
          <w:highlight w:val="none"/>
        </w:rPr>
      </w:pPr>
    </w:p>
    <w:p>
      <w:pPr>
        <w:pStyle w:val="15"/>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b/>
          <w:sz w:val="36"/>
          <w:szCs w:val="36"/>
          <w:highlight w:val="none"/>
        </w:rPr>
      </w:pPr>
    </w:p>
    <w:p>
      <w:pPr>
        <w:pStyle w:val="15"/>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b/>
          <w:sz w:val="36"/>
          <w:szCs w:val="36"/>
          <w:highlight w:val="none"/>
        </w:rPr>
      </w:pPr>
    </w:p>
    <w:p>
      <w:pPr>
        <w:pStyle w:val="15"/>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ascii="仿宋" w:hAnsi="仿宋" w:eastAsia="仿宋" w:cs="仿宋"/>
          <w:b/>
          <w:sz w:val="36"/>
          <w:szCs w:val="36"/>
          <w:highlight w:val="none"/>
        </w:rPr>
      </w:pPr>
      <w:bookmarkStart w:id="2" w:name="_GoBack"/>
      <w:bookmarkEnd w:id="2"/>
    </w:p>
    <w:p>
      <w:pPr>
        <w:pStyle w:val="15"/>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项目技术规范和服务要求</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合同条件采用现行的建设工程施工合同示范文本的《合同条件》。</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合同协议条款将由招标人〈甲方〉与中标人〈乙方〉结合本工程具体情况协商后签订。以下为招标人提出涉及投标人的主要条款，投标人在投标文件中进行承诺。</w:t>
      </w:r>
    </w:p>
    <w:p>
      <w:pPr>
        <w:keepNext w:val="0"/>
        <w:keepLines w:val="0"/>
        <w:pageBreakBefore w:val="0"/>
        <w:widowControl w:val="0"/>
        <w:kinsoku/>
        <w:wordWrap/>
        <w:overflowPunct/>
        <w:topLinePunct w:val="0"/>
        <w:autoSpaceDE/>
        <w:autoSpaceDN/>
        <w:bidi w:val="0"/>
        <w:adjustRightInd w:val="0"/>
        <w:snapToGrid/>
        <w:spacing w:line="276" w:lineRule="auto"/>
        <w:jc w:val="center"/>
        <w:textAlignment w:val="auto"/>
        <w:rPr>
          <w:rFonts w:hint="eastAsia" w:ascii="仿宋" w:hAnsi="仿宋" w:eastAsia="仿宋" w:cs="仿宋"/>
          <w:b/>
          <w:bCs/>
          <w:color w:val="auto"/>
          <w:kern w:val="16"/>
          <w:sz w:val="28"/>
          <w:szCs w:val="28"/>
          <w:highlight w:val="none"/>
        </w:rPr>
      </w:pPr>
      <w:r>
        <w:rPr>
          <w:rFonts w:hint="eastAsia" w:ascii="仿宋" w:hAnsi="仿宋" w:eastAsia="仿宋" w:cs="仿宋"/>
          <w:b/>
          <w:bCs/>
          <w:color w:val="auto"/>
          <w:kern w:val="16"/>
          <w:sz w:val="28"/>
          <w:szCs w:val="28"/>
          <w:highlight w:val="none"/>
        </w:rPr>
        <w:t>一、施工组织设计和工期</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（一）进度计划</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如</w:t>
      </w:r>
      <w:r>
        <w:rPr>
          <w:rFonts w:hint="eastAsia" w:ascii="仿宋" w:hAnsi="仿宋" w:eastAsia="仿宋" w:cs="仿宋"/>
          <w:color w:val="auto"/>
          <w:sz w:val="24"/>
          <w:szCs w:val="24"/>
          <w:highlight w:val="none"/>
        </w:rPr>
        <w:t>对进度计划提出合理修正时，乙方应</w:t>
      </w:r>
      <w:r>
        <w:rPr>
          <w:rFonts w:hint="eastAsia" w:ascii="仿宋" w:hAnsi="仿宋" w:eastAsia="仿宋" w:cs="仿宋"/>
          <w:color w:val="auto"/>
          <w:sz w:val="24"/>
          <w:szCs w:val="24"/>
          <w:highlight w:val="none"/>
          <w:lang w:eastAsia="zh-CN"/>
        </w:rPr>
        <w:t>予以配合</w:t>
      </w:r>
      <w:r>
        <w:rPr>
          <w:rFonts w:hint="eastAsia" w:ascii="仿宋" w:hAnsi="仿宋" w:eastAsia="仿宋" w:cs="仿宋"/>
          <w:color w:val="auto"/>
          <w:sz w:val="24"/>
          <w:szCs w:val="24"/>
          <w:highlight w:val="none"/>
        </w:rPr>
        <w:t>。</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（二）工程开工</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按施工合同约定的时间开工</w:t>
      </w:r>
      <w:r>
        <w:rPr>
          <w:rFonts w:hint="eastAsia" w:ascii="仿宋" w:hAnsi="仿宋" w:eastAsia="仿宋" w:cs="仿宋"/>
          <w:color w:val="auto"/>
          <w:sz w:val="24"/>
          <w:szCs w:val="24"/>
          <w:highlight w:val="none"/>
        </w:rPr>
        <w:t>。</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（三）工程工期</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40日历天（具体开工时间以开工报告为准）。</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（四）工期延误</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中标人在接到中标通知书后</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个日历日内</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由法定代表人或项目经理到招标单位签订施工合同。</w:t>
      </w:r>
      <w:r>
        <w:rPr>
          <w:rFonts w:hint="eastAsia" w:ascii="仿宋" w:hAnsi="仿宋" w:eastAsia="仿宋" w:cs="仿宋"/>
          <w:color w:val="auto"/>
          <w:sz w:val="24"/>
          <w:szCs w:val="24"/>
          <w:highlight w:val="none"/>
          <w:lang w:eastAsia="zh-CN"/>
        </w:rPr>
        <w:t>按施工合同约定的时间开工后，在工期（按前附表的工期要求）内完成所有施工任务，并清扫现场，做到</w:t>
      </w:r>
      <w:r>
        <w:rPr>
          <w:rFonts w:hint="eastAsia" w:ascii="仿宋" w:hAnsi="仿宋" w:eastAsia="仿宋" w:cs="仿宋"/>
          <w:color w:val="auto"/>
          <w:sz w:val="24"/>
          <w:szCs w:val="24"/>
          <w:highlight w:val="none"/>
          <w:lang w:val="en-US" w:eastAsia="zh-CN"/>
        </w:rPr>
        <w:t>场地</w:t>
      </w:r>
      <w:r>
        <w:rPr>
          <w:rFonts w:hint="eastAsia" w:ascii="仿宋" w:hAnsi="仿宋" w:eastAsia="仿宋" w:cs="仿宋"/>
          <w:color w:val="auto"/>
          <w:sz w:val="24"/>
          <w:szCs w:val="24"/>
          <w:highlight w:val="none"/>
          <w:lang w:eastAsia="zh-CN"/>
        </w:rPr>
        <w:t>洁净。若有延期，每超过一天，罚中标价的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‰，依次类推。</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对以下原因造成竣工日期推迟的延误，经甲方代表确认后，合同工期相应顺延：</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由甲方造成的延误、障碍阻止；</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不可抗力；</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非乙方的过失或造成的。</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（五）工期提前</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合同工期提前不奖，提前竣工费不计</w:t>
      </w:r>
    </w:p>
    <w:p>
      <w:pPr>
        <w:keepNext w:val="0"/>
        <w:keepLines w:val="0"/>
        <w:pageBreakBefore w:val="0"/>
        <w:widowControl w:val="0"/>
        <w:kinsoku/>
        <w:wordWrap/>
        <w:overflowPunct/>
        <w:topLinePunct w:val="0"/>
        <w:autoSpaceDE/>
        <w:autoSpaceDN/>
        <w:bidi w:val="0"/>
        <w:adjustRightInd w:val="0"/>
        <w:snapToGrid/>
        <w:spacing w:line="276" w:lineRule="auto"/>
        <w:jc w:val="center"/>
        <w:textAlignment w:val="auto"/>
        <w:rPr>
          <w:rFonts w:hint="eastAsia" w:ascii="仿宋" w:hAnsi="仿宋" w:eastAsia="仿宋" w:cs="仿宋"/>
          <w:b/>
          <w:bCs/>
          <w:color w:val="auto"/>
          <w:kern w:val="16"/>
          <w:sz w:val="28"/>
          <w:szCs w:val="28"/>
          <w:highlight w:val="none"/>
        </w:rPr>
      </w:pPr>
      <w:r>
        <w:rPr>
          <w:rFonts w:hint="eastAsia" w:ascii="仿宋" w:hAnsi="仿宋" w:eastAsia="仿宋" w:cs="仿宋"/>
          <w:b/>
          <w:bCs/>
          <w:color w:val="auto"/>
          <w:kern w:val="16"/>
          <w:sz w:val="28"/>
          <w:szCs w:val="28"/>
          <w:highlight w:val="none"/>
        </w:rPr>
        <w:t>二、质量与验收</w:t>
      </w:r>
    </w:p>
    <w:p>
      <w:pPr>
        <w:keepNext w:val="0"/>
        <w:keepLines w:val="0"/>
        <w:pageBreakBefore w:val="0"/>
        <w:widowControl w:val="0"/>
        <w:kinsoku/>
        <w:wordWrap/>
        <w:overflowPunct/>
        <w:topLinePunct w:val="0"/>
        <w:autoSpaceDE/>
        <w:autoSpaceDN/>
        <w:bidi w:val="0"/>
        <w:adjustRightInd w:val="0"/>
        <w:snapToGrid/>
        <w:spacing w:line="276"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（一）质量标准</w:t>
      </w:r>
    </w:p>
    <w:p>
      <w:pPr>
        <w:keepNext w:val="0"/>
        <w:keepLines w:val="0"/>
        <w:pageBreakBefore w:val="0"/>
        <w:widowControl w:val="0"/>
        <w:kinsoku/>
        <w:wordWrap/>
        <w:overflowPunct/>
        <w:topLinePunct w:val="0"/>
        <w:autoSpaceDE/>
        <w:autoSpaceDN/>
        <w:bidi w:val="0"/>
        <w:adjustRightInd w:val="0"/>
        <w:snapToGrid/>
        <w:spacing w:line="276" w:lineRule="auto"/>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乙方应按现行的国家施工验收规范和质量评定标准进行施工，乙方必须作出质量及工期履约保证，在工程竣工验收后按实结算。</w:t>
      </w:r>
    </w:p>
    <w:p>
      <w:pPr>
        <w:keepNext w:val="0"/>
        <w:keepLines w:val="0"/>
        <w:pageBreakBefore w:val="0"/>
        <w:widowControl w:val="0"/>
        <w:kinsoku/>
        <w:wordWrap/>
        <w:overflowPunct/>
        <w:topLinePunct w:val="0"/>
        <w:autoSpaceDE/>
        <w:autoSpaceDN/>
        <w:bidi w:val="0"/>
        <w:adjustRightInd w:val="0"/>
        <w:snapToGrid/>
        <w:spacing w:line="276" w:lineRule="auto"/>
        <w:ind w:firstLine="51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甲方对本工程质量的特殊要求： </w:t>
      </w:r>
      <w:r>
        <w:rPr>
          <w:rFonts w:hint="eastAsia" w:ascii="仿宋" w:hAnsi="仿宋" w:eastAsia="仿宋" w:cs="仿宋"/>
          <w:color w:val="auto"/>
          <w:sz w:val="24"/>
          <w:szCs w:val="24"/>
          <w:highlight w:val="none"/>
          <w:u w:val="single"/>
          <w:lang w:eastAsia="zh-CN"/>
        </w:rPr>
        <w:t>甲方将在竣工验收前邀请学生家长代表或教职工代表共同对合成材料面层成品取样，并委托有资质的权威检测部门对其中的有毒有害物质和挥发性气体含量进行检测，所产生的检测费用由乙方承担，检测不合格，则将不再进行竣工验收。</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276" w:lineRule="auto"/>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（二）工程质量等级</w:t>
      </w:r>
    </w:p>
    <w:p>
      <w:pPr>
        <w:keepNext w:val="0"/>
        <w:keepLines w:val="0"/>
        <w:pageBreakBefore w:val="0"/>
        <w:widowControl w:val="0"/>
        <w:kinsoku/>
        <w:wordWrap/>
        <w:overflowPunct/>
        <w:topLinePunct w:val="0"/>
        <w:autoSpaceDE/>
        <w:autoSpaceDN/>
        <w:bidi w:val="0"/>
        <w:adjustRightInd w:val="0"/>
        <w:snapToGrid/>
        <w:spacing w:line="276" w:lineRule="auto"/>
        <w:ind w:firstLine="5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乙方中标的质量等级标准为本工程的合同约定条件。工程质量由招标人组织验收合格。</w:t>
      </w:r>
    </w:p>
    <w:p>
      <w:pPr>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质量一次验收达不到合格标准罚中标价的10%，并无条件返工至合格要求，工期不延。</w:t>
      </w:r>
    </w:p>
    <w:p>
      <w:pPr>
        <w:keepNext w:val="0"/>
        <w:keepLines w:val="0"/>
        <w:pageBreakBefore w:val="0"/>
        <w:widowControl w:val="0"/>
        <w:kinsoku/>
        <w:wordWrap/>
        <w:overflowPunct/>
        <w:topLinePunct w:val="0"/>
        <w:autoSpaceDE/>
        <w:autoSpaceDN/>
        <w:bidi w:val="0"/>
        <w:adjustRightInd w:val="0"/>
        <w:snapToGrid/>
        <w:spacing w:line="276" w:lineRule="auto"/>
        <w:jc w:val="center"/>
        <w:textAlignment w:val="auto"/>
        <w:rPr>
          <w:rFonts w:hint="eastAsia" w:ascii="仿宋" w:hAnsi="仿宋" w:eastAsia="仿宋" w:cs="仿宋"/>
          <w:b/>
          <w:bCs/>
          <w:color w:val="auto"/>
          <w:kern w:val="16"/>
          <w:sz w:val="28"/>
          <w:szCs w:val="28"/>
          <w:highlight w:val="none"/>
        </w:rPr>
      </w:pPr>
      <w:r>
        <w:rPr>
          <w:rFonts w:hint="eastAsia" w:ascii="仿宋" w:hAnsi="仿宋" w:eastAsia="仿宋" w:cs="仿宋"/>
          <w:b/>
          <w:bCs/>
          <w:color w:val="auto"/>
          <w:kern w:val="16"/>
          <w:sz w:val="28"/>
          <w:szCs w:val="28"/>
          <w:highlight w:val="none"/>
        </w:rPr>
        <w:t>三、合同价款与支付</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（一）合同价款的确定</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本工程的合同价根据乙方中标价确定，采用</w:t>
      </w:r>
      <w:r>
        <w:rPr>
          <w:rFonts w:hint="eastAsia" w:ascii="仿宋" w:hAnsi="仿宋" w:eastAsia="仿宋" w:cs="仿宋"/>
          <w:color w:val="auto"/>
          <w:sz w:val="24"/>
          <w:szCs w:val="24"/>
          <w:highlight w:val="none"/>
          <w:u w:val="single"/>
        </w:rPr>
        <w:t xml:space="preserve"> 固定总价 </w:t>
      </w:r>
      <w:r>
        <w:rPr>
          <w:rFonts w:hint="eastAsia" w:ascii="仿宋" w:hAnsi="仿宋" w:eastAsia="仿宋" w:cs="仿宋"/>
          <w:color w:val="auto"/>
          <w:sz w:val="24"/>
          <w:szCs w:val="24"/>
          <w:highlight w:val="none"/>
        </w:rPr>
        <w:t>的方式承包，工程量不作调整。</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（二）合同价款的调整</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本工程的合同价根据乙方中标价确定，</w:t>
      </w:r>
      <w:r>
        <w:rPr>
          <w:rFonts w:hint="eastAsia" w:ascii="仿宋" w:hAnsi="仿宋" w:eastAsia="仿宋" w:cs="仿宋"/>
          <w:color w:val="auto"/>
          <w:sz w:val="24"/>
          <w:szCs w:val="24"/>
          <w:highlight w:val="none"/>
          <w:lang w:eastAsia="zh-CN"/>
        </w:rPr>
        <w:t>原则上</w:t>
      </w:r>
      <w:r>
        <w:rPr>
          <w:rFonts w:hint="eastAsia" w:ascii="仿宋" w:hAnsi="仿宋" w:eastAsia="仿宋" w:cs="仿宋"/>
          <w:color w:val="auto"/>
          <w:sz w:val="24"/>
          <w:szCs w:val="24"/>
          <w:highlight w:val="none"/>
        </w:rPr>
        <w:t>采用</w:t>
      </w:r>
      <w:r>
        <w:rPr>
          <w:rFonts w:hint="eastAsia" w:ascii="仿宋" w:hAnsi="仿宋" w:eastAsia="仿宋" w:cs="仿宋"/>
          <w:color w:val="auto"/>
          <w:sz w:val="24"/>
          <w:szCs w:val="24"/>
          <w:highlight w:val="none"/>
          <w:u w:val="single"/>
        </w:rPr>
        <w:t xml:space="preserve"> 固定总价 </w:t>
      </w:r>
      <w:r>
        <w:rPr>
          <w:rFonts w:hint="eastAsia" w:ascii="仿宋" w:hAnsi="仿宋" w:eastAsia="仿宋" w:cs="仿宋"/>
          <w:color w:val="auto"/>
          <w:sz w:val="24"/>
          <w:szCs w:val="24"/>
          <w:highlight w:val="none"/>
        </w:rPr>
        <w:t>的方式承包，工程量不作调整。</w:t>
      </w:r>
      <w:r>
        <w:rPr>
          <w:rFonts w:hint="eastAsia" w:ascii="仿宋" w:hAnsi="仿宋" w:eastAsia="仿宋" w:cs="仿宋"/>
          <w:b/>
          <w:bCs/>
          <w:color w:val="auto"/>
          <w:sz w:val="24"/>
          <w:szCs w:val="24"/>
          <w:highlight w:val="none"/>
          <w:lang w:eastAsia="zh-CN"/>
        </w:rPr>
        <w:t>（注：</w:t>
      </w:r>
      <w:r>
        <w:rPr>
          <w:rFonts w:hint="eastAsia" w:ascii="仿宋" w:hAnsi="仿宋" w:eastAsia="仿宋" w:cs="仿宋"/>
          <w:b/>
          <w:bCs/>
          <w:color w:val="auto"/>
          <w:sz w:val="24"/>
          <w:szCs w:val="24"/>
          <w:highlight w:val="none"/>
        </w:rPr>
        <w:t>但如遇工程量根据实际情况确需调整，经双方确认，按实结算。</w:t>
      </w:r>
      <w:r>
        <w:rPr>
          <w:rFonts w:hint="eastAsia" w:ascii="仿宋" w:hAnsi="仿宋" w:eastAsia="仿宋" w:cs="仿宋"/>
          <w:b/>
          <w:bCs/>
          <w:color w:val="auto"/>
          <w:sz w:val="24"/>
          <w:szCs w:val="24"/>
          <w:highlight w:val="none"/>
          <w:lang w:eastAsia="zh-CN"/>
        </w:rPr>
        <w:t>）</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工程款支付</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工程款的支付方式：本工程合同签订后支付合同价30%的工程预付款，工程结束竣工验收合格后支付至合同价100%，同时乙方向甲方缴纳合同金额1.5%的质量保证金，质量保证金在质保期满后15个工作日内退还。</w:t>
      </w:r>
    </w:p>
    <w:p>
      <w:pPr>
        <w:keepNext w:val="0"/>
        <w:keepLines w:val="0"/>
        <w:pageBreakBefore w:val="0"/>
        <w:widowControl w:val="0"/>
        <w:kinsoku/>
        <w:wordWrap/>
        <w:overflowPunct/>
        <w:topLinePunct w:val="0"/>
        <w:autoSpaceDE/>
        <w:autoSpaceDN/>
        <w:bidi w:val="0"/>
        <w:adjustRightInd w:val="0"/>
        <w:snapToGrid/>
        <w:spacing w:line="276" w:lineRule="auto"/>
        <w:jc w:val="center"/>
        <w:textAlignment w:val="auto"/>
        <w:rPr>
          <w:rFonts w:hint="eastAsia" w:ascii="仿宋" w:hAnsi="仿宋" w:eastAsia="仿宋" w:cs="仿宋"/>
          <w:b/>
          <w:bCs/>
          <w:color w:val="auto"/>
          <w:kern w:val="16"/>
          <w:sz w:val="28"/>
          <w:szCs w:val="28"/>
          <w:highlight w:val="none"/>
        </w:rPr>
      </w:pPr>
      <w:r>
        <w:rPr>
          <w:rFonts w:hint="eastAsia" w:ascii="仿宋" w:hAnsi="仿宋" w:eastAsia="仿宋" w:cs="仿宋"/>
          <w:b/>
          <w:bCs/>
          <w:color w:val="auto"/>
          <w:kern w:val="16"/>
          <w:sz w:val="28"/>
          <w:szCs w:val="28"/>
          <w:highlight w:val="none"/>
        </w:rPr>
        <w:t>四、材料和设备供应</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（一）甲方供应材料、设备</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甲方供应材料、设备：</w:t>
      </w:r>
      <w:r>
        <w:rPr>
          <w:rFonts w:hint="eastAsia" w:ascii="仿宋" w:hAnsi="仿宋" w:eastAsia="仿宋" w:cs="仿宋"/>
          <w:color w:val="auto"/>
          <w:sz w:val="24"/>
          <w:szCs w:val="24"/>
          <w:highlight w:val="none"/>
          <w:u w:val="single"/>
        </w:rPr>
        <w:t xml:space="preserve"> 无，但对特殊材料的单价及供货商需经甲方及有关部门认可。</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甲方未按照条款约定的材料及设备的规格、数量、质量等级和提供时间、地点供应材料设备，所应承担的责任是：</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（二）乙方采购材料、设备</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乙方采购材料、设备：</w:t>
      </w:r>
      <w:r>
        <w:rPr>
          <w:rFonts w:hint="eastAsia" w:ascii="仿宋" w:hAnsi="仿宋" w:eastAsia="仿宋" w:cs="仿宋"/>
          <w:color w:val="auto"/>
          <w:sz w:val="24"/>
          <w:szCs w:val="24"/>
          <w:highlight w:val="none"/>
          <w:u w:val="single"/>
        </w:rPr>
        <w:t>施工前的</w:t>
      </w:r>
      <w:r>
        <w:rPr>
          <w:rFonts w:hint="eastAsia" w:ascii="仿宋" w:hAnsi="仿宋" w:eastAsia="仿宋" w:cs="仿宋"/>
          <w:color w:val="auto"/>
          <w:sz w:val="24"/>
          <w:szCs w:val="24"/>
          <w:highlight w:val="none"/>
          <w:u w:val="single"/>
          <w:lang w:eastAsia="zh-CN"/>
        </w:rPr>
        <w:t>关键原材料要求一次性进场，由甲方统一封存</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lang w:eastAsia="zh-CN"/>
        </w:rPr>
        <w:t>甲方将在</w:t>
      </w:r>
      <w:r>
        <w:rPr>
          <w:rFonts w:hint="eastAsia" w:ascii="仿宋" w:hAnsi="仿宋" w:eastAsia="仿宋" w:cs="仿宋"/>
          <w:color w:val="auto"/>
          <w:sz w:val="24"/>
          <w:szCs w:val="24"/>
          <w:highlight w:val="none"/>
          <w:u w:val="single"/>
        </w:rPr>
        <w:t>施工前</w:t>
      </w:r>
      <w:r>
        <w:rPr>
          <w:rFonts w:hint="eastAsia" w:ascii="仿宋" w:hAnsi="仿宋" w:eastAsia="仿宋" w:cs="仿宋"/>
          <w:color w:val="auto"/>
          <w:sz w:val="24"/>
          <w:szCs w:val="24"/>
          <w:highlight w:val="none"/>
          <w:u w:val="single"/>
          <w:lang w:eastAsia="zh-CN"/>
        </w:rPr>
        <w:t>邀请学生家长代表或教职工代表共同对</w:t>
      </w:r>
      <w:r>
        <w:rPr>
          <w:rFonts w:hint="eastAsia" w:ascii="仿宋" w:hAnsi="仿宋" w:eastAsia="仿宋" w:cs="仿宋"/>
          <w:color w:val="auto"/>
          <w:sz w:val="24"/>
          <w:szCs w:val="24"/>
          <w:highlight w:val="none"/>
          <w:u w:val="single"/>
          <w:lang w:val="en-US" w:eastAsia="zh-CN"/>
        </w:rPr>
        <w:t>原材料进行</w:t>
      </w:r>
      <w:r>
        <w:rPr>
          <w:rFonts w:hint="eastAsia" w:ascii="仿宋" w:hAnsi="仿宋" w:eastAsia="仿宋" w:cs="仿宋"/>
          <w:color w:val="auto"/>
          <w:sz w:val="24"/>
          <w:szCs w:val="24"/>
          <w:highlight w:val="none"/>
          <w:u w:val="single"/>
          <w:lang w:eastAsia="zh-CN"/>
        </w:rPr>
        <w:t>取样，并委托有资质的权威检测部门按照国家有关标准对有害物质含量进行随机抽检，抽检合格后才能投入使用。抽检</w:t>
      </w:r>
      <w:r>
        <w:rPr>
          <w:rFonts w:hint="eastAsia" w:ascii="仿宋" w:hAnsi="仿宋" w:eastAsia="仿宋" w:cs="仿宋"/>
          <w:color w:val="auto"/>
          <w:sz w:val="24"/>
          <w:szCs w:val="24"/>
          <w:highlight w:val="none"/>
          <w:u w:val="single"/>
        </w:rPr>
        <w:t>合格</w:t>
      </w:r>
      <w:r>
        <w:rPr>
          <w:rFonts w:hint="eastAsia" w:ascii="仿宋" w:hAnsi="仿宋" w:eastAsia="仿宋" w:cs="仿宋"/>
          <w:color w:val="auto"/>
          <w:sz w:val="24"/>
          <w:szCs w:val="24"/>
          <w:highlight w:val="none"/>
          <w:u w:val="single"/>
          <w:lang w:val="en-US" w:eastAsia="zh-CN"/>
        </w:rPr>
        <w:t>，所产生的检测费用</w:t>
      </w:r>
      <w:r>
        <w:rPr>
          <w:rFonts w:hint="eastAsia" w:ascii="仿宋" w:hAnsi="仿宋" w:eastAsia="仿宋" w:cs="仿宋"/>
          <w:color w:val="auto"/>
          <w:sz w:val="24"/>
          <w:szCs w:val="24"/>
          <w:highlight w:val="none"/>
          <w:u w:val="single"/>
        </w:rPr>
        <w:t>由</w:t>
      </w:r>
      <w:r>
        <w:rPr>
          <w:rFonts w:hint="eastAsia" w:ascii="仿宋" w:hAnsi="仿宋" w:eastAsia="仿宋" w:cs="仿宋"/>
          <w:color w:val="auto"/>
          <w:sz w:val="24"/>
          <w:szCs w:val="24"/>
          <w:highlight w:val="none"/>
          <w:u w:val="single"/>
          <w:lang w:val="en-US" w:eastAsia="zh-CN"/>
        </w:rPr>
        <w:t>甲方</w:t>
      </w:r>
      <w:r>
        <w:rPr>
          <w:rFonts w:hint="eastAsia" w:ascii="仿宋" w:hAnsi="仿宋" w:eastAsia="仿宋" w:cs="仿宋"/>
          <w:color w:val="auto"/>
          <w:sz w:val="24"/>
          <w:szCs w:val="24"/>
          <w:highlight w:val="none"/>
          <w:u w:val="single"/>
        </w:rPr>
        <w:t>支付</w:t>
      </w:r>
      <w:r>
        <w:rPr>
          <w:rFonts w:hint="eastAsia" w:ascii="仿宋" w:hAnsi="仿宋" w:eastAsia="仿宋" w:cs="仿宋"/>
          <w:color w:val="auto"/>
          <w:sz w:val="24"/>
          <w:szCs w:val="24"/>
          <w:highlight w:val="none"/>
          <w:u w:val="single"/>
          <w:lang w:eastAsia="zh-CN"/>
        </w:rPr>
        <w:t>。抽检</w:t>
      </w:r>
      <w:r>
        <w:rPr>
          <w:rFonts w:hint="eastAsia" w:ascii="仿宋" w:hAnsi="仿宋" w:eastAsia="仿宋" w:cs="仿宋"/>
          <w:color w:val="auto"/>
          <w:sz w:val="24"/>
          <w:szCs w:val="24"/>
          <w:highlight w:val="none"/>
          <w:u w:val="single"/>
          <w:lang w:val="en-US" w:eastAsia="zh-CN"/>
        </w:rPr>
        <w:t>不</w:t>
      </w:r>
      <w:r>
        <w:rPr>
          <w:rFonts w:hint="eastAsia" w:ascii="仿宋" w:hAnsi="仿宋" w:eastAsia="仿宋" w:cs="仿宋"/>
          <w:color w:val="auto"/>
          <w:sz w:val="24"/>
          <w:szCs w:val="24"/>
          <w:highlight w:val="none"/>
          <w:u w:val="single"/>
        </w:rPr>
        <w:t>合格</w:t>
      </w:r>
      <w:r>
        <w:rPr>
          <w:rFonts w:hint="eastAsia" w:ascii="仿宋" w:hAnsi="仿宋" w:eastAsia="仿宋" w:cs="仿宋"/>
          <w:color w:val="auto"/>
          <w:sz w:val="24"/>
          <w:szCs w:val="24"/>
          <w:highlight w:val="none"/>
          <w:u w:val="single"/>
          <w:lang w:val="en-US" w:eastAsia="zh-CN"/>
        </w:rPr>
        <w:t>，所产生的检测费用</w:t>
      </w:r>
      <w:r>
        <w:rPr>
          <w:rFonts w:hint="eastAsia" w:ascii="仿宋" w:hAnsi="仿宋" w:eastAsia="仿宋" w:cs="仿宋"/>
          <w:color w:val="auto"/>
          <w:sz w:val="24"/>
          <w:szCs w:val="24"/>
          <w:highlight w:val="none"/>
          <w:u w:val="single"/>
        </w:rPr>
        <w:t>由</w:t>
      </w:r>
      <w:r>
        <w:rPr>
          <w:rFonts w:hint="eastAsia" w:ascii="仿宋" w:hAnsi="仿宋" w:eastAsia="仿宋" w:cs="仿宋"/>
          <w:color w:val="auto"/>
          <w:sz w:val="24"/>
          <w:szCs w:val="24"/>
          <w:highlight w:val="none"/>
          <w:u w:val="single"/>
          <w:lang w:val="en-US" w:eastAsia="zh-CN"/>
        </w:rPr>
        <w:t>乙方</w:t>
      </w:r>
      <w:r>
        <w:rPr>
          <w:rFonts w:hint="eastAsia" w:ascii="仿宋" w:hAnsi="仿宋" w:eastAsia="仿宋" w:cs="仿宋"/>
          <w:color w:val="auto"/>
          <w:sz w:val="24"/>
          <w:szCs w:val="24"/>
          <w:highlight w:val="none"/>
          <w:u w:val="single"/>
        </w:rPr>
        <w:t>支付并负责相关责任</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lang w:val="en-US" w:eastAsia="zh-CN"/>
        </w:rPr>
        <w:t xml:space="preserve"> </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2" w:firstLineChars="200"/>
        <w:textAlignment w:val="auto"/>
        <w:rPr>
          <w:rFonts w:hint="eastAsia" w:ascii="仿宋" w:hAnsi="仿宋" w:eastAsia="仿宋" w:cs="仿宋"/>
          <w:b/>
          <w:bCs/>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主要材料品牌要求：</w:t>
      </w:r>
    </w:p>
    <w:tbl>
      <w:tblPr>
        <w:tblStyle w:val="29"/>
        <w:tblW w:w="9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2"/>
        <w:gridCol w:w="3621"/>
        <w:gridCol w:w="4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材料名称</w:t>
            </w:r>
          </w:p>
        </w:tc>
        <w:tc>
          <w:tcPr>
            <w:tcW w:w="4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1</w:t>
            </w:r>
          </w:p>
        </w:tc>
        <w:tc>
          <w:tcPr>
            <w:tcW w:w="3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13mm透气型塑胶面层</w:t>
            </w:r>
          </w:p>
        </w:tc>
        <w:tc>
          <w:tcPr>
            <w:tcW w:w="4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Hans"/>
              </w:rPr>
              <w:t>江苏彩虹</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lang w:val="en-US" w:eastAsia="zh-Hans"/>
              </w:rPr>
              <w:t>上海塑驰</w:t>
            </w:r>
            <w:r>
              <w:rPr>
                <w:rFonts w:hint="eastAsia" w:ascii="仿宋" w:hAnsi="仿宋" w:eastAsia="仿宋" w:cs="仿宋"/>
                <w:i w:val="0"/>
                <w:iCs w:val="0"/>
                <w:color w:val="auto"/>
                <w:sz w:val="24"/>
                <w:szCs w:val="24"/>
                <w:highlight w:val="none"/>
                <w:u w:val="none"/>
                <w:lang w:val="en-US" w:eastAsia="zh-CN"/>
              </w:rPr>
              <w:t>、</w:t>
            </w:r>
            <w:r>
              <w:rPr>
                <w:rFonts w:hint="eastAsia" w:ascii="仿宋" w:hAnsi="仿宋" w:eastAsia="仿宋" w:cs="仿宋"/>
                <w:i w:val="0"/>
                <w:iCs w:val="0"/>
                <w:color w:val="auto"/>
                <w:sz w:val="24"/>
                <w:szCs w:val="24"/>
                <w:highlight w:val="none"/>
                <w:u w:val="none"/>
                <w:lang w:val="en-US" w:eastAsia="zh-Hans"/>
              </w:rPr>
              <w:t>江苏驰顺</w:t>
            </w:r>
            <w:r>
              <w:rPr>
                <w:rFonts w:hint="eastAsia" w:ascii="仿宋" w:hAnsi="仿宋" w:eastAsia="仿宋" w:cs="仿宋"/>
                <w:i w:val="0"/>
                <w:iCs w:val="0"/>
                <w:color w:val="auto"/>
                <w:sz w:val="24"/>
                <w:szCs w:val="24"/>
                <w:highlight w:val="none"/>
                <w:u w:val="none"/>
                <w:lang w:val="en-US" w:eastAsia="zh-CN"/>
              </w:rPr>
              <w:t>、浙江定阳</w:t>
            </w:r>
          </w:p>
        </w:tc>
      </w:tr>
    </w:tbl>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val="0"/>
          <w:color w:val="auto"/>
          <w:sz w:val="24"/>
          <w:lang w:val="en-US" w:eastAsia="zh-CN"/>
        </w:rPr>
        <w:t>注：上述推荐品牌</w:t>
      </w:r>
      <w:r>
        <w:rPr>
          <w:rFonts w:hint="eastAsia" w:ascii="仿宋" w:hAnsi="仿宋" w:eastAsia="仿宋" w:cs="仿宋"/>
          <w:b/>
          <w:bCs w:val="0"/>
          <w:color w:val="auto"/>
          <w:sz w:val="24"/>
        </w:rPr>
        <w:t>是结合实际现有情况的推荐性参考方案，</w:t>
      </w:r>
      <w:r>
        <w:rPr>
          <w:rFonts w:hint="eastAsia" w:ascii="仿宋" w:hAnsi="仿宋" w:eastAsia="仿宋" w:cs="仿宋"/>
          <w:b/>
          <w:bCs w:val="0"/>
          <w:color w:val="auto"/>
          <w:sz w:val="24"/>
          <w:lang w:val="en-US" w:eastAsia="zh-CN"/>
        </w:rPr>
        <w:t>乙</w:t>
      </w:r>
      <w:r>
        <w:rPr>
          <w:rFonts w:hint="eastAsia" w:ascii="仿宋" w:hAnsi="仿宋" w:eastAsia="仿宋" w:cs="仿宋"/>
          <w:b/>
          <w:bCs w:val="0"/>
          <w:color w:val="auto"/>
          <w:sz w:val="24"/>
        </w:rPr>
        <w:t>也可根据招标文件得要求推荐性能相当或高于、服务条款相等或高于、符合</w:t>
      </w:r>
      <w:r>
        <w:rPr>
          <w:rFonts w:hint="eastAsia" w:ascii="仿宋" w:hAnsi="仿宋" w:eastAsia="仿宋" w:cs="仿宋"/>
          <w:b/>
          <w:bCs w:val="0"/>
          <w:color w:val="auto"/>
          <w:sz w:val="24"/>
          <w:lang w:val="en-US" w:eastAsia="zh-CN"/>
        </w:rPr>
        <w:t>甲</w:t>
      </w:r>
      <w:r>
        <w:rPr>
          <w:rFonts w:hint="eastAsia" w:ascii="仿宋" w:hAnsi="仿宋" w:eastAsia="仿宋" w:cs="仿宋"/>
          <w:b/>
          <w:bCs w:val="0"/>
          <w:color w:val="auto"/>
          <w:sz w:val="24"/>
        </w:rPr>
        <w:t>方实际业务需求其他同档次优质品牌的产品，进行方案优化。所</w:t>
      </w:r>
      <w:r>
        <w:rPr>
          <w:rFonts w:hint="eastAsia" w:ascii="仿宋" w:hAnsi="仿宋" w:eastAsia="仿宋" w:cs="仿宋"/>
          <w:b/>
          <w:bCs w:val="0"/>
          <w:color w:val="auto"/>
          <w:sz w:val="24"/>
          <w:lang w:val="en-US" w:eastAsia="zh-CN"/>
        </w:rPr>
        <w:t>提供的</w:t>
      </w:r>
      <w:r>
        <w:rPr>
          <w:rFonts w:hint="eastAsia" w:ascii="仿宋" w:hAnsi="仿宋" w:eastAsia="仿宋" w:cs="仿宋"/>
          <w:b/>
          <w:bCs w:val="0"/>
          <w:color w:val="auto"/>
          <w:sz w:val="24"/>
        </w:rPr>
        <w:t>不在推荐品牌范围内的，需提供加盖原厂商公章的产品性能指标详细材料和证明其产品与推荐品牌同档次、具有可比性,且品牌、型号性能相当或高于、服务条款相等或高于、符合招标方实际业务需求同档次优质品牌的说明书，</w:t>
      </w:r>
      <w:r>
        <w:rPr>
          <w:rFonts w:hint="eastAsia" w:ascii="仿宋" w:hAnsi="仿宋" w:eastAsia="仿宋" w:cs="仿宋"/>
          <w:b/>
          <w:bCs w:val="0"/>
          <w:color w:val="auto"/>
          <w:sz w:val="24"/>
          <w:lang w:val="en-US" w:eastAsia="zh-CN"/>
        </w:rPr>
        <w:t>否则将</w:t>
      </w:r>
      <w:r>
        <w:rPr>
          <w:rFonts w:hint="eastAsia" w:ascii="仿宋" w:hAnsi="仿宋" w:eastAsia="仿宋" w:cs="仿宋"/>
          <w:b/>
          <w:bCs w:val="0"/>
          <w:color w:val="auto"/>
          <w:sz w:val="24"/>
        </w:rPr>
        <w:t>被拒绝。</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应承担的违约责任：</w:t>
      </w:r>
      <w:r>
        <w:rPr>
          <w:rFonts w:hint="eastAsia" w:ascii="仿宋" w:hAnsi="仿宋" w:eastAsia="仿宋" w:cs="仿宋"/>
          <w:color w:val="auto"/>
          <w:sz w:val="24"/>
          <w:szCs w:val="24"/>
          <w:highlight w:val="none"/>
          <w:u w:val="single"/>
        </w:rPr>
        <w:t xml:space="preserve"> 返工，并承担相应工期、质量的违约责任</w:t>
      </w:r>
      <w:r>
        <w:rPr>
          <w:rFonts w:hint="eastAsia" w:ascii="仿宋" w:hAnsi="仿宋" w:eastAsia="仿宋" w:cs="仿宋"/>
          <w:color w:val="auto"/>
          <w:sz w:val="24"/>
          <w:szCs w:val="24"/>
          <w:highlight w:val="none"/>
        </w:rPr>
        <w:t>。</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0" w:firstLineChars="200"/>
        <w:textAlignment w:val="auto"/>
        <w:rPr>
          <w:rFonts w:hint="eastAsia" w:ascii="仿宋" w:hAnsi="仿宋" w:eastAsia="仿宋" w:cs="仿宋"/>
          <w:color w:val="auto"/>
          <w:kern w:val="16"/>
          <w:sz w:val="24"/>
          <w:szCs w:val="24"/>
          <w:highlight w:val="none"/>
        </w:rPr>
      </w:pPr>
      <w:r>
        <w:rPr>
          <w:rFonts w:hint="eastAsia" w:ascii="仿宋" w:hAnsi="仿宋" w:eastAsia="仿宋" w:cs="仿宋"/>
          <w:color w:val="auto"/>
          <w:sz w:val="24"/>
          <w:szCs w:val="24"/>
          <w:highlight w:val="none"/>
        </w:rPr>
        <w:t>所有材料必须有质保书和合格证，经认证许可，并且符合施工图纸和规范要求。</w:t>
      </w:r>
    </w:p>
    <w:p>
      <w:pPr>
        <w:keepNext w:val="0"/>
        <w:keepLines w:val="0"/>
        <w:pageBreakBefore w:val="0"/>
        <w:widowControl w:val="0"/>
        <w:kinsoku/>
        <w:wordWrap/>
        <w:overflowPunct/>
        <w:topLinePunct w:val="0"/>
        <w:autoSpaceDE/>
        <w:autoSpaceDN/>
        <w:bidi w:val="0"/>
        <w:adjustRightInd w:val="0"/>
        <w:snapToGrid/>
        <w:spacing w:line="276" w:lineRule="auto"/>
        <w:jc w:val="center"/>
        <w:textAlignment w:val="auto"/>
        <w:rPr>
          <w:rFonts w:hint="eastAsia" w:ascii="仿宋" w:hAnsi="仿宋" w:eastAsia="仿宋" w:cs="仿宋"/>
          <w:b/>
          <w:bCs/>
          <w:color w:val="auto"/>
          <w:kern w:val="16"/>
          <w:sz w:val="28"/>
          <w:szCs w:val="28"/>
          <w:highlight w:val="none"/>
        </w:rPr>
      </w:pPr>
      <w:r>
        <w:rPr>
          <w:rFonts w:hint="eastAsia" w:ascii="仿宋" w:hAnsi="仿宋" w:eastAsia="仿宋" w:cs="仿宋"/>
          <w:b/>
          <w:bCs/>
          <w:color w:val="auto"/>
          <w:kern w:val="16"/>
          <w:sz w:val="28"/>
          <w:szCs w:val="28"/>
          <w:highlight w:val="none"/>
        </w:rPr>
        <w:t>五、设计变更</w:t>
      </w:r>
    </w:p>
    <w:p>
      <w:pPr>
        <w:pStyle w:val="22"/>
        <w:keepNext w:val="0"/>
        <w:keepLines w:val="0"/>
        <w:pageBreakBefore w:val="0"/>
        <w:widowControl w:val="0"/>
        <w:numPr>
          <w:ilvl w:val="0"/>
          <w:numId w:val="0"/>
        </w:numPr>
        <w:tabs>
          <w:tab w:val="left" w:pos="1050"/>
        </w:tabs>
        <w:kinsoku/>
        <w:wordWrap/>
        <w:overflowPunct/>
        <w:topLinePunct w:val="0"/>
        <w:autoSpaceDE/>
        <w:autoSpaceDN/>
        <w:bidi w:val="0"/>
        <w:adjustRightInd w:val="0"/>
        <w:snapToGrid/>
        <w:spacing w:after="0" w:line="276"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设计变更</w:t>
      </w:r>
    </w:p>
    <w:p>
      <w:pPr>
        <w:pStyle w:val="22"/>
        <w:keepNext w:val="0"/>
        <w:keepLines w:val="0"/>
        <w:pageBreakBefore w:val="0"/>
        <w:widowControl w:val="0"/>
        <w:kinsoku/>
        <w:wordWrap/>
        <w:overflowPunct/>
        <w:topLinePunct w:val="0"/>
        <w:autoSpaceDE/>
        <w:autoSpaceDN/>
        <w:bidi w:val="0"/>
        <w:adjustRightInd w:val="0"/>
        <w:snapToGrid/>
        <w:spacing w:line="276" w:lineRule="auto"/>
        <w:ind w:left="0" w:leftChars="0" w:firstLine="480" w:firstLineChars="200"/>
        <w:textAlignment w:val="auto"/>
        <w:rPr>
          <w:rFonts w:hint="eastAsia" w:ascii="仿宋" w:hAnsi="仿宋" w:eastAsia="仿宋" w:cs="仿宋"/>
          <w:color w:val="auto"/>
          <w:kern w:val="16"/>
          <w:sz w:val="24"/>
          <w:szCs w:val="24"/>
          <w:highlight w:val="none"/>
        </w:rPr>
      </w:pPr>
      <w:r>
        <w:rPr>
          <w:rFonts w:hint="eastAsia" w:ascii="仿宋" w:hAnsi="仿宋" w:eastAsia="仿宋" w:cs="仿宋"/>
          <w:color w:val="auto"/>
          <w:sz w:val="24"/>
          <w:szCs w:val="24"/>
          <w:highlight w:val="none"/>
        </w:rPr>
        <w:t>本工程不作变更调整。</w:t>
      </w:r>
    </w:p>
    <w:p>
      <w:pPr>
        <w:keepNext w:val="0"/>
        <w:keepLines w:val="0"/>
        <w:pageBreakBefore w:val="0"/>
        <w:widowControl w:val="0"/>
        <w:kinsoku/>
        <w:wordWrap/>
        <w:overflowPunct/>
        <w:topLinePunct w:val="0"/>
        <w:autoSpaceDE/>
        <w:autoSpaceDN/>
        <w:bidi w:val="0"/>
        <w:adjustRightInd w:val="0"/>
        <w:snapToGrid/>
        <w:spacing w:line="276" w:lineRule="auto"/>
        <w:jc w:val="center"/>
        <w:textAlignment w:val="auto"/>
        <w:rPr>
          <w:rFonts w:hint="eastAsia" w:ascii="仿宋" w:hAnsi="仿宋" w:eastAsia="仿宋" w:cs="仿宋"/>
          <w:b/>
          <w:bCs/>
          <w:color w:val="auto"/>
          <w:kern w:val="16"/>
          <w:sz w:val="28"/>
          <w:szCs w:val="28"/>
          <w:highlight w:val="none"/>
        </w:rPr>
      </w:pPr>
      <w:r>
        <w:rPr>
          <w:rFonts w:hint="eastAsia" w:ascii="仿宋" w:hAnsi="仿宋" w:eastAsia="仿宋" w:cs="仿宋"/>
          <w:b/>
          <w:bCs/>
          <w:color w:val="auto"/>
          <w:kern w:val="16"/>
          <w:sz w:val="28"/>
          <w:szCs w:val="28"/>
          <w:highlight w:val="none"/>
        </w:rPr>
        <w:t>六、竣工结算</w:t>
      </w:r>
    </w:p>
    <w:p>
      <w:pPr>
        <w:keepNext w:val="0"/>
        <w:keepLines w:val="0"/>
        <w:pageBreakBefore w:val="0"/>
        <w:widowControl w:val="0"/>
        <w:kinsoku/>
        <w:wordWrap/>
        <w:overflowPunct/>
        <w:topLinePunct w:val="0"/>
        <w:autoSpaceDE/>
        <w:autoSpaceDN/>
        <w:bidi w:val="0"/>
        <w:adjustRightInd w:val="0"/>
        <w:snapToGrid/>
        <w:spacing w:line="276"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本工程验收达到约定条件后，乙方应在</w:t>
      </w:r>
      <w:r>
        <w:rPr>
          <w:rFonts w:hint="eastAsia" w:ascii="仿宋" w:hAnsi="仿宋" w:eastAsia="仿宋" w:cs="仿宋"/>
          <w:color w:val="auto"/>
          <w:sz w:val="24"/>
          <w:szCs w:val="24"/>
          <w:highlight w:val="none"/>
          <w:u w:val="single"/>
        </w:rPr>
        <w:t xml:space="preserve"> 7 </w:t>
      </w:r>
      <w:r>
        <w:rPr>
          <w:rFonts w:hint="eastAsia" w:ascii="仿宋" w:hAnsi="仿宋" w:eastAsia="仿宋" w:cs="仿宋"/>
          <w:color w:val="auto"/>
          <w:sz w:val="24"/>
          <w:szCs w:val="24"/>
          <w:highlight w:val="none"/>
        </w:rPr>
        <w:t>日内提供工程结算。甲方在同等时间内提供审核意见报有关部门核准。</w:t>
      </w:r>
    </w:p>
    <w:p>
      <w:pPr>
        <w:keepNext w:val="0"/>
        <w:keepLines w:val="0"/>
        <w:pageBreakBefore w:val="0"/>
        <w:widowControl w:val="0"/>
        <w:kinsoku/>
        <w:wordWrap/>
        <w:overflowPunct/>
        <w:topLinePunct w:val="0"/>
        <w:autoSpaceDE/>
        <w:autoSpaceDN/>
        <w:bidi w:val="0"/>
        <w:adjustRightInd w:val="0"/>
        <w:snapToGrid/>
        <w:spacing w:line="276"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甲方未按合同规定办理竣工结算时，应承担的责任为：支付同期银行利息；乙方未按合同规定办理竣工结算时，应承担的责任为：甲方将不予退还</w:t>
      </w:r>
      <w:r>
        <w:rPr>
          <w:rFonts w:hint="eastAsia" w:ascii="仿宋" w:hAnsi="仿宋" w:eastAsia="仿宋" w:cs="仿宋"/>
          <w:color w:val="auto"/>
          <w:sz w:val="24"/>
          <w:szCs w:val="24"/>
          <w:highlight w:val="none"/>
          <w:lang w:val="en-US" w:eastAsia="zh-CN"/>
        </w:rPr>
        <w:t>履约保证金</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276" w:lineRule="auto"/>
        <w:jc w:val="center"/>
        <w:textAlignment w:val="auto"/>
        <w:rPr>
          <w:rFonts w:hint="eastAsia" w:ascii="仿宋" w:hAnsi="仿宋" w:eastAsia="仿宋" w:cs="仿宋"/>
          <w:b/>
          <w:bCs/>
          <w:color w:val="auto"/>
          <w:kern w:val="16"/>
          <w:sz w:val="28"/>
          <w:szCs w:val="28"/>
          <w:highlight w:val="none"/>
        </w:rPr>
      </w:pPr>
      <w:r>
        <w:rPr>
          <w:rFonts w:hint="eastAsia" w:ascii="仿宋" w:hAnsi="仿宋" w:eastAsia="仿宋" w:cs="仿宋"/>
          <w:b/>
          <w:bCs/>
          <w:color w:val="auto"/>
          <w:kern w:val="16"/>
          <w:sz w:val="28"/>
          <w:szCs w:val="28"/>
          <w:highlight w:val="none"/>
          <w:lang w:val="en-US" w:eastAsia="zh-CN"/>
        </w:rPr>
        <w:t>七</w:t>
      </w:r>
      <w:r>
        <w:rPr>
          <w:rFonts w:hint="eastAsia" w:ascii="仿宋" w:hAnsi="仿宋" w:eastAsia="仿宋" w:cs="仿宋"/>
          <w:b/>
          <w:bCs/>
          <w:color w:val="auto"/>
          <w:kern w:val="16"/>
          <w:sz w:val="28"/>
          <w:szCs w:val="28"/>
          <w:highlight w:val="none"/>
        </w:rPr>
        <w:t>、保    修</w:t>
      </w:r>
    </w:p>
    <w:p>
      <w:pPr>
        <w:keepNext w:val="0"/>
        <w:keepLines w:val="0"/>
        <w:pageBreakBefore w:val="0"/>
        <w:widowControl w:val="0"/>
        <w:kinsoku/>
        <w:wordWrap/>
        <w:overflowPunct/>
        <w:topLinePunct w:val="0"/>
        <w:autoSpaceDE/>
        <w:autoSpaceDN/>
        <w:bidi w:val="0"/>
        <w:adjustRightInd w:val="0"/>
        <w:snapToGrid/>
        <w:spacing w:line="276" w:lineRule="auto"/>
        <w:ind w:firstLine="482"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（一）保修期限</w:t>
      </w:r>
    </w:p>
    <w:p>
      <w:pPr>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本工程保修期为</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保修期从甲方批准的竣工之日起计算。</w:t>
      </w:r>
      <w:r>
        <w:rPr>
          <w:rFonts w:hint="eastAsia" w:ascii="仿宋" w:hAnsi="仿宋" w:eastAsia="仿宋" w:cs="仿宋"/>
          <w:color w:val="auto"/>
          <w:sz w:val="24"/>
          <w:szCs w:val="24"/>
          <w:highlight w:val="none"/>
          <w:lang w:eastAsia="zh-CN"/>
        </w:rPr>
        <w:t>如涉及</w:t>
      </w:r>
      <w:r>
        <w:rPr>
          <w:rFonts w:hint="eastAsia" w:ascii="仿宋" w:hAnsi="仿宋" w:eastAsia="仿宋" w:cs="仿宋"/>
          <w:color w:val="auto"/>
          <w:sz w:val="24"/>
          <w:szCs w:val="24"/>
          <w:highlight w:val="none"/>
        </w:rPr>
        <w:t>国家规定保修期限</w:t>
      </w:r>
      <w:r>
        <w:rPr>
          <w:rFonts w:hint="eastAsia" w:ascii="仿宋" w:hAnsi="仿宋" w:eastAsia="仿宋" w:cs="仿宋"/>
          <w:color w:val="auto"/>
          <w:sz w:val="24"/>
          <w:szCs w:val="24"/>
          <w:highlight w:val="none"/>
          <w:lang w:eastAsia="zh-CN"/>
        </w:rPr>
        <w:t>超</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的工程类型则</w:t>
      </w:r>
      <w:r>
        <w:rPr>
          <w:rFonts w:hint="eastAsia" w:ascii="仿宋" w:hAnsi="仿宋" w:eastAsia="仿宋" w:cs="仿宋"/>
          <w:color w:val="auto"/>
          <w:sz w:val="24"/>
          <w:szCs w:val="24"/>
          <w:highlight w:val="none"/>
        </w:rPr>
        <w:t>按国家规定保修期限</w:t>
      </w:r>
      <w:r>
        <w:rPr>
          <w:rFonts w:hint="eastAsia" w:ascii="仿宋" w:hAnsi="仿宋" w:eastAsia="仿宋" w:cs="仿宋"/>
          <w:color w:val="auto"/>
          <w:sz w:val="24"/>
          <w:szCs w:val="24"/>
          <w:highlight w:val="none"/>
          <w:lang w:eastAsia="zh-CN"/>
        </w:rPr>
        <w:t>执行。</w:t>
      </w:r>
    </w:p>
    <w:p>
      <w:pPr>
        <w:keepNext w:val="0"/>
        <w:keepLines w:val="0"/>
        <w:pageBreakBefore w:val="0"/>
        <w:widowControl w:val="0"/>
        <w:kinsoku/>
        <w:wordWrap/>
        <w:overflowPunct/>
        <w:topLinePunct w:val="0"/>
        <w:autoSpaceDE/>
        <w:autoSpaceDN/>
        <w:bidi w:val="0"/>
        <w:adjustRightInd w:val="0"/>
        <w:snapToGrid/>
        <w:spacing w:line="276" w:lineRule="auto"/>
        <w:jc w:val="center"/>
        <w:textAlignment w:val="auto"/>
        <w:rPr>
          <w:rFonts w:hint="eastAsia" w:ascii="仿宋" w:hAnsi="仿宋" w:eastAsia="仿宋" w:cs="仿宋"/>
          <w:b/>
          <w:bCs/>
          <w:color w:val="auto"/>
          <w:kern w:val="16"/>
          <w:sz w:val="28"/>
          <w:szCs w:val="28"/>
          <w:highlight w:val="none"/>
        </w:rPr>
      </w:pPr>
      <w:r>
        <w:rPr>
          <w:rFonts w:hint="eastAsia" w:ascii="仿宋" w:hAnsi="仿宋" w:eastAsia="仿宋" w:cs="仿宋"/>
          <w:b/>
          <w:bCs/>
          <w:color w:val="auto"/>
          <w:kern w:val="16"/>
          <w:sz w:val="28"/>
          <w:szCs w:val="28"/>
          <w:highlight w:val="none"/>
          <w:lang w:val="en-US" w:eastAsia="zh-CN"/>
        </w:rPr>
        <w:t>八</w:t>
      </w:r>
      <w:r>
        <w:rPr>
          <w:rFonts w:hint="eastAsia" w:ascii="仿宋" w:hAnsi="仿宋" w:eastAsia="仿宋" w:cs="仿宋"/>
          <w:b/>
          <w:bCs/>
          <w:color w:val="auto"/>
          <w:kern w:val="16"/>
          <w:sz w:val="28"/>
          <w:szCs w:val="28"/>
          <w:highlight w:val="none"/>
          <w:lang w:eastAsia="zh-CN"/>
        </w:rPr>
        <w:t>、</w:t>
      </w:r>
      <w:r>
        <w:rPr>
          <w:rFonts w:hint="eastAsia" w:ascii="仿宋" w:hAnsi="仿宋" w:eastAsia="仿宋" w:cs="仿宋"/>
          <w:b/>
          <w:bCs/>
          <w:color w:val="auto"/>
          <w:kern w:val="16"/>
          <w:sz w:val="28"/>
          <w:szCs w:val="28"/>
          <w:highlight w:val="none"/>
        </w:rPr>
        <w:t>其    它</w:t>
      </w:r>
    </w:p>
    <w:p>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hint="eastAsia" w:ascii="仿宋" w:hAnsi="仿宋" w:eastAsia="仿宋" w:cs="仿宋"/>
          <w:color w:val="auto"/>
          <w:sz w:val="24"/>
          <w:szCs w:val="24"/>
          <w:highlight w:val="none"/>
        </w:rPr>
      </w:pPr>
      <w:r>
        <w:rPr>
          <w:rFonts w:hint="eastAsia" w:ascii="宋体" w:hAnsi="宋体"/>
          <w:szCs w:val="21"/>
          <w:highlight w:val="none"/>
        </w:rPr>
        <w:t xml:space="preserve"> </w:t>
      </w: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的施工人员进场后，必须严格按建设单位确定的施工图及工作内容和施工规范施工。遵守建设单位的规章制度，不得损坏建设单位的公共设施。做好“四防” 工作，生产和生活垃圾分别堆放，统一处理，做到文明施工，注意施工安全，施工安全生产人员的保险及费用由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负责，发生安全事故、治安及建设单位安全由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完全负责，保证施工进度。</w:t>
      </w:r>
    </w:p>
    <w:p>
      <w:pPr>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在施工过程中若出现工程质量、进度等问题，经甲方三次书面通知后仍未采取有效措施的，甲方有权单方终止合同，并保留索赔的权利。</w:t>
      </w:r>
    </w:p>
    <w:p>
      <w:pPr>
        <w:keepNext w:val="0"/>
        <w:keepLines w:val="0"/>
        <w:pageBreakBefore w:val="0"/>
        <w:widowControl w:val="0"/>
        <w:kinsoku/>
        <w:wordWrap/>
        <w:overflowPunct/>
        <w:topLinePunct w:val="0"/>
        <w:autoSpaceDE/>
        <w:autoSpaceDN/>
        <w:bidi w:val="0"/>
        <w:adjustRightInd w:val="0"/>
        <w:snapToGrid/>
        <w:spacing w:line="27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服务要求：①按有关保修要求和相关期限，如出现质量问题，</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在接到单位通知后24小时内答复，72小时内免费修复。②中标单位不签订合同，给招标单位造成损失的，由中标单位承担。③</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在施工完毕后，应</w:t>
      </w:r>
      <w:r>
        <w:rPr>
          <w:rFonts w:hint="eastAsia" w:ascii="仿宋" w:hAnsi="仿宋" w:eastAsia="仿宋" w:cs="仿宋"/>
          <w:color w:val="auto"/>
          <w:sz w:val="24"/>
          <w:szCs w:val="24"/>
          <w:highlight w:val="none"/>
          <w:lang w:eastAsia="zh-CN"/>
        </w:rPr>
        <w:t>通知及配合</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组织验收。</w:t>
      </w:r>
    </w:p>
    <w:p>
      <w:pPr>
        <w:keepNext w:val="0"/>
        <w:keepLines w:val="0"/>
        <w:pageBreakBefore w:val="0"/>
        <w:widowControl w:val="0"/>
        <w:kinsoku/>
        <w:wordWrap/>
        <w:overflowPunct/>
        <w:topLinePunct w:val="0"/>
        <w:autoSpaceDE/>
        <w:autoSpaceDN/>
        <w:bidi w:val="0"/>
        <w:adjustRightInd w:val="0"/>
        <w:snapToGrid/>
        <w:spacing w:line="276"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保证邻近建筑物的安全，若有损坏或者引起</w:t>
      </w:r>
      <w:r>
        <w:rPr>
          <w:rFonts w:hint="eastAsia" w:ascii="仿宋" w:hAnsi="仿宋" w:eastAsia="仿宋" w:cs="仿宋"/>
          <w:b/>
          <w:bCs/>
          <w:color w:val="auto"/>
          <w:sz w:val="24"/>
          <w:szCs w:val="24"/>
          <w:highlight w:val="none"/>
          <w:lang w:val="en-US" w:eastAsia="zh-CN"/>
        </w:rPr>
        <w:t>质量问题，乙方</w:t>
      </w:r>
      <w:r>
        <w:rPr>
          <w:rFonts w:hint="eastAsia" w:ascii="仿宋" w:hAnsi="仿宋" w:eastAsia="仿宋" w:cs="仿宋"/>
          <w:b/>
          <w:bCs/>
          <w:color w:val="auto"/>
          <w:sz w:val="24"/>
          <w:szCs w:val="24"/>
          <w:highlight w:val="none"/>
        </w:rPr>
        <w:t>需无条件按</w:t>
      </w:r>
      <w:r>
        <w:rPr>
          <w:rFonts w:hint="eastAsia" w:ascii="仿宋" w:hAnsi="仿宋" w:eastAsia="仿宋" w:cs="仿宋"/>
          <w:b/>
          <w:bCs/>
          <w:color w:val="auto"/>
          <w:sz w:val="24"/>
          <w:szCs w:val="24"/>
          <w:highlight w:val="none"/>
          <w:lang w:val="en-US" w:eastAsia="zh-CN"/>
        </w:rPr>
        <w:t>甲方</w:t>
      </w:r>
      <w:r>
        <w:rPr>
          <w:rFonts w:hint="eastAsia" w:ascii="仿宋" w:hAnsi="仿宋" w:eastAsia="仿宋" w:cs="仿宋"/>
          <w:b/>
          <w:bCs/>
          <w:color w:val="auto"/>
          <w:sz w:val="24"/>
          <w:szCs w:val="24"/>
          <w:highlight w:val="none"/>
        </w:rPr>
        <w:t>要求进行修复。</w:t>
      </w:r>
    </w:p>
    <w:p>
      <w:pPr>
        <w:keepNext w:val="0"/>
        <w:keepLines w:val="0"/>
        <w:pageBreakBefore w:val="0"/>
        <w:widowControl w:val="0"/>
        <w:kinsoku/>
        <w:wordWrap/>
        <w:overflowPunct/>
        <w:topLinePunct w:val="0"/>
        <w:autoSpaceDE/>
        <w:autoSpaceDN/>
        <w:bidi w:val="0"/>
        <w:adjustRightInd w:val="0"/>
        <w:snapToGrid/>
        <w:spacing w:line="276"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不能影响学校正常的教学秩序，并要保证学校师生的安全。</w:t>
      </w:r>
    </w:p>
    <w:p>
      <w:pPr>
        <w:keepNext w:val="0"/>
        <w:keepLines w:val="0"/>
        <w:pageBreakBefore w:val="0"/>
        <w:widowControl w:val="0"/>
        <w:kinsoku/>
        <w:wordWrap/>
        <w:overflowPunct/>
        <w:topLinePunct w:val="0"/>
        <w:autoSpaceDE/>
        <w:autoSpaceDN/>
        <w:bidi w:val="0"/>
        <w:adjustRightInd w:val="0"/>
        <w:snapToGrid/>
        <w:spacing w:line="276"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乙方</w:t>
      </w:r>
      <w:r>
        <w:rPr>
          <w:rFonts w:hint="eastAsia" w:ascii="仿宋" w:hAnsi="仿宋" w:eastAsia="仿宋" w:cs="仿宋"/>
          <w:b/>
          <w:bCs/>
          <w:color w:val="auto"/>
          <w:sz w:val="24"/>
          <w:szCs w:val="24"/>
          <w:highlight w:val="none"/>
        </w:rPr>
        <w:t>应按市政府规定办理农民工保险，相关费用由</w:t>
      </w:r>
      <w:r>
        <w:rPr>
          <w:rFonts w:hint="eastAsia" w:ascii="仿宋" w:hAnsi="仿宋" w:eastAsia="仿宋" w:cs="仿宋"/>
          <w:b/>
          <w:bCs/>
          <w:color w:val="auto"/>
          <w:sz w:val="24"/>
          <w:szCs w:val="24"/>
          <w:highlight w:val="none"/>
          <w:lang w:val="en-US" w:eastAsia="zh-CN"/>
        </w:rPr>
        <w:t>乙方承担</w:t>
      </w:r>
      <w:r>
        <w:rPr>
          <w:rFonts w:hint="eastAsia" w:ascii="仿宋" w:hAnsi="仿宋" w:eastAsia="仿宋" w:cs="仿宋"/>
          <w:b/>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276"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本工程标底预算中甲方所指定或推荐的材料品牌，</w:t>
      </w:r>
      <w:r>
        <w:rPr>
          <w:rFonts w:hint="eastAsia" w:ascii="仿宋" w:hAnsi="仿宋" w:eastAsia="仿宋" w:cs="仿宋"/>
          <w:b/>
          <w:bCs/>
          <w:color w:val="auto"/>
          <w:sz w:val="24"/>
          <w:szCs w:val="24"/>
          <w:highlight w:val="none"/>
          <w:lang w:val="en-US" w:eastAsia="zh-CN"/>
        </w:rPr>
        <w:t>乙方</w:t>
      </w:r>
      <w:r>
        <w:rPr>
          <w:rFonts w:hint="eastAsia" w:ascii="仿宋" w:hAnsi="仿宋" w:eastAsia="仿宋" w:cs="仿宋"/>
          <w:b/>
          <w:bCs/>
          <w:color w:val="auto"/>
          <w:sz w:val="24"/>
          <w:szCs w:val="24"/>
          <w:highlight w:val="none"/>
        </w:rPr>
        <w:t>必须按照要求施工，施工前所需材料必须经过甲方验收合格后方可施工，如擅自施工，甲方有权让</w:t>
      </w:r>
      <w:r>
        <w:rPr>
          <w:rFonts w:hint="eastAsia" w:ascii="仿宋" w:hAnsi="仿宋" w:eastAsia="仿宋" w:cs="仿宋"/>
          <w:b/>
          <w:bCs/>
          <w:color w:val="auto"/>
          <w:sz w:val="24"/>
          <w:szCs w:val="24"/>
          <w:highlight w:val="none"/>
          <w:lang w:val="en-US" w:eastAsia="zh-CN"/>
        </w:rPr>
        <w:t>乙方</w:t>
      </w:r>
      <w:r>
        <w:rPr>
          <w:rFonts w:hint="eastAsia" w:ascii="仿宋" w:hAnsi="仿宋" w:eastAsia="仿宋" w:cs="仿宋"/>
          <w:b/>
          <w:bCs/>
          <w:color w:val="auto"/>
          <w:sz w:val="24"/>
          <w:szCs w:val="24"/>
          <w:highlight w:val="none"/>
        </w:rPr>
        <w:t>整改，施工过程中产生的所有费用均由</w:t>
      </w:r>
      <w:r>
        <w:rPr>
          <w:rFonts w:hint="eastAsia" w:ascii="仿宋" w:hAnsi="仿宋" w:eastAsia="仿宋" w:cs="仿宋"/>
          <w:b/>
          <w:bCs/>
          <w:color w:val="auto"/>
          <w:sz w:val="24"/>
          <w:szCs w:val="24"/>
          <w:highlight w:val="none"/>
          <w:lang w:val="en-US" w:eastAsia="zh-CN"/>
        </w:rPr>
        <w:t>乙方</w:t>
      </w:r>
      <w:r>
        <w:rPr>
          <w:rFonts w:hint="eastAsia" w:ascii="仿宋" w:hAnsi="仿宋" w:eastAsia="仿宋" w:cs="仿宋"/>
          <w:b/>
          <w:bCs/>
          <w:color w:val="auto"/>
          <w:sz w:val="24"/>
          <w:szCs w:val="24"/>
          <w:highlight w:val="none"/>
        </w:rPr>
        <w:t>承担。</w:t>
      </w:r>
    </w:p>
    <w:p>
      <w:pPr>
        <w:keepNext w:val="0"/>
        <w:keepLines w:val="0"/>
        <w:pageBreakBefore w:val="0"/>
        <w:widowControl w:val="0"/>
        <w:kinsoku/>
        <w:wordWrap/>
        <w:overflowPunct/>
        <w:topLinePunct w:val="0"/>
        <w:autoSpaceDE/>
        <w:autoSpaceDN/>
        <w:bidi w:val="0"/>
        <w:adjustRightInd w:val="0"/>
        <w:snapToGrid/>
        <w:spacing w:line="276"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、各投标单位必须在投标前详细审核全部招标文件（包括图纸及标底预算）、包括修改文件（如果有的话）及有关附件，并根据自身实力合理报价。如出现中标后弃标行为的，</w:t>
      </w:r>
      <w:r>
        <w:rPr>
          <w:rFonts w:hint="eastAsia" w:ascii="仿宋" w:hAnsi="仿宋" w:eastAsia="仿宋" w:cs="仿宋"/>
          <w:b/>
          <w:bCs/>
          <w:color w:val="auto"/>
          <w:sz w:val="24"/>
          <w:szCs w:val="24"/>
          <w:highlight w:val="none"/>
        </w:rPr>
        <w:t>该投标单位将被列入市教育局的黑名单中，今后不得参与市教育局直属学校（单位）组织的任何招投标活动。</w:t>
      </w:r>
    </w:p>
    <w:p>
      <w:pPr>
        <w:pStyle w:val="12"/>
        <w:spacing w:after="0" w:line="288" w:lineRule="auto"/>
        <w:ind w:left="0" w:leftChars="0" w:firstLine="723" w:firstLineChars="200"/>
        <w:jc w:val="both"/>
        <w:rPr>
          <w:rFonts w:hint="eastAsia" w:ascii="仿宋" w:hAnsi="仿宋" w:eastAsia="仿宋" w:cs="仿宋"/>
          <w:b/>
          <w:color w:val="auto"/>
          <w:sz w:val="36"/>
          <w:szCs w:val="36"/>
          <w:highlight w:val="none"/>
        </w:rPr>
      </w:pPr>
    </w:p>
    <w:p>
      <w:pPr>
        <w:pStyle w:val="12"/>
        <w:spacing w:after="0" w:line="288" w:lineRule="auto"/>
        <w:ind w:left="0" w:leftChars="0"/>
        <w:jc w:val="both"/>
        <w:rPr>
          <w:rFonts w:hint="eastAsia" w:ascii="仿宋" w:hAnsi="仿宋" w:eastAsia="仿宋" w:cs="仿宋"/>
          <w:b/>
          <w:color w:val="auto"/>
          <w:sz w:val="36"/>
          <w:szCs w:val="36"/>
          <w:highlight w:val="none"/>
        </w:rPr>
      </w:pPr>
    </w:p>
    <w:p>
      <w:pPr>
        <w:pStyle w:val="12"/>
        <w:spacing w:after="0" w:line="288" w:lineRule="auto"/>
        <w:ind w:left="0" w:leftChars="0"/>
        <w:jc w:val="both"/>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hint="eastAsia" w:ascii="仿宋" w:hAnsi="仿宋" w:eastAsia="仿宋" w:cs="仿宋"/>
          <w:b/>
          <w:color w:val="auto"/>
          <w:sz w:val="36"/>
          <w:szCs w:val="36"/>
          <w:highlight w:val="none"/>
        </w:rPr>
      </w:pPr>
    </w:p>
    <w:p>
      <w:pPr>
        <w:pStyle w:val="12"/>
        <w:spacing w:after="0" w:line="288" w:lineRule="auto"/>
        <w:ind w:left="0" w:leftChars="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投标文件及其附件格式</w:t>
      </w:r>
    </w:p>
    <w:p>
      <w:pPr>
        <w:spacing w:line="288" w:lineRule="auto"/>
        <w:rPr>
          <w:rFonts w:ascii="仿宋" w:hAnsi="仿宋" w:eastAsia="仿宋" w:cs="仿宋"/>
          <w:b/>
          <w:color w:val="auto"/>
          <w:sz w:val="24"/>
          <w:highlight w:val="none"/>
        </w:rPr>
      </w:pPr>
    </w:p>
    <w:p>
      <w:pPr>
        <w:spacing w:line="288" w:lineRule="auto"/>
        <w:jc w:val="center"/>
        <w:rPr>
          <w:rFonts w:ascii="仿宋" w:hAnsi="仿宋" w:eastAsia="仿宋" w:cs="仿宋"/>
          <w:b/>
          <w:bCs/>
          <w:color w:val="auto"/>
          <w:kern w:val="44"/>
          <w:sz w:val="36"/>
          <w:szCs w:val="36"/>
          <w:highlight w:val="none"/>
        </w:rPr>
      </w:pPr>
      <w:r>
        <w:rPr>
          <w:rFonts w:hint="eastAsia" w:ascii="仿宋" w:hAnsi="仿宋" w:eastAsia="仿宋" w:cs="仿宋"/>
          <w:b/>
          <w:color w:val="auto"/>
          <w:sz w:val="36"/>
          <w:szCs w:val="36"/>
          <w:highlight w:val="none"/>
        </w:rPr>
        <w:t>（必须按以下格式填写并加盖公章、法人章）</w:t>
      </w:r>
    </w:p>
    <w:p>
      <w:pPr>
        <w:pStyle w:val="22"/>
        <w:spacing w:line="288" w:lineRule="auto"/>
        <w:rPr>
          <w:rFonts w:ascii="仿宋" w:hAnsi="仿宋" w:eastAsia="仿宋" w:cs="仿宋"/>
          <w:b/>
          <w:bCs/>
          <w:color w:val="auto"/>
          <w:szCs w:val="24"/>
          <w:highlight w:val="none"/>
        </w:rPr>
      </w:pPr>
    </w:p>
    <w:p>
      <w:pPr>
        <w:pStyle w:val="22"/>
        <w:spacing w:line="288" w:lineRule="auto"/>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投标文件主要内容：</w:t>
      </w:r>
    </w:p>
    <w:p>
      <w:pPr>
        <w:spacing w:line="288"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1、资格审查有关的书面承诺函                    </w:t>
      </w:r>
      <w:r>
        <w:rPr>
          <w:rFonts w:hint="eastAsia" w:ascii="仿宋" w:hAnsi="仿宋" w:eastAsia="仿宋" w:cs="仿宋"/>
          <w:color w:val="auto"/>
          <w:sz w:val="24"/>
          <w:highlight w:val="none"/>
        </w:rPr>
        <w:t>（附件一）</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、法定代表人身份证明书                        （附件</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、授权委托书                                  （附件</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、代理人身份证复印件（正反两面）              （附件</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、投标承诺书                                  （附件</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、招标控制价认可函                            （附件</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w:t>
      </w:r>
    </w:p>
    <w:p>
      <w:pPr>
        <w:spacing w:line="288"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技术解决方案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、投标函                                      （附件</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w:t>
      </w:r>
    </w:p>
    <w:p>
      <w:pPr>
        <w:spacing w:line="288"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、总报价书                                    （附件</w:t>
      </w: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w:t>
      </w:r>
    </w:p>
    <w:p>
      <w:pPr>
        <w:spacing w:line="288"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、其余按招标文件要求提供资料（格式自拟）</w:t>
      </w:r>
    </w:p>
    <w:p>
      <w:pPr>
        <w:pStyle w:val="22"/>
        <w:spacing w:line="288" w:lineRule="auto"/>
        <w:rPr>
          <w:rFonts w:ascii="仿宋" w:hAnsi="仿宋" w:eastAsia="仿宋" w:cs="仿宋"/>
          <w:b/>
          <w:bCs/>
          <w:szCs w:val="24"/>
          <w:highlight w:val="none"/>
        </w:rPr>
      </w:pPr>
    </w:p>
    <w:p>
      <w:pPr>
        <w:pStyle w:val="22"/>
        <w:spacing w:line="288" w:lineRule="auto"/>
        <w:rPr>
          <w:rFonts w:ascii="仿宋" w:hAnsi="仿宋" w:eastAsia="仿宋" w:cs="仿宋"/>
          <w:b/>
          <w:bCs/>
          <w:szCs w:val="24"/>
          <w:highlight w:val="none"/>
        </w:rPr>
      </w:pPr>
    </w:p>
    <w:p>
      <w:pPr>
        <w:pStyle w:val="22"/>
        <w:spacing w:line="288" w:lineRule="auto"/>
        <w:rPr>
          <w:rFonts w:ascii="仿宋" w:hAnsi="仿宋" w:eastAsia="仿宋" w:cs="仿宋"/>
          <w:b/>
          <w:bCs/>
          <w:szCs w:val="24"/>
          <w:highlight w:val="none"/>
        </w:rPr>
      </w:pPr>
    </w:p>
    <w:p>
      <w:pPr>
        <w:pStyle w:val="22"/>
        <w:spacing w:line="288" w:lineRule="auto"/>
        <w:rPr>
          <w:rFonts w:ascii="仿宋" w:hAnsi="仿宋" w:eastAsia="仿宋" w:cs="仿宋"/>
          <w:b/>
          <w:bCs/>
          <w:szCs w:val="24"/>
          <w:highlight w:val="none"/>
        </w:rPr>
      </w:pPr>
      <w:r>
        <w:rPr>
          <w:rFonts w:hint="eastAsia" w:ascii="仿宋" w:hAnsi="仿宋" w:eastAsia="仿宋" w:cs="仿宋"/>
          <w:b/>
          <w:bCs/>
          <w:sz w:val="28"/>
          <w:szCs w:val="28"/>
          <w:highlight w:val="yellow"/>
          <w:lang w:eastAsia="zh-CN"/>
        </w:rPr>
        <w:t>注：因电子投标系统设置原因，投标函、总报价书上传（价格）一栏，其余内容均上传（商务技术）栏。本备注仅作为指导性条款，如出现系统分类误传，不影响正常开评标。</w:t>
      </w:r>
    </w:p>
    <w:p>
      <w:pPr>
        <w:pStyle w:val="22"/>
        <w:spacing w:line="288" w:lineRule="auto"/>
        <w:rPr>
          <w:rFonts w:ascii="仿宋" w:hAnsi="仿宋" w:eastAsia="仿宋" w:cs="仿宋"/>
          <w:b/>
          <w:bCs/>
          <w:szCs w:val="24"/>
          <w:highlight w:val="none"/>
        </w:rPr>
      </w:pPr>
    </w:p>
    <w:p>
      <w:pPr>
        <w:pStyle w:val="22"/>
        <w:spacing w:line="288" w:lineRule="auto"/>
        <w:rPr>
          <w:rFonts w:ascii="仿宋" w:hAnsi="仿宋" w:eastAsia="仿宋" w:cs="仿宋"/>
          <w:b/>
          <w:bCs/>
          <w:szCs w:val="24"/>
          <w:highlight w:val="none"/>
        </w:rPr>
      </w:pPr>
    </w:p>
    <w:p>
      <w:pPr>
        <w:pStyle w:val="22"/>
        <w:spacing w:line="288" w:lineRule="auto"/>
        <w:rPr>
          <w:rFonts w:ascii="仿宋" w:hAnsi="仿宋" w:eastAsia="仿宋" w:cs="仿宋"/>
          <w:b/>
          <w:bCs/>
          <w:szCs w:val="24"/>
          <w:highlight w:val="none"/>
        </w:rPr>
      </w:pPr>
    </w:p>
    <w:p>
      <w:pPr>
        <w:pStyle w:val="22"/>
        <w:spacing w:line="288" w:lineRule="auto"/>
        <w:rPr>
          <w:rFonts w:ascii="仿宋" w:hAnsi="仿宋" w:eastAsia="仿宋" w:cs="仿宋"/>
          <w:b/>
          <w:bCs/>
          <w:sz w:val="24"/>
          <w:szCs w:val="24"/>
          <w:highlight w:val="none"/>
        </w:rPr>
      </w:pPr>
    </w:p>
    <w:p>
      <w:pPr>
        <w:pStyle w:val="22"/>
        <w:spacing w:line="288" w:lineRule="auto"/>
        <w:rPr>
          <w:rFonts w:ascii="仿宋" w:hAnsi="仿宋" w:eastAsia="仿宋" w:cs="仿宋"/>
          <w:b/>
          <w:bCs/>
          <w:sz w:val="24"/>
          <w:szCs w:val="24"/>
          <w:highlight w:val="none"/>
        </w:rPr>
      </w:pPr>
    </w:p>
    <w:p>
      <w:pPr>
        <w:pStyle w:val="22"/>
        <w:spacing w:line="288" w:lineRule="auto"/>
        <w:rPr>
          <w:rFonts w:ascii="仿宋" w:hAnsi="仿宋" w:eastAsia="仿宋" w:cs="仿宋"/>
          <w:b/>
          <w:bCs/>
          <w:sz w:val="24"/>
          <w:szCs w:val="24"/>
          <w:highlight w:val="none"/>
        </w:rPr>
      </w:pPr>
    </w:p>
    <w:p>
      <w:pPr>
        <w:pStyle w:val="22"/>
        <w:spacing w:line="288" w:lineRule="auto"/>
        <w:rPr>
          <w:rFonts w:ascii="仿宋" w:hAnsi="仿宋" w:eastAsia="仿宋" w:cs="仿宋"/>
          <w:b/>
          <w:bCs/>
          <w:sz w:val="24"/>
          <w:szCs w:val="24"/>
          <w:highlight w:val="none"/>
        </w:rPr>
      </w:pPr>
    </w:p>
    <w:p>
      <w:pPr>
        <w:pStyle w:val="22"/>
        <w:spacing w:line="288" w:lineRule="auto"/>
        <w:rPr>
          <w:rFonts w:ascii="仿宋" w:hAnsi="仿宋" w:eastAsia="仿宋" w:cs="仿宋"/>
          <w:b/>
          <w:bCs/>
          <w:sz w:val="24"/>
          <w:szCs w:val="24"/>
          <w:highlight w:val="none"/>
        </w:rPr>
      </w:pPr>
    </w:p>
    <w:p>
      <w:pPr>
        <w:pageBreakBefore/>
        <w:spacing w:after="240" w:afterLines="1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附件一：资格审查有关的书面承诺函</w:t>
      </w:r>
    </w:p>
    <w:p>
      <w:pPr>
        <w:snapToGrid w:val="0"/>
        <w:spacing w:line="360" w:lineRule="auto"/>
        <w:rPr>
          <w:rFonts w:hint="eastAsia" w:ascii="仿宋" w:hAnsi="仿宋" w:eastAsia="仿宋" w:cs="仿宋"/>
          <w:sz w:val="24"/>
        </w:rPr>
      </w:pPr>
      <w:r>
        <w:rPr>
          <w:rFonts w:hint="eastAsia" w:ascii="仿宋" w:hAnsi="仿宋" w:eastAsia="仿宋" w:cs="仿宋"/>
          <w:sz w:val="24"/>
          <w:lang w:eastAsia="zh-CN"/>
        </w:rPr>
        <w:t>绍兴市中等专业学校</w:t>
      </w:r>
      <w:r>
        <w:rPr>
          <w:rFonts w:hint="eastAsia" w:ascii="仿宋" w:hAnsi="仿宋" w:eastAsia="仿宋" w:cs="仿宋"/>
          <w:sz w:val="24"/>
        </w:rPr>
        <w:t>、耀华建设管理有限公司</w:t>
      </w:r>
      <w:r>
        <w:rPr>
          <w:rFonts w:hint="eastAsia" w:ascii="仿宋" w:hAnsi="仿宋" w:eastAsia="仿宋" w:cs="仿宋"/>
          <w:kern w:val="0"/>
          <w:sz w:val="24"/>
          <w:lang w:val="zh-CN"/>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我方郑重承诺，已具有</w:t>
      </w:r>
      <w:r>
        <w:rPr>
          <w:rFonts w:hint="eastAsia" w:ascii="仿宋" w:hAnsi="仿宋" w:eastAsia="仿宋" w:cs="仿宋"/>
          <w:sz w:val="24"/>
          <w:u w:val="single"/>
          <w:lang w:val="en-US" w:eastAsia="zh-CN"/>
        </w:rPr>
        <w:t>绍兴市中等专业学校田径场塑胶跑道（操场）改造工程</w:t>
      </w:r>
      <w:r>
        <w:rPr>
          <w:rFonts w:hint="eastAsia" w:ascii="仿宋" w:hAnsi="仿宋" w:eastAsia="仿宋" w:cs="仿宋"/>
          <w:sz w:val="24"/>
        </w:rPr>
        <w:t xml:space="preserve">（招标编号:     </w:t>
      </w:r>
      <w:r>
        <w:rPr>
          <w:rFonts w:hint="eastAsia" w:ascii="仿宋" w:hAnsi="仿宋" w:eastAsia="仿宋" w:cs="仿宋"/>
          <w:sz w:val="24"/>
          <w:lang w:val="en-US" w:eastAsia="zh-CN"/>
        </w:rPr>
        <w:t xml:space="preserve">     </w:t>
      </w:r>
      <w:r>
        <w:rPr>
          <w:rFonts w:hint="eastAsia" w:ascii="仿宋" w:hAnsi="仿宋" w:eastAsia="仿宋" w:cs="仿宋"/>
          <w:sz w:val="24"/>
        </w:rPr>
        <w:t>）招标文件中关于申请人资格要求的下列条件：</w:t>
      </w:r>
    </w:p>
    <w:p>
      <w:pPr>
        <w:pStyle w:val="66"/>
        <w:spacing w:after="120" w:line="440" w:lineRule="exact"/>
        <w:ind w:firstLine="480"/>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szCs w:val="24"/>
        </w:rPr>
        <w:t>符合《中华人民共和国政府采购法》第二十二条的规定：</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(二）具有良好的商业信誉和健全的财务会计制度;</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(四）有依法缴纳税收和社会保障资金的良好记录;</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(五）参加政府采购活动前三年内，在经营活动中没有重大违法记录;</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2、</w:t>
      </w:r>
      <w:r>
        <w:rPr>
          <w:rFonts w:hint="eastAsia" w:ascii="仿宋" w:hAnsi="仿宋" w:eastAsia="仿宋" w:cs="仿宋"/>
          <w:kern w:val="0"/>
          <w:sz w:val="24"/>
          <w:lang w:val="zh-CN"/>
        </w:rPr>
        <w:t>我公司</w:t>
      </w:r>
      <w:r>
        <w:rPr>
          <w:rFonts w:hint="eastAsia" w:ascii="仿宋" w:hAnsi="仿宋" w:eastAsia="仿宋" w:cs="仿宋"/>
          <w:sz w:val="24"/>
        </w:rPr>
        <w:t>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投标人 (电子签章)：</w:t>
      </w:r>
    </w:p>
    <w:p>
      <w:pPr>
        <w:snapToGrid w:val="0"/>
        <w:spacing w:line="360" w:lineRule="auto"/>
        <w:rPr>
          <w:rFonts w:hint="eastAsia" w:ascii="仿宋" w:hAnsi="仿宋" w:eastAsia="仿宋" w:cs="仿宋"/>
          <w:kern w:val="0"/>
          <w:sz w:val="24"/>
          <w:lang w:val="zh-CN"/>
        </w:rPr>
      </w:pP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法定代表人或其授权代表(签字或盖章)：</w:t>
      </w:r>
    </w:p>
    <w:p>
      <w:pPr>
        <w:snapToGrid w:val="0"/>
        <w:spacing w:line="360" w:lineRule="auto"/>
        <w:ind w:firstLine="5160" w:firstLineChars="2150"/>
        <w:jc w:val="right"/>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pStyle w:val="22"/>
        <w:spacing w:line="360" w:lineRule="auto"/>
        <w:ind w:left="0" w:leftChars="0"/>
        <w:rPr>
          <w:rFonts w:hint="eastAsia" w:ascii="仿宋" w:hAnsi="仿宋" w:eastAsia="仿宋" w:cs="仿宋"/>
          <w:b/>
          <w:bCs/>
          <w:sz w:val="24"/>
          <w:szCs w:val="24"/>
          <w:highlight w:val="none"/>
        </w:rPr>
      </w:pPr>
    </w:p>
    <w:p>
      <w:pPr>
        <w:pStyle w:val="22"/>
        <w:spacing w:line="360" w:lineRule="auto"/>
        <w:ind w:left="0" w:leftChars="0"/>
        <w:rPr>
          <w:rFonts w:hint="eastAsia" w:ascii="仿宋" w:hAnsi="仿宋" w:eastAsia="仿宋" w:cs="仿宋"/>
          <w:b/>
          <w:bCs/>
          <w:sz w:val="24"/>
          <w:szCs w:val="24"/>
          <w:highlight w:val="none"/>
        </w:rPr>
      </w:pPr>
    </w:p>
    <w:p>
      <w:pPr>
        <w:pStyle w:val="22"/>
        <w:spacing w:line="360" w:lineRule="auto"/>
        <w:ind w:left="0" w:leftChars="0"/>
        <w:rPr>
          <w:rFonts w:hint="eastAsia" w:ascii="仿宋" w:hAnsi="仿宋" w:eastAsia="仿宋" w:cs="仿宋"/>
          <w:b/>
          <w:bCs/>
          <w:sz w:val="24"/>
          <w:szCs w:val="24"/>
          <w:highlight w:val="none"/>
        </w:rPr>
      </w:pPr>
    </w:p>
    <w:p>
      <w:pPr>
        <w:pStyle w:val="22"/>
        <w:spacing w:line="360" w:lineRule="auto"/>
        <w:ind w:left="0" w:leftChars="0"/>
        <w:rPr>
          <w:rFonts w:hint="eastAsia" w:ascii="仿宋" w:hAnsi="仿宋" w:eastAsia="仿宋" w:cs="仿宋"/>
          <w:b/>
          <w:bCs/>
          <w:sz w:val="24"/>
          <w:szCs w:val="24"/>
          <w:highlight w:val="none"/>
        </w:rPr>
      </w:pPr>
    </w:p>
    <w:p>
      <w:pPr>
        <w:pStyle w:val="22"/>
        <w:spacing w:line="360" w:lineRule="auto"/>
        <w:ind w:left="0" w:leftChars="0"/>
        <w:rPr>
          <w:rFonts w:ascii="仿宋" w:hAnsi="仿宋" w:eastAsia="仿宋" w:cs="仿宋"/>
          <w:b/>
          <w:sz w:val="24"/>
          <w:szCs w:val="24"/>
          <w:highlight w:val="none"/>
        </w:rPr>
      </w:pPr>
      <w:r>
        <w:rPr>
          <w:rFonts w:hint="eastAsia" w:ascii="仿宋" w:hAnsi="仿宋" w:eastAsia="仿宋" w:cs="仿宋"/>
          <w:b/>
          <w:bCs/>
          <w:sz w:val="24"/>
          <w:szCs w:val="24"/>
          <w:highlight w:val="none"/>
        </w:rPr>
        <w:t>附件</w:t>
      </w: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w:t>
      </w:r>
      <w:r>
        <w:rPr>
          <w:rFonts w:hint="eastAsia" w:ascii="仿宋" w:hAnsi="仿宋" w:eastAsia="仿宋" w:cs="仿宋"/>
          <w:b/>
          <w:sz w:val="24"/>
          <w:szCs w:val="24"/>
          <w:highlight w:val="none"/>
        </w:rPr>
        <w:t>法定代表人身份证明</w:t>
      </w:r>
    </w:p>
    <w:p>
      <w:pPr>
        <w:pStyle w:val="22"/>
        <w:spacing w:line="360" w:lineRule="auto"/>
        <w:rPr>
          <w:rFonts w:ascii="仿宋" w:hAnsi="仿宋" w:eastAsia="仿宋" w:cs="仿宋"/>
          <w:sz w:val="24"/>
          <w:szCs w:val="24"/>
          <w:highlight w:val="none"/>
        </w:rPr>
      </w:pPr>
    </w:p>
    <w:p>
      <w:pPr>
        <w:pStyle w:val="2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sz w:val="24"/>
          <w:szCs w:val="24"/>
          <w:highlight w:val="none"/>
          <w:u w:val="single"/>
        </w:rPr>
        <w:cr/>
      </w:r>
      <w:r>
        <w:rPr>
          <w:rFonts w:hint="eastAsia" w:ascii="仿宋" w:hAnsi="仿宋" w:eastAsia="仿宋" w:cs="仿宋"/>
          <w:sz w:val="24"/>
          <w:szCs w:val="24"/>
          <w:highlight w:val="none"/>
        </w:rPr>
        <w:t>单位性质：</w:t>
      </w:r>
      <w:r>
        <w:rPr>
          <w:rFonts w:hint="eastAsia" w:ascii="仿宋" w:hAnsi="仿宋" w:eastAsia="仿宋" w:cs="仿宋"/>
          <w:sz w:val="24"/>
          <w:szCs w:val="24"/>
          <w:highlight w:val="none"/>
          <w:u w:val="single"/>
        </w:rPr>
        <w:cr/>
      </w: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cr/>
      </w:r>
      <w:r>
        <w:rPr>
          <w:rFonts w:hint="eastAsia" w:ascii="仿宋" w:hAnsi="仿宋" w:eastAsia="仿宋" w:cs="仿宋"/>
          <w:sz w:val="24"/>
          <w:szCs w:val="24"/>
          <w:highlight w:val="none"/>
        </w:rPr>
        <w:t>成立时间：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日 </w:t>
      </w:r>
      <w:r>
        <w:rPr>
          <w:rFonts w:hint="eastAsia" w:ascii="仿宋" w:hAnsi="仿宋" w:eastAsia="仿宋" w:cs="仿宋"/>
          <w:sz w:val="24"/>
          <w:szCs w:val="24"/>
          <w:highlight w:val="none"/>
        </w:rPr>
        <w:cr/>
      </w:r>
      <w:r>
        <w:rPr>
          <w:rFonts w:hint="eastAsia" w:ascii="仿宋" w:hAnsi="仿宋" w:eastAsia="仿宋" w:cs="仿宋"/>
          <w:sz w:val="24"/>
          <w:szCs w:val="24"/>
          <w:highlight w:val="none"/>
        </w:rPr>
        <w:t>经营期限：</w:t>
      </w:r>
      <w:r>
        <w:rPr>
          <w:rFonts w:hint="eastAsia" w:ascii="仿宋" w:hAnsi="仿宋" w:eastAsia="仿宋" w:cs="仿宋"/>
          <w:sz w:val="24"/>
          <w:szCs w:val="24"/>
          <w:highlight w:val="none"/>
        </w:rPr>
        <w:cr/>
      </w:r>
      <w:r>
        <w:rPr>
          <w:rFonts w:hint="eastAsia" w:ascii="仿宋" w:hAnsi="仿宋" w:eastAsia="仿宋" w:cs="仿宋"/>
          <w:sz w:val="24"/>
          <w:szCs w:val="24"/>
          <w:highlight w:val="none"/>
        </w:rPr>
        <w:t xml:space="preserve">姓名：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性别：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年龄：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职务：</w:t>
      </w:r>
    </w:p>
    <w:p>
      <w:pPr>
        <w:pStyle w:val="22"/>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系（投标人名称）</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 xml:space="preserve">的法定代表人。 </w:t>
      </w:r>
      <w:r>
        <w:rPr>
          <w:rFonts w:hint="eastAsia" w:ascii="仿宋" w:hAnsi="仿宋" w:eastAsia="仿宋" w:cs="仿宋"/>
          <w:sz w:val="24"/>
          <w:szCs w:val="24"/>
          <w:highlight w:val="none"/>
        </w:rPr>
        <w:cr/>
      </w:r>
      <w:r>
        <w:rPr>
          <w:rFonts w:hint="eastAsia" w:ascii="仿宋" w:hAnsi="仿宋" w:eastAsia="仿宋" w:cs="仿宋"/>
          <w:sz w:val="24"/>
          <w:szCs w:val="24"/>
          <w:highlight w:val="none"/>
        </w:rPr>
        <w:t xml:space="preserve">    特此证明。</w:t>
      </w:r>
    </w:p>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p>
    <w:p>
      <w:pPr>
        <w:pStyle w:val="22"/>
        <w:spacing w:line="360" w:lineRule="auto"/>
        <w:ind w:left="0" w:leftChars="0"/>
        <w:rPr>
          <w:rFonts w:ascii="仿宋" w:hAnsi="仿宋" w:eastAsia="仿宋" w:cs="仿宋"/>
          <w:sz w:val="24"/>
          <w:szCs w:val="24"/>
          <w:highlight w:val="none"/>
        </w:rPr>
      </w:pPr>
    </w:p>
    <w:p>
      <w:pPr>
        <w:pStyle w:val="22"/>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sz w:val="24"/>
          <w:highlight w:val="none"/>
        </w:rPr>
        <w:t>电子签章</w:t>
      </w:r>
      <w:r>
        <w:rPr>
          <w:rFonts w:hint="eastAsia" w:ascii="仿宋" w:hAnsi="仿宋" w:eastAsia="仿宋" w:cs="仿宋"/>
          <w:sz w:val="24"/>
          <w:szCs w:val="24"/>
          <w:highlight w:val="none"/>
        </w:rPr>
        <w:t>）</w:t>
      </w:r>
    </w:p>
    <w:p>
      <w:pPr>
        <w:pStyle w:val="22"/>
        <w:spacing w:line="360" w:lineRule="auto"/>
        <w:jc w:val="right"/>
        <w:rPr>
          <w:rFonts w:ascii="仿宋" w:hAnsi="仿宋" w:eastAsia="仿宋" w:cs="仿宋"/>
          <w:sz w:val="24"/>
          <w:szCs w:val="24"/>
          <w:highlight w:val="none"/>
        </w:rPr>
      </w:pPr>
      <w:r>
        <w:rPr>
          <w:rFonts w:hint="eastAsia" w:ascii="仿宋" w:hAnsi="仿宋" w:eastAsia="仿宋" w:cs="仿宋"/>
          <w:sz w:val="24"/>
          <w:szCs w:val="24"/>
          <w:highlight w:val="none"/>
        </w:rPr>
        <w:t>日期：    年   月   日</w:t>
      </w:r>
    </w:p>
    <w:p>
      <w:pPr>
        <w:pStyle w:val="22"/>
        <w:spacing w:line="360" w:lineRule="auto"/>
        <w:rPr>
          <w:rFonts w:ascii="仿宋" w:hAnsi="仿宋" w:eastAsia="仿宋" w:cs="仿宋"/>
          <w:szCs w:val="24"/>
          <w:highlight w:val="none"/>
        </w:rPr>
      </w:pPr>
    </w:p>
    <w:p>
      <w:pPr>
        <w:pStyle w:val="22"/>
        <w:spacing w:line="360" w:lineRule="auto"/>
        <w:rPr>
          <w:rFonts w:ascii="仿宋" w:hAnsi="仿宋" w:eastAsia="仿宋" w:cs="仿宋"/>
          <w:szCs w:val="24"/>
          <w:highlight w:val="none"/>
        </w:rPr>
      </w:pPr>
    </w:p>
    <w:p>
      <w:pPr>
        <w:pStyle w:val="22"/>
        <w:spacing w:line="360" w:lineRule="auto"/>
        <w:rPr>
          <w:rFonts w:ascii="仿宋" w:hAnsi="仿宋" w:eastAsia="仿宋" w:cs="仿宋"/>
          <w:szCs w:val="24"/>
          <w:highlight w:val="none"/>
        </w:rPr>
      </w:pPr>
    </w:p>
    <w:p>
      <w:pPr>
        <w:pStyle w:val="22"/>
        <w:spacing w:line="360" w:lineRule="auto"/>
        <w:rPr>
          <w:rFonts w:ascii="仿宋" w:hAnsi="仿宋" w:eastAsia="仿宋" w:cs="仿宋"/>
          <w:szCs w:val="24"/>
          <w:highlight w:val="none"/>
        </w:rPr>
      </w:pPr>
    </w:p>
    <w:p>
      <w:pPr>
        <w:pStyle w:val="22"/>
        <w:spacing w:line="360" w:lineRule="auto"/>
        <w:rPr>
          <w:rFonts w:ascii="仿宋" w:hAnsi="仿宋" w:eastAsia="仿宋" w:cs="仿宋"/>
          <w:szCs w:val="24"/>
          <w:highlight w:val="none"/>
        </w:rPr>
      </w:pPr>
    </w:p>
    <w:p>
      <w:pPr>
        <w:pStyle w:val="22"/>
        <w:spacing w:line="360" w:lineRule="auto"/>
        <w:rPr>
          <w:rFonts w:ascii="仿宋" w:hAnsi="仿宋" w:eastAsia="仿宋" w:cs="仿宋"/>
          <w:b/>
          <w:bCs/>
          <w:sz w:val="24"/>
          <w:szCs w:val="24"/>
          <w:highlight w:val="none"/>
        </w:rPr>
      </w:pPr>
    </w:p>
    <w:p>
      <w:pPr>
        <w:pStyle w:val="22"/>
        <w:spacing w:line="360" w:lineRule="auto"/>
        <w:rPr>
          <w:rFonts w:ascii="仿宋" w:hAnsi="仿宋" w:eastAsia="仿宋" w:cs="仿宋"/>
          <w:b/>
          <w:bCs/>
          <w:sz w:val="24"/>
          <w:szCs w:val="24"/>
          <w:highlight w:val="none"/>
        </w:rPr>
      </w:pPr>
    </w:p>
    <w:p>
      <w:pPr>
        <w:pStyle w:val="22"/>
        <w:spacing w:line="360" w:lineRule="auto"/>
        <w:rPr>
          <w:rFonts w:ascii="仿宋" w:hAnsi="仿宋" w:eastAsia="仿宋" w:cs="仿宋"/>
          <w:b/>
          <w:bCs/>
          <w:sz w:val="24"/>
          <w:szCs w:val="24"/>
          <w:highlight w:val="none"/>
        </w:rPr>
      </w:pPr>
    </w:p>
    <w:p>
      <w:pPr>
        <w:pStyle w:val="22"/>
        <w:spacing w:line="360" w:lineRule="auto"/>
        <w:rPr>
          <w:rFonts w:ascii="仿宋" w:hAnsi="仿宋" w:eastAsia="仿宋" w:cs="仿宋"/>
          <w:b/>
          <w:bCs/>
          <w:sz w:val="24"/>
          <w:szCs w:val="24"/>
          <w:highlight w:val="none"/>
        </w:rPr>
      </w:pPr>
    </w:p>
    <w:p>
      <w:pPr>
        <w:pStyle w:val="22"/>
        <w:spacing w:line="360" w:lineRule="auto"/>
        <w:rPr>
          <w:rFonts w:ascii="仿宋" w:hAnsi="仿宋" w:eastAsia="仿宋" w:cs="仿宋"/>
          <w:b/>
          <w:bCs/>
          <w:sz w:val="24"/>
          <w:szCs w:val="24"/>
          <w:highlight w:val="none"/>
        </w:rPr>
      </w:pPr>
    </w:p>
    <w:p>
      <w:pPr>
        <w:pStyle w:val="22"/>
        <w:spacing w:line="360" w:lineRule="auto"/>
        <w:ind w:left="0" w:leftChars="0"/>
        <w:rPr>
          <w:rFonts w:ascii="仿宋" w:hAnsi="仿宋" w:eastAsia="仿宋" w:cs="仿宋"/>
          <w:b/>
          <w:bCs/>
          <w:sz w:val="24"/>
          <w:szCs w:val="24"/>
          <w:highlight w:val="none"/>
        </w:rPr>
      </w:pPr>
      <w:r>
        <w:rPr>
          <w:rFonts w:hint="eastAsia" w:ascii="仿宋" w:hAnsi="仿宋" w:eastAsia="仿宋" w:cs="仿宋"/>
          <w:b/>
          <w:bCs/>
          <w:sz w:val="24"/>
          <w:szCs w:val="24"/>
          <w:highlight w:val="none"/>
        </w:rPr>
        <w:t>附件</w:t>
      </w: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rPr>
        <w:t>：授权委托书</w:t>
      </w:r>
    </w:p>
    <w:p>
      <w:pPr>
        <w:spacing w:line="360" w:lineRule="auto"/>
        <w:rPr>
          <w:rFonts w:ascii="仿宋" w:hAnsi="仿宋" w:eastAsia="仿宋" w:cs="仿宋"/>
          <w:sz w:val="24"/>
          <w:highlight w:val="none"/>
        </w:rPr>
      </w:pP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本人（姓名）</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系（投标人名称）</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的法定代表人，现委托（单位名称）</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的（姓名）</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为我</w:t>
      </w:r>
      <w:r>
        <w:rPr>
          <w:rFonts w:hint="eastAsia" w:ascii="仿宋" w:hAnsi="仿宋" w:eastAsia="仿宋" w:cs="仿宋"/>
          <w:kern w:val="0"/>
          <w:sz w:val="24"/>
          <w:highlight w:val="none"/>
          <w:lang w:val="zh-CN"/>
        </w:rPr>
        <w:t>授权代表</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授权代表</w:t>
      </w:r>
      <w:r>
        <w:rPr>
          <w:rFonts w:hint="eastAsia" w:ascii="仿宋" w:hAnsi="仿宋" w:eastAsia="仿宋" w:cs="仿宋"/>
          <w:sz w:val="24"/>
          <w:highlight w:val="none"/>
        </w:rPr>
        <w:t>根据授权，以我方名义签署、澄清、说明、补正、递交、撤回、修改（招标项目名称）</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投标文件、签订合同和处理有关事宜， 其法律后果由我方承担。</w:t>
      </w:r>
      <w:r>
        <w:rPr>
          <w:rFonts w:hint="eastAsia" w:ascii="仿宋" w:hAnsi="仿宋" w:eastAsia="仿宋" w:cs="仿宋"/>
          <w:sz w:val="24"/>
          <w:highlight w:val="none"/>
        </w:rPr>
        <w:cr/>
      </w:r>
      <w:r>
        <w:rPr>
          <w:rFonts w:hint="eastAsia" w:ascii="仿宋" w:hAnsi="仿宋" w:eastAsia="仿宋" w:cs="仿宋"/>
          <w:sz w:val="24"/>
          <w:highlight w:val="none"/>
        </w:rPr>
        <w:cr/>
      </w: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授权代表</w:t>
      </w:r>
      <w:r>
        <w:rPr>
          <w:rFonts w:hint="eastAsia" w:ascii="仿宋" w:hAnsi="仿宋" w:eastAsia="仿宋" w:cs="仿宋"/>
          <w:sz w:val="24"/>
          <w:highlight w:val="none"/>
        </w:rPr>
        <w:t>无转委托权。</w:t>
      </w:r>
      <w:r>
        <w:rPr>
          <w:rFonts w:hint="eastAsia" w:ascii="仿宋" w:hAnsi="仿宋" w:eastAsia="仿宋" w:cs="仿宋"/>
          <w:sz w:val="24"/>
          <w:highlight w:val="none"/>
        </w:rPr>
        <w:cr/>
      </w:r>
    </w:p>
    <w:p>
      <w:pPr>
        <w:spacing w:line="360" w:lineRule="auto"/>
        <w:jc w:val="left"/>
        <w:rPr>
          <w:rFonts w:ascii="仿宋" w:hAnsi="仿宋" w:eastAsia="仿宋" w:cs="仿宋"/>
          <w:sz w:val="24"/>
          <w:highlight w:val="none"/>
        </w:rPr>
      </w:pPr>
    </w:p>
    <w:p>
      <w:pPr>
        <w:pStyle w:val="22"/>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sz w:val="24"/>
          <w:highlight w:val="none"/>
        </w:rPr>
        <w:t>电子签章</w:t>
      </w:r>
      <w:r>
        <w:rPr>
          <w:rFonts w:hint="eastAsia" w:ascii="仿宋" w:hAnsi="仿宋" w:eastAsia="仿宋" w:cs="仿宋"/>
          <w:sz w:val="24"/>
          <w:szCs w:val="24"/>
          <w:highlight w:val="none"/>
        </w:rPr>
        <w:t>）</w:t>
      </w:r>
      <w:r>
        <w:rPr>
          <w:rFonts w:hint="eastAsia" w:ascii="仿宋" w:hAnsi="仿宋" w:eastAsia="仿宋" w:cs="仿宋"/>
          <w:sz w:val="24"/>
          <w:szCs w:val="24"/>
          <w:highlight w:val="none"/>
        </w:rPr>
        <w:cr/>
      </w:r>
      <w:r>
        <w:rPr>
          <w:rFonts w:hint="eastAsia" w:ascii="仿宋" w:hAnsi="仿宋" w:eastAsia="仿宋" w:cs="仿宋"/>
          <w:sz w:val="24"/>
          <w:szCs w:val="24"/>
          <w:highlight w:val="none"/>
        </w:rPr>
        <w:t>法定代表人：（</w:t>
      </w:r>
      <w:r>
        <w:rPr>
          <w:rFonts w:hint="eastAsia" w:ascii="仿宋" w:hAnsi="仿宋" w:eastAsia="仿宋" w:cs="仿宋"/>
          <w:kern w:val="0"/>
          <w:sz w:val="24"/>
          <w:szCs w:val="24"/>
          <w:highlight w:val="none"/>
        </w:rPr>
        <w:t>签字或盖章</w:t>
      </w:r>
      <w:r>
        <w:rPr>
          <w:rFonts w:hint="eastAsia" w:ascii="仿宋" w:hAnsi="仿宋" w:eastAsia="仿宋" w:cs="仿宋"/>
          <w:sz w:val="24"/>
          <w:szCs w:val="24"/>
          <w:highlight w:val="none"/>
        </w:rPr>
        <w:t>）</w:t>
      </w:r>
      <w:r>
        <w:rPr>
          <w:rFonts w:hint="eastAsia" w:ascii="仿宋" w:hAnsi="仿宋" w:eastAsia="仿宋" w:cs="仿宋"/>
          <w:sz w:val="24"/>
          <w:szCs w:val="24"/>
          <w:highlight w:val="none"/>
        </w:rPr>
        <w:cr/>
      </w:r>
      <w:r>
        <w:rPr>
          <w:rFonts w:hint="eastAsia" w:ascii="仿宋" w:hAnsi="仿宋" w:eastAsia="仿宋" w:cs="仿宋"/>
          <w:sz w:val="24"/>
          <w:szCs w:val="24"/>
          <w:highlight w:val="none"/>
        </w:rPr>
        <w:t xml:space="preserve">身份证号码：                              </w:t>
      </w:r>
      <w:r>
        <w:rPr>
          <w:rFonts w:hint="eastAsia" w:ascii="仿宋" w:hAnsi="仿宋" w:eastAsia="仿宋" w:cs="仿宋"/>
          <w:sz w:val="24"/>
          <w:szCs w:val="24"/>
          <w:highlight w:val="none"/>
        </w:rPr>
        <w:cr/>
      </w:r>
      <w:r>
        <w:rPr>
          <w:rFonts w:hint="eastAsia" w:ascii="仿宋" w:hAnsi="仿宋" w:eastAsia="仿宋" w:cs="仿宋"/>
          <w:sz w:val="24"/>
          <w:szCs w:val="24"/>
          <w:highlight w:val="none"/>
        </w:rPr>
        <w:t xml:space="preserve">                                                日期：    年   月   日</w:t>
      </w:r>
    </w:p>
    <w:p>
      <w:pPr>
        <w:pStyle w:val="22"/>
        <w:spacing w:line="360" w:lineRule="auto"/>
        <w:rPr>
          <w:rFonts w:ascii="仿宋" w:hAnsi="仿宋" w:eastAsia="仿宋" w:cs="仿宋"/>
          <w:sz w:val="24"/>
          <w:szCs w:val="24"/>
          <w:highlight w:val="none"/>
        </w:rPr>
      </w:pPr>
    </w:p>
    <w:p>
      <w:pPr>
        <w:pStyle w:val="22"/>
        <w:spacing w:line="360" w:lineRule="auto"/>
        <w:rPr>
          <w:rFonts w:ascii="仿宋" w:hAnsi="仿宋" w:eastAsia="仿宋" w:cs="仿宋"/>
          <w:sz w:val="24"/>
          <w:szCs w:val="24"/>
          <w:highlight w:val="none"/>
        </w:rPr>
      </w:pPr>
      <w:r>
        <w:rPr>
          <w:rFonts w:hint="eastAsia" w:ascii="仿宋" w:hAnsi="仿宋" w:eastAsia="仿宋" w:cs="仿宋"/>
          <w:kern w:val="0"/>
          <w:sz w:val="24"/>
          <w:highlight w:val="none"/>
          <w:lang w:val="zh-CN"/>
        </w:rPr>
        <w:t>授权代表</w:t>
      </w:r>
      <w:r>
        <w:rPr>
          <w:rFonts w:hint="eastAsia" w:ascii="仿宋" w:hAnsi="仿宋" w:eastAsia="仿宋" w:cs="仿宋"/>
          <w:sz w:val="24"/>
          <w:szCs w:val="24"/>
          <w:highlight w:val="none"/>
        </w:rPr>
        <w:t xml:space="preserve">：（签字或盖章） </w:t>
      </w:r>
    </w:p>
    <w:p>
      <w:pPr>
        <w:pStyle w:val="22"/>
        <w:spacing w:line="360" w:lineRule="auto"/>
        <w:ind w:left="6420" w:hanging="6000" w:hangingChars="2500"/>
        <w:rPr>
          <w:rFonts w:ascii="仿宋" w:hAnsi="仿宋" w:eastAsia="仿宋" w:cs="仿宋"/>
          <w:sz w:val="24"/>
          <w:szCs w:val="24"/>
          <w:highlight w:val="none"/>
        </w:rPr>
      </w:pPr>
      <w:r>
        <w:rPr>
          <w:rFonts w:hint="eastAsia" w:ascii="仿宋" w:hAnsi="仿宋" w:eastAsia="仿宋" w:cs="仿宋"/>
          <w:sz w:val="24"/>
          <w:szCs w:val="24"/>
          <w:highlight w:val="none"/>
        </w:rPr>
        <w:t xml:space="preserve">身份证号码：                                </w:t>
      </w:r>
    </w:p>
    <w:p>
      <w:pPr>
        <w:pStyle w:val="22"/>
        <w:spacing w:line="360" w:lineRule="auto"/>
        <w:ind w:left="6406" w:leftChars="2936" w:hanging="240" w:hangingChars="100"/>
        <w:rPr>
          <w:rFonts w:ascii="仿宋" w:hAnsi="仿宋" w:eastAsia="仿宋" w:cs="仿宋"/>
          <w:sz w:val="24"/>
          <w:szCs w:val="24"/>
          <w:highlight w:val="none"/>
        </w:rPr>
      </w:pPr>
      <w:r>
        <w:rPr>
          <w:rFonts w:hint="eastAsia" w:ascii="仿宋" w:hAnsi="仿宋" w:eastAsia="仿宋" w:cs="仿宋"/>
          <w:sz w:val="24"/>
          <w:szCs w:val="24"/>
          <w:highlight w:val="none"/>
        </w:rPr>
        <w:t>日期：    年   月   日</w:t>
      </w:r>
    </w:p>
    <w:p>
      <w:pPr>
        <w:pStyle w:val="22"/>
        <w:spacing w:line="360" w:lineRule="auto"/>
        <w:rPr>
          <w:rFonts w:ascii="仿宋" w:hAnsi="仿宋" w:eastAsia="仿宋" w:cs="仿宋"/>
          <w:sz w:val="24"/>
          <w:szCs w:val="24"/>
          <w:highlight w:val="none"/>
        </w:rPr>
      </w:pPr>
    </w:p>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r>
        <w:rPr>
          <w:rFonts w:hint="eastAsia" w:ascii="仿宋" w:hAnsi="仿宋" w:eastAsia="仿宋" w:cs="仿宋"/>
          <w:b/>
          <w:sz w:val="24"/>
          <w:highlight w:val="none"/>
        </w:rPr>
        <w:t>附件</w:t>
      </w:r>
      <w:r>
        <w:rPr>
          <w:rFonts w:hint="eastAsia" w:ascii="仿宋" w:hAnsi="仿宋" w:eastAsia="仿宋" w:cs="仿宋"/>
          <w:b/>
          <w:sz w:val="24"/>
          <w:highlight w:val="none"/>
          <w:lang w:val="en-US" w:eastAsia="zh-CN"/>
        </w:rPr>
        <w:t>四</w:t>
      </w:r>
      <w:r>
        <w:rPr>
          <w:rFonts w:hint="eastAsia" w:ascii="仿宋" w:hAnsi="仿宋" w:eastAsia="仿宋" w:cs="仿宋"/>
          <w:b/>
          <w:sz w:val="24"/>
          <w:highlight w:val="none"/>
        </w:rPr>
        <w:t xml:space="preserve">：                                              </w:t>
      </w:r>
    </w:p>
    <w:p>
      <w:pPr>
        <w:spacing w:line="360" w:lineRule="auto"/>
        <w:ind w:firstLine="956" w:firstLineChars="340"/>
        <w:rPr>
          <w:rFonts w:ascii="仿宋" w:hAnsi="仿宋" w:eastAsia="仿宋" w:cs="仿宋"/>
          <w:b/>
          <w:bCs/>
          <w:sz w:val="28"/>
          <w:szCs w:val="28"/>
          <w:highlight w:val="none"/>
        </w:rPr>
      </w:pPr>
    </w:p>
    <w:p>
      <w:pPr>
        <w:spacing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lang w:val="zh-CN"/>
        </w:rPr>
        <w:t>授权代表</w:t>
      </w:r>
      <w:r>
        <w:rPr>
          <w:rFonts w:hint="eastAsia" w:ascii="仿宋" w:hAnsi="仿宋" w:eastAsia="仿宋" w:cs="仿宋"/>
          <w:b/>
          <w:bCs/>
          <w:sz w:val="28"/>
          <w:szCs w:val="28"/>
          <w:highlight w:val="none"/>
        </w:rPr>
        <w:t>身份证复印件（正反两面）</w:t>
      </w:r>
    </w:p>
    <w:p>
      <w:pPr>
        <w:spacing w:line="360" w:lineRule="auto"/>
        <w:jc w:val="center"/>
        <w:rPr>
          <w:rFonts w:ascii="仿宋" w:hAnsi="仿宋" w:eastAsia="仿宋" w:cs="仿宋"/>
          <w:b/>
          <w:bCs/>
          <w:sz w:val="28"/>
          <w:szCs w:val="28"/>
          <w:highlight w:val="none"/>
        </w:rPr>
      </w:pPr>
    </w:p>
    <w:p>
      <w:pPr>
        <w:spacing w:line="360" w:lineRule="auto"/>
        <w:jc w:val="center"/>
        <w:rPr>
          <w:rFonts w:ascii="仿宋" w:hAnsi="仿宋" w:eastAsia="仿宋" w:cs="仿宋"/>
          <w:b/>
          <w:bCs/>
          <w:sz w:val="28"/>
          <w:szCs w:val="28"/>
          <w:highlight w:val="none"/>
        </w:rPr>
      </w:pPr>
    </w:p>
    <w:p>
      <w:pPr>
        <w:spacing w:line="360" w:lineRule="auto"/>
        <w:jc w:val="center"/>
        <w:rPr>
          <w:rFonts w:ascii="仿宋" w:hAnsi="仿宋" w:eastAsia="仿宋" w:cs="仿宋"/>
          <w:b/>
          <w:bCs/>
          <w:sz w:val="28"/>
          <w:szCs w:val="28"/>
          <w:highlight w:val="none"/>
        </w:rPr>
      </w:pPr>
    </w:p>
    <w:p>
      <w:pPr>
        <w:spacing w:line="360" w:lineRule="auto"/>
        <w:jc w:val="center"/>
        <w:rPr>
          <w:rFonts w:ascii="仿宋" w:hAnsi="仿宋" w:eastAsia="仿宋" w:cs="仿宋"/>
          <w:b/>
          <w:bCs/>
          <w:sz w:val="28"/>
          <w:szCs w:val="28"/>
          <w:highlight w:val="none"/>
        </w:rPr>
      </w:pPr>
    </w:p>
    <w:p>
      <w:pPr>
        <w:spacing w:line="360" w:lineRule="auto"/>
        <w:rPr>
          <w:rFonts w:ascii="仿宋" w:hAnsi="仿宋" w:eastAsia="仿宋" w:cs="仿宋"/>
          <w:sz w:val="28"/>
          <w:szCs w:val="28"/>
          <w:highlight w:val="none"/>
        </w:rPr>
      </w:pPr>
    </w:p>
    <w:p>
      <w:pPr>
        <w:spacing w:line="360" w:lineRule="auto"/>
        <w:rPr>
          <w:rFonts w:ascii="仿宋" w:hAnsi="仿宋" w:eastAsia="仿宋" w:cs="仿宋"/>
          <w:sz w:val="28"/>
          <w:szCs w:val="28"/>
          <w:highlight w:val="none"/>
        </w:rPr>
      </w:pPr>
    </w:p>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投标人</w:t>
      </w:r>
      <w:r>
        <w:rPr>
          <w:rFonts w:hint="eastAsia" w:ascii="仿宋" w:hAnsi="仿宋" w:eastAsia="仿宋" w:cs="仿宋"/>
          <w:kern w:val="0"/>
          <w:sz w:val="24"/>
          <w:highlight w:val="none"/>
          <w:lang w:val="en-US" w:eastAsia="zh-CN"/>
        </w:rPr>
        <w:t>名称</w:t>
      </w:r>
      <w:r>
        <w:rPr>
          <w:rFonts w:hint="eastAsia" w:ascii="仿宋" w:hAnsi="仿宋" w:eastAsia="仿宋" w:cs="仿宋"/>
          <w:kern w:val="0"/>
          <w:sz w:val="24"/>
          <w:highlight w:val="none"/>
        </w:rPr>
        <w:t>：（</w:t>
      </w:r>
      <w:r>
        <w:rPr>
          <w:rFonts w:hint="eastAsia" w:ascii="仿宋" w:hAnsi="仿宋" w:eastAsia="仿宋" w:cs="仿宋"/>
          <w:sz w:val="24"/>
          <w:highlight w:val="none"/>
        </w:rPr>
        <w:t>电子签章</w:t>
      </w:r>
      <w:r>
        <w:rPr>
          <w:rFonts w:hint="eastAsia" w:ascii="仿宋" w:hAnsi="仿宋" w:eastAsia="仿宋" w:cs="仿宋"/>
          <w:kern w:val="0"/>
          <w:sz w:val="24"/>
          <w:highlight w:val="none"/>
        </w:rPr>
        <w:t>）</w:t>
      </w:r>
    </w:p>
    <w:p>
      <w:pPr>
        <w:spacing w:line="360" w:lineRule="auto"/>
        <w:ind w:firstLine="480" w:firstLineChars="200"/>
        <w:rPr>
          <w:rFonts w:ascii="仿宋" w:hAnsi="仿宋" w:eastAsia="仿宋" w:cs="仿宋"/>
          <w:kern w:val="0"/>
          <w:sz w:val="24"/>
          <w:highlight w:val="none"/>
        </w:rPr>
      </w:pP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zh-CN"/>
        </w:rPr>
        <w:t>法定代表人或其授权代表</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签字或盖章</w:t>
      </w:r>
      <w:r>
        <w:rPr>
          <w:rFonts w:hint="eastAsia" w:ascii="仿宋" w:hAnsi="仿宋" w:eastAsia="仿宋" w:cs="仿宋"/>
          <w:sz w:val="24"/>
          <w:szCs w:val="24"/>
          <w:highlight w:val="none"/>
        </w:rPr>
        <w:t>）</w:t>
      </w:r>
    </w:p>
    <w:p>
      <w:pPr>
        <w:spacing w:line="360" w:lineRule="auto"/>
        <w:jc w:val="right"/>
        <w:rPr>
          <w:rFonts w:ascii="仿宋" w:hAnsi="仿宋" w:eastAsia="仿宋" w:cs="仿宋"/>
          <w:kern w:val="0"/>
          <w:sz w:val="24"/>
          <w:highlight w:val="none"/>
        </w:rPr>
      </w:pPr>
      <w:r>
        <w:rPr>
          <w:rFonts w:hint="eastAsia" w:ascii="仿宋" w:hAnsi="仿宋" w:eastAsia="仿宋" w:cs="仿宋"/>
          <w:kern w:val="0"/>
          <w:sz w:val="24"/>
          <w:highlight w:val="none"/>
        </w:rPr>
        <w:t>日期：   年   月   日</w:t>
      </w:r>
    </w:p>
    <w:p>
      <w:pPr>
        <w:spacing w:line="360" w:lineRule="auto"/>
        <w:rPr>
          <w:rFonts w:ascii="仿宋" w:hAnsi="仿宋" w:eastAsia="仿宋" w:cs="仿宋"/>
          <w:highlight w:val="none"/>
        </w:rPr>
      </w:pPr>
    </w:p>
    <w:p>
      <w:pPr>
        <w:spacing w:line="360" w:lineRule="auto"/>
        <w:rPr>
          <w:rFonts w:ascii="仿宋" w:hAnsi="仿宋" w:eastAsia="仿宋" w:cs="仿宋"/>
          <w:highlight w:val="none"/>
        </w:rPr>
      </w:pPr>
    </w:p>
    <w:p>
      <w:pPr>
        <w:spacing w:line="360" w:lineRule="auto"/>
        <w:rPr>
          <w:rFonts w:ascii="仿宋" w:hAnsi="仿宋" w:eastAsia="仿宋" w:cs="仿宋"/>
          <w:highlight w:val="none"/>
        </w:rPr>
      </w:pPr>
    </w:p>
    <w:p>
      <w:pPr>
        <w:spacing w:line="360" w:lineRule="auto"/>
        <w:rPr>
          <w:rFonts w:ascii="仿宋" w:hAnsi="仿宋" w:eastAsia="仿宋" w:cs="仿宋"/>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kern w:val="0"/>
          <w:sz w:val="24"/>
          <w:highlight w:val="none"/>
        </w:rPr>
      </w:pPr>
      <w:r>
        <w:rPr>
          <w:rFonts w:hint="eastAsia" w:ascii="仿宋" w:hAnsi="仿宋" w:eastAsia="仿宋" w:cs="仿宋"/>
          <w:b/>
          <w:sz w:val="24"/>
          <w:highlight w:val="none"/>
        </w:rPr>
        <w:t>附件</w:t>
      </w:r>
      <w:r>
        <w:rPr>
          <w:rFonts w:hint="eastAsia" w:ascii="仿宋" w:hAnsi="仿宋" w:eastAsia="仿宋" w:cs="仿宋"/>
          <w:b/>
          <w:sz w:val="24"/>
          <w:highlight w:val="none"/>
          <w:lang w:val="en-US" w:eastAsia="zh-CN"/>
        </w:rPr>
        <w:t>五</w:t>
      </w:r>
      <w:r>
        <w:rPr>
          <w:rFonts w:hint="eastAsia" w:ascii="仿宋" w:hAnsi="仿宋" w:eastAsia="仿宋" w:cs="仿宋"/>
          <w:b/>
          <w:sz w:val="24"/>
          <w:highlight w:val="none"/>
        </w:rPr>
        <w:t>：投标</w:t>
      </w:r>
      <w:r>
        <w:rPr>
          <w:rFonts w:hint="eastAsia" w:ascii="仿宋" w:hAnsi="仿宋" w:eastAsia="仿宋" w:cs="仿宋"/>
          <w:b/>
          <w:kern w:val="0"/>
          <w:sz w:val="24"/>
          <w:highlight w:val="none"/>
        </w:rPr>
        <w:t>承诺书</w:t>
      </w: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sz w:val="24"/>
          <w:highlight w:val="none"/>
        </w:rPr>
        <w:t>采购人名称）</w:t>
      </w:r>
    </w:p>
    <w:p>
      <w:pPr>
        <w:spacing w:line="360" w:lineRule="auto"/>
        <w:ind w:firstLine="570"/>
        <w:rPr>
          <w:rFonts w:ascii="仿宋" w:hAnsi="仿宋" w:eastAsia="仿宋" w:cs="仿宋"/>
          <w:kern w:val="0"/>
          <w:sz w:val="24"/>
          <w:highlight w:val="none"/>
        </w:rPr>
      </w:pPr>
      <w:r>
        <w:rPr>
          <w:rFonts w:hint="eastAsia" w:ascii="仿宋" w:hAnsi="仿宋" w:eastAsia="仿宋" w:cs="仿宋"/>
          <w:kern w:val="0"/>
          <w:sz w:val="24"/>
          <w:highlight w:val="none"/>
        </w:rPr>
        <w:t>根据贵公司年月日发布的</w:t>
      </w:r>
      <w:r>
        <w:rPr>
          <w:rFonts w:hint="eastAsia" w:ascii="仿宋" w:hAnsi="仿宋" w:eastAsia="仿宋" w:cs="仿宋"/>
          <w:sz w:val="24"/>
          <w:highlight w:val="none"/>
        </w:rPr>
        <w:t>（招标项目名称）</w:t>
      </w:r>
      <w:r>
        <w:rPr>
          <w:rFonts w:hint="eastAsia" w:ascii="仿宋" w:hAnsi="仿宋" w:eastAsia="仿宋" w:cs="仿宋"/>
          <w:sz w:val="24"/>
          <w:highlight w:val="none"/>
          <w:u w:val="single"/>
          <w:lang w:val="en-US" w:eastAsia="zh-CN"/>
        </w:rPr>
        <w:t xml:space="preserve">                 </w:t>
      </w:r>
      <w:r>
        <w:rPr>
          <w:rFonts w:hint="eastAsia" w:ascii="仿宋" w:hAnsi="仿宋" w:eastAsia="仿宋" w:cs="仿宋"/>
          <w:kern w:val="0"/>
          <w:sz w:val="24"/>
          <w:highlight w:val="none"/>
        </w:rPr>
        <w:t>招标公告，现决定参加该招标项目</w:t>
      </w:r>
      <w:r>
        <w:rPr>
          <w:rFonts w:hint="eastAsia" w:ascii="仿宋" w:hAnsi="仿宋" w:eastAsia="仿宋" w:cs="仿宋"/>
          <w:sz w:val="24"/>
          <w:highlight w:val="none"/>
        </w:rPr>
        <w:t>的投标活动</w:t>
      </w:r>
      <w:r>
        <w:rPr>
          <w:rFonts w:hint="eastAsia" w:ascii="仿宋" w:hAnsi="仿宋" w:eastAsia="仿宋" w:cs="仿宋"/>
          <w:kern w:val="0"/>
          <w:sz w:val="24"/>
          <w:highlight w:val="none"/>
        </w:rPr>
        <w:t>，并在此作如下法律承诺：</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1、严格遵守相关法规的一切规定，履行相关义务。</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2、投标文件的内容真实、有效、合法的。</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3、如果中标，我单位将按照招标文件的具体规定与贵公司签订合同，并且严格履行合同义务，如在合同执行过程中出现违约行为，愿承担违约责任。</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w:t>
      </w:r>
      <w:r>
        <w:rPr>
          <w:rFonts w:hint="eastAsia" w:ascii="仿宋" w:hAnsi="仿宋" w:eastAsia="仿宋" w:cs="仿宋"/>
          <w:sz w:val="24"/>
          <w:highlight w:val="none"/>
        </w:rPr>
        <w:t>没有被各级行政主管部门做出停止市场行为的处罚。</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5、同意向采购人提供任何与该项投标有关的资料。</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6、我方同意所提交的投标文件在投标文件有效期内有效，我方将受此约束。</w:t>
      </w:r>
    </w:p>
    <w:p>
      <w:pPr>
        <w:spacing w:line="360" w:lineRule="auto"/>
        <w:ind w:firstLine="480" w:firstLineChars="200"/>
        <w:rPr>
          <w:rFonts w:ascii="仿宋" w:hAnsi="仿宋" w:eastAsia="仿宋" w:cs="仿宋"/>
          <w:kern w:val="16"/>
          <w:sz w:val="24"/>
          <w:highlight w:val="none"/>
        </w:rPr>
      </w:pPr>
      <w:r>
        <w:rPr>
          <w:rFonts w:hint="eastAsia" w:ascii="仿宋" w:hAnsi="仿宋" w:eastAsia="仿宋" w:cs="仿宋"/>
          <w:kern w:val="0"/>
          <w:sz w:val="24"/>
          <w:highlight w:val="none"/>
        </w:rPr>
        <w:t>7、</w:t>
      </w:r>
      <w:r>
        <w:rPr>
          <w:rFonts w:hint="eastAsia" w:ascii="仿宋" w:hAnsi="仿宋" w:eastAsia="仿宋" w:cs="仿宋"/>
          <w:kern w:val="16"/>
          <w:sz w:val="24"/>
          <w:highlight w:val="none"/>
        </w:rPr>
        <w:t>我单位承诺参加</w:t>
      </w:r>
      <w:r>
        <w:rPr>
          <w:rFonts w:hint="eastAsia" w:ascii="仿宋" w:hAnsi="仿宋" w:eastAsia="仿宋" w:cs="仿宋"/>
          <w:sz w:val="24"/>
          <w:highlight w:val="none"/>
        </w:rPr>
        <w:t>（招标项目名称）</w:t>
      </w:r>
      <w:r>
        <w:rPr>
          <w:rFonts w:hint="eastAsia" w:ascii="仿宋" w:hAnsi="仿宋" w:eastAsia="仿宋" w:cs="仿宋"/>
          <w:sz w:val="24"/>
          <w:highlight w:val="none"/>
          <w:u w:val="single"/>
          <w:lang w:val="en-US" w:eastAsia="zh-CN"/>
        </w:rPr>
        <w:t xml:space="preserve">               </w:t>
      </w:r>
      <w:r>
        <w:rPr>
          <w:rFonts w:hint="eastAsia" w:ascii="仿宋" w:hAnsi="仿宋" w:eastAsia="仿宋" w:cs="仿宋"/>
          <w:kern w:val="16"/>
          <w:sz w:val="24"/>
          <w:highlight w:val="none"/>
        </w:rPr>
        <w:t>工程投标报名的项目负责人（姓名）</w:t>
      </w:r>
      <w:r>
        <w:rPr>
          <w:rFonts w:hint="eastAsia" w:ascii="仿宋" w:hAnsi="仿宋" w:eastAsia="仿宋" w:cs="仿宋"/>
          <w:kern w:val="16"/>
          <w:sz w:val="24"/>
          <w:highlight w:val="none"/>
          <w:u w:val="single"/>
          <w:lang w:val="en-US" w:eastAsia="zh-CN"/>
        </w:rPr>
        <w:t xml:space="preserve">             </w:t>
      </w:r>
      <w:r>
        <w:rPr>
          <w:rFonts w:hint="eastAsia" w:ascii="仿宋" w:hAnsi="仿宋" w:eastAsia="仿宋" w:cs="仿宋"/>
          <w:kern w:val="16"/>
          <w:sz w:val="24"/>
          <w:highlight w:val="none"/>
        </w:rPr>
        <w:t>，一旦我方中标，我方保证不更换项目负责人，并保证项目负责人到位率在</w:t>
      </w:r>
      <w:r>
        <w:rPr>
          <w:rFonts w:hint="eastAsia" w:ascii="仿宋" w:hAnsi="仿宋" w:eastAsia="仿宋" w:cs="仿宋"/>
          <w:kern w:val="16"/>
          <w:sz w:val="24"/>
          <w:highlight w:val="none"/>
          <w:u w:val="single"/>
        </w:rPr>
        <w:t xml:space="preserve"> 90 </w:t>
      </w:r>
      <w:r>
        <w:rPr>
          <w:rFonts w:hint="eastAsia" w:ascii="仿宋" w:hAnsi="仿宋" w:eastAsia="仿宋" w:cs="仿宋"/>
          <w:kern w:val="16"/>
          <w:sz w:val="24"/>
          <w:highlight w:val="none"/>
        </w:rPr>
        <w:t>％以上。</w:t>
      </w:r>
    </w:p>
    <w:p>
      <w:pPr>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t>8、</w:t>
      </w:r>
      <w:r>
        <w:rPr>
          <w:rFonts w:hint="eastAsia" w:ascii="仿宋" w:hAnsi="仿宋" w:eastAsia="仿宋" w:cs="仿宋"/>
          <w:sz w:val="24"/>
          <w:highlight w:val="none"/>
        </w:rPr>
        <w:t>若我单位违反上述承诺，自愿无条件接受取消中标资格、暂停交易、投标保证金不予退还等措施。对造成的损失，任何法律和经济责任完全由我单位负责。</w:t>
      </w: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pStyle w:val="22"/>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sz w:val="24"/>
          <w:highlight w:val="none"/>
        </w:rPr>
        <w:t>电子签章</w:t>
      </w:r>
      <w:r>
        <w:rPr>
          <w:rFonts w:hint="eastAsia" w:ascii="仿宋" w:hAnsi="仿宋" w:eastAsia="仿宋" w:cs="仿宋"/>
          <w:sz w:val="24"/>
          <w:szCs w:val="24"/>
          <w:highlight w:val="none"/>
        </w:rPr>
        <w:t>）</w:t>
      </w:r>
    </w:p>
    <w:p>
      <w:pPr>
        <w:pStyle w:val="22"/>
        <w:spacing w:line="360" w:lineRule="auto"/>
        <w:rPr>
          <w:rFonts w:ascii="仿宋" w:hAnsi="仿宋" w:eastAsia="仿宋" w:cs="仿宋"/>
          <w:sz w:val="24"/>
          <w:szCs w:val="24"/>
          <w:highlight w:val="none"/>
        </w:rPr>
      </w:pPr>
      <w:r>
        <w:rPr>
          <w:rFonts w:hint="eastAsia" w:ascii="仿宋" w:hAnsi="仿宋" w:eastAsia="仿宋" w:cs="仿宋"/>
          <w:kern w:val="0"/>
          <w:sz w:val="24"/>
          <w:highlight w:val="none"/>
          <w:lang w:val="zh-CN"/>
        </w:rPr>
        <w:t>法定代表人或其授权代表</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签字或盖章</w:t>
      </w:r>
      <w:r>
        <w:rPr>
          <w:rFonts w:hint="eastAsia" w:ascii="仿宋" w:hAnsi="仿宋" w:eastAsia="仿宋" w:cs="仿宋"/>
          <w:sz w:val="24"/>
          <w:szCs w:val="24"/>
          <w:highlight w:val="none"/>
        </w:rPr>
        <w:t>）</w:t>
      </w:r>
    </w:p>
    <w:p>
      <w:pPr>
        <w:pStyle w:val="22"/>
        <w:spacing w:line="360" w:lineRule="auto"/>
        <w:jc w:val="right"/>
        <w:rPr>
          <w:rFonts w:ascii="仿宋" w:hAnsi="仿宋" w:eastAsia="仿宋" w:cs="仿宋"/>
          <w:sz w:val="24"/>
          <w:szCs w:val="24"/>
          <w:highlight w:val="none"/>
        </w:rPr>
      </w:pPr>
      <w:r>
        <w:rPr>
          <w:rFonts w:hint="eastAsia" w:ascii="仿宋" w:hAnsi="仿宋" w:eastAsia="仿宋" w:cs="仿宋"/>
          <w:sz w:val="24"/>
          <w:szCs w:val="24"/>
          <w:highlight w:val="none"/>
        </w:rPr>
        <w:t>日期：   年   月   日</w:t>
      </w:r>
    </w:p>
    <w:p>
      <w:pPr>
        <w:spacing w:line="360" w:lineRule="auto"/>
        <w:rPr>
          <w:rFonts w:ascii="仿宋" w:hAnsi="仿宋" w:eastAsia="仿宋" w:cs="仿宋"/>
          <w:sz w:val="28"/>
          <w:szCs w:val="28"/>
          <w:highlight w:val="none"/>
        </w:rPr>
      </w:pPr>
    </w:p>
    <w:p>
      <w:pPr>
        <w:spacing w:line="360" w:lineRule="auto"/>
        <w:rPr>
          <w:rFonts w:ascii="仿宋" w:hAnsi="仿宋" w:eastAsia="仿宋" w:cs="仿宋"/>
          <w:sz w:val="28"/>
          <w:szCs w:val="28"/>
          <w:highlight w:val="none"/>
        </w:rPr>
      </w:pPr>
    </w:p>
    <w:p>
      <w:pPr>
        <w:pStyle w:val="22"/>
        <w:spacing w:line="360" w:lineRule="auto"/>
        <w:ind w:left="0" w:leftChars="0"/>
        <w:rPr>
          <w:rFonts w:ascii="仿宋" w:hAnsi="仿宋" w:eastAsia="仿宋" w:cs="仿宋"/>
          <w:b/>
          <w:bCs/>
          <w:sz w:val="24"/>
          <w:szCs w:val="24"/>
          <w:highlight w:val="none"/>
        </w:rPr>
      </w:pPr>
    </w:p>
    <w:p>
      <w:pPr>
        <w:pStyle w:val="22"/>
        <w:spacing w:line="360" w:lineRule="auto"/>
        <w:ind w:left="0" w:leftChars="0"/>
        <w:rPr>
          <w:rFonts w:ascii="仿宋" w:hAnsi="仿宋" w:eastAsia="仿宋" w:cs="仿宋"/>
          <w:b/>
          <w:bCs/>
          <w:sz w:val="24"/>
          <w:szCs w:val="24"/>
          <w:highlight w:val="none"/>
        </w:rPr>
      </w:pPr>
    </w:p>
    <w:p>
      <w:pPr>
        <w:pStyle w:val="22"/>
        <w:spacing w:line="360" w:lineRule="auto"/>
        <w:ind w:left="0" w:leftChars="0"/>
        <w:rPr>
          <w:rFonts w:ascii="仿宋" w:hAnsi="仿宋" w:eastAsia="仿宋" w:cs="仿宋"/>
          <w:b/>
          <w:bCs/>
          <w:sz w:val="24"/>
          <w:szCs w:val="24"/>
          <w:highlight w:val="none"/>
        </w:rPr>
      </w:pPr>
    </w:p>
    <w:p>
      <w:pPr>
        <w:pStyle w:val="22"/>
        <w:spacing w:line="360" w:lineRule="auto"/>
        <w:ind w:left="0" w:leftChars="0"/>
        <w:rPr>
          <w:rFonts w:ascii="仿宋" w:hAnsi="仿宋" w:eastAsia="仿宋" w:cs="仿宋"/>
          <w:b/>
          <w:kern w:val="0"/>
          <w:sz w:val="24"/>
          <w:szCs w:val="24"/>
          <w:highlight w:val="none"/>
        </w:rPr>
      </w:pPr>
      <w:r>
        <w:rPr>
          <w:rFonts w:hint="eastAsia" w:ascii="仿宋" w:hAnsi="仿宋" w:eastAsia="仿宋" w:cs="仿宋"/>
          <w:b/>
          <w:bCs/>
          <w:sz w:val="24"/>
          <w:szCs w:val="24"/>
          <w:highlight w:val="none"/>
        </w:rPr>
        <w:t>附件</w:t>
      </w:r>
      <w:r>
        <w:rPr>
          <w:rFonts w:hint="eastAsia" w:ascii="仿宋" w:hAnsi="仿宋" w:eastAsia="仿宋" w:cs="仿宋"/>
          <w:b/>
          <w:bCs/>
          <w:sz w:val="24"/>
          <w:szCs w:val="24"/>
          <w:highlight w:val="none"/>
          <w:lang w:val="en-US" w:eastAsia="zh-CN"/>
        </w:rPr>
        <w:t>六</w:t>
      </w:r>
      <w:r>
        <w:rPr>
          <w:rFonts w:hint="eastAsia" w:ascii="仿宋" w:hAnsi="仿宋" w:eastAsia="仿宋" w:cs="仿宋"/>
          <w:b/>
          <w:bCs/>
          <w:sz w:val="24"/>
          <w:szCs w:val="24"/>
          <w:highlight w:val="none"/>
        </w:rPr>
        <w:t>：</w:t>
      </w:r>
      <w:r>
        <w:rPr>
          <w:rFonts w:hint="eastAsia" w:ascii="仿宋" w:hAnsi="仿宋" w:eastAsia="仿宋" w:cs="仿宋"/>
          <w:b/>
          <w:kern w:val="0"/>
          <w:sz w:val="24"/>
          <w:szCs w:val="24"/>
          <w:highlight w:val="none"/>
        </w:rPr>
        <w:t>招标控制价认可函</w:t>
      </w: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名称）</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本单位自愿参加</w:t>
      </w:r>
      <w:r>
        <w:rPr>
          <w:rFonts w:hint="eastAsia" w:ascii="仿宋" w:hAnsi="仿宋" w:eastAsia="仿宋" w:cs="仿宋"/>
          <w:sz w:val="24"/>
          <w:highlight w:val="none"/>
        </w:rPr>
        <w:t>（招标项目名称</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）的投标活动</w:t>
      </w:r>
      <w:r>
        <w:rPr>
          <w:rFonts w:hint="eastAsia" w:ascii="仿宋" w:hAnsi="仿宋" w:eastAsia="仿宋" w:cs="仿宋"/>
          <w:kern w:val="0"/>
          <w:sz w:val="24"/>
          <w:highlight w:val="none"/>
        </w:rPr>
        <w:t>，并在此作如下法律承诺：对采购人提供的招标控制价表示认可，无任何异议。</w:t>
      </w: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pStyle w:val="22"/>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sz w:val="24"/>
          <w:highlight w:val="none"/>
        </w:rPr>
        <w:t>电子签章</w:t>
      </w:r>
      <w:r>
        <w:rPr>
          <w:rFonts w:hint="eastAsia" w:ascii="仿宋" w:hAnsi="仿宋" w:eastAsia="仿宋" w:cs="仿宋"/>
          <w:sz w:val="24"/>
          <w:szCs w:val="24"/>
          <w:highlight w:val="none"/>
        </w:rPr>
        <w:t>）</w:t>
      </w:r>
    </w:p>
    <w:p>
      <w:pPr>
        <w:pStyle w:val="22"/>
        <w:spacing w:line="360" w:lineRule="auto"/>
        <w:rPr>
          <w:rFonts w:ascii="仿宋" w:hAnsi="仿宋" w:eastAsia="仿宋" w:cs="仿宋"/>
          <w:sz w:val="24"/>
          <w:szCs w:val="24"/>
          <w:highlight w:val="none"/>
        </w:rPr>
      </w:pPr>
      <w:r>
        <w:rPr>
          <w:rFonts w:hint="eastAsia" w:ascii="仿宋" w:hAnsi="仿宋" w:eastAsia="仿宋" w:cs="仿宋"/>
          <w:kern w:val="0"/>
          <w:sz w:val="24"/>
          <w:highlight w:val="none"/>
          <w:lang w:val="zh-CN"/>
        </w:rPr>
        <w:t>法定代表人或其授权代表</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签字或盖章</w:t>
      </w:r>
      <w:r>
        <w:rPr>
          <w:rFonts w:hint="eastAsia" w:ascii="仿宋" w:hAnsi="仿宋" w:eastAsia="仿宋" w:cs="仿宋"/>
          <w:sz w:val="24"/>
          <w:szCs w:val="24"/>
          <w:highlight w:val="none"/>
        </w:rPr>
        <w:t>）</w:t>
      </w:r>
    </w:p>
    <w:p>
      <w:pPr>
        <w:spacing w:line="360" w:lineRule="auto"/>
        <w:jc w:val="right"/>
        <w:rPr>
          <w:rFonts w:ascii="仿宋" w:hAnsi="仿宋" w:eastAsia="仿宋" w:cs="仿宋"/>
          <w:b/>
          <w:sz w:val="24"/>
          <w:highlight w:val="none"/>
        </w:rPr>
      </w:pPr>
      <w:r>
        <w:rPr>
          <w:rFonts w:hint="eastAsia" w:ascii="仿宋" w:hAnsi="仿宋" w:eastAsia="仿宋" w:cs="仿宋"/>
          <w:sz w:val="24"/>
          <w:highlight w:val="none"/>
        </w:rPr>
        <w:t>日期：   年   月   日</w:t>
      </w: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hint="eastAsia" w:ascii="仿宋" w:hAnsi="仿宋" w:eastAsia="仿宋" w:cs="仿宋"/>
          <w:b/>
          <w:sz w:val="24"/>
          <w:highlight w:val="none"/>
        </w:rPr>
      </w:pPr>
    </w:p>
    <w:p>
      <w:pPr>
        <w:pageBreakBefore/>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附件</w:t>
      </w:r>
      <w:r>
        <w:rPr>
          <w:rFonts w:hint="eastAsia" w:ascii="仿宋" w:hAnsi="仿宋" w:eastAsia="仿宋" w:cs="仿宋"/>
          <w:b/>
          <w:sz w:val="24"/>
          <w:highlight w:val="none"/>
          <w:lang w:val="en-US" w:eastAsia="zh-CN"/>
        </w:rPr>
        <w:t>七</w:t>
      </w:r>
      <w:r>
        <w:rPr>
          <w:rFonts w:hint="eastAsia" w:ascii="仿宋" w:hAnsi="仿宋" w:eastAsia="仿宋" w:cs="仿宋"/>
          <w:b/>
          <w:sz w:val="24"/>
          <w:highlight w:val="none"/>
        </w:rPr>
        <w:t>：技术解决方案</w:t>
      </w:r>
    </w:p>
    <w:p>
      <w:pPr>
        <w:spacing w:line="360" w:lineRule="auto"/>
        <w:rPr>
          <w:rFonts w:hint="eastAsia" w:ascii="仿宋" w:hAnsi="仿宋" w:eastAsia="仿宋" w:cs="仿宋"/>
          <w:sz w:val="24"/>
        </w:rPr>
      </w:pPr>
      <w:r>
        <w:rPr>
          <w:rFonts w:hint="eastAsia" w:ascii="仿宋" w:hAnsi="仿宋" w:eastAsia="仿宋" w:cs="仿宋"/>
          <w:sz w:val="24"/>
        </w:rPr>
        <w:t>（由投标人根据采购需求及招标文件要求编制）</w:t>
      </w:r>
    </w:p>
    <w:p>
      <w:pPr>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投标产品规格配置清单</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24"/>
                <w:szCs w:val="24"/>
              </w:rPr>
            </w:pPr>
            <w:r>
              <w:rPr>
                <w:rFonts w:hint="eastAsia" w:ascii="仿宋" w:eastAsia="仿宋"/>
                <w:sz w:val="24"/>
                <w:szCs w:val="24"/>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24"/>
                <w:szCs w:val="24"/>
              </w:rPr>
            </w:pPr>
            <w:r>
              <w:rPr>
                <w:rFonts w:hint="eastAsia" w:ascii="仿宋" w:eastAsia="仿宋"/>
                <w:sz w:val="24"/>
                <w:szCs w:val="24"/>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24"/>
                <w:szCs w:val="24"/>
              </w:rPr>
            </w:pPr>
            <w:r>
              <w:rPr>
                <w:rFonts w:hint="eastAsia" w:ascii="仿宋" w:eastAsia="仿宋"/>
                <w:sz w:val="24"/>
                <w:szCs w:val="24"/>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24"/>
                <w:szCs w:val="24"/>
              </w:rPr>
            </w:pPr>
            <w:r>
              <w:rPr>
                <w:rFonts w:hint="eastAsia" w:ascii="仿宋" w:eastAsia="仿宋"/>
                <w:sz w:val="24"/>
                <w:szCs w:val="24"/>
              </w:rPr>
              <w:t>规格</w:t>
            </w:r>
          </w:p>
          <w:p>
            <w:pPr>
              <w:snapToGrid w:val="0"/>
              <w:spacing w:before="50" w:after="50"/>
              <w:jc w:val="center"/>
              <w:rPr>
                <w:rFonts w:hint="eastAsia" w:ascii="仿宋" w:eastAsia="仿宋"/>
                <w:sz w:val="24"/>
                <w:szCs w:val="24"/>
              </w:rPr>
            </w:pPr>
            <w:r>
              <w:rPr>
                <w:rFonts w:hint="eastAsia" w:ascii="仿宋" w:eastAsia="仿宋"/>
                <w:sz w:val="24"/>
                <w:szCs w:val="24"/>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24"/>
                <w:szCs w:val="24"/>
              </w:rPr>
            </w:pPr>
            <w:r>
              <w:rPr>
                <w:rFonts w:hint="eastAsia" w:ascii="仿宋" w:eastAsia="仿宋"/>
                <w:sz w:val="24"/>
                <w:szCs w:val="24"/>
              </w:rPr>
              <w:t>单位及</w:t>
            </w:r>
          </w:p>
          <w:p>
            <w:pPr>
              <w:snapToGrid w:val="0"/>
              <w:spacing w:before="50" w:after="50"/>
              <w:jc w:val="center"/>
              <w:rPr>
                <w:rFonts w:hint="eastAsia" w:ascii="仿宋" w:eastAsia="仿宋"/>
                <w:sz w:val="24"/>
                <w:szCs w:val="24"/>
              </w:rPr>
            </w:pPr>
            <w:r>
              <w:rPr>
                <w:rFonts w:hint="eastAsia" w:ascii="仿宋" w:eastAsia="仿宋"/>
                <w:sz w:val="24"/>
                <w:szCs w:val="24"/>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24"/>
                <w:szCs w:val="24"/>
              </w:rPr>
            </w:pPr>
            <w:r>
              <w:rPr>
                <w:rFonts w:hint="eastAsia" w:ascii="仿宋" w:eastAsia="仿宋"/>
                <w:sz w:val="24"/>
                <w:szCs w:val="24"/>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24"/>
                <w:szCs w:val="24"/>
              </w:rPr>
            </w:pPr>
            <w:r>
              <w:rPr>
                <w:rFonts w:hint="eastAsia" w:ascii="仿宋" w:eastAsia="仿宋"/>
                <w:sz w:val="24"/>
                <w:szCs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24"/>
                <w:szCs w:val="24"/>
              </w:rPr>
            </w:pPr>
            <w:r>
              <w:rPr>
                <w:rFonts w:hint="eastAsia" w:ascii="仿宋" w:eastAsia="仿宋"/>
                <w:sz w:val="24"/>
                <w:szCs w:val="24"/>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24"/>
                <w:szCs w:val="24"/>
              </w:rPr>
            </w:pPr>
            <w:r>
              <w:rPr>
                <w:rFonts w:hint="eastAsia" w:ascii="仿宋" w:hAnsi="Times New Roman" w:eastAsia="仿宋" w:cs="Times New Roman"/>
                <w:sz w:val="24"/>
                <w:szCs w:val="24"/>
                <w:lang w:val="en-US" w:eastAsia="zh-CN"/>
              </w:rPr>
              <w:t>13mm透气型塑胶面层</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24"/>
                <w:szCs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24"/>
                <w:szCs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24"/>
                <w:szCs w:val="24"/>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24"/>
                <w:szCs w:val="24"/>
              </w:rPr>
            </w:pPr>
          </w:p>
        </w:tc>
      </w:tr>
    </w:tbl>
    <w:p>
      <w:pPr>
        <w:pStyle w:val="22"/>
        <w:spacing w:line="360" w:lineRule="auto"/>
        <w:ind w:left="0" w:leftChars="0" w:firstLine="0" w:firstLineChars="0"/>
        <w:rPr>
          <w:rFonts w:hint="eastAsia" w:ascii="仿宋" w:hAnsi="仿宋" w:eastAsia="仿宋" w:cs="仿宋"/>
          <w:sz w:val="24"/>
          <w:szCs w:val="24"/>
          <w:highlight w:val="none"/>
        </w:rPr>
      </w:pPr>
    </w:p>
    <w:p>
      <w:pPr>
        <w:pStyle w:val="22"/>
        <w:spacing w:line="360" w:lineRule="auto"/>
        <w:ind w:left="0" w:leftChars="0" w:firstLine="0" w:firstLineChars="0"/>
        <w:rPr>
          <w:rFonts w:hint="eastAsia" w:ascii="仿宋" w:hAnsi="仿宋" w:eastAsia="仿宋" w:cs="仿宋"/>
          <w:sz w:val="24"/>
          <w:szCs w:val="24"/>
          <w:highlight w:val="none"/>
        </w:rPr>
      </w:pPr>
    </w:p>
    <w:p>
      <w:pPr>
        <w:pStyle w:val="22"/>
        <w:spacing w:line="360" w:lineRule="auto"/>
        <w:ind w:left="0" w:leftChars="0"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sz w:val="24"/>
          <w:highlight w:val="none"/>
        </w:rPr>
        <w:t>电子签章</w:t>
      </w:r>
      <w:r>
        <w:rPr>
          <w:rFonts w:hint="eastAsia" w:ascii="仿宋" w:hAnsi="仿宋" w:eastAsia="仿宋" w:cs="仿宋"/>
          <w:sz w:val="24"/>
          <w:szCs w:val="24"/>
          <w:highlight w:val="none"/>
        </w:rPr>
        <w:t>）</w:t>
      </w:r>
    </w:p>
    <w:p>
      <w:pPr>
        <w:pStyle w:val="22"/>
        <w:spacing w:line="360" w:lineRule="auto"/>
        <w:ind w:left="0" w:leftChars="0" w:firstLine="0" w:firstLineChars="0"/>
        <w:rPr>
          <w:rFonts w:ascii="仿宋" w:hAnsi="仿宋" w:eastAsia="仿宋" w:cs="仿宋"/>
          <w:sz w:val="24"/>
          <w:szCs w:val="24"/>
          <w:highlight w:val="none"/>
        </w:rPr>
      </w:pPr>
      <w:r>
        <w:rPr>
          <w:rFonts w:hint="eastAsia" w:ascii="仿宋" w:hAnsi="仿宋" w:eastAsia="仿宋" w:cs="仿宋"/>
          <w:kern w:val="0"/>
          <w:sz w:val="24"/>
          <w:highlight w:val="none"/>
          <w:lang w:val="zh-CN"/>
        </w:rPr>
        <w:t>法定代表人或其授权代表</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签字或盖章</w:t>
      </w:r>
      <w:r>
        <w:rPr>
          <w:rFonts w:hint="eastAsia" w:ascii="仿宋" w:hAnsi="仿宋" w:eastAsia="仿宋" w:cs="仿宋"/>
          <w:sz w:val="24"/>
          <w:szCs w:val="24"/>
          <w:highlight w:val="none"/>
        </w:rPr>
        <w:t>）</w:t>
      </w:r>
    </w:p>
    <w:p>
      <w:pPr>
        <w:spacing w:line="360" w:lineRule="auto"/>
        <w:jc w:val="right"/>
        <w:rPr>
          <w:rFonts w:hint="eastAsia" w:ascii="仿宋" w:hAnsi="仿宋" w:eastAsia="仿宋" w:cs="仿宋"/>
          <w:b/>
          <w:sz w:val="24"/>
          <w:highlight w:val="none"/>
        </w:rPr>
      </w:pPr>
      <w:r>
        <w:rPr>
          <w:rFonts w:hint="eastAsia" w:ascii="仿宋" w:hAnsi="仿宋" w:eastAsia="仿宋" w:cs="仿宋"/>
          <w:sz w:val="24"/>
          <w:szCs w:val="24"/>
          <w:highlight w:val="none"/>
        </w:rPr>
        <w:t>日期：   年   月   日</w:t>
      </w: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ascii="仿宋" w:hAnsi="仿宋" w:eastAsia="仿宋" w:cs="仿宋"/>
          <w:b/>
          <w:sz w:val="24"/>
          <w:highlight w:val="none"/>
        </w:rPr>
      </w:pPr>
      <w:r>
        <w:rPr>
          <w:rFonts w:hint="eastAsia" w:ascii="仿宋" w:hAnsi="仿宋" w:eastAsia="仿宋" w:cs="仿宋"/>
          <w:b/>
          <w:sz w:val="24"/>
          <w:highlight w:val="none"/>
        </w:rPr>
        <w:t>附件</w:t>
      </w:r>
      <w:r>
        <w:rPr>
          <w:rFonts w:hint="eastAsia" w:ascii="仿宋" w:hAnsi="仿宋" w:eastAsia="仿宋" w:cs="仿宋"/>
          <w:b/>
          <w:sz w:val="24"/>
          <w:highlight w:val="none"/>
          <w:lang w:val="en-US" w:eastAsia="zh-CN"/>
        </w:rPr>
        <w:t>八</w:t>
      </w:r>
      <w:r>
        <w:rPr>
          <w:rFonts w:hint="eastAsia" w:ascii="仿宋" w:hAnsi="仿宋" w:eastAsia="仿宋" w:cs="仿宋"/>
          <w:b/>
          <w:sz w:val="24"/>
          <w:highlight w:val="none"/>
        </w:rPr>
        <w:t>：投标函</w:t>
      </w: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投 标 函</w:t>
      </w:r>
    </w:p>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采购人：</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1、根据已收到工程的招标文件，我方经现场考察和研究，我方愿以</w:t>
      </w:r>
      <w:r>
        <w:rPr>
          <w:rFonts w:hint="eastAsia" w:ascii="仿宋" w:hAnsi="仿宋" w:eastAsia="仿宋" w:cs="仿宋"/>
          <w:kern w:val="0"/>
          <w:sz w:val="24"/>
          <w:highlight w:val="none"/>
          <w:lang w:eastAsia="zh-CN"/>
        </w:rPr>
        <w:t>采购人</w:t>
      </w:r>
      <w:r>
        <w:rPr>
          <w:rFonts w:hint="eastAsia" w:ascii="仿宋" w:hAnsi="仿宋" w:eastAsia="仿宋" w:cs="仿宋"/>
          <w:kern w:val="0"/>
          <w:sz w:val="24"/>
          <w:highlight w:val="none"/>
        </w:rPr>
        <w:t>提供的招标控制价为基数下浮</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rPr>
        <w:t>%（小写）的价格承包上述工程施工。</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2、一旦我方中标，我方保证在</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rPr>
        <w:t>天（日历日）内竣工并移交整个工程。</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3、如果我方中标，我方将按招标文件约定提交履约担保。</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4、我方同意所递交的投标文件在规定的投标有效期内有效，在此期间内我方的投标有可能中标，我方将受此约束。</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5、你方的中标通知书和本投标文件将构成约束我们双方的合同。</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6、我方承诺安全文明施工费按审定后的费用金额计取。</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投标人</w:t>
      </w:r>
      <w:r>
        <w:rPr>
          <w:rFonts w:hint="eastAsia" w:ascii="仿宋" w:hAnsi="仿宋" w:eastAsia="仿宋" w:cs="仿宋"/>
          <w:kern w:val="0"/>
          <w:sz w:val="24"/>
          <w:highlight w:val="none"/>
          <w:lang w:val="en-US" w:eastAsia="zh-CN"/>
        </w:rPr>
        <w:t>名称</w:t>
      </w:r>
      <w:r>
        <w:rPr>
          <w:rFonts w:hint="eastAsia" w:ascii="仿宋" w:hAnsi="仿宋" w:eastAsia="仿宋" w:cs="仿宋"/>
          <w:kern w:val="0"/>
          <w:sz w:val="24"/>
          <w:highlight w:val="none"/>
        </w:rPr>
        <w:t>：（</w:t>
      </w:r>
      <w:r>
        <w:rPr>
          <w:rFonts w:hint="eastAsia" w:ascii="仿宋" w:hAnsi="仿宋" w:eastAsia="仿宋" w:cs="仿宋"/>
          <w:sz w:val="24"/>
          <w:highlight w:val="none"/>
        </w:rPr>
        <w:t>电子签章</w:t>
      </w:r>
      <w:r>
        <w:rPr>
          <w:rFonts w:hint="eastAsia" w:ascii="仿宋" w:hAnsi="仿宋" w:eastAsia="仿宋" w:cs="仿宋"/>
          <w:kern w:val="0"/>
          <w:sz w:val="24"/>
          <w:highlight w:val="none"/>
        </w:rPr>
        <w:t>）</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单位地址：</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zh-CN"/>
        </w:rPr>
        <w:t>法定代表人或其授权代表</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签字或盖章</w:t>
      </w:r>
      <w:r>
        <w:rPr>
          <w:rFonts w:hint="eastAsia" w:ascii="仿宋" w:hAnsi="仿宋" w:eastAsia="仿宋" w:cs="仿宋"/>
          <w:sz w:val="24"/>
          <w:szCs w:val="24"/>
          <w:highlight w:val="none"/>
        </w:rPr>
        <w:t>）</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邮政编码：</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电    话：</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传    真：</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开户银行名称：</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银行</w:t>
      </w:r>
      <w:r>
        <w:rPr>
          <w:rFonts w:hint="eastAsia" w:ascii="仿宋" w:hAnsi="仿宋" w:eastAsia="仿宋" w:cs="仿宋"/>
          <w:kern w:val="0"/>
          <w:sz w:val="24"/>
          <w:highlight w:val="none"/>
          <w:lang w:val="en-US" w:eastAsia="zh-CN"/>
        </w:rPr>
        <w:t>账号</w:t>
      </w:r>
      <w:r>
        <w:rPr>
          <w:rFonts w:hint="eastAsia" w:ascii="仿宋" w:hAnsi="仿宋" w:eastAsia="仿宋" w:cs="仿宋"/>
          <w:kern w:val="0"/>
          <w:sz w:val="24"/>
          <w:highlight w:val="none"/>
        </w:rPr>
        <w:t>：</w:t>
      </w:r>
    </w:p>
    <w:p>
      <w:pPr>
        <w:tabs>
          <w:tab w:val="left" w:pos="5040"/>
        </w:tabs>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电    话：                                   日期：    年    月    日</w:t>
      </w: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tabs>
          <w:tab w:val="center" w:pos="4153"/>
        </w:tabs>
        <w:spacing w:line="360" w:lineRule="auto"/>
        <w:rPr>
          <w:rFonts w:ascii="仿宋" w:hAnsi="仿宋" w:eastAsia="仿宋" w:cs="仿宋"/>
          <w:b/>
          <w:sz w:val="24"/>
          <w:highlight w:val="none"/>
        </w:rPr>
      </w:pPr>
    </w:p>
    <w:p>
      <w:pPr>
        <w:tabs>
          <w:tab w:val="center" w:pos="4153"/>
        </w:tabs>
        <w:spacing w:line="360" w:lineRule="auto"/>
        <w:rPr>
          <w:rFonts w:ascii="仿宋" w:hAnsi="仿宋" w:eastAsia="仿宋" w:cs="仿宋"/>
          <w:b/>
          <w:sz w:val="24"/>
          <w:highlight w:val="none"/>
        </w:rPr>
      </w:pPr>
    </w:p>
    <w:p>
      <w:pPr>
        <w:tabs>
          <w:tab w:val="center" w:pos="4153"/>
        </w:tabs>
        <w:spacing w:line="360" w:lineRule="auto"/>
        <w:rPr>
          <w:rFonts w:ascii="仿宋" w:hAnsi="仿宋" w:eastAsia="仿宋" w:cs="仿宋"/>
          <w:b/>
          <w:bCs/>
          <w:sz w:val="28"/>
          <w:szCs w:val="28"/>
          <w:highlight w:val="none"/>
        </w:rPr>
      </w:pPr>
      <w:r>
        <w:rPr>
          <w:rFonts w:hint="eastAsia" w:ascii="仿宋" w:hAnsi="仿宋" w:eastAsia="仿宋" w:cs="仿宋"/>
          <w:b/>
          <w:sz w:val="24"/>
          <w:highlight w:val="none"/>
        </w:rPr>
        <w:t>附件</w:t>
      </w:r>
      <w:r>
        <w:rPr>
          <w:rFonts w:hint="eastAsia" w:ascii="仿宋" w:hAnsi="仿宋" w:eastAsia="仿宋" w:cs="仿宋"/>
          <w:b/>
          <w:sz w:val="24"/>
          <w:highlight w:val="none"/>
          <w:lang w:val="en-US" w:eastAsia="zh-CN"/>
        </w:rPr>
        <w:t>九</w:t>
      </w:r>
      <w:r>
        <w:rPr>
          <w:rFonts w:hint="eastAsia" w:ascii="仿宋" w:hAnsi="仿宋" w:eastAsia="仿宋" w:cs="仿宋"/>
          <w:b/>
          <w:bCs/>
          <w:sz w:val="28"/>
          <w:szCs w:val="28"/>
          <w:highlight w:val="none"/>
        </w:rPr>
        <w:t>：</w:t>
      </w:r>
      <w:r>
        <w:rPr>
          <w:rFonts w:hint="eastAsia" w:ascii="仿宋" w:hAnsi="仿宋" w:eastAsia="仿宋" w:cs="仿宋"/>
          <w:b/>
          <w:sz w:val="24"/>
          <w:highlight w:val="none"/>
        </w:rPr>
        <w:t>总报价书</w:t>
      </w:r>
    </w:p>
    <w:p>
      <w:pPr>
        <w:tabs>
          <w:tab w:val="left" w:pos="1620"/>
          <w:tab w:val="left" w:pos="1800"/>
          <w:tab w:val="left" w:pos="3780"/>
        </w:tabs>
        <w:spacing w:line="360" w:lineRule="auto"/>
        <w:rPr>
          <w:rFonts w:ascii="仿宋" w:hAnsi="仿宋" w:eastAsia="仿宋" w:cs="仿宋"/>
          <w:szCs w:val="21"/>
          <w:highlight w:val="none"/>
          <w:u w:val="single"/>
        </w:rPr>
      </w:pPr>
    </w:p>
    <w:p>
      <w:pPr>
        <w:tabs>
          <w:tab w:val="left" w:pos="1620"/>
          <w:tab w:val="left" w:pos="1800"/>
          <w:tab w:val="left" w:pos="3780"/>
        </w:tabs>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工程总报价书</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3"/>
        <w:gridCol w:w="6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exact"/>
        </w:trPr>
        <w:tc>
          <w:tcPr>
            <w:tcW w:w="8580" w:type="dxa"/>
            <w:gridSpan w:val="2"/>
            <w:noWrap/>
            <w:vAlign w:val="center"/>
          </w:tcPr>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2323" w:type="dxa"/>
            <w:noWrap/>
            <w:vAlign w:val="center"/>
          </w:tcPr>
          <w:p>
            <w:pPr>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工程类别</w:t>
            </w:r>
          </w:p>
        </w:tc>
        <w:tc>
          <w:tcPr>
            <w:tcW w:w="6257" w:type="dxa"/>
            <w:noWrap/>
            <w:vAlign w:val="center"/>
          </w:tcPr>
          <w:p>
            <w:pPr>
              <w:spacing w:line="360" w:lineRule="auto"/>
              <w:jc w:val="both"/>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民用三类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2323" w:type="dxa"/>
            <w:noWrap/>
            <w:vAlign w:val="center"/>
          </w:tcPr>
          <w:p>
            <w:pPr>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质量等级</w:t>
            </w:r>
          </w:p>
        </w:tc>
        <w:tc>
          <w:tcPr>
            <w:tcW w:w="6257" w:type="dxa"/>
            <w:noWrap/>
            <w:vAlign w:val="center"/>
          </w:tcPr>
          <w:p>
            <w:pPr>
              <w:spacing w:line="360" w:lineRule="auto"/>
              <w:jc w:val="both"/>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exact"/>
        </w:trPr>
        <w:tc>
          <w:tcPr>
            <w:tcW w:w="2323" w:type="dxa"/>
            <w:noWrap/>
            <w:vAlign w:val="center"/>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投标工期</w:t>
            </w:r>
          </w:p>
        </w:tc>
        <w:tc>
          <w:tcPr>
            <w:tcW w:w="6257" w:type="dxa"/>
            <w:noWrap/>
            <w:vAlign w:val="center"/>
          </w:tcPr>
          <w:p>
            <w:pPr>
              <w:spacing w:line="360" w:lineRule="auto"/>
              <w:jc w:val="both"/>
              <w:rPr>
                <w:rFonts w:hint="default" w:ascii="仿宋" w:hAnsi="仿宋" w:eastAsia="仿宋" w:cs="仿宋"/>
                <w:color w:val="auto"/>
                <w:kern w:val="0"/>
                <w:sz w:val="24"/>
                <w:highlight w:val="none"/>
                <w:lang w:val="en-US" w:eastAsia="zh-CN"/>
              </w:rPr>
            </w:pPr>
            <w:r>
              <w:rPr>
                <w:rFonts w:hint="eastAsia" w:ascii="仿宋" w:hAnsi="仿宋" w:eastAsia="仿宋" w:cs="仿宋"/>
                <w:color w:val="auto"/>
                <w:sz w:val="24"/>
                <w:szCs w:val="24"/>
                <w:highlight w:val="none"/>
                <w:lang w:val="en-US" w:eastAsia="zh-CN"/>
              </w:rPr>
              <w:t>40日历天（具体开工时间以开工报告为准）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trPr>
        <w:tc>
          <w:tcPr>
            <w:tcW w:w="8580" w:type="dxa"/>
            <w:gridSpan w:val="2"/>
            <w:noWrap/>
            <w:vAlign w:val="center"/>
          </w:tcPr>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造价下浮率（小写）：</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rPr>
              <w:t>%</w:t>
            </w:r>
          </w:p>
        </w:tc>
      </w:tr>
    </w:tbl>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投标人：（</w:t>
      </w:r>
      <w:r>
        <w:rPr>
          <w:rFonts w:hint="eastAsia" w:ascii="仿宋" w:hAnsi="仿宋" w:eastAsia="仿宋" w:cs="仿宋"/>
          <w:sz w:val="24"/>
          <w:highlight w:val="none"/>
        </w:rPr>
        <w:t>电子签章</w:t>
      </w:r>
      <w:r>
        <w:rPr>
          <w:rFonts w:hint="eastAsia" w:ascii="仿宋" w:hAnsi="仿宋" w:eastAsia="仿宋" w:cs="仿宋"/>
          <w:kern w:val="0"/>
          <w:sz w:val="24"/>
          <w:highlight w:val="none"/>
        </w:rPr>
        <w:t>）</w:t>
      </w: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法定代表人或其授权代表</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签字或盖章</w:t>
      </w:r>
      <w:r>
        <w:rPr>
          <w:rFonts w:hint="eastAsia" w:ascii="仿宋" w:hAnsi="仿宋" w:eastAsia="仿宋" w:cs="仿宋"/>
          <w:sz w:val="24"/>
          <w:szCs w:val="24"/>
          <w:highlight w:val="none"/>
        </w:rPr>
        <w:t>）</w:t>
      </w:r>
    </w:p>
    <w:p>
      <w:pPr>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 xml:space="preserve">                                            日期：   年   月   日</w:t>
      </w:r>
    </w:p>
    <w:p>
      <w:pPr>
        <w:spacing w:line="360" w:lineRule="auto"/>
        <w:rPr>
          <w:rFonts w:ascii="仿宋" w:hAnsi="仿宋" w:eastAsia="仿宋" w:cs="仿宋"/>
          <w:kern w:val="0"/>
          <w:sz w:val="24"/>
          <w:highlight w:val="none"/>
        </w:rPr>
      </w:pPr>
    </w:p>
    <w:p>
      <w:pPr>
        <w:spacing w:line="360" w:lineRule="auto"/>
        <w:rPr>
          <w:rFonts w:ascii="仿宋" w:hAnsi="仿宋" w:eastAsia="仿宋" w:cs="仿宋"/>
          <w:highlight w:val="none"/>
        </w:rPr>
      </w:pPr>
    </w:p>
    <w:p>
      <w:pPr>
        <w:spacing w:line="360" w:lineRule="auto"/>
        <w:rPr>
          <w:rFonts w:ascii="仿宋" w:hAnsi="仿宋" w:eastAsia="仿宋" w:cs="仿宋"/>
          <w:highlight w:val="none"/>
        </w:rPr>
      </w:pPr>
    </w:p>
    <w:p>
      <w:pPr>
        <w:spacing w:line="360" w:lineRule="auto"/>
        <w:rPr>
          <w:rFonts w:ascii="仿宋" w:hAnsi="仿宋" w:eastAsia="仿宋" w:cs="仿宋"/>
          <w:highlight w:val="none"/>
        </w:rPr>
      </w:pPr>
    </w:p>
    <w:p>
      <w:pPr>
        <w:jc w:val="left"/>
        <w:rPr>
          <w:rFonts w:ascii="宋体" w:hAnsi="宋体" w:cs="宋体"/>
          <w:b/>
          <w:bCs/>
          <w:sz w:val="24"/>
          <w:highlight w:val="none"/>
        </w:rPr>
      </w:pPr>
    </w:p>
    <w:p>
      <w:pPr>
        <w:jc w:val="left"/>
        <w:rPr>
          <w:rFonts w:hint="eastAsia" w:ascii="仿宋" w:hAnsi="仿宋" w:eastAsia="仿宋" w:cs="仿宋"/>
          <w:b/>
          <w:kern w:val="0"/>
          <w:sz w:val="32"/>
          <w:szCs w:val="32"/>
          <w:highlight w:val="none"/>
          <w:lang w:val="en-US" w:eastAsia="zh-CN"/>
        </w:rPr>
      </w:pPr>
    </w:p>
    <w:p>
      <w:pPr>
        <w:jc w:val="left"/>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en-US" w:eastAsia="zh-CN"/>
        </w:rPr>
        <w:t>10</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其余按招标文件要求提供资料</w:t>
      </w:r>
    </w:p>
    <w:p>
      <w:pPr>
        <w:jc w:val="left"/>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（由投标人根据招标文件要求和评分细则要求自行编制）</w:t>
      </w:r>
    </w:p>
    <w:p>
      <w:pPr>
        <w:spacing w:line="288" w:lineRule="auto"/>
        <w:rPr>
          <w:rFonts w:ascii="仿宋" w:hAnsi="仿宋" w:eastAsia="仿宋" w:cs="仿宋"/>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宋体" w:hAnsi="宋体" w:cs="宋体"/>
          <w:b/>
          <w:bCs/>
          <w:sz w:val="24"/>
          <w:highlight w:val="none"/>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jc w:val="left"/>
        <w:rPr>
          <w:rFonts w:ascii="仿宋" w:hAnsi="仿宋" w:eastAsia="仿宋" w:cs="仿宋"/>
          <w:b/>
          <w:kern w:val="0"/>
          <w:sz w:val="32"/>
          <w:szCs w:val="32"/>
          <w:highlight w:val="none"/>
          <w:lang w:val="zh-CN"/>
        </w:rPr>
      </w:pPr>
    </w:p>
    <w:p>
      <w:pPr>
        <w:pageBreakBefore/>
        <w:spacing w:line="360" w:lineRule="auto"/>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en-US" w:eastAsia="zh-CN"/>
        </w:rPr>
        <w:t>11</w:t>
      </w:r>
      <w:r>
        <w:rPr>
          <w:rFonts w:hint="eastAsia" w:ascii="仿宋" w:hAnsi="仿宋" w:eastAsia="仿宋" w:cs="仿宋"/>
          <w:b/>
          <w:kern w:val="0"/>
          <w:sz w:val="32"/>
          <w:szCs w:val="32"/>
          <w:highlight w:val="none"/>
          <w:lang w:val="zh-CN"/>
        </w:rPr>
        <w:t>、落实政府采购政策需满足的资格要求</w:t>
      </w:r>
    </w:p>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rPr>
        <w:t>（根据招标公告落实政府采购政策需满足的资格要求选择提供相应的材料；未要求的，无需提供）</w:t>
      </w:r>
    </w:p>
    <w:p>
      <w:pPr>
        <w:snapToGrid w:val="0"/>
        <w:spacing w:line="440" w:lineRule="exact"/>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.专门面向中小企业，货物全部由符合政策要求的中小企业（或小微企业）制造或者服务全部由符合政策要求的中小企业（或小微企业）承接的，提供相应的</w:t>
      </w:r>
      <w:r>
        <w:rPr>
          <w:rFonts w:hint="eastAsia" w:ascii="仿宋" w:hAnsi="仿宋" w:eastAsia="仿宋" w:cs="仿宋"/>
          <w:b/>
          <w:sz w:val="24"/>
          <w:highlight w:val="none"/>
        </w:rPr>
        <w:t>中小企业声明函</w:t>
      </w:r>
      <w:r>
        <w:rPr>
          <w:rFonts w:hint="eastAsia" w:ascii="仿宋" w:hAnsi="仿宋" w:eastAsia="仿宋" w:cs="仿宋"/>
          <w:sz w:val="24"/>
          <w:highlight w:val="none"/>
        </w:rPr>
        <w:t xml:space="preserve">（附件）。 </w:t>
      </w:r>
    </w:p>
    <w:p>
      <w:pPr>
        <w:widowControl/>
        <w:spacing w:line="440" w:lineRule="exact"/>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要求以联合体形式参加的，提供联合协议和</w:t>
      </w:r>
      <w:r>
        <w:rPr>
          <w:rFonts w:hint="eastAsia" w:ascii="仿宋" w:hAnsi="仿宋" w:eastAsia="仿宋" w:cs="仿宋"/>
          <w:b/>
          <w:sz w:val="24"/>
          <w:highlight w:val="none"/>
        </w:rPr>
        <w:t>中小企业声明函</w:t>
      </w:r>
      <w:r>
        <w:rPr>
          <w:rFonts w:hint="eastAsia" w:ascii="仿宋" w:hAnsi="仿宋" w:eastAsia="仿宋" w:cs="仿宋"/>
          <w:sz w:val="24"/>
          <w:highlight w:val="none"/>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kern w:val="0"/>
          <w:sz w:val="32"/>
          <w:szCs w:val="32"/>
          <w:highlight w:val="none"/>
          <w:lang w:val="zh-CN"/>
        </w:rPr>
      </w:pPr>
    </w:p>
    <w:p>
      <w:pPr>
        <w:snapToGrid w:val="0"/>
        <w:spacing w:before="50" w:after="50"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联合协议</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 xml:space="preserve">投标。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w:t>
      </w: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760" w:firstLineChars="2400"/>
        <w:jc w:val="center"/>
        <w:rPr>
          <w:rFonts w:hint="eastAsia"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spacing w:line="360" w:lineRule="auto"/>
        <w:ind w:firstLine="480" w:firstLineChars="200"/>
        <w:rPr>
          <w:rFonts w:hint="eastAsia" w:ascii="仿宋" w:hAnsi="仿宋" w:eastAsia="仿宋" w:cs="仿宋"/>
          <w:sz w:val="24"/>
        </w:rPr>
      </w:pPr>
    </w:p>
    <w:p>
      <w:pPr>
        <w:spacing w:line="360" w:lineRule="auto"/>
        <w:ind w:firstLine="482" w:firstLineChars="200"/>
        <w:rPr>
          <w:rFonts w:hint="eastAsia" w:ascii="仿宋" w:hAnsi="仿宋" w:eastAsia="仿宋" w:cs="仿宋"/>
          <w:b/>
          <w:sz w:val="24"/>
        </w:rPr>
      </w:pPr>
    </w:p>
    <w:p>
      <w:pPr>
        <w:spacing w:line="360" w:lineRule="auto"/>
        <w:ind w:firstLine="482" w:firstLineChars="200"/>
        <w:rPr>
          <w:rFonts w:hint="eastAsia" w:ascii="仿宋" w:hAnsi="仿宋" w:eastAsia="仿宋" w:cs="仿宋"/>
          <w:b/>
          <w:sz w:val="24"/>
        </w:rPr>
      </w:pPr>
    </w:p>
    <w:p>
      <w:pPr>
        <w:spacing w:line="360" w:lineRule="auto"/>
        <w:ind w:firstLine="482" w:firstLineChars="200"/>
        <w:rPr>
          <w:rFonts w:hint="eastAsia" w:ascii="仿宋" w:hAnsi="仿宋" w:eastAsia="仿宋" w:cs="仿宋"/>
          <w:b/>
          <w:sz w:val="24"/>
        </w:rPr>
      </w:pPr>
    </w:p>
    <w:p>
      <w:pPr>
        <w:pageBreakBefore/>
        <w:spacing w:line="360" w:lineRule="auto"/>
        <w:ind w:firstLine="482" w:firstLineChars="200"/>
        <w:rPr>
          <w:rFonts w:hint="eastAsia" w:ascii="仿宋" w:hAnsi="仿宋" w:eastAsia="仿宋" w:cs="仿宋"/>
          <w:b/>
          <w:kern w:val="0"/>
          <w:sz w:val="32"/>
          <w:szCs w:val="32"/>
        </w:rPr>
      </w:pPr>
      <w:r>
        <w:rPr>
          <w:rFonts w:hint="eastAsia" w:ascii="仿宋" w:hAnsi="仿宋" w:eastAsia="仿宋" w:cs="仿宋"/>
          <w:b/>
          <w:sz w:val="24"/>
        </w:rPr>
        <w:t>C、</w:t>
      </w:r>
      <w:r>
        <w:rPr>
          <w:rFonts w:hint="eastAsia" w:ascii="仿宋" w:hAnsi="仿宋" w:eastAsia="仿宋" w:cs="仿宋"/>
          <w:sz w:val="24"/>
        </w:rPr>
        <w:t>要求合同分包的，提供分包意向协议和</w:t>
      </w:r>
      <w:r>
        <w:rPr>
          <w:rFonts w:hint="eastAsia" w:ascii="仿宋" w:hAnsi="仿宋" w:eastAsia="仿宋" w:cs="仿宋"/>
          <w:b/>
          <w:sz w:val="24"/>
        </w:rPr>
        <w:t>中小企业声明函（附件）</w:t>
      </w:r>
      <w:r>
        <w:rPr>
          <w:rFonts w:hint="eastAsia" w:ascii="仿宋" w:hAnsi="仿宋" w:eastAsia="仿宋" w:cs="仿宋"/>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0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0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0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0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w:t>
      </w:r>
      <w:r>
        <w:rPr>
          <w:rFonts w:hint="eastAsia" w:ascii="仿宋" w:hAnsi="仿宋" w:eastAsia="仿宋" w:cs="仿宋"/>
          <w:kern w:val="0"/>
          <w:sz w:val="24"/>
          <w:lang w:val="zh-CN"/>
        </w:rPr>
        <w:t>应商名称），具备承担XX工作内容相应资质条件且不得再次分包；</w:t>
      </w:r>
    </w:p>
    <w:p>
      <w:pPr>
        <w:snapToGrid w:val="0"/>
        <w:spacing w:line="300" w:lineRule="auto"/>
        <w:ind w:firstLine="964" w:firstLineChars="400"/>
        <w:jc w:val="left"/>
        <w:rPr>
          <w:rFonts w:hint="eastAsia" w:ascii="仿宋" w:hAnsi="仿宋" w:eastAsia="仿宋" w:cs="仿宋"/>
          <w:b/>
          <w:kern w:val="0"/>
          <w:sz w:val="24"/>
          <w:lang w:val="zh-CN"/>
        </w:rPr>
      </w:pPr>
      <w:r>
        <w:rPr>
          <w:rFonts w:hint="eastAsia" w:ascii="仿宋" w:hAnsi="仿宋" w:eastAsia="仿宋" w:cs="仿宋"/>
          <w:b/>
          <w:kern w:val="0"/>
          <w:sz w:val="24"/>
          <w:lang w:val="zh-CN"/>
        </w:rPr>
        <w:t>……</w:t>
      </w:r>
    </w:p>
    <w:p>
      <w:pPr>
        <w:snapToGrid w:val="0"/>
        <w:spacing w:line="30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0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0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0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0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0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0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0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0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0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0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0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00" w:lineRule="auto"/>
        <w:ind w:firstLine="5880" w:firstLineChars="24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00" w:lineRule="auto"/>
        <w:ind w:firstLine="6000" w:firstLineChars="2500"/>
        <w:rPr>
          <w:rFonts w:hint="eastAsia" w:ascii="仿宋" w:hAnsi="仿宋" w:eastAsia="仿宋" w:cs="仿宋"/>
        </w:rPr>
      </w:pPr>
      <w:r>
        <w:rPr>
          <w:rFonts w:hint="eastAsia" w:ascii="仿宋" w:hAnsi="仿宋" w:eastAsia="仿宋" w:cs="仿宋"/>
          <w:kern w:val="0"/>
          <w:sz w:val="24"/>
          <w:lang w:val="zh-CN"/>
        </w:rPr>
        <w:t>……</w:t>
      </w:r>
    </w:p>
    <w:p>
      <w:pPr>
        <w:spacing w:line="30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pageBreakBefore/>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b/>
          <w:sz w:val="24"/>
        </w:rPr>
      </w:pPr>
      <w:r>
        <w:rPr>
          <w:rFonts w:hint="eastAsia" w:ascii="仿宋" w:hAnsi="仿宋" w:eastAsia="仿宋" w:cs="仿宋"/>
          <w:b/>
          <w:sz w:val="24"/>
        </w:rPr>
        <w:t xml:space="preserve"> [为落实政府采购政策，符合《政府采购促进中小企业发展管理办法》和《浙江省财政厅关于进一步发挥政府采购政策功能全力推动经济稳进提质的通知》规定的中小微企业拟享受扶持政策的，需提供中小企业声明函。]</w:t>
      </w:r>
    </w:p>
    <w:p>
      <w:pPr>
        <w:jc w:val="center"/>
        <w:rPr>
          <w:rFonts w:hint="eastAsia" w:ascii="仿宋" w:hAnsi="仿宋" w:eastAsia="仿宋" w:cs="仿宋"/>
          <w:b/>
          <w:sz w:val="32"/>
        </w:rPr>
      </w:pPr>
    </w:p>
    <w:p>
      <w:pPr>
        <w:jc w:val="center"/>
        <w:rPr>
          <w:rFonts w:hint="eastAsia"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b/>
          <w:sz w:val="24"/>
        </w:rPr>
      </w:pPr>
      <w:r>
        <w:rPr>
          <w:rFonts w:hint="eastAsia" w:ascii="仿宋" w:hAnsi="仿宋" w:eastAsia="仿宋" w:cs="仿宋"/>
          <w:b/>
          <w:sz w:val="24"/>
        </w:rPr>
        <w:t>注：</w:t>
      </w:r>
    </w:p>
    <w:p>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spacing w:line="588"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588" w:lineRule="exact"/>
        <w:rPr>
          <w:rFonts w:hint="eastAsia" w:ascii="仿宋" w:hAnsi="仿宋" w:eastAsia="仿宋" w:cs="仿宋"/>
          <w:b/>
          <w:spacing w:val="6"/>
          <w:sz w:val="30"/>
          <w:szCs w:val="30"/>
        </w:rPr>
      </w:pP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hint="eastAsia" w:ascii="仿宋" w:hAnsi="仿宋" w:eastAsia="仿宋" w:cs="仿宋"/>
          <w:sz w:val="24"/>
        </w:rPr>
      </w:pPr>
    </w:p>
    <w:p>
      <w:pPr>
        <w:spacing w:line="588" w:lineRule="exact"/>
        <w:ind w:firstLine="480" w:firstLineChars="200"/>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hint="eastAsia" w:ascii="仿宋" w:hAnsi="仿宋" w:eastAsia="仿宋" w:cs="仿宋"/>
        </w:rPr>
      </w:pPr>
    </w:p>
    <w:p>
      <w:pPr>
        <w:tabs>
          <w:tab w:val="left" w:pos="4860"/>
        </w:tabs>
        <w:ind w:right="1559" w:firstLine="480" w:firstLineChars="200"/>
        <w:jc w:val="left"/>
        <w:rPr>
          <w:rFonts w:hint="eastAsia" w:ascii="仿宋" w:hAnsi="仿宋" w:eastAsia="仿宋" w:cs="仿宋"/>
          <w:sz w:val="24"/>
        </w:rPr>
      </w:pPr>
      <w:r>
        <w:rPr>
          <w:rFonts w:hint="eastAsia" w:ascii="仿宋" w:hAnsi="仿宋" w:eastAsia="仿宋" w:cs="仿宋"/>
          <w:sz w:val="24"/>
        </w:rPr>
        <w:object>
          <v:shape id="_x0000_i1025" o:spt="75" type="#_x0000_t75" style="height:41.95pt;width:390.05pt;" o:ole="t" filled="f" o:preferrelative="t" stroked="f" coordsize="21600,21600">
            <v:path/>
            <v:fill on="f" focussize="0,0"/>
            <v:stroke on="f"/>
            <v:imagedata r:id="rId10" o:title=""/>
            <o:lock v:ext="edit" aspectratio="t"/>
            <w10:wrap type="none"/>
            <w10:anchorlock/>
          </v:shape>
          <o:OLEObject Type="Embed" ProgID="Package" ShapeID="_x0000_i1025" DrawAspect="Content" ObjectID="_1468075725" r:id="rId9">
            <o:LockedField>false</o:LockedField>
          </o:OLEObject>
        </w:object>
      </w: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rPr>
          <w:rFonts w:hint="eastAsia" w:ascii="仿宋" w:hAnsi="仿宋" w:eastAsia="仿宋" w:cs="仿宋"/>
          <w:b/>
          <w:sz w:val="24"/>
        </w:rPr>
      </w:pPr>
    </w:p>
    <w:p>
      <w:pPr>
        <w:spacing w:line="400" w:lineRule="exact"/>
        <w:rPr>
          <w:rFonts w:hint="eastAsia"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jc w:val="center"/>
        <w:rPr>
          <w:rFonts w:ascii="仿宋" w:hAnsi="仿宋" w:eastAsia="仿宋" w:cs="仿宋"/>
          <w:b/>
          <w:bCs/>
          <w:sz w:val="44"/>
          <w:szCs w:val="44"/>
        </w:rPr>
      </w:pPr>
    </w:p>
    <w:p>
      <w:pPr>
        <w:pageBreakBefore/>
        <w:jc w:val="center"/>
        <w:rPr>
          <w:rFonts w:ascii="仿宋" w:hAnsi="仿宋" w:eastAsia="仿宋" w:cs="仿宋"/>
          <w:b/>
          <w:bCs/>
          <w:sz w:val="44"/>
          <w:szCs w:val="44"/>
        </w:rPr>
      </w:pPr>
      <w:r>
        <w:rPr>
          <w:rFonts w:hint="eastAsia" w:ascii="仿宋" w:hAnsi="仿宋" w:eastAsia="仿宋" w:cs="仿宋"/>
          <w:b/>
          <w:bCs/>
          <w:sz w:val="44"/>
          <w:szCs w:val="44"/>
        </w:rPr>
        <w:t>质疑函范本</w:t>
      </w:r>
    </w:p>
    <w:p>
      <w:pPr>
        <w:snapToGrid w:val="0"/>
        <w:spacing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snapToGrid w:val="0"/>
        <w:spacing w:line="360" w:lineRule="auto"/>
        <w:rPr>
          <w:rFonts w:ascii="仿宋" w:hAnsi="仿宋" w:eastAsia="仿宋" w:cs="仿宋"/>
          <w:sz w:val="32"/>
          <w:szCs w:val="32"/>
        </w:rPr>
      </w:pPr>
    </w:p>
    <w:p>
      <w:pPr>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pageBreakBefore/>
        <w:shd w:val="clear" w:color="auto" w:fill="FFFFFF"/>
        <w:spacing w:line="600" w:lineRule="atLeast"/>
        <w:jc w:val="center"/>
        <w:textAlignment w:val="baseline"/>
        <w:rPr>
          <w:rFonts w:hint="eastAsia" w:ascii="宋体" w:hAnsi="宋体" w:cs="宋体"/>
          <w:b/>
          <w:bCs/>
          <w:kern w:val="0"/>
          <w:sz w:val="36"/>
          <w:szCs w:val="36"/>
        </w:rPr>
      </w:pPr>
      <w:r>
        <w:rPr>
          <w:rFonts w:ascii="宋体" w:hAnsi="宋体" w:cs="宋体"/>
          <w:b/>
          <w:bCs/>
          <w:kern w:val="0"/>
          <w:sz w:val="36"/>
          <w:szCs w:val="36"/>
        </w:rPr>
        <w:t>国家统计局关于印发《统计上大中小微型企业划分办法（2017）》的通知</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各省、自治区、直辖市统计局，新疆生产建设兵团统计局，国务院各有关部门，国家统计局各调查总队：</w:t>
      </w:r>
    </w:p>
    <w:p>
      <w:pPr>
        <w:widowControl/>
        <w:shd w:val="clear" w:color="auto" w:fill="FFFFFF"/>
        <w:spacing w:before="150" w:line="420" w:lineRule="atLeast"/>
        <w:ind w:firstLine="420" w:firstLineChars="200"/>
        <w:jc w:val="left"/>
        <w:textAlignment w:val="baseline"/>
        <w:rPr>
          <w:rFonts w:hint="eastAsia" w:ascii="宋体" w:hAnsi="宋体" w:cs="宋体"/>
          <w:kern w:val="0"/>
          <w:szCs w:val="21"/>
        </w:rPr>
      </w:pPr>
      <w:r>
        <w:rPr>
          <w:rFonts w:ascii="宋体" w:hAnsi="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jc w:val="left"/>
        <w:rPr>
          <w:rFonts w:hint="eastAsia" w:ascii="宋体" w:hAnsi="宋体" w:cs="宋体"/>
          <w:kern w:val="0"/>
          <w:szCs w:val="21"/>
        </w:rPr>
      </w:pPr>
      <w:r>
        <w:rPr>
          <w:rFonts w:ascii="宋体" w:hAnsi="宋体" w:cs="宋体"/>
          <w:kern w:val="0"/>
          <w:szCs w:val="21"/>
        </w:rPr>
        <w:t>附件：《统计上大中小微型企业划分办法（2017）》修订说明</w:t>
      </w:r>
    </w:p>
    <w:p>
      <w:pPr>
        <w:widowControl/>
        <w:shd w:val="clear" w:color="auto" w:fill="FFFFFF"/>
        <w:spacing w:before="150" w:line="420" w:lineRule="atLeast"/>
        <w:ind w:right="825"/>
        <w:jc w:val="right"/>
        <w:textAlignment w:val="baseline"/>
        <w:rPr>
          <w:rFonts w:hint="eastAsia" w:ascii="宋体" w:hAnsi="宋体" w:cs="宋体"/>
          <w:kern w:val="0"/>
          <w:szCs w:val="21"/>
        </w:rPr>
      </w:pPr>
      <w:r>
        <w:rPr>
          <w:rFonts w:ascii="宋体" w:hAnsi="宋体" w:cs="宋体"/>
          <w:kern w:val="0"/>
          <w:szCs w:val="21"/>
        </w:rPr>
        <w:t>国家统计局  </w:t>
      </w:r>
    </w:p>
    <w:p>
      <w:pPr>
        <w:widowControl/>
        <w:shd w:val="clear" w:color="auto" w:fill="FFFFFF"/>
        <w:spacing w:before="150" w:line="420" w:lineRule="atLeast"/>
        <w:ind w:right="825"/>
        <w:jc w:val="right"/>
        <w:textAlignment w:val="baseline"/>
        <w:rPr>
          <w:rFonts w:hint="eastAsia" w:ascii="宋体" w:hAnsi="宋体" w:cs="宋体"/>
          <w:kern w:val="0"/>
          <w:szCs w:val="21"/>
        </w:rPr>
      </w:pPr>
      <w:r>
        <w:rPr>
          <w:rFonts w:ascii="宋体" w:hAnsi="宋体" w:cs="宋体"/>
          <w:kern w:val="0"/>
          <w:szCs w:val="21"/>
        </w:rPr>
        <w:t>2017年12月28日</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 </w:t>
      </w:r>
    </w:p>
    <w:p>
      <w:pPr>
        <w:widowControl/>
        <w:shd w:val="clear" w:color="auto" w:fill="FFFFFF"/>
        <w:spacing w:before="150" w:line="600" w:lineRule="atLeast"/>
        <w:jc w:val="center"/>
        <w:textAlignment w:val="baseline"/>
        <w:rPr>
          <w:rFonts w:hint="eastAsia" w:ascii="宋体" w:hAnsi="宋体" w:cs="宋体"/>
          <w:b/>
          <w:bCs/>
          <w:kern w:val="0"/>
          <w:sz w:val="36"/>
          <w:szCs w:val="36"/>
        </w:rPr>
      </w:pPr>
      <w:r>
        <w:rPr>
          <w:rFonts w:ascii="宋体" w:hAnsi="宋体" w:cs="宋体"/>
          <w:b/>
          <w:bCs/>
          <w:kern w:val="0"/>
          <w:sz w:val="36"/>
          <w:szCs w:val="36"/>
        </w:rPr>
        <w:t>统计上大中小微型企业划分办法（2017）</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二、本办法适用对象为在中华人民共和国境内依法设立的各种组织形式的法人企业或单位。个体工商户参照本办法进行划分。</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五、企业划分由政府综合统计部门根据统计年报每年确定一次，定报统计原则上不进行调整。</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六、本办法自印发之日起执行，国家统计局2011年印发的《统计上大中小微型企业划分办法》（国统字〔2011〕75号）同时废止。</w:t>
      </w:r>
    </w:p>
    <w:p>
      <w:pPr>
        <w:widowControl/>
        <w:shd w:val="clear" w:color="auto" w:fill="FFFFFF"/>
        <w:spacing w:before="150" w:line="420" w:lineRule="atLeast"/>
        <w:jc w:val="left"/>
        <w:textAlignment w:val="baseline"/>
        <w:rPr>
          <w:rFonts w:hint="eastAsia"/>
          <w:lang w:eastAsia="zh-CN"/>
        </w:rPr>
      </w:pPr>
      <w:r>
        <w:rPr>
          <w:rFonts w:ascii="宋体" w:hAnsi="宋体" w:cs="宋体"/>
          <w:kern w:val="0"/>
          <w:szCs w:val="21"/>
        </w:rPr>
        <w:t>附表：统计上大中小微型企业划分标准</w:t>
      </w:r>
    </w:p>
    <w:p>
      <w:pPr>
        <w:widowControl/>
        <w:shd w:val="clear" w:color="auto" w:fill="FFFFFF"/>
        <w:spacing w:before="150" w:line="600" w:lineRule="atLeast"/>
        <w:jc w:val="center"/>
        <w:textAlignment w:val="baseline"/>
        <w:rPr>
          <w:rFonts w:ascii="宋体" w:hAnsi="宋体" w:cs="宋体"/>
          <w:b/>
          <w:bCs/>
          <w:kern w:val="0"/>
          <w:sz w:val="36"/>
          <w:szCs w:val="36"/>
        </w:rPr>
      </w:pPr>
    </w:p>
    <w:p>
      <w:pPr>
        <w:widowControl/>
        <w:shd w:val="clear" w:color="auto" w:fill="FFFFFF"/>
        <w:spacing w:before="150" w:line="600" w:lineRule="atLeast"/>
        <w:jc w:val="center"/>
        <w:textAlignment w:val="baseline"/>
        <w:rPr>
          <w:rFonts w:hint="eastAsia" w:ascii="宋体" w:hAnsi="宋体" w:cs="宋体"/>
          <w:b/>
          <w:bCs/>
          <w:kern w:val="0"/>
          <w:sz w:val="36"/>
          <w:szCs w:val="36"/>
        </w:rPr>
      </w:pPr>
      <w:r>
        <w:rPr>
          <w:rFonts w:ascii="宋体" w:hAnsi="宋体" w:cs="宋体"/>
          <w:b/>
          <w:bCs/>
          <w:kern w:val="0"/>
          <w:sz w:val="36"/>
          <w:szCs w:val="36"/>
        </w:rPr>
        <w:t>统计上大中小微型企业划分标准</w:t>
      </w:r>
    </w:p>
    <w:tbl>
      <w:tblPr>
        <w:tblStyle w:val="29"/>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tcMar>
              <w:top w:w="75" w:type="dxa"/>
              <w:left w:w="75" w:type="dxa"/>
              <w:bottom w:w="75" w:type="dxa"/>
              <w:right w:w="75" w:type="dxa"/>
            </w:tcMar>
            <w:vAlign w:val="bottom"/>
          </w:tcPr>
          <w:p>
            <w:pPr>
              <w:widowControl/>
              <w:jc w:val="center"/>
              <w:rPr>
                <w:rFonts w:hint="eastAsia" w:ascii="宋体" w:hAnsi="宋体" w:cs="宋体"/>
                <w:b/>
                <w:bCs/>
                <w:kern w:val="0"/>
                <w:szCs w:val="21"/>
              </w:rPr>
            </w:pPr>
            <w:r>
              <w:rPr>
                <w:rFonts w:ascii="宋体" w:hAnsi="宋体" w:cs="宋体"/>
                <w:b/>
                <w:bCs/>
                <w:kern w:val="0"/>
                <w:szCs w:val="21"/>
              </w:rPr>
              <w:t>行业名称</w:t>
            </w:r>
          </w:p>
        </w:tc>
        <w:tc>
          <w:tcPr>
            <w:tcW w:w="1560" w:type="dxa"/>
            <w:noWrap w:val="0"/>
            <w:tcMar>
              <w:top w:w="75" w:type="dxa"/>
              <w:left w:w="75" w:type="dxa"/>
              <w:bottom w:w="75" w:type="dxa"/>
              <w:right w:w="75" w:type="dxa"/>
            </w:tcMar>
            <w:vAlign w:val="bottom"/>
          </w:tcPr>
          <w:p>
            <w:pPr>
              <w:widowControl/>
              <w:jc w:val="center"/>
              <w:rPr>
                <w:rFonts w:hint="eastAsia" w:ascii="宋体" w:hAnsi="宋体" w:cs="宋体"/>
                <w:b/>
                <w:bCs/>
                <w:kern w:val="0"/>
                <w:szCs w:val="21"/>
              </w:rPr>
            </w:pPr>
            <w:r>
              <w:rPr>
                <w:rFonts w:ascii="宋体" w:hAnsi="宋体" w:cs="宋体"/>
                <w:b/>
                <w:bCs/>
                <w:kern w:val="0"/>
                <w:szCs w:val="21"/>
              </w:rPr>
              <w:t>指标名称</w:t>
            </w:r>
          </w:p>
        </w:tc>
        <w:tc>
          <w:tcPr>
            <w:tcW w:w="671" w:type="dxa"/>
            <w:noWrap w:val="0"/>
            <w:tcMar>
              <w:top w:w="75" w:type="dxa"/>
              <w:left w:w="75" w:type="dxa"/>
              <w:bottom w:w="75" w:type="dxa"/>
              <w:right w:w="75" w:type="dxa"/>
            </w:tcMar>
            <w:vAlign w:val="bottom"/>
          </w:tcPr>
          <w:p>
            <w:pPr>
              <w:widowControl/>
              <w:jc w:val="center"/>
              <w:rPr>
                <w:rFonts w:hint="eastAsia" w:ascii="宋体" w:hAnsi="宋体" w:cs="宋体"/>
                <w:b/>
                <w:bCs/>
                <w:kern w:val="0"/>
                <w:szCs w:val="21"/>
              </w:rPr>
            </w:pPr>
            <w:r>
              <w:rPr>
                <w:rFonts w:ascii="宋体" w:hAnsi="宋体" w:cs="宋体"/>
                <w:b/>
                <w:bCs/>
                <w:kern w:val="0"/>
                <w:szCs w:val="21"/>
              </w:rPr>
              <w:t>计量单位</w:t>
            </w:r>
          </w:p>
        </w:tc>
        <w:tc>
          <w:tcPr>
            <w:tcW w:w="1231" w:type="dxa"/>
            <w:noWrap w:val="0"/>
            <w:tcMar>
              <w:top w:w="75" w:type="dxa"/>
              <w:left w:w="75" w:type="dxa"/>
              <w:bottom w:w="75" w:type="dxa"/>
              <w:right w:w="75" w:type="dxa"/>
            </w:tcMar>
            <w:vAlign w:val="bottom"/>
          </w:tcPr>
          <w:p>
            <w:pPr>
              <w:widowControl/>
              <w:jc w:val="center"/>
              <w:rPr>
                <w:rFonts w:hint="eastAsia" w:ascii="宋体" w:hAnsi="宋体" w:cs="宋体"/>
                <w:b/>
                <w:bCs/>
                <w:kern w:val="0"/>
                <w:szCs w:val="21"/>
              </w:rPr>
            </w:pPr>
            <w:r>
              <w:rPr>
                <w:rFonts w:ascii="宋体" w:hAnsi="宋体" w:cs="宋体"/>
                <w:b/>
                <w:bCs/>
                <w:kern w:val="0"/>
                <w:szCs w:val="21"/>
              </w:rPr>
              <w:t>大型</w:t>
            </w:r>
          </w:p>
        </w:tc>
        <w:tc>
          <w:tcPr>
            <w:tcW w:w="1891" w:type="dxa"/>
            <w:noWrap w:val="0"/>
            <w:tcMar>
              <w:top w:w="75" w:type="dxa"/>
              <w:left w:w="75" w:type="dxa"/>
              <w:bottom w:w="75" w:type="dxa"/>
              <w:right w:w="75" w:type="dxa"/>
            </w:tcMar>
            <w:vAlign w:val="bottom"/>
          </w:tcPr>
          <w:p>
            <w:pPr>
              <w:widowControl/>
              <w:jc w:val="center"/>
              <w:rPr>
                <w:rFonts w:hint="eastAsia" w:ascii="宋体" w:hAnsi="宋体" w:cs="宋体"/>
                <w:b/>
                <w:bCs/>
                <w:kern w:val="0"/>
                <w:szCs w:val="21"/>
              </w:rPr>
            </w:pPr>
            <w:r>
              <w:rPr>
                <w:rFonts w:ascii="宋体" w:hAnsi="宋体" w:cs="宋体"/>
                <w:b/>
                <w:bCs/>
                <w:kern w:val="0"/>
                <w:szCs w:val="21"/>
              </w:rPr>
              <w:t>中型</w:t>
            </w:r>
          </w:p>
        </w:tc>
        <w:tc>
          <w:tcPr>
            <w:tcW w:w="1730" w:type="dxa"/>
            <w:noWrap w:val="0"/>
            <w:tcMar>
              <w:top w:w="75" w:type="dxa"/>
              <w:left w:w="75" w:type="dxa"/>
              <w:bottom w:w="75" w:type="dxa"/>
              <w:right w:w="75" w:type="dxa"/>
            </w:tcMar>
            <w:vAlign w:val="bottom"/>
          </w:tcPr>
          <w:p>
            <w:pPr>
              <w:widowControl/>
              <w:jc w:val="center"/>
              <w:rPr>
                <w:rFonts w:hint="eastAsia" w:ascii="宋体" w:hAnsi="宋体" w:cs="宋体"/>
                <w:b/>
                <w:bCs/>
                <w:kern w:val="0"/>
                <w:szCs w:val="21"/>
              </w:rPr>
            </w:pPr>
            <w:r>
              <w:rPr>
                <w:rFonts w:ascii="宋体" w:hAnsi="宋体" w:cs="宋体"/>
                <w:b/>
                <w:bCs/>
                <w:kern w:val="0"/>
                <w:szCs w:val="21"/>
              </w:rPr>
              <w:t>小型</w:t>
            </w:r>
          </w:p>
        </w:tc>
        <w:tc>
          <w:tcPr>
            <w:tcW w:w="1203" w:type="dxa"/>
            <w:noWrap w:val="0"/>
            <w:tcMar>
              <w:top w:w="75" w:type="dxa"/>
              <w:left w:w="75" w:type="dxa"/>
              <w:bottom w:w="75" w:type="dxa"/>
              <w:right w:w="75" w:type="dxa"/>
            </w:tcMar>
            <w:vAlign w:val="bottom"/>
          </w:tcPr>
          <w:p>
            <w:pPr>
              <w:widowControl/>
              <w:jc w:val="center"/>
              <w:rPr>
                <w:rFonts w:hint="eastAsia" w:ascii="宋体" w:hAnsi="宋体" w:cs="宋体"/>
                <w:b/>
                <w:bCs/>
                <w:kern w:val="0"/>
                <w:szCs w:val="21"/>
              </w:rPr>
            </w:pPr>
            <w:r>
              <w:rPr>
                <w:rFonts w:ascii="宋体" w:hAnsi="宋体" w:cs="宋体"/>
                <w:b/>
                <w:bCs/>
                <w:kern w:val="0"/>
                <w:szCs w:val="21"/>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pPr>
              <w:widowControl/>
              <w:jc w:val="left"/>
              <w:rPr>
                <w:rFonts w:ascii="宋体" w:hAnsi="宋体" w:cs="宋体"/>
                <w:kern w:val="0"/>
                <w:sz w:val="24"/>
              </w:rPr>
            </w:pPr>
            <w:r>
              <w:rPr>
                <w:rFonts w:ascii="宋体" w:hAnsi="宋体" w:cs="宋体"/>
                <w:kern w:val="0"/>
                <w:sz w:val="24"/>
              </w:rPr>
              <w:t>农、林、牧、渔业</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Y≥20000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500≤Y＜20000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50≤Y＜500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工业 *</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X≥1000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300≤X＜1000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20≤X＜300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Y≥40000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2000≤Y＜40000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300≤Y＜2000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建筑业</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Y≥80000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6000≤Y＜80000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300≤Y＜6000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资产总额(Z)</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Z≥80000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5000≤Z＜80000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300≤Z＜5000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批发业</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X≥200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20≤X＜200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5≤X＜20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Y≥40000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5000≤Y＜40000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1000≤Y＜5000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零售业</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X≥300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50≤X＜300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10≤X＜50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Y≥20000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500≤Y＜20000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100≤Y＜500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交通运输业 *</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X≥1000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300≤X＜1000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20≤X＜300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Y≥30000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3000≤Y＜30000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200≤Y＜3000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仓储业*</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X≥200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100≤X＜200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20≤X＜100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Y≥30000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1000≤Y＜30000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100≤Y＜1000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邮政业</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X≥1000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300≤X＜1000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20≤X＜300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Y≥30000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2000≤Y＜30000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100≤Y＜2000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住宿业</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X≥300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100≤X＜300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10≤X＜100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Y≥10000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2000≤Y＜10000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100≤Y＜2000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餐饮业</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X≥300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100≤X＜300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10≤X＜100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Y≥10000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2000≤Y＜10000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100≤Y＜2000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信息传输业 *</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X≥2000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100≤X＜2000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10≤X＜100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Y≥100000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1000≤Y＜100000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100≤Y＜1000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软件和信息技术服务业</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X≥300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100≤X＜300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10≤X＜100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Y≥10000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1000≤Y＜10000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50≤Y＜1000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房地产开发经营</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Y≥200000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1000≤Y＜200000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100≤Y＜1000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资产总额(Z)</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Z≥10000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5000≤Z＜10000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2000≤Z＜5000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物业管理</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X≥1000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300≤X＜1000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100≤X＜300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营业收入(Y)</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Y≥5000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1000≤Y＜5000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500≤Y＜1000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pPr>
              <w:widowControl/>
              <w:jc w:val="left"/>
              <w:rPr>
                <w:rFonts w:ascii="宋体" w:hAnsi="宋体" w:cs="宋体"/>
                <w:kern w:val="0"/>
                <w:sz w:val="24"/>
              </w:rPr>
            </w:pPr>
            <w:r>
              <w:rPr>
                <w:rFonts w:ascii="宋体" w:hAnsi="宋体" w:cs="宋体"/>
                <w:kern w:val="0"/>
                <w:sz w:val="24"/>
              </w:rPr>
              <w:t>租赁和商务服务业</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X≥300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100≤X＜300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10≤X＜100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pPr>
              <w:widowControl/>
              <w:jc w:val="left"/>
              <w:rPr>
                <w:rFonts w:ascii="宋体" w:hAnsi="宋体" w:cs="宋体"/>
                <w:kern w:val="0"/>
                <w:sz w:val="24"/>
              </w:rPr>
            </w:pPr>
          </w:p>
        </w:tc>
        <w:tc>
          <w:tcPr>
            <w:tcW w:w="1560" w:type="dxa"/>
            <w:noWrap w:val="0"/>
            <w:vAlign w:val="center"/>
          </w:tcPr>
          <w:p>
            <w:pPr>
              <w:widowControl/>
              <w:jc w:val="left"/>
              <w:rPr>
                <w:rFonts w:ascii="宋体" w:hAnsi="宋体" w:cs="宋体"/>
                <w:kern w:val="0"/>
                <w:sz w:val="24"/>
              </w:rPr>
            </w:pPr>
            <w:r>
              <w:rPr>
                <w:rFonts w:ascii="宋体" w:hAnsi="宋体" w:cs="宋体"/>
                <w:kern w:val="0"/>
                <w:sz w:val="24"/>
              </w:rPr>
              <w:t>资产总额(Z)</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万元</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Z≥120000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8000≤Z＜120000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100≤Z＜8000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pPr>
              <w:widowControl/>
              <w:jc w:val="left"/>
              <w:rPr>
                <w:rFonts w:ascii="宋体" w:hAnsi="宋体" w:cs="宋体"/>
                <w:kern w:val="0"/>
                <w:sz w:val="24"/>
              </w:rPr>
            </w:pPr>
            <w:r>
              <w:rPr>
                <w:rFonts w:ascii="宋体" w:hAnsi="宋体" w:cs="宋体"/>
                <w:kern w:val="0"/>
                <w:sz w:val="24"/>
              </w:rPr>
              <w:t>其他未列明行业 *</w:t>
            </w:r>
          </w:p>
        </w:tc>
        <w:tc>
          <w:tcPr>
            <w:tcW w:w="1560" w:type="dxa"/>
            <w:noWrap w:val="0"/>
            <w:vAlign w:val="center"/>
          </w:tcPr>
          <w:p>
            <w:pPr>
              <w:widowControl/>
              <w:jc w:val="left"/>
              <w:rPr>
                <w:rFonts w:ascii="宋体" w:hAnsi="宋体" w:cs="宋体"/>
                <w:kern w:val="0"/>
                <w:sz w:val="24"/>
              </w:rPr>
            </w:pPr>
            <w:r>
              <w:rPr>
                <w:rFonts w:ascii="宋体" w:hAnsi="宋体" w:cs="宋体"/>
                <w:kern w:val="0"/>
                <w:sz w:val="24"/>
              </w:rPr>
              <w:t>从业人员(X)</w:t>
            </w:r>
          </w:p>
        </w:tc>
        <w:tc>
          <w:tcPr>
            <w:tcW w:w="671" w:type="dxa"/>
            <w:noWrap w:val="0"/>
            <w:vAlign w:val="center"/>
          </w:tcPr>
          <w:p>
            <w:pPr>
              <w:widowControl/>
              <w:jc w:val="left"/>
              <w:rPr>
                <w:rFonts w:ascii="宋体" w:hAnsi="宋体" w:cs="宋体"/>
                <w:kern w:val="0"/>
                <w:sz w:val="24"/>
              </w:rPr>
            </w:pPr>
            <w:r>
              <w:rPr>
                <w:rFonts w:ascii="宋体" w:hAnsi="宋体" w:cs="宋体"/>
                <w:kern w:val="0"/>
                <w:sz w:val="24"/>
              </w:rPr>
              <w:t>人</w:t>
            </w:r>
          </w:p>
        </w:tc>
        <w:tc>
          <w:tcPr>
            <w:tcW w:w="1231" w:type="dxa"/>
            <w:noWrap w:val="0"/>
            <w:vAlign w:val="center"/>
          </w:tcPr>
          <w:p>
            <w:pPr>
              <w:widowControl/>
              <w:jc w:val="left"/>
              <w:rPr>
                <w:rFonts w:ascii="宋体" w:hAnsi="宋体" w:cs="宋体"/>
                <w:kern w:val="0"/>
                <w:sz w:val="24"/>
              </w:rPr>
            </w:pPr>
            <w:r>
              <w:rPr>
                <w:rFonts w:ascii="宋体" w:hAnsi="宋体" w:cs="宋体"/>
                <w:kern w:val="0"/>
                <w:sz w:val="24"/>
              </w:rPr>
              <w:t>X≥300</w:t>
            </w:r>
          </w:p>
        </w:tc>
        <w:tc>
          <w:tcPr>
            <w:tcW w:w="1891" w:type="dxa"/>
            <w:noWrap w:val="0"/>
            <w:vAlign w:val="center"/>
          </w:tcPr>
          <w:p>
            <w:pPr>
              <w:widowControl/>
              <w:jc w:val="left"/>
              <w:rPr>
                <w:rFonts w:ascii="宋体" w:hAnsi="宋体" w:cs="宋体"/>
                <w:kern w:val="0"/>
                <w:sz w:val="24"/>
              </w:rPr>
            </w:pPr>
            <w:r>
              <w:rPr>
                <w:rFonts w:ascii="宋体" w:hAnsi="宋体" w:cs="宋体"/>
                <w:kern w:val="0"/>
                <w:sz w:val="24"/>
              </w:rPr>
              <w:t>100≤X＜300</w:t>
            </w:r>
          </w:p>
        </w:tc>
        <w:tc>
          <w:tcPr>
            <w:tcW w:w="1730" w:type="dxa"/>
            <w:noWrap w:val="0"/>
            <w:vAlign w:val="center"/>
          </w:tcPr>
          <w:p>
            <w:pPr>
              <w:widowControl/>
              <w:jc w:val="left"/>
              <w:rPr>
                <w:rFonts w:ascii="宋体" w:hAnsi="宋体" w:cs="宋体"/>
                <w:kern w:val="0"/>
                <w:sz w:val="24"/>
              </w:rPr>
            </w:pPr>
            <w:r>
              <w:rPr>
                <w:rFonts w:ascii="宋体" w:hAnsi="宋体" w:cs="宋体"/>
                <w:kern w:val="0"/>
                <w:sz w:val="24"/>
              </w:rPr>
              <w:t>10≤X＜100</w:t>
            </w:r>
          </w:p>
        </w:tc>
        <w:tc>
          <w:tcPr>
            <w:tcW w:w="1203" w:type="dxa"/>
            <w:noWrap w:val="0"/>
            <w:vAlign w:val="center"/>
          </w:tcPr>
          <w:p>
            <w:pPr>
              <w:widowControl/>
              <w:jc w:val="left"/>
              <w:rPr>
                <w:rFonts w:ascii="宋体" w:hAnsi="宋体" w:cs="宋体"/>
                <w:kern w:val="0"/>
                <w:sz w:val="24"/>
              </w:rPr>
            </w:pPr>
            <w:r>
              <w:rPr>
                <w:rFonts w:ascii="宋体" w:hAnsi="宋体" w:cs="宋体"/>
                <w:kern w:val="0"/>
                <w:sz w:val="24"/>
              </w:rPr>
              <w:t>X＜10</w:t>
            </w:r>
          </w:p>
        </w:tc>
      </w:tr>
    </w:tbl>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说明： 　　</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1.大型、中型和小型企业须同时满足所列指标的下限，否则下划一档；微型企业只须满足所列指标中的一项即可。 　　</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3.企业划分指标以现行统计制度为准。</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（1）从业人员，是指期末从业人员数，没有期末从业人员数的，采用全年平均人员数代替。</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fill="FFFFFF"/>
        <w:spacing w:line="420" w:lineRule="atLeast"/>
        <w:jc w:val="left"/>
        <w:textAlignment w:val="baseline"/>
        <w:rPr>
          <w:rFonts w:hint="eastAsia"/>
          <w:lang w:eastAsia="zh-CN"/>
        </w:rPr>
      </w:pPr>
      <w:r>
        <w:rPr>
          <w:rFonts w:ascii="宋体" w:hAnsi="宋体" w:cs="宋体"/>
          <w:kern w:val="0"/>
          <w:szCs w:val="21"/>
        </w:rPr>
        <w:t>    （3）资产总额，采用资产总计代替。</w:t>
      </w:r>
    </w:p>
    <w:p>
      <w:pPr>
        <w:widowControl/>
        <w:shd w:val="clear" w:color="auto" w:fill="FFFFFF"/>
        <w:spacing w:before="150" w:line="600" w:lineRule="atLeast"/>
        <w:jc w:val="center"/>
        <w:textAlignment w:val="baseline"/>
        <w:rPr>
          <w:rFonts w:ascii="宋体" w:hAnsi="宋体" w:cs="宋体"/>
          <w:b/>
          <w:bCs/>
          <w:kern w:val="0"/>
          <w:sz w:val="36"/>
          <w:szCs w:val="36"/>
        </w:rPr>
      </w:pPr>
    </w:p>
    <w:p>
      <w:pPr>
        <w:widowControl/>
        <w:shd w:val="clear" w:color="auto" w:fill="FFFFFF"/>
        <w:spacing w:before="150" w:line="600" w:lineRule="atLeast"/>
        <w:jc w:val="center"/>
        <w:textAlignment w:val="baseline"/>
        <w:rPr>
          <w:rFonts w:hint="eastAsia" w:ascii="宋体" w:hAnsi="宋体" w:cs="宋体"/>
          <w:b/>
          <w:bCs/>
          <w:kern w:val="0"/>
          <w:sz w:val="36"/>
          <w:szCs w:val="36"/>
        </w:rPr>
      </w:pPr>
      <w:r>
        <w:rPr>
          <w:rFonts w:ascii="宋体" w:hAnsi="宋体" w:cs="宋体"/>
          <w:b/>
          <w:bCs/>
          <w:kern w:val="0"/>
          <w:sz w:val="36"/>
          <w:szCs w:val="36"/>
        </w:rPr>
        <w:t>《统计上大中小微型企业划分办法（2017）》修订说明</w:t>
      </w:r>
    </w:p>
    <w:p>
      <w:pPr>
        <w:widowControl/>
        <w:shd w:val="clear" w:color="auto" w:fill="FFFFFF"/>
        <w:spacing w:before="150" w:line="540" w:lineRule="atLeast"/>
        <w:jc w:val="left"/>
        <w:textAlignment w:val="baseline"/>
        <w:rPr>
          <w:rFonts w:hint="eastAsia" w:ascii="宋体" w:hAnsi="宋体" w:cs="宋体"/>
          <w:b/>
          <w:bCs/>
          <w:kern w:val="0"/>
          <w:sz w:val="27"/>
          <w:szCs w:val="27"/>
        </w:rPr>
      </w:pPr>
      <w:r>
        <w:rPr>
          <w:rFonts w:ascii="宋体" w:hAnsi="宋体" w:cs="宋体"/>
          <w:b/>
          <w:bCs/>
          <w:kern w:val="0"/>
          <w:sz w:val="27"/>
          <w:szCs w:val="27"/>
        </w:rPr>
        <w:t>一、修订背景</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before="150" w:line="540" w:lineRule="atLeast"/>
        <w:jc w:val="left"/>
        <w:textAlignment w:val="baseline"/>
        <w:rPr>
          <w:rFonts w:hint="eastAsia" w:ascii="宋体" w:hAnsi="宋体" w:cs="宋体"/>
          <w:b/>
          <w:bCs/>
          <w:kern w:val="0"/>
          <w:sz w:val="27"/>
          <w:szCs w:val="27"/>
        </w:rPr>
      </w:pPr>
      <w:r>
        <w:rPr>
          <w:rFonts w:ascii="宋体" w:hAnsi="宋体" w:cs="宋体"/>
          <w:b/>
          <w:bCs/>
          <w:kern w:val="0"/>
          <w:sz w:val="27"/>
          <w:szCs w:val="27"/>
        </w:rPr>
        <w:t>二、修订主要内容</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    将交通运输业中包括的“装卸搬运和运输代理业”修改为“多式联运和运输代理业、装卸搬运”。</w:t>
      </w:r>
    </w:p>
    <w:p>
      <w:pPr>
        <w:widowControl/>
        <w:shd w:val="clear" w:color="auto" w:fill="FFFFFF"/>
        <w:spacing w:before="150" w:line="420" w:lineRule="atLeast"/>
        <w:jc w:val="left"/>
        <w:textAlignment w:val="baseline"/>
        <w:rPr>
          <w:rFonts w:ascii="宋体" w:hAnsi="宋体" w:cs="宋体"/>
          <w:b/>
          <w:bCs/>
          <w:kern w:val="0"/>
          <w:sz w:val="36"/>
          <w:szCs w:val="36"/>
        </w:rPr>
      </w:pPr>
      <w:r>
        <w:rPr>
          <w:rFonts w:ascii="宋体" w:hAnsi="宋体" w:cs="宋体"/>
          <w:kern w:val="0"/>
          <w:szCs w:val="21"/>
        </w:rPr>
        <w:t>    仓储业所包括的行业中类，根据《国民经济行业分类》（GB/T4754—2017）调整为“通用仓储，低温仓储，危险品仓储，谷物、棉花等农产品仓储，中药材仓储和其他仓储业”。</w:t>
      </w:r>
    </w:p>
    <w:p>
      <w:pPr>
        <w:widowControl/>
        <w:shd w:val="clear" w:color="auto" w:fill="FFFFFF"/>
        <w:spacing w:line="600" w:lineRule="atLeast"/>
        <w:jc w:val="center"/>
        <w:textAlignment w:val="baseline"/>
        <w:rPr>
          <w:rFonts w:ascii="宋体" w:hAnsi="宋体" w:cs="宋体"/>
          <w:b/>
          <w:bCs/>
          <w:kern w:val="0"/>
          <w:sz w:val="36"/>
          <w:szCs w:val="36"/>
        </w:rPr>
      </w:pPr>
    </w:p>
    <w:p>
      <w:pPr>
        <w:widowControl/>
        <w:shd w:val="clear" w:color="auto" w:fill="FFFFFF"/>
        <w:spacing w:line="600" w:lineRule="atLeast"/>
        <w:jc w:val="center"/>
        <w:textAlignment w:val="baseline"/>
        <w:rPr>
          <w:rFonts w:hint="eastAsia" w:ascii="宋体" w:hAnsi="宋体" w:eastAsia="宋体" w:cs="宋体"/>
          <w:b/>
          <w:bCs/>
          <w:kern w:val="0"/>
          <w:sz w:val="36"/>
          <w:szCs w:val="36"/>
          <w:lang w:eastAsia="zh-CN"/>
        </w:rPr>
      </w:pPr>
      <w:r>
        <w:rPr>
          <w:rFonts w:ascii="宋体" w:hAnsi="宋体" w:cs="宋体"/>
          <w:b/>
          <w:bCs/>
          <w:kern w:val="0"/>
          <w:sz w:val="36"/>
          <w:szCs w:val="36"/>
        </w:rPr>
        <w:t>中国人民银行中国银行业监督管理委员会</w:t>
      </w:r>
    </w:p>
    <w:p>
      <w:pPr>
        <w:widowControl/>
        <w:shd w:val="clear" w:color="auto" w:fill="FFFFFF"/>
        <w:spacing w:line="600" w:lineRule="atLeast"/>
        <w:jc w:val="center"/>
        <w:textAlignment w:val="baseline"/>
        <w:rPr>
          <w:rFonts w:hint="eastAsia" w:ascii="宋体" w:hAnsi="宋体" w:eastAsia="宋体" w:cs="宋体"/>
          <w:b/>
          <w:bCs/>
          <w:kern w:val="0"/>
          <w:sz w:val="36"/>
          <w:szCs w:val="36"/>
          <w:lang w:eastAsia="zh-CN"/>
        </w:rPr>
      </w:pPr>
      <w:r>
        <w:rPr>
          <w:rFonts w:ascii="宋体" w:hAnsi="宋体" w:cs="宋体"/>
          <w:b/>
          <w:bCs/>
          <w:kern w:val="0"/>
          <w:sz w:val="36"/>
          <w:szCs w:val="36"/>
        </w:rPr>
        <w:t>中国证券监督管理委员会中国保险监督管理委员会</w:t>
      </w:r>
    </w:p>
    <w:p>
      <w:pPr>
        <w:widowControl/>
        <w:shd w:val="clear" w:color="auto" w:fill="FFFFFF"/>
        <w:spacing w:line="600" w:lineRule="atLeast"/>
        <w:jc w:val="center"/>
        <w:textAlignment w:val="baseline"/>
        <w:rPr>
          <w:rFonts w:hint="eastAsia" w:ascii="宋体" w:hAnsi="宋体" w:cs="宋体"/>
          <w:b/>
          <w:bCs/>
          <w:kern w:val="0"/>
          <w:sz w:val="36"/>
          <w:szCs w:val="36"/>
        </w:rPr>
      </w:pPr>
      <w:r>
        <w:rPr>
          <w:rFonts w:ascii="宋体" w:hAnsi="宋体" w:cs="宋体"/>
          <w:b/>
          <w:bCs/>
          <w:kern w:val="0"/>
          <w:sz w:val="36"/>
          <w:szCs w:val="36"/>
        </w:rPr>
        <w:t>国家统计局关于印发《金融业企业划型标准规定》的通知</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pPr>
        <w:widowControl/>
        <w:shd w:val="clear" w:color="auto" w:fill="FFFFFF"/>
        <w:spacing w:line="420" w:lineRule="atLeast"/>
        <w:jc w:val="left"/>
        <w:textAlignment w:val="baseline"/>
        <w:rPr>
          <w:rFonts w:hint="eastAsia" w:ascii="宋体" w:hAnsi="宋体" w:cs="宋体"/>
          <w:kern w:val="0"/>
          <w:szCs w:val="21"/>
        </w:rPr>
      </w:pPr>
      <w:r>
        <w:rPr>
          <w:rFonts w:ascii="宋体" w:hAnsi="宋体" w:cs="宋体"/>
          <w:kern w:val="0"/>
          <w:szCs w:val="21"/>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附件：金融业企业划型标准规定</w:t>
      </w:r>
    </w:p>
    <w:p>
      <w:pPr>
        <w:widowControl/>
        <w:shd w:val="clear" w:color="auto" w:fill="FFFFFF"/>
        <w:spacing w:before="150" w:line="600" w:lineRule="atLeast"/>
        <w:jc w:val="center"/>
        <w:textAlignment w:val="baseline"/>
        <w:rPr>
          <w:rFonts w:ascii="宋体" w:hAnsi="宋体" w:cs="宋体"/>
          <w:b/>
          <w:bCs/>
          <w:kern w:val="0"/>
          <w:sz w:val="36"/>
          <w:szCs w:val="36"/>
        </w:rPr>
      </w:pPr>
    </w:p>
    <w:p>
      <w:pPr>
        <w:widowControl/>
        <w:shd w:val="clear" w:color="auto" w:fill="FFFFFF"/>
        <w:spacing w:before="150" w:line="600" w:lineRule="atLeast"/>
        <w:jc w:val="center"/>
        <w:textAlignment w:val="baseline"/>
        <w:rPr>
          <w:rFonts w:hint="eastAsia" w:ascii="宋体" w:hAnsi="宋体" w:cs="宋体"/>
          <w:b/>
          <w:bCs/>
          <w:kern w:val="0"/>
          <w:sz w:val="36"/>
          <w:szCs w:val="36"/>
        </w:rPr>
      </w:pPr>
      <w:r>
        <w:rPr>
          <w:rFonts w:ascii="宋体" w:hAnsi="宋体" w:cs="宋体"/>
          <w:b/>
          <w:bCs/>
          <w:kern w:val="0"/>
          <w:sz w:val="36"/>
          <w:szCs w:val="36"/>
        </w:rPr>
        <w:t>金融业企业划型标准规定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二、 适用范围。本规定适用于从事《国民经济行业分类》(GB/T4754-2011)中J门类（金融业）活动的企业。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四、划型标准指标。采用一个完整会计年度中四个季度末法人并表口径的资产总额（信托公司为信托资产）平均值作为划型指标，该指标以监管部门数据为准。</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五、指标标准值。依据指标标准值，将各类金融业企业划分为大、中、小、微四个规模类型，中型企业标准上限及以上的为大型企业。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(四) 证券业金融机构。资产总额1000亿元以下的为中小微型企业。其中，资产总额100亿元及以上的为中型企业，资产总额10亿元及以上的为小型企业，资产总额10亿元以下的为微型企业。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(五) 保险业金融机构。资产总额5000亿元以下的为中小微型企业。其中，资产总额400亿元及以上的为中型企业，资产总额20亿元及以上的为小型企业，资产总额20亿元以下的为微型企业。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(六) 信托公司。信托资产1000亿元以下的为中小微型企业。其中，信托资产400亿元及以上的为中型企业，信托资产20亿元及以上的为小型企业，信托资产20亿元以下的为微型企业。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(七) 金融控股公司。资产总额40000亿元以下的为中小微型企业。其中，资产总额5000亿元及以上的为中型企业，资产总额50亿元及以上的为小型企业，资产总额50亿元以下的为微型企业。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七、 标准值的评估和调整。金融业企业划型标准工作组毎五年对划型标准值受经济发展与通货膨胀等因素的响程度进行评估和调整。</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八、 本规定的中型金融业企业标准上限即为大型金融业企业下限。国务院有关部门据此进行相关数据的统计分析，不得制定与本规定不一致的金融业企业划型标准。</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九、 融资担保公司参照本规定中“除贷款公司、小额贷款公司、典当行以外的其他金融机构”标准划型。</w:t>
      </w:r>
    </w:p>
    <w:p>
      <w:pPr>
        <w:widowControl/>
        <w:shd w:val="clear" w:color="auto" w:fill="FFFFFF"/>
        <w:spacing w:line="420" w:lineRule="atLeast"/>
        <w:jc w:val="left"/>
        <w:textAlignment w:val="baseline"/>
        <w:rPr>
          <w:rFonts w:hint="eastAsia" w:ascii="宋体" w:hAnsi="宋体" w:eastAsia="宋体" w:cs="宋体"/>
          <w:kern w:val="0"/>
          <w:szCs w:val="21"/>
          <w:lang w:eastAsia="zh-CN"/>
        </w:rPr>
      </w:pPr>
      <w:r>
        <w:rPr>
          <w:rFonts w:ascii="宋体" w:hAnsi="宋体" w:cs="宋体"/>
          <w:kern w:val="0"/>
          <w:szCs w:val="21"/>
        </w:rPr>
        <w:t>    十、本规定由人民银行会同银监会，证监会、保监会和统计局负责解释。</w:t>
      </w:r>
    </w:p>
    <w:p>
      <w:pPr>
        <w:widowControl/>
        <w:shd w:val="clear" w:color="auto" w:fill="FFFFFF"/>
        <w:spacing w:line="420" w:lineRule="atLeast"/>
        <w:jc w:val="left"/>
        <w:textAlignment w:val="baseline"/>
        <w:rPr>
          <w:rFonts w:hint="eastAsia" w:ascii="宋体" w:hAnsi="宋体" w:cs="宋体"/>
          <w:kern w:val="0"/>
          <w:szCs w:val="21"/>
        </w:rPr>
      </w:pPr>
      <w:r>
        <w:rPr>
          <w:rFonts w:ascii="宋体" w:hAnsi="宋体" w:cs="宋体"/>
          <w:kern w:val="0"/>
          <w:szCs w:val="21"/>
        </w:rPr>
        <w:t>    十一、本规定自发布之日起实施。</w:t>
      </w:r>
    </w:p>
    <w:p>
      <w:pPr>
        <w:widowControl/>
        <w:shd w:val="clear" w:color="auto" w:fill="FFFFFF"/>
        <w:spacing w:before="150" w:line="420" w:lineRule="atLeast"/>
        <w:jc w:val="left"/>
        <w:textAlignment w:val="baseline"/>
        <w:rPr>
          <w:rFonts w:hint="eastAsia" w:ascii="宋体" w:hAnsi="宋体" w:cs="宋体"/>
          <w:kern w:val="0"/>
          <w:szCs w:val="21"/>
        </w:rPr>
      </w:pPr>
      <w:r>
        <w:rPr>
          <w:rFonts w:ascii="宋体" w:hAnsi="宋体" w:cs="宋体"/>
          <w:kern w:val="0"/>
          <w:szCs w:val="21"/>
        </w:rPr>
        <w:t>附：金融业企业划型标准</w:t>
      </w:r>
    </w:p>
    <w:p>
      <w:pPr>
        <w:widowControl/>
        <w:shd w:val="clear" w:color="auto" w:fill="FFFFFF"/>
        <w:spacing w:before="150" w:line="600" w:lineRule="atLeast"/>
        <w:jc w:val="center"/>
        <w:textAlignment w:val="baseline"/>
        <w:rPr>
          <w:rFonts w:hint="eastAsia" w:ascii="宋体" w:hAnsi="宋体" w:cs="宋体"/>
          <w:b/>
          <w:bCs/>
          <w:kern w:val="0"/>
          <w:sz w:val="36"/>
          <w:szCs w:val="36"/>
        </w:rPr>
      </w:pPr>
      <w:r>
        <w:rPr>
          <w:rFonts w:ascii="宋体" w:hAnsi="宋体" w:cs="宋体"/>
          <w:b/>
          <w:bCs/>
          <w:kern w:val="0"/>
          <w:sz w:val="36"/>
          <w:szCs w:val="36"/>
        </w:rPr>
        <w:t>金融业企业划型标准</w:t>
      </w:r>
    </w:p>
    <w:tbl>
      <w:tblPr>
        <w:tblStyle w:val="29"/>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noWrap w:val="0"/>
            <w:tcMar>
              <w:top w:w="75" w:type="dxa"/>
              <w:left w:w="75" w:type="dxa"/>
              <w:bottom w:w="75" w:type="dxa"/>
              <w:right w:w="75" w:type="dxa"/>
            </w:tcMar>
            <w:vAlign w:val="bottom"/>
          </w:tcPr>
          <w:p>
            <w:pPr>
              <w:widowControl/>
              <w:jc w:val="center"/>
              <w:rPr>
                <w:rFonts w:hint="eastAsia" w:ascii="宋体" w:hAnsi="宋体" w:cs="宋体"/>
                <w:b/>
                <w:bCs/>
                <w:kern w:val="0"/>
                <w:szCs w:val="21"/>
              </w:rPr>
            </w:pPr>
            <w:r>
              <w:rPr>
                <w:rFonts w:ascii="宋体" w:hAnsi="宋体" w:cs="宋体"/>
                <w:b/>
                <w:bCs/>
                <w:kern w:val="0"/>
                <w:szCs w:val="21"/>
              </w:rPr>
              <w:t>行业</w:t>
            </w:r>
          </w:p>
        </w:tc>
        <w:tc>
          <w:tcPr>
            <w:tcW w:w="2836" w:type="dxa"/>
            <w:noWrap w:val="0"/>
            <w:tcMar>
              <w:top w:w="75" w:type="dxa"/>
              <w:left w:w="75" w:type="dxa"/>
              <w:bottom w:w="75" w:type="dxa"/>
              <w:right w:w="75" w:type="dxa"/>
            </w:tcMar>
            <w:vAlign w:val="bottom"/>
          </w:tcPr>
          <w:p>
            <w:pPr>
              <w:widowControl/>
              <w:jc w:val="center"/>
              <w:rPr>
                <w:rFonts w:hint="eastAsia" w:ascii="宋体" w:hAnsi="宋体" w:cs="宋体"/>
                <w:b/>
                <w:bCs/>
                <w:kern w:val="0"/>
                <w:szCs w:val="21"/>
              </w:rPr>
            </w:pPr>
            <w:r>
              <w:rPr>
                <w:rFonts w:ascii="宋体" w:hAnsi="宋体" w:cs="宋体"/>
                <w:b/>
                <w:bCs/>
                <w:kern w:val="0"/>
                <w:szCs w:val="21"/>
              </w:rPr>
              <w:t>类别</w:t>
            </w:r>
          </w:p>
        </w:tc>
        <w:tc>
          <w:tcPr>
            <w:tcW w:w="606" w:type="dxa"/>
            <w:noWrap w:val="0"/>
            <w:tcMar>
              <w:top w:w="75" w:type="dxa"/>
              <w:left w:w="75" w:type="dxa"/>
              <w:bottom w:w="75" w:type="dxa"/>
              <w:right w:w="75" w:type="dxa"/>
            </w:tcMar>
            <w:vAlign w:val="bottom"/>
          </w:tcPr>
          <w:p>
            <w:pPr>
              <w:widowControl/>
              <w:jc w:val="center"/>
              <w:rPr>
                <w:rFonts w:hint="eastAsia" w:ascii="宋体" w:hAnsi="宋体" w:cs="宋体"/>
                <w:b/>
                <w:bCs/>
                <w:kern w:val="0"/>
                <w:szCs w:val="21"/>
              </w:rPr>
            </w:pPr>
            <w:r>
              <w:rPr>
                <w:rFonts w:ascii="宋体" w:hAnsi="宋体" w:cs="宋体"/>
                <w:b/>
                <w:bCs/>
                <w:kern w:val="0"/>
                <w:szCs w:val="21"/>
              </w:rPr>
              <w:t>类型</w:t>
            </w:r>
          </w:p>
        </w:tc>
        <w:tc>
          <w:tcPr>
            <w:tcW w:w="3326" w:type="dxa"/>
            <w:noWrap w:val="0"/>
            <w:tcMar>
              <w:top w:w="75" w:type="dxa"/>
              <w:left w:w="75" w:type="dxa"/>
              <w:bottom w:w="75" w:type="dxa"/>
              <w:right w:w="75" w:type="dxa"/>
            </w:tcMar>
            <w:vAlign w:val="bottom"/>
          </w:tcPr>
          <w:p>
            <w:pPr>
              <w:widowControl/>
              <w:jc w:val="center"/>
              <w:rPr>
                <w:rFonts w:hint="eastAsia" w:ascii="宋体" w:hAnsi="宋体" w:cs="宋体"/>
                <w:b/>
                <w:bCs/>
                <w:kern w:val="0"/>
                <w:szCs w:val="21"/>
              </w:rPr>
            </w:pPr>
            <w:r>
              <w:rPr>
                <w:rFonts w:ascii="宋体" w:hAnsi="宋体" w:cs="宋体"/>
                <w:b/>
                <w:bCs/>
                <w:kern w:val="0"/>
                <w:szCs w:val="21"/>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noWrap w:val="0"/>
            <w:vAlign w:val="center"/>
          </w:tcPr>
          <w:p>
            <w:pPr>
              <w:widowControl/>
              <w:jc w:val="left"/>
              <w:rPr>
                <w:rFonts w:ascii="宋体" w:hAnsi="宋体" w:cs="宋体"/>
                <w:kern w:val="0"/>
                <w:sz w:val="24"/>
              </w:rPr>
            </w:pPr>
            <w:r>
              <w:rPr>
                <w:rFonts w:ascii="宋体" w:hAnsi="宋体" w:cs="宋体"/>
                <w:kern w:val="0"/>
                <w:sz w:val="24"/>
              </w:rPr>
              <w:t>货币金融服务</w:t>
            </w:r>
          </w:p>
        </w:tc>
        <w:tc>
          <w:tcPr>
            <w:tcW w:w="1025" w:type="dxa"/>
            <w:vMerge w:val="restart"/>
            <w:noWrap w:val="0"/>
            <w:vAlign w:val="center"/>
          </w:tcPr>
          <w:p>
            <w:pPr>
              <w:widowControl/>
              <w:jc w:val="left"/>
              <w:rPr>
                <w:rFonts w:ascii="宋体" w:hAnsi="宋体" w:cs="宋体"/>
                <w:kern w:val="0"/>
                <w:sz w:val="24"/>
              </w:rPr>
            </w:pPr>
            <w:r>
              <w:rPr>
                <w:rFonts w:ascii="宋体" w:hAnsi="宋体" w:cs="宋体"/>
                <w:kern w:val="0"/>
                <w:sz w:val="24"/>
              </w:rPr>
              <w:t>货币银行服务</w:t>
            </w:r>
          </w:p>
        </w:tc>
        <w:tc>
          <w:tcPr>
            <w:tcW w:w="2836" w:type="dxa"/>
            <w:vMerge w:val="restart"/>
            <w:noWrap w:val="0"/>
            <w:vAlign w:val="center"/>
          </w:tcPr>
          <w:p>
            <w:pPr>
              <w:widowControl/>
              <w:jc w:val="left"/>
              <w:rPr>
                <w:rFonts w:ascii="宋体" w:hAnsi="宋体" w:cs="宋体"/>
                <w:kern w:val="0"/>
                <w:sz w:val="24"/>
              </w:rPr>
            </w:pPr>
            <w:r>
              <w:rPr>
                <w:rFonts w:ascii="宋体" w:hAnsi="宋体" w:cs="宋体"/>
                <w:kern w:val="0"/>
                <w:sz w:val="24"/>
              </w:rPr>
              <w:t>银行业存款类金融机构</w:t>
            </w:r>
          </w:p>
        </w:tc>
        <w:tc>
          <w:tcPr>
            <w:tcW w:w="606" w:type="dxa"/>
            <w:noWrap w:val="0"/>
            <w:vAlign w:val="center"/>
          </w:tcPr>
          <w:p>
            <w:pPr>
              <w:widowControl/>
              <w:jc w:val="left"/>
              <w:rPr>
                <w:rFonts w:ascii="宋体" w:hAnsi="宋体" w:cs="宋体"/>
                <w:kern w:val="0"/>
                <w:sz w:val="24"/>
              </w:rPr>
            </w:pPr>
            <w:r>
              <w:rPr>
                <w:rFonts w:ascii="宋体" w:hAnsi="宋体" w:cs="宋体"/>
                <w:kern w:val="0"/>
                <w:sz w:val="24"/>
              </w:rPr>
              <w:t>中型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小型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微型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restart"/>
            <w:noWrap w:val="0"/>
            <w:vAlign w:val="center"/>
          </w:tcPr>
          <w:p>
            <w:pPr>
              <w:widowControl/>
              <w:jc w:val="left"/>
              <w:rPr>
                <w:rFonts w:ascii="宋体" w:hAnsi="宋体" w:cs="宋体"/>
                <w:kern w:val="0"/>
                <w:sz w:val="24"/>
              </w:rPr>
            </w:pPr>
            <w:r>
              <w:rPr>
                <w:rFonts w:ascii="宋体" w:hAnsi="宋体" w:cs="宋体"/>
                <w:kern w:val="0"/>
                <w:sz w:val="24"/>
              </w:rPr>
              <w:t>非货币银行服务</w:t>
            </w:r>
          </w:p>
        </w:tc>
        <w:tc>
          <w:tcPr>
            <w:tcW w:w="2836" w:type="dxa"/>
            <w:vMerge w:val="restart"/>
            <w:noWrap w:val="0"/>
            <w:vAlign w:val="center"/>
          </w:tcPr>
          <w:p>
            <w:pPr>
              <w:widowControl/>
              <w:jc w:val="left"/>
              <w:rPr>
                <w:rFonts w:ascii="宋体" w:hAnsi="宋体" w:cs="宋体"/>
                <w:kern w:val="0"/>
                <w:sz w:val="24"/>
              </w:rPr>
            </w:pPr>
            <w:r>
              <w:rPr>
                <w:rFonts w:ascii="宋体" w:hAnsi="宋体" w:cs="宋体"/>
                <w:kern w:val="0"/>
                <w:sz w:val="24"/>
              </w:rPr>
              <w:t>银行业非存款类金融机构</w:t>
            </w:r>
          </w:p>
        </w:tc>
        <w:tc>
          <w:tcPr>
            <w:tcW w:w="606" w:type="dxa"/>
            <w:noWrap w:val="0"/>
            <w:vAlign w:val="center"/>
          </w:tcPr>
          <w:p>
            <w:pPr>
              <w:widowControl/>
              <w:jc w:val="left"/>
              <w:rPr>
                <w:rFonts w:ascii="宋体" w:hAnsi="宋体" w:cs="宋体"/>
                <w:kern w:val="0"/>
                <w:sz w:val="24"/>
              </w:rPr>
            </w:pPr>
            <w:r>
              <w:rPr>
                <w:rFonts w:ascii="宋体" w:hAnsi="宋体" w:cs="宋体"/>
                <w:kern w:val="0"/>
                <w:sz w:val="24"/>
              </w:rPr>
              <w:t>中型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小型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微型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restart"/>
            <w:noWrap w:val="0"/>
            <w:vAlign w:val="center"/>
          </w:tcPr>
          <w:p>
            <w:pPr>
              <w:widowControl/>
              <w:jc w:val="left"/>
              <w:rPr>
                <w:rFonts w:ascii="宋体" w:hAnsi="宋体" w:cs="宋体"/>
                <w:kern w:val="0"/>
                <w:sz w:val="24"/>
              </w:rPr>
            </w:pPr>
            <w:r>
              <w:rPr>
                <w:rFonts w:ascii="宋体" w:hAnsi="宋体" w:cs="宋体"/>
                <w:kern w:val="0"/>
                <w:sz w:val="24"/>
              </w:rPr>
              <w:t>贷款公司、小额贷款公司及典当行</w:t>
            </w:r>
          </w:p>
        </w:tc>
        <w:tc>
          <w:tcPr>
            <w:tcW w:w="606" w:type="dxa"/>
            <w:noWrap w:val="0"/>
            <w:vAlign w:val="center"/>
          </w:tcPr>
          <w:p>
            <w:pPr>
              <w:widowControl/>
              <w:jc w:val="left"/>
              <w:rPr>
                <w:rFonts w:ascii="宋体" w:hAnsi="宋体" w:cs="宋体"/>
                <w:kern w:val="0"/>
                <w:sz w:val="24"/>
              </w:rPr>
            </w:pPr>
            <w:r>
              <w:rPr>
                <w:rFonts w:ascii="宋体" w:hAnsi="宋体" w:cs="宋体"/>
                <w:kern w:val="0"/>
                <w:sz w:val="24"/>
              </w:rPr>
              <w:t>中型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小型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微型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noWrap w:val="0"/>
            <w:vAlign w:val="center"/>
          </w:tcPr>
          <w:p>
            <w:pPr>
              <w:widowControl/>
              <w:jc w:val="left"/>
              <w:rPr>
                <w:rFonts w:ascii="宋体" w:hAnsi="宋体" w:cs="宋体"/>
                <w:kern w:val="0"/>
                <w:sz w:val="24"/>
              </w:rPr>
            </w:pPr>
            <w:r>
              <w:rPr>
                <w:rFonts w:ascii="宋体" w:hAnsi="宋体" w:cs="宋体"/>
                <w:kern w:val="0"/>
                <w:sz w:val="24"/>
              </w:rPr>
              <w:t>资本市场服务</w:t>
            </w:r>
          </w:p>
        </w:tc>
        <w:tc>
          <w:tcPr>
            <w:tcW w:w="2836" w:type="dxa"/>
            <w:vMerge w:val="restart"/>
            <w:noWrap w:val="0"/>
            <w:vAlign w:val="center"/>
          </w:tcPr>
          <w:p>
            <w:pPr>
              <w:widowControl/>
              <w:jc w:val="left"/>
              <w:rPr>
                <w:rFonts w:ascii="宋体" w:hAnsi="宋体" w:cs="宋体"/>
                <w:kern w:val="0"/>
                <w:sz w:val="24"/>
              </w:rPr>
            </w:pPr>
            <w:r>
              <w:rPr>
                <w:rFonts w:ascii="宋体" w:hAnsi="宋体" w:cs="宋体"/>
                <w:kern w:val="0"/>
                <w:sz w:val="24"/>
              </w:rPr>
              <w:t>证券业金融机构</w:t>
            </w:r>
          </w:p>
        </w:tc>
        <w:tc>
          <w:tcPr>
            <w:tcW w:w="606" w:type="dxa"/>
            <w:noWrap w:val="0"/>
            <w:vAlign w:val="center"/>
          </w:tcPr>
          <w:p>
            <w:pPr>
              <w:widowControl/>
              <w:jc w:val="left"/>
              <w:rPr>
                <w:rFonts w:ascii="宋体" w:hAnsi="宋体" w:cs="宋体"/>
                <w:kern w:val="0"/>
                <w:sz w:val="24"/>
              </w:rPr>
            </w:pPr>
            <w:r>
              <w:rPr>
                <w:rFonts w:ascii="宋体" w:hAnsi="宋体" w:cs="宋体"/>
                <w:kern w:val="0"/>
                <w:sz w:val="24"/>
              </w:rPr>
              <w:t>中型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100亿元（含）至1000亿元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小型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10亿元（含）至100亿元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微型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10亿元以下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noWrap w:val="0"/>
            <w:vAlign w:val="center"/>
          </w:tcPr>
          <w:p>
            <w:pPr>
              <w:widowControl/>
              <w:jc w:val="left"/>
              <w:rPr>
                <w:rFonts w:ascii="宋体" w:hAnsi="宋体" w:cs="宋体"/>
                <w:kern w:val="0"/>
                <w:sz w:val="24"/>
              </w:rPr>
            </w:pPr>
            <w:r>
              <w:rPr>
                <w:rFonts w:ascii="宋体" w:hAnsi="宋体" w:cs="宋体"/>
                <w:kern w:val="0"/>
                <w:sz w:val="24"/>
              </w:rPr>
              <w:t>保险业</w:t>
            </w:r>
          </w:p>
        </w:tc>
        <w:tc>
          <w:tcPr>
            <w:tcW w:w="2836" w:type="dxa"/>
            <w:vMerge w:val="restart"/>
            <w:noWrap w:val="0"/>
            <w:vAlign w:val="center"/>
          </w:tcPr>
          <w:p>
            <w:pPr>
              <w:widowControl/>
              <w:jc w:val="left"/>
              <w:rPr>
                <w:rFonts w:ascii="宋体" w:hAnsi="宋体" w:cs="宋体"/>
                <w:kern w:val="0"/>
                <w:sz w:val="24"/>
              </w:rPr>
            </w:pPr>
            <w:r>
              <w:rPr>
                <w:rFonts w:ascii="宋体" w:hAnsi="宋体" w:cs="宋体"/>
                <w:kern w:val="0"/>
                <w:sz w:val="24"/>
              </w:rPr>
              <w:t>保险业金融机构</w:t>
            </w:r>
          </w:p>
        </w:tc>
        <w:tc>
          <w:tcPr>
            <w:tcW w:w="606" w:type="dxa"/>
            <w:noWrap w:val="0"/>
            <w:vAlign w:val="center"/>
          </w:tcPr>
          <w:p>
            <w:pPr>
              <w:widowControl/>
              <w:jc w:val="left"/>
              <w:rPr>
                <w:rFonts w:ascii="宋体" w:hAnsi="宋体" w:cs="宋体"/>
                <w:kern w:val="0"/>
                <w:sz w:val="24"/>
              </w:rPr>
            </w:pPr>
            <w:r>
              <w:rPr>
                <w:rFonts w:ascii="宋体" w:hAnsi="宋体" w:cs="宋体"/>
                <w:kern w:val="0"/>
                <w:sz w:val="24"/>
              </w:rPr>
              <w:t>中型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400亿元（含）至5000亿元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小型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微型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noWrap w:val="0"/>
            <w:vAlign w:val="center"/>
          </w:tcPr>
          <w:p>
            <w:pPr>
              <w:widowControl/>
              <w:jc w:val="left"/>
              <w:rPr>
                <w:rFonts w:ascii="宋体" w:hAnsi="宋体" w:cs="宋体"/>
                <w:kern w:val="0"/>
                <w:sz w:val="24"/>
              </w:rPr>
            </w:pPr>
            <w:r>
              <w:rPr>
                <w:rFonts w:ascii="宋体" w:hAnsi="宋体" w:cs="宋体"/>
                <w:kern w:val="0"/>
                <w:sz w:val="24"/>
              </w:rPr>
              <w:t>其他金融业</w:t>
            </w:r>
          </w:p>
        </w:tc>
        <w:tc>
          <w:tcPr>
            <w:tcW w:w="1025" w:type="dxa"/>
            <w:vMerge w:val="restart"/>
            <w:noWrap w:val="0"/>
            <w:vAlign w:val="center"/>
          </w:tcPr>
          <w:p>
            <w:pPr>
              <w:widowControl/>
              <w:jc w:val="left"/>
              <w:rPr>
                <w:rFonts w:ascii="宋体" w:hAnsi="宋体" w:cs="宋体"/>
                <w:kern w:val="0"/>
                <w:sz w:val="24"/>
              </w:rPr>
            </w:pPr>
            <w:r>
              <w:rPr>
                <w:rFonts w:ascii="宋体" w:hAnsi="宋体" w:cs="宋体"/>
                <w:kern w:val="0"/>
                <w:sz w:val="24"/>
              </w:rPr>
              <w:t>金融信托与管理服务</w:t>
            </w:r>
          </w:p>
        </w:tc>
        <w:tc>
          <w:tcPr>
            <w:tcW w:w="2836" w:type="dxa"/>
            <w:vMerge w:val="restart"/>
            <w:noWrap w:val="0"/>
            <w:vAlign w:val="center"/>
          </w:tcPr>
          <w:p>
            <w:pPr>
              <w:widowControl/>
              <w:jc w:val="left"/>
              <w:rPr>
                <w:rFonts w:ascii="宋体" w:hAnsi="宋体" w:cs="宋体"/>
                <w:kern w:val="0"/>
                <w:sz w:val="24"/>
              </w:rPr>
            </w:pPr>
            <w:r>
              <w:rPr>
                <w:rFonts w:ascii="宋体" w:hAnsi="宋体" w:cs="宋体"/>
                <w:kern w:val="0"/>
                <w:sz w:val="24"/>
              </w:rPr>
              <w:t>信托公司</w:t>
            </w:r>
          </w:p>
        </w:tc>
        <w:tc>
          <w:tcPr>
            <w:tcW w:w="606" w:type="dxa"/>
            <w:noWrap w:val="0"/>
            <w:vAlign w:val="center"/>
          </w:tcPr>
          <w:p>
            <w:pPr>
              <w:widowControl/>
              <w:jc w:val="left"/>
              <w:rPr>
                <w:rFonts w:ascii="宋体" w:hAnsi="宋体" w:cs="宋体"/>
                <w:kern w:val="0"/>
                <w:sz w:val="24"/>
              </w:rPr>
            </w:pPr>
            <w:r>
              <w:rPr>
                <w:rFonts w:ascii="宋体" w:hAnsi="宋体" w:cs="宋体"/>
                <w:kern w:val="0"/>
                <w:sz w:val="24"/>
              </w:rPr>
              <w:t>中型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400亿元（含）至1000亿元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小型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微型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restart"/>
            <w:noWrap w:val="0"/>
            <w:vAlign w:val="center"/>
          </w:tcPr>
          <w:p>
            <w:pPr>
              <w:widowControl/>
              <w:jc w:val="left"/>
              <w:rPr>
                <w:rFonts w:ascii="宋体" w:hAnsi="宋体" w:cs="宋体"/>
                <w:kern w:val="0"/>
                <w:sz w:val="24"/>
              </w:rPr>
            </w:pPr>
            <w:r>
              <w:rPr>
                <w:rFonts w:ascii="宋体" w:hAnsi="宋体" w:cs="宋体"/>
                <w:kern w:val="0"/>
                <w:sz w:val="24"/>
              </w:rPr>
              <w:t>控股公司服务</w:t>
            </w:r>
          </w:p>
        </w:tc>
        <w:tc>
          <w:tcPr>
            <w:tcW w:w="2836" w:type="dxa"/>
            <w:vMerge w:val="restart"/>
            <w:noWrap w:val="0"/>
            <w:vAlign w:val="center"/>
          </w:tcPr>
          <w:p>
            <w:pPr>
              <w:widowControl/>
              <w:jc w:val="left"/>
              <w:rPr>
                <w:rFonts w:ascii="宋体" w:hAnsi="宋体" w:cs="宋体"/>
                <w:kern w:val="0"/>
                <w:sz w:val="24"/>
              </w:rPr>
            </w:pPr>
            <w:r>
              <w:rPr>
                <w:rFonts w:ascii="宋体" w:hAnsi="宋体" w:cs="宋体"/>
                <w:kern w:val="0"/>
                <w:sz w:val="24"/>
              </w:rPr>
              <w:t>金融控股公司</w:t>
            </w:r>
          </w:p>
        </w:tc>
        <w:tc>
          <w:tcPr>
            <w:tcW w:w="606" w:type="dxa"/>
            <w:noWrap w:val="0"/>
            <w:vAlign w:val="center"/>
          </w:tcPr>
          <w:p>
            <w:pPr>
              <w:widowControl/>
              <w:jc w:val="left"/>
              <w:rPr>
                <w:rFonts w:ascii="宋体" w:hAnsi="宋体" w:cs="宋体"/>
                <w:kern w:val="0"/>
                <w:sz w:val="24"/>
              </w:rPr>
            </w:pPr>
            <w:r>
              <w:rPr>
                <w:rFonts w:ascii="宋体" w:hAnsi="宋体" w:cs="宋体"/>
                <w:kern w:val="0"/>
                <w:sz w:val="24"/>
              </w:rPr>
              <w:t>中型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小型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微型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restart"/>
            <w:noWrap w:val="0"/>
            <w:vAlign w:val="center"/>
          </w:tcPr>
          <w:p>
            <w:pPr>
              <w:widowControl/>
              <w:jc w:val="left"/>
              <w:rPr>
                <w:rFonts w:ascii="宋体" w:hAnsi="宋体" w:cs="宋体"/>
                <w:kern w:val="0"/>
                <w:sz w:val="24"/>
              </w:rPr>
            </w:pPr>
            <w:r>
              <w:rPr>
                <w:rFonts w:ascii="宋体" w:hAnsi="宋体" w:cs="宋体"/>
                <w:kern w:val="0"/>
                <w:sz w:val="24"/>
              </w:rPr>
              <w:t>其他未包括的金融业</w:t>
            </w:r>
          </w:p>
        </w:tc>
        <w:tc>
          <w:tcPr>
            <w:tcW w:w="2836" w:type="dxa"/>
            <w:vMerge w:val="restart"/>
            <w:noWrap w:val="0"/>
            <w:vAlign w:val="center"/>
          </w:tcPr>
          <w:p>
            <w:pPr>
              <w:widowControl/>
              <w:jc w:val="left"/>
              <w:rPr>
                <w:rFonts w:ascii="宋体" w:hAnsi="宋体" w:cs="宋体"/>
                <w:kern w:val="0"/>
                <w:sz w:val="24"/>
              </w:rPr>
            </w:pPr>
            <w:r>
              <w:rPr>
                <w:rFonts w:ascii="宋体" w:hAnsi="宋体" w:cs="宋体"/>
                <w:kern w:val="0"/>
                <w:sz w:val="24"/>
              </w:rPr>
              <w:t>除贷款公司、小额贷款公司及典当行以外的其他金融机构</w:t>
            </w:r>
          </w:p>
        </w:tc>
        <w:tc>
          <w:tcPr>
            <w:tcW w:w="606" w:type="dxa"/>
            <w:noWrap w:val="0"/>
            <w:vAlign w:val="center"/>
          </w:tcPr>
          <w:p>
            <w:pPr>
              <w:widowControl/>
              <w:jc w:val="left"/>
              <w:rPr>
                <w:rFonts w:ascii="宋体" w:hAnsi="宋体" w:cs="宋体"/>
                <w:kern w:val="0"/>
                <w:sz w:val="24"/>
              </w:rPr>
            </w:pPr>
            <w:r>
              <w:rPr>
                <w:rFonts w:ascii="宋体" w:hAnsi="宋体" w:cs="宋体"/>
                <w:kern w:val="0"/>
                <w:sz w:val="24"/>
              </w:rPr>
              <w:t>中型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小型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noWrap w:val="0"/>
            <w:vAlign w:val="center"/>
          </w:tcPr>
          <w:p>
            <w:pPr>
              <w:widowControl/>
              <w:jc w:val="left"/>
              <w:rPr>
                <w:rFonts w:ascii="宋体" w:hAnsi="宋体" w:cs="宋体"/>
                <w:kern w:val="0"/>
                <w:sz w:val="24"/>
              </w:rPr>
            </w:pPr>
          </w:p>
        </w:tc>
        <w:tc>
          <w:tcPr>
            <w:tcW w:w="1025" w:type="dxa"/>
            <w:vMerge w:val="continue"/>
            <w:noWrap w:val="0"/>
            <w:vAlign w:val="center"/>
          </w:tcPr>
          <w:p>
            <w:pPr>
              <w:widowControl/>
              <w:jc w:val="left"/>
              <w:rPr>
                <w:rFonts w:ascii="宋体" w:hAnsi="宋体" w:cs="宋体"/>
                <w:kern w:val="0"/>
                <w:sz w:val="24"/>
              </w:rPr>
            </w:pPr>
          </w:p>
        </w:tc>
        <w:tc>
          <w:tcPr>
            <w:tcW w:w="2836" w:type="dxa"/>
            <w:vMerge w:val="continue"/>
            <w:noWrap w:val="0"/>
            <w:vAlign w:val="center"/>
          </w:tcPr>
          <w:p>
            <w:pPr>
              <w:widowControl/>
              <w:jc w:val="left"/>
              <w:rPr>
                <w:rFonts w:ascii="宋体" w:hAnsi="宋体" w:cs="宋体"/>
                <w:kern w:val="0"/>
                <w:sz w:val="24"/>
              </w:rPr>
            </w:pPr>
          </w:p>
        </w:tc>
        <w:tc>
          <w:tcPr>
            <w:tcW w:w="606" w:type="dxa"/>
            <w:noWrap w:val="0"/>
            <w:vAlign w:val="center"/>
          </w:tcPr>
          <w:p>
            <w:pPr>
              <w:widowControl/>
              <w:jc w:val="left"/>
              <w:rPr>
                <w:rFonts w:ascii="宋体" w:hAnsi="宋体" w:cs="宋体"/>
                <w:kern w:val="0"/>
                <w:sz w:val="24"/>
              </w:rPr>
            </w:pPr>
            <w:r>
              <w:rPr>
                <w:rFonts w:ascii="宋体" w:hAnsi="宋体" w:cs="宋体"/>
                <w:kern w:val="0"/>
                <w:sz w:val="24"/>
              </w:rPr>
              <w:t>微型</w:t>
            </w:r>
          </w:p>
        </w:tc>
        <w:tc>
          <w:tcPr>
            <w:tcW w:w="3326" w:type="dxa"/>
            <w:noWrap w:val="0"/>
            <w:vAlign w:val="center"/>
          </w:tcPr>
          <w:p>
            <w:pPr>
              <w:widowControl/>
              <w:jc w:val="left"/>
              <w:rPr>
                <w:rFonts w:ascii="宋体" w:hAnsi="宋体" w:cs="宋体"/>
                <w:kern w:val="0"/>
                <w:sz w:val="24"/>
              </w:rPr>
            </w:pPr>
            <w:r>
              <w:rPr>
                <w:rFonts w:ascii="宋体" w:hAnsi="宋体" w:cs="宋体"/>
                <w:kern w:val="0"/>
                <w:sz w:val="24"/>
              </w:rPr>
              <w:t>50亿元以下</w:t>
            </w:r>
          </w:p>
        </w:tc>
      </w:tr>
    </w:tbl>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hint="eastAsia" w:ascii="仿宋" w:hAnsi="仿宋" w:eastAsia="仿宋" w:cs="仿宋"/>
          <w:b/>
          <w:kern w:val="0"/>
          <w:sz w:val="32"/>
          <w:szCs w:val="32"/>
          <w:lang w:val="zh-CN"/>
        </w:rPr>
      </w:pPr>
    </w:p>
    <w:p>
      <w:pPr>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t>附：</w:t>
      </w:r>
    </w:p>
    <w:p>
      <w:pPr>
        <w:jc w:val="left"/>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投标报价书写规范说明</w:t>
      </w:r>
    </w:p>
    <w:p>
      <w:pPr>
        <w:rPr>
          <w:rFonts w:ascii="宋体" w:hAnsi="宋体"/>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投标文件中报价（包括下浮率，下同）填写要求为大写的，应用中文（中文大、小写均可）书写，数值表述清晰即可，但不得出现阿拉伯数字、标点符号或者中文以外的其他文字；填写要求为小写的或者不作要求的，均应采用阿拉伯数字和数学符号（如“.”、“％”等）书写，不得出现中文或其他文字。不满足以上书写规范要求或者未填写的，相应的投标文件作废标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二、投标文件中对同一内容有多处报价的，出现报价不一致时，按以下办法处理：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（1）大写与小写不一致的，以大写为准（大写或者小写书写不规范的，或未填写的按第“一”条处理）；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（2）有二个及以上大写报价且数值大小有不一致的，按废标处理；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（3）无大写报价的，但有二个以上小写报价且数值大小有不一致的，按废标处理。</w:t>
      </w:r>
    </w:p>
    <w:p>
      <w:pPr>
        <w:rPr>
          <w:rFonts w:ascii="仿宋" w:hAnsi="仿宋" w:eastAsia="仿宋" w:cs="仿宋"/>
        </w:rPr>
      </w:pPr>
    </w:p>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T Xihei">
    <w:altName w:val="宋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_GB2312" w:eastAsia="Times New Roman"/>
      </w:rPr>
    </w:pPr>
    <w:r>
      <w:pict>
        <v:shape id="Text Box 1025" o:spid="_x0000_s4097"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UOo8tEAAAADAQAADwAAAAAA&#10;AAABACAAAAAiAAAAZHJzL2Rvd25yZXYueG1sUEsBAhQAFAAAAAgAh07iQKUO8LfhAQAAtgMAAA4A&#10;AAAAAAAAAQAgAAAAIAEAAGRycy9lMm9Eb2MueG1sUEsFBgAAAAAGAAYAWQEAAHMFAAAAAA==&#10;">
          <v:path/>
          <v:fill on="f" focussize="0,0"/>
          <v:stroke on="f" joinstyle="miter"/>
          <v:imagedata o:title=""/>
          <o:lock v:ext="edit"/>
          <v:textbox inset="0mm,0mm,0mm,0mm" style="mso-fit-shape-to-text:t;">
            <w:txbxContent>
              <w:p>
                <w:pPr>
                  <w:pStyle w:val="19"/>
                </w:pPr>
                <w:r>
                  <w:rPr>
                    <w:rFonts w:hint="eastAsia"/>
                  </w:rPr>
                  <w:t>第</w:t>
                </w:r>
                <w:r>
                  <w:fldChar w:fldCharType="begin"/>
                </w:r>
                <w:r>
                  <w:instrText xml:space="preserve"> PAGE  \* MERGEFORMAT </w:instrText>
                </w:r>
                <w:r>
                  <w:fldChar w:fldCharType="separate"/>
                </w:r>
                <w:r>
                  <w:t>6</w:t>
                </w:r>
                <w:r>
                  <w:fldChar w:fldCharType="end"/>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3"/>
        <w:rFonts w:cs="Arial"/>
        <w:sz w:val="18"/>
        <w:szCs w:val="21"/>
      </w:rPr>
    </w:pPr>
    <w:r>
      <w:rPr>
        <w:rStyle w:val="33"/>
        <w:rFonts w:cs="Arial"/>
        <w:sz w:val="18"/>
        <w:szCs w:val="21"/>
      </w:rPr>
      <w:fldChar w:fldCharType="begin"/>
    </w:r>
    <w:r>
      <w:rPr>
        <w:rStyle w:val="33"/>
        <w:rFonts w:cs="Arial"/>
        <w:sz w:val="18"/>
        <w:szCs w:val="21"/>
      </w:rPr>
      <w:instrText xml:space="preserve">PAGE  </w:instrText>
    </w:r>
    <w:r>
      <w:rPr>
        <w:rStyle w:val="33"/>
        <w:rFonts w:cs="Arial"/>
        <w:sz w:val="18"/>
        <w:szCs w:val="21"/>
      </w:rP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_GB2312" w:eastAsia="Times New Roman"/>
      </w:rPr>
    </w:pPr>
    <w:r>
      <w:rPr>
        <w:rFonts w:ascii="??_GB2312" w:eastAsia="Times New Roman"/>
      </w:rPr>
      <w:t>第</w:t>
    </w:r>
    <w:r>
      <w:rPr>
        <w:rFonts w:ascii="??_GB2312" w:eastAsia="Times New Roman"/>
      </w:rPr>
      <w:fldChar w:fldCharType="begin"/>
    </w:r>
    <w:r>
      <w:rPr>
        <w:rFonts w:ascii="??_GB2312" w:eastAsia="Times New Roman"/>
      </w:rPr>
      <w:instrText xml:space="preserve"> PAGE </w:instrText>
    </w:r>
    <w:r>
      <w:rPr>
        <w:rFonts w:ascii="??_GB2312" w:eastAsia="Times New Roman"/>
      </w:rPr>
      <w:fldChar w:fldCharType="separate"/>
    </w:r>
    <w:r>
      <w:rPr>
        <w:rFonts w:ascii="??_GB2312" w:eastAsia="Times New Roman"/>
      </w:rPr>
      <w:t>1</w:t>
    </w:r>
    <w:r>
      <w:rPr>
        <w:rFonts w:ascii="??_GB2312" w:eastAsia="Times New Roman"/>
      </w:rPr>
      <w:fldChar w:fldCharType="end"/>
    </w:r>
    <w:r>
      <w:rPr>
        <w:rFonts w:ascii="??_GB2312" w:eastAsia="Times New Roman"/>
      </w:rPr>
      <w:t>页共</w:t>
    </w:r>
    <w:r>
      <w:rPr>
        <w:rFonts w:ascii="??_GB2312" w:eastAsia="Times New Roman"/>
      </w:rPr>
      <w:fldChar w:fldCharType="begin"/>
    </w:r>
    <w:r>
      <w:rPr>
        <w:rFonts w:ascii="??_GB2312" w:eastAsia="Times New Roman"/>
      </w:rPr>
      <w:instrText xml:space="preserve"> NUMPAGES </w:instrText>
    </w:r>
    <w:r>
      <w:rPr>
        <w:rFonts w:ascii="??_GB2312" w:eastAsia="Times New Roman"/>
      </w:rPr>
      <w:fldChar w:fldCharType="separate"/>
    </w:r>
    <w:r>
      <w:rPr>
        <w:rFonts w:ascii="??_GB2312" w:eastAsia="Times New Roman"/>
      </w:rPr>
      <w:t>49</w:t>
    </w:r>
    <w:r>
      <w:rPr>
        <w:rFonts w:ascii="??_GB2312" w:eastAsia="Times New Roman"/>
      </w:rPr>
      <w:fldChar w:fldCharType="end"/>
    </w:r>
    <w:r>
      <w:rPr>
        <w:rFonts w:ascii="??_GB2312" w:eastAsia="Times New Roman"/>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180" w:firstLineChars="100"/>
      <w:jc w:val="both"/>
      <w:rPr>
        <w:rFonts w:ascii="??_GB2312" w:eastAsia="Times New Roman"/>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ascii="宋体" w:hAnsi="宋体" w:cs="宋体"/>
        <w:i/>
      </w:rPr>
      <w:t>绍兴市政府采购公开招标文件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92"/>
      <w:lvlText w:val="%1."/>
      <w:lvlJc w:val="left"/>
      <w:pPr>
        <w:tabs>
          <w:tab w:val="left" w:pos="1200"/>
        </w:tabs>
        <w:ind w:left="1200" w:leftChars="400" w:hanging="360" w:hangingChars="200"/>
      </w:pPr>
    </w:lvl>
  </w:abstractNum>
  <w:abstractNum w:abstractNumId="1">
    <w:nsid w:val="5A02C129"/>
    <w:multiLevelType w:val="singleLevel"/>
    <w:tmpl w:val="5A02C129"/>
    <w:lvl w:ilvl="0" w:tentative="0">
      <w:start w:val="1"/>
      <w:numFmt w:val="decimal"/>
      <w:pStyle w:val="7"/>
      <w:lvlText w:val="%1."/>
      <w:lvlJc w:val="left"/>
      <w:pPr>
        <w:tabs>
          <w:tab w:val="left" w:pos="780"/>
        </w:tabs>
        <w:ind w:left="780" w:hanging="360"/>
      </w:pPr>
      <w:rPr>
        <w:rFonts w:cs="Times New Roman"/>
      </w:rPr>
    </w:lvl>
  </w:abstractNum>
  <w:abstractNum w:abstractNumId="2">
    <w:nsid w:val="5A02C13F"/>
    <w:multiLevelType w:val="singleLevel"/>
    <w:tmpl w:val="5A02C13F"/>
    <w:lvl w:ilvl="0" w:tentative="0">
      <w:start w:val="1"/>
      <w:numFmt w:val="decimal"/>
      <w:pStyle w:val="8"/>
      <w:lvlText w:val="%1."/>
      <w:lvlJc w:val="left"/>
      <w:pPr>
        <w:tabs>
          <w:tab w:val="left" w:pos="360"/>
        </w:tabs>
        <w:ind w:left="360" w:hanging="360"/>
      </w:pPr>
      <w:rPr>
        <w:rFonts w:cs="Times New Roman"/>
      </w:rPr>
    </w:lvl>
  </w:abstractNum>
  <w:abstractNum w:abstractNumId="3">
    <w:nsid w:val="5A02C160"/>
    <w:multiLevelType w:val="singleLevel"/>
    <w:tmpl w:val="5A02C160"/>
    <w:lvl w:ilvl="0" w:tentative="0">
      <w:start w:val="1"/>
      <w:numFmt w:val="decimal"/>
      <w:pStyle w:val="13"/>
      <w:lvlText w:val="%1."/>
      <w:lvlJc w:val="left"/>
      <w:pPr>
        <w:tabs>
          <w:tab w:val="left" w:pos="1200"/>
        </w:tabs>
        <w:ind w:left="1200" w:hanging="360"/>
      </w:pPr>
      <w:rPr>
        <w:rFonts w:cs="Times New Roman"/>
      </w:rPr>
    </w:lvl>
  </w:abstractNum>
  <w:abstractNum w:abstractNumId="4">
    <w:nsid w:val="5CB017FC"/>
    <w:multiLevelType w:val="multilevel"/>
    <w:tmpl w:val="5CB017FC"/>
    <w:lvl w:ilvl="0" w:tentative="0">
      <w:start w:val="1"/>
      <w:numFmt w:val="decimal"/>
      <w:pStyle w:val="4"/>
      <w:suff w:val="space"/>
      <w:lvlText w:val="第 %1 章"/>
      <w:lvlJc w:val="left"/>
      <w:pPr>
        <w:ind w:left="425" w:hanging="425"/>
      </w:pPr>
      <w:rPr>
        <w:rFonts w:hint="eastAsia" w:cs="Times New Roman"/>
      </w:rPr>
    </w:lvl>
    <w:lvl w:ilvl="1" w:tentative="0">
      <w:start w:val="1"/>
      <w:numFmt w:val="decimal"/>
      <w:lvlText w:val="%1.%2 "/>
      <w:lvlJc w:val="left"/>
      <w:pPr>
        <w:tabs>
          <w:tab w:val="left" w:pos="1145"/>
        </w:tabs>
        <w:ind w:left="992" w:hanging="567"/>
      </w:pPr>
      <w:rPr>
        <w:rFonts w:hint="eastAsia" w:cs="Times New Roman"/>
      </w:rPr>
    </w:lvl>
    <w:lvl w:ilvl="2" w:tentative="0">
      <w:start w:val="1"/>
      <w:numFmt w:val="decimal"/>
      <w:lvlText w:val="〔%3〕、"/>
      <w:lvlJc w:val="left"/>
      <w:pPr>
        <w:tabs>
          <w:tab w:val="left" w:pos="2651"/>
        </w:tabs>
        <w:ind w:left="1418" w:hanging="567"/>
      </w:pPr>
      <w:rPr>
        <w:rFonts w:hint="eastAsia" w:cs="Times New Roman"/>
      </w:rPr>
    </w:lvl>
    <w:lvl w:ilvl="3" w:tentative="0">
      <w:start w:val="1"/>
      <w:numFmt w:val="none"/>
      <w:lvlText w:val=""/>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I5NTMwZGFjNDczMjJiMDRlZTE4MWZlNzMwNGYxMjcifQ=="/>
  </w:docVars>
  <w:rsids>
    <w:rsidRoot w:val="00AD18FF"/>
    <w:rsid w:val="000040C1"/>
    <w:rsid w:val="0002017B"/>
    <w:rsid w:val="0002428C"/>
    <w:rsid w:val="00030F1E"/>
    <w:rsid w:val="00040259"/>
    <w:rsid w:val="00051731"/>
    <w:rsid w:val="00055CDF"/>
    <w:rsid w:val="0006767A"/>
    <w:rsid w:val="00067735"/>
    <w:rsid w:val="00080F79"/>
    <w:rsid w:val="000813EC"/>
    <w:rsid w:val="00093879"/>
    <w:rsid w:val="000A1955"/>
    <w:rsid w:val="000C2576"/>
    <w:rsid w:val="000C38DF"/>
    <w:rsid w:val="000D7240"/>
    <w:rsid w:val="000E3B50"/>
    <w:rsid w:val="000F70F7"/>
    <w:rsid w:val="00114135"/>
    <w:rsid w:val="0012034D"/>
    <w:rsid w:val="001311E4"/>
    <w:rsid w:val="00142376"/>
    <w:rsid w:val="0014517B"/>
    <w:rsid w:val="001559EF"/>
    <w:rsid w:val="00171C91"/>
    <w:rsid w:val="0017463C"/>
    <w:rsid w:val="001814F1"/>
    <w:rsid w:val="0018495F"/>
    <w:rsid w:val="001A1325"/>
    <w:rsid w:val="001A687C"/>
    <w:rsid w:val="001A7144"/>
    <w:rsid w:val="001B3B8E"/>
    <w:rsid w:val="001D1DA3"/>
    <w:rsid w:val="001E5FDC"/>
    <w:rsid w:val="001E78A2"/>
    <w:rsid w:val="001F02A1"/>
    <w:rsid w:val="00217753"/>
    <w:rsid w:val="00220DF0"/>
    <w:rsid w:val="002322BF"/>
    <w:rsid w:val="0023264D"/>
    <w:rsid w:val="002476B8"/>
    <w:rsid w:val="00262448"/>
    <w:rsid w:val="002643C8"/>
    <w:rsid w:val="00273B10"/>
    <w:rsid w:val="00275656"/>
    <w:rsid w:val="00294D3C"/>
    <w:rsid w:val="002A2838"/>
    <w:rsid w:val="002A2E37"/>
    <w:rsid w:val="002B54E5"/>
    <w:rsid w:val="002B67ED"/>
    <w:rsid w:val="002B6E84"/>
    <w:rsid w:val="002B77DD"/>
    <w:rsid w:val="002C0AB1"/>
    <w:rsid w:val="002F25A8"/>
    <w:rsid w:val="0031163B"/>
    <w:rsid w:val="00330C22"/>
    <w:rsid w:val="003403EB"/>
    <w:rsid w:val="003411E7"/>
    <w:rsid w:val="00345DE3"/>
    <w:rsid w:val="003542AC"/>
    <w:rsid w:val="00387522"/>
    <w:rsid w:val="003A2766"/>
    <w:rsid w:val="003A5C0F"/>
    <w:rsid w:val="003B2510"/>
    <w:rsid w:val="003B25FB"/>
    <w:rsid w:val="003B5CB4"/>
    <w:rsid w:val="003C5DF7"/>
    <w:rsid w:val="003D237E"/>
    <w:rsid w:val="003D2443"/>
    <w:rsid w:val="003F0B46"/>
    <w:rsid w:val="003F5CF0"/>
    <w:rsid w:val="00412A3B"/>
    <w:rsid w:val="0043244B"/>
    <w:rsid w:val="00440162"/>
    <w:rsid w:val="00455DAB"/>
    <w:rsid w:val="00460585"/>
    <w:rsid w:val="00465752"/>
    <w:rsid w:val="00467496"/>
    <w:rsid w:val="00467DC5"/>
    <w:rsid w:val="004706A2"/>
    <w:rsid w:val="00481099"/>
    <w:rsid w:val="0048467F"/>
    <w:rsid w:val="0048770F"/>
    <w:rsid w:val="004B065D"/>
    <w:rsid w:val="004C0A50"/>
    <w:rsid w:val="004C27D1"/>
    <w:rsid w:val="004D122A"/>
    <w:rsid w:val="004D6606"/>
    <w:rsid w:val="004E47C3"/>
    <w:rsid w:val="004F2C71"/>
    <w:rsid w:val="004F3245"/>
    <w:rsid w:val="0050684D"/>
    <w:rsid w:val="005117F3"/>
    <w:rsid w:val="005213B8"/>
    <w:rsid w:val="0052572A"/>
    <w:rsid w:val="00545306"/>
    <w:rsid w:val="00547532"/>
    <w:rsid w:val="00566429"/>
    <w:rsid w:val="00583589"/>
    <w:rsid w:val="00590683"/>
    <w:rsid w:val="005A4AFA"/>
    <w:rsid w:val="005A64B3"/>
    <w:rsid w:val="005C0BB4"/>
    <w:rsid w:val="00602260"/>
    <w:rsid w:val="006313C5"/>
    <w:rsid w:val="00636FED"/>
    <w:rsid w:val="00637621"/>
    <w:rsid w:val="006418DD"/>
    <w:rsid w:val="006451AB"/>
    <w:rsid w:val="006543AB"/>
    <w:rsid w:val="00663D9D"/>
    <w:rsid w:val="006843A0"/>
    <w:rsid w:val="00691C45"/>
    <w:rsid w:val="006940CC"/>
    <w:rsid w:val="006A4D37"/>
    <w:rsid w:val="006B047E"/>
    <w:rsid w:val="006D2193"/>
    <w:rsid w:val="006E080D"/>
    <w:rsid w:val="006F5A9E"/>
    <w:rsid w:val="007030D1"/>
    <w:rsid w:val="00706826"/>
    <w:rsid w:val="00723CE8"/>
    <w:rsid w:val="00741A2B"/>
    <w:rsid w:val="00762D7F"/>
    <w:rsid w:val="00766BFA"/>
    <w:rsid w:val="0078125A"/>
    <w:rsid w:val="00786629"/>
    <w:rsid w:val="007A150E"/>
    <w:rsid w:val="007B3644"/>
    <w:rsid w:val="007C085E"/>
    <w:rsid w:val="007C3048"/>
    <w:rsid w:val="007D3ADA"/>
    <w:rsid w:val="007E192A"/>
    <w:rsid w:val="007E3668"/>
    <w:rsid w:val="007E571E"/>
    <w:rsid w:val="007F3B1E"/>
    <w:rsid w:val="00801A53"/>
    <w:rsid w:val="0082182E"/>
    <w:rsid w:val="00825E11"/>
    <w:rsid w:val="00851A0E"/>
    <w:rsid w:val="00851D0E"/>
    <w:rsid w:val="00851E94"/>
    <w:rsid w:val="008702F4"/>
    <w:rsid w:val="00872AA9"/>
    <w:rsid w:val="00884208"/>
    <w:rsid w:val="0089216A"/>
    <w:rsid w:val="008A197E"/>
    <w:rsid w:val="008A7E46"/>
    <w:rsid w:val="008D1D22"/>
    <w:rsid w:val="008D38D9"/>
    <w:rsid w:val="008D6072"/>
    <w:rsid w:val="008D6DA2"/>
    <w:rsid w:val="00923FCF"/>
    <w:rsid w:val="00937337"/>
    <w:rsid w:val="00945D15"/>
    <w:rsid w:val="00950791"/>
    <w:rsid w:val="00955273"/>
    <w:rsid w:val="00957F9C"/>
    <w:rsid w:val="00962E86"/>
    <w:rsid w:val="009660EE"/>
    <w:rsid w:val="00987603"/>
    <w:rsid w:val="009A4CEF"/>
    <w:rsid w:val="009C76A2"/>
    <w:rsid w:val="009D2FED"/>
    <w:rsid w:val="009E0533"/>
    <w:rsid w:val="00A1598B"/>
    <w:rsid w:val="00A16944"/>
    <w:rsid w:val="00A17F42"/>
    <w:rsid w:val="00A27EBF"/>
    <w:rsid w:val="00A30EAA"/>
    <w:rsid w:val="00A41BE4"/>
    <w:rsid w:val="00A56A1E"/>
    <w:rsid w:val="00A63825"/>
    <w:rsid w:val="00A63FBA"/>
    <w:rsid w:val="00A67091"/>
    <w:rsid w:val="00A831F9"/>
    <w:rsid w:val="00A86515"/>
    <w:rsid w:val="00A929F0"/>
    <w:rsid w:val="00A95926"/>
    <w:rsid w:val="00AA527A"/>
    <w:rsid w:val="00AB3AF5"/>
    <w:rsid w:val="00AD0587"/>
    <w:rsid w:val="00AD18FF"/>
    <w:rsid w:val="00AD270F"/>
    <w:rsid w:val="00AE1493"/>
    <w:rsid w:val="00AE58F9"/>
    <w:rsid w:val="00AE6A3D"/>
    <w:rsid w:val="00B01CF7"/>
    <w:rsid w:val="00B1333D"/>
    <w:rsid w:val="00B22626"/>
    <w:rsid w:val="00B251FC"/>
    <w:rsid w:val="00B63DE9"/>
    <w:rsid w:val="00B71876"/>
    <w:rsid w:val="00B76EC0"/>
    <w:rsid w:val="00BA30DB"/>
    <w:rsid w:val="00BD1888"/>
    <w:rsid w:val="00C030AC"/>
    <w:rsid w:val="00C207BF"/>
    <w:rsid w:val="00C249E6"/>
    <w:rsid w:val="00C5693F"/>
    <w:rsid w:val="00C60D63"/>
    <w:rsid w:val="00C7051D"/>
    <w:rsid w:val="00C750A5"/>
    <w:rsid w:val="00C85041"/>
    <w:rsid w:val="00C90C86"/>
    <w:rsid w:val="00C94F88"/>
    <w:rsid w:val="00CB14BF"/>
    <w:rsid w:val="00CB3AAD"/>
    <w:rsid w:val="00CB4467"/>
    <w:rsid w:val="00CC5263"/>
    <w:rsid w:val="00CE39C0"/>
    <w:rsid w:val="00D036B1"/>
    <w:rsid w:val="00D23DF7"/>
    <w:rsid w:val="00D5768B"/>
    <w:rsid w:val="00D95393"/>
    <w:rsid w:val="00D9689D"/>
    <w:rsid w:val="00D96BD9"/>
    <w:rsid w:val="00DA2B91"/>
    <w:rsid w:val="00DA5951"/>
    <w:rsid w:val="00DA73D0"/>
    <w:rsid w:val="00DC556F"/>
    <w:rsid w:val="00DD1F2E"/>
    <w:rsid w:val="00E00997"/>
    <w:rsid w:val="00E02CE4"/>
    <w:rsid w:val="00E4050A"/>
    <w:rsid w:val="00E60A3E"/>
    <w:rsid w:val="00E62AFA"/>
    <w:rsid w:val="00E710CD"/>
    <w:rsid w:val="00E76BEC"/>
    <w:rsid w:val="00E81842"/>
    <w:rsid w:val="00EA43CE"/>
    <w:rsid w:val="00EB2D90"/>
    <w:rsid w:val="00ED3842"/>
    <w:rsid w:val="00EE1E41"/>
    <w:rsid w:val="00EF2119"/>
    <w:rsid w:val="00F56126"/>
    <w:rsid w:val="00F63769"/>
    <w:rsid w:val="00F854BD"/>
    <w:rsid w:val="00F962A2"/>
    <w:rsid w:val="00FA3C13"/>
    <w:rsid w:val="00FA6E82"/>
    <w:rsid w:val="00FB06C5"/>
    <w:rsid w:val="00FB28A6"/>
    <w:rsid w:val="00FB744B"/>
    <w:rsid w:val="00FC0CF4"/>
    <w:rsid w:val="00FC1A98"/>
    <w:rsid w:val="00FC3D34"/>
    <w:rsid w:val="00FD25D7"/>
    <w:rsid w:val="00FD729F"/>
    <w:rsid w:val="00FE7019"/>
    <w:rsid w:val="00FF20E1"/>
    <w:rsid w:val="01073442"/>
    <w:rsid w:val="0135256E"/>
    <w:rsid w:val="017F0419"/>
    <w:rsid w:val="01BF0B00"/>
    <w:rsid w:val="01F614C5"/>
    <w:rsid w:val="02014D7C"/>
    <w:rsid w:val="0202557A"/>
    <w:rsid w:val="02455361"/>
    <w:rsid w:val="025D66F4"/>
    <w:rsid w:val="026B7D9D"/>
    <w:rsid w:val="02B0326C"/>
    <w:rsid w:val="02E03D80"/>
    <w:rsid w:val="02FF6323"/>
    <w:rsid w:val="03166C95"/>
    <w:rsid w:val="03297D3C"/>
    <w:rsid w:val="032C551E"/>
    <w:rsid w:val="033742BA"/>
    <w:rsid w:val="0352039E"/>
    <w:rsid w:val="0432047D"/>
    <w:rsid w:val="044736CF"/>
    <w:rsid w:val="04A37EB2"/>
    <w:rsid w:val="04AB3B8E"/>
    <w:rsid w:val="04AB653B"/>
    <w:rsid w:val="04BB2CB1"/>
    <w:rsid w:val="04CE269C"/>
    <w:rsid w:val="04D127B2"/>
    <w:rsid w:val="052D2EBC"/>
    <w:rsid w:val="05306016"/>
    <w:rsid w:val="055A7363"/>
    <w:rsid w:val="05B40EB1"/>
    <w:rsid w:val="05B75E5D"/>
    <w:rsid w:val="06E4135A"/>
    <w:rsid w:val="07DA186C"/>
    <w:rsid w:val="07E6572B"/>
    <w:rsid w:val="084E3C8A"/>
    <w:rsid w:val="08540933"/>
    <w:rsid w:val="08C922E5"/>
    <w:rsid w:val="08DC6D2E"/>
    <w:rsid w:val="08E27460"/>
    <w:rsid w:val="08FA3C1C"/>
    <w:rsid w:val="096E60D4"/>
    <w:rsid w:val="097A3B63"/>
    <w:rsid w:val="09E609C7"/>
    <w:rsid w:val="0A0A25D7"/>
    <w:rsid w:val="0A87091C"/>
    <w:rsid w:val="0AE4224C"/>
    <w:rsid w:val="0B3869A1"/>
    <w:rsid w:val="0B637A3A"/>
    <w:rsid w:val="0B9713AA"/>
    <w:rsid w:val="0BF4331C"/>
    <w:rsid w:val="0C361AC0"/>
    <w:rsid w:val="0CA576D5"/>
    <w:rsid w:val="0D8B1A36"/>
    <w:rsid w:val="0D917941"/>
    <w:rsid w:val="0DD1638B"/>
    <w:rsid w:val="0DD31BAC"/>
    <w:rsid w:val="0E03402C"/>
    <w:rsid w:val="0E45263B"/>
    <w:rsid w:val="0EBE7853"/>
    <w:rsid w:val="0ED21131"/>
    <w:rsid w:val="0EE1261E"/>
    <w:rsid w:val="0F6303AF"/>
    <w:rsid w:val="10321A2C"/>
    <w:rsid w:val="104D6387"/>
    <w:rsid w:val="109C1626"/>
    <w:rsid w:val="10B51F0B"/>
    <w:rsid w:val="10C92ED0"/>
    <w:rsid w:val="10F654D7"/>
    <w:rsid w:val="114664CC"/>
    <w:rsid w:val="11564EC4"/>
    <w:rsid w:val="11B07BD6"/>
    <w:rsid w:val="11CB3B70"/>
    <w:rsid w:val="11D91565"/>
    <w:rsid w:val="12512DB5"/>
    <w:rsid w:val="125750F6"/>
    <w:rsid w:val="127542AA"/>
    <w:rsid w:val="127C00DF"/>
    <w:rsid w:val="12B173C6"/>
    <w:rsid w:val="12F15FC0"/>
    <w:rsid w:val="13882F60"/>
    <w:rsid w:val="13AD3C35"/>
    <w:rsid w:val="14685E9F"/>
    <w:rsid w:val="149C53ED"/>
    <w:rsid w:val="14A17E3B"/>
    <w:rsid w:val="15284EC5"/>
    <w:rsid w:val="1557079B"/>
    <w:rsid w:val="15661BF2"/>
    <w:rsid w:val="15C63B07"/>
    <w:rsid w:val="169F1555"/>
    <w:rsid w:val="16C339B4"/>
    <w:rsid w:val="17E0367B"/>
    <w:rsid w:val="181052C0"/>
    <w:rsid w:val="181C3543"/>
    <w:rsid w:val="183550AA"/>
    <w:rsid w:val="1887170A"/>
    <w:rsid w:val="18BE625E"/>
    <w:rsid w:val="18F64FE1"/>
    <w:rsid w:val="193E2714"/>
    <w:rsid w:val="196677BD"/>
    <w:rsid w:val="197531C2"/>
    <w:rsid w:val="197D38E8"/>
    <w:rsid w:val="198960E3"/>
    <w:rsid w:val="199F0C8D"/>
    <w:rsid w:val="19A857C8"/>
    <w:rsid w:val="19CE48C9"/>
    <w:rsid w:val="19D9355D"/>
    <w:rsid w:val="1A0C3B58"/>
    <w:rsid w:val="1A761D5D"/>
    <w:rsid w:val="1A8B44E3"/>
    <w:rsid w:val="1B1C0F2A"/>
    <w:rsid w:val="1B1F3315"/>
    <w:rsid w:val="1B5003E0"/>
    <w:rsid w:val="1B585007"/>
    <w:rsid w:val="1B632526"/>
    <w:rsid w:val="1B765B82"/>
    <w:rsid w:val="1B850914"/>
    <w:rsid w:val="1B965EA6"/>
    <w:rsid w:val="1BAF3A8D"/>
    <w:rsid w:val="1BE62BE0"/>
    <w:rsid w:val="1C423A21"/>
    <w:rsid w:val="1D155786"/>
    <w:rsid w:val="1D2A7989"/>
    <w:rsid w:val="1DDC590A"/>
    <w:rsid w:val="1DFB0BB4"/>
    <w:rsid w:val="1E335181"/>
    <w:rsid w:val="1E4A0365"/>
    <w:rsid w:val="1E6472D8"/>
    <w:rsid w:val="1EE4458C"/>
    <w:rsid w:val="1F374FCD"/>
    <w:rsid w:val="1F3A2255"/>
    <w:rsid w:val="1F730AFF"/>
    <w:rsid w:val="1F7362DF"/>
    <w:rsid w:val="1FB74E43"/>
    <w:rsid w:val="1FC70F79"/>
    <w:rsid w:val="1FD44083"/>
    <w:rsid w:val="1FDB4036"/>
    <w:rsid w:val="1FEA51B4"/>
    <w:rsid w:val="209A7B6A"/>
    <w:rsid w:val="20BE6021"/>
    <w:rsid w:val="214A627F"/>
    <w:rsid w:val="216D4A99"/>
    <w:rsid w:val="2173797E"/>
    <w:rsid w:val="218642C5"/>
    <w:rsid w:val="218B4CE9"/>
    <w:rsid w:val="22293AB1"/>
    <w:rsid w:val="22817789"/>
    <w:rsid w:val="22C65437"/>
    <w:rsid w:val="22F6541B"/>
    <w:rsid w:val="2304797C"/>
    <w:rsid w:val="231942C4"/>
    <w:rsid w:val="238A7522"/>
    <w:rsid w:val="23BE0F28"/>
    <w:rsid w:val="23CB6CF7"/>
    <w:rsid w:val="23E17F6F"/>
    <w:rsid w:val="24097FEF"/>
    <w:rsid w:val="242F6C37"/>
    <w:rsid w:val="249D31FD"/>
    <w:rsid w:val="24CA6AC2"/>
    <w:rsid w:val="24D972C4"/>
    <w:rsid w:val="24E3032B"/>
    <w:rsid w:val="24E92B02"/>
    <w:rsid w:val="25053AB1"/>
    <w:rsid w:val="252565D6"/>
    <w:rsid w:val="253216FD"/>
    <w:rsid w:val="256D4AB4"/>
    <w:rsid w:val="25A13331"/>
    <w:rsid w:val="25A57D1C"/>
    <w:rsid w:val="25F83321"/>
    <w:rsid w:val="26294A1D"/>
    <w:rsid w:val="26CC410D"/>
    <w:rsid w:val="26F55526"/>
    <w:rsid w:val="277319EC"/>
    <w:rsid w:val="27903546"/>
    <w:rsid w:val="27E947C1"/>
    <w:rsid w:val="284D434A"/>
    <w:rsid w:val="287D0691"/>
    <w:rsid w:val="28C204EB"/>
    <w:rsid w:val="291E1DAE"/>
    <w:rsid w:val="292C3247"/>
    <w:rsid w:val="29DA29ED"/>
    <w:rsid w:val="2A407C82"/>
    <w:rsid w:val="2A523300"/>
    <w:rsid w:val="2AFA300F"/>
    <w:rsid w:val="2B245360"/>
    <w:rsid w:val="2BAE3154"/>
    <w:rsid w:val="2BB712A2"/>
    <w:rsid w:val="2BD668A3"/>
    <w:rsid w:val="2C446861"/>
    <w:rsid w:val="2C805D67"/>
    <w:rsid w:val="2CA13E42"/>
    <w:rsid w:val="2CCB6EA3"/>
    <w:rsid w:val="2CD53511"/>
    <w:rsid w:val="2D2A61CE"/>
    <w:rsid w:val="2D80707D"/>
    <w:rsid w:val="2DE2488D"/>
    <w:rsid w:val="2E083145"/>
    <w:rsid w:val="2ED5521A"/>
    <w:rsid w:val="2ED619F5"/>
    <w:rsid w:val="2F642E82"/>
    <w:rsid w:val="2F9F3A1B"/>
    <w:rsid w:val="300E2A1F"/>
    <w:rsid w:val="303B0264"/>
    <w:rsid w:val="304B5E64"/>
    <w:rsid w:val="30730BA2"/>
    <w:rsid w:val="30782F4C"/>
    <w:rsid w:val="3091213D"/>
    <w:rsid w:val="30ED1CE2"/>
    <w:rsid w:val="31AF70A8"/>
    <w:rsid w:val="31C6513D"/>
    <w:rsid w:val="31D91EB4"/>
    <w:rsid w:val="32221E3A"/>
    <w:rsid w:val="325D75C6"/>
    <w:rsid w:val="32B05C3D"/>
    <w:rsid w:val="32B65903"/>
    <w:rsid w:val="32C97243"/>
    <w:rsid w:val="32D758ED"/>
    <w:rsid w:val="33012007"/>
    <w:rsid w:val="331963CB"/>
    <w:rsid w:val="336B222A"/>
    <w:rsid w:val="33AD15F4"/>
    <w:rsid w:val="33DC7D0F"/>
    <w:rsid w:val="33F65183"/>
    <w:rsid w:val="34171ECD"/>
    <w:rsid w:val="343922BE"/>
    <w:rsid w:val="34842703"/>
    <w:rsid w:val="34A065F2"/>
    <w:rsid w:val="34C1184D"/>
    <w:rsid w:val="35653C58"/>
    <w:rsid w:val="358E497E"/>
    <w:rsid w:val="359C1A91"/>
    <w:rsid w:val="36763EFF"/>
    <w:rsid w:val="37186BCB"/>
    <w:rsid w:val="37251CAF"/>
    <w:rsid w:val="37604E39"/>
    <w:rsid w:val="378D5403"/>
    <w:rsid w:val="37C02DA1"/>
    <w:rsid w:val="37D43997"/>
    <w:rsid w:val="37D43A15"/>
    <w:rsid w:val="38042CE6"/>
    <w:rsid w:val="381E7F78"/>
    <w:rsid w:val="38285B2C"/>
    <w:rsid w:val="383308E8"/>
    <w:rsid w:val="38387BC2"/>
    <w:rsid w:val="38A11738"/>
    <w:rsid w:val="38CF2698"/>
    <w:rsid w:val="38D4603A"/>
    <w:rsid w:val="38F76EE1"/>
    <w:rsid w:val="392E3D2B"/>
    <w:rsid w:val="393E5934"/>
    <w:rsid w:val="3A4719E4"/>
    <w:rsid w:val="3A5F0E06"/>
    <w:rsid w:val="3B053465"/>
    <w:rsid w:val="3B1873B4"/>
    <w:rsid w:val="3B813EB2"/>
    <w:rsid w:val="3B9F74A8"/>
    <w:rsid w:val="3B9F7E10"/>
    <w:rsid w:val="3BA40ED7"/>
    <w:rsid w:val="3BE67851"/>
    <w:rsid w:val="3C025073"/>
    <w:rsid w:val="3C0D4D62"/>
    <w:rsid w:val="3C1842BA"/>
    <w:rsid w:val="3D0E3394"/>
    <w:rsid w:val="3D630415"/>
    <w:rsid w:val="3D8E407F"/>
    <w:rsid w:val="3E076F84"/>
    <w:rsid w:val="3E253FC4"/>
    <w:rsid w:val="3E66686E"/>
    <w:rsid w:val="3E781CBE"/>
    <w:rsid w:val="3EB220CE"/>
    <w:rsid w:val="3ED367CA"/>
    <w:rsid w:val="3ED753CD"/>
    <w:rsid w:val="3EF13B78"/>
    <w:rsid w:val="3F184BE9"/>
    <w:rsid w:val="3F7E63D8"/>
    <w:rsid w:val="3F96657B"/>
    <w:rsid w:val="3FF45C27"/>
    <w:rsid w:val="404118C7"/>
    <w:rsid w:val="40574A41"/>
    <w:rsid w:val="40712EC2"/>
    <w:rsid w:val="40D9690C"/>
    <w:rsid w:val="411C237F"/>
    <w:rsid w:val="41364205"/>
    <w:rsid w:val="4175100A"/>
    <w:rsid w:val="41A3573D"/>
    <w:rsid w:val="41B4707C"/>
    <w:rsid w:val="41FE5A76"/>
    <w:rsid w:val="42111C5F"/>
    <w:rsid w:val="422A0C37"/>
    <w:rsid w:val="425B70E5"/>
    <w:rsid w:val="439462D0"/>
    <w:rsid w:val="43DD0189"/>
    <w:rsid w:val="43E828F9"/>
    <w:rsid w:val="43F07929"/>
    <w:rsid w:val="441559CB"/>
    <w:rsid w:val="44A620DD"/>
    <w:rsid w:val="44E52F1C"/>
    <w:rsid w:val="454753F6"/>
    <w:rsid w:val="45A339CF"/>
    <w:rsid w:val="45BB538B"/>
    <w:rsid w:val="4616050C"/>
    <w:rsid w:val="4624734D"/>
    <w:rsid w:val="47663221"/>
    <w:rsid w:val="48163222"/>
    <w:rsid w:val="48BF50A6"/>
    <w:rsid w:val="48C46876"/>
    <w:rsid w:val="48E66DBF"/>
    <w:rsid w:val="49246CEA"/>
    <w:rsid w:val="4964544D"/>
    <w:rsid w:val="498378F3"/>
    <w:rsid w:val="49E360AC"/>
    <w:rsid w:val="4A04095E"/>
    <w:rsid w:val="4A2E44F7"/>
    <w:rsid w:val="4A2F13CE"/>
    <w:rsid w:val="4A373AFF"/>
    <w:rsid w:val="4B3C70F3"/>
    <w:rsid w:val="4B923C7B"/>
    <w:rsid w:val="4BBE0F07"/>
    <w:rsid w:val="4BCD25AC"/>
    <w:rsid w:val="4BF23C29"/>
    <w:rsid w:val="4C66027B"/>
    <w:rsid w:val="4C6D4BF8"/>
    <w:rsid w:val="4C9A4F70"/>
    <w:rsid w:val="4D000BB8"/>
    <w:rsid w:val="4D2764E4"/>
    <w:rsid w:val="4D4F434C"/>
    <w:rsid w:val="4D553076"/>
    <w:rsid w:val="4DA44E69"/>
    <w:rsid w:val="4DC16712"/>
    <w:rsid w:val="4DEB5E0D"/>
    <w:rsid w:val="4DED4C94"/>
    <w:rsid w:val="4E083898"/>
    <w:rsid w:val="4E26397C"/>
    <w:rsid w:val="4E34451F"/>
    <w:rsid w:val="4E363927"/>
    <w:rsid w:val="4E6E6100"/>
    <w:rsid w:val="4EA76E32"/>
    <w:rsid w:val="4EA90E17"/>
    <w:rsid w:val="4EF418A3"/>
    <w:rsid w:val="4F0F050D"/>
    <w:rsid w:val="4F401E22"/>
    <w:rsid w:val="4F9153B3"/>
    <w:rsid w:val="4FB56A2C"/>
    <w:rsid w:val="4FF50BC0"/>
    <w:rsid w:val="504B2A65"/>
    <w:rsid w:val="50BB6A75"/>
    <w:rsid w:val="51C62526"/>
    <w:rsid w:val="52521883"/>
    <w:rsid w:val="52BF3FCE"/>
    <w:rsid w:val="52C0259A"/>
    <w:rsid w:val="52CF0E54"/>
    <w:rsid w:val="52E22D33"/>
    <w:rsid w:val="52E96B17"/>
    <w:rsid w:val="52FE221E"/>
    <w:rsid w:val="53A129B1"/>
    <w:rsid w:val="53ED7088"/>
    <w:rsid w:val="53FE7EAB"/>
    <w:rsid w:val="54094267"/>
    <w:rsid w:val="54637050"/>
    <w:rsid w:val="55266A6A"/>
    <w:rsid w:val="55902CE3"/>
    <w:rsid w:val="55A42927"/>
    <w:rsid w:val="55CA2A66"/>
    <w:rsid w:val="55F527C9"/>
    <w:rsid w:val="56311879"/>
    <w:rsid w:val="56312D95"/>
    <w:rsid w:val="564F4EBC"/>
    <w:rsid w:val="56B87238"/>
    <w:rsid w:val="571E2C5F"/>
    <w:rsid w:val="57351512"/>
    <w:rsid w:val="57CE1172"/>
    <w:rsid w:val="57EB5029"/>
    <w:rsid w:val="57F303AA"/>
    <w:rsid w:val="582710F0"/>
    <w:rsid w:val="584B359D"/>
    <w:rsid w:val="5863246B"/>
    <w:rsid w:val="588A53A7"/>
    <w:rsid w:val="58FE5995"/>
    <w:rsid w:val="595C082B"/>
    <w:rsid w:val="596D77D4"/>
    <w:rsid w:val="596E3097"/>
    <w:rsid w:val="59D720E7"/>
    <w:rsid w:val="59F56D5F"/>
    <w:rsid w:val="59FE758C"/>
    <w:rsid w:val="5A912606"/>
    <w:rsid w:val="5B14063F"/>
    <w:rsid w:val="5B217791"/>
    <w:rsid w:val="5B301B1F"/>
    <w:rsid w:val="5B7103BB"/>
    <w:rsid w:val="5BCD07FC"/>
    <w:rsid w:val="5BFF536B"/>
    <w:rsid w:val="5CEC747F"/>
    <w:rsid w:val="5D056760"/>
    <w:rsid w:val="5D0A11E9"/>
    <w:rsid w:val="5D9A2ED9"/>
    <w:rsid w:val="5DC236EC"/>
    <w:rsid w:val="5DEB5E64"/>
    <w:rsid w:val="5EA2001B"/>
    <w:rsid w:val="5EBC322E"/>
    <w:rsid w:val="5F00315F"/>
    <w:rsid w:val="5F0266A3"/>
    <w:rsid w:val="5F232D5B"/>
    <w:rsid w:val="5F744292"/>
    <w:rsid w:val="5F93368A"/>
    <w:rsid w:val="5F952C60"/>
    <w:rsid w:val="5F98531B"/>
    <w:rsid w:val="5FB70218"/>
    <w:rsid w:val="5FD51C0C"/>
    <w:rsid w:val="602904FA"/>
    <w:rsid w:val="606129E7"/>
    <w:rsid w:val="60662262"/>
    <w:rsid w:val="60834DD2"/>
    <w:rsid w:val="60F431B9"/>
    <w:rsid w:val="60F8796B"/>
    <w:rsid w:val="610B35BB"/>
    <w:rsid w:val="61655791"/>
    <w:rsid w:val="618F11E9"/>
    <w:rsid w:val="61CD1945"/>
    <w:rsid w:val="620E2B02"/>
    <w:rsid w:val="624A22BB"/>
    <w:rsid w:val="627B2AF1"/>
    <w:rsid w:val="62AF4EC6"/>
    <w:rsid w:val="62B65C75"/>
    <w:rsid w:val="633D3608"/>
    <w:rsid w:val="63487EAC"/>
    <w:rsid w:val="635349E5"/>
    <w:rsid w:val="63575F25"/>
    <w:rsid w:val="637F68CB"/>
    <w:rsid w:val="6399317B"/>
    <w:rsid w:val="63FE2657"/>
    <w:rsid w:val="64013D86"/>
    <w:rsid w:val="64031C4A"/>
    <w:rsid w:val="643A6EA0"/>
    <w:rsid w:val="64412FA3"/>
    <w:rsid w:val="64A17E2B"/>
    <w:rsid w:val="64A849CD"/>
    <w:rsid w:val="64A92738"/>
    <w:rsid w:val="64CF1F8E"/>
    <w:rsid w:val="64EC5A6B"/>
    <w:rsid w:val="650D77AD"/>
    <w:rsid w:val="653543EF"/>
    <w:rsid w:val="653666D1"/>
    <w:rsid w:val="65917E54"/>
    <w:rsid w:val="6597576B"/>
    <w:rsid w:val="65EA34A3"/>
    <w:rsid w:val="66090E80"/>
    <w:rsid w:val="6611701E"/>
    <w:rsid w:val="662E3989"/>
    <w:rsid w:val="664E5DEE"/>
    <w:rsid w:val="66BD3708"/>
    <w:rsid w:val="66E30B4F"/>
    <w:rsid w:val="6723482A"/>
    <w:rsid w:val="674B5A6F"/>
    <w:rsid w:val="67B72F92"/>
    <w:rsid w:val="67FD2A7B"/>
    <w:rsid w:val="68210070"/>
    <w:rsid w:val="68BB3495"/>
    <w:rsid w:val="68D71849"/>
    <w:rsid w:val="68DB190B"/>
    <w:rsid w:val="68FB53DD"/>
    <w:rsid w:val="6921136E"/>
    <w:rsid w:val="69284C4A"/>
    <w:rsid w:val="69634496"/>
    <w:rsid w:val="698538B8"/>
    <w:rsid w:val="69B03442"/>
    <w:rsid w:val="69E90B77"/>
    <w:rsid w:val="69F1162A"/>
    <w:rsid w:val="6A1331D9"/>
    <w:rsid w:val="6A315029"/>
    <w:rsid w:val="6AB1009A"/>
    <w:rsid w:val="6B7C046F"/>
    <w:rsid w:val="6B8860DC"/>
    <w:rsid w:val="6BAE7000"/>
    <w:rsid w:val="6BB05959"/>
    <w:rsid w:val="6BD67C2C"/>
    <w:rsid w:val="6BF91AB9"/>
    <w:rsid w:val="6C5C04D5"/>
    <w:rsid w:val="6C874ED8"/>
    <w:rsid w:val="6C8F12FB"/>
    <w:rsid w:val="6C92010A"/>
    <w:rsid w:val="6CB13F20"/>
    <w:rsid w:val="6CCA6527"/>
    <w:rsid w:val="6D1E181B"/>
    <w:rsid w:val="6D496890"/>
    <w:rsid w:val="6D9B2320"/>
    <w:rsid w:val="6F572D08"/>
    <w:rsid w:val="6FB83CDB"/>
    <w:rsid w:val="6FD5142D"/>
    <w:rsid w:val="6FD548BE"/>
    <w:rsid w:val="6FD849FE"/>
    <w:rsid w:val="70853498"/>
    <w:rsid w:val="70B74C51"/>
    <w:rsid w:val="70FC7A0D"/>
    <w:rsid w:val="712F4D7E"/>
    <w:rsid w:val="713A67EE"/>
    <w:rsid w:val="71B96A44"/>
    <w:rsid w:val="71D613DB"/>
    <w:rsid w:val="720400C9"/>
    <w:rsid w:val="72074872"/>
    <w:rsid w:val="726562A7"/>
    <w:rsid w:val="7280707D"/>
    <w:rsid w:val="72BB4D4E"/>
    <w:rsid w:val="72BE4B83"/>
    <w:rsid w:val="73094A27"/>
    <w:rsid w:val="73200F6B"/>
    <w:rsid w:val="7366739F"/>
    <w:rsid w:val="741A5FF2"/>
    <w:rsid w:val="746A71CC"/>
    <w:rsid w:val="74715CA6"/>
    <w:rsid w:val="74BB1904"/>
    <w:rsid w:val="74D249BF"/>
    <w:rsid w:val="754358D4"/>
    <w:rsid w:val="75613FD7"/>
    <w:rsid w:val="75D626E8"/>
    <w:rsid w:val="75FF0A2F"/>
    <w:rsid w:val="761731E3"/>
    <w:rsid w:val="767F7FDC"/>
    <w:rsid w:val="76C837BC"/>
    <w:rsid w:val="76F66D3B"/>
    <w:rsid w:val="770563B7"/>
    <w:rsid w:val="77447E58"/>
    <w:rsid w:val="77475BF2"/>
    <w:rsid w:val="77DE40CB"/>
    <w:rsid w:val="781135E0"/>
    <w:rsid w:val="78305FF2"/>
    <w:rsid w:val="78694157"/>
    <w:rsid w:val="78BD3627"/>
    <w:rsid w:val="78FF382D"/>
    <w:rsid w:val="792E66F3"/>
    <w:rsid w:val="796203CB"/>
    <w:rsid w:val="79B44386"/>
    <w:rsid w:val="79EE6A68"/>
    <w:rsid w:val="7A3E7618"/>
    <w:rsid w:val="7A5717B0"/>
    <w:rsid w:val="7A704DEB"/>
    <w:rsid w:val="7AC245E7"/>
    <w:rsid w:val="7AE5282F"/>
    <w:rsid w:val="7AF6530B"/>
    <w:rsid w:val="7AF956FC"/>
    <w:rsid w:val="7B1F7ED3"/>
    <w:rsid w:val="7B290DF5"/>
    <w:rsid w:val="7BFC6E88"/>
    <w:rsid w:val="7C003A54"/>
    <w:rsid w:val="7C373DB7"/>
    <w:rsid w:val="7C4228B4"/>
    <w:rsid w:val="7C5D47C4"/>
    <w:rsid w:val="7C6B5BDD"/>
    <w:rsid w:val="7CF851FF"/>
    <w:rsid w:val="7D6E0D92"/>
    <w:rsid w:val="7D842440"/>
    <w:rsid w:val="7DA94ABE"/>
    <w:rsid w:val="7E073573"/>
    <w:rsid w:val="7E3B60DE"/>
    <w:rsid w:val="7E7271F8"/>
    <w:rsid w:val="7E731FFB"/>
    <w:rsid w:val="7EDC6139"/>
    <w:rsid w:val="7EEE135D"/>
    <w:rsid w:val="7F290C8A"/>
    <w:rsid w:val="7F3C32C9"/>
    <w:rsid w:val="7F57487B"/>
    <w:rsid w:val="7FA239C6"/>
    <w:rsid w:val="7FB7288D"/>
    <w:rsid w:val="7FB73A06"/>
    <w:rsid w:val="7FC24B9F"/>
    <w:rsid w:val="7FC56966"/>
    <w:rsid w:val="7FDA4D2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qFormat="1" w:unhideWhenUsed="0" w:uiPriority="0"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name="Body Text Indent 2" w:locked="1"/>
    <w:lsdException w:qFormat="1" w:unhideWhenUsed="0" w:uiPriority="0" w:semiHidden="0" w:name="Body Text Indent 3" w:locked="1"/>
    <w:lsdException w:qFormat="1" w:unhideWhenUsed="0" w:uiPriority="0" w:semiHidden="0" w:name="Block Text" w:locked="1"/>
    <w:lsdException w:qFormat="1" w:unhideWhenUsed="0" w:uiPriority="99" w:semiHidden="0" w:name="Hyperlink"/>
    <w:lsdException w:qFormat="1" w:unhideWhenUsed="0" w:uiPriority="99" w:semiHidden="0" w:name="FollowedHyperlink" w:locked="1"/>
    <w:lsdException w:qFormat="1" w:unhideWhenUsed="0" w:uiPriority="0" w:semiHidden="0" w:name="Strong"/>
    <w:lsdException w:qFormat="1" w:unhideWhenUsed="0" w:uiPriority="0" w:semiHidden="0" w:name="Emphasis"/>
    <w:lsdException w:qFormat="1" w:unhideWhenUsed="0" w:uiPriority="99" w:name="Document Map" w:locked="1"/>
    <w:lsdException w:qFormat="1" w:unhideWhenUsed="0" w:uiPriority="99"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nhideWhenUsed="0" w:uiPriority="99" w:name="Balloon Text" w:locked="1"/>
    <w:lsdException w:qFormat="1" w:unhideWhenUsed="0" w:uiPriority="99" w:semiHidden="0" w:name="Table Grid"/>
    <w:lsdException w:unhideWhenUsed="0" w:uiPriority="99"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8"/>
    <w:qFormat/>
    <w:locked/>
    <w:uiPriority w:val="99"/>
    <w:pPr>
      <w:keepNext/>
      <w:keepLines/>
      <w:numPr>
        <w:ilvl w:val="0"/>
        <w:numId w:val="1"/>
      </w:numPr>
      <w:spacing w:before="340" w:after="330" w:line="578" w:lineRule="auto"/>
      <w:outlineLvl w:val="0"/>
    </w:pPr>
    <w:rPr>
      <w:rFonts w:eastAsia="仿宋_GB2312"/>
      <w:b/>
      <w:kern w:val="44"/>
      <w:sz w:val="44"/>
      <w:szCs w:val="20"/>
    </w:rPr>
  </w:style>
  <w:style w:type="paragraph" w:styleId="2">
    <w:name w:val="heading 2"/>
    <w:basedOn w:val="1"/>
    <w:next w:val="3"/>
    <w:link w:val="39"/>
    <w:qFormat/>
    <w:uiPriority w:val="99"/>
    <w:pPr>
      <w:keepNext/>
      <w:keepLines/>
      <w:spacing w:before="260" w:after="260" w:line="416" w:lineRule="auto"/>
      <w:outlineLvl w:val="1"/>
    </w:pPr>
    <w:rPr>
      <w:rFonts w:ascii="Calibri Light" w:hAnsi="Calibri Light"/>
      <w:b/>
      <w:bCs/>
      <w:kern w:val="0"/>
      <w:sz w:val="32"/>
      <w:szCs w:val="32"/>
    </w:rPr>
  </w:style>
  <w:style w:type="paragraph" w:styleId="5">
    <w:name w:val="heading 3"/>
    <w:basedOn w:val="1"/>
    <w:next w:val="1"/>
    <w:link w:val="40"/>
    <w:qFormat/>
    <w:uiPriority w:val="99"/>
    <w:pPr>
      <w:keepNext/>
      <w:keepLines/>
      <w:spacing w:before="260" w:after="260" w:line="416" w:lineRule="auto"/>
      <w:outlineLvl w:val="2"/>
    </w:pPr>
    <w:rPr>
      <w:b/>
      <w:bCs/>
      <w:kern w:val="0"/>
      <w:sz w:val="32"/>
      <w:szCs w:val="32"/>
    </w:rPr>
  </w:style>
  <w:style w:type="paragraph" w:styleId="6">
    <w:name w:val="heading 4"/>
    <w:basedOn w:val="1"/>
    <w:next w:val="1"/>
    <w:link w:val="41"/>
    <w:qFormat/>
    <w:uiPriority w:val="99"/>
    <w:pPr>
      <w:keepNext/>
      <w:keepLines/>
      <w:spacing w:before="280" w:after="290" w:line="376" w:lineRule="auto"/>
      <w:outlineLvl w:val="3"/>
    </w:pPr>
    <w:rPr>
      <w:rFonts w:ascii="Calibri Light" w:hAnsi="Calibri Light"/>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55"/>
    <w:qFormat/>
    <w:uiPriority w:val="99"/>
    <w:pPr>
      <w:widowControl/>
      <w:snapToGrid w:val="0"/>
      <w:spacing w:line="480" w:lineRule="exact"/>
      <w:ind w:firstLine="567"/>
    </w:pPr>
    <w:rPr>
      <w:rFonts w:ascii="宋体"/>
      <w:snapToGrid w:val="0"/>
      <w:color w:val="000000"/>
      <w:kern w:val="28"/>
      <w:sz w:val="28"/>
      <w:szCs w:val="20"/>
    </w:rPr>
  </w:style>
  <w:style w:type="paragraph" w:styleId="7">
    <w:name w:val="List Number 2"/>
    <w:basedOn w:val="1"/>
    <w:qFormat/>
    <w:uiPriority w:val="99"/>
    <w:pPr>
      <w:numPr>
        <w:ilvl w:val="0"/>
        <w:numId w:val="2"/>
      </w:numPr>
    </w:pPr>
  </w:style>
  <w:style w:type="paragraph" w:styleId="8">
    <w:name w:val="List Number"/>
    <w:basedOn w:val="1"/>
    <w:qFormat/>
    <w:uiPriority w:val="99"/>
    <w:pPr>
      <w:numPr>
        <w:ilvl w:val="0"/>
        <w:numId w:val="3"/>
      </w:numPr>
    </w:pPr>
  </w:style>
  <w:style w:type="paragraph" w:styleId="9">
    <w:name w:val="Document Map"/>
    <w:basedOn w:val="1"/>
    <w:link w:val="42"/>
    <w:semiHidden/>
    <w:qFormat/>
    <w:locked/>
    <w:uiPriority w:val="99"/>
    <w:pPr>
      <w:shd w:val="clear" w:color="auto" w:fill="000080"/>
      <w:adjustRightInd/>
    </w:pPr>
    <w:rPr>
      <w:rFonts w:ascii="宋体"/>
      <w:sz w:val="18"/>
      <w:szCs w:val="18"/>
    </w:rPr>
  </w:style>
  <w:style w:type="paragraph" w:styleId="10">
    <w:name w:val="annotation text"/>
    <w:basedOn w:val="1"/>
    <w:link w:val="43"/>
    <w:qFormat/>
    <w:uiPriority w:val="99"/>
    <w:pPr>
      <w:adjustRightInd/>
      <w:jc w:val="left"/>
    </w:pPr>
    <w:rPr>
      <w:kern w:val="0"/>
      <w:sz w:val="24"/>
      <w:lang w:val="zh-CN"/>
    </w:rPr>
  </w:style>
  <w:style w:type="paragraph" w:styleId="11">
    <w:name w:val="Body Text"/>
    <w:basedOn w:val="1"/>
    <w:link w:val="44"/>
    <w:qFormat/>
    <w:locked/>
    <w:uiPriority w:val="99"/>
    <w:pPr>
      <w:spacing w:line="360" w:lineRule="auto"/>
    </w:pPr>
    <w:rPr>
      <w:rFonts w:eastAsia="仿宋_GB2312"/>
      <w:sz w:val="28"/>
    </w:rPr>
  </w:style>
  <w:style w:type="paragraph" w:styleId="12">
    <w:name w:val="Body Text Indent"/>
    <w:basedOn w:val="1"/>
    <w:next w:val="1"/>
    <w:link w:val="45"/>
    <w:qFormat/>
    <w:uiPriority w:val="99"/>
    <w:pPr>
      <w:spacing w:after="120"/>
      <w:ind w:left="420" w:leftChars="200"/>
    </w:pPr>
    <w:rPr>
      <w:kern w:val="0"/>
      <w:sz w:val="24"/>
    </w:rPr>
  </w:style>
  <w:style w:type="paragraph" w:styleId="13">
    <w:name w:val="List Number 3"/>
    <w:basedOn w:val="1"/>
    <w:qFormat/>
    <w:uiPriority w:val="99"/>
    <w:pPr>
      <w:numPr>
        <w:ilvl w:val="0"/>
        <w:numId w:val="4"/>
      </w:numPr>
    </w:pPr>
  </w:style>
  <w:style w:type="paragraph" w:styleId="14">
    <w:name w:val="Block Text"/>
    <w:basedOn w:val="1"/>
    <w:qFormat/>
    <w:locked/>
    <w:uiPriority w:val="0"/>
    <w:pPr>
      <w:spacing w:after="120"/>
      <w:ind w:left="1440" w:leftChars="700" w:right="1440" w:rightChars="700"/>
    </w:pPr>
  </w:style>
  <w:style w:type="paragraph" w:styleId="15">
    <w:name w:val="Plain Text"/>
    <w:basedOn w:val="1"/>
    <w:link w:val="46"/>
    <w:qFormat/>
    <w:uiPriority w:val="99"/>
    <w:rPr>
      <w:rFonts w:ascii="宋体" w:hAnsi="Courier New"/>
      <w:kern w:val="0"/>
      <w:szCs w:val="20"/>
    </w:rPr>
  </w:style>
  <w:style w:type="paragraph" w:styleId="16">
    <w:name w:val="Date"/>
    <w:basedOn w:val="1"/>
    <w:next w:val="1"/>
    <w:link w:val="47"/>
    <w:qFormat/>
    <w:uiPriority w:val="99"/>
    <w:pPr>
      <w:ind w:left="100" w:leftChars="2500"/>
    </w:pPr>
    <w:rPr>
      <w:rFonts w:ascii="宋体"/>
      <w:kern w:val="0"/>
      <w:szCs w:val="20"/>
      <w:lang w:val="zh-CN"/>
    </w:rPr>
  </w:style>
  <w:style w:type="paragraph" w:styleId="17">
    <w:name w:val="Body Text Indent 2"/>
    <w:basedOn w:val="1"/>
    <w:link w:val="48"/>
    <w:semiHidden/>
    <w:qFormat/>
    <w:locked/>
    <w:uiPriority w:val="99"/>
    <w:pPr>
      <w:spacing w:after="120" w:line="480" w:lineRule="auto"/>
      <w:ind w:left="420" w:leftChars="200"/>
    </w:pPr>
  </w:style>
  <w:style w:type="paragraph" w:styleId="18">
    <w:name w:val="Balloon Text"/>
    <w:basedOn w:val="1"/>
    <w:link w:val="82"/>
    <w:semiHidden/>
    <w:qFormat/>
    <w:locked/>
    <w:uiPriority w:val="99"/>
    <w:rPr>
      <w:sz w:val="18"/>
      <w:szCs w:val="18"/>
    </w:rPr>
  </w:style>
  <w:style w:type="paragraph" w:styleId="19">
    <w:name w:val="footer"/>
    <w:basedOn w:val="1"/>
    <w:link w:val="49"/>
    <w:qFormat/>
    <w:uiPriority w:val="99"/>
    <w:pPr>
      <w:tabs>
        <w:tab w:val="center" w:pos="4153"/>
        <w:tab w:val="right" w:pos="8306"/>
      </w:tabs>
      <w:snapToGrid w:val="0"/>
      <w:jc w:val="left"/>
    </w:pPr>
    <w:rPr>
      <w:kern w:val="0"/>
      <w:sz w:val="18"/>
      <w:szCs w:val="18"/>
    </w:rPr>
  </w:style>
  <w:style w:type="paragraph" w:styleId="20">
    <w:name w:val="header"/>
    <w:basedOn w:val="1"/>
    <w:link w:val="54"/>
    <w:qFormat/>
    <w:uiPriority w:val="99"/>
    <w:pPr>
      <w:pBdr>
        <w:bottom w:val="single" w:color="auto" w:sz="6" w:space="1"/>
      </w:pBdr>
      <w:tabs>
        <w:tab w:val="center" w:pos="4153"/>
        <w:tab w:val="right" w:pos="8306"/>
      </w:tabs>
      <w:snapToGrid w:val="0"/>
      <w:jc w:val="center"/>
    </w:pPr>
    <w:rPr>
      <w:kern w:val="0"/>
      <w:sz w:val="18"/>
      <w:szCs w:val="20"/>
    </w:rPr>
  </w:style>
  <w:style w:type="paragraph" w:styleId="21">
    <w:name w:val="footnote text"/>
    <w:basedOn w:val="1"/>
    <w:qFormat/>
    <w:locked/>
    <w:uiPriority w:val="0"/>
    <w:pPr>
      <w:snapToGrid w:val="0"/>
      <w:jc w:val="left"/>
    </w:pPr>
    <w:rPr>
      <w:sz w:val="18"/>
    </w:rPr>
  </w:style>
  <w:style w:type="paragraph" w:styleId="22">
    <w:name w:val="Body Text Indent 3"/>
    <w:basedOn w:val="1"/>
    <w:qFormat/>
    <w:locked/>
    <w:uiPriority w:val="0"/>
    <w:pPr>
      <w:spacing w:after="120"/>
      <w:ind w:left="420" w:leftChars="200"/>
    </w:pPr>
    <w:rPr>
      <w:sz w:val="16"/>
      <w:szCs w:val="16"/>
    </w:rPr>
  </w:style>
  <w:style w:type="paragraph" w:styleId="23">
    <w:name w:val="Body Text 2"/>
    <w:basedOn w:val="1"/>
    <w:link w:val="51"/>
    <w:qFormat/>
    <w:uiPriority w:val="99"/>
    <w:pPr>
      <w:widowControl/>
      <w:spacing w:afterLines="50" w:line="216" w:lineRule="auto"/>
      <w:jc w:val="center"/>
    </w:pPr>
    <w:rPr>
      <w:kern w:val="0"/>
      <w:sz w:val="24"/>
    </w:rPr>
  </w:style>
  <w:style w:type="paragraph" w:styleId="24">
    <w:name w:val="HTML Preformatted"/>
    <w:basedOn w:val="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5">
    <w:name w:val="Normal (Web)"/>
    <w:basedOn w:val="1"/>
    <w:qFormat/>
    <w:locked/>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link w:val="52"/>
    <w:qFormat/>
    <w:uiPriority w:val="99"/>
    <w:pPr>
      <w:spacing w:before="240" w:after="60"/>
      <w:jc w:val="center"/>
      <w:outlineLvl w:val="0"/>
    </w:pPr>
    <w:rPr>
      <w:rFonts w:ascii="Calibri Light" w:hAnsi="Calibri Light"/>
      <w:b/>
      <w:bCs/>
      <w:kern w:val="0"/>
      <w:sz w:val="32"/>
      <w:szCs w:val="32"/>
    </w:rPr>
  </w:style>
  <w:style w:type="paragraph" w:styleId="27">
    <w:name w:val="annotation subject"/>
    <w:basedOn w:val="10"/>
    <w:next w:val="10"/>
    <w:link w:val="53"/>
    <w:qFormat/>
    <w:uiPriority w:val="99"/>
    <w:pPr>
      <w:widowControl/>
      <w:spacing w:afterLines="50"/>
    </w:pPr>
    <w:rPr>
      <w:b/>
      <w:bCs/>
    </w:rPr>
  </w:style>
  <w:style w:type="paragraph" w:styleId="28">
    <w:name w:val="Body Text First Indent 2"/>
    <w:basedOn w:val="12"/>
    <w:semiHidden/>
    <w:unhideWhenUsed/>
    <w:qFormat/>
    <w:locked/>
    <w:uiPriority w:val="99"/>
    <w:pPr>
      <w:spacing w:after="120" w:line="240" w:lineRule="auto"/>
      <w:ind w:left="420" w:leftChars="200" w:firstLine="420" w:firstLineChars="200"/>
    </w:pPr>
    <w:rPr>
      <w:rFonts w:hint="default" w:ascii="Times New Roman" w:eastAsia="宋体"/>
      <w:sz w:val="21"/>
      <w:szCs w:val="24"/>
    </w:r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bCs/>
    </w:rPr>
  </w:style>
  <w:style w:type="character" w:styleId="33">
    <w:name w:val="page number"/>
    <w:basedOn w:val="31"/>
    <w:qFormat/>
    <w:uiPriority w:val="99"/>
    <w:rPr>
      <w:rFonts w:ascii="Arial" w:hAnsi="Arial" w:eastAsia="黑体" w:cs="Times New Roman"/>
      <w:snapToGrid w:val="0"/>
      <w:kern w:val="0"/>
      <w:sz w:val="21"/>
    </w:rPr>
  </w:style>
  <w:style w:type="character" w:styleId="34">
    <w:name w:val="FollowedHyperlink"/>
    <w:basedOn w:val="31"/>
    <w:qFormat/>
    <w:locked/>
    <w:uiPriority w:val="99"/>
    <w:rPr>
      <w:rFonts w:cs="Times New Roman"/>
      <w:color w:val="800080"/>
      <w:u w:val="none"/>
    </w:rPr>
  </w:style>
  <w:style w:type="character" w:styleId="35">
    <w:name w:val="Hyperlink"/>
    <w:basedOn w:val="31"/>
    <w:qFormat/>
    <w:uiPriority w:val="99"/>
    <w:rPr>
      <w:rFonts w:cs="Times New Roman"/>
      <w:color w:val="0000FF"/>
      <w:u w:val="single"/>
    </w:rPr>
  </w:style>
  <w:style w:type="character" w:styleId="36">
    <w:name w:val="annotation reference"/>
    <w:basedOn w:val="31"/>
    <w:semiHidden/>
    <w:qFormat/>
    <w:locked/>
    <w:uiPriority w:val="99"/>
    <w:rPr>
      <w:rFonts w:cs="Times New Roman"/>
      <w:sz w:val="21"/>
      <w:szCs w:val="21"/>
    </w:rPr>
  </w:style>
  <w:style w:type="paragraph" w:customStyle="1" w:styleId="37">
    <w:name w:val="首行缩进"/>
    <w:basedOn w:val="1"/>
    <w:qFormat/>
    <w:uiPriority w:val="99"/>
    <w:pPr>
      <w:spacing w:line="360" w:lineRule="auto"/>
      <w:ind w:firstLine="480" w:firstLineChars="200"/>
    </w:pPr>
    <w:rPr>
      <w:sz w:val="24"/>
      <w:szCs w:val="22"/>
      <w:lang w:val="zh-CN"/>
    </w:rPr>
  </w:style>
  <w:style w:type="character" w:customStyle="1" w:styleId="38">
    <w:name w:val="标题 1 Char"/>
    <w:basedOn w:val="31"/>
    <w:link w:val="4"/>
    <w:qFormat/>
    <w:locked/>
    <w:uiPriority w:val="99"/>
    <w:rPr>
      <w:rFonts w:eastAsia="仿宋_GB2312"/>
      <w:b/>
      <w:kern w:val="44"/>
      <w:sz w:val="44"/>
      <w:szCs w:val="20"/>
    </w:rPr>
  </w:style>
  <w:style w:type="character" w:customStyle="1" w:styleId="39">
    <w:name w:val="标题 2 Char"/>
    <w:basedOn w:val="31"/>
    <w:link w:val="2"/>
    <w:semiHidden/>
    <w:qFormat/>
    <w:locked/>
    <w:uiPriority w:val="99"/>
    <w:rPr>
      <w:rFonts w:ascii="Calibri Light" w:hAnsi="Calibri Light" w:eastAsia="宋体" w:cs="Times New Roman"/>
      <w:b/>
      <w:sz w:val="32"/>
    </w:rPr>
  </w:style>
  <w:style w:type="character" w:customStyle="1" w:styleId="40">
    <w:name w:val="标题 3 Char"/>
    <w:basedOn w:val="31"/>
    <w:link w:val="5"/>
    <w:semiHidden/>
    <w:qFormat/>
    <w:locked/>
    <w:uiPriority w:val="99"/>
    <w:rPr>
      <w:rFonts w:ascii="Times New Roman" w:hAnsi="Times New Roman" w:eastAsia="宋体" w:cs="Times New Roman"/>
      <w:b/>
      <w:sz w:val="32"/>
    </w:rPr>
  </w:style>
  <w:style w:type="character" w:customStyle="1" w:styleId="41">
    <w:name w:val="标题 4 Char"/>
    <w:basedOn w:val="31"/>
    <w:link w:val="6"/>
    <w:semiHidden/>
    <w:qFormat/>
    <w:locked/>
    <w:uiPriority w:val="99"/>
    <w:rPr>
      <w:rFonts w:ascii="Calibri Light" w:hAnsi="Calibri Light" w:eastAsia="宋体" w:cs="Times New Roman"/>
      <w:b/>
      <w:sz w:val="28"/>
    </w:rPr>
  </w:style>
  <w:style w:type="character" w:customStyle="1" w:styleId="42">
    <w:name w:val="文档结构图 Char1"/>
    <w:basedOn w:val="31"/>
    <w:link w:val="9"/>
    <w:semiHidden/>
    <w:qFormat/>
    <w:locked/>
    <w:uiPriority w:val="99"/>
    <w:rPr>
      <w:rFonts w:ascii="宋体" w:hAnsi="Times New Roman" w:cs="Times New Roman"/>
      <w:kern w:val="2"/>
      <w:sz w:val="18"/>
    </w:rPr>
  </w:style>
  <w:style w:type="character" w:customStyle="1" w:styleId="43">
    <w:name w:val="批注文字 Char"/>
    <w:basedOn w:val="31"/>
    <w:link w:val="10"/>
    <w:qFormat/>
    <w:locked/>
    <w:uiPriority w:val="99"/>
    <w:rPr>
      <w:rFonts w:ascii="Times New Roman" w:hAnsi="Times New Roman" w:eastAsia="宋体" w:cs="Times New Roman"/>
      <w:kern w:val="0"/>
      <w:sz w:val="24"/>
      <w:lang w:val="zh-CN" w:eastAsia="zh-CN"/>
    </w:rPr>
  </w:style>
  <w:style w:type="character" w:customStyle="1" w:styleId="44">
    <w:name w:val="正文文本 Char"/>
    <w:basedOn w:val="31"/>
    <w:link w:val="11"/>
    <w:semiHidden/>
    <w:qFormat/>
    <w:locked/>
    <w:uiPriority w:val="99"/>
    <w:rPr>
      <w:rFonts w:cs="Times New Roman"/>
      <w:sz w:val="24"/>
      <w:szCs w:val="24"/>
    </w:rPr>
  </w:style>
  <w:style w:type="character" w:customStyle="1" w:styleId="45">
    <w:name w:val="正文文本缩进 Char"/>
    <w:basedOn w:val="31"/>
    <w:link w:val="12"/>
    <w:semiHidden/>
    <w:qFormat/>
    <w:locked/>
    <w:uiPriority w:val="99"/>
    <w:rPr>
      <w:rFonts w:ascii="Times New Roman" w:hAnsi="Times New Roman" w:cs="Times New Roman"/>
      <w:sz w:val="24"/>
    </w:rPr>
  </w:style>
  <w:style w:type="character" w:customStyle="1" w:styleId="46">
    <w:name w:val="纯文本 Char"/>
    <w:basedOn w:val="31"/>
    <w:link w:val="15"/>
    <w:qFormat/>
    <w:locked/>
    <w:uiPriority w:val="99"/>
    <w:rPr>
      <w:rFonts w:ascii="宋体" w:hAnsi="Courier New" w:eastAsia="宋体" w:cs="Times New Roman"/>
      <w:snapToGrid w:val="0"/>
      <w:sz w:val="21"/>
    </w:rPr>
  </w:style>
  <w:style w:type="character" w:customStyle="1" w:styleId="47">
    <w:name w:val="日期 Char"/>
    <w:basedOn w:val="31"/>
    <w:link w:val="16"/>
    <w:qFormat/>
    <w:locked/>
    <w:uiPriority w:val="99"/>
    <w:rPr>
      <w:rFonts w:ascii="宋体" w:cs="Times New Roman"/>
      <w:sz w:val="21"/>
      <w:lang w:val="zh-CN"/>
    </w:rPr>
  </w:style>
  <w:style w:type="character" w:customStyle="1" w:styleId="48">
    <w:name w:val="正文文本缩进 2 Char"/>
    <w:basedOn w:val="31"/>
    <w:link w:val="17"/>
    <w:semiHidden/>
    <w:qFormat/>
    <w:locked/>
    <w:uiPriority w:val="99"/>
    <w:rPr>
      <w:rFonts w:cs="Times New Roman"/>
      <w:sz w:val="24"/>
      <w:szCs w:val="24"/>
    </w:rPr>
  </w:style>
  <w:style w:type="character" w:customStyle="1" w:styleId="49">
    <w:name w:val="页脚 Char"/>
    <w:basedOn w:val="31"/>
    <w:link w:val="19"/>
    <w:qFormat/>
    <w:locked/>
    <w:uiPriority w:val="99"/>
    <w:rPr>
      <w:rFonts w:ascii="Times New Roman" w:hAnsi="Times New Roman" w:eastAsia="宋体" w:cs="Times New Roman"/>
      <w:sz w:val="18"/>
    </w:rPr>
  </w:style>
  <w:style w:type="character" w:customStyle="1" w:styleId="50">
    <w:name w:val="Header Char"/>
    <w:basedOn w:val="31"/>
    <w:qFormat/>
    <w:locked/>
    <w:uiPriority w:val="99"/>
    <w:rPr>
      <w:rFonts w:ascii="Times New Roman" w:hAnsi="Times New Roman" w:eastAsia="宋体" w:cs="Times New Roman"/>
      <w:sz w:val="18"/>
    </w:rPr>
  </w:style>
  <w:style w:type="character" w:customStyle="1" w:styleId="51">
    <w:name w:val="正文文本 2 Char"/>
    <w:basedOn w:val="31"/>
    <w:link w:val="23"/>
    <w:semiHidden/>
    <w:qFormat/>
    <w:locked/>
    <w:uiPriority w:val="99"/>
    <w:rPr>
      <w:rFonts w:ascii="Times New Roman" w:hAnsi="Times New Roman" w:cs="Times New Roman"/>
      <w:sz w:val="24"/>
    </w:rPr>
  </w:style>
  <w:style w:type="character" w:customStyle="1" w:styleId="52">
    <w:name w:val="标题 Char"/>
    <w:basedOn w:val="31"/>
    <w:link w:val="26"/>
    <w:qFormat/>
    <w:locked/>
    <w:uiPriority w:val="99"/>
    <w:rPr>
      <w:rFonts w:ascii="Calibri Light" w:hAnsi="Calibri Light" w:eastAsia="宋体" w:cs="Times New Roman"/>
      <w:b/>
      <w:sz w:val="32"/>
    </w:rPr>
  </w:style>
  <w:style w:type="character" w:customStyle="1" w:styleId="53">
    <w:name w:val="批注主题 Char"/>
    <w:basedOn w:val="43"/>
    <w:link w:val="27"/>
    <w:semiHidden/>
    <w:qFormat/>
    <w:locked/>
    <w:uiPriority w:val="99"/>
    <w:rPr>
      <w:rFonts w:ascii="Times New Roman" w:hAnsi="Times New Roman" w:eastAsia="宋体" w:cs="Times New Roman"/>
      <w:b/>
      <w:kern w:val="0"/>
      <w:sz w:val="24"/>
      <w:lang w:val="zh-CN" w:eastAsia="zh-CN"/>
    </w:rPr>
  </w:style>
  <w:style w:type="character" w:customStyle="1" w:styleId="54">
    <w:name w:val="页眉 Char"/>
    <w:link w:val="20"/>
    <w:qFormat/>
    <w:locked/>
    <w:uiPriority w:val="99"/>
    <w:rPr>
      <w:rFonts w:ascii="Times New Roman" w:hAnsi="Times New Roman" w:eastAsia="宋体"/>
      <w:sz w:val="18"/>
    </w:rPr>
  </w:style>
  <w:style w:type="character" w:customStyle="1" w:styleId="55">
    <w:name w:val="正文缩进 Char"/>
    <w:link w:val="3"/>
    <w:qFormat/>
    <w:locked/>
    <w:uiPriority w:val="99"/>
    <w:rPr>
      <w:rFonts w:ascii="宋体" w:eastAsia="宋体"/>
      <w:snapToGrid w:val="0"/>
      <w:color w:val="000000"/>
      <w:kern w:val="28"/>
      <w:sz w:val="28"/>
    </w:rPr>
  </w:style>
  <w:style w:type="character" w:customStyle="1" w:styleId="56">
    <w:name w:val="日期 Char1"/>
    <w:semiHidden/>
    <w:qFormat/>
    <w:uiPriority w:val="99"/>
    <w:rPr>
      <w:rFonts w:ascii="Times New Roman" w:hAnsi="Times New Roman" w:eastAsia="宋体"/>
      <w:sz w:val="24"/>
    </w:rPr>
  </w:style>
  <w:style w:type="character" w:customStyle="1" w:styleId="57">
    <w:name w:val="纯文本 Char1"/>
    <w:semiHidden/>
    <w:qFormat/>
    <w:uiPriority w:val="99"/>
    <w:rPr>
      <w:rFonts w:ascii="宋体" w:hAnsi="Courier New" w:eastAsia="宋体"/>
      <w:sz w:val="21"/>
    </w:rPr>
  </w:style>
  <w:style w:type="paragraph" w:customStyle="1" w:styleId="58">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
    <w:name w:val="列出段落1"/>
    <w:basedOn w:val="1"/>
    <w:qFormat/>
    <w:uiPriority w:val="99"/>
    <w:pPr>
      <w:spacing w:line="360" w:lineRule="auto"/>
      <w:ind w:firstLine="200" w:firstLineChars="200"/>
    </w:pPr>
    <w:rPr>
      <w:rFonts w:eastAsia="楷体_GB2312" w:cs="Lucida Sans"/>
      <w:sz w:val="24"/>
    </w:rPr>
  </w:style>
  <w:style w:type="paragraph" w:customStyle="1" w:styleId="60">
    <w:name w:val="标题2def"/>
    <w:basedOn w:val="26"/>
    <w:qFormat/>
    <w:uiPriority w:val="99"/>
    <w:pPr>
      <w:widowControl/>
      <w:overflowPunct w:val="0"/>
      <w:autoSpaceDE w:val="0"/>
      <w:autoSpaceDN w:val="0"/>
      <w:snapToGrid w:val="0"/>
      <w:spacing w:before="160" w:after="200" w:line="360" w:lineRule="auto"/>
      <w:textAlignment w:val="baseline"/>
    </w:pPr>
    <w:rPr>
      <w:rFonts w:ascii="Times New Roman" w:hAnsi="宋体" w:eastAsia="Times New Roman"/>
      <w:bCs w:val="0"/>
      <w:szCs w:val="20"/>
      <w:lang w:val="en-GB"/>
    </w:rPr>
  </w:style>
  <w:style w:type="paragraph" w:customStyle="1" w:styleId="61">
    <w:name w:val="标题3def"/>
    <w:basedOn w:val="5"/>
    <w:next w:val="1"/>
    <w:qFormat/>
    <w:uiPriority w:val="99"/>
    <w:pPr>
      <w:snapToGrid w:val="0"/>
      <w:spacing w:before="80" w:after="160" w:line="400" w:lineRule="exact"/>
    </w:pPr>
    <w:rPr>
      <w:rFonts w:ascii="??_GB2312" w:hAnsi="宋体" w:eastAsia="Times New Roman"/>
      <w:bCs w:val="0"/>
      <w:sz w:val="24"/>
      <w:szCs w:val="20"/>
    </w:rPr>
  </w:style>
  <w:style w:type="paragraph" w:customStyle="1" w:styleId="62">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3">
    <w:name w:val="Char Char2 Char Char"/>
    <w:basedOn w:val="1"/>
    <w:qFormat/>
    <w:uiPriority w:val="99"/>
    <w:pPr>
      <w:widowControl/>
      <w:adjustRightInd/>
      <w:spacing w:line="400" w:lineRule="exact"/>
      <w:jc w:val="center"/>
    </w:pPr>
    <w:rPr>
      <w:rFonts w:ascii="Verdana" w:hAnsi="Verdana"/>
      <w:kern w:val="0"/>
      <w:szCs w:val="20"/>
      <w:lang w:eastAsia="en-US"/>
    </w:rPr>
  </w:style>
  <w:style w:type="paragraph" w:customStyle="1" w:styleId="64">
    <w:name w:val="Char Char Char Char1"/>
    <w:basedOn w:val="1"/>
    <w:qFormat/>
    <w:uiPriority w:val="99"/>
    <w:pPr>
      <w:adjustRightInd/>
    </w:pPr>
    <w:rPr>
      <w:rFonts w:ascii="Tahoma" w:hAnsi="Tahoma"/>
      <w:sz w:val="24"/>
      <w:szCs w:val="20"/>
    </w:rPr>
  </w:style>
  <w:style w:type="paragraph" w:customStyle="1" w:styleId="65">
    <w:name w:val="正文文本缩进 21"/>
    <w:basedOn w:val="1"/>
    <w:qFormat/>
    <w:uiPriority w:val="99"/>
    <w:pPr>
      <w:adjustRightInd/>
      <w:spacing w:line="520" w:lineRule="exact"/>
      <w:ind w:firstLine="848" w:firstLineChars="303"/>
    </w:pPr>
    <w:rPr>
      <w:rFonts w:ascii="黑体" w:hAnsi="Calibri" w:eastAsia="黑体" w:cs="黑体"/>
      <w:sz w:val="28"/>
      <w:szCs w:val="22"/>
    </w:rPr>
  </w:style>
  <w:style w:type="paragraph" w:customStyle="1" w:styleId="66">
    <w:name w:val="正文段"/>
    <w:basedOn w:val="1"/>
    <w:link w:val="72"/>
    <w:qFormat/>
    <w:uiPriority w:val="99"/>
    <w:pPr>
      <w:widowControl/>
      <w:snapToGrid w:val="0"/>
      <w:spacing w:afterLines="50"/>
      <w:ind w:firstLine="200" w:firstLineChars="200"/>
    </w:pPr>
    <w:rPr>
      <w:kern w:val="0"/>
      <w:sz w:val="24"/>
      <w:szCs w:val="20"/>
    </w:rPr>
  </w:style>
  <w:style w:type="paragraph" w:customStyle="1" w:styleId="67">
    <w:name w:val="正文2"/>
    <w:basedOn w:val="1"/>
    <w:link w:val="71"/>
    <w:qFormat/>
    <w:uiPriority w:val="99"/>
    <w:pPr>
      <w:spacing w:before="156" w:line="360" w:lineRule="auto"/>
      <w:ind w:firstLine="510" w:firstLineChars="200"/>
    </w:pPr>
    <w:rPr>
      <w:sz w:val="24"/>
      <w:szCs w:val="20"/>
    </w:rPr>
  </w:style>
  <w:style w:type="paragraph" w:customStyle="1" w:styleId="68">
    <w:name w:val="表正文"/>
    <w:basedOn w:val="1"/>
    <w:next w:val="15"/>
    <w:qFormat/>
    <w:uiPriority w:val="99"/>
    <w:rPr>
      <w:rFonts w:ascii="宋体" w:hAnsi="Courier New"/>
      <w:szCs w:val="20"/>
    </w:rPr>
  </w:style>
  <w:style w:type="character" w:customStyle="1" w:styleId="69">
    <w:name w:val="文档结构图 Char"/>
    <w:semiHidden/>
    <w:qFormat/>
    <w:uiPriority w:val="99"/>
    <w:rPr>
      <w:kern w:val="2"/>
      <w:sz w:val="24"/>
      <w:shd w:val="clear" w:color="auto" w:fill="000080"/>
    </w:rPr>
  </w:style>
  <w:style w:type="character" w:customStyle="1" w:styleId="70">
    <w:name w:val="日期 Char2"/>
    <w:qFormat/>
    <w:uiPriority w:val="99"/>
    <w:rPr>
      <w:rFonts w:ascii="楷体_GB2312" w:eastAsia="楷体_GB2312"/>
      <w:b/>
      <w:kern w:val="2"/>
      <w:sz w:val="28"/>
      <w:lang w:val="en-US" w:eastAsia="zh-CN"/>
    </w:rPr>
  </w:style>
  <w:style w:type="character" w:customStyle="1" w:styleId="71">
    <w:name w:val="正文2 Char"/>
    <w:link w:val="67"/>
    <w:qFormat/>
    <w:locked/>
    <w:uiPriority w:val="99"/>
    <w:rPr>
      <w:rFonts w:ascii="Times New Roman" w:hAnsi="Times New Roman"/>
      <w:kern w:val="2"/>
      <w:sz w:val="24"/>
    </w:rPr>
  </w:style>
  <w:style w:type="character" w:customStyle="1" w:styleId="72">
    <w:name w:val="正文段 Char"/>
    <w:link w:val="66"/>
    <w:qFormat/>
    <w:locked/>
    <w:uiPriority w:val="99"/>
    <w:rPr>
      <w:rFonts w:ascii="Times New Roman" w:hAnsi="Times New Roman"/>
      <w:sz w:val="24"/>
    </w:rPr>
  </w:style>
  <w:style w:type="paragraph" w:styleId="73">
    <w:name w:val="List Paragraph"/>
    <w:basedOn w:val="1"/>
    <w:qFormat/>
    <w:uiPriority w:val="99"/>
    <w:pPr>
      <w:ind w:left="720"/>
      <w:contextualSpacing/>
    </w:pPr>
  </w:style>
  <w:style w:type="paragraph" w:customStyle="1" w:styleId="74">
    <w:name w:val="正文 A"/>
    <w:qFormat/>
    <w:uiPriority w:val="99"/>
    <w:pPr>
      <w:widowControl w:val="0"/>
      <w:spacing w:line="360" w:lineRule="atLeast"/>
    </w:pPr>
    <w:rPr>
      <w:rFonts w:ascii="Times New Roman" w:hAnsi="Times New Roman" w:eastAsia="宋体" w:cs="Times New Roman"/>
      <w:color w:val="000000"/>
      <w:sz w:val="24"/>
      <w:szCs w:val="24"/>
      <w:lang w:val="en-US" w:eastAsia="zh-CN" w:bidi="ar-SA"/>
    </w:rPr>
  </w:style>
  <w:style w:type="character" w:customStyle="1" w:styleId="75">
    <w:name w:val="px_10"/>
    <w:qFormat/>
    <w:uiPriority w:val="99"/>
    <w:rPr>
      <w:lang w:val="zh-TW" w:eastAsia="zh-TW"/>
    </w:rPr>
  </w:style>
  <w:style w:type="paragraph" w:customStyle="1" w:styleId="76">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7">
    <w:name w:val="reader-word-layer reader-word-s1-8"/>
    <w:basedOn w:val="1"/>
    <w:qFormat/>
    <w:uiPriority w:val="99"/>
    <w:pPr>
      <w:widowControl/>
      <w:spacing w:before="100" w:beforeAutospacing="1" w:after="100" w:afterAutospacing="1"/>
      <w:jc w:val="left"/>
    </w:pPr>
    <w:rPr>
      <w:rFonts w:ascii="宋体" w:hAnsi="宋体" w:cs="宋体"/>
      <w:kern w:val="0"/>
      <w:sz w:val="24"/>
    </w:rPr>
  </w:style>
  <w:style w:type="paragraph" w:customStyle="1" w:styleId="78">
    <w:name w:val="列出段落11"/>
    <w:basedOn w:val="1"/>
    <w:qFormat/>
    <w:uiPriority w:val="99"/>
    <w:pPr>
      <w:spacing w:line="360" w:lineRule="auto"/>
      <w:ind w:firstLine="200" w:firstLineChars="200"/>
    </w:pPr>
    <w:rPr>
      <w:rFonts w:eastAsia="楷体_GB2312" w:cs="Lucida Sans"/>
      <w:sz w:val="24"/>
    </w:rPr>
  </w:style>
  <w:style w:type="paragraph" w:customStyle="1" w:styleId="79">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80">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81">
    <w:name w:val="正文 New New New New"/>
    <w:qFormat/>
    <w:uiPriority w:val="99"/>
    <w:pPr>
      <w:widowControl w:val="0"/>
      <w:jc w:val="both"/>
    </w:pPr>
    <w:rPr>
      <w:rFonts w:ascii="Calibri" w:hAnsi="Calibri" w:eastAsia="宋体" w:cs="Times New Roman"/>
      <w:sz w:val="21"/>
      <w:szCs w:val="24"/>
      <w:lang w:val="en-US" w:eastAsia="zh-CN" w:bidi="ar-SA"/>
    </w:rPr>
  </w:style>
  <w:style w:type="character" w:customStyle="1" w:styleId="82">
    <w:name w:val="批注框文本 Char"/>
    <w:basedOn w:val="31"/>
    <w:link w:val="18"/>
    <w:semiHidden/>
    <w:qFormat/>
    <w:locked/>
    <w:uiPriority w:val="99"/>
    <w:rPr>
      <w:rFonts w:cs="Times New Roman"/>
      <w:sz w:val="2"/>
    </w:rPr>
  </w:style>
  <w:style w:type="paragraph" w:customStyle="1" w:styleId="83">
    <w:name w:val="列出段落5"/>
    <w:basedOn w:val="1"/>
    <w:qFormat/>
    <w:uiPriority w:val="34"/>
    <w:pPr>
      <w:ind w:firstLine="420" w:firstLineChars="200"/>
    </w:pPr>
    <w:rPr>
      <w:rFonts w:ascii="Calibri" w:hAnsi="Calibri"/>
      <w:sz w:val="24"/>
    </w:rPr>
  </w:style>
  <w:style w:type="paragraph" w:customStyle="1" w:styleId="84">
    <w:name w:val="unnamed1"/>
    <w:basedOn w:val="1"/>
    <w:qFormat/>
    <w:uiPriority w:val="0"/>
    <w:pPr>
      <w:widowControl/>
      <w:spacing w:before="100" w:beforeAutospacing="1" w:after="100" w:afterAutospacing="1" w:line="288" w:lineRule="auto"/>
      <w:jc w:val="left"/>
    </w:pPr>
    <w:rPr>
      <w:rFonts w:hint="eastAsia" w:ascii="宋体" w:hAnsi="宋体"/>
      <w:kern w:val="0"/>
      <w:szCs w:val="21"/>
    </w:rPr>
  </w:style>
  <w:style w:type="character" w:customStyle="1" w:styleId="85">
    <w:name w:val="unnamed11"/>
    <w:basedOn w:val="31"/>
    <w:qFormat/>
    <w:uiPriority w:val="0"/>
    <w:rPr>
      <w:rFonts w:hint="eastAsia" w:ascii="宋体" w:hAnsi="宋体" w:eastAsia="宋体"/>
      <w:sz w:val="21"/>
      <w:szCs w:val="21"/>
    </w:rPr>
  </w:style>
  <w:style w:type="paragraph" w:customStyle="1" w:styleId="86">
    <w:name w:val="样式2 Char Char Char"/>
    <w:basedOn w:val="1"/>
    <w:qFormat/>
    <w:uiPriority w:val="0"/>
    <w:pPr>
      <w:widowControl/>
      <w:spacing w:line="360" w:lineRule="auto"/>
      <w:ind w:firstLine="480" w:firstLineChars="200"/>
      <w:jc w:val="left"/>
    </w:pPr>
    <w:rPr>
      <w:rFonts w:ascii="宋体" w:hAnsi="宋体"/>
      <w:bCs/>
      <w:kern w:val="0"/>
      <w:sz w:val="24"/>
      <w:lang w:eastAsia="en-US"/>
    </w:rPr>
  </w:style>
  <w:style w:type="character" w:customStyle="1" w:styleId="87">
    <w:name w:val="font11"/>
    <w:basedOn w:val="31"/>
    <w:qFormat/>
    <w:uiPriority w:val="0"/>
    <w:rPr>
      <w:rFonts w:hint="default" w:ascii="微软雅黑" w:hAnsi="微软雅黑" w:eastAsia="微软雅黑" w:cs="微软雅黑"/>
      <w:color w:val="000000"/>
      <w:sz w:val="20"/>
      <w:szCs w:val="20"/>
      <w:u w:val="none"/>
    </w:rPr>
  </w:style>
  <w:style w:type="paragraph" w:customStyle="1" w:styleId="88">
    <w:name w:val="样式 首行缩进:  0.74 厘米"/>
    <w:basedOn w:val="1"/>
    <w:qFormat/>
    <w:uiPriority w:val="0"/>
    <w:pPr>
      <w:ind w:firstLine="420"/>
    </w:pPr>
    <w:rPr>
      <w:rFonts w:ascii="Arial" w:hAnsi="Arial" w:eastAsia="仿宋_GB2312" w:cs="Arial"/>
      <w:bCs/>
      <w:sz w:val="28"/>
      <w:szCs w:val="28"/>
    </w:rPr>
  </w:style>
  <w:style w:type="paragraph" w:customStyle="1" w:styleId="89">
    <w:name w:val="正文格式（小四）"/>
    <w:basedOn w:val="1"/>
    <w:qFormat/>
    <w:uiPriority w:val="0"/>
    <w:pPr>
      <w:widowControl/>
      <w:snapToGrid w:val="0"/>
      <w:spacing w:line="360" w:lineRule="auto"/>
      <w:ind w:firstLine="482"/>
      <w:jc w:val="left"/>
      <w:textAlignment w:val="baseline"/>
    </w:pPr>
    <w:rPr>
      <w:kern w:val="24"/>
      <w:sz w:val="24"/>
    </w:rPr>
  </w:style>
  <w:style w:type="paragraph" w:customStyle="1" w:styleId="90">
    <w:name w:val="_Style 1"/>
    <w:basedOn w:val="1"/>
    <w:qFormat/>
    <w:uiPriority w:val="99"/>
    <w:pPr>
      <w:ind w:firstLine="420" w:firstLineChars="200"/>
    </w:pPr>
  </w:style>
  <w:style w:type="paragraph" w:customStyle="1" w:styleId="91">
    <w:name w:val="_Style 2"/>
    <w:basedOn w:val="1"/>
    <w:qFormat/>
    <w:uiPriority w:val="99"/>
    <w:pPr>
      <w:ind w:firstLine="420" w:firstLineChars="200"/>
    </w:pPr>
  </w:style>
  <w:style w:type="paragraph" w:customStyle="1" w:styleId="92">
    <w:name w:val="（1）"/>
    <w:basedOn w:val="1"/>
    <w:qFormat/>
    <w:uiPriority w:val="0"/>
    <w:pPr>
      <w:numPr>
        <w:ilvl w:val="0"/>
        <w:numId w:val="5"/>
      </w:numPr>
      <w:tabs>
        <w:tab w:val="left" w:pos="961"/>
      </w:tabs>
      <w:spacing w:line="360" w:lineRule="auto"/>
    </w:pPr>
    <w:rPr>
      <w:sz w:val="24"/>
    </w:rPr>
  </w:style>
  <w:style w:type="paragraph" w:customStyle="1" w:styleId="9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4">
    <w:name w:val="CM18"/>
    <w:basedOn w:val="93"/>
    <w:next w:val="93"/>
    <w:qFormat/>
    <w:uiPriority w:val="99"/>
    <w:rPr>
      <w:rFonts w:ascii="ST Xihei" w:hAnsi="Calibri" w:eastAsia="ST Xihei"/>
      <w:color w:val="auto"/>
    </w:rPr>
  </w:style>
  <w:style w:type="character" w:customStyle="1" w:styleId="95">
    <w:name w:val="qxdate"/>
    <w:basedOn w:val="31"/>
    <w:qFormat/>
    <w:uiPriority w:val="0"/>
    <w:rPr>
      <w:color w:val="333333"/>
      <w:sz w:val="18"/>
      <w:szCs w:val="18"/>
    </w:rPr>
  </w:style>
  <w:style w:type="character" w:customStyle="1" w:styleId="96">
    <w:name w:val="cfdate"/>
    <w:basedOn w:val="31"/>
    <w:qFormat/>
    <w:uiPriority w:val="0"/>
    <w:rPr>
      <w:color w:val="333333"/>
      <w:sz w:val="18"/>
      <w:szCs w:val="18"/>
    </w:rPr>
  </w:style>
  <w:style w:type="character" w:customStyle="1" w:styleId="97">
    <w:name w:val="redfilefwwh"/>
    <w:basedOn w:val="31"/>
    <w:qFormat/>
    <w:uiPriority w:val="0"/>
    <w:rPr>
      <w:color w:val="BA2636"/>
      <w:sz w:val="18"/>
      <w:szCs w:val="18"/>
    </w:rPr>
  </w:style>
  <w:style w:type="character" w:customStyle="1" w:styleId="98">
    <w:name w:val="displayarti"/>
    <w:basedOn w:val="31"/>
    <w:qFormat/>
    <w:uiPriority w:val="0"/>
    <w:rPr>
      <w:color w:val="FFFFFF"/>
      <w:shd w:val="clear" w:color="auto" w:fill="A00000"/>
    </w:rPr>
  </w:style>
  <w:style w:type="character" w:customStyle="1" w:styleId="99">
    <w:name w:val="gjfg"/>
    <w:basedOn w:val="31"/>
    <w:qFormat/>
    <w:uiPriority w:val="0"/>
  </w:style>
  <w:style w:type="character" w:customStyle="1" w:styleId="100">
    <w:name w:val="redfilenumber"/>
    <w:basedOn w:val="31"/>
    <w:qFormat/>
    <w:uiPriority w:val="0"/>
    <w:rPr>
      <w:color w:val="BA2636"/>
      <w:sz w:val="18"/>
      <w:szCs w:val="18"/>
    </w:rPr>
  </w:style>
  <w:style w:type="character" w:customStyle="1" w:styleId="101">
    <w:name w:val="15"/>
    <w:qFormat/>
    <w:uiPriority w:val="0"/>
    <w:rPr>
      <w:rFonts w:hint="eastAsia" w:ascii="宋体" w:hAnsi="宋体" w:eastAsia="宋体" w:cs="宋体"/>
      <w:color w:val="000000"/>
      <w:sz w:val="24"/>
      <w:szCs w:val="24"/>
    </w:rPr>
  </w:style>
  <w:style w:type="paragraph" w:customStyle="1" w:styleId="10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msonormalcxspmiddle"/>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4">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105">
    <w:name w:val="Body text|1"/>
    <w:basedOn w:val="1"/>
    <w:qFormat/>
    <w:uiPriority w:val="0"/>
    <w:pPr>
      <w:spacing w:line="437" w:lineRule="auto"/>
      <w:ind w:firstLine="400"/>
    </w:pPr>
    <w:rPr>
      <w:rFonts w:ascii="宋体" w:hAnsi="宋体" w:eastAsia="Times New Roman"/>
      <w:color w:val="auto"/>
      <w:sz w:val="20"/>
      <w:szCs w:val="20"/>
      <w:lang w:val="zh-TW" w:eastAsia="zh-TW"/>
    </w:rPr>
  </w:style>
  <w:style w:type="paragraph" w:customStyle="1" w:styleId="106">
    <w:name w:val="Title"/>
    <w:basedOn w:val="1"/>
    <w:next w:val="1"/>
    <w:qFormat/>
    <w:uiPriority w:val="0"/>
    <w:pPr>
      <w:spacing w:before="240" w:beforeLines="0" w:beforeAutospacing="0" w:after="60" w:afterLines="0" w:afterAutospacing="0"/>
      <w:jc w:val="center"/>
      <w:outlineLvl w:val="0"/>
    </w:pPr>
    <w:rPr>
      <w:rFonts w:ascii="Calibri Light" w:hAnsi="Calibri Light" w:eastAsia="宋体"/>
      <w:b/>
      <w:sz w:val="32"/>
    </w:rPr>
  </w:style>
  <w:style w:type="paragraph" w:customStyle="1" w:styleId="10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rPr>
  </w:style>
  <w:style w:type="paragraph" w:customStyle="1" w:styleId="108">
    <w:name w:val="footer"/>
    <w:basedOn w:val="1"/>
    <w:qFormat/>
    <w:uiPriority w:val="0"/>
    <w:pPr>
      <w:tabs>
        <w:tab w:val="center" w:pos="4153"/>
        <w:tab w:val="right" w:pos="8306"/>
      </w:tabs>
      <w:snapToGrid w:val="0"/>
      <w:jc w:val="left"/>
    </w:pPr>
    <w:rPr>
      <w:rFonts w:ascii="Times New Roman" w:hAnsi="Times New Roman" w:eastAsia="宋体"/>
      <w:sz w:val="18"/>
    </w:rPr>
  </w:style>
  <w:style w:type="character" w:customStyle="1" w:styleId="109">
    <w:name w:val="page number"/>
    <w:qFormat/>
    <w:uiPriority w:val="0"/>
    <w:rPr>
      <w:rFonts w:ascii="Arial" w:hAnsi="Arial" w:eastAsia="黑体"/>
      <w:snapToGrid w:val="0"/>
      <w:kern w:val="0"/>
      <w:sz w:val="21"/>
    </w:rPr>
  </w:style>
  <w:style w:type="paragraph" w:customStyle="1" w:styleId="110">
    <w:name w:val="BodyText1I2"/>
    <w:basedOn w:val="1"/>
    <w:qFormat/>
    <w:uiPriority w:val="0"/>
    <w:pPr>
      <w:spacing w:line="360" w:lineRule="auto"/>
      <w:ind w:firstLine="200" w:firstLineChars="200"/>
      <w:textAlignment w:val="baseline"/>
    </w:pPr>
    <w:rPr>
      <w:rFonts w:ascii="Times New Roman" w:hAnsi="Times New Roman" w:eastAsia="仿宋"/>
      <w:sz w:val="28"/>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24735</Words>
  <Characters>26966</Characters>
  <Lines>29</Lines>
  <Paragraphs>39</Paragraphs>
  <TotalTime>6</TotalTime>
  <ScaleCrop>false</ScaleCrop>
  <LinksUpToDate>false</LinksUpToDate>
  <CharactersWithSpaces>29865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2020-09-07T06:56:00Z</dcterms:created>
  <dc:creator>Ting</dc:creator>
  <cp:lastModifiedBy>囍多多</cp:lastModifiedBy>
  <cp:lastPrinted>2021-08-25T06:03:00Z</cp:lastPrinted>
  <dcterms:modified xsi:type="dcterms:W3CDTF">2023-03-10T07:18:33Z</dcterms:modified>
  <dc:title>绍兴市公安局交通警察支队交警互联网支付及罚缴平台二期项目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3AC52FEC4E574F60BDB037E1ED116640</vt:lpwstr>
  </property>
</Properties>
</file>