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绍兴市体育运动学校体操项目专项器材购置项目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YH2023-11024</w:t>
      </w:r>
    </w:p>
    <w:tbl>
      <w:tblPr>
        <w:tblStyle w:val="63"/>
        <w:tblW w:w="5540" w:type="dxa"/>
        <w:jc w:val="center"/>
        <w:tblLayout w:type="fixed"/>
        <w:tblCellMar>
          <w:top w:w="0" w:type="dxa"/>
          <w:left w:w="108" w:type="dxa"/>
          <w:bottom w:w="0" w:type="dxa"/>
          <w:right w:w="108" w:type="dxa"/>
        </w:tblCellMar>
      </w:tblPr>
      <w:tblGrid>
        <w:gridCol w:w="2356"/>
        <w:gridCol w:w="3184"/>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184"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绍兴市体育运动学校</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261576792"/>
              </w:rPr>
              <w:t>采购代理机构</w:t>
            </w:r>
            <w:r>
              <w:rPr>
                <w:rFonts w:hint="eastAsia" w:ascii="仿宋" w:hAnsi="仿宋" w:eastAsia="仿宋" w:cs="仿宋"/>
                <w:sz w:val="28"/>
                <w:szCs w:val="28"/>
              </w:rPr>
              <w:t>：</w:t>
            </w:r>
          </w:p>
        </w:tc>
        <w:tc>
          <w:tcPr>
            <w:tcW w:w="3184"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56502408"/>
              </w:rPr>
              <w:t>监督单</w:t>
            </w:r>
            <w:r>
              <w:rPr>
                <w:rFonts w:hint="eastAsia" w:ascii="仿宋" w:hAnsi="仿宋" w:eastAsia="仿宋" w:cs="仿宋"/>
                <w:spacing w:val="1"/>
                <w:kern w:val="0"/>
                <w:sz w:val="28"/>
                <w:szCs w:val="28"/>
                <w:fitText w:val="1680" w:id="56502408"/>
              </w:rPr>
              <w:t>位</w:t>
            </w:r>
            <w:r>
              <w:rPr>
                <w:rFonts w:hint="eastAsia" w:ascii="仿宋" w:hAnsi="仿宋" w:eastAsia="仿宋" w:cs="仿宋"/>
                <w:sz w:val="28"/>
                <w:szCs w:val="28"/>
              </w:rPr>
              <w:t>：</w:t>
            </w:r>
          </w:p>
        </w:tc>
        <w:tc>
          <w:tcPr>
            <w:tcW w:w="3184"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5540"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二○二三年十一月</w:t>
            </w:r>
          </w:p>
        </w:tc>
      </w:tr>
    </w:tbl>
    <w:p>
      <w:pPr>
        <w:pStyle w:val="638"/>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绍兴市体育运动学校体操项目专项器材购置项目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https://www.zcygov.cn/）获取（下载）招标文件，并于2023年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07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YH2023-11024</w:t>
      </w:r>
    </w:p>
    <w:p>
      <w:pPr>
        <w:spacing w:line="288" w:lineRule="auto"/>
        <w:ind w:firstLine="482" w:firstLineChars="200"/>
        <w:rPr>
          <w:rFonts w:ascii="仿宋" w:hAnsi="仿宋" w:eastAsia="仿宋" w:cs="仿宋"/>
          <w:color w:val="auto"/>
          <w:sz w:val="24"/>
          <w:highlight w:val="none"/>
        </w:rPr>
      </w:pPr>
      <w:bookmarkStart w:id="191" w:name="_GoBack"/>
      <w:r>
        <w:rPr>
          <w:rFonts w:hint="eastAsia" w:ascii="仿宋" w:hAnsi="仿宋" w:eastAsia="仿宋" w:cs="仿宋"/>
          <w:b/>
          <w:color w:val="auto"/>
          <w:sz w:val="24"/>
          <w:highlight w:val="none"/>
        </w:rPr>
        <w:t>项目名称：绍兴市体育运动学校体操项目专项器材购置项目</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预算金额（元）：1796000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最高限价（元）：1796000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标项名称：绍兴市体育运动学校体操项目专项器材购置项目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rPr>
        <w:t>1796000</w:t>
      </w:r>
    </w:p>
    <w:bookmarkEnd w:id="191"/>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FE"/>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2023年</w:t>
      </w:r>
      <w:r>
        <w:rPr>
          <w:rStyle w:val="77"/>
          <w:rFonts w:hint="eastAsia" w:ascii="仿宋" w:hAnsi="仿宋" w:eastAsia="仿宋" w:cs="仿宋"/>
          <w:snapToGrid/>
          <w:color w:val="auto"/>
          <w:kern w:val="2"/>
          <w:sz w:val="24"/>
          <w:szCs w:val="24"/>
          <w:u w:val="single"/>
          <w:lang w:val="en-US" w:eastAsia="zh-CN"/>
        </w:rPr>
        <w:t>12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Style w:val="77"/>
          <w:rFonts w:hint="eastAsia" w:ascii="仿宋" w:hAnsi="仿宋" w:eastAsia="仿宋" w:cs="仿宋"/>
          <w:snapToGrid/>
          <w:color w:val="auto"/>
          <w:kern w:val="2"/>
          <w:sz w:val="24"/>
          <w:szCs w:val="24"/>
          <w:u w:val="single"/>
        </w:rPr>
        <w:t>2023年</w:t>
      </w:r>
      <w:r>
        <w:rPr>
          <w:rStyle w:val="77"/>
          <w:rFonts w:hint="eastAsia" w:ascii="仿宋" w:hAnsi="仿宋" w:eastAsia="仿宋" w:cs="仿宋"/>
          <w:snapToGrid/>
          <w:color w:val="auto"/>
          <w:kern w:val="2"/>
          <w:sz w:val="24"/>
          <w:szCs w:val="24"/>
          <w:u w:val="single"/>
          <w:lang w:val="en-US" w:eastAsia="zh-CN"/>
        </w:rPr>
        <w:t>12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Style w:val="77"/>
          <w:rFonts w:hint="eastAsia" w:ascii="仿宋" w:hAnsi="仿宋" w:eastAsia="仿宋" w:cs="仿宋"/>
          <w:snapToGrid/>
          <w:color w:val="auto"/>
          <w:kern w:val="2"/>
          <w:sz w:val="24"/>
          <w:szCs w:val="24"/>
          <w:u w:val="single"/>
        </w:rPr>
        <w:t>2023年</w:t>
      </w:r>
      <w:r>
        <w:rPr>
          <w:rStyle w:val="77"/>
          <w:rFonts w:hint="eastAsia" w:ascii="仿宋" w:hAnsi="仿宋" w:eastAsia="仿宋" w:cs="仿宋"/>
          <w:snapToGrid/>
          <w:color w:val="auto"/>
          <w:kern w:val="2"/>
          <w:sz w:val="24"/>
          <w:szCs w:val="24"/>
          <w:u w:val="single"/>
          <w:lang w:val="en-US" w:eastAsia="zh-CN"/>
        </w:rPr>
        <w:t>12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288" w:lineRule="auto"/>
        <w:rPr>
          <w:rFonts w:ascii="仿宋" w:hAnsi="仿宋" w:eastAsia="仿宋" w:cs="仿宋"/>
          <w:sz w:val="24"/>
        </w:rPr>
      </w:pPr>
      <w:r>
        <w:rPr>
          <w:rFonts w:hint="eastAsia" w:ascii="仿宋" w:hAnsi="仿宋" w:eastAsia="仿宋" w:cs="仿宋"/>
          <w:b/>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5"/>
        <w:spacing w:line="288" w:lineRule="auto"/>
        <w:ind w:left="0" w:firstLine="482" w:firstLineChars="200"/>
        <w:rPr>
          <w:rFonts w:ascii="仿宋" w:eastAsia="仿宋" w:cs="仿宋"/>
          <w:sz w:val="24"/>
          <w:szCs w:val="24"/>
        </w:rPr>
      </w:pPr>
      <w:bookmarkStart w:id="11" w:name="_Toc35393806"/>
      <w:bookmarkStart w:id="12" w:name="_Toc2835909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35393638"/>
      <w:bookmarkStart w:id="16" w:name="_Toc28359020"/>
      <w:bookmarkStart w:id="17" w:name="_Toc28359097"/>
      <w:bookmarkStart w:id="18" w:name="_Toc35393807"/>
      <w:r>
        <w:rPr>
          <w:rFonts w:hint="eastAsia" w:ascii="仿宋" w:hAnsi="仿宋" w:eastAsia="仿宋" w:cs="仿宋"/>
          <w:sz w:val="24"/>
        </w:rPr>
        <w:t>名称：绍兴市体育运动学校</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地址：绍兴市越城区洋江西路909号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阮昶</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kern w:val="0"/>
          <w:sz w:val="24"/>
        </w:rPr>
        <w:t>0575-88613430</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樊向前</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kern w:val="0"/>
          <w:sz w:val="24"/>
        </w:rPr>
        <w:t>13819586996</w:t>
      </w:r>
    </w:p>
    <w:p>
      <w:pPr>
        <w:pStyle w:val="5"/>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28359098"/>
      <w:bookmarkStart w:id="20" w:name="_Toc35393639"/>
      <w:bookmarkStart w:id="21" w:name="_Toc28359021"/>
      <w:bookmarkStart w:id="22" w:name="_Toc35393808"/>
      <w:r>
        <w:rPr>
          <w:rFonts w:hint="eastAsia" w:ascii="仿宋" w:hAnsi="仿宋" w:eastAsia="仿宋" w:cs="仿宋"/>
          <w:sz w:val="24"/>
        </w:rPr>
        <w:t>名称：耀华建设管理有限公司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绍兴市越城区阳明北路80号滨江大厦C楼3楼309号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凌静</w:t>
      </w:r>
      <w:r>
        <w:rPr>
          <w:rFonts w:hint="eastAsia" w:ascii="仿宋" w:hAnsi="仿宋" w:eastAsia="仿宋" w:cs="仿宋"/>
          <w:kern w:val="0"/>
          <w:sz w:val="24"/>
        </w:rPr>
        <w:t>、阮建宏</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kern w:val="0"/>
          <w:sz w:val="24"/>
        </w:rPr>
        <w:t>0575-88776697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单成燕</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kern w:val="0"/>
          <w:sz w:val="24"/>
        </w:rPr>
        <w:t>0575-88336881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ascii="仿宋" w:hAnsi="仿宋" w:eastAsia="仿宋" w:cs="仿宋"/>
          <w:sz w:val="24"/>
        </w:rPr>
      </w:pPr>
      <w:r>
        <w:rPr>
          <w:rFonts w:hint="eastAsia" w:ascii="仿宋" w:hAnsi="仿宋" w:eastAsia="仿宋" w:cs="仿宋"/>
          <w:sz w:val="24"/>
        </w:rPr>
        <w:t>监督投诉电话：0575-85209806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w:t>
            </w:r>
          </w:p>
          <w:p>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不要求提供。</w:t>
            </w:r>
          </w:p>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B要求提供，</w:t>
            </w:r>
          </w:p>
          <w:p>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采购清单中序号18“标准自由操场地小样一套，尺寸不小于1*1米”、采购清单中序号64“大众蹦床一套”</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详见招标项目范围及要求和评标办法   </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lang w:val="en-US" w:eastAsia="zh-CN"/>
              </w:rPr>
              <w:t xml:space="preserve"> </w:t>
            </w:r>
            <w:r>
              <w:rPr>
                <w:rStyle w:val="77"/>
                <w:rFonts w:hint="eastAsia" w:ascii="仿宋" w:hAnsi="仿宋" w:eastAsia="仿宋" w:cs="仿宋"/>
                <w:snapToGrid/>
                <w:color w:val="auto"/>
                <w:kern w:val="2"/>
                <w:sz w:val="24"/>
                <w:szCs w:val="24"/>
                <w:u w:val="single"/>
              </w:rPr>
              <w:t>2023年</w:t>
            </w:r>
            <w:r>
              <w:rPr>
                <w:rStyle w:val="77"/>
                <w:rFonts w:hint="eastAsia" w:ascii="仿宋" w:hAnsi="仿宋" w:eastAsia="仿宋" w:cs="仿宋"/>
                <w:snapToGrid/>
                <w:color w:val="auto"/>
                <w:kern w:val="2"/>
                <w:sz w:val="24"/>
                <w:szCs w:val="24"/>
                <w:u w:val="single"/>
                <w:lang w:val="en-US" w:eastAsia="zh-CN"/>
              </w:rPr>
              <w:t>12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bCs/>
                <w:snapToGrid/>
                <w:color w:val="auto"/>
                <w:kern w:val="2"/>
                <w:sz w:val="24"/>
                <w:szCs w:val="24"/>
                <w:u w:val="single"/>
              </w:rPr>
              <w:t>点</w:t>
            </w:r>
            <w:r>
              <w:rPr>
                <w:rStyle w:val="77"/>
                <w:rFonts w:hint="eastAsia" w:ascii="仿宋" w:hAnsi="仿宋" w:eastAsia="仿宋" w:cs="仿宋"/>
                <w:bCs/>
                <w:snapToGrid/>
                <w:color w:val="auto"/>
                <w:kern w:val="2"/>
                <w:sz w:val="24"/>
                <w:szCs w:val="24"/>
                <w:u w:val="single"/>
                <w:lang w:val="en-US" w:eastAsia="zh-CN"/>
              </w:rPr>
              <w:t>00</w:t>
            </w:r>
            <w:r>
              <w:rPr>
                <w:rStyle w:val="77"/>
                <w:rFonts w:hint="eastAsia" w:ascii="仿宋" w:hAnsi="仿宋" w:eastAsia="仿宋" w:cs="仿宋"/>
                <w:bCs/>
                <w:snapToGrid/>
                <w:color w:val="auto"/>
                <w:kern w:val="2"/>
                <w:sz w:val="24"/>
                <w:szCs w:val="24"/>
                <w:u w:val="single"/>
              </w:rPr>
              <w:t xml:space="preserve">分00秒前 </w:t>
            </w:r>
            <w:r>
              <w:rPr>
                <w:rFonts w:hint="eastAsia" w:ascii="仿宋" w:hAnsi="仿宋" w:eastAsia="仿宋" w:cs="仿宋"/>
                <w:kern w:val="0"/>
                <w:sz w:val="24"/>
              </w:rPr>
              <w:t>；地点：</w:t>
            </w:r>
            <w:r>
              <w:rPr>
                <w:rFonts w:hint="eastAsia" w:ascii="仿宋" w:hAnsi="仿宋" w:eastAsia="仿宋" w:cs="仿宋"/>
                <w:sz w:val="24"/>
                <w:u w:val="single"/>
              </w:rPr>
              <w:t xml:space="preserve"> 绍兴市越城区阳明北路80号滨江大厦C楼3楼309号（耀华建设管理有限公司绍兴迪荡分公司）</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lang w:val="en-US" w:eastAsia="zh-CN"/>
              </w:rPr>
              <w:t xml:space="preserve"> 凌静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15257598644</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000000"/>
                <w:sz w:val="24"/>
              </w:rPr>
            </w:pPr>
            <w:r>
              <w:rPr>
                <w:rFonts w:hint="eastAsia" w:ascii="仿宋" w:hAnsi="仿宋" w:eastAsia="仿宋" w:cs="仿宋"/>
                <w:b/>
                <w:color w:val="000000"/>
                <w:sz w:val="24"/>
              </w:rPr>
              <w:t>方案讲解演示：</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288" w:lineRule="auto"/>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288" w:lineRule="auto"/>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b w:val="0"/>
                <w:bCs w:val="0"/>
                <w:color w:val="000000" w:themeColor="text1"/>
                <w:sz w:val="24"/>
                <w:highlight w:val="none"/>
                <w:u w:val="single"/>
                <w:lang w:val="en-US" w:eastAsia="zh-CN"/>
                <w14:textFill>
                  <w14:solidFill>
                    <w14:schemeClr w14:val="tx1"/>
                  </w14:solidFill>
                </w14:textFill>
              </w:rPr>
              <w:t>大众蹦床</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90%执行。收费标准：中标金额在100万以下部分为1.5%，100万-500万部分为1.1%。</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第三部分"/>
      <w:bookmarkStart w:id="24"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2"/>
        <w:snapToGrid w:val="0"/>
        <w:spacing w:before="0" w:line="288" w:lineRule="auto"/>
        <w:ind w:firstLine="64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3"/>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7"/>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spacing w:line="288" w:lineRule="auto"/>
        <w:rPr>
          <w:rFonts w:ascii="仿宋" w:hAnsi="仿宋" w:eastAsia="仿宋" w:cs="仿宋"/>
          <w:sz w:val="32"/>
          <w:szCs w:val="32"/>
          <w:lang w:val="en-US"/>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4"/>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2"/>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25" w:name="_Toc91899903"/>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7"/>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8" w:lineRule="auto"/>
        <w:ind w:firstLine="482" w:firstLineChars="150"/>
        <w:jc w:val="center"/>
        <w:rPr>
          <w:rFonts w:ascii="仿宋" w:hAnsi="仿宋" w:eastAsia="仿宋" w:cs="仿宋"/>
          <w:b/>
          <w:sz w:val="32"/>
        </w:rPr>
      </w:pPr>
    </w:p>
    <w:bookmarkEnd w:id="25"/>
    <w:p>
      <w:pPr>
        <w:pStyle w:val="34"/>
        <w:spacing w:line="288" w:lineRule="auto"/>
        <w:ind w:firstLine="726"/>
        <w:jc w:val="center"/>
        <w:rPr>
          <w:rFonts w:ascii="仿宋" w:hAnsi="仿宋" w:eastAsia="仿宋" w:cs="仿宋"/>
          <w:b/>
          <w:sz w:val="32"/>
          <w:szCs w:val="32"/>
        </w:rPr>
      </w:pPr>
      <w:bookmarkStart w:id="26" w:name="_Toc81372776"/>
      <w:bookmarkStart w:id="27" w:name="_Toc81372953"/>
      <w:bookmarkStart w:id="28" w:name="_Toc84325929"/>
      <w:r>
        <w:rPr>
          <w:rFonts w:hint="eastAsia" w:ascii="仿宋" w:hAnsi="仿宋" w:eastAsia="仿宋" w:cs="仿宋"/>
          <w:b/>
          <w:sz w:val="32"/>
          <w:szCs w:val="32"/>
        </w:rPr>
        <w:t>五、授予合同</w:t>
      </w:r>
    </w:p>
    <w:bookmarkEnd w:id="26"/>
    <w:bookmarkEnd w:id="27"/>
    <w:bookmarkEnd w:id="28"/>
    <w:p>
      <w:pPr>
        <w:pStyle w:val="17"/>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288" w:lineRule="auto"/>
        <w:jc w:val="center"/>
        <w:outlineLvl w:val="0"/>
        <w:rPr>
          <w:rFonts w:ascii="仿宋" w:hAnsi="仿宋" w:eastAsia="仿宋" w:cs="仿宋"/>
          <w:b/>
          <w:sz w:val="36"/>
          <w:szCs w:val="36"/>
        </w:rPr>
      </w:pPr>
      <w:bookmarkStart w:id="29" w:name="_Toc86217003"/>
      <w:bookmarkStart w:id="30" w:name="第五部分"/>
      <w:r>
        <w:rPr>
          <w:rFonts w:hint="eastAsia" w:ascii="仿宋" w:hAnsi="仿宋" w:eastAsia="仿宋" w:cs="仿宋"/>
          <w:b/>
          <w:sz w:val="36"/>
          <w:szCs w:val="36"/>
        </w:rPr>
        <w:t>第三部分   招标项目范围及要求</w:t>
      </w:r>
    </w:p>
    <w:p>
      <w:pPr>
        <w:snapToGrid w:val="0"/>
        <w:spacing w:line="288"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1.设备（材料）要求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2.数量调整</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3.安装及调试、验收</w:t>
      </w:r>
    </w:p>
    <w:p>
      <w:pPr>
        <w:tabs>
          <w:tab w:val="left" w:pos="1365"/>
        </w:tabs>
        <w:spacing w:line="288" w:lineRule="auto"/>
        <w:ind w:firstLine="480" w:firstLineChars="200"/>
        <w:jc w:val="left"/>
        <w:rPr>
          <w:rFonts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rPr>
        <w:t>4.技术培训</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4.3技术培训费用应包含在投标总价中。    </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4.4技术培训至少应包括下列内容：</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4.4.1原理、构成和功能的描述。</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4.4.2常见故障的处理或排除。</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4.4.3各系统部件（设备）的检查、调整和维护。</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4.4.4对使用者关于设备基本操作技能的培训。</w:t>
      </w:r>
    </w:p>
    <w:p>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5.售后服务</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6.服务要求</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tabs>
          <w:tab w:val="left" w:pos="1365"/>
        </w:tabs>
        <w:spacing w:line="288" w:lineRule="auto"/>
        <w:jc w:val="left"/>
        <w:rPr>
          <w:rFonts w:ascii="仿宋" w:hAnsi="仿宋" w:eastAsia="仿宋" w:cs="仿宋"/>
          <w:sz w:val="24"/>
        </w:rPr>
      </w:pPr>
      <w:r>
        <w:rPr>
          <w:rFonts w:hint="eastAsia" w:ascii="仿宋" w:hAnsi="仿宋" w:eastAsia="仿宋" w:cs="仿宋"/>
          <w:b/>
          <w:bCs/>
          <w:sz w:val="24"/>
        </w:rPr>
        <w:t>7.项目实施人员费用</w:t>
      </w:r>
    </w:p>
    <w:p>
      <w:pPr>
        <w:tabs>
          <w:tab w:val="left" w:pos="1365"/>
        </w:tabs>
        <w:spacing w:line="288" w:lineRule="auto"/>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pPr>
        <w:tabs>
          <w:tab w:val="left" w:pos="1365"/>
        </w:tabs>
        <w:spacing w:line="288" w:lineRule="auto"/>
        <w:jc w:val="left"/>
        <w:rPr>
          <w:rFonts w:ascii="仿宋" w:hAnsi="仿宋" w:eastAsia="仿宋" w:cs="仿宋"/>
          <w:b/>
          <w:bCs/>
          <w:sz w:val="24"/>
        </w:rPr>
      </w:pPr>
      <w:bookmarkStart w:id="31" w:name="_Toc151354173"/>
      <w:r>
        <w:rPr>
          <w:rFonts w:hint="eastAsia" w:ascii="仿宋" w:hAnsi="仿宋" w:eastAsia="仿宋" w:cs="仿宋"/>
          <w:b/>
          <w:bCs/>
          <w:sz w:val="24"/>
        </w:rPr>
        <w:t>8.招标项目设备名称及数量：</w:t>
      </w:r>
    </w:p>
    <w:p>
      <w:pPr>
        <w:tabs>
          <w:tab w:val="left" w:pos="1365"/>
        </w:tabs>
        <w:spacing w:line="288" w:lineRule="auto"/>
        <w:jc w:val="left"/>
        <w:rPr>
          <w:rFonts w:ascii="仿宋" w:hAnsi="仿宋" w:eastAsia="仿宋" w:cs="仿宋"/>
          <w:b/>
          <w:bCs/>
          <w:sz w:val="24"/>
        </w:rPr>
      </w:pPr>
      <w:r>
        <w:rPr>
          <w:rFonts w:hint="eastAsia" w:ascii="仿宋" w:hAnsi="仿宋" w:eastAsia="仿宋" w:cs="仿宋"/>
          <w:b/>
          <w:bCs/>
          <w:sz w:val="24"/>
          <w:lang w:val="zh-CN"/>
        </w:rPr>
        <w:t>一、招标设备技术参数</w:t>
      </w:r>
    </w:p>
    <w:bookmarkEnd w:id="31"/>
    <w:tbl>
      <w:tblPr>
        <w:tblStyle w:val="63"/>
        <w:tblW w:w="9900" w:type="dxa"/>
        <w:tblInd w:w="-410" w:type="dxa"/>
        <w:tblLayout w:type="fixed"/>
        <w:tblCellMar>
          <w:top w:w="0" w:type="dxa"/>
          <w:left w:w="108" w:type="dxa"/>
          <w:bottom w:w="0" w:type="dxa"/>
          <w:right w:w="108" w:type="dxa"/>
        </w:tblCellMar>
      </w:tblPr>
      <w:tblGrid>
        <w:gridCol w:w="846"/>
        <w:gridCol w:w="1391"/>
        <w:gridCol w:w="5823"/>
        <w:gridCol w:w="920"/>
        <w:gridCol w:w="920"/>
      </w:tblGrid>
      <w:tr>
        <w:tblPrEx>
          <w:tblCellMar>
            <w:top w:w="0" w:type="dxa"/>
            <w:left w:w="108" w:type="dxa"/>
            <w:bottom w:w="0" w:type="dxa"/>
            <w:right w:w="108" w:type="dxa"/>
          </w:tblCellMar>
        </w:tblPrEx>
        <w:trPr>
          <w:trHeight w:val="63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序号</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产品名称</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产品规格及技术参数</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数量</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rPr>
              <w:t>单位</w:t>
            </w:r>
          </w:p>
        </w:tc>
      </w:tr>
      <w:tr>
        <w:tblPrEx>
          <w:tblCellMar>
            <w:top w:w="0" w:type="dxa"/>
            <w:left w:w="108" w:type="dxa"/>
            <w:bottom w:w="0" w:type="dxa"/>
            <w:right w:w="108" w:type="dxa"/>
          </w:tblCellMar>
        </w:tblPrEx>
        <w:trPr>
          <w:trHeight w:val="223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双杠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Style w:val="973"/>
                <w:rFonts w:hint="eastAsia" w:ascii="仿宋" w:hAnsi="仿宋" w:eastAsia="仿宋" w:cs="仿宋"/>
                <w:sz w:val="24"/>
                <w:szCs w:val="24"/>
              </w:rPr>
              <w:t>1、</w:t>
            </w:r>
            <w:r>
              <w:rPr>
                <w:rFonts w:hint="eastAsia" w:ascii="仿宋" w:hAnsi="仿宋" w:eastAsia="仿宋" w:cs="仿宋"/>
                <w:color w:val="000000"/>
                <w:kern w:val="0"/>
                <w:sz w:val="24"/>
              </w:rPr>
              <w:t>采用木材和钢缆复合的杠面，杠面纵轴心压有安全钢缆，木材的主要材料为榉木，杠面长</w:t>
            </w:r>
            <w:r>
              <w:rPr>
                <w:rStyle w:val="973"/>
                <w:rFonts w:hint="eastAsia" w:ascii="仿宋" w:hAnsi="仿宋" w:eastAsia="仿宋" w:cs="仿宋"/>
                <w:sz w:val="24"/>
                <w:szCs w:val="24"/>
              </w:rPr>
              <w:t>350cm</w:t>
            </w:r>
            <w:r>
              <w:rPr>
                <w:rFonts w:hint="eastAsia" w:ascii="仿宋" w:hAnsi="仿宋" w:eastAsia="仿宋" w:cs="仿宋"/>
                <w:color w:val="000000"/>
                <w:kern w:val="0"/>
                <w:sz w:val="24"/>
              </w:rPr>
              <w:t>；两杠面间距可调，可调范围为</w:t>
            </w:r>
            <w:r>
              <w:rPr>
                <w:rStyle w:val="973"/>
                <w:rFonts w:hint="eastAsia" w:ascii="仿宋" w:hAnsi="仿宋" w:eastAsia="仿宋" w:cs="仿宋"/>
                <w:sz w:val="24"/>
                <w:szCs w:val="24"/>
              </w:rPr>
              <w:t>37~65cm</w:t>
            </w:r>
            <w:r>
              <w:rPr>
                <w:rFonts w:hint="eastAsia" w:ascii="仿宋" w:hAnsi="仿宋" w:eastAsia="仿宋" w:cs="仿宋"/>
                <w:color w:val="000000"/>
                <w:kern w:val="0"/>
                <w:sz w:val="24"/>
              </w:rPr>
              <w:t>；双杠杠面高度可调，调节范围为</w:t>
            </w:r>
            <w:r>
              <w:rPr>
                <w:rStyle w:val="973"/>
                <w:rFonts w:hint="eastAsia" w:ascii="仿宋" w:hAnsi="仿宋" w:eastAsia="仿宋" w:cs="仿宋"/>
                <w:sz w:val="24"/>
                <w:szCs w:val="24"/>
              </w:rPr>
              <w:t>165~210cm</w:t>
            </w:r>
            <w:r>
              <w:rPr>
                <w:rFonts w:hint="eastAsia" w:ascii="仿宋" w:hAnsi="仿宋" w:eastAsia="仿宋" w:cs="仿宋"/>
                <w:color w:val="000000"/>
                <w:kern w:val="0"/>
                <w:sz w:val="24"/>
              </w:rPr>
              <w:t>；升降杆的锁紧装置采用抱箍式锁紧原理；双杠底部配有加强稳定性的配重脚；支撑立柱、底脚杆及配重脚等部分金属外管静电喷涂处理。</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03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双杠专项垫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Fonts w:hint="eastAsia" w:ascii="仿宋" w:hAnsi="仿宋" w:eastAsia="仿宋" w:cs="仿宋"/>
                <w:color w:val="000000"/>
                <w:kern w:val="0"/>
                <w:sz w:val="24"/>
              </w:rPr>
              <w:t>1、专项垫区域单套11.2㎡；面层为高强PVC夹网布，缓冲料为聚胺脂海绵和XPE泡沫材料。</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999"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平衡木</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Style w:val="973"/>
                <w:rFonts w:hint="eastAsia" w:ascii="仿宋" w:hAnsi="仿宋" w:eastAsia="仿宋" w:cs="仿宋"/>
                <w:sz w:val="24"/>
                <w:szCs w:val="24"/>
              </w:rPr>
              <w:t>1</w:t>
            </w:r>
            <w:r>
              <w:rPr>
                <w:rFonts w:hint="eastAsia" w:ascii="仿宋" w:hAnsi="仿宋" w:eastAsia="仿宋" w:cs="仿宋"/>
                <w:color w:val="000000"/>
                <w:kern w:val="0"/>
                <w:sz w:val="24"/>
              </w:rPr>
              <w:t>、平衡木梁内部是铝合金材质梁结构，中间柔性层是特制的弹性缓冲材料，外部采用特制</w:t>
            </w:r>
            <w:r>
              <w:rPr>
                <w:rStyle w:val="973"/>
                <w:rFonts w:hint="eastAsia" w:ascii="仿宋" w:hAnsi="仿宋" w:eastAsia="仿宋" w:cs="仿宋"/>
                <w:sz w:val="24"/>
                <w:szCs w:val="24"/>
              </w:rPr>
              <w:t>PU</w:t>
            </w:r>
            <w:r>
              <w:rPr>
                <w:rFonts w:hint="eastAsia" w:ascii="仿宋" w:hAnsi="仿宋" w:eastAsia="仿宋" w:cs="仿宋"/>
                <w:color w:val="000000"/>
                <w:kern w:val="0"/>
                <w:sz w:val="24"/>
              </w:rPr>
              <w:t>革包裹，平衡木梁的长度为</w:t>
            </w:r>
            <w:r>
              <w:rPr>
                <w:rStyle w:val="973"/>
                <w:rFonts w:hint="eastAsia" w:ascii="仿宋" w:hAnsi="仿宋" w:eastAsia="仿宋" w:cs="仿宋"/>
                <w:sz w:val="24"/>
                <w:szCs w:val="24"/>
              </w:rPr>
              <w:t>500cm</w:t>
            </w:r>
            <w:r>
              <w:rPr>
                <w:rFonts w:hint="eastAsia" w:ascii="仿宋" w:hAnsi="仿宋" w:eastAsia="仿宋" w:cs="仿宋"/>
                <w:color w:val="000000"/>
                <w:kern w:val="0"/>
                <w:sz w:val="24"/>
              </w:rPr>
              <w:t>；平衡木梁高度可调，可调范围为</w:t>
            </w:r>
            <w:r>
              <w:rPr>
                <w:rStyle w:val="973"/>
                <w:rFonts w:hint="eastAsia" w:ascii="仿宋" w:hAnsi="仿宋" w:eastAsia="仿宋" w:cs="仿宋"/>
                <w:sz w:val="24"/>
                <w:szCs w:val="24"/>
              </w:rPr>
              <w:t>90~130cm</w:t>
            </w:r>
            <w:r>
              <w:rPr>
                <w:rFonts w:hint="eastAsia" w:ascii="仿宋" w:hAnsi="仿宋" w:eastAsia="仿宋" w:cs="仿宋"/>
                <w:color w:val="000000"/>
                <w:kern w:val="0"/>
                <w:sz w:val="24"/>
              </w:rPr>
              <w:t>；平衡木升降定位装置采用插销精准定位，锁紧装置采用螺纹手柄配合顶紧块顶紧的方式；外支撑立柱、底脚等部分金属外表静电喷涂处理。</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1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平衡木专项垫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Fonts w:hint="eastAsia" w:ascii="仿宋" w:hAnsi="仿宋" w:eastAsia="仿宋" w:cs="仿宋"/>
                <w:color w:val="000000"/>
                <w:kern w:val="0"/>
                <w:sz w:val="24"/>
              </w:rPr>
              <w:t>1、专项垫区域为：9m×8m总面积为72㎡，面层为高强PVC夹网布，缓冲料为聚胺脂海绵和XPE泡沫材料。</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72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5米低平衡木</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标准铝合金平衡木梁，包有高密度弹力海绵和防滑PU革，长500cm，高度30cm。</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根</w:t>
            </w:r>
          </w:p>
        </w:tc>
      </w:tr>
      <w:tr>
        <w:tblPrEx>
          <w:tblCellMar>
            <w:top w:w="0" w:type="dxa"/>
            <w:left w:w="108" w:type="dxa"/>
            <w:bottom w:w="0" w:type="dxa"/>
            <w:right w:w="108" w:type="dxa"/>
          </w:tblCellMar>
        </w:tblPrEx>
        <w:trPr>
          <w:trHeight w:val="162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6</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少年多功能单杠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青少年用单杠辅助训练器材，具有高度调节范围大和可以配高低杠杠面的特点，配有优质不锈弹簧钢杠面，直径2.8cm，杠中心距240cm, 杠面高度可调150-230cm。配有快速松紧器，便于更换杠面、调节高度不用拆卸架体，还配有旋转套。</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241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7</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比赛吊环</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Fonts w:hint="eastAsia" w:ascii="仿宋" w:hAnsi="仿宋" w:eastAsia="仿宋" w:cs="仿宋"/>
                <w:color w:val="000000"/>
                <w:kern w:val="0"/>
                <w:sz w:val="24"/>
              </w:rPr>
              <w:t>1、吊环环高度可调，可调范围为265-295cm，两环中心间距为50cm，吊环架子的两个支撑腿的底部间距不小280cm。架体由钢管制成，大部分金属外表静电喷涂处理；环索组件由钢缆、高强尼龙织带、钢制的旋转扣及环面等制成；环面截面直径φ2.8cm, 环面内径φ18cm，环面是特制木材，抗拉强度达到4000N以上；器材配有快速松紧器便于快速调节钢缆松紧。</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96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8</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高低杠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Fonts w:hint="eastAsia" w:ascii="仿宋" w:hAnsi="仿宋" w:eastAsia="仿宋" w:cs="仿宋"/>
                <w:color w:val="000000"/>
                <w:kern w:val="0"/>
                <w:sz w:val="24"/>
              </w:rPr>
              <w:t>1、两杠内侧宽度调节130~190cm，低杠高度可调140~180cm，高杠高度可调220-260cm。杠面中心距240cm，杠面外径4cm，内管为特制玻璃钢管，外表包耐磨木页；立柱杆、底脚等部分金属外表静电喷涂处理；器材配有快速松紧器便于快速调节钢缆松紧。</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99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9</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比赛单杠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kern w:val="0"/>
                <w:sz w:val="24"/>
              </w:rPr>
            </w:pPr>
            <w:r>
              <w:rPr>
                <w:rFonts w:hint="eastAsia" w:ascii="仿宋" w:hAnsi="仿宋" w:eastAsia="仿宋" w:cs="仿宋"/>
                <w:color w:val="000000"/>
                <w:kern w:val="0"/>
                <w:sz w:val="24"/>
              </w:rPr>
              <w:t>1、杠面采用不锈弹簧钢材料，杠面截面直径为2.8cm；两个支撑立柱的中心距为240cm，支撑立柱等部分金属外管静电喷涂处理。单杠杠面高度可调，调节范围为270~290cm；器材配有快速松紧器便于快速调节钢缆松紧。</w:t>
            </w:r>
          </w:p>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8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10</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落地区落地垫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300×200×20cm×3块，200×200×20cm×1块厚度均为20cm，总面积为22㎡，面层为高强PVC夹网布，缓冲料为聚胺脂海绵和XPE泡沫材料。</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海绵坑</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尺寸为7000cm×3000cm×150cm，底部30公分钢缆拉网，坑壁共50公分软包。</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8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海绵坑海绵</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需要一块尺寸为7000cm×3000cm×20cm整海绵，和面积为7000cm×3000cm×100cm的碎海绵填充，总体积21m³海绵.</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82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特制跳马跑道</w:t>
            </w:r>
          </w:p>
        </w:tc>
        <w:tc>
          <w:tcPr>
            <w:tcW w:w="5823" w:type="dxa"/>
            <w:tcBorders>
              <w:top w:val="single" w:color="000000" w:sz="4" w:space="0"/>
              <w:left w:val="single" w:color="000000" w:sz="4" w:space="0"/>
              <w:bottom w:val="single" w:color="000000" w:sz="4" w:space="0"/>
              <w:right w:val="single" w:color="000000" w:sz="4" w:space="0"/>
            </w:tcBorders>
            <w:shd w:val="clear" w:color="auto" w:fill="FFFFFF"/>
          </w:tcPr>
          <w:p>
            <w:pPr>
              <w:widowControl/>
              <w:spacing w:line="288" w:lineRule="auto"/>
              <w:jc w:val="left"/>
              <w:textAlignment w:val="top"/>
              <w:rPr>
                <w:rFonts w:ascii="仿宋" w:hAnsi="仿宋" w:eastAsia="仿宋" w:cs="仿宋"/>
                <w:color w:val="000000"/>
                <w:sz w:val="24"/>
              </w:rPr>
            </w:pPr>
            <w:r>
              <w:rPr>
                <w:rFonts w:hint="eastAsia" w:ascii="仿宋" w:hAnsi="仿宋" w:eastAsia="仿宋" w:cs="仿宋"/>
                <w:color w:val="000000"/>
                <w:kern w:val="0"/>
                <w:sz w:val="24"/>
              </w:rPr>
              <w:t>用于跳马训练和比</w:t>
            </w:r>
            <w:r>
              <w:rPr>
                <w:rFonts w:hint="eastAsia" w:ascii="仿宋" w:hAnsi="仿宋" w:eastAsia="仿宋" w:cs="仿宋"/>
                <w:color w:val="auto"/>
                <w:kern w:val="0"/>
                <w:sz w:val="24"/>
              </w:rPr>
              <w:t>赛，符合国家体联的标</w:t>
            </w:r>
            <w:r>
              <w:rPr>
                <w:rFonts w:hint="eastAsia" w:ascii="仿宋" w:hAnsi="仿宋" w:eastAsia="仿宋" w:cs="仿宋"/>
                <w:color w:val="000000"/>
                <w:kern w:val="0"/>
                <w:sz w:val="24"/>
              </w:rPr>
              <w:t>准，尺寸为</w:t>
            </w:r>
            <w:r>
              <w:rPr>
                <w:rStyle w:val="973"/>
                <w:rFonts w:hint="eastAsia" w:ascii="仿宋" w:hAnsi="仿宋" w:eastAsia="仿宋" w:cs="仿宋"/>
                <w:sz w:val="24"/>
                <w:szCs w:val="24"/>
              </w:rPr>
              <w:t>1300</w:t>
            </w:r>
            <w:r>
              <w:rPr>
                <w:rFonts w:hint="eastAsia" w:ascii="仿宋" w:hAnsi="仿宋" w:eastAsia="仿宋" w:cs="仿宋"/>
                <w:color w:val="000000"/>
                <w:kern w:val="0"/>
                <w:sz w:val="24"/>
              </w:rPr>
              <w:t>×</w:t>
            </w:r>
            <w:r>
              <w:rPr>
                <w:rStyle w:val="973"/>
                <w:rFonts w:hint="eastAsia" w:ascii="仿宋" w:hAnsi="仿宋" w:eastAsia="仿宋" w:cs="仿宋"/>
                <w:sz w:val="24"/>
                <w:szCs w:val="24"/>
              </w:rPr>
              <w:t>100</w:t>
            </w:r>
            <w:r>
              <w:rPr>
                <w:rFonts w:hint="eastAsia" w:ascii="仿宋" w:hAnsi="仿宋" w:eastAsia="仿宋" w:cs="仿宋"/>
                <w:color w:val="000000"/>
                <w:kern w:val="0"/>
                <w:sz w:val="24"/>
              </w:rPr>
              <w:t>×</w:t>
            </w:r>
            <w:r>
              <w:rPr>
                <w:rStyle w:val="973"/>
                <w:rFonts w:hint="eastAsia" w:ascii="仿宋" w:hAnsi="仿宋" w:eastAsia="仿宋" w:cs="仿宋"/>
                <w:sz w:val="24"/>
                <w:szCs w:val="24"/>
              </w:rPr>
              <w:t>2.5cm</w:t>
            </w:r>
            <w:r>
              <w:rPr>
                <w:rFonts w:hint="eastAsia" w:ascii="仿宋" w:hAnsi="仿宋" w:eastAsia="仿宋" w:cs="仿宋"/>
                <w:color w:val="000000"/>
                <w:kern w:val="0"/>
                <w:sz w:val="24"/>
              </w:rPr>
              <w:t>，由防滑地毯和</w:t>
            </w:r>
            <w:r>
              <w:rPr>
                <w:rStyle w:val="973"/>
                <w:rFonts w:hint="eastAsia" w:ascii="仿宋" w:hAnsi="仿宋" w:eastAsia="仿宋" w:cs="仿宋"/>
                <w:sz w:val="24"/>
                <w:szCs w:val="24"/>
              </w:rPr>
              <w:t>XPE</w:t>
            </w:r>
            <w:r>
              <w:rPr>
                <w:rFonts w:hint="eastAsia" w:ascii="仿宋" w:hAnsi="仿宋" w:eastAsia="仿宋" w:cs="仿宋"/>
                <w:color w:val="000000"/>
                <w:kern w:val="0"/>
                <w:sz w:val="24"/>
              </w:rPr>
              <w:t>材料通过热贴合的工艺制成。</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条</w:t>
            </w:r>
          </w:p>
        </w:tc>
      </w:tr>
      <w:tr>
        <w:tblPrEx>
          <w:tblCellMar>
            <w:top w:w="0" w:type="dxa"/>
            <w:left w:w="108" w:type="dxa"/>
            <w:bottom w:w="0" w:type="dxa"/>
            <w:right w:w="108" w:type="dxa"/>
          </w:tblCellMar>
        </w:tblPrEx>
        <w:trPr>
          <w:trHeight w:val="142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助跳板（软板）</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1、优质胶合板制作，120×60×22cm，7根弹簧，可拆卸。</w:t>
            </w:r>
          </w:p>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2、▲提供具有检测资质的检测机构出具的质量检测报告复印件并加盖投标人公章。</w:t>
            </w:r>
          </w:p>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3、▲通过北京国体世纪体育用品质量认证中心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83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15</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比赛蘑菇山羊</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5-6岁使用蘑菇山羊，青少年比赛专用，面层是PU革，直径60cm，高度调节范围50-60cm。</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8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16</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比赛蘑菇山羊专项垫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共有200×100×10cm×4块，厚度均为10cm，总面积为9㎡，面层为高强PVC夹网布，缓冲料为聚胺脂海绵和XPE泡沫材料。</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5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17</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蘑菇山羊</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全旋辅助练习器材，蘑菇型，直径60cm，高45cm，由PU海绵一次压成，面层是PU革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366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18</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标准自由操场地</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1、自由操外围尺寸为1400×1400cm，比赛区域尺寸1</w:t>
            </w:r>
            <w:r>
              <w:rPr>
                <w:rFonts w:hint="eastAsia" w:ascii="仿宋" w:hAnsi="仿宋" w:eastAsia="仿宋" w:cs="仿宋"/>
                <w:color w:val="auto"/>
                <w:kern w:val="0"/>
                <w:sz w:val="24"/>
              </w:rPr>
              <w:t>200×1200cm；面层为特质尼龙地毯，厚度为0.7cm，地毯分两种规格：1300×100cm，共4条，颜色为蓝色；1200×400cm，共3条，颜色为灰色；中间弹性层为特制XPE垫，其外围形状为锯齿状缺口，可相互拼接，尺寸约为200×100cm，厚度为5.5cm，共98块；底板为优质桦木胶合板，厚1.3cm，板底部安装有一定数量特种弹簧组件保证弹性，特种弹簧高度约为10cm，底板组件总高为14cm；板和板之间用铝合金嵌条连接，板角之间的连接采用钢制的连接件，外部整体用拉紧带装置锁紧。</w:t>
            </w:r>
          </w:p>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94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19</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双联肋木</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身体素质训练器材，总宽216cm，优质水曲柳板制作，每联宽100cm，高250cm，圆棍直径3.8cm。</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8</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65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20</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墙挂式吊环</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吊环辅助训练器材，是固定在墙上的钢制K角架和滑轮等制成，墙面上还有固定钢缆和条节高度的固定钩，环索由链条、钢缆、旋转环、织带和木环等制成，环索的长度可以根据场馆的高度及环面与承重墙的距离定制，环面高度可调范围50-275cm。</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03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墙挂式蘑菇山羊练习器（有蘑菇头）</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蘑菇头直径60cm，墙面固定高度250-300cm。用于全旋辅助练习，适合初学体操人员，由钢索，顶部三角形固定架，双轴轴承，及护套组成。</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225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比赛蹦床主架（地蹦床）</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1、总尺寸：518×305×115cm。网面由尼龙织带缝制而成，织带宽度：纵向4mm,横向5mm；配有弹簧118根，其中8根是安装在四角的大弹簧；配有可升降的移动车一对；主架弹簧上面有一层5cm保护垫覆盖四面的弹簧，通过魔术贴固定在蹦床框架上，该垫子高于弹簧5厘米以上；不配附架。</w:t>
            </w:r>
          </w:p>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2、▲通过北京国体世纪体育用品质量认证中心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38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倒立反弹练习器</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辅助练习器械，用于进行在杠子上摆、弹倒立、倒立转体的辅助训练，两根弹力杆同样高度，调节范围：100-150cm，配有弹性绳和保护垫，两杆宽度可调节，支撑用的低杠长166cm，杠面为钢管，外表静电喷塑处理。</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12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移动把杆</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训练型舞蹈把杆，舞蹈把杆表面是优质的水曲柳木。内嵌22MM弹簧钢，直径55MM。底座是铸铁，表面是喷塑处理，可升降。升降高度为85公分—115公分。底盘直径为43公分</w:t>
            </w:r>
            <w:r>
              <w:rPr>
                <w:rFonts w:hint="eastAsia" w:ascii="仿宋" w:hAnsi="仿宋" w:eastAsia="仿宋" w:cs="仿宋"/>
                <w:color w:val="auto"/>
                <w:kern w:val="0"/>
                <w:sz w:val="24"/>
              </w:rPr>
              <w:t>。重量≥25公斤。4M/套</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5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25</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镁粉盒</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训练和比赛用具，可盛入镁粉，用于给运动员的手抹上镁粉防滑，玻璃钢材料制成粉斗，架体为金属。</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26</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镁粉</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训练和比赛用品，主要用途吸汗防滑，主要成分碳酸镁，呈块状，每盒8块，一箱36盒，每箱共288块。</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箱</w:t>
            </w:r>
          </w:p>
        </w:tc>
      </w:tr>
      <w:tr>
        <w:tblPrEx>
          <w:tblCellMar>
            <w:top w:w="0" w:type="dxa"/>
            <w:left w:w="108" w:type="dxa"/>
            <w:bottom w:w="0" w:type="dxa"/>
            <w:right w:w="108" w:type="dxa"/>
          </w:tblCellMar>
        </w:tblPrEx>
        <w:trPr>
          <w:trHeight w:val="37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27</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压腿垫</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尺寸60X40X25cm，压缩海绵</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28</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体操凳</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体操馆用品，木质凳面，凳面长200cm，宽24cm，高30cm，可折叠。</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张</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29</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海绵包</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25倍聚胺脂海绵，面层为高强PVC夹网布，尺寸300×200×20cm。</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30</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海绵包</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25倍聚胺脂海绵，面层为高强PVC夹网布，尺寸200×200×20cm。</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168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31</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通用落地垫</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1、25倍聚胺脂海绵，上层为4cm XPE。面层为高强PVC夹网布，尺寸 300×200×20cm。</w:t>
            </w:r>
          </w:p>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2、▲提供具有检测资质的检测机构出具的质量检测报告复印件并加盖投标人公章。</w:t>
            </w:r>
          </w:p>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3、▲通过北京国体世纪体育用品质量认证中心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168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32</w:t>
            </w:r>
          </w:p>
        </w:tc>
        <w:tc>
          <w:tcPr>
            <w:tcW w:w="1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海绵垫</w:t>
            </w:r>
          </w:p>
        </w:tc>
        <w:tc>
          <w:tcPr>
            <w:tcW w:w="5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1、25倍聚胺脂海绵，面层为高强PVC夹网布，尺寸150×100×6cm，两端有拉手。</w:t>
            </w:r>
          </w:p>
          <w:p>
            <w:pPr>
              <w:widowControl/>
              <w:spacing w:line="288" w:lineRule="auto"/>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2、▲提供具有检测资质的检测机构出具的质量检测报告复印件并加盖投标人公章。</w:t>
            </w:r>
          </w:p>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3、▲通过北京国体世纪体育用品质量认证中心</w:t>
            </w:r>
            <w:r>
              <w:rPr>
                <w:rStyle w:val="973"/>
                <w:rFonts w:hint="eastAsia" w:ascii="仿宋" w:hAnsi="仿宋" w:eastAsia="仿宋" w:cs="仿宋"/>
                <w:sz w:val="24"/>
                <w:szCs w:val="24"/>
              </w:rPr>
              <w:t>(NSCC)</w:t>
            </w:r>
            <w:r>
              <w:rPr>
                <w:rFonts w:hint="eastAsia" w:ascii="仿宋" w:hAnsi="仿宋" w:eastAsia="仿宋" w:cs="仿宋"/>
                <w:color w:val="000000"/>
                <w:kern w:val="0"/>
                <w:sz w:val="24"/>
              </w:rPr>
              <w:t>认证。</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木制倒立架</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辅助训练和素质训练器械，长70cm，高10.5cm，木制杠面，杠面直径4cm。</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10</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对</w:t>
            </w:r>
          </w:p>
        </w:tc>
      </w:tr>
      <w:tr>
        <w:tblPrEx>
          <w:tblCellMar>
            <w:top w:w="0" w:type="dxa"/>
            <w:left w:w="108" w:type="dxa"/>
            <w:bottom w:w="0" w:type="dxa"/>
            <w:right w:w="108" w:type="dxa"/>
          </w:tblCellMar>
        </w:tblPrEx>
        <w:trPr>
          <w:trHeight w:val="8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体操箱</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体操辅助训练器材，用于体操的保护、素质训练和辅助练习，尺寸为：75×45×60cm，外包高强PVC夹网布，内包木箱加XPE柔性层。</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138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35</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登高台</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辅助练习器材，便于运动员和教练员安全登上较高的运动器械。保护台分3层，总体呈梯形，尺寸为（顶面60×60+底面75×75）×高度90cm。内为XPE缓冲材料，使用时需放在平地上，适用于单杠、双杠、高低杠、吊环等。</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28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36</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充气泵</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专用于充气跑道和落地垫的设备。</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28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37</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充气跑道</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尺寸为：≥1000×200×20cm，颜色橘灰/橘蓝</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28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38</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充气落地垫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尺寸为：≥200×200×10cm，颜色橘灰/橘蓝</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39</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快乐体操场地</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单条2*12*0.03米，可拼接成12*12米场地，含雌雄扣、背胶等配件。</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条</w:t>
            </w:r>
          </w:p>
        </w:tc>
      </w:tr>
      <w:tr>
        <w:tblPrEx>
          <w:tblCellMar>
            <w:top w:w="0" w:type="dxa"/>
            <w:left w:w="108" w:type="dxa"/>
            <w:bottom w:w="0" w:type="dxa"/>
            <w:right w:w="108" w:type="dxa"/>
          </w:tblCellMar>
        </w:tblPrEx>
        <w:trPr>
          <w:trHeight w:val="8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40</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快乐体操双杠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长1.8米，宽1.8米，调节高度1.3-1.7米，杠面直径3.6cm，外包木页，杠间距可根据不同年龄段的儿童随意调整。</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快乐体操单杠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长1.8米，宽1.8米，调节高度1.3-1.7米，杠面直径3.6cm，外包木页。</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快乐体操垫子（组合用）</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共4块，每块垫子尺</w:t>
            </w:r>
            <w:r>
              <w:rPr>
                <w:rFonts w:hint="eastAsia" w:ascii="仿宋" w:hAnsi="仿宋" w:eastAsia="仿宋" w:cs="仿宋"/>
                <w:color w:val="auto"/>
                <w:kern w:val="0"/>
                <w:sz w:val="24"/>
              </w:rPr>
              <w:t>寸为≥356*1</w:t>
            </w:r>
            <w:r>
              <w:rPr>
                <w:rFonts w:hint="eastAsia" w:ascii="仿宋" w:hAnsi="仿宋" w:eastAsia="仿宋" w:cs="仿宋"/>
                <w:color w:val="000000"/>
                <w:kern w:val="0"/>
                <w:sz w:val="24"/>
              </w:rPr>
              <w:t>50*16cm，外部包覆物为人革，内部填充物为28+/-2kg/m³的海绵</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快乐跳箱（软体跳马）</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宽38cm，下宽90cm，长度1.2米，高度0.3-1.2米，内部填充物为软体材料。</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快乐体操入门级助跳板</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幼儿体操训练器材，尺寸为：50×90×16cm，由优质胶合板、弹簧2根、海绵和地毯制成。</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45</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快乐体操平衡木</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400*20/30*30cm，横截面为梯形，面层采用软体材料。</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46</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快乐体操蹦床</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网面2.7*2.7米，黑纱网，弹性装置为弹簧，蹦床离地高度为60cm，围网高度1.8米。</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47</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快乐体操吊环</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长1.8米，宽1.8米，环面离地高度1.3-1.7米，环尺寸同比赛的吊环，环间距50cm。可更换为小木环。</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8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48</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快乐体操高低杠</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长1.8米，宽1.8米，高杠调节高度1.3-1.7米，低杠调节高度0.9-1.3米，杠面直径3.6cm，外包木页。杠距可根据不同年龄段儿童随意调整。</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49</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圆环垫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外圆130cm，内圆75cm，宽50cm，高65cm，内为25倍硬质海绵，外PVC人革。分A,B两块，两块为一组</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组</w:t>
            </w:r>
          </w:p>
        </w:tc>
      </w:tr>
      <w:tr>
        <w:tblPrEx>
          <w:tblCellMar>
            <w:top w:w="0" w:type="dxa"/>
            <w:left w:w="108" w:type="dxa"/>
            <w:bottom w:w="0" w:type="dxa"/>
            <w:right w:w="108" w:type="dxa"/>
          </w:tblCellMar>
        </w:tblPrEx>
        <w:trPr>
          <w:trHeight w:val="48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50</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饼状垫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Ф75X50 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梯垫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长120cm，下宽60cm，上宽15cm，高50cm，内为25倍硬质海绵，外PVC人革。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8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梯形堆叠垫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共6块。长120cm，下宽90cm，上宽40cm，高120cm，内上层为4cmXPE，下层为25倍硬质海绵，外PVC人革。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带缺口饼状垫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共3块。总体尺寸Ф75X50 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8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多功能堆叠垫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共6块。长120cm，宽60cm，高20cm一块；长60cm，宽60cm，高20cm二块；长40cm，宽60cm，高20cm三块。每块内为25倍硬质海绵，外PVC人革。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55</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长方形垫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长120cm，宽30cm，高30cm。内为25倍硬质海绵，外PVC人革。可配套K-30使用。</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84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56</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彩虹垫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共四块。每块长120cm，宽60cm，高4cm。可折叠成一块长120cm，宽60cm，高16cm的长方体。颜色为红橙黄绿。</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组</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57</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儿童半圆垫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长100cm，宽40cm，高（R）20cm。内为25倍硬质海绵，外PVC人革。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58</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儿童三级梯垫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长120cm，宽60cm，总高75cm；分三级，每级高25cm。</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59</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Style w:val="974"/>
                <w:rFonts w:hint="default" w:ascii="仿宋" w:hAnsi="仿宋" w:eastAsia="仿宋" w:cs="仿宋"/>
                <w:sz w:val="24"/>
                <w:szCs w:val="24"/>
              </w:rPr>
              <w:t>儿童</w:t>
            </w:r>
            <w:r>
              <w:rPr>
                <w:rFonts w:hint="eastAsia" w:ascii="仿宋" w:hAnsi="仿宋" w:eastAsia="仿宋" w:cs="仿宋"/>
                <w:color w:val="000000"/>
                <w:kern w:val="0"/>
                <w:sz w:val="24"/>
              </w:rPr>
              <w:t>U</w:t>
            </w:r>
            <w:r>
              <w:rPr>
                <w:rStyle w:val="974"/>
                <w:rFonts w:hint="default" w:ascii="仿宋" w:hAnsi="仿宋" w:eastAsia="仿宋" w:cs="仿宋"/>
                <w:sz w:val="24"/>
                <w:szCs w:val="24"/>
              </w:rPr>
              <w:t>形组合垫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长90cm，宽30cm，高60cm。内为25倍硬质海绵，外PVC人革。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60</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儿童长方垫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长100cm，宽60cm，高50cm。内为25倍硬质海绵，外PVC人革。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61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儿童圆柱垫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规格：直径Æ50cm， 长220cm。内为充气圆柱，外PVC人革。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62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儿童中空半圆垫</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000000"/>
                <w:sz w:val="24"/>
              </w:rPr>
            </w:pPr>
            <w:r>
              <w:rPr>
                <w:rFonts w:hint="eastAsia" w:ascii="仿宋" w:hAnsi="仿宋" w:eastAsia="仿宋" w:cs="仿宋"/>
                <w:color w:val="000000"/>
                <w:kern w:val="0"/>
                <w:sz w:val="24"/>
              </w:rPr>
              <w:t>外圆160cm，内圆R20cm，宽30cm，高80cm。内为25倍硬质海绵，外PVC人革。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块</w:t>
            </w:r>
          </w:p>
        </w:tc>
      </w:tr>
      <w:tr>
        <w:tblPrEx>
          <w:tblCellMar>
            <w:top w:w="0" w:type="dxa"/>
            <w:left w:w="108" w:type="dxa"/>
            <w:bottom w:w="0" w:type="dxa"/>
            <w:right w:w="108" w:type="dxa"/>
          </w:tblCellMar>
        </w:tblPrEx>
        <w:trPr>
          <w:trHeight w:val="8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63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Style w:val="974"/>
                <w:rFonts w:hint="default" w:ascii="仿宋" w:hAnsi="仿宋" w:eastAsia="仿宋" w:cs="仿宋"/>
                <w:color w:val="auto"/>
                <w:sz w:val="24"/>
                <w:szCs w:val="24"/>
              </w:rPr>
              <w:t>鞍马堆叠垫（</w:t>
            </w:r>
            <w:r>
              <w:rPr>
                <w:rFonts w:hint="eastAsia" w:ascii="仿宋" w:hAnsi="仿宋" w:eastAsia="仿宋" w:cs="仿宋"/>
                <w:color w:val="auto"/>
                <w:kern w:val="0"/>
                <w:sz w:val="24"/>
              </w:rPr>
              <w:t>4</w:t>
            </w:r>
            <w:r>
              <w:rPr>
                <w:rStyle w:val="974"/>
                <w:rFonts w:hint="default" w:ascii="仿宋" w:hAnsi="仿宋" w:eastAsia="仿宋" w:cs="仿宋"/>
                <w:color w:val="auto"/>
                <w:sz w:val="24"/>
                <w:szCs w:val="24"/>
              </w:rPr>
              <w:t>节）</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共4块。长100cm，下宽80cm，上宽40cm，高95cm，内上层为4cmXPE，下层为25倍硬质海绵，外PVC人革。最上1节为K-25。</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1350" w:hRule="atLeast"/>
        </w:trPr>
        <w:tc>
          <w:tcPr>
            <w:tcW w:w="8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64</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大众蹦床</w:t>
            </w:r>
            <w:r>
              <w:rPr>
                <w:rFonts w:hint="eastAsia" w:ascii="仿宋" w:hAnsi="仿宋" w:eastAsia="仿宋" w:cs="仿宋"/>
                <w:b/>
                <w:bCs/>
                <w:color w:val="auto"/>
                <w:kern w:val="0"/>
                <w:sz w:val="24"/>
                <w:highlight w:val="none"/>
              </w:rPr>
              <w:t>（核心产品）</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highlight w:val="none"/>
              </w:rPr>
            </w:pPr>
            <w:r>
              <w:rPr>
                <w:rStyle w:val="975"/>
                <w:rFonts w:ascii="仿宋" w:hAnsi="仿宋" w:eastAsia="仿宋" w:cs="仿宋"/>
                <w:color w:val="auto"/>
                <w:sz w:val="24"/>
                <w:szCs w:val="24"/>
                <w:highlight w:val="none"/>
              </w:rPr>
              <w:t>框架直径1250mm，高度350mm，由直径32mm圆管弯折焊接而成。黑纱网面直径为660mm，与保护垫一体缝合。网面与框架通过36根牛筋绳连接。</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10</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65</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小翻练习器（小号）</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尺寸：≥78×50×65cm。适合儿童练习后空翻等动作，内为泡沫材料，软硬适中，外PVC人革。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66</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小翻练习器底座（小号）</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尺寸：≥78×50×19cm。固定产品使用时不产生剧烈的晃动，内为泡沫材料，软硬适中，外PVC人革。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67</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小翻练习器（中号）</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尺寸：≥100×70×87cm 。适合儿童练习后空翻等动作，内为泡沫材料，软硬适中，外PVC人革。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68</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小翻练习器底座（中号）</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尺寸：≥95×70×19cm。固定产品使用时不产生剧烈的晃动，内为泡沫材料，软硬适中，外PVC人革。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69</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小翻练习器（大号）</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尺寸：≥116×80×99cm。适合儿童练习后空翻等动作，内为泡沫材料，软硬适中，外PVC人革。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70</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小翻练习器底座（大号）</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尺寸：≥104×80×19cm。固定产品使用时不产生剧烈的晃动，内为泡沫材料，软硬适中，外PVC人革。</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个</w:t>
            </w:r>
          </w:p>
        </w:tc>
      </w:tr>
      <w:tr>
        <w:tblPrEx>
          <w:tblCellMar>
            <w:top w:w="0" w:type="dxa"/>
            <w:left w:w="108" w:type="dxa"/>
            <w:bottom w:w="0" w:type="dxa"/>
            <w:right w:w="108" w:type="dxa"/>
          </w:tblCellMar>
        </w:tblPrEx>
        <w:trPr>
          <w:trHeight w:val="555"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71</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移动式海绵坑</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尺寸：≥200*300*80cm 外包pvc人革内存软体材料，含2立方海绵</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570"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72</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攀登面</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配套快体单杠一起使用，展开尺寸≥3.2X0.75米，折叠尺寸≥1.6X0.75米。一面光板，一面配有16个攀爬支点。</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套</w:t>
            </w:r>
          </w:p>
        </w:tc>
      </w:tr>
      <w:tr>
        <w:tblPrEx>
          <w:tblCellMar>
            <w:top w:w="0" w:type="dxa"/>
            <w:left w:w="108" w:type="dxa"/>
            <w:bottom w:w="0" w:type="dxa"/>
            <w:right w:w="108" w:type="dxa"/>
          </w:tblCellMar>
        </w:tblPrEx>
        <w:trPr>
          <w:trHeight w:val="342" w:hRule="atLeast"/>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73</w:t>
            </w:r>
          </w:p>
        </w:tc>
        <w:tc>
          <w:tcPr>
            <w:tcW w:w="13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rPr>
              <w:t>儿童护掌</w:t>
            </w:r>
          </w:p>
        </w:tc>
        <w:tc>
          <w:tcPr>
            <w:tcW w:w="5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left"/>
              <w:textAlignment w:val="center"/>
              <w:rPr>
                <w:rFonts w:ascii="仿宋" w:hAnsi="仿宋" w:eastAsia="仿宋" w:cs="仿宋"/>
                <w:color w:val="auto"/>
                <w:sz w:val="24"/>
              </w:rPr>
            </w:pPr>
            <w:r>
              <w:rPr>
                <w:rFonts w:hint="eastAsia" w:ascii="仿宋" w:hAnsi="仿宋" w:eastAsia="仿宋" w:cs="仿宋"/>
                <w:color w:val="auto"/>
                <w:kern w:val="0"/>
                <w:sz w:val="24"/>
              </w:rPr>
              <w:t>0号，1号，2号，3号。每个型号个5对。</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88"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rPr>
              <w:t>对</w:t>
            </w:r>
          </w:p>
        </w:tc>
      </w:tr>
    </w:tbl>
    <w:p>
      <w:pPr>
        <w:spacing w:line="288" w:lineRule="auto"/>
        <w:rPr>
          <w:rFonts w:ascii="仿宋" w:hAnsi="仿宋" w:eastAsia="仿宋" w:cs="仿宋"/>
          <w:b/>
          <w:sz w:val="24"/>
        </w:rPr>
      </w:pPr>
      <w:r>
        <w:rPr>
          <w:rFonts w:hint="eastAsia" w:ascii="仿宋" w:hAnsi="仿宋" w:eastAsia="仿宋" w:cs="仿宋"/>
          <w:b/>
          <w:sz w:val="24"/>
        </w:rPr>
        <w:t>二、其他要求</w:t>
      </w:r>
    </w:p>
    <w:p>
      <w:pPr>
        <w:tabs>
          <w:tab w:val="left" w:pos="1632"/>
        </w:tabs>
        <w:spacing w:line="288" w:lineRule="auto"/>
        <w:rPr>
          <w:rFonts w:ascii="仿宋" w:hAnsi="仿宋" w:eastAsia="仿宋" w:cs="仿宋"/>
          <w:bCs/>
          <w:sz w:val="24"/>
        </w:rPr>
      </w:pPr>
      <w:r>
        <w:rPr>
          <w:rFonts w:hint="eastAsia" w:ascii="仿宋" w:hAnsi="仿宋" w:eastAsia="仿宋" w:cs="仿宋"/>
          <w:bCs/>
          <w:sz w:val="24"/>
        </w:rPr>
        <w:t>1.投标人须提供经调试、验收合格后至少3年的免费质保期(投标人可根据自身实力作出更长时间的质保承诺)，并提供厂方认可的保修证明。在此期间，投标人应免费处理因质量发生的故障，并进行正常保养。在保修期内，对采购人非人为原因出现质量问题的产品或配件进行免费维修，确定不能使用的进行免费更换，免收维修费、零件费、上门服务费、交通费。保修期后仅收取配件费。中标人需免费提供易损耗的零部件供采购人使用。</w:t>
      </w:r>
    </w:p>
    <w:p>
      <w:pPr>
        <w:tabs>
          <w:tab w:val="left" w:pos="1632"/>
        </w:tabs>
        <w:spacing w:line="288" w:lineRule="auto"/>
        <w:rPr>
          <w:rFonts w:ascii="仿宋" w:hAnsi="仿宋" w:eastAsia="仿宋" w:cs="仿宋"/>
          <w:bCs/>
          <w:sz w:val="24"/>
        </w:rPr>
      </w:pPr>
      <w:r>
        <w:rPr>
          <w:rFonts w:hint="eastAsia" w:ascii="仿宋" w:hAnsi="仿宋" w:eastAsia="仿宋" w:cs="仿宋"/>
          <w:bCs/>
          <w:sz w:val="24"/>
        </w:rPr>
        <w:t>2.中标人必须有可靠的售后服务保障应包括但不限于（在绍兴附近有固定的维修服务点，能提供正常的技术、备品备件服务；中标人在接到招标人通知后，2小时内派人赴现场处理质量问题；24小时内不能修复的，则无偿提供备品供采购人使用）。</w:t>
      </w:r>
    </w:p>
    <w:p>
      <w:pPr>
        <w:tabs>
          <w:tab w:val="left" w:pos="1632"/>
        </w:tabs>
        <w:spacing w:line="288" w:lineRule="auto"/>
        <w:rPr>
          <w:rFonts w:ascii="仿宋" w:hAnsi="仿宋" w:eastAsia="仿宋" w:cs="仿宋"/>
          <w:bCs/>
          <w:sz w:val="24"/>
        </w:rPr>
      </w:pPr>
      <w:r>
        <w:rPr>
          <w:rFonts w:hint="eastAsia" w:ascii="仿宋" w:hAnsi="仿宋" w:eastAsia="仿宋" w:cs="仿宋"/>
          <w:bCs/>
          <w:sz w:val="24"/>
        </w:rPr>
        <w:t>3.到货期：合同签订后30天内所有货物须送达用户单位并安装调试完毕。</w:t>
      </w:r>
    </w:p>
    <w:p>
      <w:pPr>
        <w:tabs>
          <w:tab w:val="left" w:pos="1632"/>
        </w:tabs>
        <w:spacing w:line="288" w:lineRule="auto"/>
        <w:rPr>
          <w:rFonts w:ascii="仿宋" w:hAnsi="仿宋" w:eastAsia="仿宋" w:cs="仿宋"/>
          <w:bCs/>
          <w:sz w:val="24"/>
        </w:rPr>
      </w:pPr>
      <w:r>
        <w:rPr>
          <w:rFonts w:hint="eastAsia" w:ascii="仿宋" w:hAnsi="仿宋" w:eastAsia="仿宋" w:cs="仿宋"/>
          <w:bCs/>
          <w:sz w:val="24"/>
        </w:rPr>
        <w:t>4.本项目实施中，如遇清单中尺寸与实际所需尺寸有出入，已实际所需尺寸为准，中标价格不作调整。</w:t>
      </w:r>
    </w:p>
    <w:p>
      <w:pPr>
        <w:tabs>
          <w:tab w:val="left" w:pos="1632"/>
        </w:tabs>
        <w:spacing w:line="288" w:lineRule="auto"/>
        <w:rPr>
          <w:rFonts w:ascii="仿宋" w:hAnsi="仿宋" w:eastAsia="仿宋" w:cs="仿宋"/>
          <w:bCs/>
          <w:sz w:val="24"/>
        </w:rPr>
      </w:pPr>
      <w:r>
        <w:rPr>
          <w:rFonts w:hint="eastAsia" w:ascii="仿宋" w:hAnsi="仿宋" w:eastAsia="仿宋" w:cs="仿宋"/>
          <w:bCs/>
          <w:sz w:val="24"/>
        </w:rPr>
        <w:t>5.所有货物必须原包装到指定安装地点安装，所需一切费用均包含在投标报价中。</w:t>
      </w:r>
    </w:p>
    <w:p>
      <w:pPr>
        <w:tabs>
          <w:tab w:val="left" w:pos="1632"/>
        </w:tabs>
        <w:spacing w:line="288" w:lineRule="auto"/>
        <w:rPr>
          <w:rFonts w:ascii="仿宋" w:hAnsi="仿宋" w:eastAsia="仿宋" w:cs="仿宋"/>
          <w:bCs/>
          <w:sz w:val="24"/>
        </w:rPr>
      </w:pPr>
      <w:r>
        <w:rPr>
          <w:rFonts w:hint="eastAsia" w:ascii="仿宋" w:hAnsi="仿宋" w:eastAsia="仿宋" w:cs="仿宋"/>
          <w:bCs/>
          <w:sz w:val="24"/>
        </w:rPr>
        <w:t>6.安全文明要求：在实施过程中引起的一切安全问题，由中标人承担完全责任。同时，必须做好对建筑的保护（尤其是地面与墙面），并承担完全责任。同时，进场后每天安排清洁工做好清洁工作卫生工作。</w:t>
      </w:r>
    </w:p>
    <w:p>
      <w:pPr>
        <w:tabs>
          <w:tab w:val="left" w:pos="1632"/>
        </w:tabs>
        <w:spacing w:line="288" w:lineRule="auto"/>
        <w:jc w:val="left"/>
        <w:rPr>
          <w:rFonts w:ascii="仿宋" w:hAnsi="仿宋" w:eastAsia="仿宋" w:cs="仿宋"/>
          <w:b/>
          <w:sz w:val="36"/>
          <w:szCs w:val="36"/>
        </w:rPr>
      </w:pPr>
      <w:r>
        <w:rPr>
          <w:rFonts w:hint="eastAsia" w:ascii="仿宋" w:hAnsi="仿宋" w:eastAsia="仿宋" w:cs="仿宋"/>
          <w:bCs/>
          <w:sz w:val="24"/>
        </w:rPr>
        <w:t>7</w:t>
      </w:r>
      <w:r>
        <w:rPr>
          <w:rFonts w:hint="eastAsia" w:ascii="仿宋" w:hAnsi="仿宋" w:eastAsia="仿宋" w:cs="仿宋"/>
          <w:bCs/>
          <w:sz w:val="24"/>
          <w:lang w:val="zh-CN"/>
        </w:rPr>
        <w:t>.付款方式：按《浙江省财政厅关于进一步发挥政府采购政策功能全力推动经济稳进提质的通知》（浙财采监〔2022〕3号）等文件要求执行，具体付款方式：采购人在合同生效以及具备实施条件后7个工作日内支付合同价40%的政府采购预付款，验收合格后</w:t>
      </w:r>
      <w:r>
        <w:rPr>
          <w:rFonts w:ascii="仿宋" w:hAnsi="仿宋" w:eastAsia="仿宋" w:cs="仿宋"/>
          <w:bCs/>
          <w:sz w:val="24"/>
          <w:lang w:val="zh-CN"/>
        </w:rPr>
        <w:t>自收到发票后7个工作日内</w:t>
      </w:r>
      <w:r>
        <w:rPr>
          <w:rFonts w:hint="eastAsia" w:ascii="仿宋" w:hAnsi="仿宋" w:eastAsia="仿宋" w:cs="仿宋"/>
          <w:bCs/>
          <w:sz w:val="24"/>
          <w:lang w:val="zh-CN"/>
        </w:rPr>
        <w:t>支付至合同价的100%，不得把履约保证金转为质量保证金或收取质量保证金。</w:t>
      </w: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3"/>
        <w:spacing w:line="288" w:lineRule="auto"/>
        <w:ind w:left="0" w:leftChars="0" w:firstLine="0" w:firstLineChars="0"/>
        <w:rPr>
          <w:rFonts w:ascii="仿宋" w:hAnsi="仿宋" w:eastAsia="仿宋" w:cs="仿宋"/>
          <w:szCs w:val="24"/>
        </w:rPr>
      </w:pPr>
    </w:p>
    <w:p>
      <w:pPr>
        <w:pStyle w:val="703"/>
        <w:spacing w:line="288" w:lineRule="auto"/>
        <w:jc w:val="center"/>
        <w:rPr>
          <w:rFonts w:ascii="仿宋" w:hAnsi="仿宋" w:eastAsia="仿宋" w:cs="仿宋"/>
          <w:szCs w:val="24"/>
        </w:rPr>
      </w:pPr>
    </w:p>
    <w:p>
      <w:pPr>
        <w:pStyle w:val="703"/>
        <w:spacing w:line="288" w:lineRule="auto"/>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703"/>
        <w:spacing w:line="288" w:lineRule="auto"/>
        <w:rPr>
          <w:rFonts w:ascii="仿宋" w:hAnsi="仿宋" w:eastAsia="仿宋" w:cs="仿宋"/>
          <w:szCs w:val="24"/>
        </w:rPr>
      </w:pPr>
    </w:p>
    <w:p>
      <w:pPr>
        <w:pStyle w:val="703"/>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600"/>
        <w:spacing w:before="120" w:line="288" w:lineRule="auto"/>
        <w:rPr>
          <w:rFonts w:ascii="仿宋" w:hAnsi="仿宋" w:eastAsia="仿宋" w:cs="仿宋"/>
          <w:szCs w:val="24"/>
        </w:rPr>
      </w:pPr>
    </w:p>
    <w:p>
      <w:pPr>
        <w:pStyle w:val="600"/>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32" w:name="_Toc24059"/>
      <w:bookmarkStart w:id="33" w:name="_Toc2232"/>
      <w:bookmarkStart w:id="34" w:name="_Toc3029"/>
      <w:r>
        <w:rPr>
          <w:rFonts w:hint="eastAsia" w:ascii="仿宋" w:hAnsi="仿宋" w:eastAsia="仿宋" w:cs="仿宋"/>
          <w:b/>
          <w:sz w:val="24"/>
        </w:rPr>
        <w:t>1.1 合同组成部分</w:t>
      </w:r>
      <w:bookmarkEnd w:id="32"/>
      <w:bookmarkEnd w:id="33"/>
      <w:bookmarkEnd w:id="34"/>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35" w:name="_Toc27126"/>
      <w:bookmarkStart w:id="36" w:name="_Toc21295"/>
      <w:bookmarkStart w:id="37" w:name="_Toc24300"/>
      <w:r>
        <w:rPr>
          <w:rFonts w:hint="eastAsia" w:ascii="仿宋" w:hAnsi="仿宋" w:eastAsia="仿宋" w:cs="仿宋"/>
          <w:b/>
          <w:sz w:val="24"/>
        </w:rPr>
        <w:t>1.2 货物</w:t>
      </w:r>
      <w:bookmarkEnd w:id="35"/>
      <w:bookmarkEnd w:id="36"/>
      <w:bookmarkEnd w:id="37"/>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288" w:lineRule="auto"/>
        <w:ind w:firstLine="482" w:firstLineChars="200"/>
        <w:outlineLvl w:val="0"/>
        <w:rPr>
          <w:rFonts w:ascii="仿宋" w:hAnsi="仿宋" w:eastAsia="仿宋" w:cs="仿宋"/>
          <w:b/>
          <w:sz w:val="24"/>
        </w:rPr>
      </w:pPr>
      <w:bookmarkStart w:id="38" w:name="_Toc21631"/>
      <w:bookmarkStart w:id="39" w:name="_Toc21551"/>
      <w:bookmarkStart w:id="40" w:name="_Toc23292"/>
      <w:r>
        <w:rPr>
          <w:rFonts w:hint="eastAsia" w:ascii="仿宋" w:hAnsi="仿宋" w:eastAsia="仿宋" w:cs="仿宋"/>
          <w:b/>
          <w:sz w:val="24"/>
        </w:rPr>
        <w:t>1.3 价款</w:t>
      </w:r>
      <w:bookmarkEnd w:id="38"/>
      <w:bookmarkEnd w:id="39"/>
      <w:bookmarkEnd w:id="40"/>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288" w:lineRule="auto"/>
              <w:ind w:firstLine="200"/>
              <w:jc w:val="center"/>
              <w:rPr>
                <w:rFonts w:ascii="仿宋" w:hAnsi="仿宋" w:eastAsia="仿宋" w:cs="仿宋"/>
                <w:sz w:val="24"/>
                <w:szCs w:val="24"/>
              </w:rPr>
            </w:pPr>
          </w:p>
        </w:tc>
      </w:tr>
    </w:tbl>
    <w:p>
      <w:pPr>
        <w:pStyle w:val="961"/>
        <w:spacing w:before="0" w:beforeAutospacing="0" w:after="0" w:afterAutospacing="0" w:line="288" w:lineRule="auto"/>
        <w:ind w:firstLine="480"/>
        <w:rPr>
          <w:rFonts w:ascii="仿宋" w:hAnsi="仿宋" w:eastAsia="仿宋" w:cs="仿宋"/>
          <w:b/>
        </w:rPr>
      </w:pPr>
      <w:bookmarkStart w:id="41" w:name="_Toc22618"/>
      <w:bookmarkStart w:id="42" w:name="_Toc1814"/>
      <w:bookmarkStart w:id="43" w:name="_Toc10340"/>
      <w:r>
        <w:rPr>
          <w:rFonts w:hint="eastAsia" w:ascii="仿宋" w:hAnsi="仿宋" w:eastAsia="仿宋" w:cs="仿宋"/>
          <w:b/>
        </w:rPr>
        <w:t>1.4履约保证金</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5"/>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41"/>
      <w:bookmarkEnd w:id="42"/>
      <w:bookmarkEnd w:id="43"/>
      <w:r>
        <w:rPr>
          <w:rFonts w:hint="eastAsia" w:ascii="仿宋" w:hAnsi="仿宋" w:eastAsia="仿宋" w:cs="仿宋"/>
          <w:b/>
          <w:sz w:val="24"/>
        </w:rPr>
        <w:t>预付款</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4" w:name="_Toc32071"/>
      <w:bookmarkStart w:id="45" w:name="_Toc19304"/>
      <w:bookmarkStart w:id="46" w:name="_Toc2846"/>
      <w:r>
        <w:rPr>
          <w:rFonts w:hint="eastAsia" w:ascii="仿宋" w:hAnsi="仿宋" w:eastAsia="仿宋" w:cs="仿宋"/>
          <w:b/>
          <w:sz w:val="24"/>
        </w:rPr>
        <w:t>1.7货物交付期限、地点和方式</w:t>
      </w:r>
      <w:bookmarkEnd w:id="44"/>
      <w:bookmarkEnd w:id="45"/>
      <w:bookmarkEnd w:id="46"/>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7" w:name="_Toc27250"/>
      <w:bookmarkStart w:id="48" w:name="_Toc21423"/>
      <w:bookmarkStart w:id="49" w:name="_Toc19554"/>
      <w:r>
        <w:rPr>
          <w:rFonts w:hint="eastAsia" w:ascii="仿宋" w:hAnsi="仿宋" w:eastAsia="仿宋" w:cs="仿宋"/>
          <w:b/>
          <w:sz w:val="24"/>
        </w:rPr>
        <w:t>1.8违约责任</w:t>
      </w:r>
      <w:bookmarkEnd w:id="47"/>
      <w:bookmarkEnd w:id="48"/>
      <w:bookmarkEnd w:id="49"/>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50" w:name="_Toc15583"/>
      <w:bookmarkStart w:id="51" w:name="_Toc16021"/>
      <w:bookmarkStart w:id="52" w:name="_Toc28375"/>
      <w:r>
        <w:rPr>
          <w:rFonts w:hint="eastAsia" w:ascii="仿宋" w:hAnsi="仿宋" w:eastAsia="仿宋" w:cs="仿宋"/>
          <w:b/>
          <w:sz w:val="24"/>
        </w:rPr>
        <w:t>1.9合同争议的解决</w:t>
      </w:r>
      <w:bookmarkEnd w:id="50"/>
      <w:bookmarkEnd w:id="51"/>
      <w:bookmarkEnd w:id="52"/>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53" w:name="_Toc7245"/>
      <w:bookmarkStart w:id="54" w:name="_Toc15322"/>
      <w:bookmarkStart w:id="55" w:name="_Toc11173"/>
      <w:r>
        <w:rPr>
          <w:rFonts w:hint="eastAsia" w:ascii="仿宋" w:hAnsi="仿宋" w:eastAsia="仿宋" w:cs="仿宋"/>
          <w:b/>
          <w:sz w:val="24"/>
        </w:rPr>
        <w:t>2.0 合同生效</w:t>
      </w:r>
      <w:bookmarkEnd w:id="53"/>
      <w:bookmarkEnd w:id="54"/>
      <w:bookmarkEnd w:id="55"/>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开户账号：开户账号：</w:t>
      </w:r>
    </w:p>
    <w:p>
      <w:pPr>
        <w:pStyle w:val="5"/>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3"/>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Cs w:val="24"/>
        </w:rPr>
        <w:t>第二部分 合同一般条款</w:t>
      </w:r>
    </w:p>
    <w:p>
      <w:pPr>
        <w:spacing w:line="288" w:lineRule="auto"/>
        <w:ind w:firstLine="482" w:firstLineChars="200"/>
        <w:outlineLvl w:val="0"/>
        <w:rPr>
          <w:rFonts w:ascii="仿宋" w:hAnsi="仿宋" w:eastAsia="仿宋" w:cs="仿宋"/>
          <w:b/>
          <w:sz w:val="24"/>
        </w:rPr>
      </w:pPr>
      <w:bookmarkStart w:id="56" w:name="_Toc487900349"/>
      <w:bookmarkStart w:id="57" w:name="_Ref467379094"/>
      <w:bookmarkStart w:id="58" w:name="_Ref467379195"/>
      <w:bookmarkStart w:id="59" w:name="_Toc28763"/>
      <w:bookmarkStart w:id="60" w:name="_Ref467379101"/>
      <w:bookmarkStart w:id="61" w:name="_Toc16917"/>
      <w:bookmarkStart w:id="62" w:name="_Toc259093669"/>
      <w:bookmarkStart w:id="63" w:name="_Ref467379205"/>
      <w:bookmarkStart w:id="64" w:name="_Ref467378404"/>
      <w:bookmarkStart w:id="65" w:name="_Ref467378499"/>
      <w:bookmarkStart w:id="66" w:name="_Toc279701240"/>
      <w:bookmarkStart w:id="67" w:name="_Ref467379214"/>
      <w:bookmarkStart w:id="68" w:name="_Ref467378463"/>
      <w:bookmarkStart w:id="69" w:name="_Ref467379225"/>
      <w:bookmarkStart w:id="70" w:name="_Toc19614"/>
      <w:bookmarkStart w:id="71" w:name="_Ref467379109"/>
      <w:r>
        <w:rPr>
          <w:rFonts w:hint="eastAsia" w:ascii="仿宋" w:hAnsi="仿宋" w:eastAsia="仿宋" w:cs="仿宋"/>
          <w:b/>
          <w:sz w:val="24"/>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72" w:name="_Ref467378840"/>
      <w:r>
        <w:rPr>
          <w:rFonts w:hint="eastAsia" w:ascii="仿宋" w:hAnsi="仿宋" w:eastAsia="仿宋" w:cs="仿宋"/>
          <w:sz w:val="24"/>
        </w:rPr>
        <w:t>2.1.4 “甲方”系指与中标或成交供应商签署合同的采购人</w:t>
      </w:r>
      <w:bookmarkEnd w:id="72"/>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73" w:name="_Ref467379400"/>
      <w:r>
        <w:rPr>
          <w:rFonts w:hint="eastAsia" w:ascii="仿宋" w:hAnsi="仿宋" w:eastAsia="仿宋" w:cs="仿宋"/>
          <w:sz w:val="24"/>
        </w:rPr>
        <w:t>2.1.5 “乙方”系指根据合同约定交付货物的中标或成交供应商</w:t>
      </w:r>
      <w:bookmarkEnd w:id="73"/>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74" w:name="_Ref467379436"/>
      <w:r>
        <w:rPr>
          <w:rFonts w:hint="eastAsia" w:ascii="仿宋" w:hAnsi="仿宋" w:eastAsia="仿宋" w:cs="仿宋"/>
          <w:sz w:val="24"/>
        </w:rPr>
        <w:t>2.1.6 “现场”系指合同约定货物将要运至或者安装的地点。</w:t>
      </w:r>
      <w:bookmarkEnd w:id="74"/>
    </w:p>
    <w:p>
      <w:pPr>
        <w:spacing w:line="288" w:lineRule="auto"/>
        <w:ind w:firstLine="482" w:firstLineChars="200"/>
        <w:outlineLvl w:val="0"/>
        <w:rPr>
          <w:rFonts w:ascii="仿宋" w:hAnsi="仿宋" w:eastAsia="仿宋" w:cs="仿宋"/>
          <w:b/>
          <w:sz w:val="24"/>
        </w:rPr>
      </w:pPr>
      <w:bookmarkStart w:id="75" w:name="_Toc32504"/>
      <w:bookmarkStart w:id="76" w:name="_Toc13336"/>
      <w:bookmarkStart w:id="77" w:name="_Toc279701241"/>
      <w:bookmarkStart w:id="78" w:name="_Toc27635"/>
      <w:bookmarkStart w:id="79" w:name="_Toc259093670"/>
      <w:bookmarkStart w:id="80" w:name="_Toc487900350"/>
      <w:r>
        <w:rPr>
          <w:rFonts w:hint="eastAsia" w:ascii="仿宋" w:hAnsi="仿宋" w:eastAsia="仿宋" w:cs="仿宋"/>
          <w:b/>
          <w:sz w:val="24"/>
        </w:rPr>
        <w:t>2.2 技术规范</w:t>
      </w:r>
      <w:bookmarkEnd w:id="75"/>
      <w:bookmarkEnd w:id="76"/>
      <w:bookmarkEnd w:id="77"/>
      <w:bookmarkEnd w:id="78"/>
      <w:bookmarkEnd w:id="79"/>
      <w:bookmarkEnd w:id="80"/>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81" w:name="_Toc487900351"/>
      <w:bookmarkStart w:id="82" w:name="_Toc27853"/>
      <w:bookmarkStart w:id="83" w:name="_Toc9829"/>
      <w:bookmarkStart w:id="84" w:name="_Toc259093671"/>
      <w:bookmarkStart w:id="85" w:name="_Toc279701242"/>
      <w:bookmarkStart w:id="86" w:name="_Toc31634"/>
      <w:r>
        <w:rPr>
          <w:rFonts w:hint="eastAsia" w:ascii="仿宋" w:hAnsi="仿宋" w:eastAsia="仿宋" w:cs="仿宋"/>
          <w:b/>
          <w:sz w:val="24"/>
        </w:rPr>
        <w:t>2.3 知识产权</w:t>
      </w:r>
      <w:bookmarkEnd w:id="81"/>
      <w:bookmarkEnd w:id="82"/>
      <w:bookmarkEnd w:id="83"/>
      <w:bookmarkEnd w:id="84"/>
      <w:bookmarkEnd w:id="85"/>
      <w:bookmarkEnd w:id="86"/>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7" w:name="_Toc29149"/>
      <w:bookmarkStart w:id="88" w:name="_Toc11932"/>
      <w:bookmarkStart w:id="89" w:name="_Toc4194"/>
      <w:r>
        <w:rPr>
          <w:rFonts w:hint="eastAsia" w:ascii="仿宋" w:hAnsi="仿宋" w:eastAsia="仿宋" w:cs="仿宋"/>
          <w:b/>
          <w:sz w:val="24"/>
        </w:rPr>
        <w:t>2.4 包装和装运</w:t>
      </w:r>
      <w:bookmarkEnd w:id="87"/>
      <w:bookmarkEnd w:id="88"/>
      <w:bookmarkEnd w:id="89"/>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90" w:name="_Toc487900354"/>
      <w:bookmarkStart w:id="91" w:name="_Ref467379527"/>
      <w:bookmarkStart w:id="92" w:name="_Toc279701245"/>
      <w:bookmarkStart w:id="93" w:name="_Ref467379542"/>
      <w:bookmarkStart w:id="94" w:name="_Toc259093674"/>
      <w:bookmarkStart w:id="95" w:name="_Ref467378541"/>
      <w:bookmarkStart w:id="96" w:name="_Ref467379536"/>
      <w:bookmarkStart w:id="97" w:name="_Ref467378591"/>
      <w:bookmarkStart w:id="98" w:name="_Toc30272"/>
      <w:bookmarkStart w:id="99" w:name="_Toc26182"/>
      <w:bookmarkStart w:id="100" w:name="_Toc19074"/>
      <w:r>
        <w:rPr>
          <w:rFonts w:hint="eastAsia" w:ascii="仿宋" w:hAnsi="仿宋" w:eastAsia="仿宋" w:cs="仿宋"/>
          <w:b/>
          <w:sz w:val="24"/>
        </w:rPr>
        <w:t>2.</w:t>
      </w:r>
      <w:bookmarkEnd w:id="90"/>
      <w:bookmarkEnd w:id="91"/>
      <w:bookmarkEnd w:id="92"/>
      <w:bookmarkEnd w:id="93"/>
      <w:bookmarkEnd w:id="94"/>
      <w:bookmarkEnd w:id="95"/>
      <w:bookmarkEnd w:id="96"/>
      <w:bookmarkEnd w:id="97"/>
      <w:r>
        <w:rPr>
          <w:rFonts w:hint="eastAsia" w:ascii="仿宋" w:hAnsi="仿宋" w:eastAsia="仿宋" w:cs="仿宋"/>
          <w:b/>
          <w:sz w:val="24"/>
        </w:rPr>
        <w:t>5 履约检查和问题反馈</w:t>
      </w:r>
      <w:bookmarkEnd w:id="98"/>
      <w:bookmarkEnd w:id="99"/>
      <w:bookmarkEnd w:id="100"/>
    </w:p>
    <w:p>
      <w:pPr>
        <w:spacing w:line="288" w:lineRule="auto"/>
        <w:ind w:firstLine="480" w:firstLineChars="200"/>
        <w:rPr>
          <w:rFonts w:ascii="仿宋" w:hAnsi="仿宋" w:eastAsia="仿宋" w:cs="仿宋"/>
          <w:sz w:val="24"/>
        </w:rPr>
      </w:pPr>
      <w:bookmarkStart w:id="101" w:name="_Ref467379657"/>
      <w:r>
        <w:rPr>
          <w:rFonts w:hint="eastAsia" w:ascii="仿宋" w:hAnsi="仿宋" w:eastAsia="仿宋" w:cs="仿宋"/>
          <w:sz w:val="24"/>
        </w:rPr>
        <w:t>2.5.1</w:t>
      </w:r>
      <w:bookmarkEnd w:id="101"/>
      <w:bookmarkStart w:id="102" w:name="_Toc186431854"/>
      <w:bookmarkStart w:id="103" w:name="_Toc259093676"/>
      <w:bookmarkStart w:id="104" w:name="_Toc487900357"/>
      <w:bookmarkStart w:id="105" w:name="_Ref467379807"/>
      <w:bookmarkStart w:id="106" w:name="_Ref467379793"/>
      <w:bookmarkStart w:id="107"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sz w:val="24"/>
        </w:rPr>
        <w:t>。</w:t>
      </w:r>
    </w:p>
    <w:bookmarkEnd w:id="103"/>
    <w:bookmarkEnd w:id="104"/>
    <w:bookmarkEnd w:id="105"/>
    <w:bookmarkEnd w:id="106"/>
    <w:bookmarkEnd w:id="107"/>
    <w:bookmarkEnd w:id="108"/>
    <w:p>
      <w:pPr>
        <w:spacing w:line="288" w:lineRule="auto"/>
        <w:ind w:firstLine="482" w:firstLineChars="200"/>
        <w:outlineLvl w:val="0"/>
        <w:rPr>
          <w:rFonts w:ascii="仿宋" w:hAnsi="仿宋" w:eastAsia="仿宋" w:cs="仿宋"/>
          <w:b/>
          <w:sz w:val="24"/>
        </w:rPr>
      </w:pPr>
      <w:bookmarkStart w:id="109" w:name="_Ref467379863"/>
      <w:bookmarkStart w:id="110" w:name="_Ref467379923"/>
      <w:bookmarkStart w:id="111" w:name="_Toc259093677"/>
      <w:bookmarkStart w:id="112" w:name="_Ref467379852"/>
      <w:bookmarkStart w:id="113" w:name="_Toc487900358"/>
      <w:bookmarkStart w:id="114" w:name="_Toc279701248"/>
      <w:bookmarkStart w:id="115" w:name="_Toc16110"/>
      <w:bookmarkStart w:id="116" w:name="_Toc3225"/>
      <w:bookmarkStart w:id="117" w:name="_Toc774"/>
      <w:r>
        <w:rPr>
          <w:rFonts w:hint="eastAsia" w:ascii="仿宋" w:hAnsi="仿宋" w:eastAsia="仿宋" w:cs="仿宋"/>
          <w:b/>
          <w:sz w:val="24"/>
        </w:rPr>
        <w:t>2.6 技术资料</w:t>
      </w:r>
      <w:bookmarkEnd w:id="109"/>
      <w:bookmarkEnd w:id="110"/>
      <w:bookmarkEnd w:id="111"/>
      <w:bookmarkEnd w:id="112"/>
      <w:bookmarkEnd w:id="113"/>
      <w:bookmarkEnd w:id="114"/>
      <w:r>
        <w:rPr>
          <w:rFonts w:hint="eastAsia" w:ascii="仿宋" w:hAnsi="仿宋" w:eastAsia="仿宋" w:cs="仿宋"/>
          <w:b/>
          <w:sz w:val="24"/>
        </w:rPr>
        <w:t>和保密义务</w:t>
      </w:r>
      <w:bookmarkEnd w:id="115"/>
      <w:bookmarkEnd w:id="116"/>
      <w:bookmarkEnd w:id="117"/>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18" w:name="_Toc7860"/>
      <w:r>
        <w:rPr>
          <w:rFonts w:hint="eastAsia" w:ascii="仿宋" w:hAnsi="仿宋" w:eastAsia="仿宋" w:cs="仿宋"/>
          <w:b/>
          <w:sz w:val="24"/>
        </w:rPr>
        <w:t>2.7 质量保证</w:t>
      </w:r>
      <w:bookmarkEnd w:id="118"/>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19" w:name="_Toc17244"/>
      <w:bookmarkStart w:id="120" w:name="_Toc487900362"/>
      <w:bookmarkStart w:id="121" w:name="_Toc259093681"/>
      <w:bookmarkStart w:id="122" w:name="_Toc279701252"/>
      <w:r>
        <w:rPr>
          <w:rFonts w:hint="eastAsia" w:ascii="仿宋" w:hAnsi="仿宋" w:eastAsia="仿宋" w:cs="仿宋"/>
          <w:b/>
          <w:sz w:val="24"/>
        </w:rPr>
        <w:t>2.8 货物的风险负担</w:t>
      </w:r>
      <w:bookmarkEnd w:id="119"/>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23" w:name="_Toc14055"/>
      <w:r>
        <w:rPr>
          <w:rFonts w:hint="eastAsia" w:ascii="仿宋" w:hAnsi="仿宋" w:eastAsia="仿宋" w:cs="仿宋"/>
          <w:b/>
          <w:sz w:val="24"/>
        </w:rPr>
        <w:t>2.9 延迟交货</w:t>
      </w:r>
      <w:bookmarkEnd w:id="120"/>
      <w:bookmarkEnd w:id="121"/>
      <w:bookmarkEnd w:id="122"/>
      <w:bookmarkEnd w:id="123"/>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24" w:name="_Toc7502"/>
      <w:bookmarkStart w:id="125" w:name="_Toc259093683"/>
      <w:bookmarkStart w:id="126" w:name="_Toc487900364"/>
      <w:bookmarkStart w:id="127" w:name="_Toc279701254"/>
      <w:bookmarkStart w:id="128" w:name="_Ref467378121"/>
      <w:r>
        <w:rPr>
          <w:rFonts w:hint="eastAsia" w:ascii="仿宋" w:hAnsi="仿宋" w:eastAsia="仿宋" w:cs="仿宋"/>
          <w:b/>
          <w:sz w:val="24"/>
        </w:rPr>
        <w:t>2.10 合同变更</w:t>
      </w:r>
      <w:bookmarkEnd w:id="124"/>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29" w:name="_Toc279701259"/>
      <w:bookmarkStart w:id="130" w:name="_Toc487900369"/>
      <w:bookmarkStart w:id="131" w:name="_Toc259093688"/>
    </w:p>
    <w:p>
      <w:pPr>
        <w:spacing w:line="288" w:lineRule="auto"/>
        <w:ind w:firstLine="482" w:firstLineChars="200"/>
        <w:outlineLvl w:val="0"/>
        <w:rPr>
          <w:rFonts w:ascii="仿宋" w:hAnsi="仿宋" w:eastAsia="仿宋" w:cs="仿宋"/>
          <w:b/>
          <w:sz w:val="24"/>
        </w:rPr>
      </w:pPr>
      <w:bookmarkStart w:id="132" w:name="_Toc10366"/>
      <w:bookmarkStart w:id="133" w:name="_Toc15237"/>
      <w:bookmarkStart w:id="134" w:name="_Toc22955"/>
      <w:r>
        <w:rPr>
          <w:rFonts w:hint="eastAsia" w:ascii="仿宋" w:hAnsi="仿宋" w:eastAsia="仿宋" w:cs="仿宋"/>
          <w:b/>
          <w:sz w:val="24"/>
        </w:rPr>
        <w:t>2.11 合同转让</w:t>
      </w:r>
      <w:bookmarkEnd w:id="129"/>
      <w:bookmarkEnd w:id="130"/>
      <w:bookmarkEnd w:id="131"/>
      <w:r>
        <w:rPr>
          <w:rFonts w:hint="eastAsia" w:ascii="仿宋" w:hAnsi="仿宋" w:eastAsia="仿宋" w:cs="仿宋"/>
          <w:b/>
          <w:sz w:val="24"/>
        </w:rPr>
        <w:t>和分包</w:t>
      </w:r>
      <w:bookmarkEnd w:id="132"/>
      <w:bookmarkEnd w:id="133"/>
      <w:bookmarkEnd w:id="134"/>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35" w:name="_Toc16508"/>
      <w:bookmarkStart w:id="136" w:name="_Toc13566"/>
      <w:bookmarkStart w:id="137" w:name="_Toc14066"/>
      <w:r>
        <w:rPr>
          <w:rFonts w:hint="eastAsia" w:ascii="仿宋" w:hAnsi="仿宋" w:eastAsia="仿宋" w:cs="仿宋"/>
          <w:b/>
          <w:sz w:val="24"/>
        </w:rPr>
        <w:t>2.12 不可抗力</w:t>
      </w:r>
      <w:bookmarkEnd w:id="135"/>
      <w:bookmarkEnd w:id="136"/>
      <w:bookmarkEnd w:id="137"/>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38" w:name="_Toc259093684"/>
      <w:bookmarkStart w:id="139" w:name="_Toc487900365"/>
      <w:bookmarkStart w:id="140" w:name="_Toc6969"/>
      <w:bookmarkStart w:id="141" w:name="_Toc30676"/>
      <w:bookmarkStart w:id="142" w:name="_Toc279701255"/>
      <w:bookmarkStart w:id="143" w:name="_Toc689"/>
      <w:r>
        <w:rPr>
          <w:rFonts w:hint="eastAsia" w:ascii="仿宋" w:hAnsi="仿宋" w:eastAsia="仿宋" w:cs="仿宋"/>
          <w:b/>
          <w:sz w:val="24"/>
        </w:rPr>
        <w:t>2.13 税费</w:t>
      </w:r>
      <w:bookmarkEnd w:id="138"/>
      <w:bookmarkEnd w:id="139"/>
      <w:bookmarkEnd w:id="140"/>
      <w:bookmarkEnd w:id="141"/>
      <w:bookmarkEnd w:id="142"/>
      <w:bookmarkEnd w:id="143"/>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44" w:name="_Toc7102"/>
      <w:bookmarkStart w:id="145" w:name="_Toc259093687"/>
      <w:bookmarkStart w:id="146" w:name="_Toc279701258"/>
      <w:bookmarkStart w:id="147" w:name="_Toc16959"/>
      <w:bookmarkStart w:id="148" w:name="_Toc487900368"/>
      <w:bookmarkStart w:id="149" w:name="_Toc8298"/>
      <w:r>
        <w:rPr>
          <w:rFonts w:hint="eastAsia" w:ascii="仿宋" w:hAnsi="仿宋" w:eastAsia="仿宋" w:cs="仿宋"/>
          <w:b/>
          <w:sz w:val="24"/>
        </w:rPr>
        <w:t>2.14乙方破产</w:t>
      </w:r>
      <w:bookmarkEnd w:id="144"/>
      <w:bookmarkEnd w:id="145"/>
      <w:bookmarkEnd w:id="146"/>
      <w:bookmarkEnd w:id="147"/>
      <w:bookmarkEnd w:id="148"/>
      <w:bookmarkEnd w:id="149"/>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50" w:name="_Toc29333"/>
      <w:bookmarkStart w:id="151" w:name="_Toc6134"/>
      <w:bookmarkStart w:id="152" w:name="_Toc15387"/>
      <w:r>
        <w:rPr>
          <w:rFonts w:hint="eastAsia" w:ascii="仿宋" w:hAnsi="仿宋" w:eastAsia="仿宋" w:cs="仿宋"/>
          <w:b/>
          <w:sz w:val="24"/>
        </w:rPr>
        <w:t>2.15 合同中止、终止</w:t>
      </w:r>
      <w:bookmarkEnd w:id="150"/>
      <w:bookmarkEnd w:id="151"/>
      <w:bookmarkEnd w:id="152"/>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53" w:name="_Toc6596"/>
      <w:bookmarkStart w:id="154" w:name="_Toc1125"/>
      <w:bookmarkStart w:id="155" w:name="_Toc14563"/>
      <w:r>
        <w:rPr>
          <w:rFonts w:hint="eastAsia" w:ascii="仿宋" w:hAnsi="仿宋" w:eastAsia="仿宋" w:cs="仿宋"/>
          <w:b/>
          <w:sz w:val="24"/>
        </w:rPr>
        <w:t>2.16检验和验收</w:t>
      </w:r>
      <w:bookmarkEnd w:id="153"/>
      <w:bookmarkEnd w:id="154"/>
      <w:bookmarkEnd w:id="155"/>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5"/>
    <w:bookmarkEnd w:id="126"/>
    <w:bookmarkEnd w:id="127"/>
    <w:bookmarkEnd w:id="128"/>
    <w:p>
      <w:pPr>
        <w:spacing w:line="288" w:lineRule="auto"/>
        <w:ind w:firstLine="482" w:firstLineChars="200"/>
        <w:outlineLvl w:val="0"/>
        <w:rPr>
          <w:rFonts w:ascii="仿宋" w:hAnsi="仿宋" w:eastAsia="仿宋" w:cs="仿宋"/>
          <w:b/>
          <w:sz w:val="24"/>
        </w:rPr>
      </w:pPr>
      <w:bookmarkStart w:id="156" w:name="_Toc259093690"/>
      <w:bookmarkStart w:id="157" w:name="_Toc487900371"/>
      <w:bookmarkStart w:id="158" w:name="_Toc279701261"/>
      <w:bookmarkStart w:id="159" w:name="_Toc19604"/>
      <w:bookmarkStart w:id="160" w:name="_Toc25182"/>
      <w:bookmarkStart w:id="161" w:name="_Toc11284"/>
      <w:r>
        <w:rPr>
          <w:rFonts w:hint="eastAsia" w:ascii="仿宋" w:hAnsi="仿宋" w:eastAsia="仿宋" w:cs="仿宋"/>
          <w:b/>
          <w:sz w:val="24"/>
        </w:rPr>
        <w:t>2.17 通知</w:t>
      </w:r>
      <w:bookmarkEnd w:id="156"/>
      <w:bookmarkEnd w:id="157"/>
      <w:bookmarkEnd w:id="158"/>
      <w:r>
        <w:rPr>
          <w:rFonts w:hint="eastAsia" w:ascii="仿宋" w:hAnsi="仿宋" w:eastAsia="仿宋" w:cs="仿宋"/>
          <w:b/>
          <w:sz w:val="24"/>
        </w:rPr>
        <w:t>和送达</w:t>
      </w:r>
      <w:bookmarkEnd w:id="159"/>
      <w:bookmarkEnd w:id="160"/>
      <w:bookmarkEnd w:id="161"/>
    </w:p>
    <w:p>
      <w:pPr>
        <w:spacing w:line="288" w:lineRule="auto"/>
        <w:ind w:firstLine="480" w:firstLineChars="200"/>
        <w:rPr>
          <w:rFonts w:ascii="仿宋" w:hAnsi="仿宋" w:eastAsia="仿宋" w:cs="仿宋"/>
          <w:sz w:val="24"/>
        </w:rPr>
      </w:pPr>
      <w:bookmarkStart w:id="162" w:name="_Toc6698"/>
      <w:bookmarkStart w:id="163" w:name="_Toc3135"/>
      <w:bookmarkStart w:id="164" w:name="_Toc487900372"/>
      <w:bookmarkStart w:id="165" w:name="_Toc279701262"/>
      <w:bookmarkStart w:id="166" w:name="_Toc259093691"/>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2"/>
      <w:bookmarkEnd w:id="163"/>
    </w:p>
    <w:p>
      <w:pPr>
        <w:spacing w:line="288" w:lineRule="auto"/>
        <w:ind w:firstLine="480" w:firstLineChars="200"/>
        <w:rPr>
          <w:rFonts w:ascii="仿宋" w:hAnsi="仿宋" w:eastAsia="仿宋" w:cs="仿宋"/>
          <w:sz w:val="24"/>
        </w:rPr>
      </w:pPr>
      <w:bookmarkStart w:id="167" w:name="_Toc23128"/>
      <w:bookmarkStart w:id="168"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pPr>
        <w:spacing w:line="288" w:lineRule="auto"/>
        <w:ind w:firstLine="482" w:firstLineChars="200"/>
        <w:outlineLvl w:val="0"/>
        <w:rPr>
          <w:rFonts w:ascii="仿宋" w:hAnsi="仿宋" w:eastAsia="仿宋" w:cs="仿宋"/>
          <w:b/>
          <w:sz w:val="24"/>
        </w:rPr>
      </w:pPr>
      <w:bookmarkStart w:id="169" w:name="_Toc30599"/>
      <w:bookmarkStart w:id="170" w:name="_Toc4355"/>
      <w:bookmarkStart w:id="171" w:name="_Toc18540"/>
      <w:r>
        <w:rPr>
          <w:rFonts w:hint="eastAsia" w:ascii="仿宋" w:hAnsi="仿宋" w:eastAsia="仿宋" w:cs="仿宋"/>
          <w:b/>
          <w:sz w:val="24"/>
        </w:rPr>
        <w:t>2.18 计量单位</w:t>
      </w:r>
      <w:bookmarkEnd w:id="164"/>
      <w:bookmarkEnd w:id="165"/>
      <w:bookmarkEnd w:id="166"/>
      <w:bookmarkEnd w:id="169"/>
      <w:bookmarkEnd w:id="170"/>
      <w:bookmarkEnd w:id="171"/>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72" w:name="_Toc279701263"/>
      <w:bookmarkStart w:id="173" w:name="_Toc12773"/>
      <w:bookmarkStart w:id="174" w:name="_Toc259093692"/>
      <w:bookmarkStart w:id="175" w:name="_Toc487900373"/>
      <w:bookmarkStart w:id="176" w:name="_Toc10330"/>
      <w:bookmarkStart w:id="177" w:name="_Toc18567"/>
      <w:r>
        <w:rPr>
          <w:rFonts w:hint="eastAsia" w:ascii="仿宋" w:hAnsi="仿宋" w:eastAsia="仿宋" w:cs="仿宋"/>
          <w:b/>
          <w:sz w:val="24"/>
        </w:rPr>
        <w:t>2.19 合同使用的文字和适用的法律</w:t>
      </w:r>
      <w:bookmarkEnd w:id="172"/>
      <w:bookmarkEnd w:id="173"/>
      <w:bookmarkEnd w:id="174"/>
      <w:bookmarkEnd w:id="175"/>
      <w:bookmarkEnd w:id="176"/>
      <w:bookmarkEnd w:id="177"/>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ascii="仿宋" w:hAnsi="仿宋" w:eastAsia="仿宋" w:cs="仿宋"/>
          <w:b/>
          <w:sz w:val="24"/>
        </w:rPr>
      </w:pPr>
      <w:bookmarkStart w:id="178" w:name="_Toc14001"/>
      <w:bookmarkStart w:id="179" w:name="_Toc19890"/>
      <w:bookmarkStart w:id="180" w:name="_Toc6885"/>
      <w:r>
        <w:rPr>
          <w:rFonts w:hint="eastAsia" w:ascii="仿宋" w:hAnsi="仿宋" w:eastAsia="仿宋" w:cs="仿宋"/>
          <w:b/>
          <w:sz w:val="24"/>
        </w:rPr>
        <w:t>2.20 合同份数</w:t>
      </w:r>
      <w:bookmarkEnd w:id="178"/>
      <w:bookmarkEnd w:id="179"/>
      <w:bookmarkEnd w:id="180"/>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288" w:lineRule="auto"/>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3"/>
        <w:tblW w:w="9416" w:type="dxa"/>
        <w:tblInd w:w="-34" w:type="dxa"/>
        <w:tblLayout w:type="autofit"/>
        <w:tblCellMar>
          <w:top w:w="0" w:type="dxa"/>
          <w:left w:w="108" w:type="dxa"/>
          <w:bottom w:w="0" w:type="dxa"/>
          <w:right w:w="108" w:type="dxa"/>
        </w:tblCellMar>
      </w:tblPr>
      <w:tblGrid>
        <w:gridCol w:w="744"/>
        <w:gridCol w:w="1240"/>
        <w:gridCol w:w="6410"/>
        <w:gridCol w:w="1022"/>
      </w:tblGrid>
      <w:tr>
        <w:tblPrEx>
          <w:tblCellMar>
            <w:top w:w="0" w:type="dxa"/>
            <w:left w:w="108" w:type="dxa"/>
            <w:bottom w:w="0" w:type="dxa"/>
            <w:right w:w="108" w:type="dxa"/>
          </w:tblCellMar>
        </w:tblPrEx>
        <w:trPr>
          <w:trHeight w:val="433" w:hRule="atLeast"/>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240"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6410"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1022" w:type="dxa"/>
            <w:tcBorders>
              <w:top w:val="single" w:color="auto" w:sz="4" w:space="0"/>
              <w:left w:val="single" w:color="auto" w:sz="4" w:space="0"/>
              <w:bottom w:val="single" w:color="auto" w:sz="4" w:space="0"/>
              <w:right w:val="single" w:color="auto" w:sz="4" w:space="0"/>
            </w:tcBorders>
            <w:vAlign w:val="center"/>
          </w:tcPr>
          <w:p>
            <w:pPr>
              <w:widowControl/>
              <w:snapToGrid w:val="0"/>
              <w:spacing w:line="288" w:lineRule="auto"/>
              <w:jc w:val="center"/>
              <w:rPr>
                <w:rFonts w:ascii="仿宋" w:hAnsi="仿宋" w:eastAsia="仿宋" w:cs="仿宋"/>
                <w:b/>
                <w:bCs/>
                <w:color w:val="auto"/>
                <w:kern w:val="0"/>
                <w:sz w:val="24"/>
              </w:rPr>
            </w:pPr>
            <w:r>
              <w:rPr>
                <w:rFonts w:hint="eastAsia" w:ascii="仿宋" w:hAnsi="仿宋" w:eastAsia="仿宋" w:cs="仿宋"/>
                <w:b/>
                <w:bCs/>
                <w:color w:val="auto"/>
                <w:kern w:val="0"/>
                <w:sz w:val="24"/>
              </w:rPr>
              <w:t>分值</w:t>
            </w:r>
          </w:p>
        </w:tc>
      </w:tr>
      <w:tr>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所投产品技术指标的符合性</w:t>
            </w:r>
          </w:p>
          <w:p>
            <w:pPr>
              <w:spacing w:line="288" w:lineRule="auto"/>
              <w:jc w:val="center"/>
              <w:rPr>
                <w:rFonts w:ascii="仿宋" w:hAnsi="仿宋" w:eastAsia="仿宋" w:cs="仿宋"/>
                <w:color w:val="auto"/>
                <w:sz w:val="24"/>
                <w:highlight w:val="none"/>
                <w:lang w:val="zh-CN"/>
              </w:rPr>
            </w:pP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val="zh-CN"/>
              </w:rPr>
              <w:t>设备技术参数与功能配置符合度：对应于招标文件第三部分招标项目范围及要求——8.招标项目设备名称及数量——“一、招标设备技术参数”，</w:t>
            </w:r>
            <w:r>
              <w:rPr>
                <w:rFonts w:hint="eastAsia" w:ascii="仿宋" w:hAnsi="仿宋" w:eastAsia="仿宋" w:cs="仿宋"/>
                <w:color w:val="auto"/>
                <w:sz w:val="24"/>
                <w:highlight w:val="none"/>
              </w:rPr>
              <w:t>完全满足招标文件要求的得</w:t>
            </w: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rPr>
              <w:t>分，打★指标负偏离的无效投标处理；打▲指标出现负偏离每项扣3分；其他一般性指标负偏离扣1分，扣完为止。</w:t>
            </w:r>
          </w:p>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注：打▲的技术参数指标，投标人需提供技术支持材料（如参数中已要求提供证明材料的，以要求的证明材料为准），公开发行的宣传材料、技术白皮书、检测机构出具的检测报告等。（需加盖投标人公章）</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38分</w:t>
            </w:r>
          </w:p>
        </w:tc>
      </w:tr>
      <w:tr>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企业认证</w:t>
            </w: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投标人或所投产品制造商</w:t>
            </w:r>
            <w:r>
              <w:rPr>
                <w:rFonts w:hint="eastAsia" w:ascii="仿宋" w:hAnsi="仿宋" w:eastAsia="仿宋" w:cs="仿宋"/>
                <w:color w:val="auto"/>
                <w:sz w:val="24"/>
                <w:highlight w:val="none"/>
                <w:lang w:val="zh-CN"/>
              </w:rPr>
              <w:t>具有有效期内的质量管理体系认证证书、 环境管理体系认证证书、职业健康安全体系认证证书，每</w:t>
            </w:r>
            <w:r>
              <w:rPr>
                <w:rFonts w:hint="eastAsia" w:ascii="仿宋" w:hAnsi="仿宋" w:eastAsia="仿宋" w:cs="仿宋"/>
                <w:color w:val="auto"/>
                <w:sz w:val="24"/>
                <w:highlight w:val="none"/>
              </w:rPr>
              <w:t>提供一个</w:t>
            </w:r>
            <w:r>
              <w:rPr>
                <w:rFonts w:hint="eastAsia" w:ascii="仿宋" w:hAnsi="仿宋" w:eastAsia="仿宋" w:cs="仿宋"/>
                <w:color w:val="auto"/>
                <w:sz w:val="24"/>
                <w:highlight w:val="none"/>
                <w:lang w:val="zh-CN"/>
              </w:rPr>
              <w:t>得1分，最高得 3 分。</w:t>
            </w:r>
            <w:r>
              <w:rPr>
                <w:rFonts w:hint="eastAsia" w:ascii="仿宋" w:hAnsi="仿宋" w:eastAsia="仿宋" w:cs="仿宋"/>
                <w:color w:val="auto"/>
                <w:sz w:val="24"/>
                <w:highlight w:val="none"/>
              </w:rPr>
              <w:t>（提供证书复印件并加盖投标人公章）</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3分</w:t>
            </w:r>
          </w:p>
        </w:tc>
      </w:tr>
      <w:tr>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业绩案例</w:t>
            </w: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rPr>
            </w:pPr>
            <w:r>
              <w:rPr>
                <w:rFonts w:hint="eastAsia" w:ascii="仿宋" w:hAnsi="仿宋" w:eastAsia="仿宋" w:cs="仿宋"/>
                <w:color w:val="auto"/>
                <w:sz w:val="24"/>
              </w:rPr>
              <w:t>提供投标人2020年1月1日（以签订合同时间为准）至今类似项目业绩，每有一份业绩合同得0.5分，最高得1分。（提供合同复印件并加盖投标人公章）</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1分</w:t>
            </w:r>
          </w:p>
        </w:tc>
      </w:tr>
      <w:tr>
        <w:tblPrEx>
          <w:tblCellMar>
            <w:top w:w="0" w:type="dxa"/>
            <w:left w:w="108" w:type="dxa"/>
            <w:bottom w:w="0" w:type="dxa"/>
            <w:right w:w="108" w:type="dxa"/>
          </w:tblCellMar>
        </w:tblPrEx>
        <w:trPr>
          <w:trHeight w:val="838" w:hRule="atLeast"/>
        </w:trPr>
        <w:tc>
          <w:tcPr>
            <w:tcW w:w="74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项目实施方案</w:t>
            </w: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根据投标人提供的针对本项目的整体规划布局图及对场地的情况描述（需符合本项目实际情况）进行打分。（0-6分）</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6分</w:t>
            </w:r>
          </w:p>
        </w:tc>
      </w:tr>
      <w:tr>
        <w:tblPrEx>
          <w:tblCellMar>
            <w:top w:w="0" w:type="dxa"/>
            <w:left w:w="108" w:type="dxa"/>
            <w:bottom w:w="0" w:type="dxa"/>
            <w:right w:w="108" w:type="dxa"/>
          </w:tblCellMar>
        </w:tblPrEx>
        <w:trPr>
          <w:trHeight w:val="406" w:hRule="atLeast"/>
        </w:trPr>
        <w:tc>
          <w:tcPr>
            <w:tcW w:w="74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履约能力</w:t>
            </w: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rPr>
            </w:pPr>
            <w:r>
              <w:rPr>
                <w:rFonts w:hint="eastAsia" w:ascii="仿宋" w:hAnsi="仿宋" w:eastAsia="仿宋" w:cs="仿宋"/>
                <w:color w:val="auto"/>
                <w:sz w:val="24"/>
              </w:rPr>
              <w:t>根据投标人提供的针对本项目的供货进度方案、交付验收标准及方案进行打分。（0-3分）</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3分</w:t>
            </w:r>
          </w:p>
        </w:tc>
      </w:tr>
      <w:tr>
        <w:tblPrEx>
          <w:tblCellMar>
            <w:top w:w="0" w:type="dxa"/>
            <w:left w:w="108" w:type="dxa"/>
            <w:bottom w:w="0" w:type="dxa"/>
            <w:right w:w="108" w:type="dxa"/>
          </w:tblCellMar>
        </w:tblPrEx>
        <w:trPr>
          <w:trHeight w:val="838" w:hRule="atLeast"/>
        </w:trPr>
        <w:tc>
          <w:tcPr>
            <w:tcW w:w="74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售后服务</w:t>
            </w: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1、根据投标人提供的针对本项目的售后服务（含响应时间）方案、售后服务网点（名称、地址、联系人、联系电话）方案等进行打分。（0-3分）</w:t>
            </w:r>
          </w:p>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投标人或所投产品制造商</w:t>
            </w:r>
            <w:r>
              <w:rPr>
                <w:rFonts w:hint="eastAsia" w:ascii="仿宋" w:hAnsi="仿宋" w:eastAsia="仿宋" w:cs="仿宋"/>
                <w:color w:val="auto"/>
                <w:sz w:val="24"/>
                <w:highlight w:val="none"/>
              </w:rPr>
              <w:t>具有五星级售后服务认证证书的得1分。（提供证书复印件并加盖投标人公章）</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4分</w:t>
            </w:r>
          </w:p>
        </w:tc>
      </w:tr>
      <w:tr>
        <w:tblPrEx>
          <w:tblCellMar>
            <w:top w:w="0" w:type="dxa"/>
            <w:left w:w="108" w:type="dxa"/>
            <w:bottom w:w="0" w:type="dxa"/>
            <w:right w:w="108" w:type="dxa"/>
          </w:tblCellMar>
        </w:tblPrEx>
        <w:trPr>
          <w:trHeight w:val="621" w:hRule="atLeast"/>
        </w:trPr>
        <w:tc>
          <w:tcPr>
            <w:tcW w:w="744"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7</w:t>
            </w:r>
          </w:p>
        </w:tc>
        <w:tc>
          <w:tcPr>
            <w:tcW w:w="1240"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样品</w:t>
            </w: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rPr>
            </w:pPr>
            <w:r>
              <w:rPr>
                <w:rFonts w:hint="eastAsia" w:ascii="仿宋" w:hAnsi="仿宋" w:eastAsia="仿宋" w:cs="仿宋"/>
                <w:color w:val="auto"/>
                <w:sz w:val="24"/>
              </w:rPr>
              <w:t>提供采购清单中序号18“标准自由操场地小样一套，尺寸不小于1*1米”。</w:t>
            </w:r>
          </w:p>
          <w:p>
            <w:pPr>
              <w:spacing w:line="288" w:lineRule="auto"/>
              <w:jc w:val="left"/>
              <w:rPr>
                <w:rFonts w:ascii="仿宋" w:hAnsi="仿宋" w:eastAsia="仿宋" w:cs="仿宋"/>
                <w:color w:val="auto"/>
                <w:sz w:val="24"/>
              </w:rPr>
            </w:pPr>
            <w:r>
              <w:rPr>
                <w:rFonts w:hint="eastAsia" w:ascii="仿宋" w:hAnsi="仿宋" w:eastAsia="仿宋" w:cs="仿宋"/>
                <w:color w:val="auto"/>
                <w:sz w:val="24"/>
              </w:rPr>
              <w:t>根据样品的①尺寸是否符合采购需求；②材质是否符合采购需求；③制作工艺表面处理是否有无毛刺；④整体性是否完好；⑤颜色是否均匀有无色差等因素进行评定。完全满足采购人需求的得7.5分，每有一项不满足或有缺陷扣1.5分，直至本项分值扣完为止。未提供样品的不得分。</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7.5分</w:t>
            </w:r>
          </w:p>
        </w:tc>
      </w:tr>
      <w:tr>
        <w:tblPrEx>
          <w:tblCellMar>
            <w:top w:w="0" w:type="dxa"/>
            <w:left w:w="108" w:type="dxa"/>
            <w:bottom w:w="0" w:type="dxa"/>
            <w:right w:w="108" w:type="dxa"/>
          </w:tblCellMar>
        </w:tblPrEx>
        <w:trPr>
          <w:trHeight w:val="621" w:hRule="atLeast"/>
        </w:trPr>
        <w:tc>
          <w:tcPr>
            <w:tcW w:w="744" w:type="dxa"/>
            <w:vMerge w:val="continue"/>
            <w:tcBorders>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p>
        </w:tc>
        <w:tc>
          <w:tcPr>
            <w:tcW w:w="1240" w:type="dxa"/>
            <w:vMerge w:val="continue"/>
            <w:tcBorders>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p>
        </w:tc>
        <w:tc>
          <w:tcPr>
            <w:tcW w:w="641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提供采购清单中序号64“大众蹦床一套”。</w:t>
            </w:r>
          </w:p>
          <w:p>
            <w:pPr>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根据样品的①尺寸是否符合采购需求；②材质是否符合采购需求；③制作工艺表面处理是否有无毛刺；④整体性是否完好；⑤颜色是否均匀有无色差等因素进行评定。完全满足采购人需求的得7.5分，每有一项不满足或有缺陷扣1.5分，直至本项分值扣完为止。未提供样品的不得分。</w:t>
            </w:r>
          </w:p>
        </w:tc>
        <w:tc>
          <w:tcPr>
            <w:tcW w:w="10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7.5分</w:t>
            </w:r>
          </w:p>
        </w:tc>
      </w:tr>
    </w:tbl>
    <w:p>
      <w:pPr>
        <w:snapToGrid w:val="0"/>
        <w:spacing w:line="288" w:lineRule="auto"/>
        <w:rPr>
          <w:rFonts w:ascii="仿宋" w:hAnsi="仿宋" w:eastAsia="仿宋" w:cs="仿宋"/>
          <w:sz w:val="20"/>
          <w:szCs w:val="20"/>
          <w:shd w:val="clear" w:color="auto" w:fill="FFFFFF"/>
        </w:rPr>
      </w:pPr>
      <w:r>
        <w:rPr>
          <w:rFonts w:hint="eastAsia" w:ascii="仿宋" w:hAnsi="仿宋" w:eastAsia="仿宋" w:cs="仿宋"/>
          <w:sz w:val="20"/>
          <w:szCs w:val="20"/>
          <w:shd w:val="clear" w:color="auto" w:fill="FFFFFF"/>
        </w:rPr>
        <w:t> </w:t>
      </w:r>
    </w:p>
    <w:p>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pPr>
        <w:spacing w:line="288" w:lineRule="auto"/>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288" w:lineRule="auto"/>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pPr>
        <w:spacing w:line="360" w:lineRule="auto"/>
        <w:ind w:left="720" w:firstLine="723" w:firstLineChars="200"/>
        <w:outlineLvl w:val="0"/>
        <w:rPr>
          <w:rFonts w:ascii="仿宋" w:hAnsi="仿宋" w:eastAsia="仿宋" w:cs="仿宋"/>
          <w:b/>
          <w:sz w:val="36"/>
          <w:szCs w:val="20"/>
        </w:rPr>
      </w:pPr>
    </w:p>
    <w:bookmarkEnd w:id="29"/>
    <w:bookmarkEnd w:id="30"/>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 ……………………………………………………………（页码）</w:t>
      </w:r>
    </w:p>
    <w:p>
      <w:pPr>
        <w:pStyle w:val="907"/>
        <w:spacing w:line="336" w:lineRule="auto"/>
        <w:ind w:left="0" w:firstLine="0" w:firstLineChars="0"/>
        <w:rPr>
          <w:rFonts w:ascii="仿宋" w:eastAsia="仿宋" w:cs="仿宋"/>
        </w:rPr>
      </w:pPr>
      <w:r>
        <w:rPr>
          <w:rFonts w:hint="eastAsia" w:ascii="仿宋" w:eastAsia="仿宋" w:cs="仿宋"/>
        </w:rPr>
        <w:t>（3）授权代表社保证明………………………………………………………………（页码）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sz w:val="24"/>
        </w:rPr>
      </w:pP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1"/>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2"/>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1" w:name="_Hlk101259491"/>
      <w:r>
        <w:rPr>
          <w:rFonts w:hint="eastAsia" w:ascii="仿宋" w:hAnsi="仿宋" w:eastAsia="仿宋" w:cs="仿宋"/>
          <w:sz w:val="32"/>
          <w:szCs w:val="32"/>
        </w:rPr>
        <w:t>（如果有）</w:t>
      </w:r>
      <w:bookmarkEnd w:id="181"/>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rPr>
          <w:rFonts w:ascii="仿宋" w:hAnsi="仿宋" w:eastAsia="仿宋" w:cs="仿宋"/>
        </w:rPr>
      </w:pPr>
    </w:p>
    <w:p>
      <w:pPr>
        <w:pStyle w:val="82"/>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FF0000"/>
        </w:rPr>
      </w:pPr>
    </w:p>
    <w:p>
      <w:pPr>
        <w:pStyle w:val="82"/>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jc w:val="center"/>
        <w:rPr>
          <w:rFonts w:ascii="仿宋" w:hAnsi="仿宋" w:eastAsia="仿宋" w:cs="仿宋"/>
        </w:rPr>
      </w:pPr>
      <w:bookmarkStart w:id="182" w:name="_Toc465665161"/>
      <w:r>
        <w:rPr>
          <w:rFonts w:hint="eastAsia" w:ascii="仿宋" w:hAnsi="仿宋" w:eastAsia="仿宋" w:cs="仿宋"/>
        </w:rPr>
        <w:t>附件</w:t>
      </w:r>
      <w:bookmarkEnd w:id="182"/>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1"/>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6"/>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8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3"/>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84"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84"/>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85" w:name="OLE_LINK13"/>
      <w:bookmarkStart w:id="186" w:name="OLE_LINK14"/>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85"/>
    <w:bookmarkEnd w:id="186"/>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5"/>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7" w:name="_Toc164085800"/>
                          <w:bookmarkStart w:id="188" w:name="_Toc131845147"/>
                          <w:bookmarkStart w:id="189" w:name="_Toc91899912"/>
                          <w:bookmarkStart w:id="190" w:name="_Toc36110187"/>
                          <w:r>
                            <w:rPr>
                              <w:rFonts w:hint="eastAsia" w:ascii="FangSong_GB2312" w:eastAsia="FangSong_GB2312"/>
                              <w:kern w:val="0"/>
                              <w:szCs w:val="21"/>
                            </w:rPr>
                            <w:t xml:space="preserve"> 页</w:t>
                          </w:r>
                          <w:bookmarkEnd w:id="187"/>
                          <w:bookmarkEnd w:id="188"/>
                          <w:bookmarkEnd w:id="189"/>
                          <w:bookmarkEnd w:id="190"/>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7" w:name="_Toc164085800"/>
                    <w:bookmarkStart w:id="188" w:name="_Toc131845147"/>
                    <w:bookmarkStart w:id="189" w:name="_Toc91899912"/>
                    <w:bookmarkStart w:id="190" w:name="_Toc36110187"/>
                    <w:r>
                      <w:rPr>
                        <w:rFonts w:hint="eastAsia" w:ascii="FangSong_GB2312" w:eastAsia="FangSong_GB2312"/>
                        <w:kern w:val="0"/>
                        <w:szCs w:val="21"/>
                      </w:rPr>
                      <w:t xml:space="preserve"> 页</w:t>
                    </w:r>
                    <w:bookmarkEnd w:id="187"/>
                    <w:bookmarkEnd w:id="188"/>
                    <w:bookmarkEnd w:id="189"/>
                    <w:bookmarkEnd w:id="19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41"/>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41"/>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41"/>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 w:hAnsi="仿宋" w:eastAsia="仿宋" w:cs="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p>
    <w:pPr>
      <w:pStyle w:val="43"/>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FangSong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p>
    <w:pPr>
      <w:pStyle w:val="43"/>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eastAsia="仿宋"/>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YH2023-11024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02BC3"/>
    <w:rsid w:val="000F7F5A"/>
    <w:rsid w:val="001D678D"/>
    <w:rsid w:val="001F103F"/>
    <w:rsid w:val="002C0536"/>
    <w:rsid w:val="003F0D4F"/>
    <w:rsid w:val="005C3EC7"/>
    <w:rsid w:val="005D04D2"/>
    <w:rsid w:val="00637404"/>
    <w:rsid w:val="00646402"/>
    <w:rsid w:val="00735C09"/>
    <w:rsid w:val="00771AA8"/>
    <w:rsid w:val="008E51D0"/>
    <w:rsid w:val="008F17EF"/>
    <w:rsid w:val="00937855"/>
    <w:rsid w:val="00971A9D"/>
    <w:rsid w:val="009C0629"/>
    <w:rsid w:val="00C7362E"/>
    <w:rsid w:val="00C96232"/>
    <w:rsid w:val="00D02BC3"/>
    <w:rsid w:val="00D345A5"/>
    <w:rsid w:val="00DC71F2"/>
    <w:rsid w:val="00DE3A61"/>
    <w:rsid w:val="00EC5DC8"/>
    <w:rsid w:val="00F21EF3"/>
    <w:rsid w:val="00F87744"/>
    <w:rsid w:val="01537FD5"/>
    <w:rsid w:val="027A1F36"/>
    <w:rsid w:val="033E089E"/>
    <w:rsid w:val="03D03897"/>
    <w:rsid w:val="06D74677"/>
    <w:rsid w:val="07163C07"/>
    <w:rsid w:val="07D47BAA"/>
    <w:rsid w:val="096E3000"/>
    <w:rsid w:val="0983157E"/>
    <w:rsid w:val="0C277EDD"/>
    <w:rsid w:val="0C4D7C21"/>
    <w:rsid w:val="0C811A9E"/>
    <w:rsid w:val="0DBF7F42"/>
    <w:rsid w:val="0E925AC4"/>
    <w:rsid w:val="0FA0239A"/>
    <w:rsid w:val="0FF50E46"/>
    <w:rsid w:val="10220EF8"/>
    <w:rsid w:val="12EC7454"/>
    <w:rsid w:val="13027FA6"/>
    <w:rsid w:val="13222173"/>
    <w:rsid w:val="14127BE9"/>
    <w:rsid w:val="141715E6"/>
    <w:rsid w:val="156329BA"/>
    <w:rsid w:val="165F6EE2"/>
    <w:rsid w:val="169E17AF"/>
    <w:rsid w:val="16FA2753"/>
    <w:rsid w:val="19377C8F"/>
    <w:rsid w:val="195210FF"/>
    <w:rsid w:val="19904432"/>
    <w:rsid w:val="1B9735F0"/>
    <w:rsid w:val="1F4629DA"/>
    <w:rsid w:val="21B522D0"/>
    <w:rsid w:val="225601ED"/>
    <w:rsid w:val="233367EF"/>
    <w:rsid w:val="23512C83"/>
    <w:rsid w:val="244E615E"/>
    <w:rsid w:val="2B154047"/>
    <w:rsid w:val="2B8E304F"/>
    <w:rsid w:val="2C8458A0"/>
    <w:rsid w:val="2CDA6E57"/>
    <w:rsid w:val="2D452F48"/>
    <w:rsid w:val="2EA9235C"/>
    <w:rsid w:val="324A37B6"/>
    <w:rsid w:val="36854A78"/>
    <w:rsid w:val="38BC211A"/>
    <w:rsid w:val="38D359C2"/>
    <w:rsid w:val="39230324"/>
    <w:rsid w:val="39EA2249"/>
    <w:rsid w:val="3A4122C4"/>
    <w:rsid w:val="3B812DDB"/>
    <w:rsid w:val="3F326AC0"/>
    <w:rsid w:val="3FB8741E"/>
    <w:rsid w:val="4023487C"/>
    <w:rsid w:val="4321081C"/>
    <w:rsid w:val="44D530D8"/>
    <w:rsid w:val="4694489E"/>
    <w:rsid w:val="469A3396"/>
    <w:rsid w:val="4BC555FA"/>
    <w:rsid w:val="4D882205"/>
    <w:rsid w:val="4DE233E6"/>
    <w:rsid w:val="4DE4148C"/>
    <w:rsid w:val="4DE912CD"/>
    <w:rsid w:val="4E31011A"/>
    <w:rsid w:val="4FAE554B"/>
    <w:rsid w:val="50441571"/>
    <w:rsid w:val="50C301CB"/>
    <w:rsid w:val="511E065F"/>
    <w:rsid w:val="54646686"/>
    <w:rsid w:val="56197289"/>
    <w:rsid w:val="570317EE"/>
    <w:rsid w:val="572D7451"/>
    <w:rsid w:val="57DAE6E1"/>
    <w:rsid w:val="580E138B"/>
    <w:rsid w:val="58A077F1"/>
    <w:rsid w:val="59DF1266"/>
    <w:rsid w:val="5C2E3077"/>
    <w:rsid w:val="5C827491"/>
    <w:rsid w:val="5C9D1E36"/>
    <w:rsid w:val="5DDA29EC"/>
    <w:rsid w:val="5F665FB3"/>
    <w:rsid w:val="5FBC150A"/>
    <w:rsid w:val="5FBD456A"/>
    <w:rsid w:val="60683CAF"/>
    <w:rsid w:val="626D4177"/>
    <w:rsid w:val="642152E2"/>
    <w:rsid w:val="648852AB"/>
    <w:rsid w:val="65077AE2"/>
    <w:rsid w:val="66105CC9"/>
    <w:rsid w:val="6973670F"/>
    <w:rsid w:val="6A266BE4"/>
    <w:rsid w:val="6AEF1016"/>
    <w:rsid w:val="6C184E1F"/>
    <w:rsid w:val="6E742034"/>
    <w:rsid w:val="705F2832"/>
    <w:rsid w:val="70DD3DED"/>
    <w:rsid w:val="729E74BD"/>
    <w:rsid w:val="77253BC8"/>
    <w:rsid w:val="78530372"/>
    <w:rsid w:val="7B803D71"/>
    <w:rsid w:val="7C0B664A"/>
    <w:rsid w:val="7C0D2F04"/>
    <w:rsid w:val="7E3B20FE"/>
    <w:rsid w:val="7E941F8F"/>
    <w:rsid w:val="7E951FAE"/>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7">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2"/>
    <w:qFormat/>
    <w:uiPriority w:val="0"/>
    <w:pPr>
      <w:adjustRightInd/>
      <w:spacing w:after="120" w:line="240" w:lineRule="auto"/>
      <w:ind w:left="420" w:leftChars="200" w:firstLine="210"/>
    </w:pPr>
    <w:rPr>
      <w:sz w:val="21"/>
    </w:rPr>
  </w:style>
  <w:style w:type="paragraph" w:styleId="3">
    <w:name w:val="Body Text Indent"/>
    <w:basedOn w:val="1"/>
    <w:link w:val="265"/>
    <w:qFormat/>
    <w:uiPriority w:val="0"/>
    <w:pPr>
      <w:spacing w:line="480" w:lineRule="exact"/>
      <w:ind w:firstLine="480" w:firstLineChars="200"/>
    </w:pPr>
    <w:rPr>
      <w:rFonts w:ascii="宋体" w:hAnsi="宋体"/>
      <w:sz w:val="24"/>
    </w:rPr>
  </w:style>
  <w:style w:type="paragraph" w:styleId="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FangSong_GB2312" w:eastAsia="FangSong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0"/>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1"/>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FangSong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7"/>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KaiTi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FangSong_GB2312" w:hAnsi="FangSong_GB2312" w:eastAsia="FangSong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2"/>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FangSong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FangSong_GB2312" w:hAnsi="微软雅黑" w:eastAsia="FangSong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FangSong_GB2312" w:hAnsi="宋体" w:eastAsia="FangSong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FangSong_GB2312" w:eastAsia="FangSong_GB2312"/>
      <w:b/>
      <w:bCs/>
      <w:kern w:val="2"/>
      <w:sz w:val="24"/>
      <w:szCs w:val="24"/>
      <w:lang w:val="zh-CN" w:eastAsia="zh-CN" w:bidi="ar-SA"/>
    </w:rPr>
  </w:style>
  <w:style w:type="character" w:customStyle="1" w:styleId="122">
    <w:name w:val="正文首行缩进 2 Char"/>
    <w:link w:val="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FangSong_GB2312" w:hAnsi="仿宋" w:eastAsia="FangSong_GB2312"/>
      <w:kern w:val="2"/>
      <w:sz w:val="24"/>
      <w:szCs w:val="24"/>
    </w:rPr>
  </w:style>
  <w:style w:type="character" w:customStyle="1" w:styleId="129">
    <w:name w:val="样式4 Char"/>
    <w:qFormat/>
    <w:uiPriority w:val="0"/>
    <w:rPr>
      <w:rFonts w:ascii="FangSong_GB2312" w:hAnsi="仿宋" w:eastAsia="FangSong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FangSong_GB2312" w:hAnsi="仿宋" w:eastAsia="FangSong_GB2312"/>
      <w:b/>
      <w:kern w:val="2"/>
      <w:sz w:val="24"/>
      <w:szCs w:val="24"/>
    </w:rPr>
  </w:style>
  <w:style w:type="character" w:customStyle="1" w:styleId="143">
    <w:name w:val="font12gray1"/>
    <w:qFormat/>
    <w:uiPriority w:val="0"/>
    <w:rPr>
      <w:rFonts w:ascii="FangSong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FangSong_GB2312" w:eastAsia="FangSong_GB2312" w:cs="FangSong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FangSong_GB2312" w:hAnsi="FangSong_GB2312" w:eastAsia="FangSong_GB2312"/>
      <w:kern w:val="2"/>
      <w:sz w:val="24"/>
      <w:lang w:bidi="ar-SA"/>
    </w:rPr>
  </w:style>
  <w:style w:type="character" w:customStyle="1" w:styleId="154">
    <w:name w:val="正文 项目 Char"/>
    <w:qFormat/>
    <w:uiPriority w:val="0"/>
    <w:rPr>
      <w:rFonts w:ascii="FangSong_GB2312" w:hAnsi="FangSong_GB2312" w:eastAsia="FangSong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FangSong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FangSong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FangSong_GB2312" w:hAnsi="Times New Roman" w:eastAsia="FangSong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FangSong_GB2312" w:hAnsi="仿宋" w:eastAsia="FangSong_GB2312" w:cs="FangSong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FangSong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FangSong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FangSong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FangSong_GB2312" w:hAnsi="仿宋" w:eastAsia="FangSong_GB2312" w:cs="FangSong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FangSong_GB2312" w:eastAsia="FangSong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FangSong_GB2312" w:eastAsia="FangSong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FangSong_GB2312" w:eastAsia="FangSong_GB2312" w:cs="FangSong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FangSong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KaiTi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FangSong_GB2312" w:eastAsia="FangSong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FangSong_GB2312" w:hAnsi="FangSong_GB2312" w:eastAsia="FangSong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KaiTi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FangSong_GB2312" w:eastAsia="FangSong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3"/>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1"/>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FangSong_GB2312" w:eastAsia="微软雅黑"/>
      <w:b/>
      <w:kern w:val="2"/>
      <w:sz w:val="23"/>
      <w:szCs w:val="23"/>
      <w:lang w:val="en-US" w:eastAsia="zh-CN" w:bidi="ar-SA"/>
    </w:rPr>
  </w:style>
  <w:style w:type="character" w:customStyle="1" w:styleId="290">
    <w:name w:val="样式8 Char"/>
    <w:qFormat/>
    <w:uiPriority w:val="0"/>
    <w:rPr>
      <w:rFonts w:ascii="FangSong_GB2312" w:hAnsi="宋体" w:eastAsia="FangSong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FangSong_GB2312" w:eastAsia="FangSong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FangSong_GB2312" w:eastAsia="FangSong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9"/>
    <w:qFormat/>
    <w:uiPriority w:val="0"/>
    <w:rPr>
      <w:rFonts w:ascii="黑体" w:hAnsi="Courier New" w:eastAsia="黑体"/>
    </w:rPr>
  </w:style>
  <w:style w:type="character" w:customStyle="1" w:styleId="302">
    <w:name w:val="正文文本 2 Char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1"/>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6"/>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FangSong_GB2312" w:eastAsia="FangSong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FangSong_GB2312" w:hAnsi="Courier New" w:eastAsia="FangSong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0"/>
    <w:rPr>
      <w:kern w:val="2"/>
      <w:sz w:val="21"/>
      <w:szCs w:val="24"/>
    </w:rPr>
  </w:style>
  <w:style w:type="character" w:customStyle="1" w:styleId="345">
    <w:name w:val="签名 Char"/>
    <w:link w:val="44"/>
    <w:qFormat/>
    <w:uiPriority w:val="0"/>
    <w:rPr>
      <w:rFonts w:eastAsia="FangSong_GB2312"/>
      <w:sz w:val="24"/>
    </w:rPr>
  </w:style>
  <w:style w:type="character" w:customStyle="1" w:styleId="346">
    <w:name w:val="hui3"/>
    <w:qFormat/>
    <w:uiPriority w:val="0"/>
    <w:rPr>
      <w:color w:val="333333"/>
    </w:rPr>
  </w:style>
  <w:style w:type="character" w:customStyle="1" w:styleId="347">
    <w:name w:val="Char Char17"/>
    <w:qFormat/>
    <w:uiPriority w:val="6"/>
    <w:rPr>
      <w:rFonts w:eastAsia="FangSong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KaiTi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FangSong_GB2312" w:eastAsia="FangSong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FangSong_GB2312" w:eastAsia="FangSong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FangSong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5"/>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FangSong_GB2312" w:eastAsia="FangSong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FangSong_GB2312" w:hAnsi="FangSong_GB2312" w:eastAsia="FangSong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KaiTi_GB2312" w:hAnsi="Arial" w:eastAsia="KaiTi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FangSong_GB2312" w:eastAsia="FangSong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FangSong_GB2312" w:eastAsia="FangSong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FangSong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KaiTi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FangSong_GB2312" w:eastAsia="FangSong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next w:val="479"/>
    <w:qFormat/>
    <w:uiPriority w:val="34"/>
    <w:pPr>
      <w:adjustRightInd/>
      <w:ind w:firstLine="420" w:firstLineChars="200"/>
    </w:pPr>
    <w:rPr>
      <w:rFonts w:eastAsia="FangSong_GB2312"/>
      <w:sz w:val="28"/>
    </w:rPr>
  </w:style>
  <w:style w:type="paragraph" w:styleId="479">
    <w:name w:val="List Paragraph"/>
    <w:basedOn w:val="1"/>
    <w:qFormat/>
    <w:uiPriority w:val="99"/>
    <w:pPr>
      <w:ind w:firstLine="420" w:firstLineChars="200"/>
    </w:pPr>
    <w:rPr>
      <w:rFonts w:asciiTheme="minorHAnsi" w:hAnsiTheme="minorHAnsi" w:eastAsiaTheme="minorEastAsia" w:cstheme="minorBidi"/>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FangSong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5"/>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FangSong_GB2312" w:eastAsia="FangSong_GB2312"/>
      <w:b/>
      <w:sz w:val="32"/>
      <w:szCs w:val="32"/>
    </w:rPr>
  </w:style>
  <w:style w:type="paragraph" w:customStyle="1" w:styleId="493">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FangSong_GB2312" w:eastAsia="FangSong_GB2312"/>
      <w:b/>
      <w:sz w:val="32"/>
      <w:szCs w:val="32"/>
    </w:rPr>
  </w:style>
  <w:style w:type="paragraph" w:customStyle="1" w:styleId="497">
    <w:name w:val="数字标题3"/>
    <w:basedOn w:val="7"/>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9"/>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FangSong_GB2312" w:eastAsia="FangSong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FangSong_GB2312" w:eastAsia="FangSong_GB2312"/>
      <w:b/>
      <w:sz w:val="32"/>
      <w:szCs w:val="32"/>
    </w:rPr>
  </w:style>
  <w:style w:type="paragraph" w:customStyle="1" w:styleId="504">
    <w:name w:val="Char2 Char Char Char1"/>
    <w:basedOn w:val="1"/>
    <w:qFormat/>
    <w:uiPriority w:val="6"/>
    <w:rPr>
      <w:rFonts w:ascii="FangSong_GB2312" w:eastAsia="FangSong_GB2312"/>
      <w:b/>
      <w:sz w:val="32"/>
      <w:szCs w:val="32"/>
    </w:rPr>
  </w:style>
  <w:style w:type="paragraph" w:customStyle="1" w:styleId="505">
    <w:name w:val="默认段落样式"/>
    <w:basedOn w:val="132"/>
    <w:qFormat/>
    <w:uiPriority w:val="0"/>
    <w:pPr>
      <w:spacing w:before="0"/>
      <w:ind w:firstLine="480"/>
      <w:outlineLvl w:val="2"/>
    </w:pPr>
    <w:rPr>
      <w:rFonts w:ascii="FangSong_GB2312" w:hAnsi="宋体" w:eastAsia="FangSong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KaiTi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FangSong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FangSong_GB2312" w:eastAsia="FangSong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FangSong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8"/>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FangSong_GB2312" w:eastAsia="FangSong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FangSong_GB2312" w:eastAsia="FangSong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FangSong_GB2312" w:eastAsia="FangSong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FangSong_GB2312" w:hAnsi="仿宋" w:eastAsia="FangSong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FangSong_GB2312" w:eastAsia="FangSong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FangSong_GB2312" w:hAnsi="宋体" w:eastAsia="FangSong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FangSong_GB2312" w:eastAsia="FangSong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7">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FangSong_GB2312" w:eastAsia="FangSong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KaiTi_GB2312" w:cs="Lucida Sans"/>
      <w:sz w:val="24"/>
    </w:rPr>
  </w:style>
  <w:style w:type="paragraph" w:customStyle="1" w:styleId="614">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FangSong_GB2312" w:eastAsia="FangSong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4"/>
    <w:qFormat/>
    <w:uiPriority w:val="0"/>
    <w:pPr>
      <w:tabs>
        <w:tab w:val="left" w:pos="840"/>
      </w:tabs>
      <w:adjustRightInd/>
      <w:ind w:left="840" w:hanging="420"/>
    </w:pPr>
  </w:style>
  <w:style w:type="paragraph" w:customStyle="1" w:styleId="627">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8"/>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FangSong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FangSong_GB2312" w:eastAsia="FangSong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8"/>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2">
    <w:name w:val="Char Char Char Char Char Char Char1"/>
    <w:basedOn w:val="1"/>
    <w:qFormat/>
    <w:uiPriority w:val="6"/>
    <w:rPr>
      <w:rFonts w:ascii="FangSong_GB2312" w:eastAsia="FangSong_GB2312"/>
      <w:b/>
      <w:sz w:val="32"/>
      <w:szCs w:val="32"/>
    </w:rPr>
  </w:style>
  <w:style w:type="paragraph" w:customStyle="1" w:styleId="703">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FangSong_GB2312" w:eastAsia="FangSong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7"/>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8"/>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3"/>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0"/>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9"/>
    <w:next w:val="1"/>
    <w:qFormat/>
    <w:uiPriority w:val="0"/>
    <w:pPr>
      <w:tabs>
        <w:tab w:val="left" w:pos="1080"/>
      </w:tabs>
      <w:ind w:left="1080" w:hanging="1080"/>
    </w:pPr>
  </w:style>
  <w:style w:type="paragraph" w:customStyle="1" w:styleId="898">
    <w:name w:val="数字标题1"/>
    <w:basedOn w:val="4"/>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3"/>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8"/>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KaiTi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uiPriority w:val="0"/>
    <w:rPr>
      <w:rFonts w:ascii="Arial" w:hAnsi="Arial" w:cs="Arial"/>
      <w:color w:val="000000"/>
      <w:sz w:val="22"/>
      <w:szCs w:val="22"/>
      <w:u w:val="none"/>
    </w:rPr>
  </w:style>
  <w:style w:type="character" w:customStyle="1" w:styleId="974">
    <w:name w:val="font112"/>
    <w:basedOn w:val="70"/>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8816</Words>
  <Characters>50255</Characters>
  <Lines>418</Lines>
  <Paragraphs>117</Paragraphs>
  <TotalTime>4</TotalTime>
  <ScaleCrop>false</ScaleCrop>
  <LinksUpToDate>false</LinksUpToDate>
  <CharactersWithSpaces>58954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2023-11-17T06:50:39Z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DE10EAF74B7D4533A4E22F30852C59AA_13</vt:lpwstr>
  </property>
</Properties>
</file>